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47E044" w14:textId="4F8A6A8C" w:rsidR="00467B0C" w:rsidRPr="00445472" w:rsidRDefault="00C65BDB" w:rsidP="00F450C7">
      <w:pPr>
        <w:spacing w:after="0" w:line="240" w:lineRule="auto"/>
        <w:ind w:firstLine="284"/>
        <w:jc w:val="center"/>
        <w:rPr>
          <w:rFonts w:ascii="Garamond" w:hAnsi="Garamond"/>
          <w:b/>
          <w:sz w:val="24"/>
          <w:szCs w:val="24"/>
        </w:rPr>
      </w:pPr>
      <w:r w:rsidRPr="00445472">
        <w:rPr>
          <w:rFonts w:ascii="Garamond" w:hAnsi="Garamond"/>
          <w:b/>
          <w:sz w:val="24"/>
          <w:szCs w:val="24"/>
        </w:rPr>
        <w:t xml:space="preserve">            </w:t>
      </w:r>
      <w:r w:rsidR="005C0DE6" w:rsidRPr="00445472">
        <w:rPr>
          <w:rFonts w:ascii="Garamond" w:hAnsi="Garamond"/>
          <w:b/>
          <w:sz w:val="24"/>
          <w:szCs w:val="24"/>
        </w:rPr>
        <w:t>VENDIM</w:t>
      </w:r>
    </w:p>
    <w:p w14:paraId="1B47E047" w14:textId="5080D826" w:rsidR="00467B0C" w:rsidRPr="00445472" w:rsidRDefault="00E9526E" w:rsidP="00F450C7">
      <w:pPr>
        <w:spacing w:after="0" w:line="240" w:lineRule="auto"/>
        <w:ind w:firstLine="284"/>
        <w:jc w:val="center"/>
        <w:rPr>
          <w:rFonts w:ascii="Garamond" w:hAnsi="Garamond"/>
          <w:b/>
          <w:sz w:val="24"/>
          <w:szCs w:val="24"/>
        </w:rPr>
      </w:pPr>
      <w:r w:rsidRPr="00445472">
        <w:rPr>
          <w:rFonts w:ascii="Garamond" w:hAnsi="Garamond"/>
          <w:b/>
          <w:sz w:val="24"/>
          <w:szCs w:val="24"/>
        </w:rPr>
        <w:t>Nr</w:t>
      </w:r>
      <w:r w:rsidR="001327CE" w:rsidRPr="00445472">
        <w:rPr>
          <w:rFonts w:ascii="Garamond" w:hAnsi="Garamond"/>
          <w:b/>
          <w:sz w:val="24"/>
          <w:szCs w:val="24"/>
        </w:rPr>
        <w:t>.</w:t>
      </w:r>
      <w:r w:rsidR="00D77A64" w:rsidRPr="00445472">
        <w:rPr>
          <w:rFonts w:ascii="Garamond" w:hAnsi="Garamond"/>
          <w:b/>
          <w:sz w:val="24"/>
          <w:szCs w:val="24"/>
        </w:rPr>
        <w:t xml:space="preserve"> </w:t>
      </w:r>
      <w:r w:rsidR="009646B7" w:rsidRPr="00445472">
        <w:rPr>
          <w:rFonts w:ascii="Garamond" w:hAnsi="Garamond"/>
          <w:b/>
          <w:sz w:val="24"/>
          <w:szCs w:val="24"/>
        </w:rPr>
        <w:t>849</w:t>
      </w:r>
      <w:r w:rsidR="00467B0C" w:rsidRPr="00445472">
        <w:rPr>
          <w:rFonts w:ascii="Garamond" w:hAnsi="Garamond"/>
          <w:b/>
          <w:sz w:val="24"/>
          <w:szCs w:val="24"/>
        </w:rPr>
        <w:t>, dat</w:t>
      </w:r>
      <w:r w:rsidR="006F3B01" w:rsidRPr="00445472">
        <w:rPr>
          <w:rFonts w:ascii="Garamond" w:hAnsi="Garamond"/>
          <w:b/>
          <w:sz w:val="24"/>
          <w:szCs w:val="24"/>
        </w:rPr>
        <w:t>ë</w:t>
      </w:r>
      <w:r w:rsidR="009646B7" w:rsidRPr="00445472">
        <w:rPr>
          <w:rFonts w:ascii="Garamond" w:hAnsi="Garamond"/>
          <w:b/>
          <w:sz w:val="24"/>
          <w:szCs w:val="24"/>
        </w:rPr>
        <w:t xml:space="preserve"> 4.11.2020</w:t>
      </w:r>
    </w:p>
    <w:p w14:paraId="1B47E048" w14:textId="77777777" w:rsidR="005C0DE6" w:rsidRPr="00445472" w:rsidRDefault="005C0DE6" w:rsidP="00F450C7">
      <w:pPr>
        <w:spacing w:after="0" w:line="240" w:lineRule="auto"/>
        <w:ind w:firstLine="284"/>
        <w:jc w:val="center"/>
        <w:rPr>
          <w:rFonts w:ascii="Garamond" w:hAnsi="Garamond"/>
          <w:b/>
          <w:sz w:val="24"/>
          <w:szCs w:val="24"/>
        </w:rPr>
      </w:pPr>
    </w:p>
    <w:p w14:paraId="1B47E04C" w14:textId="3E41AA78" w:rsidR="00485AB8" w:rsidRPr="00445472" w:rsidRDefault="00380ACA" w:rsidP="00F450C7">
      <w:pPr>
        <w:spacing w:after="0" w:line="240" w:lineRule="auto"/>
        <w:ind w:firstLine="284"/>
        <w:jc w:val="center"/>
        <w:rPr>
          <w:rFonts w:ascii="Garamond" w:hAnsi="Garamond"/>
          <w:b/>
          <w:sz w:val="24"/>
          <w:szCs w:val="24"/>
        </w:rPr>
      </w:pPr>
      <w:r w:rsidRPr="00445472">
        <w:rPr>
          <w:rFonts w:ascii="Garamond" w:hAnsi="Garamond"/>
          <w:b/>
          <w:sz w:val="24"/>
          <w:szCs w:val="24"/>
        </w:rPr>
        <w:t>PËR</w:t>
      </w:r>
      <w:r w:rsidR="00F450C7" w:rsidRPr="00445472">
        <w:rPr>
          <w:rFonts w:ascii="Garamond" w:hAnsi="Garamond"/>
          <w:b/>
          <w:sz w:val="24"/>
          <w:szCs w:val="24"/>
        </w:rPr>
        <w:t xml:space="preserve"> </w:t>
      </w:r>
      <w:r w:rsidR="003D2CE8" w:rsidRPr="00445472">
        <w:rPr>
          <w:rFonts w:ascii="Garamond" w:hAnsi="Garamond"/>
          <w:b/>
          <w:sz w:val="24"/>
          <w:szCs w:val="24"/>
        </w:rPr>
        <w:t>MIRATIMIN E PLANIT TË MENAXHIMIT TË BASENIT UJOR DRIN – BUNË</w:t>
      </w:r>
    </w:p>
    <w:p w14:paraId="1B47E04D" w14:textId="77777777" w:rsidR="00380ACA" w:rsidRPr="00445472" w:rsidRDefault="00380ACA" w:rsidP="00F450C7">
      <w:pPr>
        <w:spacing w:after="0" w:line="240" w:lineRule="auto"/>
        <w:ind w:firstLine="284"/>
        <w:jc w:val="both"/>
        <w:rPr>
          <w:rFonts w:ascii="Garamond" w:hAnsi="Garamond"/>
          <w:sz w:val="24"/>
          <w:szCs w:val="24"/>
        </w:rPr>
      </w:pPr>
    </w:p>
    <w:p w14:paraId="1B47E04E" w14:textId="49D1E983" w:rsidR="005C0DE6" w:rsidRPr="00445472" w:rsidRDefault="0045308C" w:rsidP="00F450C7">
      <w:pPr>
        <w:spacing w:after="0" w:line="240" w:lineRule="auto"/>
        <w:ind w:firstLine="284"/>
        <w:jc w:val="both"/>
        <w:rPr>
          <w:rFonts w:ascii="Garamond" w:hAnsi="Garamond"/>
          <w:sz w:val="24"/>
          <w:szCs w:val="24"/>
        </w:rPr>
      </w:pPr>
      <w:r w:rsidRPr="00445472">
        <w:rPr>
          <w:rFonts w:ascii="Garamond" w:hAnsi="Garamond"/>
          <w:sz w:val="24"/>
          <w:szCs w:val="24"/>
        </w:rPr>
        <w:t>N</w:t>
      </w:r>
      <w:r w:rsidR="006F3B01" w:rsidRPr="00445472">
        <w:rPr>
          <w:rFonts w:ascii="Garamond" w:hAnsi="Garamond"/>
          <w:sz w:val="24"/>
          <w:szCs w:val="24"/>
        </w:rPr>
        <w:t>ë</w:t>
      </w:r>
      <w:r w:rsidR="002D6F76" w:rsidRPr="00445472">
        <w:rPr>
          <w:rFonts w:ascii="Garamond" w:hAnsi="Garamond"/>
          <w:sz w:val="24"/>
          <w:szCs w:val="24"/>
        </w:rPr>
        <w:t xml:space="preserve"> mbështetje</w:t>
      </w:r>
      <w:r w:rsidRPr="00445472">
        <w:rPr>
          <w:rFonts w:ascii="Garamond" w:hAnsi="Garamond"/>
          <w:sz w:val="24"/>
          <w:szCs w:val="24"/>
        </w:rPr>
        <w:t xml:space="preserve"> t</w:t>
      </w:r>
      <w:r w:rsidR="006F3B01" w:rsidRPr="00445472">
        <w:rPr>
          <w:rFonts w:ascii="Garamond" w:hAnsi="Garamond"/>
          <w:sz w:val="24"/>
          <w:szCs w:val="24"/>
        </w:rPr>
        <w:t>ë</w:t>
      </w:r>
      <w:r w:rsidR="00817672" w:rsidRPr="00445472">
        <w:rPr>
          <w:rFonts w:ascii="Garamond" w:hAnsi="Garamond"/>
          <w:sz w:val="24"/>
          <w:szCs w:val="24"/>
        </w:rPr>
        <w:t xml:space="preserve"> </w:t>
      </w:r>
      <w:r w:rsidR="00F143B1" w:rsidRPr="00445472">
        <w:rPr>
          <w:rFonts w:ascii="Garamond" w:hAnsi="Garamond"/>
          <w:sz w:val="24"/>
          <w:szCs w:val="24"/>
        </w:rPr>
        <w:t>nenit 100</w:t>
      </w:r>
      <w:r w:rsidR="007F3D43" w:rsidRPr="00445472">
        <w:rPr>
          <w:rFonts w:ascii="Garamond" w:hAnsi="Garamond"/>
          <w:sz w:val="24"/>
          <w:szCs w:val="24"/>
        </w:rPr>
        <w:t xml:space="preserve"> të Kushtetutës dhe të </w:t>
      </w:r>
      <w:r w:rsidR="00485AB8" w:rsidRPr="00445472">
        <w:rPr>
          <w:rFonts w:ascii="Garamond" w:hAnsi="Garamond"/>
          <w:sz w:val="24"/>
          <w:szCs w:val="24"/>
        </w:rPr>
        <w:t>shkronj</w:t>
      </w:r>
      <w:r w:rsidR="00614112" w:rsidRPr="00445472">
        <w:rPr>
          <w:rFonts w:ascii="Garamond" w:hAnsi="Garamond"/>
          <w:sz w:val="24"/>
          <w:szCs w:val="24"/>
        </w:rPr>
        <w:t>ë</w:t>
      </w:r>
      <w:r w:rsidR="00485AB8" w:rsidRPr="00445472">
        <w:rPr>
          <w:rFonts w:ascii="Garamond" w:hAnsi="Garamond"/>
          <w:sz w:val="24"/>
          <w:szCs w:val="24"/>
        </w:rPr>
        <w:t xml:space="preserve">s </w:t>
      </w:r>
      <w:r w:rsidR="00D62EDF" w:rsidRPr="00445472">
        <w:rPr>
          <w:rFonts w:ascii="Garamond" w:hAnsi="Garamond"/>
          <w:sz w:val="24"/>
          <w:szCs w:val="24"/>
        </w:rPr>
        <w:t>“</w:t>
      </w:r>
      <w:r w:rsidR="00485AB8" w:rsidRPr="00445472">
        <w:rPr>
          <w:rFonts w:ascii="Garamond" w:hAnsi="Garamond"/>
          <w:sz w:val="24"/>
          <w:szCs w:val="24"/>
        </w:rPr>
        <w:t>d</w:t>
      </w:r>
      <w:r w:rsidR="00D62EDF" w:rsidRPr="00445472">
        <w:rPr>
          <w:rFonts w:ascii="Garamond" w:hAnsi="Garamond"/>
          <w:sz w:val="24"/>
          <w:szCs w:val="24"/>
        </w:rPr>
        <w:t>”</w:t>
      </w:r>
      <w:r w:rsidR="00F027F2" w:rsidRPr="00445472">
        <w:rPr>
          <w:rFonts w:ascii="Garamond" w:hAnsi="Garamond"/>
          <w:sz w:val="24"/>
          <w:szCs w:val="24"/>
        </w:rPr>
        <w:t>,</w:t>
      </w:r>
      <w:r w:rsidR="00FF6555" w:rsidRPr="00445472">
        <w:rPr>
          <w:rFonts w:ascii="Garamond" w:hAnsi="Garamond"/>
          <w:sz w:val="24"/>
          <w:szCs w:val="24"/>
        </w:rPr>
        <w:t xml:space="preserve"> </w:t>
      </w:r>
      <w:r w:rsidR="007F3D43" w:rsidRPr="00445472">
        <w:rPr>
          <w:rFonts w:ascii="Garamond" w:hAnsi="Garamond"/>
          <w:sz w:val="24"/>
          <w:szCs w:val="24"/>
        </w:rPr>
        <w:t xml:space="preserve">të </w:t>
      </w:r>
      <w:r w:rsidR="00FF6555" w:rsidRPr="00445472">
        <w:rPr>
          <w:rFonts w:ascii="Garamond" w:hAnsi="Garamond"/>
          <w:sz w:val="24"/>
          <w:szCs w:val="24"/>
        </w:rPr>
        <w:t>pik</w:t>
      </w:r>
      <w:r w:rsidR="007F3D43" w:rsidRPr="00445472">
        <w:rPr>
          <w:rFonts w:ascii="Garamond" w:hAnsi="Garamond"/>
          <w:sz w:val="24"/>
          <w:szCs w:val="24"/>
        </w:rPr>
        <w:t>ës</w:t>
      </w:r>
      <w:r w:rsidR="00FF6555" w:rsidRPr="00445472">
        <w:rPr>
          <w:rFonts w:ascii="Garamond" w:hAnsi="Garamond"/>
          <w:sz w:val="24"/>
          <w:szCs w:val="24"/>
        </w:rPr>
        <w:t xml:space="preserve"> 2,</w:t>
      </w:r>
      <w:r w:rsidR="00F027F2" w:rsidRPr="00445472">
        <w:rPr>
          <w:rFonts w:ascii="Garamond" w:hAnsi="Garamond"/>
          <w:sz w:val="24"/>
          <w:szCs w:val="24"/>
        </w:rPr>
        <w:t xml:space="preserve"> të</w:t>
      </w:r>
      <w:r w:rsidRPr="00445472">
        <w:rPr>
          <w:rFonts w:ascii="Garamond" w:hAnsi="Garamond"/>
          <w:sz w:val="24"/>
          <w:szCs w:val="24"/>
        </w:rPr>
        <w:t xml:space="preserve"> </w:t>
      </w:r>
      <w:r w:rsidR="00485AB8" w:rsidRPr="00445472">
        <w:rPr>
          <w:rFonts w:ascii="Garamond" w:hAnsi="Garamond"/>
          <w:sz w:val="24"/>
          <w:szCs w:val="24"/>
        </w:rPr>
        <w:t>nenit 8, të ligjit nr.</w:t>
      </w:r>
      <w:r w:rsidR="00D77A64" w:rsidRPr="00445472">
        <w:rPr>
          <w:rFonts w:ascii="Garamond" w:hAnsi="Garamond"/>
          <w:sz w:val="24"/>
          <w:szCs w:val="24"/>
        </w:rPr>
        <w:t xml:space="preserve"> </w:t>
      </w:r>
      <w:r w:rsidR="00485AB8" w:rsidRPr="00445472">
        <w:rPr>
          <w:rFonts w:ascii="Garamond" w:hAnsi="Garamond"/>
          <w:sz w:val="24"/>
          <w:szCs w:val="24"/>
        </w:rPr>
        <w:t>111/2012</w:t>
      </w:r>
      <w:r w:rsidR="00D62EDF" w:rsidRPr="00445472">
        <w:rPr>
          <w:rFonts w:ascii="Garamond" w:hAnsi="Garamond"/>
          <w:sz w:val="24"/>
          <w:szCs w:val="24"/>
        </w:rPr>
        <w:t xml:space="preserve">, “Për </w:t>
      </w:r>
      <w:r w:rsidR="00485AB8" w:rsidRPr="00445472">
        <w:rPr>
          <w:rFonts w:ascii="Garamond" w:hAnsi="Garamond"/>
          <w:sz w:val="24"/>
          <w:szCs w:val="24"/>
        </w:rPr>
        <w:t>menaxhimin e integruar të burimeve ujore</w:t>
      </w:r>
      <w:r w:rsidR="00D62EDF" w:rsidRPr="00445472">
        <w:rPr>
          <w:rFonts w:ascii="Garamond" w:hAnsi="Garamond"/>
          <w:sz w:val="24"/>
          <w:szCs w:val="24"/>
        </w:rPr>
        <w:t>”</w:t>
      </w:r>
      <w:r w:rsidR="00485AB8" w:rsidRPr="00445472">
        <w:rPr>
          <w:rFonts w:ascii="Garamond" w:hAnsi="Garamond"/>
          <w:sz w:val="24"/>
          <w:szCs w:val="24"/>
        </w:rPr>
        <w:t>, të ndryshuar</w:t>
      </w:r>
      <w:r w:rsidR="004A6196" w:rsidRPr="00445472">
        <w:rPr>
          <w:rFonts w:ascii="Garamond" w:hAnsi="Garamond"/>
          <w:sz w:val="24"/>
          <w:szCs w:val="24"/>
        </w:rPr>
        <w:t>,</w:t>
      </w:r>
      <w:r w:rsidR="00430B25" w:rsidRPr="00445472">
        <w:rPr>
          <w:rFonts w:ascii="Garamond" w:hAnsi="Garamond"/>
          <w:sz w:val="24"/>
          <w:szCs w:val="24"/>
        </w:rPr>
        <w:t xml:space="preserve"> </w:t>
      </w:r>
      <w:r w:rsidR="00045BC6" w:rsidRPr="00445472">
        <w:rPr>
          <w:rFonts w:ascii="Garamond" w:hAnsi="Garamond"/>
          <w:sz w:val="24"/>
          <w:szCs w:val="24"/>
        </w:rPr>
        <w:t>me propozimin e</w:t>
      </w:r>
      <w:r w:rsidR="005C0DE6" w:rsidRPr="00445472">
        <w:rPr>
          <w:rFonts w:ascii="Garamond" w:hAnsi="Garamond"/>
          <w:sz w:val="24"/>
          <w:szCs w:val="24"/>
        </w:rPr>
        <w:t xml:space="preserve"> Kryeministrit, Këshilli</w:t>
      </w:r>
      <w:r w:rsidR="00485AB8" w:rsidRPr="00445472">
        <w:rPr>
          <w:rFonts w:ascii="Garamond" w:hAnsi="Garamond"/>
          <w:sz w:val="24"/>
          <w:szCs w:val="24"/>
        </w:rPr>
        <w:t xml:space="preserve"> i </w:t>
      </w:r>
      <w:r w:rsidR="005C0DE6" w:rsidRPr="00445472">
        <w:rPr>
          <w:rFonts w:ascii="Garamond" w:hAnsi="Garamond"/>
          <w:sz w:val="24"/>
          <w:szCs w:val="24"/>
        </w:rPr>
        <w:t>Ministrave</w:t>
      </w:r>
    </w:p>
    <w:p w14:paraId="1B47E04F" w14:textId="77777777" w:rsidR="0019263C" w:rsidRPr="00445472" w:rsidRDefault="0019263C" w:rsidP="00F450C7">
      <w:pPr>
        <w:spacing w:after="0" w:line="240" w:lineRule="auto"/>
        <w:ind w:firstLine="284"/>
        <w:jc w:val="both"/>
        <w:rPr>
          <w:rFonts w:ascii="Garamond" w:hAnsi="Garamond"/>
          <w:sz w:val="24"/>
          <w:szCs w:val="24"/>
        </w:rPr>
      </w:pPr>
    </w:p>
    <w:p w14:paraId="1B47E050" w14:textId="5974984D" w:rsidR="0019263C" w:rsidRPr="00445472" w:rsidRDefault="00F450C7" w:rsidP="00F450C7">
      <w:pPr>
        <w:spacing w:after="0" w:line="240" w:lineRule="auto"/>
        <w:ind w:firstLine="284"/>
        <w:jc w:val="center"/>
        <w:rPr>
          <w:rFonts w:ascii="Garamond" w:hAnsi="Garamond"/>
          <w:sz w:val="24"/>
          <w:szCs w:val="24"/>
        </w:rPr>
      </w:pPr>
      <w:r w:rsidRPr="00445472">
        <w:rPr>
          <w:rFonts w:ascii="Garamond" w:hAnsi="Garamond"/>
          <w:sz w:val="24"/>
          <w:szCs w:val="24"/>
        </w:rPr>
        <w:t>VENDOS</w:t>
      </w:r>
      <w:r w:rsidR="0045308C" w:rsidRPr="00445472">
        <w:rPr>
          <w:rFonts w:ascii="Garamond" w:hAnsi="Garamond"/>
          <w:sz w:val="24"/>
          <w:szCs w:val="24"/>
        </w:rPr>
        <w:t>I:</w:t>
      </w:r>
    </w:p>
    <w:p w14:paraId="1B47E051" w14:textId="77777777" w:rsidR="00083C7D" w:rsidRPr="00445472" w:rsidRDefault="00083C7D" w:rsidP="00F450C7">
      <w:pPr>
        <w:spacing w:after="0" w:line="240" w:lineRule="auto"/>
        <w:ind w:firstLine="284"/>
        <w:jc w:val="both"/>
        <w:rPr>
          <w:rFonts w:ascii="Garamond" w:hAnsi="Garamond"/>
          <w:sz w:val="24"/>
          <w:szCs w:val="24"/>
        </w:rPr>
      </w:pPr>
    </w:p>
    <w:p w14:paraId="1B47E052" w14:textId="42BB8482" w:rsidR="00841660" w:rsidRPr="00445472" w:rsidRDefault="00F450C7" w:rsidP="00AC4EA0">
      <w:pPr>
        <w:pStyle w:val="TEKSTIIII"/>
      </w:pPr>
      <w:r w:rsidRPr="00445472">
        <w:t xml:space="preserve">1. </w:t>
      </w:r>
      <w:r w:rsidR="00485AB8" w:rsidRPr="00445472">
        <w:t>Miratimin</w:t>
      </w:r>
      <w:r w:rsidR="005C0DE6" w:rsidRPr="00445472">
        <w:t xml:space="preserve"> e</w:t>
      </w:r>
      <w:r w:rsidR="00485AB8" w:rsidRPr="00445472">
        <w:t xml:space="preserve"> </w:t>
      </w:r>
      <w:r w:rsidR="008D6025" w:rsidRPr="00445472">
        <w:t xml:space="preserve">planit të menaxhimit të basenit </w:t>
      </w:r>
      <w:r w:rsidR="00F143B1" w:rsidRPr="00445472">
        <w:t>u</w:t>
      </w:r>
      <w:r w:rsidR="007E76E3" w:rsidRPr="00445472">
        <w:t>jor Drin–</w:t>
      </w:r>
      <w:r w:rsidR="00485AB8" w:rsidRPr="00445472">
        <w:t>Bunë, sipas tekstit që i bashkëlidhet këtij vendimi.</w:t>
      </w:r>
    </w:p>
    <w:p w14:paraId="1B47E054" w14:textId="7B2CE289" w:rsidR="005F10CE" w:rsidRPr="00445472" w:rsidRDefault="00F450C7" w:rsidP="00F450C7">
      <w:pPr>
        <w:spacing w:after="0" w:line="240" w:lineRule="auto"/>
        <w:ind w:firstLine="284"/>
        <w:jc w:val="both"/>
        <w:rPr>
          <w:rFonts w:ascii="Garamond" w:hAnsi="Garamond"/>
          <w:sz w:val="24"/>
          <w:szCs w:val="24"/>
        </w:rPr>
      </w:pPr>
      <w:r w:rsidRPr="00445472">
        <w:rPr>
          <w:rFonts w:ascii="Garamond" w:hAnsi="Garamond"/>
          <w:sz w:val="24"/>
          <w:szCs w:val="24"/>
        </w:rPr>
        <w:t xml:space="preserve">2. </w:t>
      </w:r>
      <w:r w:rsidR="005F10CE" w:rsidRPr="00445472">
        <w:rPr>
          <w:rFonts w:ascii="Garamond" w:hAnsi="Garamond"/>
          <w:sz w:val="24"/>
          <w:szCs w:val="24"/>
        </w:rPr>
        <w:t xml:space="preserve">Zbatimi i </w:t>
      </w:r>
      <w:r w:rsidR="008D6025" w:rsidRPr="00445472">
        <w:rPr>
          <w:rFonts w:ascii="Garamond" w:hAnsi="Garamond"/>
          <w:sz w:val="24"/>
          <w:szCs w:val="24"/>
        </w:rPr>
        <w:t xml:space="preserve">planit të menaxhimit të basenit </w:t>
      </w:r>
      <w:r w:rsidR="00F143B1" w:rsidRPr="00445472">
        <w:rPr>
          <w:rFonts w:ascii="Garamond" w:hAnsi="Garamond"/>
          <w:sz w:val="24"/>
          <w:szCs w:val="24"/>
        </w:rPr>
        <w:t>u</w:t>
      </w:r>
      <w:r w:rsidR="007E76E3" w:rsidRPr="00445472">
        <w:rPr>
          <w:rFonts w:ascii="Garamond" w:hAnsi="Garamond"/>
          <w:sz w:val="24"/>
          <w:szCs w:val="24"/>
        </w:rPr>
        <w:t>jor Drin–</w:t>
      </w:r>
      <w:r w:rsidR="005F10CE" w:rsidRPr="00445472">
        <w:rPr>
          <w:rFonts w:ascii="Garamond" w:hAnsi="Garamond"/>
          <w:sz w:val="24"/>
          <w:szCs w:val="24"/>
        </w:rPr>
        <w:t>Bun</w:t>
      </w:r>
      <w:r w:rsidR="00032151" w:rsidRPr="00445472">
        <w:rPr>
          <w:rFonts w:ascii="Garamond" w:hAnsi="Garamond"/>
          <w:sz w:val="24"/>
          <w:szCs w:val="24"/>
        </w:rPr>
        <w:t>ë</w:t>
      </w:r>
      <w:r w:rsidR="005F10CE" w:rsidRPr="00445472">
        <w:rPr>
          <w:rFonts w:ascii="Garamond" w:hAnsi="Garamond"/>
          <w:sz w:val="24"/>
          <w:szCs w:val="24"/>
        </w:rPr>
        <w:t xml:space="preserve"> fillon n</w:t>
      </w:r>
      <w:r w:rsidR="00032151" w:rsidRPr="00445472">
        <w:rPr>
          <w:rFonts w:ascii="Garamond" w:hAnsi="Garamond"/>
          <w:sz w:val="24"/>
          <w:szCs w:val="24"/>
        </w:rPr>
        <w:t>ë</w:t>
      </w:r>
      <w:r w:rsidR="005F10CE" w:rsidRPr="00445472">
        <w:rPr>
          <w:rFonts w:ascii="Garamond" w:hAnsi="Garamond"/>
          <w:sz w:val="24"/>
          <w:szCs w:val="24"/>
        </w:rPr>
        <w:t xml:space="preserve"> vitin 2021.</w:t>
      </w:r>
    </w:p>
    <w:p w14:paraId="1B47E056" w14:textId="6F592850" w:rsidR="00083C7D" w:rsidRPr="00445472" w:rsidRDefault="00083C7D" w:rsidP="00F450C7">
      <w:pPr>
        <w:spacing w:after="0" w:line="240" w:lineRule="auto"/>
        <w:ind w:firstLine="284"/>
        <w:jc w:val="both"/>
        <w:rPr>
          <w:rFonts w:ascii="Garamond" w:hAnsi="Garamond"/>
          <w:sz w:val="24"/>
          <w:szCs w:val="24"/>
        </w:rPr>
      </w:pPr>
      <w:r w:rsidRPr="00445472">
        <w:rPr>
          <w:rFonts w:ascii="Garamond" w:hAnsi="Garamond"/>
          <w:sz w:val="24"/>
          <w:szCs w:val="24"/>
        </w:rPr>
        <w:t xml:space="preserve">Ky vendim hyn në fuqi </w:t>
      </w:r>
      <w:r w:rsidR="00F450C7" w:rsidRPr="00445472">
        <w:rPr>
          <w:rFonts w:ascii="Garamond" w:hAnsi="Garamond"/>
          <w:sz w:val="24"/>
          <w:szCs w:val="24"/>
        </w:rPr>
        <w:t>pas botimit në Fletoren Zyrtare</w:t>
      </w:r>
      <w:r w:rsidR="005C0DE6" w:rsidRPr="00445472">
        <w:rPr>
          <w:rFonts w:ascii="Garamond" w:hAnsi="Garamond"/>
          <w:sz w:val="24"/>
          <w:szCs w:val="24"/>
        </w:rPr>
        <w:t>.</w:t>
      </w:r>
    </w:p>
    <w:p w14:paraId="7780B429" w14:textId="77777777" w:rsidR="00F450C7" w:rsidRPr="00445472" w:rsidRDefault="00F450C7" w:rsidP="00F450C7">
      <w:pPr>
        <w:spacing w:after="0" w:line="240" w:lineRule="auto"/>
        <w:ind w:firstLine="284"/>
        <w:jc w:val="both"/>
        <w:rPr>
          <w:rFonts w:ascii="Garamond" w:hAnsi="Garamond"/>
          <w:sz w:val="24"/>
          <w:szCs w:val="24"/>
        </w:rPr>
      </w:pPr>
    </w:p>
    <w:p w14:paraId="1B47E05F" w14:textId="2D796DB6" w:rsidR="0019263C" w:rsidRPr="00445472" w:rsidRDefault="0019263C" w:rsidP="00F450C7">
      <w:pPr>
        <w:spacing w:after="0" w:line="240" w:lineRule="auto"/>
        <w:ind w:firstLine="284"/>
        <w:jc w:val="right"/>
        <w:rPr>
          <w:rFonts w:ascii="Garamond" w:hAnsi="Garamond"/>
          <w:sz w:val="24"/>
          <w:szCs w:val="24"/>
        </w:rPr>
      </w:pPr>
      <w:r w:rsidRPr="00445472">
        <w:rPr>
          <w:rFonts w:ascii="Garamond" w:hAnsi="Garamond"/>
          <w:sz w:val="24"/>
          <w:szCs w:val="24"/>
        </w:rPr>
        <w:t>ZËVENDËSKRYEMINIST</w:t>
      </w:r>
      <w:r w:rsidR="00D77A64" w:rsidRPr="00445472">
        <w:rPr>
          <w:rFonts w:ascii="Garamond" w:hAnsi="Garamond"/>
          <w:sz w:val="24"/>
          <w:szCs w:val="24"/>
        </w:rPr>
        <w:t>Ë</w:t>
      </w:r>
      <w:r w:rsidRPr="00445472">
        <w:rPr>
          <w:rFonts w:ascii="Garamond" w:hAnsi="Garamond"/>
          <w:sz w:val="24"/>
          <w:szCs w:val="24"/>
        </w:rPr>
        <w:t>R</w:t>
      </w:r>
    </w:p>
    <w:p w14:paraId="1B47E060" w14:textId="7A87FFF0" w:rsidR="0019263C" w:rsidRPr="00445472" w:rsidRDefault="00F450C7" w:rsidP="00F450C7">
      <w:pPr>
        <w:spacing w:after="0" w:line="240" w:lineRule="auto"/>
        <w:ind w:firstLine="284"/>
        <w:jc w:val="right"/>
        <w:rPr>
          <w:rFonts w:ascii="Garamond" w:hAnsi="Garamond"/>
          <w:b/>
          <w:sz w:val="24"/>
          <w:szCs w:val="24"/>
        </w:rPr>
      </w:pPr>
      <w:r w:rsidRPr="00445472">
        <w:rPr>
          <w:rFonts w:ascii="Garamond" w:hAnsi="Garamond"/>
          <w:b/>
          <w:sz w:val="24"/>
          <w:szCs w:val="24"/>
        </w:rPr>
        <w:t>Erion Braçe</w:t>
      </w:r>
    </w:p>
    <w:p w14:paraId="25E2E511" w14:textId="2F65E2F5" w:rsidR="00AC4EA0" w:rsidRPr="001D5A76" w:rsidRDefault="001D5A76" w:rsidP="00AC4EA0">
      <w:pPr>
        <w:pStyle w:val="TEKSTIIII"/>
        <w:rPr>
          <w:b/>
        </w:rPr>
      </w:pPr>
      <w:r w:rsidRPr="001D5A76">
        <w:rPr>
          <w:b/>
        </w:rPr>
        <w:t>Projekti i Burimeve Ujore dhe i Ujitjes</w:t>
      </w:r>
    </w:p>
    <w:p w14:paraId="72C0A346" w14:textId="40DFBE72" w:rsidR="001D5A76" w:rsidRDefault="001D5A76" w:rsidP="00AC4EA0">
      <w:pPr>
        <w:pStyle w:val="TEKSTIIII"/>
        <w:rPr>
          <w:b/>
        </w:rPr>
      </w:pPr>
      <w:r w:rsidRPr="001D5A76">
        <w:rPr>
          <w:b/>
        </w:rPr>
        <w:t>Përgatitja e planeve të menaxhimit të baseneve ujore Drin–Bunë dhe Seman</w:t>
      </w:r>
    </w:p>
    <w:p w14:paraId="1578730D" w14:textId="0A5B98AD" w:rsidR="001D5A76" w:rsidRDefault="001D5A76" w:rsidP="00AC4EA0">
      <w:pPr>
        <w:pStyle w:val="TEKSTIIII"/>
        <w:rPr>
          <w:b/>
        </w:rPr>
      </w:pPr>
      <w:r>
        <w:rPr>
          <w:b/>
        </w:rPr>
        <w:t>Numri i Kontratës: MEFW</w:t>
      </w:r>
      <w:r w:rsidR="00161ED2">
        <w:rPr>
          <w:b/>
        </w:rPr>
        <w:t>A</w:t>
      </w:r>
      <w:r>
        <w:rPr>
          <w:b/>
        </w:rPr>
        <w:t>/CS/001</w:t>
      </w:r>
    </w:p>
    <w:p w14:paraId="325BA580" w14:textId="77777777" w:rsidR="001D5A76" w:rsidRPr="001D5A76" w:rsidRDefault="001D5A76" w:rsidP="00AC4EA0">
      <w:pPr>
        <w:pStyle w:val="TEKSTIIII"/>
        <w:rPr>
          <w:b/>
        </w:rPr>
      </w:pPr>
    </w:p>
    <w:p w14:paraId="17406F7A" w14:textId="77777777" w:rsidR="00512BEF" w:rsidRPr="00445472" w:rsidRDefault="00512BEF" w:rsidP="00512BEF">
      <w:pPr>
        <w:pStyle w:val="TEKSTIIII"/>
        <w:jc w:val="center"/>
        <w:rPr>
          <w:b/>
        </w:rPr>
      </w:pPr>
      <w:r w:rsidRPr="00445472">
        <w:rPr>
          <w:b/>
        </w:rPr>
        <w:t xml:space="preserve">PLANI PËRFUNDIMTAR </w:t>
      </w:r>
    </w:p>
    <w:p w14:paraId="7458132D" w14:textId="7154A284" w:rsidR="00512BEF" w:rsidRPr="00445472" w:rsidRDefault="00512BEF" w:rsidP="00512BEF">
      <w:pPr>
        <w:pStyle w:val="TEKSTIIII"/>
        <w:jc w:val="center"/>
        <w:rPr>
          <w:b/>
        </w:rPr>
      </w:pPr>
      <w:r w:rsidRPr="00445472">
        <w:rPr>
          <w:b/>
        </w:rPr>
        <w:t>I MENAXHIMIT PËR BASENIN UJOR DRIN</w:t>
      </w:r>
      <w:r w:rsidR="007E76E3" w:rsidRPr="00445472">
        <w:rPr>
          <w:b/>
        </w:rPr>
        <w:t>–</w:t>
      </w:r>
      <w:r w:rsidRPr="00445472">
        <w:rPr>
          <w:b/>
        </w:rPr>
        <w:t>BUNË</w:t>
      </w:r>
    </w:p>
    <w:p w14:paraId="42A36C8D" w14:textId="294E238E" w:rsidR="00512BEF" w:rsidRPr="00445472" w:rsidRDefault="007E76E3" w:rsidP="00512BEF">
      <w:pPr>
        <w:pStyle w:val="TEKSTIIII"/>
        <w:jc w:val="center"/>
        <w:rPr>
          <w:b/>
        </w:rPr>
      </w:pPr>
      <w:r w:rsidRPr="00445472">
        <w:rPr>
          <w:b/>
        </w:rPr>
        <w:t>QERSHOR</w:t>
      </w:r>
      <w:r w:rsidR="00512BEF" w:rsidRPr="00445472">
        <w:rPr>
          <w:b/>
        </w:rPr>
        <w:t>, 2019</w:t>
      </w:r>
    </w:p>
    <w:p w14:paraId="3562C1E7" w14:textId="77777777" w:rsidR="00CF3213" w:rsidRPr="00445472" w:rsidRDefault="00CF3213" w:rsidP="00512BEF">
      <w:pPr>
        <w:pStyle w:val="TEKSTIIII"/>
        <w:jc w:val="center"/>
        <w:rPr>
          <w:b/>
        </w:rPr>
      </w:pPr>
    </w:p>
    <w:p w14:paraId="5D557624" w14:textId="6E914E0C" w:rsidR="00CF3213" w:rsidRPr="00445472" w:rsidRDefault="00CF3213" w:rsidP="00CF3213">
      <w:pPr>
        <w:pStyle w:val="TEKSTIIII"/>
      </w:pPr>
      <w:r w:rsidRPr="00445472">
        <w:t>Të dhënat për botimin dhe rishikimin</w:t>
      </w:r>
    </w:p>
    <w:p w14:paraId="694B2949" w14:textId="77777777" w:rsidR="00CF3213" w:rsidRPr="00445472" w:rsidRDefault="00CF3213" w:rsidP="00CF3213">
      <w:pPr>
        <w:pStyle w:val="TEKSTIIII"/>
      </w:pPr>
    </w:p>
    <w:tbl>
      <w:tblPr>
        <w:tblW w:w="5202" w:type="pct"/>
        <w:tblBorders>
          <w:top w:val="single" w:sz="8" w:space="0" w:color="auto"/>
          <w:bottom w:val="single" w:sz="8" w:space="0" w:color="auto"/>
          <w:insideH w:val="single" w:sz="2" w:space="0" w:color="27BDBE"/>
        </w:tblBorders>
        <w:tblLayout w:type="fixed"/>
        <w:tblCellMar>
          <w:left w:w="0" w:type="dxa"/>
          <w:right w:w="0" w:type="dxa"/>
        </w:tblCellMar>
        <w:tblLook w:val="04A0" w:firstRow="1" w:lastRow="0" w:firstColumn="1" w:lastColumn="0" w:noHBand="0" w:noVBand="1"/>
      </w:tblPr>
      <w:tblGrid>
        <w:gridCol w:w="1121"/>
        <w:gridCol w:w="1257"/>
        <w:gridCol w:w="1663"/>
        <w:gridCol w:w="1667"/>
        <w:gridCol w:w="1659"/>
        <w:gridCol w:w="2070"/>
      </w:tblGrid>
      <w:tr w:rsidR="00CF3213" w:rsidRPr="00445472" w14:paraId="3713A968" w14:textId="77777777" w:rsidTr="00D14DD5">
        <w:trPr>
          <w:cantSplit/>
          <w:tblHeader/>
        </w:trPr>
        <w:tc>
          <w:tcPr>
            <w:tcW w:w="594" w:type="pct"/>
            <w:tcBorders>
              <w:top w:val="nil"/>
              <w:left w:val="nil"/>
              <w:bottom w:val="single" w:sz="8" w:space="0" w:color="000000"/>
              <w:right w:val="nil"/>
              <w:tl2br w:val="nil"/>
              <w:tr2bl w:val="nil"/>
            </w:tcBorders>
            <w:shd w:val="clear" w:color="auto" w:fill="auto"/>
          </w:tcPr>
          <w:p w14:paraId="3E7E5D02" w14:textId="77777777" w:rsidR="00CF3213" w:rsidRPr="00445472" w:rsidRDefault="00CF3213" w:rsidP="00CF3213">
            <w:pPr>
              <w:pStyle w:val="TableHeadingLeft"/>
              <w:spacing w:before="22" w:after="0"/>
              <w:ind w:right="63"/>
              <w:rPr>
                <w:rFonts w:ascii="Garamond" w:hAnsi="Garamond"/>
                <w:color w:val="auto"/>
                <w:sz w:val="20"/>
                <w:szCs w:val="20"/>
                <w:lang w:val="sq-AL"/>
              </w:rPr>
            </w:pPr>
            <w:bookmarkStart w:id="0" w:name="BM_TRevision" w:colFirst="0" w:colLast="0"/>
            <w:bookmarkStart w:id="1" w:name="BM_TDate" w:colFirst="1" w:colLast="1"/>
            <w:bookmarkStart w:id="2" w:name="BM_TOrginator" w:colFirst="2" w:colLast="2"/>
            <w:bookmarkStart w:id="3" w:name="BM_TChkOut" w:colFirst="3" w:colLast="3"/>
            <w:bookmarkStart w:id="4" w:name="BM_TApprover" w:colFirst="4" w:colLast="4"/>
            <w:bookmarkStart w:id="5" w:name="BM_TDescriptor" w:colFirst="5" w:colLast="5"/>
            <w:r w:rsidRPr="00445472">
              <w:rPr>
                <w:rFonts w:ascii="Garamond" w:hAnsi="Garamond"/>
                <w:color w:val="auto"/>
                <w:sz w:val="20"/>
                <w:szCs w:val="20"/>
                <w:lang w:val="sq-AL"/>
              </w:rPr>
              <w:t>Rishikimi</w:t>
            </w:r>
          </w:p>
        </w:tc>
        <w:tc>
          <w:tcPr>
            <w:tcW w:w="666" w:type="pct"/>
            <w:tcBorders>
              <w:top w:val="nil"/>
              <w:left w:val="nil"/>
              <w:bottom w:val="single" w:sz="8" w:space="0" w:color="000000"/>
              <w:right w:val="nil"/>
              <w:tl2br w:val="nil"/>
              <w:tr2bl w:val="nil"/>
            </w:tcBorders>
            <w:shd w:val="clear" w:color="auto" w:fill="auto"/>
          </w:tcPr>
          <w:p w14:paraId="10C2DA84" w14:textId="77777777" w:rsidR="00CF3213" w:rsidRPr="00445472" w:rsidRDefault="00CF3213" w:rsidP="00CF3213">
            <w:pPr>
              <w:pStyle w:val="TableHeadingLeft"/>
              <w:spacing w:before="22" w:after="0"/>
              <w:ind w:right="63"/>
              <w:rPr>
                <w:rFonts w:ascii="Garamond" w:hAnsi="Garamond"/>
                <w:color w:val="auto"/>
                <w:sz w:val="20"/>
                <w:szCs w:val="20"/>
                <w:lang w:val="sq-AL"/>
              </w:rPr>
            </w:pPr>
            <w:r w:rsidRPr="00445472">
              <w:rPr>
                <w:rFonts w:ascii="Garamond" w:hAnsi="Garamond"/>
                <w:color w:val="auto"/>
                <w:sz w:val="20"/>
                <w:szCs w:val="20"/>
                <w:lang w:val="sq-AL"/>
              </w:rPr>
              <w:t>Data</w:t>
            </w:r>
          </w:p>
        </w:tc>
        <w:tc>
          <w:tcPr>
            <w:tcW w:w="881" w:type="pct"/>
            <w:tcBorders>
              <w:top w:val="nil"/>
              <w:left w:val="nil"/>
              <w:bottom w:val="single" w:sz="8" w:space="0" w:color="000000"/>
              <w:right w:val="nil"/>
              <w:tl2br w:val="nil"/>
              <w:tr2bl w:val="nil"/>
            </w:tcBorders>
            <w:shd w:val="clear" w:color="auto" w:fill="auto"/>
          </w:tcPr>
          <w:p w14:paraId="1E45A3B1" w14:textId="77777777" w:rsidR="00CF3213" w:rsidRPr="00445472" w:rsidRDefault="00CF3213" w:rsidP="00CF3213">
            <w:pPr>
              <w:pStyle w:val="TableHeadingLeft"/>
              <w:spacing w:before="22" w:after="0"/>
              <w:ind w:right="63"/>
              <w:rPr>
                <w:rFonts w:ascii="Garamond" w:hAnsi="Garamond"/>
                <w:color w:val="auto"/>
                <w:sz w:val="20"/>
                <w:szCs w:val="20"/>
                <w:lang w:val="sq-AL"/>
              </w:rPr>
            </w:pPr>
            <w:r w:rsidRPr="00445472">
              <w:rPr>
                <w:rFonts w:ascii="Garamond" w:hAnsi="Garamond"/>
                <w:color w:val="auto"/>
                <w:sz w:val="20"/>
                <w:szCs w:val="20"/>
                <w:lang w:val="sq-AL"/>
              </w:rPr>
              <w:t>Autor</w:t>
            </w:r>
          </w:p>
        </w:tc>
        <w:tc>
          <w:tcPr>
            <w:tcW w:w="883" w:type="pct"/>
            <w:tcBorders>
              <w:top w:val="nil"/>
              <w:left w:val="nil"/>
              <w:bottom w:val="single" w:sz="8" w:space="0" w:color="000000"/>
              <w:right w:val="nil"/>
              <w:tl2br w:val="nil"/>
              <w:tr2bl w:val="nil"/>
            </w:tcBorders>
            <w:shd w:val="clear" w:color="auto" w:fill="auto"/>
          </w:tcPr>
          <w:p w14:paraId="70A57771" w14:textId="77777777" w:rsidR="00CF3213" w:rsidRPr="00445472" w:rsidRDefault="00CF3213" w:rsidP="00CF3213">
            <w:pPr>
              <w:pStyle w:val="TableHeadingLeft"/>
              <w:spacing w:before="22" w:after="0"/>
              <w:ind w:right="63"/>
              <w:rPr>
                <w:rFonts w:ascii="Garamond" w:hAnsi="Garamond"/>
                <w:color w:val="auto"/>
                <w:sz w:val="20"/>
                <w:szCs w:val="20"/>
                <w:lang w:val="sq-AL"/>
              </w:rPr>
            </w:pPr>
            <w:r w:rsidRPr="00445472">
              <w:rPr>
                <w:rFonts w:ascii="Garamond" w:hAnsi="Garamond"/>
                <w:color w:val="auto"/>
                <w:sz w:val="20"/>
                <w:szCs w:val="20"/>
                <w:lang w:val="sq-AL"/>
              </w:rPr>
              <w:t>Kontrollues</w:t>
            </w:r>
          </w:p>
        </w:tc>
        <w:tc>
          <w:tcPr>
            <w:tcW w:w="879" w:type="pct"/>
            <w:tcBorders>
              <w:top w:val="nil"/>
              <w:left w:val="nil"/>
              <w:bottom w:val="single" w:sz="8" w:space="0" w:color="000000"/>
              <w:right w:val="nil"/>
              <w:tl2br w:val="nil"/>
              <w:tr2bl w:val="nil"/>
            </w:tcBorders>
            <w:shd w:val="clear" w:color="auto" w:fill="auto"/>
          </w:tcPr>
          <w:p w14:paraId="16E42875" w14:textId="77777777" w:rsidR="00CF3213" w:rsidRPr="00445472" w:rsidRDefault="00CF3213" w:rsidP="00CF3213">
            <w:pPr>
              <w:pStyle w:val="TableHeadingLeft"/>
              <w:spacing w:before="22" w:after="0"/>
              <w:ind w:right="63"/>
              <w:rPr>
                <w:rFonts w:ascii="Garamond" w:hAnsi="Garamond"/>
                <w:color w:val="auto"/>
                <w:sz w:val="20"/>
                <w:szCs w:val="20"/>
                <w:lang w:val="sq-AL"/>
              </w:rPr>
            </w:pPr>
            <w:r w:rsidRPr="00445472">
              <w:rPr>
                <w:rFonts w:ascii="Garamond" w:hAnsi="Garamond"/>
                <w:color w:val="auto"/>
                <w:sz w:val="20"/>
                <w:szCs w:val="20"/>
                <w:lang w:val="sq-AL"/>
              </w:rPr>
              <w:t>Miratues</w:t>
            </w:r>
          </w:p>
        </w:tc>
        <w:tc>
          <w:tcPr>
            <w:tcW w:w="1097" w:type="pct"/>
            <w:tcBorders>
              <w:top w:val="nil"/>
              <w:left w:val="nil"/>
              <w:bottom w:val="single" w:sz="8" w:space="0" w:color="000000"/>
              <w:right w:val="nil"/>
              <w:tl2br w:val="nil"/>
              <w:tr2bl w:val="nil"/>
            </w:tcBorders>
            <w:shd w:val="clear" w:color="auto" w:fill="auto"/>
          </w:tcPr>
          <w:p w14:paraId="49F0D477" w14:textId="77777777" w:rsidR="00CF3213" w:rsidRPr="00445472" w:rsidRDefault="00CF3213" w:rsidP="00CF3213">
            <w:pPr>
              <w:pStyle w:val="TableHeadingLeft"/>
              <w:spacing w:before="22" w:after="0"/>
              <w:ind w:right="63"/>
              <w:rPr>
                <w:rFonts w:ascii="Garamond" w:hAnsi="Garamond"/>
                <w:color w:val="auto"/>
                <w:sz w:val="20"/>
                <w:szCs w:val="20"/>
                <w:lang w:val="sq-AL"/>
              </w:rPr>
            </w:pPr>
            <w:r w:rsidRPr="00445472">
              <w:rPr>
                <w:rFonts w:ascii="Garamond" w:hAnsi="Garamond"/>
                <w:color w:val="auto"/>
                <w:sz w:val="20"/>
                <w:szCs w:val="20"/>
                <w:lang w:val="sq-AL"/>
              </w:rPr>
              <w:t>Përshkrimi</w:t>
            </w:r>
          </w:p>
        </w:tc>
      </w:tr>
      <w:bookmarkEnd w:id="0"/>
      <w:bookmarkEnd w:id="1"/>
      <w:bookmarkEnd w:id="2"/>
      <w:bookmarkEnd w:id="3"/>
      <w:bookmarkEnd w:id="4"/>
      <w:bookmarkEnd w:id="5"/>
      <w:tr w:rsidR="00A977E4" w:rsidRPr="00445472" w14:paraId="495B453C" w14:textId="77777777" w:rsidTr="00D14DD5">
        <w:tc>
          <w:tcPr>
            <w:tcW w:w="594" w:type="pct"/>
            <w:tcBorders>
              <w:top w:val="single" w:sz="8" w:space="0" w:color="000000"/>
              <w:bottom w:val="single" w:sz="2" w:space="0" w:color="27BCBD"/>
            </w:tcBorders>
            <w:shd w:val="clear" w:color="auto" w:fill="DFDFDF"/>
          </w:tcPr>
          <w:p w14:paraId="0856BBE6" w14:textId="77777777" w:rsidR="00CF3213" w:rsidRPr="00445472" w:rsidRDefault="00CF3213" w:rsidP="00CF3213">
            <w:pPr>
              <w:pStyle w:val="TABELA"/>
              <w:rPr>
                <w:lang w:val="sq-AL"/>
              </w:rPr>
            </w:pPr>
            <w:r w:rsidRPr="00445472">
              <w:rPr>
                <w:lang w:val="sq-AL"/>
              </w:rPr>
              <w:t>A</w:t>
            </w:r>
          </w:p>
        </w:tc>
        <w:tc>
          <w:tcPr>
            <w:tcW w:w="666" w:type="pct"/>
            <w:tcBorders>
              <w:top w:val="single" w:sz="8" w:space="0" w:color="000000"/>
              <w:bottom w:val="single" w:sz="2" w:space="0" w:color="27BCBD"/>
            </w:tcBorders>
            <w:shd w:val="clear" w:color="auto" w:fill="DFDFDF"/>
          </w:tcPr>
          <w:p w14:paraId="0273141D" w14:textId="68BCA1A0" w:rsidR="00CF3213" w:rsidRPr="00445472" w:rsidRDefault="007E76E3" w:rsidP="00CF3213">
            <w:pPr>
              <w:pStyle w:val="TABELA"/>
              <w:rPr>
                <w:lang w:val="sq-AL"/>
              </w:rPr>
            </w:pPr>
            <w:r w:rsidRPr="00445472">
              <w:rPr>
                <w:lang w:val="sq-AL"/>
              </w:rPr>
              <w:t>29.</w:t>
            </w:r>
            <w:r w:rsidR="00CF3213" w:rsidRPr="00445472">
              <w:rPr>
                <w:lang w:val="sq-AL"/>
              </w:rPr>
              <w:t>9.2017</w:t>
            </w:r>
          </w:p>
        </w:tc>
        <w:tc>
          <w:tcPr>
            <w:tcW w:w="881" w:type="pct"/>
            <w:tcBorders>
              <w:top w:val="single" w:sz="8" w:space="0" w:color="000000"/>
              <w:bottom w:val="single" w:sz="2" w:space="0" w:color="27BCBD"/>
            </w:tcBorders>
            <w:shd w:val="clear" w:color="auto" w:fill="DFDFDF"/>
          </w:tcPr>
          <w:p w14:paraId="13D760CC" w14:textId="77777777" w:rsidR="00CF3213" w:rsidRPr="00445472" w:rsidRDefault="00CF3213" w:rsidP="00CF3213">
            <w:pPr>
              <w:pStyle w:val="TABELA"/>
              <w:rPr>
                <w:lang w:val="sq-AL"/>
              </w:rPr>
            </w:pPr>
            <w:r w:rsidRPr="00445472">
              <w:rPr>
                <w:lang w:val="sq-AL"/>
              </w:rPr>
              <w:t>Patrick Reynolds   Halit Kamberi</w:t>
            </w:r>
          </w:p>
        </w:tc>
        <w:tc>
          <w:tcPr>
            <w:tcW w:w="883" w:type="pct"/>
            <w:tcBorders>
              <w:top w:val="single" w:sz="8" w:space="0" w:color="000000"/>
              <w:bottom w:val="single" w:sz="2" w:space="0" w:color="27BCBD"/>
            </w:tcBorders>
            <w:shd w:val="clear" w:color="auto" w:fill="DFDFDF"/>
          </w:tcPr>
          <w:p w14:paraId="48A937CB" w14:textId="77777777" w:rsidR="00CF3213" w:rsidRPr="00445472" w:rsidRDefault="00CF3213" w:rsidP="00CF3213">
            <w:pPr>
              <w:pStyle w:val="TABELA"/>
              <w:rPr>
                <w:lang w:val="sq-AL"/>
              </w:rPr>
            </w:pPr>
            <w:r w:rsidRPr="00445472">
              <w:rPr>
                <w:lang w:val="sq-AL"/>
              </w:rPr>
              <w:t>Monica Melinte</w:t>
            </w:r>
          </w:p>
        </w:tc>
        <w:tc>
          <w:tcPr>
            <w:tcW w:w="879" w:type="pct"/>
            <w:tcBorders>
              <w:top w:val="single" w:sz="8" w:space="0" w:color="000000"/>
              <w:bottom w:val="single" w:sz="2" w:space="0" w:color="27BCBD"/>
            </w:tcBorders>
            <w:shd w:val="clear" w:color="auto" w:fill="DFDFDF"/>
          </w:tcPr>
          <w:p w14:paraId="1ECE54BE" w14:textId="77777777" w:rsidR="00CF3213" w:rsidRPr="00445472" w:rsidRDefault="00CF3213" w:rsidP="00CF3213">
            <w:pPr>
              <w:pStyle w:val="TABELA"/>
              <w:rPr>
                <w:lang w:val="sq-AL"/>
              </w:rPr>
            </w:pPr>
            <w:r w:rsidRPr="00445472">
              <w:rPr>
                <w:lang w:val="sq-AL"/>
              </w:rPr>
              <w:t>Wim Verheugt</w:t>
            </w:r>
          </w:p>
        </w:tc>
        <w:tc>
          <w:tcPr>
            <w:tcW w:w="1097" w:type="pct"/>
            <w:tcBorders>
              <w:top w:val="single" w:sz="8" w:space="0" w:color="000000"/>
              <w:bottom w:val="single" w:sz="2" w:space="0" w:color="27BCBD"/>
            </w:tcBorders>
            <w:shd w:val="clear" w:color="auto" w:fill="DFDFDF"/>
          </w:tcPr>
          <w:p w14:paraId="6C95C95F" w14:textId="1C437D3C" w:rsidR="00CF3213" w:rsidRPr="00445472" w:rsidRDefault="00CF3213" w:rsidP="00CF3213">
            <w:pPr>
              <w:pStyle w:val="TABELA"/>
              <w:rPr>
                <w:lang w:val="sq-AL"/>
              </w:rPr>
            </w:pPr>
            <w:r w:rsidRPr="00445472">
              <w:rPr>
                <w:lang w:val="sq-AL"/>
              </w:rPr>
              <w:t xml:space="preserve">Lëshuar për </w:t>
            </w:r>
            <w:r w:rsidR="0085472E" w:rsidRPr="00445472">
              <w:rPr>
                <w:lang w:val="sq-AL"/>
              </w:rPr>
              <w:t>klientin</w:t>
            </w:r>
          </w:p>
        </w:tc>
      </w:tr>
      <w:tr w:rsidR="00A977E4" w:rsidRPr="00445472" w14:paraId="703E4A1C" w14:textId="77777777" w:rsidTr="00D14DD5">
        <w:tc>
          <w:tcPr>
            <w:tcW w:w="594" w:type="pct"/>
            <w:shd w:val="clear" w:color="auto" w:fill="auto"/>
          </w:tcPr>
          <w:p w14:paraId="4D7BF539" w14:textId="77777777" w:rsidR="00CF3213" w:rsidRPr="00445472" w:rsidRDefault="00CF3213" w:rsidP="00CF3213">
            <w:pPr>
              <w:pStyle w:val="TABELA"/>
              <w:rPr>
                <w:lang w:val="sq-AL"/>
              </w:rPr>
            </w:pPr>
            <w:r w:rsidRPr="00445472">
              <w:rPr>
                <w:lang w:val="sq-AL"/>
              </w:rPr>
              <w:t>B</w:t>
            </w:r>
          </w:p>
        </w:tc>
        <w:tc>
          <w:tcPr>
            <w:tcW w:w="666" w:type="pct"/>
            <w:shd w:val="clear" w:color="auto" w:fill="auto"/>
          </w:tcPr>
          <w:p w14:paraId="277B7129" w14:textId="77777777" w:rsidR="00CF3213" w:rsidRPr="00445472" w:rsidRDefault="00CF3213" w:rsidP="00CF3213">
            <w:pPr>
              <w:pStyle w:val="TABELA"/>
              <w:rPr>
                <w:lang w:val="sq-AL"/>
              </w:rPr>
            </w:pPr>
            <w:r w:rsidRPr="00445472">
              <w:rPr>
                <w:lang w:val="sq-AL"/>
              </w:rPr>
              <w:t>22.12.2017</w:t>
            </w:r>
          </w:p>
        </w:tc>
        <w:tc>
          <w:tcPr>
            <w:tcW w:w="881" w:type="pct"/>
            <w:shd w:val="clear" w:color="auto" w:fill="auto"/>
          </w:tcPr>
          <w:p w14:paraId="45B1097C" w14:textId="77777777" w:rsidR="00CF3213" w:rsidRPr="00445472" w:rsidRDefault="00CF3213" w:rsidP="00CF3213">
            <w:pPr>
              <w:pStyle w:val="TABELA"/>
              <w:rPr>
                <w:lang w:val="sq-AL"/>
              </w:rPr>
            </w:pPr>
            <w:r w:rsidRPr="00445472">
              <w:rPr>
                <w:lang w:val="sq-AL"/>
              </w:rPr>
              <w:t>Patrick Reynolds   Halit Kamberi</w:t>
            </w:r>
          </w:p>
        </w:tc>
        <w:tc>
          <w:tcPr>
            <w:tcW w:w="883" w:type="pct"/>
            <w:shd w:val="clear" w:color="auto" w:fill="auto"/>
          </w:tcPr>
          <w:p w14:paraId="33C5C0D9" w14:textId="77777777" w:rsidR="00CF3213" w:rsidRPr="00445472" w:rsidRDefault="00CF3213" w:rsidP="00CF3213">
            <w:pPr>
              <w:pStyle w:val="TABELA"/>
              <w:rPr>
                <w:lang w:val="sq-AL"/>
              </w:rPr>
            </w:pPr>
            <w:r w:rsidRPr="00445472">
              <w:rPr>
                <w:lang w:val="sq-AL"/>
              </w:rPr>
              <w:t>Monica Melinte</w:t>
            </w:r>
          </w:p>
        </w:tc>
        <w:tc>
          <w:tcPr>
            <w:tcW w:w="879" w:type="pct"/>
            <w:shd w:val="clear" w:color="auto" w:fill="auto"/>
          </w:tcPr>
          <w:p w14:paraId="448426C3" w14:textId="77777777" w:rsidR="00CF3213" w:rsidRPr="00445472" w:rsidRDefault="00CF3213" w:rsidP="00CF3213">
            <w:pPr>
              <w:pStyle w:val="TABELA"/>
              <w:rPr>
                <w:lang w:val="sq-AL"/>
              </w:rPr>
            </w:pPr>
            <w:r w:rsidRPr="00445472">
              <w:rPr>
                <w:lang w:val="sq-AL"/>
              </w:rPr>
              <w:t>Wim Verheugt</w:t>
            </w:r>
          </w:p>
        </w:tc>
        <w:tc>
          <w:tcPr>
            <w:tcW w:w="1097" w:type="pct"/>
            <w:shd w:val="clear" w:color="auto" w:fill="auto"/>
          </w:tcPr>
          <w:p w14:paraId="1CCFF031" w14:textId="4D382AFD" w:rsidR="00CF3213" w:rsidRPr="00445472" w:rsidRDefault="00CF3213" w:rsidP="00CF3213">
            <w:pPr>
              <w:pStyle w:val="TABELA"/>
              <w:rPr>
                <w:lang w:val="sq-AL"/>
              </w:rPr>
            </w:pPr>
            <w:r w:rsidRPr="00445472">
              <w:rPr>
                <w:lang w:val="sq-AL"/>
              </w:rPr>
              <w:t xml:space="preserve">Lëshuar për </w:t>
            </w:r>
            <w:r w:rsidR="0085472E" w:rsidRPr="00445472">
              <w:rPr>
                <w:lang w:val="sq-AL"/>
              </w:rPr>
              <w:t>klientin</w:t>
            </w:r>
          </w:p>
        </w:tc>
      </w:tr>
      <w:tr w:rsidR="00A977E4" w:rsidRPr="00445472" w14:paraId="53F5B201" w14:textId="77777777" w:rsidTr="00D14DD5">
        <w:tc>
          <w:tcPr>
            <w:tcW w:w="594" w:type="pct"/>
            <w:shd w:val="clear" w:color="auto" w:fill="DFDFDF"/>
          </w:tcPr>
          <w:p w14:paraId="20AE0ADC" w14:textId="77777777" w:rsidR="00CF3213" w:rsidRPr="00445472" w:rsidRDefault="00CF3213" w:rsidP="00CF3213">
            <w:pPr>
              <w:pStyle w:val="TABELA"/>
              <w:rPr>
                <w:lang w:val="sq-AL"/>
              </w:rPr>
            </w:pPr>
            <w:r w:rsidRPr="00445472">
              <w:rPr>
                <w:lang w:val="sq-AL"/>
              </w:rPr>
              <w:t>C</w:t>
            </w:r>
          </w:p>
        </w:tc>
        <w:tc>
          <w:tcPr>
            <w:tcW w:w="666" w:type="pct"/>
            <w:shd w:val="clear" w:color="auto" w:fill="DFDFDF"/>
          </w:tcPr>
          <w:p w14:paraId="4FE368F8" w14:textId="5835CC80" w:rsidR="00CF3213" w:rsidRPr="00445472" w:rsidRDefault="007E76E3" w:rsidP="00CF3213">
            <w:pPr>
              <w:pStyle w:val="TABELA"/>
              <w:rPr>
                <w:lang w:val="sq-AL"/>
              </w:rPr>
            </w:pPr>
            <w:r w:rsidRPr="00445472">
              <w:rPr>
                <w:lang w:val="sq-AL"/>
              </w:rPr>
              <w:t>21.</w:t>
            </w:r>
            <w:r w:rsidR="00CF3213" w:rsidRPr="00445472">
              <w:rPr>
                <w:lang w:val="sq-AL"/>
              </w:rPr>
              <w:t>3.2018</w:t>
            </w:r>
          </w:p>
        </w:tc>
        <w:tc>
          <w:tcPr>
            <w:tcW w:w="881" w:type="pct"/>
            <w:shd w:val="clear" w:color="auto" w:fill="DFDFDF"/>
          </w:tcPr>
          <w:p w14:paraId="623EE422" w14:textId="77777777" w:rsidR="00CF3213" w:rsidRPr="00445472" w:rsidRDefault="00CF3213" w:rsidP="00CF3213">
            <w:pPr>
              <w:pStyle w:val="TABELA"/>
              <w:rPr>
                <w:lang w:val="sq-AL"/>
              </w:rPr>
            </w:pPr>
            <w:r w:rsidRPr="00445472">
              <w:rPr>
                <w:lang w:val="sq-AL"/>
              </w:rPr>
              <w:t>Patrick Reynolds    Halit Kamberi</w:t>
            </w:r>
          </w:p>
        </w:tc>
        <w:tc>
          <w:tcPr>
            <w:tcW w:w="883" w:type="pct"/>
            <w:shd w:val="clear" w:color="auto" w:fill="DFDFDF"/>
          </w:tcPr>
          <w:p w14:paraId="21C2D7BA" w14:textId="77777777" w:rsidR="00CF3213" w:rsidRPr="00445472" w:rsidRDefault="00CF3213" w:rsidP="00CF3213">
            <w:pPr>
              <w:pStyle w:val="TABELA"/>
              <w:rPr>
                <w:lang w:val="sq-AL"/>
              </w:rPr>
            </w:pPr>
            <w:r w:rsidRPr="00445472">
              <w:rPr>
                <w:lang w:val="sq-AL"/>
              </w:rPr>
              <w:t>Monica Melinte</w:t>
            </w:r>
          </w:p>
        </w:tc>
        <w:tc>
          <w:tcPr>
            <w:tcW w:w="879" w:type="pct"/>
            <w:shd w:val="clear" w:color="auto" w:fill="DFDFDF"/>
          </w:tcPr>
          <w:p w14:paraId="4ADAB936" w14:textId="77777777" w:rsidR="00CF3213" w:rsidRPr="00445472" w:rsidRDefault="00CF3213" w:rsidP="00CF3213">
            <w:pPr>
              <w:pStyle w:val="TABELA"/>
              <w:rPr>
                <w:lang w:val="sq-AL"/>
              </w:rPr>
            </w:pPr>
            <w:r w:rsidRPr="00445472">
              <w:rPr>
                <w:lang w:val="sq-AL"/>
              </w:rPr>
              <w:t>Wim Verheugt</w:t>
            </w:r>
          </w:p>
        </w:tc>
        <w:tc>
          <w:tcPr>
            <w:tcW w:w="1097" w:type="pct"/>
            <w:shd w:val="clear" w:color="auto" w:fill="DFDFDF"/>
          </w:tcPr>
          <w:p w14:paraId="440020C3" w14:textId="77099454" w:rsidR="00CF3213" w:rsidRPr="00445472" w:rsidRDefault="00CF3213" w:rsidP="00CF3213">
            <w:pPr>
              <w:pStyle w:val="TABELA"/>
              <w:rPr>
                <w:lang w:val="sq-AL"/>
              </w:rPr>
            </w:pPr>
            <w:r w:rsidRPr="00445472">
              <w:rPr>
                <w:lang w:val="sq-AL"/>
              </w:rPr>
              <w:t xml:space="preserve">Lëshuar për </w:t>
            </w:r>
            <w:r w:rsidR="0085472E" w:rsidRPr="00445472">
              <w:rPr>
                <w:lang w:val="sq-AL"/>
              </w:rPr>
              <w:t>klientin</w:t>
            </w:r>
          </w:p>
        </w:tc>
      </w:tr>
      <w:tr w:rsidR="00A977E4" w:rsidRPr="00445472" w14:paraId="662DB70A" w14:textId="77777777" w:rsidTr="00D14DD5">
        <w:tc>
          <w:tcPr>
            <w:tcW w:w="594" w:type="pct"/>
            <w:shd w:val="clear" w:color="auto" w:fill="auto"/>
          </w:tcPr>
          <w:p w14:paraId="13BAB00D" w14:textId="6648BF85" w:rsidR="00CF3213" w:rsidRPr="00445472" w:rsidRDefault="00CF3213" w:rsidP="00CF3213">
            <w:pPr>
              <w:pStyle w:val="TABELA"/>
              <w:rPr>
                <w:lang w:val="sq-AL"/>
              </w:rPr>
            </w:pPr>
            <w:r w:rsidRPr="00445472">
              <w:rPr>
                <w:lang w:val="sq-AL"/>
              </w:rPr>
              <w:t xml:space="preserve">Rishikimi </w:t>
            </w:r>
            <w:r w:rsidR="007E76E3" w:rsidRPr="00445472">
              <w:rPr>
                <w:lang w:val="sq-AL"/>
              </w:rPr>
              <w:t>final</w:t>
            </w:r>
          </w:p>
        </w:tc>
        <w:tc>
          <w:tcPr>
            <w:tcW w:w="666" w:type="pct"/>
            <w:shd w:val="clear" w:color="auto" w:fill="auto"/>
          </w:tcPr>
          <w:p w14:paraId="7C009479" w14:textId="571F5AA9" w:rsidR="00CF3213" w:rsidRPr="00445472" w:rsidRDefault="007E76E3" w:rsidP="00CF3213">
            <w:pPr>
              <w:pStyle w:val="TABELA"/>
              <w:rPr>
                <w:lang w:val="sq-AL"/>
              </w:rPr>
            </w:pPr>
            <w:r w:rsidRPr="00445472">
              <w:rPr>
                <w:lang w:val="sq-AL"/>
              </w:rPr>
              <w:t xml:space="preserve"> </w:t>
            </w:r>
            <w:r w:rsidR="00CF3213" w:rsidRPr="00445472">
              <w:rPr>
                <w:lang w:val="sq-AL"/>
              </w:rPr>
              <w:t>5.12.2018</w:t>
            </w:r>
          </w:p>
        </w:tc>
        <w:tc>
          <w:tcPr>
            <w:tcW w:w="881" w:type="pct"/>
            <w:shd w:val="clear" w:color="auto" w:fill="auto"/>
          </w:tcPr>
          <w:p w14:paraId="3D4CD72D" w14:textId="77777777" w:rsidR="00CF3213" w:rsidRPr="00445472" w:rsidRDefault="00CF3213" w:rsidP="00CF3213">
            <w:pPr>
              <w:pStyle w:val="TABELA"/>
              <w:rPr>
                <w:lang w:val="sq-AL"/>
              </w:rPr>
            </w:pPr>
            <w:r w:rsidRPr="00445472">
              <w:rPr>
                <w:lang w:val="sq-AL"/>
              </w:rPr>
              <w:t>Patrick Reynolds    Halit Kamberi</w:t>
            </w:r>
          </w:p>
        </w:tc>
        <w:tc>
          <w:tcPr>
            <w:tcW w:w="883" w:type="pct"/>
            <w:shd w:val="clear" w:color="auto" w:fill="auto"/>
          </w:tcPr>
          <w:p w14:paraId="47E79E82" w14:textId="77777777" w:rsidR="00CF3213" w:rsidRPr="00445472" w:rsidRDefault="00CF3213" w:rsidP="00CF3213">
            <w:pPr>
              <w:pStyle w:val="TABELA"/>
              <w:rPr>
                <w:lang w:val="sq-AL"/>
              </w:rPr>
            </w:pPr>
            <w:r w:rsidRPr="00445472">
              <w:rPr>
                <w:lang w:val="sq-AL"/>
              </w:rPr>
              <w:t>Monica Melinte</w:t>
            </w:r>
          </w:p>
          <w:p w14:paraId="1BB8ADCE" w14:textId="77777777" w:rsidR="00CF3213" w:rsidRPr="00445472" w:rsidRDefault="00CF3213" w:rsidP="00CF3213">
            <w:pPr>
              <w:pStyle w:val="TABELA"/>
              <w:rPr>
                <w:lang w:val="sq-AL"/>
              </w:rPr>
            </w:pPr>
            <w:r w:rsidRPr="00445472">
              <w:rPr>
                <w:lang w:val="sq-AL"/>
              </w:rPr>
              <w:t>Emiljano Zhuleku</w:t>
            </w:r>
          </w:p>
        </w:tc>
        <w:tc>
          <w:tcPr>
            <w:tcW w:w="879" w:type="pct"/>
            <w:shd w:val="clear" w:color="auto" w:fill="auto"/>
          </w:tcPr>
          <w:p w14:paraId="16F083BE" w14:textId="77777777" w:rsidR="00CF3213" w:rsidRPr="00445472" w:rsidRDefault="00CF3213" w:rsidP="00CF3213">
            <w:pPr>
              <w:pStyle w:val="TABELA"/>
              <w:rPr>
                <w:lang w:val="sq-AL"/>
              </w:rPr>
            </w:pPr>
            <w:r w:rsidRPr="00445472">
              <w:rPr>
                <w:lang w:val="sq-AL"/>
              </w:rPr>
              <w:t>Wim Verheugt</w:t>
            </w:r>
          </w:p>
        </w:tc>
        <w:tc>
          <w:tcPr>
            <w:tcW w:w="1097" w:type="pct"/>
            <w:shd w:val="clear" w:color="auto" w:fill="auto"/>
          </w:tcPr>
          <w:p w14:paraId="23FAC393" w14:textId="1F8C54FF" w:rsidR="00CF3213" w:rsidRPr="00445472" w:rsidRDefault="00CF3213" w:rsidP="00CF3213">
            <w:pPr>
              <w:pStyle w:val="TABELA"/>
              <w:rPr>
                <w:lang w:val="sq-AL"/>
              </w:rPr>
            </w:pPr>
            <w:r w:rsidRPr="00445472">
              <w:rPr>
                <w:lang w:val="sq-AL"/>
              </w:rPr>
              <w:t xml:space="preserve">Lëshuar për </w:t>
            </w:r>
            <w:r w:rsidR="0085472E" w:rsidRPr="00445472">
              <w:rPr>
                <w:lang w:val="sq-AL"/>
              </w:rPr>
              <w:t>klientin</w:t>
            </w:r>
          </w:p>
        </w:tc>
      </w:tr>
      <w:tr w:rsidR="00CF3213" w:rsidRPr="00445472" w14:paraId="2F2B26C5" w14:textId="77777777" w:rsidTr="00D14DD5">
        <w:tc>
          <w:tcPr>
            <w:tcW w:w="594" w:type="pct"/>
            <w:shd w:val="clear" w:color="auto" w:fill="DFDFDF"/>
          </w:tcPr>
          <w:p w14:paraId="02D3F645" w14:textId="77777777" w:rsidR="00CF3213" w:rsidRPr="00445472" w:rsidRDefault="00CF3213" w:rsidP="00CF3213">
            <w:pPr>
              <w:pStyle w:val="TABELA"/>
              <w:rPr>
                <w:lang w:val="sq-AL"/>
              </w:rPr>
            </w:pPr>
            <w:r w:rsidRPr="00445472">
              <w:rPr>
                <w:lang w:val="sq-AL"/>
              </w:rPr>
              <w:t>Final</w:t>
            </w:r>
          </w:p>
        </w:tc>
        <w:tc>
          <w:tcPr>
            <w:tcW w:w="666" w:type="pct"/>
            <w:shd w:val="clear" w:color="auto" w:fill="DFDFDF"/>
          </w:tcPr>
          <w:p w14:paraId="189B5D4E" w14:textId="52DCFE0C" w:rsidR="00CF3213" w:rsidRPr="00445472" w:rsidRDefault="007E76E3" w:rsidP="00CF3213">
            <w:pPr>
              <w:pStyle w:val="TABELA"/>
              <w:rPr>
                <w:lang w:val="sq-AL"/>
              </w:rPr>
            </w:pPr>
            <w:r w:rsidRPr="00445472">
              <w:rPr>
                <w:lang w:val="sq-AL"/>
              </w:rPr>
              <w:t>7.</w:t>
            </w:r>
            <w:r w:rsidR="00CF3213" w:rsidRPr="00445472">
              <w:rPr>
                <w:lang w:val="sq-AL"/>
              </w:rPr>
              <w:t>6.2019</w:t>
            </w:r>
          </w:p>
        </w:tc>
        <w:tc>
          <w:tcPr>
            <w:tcW w:w="881" w:type="pct"/>
            <w:shd w:val="clear" w:color="auto" w:fill="DFDFDF"/>
          </w:tcPr>
          <w:p w14:paraId="1B574192" w14:textId="77777777" w:rsidR="00CF3213" w:rsidRPr="00445472" w:rsidRDefault="00CF3213" w:rsidP="00CF3213">
            <w:pPr>
              <w:pStyle w:val="TABELA"/>
              <w:rPr>
                <w:lang w:val="sq-AL"/>
              </w:rPr>
            </w:pPr>
            <w:r w:rsidRPr="00445472">
              <w:rPr>
                <w:lang w:val="sq-AL"/>
              </w:rPr>
              <w:t>Patrick Reynolds    Halit Kamberi</w:t>
            </w:r>
          </w:p>
        </w:tc>
        <w:tc>
          <w:tcPr>
            <w:tcW w:w="883" w:type="pct"/>
            <w:shd w:val="clear" w:color="auto" w:fill="DFDFDF"/>
          </w:tcPr>
          <w:p w14:paraId="7D7B4C69" w14:textId="77777777" w:rsidR="00CF3213" w:rsidRPr="00445472" w:rsidRDefault="00CF3213" w:rsidP="00CF3213">
            <w:pPr>
              <w:pStyle w:val="TABELA"/>
              <w:rPr>
                <w:lang w:val="sq-AL"/>
              </w:rPr>
            </w:pPr>
            <w:r w:rsidRPr="00445472">
              <w:rPr>
                <w:lang w:val="sq-AL"/>
              </w:rPr>
              <w:t>Monica Melinte</w:t>
            </w:r>
          </w:p>
          <w:p w14:paraId="7E2F5832" w14:textId="77777777" w:rsidR="00CF3213" w:rsidRPr="00445472" w:rsidRDefault="00CF3213" w:rsidP="00CF3213">
            <w:pPr>
              <w:pStyle w:val="TABELA"/>
              <w:rPr>
                <w:lang w:val="sq-AL"/>
              </w:rPr>
            </w:pPr>
            <w:r w:rsidRPr="00445472">
              <w:rPr>
                <w:lang w:val="sq-AL"/>
              </w:rPr>
              <w:t>Emiljano Zhuleku</w:t>
            </w:r>
          </w:p>
        </w:tc>
        <w:tc>
          <w:tcPr>
            <w:tcW w:w="879" w:type="pct"/>
            <w:shd w:val="clear" w:color="auto" w:fill="DFDFDF"/>
          </w:tcPr>
          <w:p w14:paraId="79576056" w14:textId="77777777" w:rsidR="00CF3213" w:rsidRPr="00445472" w:rsidRDefault="00CF3213" w:rsidP="00CF3213">
            <w:pPr>
              <w:pStyle w:val="TABELA"/>
              <w:rPr>
                <w:lang w:val="sq-AL"/>
              </w:rPr>
            </w:pPr>
            <w:r w:rsidRPr="00445472">
              <w:rPr>
                <w:lang w:val="sq-AL"/>
              </w:rPr>
              <w:t>Wim Verheugt</w:t>
            </w:r>
          </w:p>
        </w:tc>
        <w:tc>
          <w:tcPr>
            <w:tcW w:w="1097" w:type="pct"/>
            <w:shd w:val="clear" w:color="auto" w:fill="DFDFDF"/>
          </w:tcPr>
          <w:p w14:paraId="2817ABEB" w14:textId="527243BC" w:rsidR="00CF3213" w:rsidRPr="00445472" w:rsidRDefault="00CF3213" w:rsidP="00CF3213">
            <w:pPr>
              <w:pStyle w:val="TABELA"/>
              <w:rPr>
                <w:lang w:val="sq-AL"/>
              </w:rPr>
            </w:pPr>
            <w:r w:rsidRPr="00445472">
              <w:rPr>
                <w:lang w:val="sq-AL"/>
              </w:rPr>
              <w:t xml:space="preserve">Lëshuar për </w:t>
            </w:r>
            <w:r w:rsidR="0085472E" w:rsidRPr="00445472">
              <w:rPr>
                <w:lang w:val="sq-AL"/>
              </w:rPr>
              <w:t>klientin</w:t>
            </w:r>
          </w:p>
        </w:tc>
      </w:tr>
      <w:tr w:rsidR="00CF3213" w:rsidRPr="00445472" w14:paraId="7ADE9DAC" w14:textId="77777777" w:rsidTr="00D14DD5">
        <w:tc>
          <w:tcPr>
            <w:tcW w:w="594" w:type="pct"/>
            <w:shd w:val="clear" w:color="auto" w:fill="auto"/>
          </w:tcPr>
          <w:p w14:paraId="257B2996" w14:textId="77777777" w:rsidR="00CF3213" w:rsidRPr="00445472" w:rsidRDefault="00CF3213" w:rsidP="00CF3213">
            <w:pPr>
              <w:pStyle w:val="TableTextLeft"/>
              <w:spacing w:before="22" w:after="0"/>
              <w:ind w:right="63"/>
              <w:rPr>
                <w:rFonts w:ascii="Garamond" w:hAnsi="Garamond"/>
                <w:sz w:val="20"/>
                <w:szCs w:val="20"/>
                <w:lang w:val="sq-AL"/>
              </w:rPr>
            </w:pPr>
          </w:p>
        </w:tc>
        <w:tc>
          <w:tcPr>
            <w:tcW w:w="666" w:type="pct"/>
            <w:shd w:val="clear" w:color="auto" w:fill="auto"/>
          </w:tcPr>
          <w:p w14:paraId="00F7270E" w14:textId="77777777" w:rsidR="00CF3213" w:rsidRPr="00445472" w:rsidRDefault="00CF3213" w:rsidP="00CF3213">
            <w:pPr>
              <w:pStyle w:val="TableTextLeft"/>
              <w:spacing w:before="22" w:after="0"/>
              <w:ind w:right="63"/>
              <w:rPr>
                <w:rFonts w:ascii="Garamond" w:hAnsi="Garamond"/>
                <w:sz w:val="20"/>
                <w:szCs w:val="20"/>
                <w:lang w:val="sq-AL"/>
              </w:rPr>
            </w:pPr>
          </w:p>
        </w:tc>
        <w:tc>
          <w:tcPr>
            <w:tcW w:w="881" w:type="pct"/>
            <w:shd w:val="clear" w:color="auto" w:fill="auto"/>
          </w:tcPr>
          <w:p w14:paraId="24A1E31C" w14:textId="77777777" w:rsidR="00CF3213" w:rsidRPr="00445472" w:rsidRDefault="00CF3213" w:rsidP="00CF3213">
            <w:pPr>
              <w:pStyle w:val="TableTextLeft"/>
              <w:spacing w:before="22" w:after="0"/>
              <w:ind w:right="63"/>
              <w:rPr>
                <w:rFonts w:ascii="Garamond" w:hAnsi="Garamond"/>
                <w:sz w:val="20"/>
                <w:szCs w:val="20"/>
                <w:lang w:val="sq-AL"/>
              </w:rPr>
            </w:pPr>
          </w:p>
        </w:tc>
        <w:tc>
          <w:tcPr>
            <w:tcW w:w="883" w:type="pct"/>
            <w:shd w:val="clear" w:color="auto" w:fill="auto"/>
          </w:tcPr>
          <w:p w14:paraId="7192644A" w14:textId="77777777" w:rsidR="00CF3213" w:rsidRPr="00445472" w:rsidRDefault="00CF3213" w:rsidP="00CF3213">
            <w:pPr>
              <w:pStyle w:val="TableTextLeft"/>
              <w:spacing w:before="22" w:after="0"/>
              <w:ind w:right="63"/>
              <w:rPr>
                <w:rFonts w:ascii="Garamond" w:hAnsi="Garamond"/>
                <w:sz w:val="20"/>
                <w:szCs w:val="20"/>
                <w:lang w:val="sq-AL"/>
              </w:rPr>
            </w:pPr>
          </w:p>
        </w:tc>
        <w:tc>
          <w:tcPr>
            <w:tcW w:w="879" w:type="pct"/>
            <w:shd w:val="clear" w:color="auto" w:fill="auto"/>
          </w:tcPr>
          <w:p w14:paraId="181E5C4A" w14:textId="77777777" w:rsidR="00CF3213" w:rsidRPr="00445472" w:rsidRDefault="00CF3213" w:rsidP="00CF3213">
            <w:pPr>
              <w:pStyle w:val="TableTextLeft"/>
              <w:spacing w:before="22" w:after="0"/>
              <w:ind w:right="63"/>
              <w:rPr>
                <w:rFonts w:ascii="Garamond" w:hAnsi="Garamond"/>
                <w:sz w:val="20"/>
                <w:szCs w:val="20"/>
                <w:lang w:val="sq-AL"/>
              </w:rPr>
            </w:pPr>
          </w:p>
        </w:tc>
        <w:tc>
          <w:tcPr>
            <w:tcW w:w="1097" w:type="pct"/>
            <w:shd w:val="clear" w:color="auto" w:fill="auto"/>
          </w:tcPr>
          <w:p w14:paraId="5FC7463E" w14:textId="77777777" w:rsidR="00CF3213" w:rsidRPr="00445472" w:rsidRDefault="00CF3213" w:rsidP="00CF3213">
            <w:pPr>
              <w:pStyle w:val="TableTextLeft"/>
              <w:spacing w:before="22" w:after="0"/>
              <w:ind w:right="63"/>
              <w:rPr>
                <w:rFonts w:ascii="Garamond" w:hAnsi="Garamond"/>
                <w:sz w:val="20"/>
                <w:szCs w:val="20"/>
                <w:lang w:val="sq-AL"/>
              </w:rPr>
            </w:pPr>
          </w:p>
        </w:tc>
      </w:tr>
      <w:tr w:rsidR="00CF3213" w:rsidRPr="00445472" w14:paraId="3F822455" w14:textId="77777777" w:rsidTr="00D14DD5">
        <w:tc>
          <w:tcPr>
            <w:tcW w:w="594" w:type="pct"/>
            <w:shd w:val="clear" w:color="auto" w:fill="DFDFDF"/>
          </w:tcPr>
          <w:p w14:paraId="4953D7EE" w14:textId="77777777" w:rsidR="00CF3213" w:rsidRPr="00445472" w:rsidRDefault="00CF3213" w:rsidP="00CF3213">
            <w:pPr>
              <w:pStyle w:val="TableTextLeft"/>
              <w:spacing w:before="22" w:after="0"/>
              <w:ind w:right="63"/>
              <w:rPr>
                <w:rFonts w:ascii="Garamond" w:hAnsi="Garamond"/>
                <w:sz w:val="20"/>
                <w:szCs w:val="20"/>
                <w:lang w:val="sq-AL"/>
              </w:rPr>
            </w:pPr>
          </w:p>
        </w:tc>
        <w:tc>
          <w:tcPr>
            <w:tcW w:w="666" w:type="pct"/>
            <w:shd w:val="clear" w:color="auto" w:fill="DFDFDF"/>
          </w:tcPr>
          <w:p w14:paraId="308F9676" w14:textId="77777777" w:rsidR="00CF3213" w:rsidRPr="00445472" w:rsidRDefault="00CF3213" w:rsidP="00CF3213">
            <w:pPr>
              <w:pStyle w:val="TableTextLeft"/>
              <w:spacing w:before="22" w:after="0"/>
              <w:ind w:right="63"/>
              <w:rPr>
                <w:rFonts w:ascii="Garamond" w:hAnsi="Garamond"/>
                <w:sz w:val="20"/>
                <w:szCs w:val="20"/>
                <w:lang w:val="sq-AL"/>
              </w:rPr>
            </w:pPr>
          </w:p>
        </w:tc>
        <w:tc>
          <w:tcPr>
            <w:tcW w:w="881" w:type="pct"/>
            <w:shd w:val="clear" w:color="auto" w:fill="DFDFDF"/>
          </w:tcPr>
          <w:p w14:paraId="0F8BEDE9" w14:textId="77777777" w:rsidR="00CF3213" w:rsidRPr="00445472" w:rsidRDefault="00CF3213" w:rsidP="00CF3213">
            <w:pPr>
              <w:pStyle w:val="TableTextLeft"/>
              <w:spacing w:before="22" w:after="0"/>
              <w:ind w:right="63"/>
              <w:rPr>
                <w:rFonts w:ascii="Garamond" w:hAnsi="Garamond"/>
                <w:sz w:val="20"/>
                <w:szCs w:val="20"/>
                <w:lang w:val="sq-AL"/>
              </w:rPr>
            </w:pPr>
          </w:p>
        </w:tc>
        <w:tc>
          <w:tcPr>
            <w:tcW w:w="883" w:type="pct"/>
            <w:shd w:val="clear" w:color="auto" w:fill="DFDFDF"/>
          </w:tcPr>
          <w:p w14:paraId="0632AA3D" w14:textId="77777777" w:rsidR="00CF3213" w:rsidRPr="00445472" w:rsidRDefault="00CF3213" w:rsidP="00CF3213">
            <w:pPr>
              <w:pStyle w:val="TableTextLeft"/>
              <w:spacing w:before="22" w:after="0"/>
              <w:ind w:right="63"/>
              <w:rPr>
                <w:rFonts w:ascii="Garamond" w:hAnsi="Garamond"/>
                <w:sz w:val="20"/>
                <w:szCs w:val="20"/>
                <w:lang w:val="sq-AL"/>
              </w:rPr>
            </w:pPr>
          </w:p>
        </w:tc>
        <w:tc>
          <w:tcPr>
            <w:tcW w:w="879" w:type="pct"/>
            <w:shd w:val="clear" w:color="auto" w:fill="DFDFDF"/>
          </w:tcPr>
          <w:p w14:paraId="60B9882D" w14:textId="77777777" w:rsidR="00CF3213" w:rsidRPr="00445472" w:rsidRDefault="00CF3213" w:rsidP="00CF3213">
            <w:pPr>
              <w:pStyle w:val="TableTextLeft"/>
              <w:spacing w:before="22" w:after="0"/>
              <w:ind w:right="63"/>
              <w:rPr>
                <w:rFonts w:ascii="Garamond" w:hAnsi="Garamond"/>
                <w:sz w:val="20"/>
                <w:szCs w:val="20"/>
                <w:lang w:val="sq-AL"/>
              </w:rPr>
            </w:pPr>
          </w:p>
        </w:tc>
        <w:tc>
          <w:tcPr>
            <w:tcW w:w="1097" w:type="pct"/>
            <w:shd w:val="clear" w:color="auto" w:fill="DFDFDF"/>
          </w:tcPr>
          <w:p w14:paraId="48AA1205" w14:textId="77777777" w:rsidR="00CF3213" w:rsidRPr="00445472" w:rsidRDefault="00CF3213" w:rsidP="00CF3213">
            <w:pPr>
              <w:pStyle w:val="TableTextLeft"/>
              <w:spacing w:before="22" w:after="0"/>
              <w:ind w:right="63"/>
              <w:rPr>
                <w:rFonts w:ascii="Garamond" w:hAnsi="Garamond"/>
                <w:sz w:val="20"/>
                <w:szCs w:val="20"/>
                <w:lang w:val="sq-AL"/>
              </w:rPr>
            </w:pPr>
          </w:p>
        </w:tc>
      </w:tr>
      <w:tr w:rsidR="00CF3213" w:rsidRPr="00445472" w14:paraId="256CB53C" w14:textId="77777777" w:rsidTr="00D14DD5">
        <w:tc>
          <w:tcPr>
            <w:tcW w:w="594" w:type="pct"/>
            <w:shd w:val="clear" w:color="auto" w:fill="auto"/>
          </w:tcPr>
          <w:p w14:paraId="7EB89489" w14:textId="77777777" w:rsidR="00CF3213" w:rsidRPr="00445472" w:rsidRDefault="00CF3213" w:rsidP="00CF3213">
            <w:pPr>
              <w:pStyle w:val="TableTextLeft"/>
              <w:spacing w:before="22" w:after="0"/>
              <w:ind w:right="63"/>
              <w:rPr>
                <w:rFonts w:ascii="Garamond" w:hAnsi="Garamond"/>
                <w:sz w:val="20"/>
                <w:szCs w:val="20"/>
                <w:lang w:val="sq-AL"/>
              </w:rPr>
            </w:pPr>
          </w:p>
        </w:tc>
        <w:tc>
          <w:tcPr>
            <w:tcW w:w="666" w:type="pct"/>
            <w:shd w:val="clear" w:color="auto" w:fill="auto"/>
          </w:tcPr>
          <w:p w14:paraId="0A274CCD" w14:textId="77777777" w:rsidR="00CF3213" w:rsidRPr="00445472" w:rsidRDefault="00CF3213" w:rsidP="00CF3213">
            <w:pPr>
              <w:pStyle w:val="TableTextLeft"/>
              <w:spacing w:before="22" w:after="0"/>
              <w:ind w:right="63"/>
              <w:rPr>
                <w:rFonts w:ascii="Garamond" w:hAnsi="Garamond"/>
                <w:sz w:val="20"/>
                <w:szCs w:val="20"/>
                <w:lang w:val="sq-AL"/>
              </w:rPr>
            </w:pPr>
          </w:p>
        </w:tc>
        <w:tc>
          <w:tcPr>
            <w:tcW w:w="881" w:type="pct"/>
            <w:shd w:val="clear" w:color="auto" w:fill="auto"/>
          </w:tcPr>
          <w:p w14:paraId="20B9FFDC" w14:textId="77777777" w:rsidR="00CF3213" w:rsidRPr="00445472" w:rsidRDefault="00CF3213" w:rsidP="00CF3213">
            <w:pPr>
              <w:pStyle w:val="TableTextLeft"/>
              <w:spacing w:before="22" w:after="0"/>
              <w:ind w:right="63"/>
              <w:rPr>
                <w:rFonts w:ascii="Garamond" w:hAnsi="Garamond"/>
                <w:sz w:val="20"/>
                <w:szCs w:val="20"/>
                <w:lang w:val="sq-AL"/>
              </w:rPr>
            </w:pPr>
          </w:p>
        </w:tc>
        <w:tc>
          <w:tcPr>
            <w:tcW w:w="883" w:type="pct"/>
            <w:shd w:val="clear" w:color="auto" w:fill="auto"/>
          </w:tcPr>
          <w:p w14:paraId="1A9954EB" w14:textId="77777777" w:rsidR="00CF3213" w:rsidRPr="00445472" w:rsidRDefault="00CF3213" w:rsidP="00CF3213">
            <w:pPr>
              <w:pStyle w:val="TableTextLeft"/>
              <w:spacing w:before="22" w:after="0"/>
              <w:ind w:right="63"/>
              <w:rPr>
                <w:rFonts w:ascii="Garamond" w:hAnsi="Garamond"/>
                <w:sz w:val="20"/>
                <w:szCs w:val="20"/>
                <w:lang w:val="sq-AL"/>
              </w:rPr>
            </w:pPr>
          </w:p>
        </w:tc>
        <w:tc>
          <w:tcPr>
            <w:tcW w:w="879" w:type="pct"/>
            <w:shd w:val="clear" w:color="auto" w:fill="auto"/>
          </w:tcPr>
          <w:p w14:paraId="075B857B" w14:textId="77777777" w:rsidR="00CF3213" w:rsidRPr="00445472" w:rsidRDefault="00CF3213" w:rsidP="00CF3213">
            <w:pPr>
              <w:pStyle w:val="TableTextLeft"/>
              <w:spacing w:before="22" w:after="0"/>
              <w:ind w:right="63"/>
              <w:rPr>
                <w:rFonts w:ascii="Garamond" w:hAnsi="Garamond"/>
                <w:sz w:val="20"/>
                <w:szCs w:val="20"/>
                <w:lang w:val="sq-AL"/>
              </w:rPr>
            </w:pPr>
          </w:p>
        </w:tc>
        <w:tc>
          <w:tcPr>
            <w:tcW w:w="1097" w:type="pct"/>
            <w:shd w:val="clear" w:color="auto" w:fill="auto"/>
          </w:tcPr>
          <w:p w14:paraId="5D1C6572" w14:textId="77777777" w:rsidR="00CF3213" w:rsidRPr="00445472" w:rsidRDefault="00CF3213" w:rsidP="00CF3213">
            <w:pPr>
              <w:pStyle w:val="TableTextLeft"/>
              <w:spacing w:before="22" w:after="0"/>
              <w:ind w:right="63"/>
              <w:rPr>
                <w:rFonts w:ascii="Garamond" w:hAnsi="Garamond"/>
                <w:sz w:val="20"/>
                <w:szCs w:val="20"/>
                <w:lang w:val="sq-AL"/>
              </w:rPr>
            </w:pPr>
          </w:p>
        </w:tc>
      </w:tr>
      <w:tr w:rsidR="00CF3213" w:rsidRPr="00445472" w14:paraId="13F28436" w14:textId="77777777" w:rsidTr="00D14DD5">
        <w:tc>
          <w:tcPr>
            <w:tcW w:w="594" w:type="pct"/>
            <w:shd w:val="clear" w:color="auto" w:fill="DFDFDF"/>
          </w:tcPr>
          <w:p w14:paraId="56718B13" w14:textId="77777777" w:rsidR="00CF3213" w:rsidRPr="00445472" w:rsidRDefault="00CF3213" w:rsidP="00CF3213">
            <w:pPr>
              <w:pStyle w:val="TableTextLeft"/>
              <w:spacing w:before="22" w:after="0"/>
              <w:ind w:right="63"/>
              <w:rPr>
                <w:rFonts w:ascii="Garamond" w:hAnsi="Garamond"/>
                <w:sz w:val="20"/>
                <w:szCs w:val="20"/>
                <w:lang w:val="sq-AL"/>
              </w:rPr>
            </w:pPr>
          </w:p>
        </w:tc>
        <w:tc>
          <w:tcPr>
            <w:tcW w:w="666" w:type="pct"/>
            <w:shd w:val="clear" w:color="auto" w:fill="DFDFDF"/>
          </w:tcPr>
          <w:p w14:paraId="5CF12E4B" w14:textId="77777777" w:rsidR="00CF3213" w:rsidRPr="00445472" w:rsidRDefault="00CF3213" w:rsidP="00CF3213">
            <w:pPr>
              <w:pStyle w:val="TableTextLeft"/>
              <w:spacing w:before="22" w:after="0"/>
              <w:ind w:right="63"/>
              <w:rPr>
                <w:rFonts w:ascii="Garamond" w:hAnsi="Garamond"/>
                <w:sz w:val="20"/>
                <w:szCs w:val="20"/>
                <w:lang w:val="sq-AL"/>
              </w:rPr>
            </w:pPr>
          </w:p>
        </w:tc>
        <w:tc>
          <w:tcPr>
            <w:tcW w:w="881" w:type="pct"/>
            <w:shd w:val="clear" w:color="auto" w:fill="DFDFDF"/>
          </w:tcPr>
          <w:p w14:paraId="2B89DDA5" w14:textId="77777777" w:rsidR="00CF3213" w:rsidRPr="00445472" w:rsidRDefault="00CF3213" w:rsidP="00CF3213">
            <w:pPr>
              <w:pStyle w:val="TableTextLeft"/>
              <w:spacing w:before="22" w:after="0"/>
              <w:ind w:right="63"/>
              <w:rPr>
                <w:rFonts w:ascii="Garamond" w:hAnsi="Garamond"/>
                <w:sz w:val="20"/>
                <w:szCs w:val="20"/>
                <w:lang w:val="sq-AL"/>
              </w:rPr>
            </w:pPr>
          </w:p>
        </w:tc>
        <w:tc>
          <w:tcPr>
            <w:tcW w:w="883" w:type="pct"/>
            <w:shd w:val="clear" w:color="auto" w:fill="DFDFDF"/>
          </w:tcPr>
          <w:p w14:paraId="6308DA15" w14:textId="77777777" w:rsidR="00CF3213" w:rsidRPr="00445472" w:rsidRDefault="00CF3213" w:rsidP="00CF3213">
            <w:pPr>
              <w:pStyle w:val="TableTextLeft"/>
              <w:spacing w:before="22" w:after="0"/>
              <w:ind w:right="63"/>
              <w:rPr>
                <w:rFonts w:ascii="Garamond" w:hAnsi="Garamond"/>
                <w:sz w:val="20"/>
                <w:szCs w:val="20"/>
                <w:lang w:val="sq-AL"/>
              </w:rPr>
            </w:pPr>
          </w:p>
        </w:tc>
        <w:tc>
          <w:tcPr>
            <w:tcW w:w="879" w:type="pct"/>
            <w:shd w:val="clear" w:color="auto" w:fill="DFDFDF"/>
          </w:tcPr>
          <w:p w14:paraId="65A33AFB" w14:textId="77777777" w:rsidR="00CF3213" w:rsidRPr="00445472" w:rsidRDefault="00CF3213" w:rsidP="00CF3213">
            <w:pPr>
              <w:pStyle w:val="TableTextLeft"/>
              <w:spacing w:before="22" w:after="0"/>
              <w:ind w:right="63"/>
              <w:rPr>
                <w:rFonts w:ascii="Garamond" w:hAnsi="Garamond"/>
                <w:sz w:val="20"/>
                <w:szCs w:val="20"/>
                <w:lang w:val="sq-AL"/>
              </w:rPr>
            </w:pPr>
          </w:p>
        </w:tc>
        <w:tc>
          <w:tcPr>
            <w:tcW w:w="1097" w:type="pct"/>
            <w:shd w:val="clear" w:color="auto" w:fill="DFDFDF"/>
          </w:tcPr>
          <w:p w14:paraId="421AA9D7" w14:textId="77777777" w:rsidR="00CF3213" w:rsidRPr="00445472" w:rsidRDefault="00CF3213" w:rsidP="00CF3213">
            <w:pPr>
              <w:pStyle w:val="TableTextLeft"/>
              <w:spacing w:before="22" w:after="0"/>
              <w:ind w:right="63"/>
              <w:rPr>
                <w:rFonts w:ascii="Garamond" w:hAnsi="Garamond"/>
                <w:sz w:val="20"/>
                <w:szCs w:val="20"/>
                <w:lang w:val="sq-AL"/>
              </w:rPr>
            </w:pPr>
          </w:p>
        </w:tc>
      </w:tr>
    </w:tbl>
    <w:p w14:paraId="037BC698" w14:textId="77777777" w:rsidR="00CF3213" w:rsidRPr="00445472" w:rsidRDefault="00CF3213" w:rsidP="00CF3213">
      <w:pPr>
        <w:pStyle w:val="TEKSTIIII"/>
      </w:pPr>
    </w:p>
    <w:tbl>
      <w:tblPr>
        <w:tblW w:w="5000" w:type="pct"/>
        <w:tblBorders>
          <w:top w:val="single" w:sz="8" w:space="0" w:color="auto"/>
          <w:bottom w:val="single" w:sz="8" w:space="0" w:color="auto"/>
          <w:insideH w:val="single" w:sz="2" w:space="0" w:color="27BDBE"/>
        </w:tblBorders>
        <w:tblLayout w:type="fixed"/>
        <w:tblCellMar>
          <w:left w:w="0" w:type="dxa"/>
          <w:right w:w="0" w:type="dxa"/>
        </w:tblCellMar>
        <w:tblLook w:val="06A0" w:firstRow="1" w:lastRow="0" w:firstColumn="1" w:lastColumn="0" w:noHBand="1" w:noVBand="1"/>
      </w:tblPr>
      <w:tblGrid>
        <w:gridCol w:w="9071"/>
      </w:tblGrid>
      <w:tr w:rsidR="00CF3213" w:rsidRPr="00445472" w14:paraId="3E24ACBE" w14:textId="77777777" w:rsidTr="00D14DD5">
        <w:trPr>
          <w:cantSplit/>
          <w:tblHeader/>
        </w:trPr>
        <w:tc>
          <w:tcPr>
            <w:tcW w:w="5000" w:type="pct"/>
            <w:tcBorders>
              <w:top w:val="single" w:sz="8" w:space="0" w:color="auto"/>
              <w:left w:val="nil"/>
              <w:bottom w:val="nil"/>
              <w:right w:val="nil"/>
              <w:tl2br w:val="nil"/>
              <w:tr2bl w:val="nil"/>
            </w:tcBorders>
            <w:shd w:val="clear" w:color="auto" w:fill="auto"/>
          </w:tcPr>
          <w:tbl>
            <w:tblPr>
              <w:tblW w:w="9177" w:type="dxa"/>
              <w:tblInd w:w="132" w:type="dxa"/>
              <w:tblLayout w:type="fixed"/>
              <w:tblCellMar>
                <w:left w:w="0" w:type="dxa"/>
                <w:right w:w="0" w:type="dxa"/>
              </w:tblCellMar>
              <w:tblLook w:val="01E0" w:firstRow="1" w:lastRow="1" w:firstColumn="1" w:lastColumn="1" w:noHBand="0" w:noVBand="0"/>
            </w:tblPr>
            <w:tblGrid>
              <w:gridCol w:w="2278"/>
              <w:gridCol w:w="6899"/>
            </w:tblGrid>
            <w:tr w:rsidR="00CF3213" w:rsidRPr="00445472" w14:paraId="19570B95" w14:textId="77777777" w:rsidTr="00D14DD5">
              <w:trPr>
                <w:trHeight w:val="260"/>
              </w:trPr>
              <w:tc>
                <w:tcPr>
                  <w:tcW w:w="2278" w:type="dxa"/>
                  <w:tcBorders>
                    <w:bottom w:val="single" w:sz="8" w:space="0" w:color="000000"/>
                  </w:tcBorders>
                </w:tcPr>
                <w:p w14:paraId="4CECFC3D" w14:textId="77777777" w:rsidR="00CF3213" w:rsidRPr="00445472" w:rsidRDefault="00CF3213" w:rsidP="00D14DD5">
                  <w:pPr>
                    <w:pStyle w:val="TableParagraph"/>
                    <w:spacing w:line="201" w:lineRule="exact"/>
                    <w:ind w:left="112"/>
                    <w:rPr>
                      <w:rFonts w:ascii="Garamond" w:hAnsi="Garamond"/>
                      <w:b/>
                      <w:sz w:val="18"/>
                      <w:szCs w:val="18"/>
                    </w:rPr>
                  </w:pPr>
                  <w:bookmarkStart w:id="6" w:name="BM_Standard" w:colFirst="0" w:colLast="0"/>
                  <w:bookmarkStart w:id="7" w:name="BM_DisclaimerStd" w:colFirst="0" w:colLast="0"/>
                  <w:r w:rsidRPr="00445472">
                    <w:rPr>
                      <w:rFonts w:ascii="Garamond" w:hAnsi="Garamond"/>
                      <w:b/>
                      <w:sz w:val="18"/>
                      <w:szCs w:val="18"/>
                    </w:rPr>
                    <w:t>Klasa e informacionit:</w:t>
                  </w:r>
                </w:p>
              </w:tc>
              <w:tc>
                <w:tcPr>
                  <w:tcW w:w="6899" w:type="dxa"/>
                  <w:tcBorders>
                    <w:bottom w:val="single" w:sz="8" w:space="0" w:color="000000"/>
                  </w:tcBorders>
                </w:tcPr>
                <w:p w14:paraId="3A95A13A" w14:textId="77777777" w:rsidR="00CF3213" w:rsidRPr="00445472" w:rsidRDefault="00CF3213" w:rsidP="00D14DD5">
                  <w:pPr>
                    <w:pStyle w:val="TableParagraph"/>
                    <w:spacing w:line="201" w:lineRule="exact"/>
                    <w:ind w:left="31"/>
                    <w:rPr>
                      <w:rFonts w:ascii="Garamond" w:hAnsi="Garamond"/>
                      <w:b/>
                      <w:sz w:val="18"/>
                      <w:szCs w:val="18"/>
                    </w:rPr>
                  </w:pPr>
                  <w:r w:rsidRPr="00445472">
                    <w:rPr>
                      <w:rFonts w:ascii="Garamond" w:hAnsi="Garamond"/>
                      <w:b/>
                      <w:sz w:val="18"/>
                      <w:szCs w:val="18"/>
                    </w:rPr>
                    <w:t>Standard</w:t>
                  </w:r>
                </w:p>
              </w:tc>
            </w:tr>
          </w:tbl>
          <w:p w14:paraId="3B6420FB" w14:textId="77777777" w:rsidR="00CF3213" w:rsidRPr="00445472" w:rsidRDefault="00CF3213" w:rsidP="00CF3213">
            <w:pPr>
              <w:pStyle w:val="TABELA"/>
              <w:rPr>
                <w:sz w:val="18"/>
                <w:szCs w:val="18"/>
                <w:lang w:val="sq-AL"/>
              </w:rPr>
            </w:pPr>
          </w:p>
          <w:tbl>
            <w:tblPr>
              <w:tblW w:w="0" w:type="auto"/>
              <w:tblInd w:w="118" w:type="dxa"/>
              <w:tblLayout w:type="fixed"/>
              <w:tblCellMar>
                <w:left w:w="0" w:type="dxa"/>
                <w:right w:w="0" w:type="dxa"/>
              </w:tblCellMar>
              <w:tblLook w:val="01E0" w:firstRow="1" w:lastRow="1" w:firstColumn="1" w:lastColumn="1" w:noHBand="0" w:noVBand="0"/>
            </w:tblPr>
            <w:tblGrid>
              <w:gridCol w:w="8522"/>
            </w:tblGrid>
            <w:tr w:rsidR="00CF3213" w:rsidRPr="00445472" w14:paraId="6D04D3C0" w14:textId="77777777" w:rsidTr="00CF3213">
              <w:trPr>
                <w:trHeight w:val="1638"/>
              </w:trPr>
              <w:tc>
                <w:tcPr>
                  <w:tcW w:w="8522" w:type="dxa"/>
                  <w:tcBorders>
                    <w:bottom w:val="single" w:sz="8" w:space="0" w:color="000000"/>
                  </w:tcBorders>
                </w:tcPr>
                <w:p w14:paraId="0B520C76" w14:textId="77777777" w:rsidR="00CF3213" w:rsidRPr="00445472" w:rsidRDefault="00CF3213" w:rsidP="00CF3213">
                  <w:pPr>
                    <w:pStyle w:val="TABELA"/>
                    <w:spacing w:before="0"/>
                    <w:ind w:right="0"/>
                    <w:rPr>
                      <w:sz w:val="18"/>
                      <w:szCs w:val="18"/>
                      <w:lang w:val="sq-AL"/>
                    </w:rPr>
                  </w:pPr>
                  <w:r w:rsidRPr="00445472">
                    <w:rPr>
                      <w:sz w:val="18"/>
                      <w:szCs w:val="18"/>
                      <w:lang w:val="sq-AL"/>
                    </w:rPr>
                    <w:t>Ky dokument është hartuar për palën që e ka porositur atë dhe për qëllimet specifike të lidhura vetëm me projektin e sipërpërmendur. Ai nuk duhet të përdoret si bazë mbi të cilin mund të mbështetet ndonjë palë tjetër dhe nuk duhet përdorur për ndonjë qëllim tjetër.</w:t>
                  </w:r>
                </w:p>
                <w:p w14:paraId="65B4C516" w14:textId="77777777" w:rsidR="00CF3213" w:rsidRPr="00445472" w:rsidRDefault="00CF3213" w:rsidP="00CF3213">
                  <w:pPr>
                    <w:pStyle w:val="TABELA"/>
                    <w:spacing w:before="0"/>
                    <w:ind w:right="0"/>
                    <w:rPr>
                      <w:sz w:val="18"/>
                      <w:szCs w:val="18"/>
                      <w:lang w:val="sq-AL"/>
                    </w:rPr>
                  </w:pPr>
                </w:p>
                <w:p w14:paraId="62F9BC00" w14:textId="77777777" w:rsidR="00CF3213" w:rsidRPr="00445472" w:rsidRDefault="00CF3213" w:rsidP="00CF3213">
                  <w:pPr>
                    <w:pStyle w:val="TABELA"/>
                    <w:spacing w:before="0"/>
                    <w:ind w:right="0"/>
                    <w:rPr>
                      <w:sz w:val="18"/>
                      <w:szCs w:val="18"/>
                      <w:lang w:val="sq-AL"/>
                    </w:rPr>
                  </w:pPr>
                  <w:r w:rsidRPr="00445472">
                    <w:rPr>
                      <w:sz w:val="18"/>
                      <w:szCs w:val="18"/>
                      <w:lang w:val="sq-AL"/>
                    </w:rPr>
                    <w:t>Ne nuk mbajmë asnjë përgjegjësi për pasojat që mund të ketë ndonjë palë tjetër kur mbështetet në këtë dokument apo kur dokumenti përdoret për qëllime të tjera, dhe as nëse ai përmban ndonjë gabim apo mangësi që vjen si rezultat i gabimit apo mangësisë në të dhënat që ne kemi marrë nga palët e tjera.</w:t>
                  </w:r>
                </w:p>
                <w:p w14:paraId="21AE3221" w14:textId="77777777" w:rsidR="00CF3213" w:rsidRPr="00445472" w:rsidRDefault="00CF3213" w:rsidP="00CF3213">
                  <w:pPr>
                    <w:pStyle w:val="TABELA"/>
                    <w:spacing w:before="0"/>
                    <w:ind w:right="0"/>
                    <w:rPr>
                      <w:sz w:val="18"/>
                      <w:szCs w:val="18"/>
                      <w:lang w:val="sq-AL"/>
                    </w:rPr>
                  </w:pPr>
                </w:p>
                <w:p w14:paraId="32C5E592" w14:textId="02CFDCA5" w:rsidR="00CF3213" w:rsidRPr="00445472" w:rsidRDefault="00CF3213" w:rsidP="00CF3213">
                  <w:pPr>
                    <w:pStyle w:val="TABELA"/>
                    <w:spacing w:before="0"/>
                    <w:ind w:right="0"/>
                    <w:rPr>
                      <w:sz w:val="16"/>
                      <w:szCs w:val="16"/>
                      <w:lang w:val="sq-AL"/>
                    </w:rPr>
                  </w:pPr>
                  <w:r w:rsidRPr="00445472">
                    <w:rPr>
                      <w:sz w:val="18"/>
                      <w:szCs w:val="18"/>
                      <w:lang w:val="sq-AL"/>
                    </w:rPr>
                    <w:t xml:space="preserve">Ky dokument përmban informacion konfidencial dhe pronësi intelektuale. Ai nuk duhet </w:t>
                  </w:r>
                  <w:r w:rsidR="00B139CF" w:rsidRPr="00445472">
                    <w:rPr>
                      <w:sz w:val="18"/>
                      <w:szCs w:val="18"/>
                      <w:lang w:val="sq-AL"/>
                    </w:rPr>
                    <w:t>t’u</w:t>
                  </w:r>
                  <w:r w:rsidRPr="00445472">
                    <w:rPr>
                      <w:sz w:val="18"/>
                      <w:szCs w:val="18"/>
                      <w:lang w:val="sq-AL"/>
                    </w:rPr>
                    <w:t xml:space="preserve"> tregohet palëve të tjera pa pëlqimin tonë dhe të palës që e ka porositur atë.</w:t>
                  </w:r>
                </w:p>
              </w:tc>
            </w:tr>
          </w:tbl>
          <w:p w14:paraId="6D3C520D" w14:textId="77777777" w:rsidR="00CF3213" w:rsidRPr="00445472" w:rsidRDefault="00CF3213" w:rsidP="00D14DD5">
            <w:pPr>
              <w:pStyle w:val="Disclaimer"/>
              <w:spacing w:before="112" w:after="112"/>
              <w:rPr>
                <w:rFonts w:ascii="Garamond" w:hAnsi="Garamond"/>
                <w:lang w:val="sq-AL"/>
              </w:rPr>
            </w:pPr>
          </w:p>
        </w:tc>
      </w:tr>
      <w:tr w:rsidR="00CF3213" w:rsidRPr="00445472" w14:paraId="5A9BA89C" w14:textId="77777777" w:rsidTr="007E76E3">
        <w:trPr>
          <w:cantSplit/>
          <w:trHeight w:hRule="exact" w:val="274"/>
        </w:trPr>
        <w:tc>
          <w:tcPr>
            <w:tcW w:w="5000" w:type="pct"/>
            <w:tcBorders>
              <w:top w:val="nil"/>
              <w:bottom w:val="single" w:sz="8" w:space="0" w:color="auto"/>
            </w:tcBorders>
            <w:shd w:val="clear" w:color="auto" w:fill="auto"/>
          </w:tcPr>
          <w:p w14:paraId="2003BDC8" w14:textId="77777777" w:rsidR="00CF3213" w:rsidRPr="00445472" w:rsidRDefault="00CF3213" w:rsidP="00D14DD5">
            <w:pPr>
              <w:pStyle w:val="Spacer"/>
              <w:spacing w:before="22" w:after="40"/>
              <w:rPr>
                <w:rFonts w:ascii="Garamond" w:hAnsi="Garamond"/>
                <w:lang w:val="sq-AL"/>
              </w:rPr>
            </w:pPr>
            <w:bookmarkStart w:id="8" w:name="BM_DisclaimerTech" w:colFirst="0" w:colLast="0"/>
            <w:bookmarkEnd w:id="6"/>
            <w:bookmarkEnd w:id="7"/>
            <w:r w:rsidRPr="00445472">
              <w:rPr>
                <w:rFonts w:ascii="Garamond" w:hAnsi="Garamond"/>
                <w:lang w:val="sq-AL"/>
              </w:rPr>
              <w:lastRenderedPageBreak/>
              <w:t>This report has been prepared solely for use by the party which commissioned it (the ‘Client’) in connection with the captioned project. It should not be used for any other purpose. No person other than the Client or any party who has expressly agreed terms of reliance with us (the ‘Recipient(s)’) may rely on the content, information or any views expressed in the report. We accept no duty of care, responsibility or liability to any other recipient of this document. This report is confidential and contains proprietary intellectual property.</w:t>
            </w:r>
          </w:p>
          <w:p w14:paraId="4A946371" w14:textId="77777777" w:rsidR="00CF3213" w:rsidRPr="00445472" w:rsidRDefault="00CF3213" w:rsidP="00D14DD5">
            <w:pPr>
              <w:pStyle w:val="Spacer"/>
              <w:spacing w:before="22" w:after="40"/>
              <w:rPr>
                <w:rFonts w:ascii="Garamond" w:hAnsi="Garamond"/>
                <w:lang w:val="sq-AL"/>
              </w:rPr>
            </w:pPr>
            <w:r w:rsidRPr="00445472">
              <w:rPr>
                <w:rFonts w:ascii="Garamond" w:hAnsi="Garamond"/>
                <w:lang w:val="sq-AL"/>
              </w:rPr>
              <w:t>No representation, warranty or undertaking, express or implied, is made and no responsibility or liability is accepted by us to any party other than the Client or any Recipient(s), as to the accuracy or completeness of the information contained in this report. For the avoidance of doubt this report does not in any way purport to include any legal, insurance or financial advice or opinion.</w:t>
            </w:r>
          </w:p>
          <w:p w14:paraId="39B7D253" w14:textId="77777777" w:rsidR="00CF3213" w:rsidRPr="00445472" w:rsidRDefault="00CF3213" w:rsidP="00D14DD5">
            <w:pPr>
              <w:pStyle w:val="Spacer"/>
              <w:spacing w:before="22" w:after="40"/>
              <w:rPr>
                <w:rFonts w:ascii="Garamond" w:hAnsi="Garamond"/>
                <w:lang w:val="sq-AL"/>
              </w:rPr>
            </w:pPr>
            <w:r w:rsidRPr="00445472">
              <w:rPr>
                <w:rFonts w:ascii="Garamond" w:hAnsi="Garamond"/>
                <w:lang w:val="sq-AL"/>
              </w:rPr>
              <w:t>We disclaim all and any liability whether arising in tort or contract or otherwise which it might otherwise have to any party other than the Client or the Recipient(s), in respect of this report, or any information attributed to it.</w:t>
            </w:r>
          </w:p>
          <w:p w14:paraId="5C0C7FAF" w14:textId="77777777" w:rsidR="00CF3213" w:rsidRPr="00445472" w:rsidRDefault="00CF3213" w:rsidP="00D14DD5">
            <w:pPr>
              <w:pStyle w:val="Spacer"/>
              <w:spacing w:before="22" w:after="40"/>
              <w:rPr>
                <w:rFonts w:ascii="Garamond" w:hAnsi="Garamond"/>
                <w:lang w:val="sq-AL"/>
              </w:rPr>
            </w:pPr>
            <w:r w:rsidRPr="00445472">
              <w:rPr>
                <w:rFonts w:ascii="Garamond" w:hAnsi="Garamond"/>
                <w:lang w:val="sq-AL"/>
              </w:rPr>
              <w:t>We accept no responsibility for any error or omission in the report which is due to an error or omission in data, information or statements supplied to us by other parties including the client (‘Data’). We have not independently verified such Data and have assumed it to be accurate, complete, reliable and current as of the date of such information.</w:t>
            </w:r>
          </w:p>
          <w:p w14:paraId="668B4BFE" w14:textId="77777777" w:rsidR="00CF3213" w:rsidRPr="00445472" w:rsidRDefault="00CF3213" w:rsidP="00D14DD5">
            <w:pPr>
              <w:pStyle w:val="Spacer"/>
              <w:spacing w:before="22" w:after="40"/>
              <w:rPr>
                <w:rFonts w:ascii="Garamond" w:hAnsi="Garamond"/>
                <w:lang w:val="sq-AL"/>
              </w:rPr>
            </w:pPr>
            <w:r w:rsidRPr="00445472">
              <w:rPr>
                <w:rFonts w:ascii="Garamond" w:hAnsi="Garamond"/>
                <w:lang w:val="sq-AL"/>
              </w:rPr>
              <w:t>Forecasts presented in this document were prepared using Data and the report is dependent or based on Data. Inevitably, some of the assumptions used to develop the forecasts will not be realised and unanticipated events and circumstances may occur. Consequently Mott MacDonald does not guarantee or warrant the conclusions contained in the report as there are likely to be differences between the forecasts and the actual results and those differences may be material. While we consider that the information and opinions given in this report are sound all parties must rely on their own skill and judgement when making use of it.</w:t>
            </w:r>
          </w:p>
          <w:p w14:paraId="08EF2CF0" w14:textId="77777777" w:rsidR="00CF3213" w:rsidRPr="00445472" w:rsidRDefault="00CF3213" w:rsidP="00D14DD5">
            <w:pPr>
              <w:pStyle w:val="Spacer"/>
              <w:spacing w:before="22" w:after="40"/>
              <w:rPr>
                <w:rFonts w:ascii="Garamond" w:hAnsi="Garamond"/>
                <w:lang w:val="sq-AL"/>
              </w:rPr>
            </w:pPr>
            <w:r w:rsidRPr="00445472">
              <w:rPr>
                <w:rFonts w:ascii="Garamond" w:hAnsi="Garamond"/>
                <w:lang w:val="sq-AL"/>
              </w:rPr>
              <w:t xml:space="preserve">Under no circumstances may this report or any extract or summary thereof be used in connection with any public or private securities offering including any related memorandum or prospectus for any securities offering or stock exchange listing or announcement. </w:t>
            </w:r>
          </w:p>
        </w:tc>
      </w:tr>
    </w:tbl>
    <w:bookmarkEnd w:id="8"/>
    <w:p w14:paraId="01240F48" w14:textId="77777777" w:rsidR="00DA3AFE" w:rsidRPr="00445472" w:rsidRDefault="00DA3AFE" w:rsidP="00DA3AFE">
      <w:pPr>
        <w:pStyle w:val="TEKSTIIII"/>
        <w:rPr>
          <w:b/>
        </w:rPr>
      </w:pPr>
      <w:r w:rsidRPr="00445472">
        <w:rPr>
          <w:b/>
        </w:rPr>
        <w:t>Përmbajtja</w:t>
      </w:r>
    </w:p>
    <w:p w14:paraId="01B0B732" w14:textId="77777777" w:rsidR="00DA3AFE" w:rsidRPr="00445472" w:rsidRDefault="00DA3AFE" w:rsidP="00DA3AFE">
      <w:pPr>
        <w:pStyle w:val="TEKSTIIII"/>
      </w:pPr>
    </w:p>
    <w:p w14:paraId="5F6AFB92" w14:textId="1B88CCD0" w:rsidR="00DA3AFE" w:rsidRPr="00445472" w:rsidRDefault="00DA3AFE" w:rsidP="00DA3AFE">
      <w:pPr>
        <w:pStyle w:val="TEKSTIIII"/>
      </w:pPr>
      <w:r w:rsidRPr="00445472">
        <w:t xml:space="preserve">Përmbledhje ekzekutive </w:t>
      </w:r>
    </w:p>
    <w:p w14:paraId="2641F5A5" w14:textId="1E4A18C9" w:rsidR="00DA3AFE" w:rsidRPr="00445472" w:rsidRDefault="00DA3AFE" w:rsidP="00DA3AFE">
      <w:pPr>
        <w:pStyle w:val="TEKSTIIII"/>
      </w:pPr>
      <w:r w:rsidRPr="00445472">
        <w:t xml:space="preserve">1 Hyrje </w:t>
      </w:r>
    </w:p>
    <w:p w14:paraId="4B798592" w14:textId="4B6194EE" w:rsidR="00DA3AFE" w:rsidRPr="00445472" w:rsidRDefault="00DA3AFE" w:rsidP="00DA3AFE">
      <w:pPr>
        <w:pStyle w:val="TEKSTIIII"/>
      </w:pPr>
      <w:r w:rsidRPr="00445472">
        <w:t xml:space="preserve">2 Korniza </w:t>
      </w:r>
      <w:r w:rsidR="007E76E3" w:rsidRPr="00445472">
        <w:t xml:space="preserve">ligjore dhe institucionale për menaxhimin e ujërave </w:t>
      </w:r>
    </w:p>
    <w:p w14:paraId="10060896" w14:textId="3A90792C" w:rsidR="00DA3AFE" w:rsidRPr="00445472" w:rsidRDefault="00DA3AFE" w:rsidP="00DA3AFE">
      <w:pPr>
        <w:pStyle w:val="TEKSTIIII"/>
      </w:pPr>
      <w:r w:rsidRPr="00445472">
        <w:t xml:space="preserve">2.1 Legjislacioni </w:t>
      </w:r>
      <w:r w:rsidR="007E76E3" w:rsidRPr="00445472">
        <w:t xml:space="preserve">primar </w:t>
      </w:r>
    </w:p>
    <w:p w14:paraId="52840E1A" w14:textId="7ACCDE94" w:rsidR="00DA3AFE" w:rsidRPr="00445472" w:rsidRDefault="00DA3AFE" w:rsidP="00DA3AFE">
      <w:pPr>
        <w:pStyle w:val="TEKSTIIII"/>
      </w:pPr>
      <w:r w:rsidRPr="00445472">
        <w:t xml:space="preserve">2.2 Legjislacioni sekondar (aktet nënligjore) </w:t>
      </w:r>
    </w:p>
    <w:p w14:paraId="2F1DCA59" w14:textId="39E31964" w:rsidR="00DA3AFE" w:rsidRPr="00445472" w:rsidRDefault="00DA3AFE" w:rsidP="00DA3AFE">
      <w:pPr>
        <w:pStyle w:val="TEKSTIIII"/>
      </w:pPr>
      <w:r w:rsidRPr="00445472">
        <w:t xml:space="preserve">2.3 Pajtueshmëria </w:t>
      </w:r>
      <w:r w:rsidR="007E76E3" w:rsidRPr="00445472">
        <w:t xml:space="preserve">rregullatore </w:t>
      </w:r>
    </w:p>
    <w:p w14:paraId="24E87613" w14:textId="24BE5986" w:rsidR="00DA3AFE" w:rsidRPr="00445472" w:rsidRDefault="00DA3AFE" w:rsidP="00DA3AFE">
      <w:pPr>
        <w:pStyle w:val="TEKSTIIII"/>
      </w:pPr>
      <w:r w:rsidRPr="00445472">
        <w:t xml:space="preserve">2.4 Marrëveshjet ndërkombëtare </w:t>
      </w:r>
    </w:p>
    <w:p w14:paraId="05068428" w14:textId="09BA2965" w:rsidR="00DA3AFE" w:rsidRPr="00445472" w:rsidRDefault="00DA3AFE" w:rsidP="00DA3AFE">
      <w:pPr>
        <w:pStyle w:val="TEKSTIIII"/>
      </w:pPr>
      <w:r w:rsidRPr="00445472">
        <w:t xml:space="preserve">2.5 Kuadri </w:t>
      </w:r>
      <w:r w:rsidR="007E76E3" w:rsidRPr="00445472">
        <w:t xml:space="preserve">institucional </w:t>
      </w:r>
    </w:p>
    <w:p w14:paraId="6608B06C" w14:textId="4635FED9" w:rsidR="00DA3AFE" w:rsidRPr="00445472" w:rsidRDefault="00DA3AFE" w:rsidP="00DA3AFE">
      <w:pPr>
        <w:pStyle w:val="TEKSTIIII"/>
      </w:pPr>
      <w:r w:rsidRPr="00445472">
        <w:t xml:space="preserve">2.5.1 Institucionet e nivelit qendror </w:t>
      </w:r>
    </w:p>
    <w:p w14:paraId="7664FA6B" w14:textId="736C53E4" w:rsidR="00DA3AFE" w:rsidRPr="00445472" w:rsidRDefault="00DA3AFE" w:rsidP="00DA3AFE">
      <w:pPr>
        <w:pStyle w:val="TEKSTIIII"/>
      </w:pPr>
      <w:r w:rsidRPr="00445472">
        <w:t xml:space="preserve">2.5.2 Institutet kombëtare të përfshira në monitorimin dhe vlerësimin e cilësisë së ujërave. </w:t>
      </w:r>
    </w:p>
    <w:p w14:paraId="1AE7DD40" w14:textId="286737B1" w:rsidR="00DA3AFE" w:rsidRPr="00445472" w:rsidRDefault="00DA3AFE" w:rsidP="00DA3AFE">
      <w:pPr>
        <w:pStyle w:val="TEKSTIIII"/>
      </w:pPr>
      <w:r w:rsidRPr="00445472">
        <w:t xml:space="preserve">2.5.3 Njësitë e qeverisjes vendore, këshillat e baseneve ujore dhe zyrat e administrimit të baseneve ujore </w:t>
      </w:r>
    </w:p>
    <w:p w14:paraId="4C1F95D3" w14:textId="667A6BAC" w:rsidR="00DA3AFE" w:rsidRPr="00445472" w:rsidRDefault="00DA3AFE" w:rsidP="00DA3AFE">
      <w:pPr>
        <w:pStyle w:val="TEKSTIIII"/>
      </w:pPr>
      <w:r w:rsidRPr="00445472">
        <w:t xml:space="preserve">3 Karakteristikat e Përgjithshme të Basenit Ujor </w:t>
      </w:r>
      <w:r w:rsidR="007E76E3" w:rsidRPr="00445472">
        <w:t>Drin–Bunë</w:t>
      </w:r>
      <w:r w:rsidRPr="00445472">
        <w:t xml:space="preserve"> </w:t>
      </w:r>
    </w:p>
    <w:p w14:paraId="72C3949E" w14:textId="3A746590" w:rsidR="00DA3AFE" w:rsidRPr="00445472" w:rsidRDefault="00DA3AFE" w:rsidP="00DA3AFE">
      <w:pPr>
        <w:pStyle w:val="TEKSTIIII"/>
      </w:pPr>
      <w:r w:rsidRPr="00445472">
        <w:t>3.1 Përshkrimi i ujërave sipërfaqësor</w:t>
      </w:r>
      <w:r w:rsidR="00316F21">
        <w:t>e</w:t>
      </w:r>
      <w:r w:rsidRPr="00445472">
        <w:t xml:space="preserve"> </w:t>
      </w:r>
    </w:p>
    <w:p w14:paraId="542970DA" w14:textId="24210E0F" w:rsidR="00DA3AFE" w:rsidRPr="00445472" w:rsidRDefault="00DA3AFE" w:rsidP="00DA3AFE">
      <w:pPr>
        <w:pStyle w:val="TEKSTIIII"/>
      </w:pPr>
      <w:r w:rsidRPr="00445472">
        <w:t xml:space="preserve">3.2 Mbulesa e </w:t>
      </w:r>
      <w:r w:rsidR="007E76E3" w:rsidRPr="00445472">
        <w:t xml:space="preserve">Tokës dhe Korina </w:t>
      </w:r>
    </w:p>
    <w:p w14:paraId="54DB33FC" w14:textId="418589E5" w:rsidR="00DA3AFE" w:rsidRPr="00445472" w:rsidRDefault="00DA3AFE" w:rsidP="00DA3AFE">
      <w:pPr>
        <w:pStyle w:val="TEKSTIIII"/>
      </w:pPr>
      <w:r w:rsidRPr="00445472">
        <w:t xml:space="preserve">3.3 Efektet </w:t>
      </w:r>
      <w:r w:rsidR="007E76E3" w:rsidRPr="00445472">
        <w:t xml:space="preserve">klimatike </w:t>
      </w:r>
    </w:p>
    <w:p w14:paraId="78662DC0" w14:textId="6C80F9ED" w:rsidR="00DA3AFE" w:rsidRPr="00445472" w:rsidRDefault="00DA3AFE" w:rsidP="00DA3AFE">
      <w:pPr>
        <w:pStyle w:val="TEKSTIIII"/>
      </w:pPr>
      <w:r w:rsidRPr="00445472">
        <w:t xml:space="preserve">3.4 Prurja </w:t>
      </w:r>
      <w:r w:rsidR="007E76E3" w:rsidRPr="00445472">
        <w:t xml:space="preserve">lumore </w:t>
      </w:r>
    </w:p>
    <w:p w14:paraId="02F60B7A" w14:textId="3FE73B44" w:rsidR="00DA3AFE" w:rsidRPr="00445472" w:rsidRDefault="00DA3AFE" w:rsidP="00DA3AFE">
      <w:pPr>
        <w:pStyle w:val="TEKSTIIII"/>
      </w:pPr>
      <w:r w:rsidRPr="00445472">
        <w:t>3.5 Burimet ujore të Basenit Ujor Drin</w:t>
      </w:r>
      <w:r w:rsidR="007E76E3" w:rsidRPr="00445472">
        <w:t>–</w:t>
      </w:r>
      <w:r w:rsidRPr="00445472">
        <w:t xml:space="preserve">Bunë </w:t>
      </w:r>
    </w:p>
    <w:p w14:paraId="3422EA03" w14:textId="658DFC80" w:rsidR="00DA3AFE" w:rsidRPr="00445472" w:rsidRDefault="00DA3AFE" w:rsidP="00DA3AFE">
      <w:pPr>
        <w:pStyle w:val="TEKSTIIII"/>
      </w:pPr>
      <w:r w:rsidRPr="00445472">
        <w:t xml:space="preserve">3.5.1 Sistemi i modelimit dhe elementet e tij bazë </w:t>
      </w:r>
    </w:p>
    <w:p w14:paraId="3A7852C1" w14:textId="5628B229" w:rsidR="00DA3AFE" w:rsidRPr="00445472" w:rsidRDefault="00DA3AFE" w:rsidP="00DA3AFE">
      <w:pPr>
        <w:pStyle w:val="TEKSTIIII"/>
      </w:pPr>
      <w:r w:rsidRPr="00445472">
        <w:t xml:space="preserve">3.5.2 Shtrirja e modelit </w:t>
      </w:r>
    </w:p>
    <w:p w14:paraId="350B828B" w14:textId="44F5615B" w:rsidR="00DA3AFE" w:rsidRPr="00445472" w:rsidRDefault="00DA3AFE" w:rsidP="00DA3AFE">
      <w:pPr>
        <w:pStyle w:val="TEKSTIIII"/>
      </w:pPr>
      <w:r w:rsidRPr="00445472">
        <w:t xml:space="preserve">3.5.3 Përvijimi i nën baseneve </w:t>
      </w:r>
    </w:p>
    <w:p w14:paraId="159BCC77" w14:textId="7DCFA3E7" w:rsidR="00DA3AFE" w:rsidRPr="00445472" w:rsidRDefault="00DA3AFE" w:rsidP="00DA3AFE">
      <w:pPr>
        <w:pStyle w:val="TEKSTIIII"/>
      </w:pPr>
      <w:r w:rsidRPr="00445472">
        <w:t xml:space="preserve">3.5.4 Bilanci i </w:t>
      </w:r>
      <w:r w:rsidR="007E76E3" w:rsidRPr="00445472">
        <w:t xml:space="preserve">ujit </w:t>
      </w:r>
    </w:p>
    <w:p w14:paraId="14FFAD07" w14:textId="37E92297" w:rsidR="00DA3AFE" w:rsidRPr="00445472" w:rsidRDefault="00DA3AFE" w:rsidP="00DA3AFE">
      <w:pPr>
        <w:pStyle w:val="TEKSTIIII"/>
      </w:pPr>
      <w:r w:rsidRPr="00445472">
        <w:t xml:space="preserve">3.6 Karakterizimi i ujërave nëntokësore </w:t>
      </w:r>
    </w:p>
    <w:p w14:paraId="2F9D9712" w14:textId="36E9757D" w:rsidR="00DA3AFE" w:rsidRPr="00445472" w:rsidRDefault="00DA3AFE" w:rsidP="00DA3AFE">
      <w:pPr>
        <w:pStyle w:val="TEKSTIIII"/>
      </w:pPr>
      <w:r w:rsidRPr="00445472">
        <w:t xml:space="preserve">3.6.1 Akuiferi kuaternar i Shkodrës </w:t>
      </w:r>
    </w:p>
    <w:p w14:paraId="4BB969DA" w14:textId="45546A5F" w:rsidR="00DA3AFE" w:rsidRPr="00445472" w:rsidRDefault="00DA3AFE" w:rsidP="00DA3AFE">
      <w:pPr>
        <w:pStyle w:val="TEKSTIIII"/>
      </w:pPr>
      <w:r w:rsidRPr="00445472">
        <w:t xml:space="preserve">3.6.2 Akuiferi karbonatik </w:t>
      </w:r>
    </w:p>
    <w:p w14:paraId="231EA1A5" w14:textId="1E6402BF" w:rsidR="00DA3AFE" w:rsidRPr="00445472" w:rsidRDefault="00DA3AFE" w:rsidP="00DA3AFE">
      <w:pPr>
        <w:pStyle w:val="TEKSTIIII"/>
      </w:pPr>
      <w:r w:rsidRPr="00445472">
        <w:t xml:space="preserve">3.6.3 Akuiferi magmatik </w:t>
      </w:r>
    </w:p>
    <w:p w14:paraId="692BFB6C" w14:textId="6920AC60" w:rsidR="00DA3AFE" w:rsidRPr="00445472" w:rsidRDefault="00DA3AFE" w:rsidP="00DA3AFE">
      <w:pPr>
        <w:pStyle w:val="TEKSTIIII"/>
      </w:pPr>
      <w:r w:rsidRPr="00445472">
        <w:t xml:space="preserve">4 Presionet dhe Ndikimet </w:t>
      </w:r>
    </w:p>
    <w:p w14:paraId="57595F2F" w14:textId="46D81E31" w:rsidR="00DA3AFE" w:rsidRPr="00445472" w:rsidRDefault="00DA3AFE" w:rsidP="00DA3AFE">
      <w:pPr>
        <w:pStyle w:val="TEKSTIIII"/>
      </w:pPr>
      <w:r w:rsidRPr="00445472">
        <w:t xml:space="preserve">4.1 Burimet e ndotjes së ujit në Basenin Ujor </w:t>
      </w:r>
      <w:r w:rsidR="007E76E3" w:rsidRPr="00445472">
        <w:t>Drin–Bunë</w:t>
      </w:r>
      <w:r w:rsidRPr="00445472">
        <w:t xml:space="preserve"> </w:t>
      </w:r>
    </w:p>
    <w:p w14:paraId="1AA57F12" w14:textId="3048C8C7" w:rsidR="00DA3AFE" w:rsidRPr="00445472" w:rsidRDefault="00DA3AFE" w:rsidP="00DA3AFE">
      <w:pPr>
        <w:pStyle w:val="TEKSTIIII"/>
      </w:pPr>
      <w:r w:rsidRPr="00445472">
        <w:t xml:space="preserve">4.1.1 Menaxhimi i mbetjeve </w:t>
      </w:r>
    </w:p>
    <w:p w14:paraId="5A0885B7" w14:textId="7A8BA325" w:rsidR="00DA3AFE" w:rsidRPr="00445472" w:rsidRDefault="00DA3AFE" w:rsidP="00DA3AFE">
      <w:pPr>
        <w:pStyle w:val="TEKSTIIII"/>
      </w:pPr>
      <w:r w:rsidRPr="00445472">
        <w:t xml:space="preserve">4.1.2 Aktiviteti industrial </w:t>
      </w:r>
    </w:p>
    <w:p w14:paraId="13FEB5D1" w14:textId="59FEC843" w:rsidR="00DA3AFE" w:rsidRPr="00445472" w:rsidRDefault="00DA3AFE" w:rsidP="00DA3AFE">
      <w:pPr>
        <w:pStyle w:val="TEKSTIIII"/>
      </w:pPr>
      <w:r w:rsidRPr="00445472">
        <w:t xml:space="preserve">4.1.3 Erozioni </w:t>
      </w:r>
    </w:p>
    <w:p w14:paraId="2D91E1D4" w14:textId="1E559C11" w:rsidR="00DA3AFE" w:rsidRPr="00445472" w:rsidRDefault="00DA3AFE" w:rsidP="00DA3AFE">
      <w:pPr>
        <w:pStyle w:val="TEKSTIIII"/>
      </w:pPr>
      <w:r w:rsidRPr="00445472">
        <w:t xml:space="preserve">4.1.4 Hidrocentralet </w:t>
      </w:r>
    </w:p>
    <w:p w14:paraId="50913FC1" w14:textId="5550F6F7" w:rsidR="00DA3AFE" w:rsidRPr="00445472" w:rsidRDefault="00DA3AFE" w:rsidP="00DA3AFE">
      <w:pPr>
        <w:pStyle w:val="TEKSTIIII"/>
      </w:pPr>
      <w:r w:rsidRPr="00445472">
        <w:t xml:space="preserve">4.1.5 Ndotja bujqësore </w:t>
      </w:r>
    </w:p>
    <w:p w14:paraId="6F47C2BA" w14:textId="1E1F43D0" w:rsidR="00DA3AFE" w:rsidRPr="00445472" w:rsidRDefault="00DA3AFE" w:rsidP="00DA3AFE">
      <w:pPr>
        <w:pStyle w:val="TEKSTIIII"/>
      </w:pPr>
      <w:r w:rsidRPr="00445472">
        <w:t xml:space="preserve">4.1.6 Ndotja e ujërave nëntokësore </w:t>
      </w:r>
    </w:p>
    <w:p w14:paraId="2F063DD3" w14:textId="3079537D" w:rsidR="00DA3AFE" w:rsidRPr="00445472" w:rsidRDefault="00DA3AFE" w:rsidP="00DA3AFE">
      <w:pPr>
        <w:pStyle w:val="TEKSTIIII"/>
      </w:pPr>
      <w:r w:rsidRPr="00445472">
        <w:t xml:space="preserve">4.1.7 Turizmi </w:t>
      </w:r>
    </w:p>
    <w:p w14:paraId="1D7EA2FE" w14:textId="39849C7B" w:rsidR="00DA3AFE" w:rsidRPr="00445472" w:rsidRDefault="00DA3AFE" w:rsidP="00DA3AFE">
      <w:pPr>
        <w:pStyle w:val="TEKSTIIII"/>
      </w:pPr>
      <w:r w:rsidRPr="00445472">
        <w:t xml:space="preserve">4.1.8 Konkluzionet dhe kontradiktat e mundshme </w:t>
      </w:r>
    </w:p>
    <w:p w14:paraId="1E3FADDC" w14:textId="7EC51532" w:rsidR="00DA3AFE" w:rsidRPr="00445472" w:rsidRDefault="00DA3AFE" w:rsidP="00DA3AFE">
      <w:pPr>
        <w:pStyle w:val="TEKSTIIII"/>
      </w:pPr>
      <w:r w:rsidRPr="00445472">
        <w:t xml:space="preserve">4.2 Ndikimi i kushteve hidrologjike aktuale dhe të ardhshme në Basenin Ujor </w:t>
      </w:r>
      <w:r w:rsidR="007E76E3" w:rsidRPr="00445472">
        <w:t>Drin–Bunë</w:t>
      </w:r>
      <w:r w:rsidRPr="00445472">
        <w:t xml:space="preserve"> 56</w:t>
      </w:r>
    </w:p>
    <w:p w14:paraId="0BFDA49F" w14:textId="2F73EBC2" w:rsidR="00DA3AFE" w:rsidRPr="00445472" w:rsidRDefault="00DA3AFE" w:rsidP="00DA3AFE">
      <w:pPr>
        <w:pStyle w:val="TEKSTIIII"/>
      </w:pPr>
      <w:r w:rsidRPr="00445472">
        <w:t xml:space="preserve">4.2.1 Rezultatet e modelimit </w:t>
      </w:r>
    </w:p>
    <w:p w14:paraId="1CA1171E" w14:textId="53BEB454" w:rsidR="00DA3AFE" w:rsidRPr="00445472" w:rsidRDefault="00DA3AFE" w:rsidP="00DA3AFE">
      <w:pPr>
        <w:pStyle w:val="TEKSTIIII"/>
      </w:pPr>
      <w:r w:rsidRPr="00445472">
        <w:lastRenderedPageBreak/>
        <w:t xml:space="preserve">4.2.2 Konkluzionet dhe rekomandimet të </w:t>
      </w:r>
      <w:r w:rsidR="007E76E3" w:rsidRPr="00445472">
        <w:t>skenarëve</w:t>
      </w:r>
      <w:r w:rsidRPr="00445472">
        <w:t xml:space="preserve"> të modelimit </w:t>
      </w:r>
    </w:p>
    <w:p w14:paraId="6B00ABF1" w14:textId="569FD1AA" w:rsidR="00DA3AFE" w:rsidRPr="00445472" w:rsidRDefault="00DA3AFE" w:rsidP="00DA3AFE">
      <w:pPr>
        <w:pStyle w:val="TEKSTIIII"/>
      </w:pPr>
      <w:r w:rsidRPr="00445472">
        <w:t>4.2.3 Përcaktimi i mëtejshëm i regjimit hidrologjik (rrjedhja ekologjike) në lidhje me objektivat mjedisor</w:t>
      </w:r>
      <w:r w:rsidR="00DA3731" w:rsidRPr="00445472">
        <w:t>ë</w:t>
      </w:r>
      <w:r w:rsidRPr="00445472">
        <w:t xml:space="preserve"> </w:t>
      </w:r>
    </w:p>
    <w:p w14:paraId="13D138C9" w14:textId="34510990" w:rsidR="00DA3AFE" w:rsidRPr="00445472" w:rsidRDefault="00DA3AFE" w:rsidP="00DA3AFE">
      <w:pPr>
        <w:pStyle w:val="TEKSTIIII"/>
      </w:pPr>
      <w:r w:rsidRPr="00445472">
        <w:t xml:space="preserve">5 Zonat e </w:t>
      </w:r>
      <w:r w:rsidR="007E76E3" w:rsidRPr="00445472">
        <w:t xml:space="preserve">mbrojtura </w:t>
      </w:r>
    </w:p>
    <w:p w14:paraId="5C7C30CA" w14:textId="619E6BEC" w:rsidR="00DA3AFE" w:rsidRPr="00445472" w:rsidRDefault="00DA3AFE" w:rsidP="00DA3AFE">
      <w:pPr>
        <w:pStyle w:val="TEKSTIIII"/>
      </w:pPr>
      <w:r w:rsidRPr="00445472">
        <w:t xml:space="preserve">5.1 Hyrje </w:t>
      </w:r>
    </w:p>
    <w:p w14:paraId="236890F2" w14:textId="159F2902" w:rsidR="00DA3AFE" w:rsidRPr="00445472" w:rsidRDefault="00DA3AFE" w:rsidP="00DA3AFE">
      <w:pPr>
        <w:pStyle w:val="TEKSTIIII"/>
      </w:pPr>
      <w:r w:rsidRPr="00445472">
        <w:t xml:space="preserve">5.2 Zonat e mbrojtura nën DKU </w:t>
      </w:r>
    </w:p>
    <w:p w14:paraId="7D8D6C67" w14:textId="15F4F743" w:rsidR="00DA3AFE" w:rsidRPr="00445472" w:rsidRDefault="00DA3AFE" w:rsidP="00DA3AFE">
      <w:pPr>
        <w:pStyle w:val="TEKSTIIII"/>
      </w:pPr>
      <w:r w:rsidRPr="00445472">
        <w:t xml:space="preserve">5.3 Zonat e mbrojtjes higjieno-sanitare </w:t>
      </w:r>
    </w:p>
    <w:p w14:paraId="3584991D" w14:textId="71BE8E64" w:rsidR="00DA3AFE" w:rsidRPr="00445472" w:rsidRDefault="00DA3AFE" w:rsidP="00DA3AFE">
      <w:pPr>
        <w:pStyle w:val="TEKSTIIII"/>
      </w:pPr>
      <w:r w:rsidRPr="00445472">
        <w:t xml:space="preserve">5.4 Zonat e përcaktuara për Mbrojtjen e Specieve Ujore Ekonomikisht të rëndësishme </w:t>
      </w:r>
    </w:p>
    <w:p w14:paraId="3AF2C461" w14:textId="341D3008" w:rsidR="00DA3AFE" w:rsidRPr="00445472" w:rsidRDefault="00DA3AFE" w:rsidP="00DA3AFE">
      <w:pPr>
        <w:pStyle w:val="TEKSTIIII"/>
      </w:pPr>
      <w:r w:rsidRPr="00445472">
        <w:t xml:space="preserve">5.5 Trupat Ujorë të Përcaktuar si Ujëra Rekreative dhe të Larjes </w:t>
      </w:r>
    </w:p>
    <w:p w14:paraId="0E6484B9" w14:textId="50F473E5" w:rsidR="00DA3AFE" w:rsidRPr="00445472" w:rsidRDefault="00DA3AFE" w:rsidP="00DA3AFE">
      <w:pPr>
        <w:pStyle w:val="TEKSTIIII"/>
      </w:pPr>
      <w:r w:rsidRPr="00445472">
        <w:t xml:space="preserve">5.6 Zonat e ndjeshme ndaj lëndëve ushqyese, duke përfshirë zonat e përcaktuara si të </w:t>
      </w:r>
      <w:r w:rsidR="007E76E3" w:rsidRPr="00445472">
        <w:t>cenueshme</w:t>
      </w:r>
      <w:r w:rsidRPr="00445472">
        <w:t xml:space="preserve"> </w:t>
      </w:r>
    </w:p>
    <w:p w14:paraId="41446B9F" w14:textId="479B9884" w:rsidR="00DA3AFE" w:rsidRPr="00445472" w:rsidRDefault="00DA3AFE" w:rsidP="00DA3AFE">
      <w:pPr>
        <w:pStyle w:val="TEKSTIIII"/>
      </w:pPr>
      <w:r w:rsidRPr="00445472">
        <w:t xml:space="preserve">5.7 Zonat e përcaktuara për mbrojtjen e </w:t>
      </w:r>
      <w:r w:rsidR="007E76E3" w:rsidRPr="00445472">
        <w:t xml:space="preserve">habitateve </w:t>
      </w:r>
      <w:r w:rsidRPr="00445472">
        <w:t xml:space="preserve">ose </w:t>
      </w:r>
      <w:r w:rsidR="007E76E3" w:rsidRPr="00445472">
        <w:t xml:space="preserve">specieve </w:t>
      </w:r>
    </w:p>
    <w:p w14:paraId="78E1985D" w14:textId="5E666E27" w:rsidR="00DA3AFE" w:rsidRPr="00445472" w:rsidRDefault="00DA3AFE" w:rsidP="00DA3AFE">
      <w:pPr>
        <w:pStyle w:val="TEKSTIIII"/>
      </w:pPr>
      <w:r w:rsidRPr="00445472">
        <w:t xml:space="preserve">6 Rrjeti i Monitorimit të Cilësisë së Ujit </w:t>
      </w:r>
    </w:p>
    <w:p w14:paraId="019F0D51" w14:textId="1A9CA4DD" w:rsidR="00DA3AFE" w:rsidRPr="00445472" w:rsidRDefault="00DA3AFE" w:rsidP="00DA3AFE">
      <w:pPr>
        <w:pStyle w:val="TEKSTIIII"/>
      </w:pPr>
      <w:r w:rsidRPr="00445472">
        <w:t xml:space="preserve">6.1 Hyrje </w:t>
      </w:r>
    </w:p>
    <w:p w14:paraId="4DCE94B2" w14:textId="066D6BD5" w:rsidR="00DA3AFE" w:rsidRPr="00445472" w:rsidRDefault="00DA3AFE" w:rsidP="00DA3AFE">
      <w:pPr>
        <w:pStyle w:val="TEKSTIIII"/>
      </w:pPr>
      <w:r w:rsidRPr="00445472">
        <w:t xml:space="preserve">6.2 Kërkesat e Monitorimit të Ujërave Sipërfaqësorë në kuadër të DKU-së </w:t>
      </w:r>
    </w:p>
    <w:p w14:paraId="092B5A51" w14:textId="2ECE910A" w:rsidR="00DA3AFE" w:rsidRPr="00445472" w:rsidRDefault="00DA3AFE" w:rsidP="00DA3AFE">
      <w:pPr>
        <w:pStyle w:val="TEKSTIIII"/>
      </w:pPr>
      <w:r w:rsidRPr="00445472">
        <w:t xml:space="preserve">6.2.1 Rrjeti i monitorimit të ujit </w:t>
      </w:r>
    </w:p>
    <w:p w14:paraId="5F3498B6" w14:textId="08E35584" w:rsidR="00DA3AFE" w:rsidRPr="00445472" w:rsidRDefault="00DA3AFE" w:rsidP="00DA3AFE">
      <w:pPr>
        <w:pStyle w:val="TEKSTIIII"/>
      </w:pPr>
      <w:r w:rsidRPr="00445472">
        <w:t xml:space="preserve">6.2.2 Monitorimi </w:t>
      </w:r>
      <w:r w:rsidR="007E76E3" w:rsidRPr="00445472">
        <w:t>Mbikëqyrës</w:t>
      </w:r>
      <w:r w:rsidRPr="00445472">
        <w:t xml:space="preserve"> </w:t>
      </w:r>
    </w:p>
    <w:p w14:paraId="7FD35C4C" w14:textId="7CAEF0D4" w:rsidR="00DA3AFE" w:rsidRPr="00445472" w:rsidRDefault="00DA3AFE" w:rsidP="00DA3AFE">
      <w:pPr>
        <w:pStyle w:val="TEKSTIIII"/>
      </w:pPr>
      <w:r w:rsidRPr="00445472">
        <w:t xml:space="preserve">6.2.3 Monitorimi Operacional </w:t>
      </w:r>
    </w:p>
    <w:p w14:paraId="6A88DC2C" w14:textId="5E59FCC9" w:rsidR="00DA3AFE" w:rsidRPr="00445472" w:rsidRDefault="00DA3AFE" w:rsidP="00DA3AFE">
      <w:pPr>
        <w:pStyle w:val="TEKSTIIII"/>
      </w:pPr>
      <w:r w:rsidRPr="00445472">
        <w:t xml:space="preserve">6.2.4 Monitorimi Investigues </w:t>
      </w:r>
    </w:p>
    <w:p w14:paraId="1F737AE6" w14:textId="3D4389F4" w:rsidR="00DA3AFE" w:rsidRPr="00445472" w:rsidRDefault="00DA3AFE" w:rsidP="00DA3AFE">
      <w:pPr>
        <w:pStyle w:val="TEKSTIIII"/>
      </w:pPr>
      <w:r w:rsidRPr="00445472">
        <w:t xml:space="preserve">6.2.5 Frekuenca e monitorimit </w:t>
      </w:r>
    </w:p>
    <w:p w14:paraId="2C3E8726" w14:textId="631034CC" w:rsidR="00DA3AFE" w:rsidRPr="00445472" w:rsidRDefault="00DA3AFE" w:rsidP="00DA3AFE">
      <w:pPr>
        <w:pStyle w:val="TEKSTIIII"/>
      </w:pPr>
      <w:r w:rsidRPr="00445472">
        <w:t xml:space="preserve">6.2.6 Përcaktimi i standardeve të cilësisë së mjedisit (SCM) për elementet e cilësisë kimike </w:t>
      </w:r>
    </w:p>
    <w:p w14:paraId="75D37C1E" w14:textId="1BC5BA3D" w:rsidR="00DA3AFE" w:rsidRPr="00445472" w:rsidRDefault="00DA3AFE" w:rsidP="00DA3AFE">
      <w:pPr>
        <w:pStyle w:val="TEKSTIIII"/>
      </w:pPr>
      <w:r w:rsidRPr="00445472">
        <w:t>6.2.7 Ujërat ndërkufitar</w:t>
      </w:r>
      <w:r w:rsidR="00504992" w:rsidRPr="00445472">
        <w:t>e</w:t>
      </w:r>
      <w:r w:rsidRPr="00445472">
        <w:t xml:space="preserve"> </w:t>
      </w:r>
    </w:p>
    <w:p w14:paraId="4D4D7765" w14:textId="79E401AF" w:rsidR="00DA3AFE" w:rsidRPr="00445472" w:rsidRDefault="00DA3AFE" w:rsidP="00DA3AFE">
      <w:pPr>
        <w:pStyle w:val="TEKSTIIII"/>
      </w:pPr>
      <w:r w:rsidRPr="00445472">
        <w:t xml:space="preserve">6.2.8 Kushtet e referencës për trupat ujorë sipërfaqësorë </w:t>
      </w:r>
    </w:p>
    <w:p w14:paraId="2FEA3822" w14:textId="3B217F66" w:rsidR="00DA3AFE" w:rsidRPr="00445472" w:rsidRDefault="00DA3AFE" w:rsidP="00DA3AFE">
      <w:pPr>
        <w:pStyle w:val="TEKSTIIII"/>
      </w:pPr>
      <w:r w:rsidRPr="00445472">
        <w:t xml:space="preserve">6.2.9 Monitorimi i standardeve/metodave </w:t>
      </w:r>
    </w:p>
    <w:p w14:paraId="3E104D3D" w14:textId="32BE1108" w:rsidR="00DA3AFE" w:rsidRPr="00445472" w:rsidRDefault="00DA3AFE" w:rsidP="00DA3AFE">
      <w:pPr>
        <w:pStyle w:val="TEKSTIIII"/>
      </w:pPr>
      <w:r w:rsidRPr="00445472">
        <w:t xml:space="preserve">6.3 Programi i Monitorimit të Ujit Sipërfaqësor në përputhje me DKU-në për Basenin Ujor </w:t>
      </w:r>
      <w:r w:rsidR="007E76E3" w:rsidRPr="00445472">
        <w:t>Drin–Bunë</w:t>
      </w:r>
      <w:r w:rsidRPr="00445472">
        <w:t xml:space="preserve"> </w:t>
      </w:r>
    </w:p>
    <w:p w14:paraId="6864DDC7" w14:textId="13691BA8" w:rsidR="00DA3AFE" w:rsidRPr="00445472" w:rsidRDefault="00DA3AFE" w:rsidP="00DA3AFE">
      <w:pPr>
        <w:pStyle w:val="TEKSTIIII"/>
      </w:pPr>
      <w:r w:rsidRPr="00445472">
        <w:t xml:space="preserve">6.3.1 Përmbledhje e programit të monitorimit </w:t>
      </w:r>
    </w:p>
    <w:p w14:paraId="009D12E2" w14:textId="0CEE8156" w:rsidR="00DA3AFE" w:rsidRPr="00445472" w:rsidRDefault="00DA3AFE" w:rsidP="00DA3AFE">
      <w:pPr>
        <w:pStyle w:val="TEKSTIIII"/>
      </w:pPr>
      <w:r w:rsidRPr="00445472">
        <w:t xml:space="preserve">6.3.2 Objektivat e programit monitorues </w:t>
      </w:r>
    </w:p>
    <w:p w14:paraId="24EA17AF" w14:textId="699919E9" w:rsidR="00DA3AFE" w:rsidRPr="00445472" w:rsidRDefault="00DA3AFE" w:rsidP="00DA3AFE">
      <w:pPr>
        <w:pStyle w:val="TEKSTIIII"/>
      </w:pPr>
      <w:r w:rsidRPr="00445472">
        <w:t xml:space="preserve">6.3.3 Hartimi i monitorimit </w:t>
      </w:r>
      <w:r w:rsidR="007E76E3" w:rsidRPr="00445472">
        <w:t>mbikëqyrës</w:t>
      </w:r>
      <w:r w:rsidRPr="00445472">
        <w:t xml:space="preserve"> të ujërave </w:t>
      </w:r>
    </w:p>
    <w:p w14:paraId="439B552A" w14:textId="3D7CD164" w:rsidR="00DA3AFE" w:rsidRPr="00445472" w:rsidRDefault="00DA3AFE" w:rsidP="00DA3AFE">
      <w:pPr>
        <w:pStyle w:val="TEKSTIIII"/>
      </w:pPr>
      <w:r w:rsidRPr="00445472">
        <w:t xml:space="preserve">6.4 Kërkesat e Monitorimit të Ujërave nëntokësorë për DKU-në </w:t>
      </w:r>
    </w:p>
    <w:p w14:paraId="391F0144" w14:textId="7879CE41" w:rsidR="00DA3AFE" w:rsidRPr="00445472" w:rsidRDefault="00DA3AFE" w:rsidP="00DA3AFE">
      <w:pPr>
        <w:pStyle w:val="TEKSTIIII"/>
      </w:pPr>
      <w:r w:rsidRPr="00445472">
        <w:t xml:space="preserve">6.4.1 Monitorimi sasior i ujërave nëntokësorë </w:t>
      </w:r>
    </w:p>
    <w:p w14:paraId="75805721" w14:textId="5C055AE1" w:rsidR="00DA3AFE" w:rsidRPr="00445472" w:rsidRDefault="00DA3AFE" w:rsidP="00DA3AFE">
      <w:pPr>
        <w:pStyle w:val="TEKSTIIII"/>
      </w:pPr>
      <w:r w:rsidRPr="00445472">
        <w:t xml:space="preserve">6.5 Programi i monitorimit të ujërave nëntokësorë në përputhje me DKU-në për Basenin Ujor </w:t>
      </w:r>
      <w:r w:rsidR="007E76E3" w:rsidRPr="00445472">
        <w:t>Drin–Bunë</w:t>
      </w:r>
      <w:r w:rsidRPr="00445472">
        <w:t xml:space="preserve"> </w:t>
      </w:r>
    </w:p>
    <w:p w14:paraId="579B8D7D" w14:textId="3FDA23B0" w:rsidR="00DA3AFE" w:rsidRPr="00445472" w:rsidRDefault="00DA3AFE" w:rsidP="00DA3AFE">
      <w:pPr>
        <w:pStyle w:val="TEKSTIIII"/>
      </w:pPr>
      <w:r w:rsidRPr="00445472">
        <w:t xml:space="preserve">6.5.1 Monitorimi aktual i ujërave nëntokësorë në Basenin Ujor </w:t>
      </w:r>
      <w:r w:rsidR="007E76E3" w:rsidRPr="00445472">
        <w:t>Drin–Bunë</w:t>
      </w:r>
      <w:r w:rsidRPr="00445472">
        <w:t xml:space="preserve"> </w:t>
      </w:r>
    </w:p>
    <w:p w14:paraId="058FE209" w14:textId="199CC145" w:rsidR="00DA3AFE" w:rsidRPr="00445472" w:rsidRDefault="00DA3AFE" w:rsidP="00DA3AFE">
      <w:pPr>
        <w:pStyle w:val="TEKSTIIII"/>
      </w:pPr>
      <w:r w:rsidRPr="00445472">
        <w:t xml:space="preserve">6.5.2 Mangësitë në monitorimin e ujërave nëntokësorë </w:t>
      </w:r>
    </w:p>
    <w:p w14:paraId="7BDF1CC7" w14:textId="33A0F044" w:rsidR="00DA3AFE" w:rsidRPr="00445472" w:rsidRDefault="00DA3AFE" w:rsidP="00DA3AFE">
      <w:pPr>
        <w:pStyle w:val="TEKSTIIII"/>
      </w:pPr>
      <w:r w:rsidRPr="00445472">
        <w:t xml:space="preserve">6.5.3 Rekomandim për hartimin e programit të monitorimit të ujërave nëntokësorë </w:t>
      </w:r>
    </w:p>
    <w:p w14:paraId="395FF042" w14:textId="129B9AE5" w:rsidR="00DA3AFE" w:rsidRPr="00445472" w:rsidRDefault="00DA3AFE" w:rsidP="00DA3AFE">
      <w:pPr>
        <w:pStyle w:val="TEKSTIIII"/>
      </w:pPr>
      <w:r w:rsidRPr="00445472">
        <w:t xml:space="preserve">6.6 Monitorimi i Zonave të Mbrojtura në Basenin Ujor </w:t>
      </w:r>
      <w:r w:rsidR="007E76E3" w:rsidRPr="00445472">
        <w:t>Drin–Bunë</w:t>
      </w:r>
      <w:r w:rsidRPr="00445472">
        <w:t xml:space="preserve"> </w:t>
      </w:r>
    </w:p>
    <w:p w14:paraId="3090F875" w14:textId="4424CABC" w:rsidR="00DA3AFE" w:rsidRPr="00445472" w:rsidRDefault="00DA3AFE" w:rsidP="00DA3AFE">
      <w:pPr>
        <w:pStyle w:val="TEKSTIIII"/>
      </w:pPr>
      <w:r w:rsidRPr="00445472">
        <w:t xml:space="preserve">6.6.1 Zonat e mbrojtjes higjieno-sanitare </w:t>
      </w:r>
    </w:p>
    <w:p w14:paraId="44986A3C" w14:textId="528267C3" w:rsidR="00DA3AFE" w:rsidRPr="00445472" w:rsidRDefault="00DA3AFE" w:rsidP="00DA3AFE">
      <w:pPr>
        <w:pStyle w:val="TEKSTIIII"/>
      </w:pPr>
      <w:r w:rsidRPr="00445472">
        <w:t xml:space="preserve">6.6.2 Zonat e përcaktuara për mbrojtjen e llojeve të specieve ujore të konsiderueshme ekonomikisht </w:t>
      </w:r>
    </w:p>
    <w:p w14:paraId="26304F73" w14:textId="6FD37908" w:rsidR="00DA3AFE" w:rsidRPr="00445472" w:rsidRDefault="00DA3AFE" w:rsidP="00DA3AFE">
      <w:pPr>
        <w:pStyle w:val="TEKSTIIII"/>
      </w:pPr>
      <w:r w:rsidRPr="00445472">
        <w:t xml:space="preserve">6.6.3 Trupat ujorë të përcaktuara si ujëra rekreative dhe të larjes </w:t>
      </w:r>
    </w:p>
    <w:p w14:paraId="2664A57A" w14:textId="4ACEA200" w:rsidR="00DA3AFE" w:rsidRPr="00445472" w:rsidRDefault="00DA3AFE" w:rsidP="00DA3AFE">
      <w:pPr>
        <w:pStyle w:val="TEKSTIIII"/>
      </w:pPr>
      <w:r w:rsidRPr="00445472">
        <w:t xml:space="preserve">6.6.4 Zonat me ndjeshmëri ndaj lëndëve ushqyese, duke përfshirë zonat e përcaktuara si zona </w:t>
      </w:r>
      <w:r w:rsidR="007E76E3" w:rsidRPr="00445472">
        <w:t>të cenueshme</w:t>
      </w:r>
      <w:r w:rsidRPr="00445472">
        <w:t xml:space="preserve"> </w:t>
      </w:r>
    </w:p>
    <w:p w14:paraId="7E2D03B8" w14:textId="3C700B45" w:rsidR="00DA3AFE" w:rsidRPr="00445472" w:rsidRDefault="00DA3AFE" w:rsidP="00DA3AFE">
      <w:pPr>
        <w:pStyle w:val="TEKSTIIII"/>
      </w:pPr>
      <w:r w:rsidRPr="00445472">
        <w:t xml:space="preserve">6.6.5 Zonat e përcaktuara për mbrojtjen e habitateve ose specieve </w:t>
      </w:r>
    </w:p>
    <w:p w14:paraId="1FF4B836" w14:textId="316D336E" w:rsidR="00DA3AFE" w:rsidRPr="00445472" w:rsidRDefault="00DA3AFE" w:rsidP="00DA3AFE">
      <w:pPr>
        <w:pStyle w:val="TEKSTIIII"/>
      </w:pPr>
      <w:r w:rsidRPr="00445472">
        <w:t xml:space="preserve">6.6.6 Rekomandime për monitorimin e Zonave të Mbrojtura </w:t>
      </w:r>
    </w:p>
    <w:p w14:paraId="0A4BA798" w14:textId="455AC2E0" w:rsidR="00DA3AFE" w:rsidRPr="00445472" w:rsidRDefault="00DA3AFE" w:rsidP="00DA3AFE">
      <w:pPr>
        <w:pStyle w:val="TEKSTIIII"/>
      </w:pPr>
      <w:r w:rsidRPr="00445472">
        <w:t xml:space="preserve">7 Statusi i Ujit </w:t>
      </w:r>
    </w:p>
    <w:p w14:paraId="136919A2" w14:textId="45F2E2E4" w:rsidR="00DA3AFE" w:rsidRPr="00445472" w:rsidRDefault="00DA3AFE" w:rsidP="00DA3AFE">
      <w:pPr>
        <w:pStyle w:val="TEKSTIIII"/>
      </w:pPr>
      <w:r w:rsidRPr="00445472">
        <w:t xml:space="preserve">7.1 Monitorimi i Cilësisë së Ujit Sipërfaqësor </w:t>
      </w:r>
    </w:p>
    <w:p w14:paraId="42092428" w14:textId="5A8B1A74" w:rsidR="00DA3AFE" w:rsidRPr="00445472" w:rsidRDefault="00DA3AFE" w:rsidP="00DA3AFE">
      <w:pPr>
        <w:pStyle w:val="TEKSTIIII"/>
      </w:pPr>
      <w:r w:rsidRPr="00445472">
        <w:t xml:space="preserve">7.1.1 Përmbledhje e cilësisë së ujit të lumenjve sipërfaqësorë në Basenin Ujor </w:t>
      </w:r>
      <w:r w:rsidR="007E76E3" w:rsidRPr="00445472">
        <w:t>Drin–Bunë</w:t>
      </w:r>
      <w:r w:rsidRPr="00445472">
        <w:t xml:space="preserve"> në vitin 2015 </w:t>
      </w:r>
    </w:p>
    <w:p w14:paraId="73BCF73B" w14:textId="22E03645" w:rsidR="00DA3AFE" w:rsidRPr="00445472" w:rsidRDefault="00DA3AFE" w:rsidP="00DA3AFE">
      <w:pPr>
        <w:pStyle w:val="TEKSTIIII"/>
      </w:pPr>
      <w:r w:rsidRPr="00445472">
        <w:t xml:space="preserve">7.1.2 Trendet e cilësisë së ujit në lumenjtë e Basenit </w:t>
      </w:r>
      <w:r w:rsidR="007E76E3" w:rsidRPr="00445472">
        <w:t>Drin–Bunë</w:t>
      </w:r>
      <w:r w:rsidRPr="00445472">
        <w:t xml:space="preserve"> </w:t>
      </w:r>
    </w:p>
    <w:p w14:paraId="3365976F" w14:textId="14125515" w:rsidR="00DA3AFE" w:rsidRPr="00445472" w:rsidRDefault="00DA3AFE" w:rsidP="00DA3AFE">
      <w:pPr>
        <w:pStyle w:val="TEKSTIIII"/>
      </w:pPr>
      <w:r w:rsidRPr="00445472">
        <w:lastRenderedPageBreak/>
        <w:t xml:space="preserve">7.1.3 Monitorimi i liqeneve të basenit ujor </w:t>
      </w:r>
      <w:r w:rsidR="007E76E3" w:rsidRPr="00445472">
        <w:t>Drin–Bunë</w:t>
      </w:r>
      <w:r w:rsidRPr="00445472">
        <w:t xml:space="preserve"> </w:t>
      </w:r>
    </w:p>
    <w:p w14:paraId="5B6F40AF" w14:textId="12C07D2A" w:rsidR="00DA3AFE" w:rsidRPr="00445472" w:rsidRDefault="00DA3AFE" w:rsidP="00DA3AFE">
      <w:pPr>
        <w:pStyle w:val="TEKSTIIII"/>
      </w:pPr>
      <w:r w:rsidRPr="00445472">
        <w:t xml:space="preserve">7.1.4 Monitorimi i ujërave detare </w:t>
      </w:r>
    </w:p>
    <w:p w14:paraId="56115EBA" w14:textId="57D6C872" w:rsidR="00DA3AFE" w:rsidRPr="00445472" w:rsidRDefault="00DA3AFE" w:rsidP="00DA3AFE">
      <w:pPr>
        <w:pStyle w:val="TEKSTIIII"/>
      </w:pPr>
      <w:r w:rsidRPr="00445472">
        <w:t>7.2 Vlerësimi i Shpejtë Biologjik (</w:t>
      </w:r>
      <w:r w:rsidR="00316F21">
        <w:t>VSHB</w:t>
      </w:r>
      <w:r w:rsidRPr="00445472">
        <w:t xml:space="preserve">) në Basenin Ujor </w:t>
      </w:r>
      <w:r w:rsidR="007E76E3" w:rsidRPr="00445472">
        <w:t>Drin–Bunë</w:t>
      </w:r>
      <w:r w:rsidRPr="00445472">
        <w:t xml:space="preserve"> </w:t>
      </w:r>
    </w:p>
    <w:p w14:paraId="736BE7A6" w14:textId="27EC2FBC" w:rsidR="00DA3AFE" w:rsidRPr="00445472" w:rsidRDefault="00DA3AFE" w:rsidP="00DA3AFE">
      <w:pPr>
        <w:pStyle w:val="TEKSTIIII"/>
      </w:pPr>
      <w:r w:rsidRPr="00445472">
        <w:t xml:space="preserve">7.2.1 Karakterizimi i </w:t>
      </w:r>
      <w:r w:rsidR="007E76E3" w:rsidRPr="00445472">
        <w:t>basenit ujor Drin–Bunë</w:t>
      </w:r>
      <w:r w:rsidRPr="00445472">
        <w:t xml:space="preserve"> </w:t>
      </w:r>
    </w:p>
    <w:p w14:paraId="0DA2C298" w14:textId="7DBFBD1A" w:rsidR="00DA3AFE" w:rsidRPr="00445472" w:rsidRDefault="00DA3AFE" w:rsidP="00DA3AFE">
      <w:pPr>
        <w:pStyle w:val="TEKSTIIII"/>
      </w:pPr>
      <w:r w:rsidRPr="00445472">
        <w:t xml:space="preserve">7.3 Përfundimet në lidhje me statusin e cilësisë së ujërave sipërfaqësorë në Basenin Ujor </w:t>
      </w:r>
      <w:r w:rsidR="007E76E3" w:rsidRPr="00445472">
        <w:t>Drin–Bunë</w:t>
      </w:r>
      <w:r w:rsidRPr="00445472">
        <w:t xml:space="preserve"> </w:t>
      </w:r>
    </w:p>
    <w:p w14:paraId="380FFB4A" w14:textId="43184006" w:rsidR="00DA3AFE" w:rsidRPr="00445472" w:rsidRDefault="00DA3AFE" w:rsidP="00DA3AFE">
      <w:pPr>
        <w:pStyle w:val="TEKSTIIII"/>
      </w:pPr>
      <w:r w:rsidRPr="00445472">
        <w:t xml:space="preserve">7.4 Vlerësimi i cilësisë së ujërave nëntokësorë </w:t>
      </w:r>
    </w:p>
    <w:p w14:paraId="582816F4" w14:textId="145CF994" w:rsidR="00DA3AFE" w:rsidRPr="00445472" w:rsidRDefault="00DA3AFE" w:rsidP="00DA3AFE">
      <w:pPr>
        <w:pStyle w:val="TEKSTIIII"/>
      </w:pPr>
      <w:r w:rsidRPr="00445472">
        <w:t xml:space="preserve">7.4.1 Akuiferi kuaternar i Shkodrës </w:t>
      </w:r>
    </w:p>
    <w:p w14:paraId="15057D03" w14:textId="4DDF5C9C" w:rsidR="00DA3AFE" w:rsidRPr="00445472" w:rsidRDefault="00DA3AFE" w:rsidP="00DA3AFE">
      <w:pPr>
        <w:pStyle w:val="TEKSTIIII"/>
      </w:pPr>
      <w:r w:rsidRPr="00445472">
        <w:t xml:space="preserve">7.4.2 Akuiferi karbonatik </w:t>
      </w:r>
    </w:p>
    <w:p w14:paraId="0E99A4EC" w14:textId="0CF0AF35" w:rsidR="00DA3AFE" w:rsidRPr="00445472" w:rsidRDefault="00DA3AFE" w:rsidP="00DA3AFE">
      <w:pPr>
        <w:pStyle w:val="TEKSTIIII"/>
      </w:pPr>
      <w:r w:rsidRPr="00445472">
        <w:t xml:space="preserve">7.4.3 Akuiferi magmatik </w:t>
      </w:r>
    </w:p>
    <w:p w14:paraId="3758BA7E" w14:textId="087E3243" w:rsidR="00DA3AFE" w:rsidRPr="00445472" w:rsidRDefault="00DA3AFE" w:rsidP="00DA3AFE">
      <w:pPr>
        <w:pStyle w:val="TEKSTIIII"/>
      </w:pPr>
      <w:r w:rsidRPr="00445472">
        <w:t xml:space="preserve">8 Infrastruktura e Ujit </w:t>
      </w:r>
    </w:p>
    <w:p w14:paraId="61F7358F" w14:textId="6C5AFC0B" w:rsidR="00DA3AFE" w:rsidRPr="00445472" w:rsidRDefault="00DA3AFE" w:rsidP="00DA3AFE">
      <w:pPr>
        <w:pStyle w:val="TEKSTIIII"/>
      </w:pPr>
      <w:r w:rsidRPr="00445472">
        <w:t xml:space="preserve">8.1 Hyrje </w:t>
      </w:r>
    </w:p>
    <w:p w14:paraId="63CE9B38" w14:textId="2DDF4321" w:rsidR="00DA3AFE" w:rsidRPr="00445472" w:rsidRDefault="00DA3AFE" w:rsidP="00DA3AFE">
      <w:pPr>
        <w:pStyle w:val="TEKSTIIII"/>
      </w:pPr>
      <w:r w:rsidRPr="00445472">
        <w:t xml:space="preserve">8.2 Furnizimi me </w:t>
      </w:r>
      <w:r w:rsidR="007E76E3" w:rsidRPr="00445472">
        <w:t xml:space="preserve">ujë dhe trajtimi i ujërave të ndotura </w:t>
      </w:r>
    </w:p>
    <w:p w14:paraId="08259F3F" w14:textId="5E8C8B73" w:rsidR="00DA3AFE" w:rsidRPr="00445472" w:rsidRDefault="00DA3AFE" w:rsidP="00DA3AFE">
      <w:pPr>
        <w:pStyle w:val="TEKSTIIII"/>
      </w:pPr>
      <w:r w:rsidRPr="00445472">
        <w:t xml:space="preserve">8.3 Sektori i ujitjes </w:t>
      </w:r>
    </w:p>
    <w:p w14:paraId="265AD695" w14:textId="50CEA181" w:rsidR="00DA3AFE" w:rsidRPr="00445472" w:rsidRDefault="00DA3AFE" w:rsidP="00DA3AFE">
      <w:pPr>
        <w:pStyle w:val="TEKSTIIII"/>
      </w:pPr>
      <w:r w:rsidRPr="00445472">
        <w:t xml:space="preserve">8.4 Hidrocentralet </w:t>
      </w:r>
    </w:p>
    <w:p w14:paraId="05E6C96E" w14:textId="3894C110" w:rsidR="00DA3AFE" w:rsidRPr="00445472" w:rsidRDefault="00DA3AFE" w:rsidP="00DA3AFE">
      <w:pPr>
        <w:pStyle w:val="TEKSTIIII"/>
      </w:pPr>
      <w:r w:rsidRPr="00445472">
        <w:t xml:space="preserve">9 Menaxhimi i </w:t>
      </w:r>
      <w:r w:rsidR="007E76E3" w:rsidRPr="00445472">
        <w:t xml:space="preserve">përmbytjeve </w:t>
      </w:r>
    </w:p>
    <w:p w14:paraId="01CA3664" w14:textId="5AF1081F" w:rsidR="00DA3AFE" w:rsidRPr="00445472" w:rsidRDefault="00DA3AFE" w:rsidP="00DA3AFE">
      <w:pPr>
        <w:pStyle w:val="TEKSTIIII"/>
      </w:pPr>
      <w:r w:rsidRPr="00445472">
        <w:t xml:space="preserve">9.1 Hyrje </w:t>
      </w:r>
    </w:p>
    <w:p w14:paraId="45953AFF" w14:textId="157D6656" w:rsidR="00DA3AFE" w:rsidRPr="00445472" w:rsidRDefault="00DA3AFE" w:rsidP="00DA3AFE">
      <w:pPr>
        <w:pStyle w:val="TEKSTIIII"/>
      </w:pPr>
      <w:r w:rsidRPr="00445472">
        <w:t xml:space="preserve">9.1.1 Raporti </w:t>
      </w:r>
      <w:r w:rsidR="007E76E3" w:rsidRPr="00445472">
        <w:t xml:space="preserve">fillestar i projektit </w:t>
      </w:r>
    </w:p>
    <w:p w14:paraId="090529F9" w14:textId="5D97E928" w:rsidR="00DA3AFE" w:rsidRPr="00445472" w:rsidRDefault="00DA3AFE" w:rsidP="00DA3AFE">
      <w:pPr>
        <w:pStyle w:val="TEKSTIIII"/>
      </w:pPr>
      <w:r w:rsidRPr="00445472">
        <w:t xml:space="preserve">9.2 Gjendja historike dhe aktuale </w:t>
      </w:r>
    </w:p>
    <w:p w14:paraId="2627FE10" w14:textId="27D88743" w:rsidR="00DA3AFE" w:rsidRPr="00445472" w:rsidRDefault="00DA3AFE" w:rsidP="00DA3AFE">
      <w:pPr>
        <w:pStyle w:val="TEKSTIIII"/>
      </w:pPr>
      <w:r w:rsidRPr="00445472">
        <w:t xml:space="preserve">9.2.1 Përmbytjet e mëparshme </w:t>
      </w:r>
    </w:p>
    <w:p w14:paraId="674A8606" w14:textId="38C9E61D" w:rsidR="00DA3AFE" w:rsidRPr="00445472" w:rsidRDefault="00DA3AFE" w:rsidP="00DA3AFE">
      <w:pPr>
        <w:pStyle w:val="TEKSTIIII"/>
      </w:pPr>
      <w:r w:rsidRPr="00445472">
        <w:t xml:space="preserve">9.2.2 Pasqyrë e përmbytjeve të vëzhguara </w:t>
      </w:r>
    </w:p>
    <w:p w14:paraId="310488B2" w14:textId="4973E7E5" w:rsidR="00DA3AFE" w:rsidRPr="00445472" w:rsidRDefault="00DA3AFE" w:rsidP="00DA3AFE">
      <w:pPr>
        <w:pStyle w:val="TEKSTIIII"/>
      </w:pPr>
      <w:r w:rsidRPr="00445472">
        <w:t xml:space="preserve">9.3 Depozitimi i </w:t>
      </w:r>
      <w:r w:rsidR="007E76E3" w:rsidRPr="00445472">
        <w:t xml:space="preserve">ujit </w:t>
      </w:r>
    </w:p>
    <w:p w14:paraId="15FCD973" w14:textId="29DB0BC9" w:rsidR="00DA3AFE" w:rsidRPr="00445472" w:rsidRDefault="00DA3AFE" w:rsidP="00DA3AFE">
      <w:pPr>
        <w:pStyle w:val="TEKSTIIII"/>
      </w:pPr>
      <w:r w:rsidRPr="00445472">
        <w:t xml:space="preserve">9.4 Kërkesat </w:t>
      </w:r>
      <w:r w:rsidR="007E76E3" w:rsidRPr="00445472">
        <w:t xml:space="preserve">ligjore </w:t>
      </w:r>
    </w:p>
    <w:p w14:paraId="202EE0E1" w14:textId="3017D5B3" w:rsidR="00DA3AFE" w:rsidRPr="00445472" w:rsidRDefault="00DA3AFE" w:rsidP="00DA3AFE">
      <w:pPr>
        <w:pStyle w:val="TEKSTIIII"/>
      </w:pPr>
      <w:r w:rsidRPr="00445472">
        <w:t xml:space="preserve">9.4.1 Direktiva për </w:t>
      </w:r>
      <w:r w:rsidR="007E76E3" w:rsidRPr="00445472">
        <w:t xml:space="preserve">përmbytjet </w:t>
      </w:r>
    </w:p>
    <w:p w14:paraId="4175D1E2" w14:textId="6726499A" w:rsidR="00DA3AFE" w:rsidRPr="00445472" w:rsidRDefault="00DA3AFE" w:rsidP="00DA3AFE">
      <w:pPr>
        <w:pStyle w:val="TEKSTIIII"/>
      </w:pPr>
      <w:r w:rsidRPr="00445472">
        <w:t xml:space="preserve">9.4.2 Udhëzime për raportimin sipas Direktivës së Përmbytjeve </w:t>
      </w:r>
    </w:p>
    <w:p w14:paraId="6001A324" w14:textId="3AF5F6A4" w:rsidR="00DA3AFE" w:rsidRPr="00445472" w:rsidRDefault="00DA3AFE" w:rsidP="00DA3AFE">
      <w:pPr>
        <w:pStyle w:val="TEKSTIIII"/>
      </w:pPr>
      <w:r w:rsidRPr="00445472">
        <w:t xml:space="preserve">9.5 Dokumenti </w:t>
      </w:r>
      <w:r w:rsidR="007E76E3" w:rsidRPr="00445472">
        <w:t xml:space="preserve">burimor </w:t>
      </w:r>
      <w:r w:rsidRPr="00445472">
        <w:t xml:space="preserve">për Grupin e Punës për Përmbytjet mbi Menaxhimin e </w:t>
      </w:r>
      <w:r w:rsidR="007E76E3" w:rsidRPr="00445472">
        <w:t xml:space="preserve">Riskut </w:t>
      </w:r>
      <w:r w:rsidRPr="00445472">
        <w:t xml:space="preserve">të Përmbytjeve </w:t>
      </w:r>
    </w:p>
    <w:p w14:paraId="39DC8654" w14:textId="07FDB0CB" w:rsidR="00DA3AFE" w:rsidRPr="00445472" w:rsidRDefault="00DA3AFE" w:rsidP="00DA3AFE">
      <w:pPr>
        <w:pStyle w:val="TEKSTIIII"/>
      </w:pPr>
      <w:r w:rsidRPr="00445472">
        <w:t xml:space="preserve">9.6 Reagimi ndaj emergjencave </w:t>
      </w:r>
    </w:p>
    <w:p w14:paraId="5C1A0DB8" w14:textId="2A741644" w:rsidR="00DA3AFE" w:rsidRPr="00445472" w:rsidRDefault="00DA3AFE" w:rsidP="00DA3AFE">
      <w:pPr>
        <w:pStyle w:val="TEKSTIIII"/>
      </w:pPr>
      <w:r w:rsidRPr="00445472">
        <w:t xml:space="preserve">9.7 Analiza e mangësive </w:t>
      </w:r>
    </w:p>
    <w:p w14:paraId="6E8D3770" w14:textId="42870339" w:rsidR="00DA3AFE" w:rsidRPr="00445472" w:rsidRDefault="00DA3AFE" w:rsidP="00DA3AFE">
      <w:pPr>
        <w:pStyle w:val="TEKSTIIII"/>
      </w:pPr>
      <w:r w:rsidRPr="00445472">
        <w:t xml:space="preserve">9.8 Ndryshimet klimatike </w:t>
      </w:r>
    </w:p>
    <w:p w14:paraId="3A94BD99" w14:textId="10343A08" w:rsidR="00DA3AFE" w:rsidRPr="00445472" w:rsidRDefault="00DA3AFE" w:rsidP="00DA3AFE">
      <w:pPr>
        <w:pStyle w:val="TEKSTIIII"/>
      </w:pPr>
      <w:r w:rsidRPr="00445472">
        <w:t xml:space="preserve">9.9 Masat e rekomanduara në </w:t>
      </w:r>
      <w:r w:rsidR="007E76E3" w:rsidRPr="00445472">
        <w:t xml:space="preserve">projekte të mëparshme </w:t>
      </w:r>
    </w:p>
    <w:p w14:paraId="773A5E6F" w14:textId="445682C6" w:rsidR="00DA3AFE" w:rsidRPr="00445472" w:rsidRDefault="00DA3AFE" w:rsidP="00DA3AFE">
      <w:pPr>
        <w:pStyle w:val="TEKSTIIII"/>
      </w:pPr>
      <w:r w:rsidRPr="00445472">
        <w:t xml:space="preserve">9.9.1 Masat legjislative dhe institucionale </w:t>
      </w:r>
    </w:p>
    <w:p w14:paraId="1545CFF3" w14:textId="45E3BFEB" w:rsidR="00DA3AFE" w:rsidRPr="00445472" w:rsidRDefault="00DA3AFE" w:rsidP="00DA3AFE">
      <w:pPr>
        <w:pStyle w:val="TEKSTIIII"/>
      </w:pPr>
      <w:r w:rsidRPr="00445472">
        <w:t xml:space="preserve">9.9.2 Korniza efikase organizative </w:t>
      </w:r>
    </w:p>
    <w:p w14:paraId="32474810" w14:textId="4D4679FB" w:rsidR="00DA3AFE" w:rsidRPr="00445472" w:rsidRDefault="00DA3AFE" w:rsidP="00DA3AFE">
      <w:pPr>
        <w:pStyle w:val="TEKSTIIII"/>
      </w:pPr>
      <w:r w:rsidRPr="00445472">
        <w:t xml:space="preserve">9.9.3 Sistemi i mjaftueshëm i monitorimit </w:t>
      </w:r>
    </w:p>
    <w:p w14:paraId="73A45CC9" w14:textId="23C26355" w:rsidR="00DA3AFE" w:rsidRPr="00445472" w:rsidRDefault="00DA3AFE" w:rsidP="00DA3AFE">
      <w:pPr>
        <w:pStyle w:val="TEKSTIIII"/>
      </w:pPr>
      <w:r w:rsidRPr="00445472">
        <w:t xml:space="preserve">9.9.4 Sistemi i përshtatshëm i paralajmërimit të hershëm </w:t>
      </w:r>
    </w:p>
    <w:p w14:paraId="03887619" w14:textId="736982DA" w:rsidR="00DA3AFE" w:rsidRPr="00445472" w:rsidRDefault="00DA3AFE" w:rsidP="00DA3AFE">
      <w:pPr>
        <w:pStyle w:val="TEKSTIIII"/>
      </w:pPr>
      <w:r w:rsidRPr="00445472">
        <w:t xml:space="preserve">9.9.5 Vlerësimi paraprak i rrezikut nga përmbytjet </w:t>
      </w:r>
    </w:p>
    <w:p w14:paraId="25273FED" w14:textId="31CDD045" w:rsidR="00DA3AFE" w:rsidRPr="00445472" w:rsidRDefault="00DA3AFE" w:rsidP="00DA3AFE">
      <w:pPr>
        <w:pStyle w:val="TEKSTIIII"/>
      </w:pPr>
      <w:r w:rsidRPr="00445472">
        <w:t xml:space="preserve">9.9.6 Hartat e rrezikshmërisë së përmbytjeve </w:t>
      </w:r>
    </w:p>
    <w:p w14:paraId="6DCC2C54" w14:textId="3FBBB046" w:rsidR="00DA3AFE" w:rsidRPr="00445472" w:rsidRDefault="00DA3AFE" w:rsidP="00DA3AFE">
      <w:pPr>
        <w:pStyle w:val="TEKSTIIII"/>
      </w:pPr>
      <w:r w:rsidRPr="00445472">
        <w:t xml:space="preserve">9.9.7 Hartat e rrezikut nga përmbytjet </w:t>
      </w:r>
    </w:p>
    <w:p w14:paraId="4CCD8C6C" w14:textId="3C3F0BF3" w:rsidR="00DA3AFE" w:rsidRPr="00445472" w:rsidRDefault="00DA3AFE" w:rsidP="00DA3AFE">
      <w:pPr>
        <w:pStyle w:val="TEKSTIIII"/>
      </w:pPr>
      <w:r w:rsidRPr="00445472">
        <w:t xml:space="preserve">9.10 Rekomandime specifike për basenin ujor </w:t>
      </w:r>
      <w:r w:rsidR="007E76E3" w:rsidRPr="00445472">
        <w:t>Drin–Bunë</w:t>
      </w:r>
      <w:r w:rsidRPr="00445472">
        <w:t xml:space="preserve"> </w:t>
      </w:r>
    </w:p>
    <w:p w14:paraId="4697B31E" w14:textId="3408890B" w:rsidR="00DA3AFE" w:rsidRPr="00445472" w:rsidRDefault="00DA3AFE" w:rsidP="00DA3AFE">
      <w:pPr>
        <w:pStyle w:val="TEKSTIIII"/>
      </w:pPr>
      <w:r w:rsidRPr="00445472">
        <w:t>10 Objektivat mjedisor</w:t>
      </w:r>
      <w:r w:rsidR="00DA3731" w:rsidRPr="00445472">
        <w:t>ë</w:t>
      </w:r>
      <w:r w:rsidRPr="00445472">
        <w:t xml:space="preserve"> </w:t>
      </w:r>
    </w:p>
    <w:p w14:paraId="48BEB866" w14:textId="6793E0AA" w:rsidR="00DA3AFE" w:rsidRPr="00445472" w:rsidRDefault="00DA3AFE" w:rsidP="00DA3AFE">
      <w:pPr>
        <w:pStyle w:val="TEKSTIIII"/>
      </w:pPr>
      <w:r w:rsidRPr="00445472">
        <w:t xml:space="preserve">11 Analiza </w:t>
      </w:r>
      <w:r w:rsidR="007E76E3" w:rsidRPr="00445472">
        <w:t xml:space="preserve">ekonomike e përdorimit të ujit </w:t>
      </w:r>
    </w:p>
    <w:p w14:paraId="57B4F20D" w14:textId="4B52F237" w:rsidR="00DA3AFE" w:rsidRPr="00445472" w:rsidRDefault="00DA3AFE" w:rsidP="00DA3AFE">
      <w:pPr>
        <w:pStyle w:val="TEKSTIIII"/>
      </w:pPr>
      <w:r w:rsidRPr="00445472">
        <w:t xml:space="preserve">11.1 Qëllimi i </w:t>
      </w:r>
      <w:r w:rsidR="007E76E3" w:rsidRPr="00445472">
        <w:t xml:space="preserve">karakterizimit fillestar ekonomik </w:t>
      </w:r>
    </w:p>
    <w:p w14:paraId="53B6C41F" w14:textId="75FE6F15" w:rsidR="00DA3AFE" w:rsidRPr="00445472" w:rsidRDefault="00DA3AFE" w:rsidP="00DA3AFE">
      <w:pPr>
        <w:pStyle w:val="TEKSTIIII"/>
      </w:pPr>
      <w:r w:rsidRPr="00445472">
        <w:t xml:space="preserve">11.2 Përdorimi dhe ndikimi i ujit </w:t>
      </w:r>
    </w:p>
    <w:p w14:paraId="258ECC94" w14:textId="29B017F8" w:rsidR="00DA3AFE" w:rsidRPr="00445472" w:rsidRDefault="00DA3AFE" w:rsidP="00DA3AFE">
      <w:pPr>
        <w:pStyle w:val="TEKSTIIII"/>
      </w:pPr>
      <w:r w:rsidRPr="00445472">
        <w:t xml:space="preserve">11.2.1 Nxjerrjet e </w:t>
      </w:r>
      <w:r w:rsidR="007E76E3" w:rsidRPr="00445472">
        <w:t xml:space="preserve">ujit </w:t>
      </w:r>
    </w:p>
    <w:p w14:paraId="724B1225" w14:textId="3CF85E4F" w:rsidR="00DA3AFE" w:rsidRPr="00445472" w:rsidRDefault="00DA3AFE" w:rsidP="00DA3AFE">
      <w:pPr>
        <w:pStyle w:val="TEKSTIIII"/>
      </w:pPr>
      <w:r w:rsidRPr="00445472">
        <w:t xml:space="preserve">11.2.2 Përdorimi ujit sipërfaqësor </w:t>
      </w:r>
    </w:p>
    <w:p w14:paraId="4504011D" w14:textId="6CB47B93" w:rsidR="00DA3AFE" w:rsidRPr="00445472" w:rsidRDefault="00DA3AFE" w:rsidP="00DA3AFE">
      <w:pPr>
        <w:pStyle w:val="TEKSTIIII"/>
      </w:pPr>
      <w:r w:rsidRPr="00445472">
        <w:t xml:space="preserve">11.3 Vlera e </w:t>
      </w:r>
      <w:r w:rsidR="007E76E3" w:rsidRPr="00445472">
        <w:t xml:space="preserve">ujit </w:t>
      </w:r>
    </w:p>
    <w:p w14:paraId="45AB9020" w14:textId="17BC81E0" w:rsidR="00DA3AFE" w:rsidRPr="00445472" w:rsidRDefault="00DA3AFE" w:rsidP="00DA3AFE">
      <w:pPr>
        <w:pStyle w:val="TEKSTIIII"/>
      </w:pPr>
      <w:r w:rsidRPr="00445472">
        <w:t xml:space="preserve">11.3.1 Përdorimi shtëpiak i ujit </w:t>
      </w:r>
    </w:p>
    <w:p w14:paraId="61C4E640" w14:textId="35CF273F" w:rsidR="00DA3AFE" w:rsidRPr="00445472" w:rsidRDefault="00DA3AFE" w:rsidP="00DA3AFE">
      <w:pPr>
        <w:pStyle w:val="TEKSTIIII"/>
      </w:pPr>
      <w:r w:rsidRPr="00445472">
        <w:t xml:space="preserve">11.3.2 Përdorimi industrial, komercial dhe institucional i ujit </w:t>
      </w:r>
    </w:p>
    <w:p w14:paraId="59C22227" w14:textId="6721708E" w:rsidR="00DA3AFE" w:rsidRPr="00445472" w:rsidRDefault="00DA3AFE" w:rsidP="00DA3AFE">
      <w:pPr>
        <w:pStyle w:val="TEKSTIIII"/>
      </w:pPr>
      <w:r w:rsidRPr="00445472">
        <w:t xml:space="preserve">11.3.3 Përdorimi bujqësor i ujit </w:t>
      </w:r>
    </w:p>
    <w:p w14:paraId="07A52A82" w14:textId="08E7DB2B" w:rsidR="00DA3AFE" w:rsidRPr="00445472" w:rsidRDefault="00DA3AFE" w:rsidP="00DA3AFE">
      <w:pPr>
        <w:pStyle w:val="TEKSTIIII"/>
      </w:pPr>
      <w:r w:rsidRPr="00445472">
        <w:t xml:space="preserve">11.4 Parashikimet e tendencave </w:t>
      </w:r>
    </w:p>
    <w:p w14:paraId="665C65C3" w14:textId="41CFC375" w:rsidR="00DA3AFE" w:rsidRPr="00445472" w:rsidRDefault="00DA3AFE" w:rsidP="00DA3AFE">
      <w:pPr>
        <w:pStyle w:val="TEKSTIIII"/>
      </w:pPr>
      <w:r w:rsidRPr="00445472">
        <w:t xml:space="preserve">11.4.1 Parashikimet demografike </w:t>
      </w:r>
    </w:p>
    <w:p w14:paraId="01B8CDF3" w14:textId="03E93518" w:rsidR="00DA3AFE" w:rsidRPr="00445472" w:rsidRDefault="00DA3AFE" w:rsidP="00DA3AFE">
      <w:pPr>
        <w:pStyle w:val="TEKSTIIII"/>
      </w:pPr>
      <w:r w:rsidRPr="00445472">
        <w:t xml:space="preserve">11.4.2 Tendencat e konsumit Shtëpiak dhe IKI </w:t>
      </w:r>
    </w:p>
    <w:p w14:paraId="29C18A2B" w14:textId="24A681A8" w:rsidR="00DA3AFE" w:rsidRPr="00445472" w:rsidRDefault="00DA3AFE" w:rsidP="00DA3AFE">
      <w:pPr>
        <w:pStyle w:val="TEKSTIIII"/>
      </w:pPr>
      <w:r w:rsidRPr="00445472">
        <w:t xml:space="preserve">11.4.3 Humbjet e Ujit </w:t>
      </w:r>
    </w:p>
    <w:p w14:paraId="00DE5185" w14:textId="22C8DCC1" w:rsidR="00DA3AFE" w:rsidRPr="00445472" w:rsidRDefault="00DA3AFE" w:rsidP="00DA3AFE">
      <w:pPr>
        <w:pStyle w:val="TEKSTIIII"/>
      </w:pPr>
      <w:r w:rsidRPr="00445472">
        <w:t xml:space="preserve">11.4.4 Tendencat totale të kërkesës për ujë në basenin ujor </w:t>
      </w:r>
    </w:p>
    <w:p w14:paraId="6BEA00C7" w14:textId="0EC99FF9" w:rsidR="00DA3AFE" w:rsidRPr="00445472" w:rsidRDefault="00DA3AFE" w:rsidP="00DA3AFE">
      <w:pPr>
        <w:pStyle w:val="TEKSTIIII"/>
      </w:pPr>
      <w:r w:rsidRPr="00445472">
        <w:t xml:space="preserve">11.5 Rikuperimi i Kostos së Shërbimeve të Ujit </w:t>
      </w:r>
    </w:p>
    <w:p w14:paraId="0B2CCB9B" w14:textId="4B751E6E" w:rsidR="00DA3AFE" w:rsidRPr="00445472" w:rsidRDefault="00DA3AFE" w:rsidP="00DA3AFE">
      <w:pPr>
        <w:pStyle w:val="TEKSTIIII"/>
      </w:pPr>
      <w:r w:rsidRPr="00445472">
        <w:t xml:space="preserve">11.5.1 Shërbimet e identifikuara të ujit në </w:t>
      </w:r>
      <w:r w:rsidR="001D340B" w:rsidRPr="00445472">
        <w:t xml:space="preserve">qarkun </w:t>
      </w:r>
      <w:r w:rsidRPr="00445472">
        <w:t xml:space="preserve">e Basenit Ujor (QBU) </w:t>
      </w:r>
    </w:p>
    <w:p w14:paraId="508BBB52" w14:textId="019B23B2" w:rsidR="00DA3AFE" w:rsidRPr="00445472" w:rsidRDefault="00DA3AFE" w:rsidP="00DA3AFE">
      <w:pPr>
        <w:pStyle w:val="TEKSTIIII"/>
      </w:pPr>
      <w:r w:rsidRPr="00445472">
        <w:t xml:space="preserve">11.5.2 Ofruesit e shërbimeve të ujit dhe ujërave të ndotura </w:t>
      </w:r>
    </w:p>
    <w:p w14:paraId="1B9E139B" w14:textId="37B524B4" w:rsidR="00DA3AFE" w:rsidRPr="00445472" w:rsidRDefault="00DA3AFE" w:rsidP="00DA3AFE">
      <w:pPr>
        <w:pStyle w:val="TEKSTIIII"/>
      </w:pPr>
      <w:r w:rsidRPr="00445472">
        <w:t xml:space="preserve">11.5.3 Përdoruesit e ujit </w:t>
      </w:r>
    </w:p>
    <w:p w14:paraId="1A62DA7B" w14:textId="15D32E13" w:rsidR="00DA3AFE" w:rsidRPr="00445472" w:rsidRDefault="00DA3AFE" w:rsidP="00DA3AFE">
      <w:pPr>
        <w:pStyle w:val="TEKSTIIII"/>
      </w:pPr>
      <w:r w:rsidRPr="00445472">
        <w:t xml:space="preserve">11.6 Kostot </w:t>
      </w:r>
      <w:r w:rsidR="001D340B" w:rsidRPr="00445472">
        <w:t xml:space="preserve">financiare të shërbimeve të ujit </w:t>
      </w:r>
    </w:p>
    <w:p w14:paraId="5D646ADC" w14:textId="34BE35D1" w:rsidR="00DA3AFE" w:rsidRPr="00445472" w:rsidRDefault="00DA3AFE" w:rsidP="00DA3AFE">
      <w:pPr>
        <w:pStyle w:val="TEKSTIIII"/>
      </w:pPr>
      <w:r w:rsidRPr="00445472">
        <w:t xml:space="preserve">11.6.1 Kostot e mjedisit dhe burimeve </w:t>
      </w:r>
    </w:p>
    <w:p w14:paraId="70647361" w14:textId="00235039" w:rsidR="00DA3AFE" w:rsidRPr="00445472" w:rsidRDefault="00DA3AFE" w:rsidP="00DA3AFE">
      <w:pPr>
        <w:pStyle w:val="TEKSTIIII"/>
      </w:pPr>
      <w:r w:rsidRPr="00445472">
        <w:t xml:space="preserve">11.6.2 Mekanizmi i rikuperimit të kostos </w:t>
      </w:r>
    </w:p>
    <w:p w14:paraId="58AB3AEF" w14:textId="7F24A2F5" w:rsidR="00DA3AFE" w:rsidRPr="00445472" w:rsidRDefault="00DA3AFE" w:rsidP="00DA3AFE">
      <w:pPr>
        <w:pStyle w:val="TEKSTIIII"/>
      </w:pPr>
      <w:r w:rsidRPr="00445472">
        <w:t xml:space="preserve">11.6.3 Tarifat për </w:t>
      </w:r>
      <w:r w:rsidR="001D340B" w:rsidRPr="00445472">
        <w:t xml:space="preserve">shërbimet e ujit </w:t>
      </w:r>
    </w:p>
    <w:p w14:paraId="3C00D5D7" w14:textId="74620E6C" w:rsidR="00DA3AFE" w:rsidRPr="00445472" w:rsidRDefault="00DA3AFE" w:rsidP="00DA3AFE">
      <w:pPr>
        <w:pStyle w:val="TEKSTIIII"/>
      </w:pPr>
      <w:r w:rsidRPr="00445472">
        <w:t xml:space="preserve">11.6.4 Tarifat për shërbimet e ujërave të ndotura </w:t>
      </w:r>
    </w:p>
    <w:p w14:paraId="07186BFB" w14:textId="70D02C8F" w:rsidR="00DA3AFE" w:rsidRPr="00445472" w:rsidRDefault="00DA3AFE" w:rsidP="00DA3AFE">
      <w:pPr>
        <w:pStyle w:val="TEKSTIIII"/>
      </w:pPr>
      <w:r w:rsidRPr="00445472">
        <w:t xml:space="preserve">11.6.5 Shkalla e rikuperimit të kostos </w:t>
      </w:r>
    </w:p>
    <w:p w14:paraId="4EF32B9D" w14:textId="7D4A565E" w:rsidR="00DA3AFE" w:rsidRPr="00445472" w:rsidRDefault="00DA3AFE" w:rsidP="00DA3AFE">
      <w:pPr>
        <w:pStyle w:val="TEKSTIIII"/>
      </w:pPr>
      <w:r w:rsidRPr="00445472">
        <w:t xml:space="preserve">11.6.6 Rikuperimi i kostove financiare </w:t>
      </w:r>
    </w:p>
    <w:p w14:paraId="61DCFF0C" w14:textId="27E04E0F" w:rsidR="00DA3AFE" w:rsidRPr="00445472" w:rsidRDefault="00DA3AFE" w:rsidP="00DA3AFE">
      <w:pPr>
        <w:pStyle w:val="TEKSTIIII"/>
      </w:pPr>
      <w:r w:rsidRPr="00445472">
        <w:t xml:space="preserve">11.6.7 Kthimi i kostove të kostove ekonomike </w:t>
      </w:r>
    </w:p>
    <w:p w14:paraId="76316777" w14:textId="631F5D4E" w:rsidR="00DA3AFE" w:rsidRPr="00445472" w:rsidRDefault="00DA3AFE" w:rsidP="00DA3AFE">
      <w:pPr>
        <w:pStyle w:val="TEKSTIIII"/>
      </w:pPr>
      <w:r w:rsidRPr="00445472">
        <w:t xml:space="preserve">11.7 Përfundime </w:t>
      </w:r>
    </w:p>
    <w:p w14:paraId="605B46F3" w14:textId="454B5A98" w:rsidR="00DA3AFE" w:rsidRPr="00445472" w:rsidRDefault="00DA3AFE" w:rsidP="00DA3AFE">
      <w:pPr>
        <w:pStyle w:val="TEKSTIIII"/>
      </w:pPr>
      <w:r w:rsidRPr="00445472">
        <w:t xml:space="preserve">12 Programi masave </w:t>
      </w:r>
    </w:p>
    <w:p w14:paraId="28BDC8E5" w14:textId="76DF4A37" w:rsidR="00DA3AFE" w:rsidRPr="00445472" w:rsidRDefault="00DA3AFE" w:rsidP="00DA3AFE">
      <w:pPr>
        <w:pStyle w:val="TEKSTIIII"/>
      </w:pPr>
      <w:r w:rsidRPr="00445472">
        <w:t xml:space="preserve">12.1 Hyrje </w:t>
      </w:r>
    </w:p>
    <w:p w14:paraId="13D0D342" w14:textId="6F0B51E8" w:rsidR="00DA3AFE" w:rsidRPr="00445472" w:rsidRDefault="00DA3AFE" w:rsidP="00DA3AFE">
      <w:pPr>
        <w:pStyle w:val="TEKSTIIII"/>
      </w:pPr>
      <w:r w:rsidRPr="00445472">
        <w:t xml:space="preserve">12.2 Plan </w:t>
      </w:r>
      <w:r w:rsidR="001D340B" w:rsidRPr="00445472">
        <w:t xml:space="preserve">veprimi </w:t>
      </w:r>
    </w:p>
    <w:p w14:paraId="4D454B31" w14:textId="598E4C84" w:rsidR="00DA3AFE" w:rsidRPr="00445472" w:rsidRDefault="00DA3AFE" w:rsidP="00DA3AFE">
      <w:pPr>
        <w:pStyle w:val="TEKSTIIII"/>
      </w:pPr>
      <w:r w:rsidRPr="00445472">
        <w:t xml:space="preserve">13 Përmbledhje e </w:t>
      </w:r>
      <w:r w:rsidR="001D340B" w:rsidRPr="00445472">
        <w:t xml:space="preserve">aktiviteteve të konsultimit publik </w:t>
      </w:r>
    </w:p>
    <w:p w14:paraId="766263D3" w14:textId="4A51C159" w:rsidR="00DA3AFE" w:rsidRPr="00445472" w:rsidRDefault="00DA3AFE" w:rsidP="00DA3AFE">
      <w:pPr>
        <w:pStyle w:val="TEKSTIIII"/>
      </w:pPr>
      <w:r w:rsidRPr="00445472">
        <w:t xml:space="preserve">13.1 Hyrje </w:t>
      </w:r>
    </w:p>
    <w:p w14:paraId="379C8B5E" w14:textId="459D9B0B" w:rsidR="00DA3AFE" w:rsidRPr="00445472" w:rsidRDefault="00DA3AFE" w:rsidP="00DA3AFE">
      <w:pPr>
        <w:pStyle w:val="TEKSTIIII"/>
      </w:pPr>
      <w:r w:rsidRPr="00445472">
        <w:t xml:space="preserve">13.2 Trajnimet </w:t>
      </w:r>
    </w:p>
    <w:p w14:paraId="0B9B566A" w14:textId="3D7350B1" w:rsidR="00DA3AFE" w:rsidRPr="00445472" w:rsidRDefault="00DA3AFE" w:rsidP="00DA3AFE">
      <w:pPr>
        <w:pStyle w:val="TEKSTIIII"/>
      </w:pPr>
      <w:r w:rsidRPr="00445472">
        <w:t xml:space="preserve">13.3 Konsultimet e palëve të interesit </w:t>
      </w:r>
    </w:p>
    <w:p w14:paraId="614EDC00" w14:textId="6F73D650" w:rsidR="00DA3AFE" w:rsidRPr="00445472" w:rsidRDefault="00DA3AFE" w:rsidP="00DA3AFE">
      <w:pPr>
        <w:pStyle w:val="TEKSTIIII"/>
      </w:pPr>
      <w:r w:rsidRPr="00445472">
        <w:t xml:space="preserve">13.3.1 Faza 1 dhe </w:t>
      </w:r>
      <w:r w:rsidR="001D340B" w:rsidRPr="00445472">
        <w:t xml:space="preserve">faza </w:t>
      </w:r>
      <w:r w:rsidRPr="00445472">
        <w:t xml:space="preserve">2 e konsultimeve (të nivelit të lartë dhe nivelit rajonal) </w:t>
      </w:r>
    </w:p>
    <w:p w14:paraId="295ACE62" w14:textId="7B42E900" w:rsidR="00DA3AFE" w:rsidRPr="00445472" w:rsidRDefault="00DA3AFE" w:rsidP="00DA3AFE">
      <w:pPr>
        <w:pStyle w:val="TEKSTIIII"/>
      </w:pPr>
      <w:r w:rsidRPr="00445472">
        <w:t xml:space="preserve">13.3.2 Konsultimet e </w:t>
      </w:r>
      <w:r w:rsidR="001D340B" w:rsidRPr="00445472">
        <w:t xml:space="preserve">fazës </w:t>
      </w:r>
      <w:r w:rsidRPr="00445472">
        <w:t xml:space="preserve">3 dhe </w:t>
      </w:r>
      <w:r w:rsidR="001D340B" w:rsidRPr="00445472">
        <w:t xml:space="preserve">fazës </w:t>
      </w:r>
      <w:r w:rsidRPr="00445472">
        <w:t xml:space="preserve">4 (Informatorët kryesorë dhe grupet e fokusit) </w:t>
      </w:r>
    </w:p>
    <w:p w14:paraId="1BAC4C09" w14:textId="63FED6FD" w:rsidR="00DA3AFE" w:rsidRPr="00445472" w:rsidRDefault="00DA3AFE" w:rsidP="00DA3AFE">
      <w:pPr>
        <w:pStyle w:val="TEKSTIIII"/>
      </w:pPr>
      <w:r w:rsidRPr="00445472">
        <w:t xml:space="preserve">13.3.3 Rezultatet dhe çështjet kryesore </w:t>
      </w:r>
    </w:p>
    <w:p w14:paraId="3BEDC538" w14:textId="7359F7A9" w:rsidR="00DA3AFE" w:rsidRPr="00445472" w:rsidRDefault="00DA3AFE" w:rsidP="00DA3AFE">
      <w:pPr>
        <w:pStyle w:val="TEKSTIIII"/>
      </w:pPr>
      <w:r w:rsidRPr="00445472">
        <w:t xml:space="preserve">13.4 Specifikat e </w:t>
      </w:r>
      <w:r w:rsidR="001D340B" w:rsidRPr="00445472">
        <w:t xml:space="preserve">vendit mbi aspektet gjinore </w:t>
      </w:r>
    </w:p>
    <w:p w14:paraId="2BB3C7EB" w14:textId="5874FF57" w:rsidR="00DA3AFE" w:rsidRPr="00445472" w:rsidRDefault="00DA3AFE" w:rsidP="00DA3AFE">
      <w:pPr>
        <w:pStyle w:val="TEKSTIIII"/>
      </w:pPr>
      <w:r w:rsidRPr="00445472">
        <w:t xml:space="preserve">13.4.1 Kuadri ligjor i aspektit gjinor </w:t>
      </w:r>
    </w:p>
    <w:p w14:paraId="2B093C4B" w14:textId="1B7498CE" w:rsidR="00DA3AFE" w:rsidRPr="00445472" w:rsidRDefault="00DA3AFE" w:rsidP="00DA3AFE">
      <w:pPr>
        <w:pStyle w:val="TEKSTIIII"/>
      </w:pPr>
      <w:r w:rsidRPr="00445472">
        <w:t xml:space="preserve">13.4.2 Të dhënat statistikore gjinore në përputhje me masat legjislative </w:t>
      </w:r>
    </w:p>
    <w:p w14:paraId="1C5ACC62" w14:textId="6316D566" w:rsidR="00DA3AFE" w:rsidRPr="00445472" w:rsidRDefault="00DA3AFE" w:rsidP="00DA3AFE">
      <w:pPr>
        <w:pStyle w:val="TEKSTIIII"/>
      </w:pPr>
      <w:r w:rsidRPr="00445472">
        <w:t xml:space="preserve">13.4.3 Barazia gjinore në institucionet në nivel qendror </w:t>
      </w:r>
    </w:p>
    <w:p w14:paraId="625F9BD9" w14:textId="7E059D97" w:rsidR="00DA3AFE" w:rsidRPr="00445472" w:rsidRDefault="00DA3AFE" w:rsidP="00DA3AFE">
      <w:pPr>
        <w:pStyle w:val="TEKSTIIII"/>
      </w:pPr>
      <w:r w:rsidRPr="00445472">
        <w:t xml:space="preserve">13.4.4 Barazia gjinore në institucionet në nivel lokal </w:t>
      </w:r>
    </w:p>
    <w:p w14:paraId="08EAC248" w14:textId="387BAD81" w:rsidR="00DA3AFE" w:rsidRPr="00445472" w:rsidRDefault="00DA3AFE" w:rsidP="00DA3AFE">
      <w:pPr>
        <w:pStyle w:val="TEKSTIIII"/>
      </w:pPr>
      <w:r w:rsidRPr="00445472">
        <w:t xml:space="preserve">13.4.5 Niveli i organizimit të shoqërisë civile dhe i OJQ-ve </w:t>
      </w:r>
    </w:p>
    <w:p w14:paraId="312BED98" w14:textId="1630E4FB" w:rsidR="00DA3AFE" w:rsidRPr="00445472" w:rsidRDefault="00DA3AFE" w:rsidP="00DA3AFE">
      <w:pPr>
        <w:pStyle w:val="TEKSTIIII"/>
      </w:pPr>
      <w:r w:rsidRPr="00445472">
        <w:t xml:space="preserve">13.4.6 Aplikimi i </w:t>
      </w:r>
      <w:r w:rsidR="001D340B" w:rsidRPr="00445472">
        <w:t xml:space="preserve">gjinisë </w:t>
      </w:r>
      <w:r w:rsidRPr="00445472">
        <w:t xml:space="preserve">në menaxhimin e burimeve ujore dhe zhvillimin e Planeve të Menaxhimit të Baseneve Ujore. </w:t>
      </w:r>
    </w:p>
    <w:p w14:paraId="7D46A4DA" w14:textId="6CCD2DF3" w:rsidR="00DA3AFE" w:rsidRPr="00445472" w:rsidRDefault="00DA3AFE" w:rsidP="00DA3AFE">
      <w:pPr>
        <w:pStyle w:val="TEKSTIIII"/>
      </w:pPr>
      <w:r w:rsidRPr="00445472">
        <w:t>13.5 Konkluzione</w:t>
      </w:r>
      <w:r w:rsidR="001D340B" w:rsidRPr="00445472">
        <w:t xml:space="preserve"> </w:t>
      </w:r>
      <w:r w:rsidRPr="00445472">
        <w:t xml:space="preserve">dhe rekomandime </w:t>
      </w:r>
    </w:p>
    <w:p w14:paraId="1A2F27B9" w14:textId="71CD191C" w:rsidR="00DA3AFE" w:rsidRPr="00445472" w:rsidRDefault="00DA3AFE" w:rsidP="00DA3AFE">
      <w:pPr>
        <w:pStyle w:val="TEKSTIIII"/>
      </w:pPr>
      <w:r w:rsidRPr="00445472">
        <w:t xml:space="preserve">14 Objektiva dhe Rekomandime </w:t>
      </w:r>
    </w:p>
    <w:p w14:paraId="1E13A6AC" w14:textId="64493132" w:rsidR="00DA3AFE" w:rsidRPr="00445472" w:rsidRDefault="00DA3AFE" w:rsidP="00DA3AFE">
      <w:pPr>
        <w:pStyle w:val="TEKSTIIII"/>
      </w:pPr>
      <w:r w:rsidRPr="00445472">
        <w:t xml:space="preserve">Shtojcat </w:t>
      </w:r>
    </w:p>
    <w:p w14:paraId="72EDCC61" w14:textId="51A46135" w:rsidR="00DA3AFE" w:rsidRPr="00445472" w:rsidRDefault="00DA3AFE" w:rsidP="00DA3AFE">
      <w:pPr>
        <w:pStyle w:val="TEKSTIIII"/>
      </w:pPr>
      <w:r w:rsidRPr="00445472">
        <w:t xml:space="preserve">Shtojca 1. Transpozimi i </w:t>
      </w:r>
      <w:r w:rsidR="001D340B" w:rsidRPr="00445472">
        <w:t xml:space="preserve">direktivave </w:t>
      </w:r>
      <w:r w:rsidRPr="00445472">
        <w:t xml:space="preserve">përkatëse të BE-së </w:t>
      </w:r>
    </w:p>
    <w:p w14:paraId="27C69269" w14:textId="4C47E77C" w:rsidR="00DA3AFE" w:rsidRPr="00445472" w:rsidRDefault="00DA3AFE" w:rsidP="00DA3AFE">
      <w:pPr>
        <w:pStyle w:val="TEKSTIIII"/>
      </w:pPr>
      <w:r w:rsidRPr="00445472">
        <w:t xml:space="preserve">Shtojca 2. Stacionet e propozuara të monitorimit të ujërave sipërfaqësore dhe prioritizimi i tyre </w:t>
      </w:r>
    </w:p>
    <w:p w14:paraId="07EB92A6" w14:textId="7D884E58" w:rsidR="00DA3AFE" w:rsidRPr="00445472" w:rsidRDefault="00DA3AFE" w:rsidP="00DA3AFE">
      <w:pPr>
        <w:pStyle w:val="TEKSTIIII"/>
      </w:pPr>
      <w:r w:rsidRPr="00445472">
        <w:t xml:space="preserve">Shtojca 3. Metodologjia për vlerësimin e statusit ekologjik/potencialit të ujërave sipërfaqësore </w:t>
      </w:r>
    </w:p>
    <w:p w14:paraId="7365AF3C" w14:textId="71327F0D" w:rsidR="00DA3AFE" w:rsidRPr="00445472" w:rsidRDefault="00DA3AFE" w:rsidP="00DA3AFE">
      <w:pPr>
        <w:pStyle w:val="TEKSTIIII"/>
      </w:pPr>
      <w:r w:rsidRPr="00445472">
        <w:t xml:space="preserve">3.1. Hyrje </w:t>
      </w:r>
    </w:p>
    <w:p w14:paraId="1F009533" w14:textId="394103F1" w:rsidR="00DA3AFE" w:rsidRPr="00445472" w:rsidRDefault="00DA3AFE" w:rsidP="00DA3AFE">
      <w:pPr>
        <w:pStyle w:val="TEKSTIIII"/>
      </w:pPr>
      <w:r w:rsidRPr="00445472">
        <w:t xml:space="preserve">3.2 Kriteret e përdorura për të përcaktuar metodën e vlerësimit </w:t>
      </w:r>
    </w:p>
    <w:p w14:paraId="74687780" w14:textId="0E4115E3" w:rsidR="00DA3AFE" w:rsidRPr="00445472" w:rsidRDefault="00DA3AFE" w:rsidP="00DA3AFE">
      <w:pPr>
        <w:pStyle w:val="TEKSTIIII"/>
      </w:pPr>
      <w:r w:rsidRPr="00445472">
        <w:t xml:space="preserve">3.3 Vlerësimi biologjik </w:t>
      </w:r>
    </w:p>
    <w:p w14:paraId="66BD6F9F" w14:textId="71F15711" w:rsidR="00DA3AFE" w:rsidRPr="00445472" w:rsidRDefault="00DA3AFE" w:rsidP="00DA3AFE">
      <w:pPr>
        <w:pStyle w:val="TEKSTIIII"/>
      </w:pPr>
      <w:r w:rsidRPr="00445472">
        <w:t xml:space="preserve">3.4 Vlerësim ekologjik i llojeve kryesore të lumenjve </w:t>
      </w:r>
    </w:p>
    <w:p w14:paraId="0C700600" w14:textId="6E338A26" w:rsidR="00DA3AFE" w:rsidRPr="00445472" w:rsidRDefault="00DA3AFE" w:rsidP="00DA3AFE">
      <w:pPr>
        <w:pStyle w:val="TEKSTIIII"/>
      </w:pPr>
      <w:r w:rsidRPr="00445472">
        <w:t xml:space="preserve">Shtojca 4. Të dhënat </w:t>
      </w:r>
      <w:r w:rsidR="001D340B" w:rsidRPr="00445472">
        <w:t xml:space="preserve">ekonomike </w:t>
      </w:r>
    </w:p>
    <w:p w14:paraId="40A2DC4E" w14:textId="5EA6ECF5" w:rsidR="00DA3AFE" w:rsidRPr="00445472" w:rsidRDefault="00DA3AFE" w:rsidP="00DA3AFE">
      <w:pPr>
        <w:pStyle w:val="TEKSTIIII"/>
      </w:pPr>
      <w:r w:rsidRPr="00445472">
        <w:t xml:space="preserve">Shtojca 5. Plani i </w:t>
      </w:r>
      <w:r w:rsidR="001D340B" w:rsidRPr="00445472">
        <w:t xml:space="preserve">veprimit për përfshirjen palëve të interesuara </w:t>
      </w:r>
    </w:p>
    <w:p w14:paraId="42EA7FEA" w14:textId="3858441E" w:rsidR="00DA3AFE" w:rsidRPr="00445472" w:rsidRDefault="00DA3AFE" w:rsidP="00DA3AFE">
      <w:pPr>
        <w:pStyle w:val="TEKSTIIII"/>
      </w:pPr>
      <w:r w:rsidRPr="00445472">
        <w:t xml:space="preserve">5.1. Hyrje </w:t>
      </w:r>
    </w:p>
    <w:p w14:paraId="393A1D35" w14:textId="2D3A0FA9" w:rsidR="00DA3AFE" w:rsidRPr="00445472" w:rsidRDefault="00DA3AFE" w:rsidP="00DA3AFE">
      <w:pPr>
        <w:pStyle w:val="TEKSTIIII"/>
      </w:pPr>
      <w:r w:rsidRPr="00445472">
        <w:t xml:space="preserve">5.2 Qëllimi </w:t>
      </w:r>
    </w:p>
    <w:p w14:paraId="057F54FF" w14:textId="11CC49D9" w:rsidR="00DA3AFE" w:rsidRPr="00445472" w:rsidRDefault="00DA3AFE" w:rsidP="00DA3AFE">
      <w:pPr>
        <w:pStyle w:val="TEKSTIIII"/>
      </w:pPr>
      <w:r w:rsidRPr="00445472">
        <w:t xml:space="preserve">5.3 Qasja në </w:t>
      </w:r>
      <w:r w:rsidR="001D340B" w:rsidRPr="00445472">
        <w:t xml:space="preserve">planin e angazhimit të palëve të interesit </w:t>
      </w:r>
    </w:p>
    <w:p w14:paraId="00EC6CD8" w14:textId="328D3801" w:rsidR="00DA3AFE" w:rsidRPr="00445472" w:rsidRDefault="00DA3AFE" w:rsidP="00DA3AFE">
      <w:pPr>
        <w:pStyle w:val="TEKSTIIII"/>
      </w:pPr>
      <w:r w:rsidRPr="00445472">
        <w:t xml:space="preserve">5.4 Identifikimi i palëve të interesit </w:t>
      </w:r>
    </w:p>
    <w:p w14:paraId="09184269" w14:textId="6EAA5B32" w:rsidR="00DA3AFE" w:rsidRPr="00445472" w:rsidRDefault="00DA3AFE" w:rsidP="00DA3AFE">
      <w:pPr>
        <w:pStyle w:val="TEKSTIIII"/>
      </w:pPr>
      <w:r w:rsidRPr="00445472">
        <w:t xml:space="preserve">5.5 Takimet e konsultimit dhe trajnimet </w:t>
      </w:r>
    </w:p>
    <w:p w14:paraId="02B86282" w14:textId="18798F64" w:rsidR="00DA3AFE" w:rsidRPr="00445472" w:rsidRDefault="00DA3AFE" w:rsidP="00DA3AFE">
      <w:pPr>
        <w:pStyle w:val="TEKSTIIII"/>
      </w:pPr>
      <w:r w:rsidRPr="00445472">
        <w:t xml:space="preserve">5.6 Organizimi i mbledhjeve </w:t>
      </w:r>
    </w:p>
    <w:p w14:paraId="76A7C238" w14:textId="774CF26B" w:rsidR="00DA3AFE" w:rsidRPr="00445472" w:rsidRDefault="00DA3AFE" w:rsidP="00DA3AFE">
      <w:pPr>
        <w:pStyle w:val="TEKSTIIII"/>
      </w:pPr>
      <w:r w:rsidRPr="00445472">
        <w:t xml:space="preserve">5.7 Grupet e </w:t>
      </w:r>
      <w:r w:rsidR="001D340B" w:rsidRPr="00445472">
        <w:t xml:space="preserve">fokusit </w:t>
      </w:r>
    </w:p>
    <w:p w14:paraId="1CD2CE41" w14:textId="3B37DC78" w:rsidR="00DA3AFE" w:rsidRPr="00445472" w:rsidRDefault="00DA3AFE" w:rsidP="00DA3AFE">
      <w:pPr>
        <w:pStyle w:val="TEKSTIIII"/>
      </w:pPr>
      <w:r w:rsidRPr="00445472">
        <w:t xml:space="preserve">5.8 Informatorët kyç </w:t>
      </w:r>
    </w:p>
    <w:p w14:paraId="5E3F55C6" w14:textId="6911B7B1" w:rsidR="00DA3AFE" w:rsidRPr="00445472" w:rsidRDefault="00DA3AFE" w:rsidP="00DA3AFE">
      <w:pPr>
        <w:pStyle w:val="TEKSTIIII"/>
      </w:pPr>
      <w:r w:rsidRPr="00445472">
        <w:t xml:space="preserve">5.9 Grupet e tjera të interesit </w:t>
      </w:r>
    </w:p>
    <w:p w14:paraId="3ECA75AE" w14:textId="194F6694" w:rsidR="00DA3AFE" w:rsidRPr="00445472" w:rsidRDefault="00DA3AFE" w:rsidP="00DA3AFE">
      <w:pPr>
        <w:pStyle w:val="TEKSTIIII"/>
      </w:pPr>
      <w:r w:rsidRPr="00445472">
        <w:t xml:space="preserve">5.10 Ndihma e angazhimit të grupeve të </w:t>
      </w:r>
      <w:r w:rsidR="001D340B" w:rsidRPr="00445472">
        <w:t>interesit</w:t>
      </w:r>
      <w:r w:rsidRPr="00445472">
        <w:t xml:space="preserve"> </w:t>
      </w:r>
    </w:p>
    <w:p w14:paraId="78116B80" w14:textId="6DA39A3D" w:rsidR="00DA3AFE" w:rsidRPr="00445472" w:rsidRDefault="00DA3AFE" w:rsidP="00DA3AFE">
      <w:pPr>
        <w:pStyle w:val="TEKSTIIII"/>
      </w:pPr>
      <w:r w:rsidRPr="00445472">
        <w:t xml:space="preserve">Shtojca 6. Raporti i konsultimit të grupeve të interesit </w:t>
      </w:r>
    </w:p>
    <w:p w14:paraId="4F55FECA" w14:textId="38610069" w:rsidR="00DA3AFE" w:rsidRPr="00445472" w:rsidRDefault="00DA3AFE" w:rsidP="00DA3AFE">
      <w:pPr>
        <w:pStyle w:val="TEKSTIIII"/>
      </w:pPr>
      <w:r w:rsidRPr="00445472">
        <w:t xml:space="preserve">6.1 Hyrje </w:t>
      </w:r>
    </w:p>
    <w:p w14:paraId="311C7DCD" w14:textId="7C59857F" w:rsidR="00DA3AFE" w:rsidRPr="00445472" w:rsidRDefault="00DA3AFE" w:rsidP="00DA3AFE">
      <w:pPr>
        <w:pStyle w:val="TEKSTIIII"/>
      </w:pPr>
      <w:r w:rsidRPr="00445472">
        <w:t xml:space="preserve">6.2 Qasja e përgjithshme </w:t>
      </w:r>
    </w:p>
    <w:p w14:paraId="2D12E2F6" w14:textId="4D81EB50" w:rsidR="00DA3AFE" w:rsidRPr="00445472" w:rsidRDefault="00DA3AFE" w:rsidP="00DA3AFE">
      <w:pPr>
        <w:pStyle w:val="TEKSTIIII"/>
      </w:pPr>
      <w:r w:rsidRPr="00445472">
        <w:t xml:space="preserve">6.3 Mbledhjet </w:t>
      </w:r>
      <w:r w:rsidR="001D340B" w:rsidRPr="00445472">
        <w:t xml:space="preserve">rajonale </w:t>
      </w:r>
    </w:p>
    <w:p w14:paraId="4899C7C4" w14:textId="2A675BF0" w:rsidR="00DA3AFE" w:rsidRPr="00445472" w:rsidRDefault="00DA3AFE" w:rsidP="00DA3AFE">
      <w:pPr>
        <w:pStyle w:val="TEKSTIIII"/>
      </w:pPr>
      <w:r w:rsidRPr="00445472">
        <w:t xml:space="preserve">6.4 Fokus grupet dhe informatorët kyç </w:t>
      </w:r>
    </w:p>
    <w:p w14:paraId="4E918038" w14:textId="5A3EDCA7" w:rsidR="00DA3AFE" w:rsidRPr="00445472" w:rsidRDefault="00DA3AFE" w:rsidP="00DA3AFE">
      <w:pPr>
        <w:pStyle w:val="TEKSTIIII"/>
      </w:pPr>
      <w:r w:rsidRPr="00445472">
        <w:t xml:space="preserve">6.4.1 Numri i kontakteve </w:t>
      </w:r>
    </w:p>
    <w:p w14:paraId="3EF0D244" w14:textId="07FFF43C" w:rsidR="00DA3AFE" w:rsidRPr="00445472" w:rsidRDefault="00DA3AFE" w:rsidP="00DA3AFE">
      <w:pPr>
        <w:pStyle w:val="TEKSTIIII"/>
      </w:pPr>
      <w:r w:rsidRPr="00445472">
        <w:t xml:space="preserve">6.4.2 Rezultatet dhe çështjet kryesore  </w:t>
      </w:r>
    </w:p>
    <w:p w14:paraId="37BF4016" w14:textId="748479AB" w:rsidR="00DA3AFE" w:rsidRPr="00445472" w:rsidRDefault="00DA3AFE" w:rsidP="00DA3AFE">
      <w:pPr>
        <w:pStyle w:val="TEKSTIIII"/>
      </w:pPr>
      <w:r w:rsidRPr="00445472">
        <w:t xml:space="preserve">6.4.3 Çështjet kryesore të grupeve specifike </w:t>
      </w:r>
    </w:p>
    <w:p w14:paraId="3F0A6D79" w14:textId="38A3E409" w:rsidR="00DA3AFE" w:rsidRPr="00445472" w:rsidRDefault="00DA3AFE" w:rsidP="00DA3AFE">
      <w:pPr>
        <w:pStyle w:val="TEKSTIIII"/>
      </w:pPr>
      <w:r w:rsidRPr="00445472">
        <w:t xml:space="preserve">6.5 Angazhimi i OJQ-ve </w:t>
      </w:r>
    </w:p>
    <w:p w14:paraId="0E16A0DD" w14:textId="0270004B" w:rsidR="00DA3AFE" w:rsidRPr="00445472" w:rsidRDefault="00DA3AFE" w:rsidP="00DA3AFE">
      <w:pPr>
        <w:pStyle w:val="TEKSTIIII"/>
      </w:pPr>
      <w:r w:rsidRPr="00445472">
        <w:t xml:space="preserve">6.6 Grafikët dhe pyetjet kryesore </w:t>
      </w:r>
    </w:p>
    <w:p w14:paraId="75D8CCE2" w14:textId="79EE1323" w:rsidR="00196549" w:rsidRPr="00445472" w:rsidRDefault="00DA3AFE" w:rsidP="00196549">
      <w:pPr>
        <w:pStyle w:val="TEKSTIIII"/>
        <w:jc w:val="center"/>
        <w:rPr>
          <w:b/>
        </w:rPr>
      </w:pPr>
      <w:r w:rsidRPr="00445472">
        <w:cr/>
      </w:r>
      <w:r w:rsidR="00196549" w:rsidRPr="00445472">
        <w:rPr>
          <w:b/>
        </w:rPr>
        <w:t xml:space="preserve"> Akronimet dhe njësitë</w:t>
      </w:r>
    </w:p>
    <w:p w14:paraId="1938F031" w14:textId="77777777" w:rsidR="00196549" w:rsidRPr="00445472" w:rsidRDefault="00196549" w:rsidP="00196549">
      <w:pPr>
        <w:pStyle w:val="TABELA"/>
        <w:rPr>
          <w:lang w:val="sq-AL"/>
        </w:rPr>
      </w:pPr>
    </w:p>
    <w:tbl>
      <w:tblPr>
        <w:tblW w:w="4373" w:type="pct"/>
        <w:jc w:val="center"/>
        <w:tblCellMar>
          <w:left w:w="0" w:type="dxa"/>
          <w:right w:w="0" w:type="dxa"/>
        </w:tblCellMar>
        <w:tblLook w:val="01E0" w:firstRow="1" w:lastRow="1" w:firstColumn="1" w:lastColumn="1" w:noHBand="0" w:noVBand="0"/>
      </w:tblPr>
      <w:tblGrid>
        <w:gridCol w:w="1279"/>
        <w:gridCol w:w="211"/>
        <w:gridCol w:w="6443"/>
      </w:tblGrid>
      <w:tr w:rsidR="00196549" w:rsidRPr="00445472" w14:paraId="10E2C3C1" w14:textId="77777777" w:rsidTr="00196549">
        <w:trPr>
          <w:trHeight w:val="200"/>
          <w:jc w:val="center"/>
        </w:trPr>
        <w:tc>
          <w:tcPr>
            <w:tcW w:w="806" w:type="pct"/>
          </w:tcPr>
          <w:p w14:paraId="38634578" w14:textId="77777777" w:rsidR="00196549" w:rsidRPr="00445472" w:rsidRDefault="00196549" w:rsidP="00196549">
            <w:pPr>
              <w:pStyle w:val="TABELA"/>
              <w:rPr>
                <w:lang w:val="sq-AL"/>
              </w:rPr>
            </w:pPr>
            <w:r w:rsidRPr="00445472">
              <w:rPr>
                <w:lang w:val="sq-AL"/>
              </w:rPr>
              <w:t>SHGJSH</w:t>
            </w:r>
          </w:p>
        </w:tc>
        <w:tc>
          <w:tcPr>
            <w:tcW w:w="4194" w:type="pct"/>
            <w:gridSpan w:val="2"/>
          </w:tcPr>
          <w:p w14:paraId="536CD2E0" w14:textId="77777777" w:rsidR="00196549" w:rsidRPr="00445472" w:rsidRDefault="00196549" w:rsidP="00196549">
            <w:pPr>
              <w:pStyle w:val="TABELA"/>
              <w:rPr>
                <w:lang w:val="sq-AL"/>
              </w:rPr>
            </w:pPr>
            <w:r w:rsidRPr="00445472">
              <w:rPr>
                <w:lang w:val="sq-AL"/>
              </w:rPr>
              <w:t>Shërbimi Gjeologjik Shqiptar</w:t>
            </w:r>
          </w:p>
        </w:tc>
      </w:tr>
      <w:tr w:rsidR="00A977E4" w:rsidRPr="00445472" w14:paraId="38578503" w14:textId="77777777" w:rsidTr="00196549">
        <w:trPr>
          <w:trHeight w:val="200"/>
          <w:jc w:val="center"/>
        </w:trPr>
        <w:tc>
          <w:tcPr>
            <w:tcW w:w="806" w:type="pct"/>
          </w:tcPr>
          <w:p w14:paraId="667C7790" w14:textId="77777777" w:rsidR="00196549" w:rsidRPr="00445472" w:rsidRDefault="00196549" w:rsidP="00196549">
            <w:pPr>
              <w:pStyle w:val="TABELA"/>
              <w:rPr>
                <w:lang w:val="sq-AL"/>
              </w:rPr>
            </w:pPr>
            <w:r w:rsidRPr="00445472">
              <w:rPr>
                <w:lang w:val="sq-AL"/>
              </w:rPr>
              <w:t>AEM</w:t>
            </w:r>
          </w:p>
        </w:tc>
        <w:tc>
          <w:tcPr>
            <w:tcW w:w="4194" w:type="pct"/>
            <w:gridSpan w:val="2"/>
          </w:tcPr>
          <w:p w14:paraId="5003AED8" w14:textId="77777777" w:rsidR="00196549" w:rsidRPr="00445472" w:rsidRDefault="00196549" w:rsidP="00196549">
            <w:pPr>
              <w:pStyle w:val="TABELA"/>
              <w:rPr>
                <w:lang w:val="sq-AL"/>
              </w:rPr>
            </w:pPr>
            <w:r w:rsidRPr="00445472">
              <w:rPr>
                <w:lang w:val="sq-AL"/>
              </w:rPr>
              <w:t>Agjencia Evropiane e Mjedisit</w:t>
            </w:r>
          </w:p>
        </w:tc>
      </w:tr>
      <w:tr w:rsidR="00A977E4" w:rsidRPr="00445472" w14:paraId="44800895" w14:textId="77777777" w:rsidTr="00196549">
        <w:trPr>
          <w:trHeight w:val="200"/>
          <w:jc w:val="center"/>
        </w:trPr>
        <w:tc>
          <w:tcPr>
            <w:tcW w:w="806" w:type="pct"/>
          </w:tcPr>
          <w:p w14:paraId="10969730" w14:textId="77777777" w:rsidR="00196549" w:rsidRPr="00445472" w:rsidRDefault="00196549" w:rsidP="00196549">
            <w:pPr>
              <w:pStyle w:val="TABELA"/>
              <w:rPr>
                <w:lang w:val="sq-AL"/>
              </w:rPr>
            </w:pPr>
            <w:r w:rsidRPr="00445472">
              <w:rPr>
                <w:lang w:val="sq-AL"/>
              </w:rPr>
              <w:t>AKUK</w:t>
            </w:r>
          </w:p>
        </w:tc>
        <w:tc>
          <w:tcPr>
            <w:tcW w:w="4194" w:type="pct"/>
            <w:gridSpan w:val="2"/>
          </w:tcPr>
          <w:p w14:paraId="7C32D0C5" w14:textId="5D0FDDD2" w:rsidR="00196549" w:rsidRPr="00445472" w:rsidRDefault="00196549" w:rsidP="001D340B">
            <w:pPr>
              <w:pStyle w:val="TABELA"/>
              <w:rPr>
                <w:lang w:val="sq-AL"/>
              </w:rPr>
            </w:pPr>
            <w:r w:rsidRPr="00445472">
              <w:rPr>
                <w:lang w:val="sq-AL"/>
              </w:rPr>
              <w:t>Agjencia Kombëtare e Ujësjellës-Kanalizimeve</w:t>
            </w:r>
          </w:p>
        </w:tc>
      </w:tr>
      <w:tr w:rsidR="00A977E4" w:rsidRPr="00445472" w14:paraId="14DDD6CE" w14:textId="77777777" w:rsidTr="00196549">
        <w:trPr>
          <w:trHeight w:val="200"/>
          <w:jc w:val="center"/>
        </w:trPr>
        <w:tc>
          <w:tcPr>
            <w:tcW w:w="806" w:type="pct"/>
          </w:tcPr>
          <w:p w14:paraId="7ED60F12" w14:textId="77777777" w:rsidR="00196549" w:rsidRPr="00445472" w:rsidRDefault="00196549" w:rsidP="00196549">
            <w:pPr>
              <w:pStyle w:val="TABELA"/>
              <w:rPr>
                <w:lang w:val="sq-AL"/>
              </w:rPr>
            </w:pPr>
            <w:r w:rsidRPr="00445472">
              <w:rPr>
                <w:lang w:val="sq-AL"/>
              </w:rPr>
              <w:t>KBO</w:t>
            </w:r>
          </w:p>
        </w:tc>
        <w:tc>
          <w:tcPr>
            <w:tcW w:w="4194" w:type="pct"/>
            <w:gridSpan w:val="2"/>
          </w:tcPr>
          <w:p w14:paraId="750D28A9" w14:textId="3FB34FF9" w:rsidR="00196549" w:rsidRPr="00445472" w:rsidRDefault="00196549" w:rsidP="00196549">
            <w:pPr>
              <w:pStyle w:val="TABELA"/>
              <w:rPr>
                <w:lang w:val="sq-AL"/>
              </w:rPr>
            </w:pPr>
            <w:r w:rsidRPr="00445472">
              <w:rPr>
                <w:lang w:val="sq-AL"/>
              </w:rPr>
              <w:t xml:space="preserve">Kërkesa </w:t>
            </w:r>
            <w:r w:rsidR="001D340B" w:rsidRPr="00445472">
              <w:rPr>
                <w:lang w:val="sq-AL"/>
              </w:rPr>
              <w:t xml:space="preserve">biologjike </w:t>
            </w:r>
            <w:r w:rsidRPr="00445472">
              <w:rPr>
                <w:lang w:val="sq-AL"/>
              </w:rPr>
              <w:t xml:space="preserve">për </w:t>
            </w:r>
            <w:r w:rsidR="001D340B" w:rsidRPr="00445472">
              <w:rPr>
                <w:lang w:val="sq-AL"/>
              </w:rPr>
              <w:t>oksigjen</w:t>
            </w:r>
          </w:p>
        </w:tc>
      </w:tr>
      <w:tr w:rsidR="00A977E4" w:rsidRPr="00445472" w14:paraId="585F6A80" w14:textId="77777777" w:rsidTr="00196549">
        <w:trPr>
          <w:trHeight w:val="200"/>
          <w:jc w:val="center"/>
        </w:trPr>
        <w:tc>
          <w:tcPr>
            <w:tcW w:w="806" w:type="pct"/>
          </w:tcPr>
          <w:p w14:paraId="1D86569C" w14:textId="77777777" w:rsidR="00196549" w:rsidRPr="00445472" w:rsidRDefault="00196549" w:rsidP="00196549">
            <w:pPr>
              <w:pStyle w:val="TABELA"/>
              <w:rPr>
                <w:lang w:val="sq-AL"/>
              </w:rPr>
            </w:pPr>
            <w:r w:rsidRPr="00445472">
              <w:rPr>
                <w:lang w:val="sq-AL"/>
              </w:rPr>
              <w:t>°C</w:t>
            </w:r>
          </w:p>
        </w:tc>
        <w:tc>
          <w:tcPr>
            <w:tcW w:w="4194" w:type="pct"/>
            <w:gridSpan w:val="2"/>
          </w:tcPr>
          <w:p w14:paraId="45B553DF" w14:textId="77777777" w:rsidR="00196549" w:rsidRPr="00445472" w:rsidRDefault="00196549" w:rsidP="00196549">
            <w:pPr>
              <w:pStyle w:val="TABELA"/>
              <w:rPr>
                <w:lang w:val="sq-AL"/>
              </w:rPr>
            </w:pPr>
            <w:r w:rsidRPr="00445472">
              <w:rPr>
                <w:lang w:val="sq-AL"/>
              </w:rPr>
              <w:t>Gradë Celsius</w:t>
            </w:r>
          </w:p>
        </w:tc>
      </w:tr>
      <w:tr w:rsidR="00A977E4" w:rsidRPr="00445472" w14:paraId="7D9D0334" w14:textId="77777777" w:rsidTr="00196549">
        <w:trPr>
          <w:trHeight w:val="200"/>
          <w:jc w:val="center"/>
        </w:trPr>
        <w:tc>
          <w:tcPr>
            <w:tcW w:w="806" w:type="pct"/>
          </w:tcPr>
          <w:p w14:paraId="5F859E32" w14:textId="77777777" w:rsidR="00196549" w:rsidRPr="00445472" w:rsidRDefault="00196549" w:rsidP="00196549">
            <w:pPr>
              <w:pStyle w:val="TABELA"/>
              <w:rPr>
                <w:lang w:val="sq-AL"/>
              </w:rPr>
            </w:pPr>
            <w:r w:rsidRPr="00445472">
              <w:rPr>
                <w:lang w:val="sq-AL"/>
              </w:rPr>
              <w:t>c</w:t>
            </w:r>
          </w:p>
        </w:tc>
        <w:tc>
          <w:tcPr>
            <w:tcW w:w="4194" w:type="pct"/>
            <w:gridSpan w:val="2"/>
          </w:tcPr>
          <w:p w14:paraId="2412BB02" w14:textId="77777777" w:rsidR="00196549" w:rsidRPr="00445472" w:rsidRDefault="00196549" w:rsidP="00196549">
            <w:pPr>
              <w:pStyle w:val="TABELA"/>
              <w:rPr>
                <w:lang w:val="sq-AL"/>
              </w:rPr>
            </w:pPr>
            <w:r w:rsidRPr="00445472">
              <w:rPr>
                <w:lang w:val="sq-AL"/>
              </w:rPr>
              <w:t>Frymë</w:t>
            </w:r>
          </w:p>
        </w:tc>
      </w:tr>
      <w:tr w:rsidR="00A977E4" w:rsidRPr="00445472" w14:paraId="6D950D9F" w14:textId="77777777" w:rsidTr="00196549">
        <w:trPr>
          <w:trHeight w:val="200"/>
          <w:jc w:val="center"/>
        </w:trPr>
        <w:tc>
          <w:tcPr>
            <w:tcW w:w="806" w:type="pct"/>
          </w:tcPr>
          <w:p w14:paraId="0B90ED09" w14:textId="77777777" w:rsidR="00196549" w:rsidRPr="00445472" w:rsidRDefault="00196549" w:rsidP="00196549">
            <w:pPr>
              <w:pStyle w:val="TABELA"/>
              <w:rPr>
                <w:lang w:val="sq-AL"/>
              </w:rPr>
            </w:pPr>
            <w:r w:rsidRPr="00445472">
              <w:rPr>
                <w:lang w:val="sq-AL"/>
              </w:rPr>
              <w:t>Ca</w:t>
            </w:r>
          </w:p>
        </w:tc>
        <w:tc>
          <w:tcPr>
            <w:tcW w:w="4194" w:type="pct"/>
            <w:gridSpan w:val="2"/>
          </w:tcPr>
          <w:p w14:paraId="51E23195" w14:textId="77777777" w:rsidR="00196549" w:rsidRPr="00445472" w:rsidRDefault="00196549" w:rsidP="00196549">
            <w:pPr>
              <w:pStyle w:val="TABELA"/>
              <w:rPr>
                <w:lang w:val="sq-AL"/>
              </w:rPr>
            </w:pPr>
            <w:r w:rsidRPr="00445472">
              <w:rPr>
                <w:lang w:val="sq-AL"/>
              </w:rPr>
              <w:t>Kalcium</w:t>
            </w:r>
          </w:p>
        </w:tc>
      </w:tr>
      <w:tr w:rsidR="00A977E4" w:rsidRPr="00445472" w14:paraId="0DCCC4CF" w14:textId="77777777" w:rsidTr="00196549">
        <w:trPr>
          <w:trHeight w:val="200"/>
          <w:jc w:val="center"/>
        </w:trPr>
        <w:tc>
          <w:tcPr>
            <w:tcW w:w="806" w:type="pct"/>
          </w:tcPr>
          <w:p w14:paraId="0A388D91" w14:textId="77777777" w:rsidR="00196549" w:rsidRPr="00445472" w:rsidRDefault="00196549" w:rsidP="00196549">
            <w:pPr>
              <w:pStyle w:val="TABELA"/>
              <w:rPr>
                <w:lang w:val="sq-AL"/>
              </w:rPr>
            </w:pPr>
            <w:r w:rsidRPr="00445472">
              <w:rPr>
                <w:lang w:val="sq-AL"/>
              </w:rPr>
              <w:t>Cd</w:t>
            </w:r>
          </w:p>
        </w:tc>
        <w:tc>
          <w:tcPr>
            <w:tcW w:w="4194" w:type="pct"/>
            <w:gridSpan w:val="2"/>
          </w:tcPr>
          <w:p w14:paraId="369BB072" w14:textId="77777777" w:rsidR="00196549" w:rsidRPr="00445472" w:rsidRDefault="00196549" w:rsidP="00196549">
            <w:pPr>
              <w:pStyle w:val="TABELA"/>
              <w:rPr>
                <w:lang w:val="sq-AL"/>
              </w:rPr>
            </w:pPr>
            <w:r w:rsidRPr="00445472">
              <w:rPr>
                <w:lang w:val="sq-AL"/>
              </w:rPr>
              <w:t>Kadmium</w:t>
            </w:r>
          </w:p>
        </w:tc>
      </w:tr>
      <w:tr w:rsidR="00A977E4" w:rsidRPr="00445472" w14:paraId="2BF0C84B" w14:textId="77777777" w:rsidTr="00196549">
        <w:trPr>
          <w:trHeight w:val="200"/>
          <w:jc w:val="center"/>
        </w:trPr>
        <w:tc>
          <w:tcPr>
            <w:tcW w:w="806" w:type="pct"/>
          </w:tcPr>
          <w:p w14:paraId="03A6DFF1" w14:textId="77777777" w:rsidR="00196549" w:rsidRPr="00445472" w:rsidRDefault="00196549" w:rsidP="00196549">
            <w:pPr>
              <w:pStyle w:val="TABELA"/>
              <w:rPr>
                <w:lang w:val="sq-AL"/>
              </w:rPr>
            </w:pPr>
            <w:r w:rsidRPr="00445472">
              <w:rPr>
                <w:lang w:val="sq-AL"/>
              </w:rPr>
              <w:t>CEMSA</w:t>
            </w:r>
          </w:p>
        </w:tc>
        <w:tc>
          <w:tcPr>
            <w:tcW w:w="4194" w:type="pct"/>
            <w:gridSpan w:val="2"/>
          </w:tcPr>
          <w:p w14:paraId="33E9D082" w14:textId="77777777" w:rsidR="00196549" w:rsidRPr="00445472" w:rsidRDefault="00196549" w:rsidP="00196549">
            <w:pPr>
              <w:pStyle w:val="TABELA"/>
              <w:rPr>
                <w:lang w:val="sq-AL"/>
              </w:rPr>
            </w:pPr>
            <w:r w:rsidRPr="00445472">
              <w:rPr>
                <w:lang w:val="sq-AL"/>
              </w:rPr>
              <w:t>Konsolidimi i Sistemeve të Monitorimit të Mjedisit në Shqipëri</w:t>
            </w:r>
          </w:p>
        </w:tc>
      </w:tr>
      <w:tr w:rsidR="00A977E4" w:rsidRPr="00445472" w14:paraId="0B61AF13" w14:textId="77777777" w:rsidTr="00196549">
        <w:trPr>
          <w:trHeight w:val="200"/>
          <w:jc w:val="center"/>
        </w:trPr>
        <w:tc>
          <w:tcPr>
            <w:tcW w:w="806" w:type="pct"/>
          </w:tcPr>
          <w:p w14:paraId="4F40C082" w14:textId="77777777" w:rsidR="00196549" w:rsidRPr="00445472" w:rsidRDefault="00196549" w:rsidP="00196549">
            <w:pPr>
              <w:pStyle w:val="TABELA"/>
              <w:rPr>
                <w:lang w:val="sq-AL"/>
              </w:rPr>
            </w:pPr>
            <w:r w:rsidRPr="00445472">
              <w:rPr>
                <w:lang w:val="sq-AL"/>
              </w:rPr>
              <w:t>GRNK</w:t>
            </w:r>
          </w:p>
        </w:tc>
        <w:tc>
          <w:tcPr>
            <w:tcW w:w="4194" w:type="pct"/>
            <w:gridSpan w:val="2"/>
          </w:tcPr>
          <w:p w14:paraId="02261E36" w14:textId="77777777" w:rsidR="00196549" w:rsidRPr="00445472" w:rsidRDefault="00196549" w:rsidP="00196549">
            <w:pPr>
              <w:pStyle w:val="TABELA"/>
              <w:rPr>
                <w:lang w:val="sq-AL"/>
              </w:rPr>
            </w:pPr>
            <w:r w:rsidRPr="00445472">
              <w:rPr>
                <w:lang w:val="sq-AL"/>
              </w:rPr>
              <w:t>Të dhënat stacionare Grupi i rreziqeve klimatike reshjet – rrezet infra të kuqe</w:t>
            </w:r>
          </w:p>
        </w:tc>
      </w:tr>
      <w:tr w:rsidR="00A977E4" w:rsidRPr="00445472" w14:paraId="229E17E2" w14:textId="77777777" w:rsidTr="00196549">
        <w:trPr>
          <w:trHeight w:val="200"/>
          <w:jc w:val="center"/>
        </w:trPr>
        <w:tc>
          <w:tcPr>
            <w:tcW w:w="806" w:type="pct"/>
          </w:tcPr>
          <w:p w14:paraId="3D861AE3" w14:textId="77777777" w:rsidR="00196549" w:rsidRPr="00445472" w:rsidRDefault="00196549" w:rsidP="00196549">
            <w:pPr>
              <w:pStyle w:val="TABELA"/>
              <w:rPr>
                <w:lang w:val="sq-AL"/>
              </w:rPr>
            </w:pPr>
            <w:r w:rsidRPr="00445472">
              <w:rPr>
                <w:lang w:val="sq-AL"/>
              </w:rPr>
              <w:t>Cl</w:t>
            </w:r>
          </w:p>
        </w:tc>
        <w:tc>
          <w:tcPr>
            <w:tcW w:w="4194" w:type="pct"/>
            <w:gridSpan w:val="2"/>
          </w:tcPr>
          <w:p w14:paraId="5CC23CA9" w14:textId="77777777" w:rsidR="00196549" w:rsidRPr="00445472" w:rsidRDefault="00196549" w:rsidP="00196549">
            <w:pPr>
              <w:pStyle w:val="TABELA"/>
              <w:rPr>
                <w:lang w:val="sq-AL"/>
              </w:rPr>
            </w:pPr>
            <w:r w:rsidRPr="00445472">
              <w:rPr>
                <w:lang w:val="sq-AL"/>
              </w:rPr>
              <w:t>Klor</w:t>
            </w:r>
          </w:p>
        </w:tc>
      </w:tr>
      <w:tr w:rsidR="00A977E4" w:rsidRPr="00445472" w14:paraId="6F5A1CB3" w14:textId="77777777" w:rsidTr="00196549">
        <w:trPr>
          <w:trHeight w:val="200"/>
          <w:jc w:val="center"/>
        </w:trPr>
        <w:tc>
          <w:tcPr>
            <w:tcW w:w="806" w:type="pct"/>
          </w:tcPr>
          <w:p w14:paraId="2606EF94" w14:textId="77777777" w:rsidR="00196549" w:rsidRPr="00445472" w:rsidRDefault="00196549" w:rsidP="00196549">
            <w:pPr>
              <w:pStyle w:val="TABELA"/>
              <w:rPr>
                <w:lang w:val="sq-AL"/>
              </w:rPr>
            </w:pPr>
            <w:r w:rsidRPr="00445472">
              <w:rPr>
                <w:lang w:val="sq-AL"/>
              </w:rPr>
              <w:t>Co</w:t>
            </w:r>
          </w:p>
        </w:tc>
        <w:tc>
          <w:tcPr>
            <w:tcW w:w="4194" w:type="pct"/>
            <w:gridSpan w:val="2"/>
          </w:tcPr>
          <w:p w14:paraId="7321B643" w14:textId="77777777" w:rsidR="00196549" w:rsidRPr="00445472" w:rsidRDefault="00196549" w:rsidP="00196549">
            <w:pPr>
              <w:pStyle w:val="TABELA"/>
              <w:rPr>
                <w:lang w:val="sq-AL"/>
              </w:rPr>
            </w:pPr>
            <w:r w:rsidRPr="00445472">
              <w:rPr>
                <w:lang w:val="sq-AL"/>
              </w:rPr>
              <w:t>Kobalt</w:t>
            </w:r>
          </w:p>
        </w:tc>
      </w:tr>
      <w:tr w:rsidR="00A977E4" w:rsidRPr="00445472" w14:paraId="465D681D" w14:textId="77777777" w:rsidTr="00196549">
        <w:trPr>
          <w:trHeight w:val="200"/>
          <w:jc w:val="center"/>
        </w:trPr>
        <w:tc>
          <w:tcPr>
            <w:tcW w:w="806" w:type="pct"/>
          </w:tcPr>
          <w:p w14:paraId="6F0C02AC" w14:textId="77777777" w:rsidR="00196549" w:rsidRPr="00445472" w:rsidRDefault="00196549" w:rsidP="00196549">
            <w:pPr>
              <w:pStyle w:val="TABELA"/>
              <w:rPr>
                <w:sz w:val="12"/>
                <w:lang w:val="sq-AL"/>
              </w:rPr>
            </w:pPr>
            <w:r w:rsidRPr="00445472">
              <w:rPr>
                <w:lang w:val="sq-AL"/>
              </w:rPr>
              <w:t>CO</w:t>
            </w:r>
            <w:r w:rsidRPr="00445472">
              <w:rPr>
                <w:sz w:val="12"/>
                <w:lang w:val="sq-AL"/>
              </w:rPr>
              <w:t>3</w:t>
            </w:r>
          </w:p>
        </w:tc>
        <w:tc>
          <w:tcPr>
            <w:tcW w:w="4194" w:type="pct"/>
            <w:gridSpan w:val="2"/>
          </w:tcPr>
          <w:p w14:paraId="3ACF863B" w14:textId="77777777" w:rsidR="00196549" w:rsidRPr="00445472" w:rsidRDefault="00196549" w:rsidP="00196549">
            <w:pPr>
              <w:pStyle w:val="TABELA"/>
              <w:rPr>
                <w:lang w:val="sq-AL"/>
              </w:rPr>
            </w:pPr>
            <w:r w:rsidRPr="00445472">
              <w:rPr>
                <w:lang w:val="sq-AL"/>
              </w:rPr>
              <w:t>Karbonat</w:t>
            </w:r>
          </w:p>
        </w:tc>
      </w:tr>
      <w:tr w:rsidR="00A977E4" w:rsidRPr="00445472" w14:paraId="4DC78663" w14:textId="77777777" w:rsidTr="00196549">
        <w:trPr>
          <w:trHeight w:val="400"/>
          <w:jc w:val="center"/>
        </w:trPr>
        <w:tc>
          <w:tcPr>
            <w:tcW w:w="806" w:type="pct"/>
          </w:tcPr>
          <w:p w14:paraId="087002D8" w14:textId="77777777" w:rsidR="00196549" w:rsidRPr="00445472" w:rsidRDefault="00196549" w:rsidP="00196549">
            <w:pPr>
              <w:pStyle w:val="TABELA"/>
              <w:rPr>
                <w:lang w:val="sq-AL"/>
              </w:rPr>
            </w:pPr>
            <w:r w:rsidRPr="00445472">
              <w:rPr>
                <w:lang w:val="sq-AL"/>
              </w:rPr>
              <w:t>COM</w:t>
            </w:r>
          </w:p>
        </w:tc>
        <w:tc>
          <w:tcPr>
            <w:tcW w:w="4194" w:type="pct"/>
            <w:gridSpan w:val="2"/>
          </w:tcPr>
          <w:p w14:paraId="4C29D7EF" w14:textId="1A377155" w:rsidR="00196549" w:rsidRPr="00445472" w:rsidRDefault="00196549" w:rsidP="00196549">
            <w:pPr>
              <w:pStyle w:val="TABELA"/>
              <w:rPr>
                <w:lang w:val="sq-AL"/>
              </w:rPr>
            </w:pPr>
            <w:r w:rsidRPr="00445472">
              <w:rPr>
                <w:lang w:val="sq-AL"/>
              </w:rPr>
              <w:t xml:space="preserve">Komunikimi nga Komisioni për Këshillin, e Parlamentit </w:t>
            </w:r>
            <w:r w:rsidR="001D340B" w:rsidRPr="00445472">
              <w:rPr>
                <w:lang w:val="sq-AL"/>
              </w:rPr>
              <w:t>Evropian</w:t>
            </w:r>
            <w:r w:rsidRPr="00445472">
              <w:rPr>
                <w:lang w:val="sq-AL"/>
              </w:rPr>
              <w:t>,</w:t>
            </w:r>
          </w:p>
          <w:p w14:paraId="7C4DBFE4" w14:textId="394B4EC8" w:rsidR="00196549" w:rsidRPr="00445472" w:rsidRDefault="00196549" w:rsidP="00196549">
            <w:pPr>
              <w:pStyle w:val="TABELA"/>
              <w:rPr>
                <w:lang w:val="sq-AL"/>
              </w:rPr>
            </w:pPr>
            <w:r w:rsidRPr="00445472">
              <w:rPr>
                <w:lang w:val="sq-AL"/>
              </w:rPr>
              <w:t xml:space="preserve">Komitetin </w:t>
            </w:r>
            <w:r w:rsidR="001D340B" w:rsidRPr="00445472">
              <w:rPr>
                <w:lang w:val="sq-AL"/>
              </w:rPr>
              <w:t>Evropian</w:t>
            </w:r>
            <w:r w:rsidRPr="00445472">
              <w:rPr>
                <w:lang w:val="sq-AL"/>
              </w:rPr>
              <w:t xml:space="preserve"> Ekonomik dhe Social dhe Komitetin e Rajoneve</w:t>
            </w:r>
          </w:p>
        </w:tc>
      </w:tr>
      <w:tr w:rsidR="00A977E4" w:rsidRPr="00445472" w14:paraId="507FB6F7" w14:textId="77777777" w:rsidTr="00196549">
        <w:trPr>
          <w:trHeight w:val="200"/>
          <w:jc w:val="center"/>
        </w:trPr>
        <w:tc>
          <w:tcPr>
            <w:tcW w:w="806" w:type="pct"/>
          </w:tcPr>
          <w:p w14:paraId="7A7B67D7" w14:textId="77777777" w:rsidR="00196549" w:rsidRPr="00445472" w:rsidRDefault="00196549" w:rsidP="00196549">
            <w:pPr>
              <w:pStyle w:val="TABELA"/>
              <w:rPr>
                <w:lang w:val="sq-AL"/>
              </w:rPr>
            </w:pPr>
            <w:r w:rsidRPr="00445472">
              <w:rPr>
                <w:lang w:val="sq-AL"/>
              </w:rPr>
              <w:t>Cr</w:t>
            </w:r>
          </w:p>
        </w:tc>
        <w:tc>
          <w:tcPr>
            <w:tcW w:w="4194" w:type="pct"/>
            <w:gridSpan w:val="2"/>
          </w:tcPr>
          <w:p w14:paraId="6B4BA82D" w14:textId="77777777" w:rsidR="00196549" w:rsidRPr="00445472" w:rsidRDefault="00196549" w:rsidP="00196549">
            <w:pPr>
              <w:pStyle w:val="TABELA"/>
              <w:rPr>
                <w:lang w:val="sq-AL"/>
              </w:rPr>
            </w:pPr>
            <w:r w:rsidRPr="00445472">
              <w:rPr>
                <w:lang w:val="sq-AL"/>
              </w:rPr>
              <w:t>Krom</w:t>
            </w:r>
          </w:p>
        </w:tc>
      </w:tr>
      <w:tr w:rsidR="00A977E4" w:rsidRPr="00445472" w14:paraId="3E468412" w14:textId="77777777" w:rsidTr="00196549">
        <w:trPr>
          <w:trHeight w:val="200"/>
          <w:jc w:val="center"/>
        </w:trPr>
        <w:tc>
          <w:tcPr>
            <w:tcW w:w="806" w:type="pct"/>
          </w:tcPr>
          <w:p w14:paraId="4E9AFBDE" w14:textId="77777777" w:rsidR="00196549" w:rsidRPr="00445472" w:rsidRDefault="00196549" w:rsidP="00196549">
            <w:pPr>
              <w:pStyle w:val="TABELA"/>
              <w:rPr>
                <w:lang w:val="sq-AL"/>
              </w:rPr>
            </w:pPr>
            <w:r w:rsidRPr="00445472">
              <w:rPr>
                <w:lang w:val="sq-AL"/>
              </w:rPr>
              <w:t>NJKK</w:t>
            </w:r>
          </w:p>
        </w:tc>
        <w:tc>
          <w:tcPr>
            <w:tcW w:w="4194" w:type="pct"/>
            <w:gridSpan w:val="2"/>
          </w:tcPr>
          <w:p w14:paraId="2ABD6132" w14:textId="77777777" w:rsidR="00196549" w:rsidRPr="00445472" w:rsidRDefault="00196549" w:rsidP="00196549">
            <w:pPr>
              <w:pStyle w:val="TABELA"/>
              <w:rPr>
                <w:lang w:val="sq-AL"/>
              </w:rPr>
            </w:pPr>
            <w:r w:rsidRPr="00445472">
              <w:rPr>
                <w:lang w:val="sq-AL"/>
              </w:rPr>
              <w:t>Njësia e Kërkimit Klimatik</w:t>
            </w:r>
          </w:p>
        </w:tc>
      </w:tr>
      <w:tr w:rsidR="00A977E4" w:rsidRPr="00445472" w14:paraId="246B1ECC" w14:textId="77777777" w:rsidTr="00196549">
        <w:trPr>
          <w:trHeight w:val="200"/>
          <w:jc w:val="center"/>
        </w:trPr>
        <w:tc>
          <w:tcPr>
            <w:tcW w:w="806" w:type="pct"/>
          </w:tcPr>
          <w:p w14:paraId="32457644" w14:textId="77777777" w:rsidR="00196549" w:rsidRPr="00445472" w:rsidRDefault="00196549" w:rsidP="00196549">
            <w:pPr>
              <w:pStyle w:val="TABELA"/>
              <w:rPr>
                <w:lang w:val="sq-AL"/>
              </w:rPr>
            </w:pPr>
            <w:r w:rsidRPr="00445472">
              <w:rPr>
                <w:lang w:val="sq-AL"/>
              </w:rPr>
              <w:t>Cu</w:t>
            </w:r>
          </w:p>
        </w:tc>
        <w:tc>
          <w:tcPr>
            <w:tcW w:w="4194" w:type="pct"/>
            <w:gridSpan w:val="2"/>
          </w:tcPr>
          <w:p w14:paraId="2DD6CC5F" w14:textId="77777777" w:rsidR="00196549" w:rsidRPr="00445472" w:rsidRDefault="00196549" w:rsidP="00196549">
            <w:pPr>
              <w:pStyle w:val="TABELA"/>
              <w:rPr>
                <w:lang w:val="sq-AL"/>
              </w:rPr>
            </w:pPr>
            <w:r w:rsidRPr="00445472">
              <w:rPr>
                <w:lang w:val="sq-AL"/>
              </w:rPr>
              <w:t>Bakër</w:t>
            </w:r>
          </w:p>
        </w:tc>
      </w:tr>
      <w:tr w:rsidR="00A977E4" w:rsidRPr="00445472" w14:paraId="26FBC270" w14:textId="77777777" w:rsidTr="00196549">
        <w:trPr>
          <w:trHeight w:val="200"/>
          <w:jc w:val="center"/>
        </w:trPr>
        <w:tc>
          <w:tcPr>
            <w:tcW w:w="806" w:type="pct"/>
          </w:tcPr>
          <w:p w14:paraId="3C893A1F" w14:textId="77777777" w:rsidR="00196549" w:rsidRPr="00445472" w:rsidRDefault="00196549" w:rsidP="00196549">
            <w:pPr>
              <w:pStyle w:val="TABELA"/>
              <w:rPr>
                <w:lang w:val="sq-AL"/>
              </w:rPr>
            </w:pPr>
            <w:r w:rsidRPr="00445472">
              <w:rPr>
                <w:lang w:val="sq-AL"/>
              </w:rPr>
              <w:t>BK</w:t>
            </w:r>
          </w:p>
        </w:tc>
        <w:tc>
          <w:tcPr>
            <w:tcW w:w="4194" w:type="pct"/>
            <w:gridSpan w:val="2"/>
          </w:tcPr>
          <w:p w14:paraId="77879212" w14:textId="77777777" w:rsidR="00196549" w:rsidRPr="00445472" w:rsidRDefault="00196549" w:rsidP="00196549">
            <w:pPr>
              <w:pStyle w:val="TABELA"/>
              <w:rPr>
                <w:lang w:val="sq-AL"/>
              </w:rPr>
            </w:pPr>
            <w:r w:rsidRPr="00445472">
              <w:rPr>
                <w:lang w:val="sq-AL"/>
              </w:rPr>
              <w:t>Bordi i Kullimit</w:t>
            </w:r>
          </w:p>
        </w:tc>
      </w:tr>
      <w:tr w:rsidR="00A977E4" w:rsidRPr="00445472" w14:paraId="2614949D" w14:textId="77777777" w:rsidTr="00196549">
        <w:trPr>
          <w:trHeight w:val="200"/>
          <w:jc w:val="center"/>
        </w:trPr>
        <w:tc>
          <w:tcPr>
            <w:tcW w:w="806" w:type="pct"/>
          </w:tcPr>
          <w:p w14:paraId="235F0CF2" w14:textId="77777777" w:rsidR="00196549" w:rsidRPr="00445472" w:rsidRDefault="00196549" w:rsidP="00196549">
            <w:pPr>
              <w:pStyle w:val="TABELA"/>
              <w:rPr>
                <w:lang w:val="sq-AL"/>
              </w:rPr>
            </w:pPr>
            <w:r w:rsidRPr="00445472">
              <w:rPr>
                <w:lang w:val="sq-AL"/>
              </w:rPr>
              <w:t>VKM</w:t>
            </w:r>
          </w:p>
        </w:tc>
        <w:tc>
          <w:tcPr>
            <w:tcW w:w="4194" w:type="pct"/>
            <w:gridSpan w:val="2"/>
          </w:tcPr>
          <w:p w14:paraId="1080539E" w14:textId="77777777" w:rsidR="00196549" w:rsidRPr="00445472" w:rsidRDefault="00196549" w:rsidP="00196549">
            <w:pPr>
              <w:pStyle w:val="TABELA"/>
              <w:rPr>
                <w:lang w:val="sq-AL"/>
              </w:rPr>
            </w:pPr>
            <w:r w:rsidRPr="00445472">
              <w:rPr>
                <w:lang w:val="sq-AL"/>
              </w:rPr>
              <w:t>Vendim i Këshillit të Ministrave</w:t>
            </w:r>
          </w:p>
        </w:tc>
      </w:tr>
      <w:tr w:rsidR="00A977E4" w:rsidRPr="00445472" w14:paraId="4D082585" w14:textId="77777777" w:rsidTr="00196549">
        <w:trPr>
          <w:trHeight w:val="200"/>
          <w:jc w:val="center"/>
        </w:trPr>
        <w:tc>
          <w:tcPr>
            <w:tcW w:w="806" w:type="pct"/>
          </w:tcPr>
          <w:p w14:paraId="7E96180F" w14:textId="77777777" w:rsidR="00196549" w:rsidRPr="00445472" w:rsidRDefault="00196549" w:rsidP="00196549">
            <w:pPr>
              <w:pStyle w:val="TABELA"/>
              <w:rPr>
                <w:lang w:val="sq-AL"/>
              </w:rPr>
            </w:pPr>
            <w:r w:rsidRPr="00445472">
              <w:rPr>
                <w:lang w:val="sq-AL"/>
              </w:rPr>
              <w:t>DHI</w:t>
            </w:r>
          </w:p>
        </w:tc>
        <w:tc>
          <w:tcPr>
            <w:tcW w:w="4194" w:type="pct"/>
            <w:gridSpan w:val="2"/>
          </w:tcPr>
          <w:p w14:paraId="5F25ED29" w14:textId="77777777" w:rsidR="00196549" w:rsidRPr="00445472" w:rsidRDefault="00196549" w:rsidP="00196549">
            <w:pPr>
              <w:pStyle w:val="TABELA"/>
              <w:rPr>
                <w:lang w:val="sq-AL"/>
              </w:rPr>
            </w:pPr>
            <w:r w:rsidRPr="00445472">
              <w:rPr>
                <w:lang w:val="sq-AL"/>
              </w:rPr>
              <w:t>Instituti Hidraulik Danez</w:t>
            </w:r>
          </w:p>
        </w:tc>
      </w:tr>
      <w:tr w:rsidR="00A977E4" w:rsidRPr="00445472" w14:paraId="68AE3794" w14:textId="77777777" w:rsidTr="00196549">
        <w:trPr>
          <w:trHeight w:val="200"/>
          <w:jc w:val="center"/>
        </w:trPr>
        <w:tc>
          <w:tcPr>
            <w:tcW w:w="806" w:type="pct"/>
          </w:tcPr>
          <w:p w14:paraId="4C94412C" w14:textId="77777777" w:rsidR="00196549" w:rsidRPr="00445472" w:rsidRDefault="00196549" w:rsidP="00196549">
            <w:pPr>
              <w:pStyle w:val="TABELA"/>
              <w:rPr>
                <w:lang w:val="sq-AL"/>
              </w:rPr>
            </w:pPr>
            <w:r w:rsidRPr="00445472">
              <w:rPr>
                <w:lang w:val="sq-AL"/>
              </w:rPr>
              <w:t xml:space="preserve">  DP</w:t>
            </w:r>
          </w:p>
        </w:tc>
        <w:tc>
          <w:tcPr>
            <w:tcW w:w="4194" w:type="pct"/>
            <w:gridSpan w:val="2"/>
          </w:tcPr>
          <w:p w14:paraId="6E95175D" w14:textId="77777777" w:rsidR="00196549" w:rsidRPr="00445472" w:rsidRDefault="00196549" w:rsidP="00196549">
            <w:pPr>
              <w:pStyle w:val="TABELA"/>
              <w:rPr>
                <w:lang w:val="sq-AL"/>
              </w:rPr>
            </w:pPr>
            <w:r w:rsidRPr="00445472">
              <w:rPr>
                <w:lang w:val="sq-AL"/>
              </w:rPr>
              <w:t>Direktiva për Përmbytjet</w:t>
            </w:r>
          </w:p>
        </w:tc>
      </w:tr>
      <w:tr w:rsidR="00A977E4" w:rsidRPr="00445472" w14:paraId="607C362C" w14:textId="77777777" w:rsidTr="00196549">
        <w:trPr>
          <w:trHeight w:val="200"/>
          <w:jc w:val="center"/>
        </w:trPr>
        <w:tc>
          <w:tcPr>
            <w:tcW w:w="806" w:type="pct"/>
          </w:tcPr>
          <w:p w14:paraId="7E971F13" w14:textId="77777777" w:rsidR="00196549" w:rsidRPr="00445472" w:rsidRDefault="00196549" w:rsidP="00196549">
            <w:pPr>
              <w:pStyle w:val="TABELA"/>
              <w:rPr>
                <w:lang w:val="sq-AL"/>
              </w:rPr>
            </w:pPr>
            <w:r w:rsidRPr="00445472">
              <w:rPr>
                <w:lang w:val="sq-AL"/>
              </w:rPr>
              <w:t>KO</w:t>
            </w:r>
          </w:p>
        </w:tc>
        <w:tc>
          <w:tcPr>
            <w:tcW w:w="4194" w:type="pct"/>
            <w:gridSpan w:val="2"/>
          </w:tcPr>
          <w:p w14:paraId="069014D7" w14:textId="00001FEC" w:rsidR="00196549" w:rsidRPr="00445472" w:rsidRDefault="00196549" w:rsidP="00196549">
            <w:pPr>
              <w:pStyle w:val="TABELA"/>
              <w:rPr>
                <w:lang w:val="sq-AL"/>
              </w:rPr>
            </w:pPr>
            <w:r w:rsidRPr="00445472">
              <w:rPr>
                <w:lang w:val="sq-AL"/>
              </w:rPr>
              <w:t>Kërkesa</w:t>
            </w:r>
            <w:r w:rsidR="001D340B" w:rsidRPr="00445472">
              <w:rPr>
                <w:lang w:val="sq-AL"/>
              </w:rPr>
              <w:t xml:space="preserve">/Nevoja </w:t>
            </w:r>
            <w:r w:rsidRPr="00445472">
              <w:rPr>
                <w:lang w:val="sq-AL"/>
              </w:rPr>
              <w:t>pë</w:t>
            </w:r>
            <w:r w:rsidR="001D340B" w:rsidRPr="00445472">
              <w:rPr>
                <w:lang w:val="sq-AL"/>
              </w:rPr>
              <w:t>r</w:t>
            </w:r>
            <w:r w:rsidRPr="00445472">
              <w:rPr>
                <w:lang w:val="sq-AL"/>
              </w:rPr>
              <w:t xml:space="preserve"> </w:t>
            </w:r>
            <w:r w:rsidR="001D340B" w:rsidRPr="00445472">
              <w:rPr>
                <w:lang w:val="sq-AL"/>
              </w:rPr>
              <w:t>oksigjen</w:t>
            </w:r>
          </w:p>
        </w:tc>
      </w:tr>
      <w:tr w:rsidR="00A977E4" w:rsidRPr="00445472" w14:paraId="13D1235B" w14:textId="77777777" w:rsidTr="00196549">
        <w:trPr>
          <w:trHeight w:val="200"/>
          <w:jc w:val="center"/>
        </w:trPr>
        <w:tc>
          <w:tcPr>
            <w:tcW w:w="806" w:type="pct"/>
          </w:tcPr>
          <w:p w14:paraId="18372D6C" w14:textId="77777777" w:rsidR="00196549" w:rsidRPr="00445472" w:rsidRDefault="00196549" w:rsidP="00196549">
            <w:pPr>
              <w:pStyle w:val="TABELA"/>
              <w:rPr>
                <w:lang w:val="sq-AL"/>
              </w:rPr>
            </w:pPr>
            <w:r w:rsidRPr="00445472">
              <w:rPr>
                <w:lang w:val="sq-AL"/>
              </w:rPr>
              <w:t>p.sh.</w:t>
            </w:r>
          </w:p>
        </w:tc>
        <w:tc>
          <w:tcPr>
            <w:tcW w:w="4194" w:type="pct"/>
            <w:gridSpan w:val="2"/>
          </w:tcPr>
          <w:p w14:paraId="17D6503E" w14:textId="77777777" w:rsidR="00196549" w:rsidRPr="00445472" w:rsidRDefault="00196549" w:rsidP="00196549">
            <w:pPr>
              <w:pStyle w:val="TABELA"/>
              <w:rPr>
                <w:lang w:val="sq-AL"/>
              </w:rPr>
            </w:pPr>
            <w:r w:rsidRPr="00445472">
              <w:rPr>
                <w:lang w:val="sq-AL"/>
              </w:rPr>
              <w:t>për shembull</w:t>
            </w:r>
          </w:p>
        </w:tc>
      </w:tr>
      <w:tr w:rsidR="00A977E4" w:rsidRPr="00445472" w14:paraId="4227CB64" w14:textId="77777777" w:rsidTr="00196549">
        <w:trPr>
          <w:trHeight w:val="200"/>
          <w:jc w:val="center"/>
        </w:trPr>
        <w:tc>
          <w:tcPr>
            <w:tcW w:w="806" w:type="pct"/>
          </w:tcPr>
          <w:p w14:paraId="594622D0" w14:textId="77777777" w:rsidR="00196549" w:rsidRPr="00445472" w:rsidRDefault="00196549" w:rsidP="00196549">
            <w:pPr>
              <w:pStyle w:val="TABELA"/>
              <w:rPr>
                <w:lang w:val="sq-AL"/>
              </w:rPr>
            </w:pPr>
            <w:r w:rsidRPr="00445472">
              <w:rPr>
                <w:lang w:val="sq-AL"/>
              </w:rPr>
              <w:t>€</w:t>
            </w:r>
          </w:p>
        </w:tc>
        <w:tc>
          <w:tcPr>
            <w:tcW w:w="4194" w:type="pct"/>
            <w:gridSpan w:val="2"/>
          </w:tcPr>
          <w:p w14:paraId="72B26DB6" w14:textId="77777777" w:rsidR="00196549" w:rsidRPr="00445472" w:rsidRDefault="00196549" w:rsidP="00196549">
            <w:pPr>
              <w:pStyle w:val="TABELA"/>
              <w:rPr>
                <w:lang w:val="sq-AL"/>
              </w:rPr>
            </w:pPr>
            <w:r w:rsidRPr="00445472">
              <w:rPr>
                <w:lang w:val="sq-AL"/>
              </w:rPr>
              <w:t>Euro</w:t>
            </w:r>
          </w:p>
        </w:tc>
      </w:tr>
      <w:tr w:rsidR="00A977E4" w:rsidRPr="00445472" w14:paraId="30FDBC28" w14:textId="77777777" w:rsidTr="00196549">
        <w:trPr>
          <w:trHeight w:val="200"/>
          <w:jc w:val="center"/>
        </w:trPr>
        <w:tc>
          <w:tcPr>
            <w:tcW w:w="806" w:type="pct"/>
          </w:tcPr>
          <w:p w14:paraId="0BB280F1" w14:textId="77777777" w:rsidR="00196549" w:rsidRPr="00445472" w:rsidRDefault="00196549" w:rsidP="00196549">
            <w:pPr>
              <w:pStyle w:val="TABELA"/>
              <w:rPr>
                <w:lang w:val="sq-AL"/>
              </w:rPr>
            </w:pPr>
            <w:r w:rsidRPr="00445472">
              <w:rPr>
                <w:lang w:val="sq-AL"/>
              </w:rPr>
              <w:t>KE</w:t>
            </w:r>
          </w:p>
        </w:tc>
        <w:tc>
          <w:tcPr>
            <w:tcW w:w="4194" w:type="pct"/>
            <w:gridSpan w:val="2"/>
          </w:tcPr>
          <w:p w14:paraId="5A094736" w14:textId="17A36659" w:rsidR="00196549" w:rsidRPr="00445472" w:rsidRDefault="00196549" w:rsidP="001D340B">
            <w:pPr>
              <w:pStyle w:val="TABELA"/>
              <w:rPr>
                <w:lang w:val="sq-AL"/>
              </w:rPr>
            </w:pPr>
            <w:r w:rsidRPr="00445472">
              <w:rPr>
                <w:lang w:val="sq-AL"/>
              </w:rPr>
              <w:t>Komisioni E</w:t>
            </w:r>
            <w:r w:rsidR="001D340B" w:rsidRPr="00445472">
              <w:rPr>
                <w:lang w:val="sq-AL"/>
              </w:rPr>
              <w:t>v</w:t>
            </w:r>
            <w:r w:rsidRPr="00445472">
              <w:rPr>
                <w:lang w:val="sq-AL"/>
              </w:rPr>
              <w:t>ropian</w:t>
            </w:r>
          </w:p>
        </w:tc>
      </w:tr>
      <w:tr w:rsidR="00A977E4" w:rsidRPr="00445472" w14:paraId="499B1113" w14:textId="77777777" w:rsidTr="00196549">
        <w:trPr>
          <w:trHeight w:val="200"/>
          <w:jc w:val="center"/>
        </w:trPr>
        <w:tc>
          <w:tcPr>
            <w:tcW w:w="806" w:type="pct"/>
          </w:tcPr>
          <w:p w14:paraId="112826B2" w14:textId="77777777" w:rsidR="00196549" w:rsidRPr="00445472" w:rsidRDefault="00196549" w:rsidP="00196549">
            <w:pPr>
              <w:pStyle w:val="TABELA"/>
              <w:rPr>
                <w:lang w:val="sq-AL"/>
              </w:rPr>
            </w:pPr>
            <w:r w:rsidRPr="00445472">
              <w:rPr>
                <w:lang w:val="sq-AL"/>
              </w:rPr>
              <w:t>KEE</w:t>
            </w:r>
          </w:p>
        </w:tc>
        <w:tc>
          <w:tcPr>
            <w:tcW w:w="4194" w:type="pct"/>
            <w:gridSpan w:val="2"/>
          </w:tcPr>
          <w:p w14:paraId="4C613E2D" w14:textId="1DC0E42A" w:rsidR="00196549" w:rsidRPr="00445472" w:rsidRDefault="00196549" w:rsidP="001D340B">
            <w:pPr>
              <w:pStyle w:val="TABELA"/>
              <w:rPr>
                <w:lang w:val="sq-AL"/>
              </w:rPr>
            </w:pPr>
            <w:r w:rsidRPr="00445472">
              <w:rPr>
                <w:lang w:val="sq-AL"/>
              </w:rPr>
              <w:t>Komiteti Ekonomik E</w:t>
            </w:r>
            <w:r w:rsidR="001D340B" w:rsidRPr="00445472">
              <w:rPr>
                <w:lang w:val="sq-AL"/>
              </w:rPr>
              <w:t>v</w:t>
            </w:r>
            <w:r w:rsidRPr="00445472">
              <w:rPr>
                <w:lang w:val="sq-AL"/>
              </w:rPr>
              <w:t>ropian</w:t>
            </w:r>
          </w:p>
        </w:tc>
      </w:tr>
      <w:tr w:rsidR="00A977E4" w:rsidRPr="00445472" w14:paraId="562F7F0D" w14:textId="77777777" w:rsidTr="00196549">
        <w:trPr>
          <w:trHeight w:val="200"/>
          <w:jc w:val="center"/>
        </w:trPr>
        <w:tc>
          <w:tcPr>
            <w:tcW w:w="806" w:type="pct"/>
          </w:tcPr>
          <w:p w14:paraId="5CEADFBD" w14:textId="77777777" w:rsidR="00196549" w:rsidRPr="00445472" w:rsidRDefault="00196549" w:rsidP="00196549">
            <w:pPr>
              <w:pStyle w:val="TABELA"/>
              <w:rPr>
                <w:lang w:val="sq-AL"/>
              </w:rPr>
            </w:pPr>
            <w:r w:rsidRPr="00445472">
              <w:rPr>
                <w:lang w:val="sq-AL"/>
              </w:rPr>
              <w:t>VKE</w:t>
            </w:r>
          </w:p>
        </w:tc>
        <w:tc>
          <w:tcPr>
            <w:tcW w:w="4194" w:type="pct"/>
            <w:gridSpan w:val="2"/>
          </w:tcPr>
          <w:p w14:paraId="39964DB2" w14:textId="77777777" w:rsidR="00196549" w:rsidRPr="00445472" w:rsidRDefault="00196549" w:rsidP="00196549">
            <w:pPr>
              <w:pStyle w:val="TABELA"/>
              <w:rPr>
                <w:lang w:val="sq-AL"/>
              </w:rPr>
            </w:pPr>
            <w:r w:rsidRPr="00445472">
              <w:rPr>
                <w:lang w:val="sq-AL"/>
              </w:rPr>
              <w:t>Vlerat e Kufirit të Emetimeve</w:t>
            </w:r>
          </w:p>
        </w:tc>
      </w:tr>
      <w:tr w:rsidR="00A977E4" w:rsidRPr="00445472" w14:paraId="30409FFB" w14:textId="77777777" w:rsidTr="00196549">
        <w:trPr>
          <w:trHeight w:val="200"/>
          <w:jc w:val="center"/>
        </w:trPr>
        <w:tc>
          <w:tcPr>
            <w:tcW w:w="806" w:type="pct"/>
          </w:tcPr>
          <w:p w14:paraId="772A0A4F" w14:textId="77777777" w:rsidR="00196549" w:rsidRPr="00445472" w:rsidRDefault="00196549" w:rsidP="00196549">
            <w:pPr>
              <w:pStyle w:val="TABELA"/>
              <w:rPr>
                <w:lang w:val="sq-AL"/>
              </w:rPr>
            </w:pPr>
            <w:r w:rsidRPr="00445472">
              <w:rPr>
                <w:lang w:val="sq-AL"/>
              </w:rPr>
              <w:t>OM</w:t>
            </w:r>
          </w:p>
        </w:tc>
        <w:tc>
          <w:tcPr>
            <w:tcW w:w="4194" w:type="pct"/>
            <w:gridSpan w:val="2"/>
          </w:tcPr>
          <w:p w14:paraId="22DA6AD1" w14:textId="77777777" w:rsidR="00196549" w:rsidRPr="00445472" w:rsidRDefault="00196549" w:rsidP="00196549">
            <w:pPr>
              <w:pStyle w:val="TABELA"/>
              <w:rPr>
                <w:lang w:val="sq-AL"/>
              </w:rPr>
            </w:pPr>
            <w:r w:rsidRPr="00445472">
              <w:rPr>
                <w:lang w:val="sq-AL"/>
              </w:rPr>
              <w:t>Objektiva Mjedisore</w:t>
            </w:r>
          </w:p>
        </w:tc>
      </w:tr>
      <w:tr w:rsidR="00A977E4" w:rsidRPr="00445472" w14:paraId="58E41B1E" w14:textId="77777777" w:rsidTr="00196549">
        <w:trPr>
          <w:trHeight w:val="200"/>
          <w:jc w:val="center"/>
        </w:trPr>
        <w:tc>
          <w:tcPr>
            <w:tcW w:w="806" w:type="pct"/>
          </w:tcPr>
          <w:p w14:paraId="3A4621AC" w14:textId="77777777" w:rsidR="00196549" w:rsidRPr="00445472" w:rsidRDefault="00196549" w:rsidP="00196549">
            <w:pPr>
              <w:pStyle w:val="TABELA"/>
              <w:rPr>
                <w:lang w:val="sq-AL"/>
              </w:rPr>
            </w:pPr>
            <w:r w:rsidRPr="00445472">
              <w:rPr>
                <w:lang w:val="sq-AL"/>
              </w:rPr>
              <w:t>OCM</w:t>
            </w:r>
          </w:p>
        </w:tc>
        <w:tc>
          <w:tcPr>
            <w:tcW w:w="4194" w:type="pct"/>
            <w:gridSpan w:val="2"/>
          </w:tcPr>
          <w:p w14:paraId="2F8693E2" w14:textId="77777777" w:rsidR="00196549" w:rsidRPr="00445472" w:rsidRDefault="00196549" w:rsidP="00196549">
            <w:pPr>
              <w:pStyle w:val="TABELA"/>
              <w:rPr>
                <w:lang w:val="sq-AL"/>
              </w:rPr>
            </w:pPr>
            <w:r w:rsidRPr="00445472">
              <w:rPr>
                <w:lang w:val="sq-AL"/>
              </w:rPr>
              <w:t>Objektiva e Cilësisë Mjedisore</w:t>
            </w:r>
          </w:p>
        </w:tc>
      </w:tr>
      <w:tr w:rsidR="00A977E4" w:rsidRPr="00445472" w14:paraId="6F3D23F7" w14:textId="77777777" w:rsidTr="00196549">
        <w:trPr>
          <w:trHeight w:val="200"/>
          <w:jc w:val="center"/>
        </w:trPr>
        <w:tc>
          <w:tcPr>
            <w:tcW w:w="806" w:type="pct"/>
          </w:tcPr>
          <w:p w14:paraId="41F13BD2" w14:textId="77777777" w:rsidR="00196549" w:rsidRPr="00445472" w:rsidRDefault="00196549" w:rsidP="00196549">
            <w:pPr>
              <w:pStyle w:val="TABELA"/>
              <w:rPr>
                <w:lang w:val="sq-AL"/>
              </w:rPr>
            </w:pPr>
            <w:r w:rsidRPr="00445472">
              <w:rPr>
                <w:lang w:val="sq-AL"/>
              </w:rPr>
              <w:t>SCM</w:t>
            </w:r>
          </w:p>
        </w:tc>
        <w:tc>
          <w:tcPr>
            <w:tcW w:w="4194" w:type="pct"/>
            <w:gridSpan w:val="2"/>
          </w:tcPr>
          <w:p w14:paraId="5E90ACAC" w14:textId="77777777" w:rsidR="00196549" w:rsidRPr="00445472" w:rsidRDefault="00196549" w:rsidP="00196549">
            <w:pPr>
              <w:pStyle w:val="TABELA"/>
              <w:rPr>
                <w:lang w:val="sq-AL"/>
              </w:rPr>
            </w:pPr>
            <w:r w:rsidRPr="00445472">
              <w:rPr>
                <w:lang w:val="sq-AL"/>
              </w:rPr>
              <w:t>Standard i Cilësisë Mjedisore</w:t>
            </w:r>
          </w:p>
        </w:tc>
      </w:tr>
      <w:tr w:rsidR="00A977E4" w:rsidRPr="00445472" w14:paraId="4D5095E7" w14:textId="77777777" w:rsidTr="00196549">
        <w:trPr>
          <w:trHeight w:val="200"/>
          <w:jc w:val="center"/>
        </w:trPr>
        <w:tc>
          <w:tcPr>
            <w:tcW w:w="806" w:type="pct"/>
          </w:tcPr>
          <w:p w14:paraId="1799A0A3" w14:textId="77777777" w:rsidR="00196549" w:rsidRPr="00445472" w:rsidRDefault="00196549" w:rsidP="00196549">
            <w:pPr>
              <w:pStyle w:val="TABELA"/>
              <w:rPr>
                <w:lang w:val="sq-AL"/>
              </w:rPr>
            </w:pPr>
            <w:r w:rsidRPr="00445472">
              <w:rPr>
                <w:lang w:val="sq-AL"/>
              </w:rPr>
              <w:t>BE</w:t>
            </w:r>
          </w:p>
        </w:tc>
        <w:tc>
          <w:tcPr>
            <w:tcW w:w="4194" w:type="pct"/>
            <w:gridSpan w:val="2"/>
          </w:tcPr>
          <w:p w14:paraId="7BB441E3" w14:textId="26FFA023" w:rsidR="00196549" w:rsidRPr="00445472" w:rsidRDefault="00196549" w:rsidP="001D340B">
            <w:pPr>
              <w:pStyle w:val="TABELA"/>
              <w:rPr>
                <w:lang w:val="sq-AL"/>
              </w:rPr>
            </w:pPr>
            <w:r w:rsidRPr="00445472">
              <w:rPr>
                <w:lang w:val="sq-AL"/>
              </w:rPr>
              <w:t>Bashkimi E</w:t>
            </w:r>
            <w:r w:rsidR="001D340B" w:rsidRPr="00445472">
              <w:rPr>
                <w:lang w:val="sq-AL"/>
              </w:rPr>
              <w:t>v</w:t>
            </w:r>
            <w:r w:rsidRPr="00445472">
              <w:rPr>
                <w:lang w:val="sq-AL"/>
              </w:rPr>
              <w:t>ropian</w:t>
            </w:r>
          </w:p>
        </w:tc>
      </w:tr>
      <w:tr w:rsidR="00A977E4" w:rsidRPr="00445472" w14:paraId="71BE9FE2" w14:textId="77777777" w:rsidTr="00196549">
        <w:trPr>
          <w:trHeight w:val="200"/>
          <w:jc w:val="center"/>
        </w:trPr>
        <w:tc>
          <w:tcPr>
            <w:tcW w:w="806" w:type="pct"/>
          </w:tcPr>
          <w:p w14:paraId="2793A340" w14:textId="77777777" w:rsidR="00196549" w:rsidRPr="00445472" w:rsidRDefault="00196549" w:rsidP="00196549">
            <w:pPr>
              <w:pStyle w:val="TABELA"/>
              <w:rPr>
                <w:lang w:val="sq-AL"/>
              </w:rPr>
            </w:pPr>
            <w:r w:rsidRPr="00445472">
              <w:rPr>
                <w:lang w:val="sq-AL"/>
              </w:rPr>
              <w:t>FAO</w:t>
            </w:r>
          </w:p>
        </w:tc>
        <w:tc>
          <w:tcPr>
            <w:tcW w:w="4194" w:type="pct"/>
            <w:gridSpan w:val="2"/>
          </w:tcPr>
          <w:p w14:paraId="65EA8A0A" w14:textId="77777777" w:rsidR="00196549" w:rsidRPr="00445472" w:rsidRDefault="00196549" w:rsidP="00196549">
            <w:pPr>
              <w:pStyle w:val="TABELA"/>
              <w:rPr>
                <w:lang w:val="sq-AL"/>
              </w:rPr>
            </w:pPr>
            <w:r w:rsidRPr="00445472">
              <w:rPr>
                <w:lang w:val="sq-AL"/>
              </w:rPr>
              <w:t>Organizata e Ushqimit dhe Bujqësisë e Kombeve të Bashkuara</w:t>
            </w:r>
          </w:p>
        </w:tc>
      </w:tr>
      <w:tr w:rsidR="00A977E4" w:rsidRPr="00445472" w14:paraId="12F76F83" w14:textId="77777777" w:rsidTr="00196549">
        <w:trPr>
          <w:trHeight w:val="200"/>
          <w:jc w:val="center"/>
        </w:trPr>
        <w:tc>
          <w:tcPr>
            <w:tcW w:w="806" w:type="pct"/>
          </w:tcPr>
          <w:p w14:paraId="3908A3C7" w14:textId="77777777" w:rsidR="00196549" w:rsidRPr="00445472" w:rsidRDefault="00196549" w:rsidP="00196549">
            <w:pPr>
              <w:pStyle w:val="TABELA"/>
              <w:rPr>
                <w:lang w:val="sq-AL"/>
              </w:rPr>
            </w:pPr>
            <w:r w:rsidRPr="00445472">
              <w:rPr>
                <w:lang w:val="sq-AL"/>
              </w:rPr>
              <w:t>DP</w:t>
            </w:r>
          </w:p>
        </w:tc>
        <w:tc>
          <w:tcPr>
            <w:tcW w:w="4194" w:type="pct"/>
            <w:gridSpan w:val="2"/>
          </w:tcPr>
          <w:p w14:paraId="1B7FDABE" w14:textId="77777777" w:rsidR="00196549" w:rsidRPr="00445472" w:rsidRDefault="00196549" w:rsidP="00196549">
            <w:pPr>
              <w:pStyle w:val="TABELA"/>
              <w:rPr>
                <w:lang w:val="sq-AL"/>
              </w:rPr>
            </w:pPr>
            <w:r w:rsidRPr="00445472">
              <w:rPr>
                <w:lang w:val="sq-AL"/>
              </w:rPr>
              <w:t>Direktiva për Përmbytjet</w:t>
            </w:r>
          </w:p>
        </w:tc>
      </w:tr>
      <w:tr w:rsidR="00A977E4" w:rsidRPr="00445472" w14:paraId="47013221" w14:textId="77777777" w:rsidTr="00196549">
        <w:trPr>
          <w:trHeight w:val="200"/>
          <w:jc w:val="center"/>
        </w:trPr>
        <w:tc>
          <w:tcPr>
            <w:tcW w:w="806" w:type="pct"/>
          </w:tcPr>
          <w:p w14:paraId="397DA8D1" w14:textId="77777777" w:rsidR="00196549" w:rsidRPr="00445472" w:rsidRDefault="00196549" w:rsidP="00196549">
            <w:pPr>
              <w:pStyle w:val="TABELA"/>
              <w:rPr>
                <w:lang w:val="sq-AL"/>
              </w:rPr>
            </w:pPr>
            <w:r w:rsidRPr="00445472">
              <w:rPr>
                <w:lang w:val="sq-AL"/>
              </w:rPr>
              <w:t>Fe</w:t>
            </w:r>
          </w:p>
        </w:tc>
        <w:tc>
          <w:tcPr>
            <w:tcW w:w="4194" w:type="pct"/>
            <w:gridSpan w:val="2"/>
          </w:tcPr>
          <w:p w14:paraId="24C2248E" w14:textId="77777777" w:rsidR="00196549" w:rsidRPr="00445472" w:rsidRDefault="00196549" w:rsidP="00196549">
            <w:pPr>
              <w:pStyle w:val="TABELA"/>
              <w:rPr>
                <w:lang w:val="sq-AL"/>
              </w:rPr>
            </w:pPr>
            <w:r w:rsidRPr="00445472">
              <w:rPr>
                <w:lang w:val="sq-AL"/>
              </w:rPr>
              <w:t>Hekur</w:t>
            </w:r>
          </w:p>
        </w:tc>
      </w:tr>
      <w:tr w:rsidR="00A977E4" w:rsidRPr="00445472" w14:paraId="3EA9A5CF" w14:textId="77777777" w:rsidTr="00196549">
        <w:trPr>
          <w:trHeight w:val="200"/>
          <w:jc w:val="center"/>
        </w:trPr>
        <w:tc>
          <w:tcPr>
            <w:tcW w:w="806" w:type="pct"/>
          </w:tcPr>
          <w:p w14:paraId="13ECEDF6" w14:textId="77777777" w:rsidR="00196549" w:rsidRPr="00445472" w:rsidRDefault="00196549" w:rsidP="00196549">
            <w:pPr>
              <w:pStyle w:val="TABELA"/>
              <w:rPr>
                <w:lang w:val="sq-AL"/>
              </w:rPr>
            </w:pPr>
            <w:r w:rsidRPr="00445472">
              <w:rPr>
                <w:lang w:val="sq-AL"/>
              </w:rPr>
              <w:t>GIS</w:t>
            </w:r>
          </w:p>
        </w:tc>
        <w:tc>
          <w:tcPr>
            <w:tcW w:w="4194" w:type="pct"/>
            <w:gridSpan w:val="2"/>
          </w:tcPr>
          <w:p w14:paraId="0371C545" w14:textId="77777777" w:rsidR="00196549" w:rsidRPr="00445472" w:rsidRDefault="00196549" w:rsidP="00196549">
            <w:pPr>
              <w:pStyle w:val="TABELA"/>
              <w:rPr>
                <w:lang w:val="sq-AL"/>
              </w:rPr>
            </w:pPr>
            <w:r w:rsidRPr="00445472">
              <w:rPr>
                <w:lang w:val="sq-AL"/>
              </w:rPr>
              <w:t>Sistemi Gjeografik i Informacionit</w:t>
            </w:r>
          </w:p>
        </w:tc>
      </w:tr>
      <w:tr w:rsidR="00A977E4" w:rsidRPr="00445472" w14:paraId="0C69C919" w14:textId="77777777" w:rsidTr="00196549">
        <w:trPr>
          <w:trHeight w:val="200"/>
          <w:jc w:val="center"/>
        </w:trPr>
        <w:tc>
          <w:tcPr>
            <w:tcW w:w="806" w:type="pct"/>
          </w:tcPr>
          <w:p w14:paraId="0D4AC374" w14:textId="77777777" w:rsidR="00196549" w:rsidRPr="00445472" w:rsidRDefault="00196549" w:rsidP="00196549">
            <w:pPr>
              <w:pStyle w:val="TABELA"/>
              <w:rPr>
                <w:lang w:val="sq-AL"/>
              </w:rPr>
            </w:pPr>
            <w:r w:rsidRPr="00445472">
              <w:rPr>
                <w:lang w:val="sq-AL"/>
              </w:rPr>
              <w:t>GWh</w:t>
            </w:r>
          </w:p>
        </w:tc>
        <w:tc>
          <w:tcPr>
            <w:tcW w:w="4194" w:type="pct"/>
            <w:gridSpan w:val="2"/>
          </w:tcPr>
          <w:p w14:paraId="0838F709" w14:textId="77777777" w:rsidR="00196549" w:rsidRPr="00445472" w:rsidRDefault="00196549" w:rsidP="00196549">
            <w:pPr>
              <w:pStyle w:val="TABELA"/>
              <w:rPr>
                <w:lang w:val="sq-AL"/>
              </w:rPr>
            </w:pPr>
            <w:r w:rsidRPr="00445472">
              <w:rPr>
                <w:lang w:val="sq-AL"/>
              </w:rPr>
              <w:t>Gigavat në orë</w:t>
            </w:r>
          </w:p>
        </w:tc>
      </w:tr>
      <w:tr w:rsidR="00A977E4" w:rsidRPr="00445472" w14:paraId="0A15FDFC" w14:textId="77777777" w:rsidTr="00196549">
        <w:trPr>
          <w:trHeight w:val="200"/>
          <w:jc w:val="center"/>
        </w:trPr>
        <w:tc>
          <w:tcPr>
            <w:tcW w:w="806" w:type="pct"/>
          </w:tcPr>
          <w:p w14:paraId="515479BB" w14:textId="77777777" w:rsidR="00196549" w:rsidRPr="00445472" w:rsidRDefault="00196549" w:rsidP="00196549">
            <w:pPr>
              <w:pStyle w:val="TABELA"/>
              <w:rPr>
                <w:lang w:val="sq-AL"/>
              </w:rPr>
            </w:pPr>
            <w:r w:rsidRPr="00445472">
              <w:rPr>
                <w:lang w:val="sq-AL"/>
              </w:rPr>
              <w:t>ha</w:t>
            </w:r>
          </w:p>
        </w:tc>
        <w:tc>
          <w:tcPr>
            <w:tcW w:w="4194" w:type="pct"/>
            <w:gridSpan w:val="2"/>
          </w:tcPr>
          <w:p w14:paraId="30CED6DF" w14:textId="77777777" w:rsidR="00196549" w:rsidRPr="00445472" w:rsidRDefault="00196549" w:rsidP="00196549">
            <w:pPr>
              <w:pStyle w:val="TABELA"/>
              <w:rPr>
                <w:lang w:val="sq-AL"/>
              </w:rPr>
            </w:pPr>
            <w:r w:rsidRPr="00445472">
              <w:rPr>
                <w:lang w:val="sq-AL"/>
              </w:rPr>
              <w:t>Hektarë</w:t>
            </w:r>
          </w:p>
        </w:tc>
      </w:tr>
      <w:tr w:rsidR="00A977E4" w:rsidRPr="00445472" w14:paraId="76233CAD" w14:textId="77777777" w:rsidTr="00196549">
        <w:trPr>
          <w:trHeight w:val="200"/>
          <w:jc w:val="center"/>
        </w:trPr>
        <w:tc>
          <w:tcPr>
            <w:tcW w:w="806" w:type="pct"/>
          </w:tcPr>
          <w:p w14:paraId="08BD5F47" w14:textId="77777777" w:rsidR="00196549" w:rsidRPr="00445472" w:rsidRDefault="00196549" w:rsidP="00196549">
            <w:pPr>
              <w:pStyle w:val="TABELA"/>
              <w:rPr>
                <w:sz w:val="12"/>
                <w:lang w:val="sq-AL"/>
              </w:rPr>
            </w:pPr>
            <w:r w:rsidRPr="00445472">
              <w:rPr>
                <w:lang w:val="sq-AL"/>
              </w:rPr>
              <w:t>HCO</w:t>
            </w:r>
            <w:r w:rsidRPr="00445472">
              <w:rPr>
                <w:sz w:val="12"/>
                <w:lang w:val="sq-AL"/>
              </w:rPr>
              <w:t>3</w:t>
            </w:r>
          </w:p>
        </w:tc>
        <w:tc>
          <w:tcPr>
            <w:tcW w:w="4194" w:type="pct"/>
            <w:gridSpan w:val="2"/>
          </w:tcPr>
          <w:p w14:paraId="63FCD925" w14:textId="77777777" w:rsidR="00196549" w:rsidRPr="00445472" w:rsidRDefault="00196549" w:rsidP="00196549">
            <w:pPr>
              <w:pStyle w:val="TABELA"/>
              <w:rPr>
                <w:lang w:val="sq-AL"/>
              </w:rPr>
            </w:pPr>
            <w:r w:rsidRPr="00445472">
              <w:rPr>
                <w:lang w:val="sq-AL"/>
              </w:rPr>
              <w:t>Bikarbonat</w:t>
            </w:r>
          </w:p>
        </w:tc>
      </w:tr>
      <w:tr w:rsidR="00A977E4" w:rsidRPr="00445472" w14:paraId="7D4D653C" w14:textId="77777777" w:rsidTr="00196549">
        <w:trPr>
          <w:trHeight w:val="200"/>
          <w:jc w:val="center"/>
        </w:trPr>
        <w:tc>
          <w:tcPr>
            <w:tcW w:w="806" w:type="pct"/>
          </w:tcPr>
          <w:p w14:paraId="40DBA9B1" w14:textId="77777777" w:rsidR="00196549" w:rsidRPr="00445472" w:rsidRDefault="00196549" w:rsidP="00196549">
            <w:pPr>
              <w:pStyle w:val="TABELA"/>
              <w:rPr>
                <w:lang w:val="sq-AL"/>
              </w:rPr>
            </w:pPr>
            <w:r w:rsidRPr="00445472">
              <w:rPr>
                <w:lang w:val="sq-AL"/>
              </w:rPr>
              <w:t>HH</w:t>
            </w:r>
          </w:p>
        </w:tc>
        <w:tc>
          <w:tcPr>
            <w:tcW w:w="4194" w:type="pct"/>
            <w:gridSpan w:val="2"/>
          </w:tcPr>
          <w:p w14:paraId="4609B40E" w14:textId="77777777" w:rsidR="00196549" w:rsidRPr="00445472" w:rsidRDefault="00196549" w:rsidP="00196549">
            <w:pPr>
              <w:pStyle w:val="TABELA"/>
              <w:rPr>
                <w:lang w:val="sq-AL"/>
              </w:rPr>
            </w:pPr>
            <w:r w:rsidRPr="00445472">
              <w:rPr>
                <w:lang w:val="sq-AL"/>
              </w:rPr>
              <w:t>Familje (përdorur në figurën 11.2)</w:t>
            </w:r>
          </w:p>
        </w:tc>
      </w:tr>
      <w:tr w:rsidR="00A977E4" w:rsidRPr="00445472" w14:paraId="6BE2CCD3" w14:textId="77777777" w:rsidTr="00196549">
        <w:trPr>
          <w:trHeight w:val="200"/>
          <w:jc w:val="center"/>
        </w:trPr>
        <w:tc>
          <w:tcPr>
            <w:tcW w:w="806" w:type="pct"/>
          </w:tcPr>
          <w:p w14:paraId="1D319B12" w14:textId="77777777" w:rsidR="00196549" w:rsidRPr="00445472" w:rsidRDefault="00196549" w:rsidP="00196549">
            <w:pPr>
              <w:pStyle w:val="TABELA"/>
              <w:rPr>
                <w:lang w:val="sq-AL"/>
              </w:rPr>
            </w:pPr>
            <w:r w:rsidRPr="00445472">
              <w:rPr>
                <w:lang w:val="sq-AL"/>
              </w:rPr>
              <w:t>HEC</w:t>
            </w:r>
          </w:p>
        </w:tc>
        <w:tc>
          <w:tcPr>
            <w:tcW w:w="4194" w:type="pct"/>
            <w:gridSpan w:val="2"/>
          </w:tcPr>
          <w:p w14:paraId="1316C727" w14:textId="77777777" w:rsidR="00196549" w:rsidRPr="00445472" w:rsidRDefault="00196549" w:rsidP="00196549">
            <w:pPr>
              <w:pStyle w:val="TABELA"/>
              <w:rPr>
                <w:lang w:val="sq-AL"/>
              </w:rPr>
            </w:pPr>
            <w:r w:rsidRPr="00445472">
              <w:rPr>
                <w:lang w:val="sq-AL"/>
              </w:rPr>
              <w:t>Hidrocentral</w:t>
            </w:r>
          </w:p>
        </w:tc>
      </w:tr>
      <w:tr w:rsidR="00A977E4" w:rsidRPr="00445472" w14:paraId="1F412A35" w14:textId="77777777" w:rsidTr="00196549">
        <w:trPr>
          <w:trHeight w:val="200"/>
          <w:jc w:val="center"/>
        </w:trPr>
        <w:tc>
          <w:tcPr>
            <w:tcW w:w="806" w:type="pct"/>
          </w:tcPr>
          <w:p w14:paraId="76D8BA8D" w14:textId="77777777" w:rsidR="00196549" w:rsidRPr="00445472" w:rsidRDefault="00196549" w:rsidP="00196549">
            <w:pPr>
              <w:pStyle w:val="TABELA"/>
              <w:rPr>
                <w:lang w:val="sq-AL"/>
              </w:rPr>
            </w:pPr>
            <w:r w:rsidRPr="00445472">
              <w:rPr>
                <w:lang w:val="sq-AL"/>
              </w:rPr>
              <w:t>EI</w:t>
            </w:r>
          </w:p>
        </w:tc>
        <w:tc>
          <w:tcPr>
            <w:tcW w:w="4194" w:type="pct"/>
            <w:gridSpan w:val="2"/>
          </w:tcPr>
          <w:p w14:paraId="7379B5D2" w14:textId="77777777" w:rsidR="00196549" w:rsidRPr="00445472" w:rsidRDefault="00196549" w:rsidP="00196549">
            <w:pPr>
              <w:pStyle w:val="TABELA"/>
              <w:rPr>
                <w:lang w:val="sq-AL"/>
              </w:rPr>
            </w:pPr>
            <w:r w:rsidRPr="00445472">
              <w:rPr>
                <w:lang w:val="sq-AL"/>
              </w:rPr>
              <w:t>Emetim Industrial</w:t>
            </w:r>
          </w:p>
        </w:tc>
      </w:tr>
      <w:tr w:rsidR="00A977E4" w:rsidRPr="00445472" w14:paraId="7FAE4B95" w14:textId="77777777" w:rsidTr="00196549">
        <w:trPr>
          <w:trHeight w:val="200"/>
          <w:jc w:val="center"/>
        </w:trPr>
        <w:tc>
          <w:tcPr>
            <w:tcW w:w="806" w:type="pct"/>
          </w:tcPr>
          <w:p w14:paraId="21FD02E8" w14:textId="77777777" w:rsidR="00196549" w:rsidRPr="00445472" w:rsidRDefault="00196549" w:rsidP="00196549">
            <w:pPr>
              <w:pStyle w:val="TABELA"/>
              <w:rPr>
                <w:lang w:val="sq-AL"/>
              </w:rPr>
            </w:pPr>
            <w:r w:rsidRPr="00445472">
              <w:rPr>
                <w:lang w:val="sq-AL"/>
              </w:rPr>
              <w:t>KFN</w:t>
            </w:r>
          </w:p>
        </w:tc>
        <w:tc>
          <w:tcPr>
            <w:tcW w:w="4194" w:type="pct"/>
            <w:gridSpan w:val="2"/>
          </w:tcPr>
          <w:p w14:paraId="026534FC" w14:textId="77777777" w:rsidR="00196549" w:rsidRPr="00445472" w:rsidRDefault="00196549" w:rsidP="00196549">
            <w:pPr>
              <w:pStyle w:val="TABELA"/>
              <w:rPr>
                <w:lang w:val="sq-AL"/>
              </w:rPr>
            </w:pPr>
            <w:r w:rsidRPr="00445472">
              <w:rPr>
                <w:lang w:val="sq-AL"/>
              </w:rPr>
              <w:t>Korporata Financiare Ndërkombëtare</w:t>
            </w:r>
          </w:p>
        </w:tc>
      </w:tr>
      <w:tr w:rsidR="00A977E4" w:rsidRPr="00445472" w14:paraId="35B0811E" w14:textId="77777777" w:rsidTr="00196549">
        <w:trPr>
          <w:trHeight w:val="200"/>
          <w:jc w:val="center"/>
        </w:trPr>
        <w:tc>
          <w:tcPr>
            <w:tcW w:w="806" w:type="pct"/>
          </w:tcPr>
          <w:p w14:paraId="5C96A17E" w14:textId="77777777" w:rsidR="00196549" w:rsidRPr="00445472" w:rsidRDefault="00196549" w:rsidP="00196549">
            <w:pPr>
              <w:pStyle w:val="TABELA"/>
              <w:rPr>
                <w:lang w:val="sq-AL"/>
              </w:rPr>
            </w:pPr>
            <w:r w:rsidRPr="00445472">
              <w:rPr>
                <w:lang w:val="sq-AL"/>
              </w:rPr>
              <w:t>INSTAT</w:t>
            </w:r>
          </w:p>
        </w:tc>
        <w:tc>
          <w:tcPr>
            <w:tcW w:w="4194" w:type="pct"/>
            <w:gridSpan w:val="2"/>
          </w:tcPr>
          <w:p w14:paraId="19BE5430" w14:textId="77777777" w:rsidR="00196549" w:rsidRPr="00445472" w:rsidRDefault="00196549" w:rsidP="00196549">
            <w:pPr>
              <w:pStyle w:val="TABELA"/>
              <w:rPr>
                <w:lang w:val="sq-AL"/>
              </w:rPr>
            </w:pPr>
            <w:r w:rsidRPr="00445472">
              <w:rPr>
                <w:lang w:val="sq-AL"/>
              </w:rPr>
              <w:t>Instituti Shqiptar i Statistikave</w:t>
            </w:r>
          </w:p>
        </w:tc>
      </w:tr>
      <w:tr w:rsidR="00A977E4" w:rsidRPr="00445472" w14:paraId="4EBD49AA" w14:textId="77777777" w:rsidTr="00196549">
        <w:trPr>
          <w:trHeight w:val="200"/>
          <w:jc w:val="center"/>
        </w:trPr>
        <w:tc>
          <w:tcPr>
            <w:tcW w:w="806" w:type="pct"/>
          </w:tcPr>
          <w:p w14:paraId="4F5620E8" w14:textId="77777777" w:rsidR="00196549" w:rsidRPr="00445472" w:rsidRDefault="00196549" w:rsidP="00196549">
            <w:pPr>
              <w:pStyle w:val="TABELA"/>
              <w:rPr>
                <w:lang w:val="sq-AL"/>
              </w:rPr>
            </w:pPr>
            <w:r w:rsidRPr="00445472">
              <w:rPr>
                <w:lang w:val="sq-AL"/>
              </w:rPr>
              <w:t>MIBU</w:t>
            </w:r>
          </w:p>
        </w:tc>
        <w:tc>
          <w:tcPr>
            <w:tcW w:w="4194" w:type="pct"/>
            <w:gridSpan w:val="2"/>
          </w:tcPr>
          <w:p w14:paraId="36394949" w14:textId="77777777" w:rsidR="00196549" w:rsidRPr="00445472" w:rsidRDefault="00196549" w:rsidP="00196549">
            <w:pPr>
              <w:pStyle w:val="TABELA"/>
              <w:rPr>
                <w:lang w:val="sq-AL"/>
              </w:rPr>
            </w:pPr>
            <w:r w:rsidRPr="00445472">
              <w:rPr>
                <w:lang w:val="sq-AL"/>
              </w:rPr>
              <w:t>Menaxhimi i Integruar i Burimeve Ujore</w:t>
            </w:r>
          </w:p>
        </w:tc>
      </w:tr>
      <w:tr w:rsidR="00A977E4" w:rsidRPr="00445472" w14:paraId="040BD8FE" w14:textId="77777777" w:rsidTr="00196549">
        <w:trPr>
          <w:trHeight w:val="200"/>
          <w:jc w:val="center"/>
        </w:trPr>
        <w:tc>
          <w:tcPr>
            <w:tcW w:w="806" w:type="pct"/>
          </w:tcPr>
          <w:p w14:paraId="4EBFD7EC" w14:textId="77777777" w:rsidR="00196549" w:rsidRPr="00445472" w:rsidRDefault="00196549" w:rsidP="00196549">
            <w:pPr>
              <w:pStyle w:val="TABELA"/>
              <w:rPr>
                <w:lang w:val="sq-AL"/>
              </w:rPr>
            </w:pPr>
            <w:r w:rsidRPr="00445472">
              <w:rPr>
                <w:lang w:val="sq-AL"/>
              </w:rPr>
              <w:t>K</w:t>
            </w:r>
          </w:p>
        </w:tc>
        <w:tc>
          <w:tcPr>
            <w:tcW w:w="4194" w:type="pct"/>
            <w:gridSpan w:val="2"/>
          </w:tcPr>
          <w:p w14:paraId="30CB586B" w14:textId="77777777" w:rsidR="00196549" w:rsidRPr="00445472" w:rsidRDefault="00196549" w:rsidP="00196549">
            <w:pPr>
              <w:pStyle w:val="TABELA"/>
              <w:rPr>
                <w:lang w:val="sq-AL"/>
              </w:rPr>
            </w:pPr>
            <w:r w:rsidRPr="00445472">
              <w:rPr>
                <w:lang w:val="sq-AL"/>
              </w:rPr>
              <w:t>Kalium</w:t>
            </w:r>
          </w:p>
        </w:tc>
      </w:tr>
      <w:tr w:rsidR="00A977E4" w:rsidRPr="00445472" w14:paraId="2D6D7C7E" w14:textId="77777777" w:rsidTr="00196549">
        <w:trPr>
          <w:trHeight w:val="200"/>
          <w:jc w:val="center"/>
        </w:trPr>
        <w:tc>
          <w:tcPr>
            <w:tcW w:w="806" w:type="pct"/>
          </w:tcPr>
          <w:p w14:paraId="55902CC3" w14:textId="77777777" w:rsidR="00196549" w:rsidRPr="00445472" w:rsidRDefault="00196549" w:rsidP="00196549">
            <w:pPr>
              <w:pStyle w:val="TABELA"/>
              <w:rPr>
                <w:lang w:val="sq-AL"/>
              </w:rPr>
            </w:pPr>
            <w:r w:rsidRPr="00445472">
              <w:rPr>
                <w:lang w:val="sq-AL"/>
              </w:rPr>
              <w:t>KfW</w:t>
            </w:r>
          </w:p>
        </w:tc>
        <w:tc>
          <w:tcPr>
            <w:tcW w:w="4194" w:type="pct"/>
            <w:gridSpan w:val="2"/>
          </w:tcPr>
          <w:p w14:paraId="1712204A" w14:textId="77777777" w:rsidR="00196549" w:rsidRPr="00445472" w:rsidRDefault="00196549" w:rsidP="00196549">
            <w:pPr>
              <w:pStyle w:val="TABELA"/>
              <w:rPr>
                <w:lang w:val="sq-AL"/>
              </w:rPr>
            </w:pPr>
            <w:r w:rsidRPr="00445472">
              <w:rPr>
                <w:lang w:val="sq-AL"/>
              </w:rPr>
              <w:t>Kreditanstalt für Wiederaufbau</w:t>
            </w:r>
          </w:p>
        </w:tc>
      </w:tr>
      <w:tr w:rsidR="00A977E4" w:rsidRPr="00445472" w14:paraId="4C600077" w14:textId="77777777" w:rsidTr="00196549">
        <w:trPr>
          <w:trHeight w:val="200"/>
          <w:jc w:val="center"/>
        </w:trPr>
        <w:tc>
          <w:tcPr>
            <w:tcW w:w="806" w:type="pct"/>
          </w:tcPr>
          <w:p w14:paraId="5C4DBDCC" w14:textId="77777777" w:rsidR="00196549" w:rsidRPr="00445472" w:rsidRDefault="00196549" w:rsidP="00196549">
            <w:pPr>
              <w:pStyle w:val="TABELA"/>
              <w:rPr>
                <w:lang w:val="sq-AL"/>
              </w:rPr>
            </w:pPr>
            <w:r w:rsidRPr="00445472">
              <w:rPr>
                <w:lang w:val="sq-AL"/>
              </w:rPr>
              <w:t>km</w:t>
            </w:r>
          </w:p>
        </w:tc>
        <w:tc>
          <w:tcPr>
            <w:tcW w:w="4194" w:type="pct"/>
            <w:gridSpan w:val="2"/>
          </w:tcPr>
          <w:p w14:paraId="2D7714A6" w14:textId="77777777" w:rsidR="00196549" w:rsidRPr="00445472" w:rsidRDefault="00196549" w:rsidP="00196549">
            <w:pPr>
              <w:pStyle w:val="TABELA"/>
              <w:rPr>
                <w:lang w:val="sq-AL"/>
              </w:rPr>
            </w:pPr>
            <w:r w:rsidRPr="00445472">
              <w:rPr>
                <w:lang w:val="sq-AL"/>
              </w:rPr>
              <w:t>Kilometër</w:t>
            </w:r>
          </w:p>
        </w:tc>
      </w:tr>
      <w:tr w:rsidR="00A977E4" w:rsidRPr="00445472" w14:paraId="6D56D09B" w14:textId="77777777" w:rsidTr="00196549">
        <w:trPr>
          <w:trHeight w:val="200"/>
          <w:jc w:val="center"/>
        </w:trPr>
        <w:tc>
          <w:tcPr>
            <w:tcW w:w="806" w:type="pct"/>
          </w:tcPr>
          <w:p w14:paraId="19FEBF1B" w14:textId="77777777" w:rsidR="00196549" w:rsidRPr="00445472" w:rsidRDefault="00196549" w:rsidP="00196549">
            <w:pPr>
              <w:pStyle w:val="TABELA"/>
              <w:rPr>
                <w:lang w:val="sq-AL"/>
              </w:rPr>
            </w:pPr>
            <w:r w:rsidRPr="00445472">
              <w:rPr>
                <w:lang w:val="sq-AL"/>
              </w:rPr>
              <w:t>kW</w:t>
            </w:r>
          </w:p>
        </w:tc>
        <w:tc>
          <w:tcPr>
            <w:tcW w:w="4194" w:type="pct"/>
            <w:gridSpan w:val="2"/>
          </w:tcPr>
          <w:p w14:paraId="5CF63B89" w14:textId="77777777" w:rsidR="00196549" w:rsidRPr="00445472" w:rsidRDefault="00196549" w:rsidP="00196549">
            <w:pPr>
              <w:pStyle w:val="TABELA"/>
              <w:rPr>
                <w:lang w:val="sq-AL"/>
              </w:rPr>
            </w:pPr>
            <w:r w:rsidRPr="00445472">
              <w:rPr>
                <w:lang w:val="sq-AL"/>
              </w:rPr>
              <w:t>Kilovat</w:t>
            </w:r>
          </w:p>
        </w:tc>
      </w:tr>
      <w:tr w:rsidR="00A977E4" w:rsidRPr="00445472" w14:paraId="0C72EE64" w14:textId="77777777" w:rsidTr="00196549">
        <w:trPr>
          <w:trHeight w:val="200"/>
          <w:jc w:val="center"/>
        </w:trPr>
        <w:tc>
          <w:tcPr>
            <w:tcW w:w="806" w:type="pct"/>
          </w:tcPr>
          <w:p w14:paraId="368DC258" w14:textId="77777777" w:rsidR="00196549" w:rsidRPr="00445472" w:rsidRDefault="00196549" w:rsidP="00196549">
            <w:pPr>
              <w:pStyle w:val="TABELA"/>
              <w:rPr>
                <w:lang w:val="sq-AL"/>
              </w:rPr>
            </w:pPr>
            <w:r w:rsidRPr="00445472">
              <w:rPr>
                <w:lang w:val="sq-AL"/>
              </w:rPr>
              <w:t>kWh</w:t>
            </w:r>
          </w:p>
        </w:tc>
        <w:tc>
          <w:tcPr>
            <w:tcW w:w="4194" w:type="pct"/>
            <w:gridSpan w:val="2"/>
          </w:tcPr>
          <w:p w14:paraId="77658381" w14:textId="77777777" w:rsidR="00196549" w:rsidRPr="00445472" w:rsidRDefault="00196549" w:rsidP="00196549">
            <w:pPr>
              <w:pStyle w:val="TABELA"/>
              <w:rPr>
                <w:lang w:val="sq-AL"/>
              </w:rPr>
            </w:pPr>
            <w:r w:rsidRPr="00445472">
              <w:rPr>
                <w:lang w:val="sq-AL"/>
              </w:rPr>
              <w:t>Kilovat në orë</w:t>
            </w:r>
          </w:p>
        </w:tc>
      </w:tr>
      <w:tr w:rsidR="00A977E4" w:rsidRPr="00445472" w14:paraId="7DA6A9FF" w14:textId="77777777" w:rsidTr="00196549">
        <w:trPr>
          <w:trHeight w:val="200"/>
          <w:jc w:val="center"/>
        </w:trPr>
        <w:tc>
          <w:tcPr>
            <w:tcW w:w="806" w:type="pct"/>
          </w:tcPr>
          <w:p w14:paraId="303035FD" w14:textId="77777777" w:rsidR="00196549" w:rsidRPr="00445472" w:rsidRDefault="00196549" w:rsidP="00196549">
            <w:pPr>
              <w:pStyle w:val="TABELA"/>
              <w:rPr>
                <w:lang w:val="sq-AL"/>
              </w:rPr>
            </w:pPr>
            <w:r w:rsidRPr="00445472">
              <w:rPr>
                <w:lang w:val="sq-AL"/>
              </w:rPr>
              <w:t>l</w:t>
            </w:r>
          </w:p>
        </w:tc>
        <w:tc>
          <w:tcPr>
            <w:tcW w:w="4194" w:type="pct"/>
            <w:gridSpan w:val="2"/>
          </w:tcPr>
          <w:p w14:paraId="44940593" w14:textId="77777777" w:rsidR="00196549" w:rsidRPr="00445472" w:rsidRDefault="00196549" w:rsidP="00196549">
            <w:pPr>
              <w:pStyle w:val="TABELA"/>
              <w:rPr>
                <w:lang w:val="sq-AL"/>
              </w:rPr>
            </w:pPr>
            <w:r w:rsidRPr="00445472">
              <w:rPr>
                <w:lang w:val="sq-AL"/>
              </w:rPr>
              <w:t>Litër</w:t>
            </w:r>
          </w:p>
        </w:tc>
      </w:tr>
      <w:tr w:rsidR="00A977E4" w:rsidRPr="00445472" w14:paraId="6BFEB094" w14:textId="77777777" w:rsidTr="00196549">
        <w:trPr>
          <w:trHeight w:val="200"/>
          <w:jc w:val="center"/>
        </w:trPr>
        <w:tc>
          <w:tcPr>
            <w:tcW w:w="806" w:type="pct"/>
          </w:tcPr>
          <w:p w14:paraId="7DD4946B" w14:textId="77777777" w:rsidR="00196549" w:rsidRPr="00445472" w:rsidRDefault="00196549" w:rsidP="00196549">
            <w:pPr>
              <w:pStyle w:val="TABELA"/>
              <w:rPr>
                <w:lang w:val="sq-AL"/>
              </w:rPr>
            </w:pPr>
            <w:r w:rsidRPr="00445472">
              <w:rPr>
                <w:lang w:val="sq-AL"/>
              </w:rPr>
              <w:t>ITI</w:t>
            </w:r>
          </w:p>
        </w:tc>
        <w:tc>
          <w:tcPr>
            <w:tcW w:w="4194" w:type="pct"/>
            <w:gridSpan w:val="2"/>
          </w:tcPr>
          <w:p w14:paraId="5F4EC594" w14:textId="736BE256" w:rsidR="00196549" w:rsidRPr="00445472" w:rsidRDefault="00196549" w:rsidP="00196549">
            <w:pPr>
              <w:pStyle w:val="TABELA"/>
              <w:rPr>
                <w:lang w:val="sq-AL"/>
              </w:rPr>
            </w:pPr>
            <w:r w:rsidRPr="00445472">
              <w:rPr>
                <w:lang w:val="sq-AL"/>
              </w:rPr>
              <w:t xml:space="preserve">Industriale, </w:t>
            </w:r>
            <w:r w:rsidR="001D340B" w:rsidRPr="00445472">
              <w:rPr>
                <w:lang w:val="sq-AL"/>
              </w:rPr>
              <w:t xml:space="preserve">tregtare </w:t>
            </w:r>
            <w:r w:rsidRPr="00445472">
              <w:rPr>
                <w:lang w:val="sq-AL"/>
              </w:rPr>
              <w:t>dhe Institucionale</w:t>
            </w:r>
          </w:p>
        </w:tc>
      </w:tr>
      <w:tr w:rsidR="00A977E4" w:rsidRPr="00445472" w14:paraId="048A4F42" w14:textId="77777777" w:rsidTr="00196549">
        <w:trPr>
          <w:trHeight w:val="200"/>
          <w:jc w:val="center"/>
        </w:trPr>
        <w:tc>
          <w:tcPr>
            <w:tcW w:w="806" w:type="pct"/>
          </w:tcPr>
          <w:p w14:paraId="24C91A99" w14:textId="77777777" w:rsidR="00196549" w:rsidRPr="00445472" w:rsidRDefault="00196549" w:rsidP="00196549">
            <w:pPr>
              <w:pStyle w:val="TABELA"/>
              <w:rPr>
                <w:lang w:val="sq-AL"/>
              </w:rPr>
            </w:pPr>
            <w:r w:rsidRPr="00445472">
              <w:rPr>
                <w:lang w:val="sq-AL"/>
              </w:rPr>
              <w:t>IKMM</w:t>
            </w:r>
          </w:p>
        </w:tc>
        <w:tc>
          <w:tcPr>
            <w:tcW w:w="4194" w:type="pct"/>
            <w:gridSpan w:val="2"/>
          </w:tcPr>
          <w:p w14:paraId="520E2ABC" w14:textId="75886827" w:rsidR="00196549" w:rsidRPr="00445472" w:rsidRDefault="001D340B" w:rsidP="001D340B">
            <w:pPr>
              <w:pStyle w:val="TABELA"/>
              <w:rPr>
                <w:lang w:val="sq-AL"/>
              </w:rPr>
            </w:pPr>
            <w:r w:rsidRPr="00445472">
              <w:rPr>
                <w:lang w:val="sq-AL"/>
              </w:rPr>
              <w:t>Instrumente</w:t>
            </w:r>
            <w:r w:rsidR="00196549" w:rsidRPr="00445472">
              <w:rPr>
                <w:lang w:val="sq-AL"/>
              </w:rPr>
              <w:t xml:space="preserve"> </w:t>
            </w:r>
            <w:r w:rsidRPr="00445472">
              <w:rPr>
                <w:lang w:val="sq-AL"/>
              </w:rPr>
              <w:t xml:space="preserve">kombëtare                                                         </w:t>
            </w:r>
            <w:r w:rsidR="00196549" w:rsidRPr="00445472">
              <w:rPr>
                <w:lang w:val="sq-AL"/>
              </w:rPr>
              <w:t>të Mbrojtjes së Mjedisit</w:t>
            </w:r>
          </w:p>
        </w:tc>
      </w:tr>
      <w:tr w:rsidR="00A977E4" w:rsidRPr="00445472" w14:paraId="4766BF8C" w14:textId="77777777" w:rsidTr="00196549">
        <w:trPr>
          <w:trHeight w:val="200"/>
          <w:jc w:val="center"/>
        </w:trPr>
        <w:tc>
          <w:tcPr>
            <w:tcW w:w="806" w:type="pct"/>
          </w:tcPr>
          <w:p w14:paraId="490F4C1A" w14:textId="77777777" w:rsidR="00196549" w:rsidRPr="00445472" w:rsidRDefault="00196549" w:rsidP="00196549">
            <w:pPr>
              <w:pStyle w:val="TABELA"/>
              <w:rPr>
                <w:lang w:val="sq-AL"/>
              </w:rPr>
            </w:pPr>
            <w:r w:rsidRPr="00445472">
              <w:rPr>
                <w:lang w:val="sq-AL"/>
              </w:rPr>
              <w:t>PNNK</w:t>
            </w:r>
          </w:p>
        </w:tc>
        <w:tc>
          <w:tcPr>
            <w:tcW w:w="4194" w:type="pct"/>
            <w:gridSpan w:val="2"/>
          </w:tcPr>
          <w:p w14:paraId="6AE752F7" w14:textId="77777777" w:rsidR="00196549" w:rsidRPr="00445472" w:rsidRDefault="00196549" w:rsidP="00196549">
            <w:pPr>
              <w:pStyle w:val="TABELA"/>
              <w:rPr>
                <w:lang w:val="sq-AL"/>
              </w:rPr>
            </w:pPr>
            <w:r w:rsidRPr="00445472">
              <w:rPr>
                <w:lang w:val="sq-AL"/>
              </w:rPr>
              <w:t>Paneli Ndërqeveritar për Ndryshimet Klimatike</w:t>
            </w:r>
          </w:p>
        </w:tc>
      </w:tr>
      <w:tr w:rsidR="00A977E4" w:rsidRPr="00445472" w14:paraId="71193C3A" w14:textId="77777777" w:rsidTr="00196549">
        <w:trPr>
          <w:trHeight w:val="200"/>
          <w:jc w:val="center"/>
        </w:trPr>
        <w:tc>
          <w:tcPr>
            <w:tcW w:w="806" w:type="pct"/>
          </w:tcPr>
          <w:p w14:paraId="4BCF3467" w14:textId="36F0F9F5" w:rsidR="00196549" w:rsidRPr="00445472" w:rsidRDefault="00034FBB" w:rsidP="00196549">
            <w:pPr>
              <w:pStyle w:val="TABELA"/>
              <w:rPr>
                <w:lang w:val="sq-AL"/>
              </w:rPr>
            </w:pPr>
            <w:r>
              <w:rPr>
                <w:lang w:val="sq-AL"/>
              </w:rPr>
              <w:t>NJQV</w:t>
            </w:r>
          </w:p>
        </w:tc>
        <w:tc>
          <w:tcPr>
            <w:tcW w:w="4194" w:type="pct"/>
            <w:gridSpan w:val="2"/>
          </w:tcPr>
          <w:p w14:paraId="671A2563" w14:textId="77777777" w:rsidR="00196549" w:rsidRPr="00445472" w:rsidRDefault="00196549" w:rsidP="00196549">
            <w:pPr>
              <w:pStyle w:val="TABELA"/>
              <w:rPr>
                <w:lang w:val="sq-AL"/>
              </w:rPr>
            </w:pPr>
            <w:r w:rsidRPr="00445472">
              <w:rPr>
                <w:lang w:val="sq-AL"/>
              </w:rPr>
              <w:t>Njësi e Qeverisjes Vendore</w:t>
            </w:r>
          </w:p>
        </w:tc>
      </w:tr>
      <w:tr w:rsidR="00A977E4" w:rsidRPr="00445472" w14:paraId="163079EA" w14:textId="77777777" w:rsidTr="00196549">
        <w:trPr>
          <w:trHeight w:val="200"/>
          <w:jc w:val="center"/>
        </w:trPr>
        <w:tc>
          <w:tcPr>
            <w:tcW w:w="806" w:type="pct"/>
          </w:tcPr>
          <w:p w14:paraId="7028612C" w14:textId="77777777" w:rsidR="00196549" w:rsidRPr="00445472" w:rsidRDefault="00196549" w:rsidP="00196549">
            <w:pPr>
              <w:pStyle w:val="TABELA"/>
              <w:rPr>
                <w:lang w:val="sq-AL"/>
              </w:rPr>
            </w:pPr>
            <w:r w:rsidRPr="00445472">
              <w:rPr>
                <w:lang w:val="sq-AL"/>
              </w:rPr>
              <w:t>LBU</w:t>
            </w:r>
          </w:p>
        </w:tc>
        <w:tc>
          <w:tcPr>
            <w:tcW w:w="4194" w:type="pct"/>
            <w:gridSpan w:val="2"/>
          </w:tcPr>
          <w:p w14:paraId="5824C899" w14:textId="77777777" w:rsidR="00196549" w:rsidRPr="00445472" w:rsidRDefault="00196549" w:rsidP="00196549">
            <w:pPr>
              <w:pStyle w:val="TABELA"/>
              <w:rPr>
                <w:lang w:val="sq-AL"/>
              </w:rPr>
            </w:pPr>
            <w:r w:rsidRPr="00445472">
              <w:rPr>
                <w:lang w:val="sq-AL"/>
              </w:rPr>
              <w:t>Ligji për Burimet Ujore</w:t>
            </w:r>
          </w:p>
        </w:tc>
      </w:tr>
      <w:tr w:rsidR="00A977E4" w:rsidRPr="00445472" w14:paraId="4FEBA519" w14:textId="77777777" w:rsidTr="00196549">
        <w:trPr>
          <w:trHeight w:val="200"/>
          <w:jc w:val="center"/>
        </w:trPr>
        <w:tc>
          <w:tcPr>
            <w:tcW w:w="806" w:type="pct"/>
          </w:tcPr>
          <w:p w14:paraId="5CC1C1CD" w14:textId="77777777" w:rsidR="00196549" w:rsidRPr="00445472" w:rsidRDefault="00196549" w:rsidP="00196549">
            <w:pPr>
              <w:pStyle w:val="TABELA"/>
              <w:rPr>
                <w:lang w:val="sq-AL"/>
              </w:rPr>
            </w:pPr>
            <w:r w:rsidRPr="00445472">
              <w:rPr>
                <w:lang w:val="sq-AL"/>
              </w:rPr>
              <w:t>m</w:t>
            </w:r>
          </w:p>
        </w:tc>
        <w:tc>
          <w:tcPr>
            <w:tcW w:w="4194" w:type="pct"/>
            <w:gridSpan w:val="2"/>
          </w:tcPr>
          <w:p w14:paraId="1034AD5E" w14:textId="77777777" w:rsidR="00196549" w:rsidRPr="00445472" w:rsidRDefault="00196549" w:rsidP="00196549">
            <w:pPr>
              <w:pStyle w:val="TABELA"/>
              <w:rPr>
                <w:lang w:val="sq-AL"/>
              </w:rPr>
            </w:pPr>
            <w:r w:rsidRPr="00445472">
              <w:rPr>
                <w:lang w:val="sq-AL"/>
              </w:rPr>
              <w:t>Metër</w:t>
            </w:r>
          </w:p>
        </w:tc>
      </w:tr>
      <w:tr w:rsidR="00A977E4" w:rsidRPr="00445472" w14:paraId="738ABF6A" w14:textId="77777777" w:rsidTr="00196549">
        <w:trPr>
          <w:trHeight w:val="200"/>
          <w:jc w:val="center"/>
        </w:trPr>
        <w:tc>
          <w:tcPr>
            <w:tcW w:w="806" w:type="pct"/>
          </w:tcPr>
          <w:p w14:paraId="1E298188" w14:textId="77777777" w:rsidR="00196549" w:rsidRPr="00445472" w:rsidRDefault="00196549" w:rsidP="00196549">
            <w:pPr>
              <w:pStyle w:val="TABELA"/>
              <w:rPr>
                <w:lang w:val="sq-AL"/>
              </w:rPr>
            </w:pPr>
            <w:r w:rsidRPr="00445472">
              <w:rPr>
                <w:lang w:val="sq-AL"/>
              </w:rPr>
              <w:t>mg</w:t>
            </w:r>
          </w:p>
        </w:tc>
        <w:tc>
          <w:tcPr>
            <w:tcW w:w="4194" w:type="pct"/>
            <w:gridSpan w:val="2"/>
          </w:tcPr>
          <w:p w14:paraId="395B02E4" w14:textId="77777777" w:rsidR="00196549" w:rsidRPr="00445472" w:rsidRDefault="00196549" w:rsidP="00196549">
            <w:pPr>
              <w:pStyle w:val="TABELA"/>
              <w:rPr>
                <w:lang w:val="sq-AL"/>
              </w:rPr>
            </w:pPr>
            <w:r w:rsidRPr="00445472">
              <w:rPr>
                <w:lang w:val="sq-AL"/>
              </w:rPr>
              <w:t>Miligram</w:t>
            </w:r>
          </w:p>
        </w:tc>
      </w:tr>
      <w:tr w:rsidR="00A977E4" w:rsidRPr="00445472" w14:paraId="48C4AEF8" w14:textId="77777777" w:rsidTr="00196549">
        <w:trPr>
          <w:trHeight w:val="200"/>
          <w:jc w:val="center"/>
        </w:trPr>
        <w:tc>
          <w:tcPr>
            <w:tcW w:w="806" w:type="pct"/>
          </w:tcPr>
          <w:p w14:paraId="2CDE3680" w14:textId="77777777" w:rsidR="00196549" w:rsidRPr="00445472" w:rsidRDefault="00196549" w:rsidP="00196549">
            <w:pPr>
              <w:pStyle w:val="TABELA"/>
              <w:rPr>
                <w:lang w:val="sq-AL"/>
              </w:rPr>
            </w:pPr>
            <w:r w:rsidRPr="00445472">
              <w:rPr>
                <w:lang w:val="sq-AL"/>
              </w:rPr>
              <w:t>mm</w:t>
            </w:r>
          </w:p>
        </w:tc>
        <w:tc>
          <w:tcPr>
            <w:tcW w:w="4194" w:type="pct"/>
            <w:gridSpan w:val="2"/>
          </w:tcPr>
          <w:p w14:paraId="63DDA30A" w14:textId="77777777" w:rsidR="00196549" w:rsidRPr="00445472" w:rsidRDefault="00196549" w:rsidP="00196549">
            <w:pPr>
              <w:pStyle w:val="TABELA"/>
              <w:rPr>
                <w:lang w:val="sq-AL"/>
              </w:rPr>
            </w:pPr>
            <w:r w:rsidRPr="00445472">
              <w:rPr>
                <w:lang w:val="sq-AL"/>
              </w:rPr>
              <w:t>Milimetër</w:t>
            </w:r>
          </w:p>
        </w:tc>
      </w:tr>
      <w:tr w:rsidR="00A977E4" w:rsidRPr="00445472" w14:paraId="50F1187D" w14:textId="77777777" w:rsidTr="00196549">
        <w:trPr>
          <w:trHeight w:val="200"/>
          <w:jc w:val="center"/>
        </w:trPr>
        <w:tc>
          <w:tcPr>
            <w:tcW w:w="939" w:type="pct"/>
            <w:gridSpan w:val="2"/>
          </w:tcPr>
          <w:p w14:paraId="3C792EFE" w14:textId="77777777" w:rsidR="00196549" w:rsidRPr="00445472" w:rsidRDefault="00196549" w:rsidP="00196549">
            <w:pPr>
              <w:pStyle w:val="TABELA"/>
              <w:rPr>
                <w:lang w:val="sq-AL"/>
              </w:rPr>
            </w:pPr>
            <w:r w:rsidRPr="00445472">
              <w:rPr>
                <w:lang w:val="sq-AL"/>
              </w:rPr>
              <w:t>MBZHR</w:t>
            </w:r>
          </w:p>
        </w:tc>
        <w:tc>
          <w:tcPr>
            <w:tcW w:w="4061" w:type="pct"/>
          </w:tcPr>
          <w:p w14:paraId="100CAA62" w14:textId="77777777" w:rsidR="00196549" w:rsidRPr="00445472" w:rsidRDefault="00196549" w:rsidP="00196549">
            <w:pPr>
              <w:pStyle w:val="TABELA"/>
              <w:rPr>
                <w:lang w:val="sq-AL"/>
              </w:rPr>
            </w:pPr>
            <w:r w:rsidRPr="00445472">
              <w:rPr>
                <w:lang w:val="sq-AL"/>
              </w:rPr>
              <w:t>Ministria e Bujqësisë dhe Zhvillimit Rural</w:t>
            </w:r>
          </w:p>
        </w:tc>
      </w:tr>
      <w:tr w:rsidR="00A977E4" w:rsidRPr="00445472" w14:paraId="2541F2EE" w14:textId="77777777" w:rsidTr="00196549">
        <w:trPr>
          <w:trHeight w:val="200"/>
          <w:jc w:val="center"/>
        </w:trPr>
        <w:tc>
          <w:tcPr>
            <w:tcW w:w="939" w:type="pct"/>
            <w:gridSpan w:val="2"/>
          </w:tcPr>
          <w:p w14:paraId="4C4557AA" w14:textId="77777777" w:rsidR="00196549" w:rsidRPr="00445472" w:rsidRDefault="00196549" w:rsidP="00196549">
            <w:pPr>
              <w:pStyle w:val="TABELA"/>
              <w:rPr>
                <w:lang w:val="sq-AL"/>
              </w:rPr>
            </w:pPr>
            <w:r w:rsidRPr="00445472">
              <w:rPr>
                <w:lang w:val="sq-AL"/>
              </w:rPr>
              <w:t>Mn</w:t>
            </w:r>
          </w:p>
        </w:tc>
        <w:tc>
          <w:tcPr>
            <w:tcW w:w="4061" w:type="pct"/>
          </w:tcPr>
          <w:p w14:paraId="1B40EFF3" w14:textId="77777777" w:rsidR="00196549" w:rsidRPr="00445472" w:rsidRDefault="00196549" w:rsidP="00196549">
            <w:pPr>
              <w:pStyle w:val="TABELA"/>
              <w:rPr>
                <w:lang w:val="sq-AL"/>
              </w:rPr>
            </w:pPr>
            <w:r w:rsidRPr="00445472">
              <w:rPr>
                <w:lang w:val="sq-AL"/>
              </w:rPr>
              <w:t>Mangan</w:t>
            </w:r>
          </w:p>
        </w:tc>
      </w:tr>
      <w:tr w:rsidR="00A977E4" w:rsidRPr="00445472" w14:paraId="6F45CD66" w14:textId="77777777" w:rsidTr="00196549">
        <w:trPr>
          <w:trHeight w:val="200"/>
          <w:jc w:val="center"/>
        </w:trPr>
        <w:tc>
          <w:tcPr>
            <w:tcW w:w="939" w:type="pct"/>
            <w:gridSpan w:val="2"/>
          </w:tcPr>
          <w:p w14:paraId="6E114A08" w14:textId="77777777" w:rsidR="00196549" w:rsidRPr="00445472" w:rsidRDefault="00196549" w:rsidP="00196549">
            <w:pPr>
              <w:pStyle w:val="TABELA"/>
              <w:rPr>
                <w:lang w:val="sq-AL"/>
              </w:rPr>
            </w:pPr>
            <w:r w:rsidRPr="00445472">
              <w:rPr>
                <w:lang w:val="sq-AL"/>
              </w:rPr>
              <w:t>Mg</w:t>
            </w:r>
          </w:p>
        </w:tc>
        <w:tc>
          <w:tcPr>
            <w:tcW w:w="4061" w:type="pct"/>
          </w:tcPr>
          <w:p w14:paraId="2852103D" w14:textId="77777777" w:rsidR="00196549" w:rsidRPr="00445472" w:rsidRDefault="00196549" w:rsidP="00196549">
            <w:pPr>
              <w:pStyle w:val="TABELA"/>
              <w:rPr>
                <w:lang w:val="sq-AL"/>
              </w:rPr>
            </w:pPr>
            <w:r w:rsidRPr="00445472">
              <w:rPr>
                <w:lang w:val="sq-AL"/>
              </w:rPr>
              <w:t>Magnez</w:t>
            </w:r>
          </w:p>
        </w:tc>
      </w:tr>
      <w:tr w:rsidR="00A977E4" w:rsidRPr="00445472" w14:paraId="3B1D7FB8" w14:textId="77777777" w:rsidTr="00196549">
        <w:trPr>
          <w:trHeight w:val="200"/>
          <w:jc w:val="center"/>
        </w:trPr>
        <w:tc>
          <w:tcPr>
            <w:tcW w:w="939" w:type="pct"/>
            <w:gridSpan w:val="2"/>
          </w:tcPr>
          <w:p w14:paraId="63E5A8B4" w14:textId="77777777" w:rsidR="00196549" w:rsidRPr="00445472" w:rsidRDefault="00196549" w:rsidP="00196549">
            <w:pPr>
              <w:pStyle w:val="TABELA"/>
              <w:rPr>
                <w:lang w:val="sq-AL"/>
              </w:rPr>
            </w:pPr>
            <w:r w:rsidRPr="00445472">
              <w:rPr>
                <w:lang w:val="sq-AL"/>
              </w:rPr>
              <w:t>MIKE HYDRO</w:t>
            </w:r>
          </w:p>
        </w:tc>
        <w:tc>
          <w:tcPr>
            <w:tcW w:w="4061" w:type="pct"/>
          </w:tcPr>
          <w:p w14:paraId="7C85FBE5" w14:textId="77777777" w:rsidR="00196549" w:rsidRPr="00445472" w:rsidRDefault="00196549" w:rsidP="00196549">
            <w:pPr>
              <w:pStyle w:val="TABELA"/>
              <w:rPr>
                <w:lang w:val="sq-AL"/>
              </w:rPr>
            </w:pPr>
            <w:r w:rsidRPr="00445472">
              <w:rPr>
                <w:lang w:val="sq-AL"/>
              </w:rPr>
              <w:t>Programi i Modelimit të Lumit</w:t>
            </w:r>
          </w:p>
        </w:tc>
      </w:tr>
      <w:tr w:rsidR="00A977E4" w:rsidRPr="00445472" w14:paraId="582CA7AE" w14:textId="77777777" w:rsidTr="00196549">
        <w:trPr>
          <w:trHeight w:val="200"/>
          <w:jc w:val="center"/>
        </w:trPr>
        <w:tc>
          <w:tcPr>
            <w:tcW w:w="939" w:type="pct"/>
            <w:gridSpan w:val="2"/>
          </w:tcPr>
          <w:p w14:paraId="75B995AD" w14:textId="77777777" w:rsidR="00196549" w:rsidRPr="00445472" w:rsidRDefault="00196549" w:rsidP="00196549">
            <w:pPr>
              <w:pStyle w:val="TABELA"/>
              <w:rPr>
                <w:lang w:val="sq-AL"/>
              </w:rPr>
            </w:pPr>
            <w:r w:rsidRPr="00445472">
              <w:rPr>
                <w:lang w:val="sq-AL"/>
              </w:rPr>
              <w:t>MTM</w:t>
            </w:r>
          </w:p>
        </w:tc>
        <w:tc>
          <w:tcPr>
            <w:tcW w:w="4061" w:type="pct"/>
          </w:tcPr>
          <w:p w14:paraId="6BAFF3E6" w14:textId="77777777" w:rsidR="00196549" w:rsidRPr="00445472" w:rsidRDefault="00196549" w:rsidP="00196549">
            <w:pPr>
              <w:pStyle w:val="TABELA"/>
              <w:rPr>
                <w:lang w:val="sq-AL"/>
              </w:rPr>
            </w:pPr>
            <w:r w:rsidRPr="00445472">
              <w:rPr>
                <w:lang w:val="sq-AL"/>
              </w:rPr>
              <w:t>Ministria e Turizmit dhe Mjedisit</w:t>
            </w:r>
          </w:p>
        </w:tc>
      </w:tr>
      <w:tr w:rsidR="00A977E4" w:rsidRPr="00445472" w14:paraId="4C7070D4" w14:textId="77777777" w:rsidTr="00196549">
        <w:trPr>
          <w:trHeight w:val="200"/>
          <w:jc w:val="center"/>
        </w:trPr>
        <w:tc>
          <w:tcPr>
            <w:tcW w:w="939" w:type="pct"/>
            <w:gridSpan w:val="2"/>
          </w:tcPr>
          <w:p w14:paraId="4429920E" w14:textId="77777777" w:rsidR="00196549" w:rsidRPr="00445472" w:rsidRDefault="00196549" w:rsidP="00196549">
            <w:pPr>
              <w:pStyle w:val="TABELA"/>
              <w:rPr>
                <w:lang w:val="sq-AL"/>
              </w:rPr>
            </w:pPr>
            <w:r w:rsidRPr="00445472">
              <w:rPr>
                <w:lang w:val="sq-AL"/>
              </w:rPr>
              <w:t>MEI</w:t>
            </w:r>
          </w:p>
        </w:tc>
        <w:tc>
          <w:tcPr>
            <w:tcW w:w="4061" w:type="pct"/>
          </w:tcPr>
          <w:p w14:paraId="09D506BF" w14:textId="77777777" w:rsidR="00196549" w:rsidRPr="00445472" w:rsidRDefault="00196549" w:rsidP="00196549">
            <w:pPr>
              <w:pStyle w:val="TABELA"/>
              <w:rPr>
                <w:lang w:val="sq-AL"/>
              </w:rPr>
            </w:pPr>
            <w:r w:rsidRPr="00445472">
              <w:rPr>
                <w:lang w:val="sq-AL"/>
              </w:rPr>
              <w:t>Ministria e Energjisë dhe Industrisë</w:t>
            </w:r>
          </w:p>
        </w:tc>
      </w:tr>
      <w:tr w:rsidR="00A977E4" w:rsidRPr="00445472" w14:paraId="09685C87" w14:textId="77777777" w:rsidTr="00196549">
        <w:trPr>
          <w:trHeight w:val="200"/>
          <w:jc w:val="center"/>
        </w:trPr>
        <w:tc>
          <w:tcPr>
            <w:tcW w:w="939" w:type="pct"/>
            <w:gridSpan w:val="2"/>
          </w:tcPr>
          <w:p w14:paraId="10A54BA3" w14:textId="77777777" w:rsidR="00196549" w:rsidRPr="00445472" w:rsidRDefault="00196549" w:rsidP="00196549">
            <w:pPr>
              <w:pStyle w:val="TABELA"/>
              <w:rPr>
                <w:lang w:val="sq-AL"/>
              </w:rPr>
            </w:pPr>
            <w:r w:rsidRPr="00445472">
              <w:rPr>
                <w:lang w:val="sq-AL"/>
              </w:rPr>
              <w:t>MFE</w:t>
            </w:r>
          </w:p>
        </w:tc>
        <w:tc>
          <w:tcPr>
            <w:tcW w:w="4061" w:type="pct"/>
          </w:tcPr>
          <w:p w14:paraId="30535ECB" w14:textId="77777777" w:rsidR="00196549" w:rsidRPr="00445472" w:rsidRDefault="00196549" w:rsidP="00196549">
            <w:pPr>
              <w:pStyle w:val="TABELA"/>
              <w:rPr>
                <w:lang w:val="sq-AL"/>
              </w:rPr>
            </w:pPr>
            <w:r w:rsidRPr="00445472">
              <w:rPr>
                <w:lang w:val="sq-AL"/>
              </w:rPr>
              <w:t>Ministria e Financave dhe Ekonomisë</w:t>
            </w:r>
          </w:p>
        </w:tc>
      </w:tr>
      <w:tr w:rsidR="00A977E4" w:rsidRPr="00445472" w14:paraId="36FB8CC6" w14:textId="77777777" w:rsidTr="00196549">
        <w:trPr>
          <w:trHeight w:val="200"/>
          <w:jc w:val="center"/>
        </w:trPr>
        <w:tc>
          <w:tcPr>
            <w:tcW w:w="939" w:type="pct"/>
            <w:gridSpan w:val="2"/>
          </w:tcPr>
          <w:p w14:paraId="03B2652A" w14:textId="77777777" w:rsidR="00196549" w:rsidRPr="00445472" w:rsidRDefault="00196549" w:rsidP="00196549">
            <w:pPr>
              <w:pStyle w:val="TABELA"/>
              <w:rPr>
                <w:lang w:val="sq-AL"/>
              </w:rPr>
            </w:pPr>
            <w:r w:rsidRPr="00445472">
              <w:rPr>
                <w:lang w:val="sq-AL"/>
              </w:rPr>
              <w:t>MSH</w:t>
            </w:r>
          </w:p>
        </w:tc>
        <w:tc>
          <w:tcPr>
            <w:tcW w:w="4061" w:type="pct"/>
          </w:tcPr>
          <w:p w14:paraId="6DDF9F9F" w14:textId="77777777" w:rsidR="00196549" w:rsidRPr="00445472" w:rsidRDefault="00196549" w:rsidP="00196549">
            <w:pPr>
              <w:pStyle w:val="TABELA"/>
              <w:rPr>
                <w:lang w:val="sq-AL"/>
              </w:rPr>
            </w:pPr>
            <w:r w:rsidRPr="00445472">
              <w:rPr>
                <w:lang w:val="sq-AL"/>
              </w:rPr>
              <w:t>Ministria e Shëndetësisë dhe Mbrojtjes Sociale</w:t>
            </w:r>
          </w:p>
        </w:tc>
      </w:tr>
      <w:tr w:rsidR="00A977E4" w:rsidRPr="00445472" w14:paraId="2658F4E4" w14:textId="77777777" w:rsidTr="00196549">
        <w:trPr>
          <w:trHeight w:val="80"/>
          <w:jc w:val="center"/>
        </w:trPr>
        <w:tc>
          <w:tcPr>
            <w:tcW w:w="939" w:type="pct"/>
            <w:gridSpan w:val="2"/>
          </w:tcPr>
          <w:p w14:paraId="6B546510" w14:textId="77777777" w:rsidR="00196549" w:rsidRPr="00445472" w:rsidRDefault="00196549" w:rsidP="00196549">
            <w:pPr>
              <w:pStyle w:val="TABELA"/>
              <w:rPr>
                <w:lang w:val="sq-AL"/>
              </w:rPr>
            </w:pPr>
            <w:r w:rsidRPr="00445472">
              <w:rPr>
                <w:lang w:val="sq-AL"/>
              </w:rPr>
              <w:t>MB</w:t>
            </w:r>
          </w:p>
        </w:tc>
        <w:tc>
          <w:tcPr>
            <w:tcW w:w="4061" w:type="pct"/>
          </w:tcPr>
          <w:p w14:paraId="1FB60E8D" w14:textId="77777777" w:rsidR="00196549" w:rsidRPr="00445472" w:rsidRDefault="00196549" w:rsidP="00196549">
            <w:pPr>
              <w:pStyle w:val="TABELA"/>
              <w:rPr>
                <w:lang w:val="sq-AL"/>
              </w:rPr>
            </w:pPr>
            <w:r w:rsidRPr="00445472">
              <w:rPr>
                <w:lang w:val="sq-AL"/>
              </w:rPr>
              <w:t>Ministria e Brendshme</w:t>
            </w:r>
          </w:p>
        </w:tc>
      </w:tr>
      <w:tr w:rsidR="00A977E4" w:rsidRPr="00445472" w14:paraId="235944AD" w14:textId="77777777" w:rsidTr="00196549">
        <w:trPr>
          <w:trHeight w:val="80"/>
          <w:jc w:val="center"/>
        </w:trPr>
        <w:tc>
          <w:tcPr>
            <w:tcW w:w="939" w:type="pct"/>
            <w:gridSpan w:val="2"/>
          </w:tcPr>
          <w:p w14:paraId="3DB7951D" w14:textId="77777777" w:rsidR="00196549" w:rsidRPr="00445472" w:rsidRDefault="00196549" w:rsidP="00196549">
            <w:pPr>
              <w:pStyle w:val="TABELA"/>
              <w:rPr>
                <w:lang w:val="sq-AL"/>
              </w:rPr>
            </w:pPr>
            <w:r w:rsidRPr="00445472">
              <w:rPr>
                <w:lang w:val="sq-AL"/>
              </w:rPr>
              <w:t>MD</w:t>
            </w:r>
          </w:p>
        </w:tc>
        <w:tc>
          <w:tcPr>
            <w:tcW w:w="4061" w:type="pct"/>
          </w:tcPr>
          <w:p w14:paraId="46E03B8C" w14:textId="77777777" w:rsidR="00196549" w:rsidRPr="00445472" w:rsidRDefault="00196549" w:rsidP="00196549">
            <w:pPr>
              <w:pStyle w:val="TABELA"/>
              <w:rPr>
                <w:lang w:val="sq-AL"/>
              </w:rPr>
            </w:pPr>
            <w:r w:rsidRPr="00445472">
              <w:rPr>
                <w:lang w:val="sq-AL"/>
              </w:rPr>
              <w:t>Ministria e Drejtësisë</w:t>
            </w:r>
          </w:p>
        </w:tc>
      </w:tr>
      <w:tr w:rsidR="00A977E4" w:rsidRPr="00445472" w14:paraId="1F3878BC" w14:textId="77777777" w:rsidTr="00196549">
        <w:trPr>
          <w:trHeight w:val="200"/>
          <w:jc w:val="center"/>
        </w:trPr>
        <w:tc>
          <w:tcPr>
            <w:tcW w:w="939" w:type="pct"/>
            <w:gridSpan w:val="2"/>
          </w:tcPr>
          <w:p w14:paraId="32AC5A05" w14:textId="77777777" w:rsidR="00196549" w:rsidRPr="00445472" w:rsidRDefault="00196549" w:rsidP="00196549">
            <w:pPr>
              <w:pStyle w:val="TABELA"/>
              <w:rPr>
                <w:lang w:val="sq-AL"/>
              </w:rPr>
            </w:pPr>
            <w:r w:rsidRPr="00445472">
              <w:rPr>
                <w:lang w:val="sq-AL"/>
              </w:rPr>
              <w:t>MB</w:t>
            </w:r>
          </w:p>
        </w:tc>
        <w:tc>
          <w:tcPr>
            <w:tcW w:w="4061" w:type="pct"/>
          </w:tcPr>
          <w:p w14:paraId="19063C00" w14:textId="77777777" w:rsidR="00196549" w:rsidRPr="00445472" w:rsidRDefault="00196549" w:rsidP="00196549">
            <w:pPr>
              <w:pStyle w:val="TABELA"/>
              <w:rPr>
                <w:lang w:val="sq-AL"/>
              </w:rPr>
            </w:pPr>
            <w:r w:rsidRPr="00445472">
              <w:rPr>
                <w:lang w:val="sq-AL"/>
              </w:rPr>
              <w:t>Ministria e Mbrojtjes</w:t>
            </w:r>
          </w:p>
        </w:tc>
      </w:tr>
      <w:tr w:rsidR="00A977E4" w:rsidRPr="00445472" w14:paraId="3698D6BC" w14:textId="77777777" w:rsidTr="00196549">
        <w:trPr>
          <w:trHeight w:val="200"/>
          <w:jc w:val="center"/>
        </w:trPr>
        <w:tc>
          <w:tcPr>
            <w:tcW w:w="939" w:type="pct"/>
            <w:gridSpan w:val="2"/>
          </w:tcPr>
          <w:p w14:paraId="547C88A1" w14:textId="77777777" w:rsidR="00196549" w:rsidRPr="00445472" w:rsidRDefault="00196549" w:rsidP="00196549">
            <w:pPr>
              <w:pStyle w:val="TABELA"/>
              <w:rPr>
                <w:lang w:val="sq-AL"/>
              </w:rPr>
            </w:pPr>
            <w:r w:rsidRPr="00445472">
              <w:rPr>
                <w:lang w:val="sq-AL"/>
              </w:rPr>
              <w:t>MW</w:t>
            </w:r>
          </w:p>
        </w:tc>
        <w:tc>
          <w:tcPr>
            <w:tcW w:w="4061" w:type="pct"/>
          </w:tcPr>
          <w:p w14:paraId="48927B81" w14:textId="77777777" w:rsidR="00196549" w:rsidRPr="00445472" w:rsidRDefault="00196549" w:rsidP="00196549">
            <w:pPr>
              <w:pStyle w:val="TABELA"/>
              <w:rPr>
                <w:lang w:val="sq-AL"/>
              </w:rPr>
            </w:pPr>
            <w:r w:rsidRPr="00445472">
              <w:rPr>
                <w:lang w:val="sq-AL"/>
              </w:rPr>
              <w:t>Megavat</w:t>
            </w:r>
          </w:p>
        </w:tc>
      </w:tr>
      <w:tr w:rsidR="00A977E4" w:rsidRPr="00445472" w14:paraId="4D010D42" w14:textId="77777777" w:rsidTr="00196549">
        <w:trPr>
          <w:trHeight w:val="200"/>
          <w:jc w:val="center"/>
        </w:trPr>
        <w:tc>
          <w:tcPr>
            <w:tcW w:w="939" w:type="pct"/>
            <w:gridSpan w:val="2"/>
          </w:tcPr>
          <w:p w14:paraId="2072C018" w14:textId="77777777" w:rsidR="00196549" w:rsidRPr="00445472" w:rsidRDefault="00196549" w:rsidP="00196549">
            <w:pPr>
              <w:pStyle w:val="TABELA"/>
              <w:rPr>
                <w:lang w:val="sq-AL"/>
              </w:rPr>
            </w:pPr>
            <w:r w:rsidRPr="00445472">
              <w:rPr>
                <w:lang w:val="sq-AL"/>
              </w:rPr>
              <w:t>MWh</w:t>
            </w:r>
          </w:p>
        </w:tc>
        <w:tc>
          <w:tcPr>
            <w:tcW w:w="4061" w:type="pct"/>
          </w:tcPr>
          <w:p w14:paraId="6D400B5E" w14:textId="77777777" w:rsidR="00196549" w:rsidRPr="00445472" w:rsidRDefault="00196549" w:rsidP="00196549">
            <w:pPr>
              <w:pStyle w:val="TABELA"/>
              <w:rPr>
                <w:lang w:val="sq-AL"/>
              </w:rPr>
            </w:pPr>
            <w:r w:rsidRPr="00445472">
              <w:rPr>
                <w:lang w:val="sq-AL"/>
              </w:rPr>
              <w:t>Megavat në orë</w:t>
            </w:r>
          </w:p>
        </w:tc>
      </w:tr>
      <w:tr w:rsidR="00A977E4" w:rsidRPr="00445472" w14:paraId="0B238A5A" w14:textId="77777777" w:rsidTr="00196549">
        <w:trPr>
          <w:trHeight w:val="400"/>
          <w:jc w:val="center"/>
        </w:trPr>
        <w:tc>
          <w:tcPr>
            <w:tcW w:w="939" w:type="pct"/>
            <w:gridSpan w:val="2"/>
          </w:tcPr>
          <w:p w14:paraId="3C667D69" w14:textId="77777777" w:rsidR="00196549" w:rsidRPr="00445472" w:rsidRDefault="00196549" w:rsidP="00196549">
            <w:pPr>
              <w:pStyle w:val="TABELA"/>
              <w:rPr>
                <w:lang w:val="sq-AL"/>
              </w:rPr>
            </w:pPr>
            <w:r w:rsidRPr="00445472">
              <w:rPr>
                <w:lang w:val="sq-AL"/>
              </w:rPr>
              <w:t>NAM</w:t>
            </w:r>
          </w:p>
        </w:tc>
        <w:tc>
          <w:tcPr>
            <w:tcW w:w="4061" w:type="pct"/>
          </w:tcPr>
          <w:p w14:paraId="42E5F638" w14:textId="77777777" w:rsidR="00196549" w:rsidRPr="00445472" w:rsidRDefault="00196549" w:rsidP="00196549">
            <w:pPr>
              <w:pStyle w:val="TABELA"/>
              <w:rPr>
                <w:lang w:val="sq-AL"/>
              </w:rPr>
            </w:pPr>
            <w:r w:rsidRPr="00445472">
              <w:rPr>
                <w:lang w:val="sq-AL"/>
              </w:rPr>
              <w:t>Një model i përgjithshëm dhe konceptual i kapjes së reshjeve me llogaritje të vazhdueshme të përmbajtjes së lagështirës në zona e nëntokesore</w:t>
            </w:r>
          </w:p>
        </w:tc>
      </w:tr>
      <w:tr w:rsidR="00A977E4" w:rsidRPr="00445472" w14:paraId="3DAE7056" w14:textId="77777777" w:rsidTr="00196549">
        <w:trPr>
          <w:trHeight w:val="200"/>
          <w:jc w:val="center"/>
        </w:trPr>
        <w:tc>
          <w:tcPr>
            <w:tcW w:w="939" w:type="pct"/>
            <w:gridSpan w:val="2"/>
          </w:tcPr>
          <w:p w14:paraId="6D7F6786" w14:textId="77777777" w:rsidR="00196549" w:rsidRPr="00445472" w:rsidRDefault="00196549" w:rsidP="00196549">
            <w:pPr>
              <w:pStyle w:val="TABELA"/>
              <w:rPr>
                <w:lang w:val="sq-AL"/>
              </w:rPr>
            </w:pPr>
            <w:r w:rsidRPr="00445472">
              <w:rPr>
                <w:lang w:val="sq-AL"/>
              </w:rPr>
              <w:t>AKM</w:t>
            </w:r>
          </w:p>
        </w:tc>
        <w:tc>
          <w:tcPr>
            <w:tcW w:w="4061" w:type="pct"/>
          </w:tcPr>
          <w:p w14:paraId="4BB36ECC" w14:textId="77777777" w:rsidR="00196549" w:rsidRPr="00445472" w:rsidRDefault="00196549" w:rsidP="00196549">
            <w:pPr>
              <w:pStyle w:val="TABELA"/>
              <w:rPr>
                <w:lang w:val="sq-AL"/>
              </w:rPr>
            </w:pPr>
            <w:r w:rsidRPr="00445472">
              <w:rPr>
                <w:lang w:val="sq-AL"/>
              </w:rPr>
              <w:t>Agjencia Kombëtare Mjedisore</w:t>
            </w:r>
          </w:p>
        </w:tc>
      </w:tr>
      <w:tr w:rsidR="00A977E4" w:rsidRPr="00445472" w14:paraId="5FA02447" w14:textId="77777777" w:rsidTr="00196549">
        <w:trPr>
          <w:trHeight w:val="200"/>
          <w:jc w:val="center"/>
        </w:trPr>
        <w:tc>
          <w:tcPr>
            <w:tcW w:w="939" w:type="pct"/>
            <w:gridSpan w:val="2"/>
          </w:tcPr>
          <w:p w14:paraId="6818601E" w14:textId="77777777" w:rsidR="00196549" w:rsidRPr="00445472" w:rsidRDefault="00196549" w:rsidP="00196549">
            <w:pPr>
              <w:pStyle w:val="TABELA"/>
              <w:rPr>
                <w:lang w:val="sq-AL"/>
              </w:rPr>
            </w:pPr>
            <w:r w:rsidRPr="00445472">
              <w:rPr>
                <w:lang w:val="sq-AL"/>
              </w:rPr>
              <w:t>OJQ</w:t>
            </w:r>
          </w:p>
        </w:tc>
        <w:tc>
          <w:tcPr>
            <w:tcW w:w="4061" w:type="pct"/>
          </w:tcPr>
          <w:p w14:paraId="0A2C46AD" w14:textId="77777777" w:rsidR="00196549" w:rsidRPr="00445472" w:rsidRDefault="00196549" w:rsidP="00196549">
            <w:pPr>
              <w:pStyle w:val="TABELA"/>
              <w:rPr>
                <w:lang w:val="sq-AL"/>
              </w:rPr>
            </w:pPr>
            <w:r w:rsidRPr="00445472">
              <w:rPr>
                <w:lang w:val="sq-AL"/>
              </w:rPr>
              <w:t>Organizata joqeveritare</w:t>
            </w:r>
          </w:p>
        </w:tc>
      </w:tr>
      <w:tr w:rsidR="00A977E4" w:rsidRPr="00445472" w14:paraId="383F26A2" w14:textId="77777777" w:rsidTr="00196549">
        <w:trPr>
          <w:trHeight w:val="200"/>
          <w:jc w:val="center"/>
        </w:trPr>
        <w:tc>
          <w:tcPr>
            <w:tcW w:w="939" w:type="pct"/>
            <w:gridSpan w:val="2"/>
          </w:tcPr>
          <w:p w14:paraId="1D9C91EF" w14:textId="77777777" w:rsidR="00196549" w:rsidRPr="00445472" w:rsidRDefault="00196549" w:rsidP="00196549">
            <w:pPr>
              <w:pStyle w:val="TABELA"/>
              <w:rPr>
                <w:lang w:val="sq-AL"/>
              </w:rPr>
            </w:pPr>
            <w:r w:rsidRPr="00445472">
              <w:rPr>
                <w:lang w:val="sq-AL"/>
              </w:rPr>
              <w:t>Ni</w:t>
            </w:r>
          </w:p>
        </w:tc>
        <w:tc>
          <w:tcPr>
            <w:tcW w:w="4061" w:type="pct"/>
          </w:tcPr>
          <w:p w14:paraId="1A974502" w14:textId="77777777" w:rsidR="00196549" w:rsidRPr="00445472" w:rsidRDefault="00196549" w:rsidP="00196549">
            <w:pPr>
              <w:pStyle w:val="TABELA"/>
              <w:rPr>
                <w:lang w:val="sq-AL"/>
              </w:rPr>
            </w:pPr>
            <w:r w:rsidRPr="00445472">
              <w:rPr>
                <w:lang w:val="sq-AL"/>
              </w:rPr>
              <w:t>Nikel</w:t>
            </w:r>
          </w:p>
        </w:tc>
      </w:tr>
      <w:tr w:rsidR="00A977E4" w:rsidRPr="00445472" w14:paraId="01F6CB9C" w14:textId="77777777" w:rsidTr="00196549">
        <w:trPr>
          <w:trHeight w:val="200"/>
          <w:jc w:val="center"/>
        </w:trPr>
        <w:tc>
          <w:tcPr>
            <w:tcW w:w="939" w:type="pct"/>
            <w:gridSpan w:val="2"/>
          </w:tcPr>
          <w:p w14:paraId="69B9E493" w14:textId="77777777" w:rsidR="00196549" w:rsidRPr="00445472" w:rsidRDefault="00196549" w:rsidP="00196549">
            <w:pPr>
              <w:pStyle w:val="TABELA"/>
              <w:rPr>
                <w:sz w:val="12"/>
                <w:lang w:val="sq-AL"/>
              </w:rPr>
            </w:pPr>
            <w:r w:rsidRPr="00445472">
              <w:rPr>
                <w:lang w:val="sq-AL"/>
              </w:rPr>
              <w:t>NO</w:t>
            </w:r>
            <w:r w:rsidRPr="00445472">
              <w:rPr>
                <w:sz w:val="12"/>
                <w:lang w:val="sq-AL"/>
              </w:rPr>
              <w:t>2</w:t>
            </w:r>
          </w:p>
        </w:tc>
        <w:tc>
          <w:tcPr>
            <w:tcW w:w="4061" w:type="pct"/>
          </w:tcPr>
          <w:p w14:paraId="1B82BF6F" w14:textId="77777777" w:rsidR="00196549" w:rsidRPr="00445472" w:rsidRDefault="00196549" w:rsidP="00196549">
            <w:pPr>
              <w:pStyle w:val="TABELA"/>
              <w:rPr>
                <w:lang w:val="sq-AL"/>
              </w:rPr>
            </w:pPr>
            <w:r w:rsidRPr="00445472">
              <w:rPr>
                <w:lang w:val="sq-AL"/>
              </w:rPr>
              <w:t>Nitrat potasiumi</w:t>
            </w:r>
          </w:p>
        </w:tc>
      </w:tr>
      <w:tr w:rsidR="00A977E4" w:rsidRPr="00445472" w14:paraId="4928B993" w14:textId="77777777" w:rsidTr="00196549">
        <w:trPr>
          <w:trHeight w:val="200"/>
          <w:jc w:val="center"/>
        </w:trPr>
        <w:tc>
          <w:tcPr>
            <w:tcW w:w="939" w:type="pct"/>
            <w:gridSpan w:val="2"/>
          </w:tcPr>
          <w:p w14:paraId="73EDE1AE" w14:textId="77777777" w:rsidR="00196549" w:rsidRPr="00445472" w:rsidRDefault="00196549" w:rsidP="00196549">
            <w:pPr>
              <w:pStyle w:val="TABELA"/>
              <w:rPr>
                <w:sz w:val="12"/>
                <w:lang w:val="sq-AL"/>
              </w:rPr>
            </w:pPr>
            <w:r w:rsidRPr="00445472">
              <w:rPr>
                <w:lang w:val="sq-AL"/>
              </w:rPr>
              <w:t>NO</w:t>
            </w:r>
            <w:r w:rsidRPr="00445472">
              <w:rPr>
                <w:sz w:val="12"/>
                <w:lang w:val="sq-AL"/>
              </w:rPr>
              <w:t>3</w:t>
            </w:r>
          </w:p>
        </w:tc>
        <w:tc>
          <w:tcPr>
            <w:tcW w:w="4061" w:type="pct"/>
          </w:tcPr>
          <w:p w14:paraId="07F7D165" w14:textId="77777777" w:rsidR="00196549" w:rsidRPr="00445472" w:rsidRDefault="00196549" w:rsidP="00196549">
            <w:pPr>
              <w:pStyle w:val="TABELA"/>
              <w:rPr>
                <w:lang w:val="sq-AL"/>
              </w:rPr>
            </w:pPr>
            <w:r w:rsidRPr="00445472">
              <w:rPr>
                <w:lang w:val="sq-AL"/>
              </w:rPr>
              <w:t>Nitrat</w:t>
            </w:r>
          </w:p>
        </w:tc>
      </w:tr>
      <w:tr w:rsidR="00A977E4" w:rsidRPr="00445472" w14:paraId="56BB897C" w14:textId="77777777" w:rsidTr="00196549">
        <w:trPr>
          <w:trHeight w:val="200"/>
          <w:jc w:val="center"/>
        </w:trPr>
        <w:tc>
          <w:tcPr>
            <w:tcW w:w="939" w:type="pct"/>
            <w:gridSpan w:val="2"/>
          </w:tcPr>
          <w:p w14:paraId="3A642AD9" w14:textId="77777777" w:rsidR="00196549" w:rsidRPr="00445472" w:rsidRDefault="00196549" w:rsidP="00196549">
            <w:pPr>
              <w:pStyle w:val="TABELA"/>
              <w:rPr>
                <w:sz w:val="12"/>
                <w:lang w:val="sq-AL"/>
              </w:rPr>
            </w:pPr>
            <w:r w:rsidRPr="00445472">
              <w:rPr>
                <w:lang w:val="sq-AL"/>
              </w:rPr>
              <w:t>NH</w:t>
            </w:r>
            <w:r w:rsidRPr="00445472">
              <w:rPr>
                <w:sz w:val="12"/>
                <w:lang w:val="sq-AL"/>
              </w:rPr>
              <w:t>4</w:t>
            </w:r>
          </w:p>
        </w:tc>
        <w:tc>
          <w:tcPr>
            <w:tcW w:w="4061" w:type="pct"/>
          </w:tcPr>
          <w:p w14:paraId="2FCC96A2" w14:textId="77777777" w:rsidR="00196549" w:rsidRPr="00445472" w:rsidRDefault="00196549" w:rsidP="00196549">
            <w:pPr>
              <w:pStyle w:val="TABELA"/>
              <w:rPr>
                <w:lang w:val="sq-AL"/>
              </w:rPr>
            </w:pPr>
            <w:r w:rsidRPr="00445472">
              <w:rPr>
                <w:lang w:val="sq-AL"/>
              </w:rPr>
              <w:t>Amon</w:t>
            </w:r>
          </w:p>
        </w:tc>
      </w:tr>
      <w:tr w:rsidR="00A977E4" w:rsidRPr="00445472" w14:paraId="0E57F3D4" w14:textId="77777777" w:rsidTr="00196549">
        <w:trPr>
          <w:trHeight w:val="200"/>
          <w:jc w:val="center"/>
        </w:trPr>
        <w:tc>
          <w:tcPr>
            <w:tcW w:w="939" w:type="pct"/>
            <w:gridSpan w:val="2"/>
          </w:tcPr>
          <w:p w14:paraId="73964292" w14:textId="77777777" w:rsidR="00196549" w:rsidRPr="00445472" w:rsidRDefault="00196549" w:rsidP="00196549">
            <w:pPr>
              <w:pStyle w:val="TABELA"/>
              <w:rPr>
                <w:lang w:val="sq-AL"/>
              </w:rPr>
            </w:pPr>
            <w:r w:rsidRPr="00445472">
              <w:rPr>
                <w:lang w:val="sq-AL"/>
              </w:rPr>
              <w:t>UPF</w:t>
            </w:r>
          </w:p>
        </w:tc>
        <w:tc>
          <w:tcPr>
            <w:tcW w:w="4061" w:type="pct"/>
          </w:tcPr>
          <w:p w14:paraId="6684C3C9" w14:textId="77777777" w:rsidR="00196549" w:rsidRPr="00445472" w:rsidRDefault="00196549" w:rsidP="00196549">
            <w:pPr>
              <w:pStyle w:val="TABELA"/>
              <w:rPr>
                <w:lang w:val="sq-AL"/>
              </w:rPr>
            </w:pPr>
            <w:r w:rsidRPr="00445472">
              <w:rPr>
                <w:lang w:val="sq-AL"/>
              </w:rPr>
              <w:t>Uji i pafaturuar</w:t>
            </w:r>
          </w:p>
        </w:tc>
      </w:tr>
      <w:tr w:rsidR="00A977E4" w:rsidRPr="00445472" w14:paraId="09B28C3B" w14:textId="77777777" w:rsidTr="00196549">
        <w:trPr>
          <w:trHeight w:val="200"/>
          <w:jc w:val="center"/>
        </w:trPr>
        <w:tc>
          <w:tcPr>
            <w:tcW w:w="939" w:type="pct"/>
            <w:gridSpan w:val="2"/>
          </w:tcPr>
          <w:p w14:paraId="5F31BE84" w14:textId="77777777" w:rsidR="00196549" w:rsidRPr="00445472" w:rsidRDefault="00196549" w:rsidP="00196549">
            <w:pPr>
              <w:pStyle w:val="TABELA"/>
              <w:rPr>
                <w:lang w:val="sq-AL"/>
              </w:rPr>
            </w:pPr>
            <w:r w:rsidRPr="00445472">
              <w:rPr>
                <w:lang w:val="sq-AL"/>
              </w:rPr>
              <w:t>Nr.</w:t>
            </w:r>
          </w:p>
        </w:tc>
        <w:tc>
          <w:tcPr>
            <w:tcW w:w="4061" w:type="pct"/>
          </w:tcPr>
          <w:p w14:paraId="1266B821" w14:textId="77777777" w:rsidR="00196549" w:rsidRPr="00445472" w:rsidRDefault="00196549" w:rsidP="00196549">
            <w:pPr>
              <w:pStyle w:val="TABELA"/>
              <w:rPr>
                <w:lang w:val="sq-AL"/>
              </w:rPr>
            </w:pPr>
            <w:r w:rsidRPr="00445472">
              <w:rPr>
                <w:lang w:val="sq-AL"/>
              </w:rPr>
              <w:t>Numri</w:t>
            </w:r>
          </w:p>
        </w:tc>
      </w:tr>
      <w:tr w:rsidR="00A977E4" w:rsidRPr="00445472" w14:paraId="7F7D5EDE" w14:textId="77777777" w:rsidTr="00196549">
        <w:trPr>
          <w:trHeight w:val="200"/>
          <w:jc w:val="center"/>
        </w:trPr>
        <w:tc>
          <w:tcPr>
            <w:tcW w:w="939" w:type="pct"/>
            <w:gridSpan w:val="2"/>
          </w:tcPr>
          <w:p w14:paraId="21BA566D" w14:textId="77777777" w:rsidR="00196549" w:rsidRPr="00445472" w:rsidRDefault="00196549" w:rsidP="00196549">
            <w:pPr>
              <w:pStyle w:val="TABELA"/>
              <w:rPr>
                <w:lang w:val="sq-AL"/>
              </w:rPr>
            </w:pPr>
            <w:r w:rsidRPr="00445472">
              <w:rPr>
                <w:lang w:val="sq-AL"/>
              </w:rPr>
              <w:t>KKU</w:t>
            </w:r>
          </w:p>
        </w:tc>
        <w:tc>
          <w:tcPr>
            <w:tcW w:w="4061" w:type="pct"/>
          </w:tcPr>
          <w:p w14:paraId="049266C6" w14:textId="77777777" w:rsidR="00196549" w:rsidRPr="00445472" w:rsidRDefault="00196549" w:rsidP="00196549">
            <w:pPr>
              <w:pStyle w:val="TABELA"/>
              <w:rPr>
                <w:lang w:val="sq-AL"/>
              </w:rPr>
            </w:pPr>
            <w:r w:rsidRPr="00445472">
              <w:rPr>
                <w:lang w:val="sq-AL"/>
              </w:rPr>
              <w:t>Këshilli Kombëtar i Ujit</w:t>
            </w:r>
          </w:p>
        </w:tc>
      </w:tr>
      <w:tr w:rsidR="00A977E4" w:rsidRPr="00445472" w14:paraId="5DFCD74B" w14:textId="77777777" w:rsidTr="00196549">
        <w:trPr>
          <w:trHeight w:val="200"/>
          <w:jc w:val="center"/>
        </w:trPr>
        <w:tc>
          <w:tcPr>
            <w:tcW w:w="939" w:type="pct"/>
            <w:gridSpan w:val="2"/>
          </w:tcPr>
          <w:p w14:paraId="07AD598C" w14:textId="77777777" w:rsidR="00196549" w:rsidRPr="00445472" w:rsidRDefault="00196549" w:rsidP="00196549">
            <w:pPr>
              <w:pStyle w:val="TABELA"/>
              <w:rPr>
                <w:lang w:val="sq-AL"/>
              </w:rPr>
            </w:pPr>
            <w:r w:rsidRPr="00445472">
              <w:rPr>
                <w:lang w:val="sq-AL"/>
              </w:rPr>
              <w:t>SKU</w:t>
            </w:r>
          </w:p>
        </w:tc>
        <w:tc>
          <w:tcPr>
            <w:tcW w:w="4061" w:type="pct"/>
          </w:tcPr>
          <w:p w14:paraId="2050FCBE" w14:textId="77777777" w:rsidR="00196549" w:rsidRPr="00445472" w:rsidRDefault="00196549" w:rsidP="00196549">
            <w:pPr>
              <w:pStyle w:val="TABELA"/>
              <w:rPr>
                <w:lang w:val="sq-AL"/>
              </w:rPr>
            </w:pPr>
            <w:r w:rsidRPr="00445472">
              <w:rPr>
                <w:lang w:val="sq-AL"/>
              </w:rPr>
              <w:t>Strategjitë Kombëtare të Ujit</w:t>
            </w:r>
          </w:p>
        </w:tc>
      </w:tr>
      <w:tr w:rsidR="00A977E4" w:rsidRPr="00445472" w14:paraId="7945996F" w14:textId="77777777" w:rsidTr="00196549">
        <w:trPr>
          <w:trHeight w:val="200"/>
          <w:jc w:val="center"/>
        </w:trPr>
        <w:tc>
          <w:tcPr>
            <w:tcW w:w="939" w:type="pct"/>
            <w:gridSpan w:val="2"/>
          </w:tcPr>
          <w:p w14:paraId="47DC4305" w14:textId="77777777" w:rsidR="00196549" w:rsidRPr="00445472" w:rsidRDefault="00196549" w:rsidP="00196549">
            <w:pPr>
              <w:pStyle w:val="TABELA"/>
              <w:rPr>
                <w:lang w:val="sq-AL"/>
              </w:rPr>
            </w:pPr>
            <w:r w:rsidRPr="00445472">
              <w:rPr>
                <w:lang w:val="sq-AL"/>
              </w:rPr>
              <w:t>PKSU</w:t>
            </w:r>
          </w:p>
        </w:tc>
        <w:tc>
          <w:tcPr>
            <w:tcW w:w="4061" w:type="pct"/>
          </w:tcPr>
          <w:p w14:paraId="6803EA6F" w14:textId="77777777" w:rsidR="00196549" w:rsidRPr="00445472" w:rsidRDefault="00196549" w:rsidP="00196549">
            <w:pPr>
              <w:pStyle w:val="TABELA"/>
              <w:rPr>
                <w:lang w:val="sq-AL"/>
              </w:rPr>
            </w:pPr>
            <w:r w:rsidRPr="00445472">
              <w:rPr>
                <w:lang w:val="sq-AL"/>
              </w:rPr>
              <w:t>Plani Kombëtar për Sektorin e Ujit</w:t>
            </w:r>
          </w:p>
        </w:tc>
      </w:tr>
      <w:tr w:rsidR="00A977E4" w:rsidRPr="00445472" w14:paraId="243F4C0C" w14:textId="77777777" w:rsidTr="00196549">
        <w:trPr>
          <w:trHeight w:val="200"/>
          <w:jc w:val="center"/>
        </w:trPr>
        <w:tc>
          <w:tcPr>
            <w:tcW w:w="939" w:type="pct"/>
            <w:gridSpan w:val="2"/>
          </w:tcPr>
          <w:p w14:paraId="7E1C33DA" w14:textId="77777777" w:rsidR="00196549" w:rsidRPr="00445472" w:rsidRDefault="00196549" w:rsidP="00196549">
            <w:pPr>
              <w:pStyle w:val="TABELA"/>
              <w:rPr>
                <w:lang w:val="sq-AL"/>
              </w:rPr>
            </w:pPr>
            <w:r w:rsidRPr="00445472">
              <w:rPr>
                <w:lang w:val="sq-AL"/>
              </w:rPr>
              <w:t>PMZM</w:t>
            </w:r>
          </w:p>
        </w:tc>
        <w:tc>
          <w:tcPr>
            <w:tcW w:w="4061" w:type="pct"/>
          </w:tcPr>
          <w:p w14:paraId="1AFE2E34" w14:textId="77777777" w:rsidR="00196549" w:rsidRPr="00445472" w:rsidRDefault="00196549" w:rsidP="00196549">
            <w:pPr>
              <w:pStyle w:val="TABELA"/>
              <w:rPr>
                <w:lang w:val="sq-AL"/>
              </w:rPr>
            </w:pPr>
            <w:r w:rsidRPr="00445472">
              <w:rPr>
                <w:lang w:val="sq-AL"/>
              </w:rPr>
              <w:t>Plani Menaxhimit të Zonave të Mbrojtura</w:t>
            </w:r>
          </w:p>
        </w:tc>
      </w:tr>
      <w:tr w:rsidR="00A977E4" w:rsidRPr="00445472" w14:paraId="0FFFB183" w14:textId="77777777" w:rsidTr="00196549">
        <w:trPr>
          <w:trHeight w:val="200"/>
          <w:jc w:val="center"/>
        </w:trPr>
        <w:tc>
          <w:tcPr>
            <w:tcW w:w="939" w:type="pct"/>
            <w:gridSpan w:val="2"/>
          </w:tcPr>
          <w:p w14:paraId="2B5522F4" w14:textId="77777777" w:rsidR="00196549" w:rsidRPr="00445472" w:rsidRDefault="00196549" w:rsidP="00196549">
            <w:pPr>
              <w:pStyle w:val="TABELA"/>
              <w:rPr>
                <w:sz w:val="12"/>
                <w:lang w:val="sq-AL"/>
              </w:rPr>
            </w:pPr>
            <w:r w:rsidRPr="00445472">
              <w:rPr>
                <w:lang w:val="sq-AL"/>
              </w:rPr>
              <w:t>O</w:t>
            </w:r>
            <w:r w:rsidRPr="00445472">
              <w:rPr>
                <w:sz w:val="12"/>
                <w:lang w:val="sq-AL"/>
              </w:rPr>
              <w:t>2</w:t>
            </w:r>
          </w:p>
        </w:tc>
        <w:tc>
          <w:tcPr>
            <w:tcW w:w="4061" w:type="pct"/>
          </w:tcPr>
          <w:p w14:paraId="7C2AC620" w14:textId="77777777" w:rsidR="00196549" w:rsidRPr="00445472" w:rsidRDefault="00196549" w:rsidP="00196549">
            <w:pPr>
              <w:pStyle w:val="TABELA"/>
              <w:rPr>
                <w:lang w:val="sq-AL"/>
              </w:rPr>
            </w:pPr>
            <w:r w:rsidRPr="00445472">
              <w:rPr>
                <w:lang w:val="sq-AL"/>
              </w:rPr>
              <w:t>Oksigjen</w:t>
            </w:r>
          </w:p>
        </w:tc>
      </w:tr>
      <w:tr w:rsidR="00A977E4" w:rsidRPr="00445472" w14:paraId="1AFEB63C" w14:textId="77777777" w:rsidTr="00196549">
        <w:trPr>
          <w:trHeight w:val="200"/>
          <w:jc w:val="center"/>
        </w:trPr>
        <w:tc>
          <w:tcPr>
            <w:tcW w:w="939" w:type="pct"/>
            <w:gridSpan w:val="2"/>
          </w:tcPr>
          <w:p w14:paraId="5F49BA0B" w14:textId="77777777" w:rsidR="00196549" w:rsidRPr="00445472" w:rsidRDefault="00196549" w:rsidP="00196549">
            <w:pPr>
              <w:pStyle w:val="TABELA"/>
              <w:rPr>
                <w:lang w:val="sq-AL"/>
              </w:rPr>
            </w:pPr>
            <w:r w:rsidRPr="00445472">
              <w:rPr>
                <w:lang w:val="sq-AL"/>
              </w:rPr>
              <w:t>P</w:t>
            </w:r>
          </w:p>
        </w:tc>
        <w:tc>
          <w:tcPr>
            <w:tcW w:w="4061" w:type="pct"/>
          </w:tcPr>
          <w:p w14:paraId="2A730E77" w14:textId="77777777" w:rsidR="00196549" w:rsidRPr="00445472" w:rsidRDefault="00196549" w:rsidP="00196549">
            <w:pPr>
              <w:pStyle w:val="TABELA"/>
              <w:rPr>
                <w:lang w:val="sq-AL"/>
              </w:rPr>
            </w:pPr>
            <w:r w:rsidRPr="00445472">
              <w:rPr>
                <w:lang w:val="sq-AL"/>
              </w:rPr>
              <w:t>Fosfat</w:t>
            </w:r>
          </w:p>
        </w:tc>
      </w:tr>
      <w:tr w:rsidR="00A977E4" w:rsidRPr="00445472" w14:paraId="1FED1CCE" w14:textId="77777777" w:rsidTr="00196549">
        <w:trPr>
          <w:trHeight w:val="200"/>
          <w:jc w:val="center"/>
        </w:trPr>
        <w:tc>
          <w:tcPr>
            <w:tcW w:w="939" w:type="pct"/>
            <w:gridSpan w:val="2"/>
          </w:tcPr>
          <w:p w14:paraId="38A1EED1" w14:textId="77777777" w:rsidR="00196549" w:rsidRPr="00445472" w:rsidRDefault="00196549" w:rsidP="00196549">
            <w:pPr>
              <w:pStyle w:val="TABELA"/>
              <w:rPr>
                <w:lang w:val="sq-AL"/>
              </w:rPr>
            </w:pPr>
            <w:r w:rsidRPr="00445472">
              <w:rPr>
                <w:lang w:val="sq-AL"/>
              </w:rPr>
              <w:t>ZM</w:t>
            </w:r>
          </w:p>
        </w:tc>
        <w:tc>
          <w:tcPr>
            <w:tcW w:w="4061" w:type="pct"/>
          </w:tcPr>
          <w:p w14:paraId="3753ABA8" w14:textId="77777777" w:rsidR="00196549" w:rsidRPr="00445472" w:rsidRDefault="00196549" w:rsidP="00196549">
            <w:pPr>
              <w:pStyle w:val="TABELA"/>
              <w:rPr>
                <w:lang w:val="sq-AL"/>
              </w:rPr>
            </w:pPr>
            <w:r w:rsidRPr="00445472">
              <w:rPr>
                <w:lang w:val="sq-AL"/>
              </w:rPr>
              <w:t>Zonë e Mbrojtur</w:t>
            </w:r>
          </w:p>
        </w:tc>
      </w:tr>
      <w:tr w:rsidR="00A977E4" w:rsidRPr="00445472" w14:paraId="5720486B" w14:textId="77777777" w:rsidTr="00196549">
        <w:trPr>
          <w:trHeight w:val="200"/>
          <w:jc w:val="center"/>
        </w:trPr>
        <w:tc>
          <w:tcPr>
            <w:tcW w:w="939" w:type="pct"/>
            <w:gridSpan w:val="2"/>
          </w:tcPr>
          <w:p w14:paraId="6676DD54" w14:textId="77777777" w:rsidR="00196549" w:rsidRPr="00445472" w:rsidRDefault="00196549" w:rsidP="00196549">
            <w:pPr>
              <w:pStyle w:val="TABELA"/>
              <w:rPr>
                <w:lang w:val="sq-AL"/>
              </w:rPr>
            </w:pPr>
            <w:r w:rsidRPr="00445472">
              <w:rPr>
                <w:lang w:val="sq-AL"/>
              </w:rPr>
              <w:t>Pb</w:t>
            </w:r>
          </w:p>
        </w:tc>
        <w:tc>
          <w:tcPr>
            <w:tcW w:w="4061" w:type="pct"/>
          </w:tcPr>
          <w:p w14:paraId="7915DF31" w14:textId="77777777" w:rsidR="00196549" w:rsidRPr="00445472" w:rsidRDefault="00196549" w:rsidP="00196549">
            <w:pPr>
              <w:pStyle w:val="TABELA"/>
              <w:rPr>
                <w:lang w:val="sq-AL"/>
              </w:rPr>
            </w:pPr>
            <w:r w:rsidRPr="00445472">
              <w:rPr>
                <w:lang w:val="sq-AL"/>
              </w:rPr>
              <w:t>Plumb</w:t>
            </w:r>
          </w:p>
        </w:tc>
      </w:tr>
      <w:tr w:rsidR="00A977E4" w:rsidRPr="00445472" w14:paraId="1B13823A" w14:textId="77777777" w:rsidTr="00196549">
        <w:trPr>
          <w:trHeight w:val="200"/>
          <w:jc w:val="center"/>
        </w:trPr>
        <w:tc>
          <w:tcPr>
            <w:tcW w:w="939" w:type="pct"/>
            <w:gridSpan w:val="2"/>
          </w:tcPr>
          <w:p w14:paraId="0C872730" w14:textId="77777777" w:rsidR="00196549" w:rsidRPr="00445472" w:rsidRDefault="00196549" w:rsidP="00196549">
            <w:pPr>
              <w:pStyle w:val="TABELA"/>
              <w:rPr>
                <w:lang w:val="sq-AL"/>
              </w:rPr>
            </w:pPr>
            <w:r w:rsidRPr="00445472">
              <w:rPr>
                <w:lang w:val="sq-AL"/>
              </w:rPr>
              <w:t>ETM</w:t>
            </w:r>
          </w:p>
        </w:tc>
        <w:tc>
          <w:tcPr>
            <w:tcW w:w="4061" w:type="pct"/>
          </w:tcPr>
          <w:p w14:paraId="37F708A5" w14:textId="77777777" w:rsidR="00196549" w:rsidRPr="00445472" w:rsidRDefault="00196549" w:rsidP="00196549">
            <w:pPr>
              <w:pStyle w:val="TABELA"/>
              <w:rPr>
                <w:lang w:val="sq-AL"/>
              </w:rPr>
            </w:pPr>
            <w:r w:rsidRPr="00445472">
              <w:rPr>
                <w:lang w:val="sq-AL"/>
              </w:rPr>
              <w:t>Evapotranspiracioni i mundshëm</w:t>
            </w:r>
          </w:p>
        </w:tc>
      </w:tr>
      <w:tr w:rsidR="00A977E4" w:rsidRPr="00445472" w14:paraId="17BDD7F2" w14:textId="77777777" w:rsidTr="00196549">
        <w:trPr>
          <w:trHeight w:val="200"/>
          <w:jc w:val="center"/>
        </w:trPr>
        <w:tc>
          <w:tcPr>
            <w:tcW w:w="939" w:type="pct"/>
            <w:gridSpan w:val="2"/>
          </w:tcPr>
          <w:p w14:paraId="5677AE34" w14:textId="77777777" w:rsidR="00196549" w:rsidRPr="00445472" w:rsidRDefault="00196549" w:rsidP="00196549">
            <w:pPr>
              <w:pStyle w:val="TABELA"/>
              <w:rPr>
                <w:sz w:val="12"/>
                <w:lang w:val="sq-AL"/>
              </w:rPr>
            </w:pPr>
            <w:r w:rsidRPr="00445472">
              <w:rPr>
                <w:lang w:val="sq-AL"/>
              </w:rPr>
              <w:t>PO</w:t>
            </w:r>
            <w:r w:rsidRPr="00445472">
              <w:rPr>
                <w:sz w:val="12"/>
                <w:lang w:val="sq-AL"/>
              </w:rPr>
              <w:t>4</w:t>
            </w:r>
          </w:p>
        </w:tc>
        <w:tc>
          <w:tcPr>
            <w:tcW w:w="4061" w:type="pct"/>
          </w:tcPr>
          <w:p w14:paraId="4862F780" w14:textId="77777777" w:rsidR="00196549" w:rsidRPr="00445472" w:rsidRDefault="00196549" w:rsidP="00196549">
            <w:pPr>
              <w:pStyle w:val="TABELA"/>
              <w:rPr>
                <w:lang w:val="sq-AL"/>
              </w:rPr>
            </w:pPr>
            <w:r w:rsidRPr="00445472">
              <w:rPr>
                <w:lang w:val="sq-AL"/>
              </w:rPr>
              <w:t>Ortofosfat</w:t>
            </w:r>
          </w:p>
        </w:tc>
      </w:tr>
      <w:tr w:rsidR="00A977E4" w:rsidRPr="00445472" w14:paraId="2D2D2C10" w14:textId="77777777" w:rsidTr="00196549">
        <w:trPr>
          <w:trHeight w:val="200"/>
          <w:jc w:val="center"/>
        </w:trPr>
        <w:tc>
          <w:tcPr>
            <w:tcW w:w="939" w:type="pct"/>
            <w:gridSpan w:val="2"/>
          </w:tcPr>
          <w:p w14:paraId="69122EB6" w14:textId="77777777" w:rsidR="00196549" w:rsidRPr="00445472" w:rsidRDefault="00196549" w:rsidP="00196549">
            <w:pPr>
              <w:pStyle w:val="TABELA"/>
              <w:rPr>
                <w:lang w:val="sq-AL"/>
              </w:rPr>
            </w:pPr>
            <w:r w:rsidRPr="00445472">
              <w:rPr>
                <w:lang w:val="sq-AL"/>
              </w:rPr>
              <w:t>PPP</w:t>
            </w:r>
          </w:p>
        </w:tc>
        <w:tc>
          <w:tcPr>
            <w:tcW w:w="4061" w:type="pct"/>
          </w:tcPr>
          <w:p w14:paraId="7996E71D" w14:textId="77777777" w:rsidR="00196549" w:rsidRPr="00445472" w:rsidRDefault="00196549" w:rsidP="00196549">
            <w:pPr>
              <w:pStyle w:val="TABELA"/>
              <w:rPr>
                <w:lang w:val="sq-AL"/>
              </w:rPr>
            </w:pPr>
            <w:r w:rsidRPr="00445472">
              <w:rPr>
                <w:lang w:val="sq-AL"/>
              </w:rPr>
              <w:t>Partneriteti Publik Privat</w:t>
            </w:r>
          </w:p>
        </w:tc>
      </w:tr>
      <w:tr w:rsidR="00A977E4" w:rsidRPr="00445472" w14:paraId="21D5A01C" w14:textId="77777777" w:rsidTr="00196549">
        <w:trPr>
          <w:trHeight w:val="200"/>
          <w:jc w:val="center"/>
        </w:trPr>
        <w:tc>
          <w:tcPr>
            <w:tcW w:w="939" w:type="pct"/>
            <w:gridSpan w:val="2"/>
          </w:tcPr>
          <w:p w14:paraId="39002446" w14:textId="77777777" w:rsidR="00196549" w:rsidRPr="00445472" w:rsidRDefault="00196549" w:rsidP="00196549">
            <w:pPr>
              <w:pStyle w:val="TABELA"/>
              <w:rPr>
                <w:lang w:val="sq-AL"/>
              </w:rPr>
            </w:pPr>
            <w:r w:rsidRPr="00445472">
              <w:rPr>
                <w:lang w:val="sq-AL"/>
              </w:rPr>
              <w:t>SP</w:t>
            </w:r>
          </w:p>
        </w:tc>
        <w:tc>
          <w:tcPr>
            <w:tcW w:w="4061" w:type="pct"/>
          </w:tcPr>
          <w:p w14:paraId="557C6FB0" w14:textId="77777777" w:rsidR="00196549" w:rsidRPr="00445472" w:rsidRDefault="00196549" w:rsidP="00196549">
            <w:pPr>
              <w:pStyle w:val="TABELA"/>
              <w:rPr>
                <w:lang w:val="sq-AL"/>
              </w:rPr>
            </w:pPr>
            <w:r w:rsidRPr="00445472">
              <w:rPr>
                <w:lang w:val="sq-AL"/>
              </w:rPr>
              <w:t>Stacioni i Pompimit</w:t>
            </w:r>
          </w:p>
        </w:tc>
      </w:tr>
      <w:tr w:rsidR="00A977E4" w:rsidRPr="00445472" w14:paraId="044247CE" w14:textId="77777777" w:rsidTr="00196549">
        <w:trPr>
          <w:trHeight w:val="200"/>
          <w:jc w:val="center"/>
        </w:trPr>
        <w:tc>
          <w:tcPr>
            <w:tcW w:w="939" w:type="pct"/>
            <w:gridSpan w:val="2"/>
          </w:tcPr>
          <w:p w14:paraId="1B6C1E9A" w14:textId="77777777" w:rsidR="00196549" w:rsidRPr="00445472" w:rsidRDefault="00196549" w:rsidP="00196549">
            <w:pPr>
              <w:pStyle w:val="TABELA"/>
              <w:rPr>
                <w:lang w:val="sq-AL"/>
              </w:rPr>
            </w:pPr>
            <w:r w:rsidRPr="00445472">
              <w:rPr>
                <w:lang w:val="sq-AL"/>
              </w:rPr>
              <w:t>R</w:t>
            </w:r>
          </w:p>
        </w:tc>
        <w:tc>
          <w:tcPr>
            <w:tcW w:w="4061" w:type="pct"/>
          </w:tcPr>
          <w:p w14:paraId="1DDEB7EA" w14:textId="77777777" w:rsidR="00196549" w:rsidRPr="00445472" w:rsidRDefault="00196549" w:rsidP="00196549">
            <w:pPr>
              <w:pStyle w:val="TABELA"/>
              <w:rPr>
                <w:lang w:val="sq-AL"/>
              </w:rPr>
            </w:pPr>
            <w:r w:rsidRPr="00445472">
              <w:rPr>
                <w:lang w:val="sq-AL"/>
              </w:rPr>
              <w:t>Rural</w:t>
            </w:r>
          </w:p>
        </w:tc>
      </w:tr>
      <w:tr w:rsidR="00A977E4" w:rsidRPr="00445472" w14:paraId="3E5C1F88" w14:textId="77777777" w:rsidTr="00196549">
        <w:trPr>
          <w:trHeight w:val="200"/>
          <w:jc w:val="center"/>
        </w:trPr>
        <w:tc>
          <w:tcPr>
            <w:tcW w:w="939" w:type="pct"/>
            <w:gridSpan w:val="2"/>
          </w:tcPr>
          <w:p w14:paraId="7DC95B5C" w14:textId="77777777" w:rsidR="00196549" w:rsidRPr="00445472" w:rsidRDefault="00196549" w:rsidP="00196549">
            <w:pPr>
              <w:pStyle w:val="TABELA"/>
              <w:rPr>
                <w:w w:val="99"/>
                <w:lang w:val="sq-AL"/>
              </w:rPr>
            </w:pPr>
            <w:r w:rsidRPr="00445472">
              <w:rPr>
                <w:lang w:val="sq-AL"/>
              </w:rPr>
              <w:t>BU</w:t>
            </w:r>
          </w:p>
        </w:tc>
        <w:tc>
          <w:tcPr>
            <w:tcW w:w="4061" w:type="pct"/>
          </w:tcPr>
          <w:p w14:paraId="30C2DB19" w14:textId="77777777" w:rsidR="00196549" w:rsidRPr="00445472" w:rsidRDefault="00196549" w:rsidP="00196549">
            <w:pPr>
              <w:pStyle w:val="TABELA"/>
              <w:rPr>
                <w:lang w:val="sq-AL"/>
              </w:rPr>
            </w:pPr>
            <w:r w:rsidRPr="00445472">
              <w:rPr>
                <w:lang w:val="sq-AL"/>
              </w:rPr>
              <w:t>Basen Ujor</w:t>
            </w:r>
          </w:p>
        </w:tc>
      </w:tr>
      <w:tr w:rsidR="00A977E4" w:rsidRPr="00445472" w14:paraId="134B4C94" w14:textId="77777777" w:rsidTr="00196549">
        <w:trPr>
          <w:trHeight w:val="200"/>
          <w:jc w:val="center"/>
        </w:trPr>
        <w:tc>
          <w:tcPr>
            <w:tcW w:w="939" w:type="pct"/>
            <w:gridSpan w:val="2"/>
          </w:tcPr>
          <w:p w14:paraId="6F3268E3" w14:textId="77777777" w:rsidR="00196549" w:rsidRPr="00445472" w:rsidRDefault="00196549" w:rsidP="00196549">
            <w:pPr>
              <w:pStyle w:val="TABELA"/>
              <w:rPr>
                <w:lang w:val="sq-AL"/>
              </w:rPr>
            </w:pPr>
            <w:r w:rsidRPr="00445472">
              <w:rPr>
                <w:lang w:val="sq-AL"/>
              </w:rPr>
              <w:t>RRBU</w:t>
            </w:r>
          </w:p>
        </w:tc>
        <w:tc>
          <w:tcPr>
            <w:tcW w:w="4061" w:type="pct"/>
          </w:tcPr>
          <w:p w14:paraId="7BEECD6A" w14:textId="77777777" w:rsidR="00196549" w:rsidRPr="00445472" w:rsidRDefault="00196549" w:rsidP="00196549">
            <w:pPr>
              <w:pStyle w:val="TABELA"/>
              <w:rPr>
                <w:lang w:val="sq-AL"/>
              </w:rPr>
            </w:pPr>
            <w:r w:rsidRPr="00445472">
              <w:rPr>
                <w:lang w:val="sq-AL"/>
              </w:rPr>
              <w:t>Rrethi i Basenit Ujor</w:t>
            </w:r>
          </w:p>
        </w:tc>
      </w:tr>
      <w:tr w:rsidR="00A977E4" w:rsidRPr="00445472" w14:paraId="095D5717" w14:textId="77777777" w:rsidTr="00196549">
        <w:trPr>
          <w:trHeight w:val="200"/>
          <w:jc w:val="center"/>
        </w:trPr>
        <w:tc>
          <w:tcPr>
            <w:tcW w:w="939" w:type="pct"/>
            <w:gridSpan w:val="2"/>
          </w:tcPr>
          <w:p w14:paraId="4AC580FD" w14:textId="77777777" w:rsidR="00196549" w:rsidRPr="00445472" w:rsidRDefault="00196549" w:rsidP="00196549">
            <w:pPr>
              <w:pStyle w:val="TABELA"/>
              <w:rPr>
                <w:lang w:val="sq-AL"/>
              </w:rPr>
            </w:pPr>
            <w:r w:rsidRPr="00445472">
              <w:rPr>
                <w:lang w:val="sq-AL"/>
              </w:rPr>
              <w:t>ZABU</w:t>
            </w:r>
          </w:p>
        </w:tc>
        <w:tc>
          <w:tcPr>
            <w:tcW w:w="4061" w:type="pct"/>
          </w:tcPr>
          <w:p w14:paraId="15F23EBB" w14:textId="77777777" w:rsidR="00196549" w:rsidRPr="00445472" w:rsidRDefault="00196549" w:rsidP="00196549">
            <w:pPr>
              <w:pStyle w:val="TABELA"/>
              <w:rPr>
                <w:lang w:val="sq-AL"/>
              </w:rPr>
            </w:pPr>
            <w:r w:rsidRPr="00445472">
              <w:rPr>
                <w:lang w:val="sq-AL"/>
              </w:rPr>
              <w:t>Zyra e Administrimit të Basenit Ujor</w:t>
            </w:r>
          </w:p>
        </w:tc>
      </w:tr>
      <w:tr w:rsidR="00A977E4" w:rsidRPr="00445472" w14:paraId="204780BA" w14:textId="77777777" w:rsidTr="00196549">
        <w:trPr>
          <w:trHeight w:val="220"/>
          <w:jc w:val="center"/>
        </w:trPr>
        <w:tc>
          <w:tcPr>
            <w:tcW w:w="939" w:type="pct"/>
            <w:gridSpan w:val="2"/>
          </w:tcPr>
          <w:p w14:paraId="5CE2C7F3" w14:textId="2A142F42" w:rsidR="00196549" w:rsidRPr="00445472" w:rsidRDefault="00316F21" w:rsidP="00196549">
            <w:pPr>
              <w:pStyle w:val="TABELA"/>
              <w:rPr>
                <w:b/>
                <w:lang w:val="sq-AL"/>
              </w:rPr>
            </w:pPr>
            <w:r>
              <w:rPr>
                <w:lang w:val="sq-AL"/>
              </w:rPr>
              <w:t>VSHB</w:t>
            </w:r>
          </w:p>
        </w:tc>
        <w:tc>
          <w:tcPr>
            <w:tcW w:w="4061" w:type="pct"/>
          </w:tcPr>
          <w:p w14:paraId="031D90C5" w14:textId="77777777" w:rsidR="00196549" w:rsidRPr="00445472" w:rsidRDefault="00196549" w:rsidP="00196549">
            <w:pPr>
              <w:pStyle w:val="TABELA"/>
              <w:rPr>
                <w:lang w:val="sq-AL"/>
              </w:rPr>
            </w:pPr>
            <w:r w:rsidRPr="00445472">
              <w:rPr>
                <w:lang w:val="sq-AL"/>
              </w:rPr>
              <w:t>Vlerësimi i Shpejtë Biologjik</w:t>
            </w:r>
          </w:p>
        </w:tc>
      </w:tr>
      <w:tr w:rsidR="00A977E4" w:rsidRPr="00445472" w14:paraId="681032AD" w14:textId="77777777" w:rsidTr="00196549">
        <w:trPr>
          <w:trHeight w:val="200"/>
          <w:jc w:val="center"/>
        </w:trPr>
        <w:tc>
          <w:tcPr>
            <w:tcW w:w="939" w:type="pct"/>
            <w:gridSpan w:val="2"/>
          </w:tcPr>
          <w:p w14:paraId="72222B06" w14:textId="77777777" w:rsidR="00196549" w:rsidRPr="00445472" w:rsidRDefault="00196549" w:rsidP="00196549">
            <w:pPr>
              <w:pStyle w:val="TABELA"/>
              <w:rPr>
                <w:lang w:val="sq-AL"/>
              </w:rPr>
            </w:pPr>
            <w:r w:rsidRPr="00445472">
              <w:rPr>
                <w:lang w:val="sq-AL"/>
              </w:rPr>
              <w:t>KBU</w:t>
            </w:r>
          </w:p>
        </w:tc>
        <w:tc>
          <w:tcPr>
            <w:tcW w:w="4061" w:type="pct"/>
          </w:tcPr>
          <w:p w14:paraId="23D972A7" w14:textId="77777777" w:rsidR="00196549" w:rsidRPr="00445472" w:rsidRDefault="00196549" w:rsidP="00196549">
            <w:pPr>
              <w:pStyle w:val="TABELA"/>
              <w:rPr>
                <w:lang w:val="sq-AL"/>
              </w:rPr>
            </w:pPr>
            <w:r w:rsidRPr="00445472">
              <w:rPr>
                <w:lang w:val="sq-AL"/>
              </w:rPr>
              <w:t>Këshilli i Baseneve Ujore</w:t>
            </w:r>
          </w:p>
        </w:tc>
      </w:tr>
      <w:tr w:rsidR="00A977E4" w:rsidRPr="00445472" w14:paraId="010E9FAA" w14:textId="77777777" w:rsidTr="00196549">
        <w:trPr>
          <w:trHeight w:val="200"/>
          <w:jc w:val="center"/>
        </w:trPr>
        <w:tc>
          <w:tcPr>
            <w:tcW w:w="939" w:type="pct"/>
            <w:gridSpan w:val="2"/>
          </w:tcPr>
          <w:p w14:paraId="50751806" w14:textId="77777777" w:rsidR="00196549" w:rsidRPr="00445472" w:rsidRDefault="00196549" w:rsidP="00196549">
            <w:pPr>
              <w:pStyle w:val="TABELA"/>
              <w:rPr>
                <w:lang w:val="sq-AL"/>
              </w:rPr>
            </w:pPr>
            <w:r w:rsidRPr="00445472">
              <w:rPr>
                <w:lang w:val="sq-AL"/>
              </w:rPr>
              <w:t>MBU</w:t>
            </w:r>
          </w:p>
        </w:tc>
        <w:tc>
          <w:tcPr>
            <w:tcW w:w="4061" w:type="pct"/>
          </w:tcPr>
          <w:p w14:paraId="37277DB7" w14:textId="77777777" w:rsidR="00196549" w:rsidRPr="00445472" w:rsidRDefault="00196549" w:rsidP="00196549">
            <w:pPr>
              <w:pStyle w:val="TABELA"/>
              <w:rPr>
                <w:lang w:val="sq-AL"/>
              </w:rPr>
            </w:pPr>
            <w:r w:rsidRPr="00445472">
              <w:rPr>
                <w:lang w:val="sq-AL"/>
              </w:rPr>
              <w:t>Menaxhimi i Basenit Ujor</w:t>
            </w:r>
          </w:p>
        </w:tc>
      </w:tr>
      <w:tr w:rsidR="00A977E4" w:rsidRPr="00445472" w14:paraId="7BB74952" w14:textId="77777777" w:rsidTr="00196549">
        <w:trPr>
          <w:trHeight w:val="200"/>
          <w:jc w:val="center"/>
        </w:trPr>
        <w:tc>
          <w:tcPr>
            <w:tcW w:w="939" w:type="pct"/>
            <w:gridSpan w:val="2"/>
          </w:tcPr>
          <w:p w14:paraId="290FE97E" w14:textId="77777777" w:rsidR="00196549" w:rsidRPr="00445472" w:rsidRDefault="00196549" w:rsidP="00196549">
            <w:pPr>
              <w:pStyle w:val="TABELA"/>
              <w:rPr>
                <w:lang w:val="sq-AL"/>
              </w:rPr>
            </w:pPr>
            <w:r w:rsidRPr="00445472">
              <w:rPr>
                <w:lang w:val="sq-AL"/>
              </w:rPr>
              <w:t>PMBU</w:t>
            </w:r>
          </w:p>
        </w:tc>
        <w:tc>
          <w:tcPr>
            <w:tcW w:w="4061" w:type="pct"/>
          </w:tcPr>
          <w:p w14:paraId="627D4B1C" w14:textId="77777777" w:rsidR="00196549" w:rsidRPr="00445472" w:rsidRDefault="00196549" w:rsidP="00196549">
            <w:pPr>
              <w:pStyle w:val="TABELA"/>
              <w:rPr>
                <w:lang w:val="sq-AL"/>
              </w:rPr>
            </w:pPr>
            <w:r w:rsidRPr="00445472">
              <w:rPr>
                <w:lang w:val="sq-AL"/>
              </w:rPr>
              <w:t>Plani i Menaxhimit të Basenit Ujor</w:t>
            </w:r>
          </w:p>
        </w:tc>
      </w:tr>
      <w:tr w:rsidR="00A977E4" w:rsidRPr="00445472" w14:paraId="17C8F2C9" w14:textId="77777777" w:rsidTr="00196549">
        <w:trPr>
          <w:trHeight w:val="200"/>
          <w:jc w:val="center"/>
        </w:trPr>
        <w:tc>
          <w:tcPr>
            <w:tcW w:w="939" w:type="pct"/>
            <w:gridSpan w:val="2"/>
          </w:tcPr>
          <w:p w14:paraId="4184D6B6" w14:textId="77777777" w:rsidR="00196549" w:rsidRPr="00445472" w:rsidRDefault="00196549" w:rsidP="00196549">
            <w:pPr>
              <w:pStyle w:val="TABELA"/>
              <w:rPr>
                <w:lang w:val="sq-AL"/>
              </w:rPr>
            </w:pPr>
            <w:r w:rsidRPr="00445472">
              <w:rPr>
                <w:lang w:val="sq-AL"/>
              </w:rPr>
              <w:t>SEK</w:t>
            </w:r>
          </w:p>
        </w:tc>
        <w:tc>
          <w:tcPr>
            <w:tcW w:w="4061" w:type="pct"/>
          </w:tcPr>
          <w:p w14:paraId="202DCAC7" w14:textId="77777777" w:rsidR="00196549" w:rsidRPr="00445472" w:rsidRDefault="00196549" w:rsidP="00196549">
            <w:pPr>
              <w:pStyle w:val="TABELA"/>
              <w:rPr>
                <w:lang w:val="sq-AL"/>
              </w:rPr>
            </w:pPr>
            <w:r w:rsidRPr="00445472">
              <w:rPr>
                <w:lang w:val="sq-AL"/>
              </w:rPr>
              <w:t>Seksioni</w:t>
            </w:r>
          </w:p>
        </w:tc>
      </w:tr>
      <w:tr w:rsidR="00A977E4" w:rsidRPr="00445472" w14:paraId="6A5CB841" w14:textId="77777777" w:rsidTr="00196549">
        <w:trPr>
          <w:trHeight w:val="200"/>
          <w:jc w:val="center"/>
        </w:trPr>
        <w:tc>
          <w:tcPr>
            <w:tcW w:w="939" w:type="pct"/>
            <w:gridSpan w:val="2"/>
          </w:tcPr>
          <w:p w14:paraId="1316CF3B" w14:textId="77777777" w:rsidR="00196549" w:rsidRPr="00445472" w:rsidRDefault="00196549" w:rsidP="00196549">
            <w:pPr>
              <w:pStyle w:val="TABELA"/>
              <w:rPr>
                <w:lang w:val="sq-AL"/>
              </w:rPr>
            </w:pPr>
            <w:r w:rsidRPr="00445472">
              <w:rPr>
                <w:lang w:val="sq-AL"/>
              </w:rPr>
              <w:t>SHPP</w:t>
            </w:r>
          </w:p>
        </w:tc>
        <w:tc>
          <w:tcPr>
            <w:tcW w:w="4061" w:type="pct"/>
          </w:tcPr>
          <w:p w14:paraId="6D18C57A" w14:textId="77777777" w:rsidR="00196549" w:rsidRPr="00445472" w:rsidRDefault="00196549" w:rsidP="00196549">
            <w:pPr>
              <w:pStyle w:val="TABELA"/>
              <w:rPr>
                <w:lang w:val="sq-AL"/>
              </w:rPr>
            </w:pPr>
            <w:r w:rsidRPr="00445472">
              <w:rPr>
                <w:lang w:val="sq-AL"/>
              </w:rPr>
              <w:t>Hidrocentralet e Vegjël</w:t>
            </w:r>
          </w:p>
        </w:tc>
      </w:tr>
      <w:tr w:rsidR="00A977E4" w:rsidRPr="00445472" w14:paraId="3B4B7B15" w14:textId="77777777" w:rsidTr="00196549">
        <w:trPr>
          <w:trHeight w:val="200"/>
          <w:jc w:val="center"/>
        </w:trPr>
        <w:tc>
          <w:tcPr>
            <w:tcW w:w="939" w:type="pct"/>
            <w:gridSpan w:val="2"/>
          </w:tcPr>
          <w:p w14:paraId="021574DA" w14:textId="77777777" w:rsidR="00196549" w:rsidRPr="00445472" w:rsidRDefault="00196549" w:rsidP="00196549">
            <w:pPr>
              <w:pStyle w:val="TABELA"/>
              <w:rPr>
                <w:lang w:val="sq-AL"/>
              </w:rPr>
            </w:pPr>
            <w:r w:rsidRPr="00445472">
              <w:rPr>
                <w:lang w:val="sq-AL"/>
              </w:rPr>
              <w:t>Sida</w:t>
            </w:r>
          </w:p>
        </w:tc>
        <w:tc>
          <w:tcPr>
            <w:tcW w:w="4061" w:type="pct"/>
          </w:tcPr>
          <w:p w14:paraId="0C307D81" w14:textId="670610A6" w:rsidR="00196549" w:rsidRPr="00445472" w:rsidRDefault="00D62EDF" w:rsidP="00196549">
            <w:pPr>
              <w:pStyle w:val="TABELA"/>
              <w:rPr>
                <w:lang w:val="sq-AL"/>
              </w:rPr>
            </w:pPr>
            <w:r w:rsidRPr="00445472">
              <w:rPr>
                <w:lang w:val="sq-AL"/>
              </w:rPr>
              <w:t>Agjencia</w:t>
            </w:r>
            <w:r w:rsidR="00196549" w:rsidRPr="00445472">
              <w:rPr>
                <w:lang w:val="sq-AL"/>
              </w:rPr>
              <w:t xml:space="preserve"> Ndërkombëtare Suedeze për Zhvillim dhe Bashkëpunim</w:t>
            </w:r>
          </w:p>
        </w:tc>
      </w:tr>
      <w:tr w:rsidR="00A977E4" w:rsidRPr="00445472" w14:paraId="4B4F3FE8" w14:textId="77777777" w:rsidTr="00196549">
        <w:trPr>
          <w:trHeight w:val="200"/>
          <w:jc w:val="center"/>
        </w:trPr>
        <w:tc>
          <w:tcPr>
            <w:tcW w:w="939" w:type="pct"/>
            <w:gridSpan w:val="2"/>
          </w:tcPr>
          <w:p w14:paraId="59BDAE75" w14:textId="77777777" w:rsidR="00196549" w:rsidRPr="00445472" w:rsidRDefault="00196549" w:rsidP="00196549">
            <w:pPr>
              <w:pStyle w:val="TABELA"/>
              <w:rPr>
                <w:lang w:val="sq-AL"/>
              </w:rPr>
            </w:pPr>
            <w:r w:rsidRPr="00445472">
              <w:rPr>
                <w:lang w:val="sq-AL"/>
              </w:rPr>
              <w:t>SKBGJ</w:t>
            </w:r>
          </w:p>
        </w:tc>
        <w:tc>
          <w:tcPr>
            <w:tcW w:w="4061" w:type="pct"/>
          </w:tcPr>
          <w:p w14:paraId="5CDAA741" w14:textId="77777777" w:rsidR="00196549" w:rsidRPr="00445472" w:rsidRDefault="00196549" w:rsidP="00196549">
            <w:pPr>
              <w:pStyle w:val="TABELA"/>
              <w:rPr>
                <w:lang w:val="sq-AL"/>
              </w:rPr>
            </w:pPr>
            <w:r w:rsidRPr="00445472">
              <w:rPr>
                <w:lang w:val="sq-AL"/>
              </w:rPr>
              <w:t>Strategjia Kombëtare për Barazinë Gjinore</w:t>
            </w:r>
          </w:p>
        </w:tc>
      </w:tr>
      <w:tr w:rsidR="00A977E4" w:rsidRPr="00445472" w14:paraId="001D80FA" w14:textId="77777777" w:rsidTr="00196549">
        <w:trPr>
          <w:trHeight w:val="200"/>
          <w:jc w:val="center"/>
        </w:trPr>
        <w:tc>
          <w:tcPr>
            <w:tcW w:w="939" w:type="pct"/>
            <w:gridSpan w:val="2"/>
          </w:tcPr>
          <w:p w14:paraId="3A537236" w14:textId="77777777" w:rsidR="00196549" w:rsidRPr="00445472" w:rsidRDefault="00196549" w:rsidP="00196549">
            <w:pPr>
              <w:pStyle w:val="TABELA"/>
              <w:rPr>
                <w:sz w:val="12"/>
                <w:lang w:val="sq-AL"/>
              </w:rPr>
            </w:pPr>
            <w:r w:rsidRPr="00445472">
              <w:rPr>
                <w:lang w:val="sq-AL"/>
              </w:rPr>
              <w:t>SO</w:t>
            </w:r>
            <w:r w:rsidRPr="00445472">
              <w:rPr>
                <w:sz w:val="12"/>
                <w:lang w:val="sq-AL"/>
              </w:rPr>
              <w:t>4</w:t>
            </w:r>
          </w:p>
        </w:tc>
        <w:tc>
          <w:tcPr>
            <w:tcW w:w="4061" w:type="pct"/>
          </w:tcPr>
          <w:p w14:paraId="2E514DAC" w14:textId="77777777" w:rsidR="00196549" w:rsidRPr="00445472" w:rsidRDefault="00196549" w:rsidP="00196549">
            <w:pPr>
              <w:pStyle w:val="TABELA"/>
              <w:rPr>
                <w:lang w:val="sq-AL"/>
              </w:rPr>
            </w:pPr>
            <w:r w:rsidRPr="00445472">
              <w:rPr>
                <w:lang w:val="sq-AL"/>
              </w:rPr>
              <w:t>Sulfat</w:t>
            </w:r>
          </w:p>
        </w:tc>
      </w:tr>
      <w:tr w:rsidR="00A977E4" w:rsidRPr="00445472" w14:paraId="0A114EB4" w14:textId="77777777" w:rsidTr="00196549">
        <w:trPr>
          <w:trHeight w:val="200"/>
          <w:jc w:val="center"/>
        </w:trPr>
        <w:tc>
          <w:tcPr>
            <w:tcW w:w="939" w:type="pct"/>
            <w:gridSpan w:val="2"/>
          </w:tcPr>
          <w:p w14:paraId="06E9A0DC" w14:textId="77777777" w:rsidR="00196549" w:rsidRPr="00445472" w:rsidRDefault="00196549" w:rsidP="00196549">
            <w:pPr>
              <w:pStyle w:val="TABELA"/>
              <w:rPr>
                <w:lang w:val="sq-AL"/>
              </w:rPr>
            </w:pPr>
            <w:r w:rsidRPr="00445472">
              <w:rPr>
                <w:lang w:val="sq-AL"/>
              </w:rPr>
              <w:t>RAT</w:t>
            </w:r>
          </w:p>
        </w:tc>
        <w:tc>
          <w:tcPr>
            <w:tcW w:w="4061" w:type="pct"/>
          </w:tcPr>
          <w:p w14:paraId="4BCCC794" w14:textId="77777777" w:rsidR="00196549" w:rsidRPr="00445472" w:rsidRDefault="00196549" w:rsidP="00196549">
            <w:pPr>
              <w:pStyle w:val="TABELA"/>
              <w:rPr>
                <w:lang w:val="sq-AL"/>
              </w:rPr>
            </w:pPr>
            <w:r w:rsidRPr="00445472">
              <w:rPr>
                <w:lang w:val="sq-AL"/>
              </w:rPr>
              <w:t>Reforma Administrative Territoriale</w:t>
            </w:r>
          </w:p>
        </w:tc>
      </w:tr>
      <w:tr w:rsidR="00A977E4" w:rsidRPr="00445472" w14:paraId="4589B459" w14:textId="77777777" w:rsidTr="00196549">
        <w:trPr>
          <w:trHeight w:val="200"/>
          <w:jc w:val="center"/>
        </w:trPr>
        <w:tc>
          <w:tcPr>
            <w:tcW w:w="939" w:type="pct"/>
            <w:gridSpan w:val="2"/>
          </w:tcPr>
          <w:p w14:paraId="550500B1" w14:textId="77777777" w:rsidR="00196549" w:rsidRPr="00445472" w:rsidRDefault="00196549" w:rsidP="00196549">
            <w:pPr>
              <w:pStyle w:val="TABELA"/>
              <w:rPr>
                <w:lang w:val="sq-AL"/>
              </w:rPr>
            </w:pPr>
            <w:r w:rsidRPr="00445472">
              <w:rPr>
                <w:lang w:val="sq-AL"/>
              </w:rPr>
              <w:t>TR</w:t>
            </w:r>
          </w:p>
        </w:tc>
        <w:tc>
          <w:tcPr>
            <w:tcW w:w="4061" w:type="pct"/>
          </w:tcPr>
          <w:p w14:paraId="3BF87412" w14:textId="77777777" w:rsidR="00196549" w:rsidRPr="00445472" w:rsidRDefault="00196549" w:rsidP="00196549">
            <w:pPr>
              <w:pStyle w:val="TABELA"/>
              <w:rPr>
                <w:lang w:val="sq-AL"/>
              </w:rPr>
            </w:pPr>
            <w:r w:rsidRPr="00445472">
              <w:rPr>
                <w:lang w:val="sq-AL"/>
              </w:rPr>
              <w:t>Termat e Referencës</w:t>
            </w:r>
          </w:p>
        </w:tc>
      </w:tr>
      <w:tr w:rsidR="00A977E4" w:rsidRPr="00445472" w14:paraId="5E69103D" w14:textId="77777777" w:rsidTr="00196549">
        <w:trPr>
          <w:trHeight w:val="200"/>
          <w:jc w:val="center"/>
        </w:trPr>
        <w:tc>
          <w:tcPr>
            <w:tcW w:w="939" w:type="pct"/>
            <w:gridSpan w:val="2"/>
          </w:tcPr>
          <w:p w14:paraId="4ED8A40E" w14:textId="77777777" w:rsidR="00196549" w:rsidRPr="00445472" w:rsidRDefault="00196549" w:rsidP="00196549">
            <w:pPr>
              <w:pStyle w:val="TABELA"/>
              <w:rPr>
                <w:lang w:val="sq-AL"/>
              </w:rPr>
            </w:pPr>
            <w:r w:rsidRPr="00445472">
              <w:rPr>
                <w:lang w:val="sq-AL"/>
              </w:rPr>
              <w:t>SK</w:t>
            </w:r>
          </w:p>
        </w:tc>
        <w:tc>
          <w:tcPr>
            <w:tcW w:w="4061" w:type="pct"/>
          </w:tcPr>
          <w:p w14:paraId="681A923D" w14:textId="77777777" w:rsidR="00196549" w:rsidRPr="00445472" w:rsidRDefault="00196549" w:rsidP="00196549">
            <w:pPr>
              <w:pStyle w:val="TABELA"/>
              <w:rPr>
                <w:lang w:val="sq-AL"/>
              </w:rPr>
            </w:pPr>
            <w:r w:rsidRPr="00445472">
              <w:rPr>
                <w:lang w:val="sq-AL"/>
              </w:rPr>
              <w:t>Seritë Kohore</w:t>
            </w:r>
          </w:p>
        </w:tc>
      </w:tr>
      <w:tr w:rsidR="00A977E4" w:rsidRPr="00445472" w14:paraId="3F44D9FB" w14:textId="77777777" w:rsidTr="00196549">
        <w:trPr>
          <w:trHeight w:val="200"/>
          <w:jc w:val="center"/>
        </w:trPr>
        <w:tc>
          <w:tcPr>
            <w:tcW w:w="939" w:type="pct"/>
            <w:gridSpan w:val="2"/>
          </w:tcPr>
          <w:p w14:paraId="7FA0EB71" w14:textId="77777777" w:rsidR="00196549" w:rsidRPr="00445472" w:rsidRDefault="00196549" w:rsidP="00196549">
            <w:pPr>
              <w:pStyle w:val="TABELA"/>
              <w:rPr>
                <w:lang w:val="sq-AL"/>
              </w:rPr>
            </w:pPr>
            <w:r w:rsidRPr="00445472">
              <w:rPr>
                <w:lang w:val="sq-AL"/>
              </w:rPr>
              <w:t>UNECE</w:t>
            </w:r>
          </w:p>
        </w:tc>
        <w:tc>
          <w:tcPr>
            <w:tcW w:w="4061" w:type="pct"/>
          </w:tcPr>
          <w:p w14:paraId="5B7554D8" w14:textId="6398A9B3" w:rsidR="00196549" w:rsidRPr="00445472" w:rsidRDefault="00196549" w:rsidP="00D62EDF">
            <w:pPr>
              <w:pStyle w:val="TABELA"/>
              <w:rPr>
                <w:lang w:val="sq-AL"/>
              </w:rPr>
            </w:pPr>
            <w:r w:rsidRPr="00445472">
              <w:rPr>
                <w:lang w:val="sq-AL"/>
              </w:rPr>
              <w:t>Komisioni Ekonomik i Kombeve të Bashkuara për E</w:t>
            </w:r>
            <w:r w:rsidR="00D62EDF" w:rsidRPr="00445472">
              <w:rPr>
                <w:lang w:val="sq-AL"/>
              </w:rPr>
              <w:t>v</w:t>
            </w:r>
            <w:r w:rsidRPr="00445472">
              <w:rPr>
                <w:lang w:val="sq-AL"/>
              </w:rPr>
              <w:t>ropën</w:t>
            </w:r>
          </w:p>
        </w:tc>
      </w:tr>
      <w:tr w:rsidR="00A977E4" w:rsidRPr="00445472" w14:paraId="48CBB170" w14:textId="77777777" w:rsidTr="00196549">
        <w:trPr>
          <w:trHeight w:val="200"/>
          <w:jc w:val="center"/>
        </w:trPr>
        <w:tc>
          <w:tcPr>
            <w:tcW w:w="939" w:type="pct"/>
            <w:gridSpan w:val="2"/>
          </w:tcPr>
          <w:p w14:paraId="4F6B4128" w14:textId="77777777" w:rsidR="00196549" w:rsidRPr="00445472" w:rsidRDefault="00196549" w:rsidP="00196549">
            <w:pPr>
              <w:pStyle w:val="TABELA"/>
              <w:rPr>
                <w:lang w:val="sq-AL"/>
              </w:rPr>
            </w:pPr>
            <w:r w:rsidRPr="00445472">
              <w:rPr>
                <w:lang w:val="sq-AL"/>
              </w:rPr>
              <w:t>UNFCCC</w:t>
            </w:r>
          </w:p>
        </w:tc>
        <w:tc>
          <w:tcPr>
            <w:tcW w:w="4061" w:type="pct"/>
          </w:tcPr>
          <w:p w14:paraId="60AF869A" w14:textId="77777777" w:rsidR="00196549" w:rsidRPr="00445472" w:rsidRDefault="00196549" w:rsidP="00196549">
            <w:pPr>
              <w:pStyle w:val="TABELA"/>
              <w:rPr>
                <w:lang w:val="sq-AL"/>
              </w:rPr>
            </w:pPr>
            <w:r w:rsidRPr="00445472">
              <w:rPr>
                <w:lang w:val="sq-AL"/>
              </w:rPr>
              <w:t>Konventa Kuadër e Kombeve të Bashkuara mbi Ndryshimet Klimatike</w:t>
            </w:r>
          </w:p>
        </w:tc>
      </w:tr>
      <w:tr w:rsidR="00A977E4" w:rsidRPr="00445472" w14:paraId="7D3582F2" w14:textId="77777777" w:rsidTr="00196549">
        <w:trPr>
          <w:trHeight w:val="200"/>
          <w:jc w:val="center"/>
        </w:trPr>
        <w:tc>
          <w:tcPr>
            <w:tcW w:w="939" w:type="pct"/>
            <w:gridSpan w:val="2"/>
          </w:tcPr>
          <w:p w14:paraId="4962FA51" w14:textId="77777777" w:rsidR="00196549" w:rsidRPr="00445472" w:rsidRDefault="00196549" w:rsidP="00196549">
            <w:pPr>
              <w:pStyle w:val="TABELA"/>
              <w:rPr>
                <w:lang w:val="sq-AL"/>
              </w:rPr>
            </w:pPr>
            <w:r w:rsidRPr="00445472">
              <w:rPr>
                <w:lang w:val="sq-AL"/>
              </w:rPr>
              <w:t>TVSH</w:t>
            </w:r>
          </w:p>
          <w:p w14:paraId="7529CD17" w14:textId="77777777" w:rsidR="00196549" w:rsidRPr="00445472" w:rsidRDefault="00196549" w:rsidP="00196549">
            <w:pPr>
              <w:pStyle w:val="TABELA"/>
              <w:rPr>
                <w:lang w:val="sq-AL"/>
              </w:rPr>
            </w:pPr>
            <w:r w:rsidRPr="00445472">
              <w:rPr>
                <w:lang w:val="sq-AL"/>
              </w:rPr>
              <w:t>VTU</w:t>
            </w:r>
          </w:p>
          <w:p w14:paraId="5FADD920" w14:textId="77777777" w:rsidR="00196549" w:rsidRPr="00445472" w:rsidRDefault="00196549" w:rsidP="00196549">
            <w:pPr>
              <w:pStyle w:val="TABELA"/>
              <w:rPr>
                <w:lang w:val="sq-AL"/>
              </w:rPr>
            </w:pPr>
            <w:r w:rsidRPr="00445472">
              <w:rPr>
                <w:lang w:val="sq-AL"/>
              </w:rPr>
              <w:t>TUSHM</w:t>
            </w:r>
          </w:p>
        </w:tc>
        <w:tc>
          <w:tcPr>
            <w:tcW w:w="4061" w:type="pct"/>
          </w:tcPr>
          <w:p w14:paraId="2B6F7E83" w14:textId="77777777" w:rsidR="00196549" w:rsidRPr="00445472" w:rsidRDefault="00196549" w:rsidP="00196549">
            <w:pPr>
              <w:pStyle w:val="TABELA"/>
              <w:rPr>
                <w:lang w:val="sq-AL"/>
              </w:rPr>
            </w:pPr>
            <w:r w:rsidRPr="00445472">
              <w:rPr>
                <w:lang w:val="sq-AL"/>
              </w:rPr>
              <w:t>Taksë mbi vlerën e shtuar</w:t>
            </w:r>
          </w:p>
          <w:p w14:paraId="6F5531EB" w14:textId="77777777" w:rsidR="00196549" w:rsidRPr="00445472" w:rsidRDefault="00196549" w:rsidP="00196549">
            <w:pPr>
              <w:pStyle w:val="TABELA"/>
              <w:rPr>
                <w:lang w:val="sq-AL"/>
              </w:rPr>
            </w:pPr>
            <w:r w:rsidRPr="00445472">
              <w:rPr>
                <w:lang w:val="sq-AL"/>
              </w:rPr>
              <w:t>Vlerësimi Trupave Ujorë</w:t>
            </w:r>
          </w:p>
          <w:p w14:paraId="3268E568" w14:textId="77777777" w:rsidR="00196549" w:rsidRPr="00445472" w:rsidRDefault="00196549" w:rsidP="00196549">
            <w:pPr>
              <w:pStyle w:val="TABELA"/>
              <w:rPr>
                <w:lang w:val="sq-AL"/>
              </w:rPr>
            </w:pPr>
            <w:r w:rsidRPr="00445472">
              <w:rPr>
                <w:lang w:val="sq-AL"/>
              </w:rPr>
              <w:t>Trupa Ujorë Shumë të Modifikuar</w:t>
            </w:r>
          </w:p>
        </w:tc>
      </w:tr>
      <w:tr w:rsidR="00A977E4" w:rsidRPr="00445472" w14:paraId="6ABC4626" w14:textId="77777777" w:rsidTr="00196549">
        <w:trPr>
          <w:trHeight w:val="200"/>
          <w:jc w:val="center"/>
        </w:trPr>
        <w:tc>
          <w:tcPr>
            <w:tcW w:w="939" w:type="pct"/>
            <w:gridSpan w:val="2"/>
          </w:tcPr>
          <w:p w14:paraId="08ED78A6" w14:textId="77777777" w:rsidR="00196549" w:rsidRPr="00445472" w:rsidRDefault="00196549" w:rsidP="00196549">
            <w:pPr>
              <w:pStyle w:val="TABELA"/>
              <w:rPr>
                <w:lang w:val="sq-AL"/>
              </w:rPr>
            </w:pPr>
            <w:r w:rsidRPr="00445472">
              <w:rPr>
                <w:lang w:val="sq-AL"/>
              </w:rPr>
              <w:t>TUA</w:t>
            </w:r>
          </w:p>
        </w:tc>
        <w:tc>
          <w:tcPr>
            <w:tcW w:w="4061" w:type="pct"/>
          </w:tcPr>
          <w:p w14:paraId="193A402A" w14:textId="77777777" w:rsidR="00196549" w:rsidRPr="00445472" w:rsidRDefault="00196549" w:rsidP="00196549">
            <w:pPr>
              <w:pStyle w:val="TABELA"/>
              <w:rPr>
                <w:lang w:val="sq-AL"/>
              </w:rPr>
            </w:pPr>
            <w:r w:rsidRPr="00445472">
              <w:rPr>
                <w:lang w:val="sq-AL"/>
              </w:rPr>
              <w:t>Trupa Ujorë Artificialë</w:t>
            </w:r>
          </w:p>
        </w:tc>
      </w:tr>
      <w:tr w:rsidR="00A977E4" w:rsidRPr="00445472" w14:paraId="4B07F8CA" w14:textId="77777777" w:rsidTr="00196549">
        <w:trPr>
          <w:trHeight w:val="200"/>
          <w:jc w:val="center"/>
        </w:trPr>
        <w:tc>
          <w:tcPr>
            <w:tcW w:w="939" w:type="pct"/>
            <w:gridSpan w:val="2"/>
          </w:tcPr>
          <w:p w14:paraId="53DC172A" w14:textId="77777777" w:rsidR="00196549" w:rsidRPr="00445472" w:rsidRDefault="00196549" w:rsidP="00196549">
            <w:pPr>
              <w:pStyle w:val="TABELA"/>
              <w:rPr>
                <w:lang w:val="sq-AL"/>
              </w:rPr>
            </w:pPr>
            <w:r w:rsidRPr="00445472">
              <w:rPr>
                <w:lang w:val="sq-AL"/>
              </w:rPr>
              <w:t>UdE</w:t>
            </w:r>
          </w:p>
          <w:p w14:paraId="3D718DA9" w14:textId="77777777" w:rsidR="00196549" w:rsidRPr="00445472" w:rsidRDefault="00196549" w:rsidP="00196549">
            <w:pPr>
              <w:pStyle w:val="TABELA"/>
              <w:rPr>
                <w:lang w:val="sq-AL"/>
              </w:rPr>
            </w:pPr>
            <w:r w:rsidRPr="00445472">
              <w:rPr>
                <w:lang w:val="sq-AL"/>
              </w:rPr>
              <w:t>TUNT</w:t>
            </w:r>
          </w:p>
        </w:tc>
        <w:tc>
          <w:tcPr>
            <w:tcW w:w="4061" w:type="pct"/>
          </w:tcPr>
          <w:p w14:paraId="48545959" w14:textId="77777777" w:rsidR="00196549" w:rsidRPr="00445472" w:rsidRDefault="00196549" w:rsidP="00196549">
            <w:pPr>
              <w:pStyle w:val="TABELA"/>
              <w:rPr>
                <w:lang w:val="sq-AL"/>
              </w:rPr>
            </w:pPr>
            <w:r w:rsidRPr="00445472">
              <w:rPr>
                <w:lang w:val="sq-AL"/>
              </w:rPr>
              <w:t>Uji dhe Ekonomia (Grupi punues i DKU-së)</w:t>
            </w:r>
          </w:p>
          <w:p w14:paraId="66F473B6" w14:textId="77777777" w:rsidR="00196549" w:rsidRPr="00445472" w:rsidRDefault="00196549" w:rsidP="00196549">
            <w:pPr>
              <w:pStyle w:val="TABELA"/>
              <w:rPr>
                <w:lang w:val="sq-AL"/>
              </w:rPr>
            </w:pPr>
            <w:r w:rsidRPr="00445472">
              <w:rPr>
                <w:lang w:val="sq-AL"/>
              </w:rPr>
              <w:t>Trupa Ujorë Nëntokësorë</w:t>
            </w:r>
          </w:p>
        </w:tc>
      </w:tr>
      <w:tr w:rsidR="00A977E4" w:rsidRPr="00445472" w14:paraId="62A5B6A4" w14:textId="77777777" w:rsidTr="00196549">
        <w:trPr>
          <w:trHeight w:val="200"/>
          <w:jc w:val="center"/>
        </w:trPr>
        <w:tc>
          <w:tcPr>
            <w:tcW w:w="939" w:type="pct"/>
            <w:gridSpan w:val="2"/>
          </w:tcPr>
          <w:p w14:paraId="0BE037E6" w14:textId="77777777" w:rsidR="00196549" w:rsidRPr="00445472" w:rsidRDefault="00196549" w:rsidP="00196549">
            <w:pPr>
              <w:pStyle w:val="TABELA"/>
              <w:rPr>
                <w:lang w:val="sq-AL"/>
              </w:rPr>
            </w:pPr>
            <w:r w:rsidRPr="00445472">
              <w:rPr>
                <w:lang w:val="sq-AL"/>
              </w:rPr>
              <w:t>DKU</w:t>
            </w:r>
          </w:p>
        </w:tc>
        <w:tc>
          <w:tcPr>
            <w:tcW w:w="4061" w:type="pct"/>
          </w:tcPr>
          <w:p w14:paraId="33CD3637" w14:textId="77777777" w:rsidR="00196549" w:rsidRPr="00445472" w:rsidRDefault="00196549" w:rsidP="00196549">
            <w:pPr>
              <w:pStyle w:val="TABELA"/>
              <w:rPr>
                <w:lang w:val="sq-AL"/>
              </w:rPr>
            </w:pPr>
            <w:r w:rsidRPr="00445472">
              <w:rPr>
                <w:lang w:val="sq-AL"/>
              </w:rPr>
              <w:t>Direktiva Kuadër e Ujit</w:t>
            </w:r>
          </w:p>
        </w:tc>
      </w:tr>
      <w:tr w:rsidR="00A977E4" w:rsidRPr="00445472" w14:paraId="11D34AEF" w14:textId="77777777" w:rsidTr="00196549">
        <w:trPr>
          <w:trHeight w:val="200"/>
          <w:jc w:val="center"/>
        </w:trPr>
        <w:tc>
          <w:tcPr>
            <w:tcW w:w="939" w:type="pct"/>
            <w:gridSpan w:val="2"/>
          </w:tcPr>
          <w:p w14:paraId="0A5CA98B" w14:textId="77777777" w:rsidR="00196549" w:rsidRPr="00445472" w:rsidRDefault="00196549" w:rsidP="00196549">
            <w:pPr>
              <w:pStyle w:val="TABELA"/>
              <w:rPr>
                <w:lang w:val="sq-AL"/>
              </w:rPr>
            </w:pPr>
            <w:r w:rsidRPr="00445472">
              <w:rPr>
                <w:lang w:val="sq-AL"/>
              </w:rPr>
              <w:t>OBM</w:t>
            </w:r>
          </w:p>
        </w:tc>
        <w:tc>
          <w:tcPr>
            <w:tcW w:w="4061" w:type="pct"/>
          </w:tcPr>
          <w:p w14:paraId="1FE0E58E" w14:textId="77777777" w:rsidR="00196549" w:rsidRPr="00445472" w:rsidRDefault="00196549" w:rsidP="00196549">
            <w:pPr>
              <w:pStyle w:val="TABELA"/>
              <w:rPr>
                <w:lang w:val="sq-AL"/>
              </w:rPr>
            </w:pPr>
            <w:r w:rsidRPr="00445472">
              <w:rPr>
                <w:lang w:val="sq-AL"/>
              </w:rPr>
              <w:t>Organizata Botërore Meteorologjike</w:t>
            </w:r>
          </w:p>
        </w:tc>
      </w:tr>
      <w:tr w:rsidR="00A977E4" w:rsidRPr="00445472" w14:paraId="09BAAB88" w14:textId="77777777" w:rsidTr="00196549">
        <w:trPr>
          <w:trHeight w:val="200"/>
          <w:jc w:val="center"/>
        </w:trPr>
        <w:tc>
          <w:tcPr>
            <w:tcW w:w="939" w:type="pct"/>
            <w:gridSpan w:val="2"/>
          </w:tcPr>
          <w:p w14:paraId="71EE7E33" w14:textId="77777777" w:rsidR="00196549" w:rsidRPr="00445472" w:rsidRDefault="00196549" w:rsidP="00196549">
            <w:pPr>
              <w:pStyle w:val="TABELA"/>
              <w:rPr>
                <w:lang w:val="sq-AL"/>
              </w:rPr>
            </w:pPr>
            <w:r w:rsidRPr="00445472">
              <w:rPr>
                <w:lang w:val="sq-AL"/>
              </w:rPr>
              <w:t>AMBU</w:t>
            </w:r>
          </w:p>
        </w:tc>
        <w:tc>
          <w:tcPr>
            <w:tcW w:w="4061" w:type="pct"/>
          </w:tcPr>
          <w:p w14:paraId="656C6063" w14:textId="77777777" w:rsidR="00196549" w:rsidRPr="00445472" w:rsidRDefault="00196549" w:rsidP="00196549">
            <w:pPr>
              <w:pStyle w:val="TABELA"/>
              <w:rPr>
                <w:lang w:val="sq-AL"/>
              </w:rPr>
            </w:pPr>
            <w:r w:rsidRPr="00445472">
              <w:rPr>
                <w:lang w:val="sq-AL"/>
              </w:rPr>
              <w:t>Agjencia e Menaxhimit të Burimeve Ujore</w:t>
            </w:r>
          </w:p>
        </w:tc>
      </w:tr>
      <w:tr w:rsidR="00A977E4" w:rsidRPr="00445472" w14:paraId="3A40E5A6" w14:textId="77777777" w:rsidTr="00196549">
        <w:trPr>
          <w:trHeight w:val="200"/>
          <w:jc w:val="center"/>
        </w:trPr>
        <w:tc>
          <w:tcPr>
            <w:tcW w:w="939" w:type="pct"/>
            <w:gridSpan w:val="2"/>
          </w:tcPr>
          <w:p w14:paraId="595333A8" w14:textId="77777777" w:rsidR="00196549" w:rsidRPr="00445472" w:rsidRDefault="00196549" w:rsidP="00196549">
            <w:pPr>
              <w:pStyle w:val="TABELA"/>
              <w:rPr>
                <w:lang w:val="sq-AL"/>
              </w:rPr>
            </w:pPr>
            <w:r w:rsidRPr="00445472">
              <w:rPr>
                <w:lang w:val="sq-AL"/>
              </w:rPr>
              <w:t>ERRU</w:t>
            </w:r>
          </w:p>
        </w:tc>
        <w:tc>
          <w:tcPr>
            <w:tcW w:w="4061" w:type="pct"/>
          </w:tcPr>
          <w:p w14:paraId="67F19729" w14:textId="77777777" w:rsidR="00196549" w:rsidRPr="00445472" w:rsidRDefault="00196549" w:rsidP="00196549">
            <w:pPr>
              <w:pStyle w:val="TABELA"/>
              <w:rPr>
                <w:lang w:val="sq-AL"/>
              </w:rPr>
            </w:pPr>
            <w:r w:rsidRPr="00445472">
              <w:rPr>
                <w:lang w:val="sq-AL"/>
              </w:rPr>
              <w:t>Enti Rregullator i Ujit</w:t>
            </w:r>
          </w:p>
        </w:tc>
      </w:tr>
      <w:tr w:rsidR="00A977E4" w:rsidRPr="00445472" w14:paraId="75E62C82" w14:textId="77777777" w:rsidTr="00196549">
        <w:trPr>
          <w:trHeight w:val="200"/>
          <w:jc w:val="center"/>
        </w:trPr>
        <w:tc>
          <w:tcPr>
            <w:tcW w:w="939" w:type="pct"/>
            <w:gridSpan w:val="2"/>
          </w:tcPr>
          <w:p w14:paraId="66B6DE67" w14:textId="77777777" w:rsidR="00196549" w:rsidRPr="00445472" w:rsidRDefault="00196549" w:rsidP="00196549">
            <w:pPr>
              <w:pStyle w:val="TABELA"/>
              <w:rPr>
                <w:lang w:val="sq-AL"/>
              </w:rPr>
            </w:pPr>
            <w:r w:rsidRPr="00445472">
              <w:rPr>
                <w:lang w:val="sq-AL"/>
              </w:rPr>
              <w:t>PBUU</w:t>
            </w:r>
          </w:p>
        </w:tc>
        <w:tc>
          <w:tcPr>
            <w:tcW w:w="4061" w:type="pct"/>
          </w:tcPr>
          <w:p w14:paraId="107F121A" w14:textId="77777777" w:rsidR="00196549" w:rsidRPr="00445472" w:rsidRDefault="00196549" w:rsidP="00196549">
            <w:pPr>
              <w:pStyle w:val="TABELA"/>
              <w:rPr>
                <w:lang w:val="sq-AL"/>
              </w:rPr>
            </w:pPr>
            <w:r w:rsidRPr="00445472">
              <w:rPr>
                <w:lang w:val="sq-AL"/>
              </w:rPr>
              <w:t>Projekti i Burimeve Ujore dhe Ujitjes</w:t>
            </w:r>
          </w:p>
        </w:tc>
      </w:tr>
      <w:tr w:rsidR="00A977E4" w:rsidRPr="00445472" w14:paraId="6DA623E7" w14:textId="77777777" w:rsidTr="00196549">
        <w:trPr>
          <w:trHeight w:val="200"/>
          <w:jc w:val="center"/>
        </w:trPr>
        <w:tc>
          <w:tcPr>
            <w:tcW w:w="939" w:type="pct"/>
            <w:gridSpan w:val="2"/>
          </w:tcPr>
          <w:p w14:paraId="1A4678DB" w14:textId="77777777" w:rsidR="00196549" w:rsidRPr="00445472" w:rsidRDefault="00196549" w:rsidP="00196549">
            <w:pPr>
              <w:pStyle w:val="TABELA"/>
              <w:rPr>
                <w:lang w:val="sq-AL"/>
              </w:rPr>
            </w:pPr>
            <w:r w:rsidRPr="00445472">
              <w:rPr>
                <w:lang w:val="sq-AL"/>
              </w:rPr>
              <w:t>ITUN</w:t>
            </w:r>
          </w:p>
        </w:tc>
        <w:tc>
          <w:tcPr>
            <w:tcW w:w="4061" w:type="pct"/>
          </w:tcPr>
          <w:p w14:paraId="1C972654" w14:textId="77777777" w:rsidR="00196549" w:rsidRPr="00445472" w:rsidRDefault="00196549" w:rsidP="00196549">
            <w:pPr>
              <w:pStyle w:val="TABELA"/>
              <w:rPr>
                <w:lang w:val="sq-AL"/>
              </w:rPr>
            </w:pPr>
            <w:r w:rsidRPr="00445472">
              <w:rPr>
                <w:lang w:val="sq-AL"/>
              </w:rPr>
              <w:t>Impianti i Trajtimit të Ujërave të Ndotura</w:t>
            </w:r>
          </w:p>
        </w:tc>
      </w:tr>
      <w:tr w:rsidR="00A977E4" w:rsidRPr="00445472" w14:paraId="77ECD3AB" w14:textId="77777777" w:rsidTr="00196549">
        <w:trPr>
          <w:trHeight w:val="200"/>
          <w:jc w:val="center"/>
        </w:trPr>
        <w:tc>
          <w:tcPr>
            <w:tcW w:w="939" w:type="pct"/>
            <w:gridSpan w:val="2"/>
          </w:tcPr>
          <w:p w14:paraId="19BC4863" w14:textId="77777777" w:rsidR="00196549" w:rsidRPr="00445472" w:rsidRDefault="00196549" w:rsidP="00196549">
            <w:pPr>
              <w:pStyle w:val="TABELA"/>
              <w:rPr>
                <w:lang w:val="sq-AL"/>
              </w:rPr>
            </w:pPr>
            <w:r w:rsidRPr="00445472">
              <w:rPr>
                <w:lang w:val="sq-AL"/>
              </w:rPr>
              <w:t>SHPU</w:t>
            </w:r>
          </w:p>
        </w:tc>
        <w:tc>
          <w:tcPr>
            <w:tcW w:w="4061" w:type="pct"/>
          </w:tcPr>
          <w:p w14:paraId="6731ADFE" w14:textId="77777777" w:rsidR="00196549" w:rsidRPr="00445472" w:rsidRDefault="00196549" w:rsidP="00196549">
            <w:pPr>
              <w:pStyle w:val="TABELA"/>
              <w:rPr>
                <w:lang w:val="sq-AL"/>
              </w:rPr>
            </w:pPr>
            <w:r w:rsidRPr="00445472">
              <w:rPr>
                <w:lang w:val="sq-AL"/>
              </w:rPr>
              <w:t>Shoqata e Përdoruesve të Ujit</w:t>
            </w:r>
          </w:p>
        </w:tc>
      </w:tr>
      <w:tr w:rsidR="00A977E4" w:rsidRPr="00445472" w14:paraId="2C06CFDA" w14:textId="77777777" w:rsidTr="00196549">
        <w:trPr>
          <w:trHeight w:val="200"/>
          <w:jc w:val="center"/>
        </w:trPr>
        <w:tc>
          <w:tcPr>
            <w:tcW w:w="939" w:type="pct"/>
            <w:gridSpan w:val="2"/>
          </w:tcPr>
          <w:p w14:paraId="538144A0" w14:textId="77777777" w:rsidR="00196549" w:rsidRPr="00445472" w:rsidRDefault="00196549" w:rsidP="00196549">
            <w:pPr>
              <w:pStyle w:val="TABELA"/>
              <w:rPr>
                <w:lang w:val="sq-AL"/>
              </w:rPr>
            </w:pPr>
            <w:r w:rsidRPr="00445472">
              <w:rPr>
                <w:lang w:val="sq-AL"/>
              </w:rPr>
              <w:t>ITUZ</w:t>
            </w:r>
          </w:p>
        </w:tc>
        <w:tc>
          <w:tcPr>
            <w:tcW w:w="4061" w:type="pct"/>
          </w:tcPr>
          <w:p w14:paraId="2132918F" w14:textId="77777777" w:rsidR="00196549" w:rsidRPr="00445472" w:rsidRDefault="00196549" w:rsidP="00196549">
            <w:pPr>
              <w:pStyle w:val="TABELA"/>
              <w:rPr>
                <w:lang w:val="sq-AL"/>
              </w:rPr>
            </w:pPr>
            <w:r w:rsidRPr="00445472">
              <w:rPr>
                <w:lang w:val="sq-AL"/>
              </w:rPr>
              <w:t>Impianti i trajtimit të ujërave të zeza</w:t>
            </w:r>
          </w:p>
        </w:tc>
      </w:tr>
      <w:tr w:rsidR="00A977E4" w:rsidRPr="00445472" w14:paraId="02155F96" w14:textId="77777777" w:rsidTr="00196549">
        <w:trPr>
          <w:trHeight w:val="200"/>
          <w:jc w:val="center"/>
        </w:trPr>
        <w:tc>
          <w:tcPr>
            <w:tcW w:w="939" w:type="pct"/>
            <w:gridSpan w:val="2"/>
          </w:tcPr>
          <w:p w14:paraId="1C609AD1" w14:textId="77777777" w:rsidR="00196549" w:rsidRPr="00445472" w:rsidRDefault="00196549" w:rsidP="00196549">
            <w:pPr>
              <w:pStyle w:val="TABELA"/>
              <w:rPr>
                <w:lang w:val="sq-AL"/>
              </w:rPr>
            </w:pPr>
            <w:r w:rsidRPr="00445472">
              <w:rPr>
                <w:lang w:val="sq-AL"/>
              </w:rPr>
              <w:t>Zn</w:t>
            </w:r>
          </w:p>
        </w:tc>
        <w:tc>
          <w:tcPr>
            <w:tcW w:w="4061" w:type="pct"/>
          </w:tcPr>
          <w:p w14:paraId="411FF561" w14:textId="77777777" w:rsidR="00196549" w:rsidRPr="00445472" w:rsidRDefault="00196549" w:rsidP="00196549">
            <w:pPr>
              <w:pStyle w:val="TABELA"/>
              <w:rPr>
                <w:lang w:val="sq-AL"/>
              </w:rPr>
            </w:pPr>
            <w:r w:rsidRPr="00445472">
              <w:rPr>
                <w:lang w:val="sq-AL"/>
              </w:rPr>
              <w:t>Zink</w:t>
            </w:r>
          </w:p>
        </w:tc>
      </w:tr>
    </w:tbl>
    <w:p w14:paraId="0900ACB3" w14:textId="77777777" w:rsidR="00196549" w:rsidRPr="00445472" w:rsidRDefault="00196549" w:rsidP="00196549">
      <w:pPr>
        <w:rPr>
          <w:rFonts w:ascii="Garamond" w:hAnsi="Garamond"/>
          <w:sz w:val="18"/>
        </w:rPr>
      </w:pPr>
    </w:p>
    <w:p w14:paraId="2AA9D854" w14:textId="77777777" w:rsidR="00884E5B" w:rsidRPr="00445472" w:rsidRDefault="00884E5B" w:rsidP="00884E5B">
      <w:pPr>
        <w:pStyle w:val="TEKSTIIII"/>
        <w:rPr>
          <w:b/>
        </w:rPr>
      </w:pPr>
      <w:bookmarkStart w:id="9" w:name="_Toc11068734"/>
      <w:r w:rsidRPr="00445472">
        <w:rPr>
          <w:b/>
        </w:rPr>
        <w:t>Përmbledhje ekzekutive</w:t>
      </w:r>
      <w:bookmarkEnd w:id="9"/>
    </w:p>
    <w:p w14:paraId="50DCE834" w14:textId="5A4BC075" w:rsidR="00884E5B" w:rsidRPr="00445472" w:rsidRDefault="00884E5B" w:rsidP="00884E5B">
      <w:pPr>
        <w:pStyle w:val="TEKSTIIII"/>
      </w:pPr>
      <w:r w:rsidRPr="00445472">
        <w:t xml:space="preserve">Informacioni i mëposhtëm detajohet në PMBU-në </w:t>
      </w:r>
      <w:r w:rsidR="007E76E3" w:rsidRPr="00445472">
        <w:t>Drin–Bunë</w:t>
      </w:r>
      <w:r w:rsidRPr="00445472">
        <w:t>, i përcaktuar sipas kërkesave të shtojcës VII të Direktivës Kuadër të Ujit të BE-së (2000/60/KE). Këtu përfshihen:</w:t>
      </w:r>
    </w:p>
    <w:p w14:paraId="45C4FCFD" w14:textId="2A3310CF" w:rsidR="00884E5B" w:rsidRPr="00445472" w:rsidRDefault="00884E5B" w:rsidP="00884E5B">
      <w:pPr>
        <w:pStyle w:val="TEKSTIIII"/>
      </w:pPr>
      <w:r w:rsidRPr="00445472">
        <w:t>-</w:t>
      </w:r>
      <w:r w:rsidR="00D62EDF" w:rsidRPr="00445472">
        <w:t xml:space="preserve"> një </w:t>
      </w:r>
      <w:r w:rsidRPr="00445472">
        <w:t xml:space="preserve">përshkrim i akteve ligjore që rregullojnë menaxhimin e ujit në Basenin Ujor </w:t>
      </w:r>
      <w:r w:rsidR="007E76E3" w:rsidRPr="00445472">
        <w:t>Drin–Bunë</w:t>
      </w:r>
      <w:r w:rsidR="00D62EDF" w:rsidRPr="00445472">
        <w:t>;</w:t>
      </w:r>
    </w:p>
    <w:p w14:paraId="312A578B" w14:textId="703A6F5A" w:rsidR="00884E5B" w:rsidRPr="00445472" w:rsidRDefault="00884E5B" w:rsidP="00884E5B">
      <w:pPr>
        <w:pStyle w:val="TEKSTIIII"/>
      </w:pPr>
      <w:r w:rsidRPr="00445472">
        <w:t>-</w:t>
      </w:r>
      <w:r w:rsidR="00D62EDF" w:rsidRPr="00445472">
        <w:t xml:space="preserve"> një </w:t>
      </w:r>
      <w:r w:rsidRPr="00445472">
        <w:t xml:space="preserve">përshkrim i karakteristikave të përgjithshme të Basenit Ujor, i cili përfshin një përshkrim të ujërave sipërfaqësorë dhe përcaktimin e ujëmbledhësve duke përdorur modelin </w:t>
      </w:r>
      <w:r w:rsidR="000A1B7F" w:rsidRPr="00445472">
        <w:t>Dhi Mike Hydro</w:t>
      </w:r>
      <w:r w:rsidRPr="00445472">
        <w:t xml:space="preserve"> </w:t>
      </w:r>
      <w:r w:rsidR="000A1B7F" w:rsidRPr="00445472">
        <w:t>Basin</w:t>
      </w:r>
      <w:r w:rsidRPr="00445472">
        <w:t>, shtresën mbuluese të tokës dhe ndikimin e efekteve klimatike në balancën aktuale dh</w:t>
      </w:r>
      <w:r w:rsidR="00D62EDF" w:rsidRPr="00445472">
        <w:t>e të ardhshme të ujit në basen;</w:t>
      </w:r>
    </w:p>
    <w:p w14:paraId="406D3CF9" w14:textId="20EF6552" w:rsidR="00884E5B" w:rsidRPr="00445472" w:rsidRDefault="00884E5B" w:rsidP="00884E5B">
      <w:pPr>
        <w:pStyle w:val="TEKSTIIII"/>
      </w:pPr>
      <w:r w:rsidRPr="00445472">
        <w:t>-</w:t>
      </w:r>
      <w:r w:rsidR="00D62EDF" w:rsidRPr="00445472">
        <w:t xml:space="preserve"> një </w:t>
      </w:r>
      <w:r w:rsidRPr="00445472">
        <w:t>përmbledhje e presioneve kryesore në Basenin Ujor, i cili përfshin ndikimet e ndotjes në ujërat sipërfaqësor</w:t>
      </w:r>
      <w:r w:rsidR="0086054F" w:rsidRPr="00445472">
        <w:t>e</w:t>
      </w:r>
      <w:r w:rsidRPr="00445472">
        <w:t xml:space="preserve"> dhe ujërat nëntokësor</w:t>
      </w:r>
      <w:r w:rsidR="0086054F" w:rsidRPr="00445472">
        <w:t>e</w:t>
      </w:r>
      <w:r w:rsidRPr="00445472">
        <w:t xml:space="preserve"> nga bujqësia, erozioni, hidrocentralet dhe mbetjet e ngurta. Ky seksion përfshin gjithashtu rezultatet e modelit, të cilat sigurojnë vlerësime të kërkesave aktuale</w:t>
      </w:r>
      <w:r w:rsidR="008F0A9F" w:rsidRPr="00445472">
        <w:t>, si dhe</w:t>
      </w:r>
      <w:r w:rsidRPr="00445472">
        <w:t xml:space="preserve"> ato të ardhshme për ujë nga sektorët kryesorë të përdorimit të tij, duke përfshirë ujitjen dhe vlerësimet e kërkesave të nevojshme të rrjedhjes sidomos n</w:t>
      </w:r>
      <w:r w:rsidR="00FE0B87">
        <w:t>ë</w:t>
      </w:r>
      <w:r w:rsidRPr="00445472">
        <w:t xml:space="preserve"> rastin e hidrocentraleve</w:t>
      </w:r>
      <w:r w:rsidR="00D62EDF" w:rsidRPr="00445472">
        <w:t>;</w:t>
      </w:r>
      <w:r w:rsidRPr="00445472">
        <w:t xml:space="preserve"> </w:t>
      </w:r>
    </w:p>
    <w:p w14:paraId="39C8EF41" w14:textId="1903333C" w:rsidR="00884E5B" w:rsidRPr="00445472" w:rsidRDefault="00884E5B" w:rsidP="00884E5B">
      <w:pPr>
        <w:pStyle w:val="TEKSTIIII"/>
      </w:pPr>
      <w:r w:rsidRPr="00445472">
        <w:t>-</w:t>
      </w:r>
      <w:r w:rsidR="00D62EDF" w:rsidRPr="00445472">
        <w:t xml:space="preserve"> identifikimi </w:t>
      </w:r>
      <w:r w:rsidRPr="00445472">
        <w:t>i Zonave të Mbrojtura në Basenin Ujor duke saktësuar zonat për nxjerrjen e ujit të caktuar për konsum njerëzor, mbrojtjen e specieve ujore, ujërat rekreativ</w:t>
      </w:r>
      <w:r w:rsidR="0086054F" w:rsidRPr="00445472">
        <w:t>e</w:t>
      </w:r>
      <w:r w:rsidRPr="00445472">
        <w:t xml:space="preserve"> dhe larës dhe mbrojtjen e habitateve ose gjallesave</w:t>
      </w:r>
      <w:r w:rsidR="00D62EDF" w:rsidRPr="00445472">
        <w:t>;</w:t>
      </w:r>
    </w:p>
    <w:p w14:paraId="6C8F5F6F" w14:textId="046C8761" w:rsidR="00884E5B" w:rsidRPr="00445472" w:rsidRDefault="00884E5B" w:rsidP="00884E5B">
      <w:pPr>
        <w:pStyle w:val="TEKSTIIII"/>
      </w:pPr>
      <w:r w:rsidRPr="00445472">
        <w:t>-</w:t>
      </w:r>
      <w:r w:rsidR="00D62EDF" w:rsidRPr="00445472">
        <w:t xml:space="preserve"> n</w:t>
      </w:r>
      <w:r w:rsidRPr="00445472">
        <w:t>jë plan veprimi për monitorimin e ujërave sipërfaqësorë dhe nëntokësorë sipas kërkesave të DKU-së</w:t>
      </w:r>
      <w:r w:rsidR="00D62EDF" w:rsidRPr="00445472">
        <w:t>;</w:t>
      </w:r>
      <w:r w:rsidRPr="00445472">
        <w:t xml:space="preserve"> </w:t>
      </w:r>
    </w:p>
    <w:p w14:paraId="534D28D3" w14:textId="31B92A24" w:rsidR="00884E5B" w:rsidRPr="00445472" w:rsidRDefault="00D62EDF" w:rsidP="00884E5B">
      <w:pPr>
        <w:pStyle w:val="TEKSTIIII"/>
      </w:pPr>
      <w:r w:rsidRPr="00445472">
        <w:t xml:space="preserve">- një </w:t>
      </w:r>
      <w:r w:rsidR="00884E5B" w:rsidRPr="00445472">
        <w:t>përmbledhje e statusit të ujërave sipërfaqësorë dhe të ujërave nëntokësorë bazuar në të dhënat e disponueshme</w:t>
      </w:r>
      <w:r w:rsidRPr="00445472">
        <w:t>;</w:t>
      </w:r>
      <w:r w:rsidR="00884E5B" w:rsidRPr="00445472">
        <w:t xml:space="preserve"> </w:t>
      </w:r>
    </w:p>
    <w:p w14:paraId="5223F819" w14:textId="35D0DDF0" w:rsidR="00884E5B" w:rsidRPr="00445472" w:rsidRDefault="00884E5B" w:rsidP="00884E5B">
      <w:pPr>
        <w:pStyle w:val="TEKSTIIII"/>
      </w:pPr>
      <w:r w:rsidRPr="00445472">
        <w:t>-</w:t>
      </w:r>
      <w:r w:rsidR="00D62EDF" w:rsidRPr="00445472">
        <w:t xml:space="preserve"> gjendjen </w:t>
      </w:r>
      <w:r w:rsidRPr="00445472">
        <w:t>aktuale të infrastrukturës ujore në basenin ujor në aspektin e trajtimit të ujit dhe ujërave të ndotura, ujitjes dhe hidrocentraleve</w:t>
      </w:r>
      <w:r w:rsidR="00D62EDF" w:rsidRPr="00445472">
        <w:t>;</w:t>
      </w:r>
      <w:r w:rsidRPr="00445472">
        <w:t xml:space="preserve"> </w:t>
      </w:r>
    </w:p>
    <w:p w14:paraId="48F1C1EE" w14:textId="11863543" w:rsidR="00884E5B" w:rsidRPr="00445472" w:rsidRDefault="00884E5B" w:rsidP="00884E5B">
      <w:pPr>
        <w:pStyle w:val="TEKSTIIII"/>
      </w:pPr>
      <w:r w:rsidRPr="00445472">
        <w:t>-</w:t>
      </w:r>
      <w:r w:rsidR="00D62EDF" w:rsidRPr="00445472">
        <w:t xml:space="preserve"> gjendjen </w:t>
      </w:r>
      <w:r w:rsidRPr="00445472">
        <w:t>historike dhe aktuale në lidhje me përmbytjet në basen, që ofron një analizë të mangësive dhe nevojave për të pasur një menaxhim efektiv të përmbytjeve së bashku me rekomandimet për të përmbushur kërkesat e Direktivës së Përmbytjeve të BE-së</w:t>
      </w:r>
      <w:r w:rsidR="00D62EDF" w:rsidRPr="00445472">
        <w:t>;</w:t>
      </w:r>
      <w:r w:rsidRPr="00445472">
        <w:t xml:space="preserve"> </w:t>
      </w:r>
    </w:p>
    <w:p w14:paraId="7DA9A20C" w14:textId="4F6636BA" w:rsidR="00884E5B" w:rsidRPr="00445472" w:rsidRDefault="00884E5B" w:rsidP="00884E5B">
      <w:pPr>
        <w:pStyle w:val="TEKSTIIII"/>
      </w:pPr>
      <w:r w:rsidRPr="00445472">
        <w:t>-</w:t>
      </w:r>
      <w:r w:rsidR="00D62EDF" w:rsidRPr="00445472">
        <w:t xml:space="preserve"> përcaktimin </w:t>
      </w:r>
      <w:r w:rsidRPr="00445472">
        <w:t xml:space="preserve">e </w:t>
      </w:r>
      <w:r w:rsidR="00D62EDF" w:rsidRPr="00445472">
        <w:t xml:space="preserve">objektivave mjedisorë </w:t>
      </w:r>
      <w:r w:rsidRPr="00445472">
        <w:t>kryesorë (OM), së bashku me një listë të veprimeve dhe treguesve të matshëm, të cilat duhet të kryhen për të arritur OM-të</w:t>
      </w:r>
      <w:r w:rsidR="00D62EDF" w:rsidRPr="00445472">
        <w:t>;</w:t>
      </w:r>
    </w:p>
    <w:p w14:paraId="6FBA9759" w14:textId="1C0342BE" w:rsidR="00884E5B" w:rsidRPr="00445472" w:rsidRDefault="00884E5B" w:rsidP="00884E5B">
      <w:pPr>
        <w:pStyle w:val="TEKSTIIII"/>
      </w:pPr>
      <w:r w:rsidRPr="00445472">
        <w:t>-</w:t>
      </w:r>
      <w:r w:rsidR="00D62EDF" w:rsidRPr="00445472">
        <w:t xml:space="preserve"> një </w:t>
      </w:r>
      <w:r w:rsidRPr="00445472">
        <w:t>analizë ekonomike e përdorimit të ujit, parashikimeve të trendit, shpenzimeve të shërbimit të ujit dhe ujërave të ndotura dhe rikuperimin aktual të kostos së shërbimeve të ujit në basen</w:t>
      </w:r>
      <w:r w:rsidR="00D62EDF" w:rsidRPr="00445472">
        <w:t>;</w:t>
      </w:r>
      <w:r w:rsidRPr="00445472">
        <w:t xml:space="preserve"> </w:t>
      </w:r>
    </w:p>
    <w:p w14:paraId="644D2E3C" w14:textId="3B845FA4" w:rsidR="00884E5B" w:rsidRPr="00445472" w:rsidRDefault="00884E5B" w:rsidP="00884E5B">
      <w:pPr>
        <w:pStyle w:val="TEKSTIIII"/>
      </w:pPr>
      <w:r w:rsidRPr="00445472">
        <w:t>-</w:t>
      </w:r>
      <w:r w:rsidR="00D62EDF" w:rsidRPr="00445472">
        <w:t xml:space="preserve"> një </w:t>
      </w:r>
      <w:r w:rsidRPr="00445472">
        <w:t xml:space="preserve">propozim për Programin e Masave (PM) të kërkuara në Basenin Ujor për të përmbushur OM-të. Program i Masave ndahet në masa </w:t>
      </w:r>
      <w:r w:rsidR="00D62EDF" w:rsidRPr="00445472">
        <w:t>“</w:t>
      </w:r>
      <w:r w:rsidRPr="00445472">
        <w:t>bazë</w:t>
      </w:r>
      <w:r w:rsidR="00D62EDF" w:rsidRPr="00445472">
        <w:t>”</w:t>
      </w:r>
      <w:r w:rsidRPr="00445472">
        <w:t xml:space="preserve"> dhe </w:t>
      </w:r>
      <w:r w:rsidR="00D62EDF" w:rsidRPr="00445472">
        <w:t>“</w:t>
      </w:r>
      <w:r w:rsidRPr="00445472">
        <w:t>plotësuese</w:t>
      </w:r>
      <w:r w:rsidR="00D62EDF" w:rsidRPr="00445472">
        <w:t>”</w:t>
      </w:r>
      <w:r w:rsidRPr="00445472">
        <w:t xml:space="preserve"> të cilat, në mungesë të përcaktimit të statusit ekologjik, janë të bazuara në komponentët e Planit Kombëtar të Sektorit të Ujit, të lidhur me Basenin Ujor</w:t>
      </w:r>
      <w:r w:rsidR="00D62EDF" w:rsidRPr="00445472">
        <w:t>;</w:t>
      </w:r>
    </w:p>
    <w:p w14:paraId="7FF3AC34" w14:textId="377EE1CB" w:rsidR="00884E5B" w:rsidRPr="00445472" w:rsidRDefault="00161ED2" w:rsidP="00884E5B">
      <w:pPr>
        <w:pStyle w:val="TEKSTIIII"/>
        <w:rPr>
          <w:b/>
        </w:rPr>
      </w:pPr>
      <w:r>
        <w:t>N</w:t>
      </w:r>
      <w:r w:rsidR="00D62EDF" w:rsidRPr="00445472">
        <w:t xml:space="preserve">jë </w:t>
      </w:r>
      <w:r w:rsidR="00884E5B" w:rsidRPr="00445472">
        <w:t xml:space="preserve">përmbledhje e trajnimeve të realizuara për Zyrën e Administrimit të Basenit Ujor (më parë Agjencia e Basenit Ujor) dhe stafin e Ministrisë të përfshirë në menaxhimin e ujërave dhe gjithashtu identifikon çështjet kryesore përmes konsultimeve me një gamë të gjerë të grupeve dhe të aktorëve në Basenin Ujor. </w:t>
      </w:r>
      <w:r w:rsidR="00884E5B" w:rsidRPr="00445472">
        <w:rPr>
          <w:bCs/>
        </w:rPr>
        <w:t xml:space="preserve">Programi i Masave është zhvilluar tërësisht në linjë me </w:t>
      </w:r>
      <w:r w:rsidR="00A22C31" w:rsidRPr="00445472">
        <w:rPr>
          <w:bCs/>
        </w:rPr>
        <w:t>objektivat mjedisor</w:t>
      </w:r>
      <w:r w:rsidR="00884E5B" w:rsidRPr="00445472">
        <w:t>ë</w:t>
      </w:r>
      <w:r w:rsidR="00884E5B" w:rsidRPr="00445472">
        <w:rPr>
          <w:bCs/>
        </w:rPr>
        <w:t xml:space="preserve"> që pasqyrojnë shtatë kategoritë dalluese të OM-ve, ku secila përfshin masat </w:t>
      </w:r>
      <w:r w:rsidR="00D62EDF" w:rsidRPr="00445472">
        <w:rPr>
          <w:bCs/>
        </w:rPr>
        <w:t>“</w:t>
      </w:r>
      <w:r w:rsidR="00884E5B" w:rsidRPr="00445472">
        <w:rPr>
          <w:bCs/>
        </w:rPr>
        <w:t>bazë</w:t>
      </w:r>
      <w:r w:rsidR="00D62EDF" w:rsidRPr="00445472">
        <w:rPr>
          <w:bCs/>
        </w:rPr>
        <w:t>”</w:t>
      </w:r>
      <w:r w:rsidR="00884E5B" w:rsidRPr="00445472">
        <w:rPr>
          <w:bCs/>
        </w:rPr>
        <w:t xml:space="preserve"> dhe ato </w:t>
      </w:r>
      <w:r w:rsidR="00D62EDF" w:rsidRPr="00445472">
        <w:rPr>
          <w:bCs/>
        </w:rPr>
        <w:t>“</w:t>
      </w:r>
      <w:r w:rsidR="00884E5B" w:rsidRPr="00445472">
        <w:rPr>
          <w:bCs/>
        </w:rPr>
        <w:t>plotësuese</w:t>
      </w:r>
      <w:r w:rsidR="00D62EDF" w:rsidRPr="00445472">
        <w:rPr>
          <w:bCs/>
        </w:rPr>
        <w:t>”</w:t>
      </w:r>
      <w:r w:rsidR="00884E5B" w:rsidRPr="00445472">
        <w:rPr>
          <w:bCs/>
        </w:rPr>
        <w:t>:</w:t>
      </w:r>
    </w:p>
    <w:p w14:paraId="4222431F" w14:textId="4535242C" w:rsidR="00884E5B" w:rsidRPr="00445472" w:rsidRDefault="00884E5B" w:rsidP="00884E5B">
      <w:pPr>
        <w:pStyle w:val="TEKSTIIII"/>
      </w:pPr>
      <w:r w:rsidRPr="00445472">
        <w:t>-</w:t>
      </w:r>
      <w:r w:rsidR="00D62EDF" w:rsidRPr="00445472">
        <w:t xml:space="preserve"> për </w:t>
      </w:r>
      <w:r w:rsidRPr="00445472">
        <w:t xml:space="preserve">nxitjen e përdorimit të qëndrueshëm të burimeve ujore, ndarjen e drejtë midis përdoruesve, duke maksimizuar përfitimet ekonomike në lidhje me kushtet mjedisore dhe parimet e menaxhimit të </w:t>
      </w:r>
      <w:r w:rsidR="00A22C31" w:rsidRPr="00445472">
        <w:t>qëndrueshëm</w:t>
      </w:r>
      <w:r w:rsidRPr="00445472">
        <w:t>;</w:t>
      </w:r>
    </w:p>
    <w:p w14:paraId="3775DC65" w14:textId="3951511E" w:rsidR="00884E5B" w:rsidRPr="00445472" w:rsidRDefault="00884E5B" w:rsidP="00884E5B">
      <w:pPr>
        <w:pStyle w:val="TEKSTIIII"/>
      </w:pPr>
      <w:r w:rsidRPr="00445472">
        <w:t>-</w:t>
      </w:r>
      <w:r w:rsidR="00D62EDF" w:rsidRPr="00445472">
        <w:t xml:space="preserve"> arritjen </w:t>
      </w:r>
      <w:r w:rsidRPr="00445472">
        <w:t xml:space="preserve">dhe mbajtjen e statusit ekologjik dhe kimik minimal </w:t>
      </w:r>
      <w:r w:rsidR="00D62EDF" w:rsidRPr="00445472">
        <w:t>“</w:t>
      </w:r>
      <w:r w:rsidRPr="00445472">
        <w:t>i mirë</w:t>
      </w:r>
      <w:r w:rsidR="00D62EDF" w:rsidRPr="00445472">
        <w:t>”</w:t>
      </w:r>
      <w:r w:rsidRPr="00445472">
        <w:t xml:space="preserve"> për trupat ujorë sipërfaqësorë, që kanë status </w:t>
      </w:r>
      <w:r w:rsidR="00D62EDF" w:rsidRPr="00445472">
        <w:t>“</w:t>
      </w:r>
      <w:r w:rsidRPr="00445472">
        <w:t>mesatar</w:t>
      </w:r>
      <w:r w:rsidR="00D62EDF" w:rsidRPr="00445472">
        <w:t>”</w:t>
      </w:r>
      <w:r w:rsidRPr="00445472">
        <w:t xml:space="preserve">, </w:t>
      </w:r>
      <w:r w:rsidR="00D62EDF" w:rsidRPr="00445472">
        <w:t>“</w:t>
      </w:r>
      <w:r w:rsidRPr="00445472">
        <w:t>i keq</w:t>
      </w:r>
      <w:r w:rsidR="00D62EDF" w:rsidRPr="00445472">
        <w:t>”</w:t>
      </w:r>
      <w:r w:rsidRPr="00445472">
        <w:t xml:space="preserve"> ose </w:t>
      </w:r>
      <w:r w:rsidR="00D62EDF" w:rsidRPr="00445472">
        <w:t>“</w:t>
      </w:r>
      <w:r w:rsidRPr="00445472">
        <w:t>shumë i keq</w:t>
      </w:r>
      <w:r w:rsidR="00D62EDF" w:rsidRPr="00445472">
        <w:t>”</w:t>
      </w:r>
      <w:r w:rsidRPr="00445472">
        <w:t>. (lumenjtë, liqenet, ndërkombëtarë</w:t>
      </w:r>
      <w:r w:rsidR="001D340B" w:rsidRPr="00445472">
        <w:t>/</w:t>
      </w:r>
      <w:r w:rsidRPr="00445472">
        <w:t>ujërat ndërkufitar</w:t>
      </w:r>
      <w:r w:rsidR="0086054F" w:rsidRPr="00445472">
        <w:t>e</w:t>
      </w:r>
      <w:r w:rsidRPr="00445472">
        <w:t xml:space="preserve">, trupa ujorë artificialë dhe tejet të modifikuar); </w:t>
      </w:r>
    </w:p>
    <w:p w14:paraId="3F94EA41" w14:textId="108E6950" w:rsidR="00884E5B" w:rsidRPr="00445472" w:rsidRDefault="00884E5B" w:rsidP="00884E5B">
      <w:pPr>
        <w:pStyle w:val="TEKSTIIII"/>
      </w:pPr>
      <w:r w:rsidRPr="00445472">
        <w:t>-</w:t>
      </w:r>
      <w:r w:rsidR="00D62EDF" w:rsidRPr="00445472">
        <w:t xml:space="preserve"> parandalimi </w:t>
      </w:r>
      <w:r w:rsidRPr="00445472">
        <w:t xml:space="preserve">i ndotjes për të shmangur përkeqësimin e cilësisë së ujërave nëntokësorë dhe për të arritur një status </w:t>
      </w:r>
      <w:r w:rsidR="00D62EDF" w:rsidRPr="00445472">
        <w:t>“</w:t>
      </w:r>
      <w:r w:rsidRPr="00445472">
        <w:t>të mirë</w:t>
      </w:r>
      <w:r w:rsidR="00D62EDF" w:rsidRPr="00445472">
        <w:t>”</w:t>
      </w:r>
      <w:r w:rsidRPr="00445472">
        <w:t xml:space="preserve"> kimik në TUT;</w:t>
      </w:r>
    </w:p>
    <w:p w14:paraId="4EEB981A" w14:textId="1636BEA7" w:rsidR="00884E5B" w:rsidRPr="00445472" w:rsidRDefault="00884E5B" w:rsidP="00884E5B">
      <w:pPr>
        <w:pStyle w:val="TEKSTIIII"/>
      </w:pPr>
      <w:r w:rsidRPr="00445472">
        <w:t>-</w:t>
      </w:r>
      <w:r w:rsidR="00D62EDF" w:rsidRPr="00445472">
        <w:t xml:space="preserve"> arritjen </w:t>
      </w:r>
      <w:r w:rsidRPr="00445472">
        <w:t xml:space="preserve">dhe mbajtjen e statusit minimal </w:t>
      </w:r>
      <w:r w:rsidR="00D62EDF" w:rsidRPr="00445472">
        <w:t>“</w:t>
      </w:r>
      <w:r w:rsidRPr="00445472">
        <w:t>i mirë</w:t>
      </w:r>
      <w:r w:rsidR="00D62EDF" w:rsidRPr="00445472">
        <w:t>”</w:t>
      </w:r>
      <w:r w:rsidRPr="00445472">
        <w:t xml:space="preserve"> të ujërave të larjes (të brendshme, bregdetare dhe ndërkombëtare);</w:t>
      </w:r>
    </w:p>
    <w:p w14:paraId="3F370B24" w14:textId="0F148E77" w:rsidR="00884E5B" w:rsidRPr="00445472" w:rsidRDefault="00884E5B" w:rsidP="00884E5B">
      <w:pPr>
        <w:pStyle w:val="TEKSTIIII"/>
      </w:pPr>
      <w:r w:rsidRPr="00445472">
        <w:t>-</w:t>
      </w:r>
      <w:r w:rsidR="00D62EDF" w:rsidRPr="00445472">
        <w:t xml:space="preserve"> uljen </w:t>
      </w:r>
      <w:r w:rsidRPr="00445472">
        <w:t xml:space="preserve">e rrezikut nga përmbytja dhe humbjet për jetën, mjetet e jetesës, shëndetin, ekonominë, aseset kulturore dhe mjedisore të njerëzve, bizneseve dhe komuniteteve; </w:t>
      </w:r>
    </w:p>
    <w:p w14:paraId="3DB33AEC" w14:textId="7272D2FD" w:rsidR="00884E5B" w:rsidRPr="00445472" w:rsidRDefault="00884E5B" w:rsidP="00884E5B">
      <w:pPr>
        <w:pStyle w:val="TEKSTIIII"/>
      </w:pPr>
      <w:r w:rsidRPr="00445472">
        <w:t>-</w:t>
      </w:r>
      <w:r w:rsidR="00D62EDF" w:rsidRPr="00445472">
        <w:t xml:space="preserve"> përmirësimin </w:t>
      </w:r>
      <w:r w:rsidRPr="00445472">
        <w:t xml:space="preserve">e sigurimit të digave të ujitjes; </w:t>
      </w:r>
    </w:p>
    <w:p w14:paraId="1FE83738" w14:textId="2D7C5E32" w:rsidR="00884E5B" w:rsidRPr="00445472" w:rsidRDefault="00884E5B" w:rsidP="00884E5B">
      <w:pPr>
        <w:pStyle w:val="TEKSTIIII"/>
      </w:pPr>
      <w:r w:rsidRPr="00445472">
        <w:t>-</w:t>
      </w:r>
      <w:r w:rsidR="00D62EDF" w:rsidRPr="00445472">
        <w:t xml:space="preserve"> mbajtjen </w:t>
      </w:r>
      <w:r w:rsidRPr="00445472">
        <w:t>dhe</w:t>
      </w:r>
      <w:r w:rsidR="001D340B" w:rsidRPr="00445472">
        <w:t>/</w:t>
      </w:r>
      <w:r w:rsidRPr="00445472">
        <w:t xml:space="preserve">ose uljen e normës së erozionit të lumenjve. </w:t>
      </w:r>
    </w:p>
    <w:p w14:paraId="1BD18115" w14:textId="27B6097C" w:rsidR="00884E5B" w:rsidRPr="00445472" w:rsidRDefault="00884E5B" w:rsidP="00884E5B">
      <w:pPr>
        <w:pStyle w:val="TEKSTIIII"/>
        <w:rPr>
          <w:rFonts w:eastAsia="Calibri"/>
        </w:rPr>
      </w:pPr>
      <w:r w:rsidRPr="00445472">
        <w:rPr>
          <w:rFonts w:eastAsia="Calibri"/>
        </w:rPr>
        <w:t xml:space="preserve">Është propozuar një plan veprimi, për të zbutur problemet aktuale dhe të ardhshme në Basenin Ujor, në zbatim të Programit të Masave në Basenin Ujor </w:t>
      </w:r>
      <w:r w:rsidR="007E76E3" w:rsidRPr="00445472">
        <w:rPr>
          <w:rFonts w:eastAsia="Calibri"/>
          <w:bCs/>
        </w:rPr>
        <w:t>Drin–Bunë</w:t>
      </w:r>
      <w:r w:rsidRPr="00445472">
        <w:rPr>
          <w:rFonts w:eastAsia="Calibri"/>
          <w:bCs/>
        </w:rPr>
        <w:t xml:space="preserve"> në periudhën 2021-2033</w:t>
      </w:r>
      <w:r w:rsidRPr="00445472">
        <w:rPr>
          <w:rFonts w:eastAsia="Calibri"/>
        </w:rPr>
        <w:t xml:space="preserve">. Plani i veprimit kërkohet, në mënyrë që institucionet kryesore dhe mbështetëse të bashkëpunojnë dhe </w:t>
      </w:r>
      <w:r w:rsidR="001F68B2" w:rsidRPr="00445472">
        <w:rPr>
          <w:rFonts w:eastAsia="Calibri"/>
        </w:rPr>
        <w:t>t’i</w:t>
      </w:r>
      <w:r w:rsidRPr="00445472">
        <w:rPr>
          <w:rFonts w:eastAsia="Calibri"/>
        </w:rPr>
        <w:t xml:space="preserve"> koordinojnë burimet, për të arritur në të ardhmen menaxhimin e efektshëm të ujërave në Basenin Ujor </w:t>
      </w:r>
      <w:r w:rsidR="007E76E3" w:rsidRPr="00445472">
        <w:rPr>
          <w:rFonts w:eastAsia="Calibri"/>
        </w:rPr>
        <w:t>Drin–Bunë</w:t>
      </w:r>
      <w:r w:rsidRPr="00445472">
        <w:rPr>
          <w:rFonts w:eastAsia="Calibri"/>
        </w:rPr>
        <w:t xml:space="preserve">. </w:t>
      </w:r>
    </w:p>
    <w:p w14:paraId="4F51C1CB" w14:textId="687FA40D" w:rsidR="00884E5B" w:rsidRPr="00445472" w:rsidRDefault="00884E5B" w:rsidP="00884E5B">
      <w:pPr>
        <w:pStyle w:val="TEKSTIIII"/>
        <w:rPr>
          <w:rFonts w:eastAsia="Calibri"/>
        </w:rPr>
      </w:pPr>
      <w:r w:rsidRPr="00445472">
        <w:rPr>
          <w:rFonts w:eastAsia="Calibri"/>
        </w:rPr>
        <w:t xml:space="preserve">Programi i Masave është zhvilluar duke marrë parasysh integrimin gjinor në përputhje me kërkesat e ligjit nr. 9970/2007 për barazinë gjinore në shoqëri. Për të siguruar një qasje që merr parasysh çështjet gjinore për sa i përket menaxhimit të ujërave në Basenin Ujor </w:t>
      </w:r>
      <w:r w:rsidR="007E76E3" w:rsidRPr="00445472">
        <w:rPr>
          <w:rFonts w:eastAsia="Calibri"/>
        </w:rPr>
        <w:t>Drin–Bunë</w:t>
      </w:r>
      <w:r w:rsidRPr="00445472">
        <w:rPr>
          <w:rFonts w:eastAsia="Calibri"/>
        </w:rPr>
        <w:t xml:space="preserve">, përfshihen tregues dhe objektivë kyç për të gjitha masat, me qëllim vlerësimin e shkallës në të cilën gratë dhe burrat marrin pjesë në ekonomi dhe në vendimmarrje në sektorin publik dhe në shoqërinë civile, për sa i përket menaxhimit të ujërave. </w:t>
      </w:r>
    </w:p>
    <w:p w14:paraId="0E84674F" w14:textId="545AF15B" w:rsidR="00884E5B" w:rsidRPr="00445472" w:rsidRDefault="00884E5B" w:rsidP="00884E5B">
      <w:pPr>
        <w:pStyle w:val="TEKSTIIII"/>
        <w:rPr>
          <w:rFonts w:eastAsia="Calibri"/>
        </w:rPr>
      </w:pPr>
      <w:r w:rsidRPr="00445472">
        <w:rPr>
          <w:rFonts w:eastAsia="Calibri"/>
        </w:rPr>
        <w:t xml:space="preserve">Plani i veprimit përmban një përshkrim të aktiviteteve specifike prioritare për </w:t>
      </w:r>
      <w:r w:rsidR="00B139CF" w:rsidRPr="00445472">
        <w:rPr>
          <w:rFonts w:eastAsia="Calibri"/>
        </w:rPr>
        <w:t>t’u</w:t>
      </w:r>
      <w:r w:rsidRPr="00445472">
        <w:rPr>
          <w:rFonts w:eastAsia="Calibri"/>
        </w:rPr>
        <w:t xml:space="preserve"> ndërmarrë, afatet kohore, kostot dhe detyrimet, dhe/ose përgjegjësitë kombëtare, rajonale ose vendore. Nevojitet treguesi i burimit të financimit, megjithëse emrat konkretë të donatorëve dhe institucioneve financuese nuk mund të bëhen të ditura në këtë fazë. </w:t>
      </w:r>
    </w:p>
    <w:p w14:paraId="087BFE05" w14:textId="4CC3217D" w:rsidR="00884E5B" w:rsidRPr="00445472" w:rsidRDefault="00884E5B" w:rsidP="00884E5B">
      <w:pPr>
        <w:pStyle w:val="TEKSTIIII"/>
        <w:rPr>
          <w:rFonts w:eastAsia="Calibri"/>
        </w:rPr>
      </w:pPr>
      <w:r w:rsidRPr="00445472">
        <w:rPr>
          <w:rFonts w:eastAsia="Calibri"/>
        </w:rPr>
        <w:t>Vlerësimi paraprak i kostove për secilën masë të planifikuar për infrastrukturën bazohet në vlerësimin e kostove për investimin e përdorur për Master</w:t>
      </w:r>
      <w:r w:rsidR="00D62EDF" w:rsidRPr="00445472">
        <w:rPr>
          <w:rFonts w:eastAsia="Calibri"/>
        </w:rPr>
        <w:t>p</w:t>
      </w:r>
      <w:r w:rsidRPr="00445472">
        <w:rPr>
          <w:rFonts w:eastAsia="Calibri"/>
        </w:rPr>
        <w:t xml:space="preserve">lanin e Furnizimit me Ujë dhe Kanalizimeve për Shqipërinë, në Planin e Masave të Qeverisë (dokument draft) dhe në përvojën vendore dhe ndërkombëtare. Nënobjektivat bazohen në </w:t>
      </w:r>
      <w:r w:rsidR="00D62EDF" w:rsidRPr="00445472">
        <w:rPr>
          <w:rFonts w:eastAsia="Calibri"/>
        </w:rPr>
        <w:t>objektivat mjedisor</w:t>
      </w:r>
      <w:r w:rsidR="00D62EDF" w:rsidRPr="00445472">
        <w:t>ë</w:t>
      </w:r>
      <w:r w:rsidRPr="00445472">
        <w:rPr>
          <w:rFonts w:eastAsia="Calibri"/>
        </w:rPr>
        <w:t>, që janë në përputhje me Planin Kombëtar të Sektorit të Ujërave (PKSU), parashikohen për çdo aktivitet në tr</w:t>
      </w:r>
      <w:r w:rsidR="00905530">
        <w:rPr>
          <w:rFonts w:eastAsia="Calibri"/>
        </w:rPr>
        <w:t>i</w:t>
      </w:r>
      <w:r w:rsidRPr="00445472">
        <w:rPr>
          <w:rFonts w:eastAsia="Calibri"/>
        </w:rPr>
        <w:t xml:space="preserve"> afate kohore (2021, 2024 dhe 2030). </w:t>
      </w:r>
    </w:p>
    <w:p w14:paraId="17CCC1C3" w14:textId="329CFFF0" w:rsidR="00884E5B" w:rsidRPr="00445472" w:rsidRDefault="00884E5B" w:rsidP="00884E5B">
      <w:pPr>
        <w:pStyle w:val="TEKSTIIII"/>
        <w:rPr>
          <w:rFonts w:eastAsia="Calibri"/>
        </w:rPr>
      </w:pPr>
      <w:r w:rsidRPr="00445472">
        <w:rPr>
          <w:rFonts w:eastAsia="Calibri"/>
        </w:rPr>
        <w:t xml:space="preserve">Kostoja totale për zbatimin e masave të propozuara për Basenin Ujor </w:t>
      </w:r>
      <w:r w:rsidR="007E76E3" w:rsidRPr="00445472">
        <w:rPr>
          <w:rFonts w:eastAsia="Calibri"/>
        </w:rPr>
        <w:t>Drin–Bunë</w:t>
      </w:r>
      <w:r w:rsidRPr="00445472">
        <w:rPr>
          <w:rFonts w:eastAsia="Calibri"/>
        </w:rPr>
        <w:t xml:space="preserve"> është € 512,700,000 me rreth 11% të kostove q</w:t>
      </w:r>
      <w:r w:rsidRPr="00445472">
        <w:t xml:space="preserve">ë </w:t>
      </w:r>
      <w:r w:rsidRPr="00445472">
        <w:rPr>
          <w:rFonts w:eastAsia="Calibri"/>
        </w:rPr>
        <w:t xml:space="preserve">iu alokohen masave </w:t>
      </w:r>
      <w:r w:rsidR="00D62EDF" w:rsidRPr="00445472">
        <w:rPr>
          <w:rFonts w:eastAsia="Calibri"/>
        </w:rPr>
        <w:t>“</w:t>
      </w:r>
      <w:r w:rsidRPr="00445472">
        <w:rPr>
          <w:rFonts w:eastAsia="Calibri"/>
        </w:rPr>
        <w:t>plotësuese</w:t>
      </w:r>
      <w:r w:rsidR="00D62EDF" w:rsidRPr="00445472">
        <w:rPr>
          <w:rFonts w:eastAsia="Calibri"/>
        </w:rPr>
        <w:t>”</w:t>
      </w:r>
      <w:r w:rsidRPr="00445472">
        <w:rPr>
          <w:rFonts w:eastAsia="Calibri"/>
        </w:rPr>
        <w:t>.</w:t>
      </w:r>
    </w:p>
    <w:p w14:paraId="2532154E" w14:textId="670C94C1" w:rsidR="00884E5B" w:rsidRPr="00445472" w:rsidRDefault="00884E5B" w:rsidP="00884E5B">
      <w:pPr>
        <w:pStyle w:val="TEKSTIIII"/>
      </w:pPr>
      <w:r w:rsidRPr="00445472">
        <w:t xml:space="preserve">Dokumenti përmbyllet me disa rekomandime për ndërmarrjen e ujit në Basenin Ujor </w:t>
      </w:r>
      <w:r w:rsidR="007E76E3" w:rsidRPr="00445472">
        <w:t>Drin–Bunë</w:t>
      </w:r>
      <w:r w:rsidRPr="00445472">
        <w:t xml:space="preserve"> nga institucioni përgjegjës gjatë 6 viteve të ardhshme, të cilat janë në linjë me strategjinë kombëtare të ujit dhe me kërkesat e DKU-së të BE-së. </w:t>
      </w:r>
    </w:p>
    <w:p w14:paraId="0D682569" w14:textId="77777777" w:rsidR="00884E5B" w:rsidRPr="00445472" w:rsidRDefault="00884E5B" w:rsidP="00884E5B">
      <w:pPr>
        <w:pStyle w:val="TEKSTIIII"/>
        <w:rPr>
          <w:b/>
        </w:rPr>
      </w:pPr>
    </w:p>
    <w:p w14:paraId="30E3D2A0" w14:textId="3F6B8936" w:rsidR="00884E5B" w:rsidRPr="00445472" w:rsidRDefault="007117B5" w:rsidP="00884E5B">
      <w:pPr>
        <w:pStyle w:val="TEKSTIIII"/>
        <w:rPr>
          <w:b/>
        </w:rPr>
      </w:pPr>
      <w:bookmarkStart w:id="10" w:name="_Toc11068735"/>
      <w:r>
        <w:rPr>
          <w:b/>
        </w:rPr>
        <w:t xml:space="preserve">1. </w:t>
      </w:r>
      <w:r w:rsidR="00884E5B" w:rsidRPr="00445472">
        <w:rPr>
          <w:b/>
        </w:rPr>
        <w:t>Hyrje</w:t>
      </w:r>
      <w:bookmarkEnd w:id="10"/>
    </w:p>
    <w:p w14:paraId="2F141BDE" w14:textId="4AEE253E" w:rsidR="00884E5B" w:rsidRPr="00445472" w:rsidRDefault="00884E5B" w:rsidP="00884E5B">
      <w:pPr>
        <w:pStyle w:val="TEKSTIIII"/>
      </w:pPr>
      <w:r w:rsidRPr="00445472">
        <w:t xml:space="preserve">Përgatitja e një Plani për Menaxhimin e Baseneve Ujore (PMBU) për Basenin Ujor </w:t>
      </w:r>
      <w:r w:rsidR="007E76E3" w:rsidRPr="00445472">
        <w:t>Drin–Bunë</w:t>
      </w:r>
      <w:r w:rsidRPr="00445472">
        <w:t xml:space="preserve"> është pjesë e mbështetjes institucionale të komponentit të Menaxhimit të Integruar të Burimeve Ujore (MIBU) të Projektit të Burimeve Ujore dhe Ujitjes në Shqipëri (PBUU). PBUU-ja financohet nga Banka Botërore, Agjencia Suedeze për </w:t>
      </w:r>
      <w:bookmarkStart w:id="11" w:name="_Hlk531003312"/>
      <w:r w:rsidRPr="00445472">
        <w:t xml:space="preserve">Zhvillim të Bashkëpunimit </w:t>
      </w:r>
      <w:bookmarkEnd w:id="11"/>
      <w:r w:rsidRPr="00445472">
        <w:t>Ndërkombëtar (Sida) dhe Qeveria Shqiptare, dhe është krijuar për të hedhur themelet për menaxhim më racional dhe më të përgjegjshëm të burimeve ujore.</w:t>
      </w:r>
    </w:p>
    <w:p w14:paraId="317DE206" w14:textId="77777777" w:rsidR="00884E5B" w:rsidRPr="00445472" w:rsidRDefault="00884E5B" w:rsidP="00884E5B">
      <w:pPr>
        <w:pStyle w:val="TEKSTIIII"/>
      </w:pPr>
      <w:r w:rsidRPr="00445472">
        <w:t xml:space="preserve">Në zhvillimin e një Plani Menaxhimi të Baseneve Ujore, është e nevojshme të kuptohet se Shqipëria është një vend kandidat për anëtarësim në Bashkimin Evropian dhe se BE-ja ka kërkesa specifike për një plan të tillë. Sidoqoftë, Termat e Referencës së projektit në të vërtetë nuk detajojnë kërkesat specifike të Direktivës Kuadër të Ujit të BE-së. Është e qartë se zbatimi efektiv i DKU-së, siç kërkohet sipas ligjit evropian, nuk është plotësisht i mundur në asnjë prej 6 Baseneve Ujore në Shqipëri. </w:t>
      </w:r>
    </w:p>
    <w:p w14:paraId="4554D9DE" w14:textId="77777777" w:rsidR="00884E5B" w:rsidRPr="00445472" w:rsidRDefault="00884E5B" w:rsidP="00884E5B">
      <w:pPr>
        <w:pStyle w:val="TEKSTIIII"/>
      </w:pPr>
      <w:r w:rsidRPr="00445472">
        <w:t>Zbatimi efektiv i DKU-së kërkon zhvillim të mëtejshëm të kapaciteteve qendrore dhe rajonale për të përmbushur kërkesat specifike të DKU-së dhe, edhe pse të detajuara në ligjet kombëtare dhe të pasqyruara në strukturën institucionale, e cila barazohet me një qëllim serioz për zbatimin e DKU-së në të ardhmen. Shqipëria aktualisht nuk ka kapacitetin teknik për të kryer kërkesat specifike të DKU-së.</w:t>
      </w:r>
    </w:p>
    <w:p w14:paraId="633703BF" w14:textId="77777777" w:rsidR="00884E5B" w:rsidRPr="00445472" w:rsidRDefault="00884E5B" w:rsidP="00884E5B">
      <w:pPr>
        <w:pStyle w:val="TEKSTIIII"/>
      </w:pPr>
      <w:r w:rsidRPr="00445472">
        <w:t xml:space="preserve">Planifikimi i Basenit Ujor ka përfshirë gjithashtu zhvillimin e një modeli të përshtatshëm të basenit ujor si një mjet për vlerësimin e skenarëve të ndryshëm për zhvillimin e burimeve. Aspektet e cilësisë së ujit kanë marrë vëmendje të madhe në plane, pasi përkeqësimi i cilësisë së ujit është një shqetësim në rritje. </w:t>
      </w:r>
    </w:p>
    <w:p w14:paraId="50979805" w14:textId="77777777" w:rsidR="00884E5B" w:rsidRPr="00445472" w:rsidRDefault="00884E5B" w:rsidP="00884E5B">
      <w:pPr>
        <w:pStyle w:val="TEKSTIIII"/>
      </w:pPr>
      <w:r w:rsidRPr="00445472">
        <w:t xml:space="preserve">Procesi i planifikimit të Basenit Ujor propozon sqarime rreth efektivitetit të strukturës aktuale të menaxhimit të ujit dhe përshkruan mandatin e ardhshëm të institucioneve të menaxhimit siç kërkohet nga nevojat e menaxhimit të basenit në tërësi. </w:t>
      </w:r>
    </w:p>
    <w:p w14:paraId="62AFC54A" w14:textId="63C2E7F6" w:rsidR="00884E5B" w:rsidRPr="00445472" w:rsidRDefault="00884E5B" w:rsidP="00884E5B">
      <w:pPr>
        <w:pStyle w:val="TEKSTIIII"/>
        <w:rPr>
          <w:rFonts w:cs="Calibri"/>
        </w:rPr>
      </w:pPr>
      <w:r w:rsidRPr="00445472">
        <w:t xml:space="preserve">Është thelbësore të merret parasysh se gratë në zonat rurale në Shqipëri shpesh përjashtohen nga proceset </w:t>
      </w:r>
      <w:r w:rsidR="00D62EDF" w:rsidRPr="00445472">
        <w:t>vendimmarrëse</w:t>
      </w:r>
      <w:r w:rsidRPr="00445472">
        <w:t xml:space="preserve"> në lidhje me menaxhimin në përgjithësi, edhe pse punojnë dhe menaxhojnë burimet së bashku me burrat. Gjithashtu, të rinjtë priren të përjashtohen nga vendimet, dhe veçanërisht gratë e reja. Kjo kulturë shoqëron gratë dhe burrat së bashku, por që çon në </w:t>
      </w:r>
      <w:r w:rsidR="00D62EDF" w:rsidRPr="00445472">
        <w:t>vendimmarrje</w:t>
      </w:r>
      <w:r w:rsidRPr="00445472">
        <w:t xml:space="preserve"> më pak të diskutuara që nuk marrin parasysh përparësitë e grave, nevojat ose p.sh. idetë e biznesit</w:t>
      </w:r>
      <w:r w:rsidR="00084DB9" w:rsidRPr="00445472">
        <w:t xml:space="preserve"> etj.</w:t>
      </w:r>
      <w:r w:rsidRPr="00445472">
        <w:t xml:space="preserve"> Përfshirja e grave dhe grupeve të moshave të ndryshme është çelësi për të siguruar një marrëveshje të gjerë dhe zbatimin efikas të planeve që do të zhvillohen në kuadër të këtij projekti. Ishte një kërkesë, që konsulenti të kërkojë, kudo që është e mundur, një përfshirje të gjerë të tyre në proces.</w:t>
      </w:r>
    </w:p>
    <w:p w14:paraId="0C30A10C" w14:textId="64F97141" w:rsidR="00884E5B" w:rsidRPr="00445472" w:rsidRDefault="00884E5B" w:rsidP="00884E5B">
      <w:pPr>
        <w:pStyle w:val="TEKSTIIII"/>
      </w:pPr>
      <w:r w:rsidRPr="00445472">
        <w:t xml:space="preserve">Si pjesë e përgatitjes së PMBU-ve, projekti mbështeti aktivitete trajnuese për të forcuar kapacitetin e stafit të menaxhimit të ujërave në menaxhimin e baseneve ujore, me fokus në konceptet e fundit, tendencat dhe praktikat ndërkombëtare të MIBU-së dhe menaxhimin operacional të baseneve ujore. Trajnimi i grave ishte gjithashtu prioritet si një mjet për </w:t>
      </w:r>
      <w:r w:rsidR="001F68B2" w:rsidRPr="00445472">
        <w:t>t’i</w:t>
      </w:r>
      <w:r w:rsidRPr="00445472">
        <w:t xml:space="preserve"> sjellë ato në proces.</w:t>
      </w:r>
    </w:p>
    <w:p w14:paraId="409EF1D2" w14:textId="20CA9D75" w:rsidR="00884E5B" w:rsidRPr="00445472" w:rsidRDefault="00884E5B" w:rsidP="00884E5B">
      <w:pPr>
        <w:pStyle w:val="TEKSTIIII"/>
      </w:pPr>
      <w:r w:rsidRPr="00445472">
        <w:t>Seksionet vijuese më poshtë janë detajuar në këtë draftraport final, të cilat janë rregulluar sipas kërkesave të përgjithshme, shtojca VII e Direktivës Kuadër të Ujit të BE-së (2000/60</w:t>
      </w:r>
      <w:r w:rsidR="001D340B" w:rsidRPr="00445472">
        <w:t>/</w:t>
      </w:r>
      <w:r w:rsidRPr="00445472">
        <w:t xml:space="preserve">KE). </w:t>
      </w:r>
    </w:p>
    <w:p w14:paraId="2CAFE26D" w14:textId="7E56909B" w:rsidR="00884E5B" w:rsidRPr="00445472" w:rsidRDefault="00884E5B" w:rsidP="00884E5B">
      <w:pPr>
        <w:pStyle w:val="TEKSTIIII"/>
        <w:rPr>
          <w:b/>
        </w:rPr>
      </w:pPr>
      <w:r w:rsidRPr="00445472">
        <w:rPr>
          <w:b/>
        </w:rPr>
        <w:t xml:space="preserve">Seksioni 2 </w:t>
      </w:r>
      <w:r w:rsidRPr="00445472">
        <w:t xml:space="preserve">i këtij raporti ofron një përshkrim të akteve ligjore që rregullojnë menaxhimin e ujërave në Basenin Ujor </w:t>
      </w:r>
      <w:r w:rsidR="007E76E3" w:rsidRPr="00445472">
        <w:t>Drin–Bunë</w:t>
      </w:r>
      <w:r w:rsidRPr="00445472">
        <w:t xml:space="preserve">. </w:t>
      </w:r>
    </w:p>
    <w:p w14:paraId="728E40F8" w14:textId="77777777" w:rsidR="00884E5B" w:rsidRPr="00445472" w:rsidRDefault="00884E5B" w:rsidP="00884E5B">
      <w:pPr>
        <w:pStyle w:val="TEKSTIIII"/>
        <w:rPr>
          <w:b/>
        </w:rPr>
      </w:pPr>
      <w:r w:rsidRPr="00445472">
        <w:rPr>
          <w:b/>
        </w:rPr>
        <w:t xml:space="preserve">Seksioni 3: </w:t>
      </w:r>
      <w:r w:rsidRPr="00445472">
        <w:rPr>
          <w:b/>
        </w:rPr>
        <w:tab/>
      </w:r>
      <w:r w:rsidRPr="00445472">
        <w:t>Karakteristikat e Përgjithshme të Basenit Ujor.</w:t>
      </w:r>
    </w:p>
    <w:p w14:paraId="565F4DF9" w14:textId="3FE2A3B9" w:rsidR="00884E5B" w:rsidRPr="00445472" w:rsidRDefault="00884E5B" w:rsidP="00884E5B">
      <w:pPr>
        <w:pStyle w:val="TEKSTIIII"/>
      </w:pPr>
      <w:r w:rsidRPr="00445472">
        <w:rPr>
          <w:b/>
        </w:rPr>
        <w:t>Seksioni 4</w:t>
      </w:r>
      <w:r w:rsidRPr="00445472">
        <w:t>: Presione të rëndësishme në Basenin Ujor, që përfshin ujërat sipërfaqësor</w:t>
      </w:r>
      <w:r w:rsidR="0086054F" w:rsidRPr="00445472">
        <w:t>e</w:t>
      </w:r>
      <w:r w:rsidRPr="00445472">
        <w:t>, ujërat nëntokësor</w:t>
      </w:r>
      <w:r w:rsidR="0086054F" w:rsidRPr="00445472">
        <w:t>e</w:t>
      </w:r>
      <w:r w:rsidR="008F0A9F" w:rsidRPr="00445472">
        <w:t>, si dhe</w:t>
      </w:r>
      <w:r w:rsidRPr="00445472">
        <w:t xml:space="preserve"> presione dhe ndikime të tjera.</w:t>
      </w:r>
    </w:p>
    <w:p w14:paraId="213F283E" w14:textId="6C9864BA" w:rsidR="00884E5B" w:rsidRPr="00445472" w:rsidRDefault="00884E5B" w:rsidP="00884E5B">
      <w:pPr>
        <w:pStyle w:val="TEKSTIIII"/>
      </w:pPr>
      <w:r w:rsidRPr="00445472">
        <w:rPr>
          <w:b/>
        </w:rPr>
        <w:t>Seksioni 5</w:t>
      </w:r>
      <w:r w:rsidRPr="00445472">
        <w:t xml:space="preserve">: Zonat e </w:t>
      </w:r>
      <w:r w:rsidR="0086054F" w:rsidRPr="00445472">
        <w:t>mbrojtura</w:t>
      </w:r>
      <w:r w:rsidRPr="00445472">
        <w:t>.</w:t>
      </w:r>
    </w:p>
    <w:p w14:paraId="0EF7A3C0" w14:textId="28F5FC95" w:rsidR="00884E5B" w:rsidRPr="00445472" w:rsidRDefault="00884E5B" w:rsidP="00884E5B">
      <w:pPr>
        <w:pStyle w:val="TEKSTIIII"/>
      </w:pPr>
      <w:r w:rsidRPr="00445472">
        <w:rPr>
          <w:b/>
        </w:rPr>
        <w:t>Seksioni 6</w:t>
      </w:r>
      <w:r w:rsidRPr="00445472">
        <w:t xml:space="preserve">: Monitorimi i </w:t>
      </w:r>
      <w:r w:rsidR="0086054F" w:rsidRPr="00445472">
        <w:t xml:space="preserve">rrjeteve </w:t>
      </w:r>
      <w:r w:rsidRPr="00445472">
        <w:t>për ujërat sipërfaqësor</w:t>
      </w:r>
      <w:r w:rsidR="0086054F" w:rsidRPr="00445472">
        <w:t>e</w:t>
      </w:r>
      <w:r w:rsidRPr="00445472">
        <w:t>, ujërat nëntokësor</w:t>
      </w:r>
      <w:r w:rsidR="0086054F" w:rsidRPr="00445472">
        <w:t>e</w:t>
      </w:r>
      <w:r w:rsidRPr="00445472">
        <w:t xml:space="preserve"> dhe ujërat bregdetar</w:t>
      </w:r>
      <w:r w:rsidR="0086054F" w:rsidRPr="00445472">
        <w:t>e</w:t>
      </w:r>
    </w:p>
    <w:p w14:paraId="4D51AC54" w14:textId="7688BFC4" w:rsidR="00884E5B" w:rsidRPr="00445472" w:rsidRDefault="00884E5B" w:rsidP="00884E5B">
      <w:pPr>
        <w:pStyle w:val="TEKSTIIII"/>
      </w:pPr>
      <w:r w:rsidRPr="00445472">
        <w:rPr>
          <w:b/>
        </w:rPr>
        <w:t>Seksioni 7</w:t>
      </w:r>
      <w:r w:rsidRPr="00445472">
        <w:t>: Statusi i ujit referuar përmbajtjes kimike dhe ekologjisë për lumenjtë, liqenet dhe ujërat bregdetar</w:t>
      </w:r>
      <w:r w:rsidR="0086054F" w:rsidRPr="00445472">
        <w:t>e</w:t>
      </w:r>
      <w:r w:rsidRPr="00445472">
        <w:t xml:space="preserve">. </w:t>
      </w:r>
    </w:p>
    <w:p w14:paraId="514CF977" w14:textId="77777777" w:rsidR="00884E5B" w:rsidRPr="00445472" w:rsidRDefault="00884E5B" w:rsidP="00884E5B">
      <w:pPr>
        <w:pStyle w:val="TEKSTIIII"/>
      </w:pPr>
      <w:r w:rsidRPr="00445472">
        <w:rPr>
          <w:b/>
        </w:rPr>
        <w:t>Seksioni 8</w:t>
      </w:r>
      <w:r w:rsidRPr="00445472">
        <w:t>: Infrastruktura ujore, e cila përfshin nxjerrjen dhe trajtimin e ujit, trajtimin e ujërave të ndotur, hidrocentralet dhe ujitjen.</w:t>
      </w:r>
    </w:p>
    <w:p w14:paraId="110B3A1A" w14:textId="77777777" w:rsidR="00884E5B" w:rsidRPr="00445472" w:rsidRDefault="00884E5B" w:rsidP="00884E5B">
      <w:pPr>
        <w:pStyle w:val="TEKSTIIII"/>
      </w:pPr>
      <w:r w:rsidRPr="00445472">
        <w:rPr>
          <w:b/>
        </w:rPr>
        <w:t>Seksioni 9</w:t>
      </w:r>
      <w:r w:rsidRPr="00445472">
        <w:t>: Menaxhimi i përmbytjeve.</w:t>
      </w:r>
    </w:p>
    <w:p w14:paraId="76C0B230" w14:textId="77777777" w:rsidR="00884E5B" w:rsidRPr="00445472" w:rsidRDefault="00884E5B" w:rsidP="00884E5B">
      <w:pPr>
        <w:pStyle w:val="TEKSTIIII"/>
      </w:pPr>
      <w:r w:rsidRPr="00445472">
        <w:rPr>
          <w:b/>
        </w:rPr>
        <w:t>Seksioni 10</w:t>
      </w:r>
      <w:r w:rsidRPr="00445472">
        <w:t>: Objektivat mjedisorë.</w:t>
      </w:r>
    </w:p>
    <w:p w14:paraId="5980C4DC" w14:textId="77777777" w:rsidR="00884E5B" w:rsidRPr="00445472" w:rsidRDefault="00884E5B" w:rsidP="00884E5B">
      <w:pPr>
        <w:pStyle w:val="TEKSTIIII"/>
      </w:pPr>
      <w:r w:rsidRPr="00445472">
        <w:rPr>
          <w:b/>
        </w:rPr>
        <w:t>Seksioni 11</w:t>
      </w:r>
      <w:r w:rsidRPr="00445472">
        <w:t>: Analiza ekonomike e përdorimit të ujit.</w:t>
      </w:r>
    </w:p>
    <w:p w14:paraId="3C0D1BA4" w14:textId="77777777" w:rsidR="00884E5B" w:rsidRPr="00445472" w:rsidRDefault="00884E5B" w:rsidP="00884E5B">
      <w:pPr>
        <w:pStyle w:val="TEKSTIIII"/>
      </w:pPr>
      <w:r w:rsidRPr="00445472">
        <w:rPr>
          <w:b/>
        </w:rPr>
        <w:t>Seksioni 12</w:t>
      </w:r>
      <w:r w:rsidRPr="00445472">
        <w:t>: Programi masave.</w:t>
      </w:r>
    </w:p>
    <w:p w14:paraId="5DEA35BF" w14:textId="77777777" w:rsidR="00884E5B" w:rsidRPr="00445472" w:rsidRDefault="00884E5B" w:rsidP="00884E5B">
      <w:pPr>
        <w:pStyle w:val="TEKSTIIII"/>
      </w:pPr>
      <w:r w:rsidRPr="00445472">
        <w:rPr>
          <w:b/>
        </w:rPr>
        <w:t>Seksioni 13</w:t>
      </w:r>
      <w:r w:rsidRPr="00445472">
        <w:t>: Konsultimi i grupeve të interesit.</w:t>
      </w:r>
    </w:p>
    <w:p w14:paraId="7D1CD20D" w14:textId="77777777" w:rsidR="00884E5B" w:rsidRPr="00445472" w:rsidRDefault="00884E5B" w:rsidP="00884E5B">
      <w:pPr>
        <w:pStyle w:val="TEKSTIIII"/>
      </w:pPr>
      <w:r w:rsidRPr="00445472">
        <w:rPr>
          <w:b/>
        </w:rPr>
        <w:t>Seksioni 14</w:t>
      </w:r>
      <w:r w:rsidRPr="00445472">
        <w:t>: Objektivat dhe rekomandimet kryesore.</w:t>
      </w:r>
    </w:p>
    <w:p w14:paraId="55B32B9E" w14:textId="77777777" w:rsidR="00884E5B" w:rsidRPr="00445472" w:rsidRDefault="00884E5B" w:rsidP="00884E5B">
      <w:pPr>
        <w:pStyle w:val="TEKSTIIII"/>
        <w:rPr>
          <w:b/>
        </w:rPr>
      </w:pPr>
      <w:r w:rsidRPr="00445472">
        <w:rPr>
          <w:b/>
        </w:rPr>
        <w:t>Shtojcat</w:t>
      </w:r>
    </w:p>
    <w:p w14:paraId="5CF6EDEF" w14:textId="1525F2F6" w:rsidR="00DA3AFE" w:rsidRPr="00445472" w:rsidRDefault="00DA3AFE" w:rsidP="00196549">
      <w:pPr>
        <w:pStyle w:val="TEKSTIIII"/>
      </w:pPr>
    </w:p>
    <w:p w14:paraId="3E357879" w14:textId="25F5C55D" w:rsidR="00CC7889" w:rsidRPr="00445472" w:rsidRDefault="0022341C" w:rsidP="00CC7889">
      <w:pPr>
        <w:pStyle w:val="TEKSTIIII"/>
        <w:rPr>
          <w:b/>
        </w:rPr>
      </w:pPr>
      <w:bookmarkStart w:id="12" w:name="_Toc11068736"/>
      <w:r>
        <w:rPr>
          <w:b/>
        </w:rPr>
        <w:t>2</w:t>
      </w:r>
      <w:r w:rsidR="00CC7889" w:rsidRPr="00445472">
        <w:rPr>
          <w:b/>
        </w:rPr>
        <w:t xml:space="preserve">. Korniza </w:t>
      </w:r>
      <w:r w:rsidR="00D62EDF" w:rsidRPr="00445472">
        <w:rPr>
          <w:b/>
        </w:rPr>
        <w:t>ligjore dhe institucionale për menaxhimin e ujërave</w:t>
      </w:r>
      <w:bookmarkEnd w:id="12"/>
    </w:p>
    <w:p w14:paraId="245B8184" w14:textId="77777777" w:rsidR="00CC7889" w:rsidRPr="00445472" w:rsidRDefault="00CC7889" w:rsidP="00CC7889">
      <w:pPr>
        <w:pStyle w:val="TEKSTIIII"/>
      </w:pPr>
      <w:r w:rsidRPr="00445472">
        <w:t xml:space="preserve">Ndërsa Shqipëria po ecën drejt anëtarësimit në BE, kuadri ligjor dhe institucional dhe baza e njohurive për adresimin e përgatitjes, planifikimit, zbatimit dhe vlerësimit të politikave janë në zhvillim të vazhdueshëm, me synim përgjegjësi të qarta dhe transparencë në zbatimin e </w:t>
      </w:r>
      <w:r w:rsidRPr="00445472">
        <w:rPr>
          <w:i/>
        </w:rPr>
        <w:t>Acquis</w:t>
      </w:r>
      <w:r w:rsidRPr="00445472">
        <w:t>-së së BE-së. Transpozimi i plotë i Direktivave përkatëse të BE-së ende nuk është arritur, një përmbledhje e fazës aktuale të transpozimit, mund të gjendet në Shtojcën 1, të dokumentit aktual. Legjislacioni dhe rregulloret për menaxhimin e ujërave ndahen në katër seksione kryesore: legjislacioni primar, legjislacioni sekondar, legjislacioni ndërsektorial dhe Direktivat e BE-së.</w:t>
      </w:r>
    </w:p>
    <w:p w14:paraId="23F046BA" w14:textId="080C8474" w:rsidR="00CC7889" w:rsidRPr="00445472" w:rsidRDefault="00D14DD5" w:rsidP="00CC7889">
      <w:pPr>
        <w:pStyle w:val="TEKSTIIII"/>
        <w:rPr>
          <w:b/>
        </w:rPr>
      </w:pPr>
      <w:bookmarkStart w:id="13" w:name="_Toc485917390"/>
      <w:bookmarkStart w:id="14" w:name="_Toc11068737"/>
      <w:r w:rsidRPr="00445472">
        <w:rPr>
          <w:b/>
        </w:rPr>
        <w:t xml:space="preserve">2.1 </w:t>
      </w:r>
      <w:r w:rsidR="00CC7889" w:rsidRPr="00445472">
        <w:rPr>
          <w:b/>
        </w:rPr>
        <w:t xml:space="preserve">Legjislacioni </w:t>
      </w:r>
      <w:r w:rsidR="00D62EDF" w:rsidRPr="00445472">
        <w:rPr>
          <w:b/>
        </w:rPr>
        <w:t>primar</w:t>
      </w:r>
      <w:bookmarkEnd w:id="13"/>
      <w:bookmarkEnd w:id="14"/>
    </w:p>
    <w:p w14:paraId="53D60D1C" w14:textId="584C8AE4" w:rsidR="00CC7889" w:rsidRPr="00445472" w:rsidRDefault="00CC7889" w:rsidP="00CC7889">
      <w:pPr>
        <w:pStyle w:val="TEKSTIIII"/>
      </w:pPr>
      <w:r w:rsidRPr="00445472">
        <w:t>Menaxhimi i ujërave në Shqipëri rregullohet me Ligjin nr. 111/2012</w:t>
      </w:r>
      <w:r w:rsidR="00D62EDF" w:rsidRPr="00445472">
        <w:t xml:space="preserve">, “Për </w:t>
      </w:r>
      <w:r w:rsidRPr="00445472">
        <w:t>Menaxhimin e Integruar të Burimeve Ujore</w:t>
      </w:r>
      <w:r w:rsidR="00D62EDF" w:rsidRPr="00445472">
        <w:t>”</w:t>
      </w:r>
      <w:r w:rsidRPr="00445472">
        <w:t>, data 15.11.2012, i ndryshuar me Ligjin Nr. 6/2018 për disa ndryshime dhe shtesa në Ligjin nr. 111/2012</w:t>
      </w:r>
      <w:r w:rsidR="00D62EDF" w:rsidRPr="00445472">
        <w:t xml:space="preserve">, “Për </w:t>
      </w:r>
      <w:r w:rsidRPr="00445472">
        <w:t>Menaxhimin e Integruar të Burimeve Ujore</w:t>
      </w:r>
      <w:r w:rsidR="00D62EDF" w:rsidRPr="00445472">
        <w:t>”</w:t>
      </w:r>
      <w:r w:rsidRPr="00445472">
        <w:t>, duke mundësuar:</w:t>
      </w:r>
    </w:p>
    <w:p w14:paraId="55C1C635" w14:textId="7E0DC2CB" w:rsidR="00CC7889" w:rsidRPr="00445472" w:rsidRDefault="00D14DD5" w:rsidP="00CC7889">
      <w:pPr>
        <w:pStyle w:val="TEKSTIIII"/>
      </w:pPr>
      <w:r w:rsidRPr="00445472">
        <w:t>-</w:t>
      </w:r>
      <w:r w:rsidR="001B4111">
        <w:t xml:space="preserve"> </w:t>
      </w:r>
      <w:r w:rsidR="00CC7889" w:rsidRPr="00445472">
        <w:t>Mbrojtjen dhe përmirësimin e mjedisit ujor, ujërat sipërfaqësor</w:t>
      </w:r>
      <w:r w:rsidR="0086054F" w:rsidRPr="00445472">
        <w:t>e</w:t>
      </w:r>
      <w:r w:rsidR="00CC7889" w:rsidRPr="00445472">
        <w:t>, të përkohsh</w:t>
      </w:r>
      <w:r w:rsidR="0086054F" w:rsidRPr="00445472">
        <w:t>me</w:t>
      </w:r>
      <w:r w:rsidR="00CC7889" w:rsidRPr="00445472">
        <w:t xml:space="preserve"> ose të përhersh</w:t>
      </w:r>
      <w:r w:rsidR="0086054F" w:rsidRPr="00445472">
        <w:t>me</w:t>
      </w:r>
      <w:r w:rsidR="00CC7889" w:rsidRPr="00445472">
        <w:t>, ujërat detar</w:t>
      </w:r>
      <w:r w:rsidR="0086054F" w:rsidRPr="00445472">
        <w:t>e</w:t>
      </w:r>
      <w:r w:rsidR="00CC7889" w:rsidRPr="00445472">
        <w:t>, ujërat territorial</w:t>
      </w:r>
      <w:r w:rsidR="0086054F" w:rsidRPr="00445472">
        <w:t>e</w:t>
      </w:r>
      <w:r w:rsidR="00CC7889" w:rsidRPr="00445472">
        <w:t>, zonat ekonomike ekskluzive, shelfin kontinental, ujërat ndërkufitar</w:t>
      </w:r>
      <w:r w:rsidR="0086054F" w:rsidRPr="00445472">
        <w:t>e</w:t>
      </w:r>
      <w:r w:rsidR="00CC7889" w:rsidRPr="00445472">
        <w:t>, ujërat nëntokësor</w:t>
      </w:r>
      <w:r w:rsidR="0086054F" w:rsidRPr="00445472">
        <w:t>e</w:t>
      </w:r>
      <w:r w:rsidR="00CC7889" w:rsidRPr="00445472">
        <w:t xml:space="preserve"> dhe statusin e tyre;</w:t>
      </w:r>
    </w:p>
    <w:p w14:paraId="05DDD3B2" w14:textId="70F6E413" w:rsidR="00CC7889" w:rsidRPr="00445472" w:rsidRDefault="00D14DD5" w:rsidP="00CC7889">
      <w:pPr>
        <w:pStyle w:val="TEKSTIIII"/>
      </w:pPr>
      <w:r w:rsidRPr="00445472">
        <w:t>-</w:t>
      </w:r>
      <w:r w:rsidR="001B4111">
        <w:t xml:space="preserve"> </w:t>
      </w:r>
      <w:r w:rsidR="00CC7889" w:rsidRPr="00445472">
        <w:t>Sigurimin, mbrojtjen, zhvillimin dhe përdorimin e qëndrueshëm të burimeve ujore, të nevojshme për jetën dhe për zhvillimin social dhe ekonomik të vendit;</w:t>
      </w:r>
    </w:p>
    <w:p w14:paraId="2A0F117B" w14:textId="4A989055" w:rsidR="00CC7889" w:rsidRPr="00445472" w:rsidRDefault="00D14DD5" w:rsidP="00CC7889">
      <w:pPr>
        <w:pStyle w:val="TEKSTIIII"/>
      </w:pPr>
      <w:r w:rsidRPr="00445472">
        <w:t>-</w:t>
      </w:r>
      <w:r w:rsidR="001B4111">
        <w:t xml:space="preserve"> </w:t>
      </w:r>
      <w:r w:rsidR="00CC7889" w:rsidRPr="00445472">
        <w:t>Shpërndarjen e barabartë të burimeve ujore, siç parashikohet nga menaxhimi efektiv i tyre;</w:t>
      </w:r>
    </w:p>
    <w:p w14:paraId="5F83D00A" w14:textId="77777777" w:rsidR="000932B8" w:rsidRDefault="001B4111" w:rsidP="000932B8">
      <w:pPr>
        <w:pStyle w:val="TEKSTIIII"/>
      </w:pPr>
      <w:r>
        <w:t>-</w:t>
      </w:r>
      <w:r w:rsidR="000932B8">
        <w:t xml:space="preserve"> </w:t>
      </w:r>
      <w:r w:rsidR="00CC7889" w:rsidRPr="00445472">
        <w:t>Mbrojtjen e burimeve ujore nga ndotja, përdorimi i tepruar dhe promovimi i konsumit, duke u bazuar në nevojat aktuale;</w:t>
      </w:r>
    </w:p>
    <w:p w14:paraId="6DB7D10C" w14:textId="12FDB193" w:rsidR="00CC7889" w:rsidRPr="00445472" w:rsidRDefault="000932B8" w:rsidP="000932B8">
      <w:pPr>
        <w:pStyle w:val="TEKSTIIII"/>
      </w:pPr>
      <w:r>
        <w:t xml:space="preserve">- </w:t>
      </w:r>
      <w:r w:rsidR="00CC7889" w:rsidRPr="00445472">
        <w:t>Krijimin e kornizës institucionale, në nivel kombëtar dhe lokal, i nevojshëm për zbatimin e një politike kombëtare për administrimin dhe menaxhimin e burimeve ujore në dobi të komuniteteve dhe sipas interesave sociale dhe ekonomike të vendit.</w:t>
      </w:r>
    </w:p>
    <w:p w14:paraId="3FDBBB49" w14:textId="5E0B5F23" w:rsidR="00CC7889" w:rsidRPr="00445472" w:rsidRDefault="00CC7889" w:rsidP="00CC7889">
      <w:pPr>
        <w:pStyle w:val="TEKSTIIII"/>
      </w:pPr>
      <w:r w:rsidRPr="00445472">
        <w:t xml:space="preserve">Ligji </w:t>
      </w:r>
      <w:r w:rsidR="00D62EDF" w:rsidRPr="00445472">
        <w:t>nr</w:t>
      </w:r>
      <w:r w:rsidRPr="00445472">
        <w:t xml:space="preserve">. 111/2012 i ndryshuar me </w:t>
      </w:r>
      <w:r w:rsidR="00D62EDF" w:rsidRPr="00445472">
        <w:t xml:space="preserve">ligjin nr. </w:t>
      </w:r>
      <w:r w:rsidRPr="00445472">
        <w:t xml:space="preserve">6/2018 për disa ndryshime dhe shtesa në </w:t>
      </w:r>
      <w:r w:rsidR="00D62EDF" w:rsidRPr="00445472">
        <w:t xml:space="preserve">ligjin </w:t>
      </w:r>
      <w:r w:rsidRPr="00445472">
        <w:t>nr. 111/2012</w:t>
      </w:r>
      <w:r w:rsidR="00D62EDF" w:rsidRPr="00445472">
        <w:t>, “Për menaxhimin e integruar të burimeve ujore”</w:t>
      </w:r>
      <w:r w:rsidRPr="00445472">
        <w:t>, integron ligje të ndryshme në një paketë të vetme që synon përmirësimin e gjendjes së ujërave sipërfaqësorë, ujërave nëntokësorë, zonave të mbrojtura</w:t>
      </w:r>
      <w:r w:rsidR="008F0A9F" w:rsidRPr="00445472">
        <w:t>, si dhe</w:t>
      </w:r>
      <w:r w:rsidRPr="00445472">
        <w:t xml:space="preserve"> të ujërave kurative, minerale dhe gjeotermale. Përveç kësaj, fryma e ligjit bazohet në parimin parandalues; duhet të ndërmerren veprime parandaluese, dëmi mjedisor duhet të adresohet me prioritet në burimin e tij dhe ndotësi duhet të paguajë.</w:t>
      </w:r>
    </w:p>
    <w:p w14:paraId="6BACB828" w14:textId="2DEB80B8" w:rsidR="00CC7889" w:rsidRPr="00445472" w:rsidRDefault="00CC7889" w:rsidP="00CC7889">
      <w:pPr>
        <w:pStyle w:val="TEKSTIIII"/>
      </w:pPr>
      <w:r w:rsidRPr="00445472">
        <w:t xml:space="preserve">Kapitulli 1 i </w:t>
      </w:r>
      <w:r w:rsidR="00D62EDF" w:rsidRPr="00445472">
        <w:t xml:space="preserve">ligjit </w:t>
      </w:r>
      <w:r w:rsidRPr="00445472">
        <w:t>nr. 111/2012 ofron përkufizime brenda kontekstit të dhënë me këtë ligj. Si i tillë, ligji përcakton konceptin e Rajonit të Baseneve Ujore dhe parimet e tjera themelore të menaxhimit të integruar të burimeve ujore:</w:t>
      </w:r>
    </w:p>
    <w:p w14:paraId="5C21D229" w14:textId="3EB5E856" w:rsidR="00CC7889" w:rsidRPr="00445472" w:rsidRDefault="00D14DD5" w:rsidP="00CC7889">
      <w:pPr>
        <w:pStyle w:val="TEKSTIIII"/>
      </w:pPr>
      <w:r w:rsidRPr="00445472">
        <w:t>-</w:t>
      </w:r>
      <w:r w:rsidR="00D62EDF" w:rsidRPr="00445472">
        <w:t xml:space="preserve"> </w:t>
      </w:r>
      <w:r w:rsidR="00CC7889" w:rsidRPr="00445472">
        <w:t>Respektimi i integritetit të basenit ujëmbledhës bazuar në kërkesat sociale dhe ekonomike për burimet ujore, mbrojtjen dhe ruajtjen e cilësisë së këtyre burimeve dhe cilësinë e mjedisit për gjeneratat e ardhshme;</w:t>
      </w:r>
    </w:p>
    <w:p w14:paraId="18886403" w14:textId="5634D464" w:rsidR="00CC7889" w:rsidRPr="00445472" w:rsidRDefault="00D14DD5" w:rsidP="00CC7889">
      <w:pPr>
        <w:pStyle w:val="TEKSTIIII"/>
      </w:pPr>
      <w:r w:rsidRPr="00445472">
        <w:t>-</w:t>
      </w:r>
      <w:r w:rsidR="00D62EDF" w:rsidRPr="00445472">
        <w:t xml:space="preserve"> </w:t>
      </w:r>
      <w:r w:rsidR="00CC7889" w:rsidRPr="00445472">
        <w:t>Koordinimi i kontrollit publik mbi burimet ujore nëpërmjet planifikimit të territorit dhe projekteve për zhvillimin socio-ekonomik, në nivel kombëtar dhe lokal;</w:t>
      </w:r>
    </w:p>
    <w:p w14:paraId="437176E5" w14:textId="43C4EBA0" w:rsidR="00CC7889" w:rsidRPr="00445472" w:rsidRDefault="00D14DD5" w:rsidP="00CC7889">
      <w:pPr>
        <w:pStyle w:val="TEKSTIIII"/>
      </w:pPr>
      <w:r w:rsidRPr="00445472">
        <w:t>-</w:t>
      </w:r>
      <w:r w:rsidR="00D62EDF" w:rsidRPr="00445472">
        <w:t xml:space="preserve"> </w:t>
      </w:r>
      <w:r w:rsidR="00CC7889" w:rsidRPr="00445472">
        <w:t>Përdorimi racional i burimeve ujore dhe kontrollit të emetimeve;</w:t>
      </w:r>
    </w:p>
    <w:p w14:paraId="72EB04AF" w14:textId="74903728" w:rsidR="00CC7889" w:rsidRPr="00445472" w:rsidRDefault="00D14DD5" w:rsidP="00CC7889">
      <w:pPr>
        <w:pStyle w:val="TEKSTIIII"/>
      </w:pPr>
      <w:r w:rsidRPr="00445472">
        <w:t>-</w:t>
      </w:r>
      <w:r w:rsidR="00D62EDF" w:rsidRPr="00445472">
        <w:t xml:space="preserve"> </w:t>
      </w:r>
      <w:r w:rsidR="00CC7889" w:rsidRPr="00445472">
        <w:t xml:space="preserve">Respektimi i parimit të rikuperimit të kostos së shërbimeve të ujit, duke përfshirë kostot mjedisore, në përputhje me parimin </w:t>
      </w:r>
      <w:r w:rsidR="00D62EDF" w:rsidRPr="00445472">
        <w:t>“</w:t>
      </w:r>
      <w:r w:rsidR="00CC7889" w:rsidRPr="00445472">
        <w:t>ndotësi paguan</w:t>
      </w:r>
      <w:r w:rsidR="00D62EDF" w:rsidRPr="00445472">
        <w:t>”</w:t>
      </w:r>
      <w:r w:rsidR="00CC7889" w:rsidRPr="00445472">
        <w:t>;</w:t>
      </w:r>
    </w:p>
    <w:p w14:paraId="3D1F9114" w14:textId="77777777" w:rsidR="00CC7889" w:rsidRPr="00445472" w:rsidRDefault="00CC7889" w:rsidP="00CC7889">
      <w:pPr>
        <w:pStyle w:val="TEKSTIIII"/>
      </w:pPr>
      <w:r w:rsidRPr="00445472">
        <w:t>Parimet e mbrojtjes së mjedisit;</w:t>
      </w:r>
    </w:p>
    <w:p w14:paraId="7F0D8E7E" w14:textId="77777777" w:rsidR="00CC7889" w:rsidRPr="00445472" w:rsidRDefault="00CC7889" w:rsidP="00CC7889">
      <w:pPr>
        <w:pStyle w:val="TEKSTIIII"/>
      </w:pPr>
      <w:r w:rsidRPr="00445472">
        <w:t>Sigurimi i një furnizimi të mjaftueshëm të ujërave sipërfaqësorë dhe nëntokësorë të cilësisë së mirë për përdorim të qëndrueshëm, të balancuar dhe të barabartë të ujit;</w:t>
      </w:r>
    </w:p>
    <w:p w14:paraId="46207CFF" w14:textId="5BA0F829" w:rsidR="00CC7889" w:rsidRPr="00445472" w:rsidRDefault="00D14DD5" w:rsidP="00CC7889">
      <w:pPr>
        <w:pStyle w:val="TEKSTIIII"/>
      </w:pPr>
      <w:r w:rsidRPr="00445472">
        <w:t>-</w:t>
      </w:r>
      <w:r w:rsidR="00D62EDF" w:rsidRPr="00445472">
        <w:t xml:space="preserve"> </w:t>
      </w:r>
      <w:r w:rsidR="00CC7889" w:rsidRPr="00445472">
        <w:t>Ndërmarrja e veprimeve parandaluese për të shmangur dëmtimin e burimeve ujore, si një prioritet.</w:t>
      </w:r>
    </w:p>
    <w:p w14:paraId="67681AFA" w14:textId="79CC75B4" w:rsidR="00CC7889" w:rsidRPr="00445472" w:rsidRDefault="00CC7889" w:rsidP="00CC7889">
      <w:pPr>
        <w:pStyle w:val="TEKSTIIII"/>
      </w:pPr>
      <w:r w:rsidRPr="00445472">
        <w:t xml:space="preserve">Në kapitullin 2 të </w:t>
      </w:r>
      <w:r w:rsidR="00D62EDF" w:rsidRPr="00445472">
        <w:t>ligjit n</w:t>
      </w:r>
      <w:r w:rsidRPr="00445472">
        <w:t>r. 111/2012 janë përcaktuar organet e administratës kombëtare dhe organet e menaxhimit të burimeve ujore, së bashku me mandatet dhe përgjegjësitë e tyre përkatëse.</w:t>
      </w:r>
    </w:p>
    <w:p w14:paraId="1FDFC895" w14:textId="789648DF" w:rsidR="00CC7889" w:rsidRPr="00445472" w:rsidRDefault="00CC7889" w:rsidP="00CC7889">
      <w:pPr>
        <w:pStyle w:val="TEKSTIIII"/>
      </w:pPr>
      <w:r w:rsidRPr="00445472">
        <w:t>Të gjithë kapitujt e tjerë të ligjit nr. 111/2012, i ndryshuar me Ligjin Nr. 6/2018 për disa ndryshime dhe shtesa në Ligjin nr. 111/2012</w:t>
      </w:r>
      <w:r w:rsidR="00D62EDF" w:rsidRPr="00445472">
        <w:t xml:space="preserve">, “Për </w:t>
      </w:r>
      <w:r w:rsidRPr="00445472">
        <w:t>Menaxhimin e Integruar të Burimeve Ujore</w:t>
      </w:r>
      <w:r w:rsidR="00D62EDF" w:rsidRPr="00445472">
        <w:t>”</w:t>
      </w:r>
      <w:r w:rsidRPr="00445472">
        <w:t>, ofrojnë sqarimet e nevojshme në lidhje me menaxhimin e burimeve ujore, ndarjen territoriale, dokumentet e planifikimit dhe specifikimet për Strategjinë MIBU. Dispozitat specifike për kontrollin e ndotjes, zonat e mbrojtura, mbrojtjen e zonave të prirura ndaj ndotjes</w:t>
      </w:r>
      <w:r w:rsidR="008F0A9F" w:rsidRPr="00445472">
        <w:t>, si dhe</w:t>
      </w:r>
      <w:r w:rsidRPr="00445472">
        <w:t xml:space="preserve"> masat për mbrojtjen e burimeve ujore e lidhin ligjin me Direktivën Kuadër të Ujit të BE-së dhe legjislacionin tjetër kombëtar që rregullon sa më sipër.</w:t>
      </w:r>
    </w:p>
    <w:p w14:paraId="671EB4D9" w14:textId="5C4B73BE" w:rsidR="00CC7889" w:rsidRPr="00445472" w:rsidRDefault="00CC7889" w:rsidP="00CC7889">
      <w:pPr>
        <w:pStyle w:val="TEKSTIIII"/>
      </w:pPr>
      <w:r w:rsidRPr="00445472">
        <w:t xml:space="preserve">Kapitujt pasues të </w:t>
      </w:r>
      <w:r w:rsidR="00D62EDF" w:rsidRPr="00445472">
        <w:t xml:space="preserve">ligjit </w:t>
      </w:r>
      <w:r w:rsidRPr="00445472">
        <w:t xml:space="preserve">nr. 111/2012, i ndryshuar me </w:t>
      </w:r>
      <w:r w:rsidR="00D62EDF" w:rsidRPr="00445472">
        <w:t>ligjin n</w:t>
      </w:r>
      <w:r w:rsidRPr="00445472">
        <w:t xml:space="preserve">r. 6/2018 për disa ndryshime dhe shtesa në </w:t>
      </w:r>
      <w:r w:rsidR="00D62EDF" w:rsidRPr="00445472">
        <w:t xml:space="preserve">ligjin </w:t>
      </w:r>
      <w:r w:rsidRPr="00445472">
        <w:t>nr. 111/2012</w:t>
      </w:r>
      <w:r w:rsidR="00D62EDF" w:rsidRPr="00445472">
        <w:t>, “Për menaxhimin e integruar të burimeve ujo</w:t>
      </w:r>
      <w:r w:rsidRPr="00445472">
        <w:t>re</w:t>
      </w:r>
      <w:r w:rsidR="00D62EDF" w:rsidRPr="00445472">
        <w:t>”</w:t>
      </w:r>
      <w:r w:rsidRPr="00445472">
        <w:t>, detajojnë aspektet e mëposhtme në MIBU:</w:t>
      </w:r>
    </w:p>
    <w:p w14:paraId="200CD5EE" w14:textId="54722D30" w:rsidR="00CC7889" w:rsidRPr="00445472" w:rsidRDefault="003914BC" w:rsidP="00CC7889">
      <w:pPr>
        <w:pStyle w:val="TEKSTIIII"/>
      </w:pPr>
      <w:r w:rsidRPr="00445472">
        <w:t>-</w:t>
      </w:r>
      <w:r w:rsidR="00D62EDF" w:rsidRPr="00445472">
        <w:t xml:space="preserve"> </w:t>
      </w:r>
      <w:r w:rsidR="00CC7889" w:rsidRPr="00445472">
        <w:t>Kapitulli 5 trajton përdorimin e burimeve ujore përmes autorizimeve, lejeve dhe kontratave të koncesionit. Gjithashtu përcakton prioritetet, qëllimin dhe rrethanat për përdorimin e burimeve ujore. Mbrojtja e burimeve natyrore, ujërave kuruese, ujërave minerale dhe gjeotermale tani trajtohen dhe rregullohen duke përcaktuar rregullat dhe parimet për të drejtën e pronësisë dhe përdorimin ekonomik në përputhje me zhvillimin e qëndrueshëm mjedisor të këtyre burimeve të kufizuara</w:t>
      </w:r>
      <w:r w:rsidR="00D62EDF" w:rsidRPr="00445472">
        <w:t>.</w:t>
      </w:r>
    </w:p>
    <w:p w14:paraId="2777D0EC" w14:textId="3661A7B8" w:rsidR="00CC7889" w:rsidRPr="00445472" w:rsidRDefault="003914BC" w:rsidP="00CC7889">
      <w:pPr>
        <w:pStyle w:val="TEKSTIIII"/>
      </w:pPr>
      <w:r w:rsidRPr="00445472">
        <w:t>-</w:t>
      </w:r>
      <w:r w:rsidR="00D62EDF" w:rsidRPr="00445472">
        <w:t xml:space="preserve"> </w:t>
      </w:r>
      <w:r w:rsidR="00CC7889" w:rsidRPr="00445472">
        <w:t xml:space="preserve">Kapitulli 7 detajon procesin e autorizimit, lejimit dhe koncesionit për përdorimin e burimeve ujore në përputhje me </w:t>
      </w:r>
      <w:r w:rsidR="00D62EDF" w:rsidRPr="00445472">
        <w:t xml:space="preserve">ligjin </w:t>
      </w:r>
      <w:r w:rsidR="00A22C31" w:rsidRPr="00445472">
        <w:t>nr. 10081, datë 23.</w:t>
      </w:r>
      <w:r w:rsidR="00CC7889" w:rsidRPr="00445472">
        <w:t>2.2009</w:t>
      </w:r>
      <w:r w:rsidR="00D62EDF" w:rsidRPr="00445472">
        <w:t>, “Për licencat</w:t>
      </w:r>
      <w:r w:rsidR="00CC7889" w:rsidRPr="00445472">
        <w:t>, autorizimet dhe lejet në Republikën e Shqipërisë</w:t>
      </w:r>
      <w:r w:rsidR="00D62EDF" w:rsidRPr="00445472">
        <w:t>”</w:t>
      </w:r>
      <w:r w:rsidR="00CC7889" w:rsidRPr="00445472">
        <w:t xml:space="preserve"> dhe aktet nënligjore, të ndryshuar. Subjekti i ligjit të sipërpërmendur janë zonat e mbrojtjes higjieno-sanitare. Ligji përcakton zonat e mbrojtjes higjieno-sanitare, rëndësinë e tyre dhe mënyrën e përcaktimit të kufijve të tyre, e cila miratohet nga Këshilli i Ministrave me propozimin e MBZHR-së</w:t>
      </w:r>
      <w:r w:rsidR="00D62EDF" w:rsidRPr="00445472">
        <w:t>.</w:t>
      </w:r>
    </w:p>
    <w:p w14:paraId="3A96AFD2" w14:textId="6FB78310" w:rsidR="00CC7889" w:rsidRPr="00445472" w:rsidRDefault="003914BC" w:rsidP="00CC7889">
      <w:pPr>
        <w:pStyle w:val="TEKSTIIII"/>
      </w:pPr>
      <w:r w:rsidRPr="00445472">
        <w:t>-</w:t>
      </w:r>
      <w:r w:rsidR="00D62EDF" w:rsidRPr="00445472">
        <w:t xml:space="preserve"> </w:t>
      </w:r>
      <w:r w:rsidR="00CC7889" w:rsidRPr="00445472">
        <w:t>Kapitulli 8 adreson zonat dhe sipërfaqet e mbrojtura, duke dhënë detaje mbi llojet e zonave dhe sipërfaqeve të mbrojtura dhe mbi përgjegjësinë e disa prej autoriteteve qendrore (Këshilli i Ministrave, ministritë e linjës, Këshillit Kombëtar të Ujit etj.) në përcaktimin, rregulloren dhe menaxhimin e këtyre zonave.</w:t>
      </w:r>
    </w:p>
    <w:p w14:paraId="41E3ED12" w14:textId="473C21C8" w:rsidR="00CC7889" w:rsidRPr="00445472" w:rsidRDefault="003914BC" w:rsidP="00CC7889">
      <w:pPr>
        <w:pStyle w:val="TEKSTIIII"/>
      </w:pPr>
      <w:r w:rsidRPr="00445472">
        <w:t>-</w:t>
      </w:r>
      <w:r w:rsidR="00D62EDF" w:rsidRPr="00445472">
        <w:t xml:space="preserve"> </w:t>
      </w:r>
      <w:r w:rsidR="00CC7889" w:rsidRPr="00445472">
        <w:t>Kapitulli 10 parashikon organet e administrimit dhe menaxhimit të burimeve ujore, me qëllim sigurimin e njerëzve, kafshëve dhe sigurinë e pronës duke marrë masat e duhura në zonat e prekura nga përmbytjet</w:t>
      </w:r>
      <w:r w:rsidR="00D62EDF" w:rsidRPr="00445472">
        <w:t>.</w:t>
      </w:r>
    </w:p>
    <w:p w14:paraId="600AA6F3" w14:textId="4492C226" w:rsidR="00CC7889" w:rsidRPr="00445472" w:rsidRDefault="003914BC" w:rsidP="00CC7889">
      <w:pPr>
        <w:pStyle w:val="TEKSTIIII"/>
      </w:pPr>
      <w:r w:rsidRPr="00445472">
        <w:t>-</w:t>
      </w:r>
      <w:r w:rsidR="00D62EDF" w:rsidRPr="00445472">
        <w:t xml:space="preserve"> </w:t>
      </w:r>
      <w:r w:rsidR="00CC7889" w:rsidRPr="00445472">
        <w:t>Kapitulli 11 përcakton që aktivitetet e ndërtimit për shfrytëzimin e burimeve ujore ose për parandalimin e efekteve të pafavorshme të ujit, të kryera si shërbime publike, janë subjekt i kontratave të autorizimit, lejimit ose koncesionit</w:t>
      </w:r>
      <w:r w:rsidR="00D62EDF" w:rsidRPr="00445472">
        <w:t>.</w:t>
      </w:r>
    </w:p>
    <w:p w14:paraId="13B3A933" w14:textId="09767594" w:rsidR="00CC7889" w:rsidRPr="00445472" w:rsidRDefault="003914BC" w:rsidP="00CC7889">
      <w:pPr>
        <w:pStyle w:val="TEKSTIIII"/>
      </w:pPr>
      <w:r w:rsidRPr="00445472">
        <w:t>-</w:t>
      </w:r>
      <w:r w:rsidR="00D62EDF" w:rsidRPr="00445472">
        <w:t xml:space="preserve"> </w:t>
      </w:r>
      <w:r w:rsidR="00CC7889" w:rsidRPr="00445472">
        <w:t>Kapitulli 12 ofron kushtet për shkarkimet në trupat ujorë, sistemet e ujërave nëntokësorë dhe të ujërave të ndotur, të cilat kryhen pas marrjes së një lejeje ose autorizimi të lëshuar nga institucionet përkatëse të menaxhimit dhe</w:t>
      </w:r>
      <w:r w:rsidR="001D340B" w:rsidRPr="00445472">
        <w:t>/</w:t>
      </w:r>
      <w:r w:rsidR="00CC7889" w:rsidRPr="00445472">
        <w:t>ose administrative të burimeve ujore;</w:t>
      </w:r>
    </w:p>
    <w:p w14:paraId="6E6EB2BC" w14:textId="20896611" w:rsidR="00CC7889" w:rsidRPr="00445472" w:rsidRDefault="003914BC" w:rsidP="00CC7889">
      <w:pPr>
        <w:pStyle w:val="TEKSTIIII"/>
      </w:pPr>
      <w:r w:rsidRPr="00445472">
        <w:t>-</w:t>
      </w:r>
      <w:r w:rsidR="00D62EDF" w:rsidRPr="00445472">
        <w:t xml:space="preserve"> </w:t>
      </w:r>
      <w:r w:rsidR="00CC7889" w:rsidRPr="00445472">
        <w:t>Kapitulli 15 jep detaje mbi ruajtjen e statusit të ujërave detarë, ujërave sipërfaqësorë, ujërave nëntokësorë dhe zonave të mbrojtura.</w:t>
      </w:r>
    </w:p>
    <w:p w14:paraId="27CBD2C1" w14:textId="43157298" w:rsidR="00CC7889" w:rsidRPr="00445472" w:rsidRDefault="00CC7889" w:rsidP="00CC7889">
      <w:pPr>
        <w:pStyle w:val="TEKSTIIII"/>
      </w:pPr>
      <w:r w:rsidRPr="00445472">
        <w:t xml:space="preserve">Ligji nr. 111/2012, i ndryshuar me </w:t>
      </w:r>
      <w:r w:rsidR="00D62EDF" w:rsidRPr="00445472">
        <w:t xml:space="preserve">ligjin </w:t>
      </w:r>
      <w:r w:rsidRPr="00445472">
        <w:t xml:space="preserve">nr. 6/2018 për disa ndryshime dhe shtesa në </w:t>
      </w:r>
      <w:r w:rsidR="00D62EDF" w:rsidRPr="00445472">
        <w:t xml:space="preserve">ligjin </w:t>
      </w:r>
      <w:r w:rsidRPr="00445472">
        <w:t>nr. 111/2012</w:t>
      </w:r>
      <w:r w:rsidR="00D62EDF" w:rsidRPr="00445472">
        <w:t>, “Për menaxhimin e integruar të burimeve ujo</w:t>
      </w:r>
      <w:r w:rsidRPr="00445472">
        <w:t>re</w:t>
      </w:r>
      <w:r w:rsidR="00D62EDF" w:rsidRPr="00445472">
        <w:t>”</w:t>
      </w:r>
      <w:r w:rsidRPr="00445472">
        <w:t>, gjithashtu parashikon dhe përcakton përmbajtjen e dokumenteve të politikave ujore, duke përfshirë: objektivin e planifikimit dhe zhvillimit të veprimeve të menaxhimit të ujit sipas zhvillimit ekonomik, demografik, social, mjedisor, kulturor dhe historik; masat e zbatimit, planet operacionale dhe krijimin e buxhetit të nevojshëm për zbatim.</w:t>
      </w:r>
    </w:p>
    <w:p w14:paraId="11FEA8B7" w14:textId="6F47D11D" w:rsidR="00CC7889" w:rsidRPr="00445472" w:rsidRDefault="003914BC" w:rsidP="00A77FAB">
      <w:pPr>
        <w:pStyle w:val="NENTITULL"/>
      </w:pPr>
      <w:bookmarkStart w:id="15" w:name="_Toc485917391"/>
      <w:bookmarkStart w:id="16" w:name="_Toc11068738"/>
      <w:r w:rsidRPr="00445472">
        <w:t xml:space="preserve">2.2 </w:t>
      </w:r>
      <w:r w:rsidR="00CC7889" w:rsidRPr="00445472">
        <w:t>Legjislacioni sekondar (aktet nënligjore)</w:t>
      </w:r>
      <w:bookmarkEnd w:id="15"/>
      <w:bookmarkEnd w:id="16"/>
    </w:p>
    <w:p w14:paraId="719B2BDA" w14:textId="582F1A70" w:rsidR="00CC7889" w:rsidRPr="00445472" w:rsidRDefault="00CC7889" w:rsidP="00CC7889">
      <w:pPr>
        <w:pStyle w:val="TEKSTIIII"/>
      </w:pPr>
      <w:r w:rsidRPr="00445472">
        <w:t xml:space="preserve">Ligji nr. 6/2018 për disa ndryshime dhe shtesa në </w:t>
      </w:r>
      <w:r w:rsidR="00A22C31" w:rsidRPr="00445472">
        <w:t xml:space="preserve">ligjin </w:t>
      </w:r>
      <w:r w:rsidRPr="00445472">
        <w:t>nr. 111/2012</w:t>
      </w:r>
      <w:r w:rsidR="00D62EDF" w:rsidRPr="00445472">
        <w:t xml:space="preserve">, “Për </w:t>
      </w:r>
      <w:r w:rsidR="00A22C31" w:rsidRPr="00445472">
        <w:t>menaxhimin e integruar të burimeve ujore</w:t>
      </w:r>
      <w:r w:rsidR="00D62EDF" w:rsidRPr="00445472">
        <w:t>”</w:t>
      </w:r>
      <w:r w:rsidRPr="00445472">
        <w:t>, duhet të plotësohet me disa akte të mbetura sekondare. Legjislacioni sekondar aktual për menaxhimin e ujërave (aktet nënligjore) përfshin:</w:t>
      </w:r>
    </w:p>
    <w:p w14:paraId="68EE2CF3" w14:textId="4B0FA7A6" w:rsidR="00CC7889" w:rsidRPr="00445472" w:rsidRDefault="00A77FAB" w:rsidP="00CC7889">
      <w:pPr>
        <w:pStyle w:val="TEKSTIIII"/>
      </w:pPr>
      <w:r w:rsidRPr="00445472">
        <w:t>-</w:t>
      </w:r>
      <w:r w:rsidR="00A078B0" w:rsidRPr="00445472">
        <w:t xml:space="preserve"> VKM nr. 416, datë 13.</w:t>
      </w:r>
      <w:r w:rsidR="00CC7889" w:rsidRPr="00445472">
        <w:t>5.2015</w:t>
      </w:r>
      <w:r w:rsidR="00D62EDF" w:rsidRPr="00445472">
        <w:t xml:space="preserve">, “Për </w:t>
      </w:r>
      <w:r w:rsidR="00CC7889" w:rsidRPr="00445472">
        <w:t>miratimin e kushteve të përgjithshme dhe të veçanta, dokumentacionin shoqërues, periudhën e vlefshmërisë, formularët e aplikimit për autorizimet dhe lejet, procedurat për vendimmarrje dhe llojet e autorizimit dhe lejeve për shfrytëzimin e burimeve ujore</w:t>
      </w:r>
      <w:r w:rsidR="00D62EDF" w:rsidRPr="00445472">
        <w:t>”</w:t>
      </w:r>
      <w:r w:rsidR="00CC7889" w:rsidRPr="00445472">
        <w:t xml:space="preserve">; </w:t>
      </w:r>
    </w:p>
    <w:p w14:paraId="143F4FB4" w14:textId="4CA93E72" w:rsidR="00CC7889" w:rsidRPr="00445472" w:rsidRDefault="00A77FAB" w:rsidP="00CC7889">
      <w:pPr>
        <w:pStyle w:val="TEKSTIIII"/>
      </w:pPr>
      <w:r w:rsidRPr="00445472">
        <w:t>-</w:t>
      </w:r>
      <w:r w:rsidR="00A078B0" w:rsidRPr="00445472">
        <w:t xml:space="preserve"> VKM nr. 797, datë 29.</w:t>
      </w:r>
      <w:r w:rsidR="00CC7889" w:rsidRPr="00445472">
        <w:t>9.2010</w:t>
      </w:r>
      <w:r w:rsidR="00D62EDF" w:rsidRPr="00445472">
        <w:t xml:space="preserve">, “Për </w:t>
      </w:r>
      <w:r w:rsidR="00CC7889" w:rsidRPr="00445472">
        <w:t>administrimin e cilësisë së ujërave të larjes</w:t>
      </w:r>
      <w:r w:rsidR="00D62EDF" w:rsidRPr="00445472">
        <w:t>”</w:t>
      </w:r>
      <w:r w:rsidR="00CC7889" w:rsidRPr="00445472">
        <w:t>;</w:t>
      </w:r>
    </w:p>
    <w:p w14:paraId="5BE175AB" w14:textId="458E561B" w:rsidR="00CC7889" w:rsidRPr="00445472" w:rsidRDefault="00A77FAB" w:rsidP="00CC7889">
      <w:pPr>
        <w:pStyle w:val="TEKSTIIII"/>
      </w:pPr>
      <w:r w:rsidRPr="00445472">
        <w:t>-</w:t>
      </w:r>
      <w:r w:rsidR="00A078B0" w:rsidRPr="00445472">
        <w:t xml:space="preserve"> VKM nr. 63, datë 27.</w:t>
      </w:r>
      <w:r w:rsidR="00CC7889" w:rsidRPr="00445472">
        <w:t>1.2016</w:t>
      </w:r>
      <w:r w:rsidR="00D62EDF" w:rsidRPr="00445472">
        <w:t xml:space="preserve">, “Për </w:t>
      </w:r>
      <w:r w:rsidR="00CC7889" w:rsidRPr="00445472">
        <w:t>riorganizimin e operatorëve që ofrojnë shërbimin e furnizimit me ujë të pijshëm, grumbullimin, largimin dhe trajtimin e ujërave të ndotura</w:t>
      </w:r>
      <w:r w:rsidR="00D62EDF" w:rsidRPr="00445472">
        <w:t>”</w:t>
      </w:r>
      <w:r w:rsidR="00CC7889" w:rsidRPr="00445472">
        <w:t xml:space="preserve">; </w:t>
      </w:r>
    </w:p>
    <w:p w14:paraId="736C13AF" w14:textId="55096CCE" w:rsidR="00CC7889" w:rsidRPr="00445472" w:rsidRDefault="00A77FAB" w:rsidP="00CC7889">
      <w:pPr>
        <w:pStyle w:val="TEKSTIIII"/>
      </w:pPr>
      <w:r w:rsidRPr="00445472">
        <w:t>-</w:t>
      </w:r>
      <w:r w:rsidR="00A078B0" w:rsidRPr="00445472">
        <w:t xml:space="preserve"> VKM nr. 504, datë 6.</w:t>
      </w:r>
      <w:r w:rsidR="00CC7889" w:rsidRPr="00445472">
        <w:t>7.2016</w:t>
      </w:r>
      <w:r w:rsidR="00D62EDF" w:rsidRPr="00445472">
        <w:t xml:space="preserve">, “Për </w:t>
      </w:r>
      <w:r w:rsidR="00CC7889" w:rsidRPr="00445472">
        <w:t>krijimin e Agjencisë Kombëtare të Ujësjellës-Kanalizimeve</w:t>
      </w:r>
      <w:r w:rsidR="00D62EDF" w:rsidRPr="00445472">
        <w:t>”</w:t>
      </w:r>
      <w:r w:rsidR="00CC7889" w:rsidRPr="00445472">
        <w:t>;</w:t>
      </w:r>
    </w:p>
    <w:p w14:paraId="143C165D" w14:textId="6797891A" w:rsidR="00CC7889" w:rsidRPr="00445472" w:rsidRDefault="00A77FAB" w:rsidP="00CC7889">
      <w:pPr>
        <w:pStyle w:val="TEKSTIIII"/>
      </w:pPr>
      <w:r w:rsidRPr="00445472">
        <w:t>-</w:t>
      </w:r>
      <w:r w:rsidR="00A078B0" w:rsidRPr="00445472">
        <w:t xml:space="preserve"> </w:t>
      </w:r>
      <w:r w:rsidR="00CC7889" w:rsidRPr="00445472">
        <w:t>VKM nr. 643, datë 14.9.2011</w:t>
      </w:r>
      <w:r w:rsidR="00D62EDF" w:rsidRPr="00445472">
        <w:t xml:space="preserve">, “Për </w:t>
      </w:r>
      <w:r w:rsidR="00CC7889" w:rsidRPr="00445472">
        <w:t>miratimin e Strategjisë Kombëtare të Shërbimeve të Ujit dhe Ujërave të Zeza</w:t>
      </w:r>
      <w:r w:rsidR="00D62EDF" w:rsidRPr="00445472">
        <w:t>”</w:t>
      </w:r>
      <w:r w:rsidR="00CC7889" w:rsidRPr="00445472">
        <w:t>;</w:t>
      </w:r>
    </w:p>
    <w:p w14:paraId="6032B5F1" w14:textId="3B73AACC" w:rsidR="00CC7889" w:rsidRPr="00445472" w:rsidRDefault="00A77FAB" w:rsidP="00CC7889">
      <w:pPr>
        <w:pStyle w:val="TEKSTIIII"/>
      </w:pPr>
      <w:r w:rsidRPr="00445472">
        <w:t>-</w:t>
      </w:r>
      <w:r w:rsidR="00A078B0" w:rsidRPr="00445472">
        <w:t xml:space="preserve"> </w:t>
      </w:r>
      <w:r w:rsidR="00CC7889" w:rsidRPr="00445472">
        <w:t>VKM nr. 590, datë 18.10.2017</w:t>
      </w:r>
      <w:r w:rsidR="00D62EDF" w:rsidRPr="00445472">
        <w:t xml:space="preserve">, “Për </w:t>
      </w:r>
      <w:r w:rsidR="00CC7889" w:rsidRPr="00445472">
        <w:t>Përbërjen e Këshillit Kombëtar të Ujit</w:t>
      </w:r>
      <w:r w:rsidR="00D62EDF" w:rsidRPr="00445472">
        <w:t>”</w:t>
      </w:r>
      <w:r w:rsidR="00CC7889" w:rsidRPr="00445472">
        <w:t>;</w:t>
      </w:r>
    </w:p>
    <w:p w14:paraId="147AB552" w14:textId="2606C47D" w:rsidR="00CC7889" w:rsidRPr="00445472" w:rsidRDefault="00A77FAB" w:rsidP="00CC7889">
      <w:pPr>
        <w:pStyle w:val="TEKSTIIII"/>
      </w:pPr>
      <w:r w:rsidRPr="00445472">
        <w:t>-</w:t>
      </w:r>
      <w:r w:rsidR="00A078B0" w:rsidRPr="00445472">
        <w:t xml:space="preserve"> </w:t>
      </w:r>
      <w:r w:rsidR="00CC7889" w:rsidRPr="00445472">
        <w:t>VKM nr.</w:t>
      </w:r>
      <w:r w:rsidR="00A078B0" w:rsidRPr="00445472">
        <w:t xml:space="preserve"> 177, datë 26.</w:t>
      </w:r>
      <w:r w:rsidR="00CC7889" w:rsidRPr="00445472">
        <w:t>3.2014</w:t>
      </w:r>
      <w:r w:rsidR="00D62EDF" w:rsidRPr="00445472">
        <w:t xml:space="preserve">, “Për </w:t>
      </w:r>
      <w:r w:rsidR="00CC7889" w:rsidRPr="00445472">
        <w:t>krijimin dhe përbërjen, funksionet, përgjegjësitë dhe detyrat e Komisionit Special për Menaxhimin Ndërkufitar të Ujërave</w:t>
      </w:r>
      <w:r w:rsidR="00D62EDF" w:rsidRPr="00445472">
        <w:t>”</w:t>
      </w:r>
      <w:r w:rsidR="00CC7889" w:rsidRPr="00445472">
        <w:t>;</w:t>
      </w:r>
    </w:p>
    <w:p w14:paraId="428ACB4D" w14:textId="393BEA3F" w:rsidR="00CC7889" w:rsidRPr="00445472" w:rsidRDefault="00A77FAB" w:rsidP="00CC7889">
      <w:pPr>
        <w:pStyle w:val="TEKSTIIII"/>
      </w:pPr>
      <w:r w:rsidRPr="00445472">
        <w:t>-</w:t>
      </w:r>
      <w:r w:rsidR="00A078B0" w:rsidRPr="00445472">
        <w:t xml:space="preserve"> </w:t>
      </w:r>
      <w:r w:rsidR="00CC7889" w:rsidRPr="00445472">
        <w:t>VKM nr.</w:t>
      </w:r>
      <w:r w:rsidR="00A078B0" w:rsidRPr="00445472">
        <w:t xml:space="preserve"> 177, datë 31.</w:t>
      </w:r>
      <w:r w:rsidR="00CC7889" w:rsidRPr="00445472">
        <w:t>3.2005</w:t>
      </w:r>
      <w:r w:rsidR="00D62EDF" w:rsidRPr="00445472">
        <w:t xml:space="preserve">, “Për </w:t>
      </w:r>
      <w:r w:rsidR="00CC7889" w:rsidRPr="00445472">
        <w:t>normat e lejuara për shkarkimet e lëngëta dhe kriteret për ndarjen mjedisore të lumenjve ose ujërave detarë</w:t>
      </w:r>
      <w:r w:rsidR="00D62EDF" w:rsidRPr="00445472">
        <w:t>”</w:t>
      </w:r>
      <w:r w:rsidR="00CC7889" w:rsidRPr="00445472">
        <w:t>;</w:t>
      </w:r>
    </w:p>
    <w:p w14:paraId="61A631DF" w14:textId="0A5CABA7" w:rsidR="00CC7889" w:rsidRPr="00445472" w:rsidRDefault="00A77FAB" w:rsidP="00CC7889">
      <w:pPr>
        <w:pStyle w:val="TEKSTIIII"/>
      </w:pPr>
      <w:r w:rsidRPr="00445472">
        <w:t>-</w:t>
      </w:r>
      <w:r w:rsidR="00A078B0" w:rsidRPr="00445472">
        <w:t xml:space="preserve"> VKM nr. 268, datë 6.</w:t>
      </w:r>
      <w:r w:rsidR="00CC7889" w:rsidRPr="00445472">
        <w:t>4.2016</w:t>
      </w:r>
      <w:r w:rsidR="00D62EDF" w:rsidRPr="00445472">
        <w:t xml:space="preserve">, “Për </w:t>
      </w:r>
      <w:r w:rsidR="00CC7889" w:rsidRPr="00445472">
        <w:t>miratimin e rregullores për funksionimin e Këshillit Kombëtar të Ujit</w:t>
      </w:r>
      <w:r w:rsidR="00D62EDF" w:rsidRPr="00445472">
        <w:t>”</w:t>
      </w:r>
      <w:r w:rsidR="00CC7889" w:rsidRPr="00445472">
        <w:t>, miratu</w:t>
      </w:r>
      <w:r w:rsidR="00A078B0" w:rsidRPr="00445472">
        <w:t>ar pas VKM-së nr. 125, datë 2.</w:t>
      </w:r>
      <w:r w:rsidR="00CC7889" w:rsidRPr="00445472">
        <w:t>3.2006</w:t>
      </w:r>
      <w:r w:rsidR="00D62EDF" w:rsidRPr="00445472">
        <w:t xml:space="preserve">, “Për </w:t>
      </w:r>
      <w:r w:rsidR="00CC7889" w:rsidRPr="00445472">
        <w:t>krijimin e Këshillit Kombëtar të Ujit dhe VKM-së nr. 1080, datë 18.12.2013</w:t>
      </w:r>
      <w:r w:rsidR="00D62EDF" w:rsidRPr="00445472">
        <w:t xml:space="preserve">, “Për </w:t>
      </w:r>
      <w:r w:rsidR="00CC7889" w:rsidRPr="00445472">
        <w:t>krijimin dhe funksionimin e Këshillit Kombëtar të Ujit</w:t>
      </w:r>
      <w:r w:rsidR="00D62EDF" w:rsidRPr="00445472">
        <w:t>”</w:t>
      </w:r>
      <w:r w:rsidR="00CC7889" w:rsidRPr="00445472">
        <w:t>;</w:t>
      </w:r>
    </w:p>
    <w:p w14:paraId="3FD41D3D" w14:textId="323F7B34" w:rsidR="00CC7889" w:rsidRPr="00445472" w:rsidRDefault="00A77FAB" w:rsidP="00CC7889">
      <w:pPr>
        <w:pStyle w:val="TEKSTIIII"/>
      </w:pPr>
      <w:r w:rsidRPr="00445472">
        <w:t>-</w:t>
      </w:r>
      <w:r w:rsidR="00A078B0" w:rsidRPr="00445472">
        <w:t xml:space="preserve"> VKM nr. 342 datë 4.</w:t>
      </w:r>
      <w:r w:rsidR="00CC7889" w:rsidRPr="00445472">
        <w:t>5.2016</w:t>
      </w:r>
      <w:r w:rsidR="00D62EDF" w:rsidRPr="00445472">
        <w:t xml:space="preserve">, “Për </w:t>
      </w:r>
      <w:r w:rsidR="00CC7889" w:rsidRPr="00445472">
        <w:t>miratimin e kufijve territorialë dhe hidrografikë të baseneve ujore në Republikën e Shqipërisë, vendndodhjen e zyrës qendrore dhe përbërjen e këshillit për secilën prej tyre</w:t>
      </w:r>
      <w:r w:rsidR="00D62EDF" w:rsidRPr="00445472">
        <w:t>”</w:t>
      </w:r>
      <w:r w:rsidR="00CC7889" w:rsidRPr="00445472">
        <w:t>;</w:t>
      </w:r>
    </w:p>
    <w:p w14:paraId="47729636" w14:textId="513FCAB4" w:rsidR="00CC7889" w:rsidRPr="00445472" w:rsidRDefault="00A77FAB" w:rsidP="00CC7889">
      <w:pPr>
        <w:pStyle w:val="TEKSTIIII"/>
      </w:pPr>
      <w:r w:rsidRPr="00445472">
        <w:t>-</w:t>
      </w:r>
      <w:r w:rsidR="00A078B0" w:rsidRPr="00445472">
        <w:t xml:space="preserve"> </w:t>
      </w:r>
      <w:r w:rsidR="00CC7889" w:rsidRPr="00445472">
        <w:t xml:space="preserve">Vendimi </w:t>
      </w:r>
      <w:r w:rsidR="00A078B0" w:rsidRPr="00445472">
        <w:t xml:space="preserve">parlamentar </w:t>
      </w:r>
      <w:r w:rsidR="00CC7889" w:rsidRPr="00445472">
        <w:t>nr. 34/2016</w:t>
      </w:r>
      <w:r w:rsidR="00D62EDF" w:rsidRPr="00445472">
        <w:t xml:space="preserve">, “Për </w:t>
      </w:r>
      <w:r w:rsidR="00CC7889" w:rsidRPr="00445472">
        <w:t>miratimin e strukturës, organizimit dhe klasifikimit të vendeve të punës në kuadër të Autoritetit Rregullator të Ujit</w:t>
      </w:r>
      <w:r w:rsidR="00D62EDF" w:rsidRPr="00445472">
        <w:t>”</w:t>
      </w:r>
      <w:r w:rsidR="00CC7889" w:rsidRPr="00445472">
        <w:t>;</w:t>
      </w:r>
    </w:p>
    <w:p w14:paraId="11F9626C" w14:textId="17502A5E" w:rsidR="00CC7889" w:rsidRPr="00445472" w:rsidRDefault="00A77FAB" w:rsidP="00CC7889">
      <w:pPr>
        <w:pStyle w:val="TEKSTIIII"/>
      </w:pPr>
      <w:r w:rsidRPr="00445472">
        <w:t>-</w:t>
      </w:r>
      <w:r w:rsidR="00A078B0" w:rsidRPr="00445472">
        <w:t xml:space="preserve"> </w:t>
      </w:r>
      <w:r w:rsidR="00CC7889" w:rsidRPr="00445472">
        <w:t>Vendimi nr. 40, datë 9.12.2015</w:t>
      </w:r>
      <w:r w:rsidR="00D62EDF" w:rsidRPr="00445472">
        <w:t xml:space="preserve">, “Për </w:t>
      </w:r>
      <w:r w:rsidR="00CC7889" w:rsidRPr="00445472">
        <w:t>miratimin e dokumentacionit mbështetës për miratimin e tarifave që lidhen me ujësjellësin, kanalizimet dhe trajtimin e ujërave të zeza</w:t>
      </w:r>
      <w:r w:rsidR="00D62EDF" w:rsidRPr="00445472">
        <w:t>”</w:t>
      </w:r>
      <w:r w:rsidR="00CC7889" w:rsidRPr="00445472">
        <w:t>;</w:t>
      </w:r>
    </w:p>
    <w:p w14:paraId="274183AE" w14:textId="4754A262" w:rsidR="00CC7889" w:rsidRPr="00445472" w:rsidRDefault="00A77FAB" w:rsidP="00CC7889">
      <w:pPr>
        <w:pStyle w:val="TEKSTIIII"/>
      </w:pPr>
      <w:r w:rsidRPr="00445472">
        <w:t>-</w:t>
      </w:r>
      <w:r w:rsidR="00A078B0" w:rsidRPr="00445472">
        <w:t xml:space="preserve"> Vendimi nr. 28, datë 28.</w:t>
      </w:r>
      <w:r w:rsidR="00CC7889" w:rsidRPr="00445472">
        <w:t>9.2011</w:t>
      </w:r>
      <w:r w:rsidR="00D62EDF" w:rsidRPr="00445472">
        <w:t xml:space="preserve">, “Për </w:t>
      </w:r>
      <w:r w:rsidR="00CC7889" w:rsidRPr="00445472">
        <w:t>miratimin e metodologjisë për vendosjen e tarifave</w:t>
      </w:r>
      <w:r w:rsidR="00D62EDF" w:rsidRPr="00445472">
        <w:t>”</w:t>
      </w:r>
      <w:r w:rsidR="00CC7889" w:rsidRPr="00445472">
        <w:t>;</w:t>
      </w:r>
    </w:p>
    <w:p w14:paraId="176577C4" w14:textId="6B1FF3DB" w:rsidR="00CC7889" w:rsidRPr="00445472" w:rsidRDefault="00A77FAB" w:rsidP="00CC7889">
      <w:pPr>
        <w:pStyle w:val="TEKSTIIII"/>
      </w:pPr>
      <w:r w:rsidRPr="00445472">
        <w:t>-</w:t>
      </w:r>
      <w:r w:rsidR="00A078B0" w:rsidRPr="00445472">
        <w:t xml:space="preserve"> VKM nr. 230, datë 23.</w:t>
      </w:r>
      <w:r w:rsidR="00CC7889" w:rsidRPr="00445472">
        <w:t>4.2014</w:t>
      </w:r>
      <w:r w:rsidR="00D62EDF" w:rsidRPr="00445472">
        <w:t xml:space="preserve">, “Për </w:t>
      </w:r>
      <w:r w:rsidR="00CC7889" w:rsidRPr="00445472">
        <w:t>përbërjen dhe mënyrën e organizimit dhe të funksionimit të Sekretariatit Teknik të Këshillit Kombëtar të Ujit</w:t>
      </w:r>
      <w:r w:rsidR="00D62EDF" w:rsidRPr="00445472">
        <w:t>”</w:t>
      </w:r>
      <w:r w:rsidR="00CC7889" w:rsidRPr="00445472">
        <w:t>;</w:t>
      </w:r>
    </w:p>
    <w:p w14:paraId="2AB04D9B" w14:textId="49D63129" w:rsidR="00CC7889" w:rsidRPr="00445472" w:rsidRDefault="00A77FAB" w:rsidP="00CC7889">
      <w:pPr>
        <w:pStyle w:val="TEKSTIIII"/>
      </w:pPr>
      <w:r w:rsidRPr="00445472">
        <w:t>-</w:t>
      </w:r>
      <w:r w:rsidR="00A078B0" w:rsidRPr="00445472">
        <w:t xml:space="preserve"> VKM nr 6/2018, datë 7.</w:t>
      </w:r>
      <w:r w:rsidR="00CC7889" w:rsidRPr="00445472">
        <w:t>2.2018</w:t>
      </w:r>
      <w:r w:rsidR="00D62EDF" w:rsidRPr="00445472">
        <w:t xml:space="preserve">, “Për </w:t>
      </w:r>
      <w:r w:rsidR="00CC7889" w:rsidRPr="00445472">
        <w:t>disa ndryshime dhe shtesa në ligjin nr. 111/2012</w:t>
      </w:r>
      <w:r w:rsidR="00D62EDF" w:rsidRPr="00445472">
        <w:t xml:space="preserve">, “Për </w:t>
      </w:r>
      <w:r w:rsidR="00CC7889" w:rsidRPr="00445472">
        <w:t>Menaxhimin e Integruar të Burimeve Ujore</w:t>
      </w:r>
      <w:r w:rsidR="00D62EDF" w:rsidRPr="00445472">
        <w:t>”</w:t>
      </w:r>
      <w:r w:rsidR="00CC7889" w:rsidRPr="00445472">
        <w:t>;</w:t>
      </w:r>
    </w:p>
    <w:p w14:paraId="489DFE03" w14:textId="0BE9BBDB" w:rsidR="00CC7889" w:rsidRPr="00445472" w:rsidRDefault="00A77FAB" w:rsidP="00CC7889">
      <w:pPr>
        <w:pStyle w:val="TEKSTIIII"/>
      </w:pPr>
      <w:r w:rsidRPr="00445472">
        <w:t>-</w:t>
      </w:r>
      <w:r w:rsidR="00A078B0" w:rsidRPr="00445472">
        <w:t xml:space="preserve"> VKM nr. 379, datë 25.</w:t>
      </w:r>
      <w:r w:rsidR="00CC7889" w:rsidRPr="00445472">
        <w:t xml:space="preserve">5.2016 Për miratimin e rregullores </w:t>
      </w:r>
      <w:r w:rsidR="00D62EDF" w:rsidRPr="00445472">
        <w:t>“</w:t>
      </w:r>
      <w:r w:rsidR="00CC7889" w:rsidRPr="00445472">
        <w:t>Cilësia e ujit të pijshëm</w:t>
      </w:r>
      <w:r w:rsidR="00D62EDF" w:rsidRPr="00445472">
        <w:t>”</w:t>
      </w:r>
      <w:r w:rsidR="00CC7889" w:rsidRPr="00445472">
        <w:t xml:space="preserve">, që </w:t>
      </w:r>
      <w:r w:rsidR="00A078B0" w:rsidRPr="00445472">
        <w:t>shfuqizon VKM nr. 145, datë 26.</w:t>
      </w:r>
      <w:r w:rsidR="00CC7889" w:rsidRPr="00445472">
        <w:t>2.1998 për miratimin e rregullores Higjienike - shëndetësore për kontrollin e cilësisë së ujit të pijshëm, projektimin, ndërtimin dhe mbikëqyrjen e sistemit të furnizimit me ujë të pijshëm</w:t>
      </w:r>
      <w:r w:rsidR="00D62EDF" w:rsidRPr="00445472">
        <w:t>”</w:t>
      </w:r>
      <w:r w:rsidR="00CC7889" w:rsidRPr="00445472">
        <w:t>;</w:t>
      </w:r>
    </w:p>
    <w:p w14:paraId="70269699" w14:textId="11148806" w:rsidR="00CC7889" w:rsidRPr="00445472" w:rsidRDefault="00A77FAB" w:rsidP="00CC7889">
      <w:pPr>
        <w:pStyle w:val="TEKSTIIII"/>
      </w:pPr>
      <w:r w:rsidRPr="00445472">
        <w:t>-</w:t>
      </w:r>
      <w:r w:rsidR="00A078B0" w:rsidRPr="00445472">
        <w:t xml:space="preserve"> </w:t>
      </w:r>
      <w:r w:rsidR="00CC7889" w:rsidRPr="00445472">
        <w:t>Draft</w:t>
      </w:r>
      <w:r w:rsidR="00A078B0" w:rsidRPr="00445472">
        <w:t>v</w:t>
      </w:r>
      <w:r w:rsidR="00CC7889" w:rsidRPr="00445472">
        <w:t>endimi</w:t>
      </w:r>
      <w:r w:rsidR="00D62EDF" w:rsidRPr="00445472">
        <w:t xml:space="preserve">, “Për </w:t>
      </w:r>
      <w:r w:rsidR="00CC7889" w:rsidRPr="00445472">
        <w:t>përmbajtjen, zhvillimin dhe zbatimin e Strategjive Kombëtare të Ujit, Planeve të Menaxhimit të Rajoneve të Baseneve Ujore dhe Planeve të Menaxhimit të Rrezikut nga Përmbytjet</w:t>
      </w:r>
      <w:r w:rsidR="00D62EDF" w:rsidRPr="00445472">
        <w:t>”</w:t>
      </w:r>
      <w:r w:rsidR="00CC7889" w:rsidRPr="00445472">
        <w:t>, miratuar aktualisht n</w:t>
      </w:r>
      <w:r w:rsidR="00A078B0" w:rsidRPr="00445472">
        <w:t>ga Këshilli Kombëtar i Ujit në 7.</w:t>
      </w:r>
      <w:r w:rsidR="00CC7889" w:rsidRPr="00445472">
        <w:t xml:space="preserve">2.2015 , por ende për </w:t>
      </w:r>
      <w:r w:rsidR="00B139CF" w:rsidRPr="00445472">
        <w:t>t’u</w:t>
      </w:r>
      <w:r w:rsidR="00CC7889" w:rsidRPr="00445472">
        <w:t xml:space="preserve"> miratuar nga Këshilli i Ministrave. Kjo VKM është akti më i rëndësishëm nënligjor i</w:t>
      </w:r>
      <w:r w:rsidR="00A078B0" w:rsidRPr="00445472">
        <w:t xml:space="preserve"> ligjit n</w:t>
      </w:r>
      <w:r w:rsidR="00CC7889" w:rsidRPr="00445472">
        <w:t>r.</w:t>
      </w:r>
      <w:r w:rsidR="00A078B0" w:rsidRPr="00445472">
        <w:t xml:space="preserve"> </w:t>
      </w:r>
      <w:r w:rsidR="00CC7889" w:rsidRPr="00445472">
        <w:t>111</w:t>
      </w:r>
      <w:r w:rsidR="001D340B" w:rsidRPr="00445472">
        <w:t>/</w:t>
      </w:r>
      <w:r w:rsidR="00CC7889" w:rsidRPr="00445472">
        <w:t>2012. Përcakton përmbajtjen dhe procedurat për zhvillimin dhe zbatimin e Strategjive Kombëtare të Ujit, Planet për Menaxhimin e Baseneve Ujore dhe Planet për Menaxhimin e Rrezikut nga Përmbytjet. Këto strategji dhe plane i nënshtrohen procedurave strategjike të vlerësimit mjedisor. Shtojcat e VKM-së përmbajnë përshkrime të hollësishme për çështjet e DKU-së së BE-së dhe DP-së së BE-së;</w:t>
      </w:r>
    </w:p>
    <w:p w14:paraId="136C5FCD" w14:textId="557B3B0A" w:rsidR="00CC7889" w:rsidRPr="00445472" w:rsidRDefault="00A77FAB" w:rsidP="00CC7889">
      <w:pPr>
        <w:pStyle w:val="TEKSTIIII"/>
      </w:pPr>
      <w:r w:rsidRPr="00445472">
        <w:t>-</w:t>
      </w:r>
      <w:r w:rsidR="00A078B0" w:rsidRPr="00445472">
        <w:t xml:space="preserve"> </w:t>
      </w:r>
      <w:r w:rsidR="00CC7889" w:rsidRPr="00445472">
        <w:t xml:space="preserve">VKM </w:t>
      </w:r>
      <w:r w:rsidR="00A078B0" w:rsidRPr="00445472">
        <w:t>nr</w:t>
      </w:r>
      <w:r w:rsidR="00CC7889" w:rsidRPr="00445472">
        <w:t>. 881, datë 14.12.2016</w:t>
      </w:r>
      <w:r w:rsidR="00D62EDF" w:rsidRPr="00445472">
        <w:t xml:space="preserve">, “Për </w:t>
      </w:r>
      <w:r w:rsidR="00CC7889" w:rsidRPr="00445472">
        <w:t xml:space="preserve">miratimin e </w:t>
      </w:r>
      <w:r w:rsidR="00A078B0" w:rsidRPr="00445472">
        <w:t>planifikimit të përgjithshëm kombëtar të territorit</w:t>
      </w:r>
      <w:r w:rsidR="00D62EDF" w:rsidRPr="00445472">
        <w:t>”</w:t>
      </w:r>
      <w:r w:rsidR="00CC7889" w:rsidRPr="00445472">
        <w:t xml:space="preserve"> dhe lidhur me </w:t>
      </w:r>
      <w:r w:rsidR="00A078B0" w:rsidRPr="00445472">
        <w:t xml:space="preserve">ligjin </w:t>
      </w:r>
      <w:r w:rsidR="00CC7889" w:rsidRPr="00445472">
        <w:t>nr. 107/2014</w:t>
      </w:r>
      <w:r w:rsidR="00D62EDF" w:rsidRPr="00445472">
        <w:t xml:space="preserve">, “Për </w:t>
      </w:r>
      <w:r w:rsidR="00A078B0" w:rsidRPr="00445472">
        <w:t>planifikimin dhe zhvillimin e territorit</w:t>
      </w:r>
      <w:r w:rsidR="00D62EDF" w:rsidRPr="00445472">
        <w:t>”</w:t>
      </w:r>
      <w:r w:rsidR="00CC7889" w:rsidRPr="00445472">
        <w:t xml:space="preserve"> të ndryshuar dhe aktet nënligjore në zbatim të tij. VKM nr. 881 merr në konsideratë propozimet e Planifikimit Territorial Kombëtar të Shqipërisë, respektivisht në kapitullin 3, </w:t>
      </w:r>
      <w:r w:rsidR="00D62EDF" w:rsidRPr="00445472">
        <w:t>“</w:t>
      </w:r>
      <w:r w:rsidR="00CC7889" w:rsidRPr="00445472">
        <w:t>Sistemet Territoriale</w:t>
      </w:r>
      <w:r w:rsidR="00D62EDF" w:rsidRPr="00445472">
        <w:t>”</w:t>
      </w:r>
      <w:r w:rsidR="00CC7889" w:rsidRPr="00445472">
        <w:t>, ku shpjegohet organizimi i territorit në Shqipëri dhe propozimet për 5 sistemet territoriale (urbane, natyrore, bujqësore, ujë, infrastrukturë).</w:t>
      </w:r>
    </w:p>
    <w:p w14:paraId="3FA3E475" w14:textId="3AC99F4F" w:rsidR="00CC7889" w:rsidRPr="00445472" w:rsidRDefault="00A77FAB" w:rsidP="00A77FAB">
      <w:pPr>
        <w:pStyle w:val="NENTITULL"/>
        <w:rPr>
          <w:sz w:val="25"/>
        </w:rPr>
      </w:pPr>
      <w:bookmarkStart w:id="17" w:name="_Toc508202771"/>
      <w:bookmarkStart w:id="18" w:name="_Toc485917392"/>
      <w:bookmarkStart w:id="19" w:name="_Toc11068739"/>
      <w:bookmarkEnd w:id="17"/>
      <w:r w:rsidRPr="00445472">
        <w:t xml:space="preserve">2.3 </w:t>
      </w:r>
      <w:r w:rsidR="00CC7889" w:rsidRPr="00445472">
        <w:t xml:space="preserve">Pajtueshmëria </w:t>
      </w:r>
      <w:r w:rsidR="00A078B0" w:rsidRPr="00445472">
        <w:t>rregullatore</w:t>
      </w:r>
      <w:bookmarkEnd w:id="18"/>
      <w:bookmarkEnd w:id="19"/>
    </w:p>
    <w:p w14:paraId="0D80440F" w14:textId="3EAE58BD" w:rsidR="00CC7889" w:rsidRPr="00445472" w:rsidRDefault="00CC7889" w:rsidP="00CC7889">
      <w:pPr>
        <w:pStyle w:val="TEKSTIIII"/>
      </w:pPr>
      <w:r w:rsidRPr="00445472">
        <w:t xml:space="preserve">Dispozitat e </w:t>
      </w:r>
      <w:r w:rsidR="00A078B0" w:rsidRPr="00445472">
        <w:t xml:space="preserve">ligjit </w:t>
      </w:r>
      <w:r w:rsidRPr="00445472">
        <w:t xml:space="preserve">nr. 6/2018 dhe </w:t>
      </w:r>
      <w:r w:rsidR="00A078B0" w:rsidRPr="00445472">
        <w:t xml:space="preserve">ligji </w:t>
      </w:r>
      <w:r w:rsidRPr="00445472">
        <w:t xml:space="preserve">111/2012 janë në përputhje me </w:t>
      </w:r>
      <w:r w:rsidR="00A078B0" w:rsidRPr="00445472">
        <w:t>ligjin nr. 9115, datë 24.</w:t>
      </w:r>
      <w:r w:rsidRPr="00445472">
        <w:t>7.2003</w:t>
      </w:r>
      <w:r w:rsidR="00D62EDF" w:rsidRPr="00445472">
        <w:t xml:space="preserve">, “Për </w:t>
      </w:r>
      <w:r w:rsidRPr="00445472">
        <w:t>trajtimin mjedisor të ujërave të zeza</w:t>
      </w:r>
      <w:r w:rsidR="00D62EDF" w:rsidRPr="00445472">
        <w:t>”</w:t>
      </w:r>
      <w:r w:rsidRPr="00445472">
        <w:t xml:space="preserve">, i ndryshuar, </w:t>
      </w:r>
      <w:r w:rsidR="00A078B0" w:rsidRPr="00445472">
        <w:t>ligji nr. 8743, datë 22.</w:t>
      </w:r>
      <w:r w:rsidRPr="00445472">
        <w:t>2.2001</w:t>
      </w:r>
      <w:r w:rsidR="00D62EDF" w:rsidRPr="00445472">
        <w:t xml:space="preserve">, “Për </w:t>
      </w:r>
      <w:r w:rsidRPr="00445472">
        <w:t>pronat e paluajtshme të shtetit</w:t>
      </w:r>
      <w:r w:rsidR="00D62EDF" w:rsidRPr="00445472">
        <w:t>”</w:t>
      </w:r>
      <w:r w:rsidRPr="00445472">
        <w:t xml:space="preserve"> në lidhje me Kodin Detar, </w:t>
      </w:r>
      <w:r w:rsidR="00A078B0" w:rsidRPr="00445472">
        <w:t>neni 5, ligji nr. 10081, datë 23.</w:t>
      </w:r>
      <w:r w:rsidRPr="00445472">
        <w:t>2.2009</w:t>
      </w:r>
      <w:r w:rsidR="00A078B0" w:rsidRPr="00445472">
        <w:t>, “</w:t>
      </w:r>
      <w:r w:rsidRPr="00445472">
        <w:t>Për licencat, autorizimet dhe lejet në Republikën e Shqipërisë</w:t>
      </w:r>
      <w:r w:rsidR="00A078B0" w:rsidRPr="00445472">
        <w:t>”,</w:t>
      </w:r>
      <w:r w:rsidRPr="00445472">
        <w:t xml:space="preserve"> dhe aktet e tjera nënligjore, të ndryshuar</w:t>
      </w:r>
      <w:r w:rsidR="008F0A9F" w:rsidRPr="00445472">
        <w:t>, si dhe</w:t>
      </w:r>
      <w:r w:rsidRPr="00445472">
        <w:t xml:space="preserve"> </w:t>
      </w:r>
      <w:r w:rsidR="00A078B0" w:rsidRPr="00445472">
        <w:t xml:space="preserve">vendimin nr. </w:t>
      </w:r>
      <w:r w:rsidRPr="00445472">
        <w:t xml:space="preserve">643, </w:t>
      </w:r>
      <w:r w:rsidR="00A078B0" w:rsidRPr="00445472">
        <w:t>datë 14.</w:t>
      </w:r>
      <w:r w:rsidRPr="00445472">
        <w:t>9.2011</w:t>
      </w:r>
      <w:r w:rsidR="00A078B0" w:rsidRPr="00445472">
        <w:t>,</w:t>
      </w:r>
      <w:r w:rsidRPr="00445472">
        <w:t xml:space="preserve"> të Këshillit të Ministrave</w:t>
      </w:r>
      <w:r w:rsidR="00A078B0" w:rsidRPr="00445472">
        <w:t>,</w:t>
      </w:r>
      <w:r w:rsidRPr="00445472">
        <w:t xml:space="preserve"> </w:t>
      </w:r>
      <w:r w:rsidR="00D62EDF" w:rsidRPr="00445472">
        <w:t>“</w:t>
      </w:r>
      <w:r w:rsidRPr="00445472">
        <w:t>Mbi miratimin e Sektorit Kombëtar të Shërbimit për Furnizim me Ujë dhe Kanalizim</w:t>
      </w:r>
      <w:r w:rsidR="00D62EDF" w:rsidRPr="00445472">
        <w:t>”</w:t>
      </w:r>
      <w:r w:rsidRPr="00445472">
        <w:t>.</w:t>
      </w:r>
    </w:p>
    <w:p w14:paraId="0CBFA7FA" w14:textId="338D3F3B" w:rsidR="00CC7889" w:rsidRPr="00445472" w:rsidRDefault="00CC7889" w:rsidP="00CC7889">
      <w:pPr>
        <w:pStyle w:val="TEKSTIIII"/>
      </w:pPr>
      <w:r w:rsidRPr="00445472">
        <w:t xml:space="preserve">Ligji 111/2012 dhe </w:t>
      </w:r>
      <w:r w:rsidR="00A078B0" w:rsidRPr="00445472">
        <w:t xml:space="preserve">ligji </w:t>
      </w:r>
      <w:r w:rsidRPr="00445472">
        <w:t>6/2018 janë në përputhje me:</w:t>
      </w:r>
    </w:p>
    <w:p w14:paraId="2F9BE1F6" w14:textId="4CBF8EE1" w:rsidR="00CC7889" w:rsidRPr="00445472" w:rsidRDefault="00A77FAB" w:rsidP="00CC7889">
      <w:pPr>
        <w:pStyle w:val="TEKSTIIII"/>
      </w:pPr>
      <w:r w:rsidRPr="00445472">
        <w:t>-</w:t>
      </w:r>
      <w:r w:rsidR="00A078B0" w:rsidRPr="00445472">
        <w:t xml:space="preserve"> </w:t>
      </w:r>
      <w:r w:rsidR="00CC7889" w:rsidRPr="00445472">
        <w:t>SEC (2009) 386 - Dokumenti Referencë - Dokumenti Shoqërues për Ujin;</w:t>
      </w:r>
    </w:p>
    <w:p w14:paraId="0A38606E" w14:textId="668289D7" w:rsidR="00CC7889" w:rsidRPr="00445472" w:rsidRDefault="00A77FAB" w:rsidP="00CC7889">
      <w:pPr>
        <w:pStyle w:val="TEKSTIIII"/>
      </w:pPr>
      <w:r w:rsidRPr="00445472">
        <w:t>-</w:t>
      </w:r>
      <w:r w:rsidR="00A078B0" w:rsidRPr="00445472">
        <w:t xml:space="preserve"> </w:t>
      </w:r>
      <w:r w:rsidR="00CC7889" w:rsidRPr="00445472">
        <w:t xml:space="preserve">COM (2009) 147 final - Dokumenti Referencë mbi Kornizën </w:t>
      </w:r>
      <w:r w:rsidR="00A078B0" w:rsidRPr="00445472">
        <w:t>Evropiane</w:t>
      </w:r>
      <w:r w:rsidR="00CC7889" w:rsidRPr="00445472">
        <w:t xml:space="preserve"> të Veprimit;</w:t>
      </w:r>
    </w:p>
    <w:p w14:paraId="2FD80912" w14:textId="550D4574" w:rsidR="00CC7889" w:rsidRPr="00445472" w:rsidRDefault="00A77FAB" w:rsidP="00CC7889">
      <w:pPr>
        <w:pStyle w:val="TEKSTIIII"/>
      </w:pPr>
      <w:r w:rsidRPr="00445472">
        <w:t>-</w:t>
      </w:r>
      <w:r w:rsidR="00A078B0" w:rsidRPr="00445472">
        <w:t xml:space="preserve"> </w:t>
      </w:r>
      <w:r w:rsidR="00CC7889" w:rsidRPr="00445472">
        <w:t xml:space="preserve">Dokumenti i </w:t>
      </w:r>
      <w:r w:rsidR="00A078B0" w:rsidRPr="00445472">
        <w:t xml:space="preserve">udhëzimit </w:t>
      </w:r>
      <w:r w:rsidR="00CC7889" w:rsidRPr="00445472">
        <w:t xml:space="preserve">të DKU-së nr. 24 </w:t>
      </w:r>
      <w:r w:rsidR="006B2F8B" w:rsidRPr="00445472">
        <w:t>–</w:t>
      </w:r>
      <w:r w:rsidR="00CC7889" w:rsidRPr="00445472">
        <w:t xml:space="preserve"> Menaxhimi i Basenit Ujëmbledhës në Kushtet e Ndryshimeve Klimatike;</w:t>
      </w:r>
    </w:p>
    <w:p w14:paraId="0DE0B85B" w14:textId="2804B41B" w:rsidR="00CC7889" w:rsidRPr="00445472" w:rsidRDefault="00A77FAB" w:rsidP="00CC7889">
      <w:pPr>
        <w:pStyle w:val="TEKSTIIII"/>
      </w:pPr>
      <w:r w:rsidRPr="00445472">
        <w:t>-</w:t>
      </w:r>
      <w:r w:rsidR="00A078B0" w:rsidRPr="00445472">
        <w:t xml:space="preserve"> </w:t>
      </w:r>
      <w:r w:rsidR="00CC7889" w:rsidRPr="00445472">
        <w:t xml:space="preserve">Direktiva 2000/118/KE </w:t>
      </w:r>
      <w:r w:rsidR="006B2F8B" w:rsidRPr="00445472">
        <w:t>–</w:t>
      </w:r>
      <w:r w:rsidR="00CC7889" w:rsidRPr="00445472">
        <w:t xml:space="preserve"> </w:t>
      </w:r>
      <w:r w:rsidR="006B2F8B" w:rsidRPr="00445472">
        <w:t xml:space="preserve">Për </w:t>
      </w:r>
      <w:r w:rsidR="00CC7889" w:rsidRPr="00445472">
        <w:t>ujërat nëntokësor</w:t>
      </w:r>
      <w:r w:rsidR="0086054F" w:rsidRPr="00445472">
        <w:t>e</w:t>
      </w:r>
      <w:r w:rsidR="00CC7889" w:rsidRPr="00445472">
        <w:t>;</w:t>
      </w:r>
    </w:p>
    <w:p w14:paraId="010D331C" w14:textId="4400C2A2" w:rsidR="00CC7889" w:rsidRPr="00445472" w:rsidRDefault="00A77FAB" w:rsidP="00CC7889">
      <w:pPr>
        <w:pStyle w:val="TEKSTIIII"/>
      </w:pPr>
      <w:r w:rsidRPr="00445472">
        <w:t>-</w:t>
      </w:r>
      <w:r w:rsidR="00A078B0" w:rsidRPr="00445472">
        <w:t xml:space="preserve"> </w:t>
      </w:r>
      <w:r w:rsidR="00CC7889" w:rsidRPr="00445472">
        <w:t xml:space="preserve">SEC (2010) 166 final </w:t>
      </w:r>
      <w:r w:rsidR="006B2F8B" w:rsidRPr="00445472">
        <w:t>–</w:t>
      </w:r>
      <w:r w:rsidR="00CC7889" w:rsidRPr="00445472">
        <w:t xml:space="preserve"> Dokumenti i Punës së Stafit si dokument shoqërues i Direktivës për Ujërat </w:t>
      </w:r>
      <w:r w:rsidR="0086054F" w:rsidRPr="00445472">
        <w:t>Nëntokësore</w:t>
      </w:r>
      <w:r w:rsidR="00CC7889" w:rsidRPr="00445472">
        <w:t>;</w:t>
      </w:r>
    </w:p>
    <w:p w14:paraId="726E678D" w14:textId="1FBAB6DF" w:rsidR="00CC7889" w:rsidRPr="00445472" w:rsidRDefault="00A77FAB" w:rsidP="00CC7889">
      <w:pPr>
        <w:pStyle w:val="TEKSTIIII"/>
      </w:pPr>
      <w:r w:rsidRPr="00445472">
        <w:t>-</w:t>
      </w:r>
      <w:r w:rsidR="00A078B0" w:rsidRPr="00445472">
        <w:t xml:space="preserve"> </w:t>
      </w:r>
      <w:r w:rsidR="00CC7889" w:rsidRPr="00445472">
        <w:t xml:space="preserve">SEC (2010) 1096 final </w:t>
      </w:r>
      <w:r w:rsidR="006B2F8B" w:rsidRPr="00445472">
        <w:t>–</w:t>
      </w:r>
      <w:r w:rsidR="00CC7889" w:rsidRPr="00445472">
        <w:t xml:space="preserve"> Raport për Direktivën e Ujërave </w:t>
      </w:r>
      <w:r w:rsidR="006B2F8B" w:rsidRPr="00445472">
        <w:t>Nëntokësore</w:t>
      </w:r>
      <w:r w:rsidR="00CC7889" w:rsidRPr="00445472">
        <w:t>;</w:t>
      </w:r>
    </w:p>
    <w:p w14:paraId="108776C6" w14:textId="475CBBC8" w:rsidR="00CC7889" w:rsidRPr="00445472" w:rsidRDefault="00A77FAB" w:rsidP="00CC7889">
      <w:pPr>
        <w:pStyle w:val="TEKSTIIII"/>
      </w:pPr>
      <w:r w:rsidRPr="00445472">
        <w:t>-</w:t>
      </w:r>
      <w:r w:rsidR="00A078B0" w:rsidRPr="00445472">
        <w:t xml:space="preserve"> </w:t>
      </w:r>
      <w:r w:rsidR="00CC7889" w:rsidRPr="00445472">
        <w:t>Direktiva 91/271</w:t>
      </w:r>
      <w:r w:rsidR="001D340B" w:rsidRPr="00445472">
        <w:t>/</w:t>
      </w:r>
      <w:r w:rsidR="00CC7889" w:rsidRPr="00445472">
        <w:t xml:space="preserve">EEC </w:t>
      </w:r>
      <w:r w:rsidR="006B2F8B" w:rsidRPr="00445472">
        <w:t>–</w:t>
      </w:r>
      <w:r w:rsidR="00CC7889" w:rsidRPr="00445472">
        <w:t xml:space="preserve"> </w:t>
      </w:r>
      <w:r w:rsidR="006B2F8B" w:rsidRPr="00445472">
        <w:t xml:space="preserve">Për </w:t>
      </w:r>
      <w:r w:rsidR="00CC7889" w:rsidRPr="00445472">
        <w:t>ujërat e ndotur</w:t>
      </w:r>
      <w:r w:rsidR="006B2F8B" w:rsidRPr="00445472">
        <w:t>a</w:t>
      </w:r>
      <w:r w:rsidR="00CC7889" w:rsidRPr="00445472">
        <w:t xml:space="preserve"> urban</w:t>
      </w:r>
      <w:r w:rsidR="006B2F8B" w:rsidRPr="00445472">
        <w:t>e</w:t>
      </w:r>
      <w:r w:rsidR="00CC7889" w:rsidRPr="00445472">
        <w:t>;</w:t>
      </w:r>
    </w:p>
    <w:p w14:paraId="37E4542F" w14:textId="23C0591C" w:rsidR="00CC7889" w:rsidRPr="00445472" w:rsidRDefault="00A77FAB" w:rsidP="00CC7889">
      <w:pPr>
        <w:pStyle w:val="TEKSTIIII"/>
      </w:pPr>
      <w:r w:rsidRPr="00445472">
        <w:t>-</w:t>
      </w:r>
      <w:r w:rsidR="00A078B0" w:rsidRPr="00445472">
        <w:t xml:space="preserve"> </w:t>
      </w:r>
      <w:r w:rsidR="00CC7889" w:rsidRPr="00445472">
        <w:t>Direktiva 2008/105</w:t>
      </w:r>
      <w:r w:rsidR="001D340B" w:rsidRPr="00445472">
        <w:t>/</w:t>
      </w:r>
      <w:r w:rsidR="00CC7889" w:rsidRPr="00445472">
        <w:t xml:space="preserve">KE </w:t>
      </w:r>
      <w:r w:rsidR="006B2F8B" w:rsidRPr="00445472">
        <w:t>–</w:t>
      </w:r>
      <w:r w:rsidR="00CC7889" w:rsidRPr="00445472">
        <w:t xml:space="preserve"> </w:t>
      </w:r>
      <w:r w:rsidR="006B2F8B" w:rsidRPr="00445472">
        <w:t xml:space="preserve">Për </w:t>
      </w:r>
      <w:r w:rsidR="00CC7889" w:rsidRPr="00445472">
        <w:t>standardet e cilësisë së mjedisit në fushën e politikës së ujit;</w:t>
      </w:r>
    </w:p>
    <w:p w14:paraId="4D7E6923" w14:textId="40C1E429" w:rsidR="00CC7889" w:rsidRPr="00445472" w:rsidRDefault="00A77FAB" w:rsidP="00CC7889">
      <w:pPr>
        <w:pStyle w:val="TEKSTIIII"/>
      </w:pPr>
      <w:r w:rsidRPr="00445472">
        <w:t>-</w:t>
      </w:r>
      <w:r w:rsidR="00A078B0" w:rsidRPr="00445472">
        <w:t xml:space="preserve"> </w:t>
      </w:r>
      <w:r w:rsidR="00CC7889" w:rsidRPr="00445472">
        <w:t>COM (2004) 472 - Komunikimi për Menaxhimin e Rrezikut nga Përmbytjet, Parandalimin, Mbrojtjen dhe Zbutjen;</w:t>
      </w:r>
    </w:p>
    <w:p w14:paraId="05944A4C" w14:textId="12E8935F" w:rsidR="00CC7889" w:rsidRPr="00445472" w:rsidRDefault="00A77FAB" w:rsidP="00CC7889">
      <w:pPr>
        <w:pStyle w:val="TEKSTIIII"/>
      </w:pPr>
      <w:r w:rsidRPr="00445472">
        <w:t>-</w:t>
      </w:r>
      <w:r w:rsidR="00A078B0" w:rsidRPr="00445472">
        <w:t xml:space="preserve"> </w:t>
      </w:r>
      <w:r w:rsidR="00CC7889" w:rsidRPr="00445472">
        <w:t xml:space="preserve">COM (2007) 414 final </w:t>
      </w:r>
      <w:r w:rsidR="006B2F8B" w:rsidRPr="00445472">
        <w:t>–</w:t>
      </w:r>
      <w:r w:rsidR="00CC7889" w:rsidRPr="00445472">
        <w:t xml:space="preserve"> Komunikimi për mungesën e ujit dhe thatësirës. Raporti i Planit mbi Thatësirat;</w:t>
      </w:r>
    </w:p>
    <w:p w14:paraId="24F2EC46" w14:textId="0CE0786F" w:rsidR="00CC7889" w:rsidRPr="00445472" w:rsidRDefault="00A77FAB" w:rsidP="00CC7889">
      <w:pPr>
        <w:pStyle w:val="TEKSTIIII"/>
      </w:pPr>
      <w:r w:rsidRPr="00445472">
        <w:t>-</w:t>
      </w:r>
      <w:r w:rsidR="006B2F8B" w:rsidRPr="00445472">
        <w:t xml:space="preserve"> </w:t>
      </w:r>
      <w:r w:rsidR="00CC7889" w:rsidRPr="00445472">
        <w:t xml:space="preserve">COM (2007) 354 final </w:t>
      </w:r>
      <w:r w:rsidR="006B2F8B" w:rsidRPr="00445472">
        <w:t>–</w:t>
      </w:r>
      <w:r w:rsidR="00CC7889" w:rsidRPr="00445472">
        <w:t xml:space="preserve"> Dokumenti i Gjelbër mbi përshtatjen ndaj ndryshimeve klimatike. </w:t>
      </w:r>
    </w:p>
    <w:p w14:paraId="56E0A1D8" w14:textId="77777777" w:rsidR="00CC7889" w:rsidRPr="00445472" w:rsidRDefault="00CC7889" w:rsidP="00CC7889">
      <w:pPr>
        <w:pStyle w:val="TEKSTIIII"/>
      </w:pPr>
      <w:r w:rsidRPr="00445472">
        <w:t>Ligji është pjesërisht në përputhje me:</w:t>
      </w:r>
    </w:p>
    <w:p w14:paraId="02ADB65C" w14:textId="1A78ED6E" w:rsidR="00CC7889" w:rsidRPr="00445472" w:rsidRDefault="00A77FAB" w:rsidP="00CC7889">
      <w:pPr>
        <w:pStyle w:val="TEKSTIIII"/>
      </w:pPr>
      <w:r w:rsidRPr="00445472">
        <w:t>-</w:t>
      </w:r>
      <w:r w:rsidR="006B2F8B" w:rsidRPr="00445472">
        <w:t xml:space="preserve"> </w:t>
      </w:r>
      <w:r w:rsidR="00CC7889" w:rsidRPr="00445472">
        <w:t>Direktiva 2006/118</w:t>
      </w:r>
      <w:r w:rsidR="001D340B" w:rsidRPr="00445472">
        <w:t>/</w:t>
      </w:r>
      <w:r w:rsidR="00CC7889" w:rsidRPr="00445472">
        <w:t>KE e Parlamentit dhe e Këshillit Evropian, datë 12.12.2006</w:t>
      </w:r>
      <w:r w:rsidR="00D62EDF" w:rsidRPr="00445472">
        <w:t xml:space="preserve">, “Për </w:t>
      </w:r>
      <w:r w:rsidR="00CC7889" w:rsidRPr="00445472">
        <w:t>mbrojtjen e ujërave nëntokësorë nga ndotja dhe përkeqësimi</w:t>
      </w:r>
      <w:r w:rsidR="00D62EDF" w:rsidRPr="00445472">
        <w:t>”</w:t>
      </w:r>
      <w:r w:rsidR="00CC7889" w:rsidRPr="00445472">
        <w:t xml:space="preserve">, lidhur me përkufizimin e </w:t>
      </w:r>
      <w:r w:rsidR="00D62EDF" w:rsidRPr="00445472">
        <w:t>“</w:t>
      </w:r>
      <w:r w:rsidR="00CC7889" w:rsidRPr="00445472">
        <w:t>niveleve bazë</w:t>
      </w:r>
      <w:r w:rsidR="00D62EDF" w:rsidRPr="00445472">
        <w:t>”</w:t>
      </w:r>
      <w:r w:rsidR="00CC7889" w:rsidRPr="00445472">
        <w:t>. Pjesa tjetër e kësaj Direktive është plotësisht e transpozuar;</w:t>
      </w:r>
    </w:p>
    <w:p w14:paraId="07DE0560" w14:textId="2C3943CB" w:rsidR="00CC7889" w:rsidRPr="00445472" w:rsidRDefault="00A77FAB" w:rsidP="00A77FAB">
      <w:pPr>
        <w:pStyle w:val="TEKSTIIII"/>
      </w:pPr>
      <w:r w:rsidRPr="00445472">
        <w:t>-</w:t>
      </w:r>
      <w:r w:rsidR="006B2F8B" w:rsidRPr="00445472">
        <w:t xml:space="preserve"> </w:t>
      </w:r>
      <w:r w:rsidR="00CC7889" w:rsidRPr="00445472">
        <w:t>Direktiva 2007/60</w:t>
      </w:r>
      <w:r w:rsidR="001D340B" w:rsidRPr="00445472">
        <w:t>/</w:t>
      </w:r>
      <w:r w:rsidR="00CC7889" w:rsidRPr="00445472">
        <w:t>KE</w:t>
      </w:r>
      <w:r w:rsidR="00D62EDF" w:rsidRPr="00445472">
        <w:t xml:space="preserve">, “Për </w:t>
      </w:r>
      <w:r w:rsidR="00CC7889" w:rsidRPr="00445472">
        <w:t>administrimin e rrezikut nga përmbytjet</w:t>
      </w:r>
      <w:r w:rsidR="00D62EDF" w:rsidRPr="00445472">
        <w:t>”</w:t>
      </w:r>
      <w:r w:rsidR="00CC7889" w:rsidRPr="00445472">
        <w:t xml:space="preserve">, në lidhje me përkufizimin e termave </w:t>
      </w:r>
      <w:r w:rsidR="00D62EDF" w:rsidRPr="00445472">
        <w:t>“</w:t>
      </w:r>
      <w:r w:rsidR="00CC7889" w:rsidRPr="00445472">
        <w:t>përmbytje</w:t>
      </w:r>
      <w:r w:rsidR="00D62EDF" w:rsidRPr="00445472">
        <w:t>”</w:t>
      </w:r>
      <w:r w:rsidR="00CC7889" w:rsidRPr="00445472">
        <w:t xml:space="preserve"> dhe </w:t>
      </w:r>
      <w:r w:rsidR="00D62EDF" w:rsidRPr="00445472">
        <w:t>“</w:t>
      </w:r>
      <w:r w:rsidR="00CC7889" w:rsidRPr="00445472">
        <w:t>rrezik nga përmbytjet</w:t>
      </w:r>
      <w:r w:rsidR="00D62EDF" w:rsidRPr="00445472">
        <w:t>”</w:t>
      </w:r>
      <w:r w:rsidR="00CC7889" w:rsidRPr="00445472">
        <w:t xml:space="preserve">. Pjesa tjetër e kësaj Direktive </w:t>
      </w:r>
      <w:r w:rsidRPr="00445472">
        <w:t>është plotësisht e transpozuar;</w:t>
      </w:r>
    </w:p>
    <w:p w14:paraId="6B80F7FC" w14:textId="30D764AF" w:rsidR="00CC7889" w:rsidRPr="00445472" w:rsidRDefault="00A77FAB" w:rsidP="00A77FAB">
      <w:pPr>
        <w:pStyle w:val="NENTITULL"/>
      </w:pPr>
      <w:bookmarkStart w:id="20" w:name="_Toc508198007"/>
      <w:bookmarkStart w:id="21" w:name="_Toc508202773"/>
      <w:bookmarkStart w:id="22" w:name="_Toc485917393"/>
      <w:bookmarkStart w:id="23" w:name="_Toc11068740"/>
      <w:bookmarkEnd w:id="20"/>
      <w:bookmarkEnd w:id="21"/>
      <w:r w:rsidRPr="00445472">
        <w:t xml:space="preserve">2.4 </w:t>
      </w:r>
      <w:r w:rsidR="00CC7889" w:rsidRPr="00445472">
        <w:t>Marrëveshjet ndërkombëtare</w:t>
      </w:r>
      <w:bookmarkEnd w:id="22"/>
      <w:bookmarkEnd w:id="23"/>
    </w:p>
    <w:p w14:paraId="4DB65CA8" w14:textId="775FD6F9" w:rsidR="00CC7889" w:rsidRPr="00445472" w:rsidRDefault="00CC7889" w:rsidP="00CC7889">
      <w:pPr>
        <w:pStyle w:val="TEKSTIIII"/>
      </w:pPr>
      <w:r w:rsidRPr="00445472">
        <w:t xml:space="preserve">Një përpjekje e hershme për të kodifikuar ligjin ndërkombëtar të ujit ka qenë dokumenti </w:t>
      </w:r>
      <w:r w:rsidR="006B2F8B" w:rsidRPr="00445472">
        <w:rPr>
          <w:b/>
        </w:rPr>
        <w:t>“</w:t>
      </w:r>
      <w:r w:rsidRPr="00445472">
        <w:rPr>
          <w:b/>
        </w:rPr>
        <w:t xml:space="preserve">Rregullat e Helsinkit mbi </w:t>
      </w:r>
      <w:r w:rsidR="006B2F8B" w:rsidRPr="00445472">
        <w:rPr>
          <w:b/>
        </w:rPr>
        <w:t>përdorimet e ujërave të lumenjve ndërkombëtarë”</w:t>
      </w:r>
      <w:r w:rsidRPr="00445472">
        <w:t xml:space="preserve"> i miratuar nga Shoqata Ndërkombëtare e Drejtësisë në vitin 1966, e cila nuk ishte e detyrueshme. Dokumenti u zëvendësua nga </w:t>
      </w:r>
      <w:r w:rsidR="00D62EDF" w:rsidRPr="00445472">
        <w:t>“</w:t>
      </w:r>
      <w:r w:rsidRPr="00445472">
        <w:rPr>
          <w:b/>
        </w:rPr>
        <w:t>Rregullat e Berlinit</w:t>
      </w:r>
      <w:r w:rsidR="00D62EDF" w:rsidRPr="00445472">
        <w:rPr>
          <w:b/>
        </w:rPr>
        <w:t>”</w:t>
      </w:r>
      <w:r w:rsidRPr="00445472">
        <w:t xml:space="preserve"> i vitit 2004.</w:t>
      </w:r>
    </w:p>
    <w:p w14:paraId="680D7843" w14:textId="35AB34A8" w:rsidR="00CC7889" w:rsidRPr="00445472" w:rsidRDefault="00CC7889" w:rsidP="00CC7889">
      <w:pPr>
        <w:pStyle w:val="TEKSTIIII"/>
      </w:pPr>
      <w:r w:rsidRPr="00445472">
        <w:t>Republika e Shqipërisë ka ratifikuar Konventën e UNECE-së</w:t>
      </w:r>
      <w:r w:rsidR="00D62EDF" w:rsidRPr="00445472">
        <w:t xml:space="preserve">, </w:t>
      </w:r>
      <w:r w:rsidR="00D62EDF" w:rsidRPr="00445472">
        <w:rPr>
          <w:b/>
        </w:rPr>
        <w:t>“Për</w:t>
      </w:r>
      <w:r w:rsidR="00D62EDF" w:rsidRPr="00445472">
        <w:t xml:space="preserve"> </w:t>
      </w:r>
      <w:r w:rsidRPr="00445472">
        <w:rPr>
          <w:b/>
        </w:rPr>
        <w:t>mbrojtjen dhe përdorimin e ujërave ndërkufitare dhe liqeneve ndërkombëtarë</w:t>
      </w:r>
      <w:r w:rsidR="00D62EDF" w:rsidRPr="00445472">
        <w:rPr>
          <w:b/>
        </w:rPr>
        <w:t>”</w:t>
      </w:r>
      <w:r w:rsidR="006B2F8B" w:rsidRPr="00445472">
        <w:rPr>
          <w:b/>
        </w:rPr>
        <w:t>,</w:t>
      </w:r>
      <w:r w:rsidRPr="00445472">
        <w:t xml:space="preserve"> më 5 </w:t>
      </w:r>
      <w:r w:rsidR="006B2F8B" w:rsidRPr="00445472">
        <w:t xml:space="preserve">janar </w:t>
      </w:r>
      <w:r w:rsidRPr="00445472">
        <w:t xml:space="preserve">1994, dokument primar për lumenjtë ndërkufitarë dhe, me përjashtim të Kosovës, është ratifikuar nga të gjithë vendet fqinje. </w:t>
      </w:r>
    </w:p>
    <w:p w14:paraId="67CB9D5F" w14:textId="77777777" w:rsidR="00CC7889" w:rsidRPr="00445472" w:rsidRDefault="00CC7889" w:rsidP="00CC7889">
      <w:pPr>
        <w:pStyle w:val="TEKSTIIII"/>
      </w:pPr>
      <w:r w:rsidRPr="00445472">
        <w:t>Preambula thekson se mbrojtja dhe përdorimi i rrjedhave ujore ndërkufitare dhe liqeneve ndërkombëtarë janë detyra të rëndësishme dhe urgjente që mund të zgjidhen vetëm me bashkëpunimin ndërkombëtar. Gjithashtu thekson rëndësinë e luftimit të ekzistencës dhe kërcënimeve të efekteve të dëmshme në mjedis, ekonomi dhe mirëqenie të vendeve anëtare. Thekson nevojën për masa të forta kombëtare dhe ndërkombëtare për të parandaluar, kontrolluar dhe reduktuar shkarkimin e substancave të rrezikshme në mjedisin ujor dhe për të reduktuar eutrofikimin dhe acidifikimin e ujërave.</w:t>
      </w:r>
    </w:p>
    <w:p w14:paraId="09612918" w14:textId="45A3D957" w:rsidR="00CC7889" w:rsidRPr="00445472" w:rsidRDefault="00CC7889" w:rsidP="00CC7889">
      <w:pPr>
        <w:pStyle w:val="TEKSTIIII"/>
      </w:pPr>
      <w:r w:rsidRPr="00445472">
        <w:t xml:space="preserve">Pjesa I e Konventës zbatohet për të gjitha palët. Neni i parë është një përmbledhje përcaktimesh për </w:t>
      </w:r>
      <w:r w:rsidR="00D62EDF" w:rsidRPr="00445472">
        <w:t>“</w:t>
      </w:r>
      <w:r w:rsidRPr="00445472">
        <w:t>Ujërat ndërkufitare</w:t>
      </w:r>
      <w:r w:rsidR="00D62EDF" w:rsidRPr="00445472">
        <w:t>”</w:t>
      </w:r>
      <w:r w:rsidRPr="00445472">
        <w:t>.</w:t>
      </w:r>
    </w:p>
    <w:p w14:paraId="6F72408D" w14:textId="2ED182EB" w:rsidR="00CC7889" w:rsidRPr="00445472" w:rsidRDefault="00CC7889" w:rsidP="00CC7889">
      <w:pPr>
        <w:pStyle w:val="TEKSTIIII"/>
      </w:pPr>
      <w:r w:rsidRPr="00445472">
        <w:t xml:space="preserve">Paragrafi i parë i dispozitave të përgjithshme, neni 2, thotë se </w:t>
      </w:r>
      <w:r w:rsidR="00D62EDF" w:rsidRPr="00445472">
        <w:rPr>
          <w:i/>
        </w:rPr>
        <w:t>“</w:t>
      </w:r>
      <w:r w:rsidRPr="00445472">
        <w:rPr>
          <w:i/>
        </w:rPr>
        <w:t>Palët do të marrin të gjitha masat e duhura për të parandaluar, kontrolluar dhe zvogëluar çdo ndikim ndërkufitar</w:t>
      </w:r>
      <w:r w:rsidR="00D62EDF" w:rsidRPr="00445472">
        <w:rPr>
          <w:i/>
        </w:rPr>
        <w:t>”</w:t>
      </w:r>
      <w:r w:rsidRPr="00445472">
        <w:t xml:space="preserve">. Gjithashtu thekson nevojën për masa të forta kombëtare dhe ndërkombëtare për të parandaluar, kontrolluar dhe zvogëluar shkarkimin e substancave të rrezikshme në mjedisin ujor dhe për të ulur eutrofikimin dhe acidifikimin. Artikulli gjithashtu i referohet Parimit të Kujdesit (shmangia e rreziqeve të mundshme pa pritur prova të përcaktuara të rrezikut) dhe Parimit </w:t>
      </w:r>
      <w:r w:rsidR="00D62EDF" w:rsidRPr="00445472">
        <w:t>“</w:t>
      </w:r>
      <w:r w:rsidRPr="00445472">
        <w:t>Ndotësi Paguan</w:t>
      </w:r>
      <w:r w:rsidR="00D62EDF" w:rsidRPr="00445472">
        <w:t>”</w:t>
      </w:r>
      <w:r w:rsidRPr="00445472">
        <w:t xml:space="preserve"> (kostot e parandalimit të ndotjes, masat e kontrollit dhe reduktimit do të përballohen nga ndotësi).</w:t>
      </w:r>
    </w:p>
    <w:p w14:paraId="0D236254" w14:textId="4CCCA56C" w:rsidR="00CC7889" w:rsidRPr="00445472" w:rsidRDefault="00CC7889" w:rsidP="00CC7889">
      <w:pPr>
        <w:pStyle w:val="TEKSTIIII"/>
      </w:pPr>
      <w:r w:rsidRPr="00445472">
        <w:t xml:space="preserve">Pjesa I gjithashtu përmban një seri artikujsh lidhur me </w:t>
      </w:r>
      <w:r w:rsidR="006B2F8B" w:rsidRPr="00445472">
        <w:t>“</w:t>
      </w:r>
      <w:r w:rsidRPr="00445472">
        <w:t xml:space="preserve">Parandalimin, </w:t>
      </w:r>
      <w:r w:rsidR="006B2F8B" w:rsidRPr="00445472">
        <w:t>kontrollin dhe redukti</w:t>
      </w:r>
      <w:r w:rsidRPr="00445472">
        <w:t>min</w:t>
      </w:r>
      <w:r w:rsidR="006B2F8B" w:rsidRPr="00445472">
        <w:t>”</w:t>
      </w:r>
      <w:r w:rsidRPr="00445472">
        <w:t xml:space="preserve">, </w:t>
      </w:r>
      <w:r w:rsidR="006B2F8B" w:rsidRPr="00445472">
        <w:t>“</w:t>
      </w:r>
      <w:r w:rsidRPr="00445472">
        <w:t>Monitorimin</w:t>
      </w:r>
      <w:r w:rsidR="006B2F8B" w:rsidRPr="00445472">
        <w:t>”</w:t>
      </w:r>
      <w:r w:rsidRPr="00445472">
        <w:t xml:space="preserve">, </w:t>
      </w:r>
      <w:r w:rsidR="006B2F8B" w:rsidRPr="00445472">
        <w:t>“</w:t>
      </w:r>
      <w:r w:rsidRPr="00445472">
        <w:t xml:space="preserve">Hulumtimin dhe </w:t>
      </w:r>
      <w:r w:rsidR="006B2F8B" w:rsidRPr="00445472">
        <w:t>zhvillimin”</w:t>
      </w:r>
      <w:r w:rsidRPr="00445472">
        <w:t xml:space="preserve">, </w:t>
      </w:r>
      <w:r w:rsidR="006B2F8B" w:rsidRPr="00445472">
        <w:t>“</w:t>
      </w:r>
      <w:r w:rsidRPr="00445472">
        <w:t xml:space="preserve">Shkëmbimin e </w:t>
      </w:r>
      <w:r w:rsidR="006B2F8B" w:rsidRPr="00445472">
        <w:t>informacionit</w:t>
      </w:r>
      <w:r w:rsidRPr="00445472">
        <w:t xml:space="preserve">, </w:t>
      </w:r>
      <w:r w:rsidR="006B2F8B" w:rsidRPr="00445472">
        <w:t>“</w:t>
      </w:r>
      <w:r w:rsidRPr="00445472">
        <w:t xml:space="preserve">Përgjegjësinë dhe </w:t>
      </w:r>
      <w:r w:rsidR="006B2F8B" w:rsidRPr="00445472">
        <w:t>detyrimin”</w:t>
      </w:r>
      <w:r w:rsidRPr="00445472">
        <w:t xml:space="preserve"> dhe </w:t>
      </w:r>
      <w:r w:rsidR="006B2F8B" w:rsidRPr="00445472">
        <w:t>“</w:t>
      </w:r>
      <w:r w:rsidRPr="00445472">
        <w:t xml:space="preserve">Mbrojtjen e </w:t>
      </w:r>
      <w:r w:rsidR="006B2F8B" w:rsidRPr="00445472">
        <w:t>informacionit”</w:t>
      </w:r>
      <w:r w:rsidRPr="00445472">
        <w:t>.</w:t>
      </w:r>
    </w:p>
    <w:p w14:paraId="217FE2CB" w14:textId="39713E1B" w:rsidR="00CC7889" w:rsidRPr="00445472" w:rsidRDefault="00CC7889" w:rsidP="00CC7889">
      <w:pPr>
        <w:pStyle w:val="TEKSTIIII"/>
      </w:pPr>
      <w:r w:rsidRPr="00445472">
        <w:t xml:space="preserve">Pjesa II ka të bëjë me </w:t>
      </w:r>
      <w:r w:rsidR="006B2F8B" w:rsidRPr="00445472">
        <w:t>“</w:t>
      </w:r>
      <w:r w:rsidRPr="00445472">
        <w:t xml:space="preserve">Dispozitat në </w:t>
      </w:r>
      <w:r w:rsidR="006B2F8B" w:rsidRPr="00445472">
        <w:t xml:space="preserve">lidhje </w:t>
      </w:r>
      <w:r w:rsidRPr="00445472">
        <w:t>me vendet ndërkufitare</w:t>
      </w:r>
      <w:r w:rsidR="00D62EDF" w:rsidRPr="00445472">
        <w:t>”</w:t>
      </w:r>
      <w:r w:rsidRPr="00445472">
        <w:t xml:space="preserve">. Në këtë seksion, neni 9 mbulon </w:t>
      </w:r>
      <w:r w:rsidR="006B2F8B" w:rsidRPr="00445472">
        <w:t>“</w:t>
      </w:r>
      <w:r w:rsidRPr="00445472">
        <w:t>Bashkëpunimin dypalësh dhe shumëpalësh</w:t>
      </w:r>
      <w:r w:rsidR="006B2F8B" w:rsidRPr="00445472">
        <w:t>”,</w:t>
      </w:r>
      <w:r w:rsidRPr="00445472">
        <w:t xml:space="preserve"> duke përfshirë krijimin e organeve të përbashkëta. Ajo</w:t>
      </w:r>
      <w:r w:rsidR="006B2F8B" w:rsidRPr="00445472">
        <w:t>,</w:t>
      </w:r>
      <w:r w:rsidRPr="00445472">
        <w:t xml:space="preserve"> gjithashtu</w:t>
      </w:r>
      <w:r w:rsidR="006B2F8B" w:rsidRPr="00445472">
        <w:t>,</w:t>
      </w:r>
      <w:r w:rsidRPr="00445472">
        <w:t xml:space="preserve"> mbulon fushat e bashkëpunimit si kërkimi shkencor i përbashkët, shkëmbimi i informacionit dhe paralajmërimi dhe sistemet e alarmit.</w:t>
      </w:r>
    </w:p>
    <w:p w14:paraId="422C5B04" w14:textId="48686E7F" w:rsidR="00CC7889" w:rsidRPr="00445472" w:rsidRDefault="00CC7889" w:rsidP="00CC7889">
      <w:pPr>
        <w:pStyle w:val="TEKSTIIII"/>
      </w:pPr>
      <w:r w:rsidRPr="00445472">
        <w:t>Pjesa e tretë dhe e fundit, ka të bëjë me çështjet institucionale.</w:t>
      </w:r>
    </w:p>
    <w:p w14:paraId="3AAC770E" w14:textId="696EAF2D" w:rsidR="00CC7889" w:rsidRPr="00445472" w:rsidRDefault="00CC7889" w:rsidP="00CC7889">
      <w:pPr>
        <w:pStyle w:val="TEKSTIIII"/>
      </w:pPr>
      <w:r w:rsidRPr="00445472">
        <w:t>Republika e Shqipërisë ka ratifikuar protokollin e UNECE-s</w:t>
      </w:r>
      <w:r w:rsidR="00D62EDF" w:rsidRPr="00445472">
        <w:t xml:space="preserve">, </w:t>
      </w:r>
      <w:r w:rsidR="00D62EDF" w:rsidRPr="00445472">
        <w:rPr>
          <w:b/>
        </w:rPr>
        <w:t>“Për</w:t>
      </w:r>
      <w:r w:rsidR="00D62EDF" w:rsidRPr="00445472">
        <w:t xml:space="preserve"> </w:t>
      </w:r>
      <w:r w:rsidRPr="00445472">
        <w:rPr>
          <w:b/>
        </w:rPr>
        <w:t>ujin dhe shëndetin</w:t>
      </w:r>
      <w:r w:rsidR="00D62EDF" w:rsidRPr="00445472">
        <w:t>”</w:t>
      </w:r>
      <w:r w:rsidRPr="00445472">
        <w:t xml:space="preserve"> më 8 mars 2002. Qëllimi kryesor i Protokollit është mbrojtja e shëndetit të njeriut dhe mirëqenies nëpërmjet menaxhimit më të mirë të ujit, duke përfshirë mbrojtjen e ekosistemeve ujore</w:t>
      </w:r>
      <w:r w:rsidR="008F0A9F" w:rsidRPr="00445472">
        <w:t>, si dhe</w:t>
      </w:r>
      <w:r w:rsidRPr="00445472">
        <w:t xml:space="preserve"> nëpërmjet parandalimit, kontrollit dhe reduktimit të sëmundjeve me origjinë nga uji.</w:t>
      </w:r>
    </w:p>
    <w:p w14:paraId="05601C52" w14:textId="2C0D8D73" w:rsidR="00CC7889" w:rsidRPr="00445472" w:rsidRDefault="00CC7889" w:rsidP="00CC7889">
      <w:pPr>
        <w:pStyle w:val="TEKSTIIII"/>
      </w:pPr>
      <w:r w:rsidRPr="00445472">
        <w:t>Protokolli është marrëveshja e parë ndërkombëtare e këtij lloji e miratuar posaçërisht për të arritur furnizimin e duhur me ujë të pijshëm të sigurt dhe higjienën e duhur për të gjithë</w:t>
      </w:r>
      <w:r w:rsidR="008F0A9F" w:rsidRPr="00445472">
        <w:t>, si dhe</w:t>
      </w:r>
      <w:r w:rsidRPr="00445472">
        <w:t xml:space="preserve"> për të mbrojtur në mënyrë efektive burimet ujore që përdoren për ujë të pijshëm. Zhvillime të qarta për këtë qëllim mund të shihen duke analizuar raportin e fundit përmbledhës të paraqitur nga shteti në prill 2016:</w:t>
      </w:r>
    </w:p>
    <w:p w14:paraId="532B2D29" w14:textId="6963CC0F" w:rsidR="00CC7889" w:rsidRPr="00445472" w:rsidRDefault="00A77FAB" w:rsidP="00CC7889">
      <w:pPr>
        <w:pStyle w:val="TEKSTIIII"/>
      </w:pPr>
      <w:r w:rsidRPr="00445472">
        <w:t>-</w:t>
      </w:r>
      <w:r w:rsidR="006B2F8B" w:rsidRPr="00445472">
        <w:t xml:space="preserve"> </w:t>
      </w:r>
      <w:r w:rsidR="00CC7889" w:rsidRPr="00445472">
        <w:t xml:space="preserve">përqindja e mostrave që nuk arriti të përmbushë standardin kombëtar për </w:t>
      </w:r>
      <w:r w:rsidR="00CC7889" w:rsidRPr="00445472">
        <w:rPr>
          <w:i/>
        </w:rPr>
        <w:t>E. coli</w:t>
      </w:r>
      <w:r w:rsidR="00CC7889" w:rsidRPr="00445472">
        <w:t xml:space="preserve"> ka rënë nga 1.9% në 2013 në 0.67% në vitin 2015;</w:t>
      </w:r>
    </w:p>
    <w:p w14:paraId="3A7060A7" w14:textId="3498580E" w:rsidR="00CC7889" w:rsidRPr="00445472" w:rsidRDefault="00A77FAB" w:rsidP="00CC7889">
      <w:pPr>
        <w:pStyle w:val="TEKSTIIII"/>
      </w:pPr>
      <w:r w:rsidRPr="00445472">
        <w:t>-</w:t>
      </w:r>
      <w:r w:rsidR="006B2F8B" w:rsidRPr="00445472">
        <w:t xml:space="preserve"> </w:t>
      </w:r>
      <w:r w:rsidR="00CC7889" w:rsidRPr="00445472">
        <w:t>aksesi i popullatës në shërbimet e ujit dhe kanalizimeve u rrit nga vlerat bazë;</w:t>
      </w:r>
    </w:p>
    <w:p w14:paraId="0438A995" w14:textId="5376ED8C" w:rsidR="00CC7889" w:rsidRPr="00445472" w:rsidRDefault="00A77FAB" w:rsidP="00CC7889">
      <w:pPr>
        <w:pStyle w:val="TEKSTIIII"/>
      </w:pPr>
      <w:r w:rsidRPr="00445472">
        <w:t>-</w:t>
      </w:r>
      <w:r w:rsidR="006B2F8B" w:rsidRPr="00445472">
        <w:t xml:space="preserve"> </w:t>
      </w:r>
      <w:r w:rsidR="00CC7889" w:rsidRPr="00445472">
        <w:t>cilësia e ujërave të larjes u rrit nga 45% në 2011 në 68% në 2015.</w:t>
      </w:r>
    </w:p>
    <w:p w14:paraId="67571A66" w14:textId="26C0B25A" w:rsidR="00CC7889" w:rsidRPr="00445472" w:rsidRDefault="00CC7889" w:rsidP="00CC7889">
      <w:pPr>
        <w:pStyle w:val="TEKSTIIII"/>
      </w:pPr>
      <w:r w:rsidRPr="00445472">
        <w:t xml:space="preserve">Konventat e mësipërme të UNECE-së kanë të bëjnë me </w:t>
      </w:r>
      <w:r w:rsidR="00D62EDF" w:rsidRPr="00445472">
        <w:t>“</w:t>
      </w:r>
      <w:r w:rsidRPr="00445472">
        <w:t>cilësinë e ujit</w:t>
      </w:r>
      <w:r w:rsidR="00D62EDF" w:rsidRPr="00445472">
        <w:t>”</w:t>
      </w:r>
      <w:r w:rsidRPr="00445472">
        <w:t xml:space="preserve"> dhe jo </w:t>
      </w:r>
      <w:r w:rsidR="00D62EDF" w:rsidRPr="00445472">
        <w:t>“</w:t>
      </w:r>
      <w:r w:rsidRPr="00445472">
        <w:t>sasinë e ujit</w:t>
      </w:r>
      <w:r w:rsidR="00D62EDF" w:rsidRPr="00445472">
        <w:t>”</w:t>
      </w:r>
      <w:r w:rsidRPr="00445472">
        <w:t xml:space="preserve">. Nga ana tjetër, </w:t>
      </w:r>
      <w:r w:rsidR="00D62EDF" w:rsidRPr="00445472">
        <w:t>“</w:t>
      </w:r>
      <w:r w:rsidRPr="00445472">
        <w:t>Konventa e OK</w:t>
      </w:r>
      <w:r w:rsidR="00FD51F7">
        <w:t>B-së mbi ligjin e përdorimit jo</w:t>
      </w:r>
      <w:r w:rsidR="00FD51F7" w:rsidRPr="00445472">
        <w:t xml:space="preserve">lundrues </w:t>
      </w:r>
      <w:r w:rsidRPr="00445472">
        <w:t xml:space="preserve">të </w:t>
      </w:r>
      <w:r w:rsidR="00FD51F7" w:rsidRPr="00445472">
        <w:t xml:space="preserve">rrjedhave ndërkombëtare </w:t>
      </w:r>
      <w:r w:rsidRPr="00445472">
        <w:t>të ujit</w:t>
      </w:r>
      <w:r w:rsidR="00D62EDF" w:rsidRPr="00445472">
        <w:t>”</w:t>
      </w:r>
      <w:r w:rsidRPr="00445472">
        <w:t xml:space="preserve"> të miratuar në vitin 1997, zgjeron fushën e interesit, duke theksuar në preambulën e saj se </w:t>
      </w:r>
      <w:r w:rsidR="00D62EDF" w:rsidRPr="00445472">
        <w:t>“</w:t>
      </w:r>
      <w:r w:rsidRPr="00445472">
        <w:t>një konventë kuadër do të sigurojë shfrytëzimin, zhvillimin, ruajtjen, menaxhimin dhe mbrojtjen e rrjedhave ujore ndërkombëtare dhe promovimin e shfrytëzimit optimal dhe të qëndrueshëm të tyre për brezat e tanishëm dhe të ardhshëm</w:t>
      </w:r>
      <w:r w:rsidR="00D62EDF" w:rsidRPr="00445472">
        <w:t>”</w:t>
      </w:r>
      <w:r w:rsidRPr="00445472">
        <w:t xml:space="preserve">. </w:t>
      </w:r>
      <w:r w:rsidR="00D62EDF" w:rsidRPr="00445472">
        <w:t>“</w:t>
      </w:r>
      <w:r w:rsidRPr="00445472">
        <w:t xml:space="preserve">Një nga konceptet kyçe në këtë Konventë është që Shtetet ndërkufitare në territoret e tyre të shfrytëzojnë një rrjedhë ujore ndërkombëtare në një </w:t>
      </w:r>
      <w:r w:rsidR="00D62EDF" w:rsidRPr="00445472">
        <w:t>“</w:t>
      </w:r>
      <w:r w:rsidRPr="00445472">
        <w:t xml:space="preserve">mënyrë të barabartë dhe të arsyeshme </w:t>
      </w:r>
      <w:r w:rsidR="00D62EDF" w:rsidRPr="00445472">
        <w:t>“</w:t>
      </w:r>
      <w:r w:rsidRPr="00445472">
        <w:t>. Konventa përcakton kriteret për të gjykuar nëse përdorimi është 'i drejtë dhe i arsyeshëm'. Nga vendet fqinje të Shqipërisë, vetëm Greqia dhe Mali i Zi e kanë ratifikuar këtë konventë.</w:t>
      </w:r>
    </w:p>
    <w:p w14:paraId="139CB019" w14:textId="0FCEF154" w:rsidR="00CC7889" w:rsidRPr="00445472" w:rsidRDefault="00CC7889" w:rsidP="00CC7889">
      <w:pPr>
        <w:pStyle w:val="TEKSTIIII"/>
      </w:pPr>
      <w:r w:rsidRPr="00445472">
        <w:t xml:space="preserve">Liqenet ndërkufitare janë: liqeni i Shkodrës që ndahet me Malin e Zi, liqeni i Ohrit që ndahet me Maqedoninë e Veriut, dhe liqeni i Prespës që ndahet me Maqedoninë e Veriut dhe Greqinë. Baseni ujor </w:t>
      </w:r>
      <w:r w:rsidR="007E76E3" w:rsidRPr="00445472">
        <w:t>Drin–Bunë</w:t>
      </w:r>
      <w:r w:rsidRPr="00445472">
        <w:t xml:space="preserve"> ndahet me katër shtete fqinje: Malin e Zi, Maqedoninë e Veriut, Greqinë dhe Kosovën. Në vitin 2003 u nënshkrua një marrëveshje me Malin e Zi, e cila vendosi bashkëpunimin dypalësh për</w:t>
      </w:r>
      <w:r w:rsidR="006B2F8B" w:rsidRPr="00445472">
        <w:t xml:space="preserve"> </w:t>
      </w:r>
      <w:r w:rsidRPr="00445472">
        <w:t xml:space="preserve">sa </w:t>
      </w:r>
      <w:r w:rsidR="006B2F8B" w:rsidRPr="00445472">
        <w:t>u</w:t>
      </w:r>
      <w:r w:rsidRPr="00445472">
        <w:t xml:space="preserve"> përket burimeve ujore që ndahen midis dy vendeve. Nga viti 2008 deri në vitin 2012, u zbatua Projekti </w:t>
      </w:r>
      <w:r w:rsidR="00D62EDF" w:rsidRPr="00445472">
        <w:t>“</w:t>
      </w:r>
      <w:r w:rsidRPr="00445472">
        <w:t>Liqeni i Shkodrës: Menaxhimi i Integruar i Ekosistemit</w:t>
      </w:r>
      <w:r w:rsidR="00D62EDF" w:rsidRPr="00445472">
        <w:t>”</w:t>
      </w:r>
      <w:r w:rsidRPr="00445472">
        <w:t xml:space="preserve">, i financuar nga GEF dhe Qeveria Shqiptare. Gjithashtu, në vitin 2003 u ratifikua një marrëveshje me Greqinë, edhe pse bashkëpunimi dypalësh nuk solli rezultatet e pritura. Në vitin 2008 fatkeqësisht u mbajt vetëm një takim, palët janë në kontakte të vazhdueshme.   </w:t>
      </w:r>
    </w:p>
    <w:p w14:paraId="7D1C57EA" w14:textId="37257CE8" w:rsidR="00CC7889" w:rsidRPr="00445472" w:rsidRDefault="00CC7889" w:rsidP="00CC7889">
      <w:pPr>
        <w:pStyle w:val="TEKSTIIII"/>
      </w:pPr>
      <w:r w:rsidRPr="00445472">
        <w:t xml:space="preserve">Në vitin 2010 u nënshkrua një </w:t>
      </w:r>
      <w:r w:rsidRPr="00445472">
        <w:rPr>
          <w:b/>
        </w:rPr>
        <w:t>Memorandum i Mirëkuptimit</w:t>
      </w:r>
      <w:r w:rsidR="00D62EDF" w:rsidRPr="00445472">
        <w:t xml:space="preserve">, “Për </w:t>
      </w:r>
      <w:r w:rsidRPr="00445472">
        <w:t xml:space="preserve">marrjen e masave për rregullimin e regjimit të ujërave në liqenin e Shkodrës, basenin ujor </w:t>
      </w:r>
      <w:r w:rsidR="007E76E3" w:rsidRPr="00445472">
        <w:t>Drin–Bunë</w:t>
      </w:r>
      <w:r w:rsidR="00D62EDF" w:rsidRPr="00445472">
        <w:t>”</w:t>
      </w:r>
      <w:r w:rsidRPr="00445472">
        <w:t xml:space="preserve"> me Malit të Zi. Një marrëveshje me Maqedoninë e Veriut është ende në negociata; gjithsesi ende nuk ka prodhuar rezultatet e dëshiruara edhe pse të dyja shtetet kanë shprehur vullnetin e tyre për ta përmbyllur. Një marrëveshje me Maqedoninë e Veriut u nënshkrua për liqenin e Ohrit</w:t>
      </w:r>
      <w:r w:rsidR="00D62EDF" w:rsidRPr="00445472">
        <w:t xml:space="preserve">, “Për </w:t>
      </w:r>
      <w:r w:rsidRPr="00445472">
        <w:t>mbrojtjen dhe zhvillimin e qëndrueshëm të liqenit të Ohrit dhe basenit të tij</w:t>
      </w:r>
      <w:r w:rsidR="00D62EDF" w:rsidRPr="00445472">
        <w:t>”</w:t>
      </w:r>
      <w:r w:rsidRPr="00445472">
        <w:t xml:space="preserve">.  </w:t>
      </w:r>
    </w:p>
    <w:p w14:paraId="4365ABFC" w14:textId="203794E2" w:rsidR="00CC7889" w:rsidRPr="00445472" w:rsidRDefault="00CC7889" w:rsidP="00CC7889">
      <w:pPr>
        <w:pStyle w:val="TEKSTIIII"/>
      </w:pPr>
      <w:r w:rsidRPr="00445472">
        <w:t xml:space="preserve">Për të përmirësuar gatishmërinë dhe reagimin ndaj përmbytjeve në basenin e Drinit, Shqipëria nënshkroi </w:t>
      </w:r>
      <w:r w:rsidR="00D62EDF" w:rsidRPr="00445472">
        <w:rPr>
          <w:b/>
        </w:rPr>
        <w:t>“</w:t>
      </w:r>
      <w:r w:rsidRPr="00445472">
        <w:rPr>
          <w:b/>
        </w:rPr>
        <w:t>Përfundimet për Zhvillimin dhe thellimin e Bashkëpunimit Rajonal në fushën e Menaxhimit të Krizave</w:t>
      </w:r>
      <w:r w:rsidR="00D62EDF" w:rsidRPr="00445472">
        <w:rPr>
          <w:b/>
        </w:rPr>
        <w:t>”</w:t>
      </w:r>
      <w:r w:rsidRPr="00445472">
        <w:t xml:space="preserve"> midis Republikave të Shqipërisë, Kosovës dhe Maqedonisë së Veriut, e cila u nënshkrua në Shkup në maj të vitit 2011. Në nëntor të 2011 u nënshkrua në Tiranë një </w:t>
      </w:r>
      <w:r w:rsidRPr="00445472">
        <w:rPr>
          <w:b/>
        </w:rPr>
        <w:t>Memorandum Mirëkuptimi</w:t>
      </w:r>
      <w:r w:rsidRPr="00445472">
        <w:t xml:space="preserve"> për </w:t>
      </w:r>
      <w:r w:rsidR="00D62EDF" w:rsidRPr="00445472">
        <w:t>“</w:t>
      </w:r>
      <w:r w:rsidRPr="00445472">
        <w:t xml:space="preserve">Lumin e Drinit: Një vizion strategjik i ndarë’’ ndërmjet Shqipërisë, Maqedonisë së Veriut, Greqisë, Kosovës dhe Malit të Zi. Kjo marrëveshje ka për qëllim përmirësimin e menaxhimit të burimeve ujore në nivel ndërkufitar.   </w:t>
      </w:r>
    </w:p>
    <w:p w14:paraId="1043639A" w14:textId="2BB464BF" w:rsidR="00CC7889" w:rsidRPr="00445472" w:rsidRDefault="00A77FAB" w:rsidP="00A77FAB">
      <w:pPr>
        <w:pStyle w:val="NENTITULL"/>
      </w:pPr>
      <w:bookmarkStart w:id="24" w:name="_Toc508202775"/>
      <w:bookmarkStart w:id="25" w:name="_Toc508202776"/>
      <w:bookmarkStart w:id="26" w:name="_Toc508202777"/>
      <w:bookmarkStart w:id="27" w:name="_Toc508202778"/>
      <w:bookmarkStart w:id="28" w:name="_Toc508202779"/>
      <w:bookmarkStart w:id="29" w:name="_Toc508202780"/>
      <w:bookmarkStart w:id="30" w:name="_Toc11068741"/>
      <w:bookmarkEnd w:id="24"/>
      <w:bookmarkEnd w:id="25"/>
      <w:bookmarkEnd w:id="26"/>
      <w:bookmarkEnd w:id="27"/>
      <w:bookmarkEnd w:id="28"/>
      <w:bookmarkEnd w:id="29"/>
      <w:r w:rsidRPr="00445472">
        <w:t xml:space="preserve">2.5 </w:t>
      </w:r>
      <w:r w:rsidR="00CC7889" w:rsidRPr="00445472">
        <w:t>Kuadri Institucional</w:t>
      </w:r>
      <w:bookmarkEnd w:id="30"/>
    </w:p>
    <w:p w14:paraId="0450D80D" w14:textId="0D9ED553" w:rsidR="00CC7889" w:rsidRPr="00445472" w:rsidRDefault="00CC7889" w:rsidP="00CC7889">
      <w:pPr>
        <w:pStyle w:val="TEKSTIIII"/>
      </w:pPr>
      <w:r w:rsidRPr="00445472">
        <w:t>Strukturat e administrimit dhe menaxhimit të ujërave janë të disponueshme në nivel kombëtar dhe vendor. Figura 2.1 përshkruan marrëdhënien aktuale ndërmjet ministrive dhe agjencive vendore</w:t>
      </w:r>
      <w:r w:rsidRPr="00445472">
        <w:rPr>
          <w:rStyle w:val="FootnoteReference"/>
          <w:rFonts w:ascii="Garamond" w:hAnsi="Garamond"/>
          <w:color w:val="auto"/>
        </w:rPr>
        <w:footnoteReference w:id="2"/>
      </w:r>
      <w:r w:rsidRPr="00445472">
        <w:t xml:space="preserve">. Në nivel kombëtar, Këshilli Kombëtar i Ujit (KKU) është organi ekzekutiv qendror. Duke qenë se Shqipëria është një vend kandidat për pranimin në BE, ajo ka nevojë </w:t>
      </w:r>
      <w:r w:rsidR="001F68B2" w:rsidRPr="00445472">
        <w:t>t’i</w:t>
      </w:r>
      <w:r w:rsidRPr="00445472">
        <w:t xml:space="preserve"> përqaset përputhshmërisë me një numër të konsiderueshëm të direktivave të BE-së që lidhen me menaxhimin e ujërave. Vendi ndahet në gjashtë basene ujore, ku secili ka një Këshill të Basenit Ujor (KBU) dhe një Zyrë të Administrimit të Basenit Ujor. Kjo strukturë është e favorshme në parim për të neutralizuar fragmentimin e menaxhimit të burimeve ujore dhe për të promovuar një administrim efektiv në nivel lokal.</w:t>
      </w:r>
    </w:p>
    <w:p w14:paraId="56754247" w14:textId="10BC2C83" w:rsidR="00CC7889" w:rsidRPr="00445472" w:rsidRDefault="00F25EEC" w:rsidP="00F25EEC">
      <w:pPr>
        <w:pStyle w:val="NENTITULL"/>
      </w:pPr>
      <w:bookmarkStart w:id="31" w:name="_Toc11068742"/>
      <w:r w:rsidRPr="00445472">
        <w:t xml:space="preserve">2.5.1 </w:t>
      </w:r>
      <w:r w:rsidR="00CC7889" w:rsidRPr="00445472">
        <w:t>Institucionet e nivelit qendror</w:t>
      </w:r>
      <w:bookmarkEnd w:id="31"/>
    </w:p>
    <w:p w14:paraId="6B7C790E" w14:textId="202C8276" w:rsidR="00CC7889" w:rsidRPr="00445472" w:rsidRDefault="00CC7889" w:rsidP="00CC7889">
      <w:pPr>
        <w:pStyle w:val="TEKSTIIII"/>
      </w:pPr>
      <w:r w:rsidRPr="00445472">
        <w:t xml:space="preserve">Ministria përgjegjëse për ujitjen dhe </w:t>
      </w:r>
      <w:r w:rsidR="008F0A9F" w:rsidRPr="00445472">
        <w:t xml:space="preserve">për </w:t>
      </w:r>
      <w:r w:rsidRPr="00445472">
        <w:t>kullimin është përgjegjëse për menaxhimin e ujitjes dhe aktiviteteve të kullimit dhe kryen detyrat e mëposhtme:</w:t>
      </w:r>
    </w:p>
    <w:p w14:paraId="213CF112" w14:textId="6D4E8179" w:rsidR="00CC7889" w:rsidRPr="00445472" w:rsidRDefault="00F25EEC" w:rsidP="00CC7889">
      <w:pPr>
        <w:pStyle w:val="TEKSTIIII"/>
      </w:pPr>
      <w:r w:rsidRPr="00445472">
        <w:t>-</w:t>
      </w:r>
      <w:r w:rsidR="006B2F8B" w:rsidRPr="00445472">
        <w:t xml:space="preserve"> </w:t>
      </w:r>
      <w:r w:rsidR="00CC7889" w:rsidRPr="00445472">
        <w:t>përcakton politikën kombëtare mbi sistemet e ujitjes dhe kullimit;</w:t>
      </w:r>
    </w:p>
    <w:p w14:paraId="39F8F111" w14:textId="77C9E8E7" w:rsidR="00CC7889" w:rsidRPr="00445472" w:rsidRDefault="00F25EEC" w:rsidP="00CC7889">
      <w:pPr>
        <w:pStyle w:val="TEKSTIIII"/>
      </w:pPr>
      <w:r w:rsidRPr="00445472">
        <w:t>-</w:t>
      </w:r>
      <w:r w:rsidR="006B2F8B" w:rsidRPr="00445472">
        <w:t xml:space="preserve"> </w:t>
      </w:r>
      <w:r w:rsidR="00CC7889" w:rsidRPr="00445472">
        <w:t>mbikëqyr veprimtarinë dhe aktivitetet e organizatave, dhe bordeve e kullimit nga perspektiva ligjore dhe financiare;</w:t>
      </w:r>
    </w:p>
    <w:p w14:paraId="1E44F57D" w14:textId="17F8E021" w:rsidR="00CC7889" w:rsidRPr="00445472" w:rsidRDefault="00F25EEC" w:rsidP="00CC7889">
      <w:pPr>
        <w:pStyle w:val="TEKSTIIII"/>
      </w:pPr>
      <w:r w:rsidRPr="00445472">
        <w:t>-</w:t>
      </w:r>
      <w:r w:rsidR="006B2F8B" w:rsidRPr="00445472">
        <w:t xml:space="preserve"> </w:t>
      </w:r>
      <w:r w:rsidR="00CC7889" w:rsidRPr="00445472">
        <w:t>mbikëqyr aspektet teknike të infrastrukturës së ujitjes dhe kullimit;</w:t>
      </w:r>
    </w:p>
    <w:p w14:paraId="568A8DDB" w14:textId="738C8304" w:rsidR="00CC7889" w:rsidRPr="00445472" w:rsidRDefault="00F25EEC" w:rsidP="00CC7889">
      <w:pPr>
        <w:pStyle w:val="TEKSTIIII"/>
      </w:pPr>
      <w:r w:rsidRPr="00445472">
        <w:t>-</w:t>
      </w:r>
      <w:r w:rsidR="006B2F8B" w:rsidRPr="00445472">
        <w:t xml:space="preserve"> </w:t>
      </w:r>
      <w:r w:rsidR="00CC7889" w:rsidRPr="00445472">
        <w:t>propozon ngritjen e Bordeve të Kullimit;</w:t>
      </w:r>
    </w:p>
    <w:p w14:paraId="1C70F569" w14:textId="708B1993" w:rsidR="00CC7889" w:rsidRPr="00445472" w:rsidRDefault="00F25EEC" w:rsidP="00CC7889">
      <w:pPr>
        <w:pStyle w:val="TEKSTIIII"/>
      </w:pPr>
      <w:r w:rsidRPr="00445472">
        <w:t>-</w:t>
      </w:r>
      <w:r w:rsidR="006B2F8B" w:rsidRPr="00445472">
        <w:t xml:space="preserve"> </w:t>
      </w:r>
      <w:r w:rsidR="00CC7889" w:rsidRPr="00445472">
        <w:t>autorizon transferimin e sistemeve të ujitjes dhe kanaleve kryesore të ujitjes;</w:t>
      </w:r>
    </w:p>
    <w:p w14:paraId="3483715F" w14:textId="2361169D" w:rsidR="00CC7889" w:rsidRPr="00445472" w:rsidRDefault="00F25EEC" w:rsidP="00CC7889">
      <w:pPr>
        <w:pStyle w:val="TEKSTIIII"/>
      </w:pPr>
      <w:r w:rsidRPr="00445472">
        <w:t>-</w:t>
      </w:r>
      <w:r w:rsidR="006B2F8B" w:rsidRPr="00445472">
        <w:t xml:space="preserve"> </w:t>
      </w:r>
      <w:r w:rsidR="00CC7889" w:rsidRPr="00445472">
        <w:t>ndërmerr veprime të nevojshme për të siguruar funksionimin e objekteve dhe digave të mbrojtjes nga përmbytjet si pjesë e sistemeve të ujitjes;</w:t>
      </w:r>
    </w:p>
    <w:p w14:paraId="31A11424" w14:textId="5EAD4266" w:rsidR="00CC7889" w:rsidRPr="00445472" w:rsidRDefault="00F25EEC" w:rsidP="00CC7889">
      <w:pPr>
        <w:pStyle w:val="TEKSTIIII"/>
      </w:pPr>
      <w:r w:rsidRPr="00445472">
        <w:t>-</w:t>
      </w:r>
      <w:r w:rsidR="006B2F8B" w:rsidRPr="00445472">
        <w:t xml:space="preserve"> </w:t>
      </w:r>
      <w:r w:rsidR="00CC7889" w:rsidRPr="00445472">
        <w:t>mban bazën e të dhënave të bordeve të kullimit, komunitetin;</w:t>
      </w:r>
    </w:p>
    <w:p w14:paraId="0B8E7FA0" w14:textId="37D93A31" w:rsidR="00CC7889" w:rsidRPr="00445472" w:rsidRDefault="00F25EEC" w:rsidP="00CC7889">
      <w:pPr>
        <w:pStyle w:val="TEKSTIIII"/>
      </w:pPr>
      <w:r w:rsidRPr="00445472">
        <w:t>-</w:t>
      </w:r>
      <w:r w:rsidR="006B2F8B" w:rsidRPr="00445472">
        <w:t xml:space="preserve"> </w:t>
      </w:r>
      <w:r w:rsidR="00CC7889" w:rsidRPr="00445472">
        <w:t>këshillon dhe udhëzon organizatat, komunitetin dhe bordet e kullimit, duke vepruar gjithmonë në kërkesën e këtij të fundit për çështje ligjore, teknike dhe financiare;</w:t>
      </w:r>
    </w:p>
    <w:p w14:paraId="74C2C8BB" w14:textId="193ED83B" w:rsidR="00CC7889" w:rsidRPr="00445472" w:rsidRDefault="00F25EEC" w:rsidP="00CC7889">
      <w:pPr>
        <w:pStyle w:val="TEKSTIIII"/>
      </w:pPr>
      <w:r w:rsidRPr="00445472">
        <w:t>-</w:t>
      </w:r>
      <w:r w:rsidR="006B2F8B" w:rsidRPr="00445472">
        <w:t xml:space="preserve"> </w:t>
      </w:r>
      <w:r w:rsidR="00CC7889" w:rsidRPr="00445472">
        <w:t xml:space="preserve">mbikëqyr përzgjedhjen e </w:t>
      </w:r>
      <w:r w:rsidR="008F0A9F" w:rsidRPr="00445472">
        <w:t>administratës</w:t>
      </w:r>
      <w:r w:rsidR="00CC7889" w:rsidRPr="00445472">
        <w:t xml:space="preserve"> së bordeve për organizatat dhe komunitetin;</w:t>
      </w:r>
    </w:p>
    <w:p w14:paraId="6F9BA332" w14:textId="6F0808EC" w:rsidR="00CC7889" w:rsidRPr="00445472" w:rsidRDefault="00F25EEC" w:rsidP="00CC7889">
      <w:pPr>
        <w:pStyle w:val="TEKSTIIII"/>
      </w:pPr>
      <w:r w:rsidRPr="00445472">
        <w:t>-</w:t>
      </w:r>
      <w:r w:rsidR="006B2F8B" w:rsidRPr="00445472">
        <w:t xml:space="preserve"> </w:t>
      </w:r>
      <w:r w:rsidR="00CC7889" w:rsidRPr="00445472">
        <w:t>kryen auditimin financiar të organizatave, dhe Bordeve të kullimit;</w:t>
      </w:r>
    </w:p>
    <w:p w14:paraId="40D09958" w14:textId="224B335B" w:rsidR="00CC7889" w:rsidRPr="00445472" w:rsidRDefault="00F25EEC" w:rsidP="00CC7889">
      <w:pPr>
        <w:pStyle w:val="TEKSTIIII"/>
      </w:pPr>
      <w:r w:rsidRPr="00445472">
        <w:t>-</w:t>
      </w:r>
      <w:r w:rsidR="006B2F8B" w:rsidRPr="00445472">
        <w:t xml:space="preserve"> </w:t>
      </w:r>
      <w:r w:rsidR="00CC7889" w:rsidRPr="00445472">
        <w:t>kryen inspektime të gjendjes teknike dhe fizike të sistemeve të ujitjes, kanaleve kryesore, sistemeve kryesore të kullimit dhe punëve të mbrojtjes nga përmbytjet;</w:t>
      </w:r>
    </w:p>
    <w:p w14:paraId="1D979944" w14:textId="39FDFA02" w:rsidR="00CC7889" w:rsidRPr="00445472" w:rsidRDefault="00F25EEC" w:rsidP="00CC7889">
      <w:pPr>
        <w:pStyle w:val="TEKSTIIII"/>
      </w:pPr>
      <w:r w:rsidRPr="00445472">
        <w:t>-</w:t>
      </w:r>
      <w:r w:rsidR="006B2F8B" w:rsidRPr="00445472">
        <w:t xml:space="preserve"> </w:t>
      </w:r>
      <w:r w:rsidR="00CC7889" w:rsidRPr="00445472">
        <w:t>monitoron cilësinë e ujitjes, ujërave të kullimit dhe tokave.</w:t>
      </w:r>
    </w:p>
    <w:p w14:paraId="2935747E" w14:textId="54191DF8" w:rsidR="00CC7889" w:rsidRPr="00445472" w:rsidRDefault="00CC7889" w:rsidP="00CC7889">
      <w:pPr>
        <w:pStyle w:val="TEKSTIIII"/>
      </w:pPr>
      <w:r w:rsidRPr="00445472">
        <w:t>KKU-ja është ngritur në vitin 1996. Ky është organi ekzekutiv qendror për menaxhimin e burimeve ujore duke ofruar një forum të nivelit të lartë për planifikimin dhe menaxhimin e burimeve ujore në një mënyrë të integruar. KKU-ja tani siguron pjesën më të madhe të anëtarëve të Grupit për Menaxhimin e Integruar të Politikave për Ujin, ngritur me Urdhër të Këshillit të Ministrave nr. 129, datë 21,09,2015. Vendimi Këshillit Kombëtar të Ujit nr.</w:t>
      </w:r>
      <w:r w:rsidR="008F0A9F" w:rsidRPr="00445472">
        <w:t xml:space="preserve"> </w:t>
      </w:r>
      <w:r w:rsidRPr="00445472">
        <w:t>4</w:t>
      </w:r>
      <w:r w:rsidR="008F0A9F" w:rsidRPr="00445472">
        <w:t>,</w:t>
      </w:r>
      <w:r w:rsidRPr="00445472">
        <w:t xml:space="preserve"> i datës 2 dhj</w:t>
      </w:r>
      <w:r w:rsidR="00E14B89">
        <w:t>etor 2015, ka ngritur katër nëng</w:t>
      </w:r>
      <w:r w:rsidRPr="00445472">
        <w:t xml:space="preserve">rupe tematike (respektivisht, </w:t>
      </w:r>
      <w:r w:rsidR="00E14B89" w:rsidRPr="00445472">
        <w:t xml:space="preserve">uji për njerëzit, për ushqim, për mjedis dhe për industri). </w:t>
      </w:r>
      <w:r w:rsidR="008F0A9F" w:rsidRPr="00445472">
        <w:t>Përgjegjësitë</w:t>
      </w:r>
      <w:r w:rsidRPr="00445472">
        <w:t xml:space="preserve"> e tyre janë përcaktuar, për më tepër sigurimin e fleksibilitetit të nevojshëm për t’ju përgjigjur situatave komplekse në kohë, për veprime efektive. Në parim, ata duhet të takohen dy herë në muaj ose sipas nevojës. </w:t>
      </w:r>
    </w:p>
    <w:p w14:paraId="02C2DEA4" w14:textId="337D3CA5" w:rsidR="00CC7889" w:rsidRPr="00445472" w:rsidRDefault="00CC7889" w:rsidP="00CC7889">
      <w:pPr>
        <w:pStyle w:val="TEKSTIIII"/>
      </w:pPr>
      <w:r w:rsidRPr="00445472">
        <w:t xml:space="preserve">Ligji 111/2012 për </w:t>
      </w:r>
      <w:r w:rsidR="008F0A9F" w:rsidRPr="00445472">
        <w:t>“Menaxhimin e integruar të burimeve ujore”, si dhe</w:t>
      </w:r>
      <w:r w:rsidRPr="00445472">
        <w:t xml:space="preserve"> ligji nr. 6/2018 për disa ndryshime dhe shtesa në ligjin 111/2012 për </w:t>
      </w:r>
      <w:r w:rsidR="008F0A9F" w:rsidRPr="00445472">
        <w:t>“Menaxhimin e integruar të burimeve ujore”</w:t>
      </w:r>
      <w:r w:rsidRPr="00445472">
        <w:t xml:space="preserve"> krijojnë KKU-në si organ të lartë përgjegjës për përcaktimin e linjave kryesore të politikës dhe vendimmarrjes. Kryeministri kryeson KKU-në, dhe në përputhje me nenin 5(2) të LBU-së, përbërja e tij duhet të përcaktohet nga Këshilli i Ministrave. Anëtarët e KKU-së janë si më poshtë:</w:t>
      </w:r>
    </w:p>
    <w:p w14:paraId="08E3FD64" w14:textId="748FCBF0" w:rsidR="00CC7889" w:rsidRPr="00445472" w:rsidRDefault="00F25EEC" w:rsidP="00CC7889">
      <w:pPr>
        <w:pStyle w:val="TEKSTIIII"/>
      </w:pPr>
      <w:r w:rsidRPr="00445472">
        <w:t>-</w:t>
      </w:r>
      <w:r w:rsidR="008F0A9F" w:rsidRPr="00445472">
        <w:t xml:space="preserve"> </w:t>
      </w:r>
      <w:r w:rsidR="00CC7889" w:rsidRPr="00445472">
        <w:t xml:space="preserve">Kryeministri (Kryetari); ose në mungesë të tij </w:t>
      </w:r>
      <w:r w:rsidR="008F0A9F" w:rsidRPr="00445472">
        <w:t>zëvendëskryeministri</w:t>
      </w:r>
      <w:r w:rsidR="00CC7889" w:rsidRPr="00445472">
        <w:t>;</w:t>
      </w:r>
    </w:p>
    <w:p w14:paraId="2D7CA792" w14:textId="317456A4" w:rsidR="00CC7889" w:rsidRPr="00445472" w:rsidRDefault="00F25EEC" w:rsidP="00CC7889">
      <w:pPr>
        <w:pStyle w:val="TEKSTIIII"/>
        <w:rPr>
          <w:rFonts w:cs="Arial"/>
        </w:rPr>
      </w:pPr>
      <w:r w:rsidRPr="00445472">
        <w:rPr>
          <w:rFonts w:cs="Arial"/>
        </w:rPr>
        <w:t>-</w:t>
      </w:r>
      <w:r w:rsidR="008F0A9F" w:rsidRPr="00445472">
        <w:rPr>
          <w:rFonts w:cs="Arial"/>
        </w:rPr>
        <w:t xml:space="preserve"> </w:t>
      </w:r>
      <w:r w:rsidR="00CC7889" w:rsidRPr="00445472">
        <w:rPr>
          <w:rFonts w:cs="Arial"/>
        </w:rPr>
        <w:t>Ministri i Turizmit dhe Mjedisit;</w:t>
      </w:r>
    </w:p>
    <w:p w14:paraId="22354607" w14:textId="572CA0C7" w:rsidR="00CC7889" w:rsidRPr="00445472" w:rsidRDefault="00F25EEC" w:rsidP="00CC7889">
      <w:pPr>
        <w:pStyle w:val="TEKSTIIII"/>
        <w:rPr>
          <w:rFonts w:cs="Arial"/>
        </w:rPr>
      </w:pPr>
      <w:r w:rsidRPr="00445472">
        <w:rPr>
          <w:rFonts w:cs="Arial"/>
        </w:rPr>
        <w:t>-</w:t>
      </w:r>
      <w:r w:rsidR="008F0A9F" w:rsidRPr="00445472">
        <w:rPr>
          <w:rFonts w:cs="Arial"/>
        </w:rPr>
        <w:t xml:space="preserve"> </w:t>
      </w:r>
      <w:r w:rsidR="00CC7889" w:rsidRPr="00445472">
        <w:rPr>
          <w:rFonts w:cs="Arial"/>
        </w:rPr>
        <w:t>Ministri i Bujqësisë dhe Zhvillimit Rural;</w:t>
      </w:r>
    </w:p>
    <w:p w14:paraId="70CC3566" w14:textId="6620CBE8" w:rsidR="00CC7889" w:rsidRPr="00445472" w:rsidRDefault="00F25EEC" w:rsidP="00CC7889">
      <w:pPr>
        <w:pStyle w:val="TEKSTIIII"/>
        <w:rPr>
          <w:rFonts w:cs="Arial"/>
        </w:rPr>
      </w:pPr>
      <w:r w:rsidRPr="00445472">
        <w:rPr>
          <w:rFonts w:cs="Arial"/>
        </w:rPr>
        <w:t>-</w:t>
      </w:r>
      <w:r w:rsidR="008F0A9F" w:rsidRPr="00445472">
        <w:rPr>
          <w:rFonts w:cs="Arial"/>
        </w:rPr>
        <w:t xml:space="preserve"> </w:t>
      </w:r>
      <w:r w:rsidR="00CC7889" w:rsidRPr="00445472">
        <w:rPr>
          <w:rFonts w:cs="Arial"/>
        </w:rPr>
        <w:t>Ministri i Infrastrukturës dhe Energjisë;</w:t>
      </w:r>
    </w:p>
    <w:p w14:paraId="65296ABF" w14:textId="133B666A" w:rsidR="00CC7889" w:rsidRPr="00445472" w:rsidRDefault="00F25EEC" w:rsidP="00CC7889">
      <w:pPr>
        <w:pStyle w:val="TEKSTIIII"/>
        <w:rPr>
          <w:rFonts w:cs="Arial"/>
        </w:rPr>
      </w:pPr>
      <w:r w:rsidRPr="00445472">
        <w:rPr>
          <w:rFonts w:cs="Arial"/>
        </w:rPr>
        <w:t>-</w:t>
      </w:r>
      <w:r w:rsidR="008F0A9F" w:rsidRPr="00445472">
        <w:rPr>
          <w:rFonts w:cs="Arial"/>
        </w:rPr>
        <w:t xml:space="preserve"> </w:t>
      </w:r>
      <w:r w:rsidR="00CC7889" w:rsidRPr="00445472">
        <w:rPr>
          <w:rFonts w:cs="Arial"/>
        </w:rPr>
        <w:t xml:space="preserve">Ministri i Financave dhe Ekonomisë; </w:t>
      </w:r>
    </w:p>
    <w:p w14:paraId="00F11E26" w14:textId="68D4AFE5" w:rsidR="00CC7889" w:rsidRPr="00445472" w:rsidRDefault="00F25EEC" w:rsidP="00CC7889">
      <w:pPr>
        <w:pStyle w:val="TEKSTIIII"/>
        <w:rPr>
          <w:rFonts w:cs="Arial"/>
        </w:rPr>
      </w:pPr>
      <w:r w:rsidRPr="00445472">
        <w:rPr>
          <w:rFonts w:cs="Arial"/>
        </w:rPr>
        <w:t>-</w:t>
      </w:r>
      <w:r w:rsidR="008F0A9F" w:rsidRPr="00445472">
        <w:rPr>
          <w:rFonts w:cs="Arial"/>
        </w:rPr>
        <w:t xml:space="preserve"> </w:t>
      </w:r>
      <w:r w:rsidR="00CC7889" w:rsidRPr="00445472">
        <w:rPr>
          <w:rFonts w:cs="Arial"/>
        </w:rPr>
        <w:t>Ministri i Shëndetësisë dhe Mbrojtjes Sociale</w:t>
      </w:r>
    </w:p>
    <w:p w14:paraId="145ED773" w14:textId="77777777" w:rsidR="006179E0" w:rsidRDefault="00F25EEC" w:rsidP="006179E0">
      <w:pPr>
        <w:pStyle w:val="TEKSTIIII"/>
        <w:rPr>
          <w:rFonts w:cs="Arial"/>
        </w:rPr>
      </w:pPr>
      <w:r w:rsidRPr="00445472">
        <w:rPr>
          <w:rFonts w:cs="Arial"/>
        </w:rPr>
        <w:t>-</w:t>
      </w:r>
      <w:r w:rsidR="008F0A9F" w:rsidRPr="00445472">
        <w:rPr>
          <w:rFonts w:cs="Arial"/>
        </w:rPr>
        <w:t xml:space="preserve"> </w:t>
      </w:r>
      <w:r w:rsidR="00CC7889" w:rsidRPr="00445472">
        <w:rPr>
          <w:rFonts w:cs="Arial"/>
        </w:rPr>
        <w:t xml:space="preserve">Ministri i Mbrojtjes; </w:t>
      </w:r>
    </w:p>
    <w:p w14:paraId="4AF66076" w14:textId="157C11AD" w:rsidR="00CC7889" w:rsidRPr="006179E0" w:rsidRDefault="00CC7889" w:rsidP="006179E0">
      <w:pPr>
        <w:pStyle w:val="TEKSTIIII"/>
        <w:rPr>
          <w:rFonts w:cs="Arial"/>
        </w:rPr>
      </w:pPr>
      <w:r w:rsidRPr="00445472">
        <w:t>Funksionet e KKU-së përfshijnë, por nuk kufizohen vetëm te:</w:t>
      </w:r>
    </w:p>
    <w:p w14:paraId="68DF7DAF" w14:textId="4E3EDF9B" w:rsidR="00CC7889" w:rsidRPr="00445472" w:rsidRDefault="008F0A9F" w:rsidP="00CC7889">
      <w:pPr>
        <w:pStyle w:val="TEKSTIIII"/>
      </w:pPr>
      <w:r w:rsidRPr="00445472">
        <w:t xml:space="preserve">- </w:t>
      </w:r>
      <w:r w:rsidR="00CC7889" w:rsidRPr="00445472">
        <w:t>përgatitja e propozimeve për draftligjet dhe rregulloret për çdo lloj aktiviteti që lidhet me burimet ujore;</w:t>
      </w:r>
    </w:p>
    <w:p w14:paraId="60E59536" w14:textId="6DBC9703" w:rsidR="00CC7889" w:rsidRPr="00445472" w:rsidRDefault="00F25EEC" w:rsidP="00CC7889">
      <w:pPr>
        <w:pStyle w:val="TEKSTIIII"/>
      </w:pPr>
      <w:r w:rsidRPr="00445472">
        <w:t>-</w:t>
      </w:r>
      <w:r w:rsidR="008F0A9F" w:rsidRPr="00445472">
        <w:t xml:space="preserve"> </w:t>
      </w:r>
      <w:r w:rsidR="00CC7889" w:rsidRPr="00445472">
        <w:t>miratimi i kuadrit ligjor, teknik dhe rregullator për të zbatuar</w:t>
      </w:r>
      <w:r w:rsidR="000A1B7F">
        <w:t xml:space="preserve"> LBU-në, dhe për më tepër draft</w:t>
      </w:r>
      <w:r w:rsidR="00CC7889" w:rsidRPr="00445472">
        <w:t>udhëzimeve, dhe ndërmarrja e masave të tjera të nevojshme për zbatimin e planit kombëtar për burimet ujore;</w:t>
      </w:r>
    </w:p>
    <w:p w14:paraId="629A355F" w14:textId="21A3247E" w:rsidR="00CC7889" w:rsidRPr="00445472" w:rsidRDefault="00F25EEC" w:rsidP="00CC7889">
      <w:pPr>
        <w:pStyle w:val="TEKSTIIII"/>
      </w:pPr>
      <w:r w:rsidRPr="00445472">
        <w:t>-</w:t>
      </w:r>
      <w:r w:rsidR="008F0A9F" w:rsidRPr="00445472">
        <w:t xml:space="preserve"> </w:t>
      </w:r>
      <w:r w:rsidR="00CC7889" w:rsidRPr="00445472">
        <w:t xml:space="preserve">miratimi dhe menaxhimi i planeve të Baseneve Ujore; </w:t>
      </w:r>
    </w:p>
    <w:p w14:paraId="50FE67E9" w14:textId="0ABBABCD" w:rsidR="00CC7889" w:rsidRPr="00445472" w:rsidRDefault="00F25EEC" w:rsidP="00CC7889">
      <w:pPr>
        <w:pStyle w:val="TEKSTIIII"/>
      </w:pPr>
      <w:r w:rsidRPr="00445472">
        <w:t>-</w:t>
      </w:r>
      <w:r w:rsidR="008F0A9F" w:rsidRPr="00445472">
        <w:t xml:space="preserve"> </w:t>
      </w:r>
      <w:r w:rsidR="00CC7889" w:rsidRPr="00445472">
        <w:t>lëshimi i lejeve dhe autorizimeve të shkarkimit të ujit dhe shkarkimit të ujërave të zeza kur veprimtaritë përkatëse ndodhin përtej kufijve të një baseni ujor;</w:t>
      </w:r>
    </w:p>
    <w:p w14:paraId="4AE52CC9" w14:textId="5CBA8986" w:rsidR="00CC7889" w:rsidRPr="00445472" w:rsidRDefault="00F25EEC" w:rsidP="00CC7889">
      <w:pPr>
        <w:pStyle w:val="TEKSTIIII"/>
      </w:pPr>
      <w:r w:rsidRPr="00445472">
        <w:t>-</w:t>
      </w:r>
      <w:r w:rsidR="008F0A9F" w:rsidRPr="00445472">
        <w:t xml:space="preserve"> </w:t>
      </w:r>
      <w:r w:rsidR="00CC7889" w:rsidRPr="00445472">
        <w:t>miratimi i rregullave funksionale për Agjencinë e Menaxhimit të Burimeve Ujore, Këshillat e Baseneve Ujore dhe Zyrat e Administrimit të Basenit Ujor; Miratimi i planeve dhe projekteve ndër-rajonale dhe kombëtare në fushën e bujqësisë, planifikimit urban, zhvillimit industrial dhe territorial me efekte në mbrojtjen dhe menaxhimin e ujërave;</w:t>
      </w:r>
    </w:p>
    <w:p w14:paraId="54F3FE60" w14:textId="7B3AC067" w:rsidR="00CC7889" w:rsidRPr="00445472" w:rsidRDefault="00F25EEC" w:rsidP="00CC7889">
      <w:pPr>
        <w:pStyle w:val="TEKSTIIII"/>
      </w:pPr>
      <w:r w:rsidRPr="00445472">
        <w:t>-</w:t>
      </w:r>
      <w:r w:rsidR="008F0A9F" w:rsidRPr="00445472">
        <w:t xml:space="preserve"> </w:t>
      </w:r>
      <w:r w:rsidR="00CC7889" w:rsidRPr="00445472">
        <w:t xml:space="preserve">përcaktimi i kufijve të baseneve ujore dhe krijimi i zyrave për secilin prej tyre, ku do të mbahet Regjistri për Burimet Ujore; </w:t>
      </w:r>
    </w:p>
    <w:p w14:paraId="2F727D2C" w14:textId="17F430BF" w:rsidR="00CC7889" w:rsidRPr="00445472" w:rsidRDefault="00F25EEC" w:rsidP="00CC7889">
      <w:pPr>
        <w:pStyle w:val="TEKSTIIII"/>
      </w:pPr>
      <w:r w:rsidRPr="00445472">
        <w:t>-</w:t>
      </w:r>
      <w:r w:rsidR="008F0A9F" w:rsidRPr="00445472">
        <w:t xml:space="preserve"> </w:t>
      </w:r>
      <w:r w:rsidR="00CC7889" w:rsidRPr="00445472">
        <w:t xml:space="preserve">krijimi i agjencive ose njësive të tjera organizative, nën kontrollin e Këshillit, për të lehtësuar menaxhimin e burimeve ujore dhe zbatimin e ligjit; </w:t>
      </w:r>
    </w:p>
    <w:p w14:paraId="5638C1B9" w14:textId="0DFED6A6" w:rsidR="00CC7889" w:rsidRPr="00445472" w:rsidRDefault="00F25EEC" w:rsidP="00CC7889">
      <w:pPr>
        <w:pStyle w:val="TEKSTIIII"/>
      </w:pPr>
      <w:r w:rsidRPr="00445472">
        <w:t>-</w:t>
      </w:r>
      <w:r w:rsidR="008F0A9F" w:rsidRPr="00445472">
        <w:t xml:space="preserve"> </w:t>
      </w:r>
      <w:r w:rsidR="00CC7889" w:rsidRPr="00445472">
        <w:t>propozimi dhe përshtatja e duhur e masave për zbatimin e marrëveshjeve ose konventave për burimet ujore ku Republika e Shqipërisë është palë nënshkruese; dhe</w:t>
      </w:r>
    </w:p>
    <w:p w14:paraId="5A6CADA6" w14:textId="047D47D2" w:rsidR="00CC7889" w:rsidRPr="00445472" w:rsidRDefault="00F25EEC" w:rsidP="00CC7889">
      <w:pPr>
        <w:pStyle w:val="TEKSTIIII"/>
      </w:pPr>
      <w:r w:rsidRPr="00445472">
        <w:t>-</w:t>
      </w:r>
      <w:r w:rsidR="008F0A9F" w:rsidRPr="00445472">
        <w:t xml:space="preserve"> </w:t>
      </w:r>
      <w:r w:rsidR="00CC7889" w:rsidRPr="00445472">
        <w:t>miratimi i koncesioneve për burimet ujore sipas dispozitave të Këshillit të Ministrave. Në rastet kur burimet ujore kanë rëndësi kombëtare, dhënia me koncesion do të hyjë në fuqi vetëm me miratimin e Parlamentit.</w:t>
      </w:r>
    </w:p>
    <w:p w14:paraId="5F4A65CB" w14:textId="544B6D02" w:rsidR="00CC7889" w:rsidRPr="00445472" w:rsidRDefault="00CC7889" w:rsidP="00CC7889">
      <w:pPr>
        <w:pStyle w:val="TEKSTIIII"/>
      </w:pPr>
      <w:r w:rsidRPr="00445472">
        <w:t>KKU-ja mbështetet nga Agjencia e Menaxhimit të Burimeve Ujore</w:t>
      </w:r>
      <w:r w:rsidR="00A22C31" w:rsidRPr="00445472">
        <w:t>,</w:t>
      </w:r>
      <w:r w:rsidRPr="00445472">
        <w:t xml:space="preserve"> sipas </w:t>
      </w:r>
      <w:r w:rsidR="008F0A9F" w:rsidRPr="00445472">
        <w:t xml:space="preserve">ligjit </w:t>
      </w:r>
      <w:r w:rsidRPr="00445472">
        <w:t xml:space="preserve">6/2018, për disa ndryshime dhe shtesa në </w:t>
      </w:r>
      <w:r w:rsidR="008F0A9F" w:rsidRPr="00445472">
        <w:t xml:space="preserve">ligjin </w:t>
      </w:r>
      <w:r w:rsidRPr="00445472">
        <w:t>nr. 111/2012</w:t>
      </w:r>
      <w:r w:rsidR="00D62EDF" w:rsidRPr="00445472">
        <w:t xml:space="preserve">, “Për </w:t>
      </w:r>
      <w:r w:rsidR="008F0A9F" w:rsidRPr="00445472">
        <w:t>menaxhimin e integruar të burimeve ujore</w:t>
      </w:r>
      <w:r w:rsidR="00D62EDF" w:rsidRPr="00445472">
        <w:t>”</w:t>
      </w:r>
      <w:r w:rsidRPr="00445472">
        <w:t xml:space="preserve">. Megjithëse fillimisht nën ministrinë përgjegjëse për çështjet mjedisore, funksionet aktuale të Agjencisë së Menaxhimit të Burimeve Ujore si organi ekzekutiv i Këshillit Kombëtar të Ujit janë nën varësinë e Kryeministrit. Gjithashtu, </w:t>
      </w:r>
      <w:r w:rsidR="008F0A9F" w:rsidRPr="00445472">
        <w:t xml:space="preserve">zëvendëskryeministri </w:t>
      </w:r>
      <w:r w:rsidRPr="00445472">
        <w:t xml:space="preserve">është anëtar i KKU-së dhe kryeson takimin në mungesë të Kryeministrit. </w:t>
      </w:r>
    </w:p>
    <w:p w14:paraId="44300559" w14:textId="77777777" w:rsidR="00CC7889" w:rsidRPr="00445472" w:rsidRDefault="00CC7889" w:rsidP="00CC7889">
      <w:pPr>
        <w:pStyle w:val="TEKSTIIII"/>
      </w:pPr>
      <w:r w:rsidRPr="00445472">
        <w:t xml:space="preserve">Ndër të tjera, Agjencia e Menaxhimit të Burimeve Ujore është përgjegjëse për: </w:t>
      </w:r>
    </w:p>
    <w:p w14:paraId="0149F0B1" w14:textId="09C972E8" w:rsidR="00CC7889" w:rsidRPr="00445472" w:rsidRDefault="00F25EEC" w:rsidP="00CC7889">
      <w:pPr>
        <w:pStyle w:val="TEKSTIIII"/>
      </w:pPr>
      <w:r w:rsidRPr="00445472">
        <w:t>-</w:t>
      </w:r>
      <w:r w:rsidR="008F0A9F" w:rsidRPr="00445472">
        <w:t xml:space="preserve"> </w:t>
      </w:r>
      <w:r w:rsidR="00CC7889" w:rsidRPr="00445472">
        <w:t xml:space="preserve">zbatimin e politikave kombëtare të burimeve ujore të miratuara nga KKU; </w:t>
      </w:r>
    </w:p>
    <w:p w14:paraId="0CA3631D" w14:textId="1049F3AB" w:rsidR="00CC7889" w:rsidRPr="00445472" w:rsidRDefault="00F25EEC" w:rsidP="00CC7889">
      <w:pPr>
        <w:pStyle w:val="TEKSTIIII"/>
      </w:pPr>
      <w:r w:rsidRPr="00445472">
        <w:t>-</w:t>
      </w:r>
      <w:r w:rsidR="008F0A9F" w:rsidRPr="00445472">
        <w:t xml:space="preserve"> </w:t>
      </w:r>
      <w:r w:rsidR="00CC7889" w:rsidRPr="00445472">
        <w:t xml:space="preserve">zbatimin e dispozitave të marrëveshjeve ndërkombëtare për burimet ndërkufitare të ujit në të cilat Shqipëria është palë; </w:t>
      </w:r>
    </w:p>
    <w:p w14:paraId="731DF479" w14:textId="0015A23E" w:rsidR="00CC7889" w:rsidRPr="00445472" w:rsidRDefault="00F25EEC" w:rsidP="00F25EEC">
      <w:pPr>
        <w:pStyle w:val="MEVIZE"/>
        <w:rPr>
          <w:lang w:val="sq-AL"/>
        </w:rPr>
      </w:pPr>
      <w:r w:rsidRPr="00445472">
        <w:rPr>
          <w:lang w:val="sq-AL"/>
        </w:rPr>
        <w:t>-</w:t>
      </w:r>
      <w:r w:rsidR="008F0A9F" w:rsidRPr="00445472">
        <w:rPr>
          <w:lang w:val="sq-AL"/>
        </w:rPr>
        <w:t xml:space="preserve"> </w:t>
      </w:r>
      <w:r w:rsidR="00CC7889" w:rsidRPr="00445472">
        <w:rPr>
          <w:lang w:val="sq-AL"/>
        </w:rPr>
        <w:t xml:space="preserve">zhvillimi i një inventari kombëtar të burimeve ujore, duke përfshirë aspektet e sasisë dhe cilësisë; </w:t>
      </w:r>
    </w:p>
    <w:p w14:paraId="5F38C05A" w14:textId="58FDE410" w:rsidR="00CC7889" w:rsidRPr="00445472" w:rsidRDefault="00F25EEC" w:rsidP="00F25EEC">
      <w:pPr>
        <w:pStyle w:val="MEVIZE"/>
        <w:rPr>
          <w:lang w:val="sq-AL"/>
        </w:rPr>
      </w:pPr>
      <w:r w:rsidRPr="00445472">
        <w:rPr>
          <w:lang w:val="sq-AL"/>
        </w:rPr>
        <w:t>-</w:t>
      </w:r>
      <w:r w:rsidR="008F0A9F" w:rsidRPr="00445472">
        <w:rPr>
          <w:lang w:val="sq-AL"/>
        </w:rPr>
        <w:t xml:space="preserve"> </w:t>
      </w:r>
      <w:r w:rsidR="00CC7889" w:rsidRPr="00445472">
        <w:rPr>
          <w:lang w:val="sq-AL"/>
        </w:rPr>
        <w:t xml:space="preserve">aplikimet e shqyrtimit për përdorimin e ujit dhe shkarkimet e ujërave të ndotura dhe autorizimet që do të lëshohen nga KKU; </w:t>
      </w:r>
    </w:p>
    <w:p w14:paraId="1F381EA1" w14:textId="1F2314DB" w:rsidR="00CC7889" w:rsidRPr="00445472" w:rsidRDefault="00F25EEC" w:rsidP="00F25EEC">
      <w:pPr>
        <w:pStyle w:val="MEVIZE"/>
        <w:rPr>
          <w:lang w:val="sq-AL"/>
        </w:rPr>
      </w:pPr>
      <w:r w:rsidRPr="00445472">
        <w:rPr>
          <w:lang w:val="sq-AL"/>
        </w:rPr>
        <w:t>-</w:t>
      </w:r>
      <w:r w:rsidR="008F0A9F" w:rsidRPr="00445472">
        <w:rPr>
          <w:lang w:val="sq-AL"/>
        </w:rPr>
        <w:t xml:space="preserve"> </w:t>
      </w:r>
      <w:r w:rsidR="00CC7889" w:rsidRPr="00445472">
        <w:rPr>
          <w:lang w:val="sq-AL"/>
        </w:rPr>
        <w:t xml:space="preserve">promovimi i pjesëmarrjes së përdoruesve të ujit në menaxhimin e burimeve ujore; </w:t>
      </w:r>
    </w:p>
    <w:p w14:paraId="46FBC979" w14:textId="5B8E05D8" w:rsidR="00CC7889" w:rsidRPr="00445472" w:rsidRDefault="00F25EEC" w:rsidP="00F25EEC">
      <w:pPr>
        <w:pStyle w:val="MEVIZE"/>
        <w:rPr>
          <w:lang w:val="sq-AL"/>
        </w:rPr>
      </w:pPr>
      <w:r w:rsidRPr="00445472">
        <w:rPr>
          <w:lang w:val="sq-AL"/>
        </w:rPr>
        <w:t>-</w:t>
      </w:r>
      <w:r w:rsidR="008F0A9F" w:rsidRPr="00445472">
        <w:rPr>
          <w:lang w:val="sq-AL"/>
        </w:rPr>
        <w:t xml:space="preserve"> </w:t>
      </w:r>
      <w:r w:rsidR="00CC7889" w:rsidRPr="00445472">
        <w:rPr>
          <w:lang w:val="sq-AL"/>
        </w:rPr>
        <w:t xml:space="preserve">promovimi i studimeve dhe </w:t>
      </w:r>
      <w:r w:rsidR="008F0A9F" w:rsidRPr="00445472">
        <w:rPr>
          <w:lang w:val="sq-AL"/>
        </w:rPr>
        <w:t>kërkimeve</w:t>
      </w:r>
      <w:r w:rsidR="00CC7889" w:rsidRPr="00445472">
        <w:rPr>
          <w:lang w:val="sq-AL"/>
        </w:rPr>
        <w:t xml:space="preserve">; </w:t>
      </w:r>
    </w:p>
    <w:p w14:paraId="446D0FA2" w14:textId="00EC0CB6" w:rsidR="00CC7889" w:rsidRPr="00445472" w:rsidRDefault="00F25EEC" w:rsidP="00F25EEC">
      <w:pPr>
        <w:pStyle w:val="MEVIZE"/>
        <w:rPr>
          <w:lang w:val="sq-AL"/>
        </w:rPr>
      </w:pPr>
      <w:r w:rsidRPr="00445472">
        <w:rPr>
          <w:lang w:val="sq-AL"/>
        </w:rPr>
        <w:t>-</w:t>
      </w:r>
      <w:r w:rsidR="008F0A9F" w:rsidRPr="00445472">
        <w:rPr>
          <w:lang w:val="sq-AL"/>
        </w:rPr>
        <w:t xml:space="preserve"> </w:t>
      </w:r>
      <w:r w:rsidR="00CC7889" w:rsidRPr="00445472">
        <w:rPr>
          <w:lang w:val="sq-AL"/>
        </w:rPr>
        <w:t xml:space="preserve">identifikimin e fushave kërkimore dhe burimet përkatëse të financimit, në koordinim me institucionet kërkimore; </w:t>
      </w:r>
    </w:p>
    <w:p w14:paraId="26FD8A2D" w14:textId="728321E2" w:rsidR="00CC7889" w:rsidRPr="00445472" w:rsidRDefault="00F25EEC" w:rsidP="00F25EEC">
      <w:pPr>
        <w:pStyle w:val="MEVIZE"/>
        <w:rPr>
          <w:lang w:val="sq-AL"/>
        </w:rPr>
      </w:pPr>
      <w:r w:rsidRPr="00445472">
        <w:rPr>
          <w:lang w:val="sq-AL"/>
        </w:rPr>
        <w:t>-</w:t>
      </w:r>
      <w:r w:rsidR="008F0A9F" w:rsidRPr="00445472">
        <w:rPr>
          <w:lang w:val="sq-AL"/>
        </w:rPr>
        <w:t xml:space="preserve"> </w:t>
      </w:r>
      <w:r w:rsidR="00CC7889" w:rsidRPr="00445472">
        <w:rPr>
          <w:lang w:val="sq-AL"/>
        </w:rPr>
        <w:t xml:space="preserve">koordinimin dhe mbikëqyrjen e punës së Këshillave të Baseneve dhe Zyrës së Administrimit të Basenit Ujor; </w:t>
      </w:r>
    </w:p>
    <w:p w14:paraId="67AAAF65" w14:textId="2BB7C2F4" w:rsidR="00CC7889" w:rsidRPr="00445472" w:rsidRDefault="00F25EEC" w:rsidP="00CC7889">
      <w:pPr>
        <w:pStyle w:val="TEKSTIIII"/>
      </w:pPr>
      <w:r w:rsidRPr="00445472">
        <w:t>-</w:t>
      </w:r>
      <w:r w:rsidR="008F0A9F" w:rsidRPr="00445472">
        <w:t xml:space="preserve"> </w:t>
      </w:r>
      <w:r w:rsidR="00CC7889" w:rsidRPr="00445472">
        <w:t xml:space="preserve">monitorimin e zbatimit të planeve të menaxhimit të baseneve ujore. </w:t>
      </w:r>
    </w:p>
    <w:p w14:paraId="188A9C4F" w14:textId="6217C4BC" w:rsidR="00CC7889" w:rsidRPr="00445472" w:rsidRDefault="00CC7889" w:rsidP="00CC7889">
      <w:pPr>
        <w:pStyle w:val="TEKSTIIII"/>
      </w:pPr>
      <w:r w:rsidRPr="00445472">
        <w:t>Sipas VKM</w:t>
      </w:r>
      <w:r w:rsidR="008F0A9F" w:rsidRPr="00445472">
        <w:t>-ve</w:t>
      </w:r>
      <w:r w:rsidRPr="00445472">
        <w:t xml:space="preserve"> </w:t>
      </w:r>
      <w:r w:rsidR="008F0A9F" w:rsidRPr="00445472">
        <w:t>nr</w:t>
      </w:r>
      <w:r w:rsidRPr="00445472">
        <w:t>. 91 dhe 92</w:t>
      </w:r>
      <w:r w:rsidR="008F0A9F" w:rsidRPr="00445472">
        <w:t>, datë 4.</w:t>
      </w:r>
      <w:r w:rsidRPr="00445472">
        <w:t xml:space="preserve">2.2015, përgjegjësia e </w:t>
      </w:r>
      <w:r w:rsidR="00D62EDF" w:rsidRPr="00445472">
        <w:t>“</w:t>
      </w:r>
      <w:r w:rsidRPr="00445472">
        <w:t>Drejtorisë së Politikave të Ujërave</w:t>
      </w:r>
      <w:r w:rsidR="00D62EDF" w:rsidRPr="00445472">
        <w:t>”</w:t>
      </w:r>
      <w:r w:rsidRPr="00445472">
        <w:t xml:space="preserve"> kaloi nga ministria përgjegjëse për mjedisin në varësinë e ministrisë përgjegjëse për burimet ujore dhe ujitjen, menaxhimin e ujitjes, kullimit dhe mbrojtjes nga përmbytjet.</w:t>
      </w:r>
    </w:p>
    <w:p w14:paraId="14639986" w14:textId="77777777" w:rsidR="00CF3213" w:rsidRPr="00445472" w:rsidRDefault="00CF3213" w:rsidP="00CF3213">
      <w:pPr>
        <w:pStyle w:val="TEKSTIIII"/>
      </w:pPr>
    </w:p>
    <w:p w14:paraId="675656B6" w14:textId="587CD189" w:rsidR="00EB3D96" w:rsidRPr="00445472" w:rsidRDefault="00EB3D96" w:rsidP="00EB3D96">
      <w:pPr>
        <w:pStyle w:val="TEKSTIIII"/>
        <w:ind w:firstLine="0"/>
        <w:jc w:val="center"/>
      </w:pPr>
      <w:r w:rsidRPr="00445472">
        <w:rPr>
          <w:noProof/>
          <w:lang w:val="en-US"/>
        </w:rPr>
        <w:drawing>
          <wp:inline distT="0" distB="0" distL="0" distR="0" wp14:anchorId="477F6563" wp14:editId="7DB028DF">
            <wp:extent cx="5760085" cy="3302203"/>
            <wp:effectExtent l="0" t="0" r="0" b="0"/>
            <wp:docPr id="133" name="Picture 5"/>
            <wp:cNvGraphicFramePr/>
            <a:graphic xmlns:a="http://schemas.openxmlformats.org/drawingml/2006/main">
              <a:graphicData uri="http://schemas.openxmlformats.org/drawingml/2006/picture">
                <pic:pic xmlns:pic="http://schemas.openxmlformats.org/drawingml/2006/picture">
                  <pic:nvPicPr>
                    <pic:cNvPr id="133" name="Picture 5"/>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3302203"/>
                    </a:xfrm>
                    <a:prstGeom prst="rect">
                      <a:avLst/>
                    </a:prstGeom>
                    <a:noFill/>
                    <a:ln>
                      <a:noFill/>
                    </a:ln>
                  </pic:spPr>
                </pic:pic>
              </a:graphicData>
            </a:graphic>
          </wp:inline>
        </w:drawing>
      </w:r>
    </w:p>
    <w:p w14:paraId="77C5E1C4" w14:textId="7F5786D7" w:rsidR="00EB3D96" w:rsidRPr="00445472" w:rsidRDefault="00EB3D96" w:rsidP="00EB3D96">
      <w:pPr>
        <w:pStyle w:val="NENTITULL"/>
      </w:pPr>
      <w:r w:rsidRPr="00445472">
        <w:t>Figura 2.1: Struktura organizative dhe institucionale për menaxhimin e burimeve ujore</w:t>
      </w:r>
    </w:p>
    <w:p w14:paraId="24BF9512" w14:textId="77777777" w:rsidR="00636586" w:rsidRPr="00445472" w:rsidRDefault="00636586" w:rsidP="00EB3D96">
      <w:pPr>
        <w:pStyle w:val="NENTITULL"/>
      </w:pPr>
    </w:p>
    <w:p w14:paraId="13CE915B" w14:textId="77777777" w:rsidR="00636586" w:rsidRPr="00445472" w:rsidRDefault="00636586" w:rsidP="00636586">
      <w:pPr>
        <w:pStyle w:val="TEKSTIIII"/>
      </w:pPr>
      <w:r w:rsidRPr="00445472">
        <w:t>Ministria përgjegjëse për infrastrukturën e ujësjellës-kanalizimeve përgatit politika dhe strategji për sektorin e furnizimit me ujë dhe për mbledhjen dhe trajtimin e ujërave të ndotura. Këto bazohen mbi programet qeveritare dhe strategjitë sektoriale, planet dhe investimet për ndërtimin dhe rehabilitimin e sistemeve të ujësjellës-kanalizimeve, impiantet e trajtimit të ujërave të ndotura dhe impiantet e mbetjeve të ngurta. Ministria përgjegjëse për infrastrukturën e ujësjellës-kanalizimeve vlerëson nevojat për subvencione dhe ndjek shpërndarjen e tyre nëpërmjet institucioneve të saj vartëse.</w:t>
      </w:r>
    </w:p>
    <w:p w14:paraId="76AB010F" w14:textId="79848E7A" w:rsidR="00636586" w:rsidRPr="00445472" w:rsidRDefault="00636586" w:rsidP="00636586">
      <w:pPr>
        <w:pStyle w:val="TEKSTIIII"/>
      </w:pPr>
      <w:r w:rsidRPr="00445472">
        <w:t>Agjencia Kombëtare e Ujësjellës-Kanalizimeve (AKUK) është një institucion që raporton te ministria përgjegjëse për infrastrukturën e ujësjellës-kanalizimeve, duke qenë se është e specializuar në furnizimin me ujë të pijshëm, mbledhjen dhe trajtimin e ujërave të ndotura. AKUK-ja asiston me ndihmë teknike politikat e ministrisë përgjegjëse për infrastrukturën e ujësjellës</w:t>
      </w:r>
      <w:r w:rsidR="00E14B89">
        <w:t>-</w:t>
      </w:r>
      <w:r w:rsidRPr="00445472">
        <w:t>kanalizimeve, sipas legjislacionit në fuqi dhe politikave të përcaktuara në strategjitë përkatëse sektoriale, përfshirë politikat e menaxhimit të ujit dhe mbrojtjen e cilësisë së ujit, në bashkëpunim me autoritetet e tjera kombëtare në nivel qendror dhe lokal. Brenda strukturës së saj organizative, AKUK-ja përfshin Drejtorinë Teknike, Drejtorinë Ekonomike, Drejtorinë për Projekte të Huaja, Drejtorinë e Monitorimit dhe tr</w:t>
      </w:r>
      <w:r w:rsidR="00905530">
        <w:t>i</w:t>
      </w:r>
      <w:r w:rsidRPr="00445472">
        <w:t xml:space="preserve"> drejtori rajonale. </w:t>
      </w:r>
    </w:p>
    <w:p w14:paraId="1954A314" w14:textId="77777777" w:rsidR="00636586" w:rsidRPr="00445472" w:rsidRDefault="00636586" w:rsidP="00636586">
      <w:pPr>
        <w:pStyle w:val="TEKSTIIII"/>
      </w:pPr>
      <w:r w:rsidRPr="00445472">
        <w:t>Ministria përgjegjëse për çështjet e energjisë luan një rol të rëndësishëm në sektorin e ujërave; duke qenë se ajo është përgjegjëse për prodhimin e energjisë hidrike, që përfaqësojnë mbi 97% të prodhimit të përgjithshëm të energjisë elektrike. Ministria është përgjegjëse për miratimin e hidrocentraleve të reja. Ministria mund të ndërhyjë në rrjetin e shpërndarjes për të përmirësuar sigurinë e shërbimit dhe për të rritur eksportet e mundshme (BB, 2009a).</w:t>
      </w:r>
    </w:p>
    <w:p w14:paraId="5F010144" w14:textId="77777777" w:rsidR="00636586" w:rsidRPr="00445472" w:rsidRDefault="00636586" w:rsidP="00636586">
      <w:pPr>
        <w:pStyle w:val="TEKSTIIII"/>
      </w:pPr>
      <w:r w:rsidRPr="00445472">
        <w:t>Ministria përgjegjëse për çështjet shëndetësore ka për mision hartimin dhe zbatimin e politikave e të strategjive të zhvillimit në sektorin e kujdesit shëndetësor</w:t>
      </w:r>
      <w:r w:rsidRPr="00445472">
        <w:rPr>
          <w:vertAlign w:val="superscript"/>
        </w:rPr>
        <w:footnoteReference w:id="3"/>
      </w:r>
      <w:r w:rsidRPr="00445472">
        <w:t>. Ndër të tjera, ministria përgjegjëse për çështjet shëndetësore harton, propozon për miratim dhe zbaton akte ligjore dhe nënligjore për sigurimin e cilësisë së ujit të pijshëm. Në zbatim të akteve ligjore në fuqi, ministria përgjegjëse për çështjet shëndetësore  kryen monitorimin, inspektimin dhe ekspertizën e cilësisë së ujit të pijshëm nëpërmjet institucioneve në varësi të saj, përkatësisht Strukturave Rajonale të Shëndetit Publik (SRSHP), Inspektoratit Shtetëror Shëndetësor (ISHSH) dhe Institutit të Shëndetit Publik (ISHP).</w:t>
      </w:r>
    </w:p>
    <w:p w14:paraId="449A8716" w14:textId="26864473" w:rsidR="00636586" w:rsidRPr="00445472" w:rsidRDefault="00636586" w:rsidP="00636586">
      <w:pPr>
        <w:pStyle w:val="TEKSTIIII"/>
      </w:pPr>
      <w:r w:rsidRPr="00445472">
        <w:t xml:space="preserve">Ministria përgjegjëse për mbrojtjen civile kryen aktivitetet e saj sipas legjislacionit për parandalimin, reduktimin dhe lehtësimin e efekteve negative të emergjencave civile mbi popullsinë, bagëtinë, pronën, trashëgiminë kulturore dhe mjedisin. Ministria ka në përbërje të strukturës së saj Agjencinë Kombëtare të Mbrojtjes Civile, që zbaton Planin Kombëtar të Emergjencave Civile, duke marrë parasysh ekspozimin e Shqipërisë ndaj katastrofave natyrore që përfshijnë përmbytjet dhe katastrofat që lidhen me aktivitetin e njeriut. Ministria përgjegjëse për mbrojtjen civile nëpërmjet institucionit të Prefektit koordinon aktivitetin e institucioneve qendrore në nivel vendor dhe funksionet e deleguara me </w:t>
      </w:r>
      <w:r w:rsidR="00034FBB">
        <w:t>NJQV</w:t>
      </w:r>
      <w:r w:rsidRPr="00445472">
        <w:t>-të në nivel bashkiak dhe qarku (GoA, 2015b).</w:t>
      </w:r>
    </w:p>
    <w:p w14:paraId="773D3AB8" w14:textId="77777777" w:rsidR="00636586" w:rsidRPr="00445472" w:rsidRDefault="00636586" w:rsidP="00636586">
      <w:pPr>
        <w:pStyle w:val="TEKSTIIII"/>
      </w:pPr>
      <w:r w:rsidRPr="00445472">
        <w:t>Ministria përgjegjëse për financat akordon, bazuar te prioritetet e qeverisë, burime financiare për sektorin e ujërave, duke i dhënë prioritet menaxhimit të duhur të burimeve ujore për përmbushjen e nevojave të shoqërisë. Ministri përgjegjës për financat është anëtar i KKU-së.</w:t>
      </w:r>
      <w:r w:rsidRPr="00445472">
        <w:rPr>
          <w:vertAlign w:val="superscript"/>
        </w:rPr>
        <w:footnoteReference w:id="4"/>
      </w:r>
    </w:p>
    <w:p w14:paraId="1626BED5" w14:textId="1F836A33" w:rsidR="00636586" w:rsidRPr="00445472" w:rsidRDefault="00636586" w:rsidP="00636586">
      <w:pPr>
        <w:pStyle w:val="NENTITULL"/>
      </w:pPr>
      <w:bookmarkStart w:id="32" w:name="_Toc11068743"/>
      <w:r w:rsidRPr="00445472">
        <w:t>2.5.2 Institutet kombëtare të përfshira në monitorimin dhe vlerësimin e cilësisë së ujërave.</w:t>
      </w:r>
      <w:bookmarkEnd w:id="32"/>
      <w:r w:rsidRPr="00445472">
        <w:t xml:space="preserve"> </w:t>
      </w:r>
    </w:p>
    <w:p w14:paraId="6773B244" w14:textId="77777777" w:rsidR="00636586" w:rsidRPr="00445472" w:rsidRDefault="00636586" w:rsidP="00636586">
      <w:pPr>
        <w:pStyle w:val="TEKSTIIII"/>
      </w:pPr>
      <w:r w:rsidRPr="00445472">
        <w:t xml:space="preserve">Organizimi i monitorimit të cilësisë së ujërave (burimeve) është i ndërlikuar, me mbi 20 institucione qeveritare të ndryshme të përfshira aktualisht në mbledhjen e të dhënave për një numër të kufizuar parametrash me mbulim gjeografik të pjesshëm. </w:t>
      </w:r>
    </w:p>
    <w:p w14:paraId="5C8AD715" w14:textId="77777777" w:rsidR="00636586" w:rsidRPr="00445472" w:rsidRDefault="00636586" w:rsidP="00636586">
      <w:pPr>
        <w:pStyle w:val="TEKSTIIII"/>
      </w:pPr>
      <w:r w:rsidRPr="00445472">
        <w:t>Agjencia Kombëtare e Mjedisit (AKM), nën varësinë e Ministrisë përgjegjëse për çështjet e mjedisit, është përgjegjëse për monitorimin cilësor dhe sasior të burimeve ujore. Ajo mbikëqyr punën e instituteve përkatëse për monitorimin e aktiviteteve dhe është përfituesja kryesore e të dhënave të siguruara nëpërmjet institucioneve të mëposhtme:</w:t>
      </w:r>
    </w:p>
    <w:p w14:paraId="556A2E8C" w14:textId="2B028F3C" w:rsidR="00636586" w:rsidRPr="00445472" w:rsidRDefault="00636586" w:rsidP="00636586">
      <w:pPr>
        <w:pStyle w:val="MEVIZE"/>
        <w:rPr>
          <w:lang w:val="sq-AL"/>
        </w:rPr>
      </w:pPr>
      <w:r w:rsidRPr="00445472">
        <w:rPr>
          <w:lang w:val="sq-AL"/>
        </w:rPr>
        <w:t>-</w:t>
      </w:r>
      <w:r w:rsidR="00A977E4" w:rsidRPr="00445472">
        <w:rPr>
          <w:lang w:val="sq-AL"/>
        </w:rPr>
        <w:t xml:space="preserve"> </w:t>
      </w:r>
      <w:r w:rsidRPr="00445472">
        <w:rPr>
          <w:lang w:val="sq-AL"/>
        </w:rPr>
        <w:t>Instituti i Gjeo</w:t>
      </w:r>
      <w:r w:rsidR="00A977E4" w:rsidRPr="00445472">
        <w:rPr>
          <w:lang w:val="sq-AL"/>
        </w:rPr>
        <w:t>s</w:t>
      </w:r>
      <w:r w:rsidRPr="00445472">
        <w:rPr>
          <w:lang w:val="sq-AL"/>
        </w:rPr>
        <w:t xml:space="preserve">hkencës, Energjisë, Ujit dhe Mjedisit, (ish Instituti Hidrometeorologjik), nën varësinë e ministrisë përgjegjëse për arsimin, monitoron parametrat hidrometeorologjikë dhe është përgjegjës për kryerjen e monitorimit të sasisë së ujërave sipërfaqësorë për lumenjtë dhe liqenet. Rrjeti meteorologjik i IGJEUM-it përbëhet tashmë nga stacione automatike. Të dhënat dhe alarmet hidrologjike (treguesit për rrezikun nga përmbytjet dhe zjarri në pyje) u janë shpërndarë aktorëve dhe janë publikuar </w:t>
      </w:r>
      <w:r w:rsidRPr="00445472">
        <w:rPr>
          <w:i/>
          <w:lang w:val="sq-AL"/>
        </w:rPr>
        <w:t>online</w:t>
      </w:r>
      <w:r w:rsidRPr="00445472">
        <w:rPr>
          <w:lang w:val="sq-AL"/>
        </w:rPr>
        <w:t>;</w:t>
      </w:r>
    </w:p>
    <w:p w14:paraId="65889C9B" w14:textId="2AAFC3B9" w:rsidR="00636586" w:rsidRPr="00445472" w:rsidRDefault="00636586" w:rsidP="00636586">
      <w:pPr>
        <w:pStyle w:val="TEKSTIIII"/>
      </w:pPr>
      <w:r w:rsidRPr="00445472">
        <w:t>-</w:t>
      </w:r>
      <w:r w:rsidR="00A977E4" w:rsidRPr="00445472">
        <w:t xml:space="preserve"> </w:t>
      </w:r>
      <w:r w:rsidRPr="00445472">
        <w:t>Shërbimi Gjeologjik Shqiptar (SHGJSH), nën varësinë e ministrisë përgjegjëse për çështjet e energjisë, monitoron cilësinë e ujërave nëntokësorë dhe detarë, vlerëson rrezikun dhe monitorimin e ndotjes së tokës;</w:t>
      </w:r>
    </w:p>
    <w:p w14:paraId="44ECC7CA" w14:textId="3599F02E" w:rsidR="00636586" w:rsidRPr="00445472" w:rsidRDefault="00636586" w:rsidP="00636586">
      <w:pPr>
        <w:pStyle w:val="TEKSTIIII"/>
      </w:pPr>
      <w:r w:rsidRPr="00445472">
        <w:t>-</w:t>
      </w:r>
      <w:r w:rsidR="00A977E4" w:rsidRPr="00445472">
        <w:t xml:space="preserve"> </w:t>
      </w:r>
      <w:r w:rsidRPr="00445472">
        <w:t xml:space="preserve">Agjencia Kombëtare e Burimeve Natyrore (AKBN), e cila është nën varësinë e ministrisë përgjegjëse për energjinë, </w:t>
      </w:r>
      <w:r w:rsidR="00A22C31" w:rsidRPr="00445472">
        <w:t>përqendrohet</w:t>
      </w:r>
      <w:r w:rsidRPr="00445472">
        <w:t xml:space="preserve"> në monitorimin e hidrocentraleve;</w:t>
      </w:r>
    </w:p>
    <w:p w14:paraId="4AB97649" w14:textId="0CFC6AD4" w:rsidR="00636586" w:rsidRPr="00445472" w:rsidRDefault="00636586" w:rsidP="00636586">
      <w:pPr>
        <w:pStyle w:val="TEKSTIIII"/>
      </w:pPr>
      <w:r w:rsidRPr="00445472">
        <w:t>-</w:t>
      </w:r>
      <w:r w:rsidR="00A977E4" w:rsidRPr="00445472">
        <w:t xml:space="preserve"> </w:t>
      </w:r>
      <w:r w:rsidRPr="00445472">
        <w:t>Instituti i Shëndetit Publik (ISHP), qendër e kërkimit shkencor, qendër reference e shërbimeve në fushën e shëndetit publik, qendër universitare dhe qendër informacioni, në varësi administrative të ministrisë përgjegjëse për shëndetësisë, ndër të tjera është përgjegjës për sigurimin e ekspertizave dhe pjesëmarrjen në formimin e burimeve njerëzore në shëndetin publik</w:t>
      </w:r>
      <w:r w:rsidRPr="00445472">
        <w:rPr>
          <w:vertAlign w:val="superscript"/>
        </w:rPr>
        <w:footnoteReference w:id="5"/>
      </w:r>
      <w:r w:rsidRPr="00445472">
        <w:t xml:space="preserve">. Mbështet Strukturat Rajonale të Shëndetit Publik me ekspertizë në monitorimin e jashtëm të cilësisë së ujit të pijshëm, survejancën epidemiologjike dhe trajnimin e </w:t>
      </w:r>
      <w:r w:rsidR="00A22C31" w:rsidRPr="00445472">
        <w:t>vazhdueshëm</w:t>
      </w:r>
      <w:r w:rsidR="008F0A9F" w:rsidRPr="00445472">
        <w:t>, si dhe</w:t>
      </w:r>
      <w:r w:rsidRPr="00445472">
        <w:t xml:space="preserve"> Inspektoratin Shtetëror Shëndetësor (ISHSH) me ekspertizë dhe ekzaminime laboratorike. ISHP, në kontratë me AKM kryen vlerësimin mikrobiologjik të cilësisë së ujërave bregdetare të larjes. Ky vlerësim bëhet në bazë të ngarkesës bakteriale të tyre (</w:t>
      </w:r>
      <w:r w:rsidRPr="00445472">
        <w:rPr>
          <w:i/>
        </w:rPr>
        <w:t>Escherichia coli, Enteroccocus intestinalis</w:t>
      </w:r>
      <w:r w:rsidRPr="00445472">
        <w:t>)</w:t>
      </w:r>
      <w:r w:rsidR="008F0A9F" w:rsidRPr="00445472">
        <w:t>, si dhe</w:t>
      </w:r>
      <w:r w:rsidRPr="00445472">
        <w:t xml:space="preserve"> inspektimit të mjedisit për vlerësimin e faktorëve të rrezikut që ndikojnë në ndotjen e tyre. </w:t>
      </w:r>
    </w:p>
    <w:p w14:paraId="47FBA98F" w14:textId="7AF7C42C" w:rsidR="00636586" w:rsidRPr="00445472" w:rsidRDefault="00636586" w:rsidP="00636586">
      <w:pPr>
        <w:pStyle w:val="TEKSTIIII"/>
      </w:pPr>
      <w:r w:rsidRPr="00445472">
        <w:t>-</w:t>
      </w:r>
      <w:r w:rsidR="00A977E4" w:rsidRPr="00445472">
        <w:t xml:space="preserve"> </w:t>
      </w:r>
      <w:r w:rsidRPr="00445472">
        <w:t xml:space="preserve">Enti Rregullator i Ujit është një institucion i pavarur, i krijuar nga Parlamenti. Detyrat kryesore përfshijnë lëshimin e </w:t>
      </w:r>
      <w:r w:rsidR="00A22C31" w:rsidRPr="00445472">
        <w:t>licencave</w:t>
      </w:r>
      <w:r w:rsidRPr="00445472">
        <w:t xml:space="preserve"> për furnizimin me ujë të pijshëm dhe kanalizime, miratimin e tarifave për ujin e pijshëm.</w:t>
      </w:r>
    </w:p>
    <w:p w14:paraId="72C2475B" w14:textId="2EB90A6B" w:rsidR="00636586" w:rsidRPr="00445472" w:rsidRDefault="00636586" w:rsidP="00636586">
      <w:pPr>
        <w:pStyle w:val="TEKSTIIII"/>
      </w:pPr>
      <w:r w:rsidRPr="00445472">
        <w:t>Në vitin 2009, u miratuan rregullat dhe procedurat për Monitorimin Kombëtar Mjedisor nëpërmjet Vendimit të Këshillit të Ministrave (</w:t>
      </w:r>
      <w:r w:rsidR="001E6B0A" w:rsidRPr="00445472">
        <w:t>nr</w:t>
      </w:r>
      <w:r w:rsidRPr="00445472">
        <w:t xml:space="preserve">. 1189, plotësuar me VKM </w:t>
      </w:r>
      <w:r w:rsidR="001E6B0A" w:rsidRPr="00445472">
        <w:t>nr</w:t>
      </w:r>
      <w:r w:rsidRPr="00445472">
        <w:t>.</w:t>
      </w:r>
      <w:r w:rsidR="00A22C31" w:rsidRPr="00445472">
        <w:t xml:space="preserve"> </w:t>
      </w:r>
      <w:r w:rsidRPr="00445472">
        <w:t xml:space="preserve">267, duke ofruar kuadrin për monitorimin e cilësisë së ujërave sipërfaqësorë (lumenj, liqene, dhe ujëra detarë të plazheve), nëntokësorë dhe shkarkimeve të ujërave të ndotura VKM </w:t>
      </w:r>
      <w:r w:rsidR="001E6B0A" w:rsidRPr="00445472">
        <w:t>nr</w:t>
      </w:r>
      <w:r w:rsidRPr="00445472">
        <w:t>. 267</w:t>
      </w:r>
      <w:r w:rsidR="001E6B0A" w:rsidRPr="00445472">
        <w:t>,</w:t>
      </w:r>
      <w:r w:rsidRPr="00445472">
        <w:t xml:space="preserve"> datë 7.5.2014 miraton listën e substancave prioritare që monitorohen si pjesë e këtyre përpjekjeve, duke transpozuar direktivën 2008/105</w:t>
      </w:r>
      <w:r w:rsidR="001D340B" w:rsidRPr="00445472">
        <w:t>/</w:t>
      </w:r>
      <w:r w:rsidRPr="00445472">
        <w:t>EC mbi standardet e cilësisë së mjedisit.</w:t>
      </w:r>
    </w:p>
    <w:p w14:paraId="223868A5" w14:textId="41C113EB" w:rsidR="00636586" w:rsidRPr="00445472" w:rsidRDefault="00636586" w:rsidP="00636586">
      <w:pPr>
        <w:pStyle w:val="TEKSTIIII"/>
      </w:pPr>
      <w:r w:rsidRPr="00445472">
        <w:t>Autoriteti Shtetëror për Informacionin Gjeohapësinor është krijuar në vitin 2013, sipas ligjit nr. 72/2012</w:t>
      </w:r>
      <w:r w:rsidR="00D62EDF" w:rsidRPr="00445472">
        <w:t xml:space="preserve">, “Për </w:t>
      </w:r>
      <w:r w:rsidRPr="00445472">
        <w:t>organizimin dhe funksionimin e infrastrukturës kombëtare të informacionit gjeohapësinor në Republikën e Shqipërisë</w:t>
      </w:r>
      <w:r w:rsidR="00D62EDF" w:rsidRPr="00445472">
        <w:t>”</w:t>
      </w:r>
      <w:r w:rsidRPr="00445472">
        <w:t>, përgjegjësitë e tij kryesore janë:</w:t>
      </w:r>
    </w:p>
    <w:p w14:paraId="69133BB5" w14:textId="00C2E4A0" w:rsidR="00636586" w:rsidRPr="00445472" w:rsidRDefault="00636586" w:rsidP="00636586">
      <w:pPr>
        <w:pStyle w:val="TEKSTIIII"/>
      </w:pPr>
      <w:r w:rsidRPr="00445472">
        <w:t>-</w:t>
      </w:r>
      <w:r w:rsidR="001E6B0A" w:rsidRPr="00445472">
        <w:t xml:space="preserve"> </w:t>
      </w:r>
      <w:r w:rsidRPr="00445472">
        <w:t>Zbatimi i politikave kombëtare për infrastrukturën informative gjeohapësinore;</w:t>
      </w:r>
    </w:p>
    <w:p w14:paraId="21E690AF" w14:textId="3D3B8062" w:rsidR="00636586" w:rsidRPr="00445472" w:rsidRDefault="00636586" w:rsidP="00636586">
      <w:pPr>
        <w:pStyle w:val="TEKSTIIII"/>
      </w:pPr>
      <w:r w:rsidRPr="00445472">
        <w:t>-</w:t>
      </w:r>
      <w:r w:rsidR="001E6B0A" w:rsidRPr="00445472">
        <w:t xml:space="preserve"> </w:t>
      </w:r>
      <w:r w:rsidRPr="00445472">
        <w:t xml:space="preserve">Përgjegjës për projektimin, ndërtimin, mirëmbajtjen dhe </w:t>
      </w:r>
      <w:r w:rsidR="00A22C31" w:rsidRPr="00445472">
        <w:t>azhurnimin</w:t>
      </w:r>
      <w:r w:rsidRPr="00445472">
        <w:t xml:space="preserve"> e Kornizës Gjeodezike;</w:t>
      </w:r>
    </w:p>
    <w:p w14:paraId="25493BB4" w14:textId="7EDA157F" w:rsidR="00636586" w:rsidRPr="00445472" w:rsidRDefault="00636586" w:rsidP="00636586">
      <w:pPr>
        <w:pStyle w:val="TEKSTIIII"/>
      </w:pPr>
      <w:r w:rsidRPr="00445472">
        <w:t>-</w:t>
      </w:r>
      <w:r w:rsidR="001E6B0A" w:rsidRPr="00445472">
        <w:t xml:space="preserve"> </w:t>
      </w:r>
      <w:r w:rsidRPr="00445472">
        <w:t>Vendime për grumbullimin, përpunimin dhe përditësimin e informacionit gjeohapësinor nga autoritetet publike, duke përfshirë sektorin e ujit;</w:t>
      </w:r>
    </w:p>
    <w:p w14:paraId="05842FBA" w14:textId="0F77A838" w:rsidR="00636586" w:rsidRPr="00445472" w:rsidRDefault="00636586" w:rsidP="00636586">
      <w:pPr>
        <w:pStyle w:val="TEKSTIIII"/>
      </w:pPr>
      <w:r w:rsidRPr="00445472">
        <w:t>-</w:t>
      </w:r>
      <w:r w:rsidR="001E6B0A" w:rsidRPr="00445472">
        <w:t xml:space="preserve"> </w:t>
      </w:r>
      <w:r w:rsidRPr="00445472">
        <w:t>Vendos standarde dhe rregulla uniforme për krijimin e GIS-it për fusha të ndryshme, duke përfshirë sektorin e ujit dhe për krijimin e GIS kombëtar në përputhje me standardet përkatëse evropiane;</w:t>
      </w:r>
    </w:p>
    <w:p w14:paraId="3B27A30D" w14:textId="7C7D2237" w:rsidR="00636586" w:rsidRPr="00445472" w:rsidRDefault="00636586" w:rsidP="00636586">
      <w:pPr>
        <w:pStyle w:val="TEKSTIIII"/>
      </w:pPr>
      <w:r w:rsidRPr="00445472">
        <w:t>-</w:t>
      </w:r>
      <w:r w:rsidR="001E6B0A" w:rsidRPr="00445472">
        <w:t xml:space="preserve"> </w:t>
      </w:r>
      <w:r w:rsidRPr="00445472">
        <w:t>Përgatit rregullat që lidhen me krijimin, përditësimin, ndarjen, qasjen dhe përdorimin e informacionit gjeohapësinor dhe shërbimeve përkatëse;</w:t>
      </w:r>
    </w:p>
    <w:p w14:paraId="7AA6F133" w14:textId="679688D2" w:rsidR="00636586" w:rsidRPr="00445472" w:rsidRDefault="00636586" w:rsidP="00636586">
      <w:pPr>
        <w:pStyle w:val="TEKSTIIII"/>
      </w:pPr>
      <w:r w:rsidRPr="00445472">
        <w:t>-</w:t>
      </w:r>
      <w:r w:rsidR="001E6B0A" w:rsidRPr="00445472">
        <w:t xml:space="preserve"> </w:t>
      </w:r>
      <w:r w:rsidRPr="00445472">
        <w:t>Administron informacionin gjeohapësinor të mbledhur, përpunuar dhe përditësuar nga autoritetet publike në fusha të ndryshme;</w:t>
      </w:r>
    </w:p>
    <w:p w14:paraId="71803CAB" w14:textId="150BCF69" w:rsidR="00636586" w:rsidRPr="00445472" w:rsidRDefault="00636586" w:rsidP="00636586">
      <w:pPr>
        <w:pStyle w:val="TEKSTIIII"/>
      </w:pPr>
      <w:r w:rsidRPr="00445472">
        <w:t>-</w:t>
      </w:r>
      <w:r w:rsidR="001E6B0A" w:rsidRPr="00445472">
        <w:t xml:space="preserve"> </w:t>
      </w:r>
      <w:r w:rsidRPr="00445472">
        <w:t>Siguron koordinimin e punës, mbështet iniciativat dhe aktivitetet në lidhje me informatat gjeohapësinore në sektorin publik dhe privat;</w:t>
      </w:r>
    </w:p>
    <w:p w14:paraId="5FA451CC" w14:textId="0120B0F0" w:rsidR="00636586" w:rsidRPr="00445472" w:rsidRDefault="00636586" w:rsidP="00636586">
      <w:pPr>
        <w:pStyle w:val="TEKSTIIII"/>
      </w:pPr>
      <w:r w:rsidRPr="00445472">
        <w:t>-</w:t>
      </w:r>
      <w:r w:rsidR="001E6B0A" w:rsidRPr="00445472">
        <w:t xml:space="preserve"> </w:t>
      </w:r>
      <w:r w:rsidRPr="00445472">
        <w:t>Zhvillon dhe administron Geoportalin Kombëtar dhe garanton qasje publike sipas dispozitave të ligjit 72/2012.</w:t>
      </w:r>
    </w:p>
    <w:p w14:paraId="3DE2EBAE" w14:textId="1E247E25" w:rsidR="00636586" w:rsidRPr="00445472" w:rsidRDefault="009C2665" w:rsidP="009C2665">
      <w:pPr>
        <w:pStyle w:val="NENTITULL"/>
      </w:pPr>
      <w:bookmarkStart w:id="33" w:name="_Toc11068744"/>
      <w:r w:rsidRPr="00445472">
        <w:t xml:space="preserve">2.5.3 </w:t>
      </w:r>
      <w:r w:rsidR="00636586" w:rsidRPr="00445472">
        <w:t>Njësitë e qeverisjes vendore, këshillat e baseneve ujore dhe zyrat e administrimit të baseneve ujore</w:t>
      </w:r>
      <w:bookmarkEnd w:id="33"/>
      <w:r w:rsidR="00636586" w:rsidRPr="00445472">
        <w:t xml:space="preserve"> </w:t>
      </w:r>
    </w:p>
    <w:p w14:paraId="4578539E" w14:textId="03DE9178" w:rsidR="00636586" w:rsidRPr="00445472" w:rsidRDefault="00636586" w:rsidP="00636586">
      <w:pPr>
        <w:pStyle w:val="TEKSTIIII"/>
      </w:pPr>
      <w:r w:rsidRPr="00445472">
        <w:t>Që prej zgjedhjeve vendore të vitit 2</w:t>
      </w:r>
      <w:r w:rsidR="0086721C" w:rsidRPr="00445472">
        <w:t xml:space="preserve"> </w:t>
      </w:r>
      <w:r w:rsidRPr="00445472">
        <w:t>015, organizimi i qeverisjes vendore ka ndryshuar. Përpara hyrjes në fuqi të ligjit për ndarjen e re administrative dhe territoriale (ligji nr. 115/2014), ishte e ndarë në 308 fshatra, 65 bashki dhe 12 qarqe. Reforma administrative dhe territoriale nuk solli ndryshime në nivelin e qarkut duke mos ndryshuar numrin prej 12, por u ndërmorën ndryshime radikale në nivelin e komunave dhe bashkive. Sipas ndarjes së re administrative dhe territoriale janë krijuar 61 bashki të reja. Bashkitë janë njësitë bazë të qeverisjes vendore, duke përfaqësuar kështu nivelin e parë të qeverisjes. Njësitë e Qeverisjes Vendore (</w:t>
      </w:r>
      <w:r w:rsidR="00034FBB">
        <w:t>NJQV</w:t>
      </w:r>
      <w:r w:rsidRPr="00445472">
        <w:t xml:space="preserve">) janë të organizuara në njësi administrative përbërëse (ish fshatrat) dhe si nën ndarje administrative të bashkive. Nga pikëpamja e planifikimit të territorit, bashkitë do të vijojnë të organizohen në qytete dhe fshatra. </w:t>
      </w:r>
    </w:p>
    <w:p w14:paraId="342CB355" w14:textId="18EF85A1" w:rsidR="00636586" w:rsidRPr="00445472" w:rsidRDefault="00636586" w:rsidP="00636586">
      <w:pPr>
        <w:pStyle w:val="TEKSTIIII"/>
      </w:pPr>
      <w:r w:rsidRPr="00445472">
        <w:t>Ndikimi i zhvillimit social dhe ekonomik në nivel rajonal dhe roli i institucioneve rajonale ka qenë i dobët në të shkuarën si pasojë e mungesës së një modeli të qartë për veprimtarinë rajonale, mungesës së burimeve financiare, aseteve dhe kapaciteteve të pamjaftueshme institucionale. Organet e decentralizuara në nivel vendor përfaqësohen nga dy institucione</w:t>
      </w:r>
      <w:r w:rsidR="0086721C" w:rsidRPr="00445472">
        <w:t>,</w:t>
      </w:r>
      <w:r w:rsidRPr="00445472">
        <w:t xml:space="preserve"> përkatësisht i</w:t>
      </w:r>
      <w:r w:rsidR="0086721C" w:rsidRPr="00445472">
        <w:t>.</w:t>
      </w:r>
      <w:r w:rsidRPr="00445472">
        <w:t xml:space="preserve"> Prefekti</w:t>
      </w:r>
      <w:r w:rsidR="0086721C" w:rsidRPr="00445472">
        <w:t>;</w:t>
      </w:r>
      <w:r w:rsidRPr="00445472">
        <w:t xml:space="preserve"> dhe ii</w:t>
      </w:r>
      <w:r w:rsidR="0086721C" w:rsidRPr="00445472">
        <w:t>.</w:t>
      </w:r>
      <w:r w:rsidRPr="00445472">
        <w:t xml:space="preserve"> drejtoritë/zyrat rajonale/vendore të ministrive të linjës. Menaxhimi i Ujërave është i organizuar në nivelin e Baseneve Ujore nëpërmjet gjashtë Këshillave të Baseneve Ujore (KBU), ndërsa Zyrat e Administrimit të Baseneve Ujore janë 4 (Vjosë, Shkumbin</w:t>
      </w:r>
      <w:r w:rsidR="0086721C" w:rsidRPr="00445472">
        <w:t>–</w:t>
      </w:r>
      <w:r w:rsidRPr="00445472">
        <w:t>Seman, Ishëm</w:t>
      </w:r>
      <w:r w:rsidR="0086721C" w:rsidRPr="00445472">
        <w:t>–</w:t>
      </w:r>
      <w:r w:rsidRPr="00445472">
        <w:t>Erzen</w:t>
      </w:r>
      <w:r w:rsidR="0086721C" w:rsidRPr="00445472">
        <w:t>–</w:t>
      </w:r>
      <w:r w:rsidRPr="00445472">
        <w:t xml:space="preserve">Mat, </w:t>
      </w:r>
      <w:r w:rsidR="007E76E3" w:rsidRPr="00445472">
        <w:t>Drin–Bunë</w:t>
      </w:r>
      <w:r w:rsidRPr="00445472">
        <w:t xml:space="preserve">). </w:t>
      </w:r>
    </w:p>
    <w:p w14:paraId="31E8A30A" w14:textId="0B38A485" w:rsidR="00636586" w:rsidRPr="00445472" w:rsidRDefault="00636586" w:rsidP="00636586">
      <w:pPr>
        <w:pStyle w:val="TEKSTIIII"/>
      </w:pPr>
      <w:r w:rsidRPr="00445472">
        <w:t xml:space="preserve">Secili nga Këshillat e Baseneve Ujore (KBU) kryesohet nga një prej </w:t>
      </w:r>
      <w:r w:rsidR="004961D4" w:rsidRPr="00445472">
        <w:t xml:space="preserve">prefektëve </w:t>
      </w:r>
      <w:r w:rsidRPr="00445472">
        <w:t xml:space="preserve">përgjegjës dhe është i përbërë nga 29 anëtarë që përfaqësojnë institucione të ndryshme vendore, </w:t>
      </w:r>
      <w:r w:rsidR="00034FBB">
        <w:t>NJQV</w:t>
      </w:r>
      <w:r w:rsidRPr="00445472">
        <w:t>-të, bizneset dhe konsumatorët e basenit. (VKM nr.</w:t>
      </w:r>
      <w:r w:rsidR="00A22C31" w:rsidRPr="00445472">
        <w:t xml:space="preserve"> </w:t>
      </w:r>
      <w:r w:rsidRPr="00445472">
        <w:t>342, datë 4 Maj 2016:</w:t>
      </w:r>
      <w:r w:rsidR="00D62EDF" w:rsidRPr="00445472">
        <w:t xml:space="preserve">, “Për </w:t>
      </w:r>
      <w:r w:rsidRPr="00445472">
        <w:t>miratimin e kufijve territorialë e hidrografikë të baseneve ujore në Republikën e Shqipërisë dhe qendrën e përbërjen e këshillit të secilit prej tyre</w:t>
      </w:r>
      <w:r w:rsidR="00D62EDF" w:rsidRPr="00445472">
        <w:t>”</w:t>
      </w:r>
      <w:r w:rsidRPr="00445472">
        <w:t>).</w:t>
      </w:r>
    </w:p>
    <w:p w14:paraId="44C38455" w14:textId="736765CE" w:rsidR="00636586" w:rsidRPr="00445472" w:rsidRDefault="00636586" w:rsidP="00636586">
      <w:pPr>
        <w:pStyle w:val="TEKSTIIII"/>
      </w:pPr>
      <w:r w:rsidRPr="00445472">
        <w:t>Neni 12 i ligjit nr. 111/2012</w:t>
      </w:r>
      <w:r w:rsidR="008F0A9F" w:rsidRPr="00445472">
        <w:t>, si dhe</w:t>
      </w:r>
      <w:r w:rsidRPr="00445472">
        <w:t xml:space="preserve"> ligji nr. 6/2018 për disa ndryshime dhe shtesa të ligjit 111/2012 për </w:t>
      </w:r>
      <w:r w:rsidR="008F0A9F" w:rsidRPr="00445472">
        <w:t>“Menaxhimin e integruar të burimeve ujore”</w:t>
      </w:r>
      <w:r w:rsidR="004961D4" w:rsidRPr="00445472">
        <w:t>,</w:t>
      </w:r>
      <w:r w:rsidRPr="00445472">
        <w:t xml:space="preserve"> theksojnë se çdo KBU duhet të sigurojë:</w:t>
      </w:r>
    </w:p>
    <w:p w14:paraId="1BB89895" w14:textId="269A1C94" w:rsidR="00636586" w:rsidRPr="00445472" w:rsidRDefault="00636586" w:rsidP="00636586">
      <w:pPr>
        <w:pStyle w:val="TEKSTIIII"/>
      </w:pPr>
      <w:r w:rsidRPr="00445472">
        <w:t>-</w:t>
      </w:r>
      <w:r w:rsidR="004961D4" w:rsidRPr="00445472">
        <w:t xml:space="preserve"> </w:t>
      </w:r>
      <w:r w:rsidRPr="00445472">
        <w:t>Mbrojtje, zhvillim dhe veprimtari të arsyeshme me burimet ujore brenda kufijve të basenit të tij;</w:t>
      </w:r>
    </w:p>
    <w:p w14:paraId="13C24E98" w14:textId="01473422" w:rsidR="00636586" w:rsidRPr="00445472" w:rsidRDefault="00636586" w:rsidP="00636586">
      <w:pPr>
        <w:pStyle w:val="TEKSTIIII"/>
      </w:pPr>
      <w:r w:rsidRPr="00445472">
        <w:t>-</w:t>
      </w:r>
      <w:r w:rsidR="004961D4" w:rsidRPr="00445472">
        <w:t xml:space="preserve"> </w:t>
      </w:r>
      <w:r w:rsidRPr="00445472">
        <w:t>Shpërndarje të drejtë brenda kufijve të basenit të tij në përputhje me qëllimin e përdorimit dhe administrimin efikas të tyre;</w:t>
      </w:r>
    </w:p>
    <w:p w14:paraId="204DD51E" w14:textId="23A7B214" w:rsidR="00636586" w:rsidRPr="00445472" w:rsidRDefault="00636586" w:rsidP="00636586">
      <w:pPr>
        <w:pStyle w:val="TEKSTIIII"/>
      </w:pPr>
      <w:r w:rsidRPr="00445472">
        <w:t>-</w:t>
      </w:r>
      <w:r w:rsidR="004961D4" w:rsidRPr="00445472">
        <w:t xml:space="preserve"> </w:t>
      </w:r>
      <w:r w:rsidRPr="00445472">
        <w:t>Mbrojtje të burimeve ujore nga ndotja, keqpërdorimi dhe mbipërdorimi.</w:t>
      </w:r>
    </w:p>
    <w:p w14:paraId="3F093A2E" w14:textId="77777777" w:rsidR="00636586" w:rsidRPr="00445472" w:rsidRDefault="00636586" w:rsidP="00636586">
      <w:pPr>
        <w:pStyle w:val="TEKSTIIII"/>
      </w:pPr>
      <w:r w:rsidRPr="00445472">
        <w:t xml:space="preserve">Këshillat e Baseneve Ujore asistohen nga Zyrat e Administrimit të Baseneve Ujore, që funksionojnë si një Agjenci Menaxhimi  për KBU-në. Ato janë përgjegjëse për zbatimin e ligjit për Burimet Ujore. Ato ndërmarrin vlerësimin teknik të aplikimeve për përdorimin e ujit (ujëra sipërfaqësorë dhe nëntokësorë) dhe japin rekomandime për miratim nga KBU-të, mbështesin bashkitë për zgjidhjen e problematikave të lidhura me burimet ujore dhe janë përgjegjëse për inspektimin e të gjitha veprimtarive që kanë të bëjnë me përdorimin e burimeve ujore. Megjithatë, Zyrat e Administrimit të Baseneve Ujore kanë autoritet të kufizuar për të zbatuar procedurat ligjore dhe rregullatore. </w:t>
      </w:r>
    </w:p>
    <w:p w14:paraId="6009DB0A" w14:textId="6DCFAD05" w:rsidR="00636586" w:rsidRPr="00445472" w:rsidRDefault="00636586" w:rsidP="00636586">
      <w:pPr>
        <w:pStyle w:val="TEKSTIIII"/>
      </w:pPr>
      <w:r w:rsidRPr="00445472">
        <w:t xml:space="preserve">Pjesëmarrja/përfshirja e përdoruesve përfundimtarë në menaxhimin e burimeve ujore rregullohet nga </w:t>
      </w:r>
      <w:r w:rsidR="004961D4" w:rsidRPr="00445472">
        <w:t>vendimi n</w:t>
      </w:r>
      <w:r w:rsidRPr="00445472">
        <w:t>r. 2 i Këshillit Kombëtar të Ujit (KKU), datë 21.6.2006, që shprehet se përfaqësuesit e përdoruesve të ujit përbëjnë 30% të anëtarësisë së KKU-së. Për më tepër, takimet e KBU-së mbahen me dyer të hapura. Në praktikë, publiku i gjerë dhe grupet e vogla t</w:t>
      </w:r>
      <w:r w:rsidR="00034FBB">
        <w:t>ë</w:t>
      </w:r>
      <w:r w:rsidRPr="00445472">
        <w:t xml:space="preserve"> përdoruesve mund të marrin pjesë në mënyrë shumë të kufizuar në proceset formale të menaxhimit të burimeve ujore. Furnizimi me Ujë të Pijshëm është përgjegjësi e 57 ndërmarrjeve të ujësjellësit që veprojnë nën Njësitë e Qeverisjes Vendore (VKM nr.</w:t>
      </w:r>
      <w:r w:rsidR="004961D4" w:rsidRPr="00445472">
        <w:t xml:space="preserve"> </w:t>
      </w:r>
      <w:r w:rsidRPr="00445472">
        <w:t>342, dat</w:t>
      </w:r>
      <w:r w:rsidR="004961D4" w:rsidRPr="00445472">
        <w:t>ë</w:t>
      </w:r>
      <w:r w:rsidRPr="00445472">
        <w:t xml:space="preserve"> 4 maj 2016</w:t>
      </w:r>
      <w:r w:rsidR="00D62EDF" w:rsidRPr="00445472">
        <w:t xml:space="preserve">, “Për </w:t>
      </w:r>
      <w:r w:rsidRPr="00445472">
        <w:t>miratimin e kufijve territorialë e hidrografike të baseneve ujore në Republikën e Shqipërisë dhe qendrën e përbërjen e këshillit të secilit prej tyre</w:t>
      </w:r>
      <w:r w:rsidR="00D62EDF" w:rsidRPr="00445472">
        <w:t>”</w:t>
      </w:r>
      <w:r w:rsidRPr="00445472">
        <w:t>).</w:t>
      </w:r>
    </w:p>
    <w:p w14:paraId="7524F0C9" w14:textId="49A0E81E" w:rsidR="00636586" w:rsidRPr="00445472" w:rsidRDefault="00636586" w:rsidP="00636586">
      <w:pPr>
        <w:pStyle w:val="TEKSTIIII"/>
      </w:pPr>
      <w:r w:rsidRPr="00445472">
        <w:t>Në vitin 2010</w:t>
      </w:r>
      <w:r w:rsidRPr="00445472">
        <w:rPr>
          <w:vertAlign w:val="superscript"/>
        </w:rPr>
        <w:footnoteReference w:id="6"/>
      </w:r>
      <w:r w:rsidR="00034FBB">
        <w:t xml:space="preserve">, </w:t>
      </w:r>
      <w:r w:rsidRPr="00445472">
        <w:t xml:space="preserve">një </w:t>
      </w:r>
      <w:r w:rsidR="00034FBB" w:rsidRPr="00445472">
        <w:t xml:space="preserve">vendim </w:t>
      </w:r>
      <w:r w:rsidRPr="00445472">
        <w:t xml:space="preserve">i Këshillit të Ministrave ka transferuar pronësinë e 305 rezervuarëve të vegjël bujqësorë te </w:t>
      </w:r>
      <w:r w:rsidR="00034FBB">
        <w:t>NJQV</w:t>
      </w:r>
      <w:r w:rsidRPr="00445472">
        <w:t>-të</w:t>
      </w:r>
      <w:r w:rsidR="00034FBB">
        <w:t>,</w:t>
      </w:r>
      <w:r w:rsidRPr="00445472">
        <w:t xml:space="preserve"> duke i bërë kështu përgjegjës për funksionimin dhe mirëmbajtjen e tyre. Dhënia e lejeve dhe zbatueshmëria e legjislacionit mjedisor është përgjegjësi e dymbëdhjetë Agjencive Rajonale Mjedisore (ARM).</w:t>
      </w:r>
    </w:p>
    <w:p w14:paraId="25364D47" w14:textId="34A45AA8" w:rsidR="00636586" w:rsidRPr="00445472" w:rsidRDefault="00636586" w:rsidP="00636586">
      <w:pPr>
        <w:pStyle w:val="TEKSTIIII"/>
      </w:pPr>
      <w:r w:rsidRPr="00445472">
        <w:t xml:space="preserve">Në vitin 2015, u miratua me VKM </w:t>
      </w:r>
      <w:r w:rsidR="004961D4" w:rsidRPr="00445472">
        <w:t>nr</w:t>
      </w:r>
      <w:r w:rsidRPr="00445472">
        <w:t>. 1108, datë 30.12.2015</w:t>
      </w:r>
      <w:r w:rsidR="00D62EDF" w:rsidRPr="00445472">
        <w:t xml:space="preserve">, “Për </w:t>
      </w:r>
      <w:r w:rsidRPr="00445472">
        <w:t>transferimin e infrastrukturës së ujitjes dhe kullimit, personelit dhe aseteve nga Bordet Rajonale të Kullimit</w:t>
      </w:r>
      <w:r w:rsidR="00D62EDF" w:rsidRPr="00445472">
        <w:t>”</w:t>
      </w:r>
      <w:r w:rsidRPr="00445472">
        <w:t xml:space="preserve">, duke qenë se shërbimet e ujitjes dhe kullimit kishin ende nevojë për përmirësim. Duke i transferuar infrastrukturat e vogla të ujitjes te bashkitë dhe fshatrat, do të përmirësohet </w:t>
      </w:r>
      <w:r w:rsidR="00A22C31" w:rsidRPr="00445472">
        <w:t>vendimmarrja</w:t>
      </w:r>
      <w:r w:rsidRPr="00445472">
        <w:t xml:space="preserve"> lidhur me sistemet e ujitjes dhe kullimit. </w:t>
      </w:r>
    </w:p>
    <w:p w14:paraId="2F3F52D1" w14:textId="6CDD9F83" w:rsidR="00636586" w:rsidRPr="00445472" w:rsidRDefault="00A22C31" w:rsidP="00636586">
      <w:pPr>
        <w:pStyle w:val="TEKSTIIII"/>
      </w:pPr>
      <w:r w:rsidRPr="00445472">
        <w:t>Meqenëse</w:t>
      </w:r>
      <w:r w:rsidR="00636586" w:rsidRPr="00445472">
        <w:t xml:space="preserve"> vetëm infrastrukturat kryesore të ujitjes dhe kullimit dhe digat menaxhohen tashmë nga ministria përgjegjëse për ujitjen dhe kullimin, bashkitë do të bashkëpunojnë dhe do të bashkërendojnë me strukturat rajonale të kësaj ministrie përgjegjëse dhe BRK-të, aktivitetet planifikuese për kërkesën vjetore për ujë për ujitje, përdorimin, mirëmbajtjen dhe rehabilitimin e sistemeve të ujitjes dhe kullimit</w:t>
      </w:r>
      <w:r w:rsidR="00636586" w:rsidRPr="00445472">
        <w:rPr>
          <w:vertAlign w:val="superscript"/>
        </w:rPr>
        <w:footnoteReference w:id="7"/>
      </w:r>
      <w:r w:rsidR="00636586" w:rsidRPr="00445472">
        <w:t>. Organizimi i sotëm institucional për ujitjen dhe menaxhimin e kullimit përfshin fshatrat/bashkitë si një lidhje e rëndësishme, që sjell si rezultat tr</w:t>
      </w:r>
      <w:r w:rsidR="00905530">
        <w:t>i</w:t>
      </w:r>
      <w:r w:rsidR="00636586" w:rsidRPr="00445472">
        <w:t xml:space="preserve"> nivele menaxhimi:</w:t>
      </w:r>
    </w:p>
    <w:p w14:paraId="2B58F458" w14:textId="54D2E442" w:rsidR="00636586" w:rsidRPr="00445472" w:rsidRDefault="009C2665" w:rsidP="00636586">
      <w:pPr>
        <w:pStyle w:val="TEKSTIIII"/>
      </w:pPr>
      <w:r w:rsidRPr="00445472">
        <w:t>-</w:t>
      </w:r>
      <w:r w:rsidR="004961D4" w:rsidRPr="00445472">
        <w:t xml:space="preserve"> </w:t>
      </w:r>
      <w:r w:rsidR="00636586" w:rsidRPr="00445472">
        <w:t>Qeverisjen qendrore, ministria përgjegjëse për ujitjen dhe kullimin</w:t>
      </w:r>
      <w:r w:rsidR="00636586" w:rsidRPr="00445472" w:rsidDel="00610EA3">
        <w:t xml:space="preserve"> </w:t>
      </w:r>
      <w:r w:rsidR="00636586" w:rsidRPr="00445472">
        <w:t xml:space="preserve">dhe Bordet e Kullimit kanë kompetencat më të larta të nivelit të administrimit mbi asetet parësore dhe digat; </w:t>
      </w:r>
    </w:p>
    <w:p w14:paraId="0EA29456" w14:textId="398B9DE1" w:rsidR="00636586" w:rsidRPr="00445472" w:rsidRDefault="009C2665" w:rsidP="00636586">
      <w:pPr>
        <w:pStyle w:val="TEKSTIIII"/>
      </w:pPr>
      <w:r w:rsidRPr="00445472">
        <w:t>-</w:t>
      </w:r>
      <w:r w:rsidR="004961D4" w:rsidRPr="00445472">
        <w:t xml:space="preserve"> </w:t>
      </w:r>
      <w:r w:rsidR="00636586" w:rsidRPr="00445472">
        <w:t xml:space="preserve">Bashkitë si një nivel i ndërmjetëm administrimi për asetet dytësore dhe tretësore; dhe </w:t>
      </w:r>
    </w:p>
    <w:p w14:paraId="0E215BD8" w14:textId="3C349BC7" w:rsidR="00636586" w:rsidRPr="00445472" w:rsidRDefault="009C2665" w:rsidP="00636586">
      <w:pPr>
        <w:pStyle w:val="TEKSTIIII"/>
      </w:pPr>
      <w:r w:rsidRPr="00445472">
        <w:t>-</w:t>
      </w:r>
      <w:r w:rsidR="004961D4" w:rsidRPr="00445472">
        <w:t xml:space="preserve"> </w:t>
      </w:r>
      <w:r w:rsidR="00636586" w:rsidRPr="00445472">
        <w:t>Organizatat e përdoruesve të ujit dhe bashkimet e tyre si niveli më i ulët i administrimit.</w:t>
      </w:r>
    </w:p>
    <w:p w14:paraId="4B66D3B4" w14:textId="77777777" w:rsidR="00636586" w:rsidRPr="00445472" w:rsidRDefault="00636586" w:rsidP="00636586">
      <w:pPr>
        <w:pStyle w:val="TEKSTIIII"/>
      </w:pPr>
      <w:r w:rsidRPr="00445472">
        <w:t xml:space="preserve">Lidhja e ndërmjetme midis qeverisë qendrore dhe strukturave të saj vendore nga njëra anë, dhe SHPU-ve/OPU-ve nga ana tjetër, është përmirësuar, gjë e cila mungonte nga reforma e mëparshme bujqësore. Bordet e Kullimit dhe njësitë e reja të qeverisjes vendore dhe bashkitë do të punojnë në partneritet me SHPU-të për të përmirësuar kapacitetet vendore. </w:t>
      </w:r>
    </w:p>
    <w:p w14:paraId="1E99A69C" w14:textId="5F5263CB" w:rsidR="00636586" w:rsidRPr="00445472" w:rsidRDefault="009C2665" w:rsidP="009C2665">
      <w:pPr>
        <w:pStyle w:val="NENTITULL"/>
      </w:pPr>
      <w:bookmarkStart w:id="34" w:name="_Toc11068745"/>
      <w:r w:rsidRPr="00445472">
        <w:t xml:space="preserve">3. </w:t>
      </w:r>
      <w:r w:rsidR="00636586" w:rsidRPr="00445472">
        <w:t xml:space="preserve">Karakteristikat e Përgjithshme të Basenit Ujor </w:t>
      </w:r>
      <w:r w:rsidR="007E76E3" w:rsidRPr="00445472">
        <w:t>Drin–Bunë</w:t>
      </w:r>
      <w:bookmarkEnd w:id="34"/>
    </w:p>
    <w:p w14:paraId="07996838" w14:textId="49F15175" w:rsidR="00636586" w:rsidRPr="00445472" w:rsidRDefault="009C2665" w:rsidP="009C2665">
      <w:pPr>
        <w:pStyle w:val="NENTITULL"/>
      </w:pPr>
      <w:bookmarkStart w:id="35" w:name="_Toc486503384"/>
      <w:bookmarkStart w:id="36" w:name="_Toc11068746"/>
      <w:r w:rsidRPr="00445472">
        <w:t xml:space="preserve">3.1 </w:t>
      </w:r>
      <w:r w:rsidR="00636586" w:rsidRPr="00445472">
        <w:t>Përshkrimi i ujërave sipërfaqësorë</w:t>
      </w:r>
      <w:bookmarkEnd w:id="35"/>
      <w:bookmarkEnd w:id="36"/>
    </w:p>
    <w:p w14:paraId="233FF301" w14:textId="51822EA8" w:rsidR="00636586" w:rsidRPr="00445472" w:rsidRDefault="00636586" w:rsidP="00636586">
      <w:pPr>
        <w:pStyle w:val="TEKSTIIII"/>
      </w:pPr>
      <w:r w:rsidRPr="00445472">
        <w:t xml:space="preserve">Baseni Ujor </w:t>
      </w:r>
      <w:r w:rsidR="007E76E3" w:rsidRPr="00445472">
        <w:t>Drin–Bunë</w:t>
      </w:r>
      <w:r w:rsidRPr="00445472">
        <w:t xml:space="preserve"> është një nga më kompleksët në Evropë; një nga de</w:t>
      </w:r>
      <w:r w:rsidR="00E837F8" w:rsidRPr="00445472">
        <w:t xml:space="preserve">gët kryesore të tij është me dy </w:t>
      </w:r>
      <w:r w:rsidRPr="00445472">
        <w:t xml:space="preserve">drejtime dhe ujëmbledhësi i ujërave sipërfaqësore dhe ujëmbledhësi i ujërave nëntokësorë nuk janë në afërsi të njëri-tjetrit. Baseni </w:t>
      </w:r>
      <w:r w:rsidR="007E76E3" w:rsidRPr="00445472">
        <w:t>Drin–Bunë</w:t>
      </w:r>
      <w:r w:rsidRPr="00445472">
        <w:t xml:space="preserve"> shtrihet edhe jashtë kufirit të vendit. Pjesë të basenit shtrihen në Maqedoninë e Veriut, Mal të Zi, Kosovë dhe Greqi. Për</w:t>
      </w:r>
      <w:r w:rsidR="00A22C31" w:rsidRPr="00445472">
        <w:t xml:space="preserve"> </w:t>
      </w:r>
      <w:r w:rsidRPr="00445472">
        <w:t>sa i përket shtrirjes, afërsisht 40% e basenit të përgjithshëm ndodhet brenda Shqipërisë dhe pjesa tjetër jashtë.</w:t>
      </w:r>
    </w:p>
    <w:p w14:paraId="675A2BDA" w14:textId="5ED321AC" w:rsidR="00636586" w:rsidRPr="00445472" w:rsidRDefault="00636586" w:rsidP="00636586">
      <w:pPr>
        <w:pStyle w:val="TEKSTIIII"/>
      </w:pPr>
      <w:r w:rsidRPr="00445472">
        <w:t>Brenda basenit gjenden tr</w:t>
      </w:r>
      <w:r w:rsidR="00905530">
        <w:t>i</w:t>
      </w:r>
      <w:r w:rsidRPr="00445472">
        <w:t xml:space="preserve"> liqene kryesore: Liqeni i Shkodrës, Liqeni i Ohrit dhe Liqeni i Prespës. Për</w:t>
      </w:r>
      <w:r w:rsidR="00A22C31" w:rsidRPr="00445472">
        <w:t xml:space="preserve"> </w:t>
      </w:r>
      <w:r w:rsidRPr="00445472">
        <w:t xml:space="preserve">sa i përket </w:t>
      </w:r>
      <w:r w:rsidR="00A22C31" w:rsidRPr="00445472">
        <w:t>sipërfaqes</w:t>
      </w:r>
      <w:r w:rsidRPr="00445472">
        <w:t>, Liqeni i Shkodrës është më i madhi, që varion nga 370 km</w:t>
      </w:r>
      <w:r w:rsidRPr="00445472">
        <w:rPr>
          <w:vertAlign w:val="superscript"/>
        </w:rPr>
        <w:t>2</w:t>
      </w:r>
      <w:r w:rsidRPr="00445472">
        <w:t xml:space="preserve"> deri në 530 km</w:t>
      </w:r>
      <w:r w:rsidRPr="00445472">
        <w:rPr>
          <w:vertAlign w:val="superscript"/>
        </w:rPr>
        <w:t>2</w:t>
      </w:r>
      <w:r w:rsidRPr="00445472">
        <w:t>. Liqeni është i cekët me një thellësi mesatare prej 5 metrash dhe lartësia e tij varion nga 4.7 në 9.8 metra mbi nivelin e detit. Vëllimi i tij është 1.93 × 10</w:t>
      </w:r>
      <w:r w:rsidRPr="00445472">
        <w:rPr>
          <w:vertAlign w:val="superscript"/>
        </w:rPr>
        <w:t>9</w:t>
      </w:r>
      <w:r w:rsidRPr="00445472">
        <w:t xml:space="preserve"> m</w:t>
      </w:r>
      <w:r w:rsidRPr="00445472">
        <w:rPr>
          <w:vertAlign w:val="superscript"/>
        </w:rPr>
        <w:t>3</w:t>
      </w:r>
      <w:r w:rsidRPr="00445472">
        <w:t>. Liqeni ushqehet pjesërisht nga prurjet hyrëse të lumenjve përreth dhe pjesërisht nga burimet karstike, të cilat ndodhen në shtratin e liqenit.</w:t>
      </w:r>
    </w:p>
    <w:p w14:paraId="095136C5" w14:textId="58CA94CD" w:rsidR="00636586" w:rsidRPr="00445472" w:rsidRDefault="00636586" w:rsidP="00636586">
      <w:pPr>
        <w:pStyle w:val="TEKSTIIII"/>
      </w:pPr>
      <w:r w:rsidRPr="00445472">
        <w:t>Liqeni i Ohrit është një nga liqenet më të thellë dhe më të vjetër të Evropës, duke ruajtur një ekosistem unik ujor që ka rëndësi botërore, me më shumë se 200 specie endemike. Ai ka një sipërfaqe prej 388 km</w:t>
      </w:r>
      <w:r w:rsidRPr="00445472">
        <w:rPr>
          <w:vertAlign w:val="superscript"/>
        </w:rPr>
        <w:t>2</w:t>
      </w:r>
      <w:r w:rsidRPr="00445472">
        <w:t>, thellësi mesatare prej 155</w:t>
      </w:r>
      <w:r w:rsidR="00A22C31" w:rsidRPr="00445472">
        <w:t xml:space="preserve"> </w:t>
      </w:r>
      <w:r w:rsidRPr="00445472">
        <w:t>m dhe një thellësi maksimale prej rreth 300 metra. Sipërfaqja e tij është në lartësinë 693 m. Vëllimi i tij është 55.49x10</w:t>
      </w:r>
      <w:r w:rsidRPr="00445472">
        <w:rPr>
          <w:vertAlign w:val="superscript"/>
        </w:rPr>
        <w:t>9</w:t>
      </w:r>
      <w:r w:rsidRPr="00445472">
        <w:t xml:space="preserve"> m</w:t>
      </w:r>
      <w:r w:rsidRPr="00445472">
        <w:rPr>
          <w:vertAlign w:val="superscript"/>
        </w:rPr>
        <w:t>3</w:t>
      </w:r>
      <w:r w:rsidRPr="00445472">
        <w:t>.</w:t>
      </w:r>
    </w:p>
    <w:p w14:paraId="0BAEDE9D" w14:textId="4D93BB96" w:rsidR="00636586" w:rsidRPr="00445472" w:rsidRDefault="00636586" w:rsidP="00636586">
      <w:pPr>
        <w:pStyle w:val="TEKSTIIII"/>
      </w:pPr>
      <w:r w:rsidRPr="00445472">
        <w:t>Liqeni i Prespës shtrihet brenda një baseni endoreik, pra pa rrjedhë lumi që del prej tij. Ai aktualisht përbëhet nga dy liqene: Liqeni i Prespës së Madhe dhe Liqeni i Prespës së Vogël. Sipërfaqja e përgjithshme e tij është 274 km</w:t>
      </w:r>
      <w:r w:rsidRPr="00445472">
        <w:rPr>
          <w:vertAlign w:val="superscript"/>
        </w:rPr>
        <w:t>2</w:t>
      </w:r>
      <w:r w:rsidRPr="00445472">
        <w:t xml:space="preserve"> dhe vëllimi i tij është 4.8x10</w:t>
      </w:r>
      <w:r w:rsidRPr="00445472">
        <w:rPr>
          <w:vertAlign w:val="superscript"/>
        </w:rPr>
        <w:t>9</w:t>
      </w:r>
      <w:r w:rsidRPr="00445472">
        <w:t xml:space="preserve"> m</w:t>
      </w:r>
      <w:r w:rsidRPr="00445472">
        <w:rPr>
          <w:vertAlign w:val="superscript"/>
        </w:rPr>
        <w:t>3</w:t>
      </w:r>
      <w:r w:rsidRPr="00445472">
        <w:t xml:space="preserve">. Në një lartësi prej 854 m, është liqeni më i lartë në Ballkan. Prurja mesatare hyrëse në liqenin e Prespës </w:t>
      </w:r>
      <w:r w:rsidR="00A22C31" w:rsidRPr="00445472">
        <w:t>është</w:t>
      </w:r>
      <w:r w:rsidRPr="00445472">
        <w:t xml:space="preserve"> vlerësuar si 2.55 m</w:t>
      </w:r>
      <w:r w:rsidRPr="00445472">
        <w:rPr>
          <w:vertAlign w:val="superscript"/>
        </w:rPr>
        <w:t>3</w:t>
      </w:r>
      <w:r w:rsidRPr="00445472">
        <w:t>/s. E gjithë kjo kalon nëpërmjet ujërave nëntokësorë në liqenin e Ohrit. Edhe pse ka një disnivel të madh në lartësinë sipërfaqësore mes të Liqenit të Prespës dhe Liqenit të Ohrit, sasia e prurjes nuk ndryshon shumë gjatë vitit.</w:t>
      </w:r>
    </w:p>
    <w:p w14:paraId="4E9EE59B" w14:textId="24BC524B" w:rsidR="00636586" w:rsidRPr="00445472" w:rsidRDefault="00636586" w:rsidP="00636586">
      <w:pPr>
        <w:pStyle w:val="TEKSTIIII"/>
      </w:pPr>
      <w:r w:rsidRPr="00445472">
        <w:t>Lumi Drin është lumi më i madh i Shqipërisë</w:t>
      </w:r>
      <w:r w:rsidR="008F0A9F" w:rsidRPr="00445472">
        <w:t>, si dhe</w:t>
      </w:r>
      <w:r w:rsidRPr="00445472">
        <w:t xml:space="preserve"> më i madhi në bregdetin Adriatik të Gadishullit Ballkanik, si në aspektin e zonës ujëmbledhëse, ashtu edhe në kontributin e vetë basenit. Baseni i lumit Drin ka një natyrë ndërkufitare, që ndodhet në pjesën veriore dhe lindore të territorit të Shqipërisë me një sipërfaqe totale prej 14,173 km</w:t>
      </w:r>
      <w:r w:rsidRPr="00445472">
        <w:rPr>
          <w:vertAlign w:val="superscript"/>
        </w:rPr>
        <w:t>2</w:t>
      </w:r>
      <w:r w:rsidRPr="00445472">
        <w:t>, nga të cilat 5,973 km</w:t>
      </w:r>
      <w:r w:rsidRPr="00445472">
        <w:rPr>
          <w:vertAlign w:val="superscript"/>
        </w:rPr>
        <w:t>2</w:t>
      </w:r>
      <w:r w:rsidRPr="00445472">
        <w:t xml:space="preserve"> shtrihen në territorin e Shqipërisë, ndërsa pjesa tjetër në Greqi, Kosovë, Maqedoninë e Veriut dhe Mal të Zi.</w:t>
      </w:r>
    </w:p>
    <w:p w14:paraId="40DB4A78" w14:textId="0C410F30" w:rsidR="00636586" w:rsidRPr="00445472" w:rsidRDefault="00636586" w:rsidP="00636586">
      <w:pPr>
        <w:pStyle w:val="TEKSTIIII"/>
        <w:rPr>
          <w:b/>
        </w:rPr>
      </w:pPr>
      <w:r w:rsidRPr="00445472">
        <w:rPr>
          <w:b/>
        </w:rPr>
        <w:t xml:space="preserve">Lumi Drin </w:t>
      </w:r>
      <w:r w:rsidRPr="00445472">
        <w:t>në territorin shqiptar karakterizohet nga një reliev malor, me lartësi mesatare prej 971 m mbi nivelin e detit, me rreth 50% të zonës ujëmbledhëse të lumit në territorin e Shqipërisë që ndodhet në një lartësi prej 850 m. Lumi Drin, i cili fillon nga Liqeni i Ohrit në Strugë dhe përfundimisht derdhet në lumin Bunë, ka një gjatësi prej 285 km dhe një rënie prej 685 metra, që korrespondon me një pjerrësi mesatare prej 2.3%. Lumi Drin formohet nga dy degë kryesore: Drini Zi dhe i Bardhë. Gjatësia e Drinit të Zi nga liqeni i Ohrit në Kukës është 149 km dhe sipërfaqja e basenit është 5,885 km</w:t>
      </w:r>
      <w:r w:rsidRPr="00445472">
        <w:rPr>
          <w:vertAlign w:val="superscript"/>
        </w:rPr>
        <w:t>2</w:t>
      </w:r>
      <w:r w:rsidRPr="00445472">
        <w:t>, ndërsa Drini i Bardhë nga burimi (Kosovë) deri te bashkimi me lumin Drin i Zi ka një gjatësi prej 136 km dhe sipërfaqe baseni prej 4,964 km</w:t>
      </w:r>
      <w:r w:rsidRPr="00445472">
        <w:rPr>
          <w:vertAlign w:val="superscript"/>
        </w:rPr>
        <w:t>2</w:t>
      </w:r>
      <w:r w:rsidRPr="00445472">
        <w:t xml:space="preserve">. Deri në vitin 1956 (kur filloi zbatimi i hidrocentralit Vau i Dejës), Lumi Drin pas Vaut të Dejës ndahej në dy degë, Bahçallëk, i cili shkarkohej në Bunë dhe në degën e Lezhës, e cila pas marrjes së ujërave të Gjadrit shkarkohej në det pranë Qytetit të Lezhës. </w:t>
      </w:r>
    </w:p>
    <w:p w14:paraId="37C4AB4C" w14:textId="77777777" w:rsidR="00636586" w:rsidRPr="00445472" w:rsidRDefault="00636586" w:rsidP="00636586">
      <w:pPr>
        <w:pStyle w:val="TEKSTIIII"/>
        <w:rPr>
          <w:b/>
        </w:rPr>
      </w:pPr>
      <w:r w:rsidRPr="00445472">
        <w:rPr>
          <w:b/>
        </w:rPr>
        <w:t>Lumi Bun</w:t>
      </w:r>
      <w:r w:rsidRPr="00445472">
        <w:rPr>
          <w:rFonts w:cs="Arial"/>
          <w:b/>
        </w:rPr>
        <w:t xml:space="preserve">ë </w:t>
      </w:r>
      <w:r w:rsidRPr="00445472">
        <w:t>buron nga Liqeni i Shkodrës. Sipërfaqja e ujëmbledhësit të lumit Bunë është 5,179 km</w:t>
      </w:r>
      <w:r w:rsidRPr="00445472">
        <w:rPr>
          <w:vertAlign w:val="superscript"/>
        </w:rPr>
        <w:t>2</w:t>
      </w:r>
      <w:r w:rsidRPr="00445472">
        <w:t>, nga të cilat 1,025 km</w:t>
      </w:r>
      <w:r w:rsidRPr="00445472">
        <w:rPr>
          <w:vertAlign w:val="superscript"/>
        </w:rPr>
        <w:t>2</w:t>
      </w:r>
      <w:r w:rsidRPr="00445472">
        <w:t xml:space="preserve"> gjenden brenda territorit të Shqipërisë, ndërsa pjesa tjetër gjendet në Mal të Zi. Lumi Bun</w:t>
      </w:r>
      <w:r w:rsidRPr="00445472">
        <w:rPr>
          <w:rFonts w:cs="Arial"/>
        </w:rPr>
        <w:t>ë</w:t>
      </w:r>
      <w:r w:rsidRPr="00445472">
        <w:t>, nga pika e fillimit në fshatin Samerisht deri në shkarkimi i tij në Detin Adriatik ka një gjatësi prej 44 km, duke ndarë kufirin shtetëror midis Shqipërisë dhe Malit të Zi. Lumi Bun</w:t>
      </w:r>
      <w:r w:rsidRPr="00445472">
        <w:rPr>
          <w:rFonts w:cs="Arial"/>
        </w:rPr>
        <w:t>ë</w:t>
      </w:r>
      <w:r w:rsidRPr="00445472">
        <w:t xml:space="preserve"> mbledh ujërat e lumit Drin dhe ujë nga Liqeni i Shkodrës. Lumi Bun</w:t>
      </w:r>
      <w:r w:rsidRPr="00445472">
        <w:rPr>
          <w:rFonts w:cs="Arial"/>
        </w:rPr>
        <w:t>ë</w:t>
      </w:r>
      <w:r w:rsidRPr="00445472">
        <w:t xml:space="preserve"> ka një deltë klasike, të përbërë nga disa ishuj aluvialë, të vendosur në grykëderdhjen e tij.</w:t>
      </w:r>
    </w:p>
    <w:p w14:paraId="0EEC43F3" w14:textId="4DEEAFB0" w:rsidR="00636586" w:rsidRPr="00445472" w:rsidRDefault="00636586" w:rsidP="00636586">
      <w:pPr>
        <w:pStyle w:val="TEKSTIIII"/>
      </w:pPr>
      <w:r w:rsidRPr="00445472">
        <w:t xml:space="preserve">Degët kryesore dhe zonat e tyre përkatëse në Basenin Ujor </w:t>
      </w:r>
      <w:r w:rsidR="007E76E3" w:rsidRPr="00445472">
        <w:t>Drin–Bunë</w:t>
      </w:r>
      <w:r w:rsidRPr="00445472">
        <w:t xml:space="preserve"> tregohen në Tabelën 3.1.</w:t>
      </w:r>
    </w:p>
    <w:p w14:paraId="18F783BE" w14:textId="77777777" w:rsidR="00636586" w:rsidRPr="00445472" w:rsidRDefault="00636586" w:rsidP="00636586">
      <w:pPr>
        <w:pStyle w:val="TEKSTIIII"/>
      </w:pPr>
    </w:p>
    <w:p w14:paraId="6A85C7EB" w14:textId="77777777" w:rsidR="00636586" w:rsidRPr="00445472" w:rsidRDefault="00636586" w:rsidP="00636586">
      <w:pPr>
        <w:pStyle w:val="TEKSTIIII"/>
        <w:rPr>
          <w:b/>
        </w:rPr>
      </w:pPr>
      <w:r w:rsidRPr="00445472">
        <w:rPr>
          <w:b/>
        </w:rPr>
        <w:t xml:space="preserve">Tabela 3.1: Karakteristikat e degëve kryesore të lumit Drin </w:t>
      </w:r>
      <w:r w:rsidRPr="00445472">
        <w:rPr>
          <w:rStyle w:val="FootnoteReference"/>
          <w:rFonts w:ascii="Garamond" w:hAnsi="Garamond"/>
          <w:b/>
          <w:bCs/>
          <w:color w:val="auto"/>
        </w:rPr>
        <w:footnoteReference w:id="8"/>
      </w:r>
    </w:p>
    <w:tbl>
      <w:tblPr>
        <w:tblW w:w="8910" w:type="dxa"/>
        <w:tblInd w:w="152" w:type="dxa"/>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ayout w:type="fixed"/>
        <w:tblCellMar>
          <w:left w:w="0" w:type="dxa"/>
          <w:right w:w="0" w:type="dxa"/>
        </w:tblCellMar>
        <w:tblLook w:val="00A0" w:firstRow="1" w:lastRow="0" w:firstColumn="1" w:lastColumn="0" w:noHBand="0" w:noVBand="0"/>
      </w:tblPr>
      <w:tblGrid>
        <w:gridCol w:w="1256"/>
        <w:gridCol w:w="1482"/>
        <w:gridCol w:w="923"/>
        <w:gridCol w:w="1706"/>
        <w:gridCol w:w="1843"/>
        <w:gridCol w:w="1700"/>
      </w:tblGrid>
      <w:tr w:rsidR="00E837F8" w:rsidRPr="00445472" w14:paraId="52EFDAA4" w14:textId="77777777" w:rsidTr="00E837F8">
        <w:trPr>
          <w:trHeight w:val="255"/>
        </w:trPr>
        <w:tc>
          <w:tcPr>
            <w:tcW w:w="1256" w:type="dxa"/>
            <w:tcBorders>
              <w:bottom w:val="single" w:sz="8" w:space="0" w:color="27B1B0"/>
            </w:tcBorders>
            <w:shd w:val="clear" w:color="auto" w:fill="auto"/>
            <w:vAlign w:val="center"/>
          </w:tcPr>
          <w:p w14:paraId="29536F8B" w14:textId="77777777" w:rsidR="00636586" w:rsidRPr="00445472" w:rsidRDefault="00636586" w:rsidP="00E837F8">
            <w:pPr>
              <w:pStyle w:val="TABELA"/>
              <w:jc w:val="center"/>
              <w:rPr>
                <w:b/>
                <w:lang w:val="sq-AL"/>
              </w:rPr>
            </w:pPr>
            <w:r w:rsidRPr="00445472">
              <w:rPr>
                <w:b/>
                <w:lang w:val="sq-AL"/>
              </w:rPr>
              <w:t>Lumi</w:t>
            </w:r>
          </w:p>
        </w:tc>
        <w:tc>
          <w:tcPr>
            <w:tcW w:w="1482" w:type="dxa"/>
            <w:tcBorders>
              <w:bottom w:val="single" w:sz="8" w:space="0" w:color="27B1B0"/>
            </w:tcBorders>
            <w:shd w:val="clear" w:color="auto" w:fill="auto"/>
            <w:noWrap/>
            <w:vAlign w:val="center"/>
          </w:tcPr>
          <w:p w14:paraId="00EAF3ED" w14:textId="77777777" w:rsidR="00636586" w:rsidRPr="00445472" w:rsidRDefault="00636586" w:rsidP="00E837F8">
            <w:pPr>
              <w:pStyle w:val="TABELA"/>
              <w:jc w:val="center"/>
              <w:rPr>
                <w:b/>
                <w:lang w:val="sq-AL"/>
              </w:rPr>
            </w:pPr>
            <w:r w:rsidRPr="00445472">
              <w:rPr>
                <w:b/>
                <w:lang w:val="sq-AL"/>
              </w:rPr>
              <w:t>Degët kryesore</w:t>
            </w:r>
          </w:p>
        </w:tc>
        <w:tc>
          <w:tcPr>
            <w:tcW w:w="923" w:type="dxa"/>
            <w:tcBorders>
              <w:bottom w:val="single" w:sz="8" w:space="0" w:color="27B1B0"/>
            </w:tcBorders>
            <w:shd w:val="clear" w:color="auto" w:fill="auto"/>
            <w:noWrap/>
            <w:vAlign w:val="center"/>
          </w:tcPr>
          <w:p w14:paraId="509C8910" w14:textId="77777777" w:rsidR="00636586" w:rsidRPr="00445472" w:rsidRDefault="00636586" w:rsidP="00E837F8">
            <w:pPr>
              <w:pStyle w:val="TABELA"/>
              <w:jc w:val="center"/>
              <w:rPr>
                <w:b/>
                <w:lang w:val="sq-AL"/>
              </w:rPr>
            </w:pPr>
            <w:r w:rsidRPr="00445472">
              <w:rPr>
                <w:b/>
                <w:lang w:val="sq-AL"/>
              </w:rPr>
              <w:t>Gjatësia (km)</w:t>
            </w:r>
          </w:p>
        </w:tc>
        <w:tc>
          <w:tcPr>
            <w:tcW w:w="1706" w:type="dxa"/>
            <w:tcBorders>
              <w:bottom w:val="single" w:sz="8" w:space="0" w:color="27B1B0"/>
            </w:tcBorders>
            <w:shd w:val="clear" w:color="auto" w:fill="auto"/>
            <w:noWrap/>
            <w:vAlign w:val="center"/>
          </w:tcPr>
          <w:p w14:paraId="20430CF9" w14:textId="452EA7A0" w:rsidR="00636586" w:rsidRPr="00445472" w:rsidRDefault="00A22C31" w:rsidP="00E837F8">
            <w:pPr>
              <w:pStyle w:val="TABELA"/>
              <w:jc w:val="center"/>
              <w:rPr>
                <w:b/>
                <w:lang w:val="sq-AL"/>
              </w:rPr>
            </w:pPr>
            <w:r w:rsidRPr="00445472">
              <w:rPr>
                <w:b/>
                <w:lang w:val="sq-AL"/>
              </w:rPr>
              <w:t>Sipërfaqja</w:t>
            </w:r>
            <w:r w:rsidR="00636586" w:rsidRPr="00445472">
              <w:rPr>
                <w:b/>
                <w:lang w:val="sq-AL"/>
              </w:rPr>
              <w:t xml:space="preserve"> e Basenit (km</w:t>
            </w:r>
            <w:r w:rsidR="00636586" w:rsidRPr="00445472">
              <w:rPr>
                <w:b/>
                <w:vertAlign w:val="superscript"/>
                <w:lang w:val="sq-AL"/>
              </w:rPr>
              <w:t>2</w:t>
            </w:r>
            <w:r w:rsidR="00636586" w:rsidRPr="00445472">
              <w:rPr>
                <w:b/>
                <w:lang w:val="sq-AL"/>
              </w:rPr>
              <w:t>)</w:t>
            </w:r>
          </w:p>
        </w:tc>
        <w:tc>
          <w:tcPr>
            <w:tcW w:w="1843" w:type="dxa"/>
            <w:tcBorders>
              <w:bottom w:val="single" w:sz="8" w:space="0" w:color="27B1B0"/>
            </w:tcBorders>
            <w:shd w:val="clear" w:color="auto" w:fill="auto"/>
            <w:noWrap/>
            <w:vAlign w:val="center"/>
          </w:tcPr>
          <w:p w14:paraId="47556973" w14:textId="77777777" w:rsidR="00636586" w:rsidRPr="00445472" w:rsidRDefault="00636586" w:rsidP="00E837F8">
            <w:pPr>
              <w:pStyle w:val="TABELA"/>
              <w:jc w:val="center"/>
              <w:rPr>
                <w:b/>
                <w:lang w:val="sq-AL"/>
              </w:rPr>
            </w:pPr>
            <w:r w:rsidRPr="00445472">
              <w:rPr>
                <w:b/>
                <w:lang w:val="sq-AL"/>
              </w:rPr>
              <w:t>Mesatarja e lartësisë mbi nivelin e detit (m)</w:t>
            </w:r>
          </w:p>
        </w:tc>
        <w:tc>
          <w:tcPr>
            <w:tcW w:w="1700" w:type="dxa"/>
            <w:tcBorders>
              <w:bottom w:val="single" w:sz="8" w:space="0" w:color="27B1B0"/>
            </w:tcBorders>
            <w:shd w:val="clear" w:color="auto" w:fill="auto"/>
            <w:noWrap/>
            <w:vAlign w:val="center"/>
          </w:tcPr>
          <w:p w14:paraId="32BB3513" w14:textId="77777777" w:rsidR="00636586" w:rsidRPr="00445472" w:rsidRDefault="00636586" w:rsidP="00E837F8">
            <w:pPr>
              <w:pStyle w:val="TABELA"/>
              <w:jc w:val="center"/>
              <w:rPr>
                <w:b/>
                <w:lang w:val="sq-AL"/>
              </w:rPr>
            </w:pPr>
            <w:r w:rsidRPr="00445472">
              <w:rPr>
                <w:b/>
                <w:lang w:val="sq-AL"/>
              </w:rPr>
              <w:t>Prurja mesatare (m</w:t>
            </w:r>
            <w:r w:rsidRPr="00445472">
              <w:rPr>
                <w:b/>
                <w:vertAlign w:val="superscript"/>
                <w:lang w:val="sq-AL"/>
              </w:rPr>
              <w:t>3.</w:t>
            </w:r>
            <w:r w:rsidRPr="00445472">
              <w:rPr>
                <w:b/>
                <w:lang w:val="sq-AL"/>
              </w:rPr>
              <w:t>s-1)</w:t>
            </w:r>
          </w:p>
        </w:tc>
      </w:tr>
      <w:tr w:rsidR="00636586" w:rsidRPr="00445472" w14:paraId="475384C1" w14:textId="77777777" w:rsidTr="00C17B97">
        <w:trPr>
          <w:trHeight w:val="255"/>
        </w:trPr>
        <w:tc>
          <w:tcPr>
            <w:tcW w:w="1256" w:type="dxa"/>
            <w:shd w:val="clear" w:color="auto" w:fill="D4D4D4"/>
            <w:vAlign w:val="center"/>
          </w:tcPr>
          <w:p w14:paraId="56A39D05" w14:textId="77777777" w:rsidR="00636586" w:rsidRPr="00445472" w:rsidRDefault="00636586" w:rsidP="00872A07">
            <w:pPr>
              <w:pStyle w:val="TABELA"/>
              <w:rPr>
                <w:lang w:val="sq-AL"/>
              </w:rPr>
            </w:pPr>
            <w:r w:rsidRPr="00445472">
              <w:rPr>
                <w:lang w:val="sq-AL"/>
              </w:rPr>
              <w:t>Drin</w:t>
            </w:r>
          </w:p>
        </w:tc>
        <w:tc>
          <w:tcPr>
            <w:tcW w:w="1482" w:type="dxa"/>
            <w:shd w:val="clear" w:color="auto" w:fill="D4D4D4"/>
            <w:noWrap/>
            <w:vAlign w:val="center"/>
          </w:tcPr>
          <w:p w14:paraId="5DCBA1AE" w14:textId="77777777" w:rsidR="00636586" w:rsidRPr="00445472" w:rsidRDefault="00636586" w:rsidP="00872A07">
            <w:pPr>
              <w:pStyle w:val="TABELA"/>
              <w:rPr>
                <w:lang w:val="sq-AL"/>
              </w:rPr>
            </w:pPr>
            <w:r w:rsidRPr="00445472">
              <w:rPr>
                <w:lang w:val="sq-AL"/>
              </w:rPr>
              <w:t>Drini i Bardhë</w:t>
            </w:r>
          </w:p>
        </w:tc>
        <w:tc>
          <w:tcPr>
            <w:tcW w:w="923" w:type="dxa"/>
            <w:shd w:val="clear" w:color="auto" w:fill="D4D4D4"/>
            <w:noWrap/>
            <w:vAlign w:val="center"/>
          </w:tcPr>
          <w:p w14:paraId="68067A62" w14:textId="77777777" w:rsidR="00636586" w:rsidRPr="00445472" w:rsidRDefault="00636586" w:rsidP="00E837F8">
            <w:pPr>
              <w:pStyle w:val="TABELA"/>
              <w:jc w:val="right"/>
              <w:rPr>
                <w:lang w:val="sq-AL"/>
              </w:rPr>
            </w:pPr>
            <w:r w:rsidRPr="00445472">
              <w:rPr>
                <w:lang w:val="sq-AL"/>
              </w:rPr>
              <w:t>134</w:t>
            </w:r>
          </w:p>
        </w:tc>
        <w:tc>
          <w:tcPr>
            <w:tcW w:w="1706" w:type="dxa"/>
            <w:shd w:val="clear" w:color="auto" w:fill="D4D4D4"/>
            <w:noWrap/>
            <w:vAlign w:val="center"/>
          </w:tcPr>
          <w:p w14:paraId="5B91EA33" w14:textId="77777777" w:rsidR="00636586" w:rsidRPr="00445472" w:rsidRDefault="00636586" w:rsidP="00E837F8">
            <w:pPr>
              <w:pStyle w:val="TABELA"/>
              <w:jc w:val="right"/>
              <w:rPr>
                <w:lang w:val="sq-AL"/>
              </w:rPr>
            </w:pPr>
            <w:r w:rsidRPr="00445472">
              <w:rPr>
                <w:lang w:val="sq-AL"/>
              </w:rPr>
              <w:t>4,964</w:t>
            </w:r>
          </w:p>
        </w:tc>
        <w:tc>
          <w:tcPr>
            <w:tcW w:w="1843" w:type="dxa"/>
            <w:shd w:val="clear" w:color="auto" w:fill="D4D4D4"/>
            <w:noWrap/>
            <w:vAlign w:val="center"/>
          </w:tcPr>
          <w:p w14:paraId="07D29640" w14:textId="77777777" w:rsidR="00636586" w:rsidRPr="00445472" w:rsidRDefault="00636586" w:rsidP="00E837F8">
            <w:pPr>
              <w:pStyle w:val="TABELA"/>
              <w:jc w:val="right"/>
              <w:rPr>
                <w:lang w:val="sq-AL"/>
              </w:rPr>
            </w:pPr>
            <w:r w:rsidRPr="00445472">
              <w:rPr>
                <w:lang w:val="sq-AL"/>
              </w:rPr>
              <w:t>862</w:t>
            </w:r>
          </w:p>
        </w:tc>
        <w:tc>
          <w:tcPr>
            <w:tcW w:w="1700" w:type="dxa"/>
            <w:shd w:val="clear" w:color="auto" w:fill="D4D4D4"/>
            <w:noWrap/>
            <w:vAlign w:val="center"/>
          </w:tcPr>
          <w:p w14:paraId="34DAC20F" w14:textId="77777777" w:rsidR="00636586" w:rsidRPr="00445472" w:rsidRDefault="00636586" w:rsidP="00E837F8">
            <w:pPr>
              <w:pStyle w:val="TABELA"/>
              <w:jc w:val="right"/>
              <w:rPr>
                <w:lang w:val="sq-AL"/>
              </w:rPr>
            </w:pPr>
            <w:r w:rsidRPr="00445472">
              <w:rPr>
                <w:lang w:val="sq-AL"/>
              </w:rPr>
              <w:t>68.2</w:t>
            </w:r>
          </w:p>
        </w:tc>
      </w:tr>
      <w:tr w:rsidR="00636586" w:rsidRPr="00445472" w14:paraId="1B5E0D66" w14:textId="77777777" w:rsidTr="00C17B97">
        <w:trPr>
          <w:trHeight w:val="255"/>
        </w:trPr>
        <w:tc>
          <w:tcPr>
            <w:tcW w:w="1256" w:type="dxa"/>
            <w:tcBorders>
              <w:bottom w:val="single" w:sz="8" w:space="0" w:color="27B1B0"/>
            </w:tcBorders>
            <w:vAlign w:val="center"/>
          </w:tcPr>
          <w:p w14:paraId="6A18A8A4" w14:textId="77777777" w:rsidR="00636586" w:rsidRPr="00445472" w:rsidRDefault="00636586" w:rsidP="00872A07">
            <w:pPr>
              <w:pStyle w:val="TABELA"/>
              <w:rPr>
                <w:lang w:val="sq-AL"/>
              </w:rPr>
            </w:pPr>
            <w:r w:rsidRPr="00445472">
              <w:rPr>
                <w:lang w:val="sq-AL"/>
              </w:rPr>
              <w:t>Drin</w:t>
            </w:r>
          </w:p>
        </w:tc>
        <w:tc>
          <w:tcPr>
            <w:tcW w:w="1482" w:type="dxa"/>
            <w:tcBorders>
              <w:bottom w:val="single" w:sz="8" w:space="0" w:color="27B1B0"/>
            </w:tcBorders>
            <w:noWrap/>
            <w:vAlign w:val="center"/>
          </w:tcPr>
          <w:p w14:paraId="4F0A9530" w14:textId="77777777" w:rsidR="00636586" w:rsidRPr="00445472" w:rsidRDefault="00636586" w:rsidP="00872A07">
            <w:pPr>
              <w:pStyle w:val="TABELA"/>
              <w:rPr>
                <w:lang w:val="sq-AL"/>
              </w:rPr>
            </w:pPr>
            <w:r w:rsidRPr="00445472">
              <w:rPr>
                <w:lang w:val="sq-AL"/>
              </w:rPr>
              <w:t>Drini i Zi</w:t>
            </w:r>
          </w:p>
        </w:tc>
        <w:tc>
          <w:tcPr>
            <w:tcW w:w="923" w:type="dxa"/>
            <w:tcBorders>
              <w:bottom w:val="single" w:sz="8" w:space="0" w:color="27B1B0"/>
            </w:tcBorders>
            <w:noWrap/>
            <w:vAlign w:val="center"/>
          </w:tcPr>
          <w:p w14:paraId="640A24B5" w14:textId="77777777" w:rsidR="00636586" w:rsidRPr="00445472" w:rsidRDefault="00636586" w:rsidP="00E837F8">
            <w:pPr>
              <w:pStyle w:val="TABELA"/>
              <w:jc w:val="right"/>
              <w:rPr>
                <w:lang w:val="sq-AL"/>
              </w:rPr>
            </w:pPr>
            <w:r w:rsidRPr="00445472">
              <w:rPr>
                <w:lang w:val="sq-AL"/>
              </w:rPr>
              <w:t>149</w:t>
            </w:r>
          </w:p>
        </w:tc>
        <w:tc>
          <w:tcPr>
            <w:tcW w:w="1706" w:type="dxa"/>
            <w:tcBorders>
              <w:bottom w:val="single" w:sz="8" w:space="0" w:color="27B1B0"/>
            </w:tcBorders>
            <w:noWrap/>
            <w:vAlign w:val="center"/>
          </w:tcPr>
          <w:p w14:paraId="742F1E86" w14:textId="77777777" w:rsidR="00636586" w:rsidRPr="00445472" w:rsidRDefault="00636586" w:rsidP="00E837F8">
            <w:pPr>
              <w:pStyle w:val="TABELA"/>
              <w:jc w:val="right"/>
              <w:rPr>
                <w:lang w:val="sq-AL"/>
              </w:rPr>
            </w:pPr>
            <w:r w:rsidRPr="00445472">
              <w:rPr>
                <w:lang w:val="sq-AL"/>
              </w:rPr>
              <w:t>3,504</w:t>
            </w:r>
          </w:p>
        </w:tc>
        <w:tc>
          <w:tcPr>
            <w:tcW w:w="1843" w:type="dxa"/>
            <w:tcBorders>
              <w:bottom w:val="single" w:sz="8" w:space="0" w:color="27B1B0"/>
            </w:tcBorders>
            <w:noWrap/>
            <w:vAlign w:val="center"/>
          </w:tcPr>
          <w:p w14:paraId="4EB2F4AA" w14:textId="77777777" w:rsidR="00636586" w:rsidRPr="00445472" w:rsidRDefault="00636586" w:rsidP="00E837F8">
            <w:pPr>
              <w:pStyle w:val="TABELA"/>
              <w:jc w:val="right"/>
              <w:rPr>
                <w:lang w:val="sq-AL"/>
              </w:rPr>
            </w:pPr>
            <w:r w:rsidRPr="00445472">
              <w:rPr>
                <w:lang w:val="sq-AL"/>
              </w:rPr>
              <w:t>1,132</w:t>
            </w:r>
          </w:p>
        </w:tc>
        <w:tc>
          <w:tcPr>
            <w:tcW w:w="1700" w:type="dxa"/>
            <w:tcBorders>
              <w:bottom w:val="single" w:sz="8" w:space="0" w:color="27B1B0"/>
            </w:tcBorders>
            <w:noWrap/>
            <w:vAlign w:val="center"/>
          </w:tcPr>
          <w:p w14:paraId="4260EC82" w14:textId="77777777" w:rsidR="00636586" w:rsidRPr="00445472" w:rsidRDefault="00636586" w:rsidP="00E837F8">
            <w:pPr>
              <w:pStyle w:val="TABELA"/>
              <w:jc w:val="right"/>
              <w:rPr>
                <w:lang w:val="sq-AL"/>
              </w:rPr>
            </w:pPr>
            <w:r w:rsidRPr="00445472">
              <w:rPr>
                <w:lang w:val="sq-AL"/>
              </w:rPr>
              <w:t>118</w:t>
            </w:r>
          </w:p>
        </w:tc>
      </w:tr>
      <w:tr w:rsidR="00636586" w:rsidRPr="00445472" w14:paraId="77EFE7D1" w14:textId="77777777" w:rsidTr="00C17B97">
        <w:trPr>
          <w:trHeight w:val="255"/>
        </w:trPr>
        <w:tc>
          <w:tcPr>
            <w:tcW w:w="1256" w:type="dxa"/>
            <w:shd w:val="clear" w:color="auto" w:fill="D4D4D4"/>
            <w:vAlign w:val="center"/>
          </w:tcPr>
          <w:p w14:paraId="0234B130" w14:textId="77777777" w:rsidR="00636586" w:rsidRPr="00445472" w:rsidRDefault="00636586" w:rsidP="00872A07">
            <w:pPr>
              <w:pStyle w:val="TABELA"/>
              <w:rPr>
                <w:lang w:val="sq-AL"/>
              </w:rPr>
            </w:pPr>
            <w:r w:rsidRPr="00445472">
              <w:rPr>
                <w:lang w:val="sq-AL"/>
              </w:rPr>
              <w:t>Drin</w:t>
            </w:r>
          </w:p>
        </w:tc>
        <w:tc>
          <w:tcPr>
            <w:tcW w:w="1482" w:type="dxa"/>
            <w:shd w:val="clear" w:color="auto" w:fill="D4D4D4"/>
            <w:noWrap/>
            <w:vAlign w:val="center"/>
          </w:tcPr>
          <w:p w14:paraId="3A7E3B94" w14:textId="77777777" w:rsidR="00636586" w:rsidRPr="00445472" w:rsidRDefault="00636586" w:rsidP="00872A07">
            <w:pPr>
              <w:pStyle w:val="TABELA"/>
              <w:rPr>
                <w:lang w:val="sq-AL"/>
              </w:rPr>
            </w:pPr>
            <w:r w:rsidRPr="00445472">
              <w:rPr>
                <w:lang w:val="sq-AL"/>
              </w:rPr>
              <w:t>Drini dega kryesore</w:t>
            </w:r>
          </w:p>
        </w:tc>
        <w:tc>
          <w:tcPr>
            <w:tcW w:w="923" w:type="dxa"/>
            <w:shd w:val="clear" w:color="auto" w:fill="D4D4D4"/>
            <w:noWrap/>
            <w:vAlign w:val="center"/>
          </w:tcPr>
          <w:p w14:paraId="17C07F00" w14:textId="77777777" w:rsidR="00636586" w:rsidRPr="00445472" w:rsidRDefault="00636586" w:rsidP="00E837F8">
            <w:pPr>
              <w:pStyle w:val="TABELA"/>
              <w:jc w:val="right"/>
              <w:rPr>
                <w:lang w:val="sq-AL"/>
              </w:rPr>
            </w:pPr>
            <w:r w:rsidRPr="00445472">
              <w:rPr>
                <w:lang w:val="sq-AL"/>
              </w:rPr>
              <w:t>285</w:t>
            </w:r>
          </w:p>
        </w:tc>
        <w:tc>
          <w:tcPr>
            <w:tcW w:w="1706" w:type="dxa"/>
            <w:shd w:val="clear" w:color="auto" w:fill="D4D4D4"/>
            <w:noWrap/>
            <w:vAlign w:val="center"/>
          </w:tcPr>
          <w:p w14:paraId="4ED4F280" w14:textId="77777777" w:rsidR="00636586" w:rsidRPr="00445472" w:rsidRDefault="00636586" w:rsidP="00E837F8">
            <w:pPr>
              <w:pStyle w:val="TABELA"/>
              <w:jc w:val="right"/>
              <w:rPr>
                <w:lang w:val="sq-AL"/>
              </w:rPr>
            </w:pPr>
            <w:r w:rsidRPr="00445472">
              <w:rPr>
                <w:lang w:val="sq-AL"/>
              </w:rPr>
              <w:t>11,756</w:t>
            </w:r>
          </w:p>
        </w:tc>
        <w:tc>
          <w:tcPr>
            <w:tcW w:w="1843" w:type="dxa"/>
            <w:shd w:val="clear" w:color="auto" w:fill="D4D4D4"/>
            <w:noWrap/>
            <w:vAlign w:val="center"/>
          </w:tcPr>
          <w:p w14:paraId="5A67E79F" w14:textId="77777777" w:rsidR="00636586" w:rsidRPr="00445472" w:rsidRDefault="00636586" w:rsidP="00E837F8">
            <w:pPr>
              <w:pStyle w:val="TABELA"/>
              <w:jc w:val="right"/>
              <w:rPr>
                <w:lang w:val="sq-AL"/>
              </w:rPr>
            </w:pPr>
            <w:r w:rsidRPr="00445472">
              <w:rPr>
                <w:lang w:val="sq-AL"/>
              </w:rPr>
              <w:t>971</w:t>
            </w:r>
          </w:p>
        </w:tc>
        <w:tc>
          <w:tcPr>
            <w:tcW w:w="1700" w:type="dxa"/>
            <w:shd w:val="clear" w:color="auto" w:fill="D4D4D4"/>
            <w:noWrap/>
            <w:vAlign w:val="center"/>
          </w:tcPr>
          <w:p w14:paraId="5F2DB7C5" w14:textId="77777777" w:rsidR="00636586" w:rsidRPr="00445472" w:rsidRDefault="00636586" w:rsidP="00E837F8">
            <w:pPr>
              <w:pStyle w:val="TABELA"/>
              <w:jc w:val="right"/>
              <w:rPr>
                <w:lang w:val="sq-AL"/>
              </w:rPr>
            </w:pPr>
            <w:r w:rsidRPr="00445472">
              <w:rPr>
                <w:lang w:val="sq-AL"/>
              </w:rPr>
              <w:t>352</w:t>
            </w:r>
          </w:p>
        </w:tc>
      </w:tr>
      <w:tr w:rsidR="00636586" w:rsidRPr="00445472" w14:paraId="555F5C14" w14:textId="77777777" w:rsidTr="00C17B97">
        <w:trPr>
          <w:trHeight w:val="255"/>
        </w:trPr>
        <w:tc>
          <w:tcPr>
            <w:tcW w:w="1256" w:type="dxa"/>
            <w:tcBorders>
              <w:bottom w:val="single" w:sz="8" w:space="0" w:color="27B1B0"/>
            </w:tcBorders>
            <w:vAlign w:val="center"/>
          </w:tcPr>
          <w:p w14:paraId="499D224E" w14:textId="77777777" w:rsidR="00636586" w:rsidRPr="00445472" w:rsidRDefault="00636586" w:rsidP="00872A07">
            <w:pPr>
              <w:pStyle w:val="TABELA"/>
              <w:rPr>
                <w:lang w:val="sq-AL"/>
              </w:rPr>
            </w:pPr>
            <w:r w:rsidRPr="00445472">
              <w:rPr>
                <w:lang w:val="sq-AL"/>
              </w:rPr>
              <w:t>Bunë</w:t>
            </w:r>
          </w:p>
        </w:tc>
        <w:tc>
          <w:tcPr>
            <w:tcW w:w="1482" w:type="dxa"/>
            <w:tcBorders>
              <w:bottom w:val="single" w:sz="8" w:space="0" w:color="27B1B0"/>
            </w:tcBorders>
            <w:noWrap/>
            <w:vAlign w:val="center"/>
          </w:tcPr>
          <w:p w14:paraId="2C39DB09" w14:textId="77777777" w:rsidR="00636586" w:rsidRPr="00445472" w:rsidRDefault="00636586" w:rsidP="00872A07">
            <w:pPr>
              <w:pStyle w:val="TABELA"/>
              <w:rPr>
                <w:lang w:val="sq-AL"/>
              </w:rPr>
            </w:pPr>
            <w:r w:rsidRPr="00445472">
              <w:rPr>
                <w:lang w:val="sq-AL"/>
              </w:rPr>
              <w:t>Buna dega kryesore</w:t>
            </w:r>
          </w:p>
        </w:tc>
        <w:tc>
          <w:tcPr>
            <w:tcW w:w="923" w:type="dxa"/>
            <w:tcBorders>
              <w:bottom w:val="single" w:sz="8" w:space="0" w:color="27B1B0"/>
            </w:tcBorders>
            <w:noWrap/>
            <w:vAlign w:val="center"/>
          </w:tcPr>
          <w:p w14:paraId="4294B3CC" w14:textId="77777777" w:rsidR="00636586" w:rsidRPr="00445472" w:rsidRDefault="00636586" w:rsidP="00E837F8">
            <w:pPr>
              <w:pStyle w:val="TABELA"/>
              <w:jc w:val="right"/>
              <w:rPr>
                <w:lang w:val="sq-AL"/>
              </w:rPr>
            </w:pPr>
            <w:r w:rsidRPr="00445472">
              <w:rPr>
                <w:lang w:val="sq-AL"/>
              </w:rPr>
              <w:t>1.5</w:t>
            </w:r>
          </w:p>
        </w:tc>
        <w:tc>
          <w:tcPr>
            <w:tcW w:w="1706" w:type="dxa"/>
            <w:tcBorders>
              <w:bottom w:val="single" w:sz="8" w:space="0" w:color="27B1B0"/>
            </w:tcBorders>
            <w:noWrap/>
            <w:vAlign w:val="center"/>
          </w:tcPr>
          <w:p w14:paraId="5DC2768B" w14:textId="77777777" w:rsidR="00636586" w:rsidRPr="00445472" w:rsidRDefault="00636586" w:rsidP="00E837F8">
            <w:pPr>
              <w:pStyle w:val="TABELA"/>
              <w:jc w:val="right"/>
              <w:rPr>
                <w:lang w:val="sq-AL"/>
              </w:rPr>
            </w:pPr>
            <w:r w:rsidRPr="00445472">
              <w:rPr>
                <w:lang w:val="sq-AL"/>
              </w:rPr>
              <w:t>5,187</w:t>
            </w:r>
          </w:p>
        </w:tc>
        <w:tc>
          <w:tcPr>
            <w:tcW w:w="1843" w:type="dxa"/>
            <w:tcBorders>
              <w:bottom w:val="single" w:sz="8" w:space="0" w:color="27B1B0"/>
            </w:tcBorders>
            <w:noWrap/>
            <w:vAlign w:val="center"/>
          </w:tcPr>
          <w:p w14:paraId="084A9FBF" w14:textId="77777777" w:rsidR="00636586" w:rsidRPr="00445472" w:rsidRDefault="00636586" w:rsidP="00E837F8">
            <w:pPr>
              <w:pStyle w:val="TABELA"/>
              <w:jc w:val="right"/>
              <w:rPr>
                <w:lang w:val="sq-AL"/>
              </w:rPr>
            </w:pPr>
          </w:p>
        </w:tc>
        <w:tc>
          <w:tcPr>
            <w:tcW w:w="1700" w:type="dxa"/>
            <w:tcBorders>
              <w:bottom w:val="single" w:sz="8" w:space="0" w:color="27B1B0"/>
            </w:tcBorders>
            <w:noWrap/>
            <w:vAlign w:val="center"/>
          </w:tcPr>
          <w:p w14:paraId="31DF0F6B" w14:textId="77777777" w:rsidR="00636586" w:rsidRPr="00445472" w:rsidRDefault="00636586" w:rsidP="00E837F8">
            <w:pPr>
              <w:pStyle w:val="TABELA"/>
              <w:jc w:val="right"/>
              <w:rPr>
                <w:lang w:val="sq-AL"/>
              </w:rPr>
            </w:pPr>
            <w:r w:rsidRPr="00445472">
              <w:rPr>
                <w:lang w:val="sq-AL"/>
              </w:rPr>
              <w:t>320</w:t>
            </w:r>
          </w:p>
        </w:tc>
      </w:tr>
      <w:tr w:rsidR="00636586" w:rsidRPr="00445472" w14:paraId="3369C9F3" w14:textId="77777777" w:rsidTr="00C17B97">
        <w:trPr>
          <w:trHeight w:val="255"/>
        </w:trPr>
        <w:tc>
          <w:tcPr>
            <w:tcW w:w="1256" w:type="dxa"/>
            <w:shd w:val="clear" w:color="auto" w:fill="D4D4D4"/>
            <w:vAlign w:val="center"/>
          </w:tcPr>
          <w:p w14:paraId="465C4DCC" w14:textId="77777777" w:rsidR="00636586" w:rsidRPr="00445472" w:rsidRDefault="00636586" w:rsidP="00872A07">
            <w:pPr>
              <w:pStyle w:val="TABELA"/>
              <w:rPr>
                <w:lang w:val="sq-AL"/>
              </w:rPr>
            </w:pPr>
            <w:r w:rsidRPr="00445472">
              <w:rPr>
                <w:lang w:val="sq-AL"/>
              </w:rPr>
              <w:t>Drin + Bunë</w:t>
            </w:r>
          </w:p>
        </w:tc>
        <w:tc>
          <w:tcPr>
            <w:tcW w:w="1482" w:type="dxa"/>
            <w:shd w:val="clear" w:color="auto" w:fill="D4D4D4"/>
            <w:noWrap/>
            <w:vAlign w:val="center"/>
          </w:tcPr>
          <w:p w14:paraId="5E215F7A" w14:textId="77777777" w:rsidR="00636586" w:rsidRPr="00445472" w:rsidRDefault="00636586" w:rsidP="00872A07">
            <w:pPr>
              <w:pStyle w:val="TABELA"/>
              <w:rPr>
                <w:lang w:val="sq-AL"/>
              </w:rPr>
            </w:pPr>
            <w:r w:rsidRPr="00445472">
              <w:rPr>
                <w:lang w:val="sq-AL"/>
              </w:rPr>
              <w:t>Bashkimi</w:t>
            </w:r>
          </w:p>
        </w:tc>
        <w:tc>
          <w:tcPr>
            <w:tcW w:w="923" w:type="dxa"/>
            <w:shd w:val="clear" w:color="auto" w:fill="D4D4D4"/>
            <w:noWrap/>
            <w:vAlign w:val="center"/>
          </w:tcPr>
          <w:p w14:paraId="4158B964" w14:textId="77777777" w:rsidR="00636586" w:rsidRPr="00445472" w:rsidRDefault="00636586" w:rsidP="00E837F8">
            <w:pPr>
              <w:pStyle w:val="TABELA"/>
              <w:jc w:val="right"/>
              <w:rPr>
                <w:lang w:val="sq-AL"/>
              </w:rPr>
            </w:pPr>
            <w:r w:rsidRPr="00445472">
              <w:rPr>
                <w:lang w:val="sq-AL"/>
              </w:rPr>
              <w:t>32.5</w:t>
            </w:r>
          </w:p>
        </w:tc>
        <w:tc>
          <w:tcPr>
            <w:tcW w:w="1706" w:type="dxa"/>
            <w:shd w:val="clear" w:color="auto" w:fill="D4D4D4"/>
            <w:noWrap/>
            <w:vAlign w:val="center"/>
          </w:tcPr>
          <w:p w14:paraId="03CD04A7" w14:textId="77777777" w:rsidR="00636586" w:rsidRPr="00445472" w:rsidRDefault="00636586" w:rsidP="00E837F8">
            <w:pPr>
              <w:pStyle w:val="TABELA"/>
              <w:jc w:val="right"/>
              <w:rPr>
                <w:lang w:val="sq-AL"/>
              </w:rPr>
            </w:pPr>
            <w:r w:rsidRPr="00445472">
              <w:rPr>
                <w:lang w:val="sq-AL"/>
              </w:rPr>
              <w:t>19,582</w:t>
            </w:r>
          </w:p>
        </w:tc>
        <w:tc>
          <w:tcPr>
            <w:tcW w:w="1843" w:type="dxa"/>
            <w:shd w:val="clear" w:color="auto" w:fill="D4D4D4"/>
            <w:noWrap/>
            <w:vAlign w:val="center"/>
          </w:tcPr>
          <w:p w14:paraId="6B382D8B" w14:textId="77777777" w:rsidR="00636586" w:rsidRPr="00445472" w:rsidRDefault="00636586" w:rsidP="00E837F8">
            <w:pPr>
              <w:pStyle w:val="TABELA"/>
              <w:jc w:val="right"/>
              <w:rPr>
                <w:lang w:val="sq-AL"/>
              </w:rPr>
            </w:pPr>
            <w:r w:rsidRPr="00445472">
              <w:rPr>
                <w:lang w:val="sq-AL"/>
              </w:rPr>
              <w:t>770</w:t>
            </w:r>
          </w:p>
        </w:tc>
        <w:tc>
          <w:tcPr>
            <w:tcW w:w="1700" w:type="dxa"/>
            <w:shd w:val="clear" w:color="auto" w:fill="D4D4D4"/>
            <w:noWrap/>
            <w:vAlign w:val="center"/>
          </w:tcPr>
          <w:p w14:paraId="65381425" w14:textId="77777777" w:rsidR="00636586" w:rsidRPr="00445472" w:rsidRDefault="00636586" w:rsidP="00E837F8">
            <w:pPr>
              <w:pStyle w:val="TABELA"/>
              <w:jc w:val="right"/>
              <w:rPr>
                <w:lang w:val="sq-AL"/>
              </w:rPr>
            </w:pPr>
            <w:r w:rsidRPr="00445472">
              <w:rPr>
                <w:lang w:val="sq-AL"/>
              </w:rPr>
              <w:t>680</w:t>
            </w:r>
          </w:p>
        </w:tc>
      </w:tr>
    </w:tbl>
    <w:p w14:paraId="7C754870" w14:textId="77777777" w:rsidR="00636586" w:rsidRPr="00445472" w:rsidRDefault="00636586" w:rsidP="00636586">
      <w:pPr>
        <w:pStyle w:val="TEKSTIIII"/>
      </w:pPr>
    </w:p>
    <w:p w14:paraId="3A68F6BC" w14:textId="64B02A7A" w:rsidR="00636586" w:rsidRPr="00445472" w:rsidRDefault="00636586" w:rsidP="00636586">
      <w:pPr>
        <w:pStyle w:val="TEKSTIIII"/>
      </w:pPr>
      <w:r w:rsidRPr="00445472">
        <w:t>Në lumin Drin gjenden tr</w:t>
      </w:r>
      <w:r w:rsidR="00905530">
        <w:t>i</w:t>
      </w:r>
      <w:r w:rsidRPr="00445472">
        <w:t xml:space="preserve"> hidrocentrale të mëdhenj operativë me një kapacitet total të instaluar prej 1,350 </w:t>
      </w:r>
      <w:r w:rsidR="00A22C31" w:rsidRPr="00445472">
        <w:t>mw</w:t>
      </w:r>
      <w:r w:rsidRPr="00445472">
        <w:t xml:space="preserve">, HEC </w:t>
      </w:r>
      <w:r w:rsidR="00D62EDF" w:rsidRPr="00445472">
        <w:t>“</w:t>
      </w:r>
      <w:r w:rsidRPr="00445472">
        <w:t>Vau i Dejës</w:t>
      </w:r>
      <w:r w:rsidR="00D62EDF" w:rsidRPr="00445472">
        <w:t>”</w:t>
      </w:r>
      <w:r w:rsidRPr="00445472">
        <w:t xml:space="preserve">, (HEC) </w:t>
      </w:r>
      <w:r w:rsidR="00D62EDF" w:rsidRPr="00445472">
        <w:t>“</w:t>
      </w:r>
      <w:r w:rsidRPr="00445472">
        <w:t>Fierza</w:t>
      </w:r>
      <w:r w:rsidR="00D62EDF" w:rsidRPr="00445472">
        <w:t>”</w:t>
      </w:r>
      <w:r w:rsidRPr="00445472">
        <w:t xml:space="preserve"> dhe HEC </w:t>
      </w:r>
      <w:r w:rsidR="00D62EDF" w:rsidRPr="00445472">
        <w:t>“</w:t>
      </w:r>
      <w:r w:rsidRPr="00445472">
        <w:t>Koman</w:t>
      </w:r>
      <w:r w:rsidR="00D62EDF" w:rsidRPr="00445472">
        <w:t>”</w:t>
      </w:r>
      <w:r w:rsidRPr="00445472">
        <w:t>.</w:t>
      </w:r>
      <w:r w:rsidR="008F0A9F" w:rsidRPr="00445472">
        <w:t>, si dhe</w:t>
      </w:r>
      <w:r w:rsidRPr="00445472">
        <w:t xml:space="preserve"> një kontratë koncesioni për hidrocentralin </w:t>
      </w:r>
      <w:r w:rsidR="00D62EDF" w:rsidRPr="00445472">
        <w:t>“</w:t>
      </w:r>
      <w:r w:rsidRPr="00445472">
        <w:t>Ashta</w:t>
      </w:r>
      <w:r w:rsidR="00D62EDF" w:rsidRPr="00445472">
        <w:t>”</w:t>
      </w:r>
      <w:r w:rsidRPr="00445472">
        <w:t xml:space="preserve"> në lumin Drin, me një kapacitet të instaluar prej 48.2 </w:t>
      </w:r>
      <w:r w:rsidR="00A22C31" w:rsidRPr="00445472">
        <w:t>mw</w:t>
      </w:r>
      <w:r w:rsidRPr="00445472">
        <w:t xml:space="preserve">. Sipas informacionit të siguruar nga AKBN-ja, në tremujorin e parë të 2018, kishte 29 HEC-e në funksionim. Baseni Ujor </w:t>
      </w:r>
      <w:r w:rsidR="007E76E3" w:rsidRPr="00445472">
        <w:t>Drin–Bunë</w:t>
      </w:r>
      <w:r w:rsidRPr="00445472">
        <w:t xml:space="preserve"> karakterizohet nga tr</w:t>
      </w:r>
      <w:r w:rsidR="00905530">
        <w:t>i</w:t>
      </w:r>
      <w:r w:rsidRPr="00445472">
        <w:t xml:space="preserve"> lloje kryesor</w:t>
      </w:r>
      <w:r w:rsidR="00905530">
        <w:t>e</w:t>
      </w:r>
      <w:r w:rsidRPr="00445472">
        <w:t xml:space="preserve"> akuiferësh: i</w:t>
      </w:r>
      <w:r w:rsidR="00E837F8" w:rsidRPr="00445472">
        <w:t>.</w:t>
      </w:r>
      <w:r w:rsidRPr="00445472">
        <w:t xml:space="preserve"> Kuaternar (Shkodër, Zadrimë-Nënshkodër dhe akuiferët e Peshkopisë) me cilësi </w:t>
      </w:r>
      <w:r w:rsidR="00D62EDF" w:rsidRPr="00445472">
        <w:t>“</w:t>
      </w:r>
      <w:r w:rsidRPr="00445472">
        <w:t>të mirë</w:t>
      </w:r>
      <w:r w:rsidR="00D62EDF" w:rsidRPr="00445472">
        <w:t>”</w:t>
      </w:r>
      <w:r w:rsidRPr="00445472">
        <w:t xml:space="preserve"> të ujit; ii</w:t>
      </w:r>
      <w:r w:rsidR="00E837F8" w:rsidRPr="00445472">
        <w:t>.</w:t>
      </w:r>
      <w:r w:rsidRPr="00445472">
        <w:t xml:space="preserve"> karbonatik, në anën veriperëndimore dhe në pjesën jugore të basenit qendror, dhe iii) magmatik, shfrytëzuar në masivin Korrabi. Të dy</w:t>
      </w:r>
      <w:r w:rsidR="00E837F8" w:rsidRPr="00445472">
        <w:t>ja</w:t>
      </w:r>
      <w:r w:rsidRPr="00445472">
        <w:t xml:space="preserve"> akuiferet karbonatik dhe magmatik klasifikohen me cilësi </w:t>
      </w:r>
      <w:r w:rsidR="00D62EDF" w:rsidRPr="00445472">
        <w:t>“</w:t>
      </w:r>
      <w:r w:rsidRPr="00445472">
        <w:t>shumë të mirë</w:t>
      </w:r>
      <w:r w:rsidR="00D62EDF" w:rsidRPr="00445472">
        <w:t>”</w:t>
      </w:r>
      <w:r w:rsidRPr="00445472">
        <w:t xml:space="preserve"> të ujit.</w:t>
      </w:r>
    </w:p>
    <w:p w14:paraId="67CE627C" w14:textId="2DCC8625" w:rsidR="00636586" w:rsidRPr="00445472" w:rsidRDefault="00636586" w:rsidP="00636586">
      <w:pPr>
        <w:pStyle w:val="TEKSTIIII"/>
      </w:pPr>
      <w:r w:rsidRPr="00445472">
        <w:t xml:space="preserve">Në Basenin Ujor </w:t>
      </w:r>
      <w:r w:rsidR="007E76E3" w:rsidRPr="00445472">
        <w:t>Drin–Bunë</w:t>
      </w:r>
      <w:r w:rsidRPr="00445472">
        <w:t xml:space="preserve"> ekzistojnë 110 rezervuarë të ujitjes. Sidoqoftë, për shkak të erozionit në basen dhe sedimentimit, vëllimi aktual i ujit në dispozicion për ujitje është vetëm rreth 50% e kapacitetit të projektimit të rezervuarëve me një mesatare totale prej rreth 0.03 km</w:t>
      </w:r>
      <w:r w:rsidRPr="00445472">
        <w:rPr>
          <w:vertAlign w:val="superscript"/>
        </w:rPr>
        <w:t>3</w:t>
      </w:r>
      <w:r w:rsidRPr="00445472">
        <w:t xml:space="preserve"> të ujit të përdorur për ujitje.</w:t>
      </w:r>
    </w:p>
    <w:p w14:paraId="73A5273B" w14:textId="4D60D343" w:rsidR="00636586" w:rsidRPr="00445472" w:rsidRDefault="00636586" w:rsidP="00636586">
      <w:pPr>
        <w:pStyle w:val="TEKSTIIII"/>
      </w:pPr>
      <w:r w:rsidRPr="00445472">
        <w:t xml:space="preserve">Një Hartë Hidrografike e Basenit Ujor </w:t>
      </w:r>
      <w:r w:rsidR="007E76E3" w:rsidRPr="00445472">
        <w:t>Drin–Bunë</w:t>
      </w:r>
      <w:r w:rsidRPr="00445472">
        <w:t xml:space="preserve"> është dhënë në </w:t>
      </w:r>
      <w:r w:rsidR="00905530" w:rsidRPr="00445472">
        <w:t xml:space="preserve">figurën </w:t>
      </w:r>
      <w:r w:rsidRPr="00445472">
        <w:t xml:space="preserve">3.1. Një pasqyrë e burimeve ujore dhe përdorimit të ujit në Basenin Ujor </w:t>
      </w:r>
      <w:r w:rsidR="007E76E3" w:rsidRPr="00445472">
        <w:t>Drin–Bunë</w:t>
      </w:r>
      <w:r w:rsidRPr="00445472">
        <w:t xml:space="preserve"> është paraqitur në </w:t>
      </w:r>
      <w:r w:rsidR="00905530" w:rsidRPr="00445472">
        <w:t xml:space="preserve">tabelën </w:t>
      </w:r>
      <w:r w:rsidRPr="00445472">
        <w:t>3.2.</w:t>
      </w:r>
    </w:p>
    <w:p w14:paraId="64C693D3" w14:textId="77777777" w:rsidR="00636586" w:rsidRPr="00445472" w:rsidRDefault="00636586" w:rsidP="00EB3D96">
      <w:pPr>
        <w:pStyle w:val="NENTITULL"/>
      </w:pPr>
    </w:p>
    <w:p w14:paraId="6A993822" w14:textId="77777777" w:rsidR="00881F78" w:rsidRPr="00445472" w:rsidRDefault="00881F78" w:rsidP="00EB3D96">
      <w:pPr>
        <w:pStyle w:val="NENTITULL"/>
      </w:pPr>
    </w:p>
    <w:p w14:paraId="130B6A30" w14:textId="77777777" w:rsidR="00881F78" w:rsidRPr="00445472" w:rsidRDefault="00881F78" w:rsidP="00EB3D96">
      <w:pPr>
        <w:pStyle w:val="NENTITULL"/>
      </w:pPr>
    </w:p>
    <w:p w14:paraId="37F57440" w14:textId="77777777" w:rsidR="00881F78" w:rsidRPr="00445472" w:rsidRDefault="00881F78" w:rsidP="00EB3D96">
      <w:pPr>
        <w:pStyle w:val="NENTITULL"/>
      </w:pPr>
    </w:p>
    <w:p w14:paraId="5E7999A8" w14:textId="77777777" w:rsidR="00881F78" w:rsidRPr="00445472" w:rsidRDefault="00881F78" w:rsidP="00EB3D96">
      <w:pPr>
        <w:pStyle w:val="NENTITULL"/>
      </w:pPr>
    </w:p>
    <w:p w14:paraId="7A08BD23" w14:textId="77777777" w:rsidR="00881F78" w:rsidRPr="00445472" w:rsidRDefault="00881F78" w:rsidP="00EB3D96">
      <w:pPr>
        <w:pStyle w:val="NENTITULL"/>
      </w:pPr>
    </w:p>
    <w:p w14:paraId="3C4CD243" w14:textId="77777777" w:rsidR="00881F78" w:rsidRPr="00445472" w:rsidRDefault="00881F78" w:rsidP="00EB3D96">
      <w:pPr>
        <w:pStyle w:val="NENTITULL"/>
      </w:pPr>
    </w:p>
    <w:p w14:paraId="6A2B3991" w14:textId="77777777" w:rsidR="00881F78" w:rsidRPr="00445472" w:rsidRDefault="00881F78" w:rsidP="00EB3D96">
      <w:pPr>
        <w:pStyle w:val="NENTITULL"/>
      </w:pPr>
    </w:p>
    <w:p w14:paraId="174C58BA" w14:textId="77777777" w:rsidR="00881F78" w:rsidRPr="00445472" w:rsidRDefault="00881F78" w:rsidP="00EB3D96">
      <w:pPr>
        <w:pStyle w:val="NENTITULL"/>
      </w:pPr>
    </w:p>
    <w:p w14:paraId="66F4A45F" w14:textId="77777777" w:rsidR="00881F78" w:rsidRPr="00445472" w:rsidRDefault="00881F78" w:rsidP="00EB3D96">
      <w:pPr>
        <w:pStyle w:val="NENTITULL"/>
      </w:pPr>
    </w:p>
    <w:p w14:paraId="5252B151" w14:textId="77777777" w:rsidR="00881F78" w:rsidRPr="00445472" w:rsidRDefault="00881F78" w:rsidP="00EB3D96">
      <w:pPr>
        <w:pStyle w:val="NENTITULL"/>
      </w:pPr>
    </w:p>
    <w:p w14:paraId="49696457" w14:textId="77777777" w:rsidR="00881F78" w:rsidRPr="00445472" w:rsidRDefault="00881F78" w:rsidP="00EB3D96">
      <w:pPr>
        <w:pStyle w:val="NENTITULL"/>
      </w:pPr>
    </w:p>
    <w:p w14:paraId="6B3B375E" w14:textId="0AE6D734" w:rsidR="00881F78" w:rsidRPr="00445472" w:rsidRDefault="00881F78" w:rsidP="00EB3D96">
      <w:pPr>
        <w:pStyle w:val="NENTITULL"/>
      </w:pPr>
      <w:r w:rsidRPr="00445472">
        <w:rPr>
          <w:noProof/>
          <w:lang w:val="en-US"/>
        </w:rPr>
        <w:drawing>
          <wp:inline distT="0" distB="0" distL="0" distR="0" wp14:anchorId="736E2997" wp14:editId="1CE213C4">
            <wp:extent cx="5192202" cy="7353697"/>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93147" cy="7355035"/>
                    </a:xfrm>
                    <a:prstGeom prst="rect">
                      <a:avLst/>
                    </a:prstGeom>
                    <a:noFill/>
                  </pic:spPr>
                </pic:pic>
              </a:graphicData>
            </a:graphic>
          </wp:inline>
        </w:drawing>
      </w:r>
    </w:p>
    <w:p w14:paraId="498AE581" w14:textId="67FAFA21" w:rsidR="00EA2081" w:rsidRPr="00445472" w:rsidRDefault="003241BB" w:rsidP="00087E5C">
      <w:pPr>
        <w:pStyle w:val="NENTITULL"/>
        <w:jc w:val="center"/>
      </w:pPr>
      <w:r>
        <w:t>Figura 3.1:</w:t>
      </w:r>
      <w:r w:rsidR="00087E5C">
        <w:t xml:space="preserve"> </w:t>
      </w:r>
      <w:r>
        <w:t xml:space="preserve">Harta hidrografike e Basenit Ujor </w:t>
      </w:r>
      <w:r w:rsidRPr="00445472">
        <w:t>Drin–Bunë</w:t>
      </w:r>
    </w:p>
    <w:p w14:paraId="225AA16D" w14:textId="77777777" w:rsidR="00087E5C" w:rsidRDefault="00087E5C" w:rsidP="00580D3D">
      <w:pPr>
        <w:pStyle w:val="NENTITULL"/>
      </w:pPr>
    </w:p>
    <w:p w14:paraId="09EF997C" w14:textId="77777777" w:rsidR="00087E5C" w:rsidRDefault="00087E5C" w:rsidP="00580D3D">
      <w:pPr>
        <w:pStyle w:val="NENTITULL"/>
      </w:pPr>
    </w:p>
    <w:p w14:paraId="47DFD714" w14:textId="77777777" w:rsidR="00087E5C" w:rsidRDefault="00087E5C" w:rsidP="00580D3D">
      <w:pPr>
        <w:pStyle w:val="NENTITULL"/>
      </w:pPr>
    </w:p>
    <w:p w14:paraId="0AF0FE80" w14:textId="2C60F595" w:rsidR="00EA2081" w:rsidRPr="00445472" w:rsidRDefault="00EA2081" w:rsidP="00580D3D">
      <w:pPr>
        <w:pStyle w:val="NENTITULL"/>
      </w:pPr>
      <w:r w:rsidRPr="00445472">
        <w:t xml:space="preserve">Tabela 3.2: Përmbledhje e burimeve ujore dhe përdorimit të ujit në Basenin Ujor </w:t>
      </w:r>
      <w:r w:rsidR="007E76E3" w:rsidRPr="00445472">
        <w:t>Drin–Bunë</w:t>
      </w:r>
      <w:r w:rsidRPr="00445472">
        <w:rPr>
          <w:rStyle w:val="FootnoteReference"/>
          <w:rFonts w:ascii="Garamond" w:hAnsi="Garamond"/>
          <w:color w:val="auto"/>
        </w:rPr>
        <w:footnoteReference w:id="9"/>
      </w:r>
    </w:p>
    <w:tbl>
      <w:tblPr>
        <w:tblW w:w="0" w:type="auto"/>
        <w:jc w:val="center"/>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5370"/>
        <w:gridCol w:w="2434"/>
      </w:tblGrid>
      <w:tr w:rsidR="00EA2081" w:rsidRPr="00445472" w14:paraId="359FB6DB" w14:textId="77777777" w:rsidTr="00C17B97">
        <w:trPr>
          <w:trHeight w:val="300"/>
          <w:jc w:val="center"/>
        </w:trPr>
        <w:tc>
          <w:tcPr>
            <w:tcW w:w="7804" w:type="dxa"/>
            <w:gridSpan w:val="2"/>
            <w:vAlign w:val="center"/>
          </w:tcPr>
          <w:p w14:paraId="5A602607" w14:textId="77777777" w:rsidR="00EA2081" w:rsidRPr="00445472" w:rsidRDefault="00EA2081" w:rsidP="00580D3D">
            <w:pPr>
              <w:pStyle w:val="TABELA"/>
              <w:rPr>
                <w:b/>
                <w:lang w:val="sq-AL"/>
              </w:rPr>
            </w:pPr>
            <w:r w:rsidRPr="00445472">
              <w:rPr>
                <w:b/>
                <w:lang w:val="sq-AL"/>
              </w:rPr>
              <w:t>Sipërfaqja</w:t>
            </w:r>
          </w:p>
        </w:tc>
      </w:tr>
      <w:tr w:rsidR="00EA2081" w:rsidRPr="00445472" w14:paraId="2E8B446C" w14:textId="77777777" w:rsidTr="00C17B97">
        <w:trPr>
          <w:trHeight w:val="1120"/>
          <w:jc w:val="center"/>
        </w:trPr>
        <w:tc>
          <w:tcPr>
            <w:tcW w:w="5370" w:type="dxa"/>
            <w:shd w:val="clear" w:color="auto" w:fill="DFDFDF"/>
            <w:vAlign w:val="center"/>
          </w:tcPr>
          <w:p w14:paraId="4B36C101" w14:textId="77777777" w:rsidR="00EA2081" w:rsidRPr="00445472" w:rsidRDefault="00EA2081" w:rsidP="00580D3D">
            <w:pPr>
              <w:pStyle w:val="TABELA"/>
              <w:rPr>
                <w:lang w:val="sq-AL"/>
              </w:rPr>
            </w:pPr>
            <w:r w:rsidRPr="00445472">
              <w:rPr>
                <w:lang w:val="sq-AL"/>
              </w:rPr>
              <w:t>Sipërfaqja totale e basenit të Drinit në Shqipëri</w:t>
            </w:r>
          </w:p>
          <w:p w14:paraId="0E972E37" w14:textId="77777777" w:rsidR="00EA2081" w:rsidRPr="00445472" w:rsidRDefault="00EA2081" w:rsidP="00580D3D">
            <w:pPr>
              <w:pStyle w:val="TABELA"/>
              <w:rPr>
                <w:lang w:val="sq-AL"/>
              </w:rPr>
            </w:pPr>
            <w:r w:rsidRPr="00445472">
              <w:rPr>
                <w:lang w:val="sq-AL"/>
              </w:rPr>
              <w:t>Sipërfaqja totale e basenit të Bunës në Shqipëri</w:t>
            </w:r>
          </w:p>
          <w:p w14:paraId="58D4A834" w14:textId="66EAFA4D" w:rsidR="00EA2081" w:rsidRPr="00445472" w:rsidRDefault="00EA2081" w:rsidP="00580D3D">
            <w:pPr>
              <w:pStyle w:val="TABELA"/>
              <w:rPr>
                <w:lang w:val="sq-AL"/>
              </w:rPr>
            </w:pPr>
            <w:r w:rsidRPr="00445472">
              <w:rPr>
                <w:lang w:val="sq-AL"/>
              </w:rPr>
              <w:t xml:space="preserve">Sipërfaqja totale e Basenit Ujor </w:t>
            </w:r>
            <w:r w:rsidR="007E76E3" w:rsidRPr="00445472">
              <w:rPr>
                <w:lang w:val="sq-AL"/>
              </w:rPr>
              <w:t>Drin–Bunë</w:t>
            </w:r>
            <w:r w:rsidRPr="00445472">
              <w:rPr>
                <w:lang w:val="sq-AL"/>
              </w:rPr>
              <w:t xml:space="preserve"> në Shqipëri</w:t>
            </w:r>
          </w:p>
          <w:p w14:paraId="7145C3E1" w14:textId="613D390F" w:rsidR="00EA2081" w:rsidRPr="00445472" w:rsidRDefault="00EA2081" w:rsidP="00580D3D">
            <w:pPr>
              <w:pStyle w:val="TABELA"/>
              <w:rPr>
                <w:lang w:val="sq-AL"/>
              </w:rPr>
            </w:pPr>
            <w:r w:rsidRPr="00445472">
              <w:rPr>
                <w:lang w:val="sq-AL"/>
              </w:rPr>
              <w:t xml:space="preserve">Sipërfaqja totale e Basenit Ujor ndërkufitar </w:t>
            </w:r>
            <w:r w:rsidR="007E76E3" w:rsidRPr="00445472">
              <w:rPr>
                <w:lang w:val="sq-AL"/>
              </w:rPr>
              <w:t>Drin–Bunë</w:t>
            </w:r>
          </w:p>
        </w:tc>
        <w:tc>
          <w:tcPr>
            <w:tcW w:w="2434" w:type="dxa"/>
            <w:shd w:val="clear" w:color="auto" w:fill="DFDFDF"/>
            <w:vAlign w:val="center"/>
          </w:tcPr>
          <w:p w14:paraId="1C788BA5" w14:textId="77777777" w:rsidR="00EA2081" w:rsidRPr="00445472" w:rsidRDefault="00EA2081" w:rsidP="00A22C31">
            <w:pPr>
              <w:pStyle w:val="TABELA"/>
              <w:jc w:val="right"/>
              <w:rPr>
                <w:lang w:val="sq-AL"/>
              </w:rPr>
            </w:pPr>
            <w:r w:rsidRPr="00445472">
              <w:rPr>
                <w:lang w:val="sq-AL"/>
              </w:rPr>
              <w:t>5,973 km</w:t>
            </w:r>
            <w:r w:rsidRPr="00445472">
              <w:rPr>
                <w:position w:val="6"/>
                <w:vertAlign w:val="superscript"/>
                <w:lang w:val="sq-AL"/>
              </w:rPr>
              <w:t>2</w:t>
            </w:r>
          </w:p>
          <w:p w14:paraId="57920AFD" w14:textId="77777777" w:rsidR="00EA2081" w:rsidRPr="00445472" w:rsidRDefault="00EA2081" w:rsidP="00A22C31">
            <w:pPr>
              <w:pStyle w:val="TABELA"/>
              <w:jc w:val="right"/>
              <w:rPr>
                <w:lang w:val="sq-AL"/>
              </w:rPr>
            </w:pPr>
            <w:r w:rsidRPr="00445472">
              <w:rPr>
                <w:lang w:val="sq-AL"/>
              </w:rPr>
              <w:t>1,025 km</w:t>
            </w:r>
            <w:r w:rsidRPr="00445472">
              <w:rPr>
                <w:position w:val="6"/>
                <w:vertAlign w:val="superscript"/>
                <w:lang w:val="sq-AL"/>
              </w:rPr>
              <w:t>2</w:t>
            </w:r>
          </w:p>
          <w:p w14:paraId="18BC61C8" w14:textId="77777777" w:rsidR="00EA2081" w:rsidRPr="00445472" w:rsidRDefault="00EA2081" w:rsidP="00A22C31">
            <w:pPr>
              <w:pStyle w:val="TABELA"/>
              <w:jc w:val="right"/>
              <w:rPr>
                <w:lang w:val="sq-AL"/>
              </w:rPr>
            </w:pPr>
            <w:r w:rsidRPr="00445472">
              <w:rPr>
                <w:lang w:val="sq-AL"/>
              </w:rPr>
              <w:t>6,998 km</w:t>
            </w:r>
            <w:r w:rsidRPr="00445472">
              <w:rPr>
                <w:position w:val="6"/>
                <w:vertAlign w:val="superscript"/>
                <w:lang w:val="sq-AL"/>
              </w:rPr>
              <w:t>2</w:t>
            </w:r>
          </w:p>
          <w:p w14:paraId="0DFFEF48" w14:textId="77777777" w:rsidR="00EA2081" w:rsidRPr="00445472" w:rsidRDefault="00EA2081" w:rsidP="00A22C31">
            <w:pPr>
              <w:pStyle w:val="TABELA"/>
              <w:jc w:val="right"/>
              <w:rPr>
                <w:lang w:val="sq-AL"/>
              </w:rPr>
            </w:pPr>
            <w:r w:rsidRPr="00445472">
              <w:rPr>
                <w:lang w:val="sq-AL"/>
              </w:rPr>
              <w:t>19,582 km</w:t>
            </w:r>
            <w:r w:rsidRPr="00445472">
              <w:rPr>
                <w:position w:val="6"/>
                <w:vertAlign w:val="superscript"/>
                <w:lang w:val="sq-AL"/>
              </w:rPr>
              <w:t>2</w:t>
            </w:r>
          </w:p>
        </w:tc>
      </w:tr>
      <w:tr w:rsidR="00EA2081" w:rsidRPr="00445472" w14:paraId="57C709E4" w14:textId="77777777" w:rsidTr="00C17B97">
        <w:trPr>
          <w:trHeight w:val="300"/>
          <w:jc w:val="center"/>
        </w:trPr>
        <w:tc>
          <w:tcPr>
            <w:tcW w:w="7804" w:type="dxa"/>
            <w:gridSpan w:val="2"/>
            <w:vAlign w:val="center"/>
          </w:tcPr>
          <w:p w14:paraId="2FCC9D9B" w14:textId="77777777" w:rsidR="00EA2081" w:rsidRPr="00445472" w:rsidRDefault="00EA2081" w:rsidP="00A22C31">
            <w:pPr>
              <w:pStyle w:val="TABELA"/>
              <w:rPr>
                <w:lang w:val="sq-AL"/>
              </w:rPr>
            </w:pPr>
            <w:r w:rsidRPr="00445472">
              <w:rPr>
                <w:lang w:val="sq-AL"/>
              </w:rPr>
              <w:t>Burimet e Ujit</w:t>
            </w:r>
          </w:p>
        </w:tc>
      </w:tr>
      <w:tr w:rsidR="00EA2081" w:rsidRPr="00445472" w14:paraId="1A8BF93C" w14:textId="77777777" w:rsidTr="00C17B97">
        <w:trPr>
          <w:trHeight w:val="300"/>
          <w:jc w:val="center"/>
        </w:trPr>
        <w:tc>
          <w:tcPr>
            <w:tcW w:w="5370" w:type="dxa"/>
            <w:shd w:val="clear" w:color="auto" w:fill="DFDFDF"/>
            <w:vAlign w:val="center"/>
          </w:tcPr>
          <w:p w14:paraId="09D34DB8" w14:textId="77777777" w:rsidR="00EA2081" w:rsidRPr="00445472" w:rsidRDefault="00EA2081" w:rsidP="00580D3D">
            <w:pPr>
              <w:pStyle w:val="TABELA"/>
              <w:rPr>
                <w:lang w:val="sq-AL"/>
              </w:rPr>
            </w:pPr>
            <w:r w:rsidRPr="00445472">
              <w:rPr>
                <w:lang w:val="sq-AL"/>
              </w:rPr>
              <w:t>Numri i lumenjve kryesorë</w:t>
            </w:r>
          </w:p>
        </w:tc>
        <w:tc>
          <w:tcPr>
            <w:tcW w:w="2434" w:type="dxa"/>
            <w:shd w:val="clear" w:color="auto" w:fill="DFDFDF"/>
            <w:vAlign w:val="center"/>
          </w:tcPr>
          <w:p w14:paraId="0A592FD0" w14:textId="77777777" w:rsidR="00EA2081" w:rsidRPr="00445472" w:rsidRDefault="00EA2081" w:rsidP="00A22C31">
            <w:pPr>
              <w:pStyle w:val="TABELA"/>
              <w:jc w:val="right"/>
              <w:rPr>
                <w:lang w:val="sq-AL"/>
              </w:rPr>
            </w:pPr>
            <w:r w:rsidRPr="00445472">
              <w:rPr>
                <w:w w:val="99"/>
                <w:lang w:val="sq-AL"/>
              </w:rPr>
              <w:t>2</w:t>
            </w:r>
          </w:p>
        </w:tc>
      </w:tr>
      <w:tr w:rsidR="00EA2081" w:rsidRPr="00445472" w14:paraId="62DCD942" w14:textId="77777777" w:rsidTr="00C17B97">
        <w:trPr>
          <w:trHeight w:val="300"/>
          <w:jc w:val="center"/>
        </w:trPr>
        <w:tc>
          <w:tcPr>
            <w:tcW w:w="5370" w:type="dxa"/>
            <w:vAlign w:val="center"/>
          </w:tcPr>
          <w:p w14:paraId="06E52EE5" w14:textId="77777777" w:rsidR="00EA2081" w:rsidRPr="00445472" w:rsidRDefault="00EA2081" w:rsidP="00580D3D">
            <w:pPr>
              <w:pStyle w:val="TABELA"/>
              <w:rPr>
                <w:lang w:val="sq-AL"/>
              </w:rPr>
            </w:pPr>
            <w:r w:rsidRPr="00445472">
              <w:rPr>
                <w:lang w:val="sq-AL"/>
              </w:rPr>
              <w:t>Numri i degëve</w:t>
            </w:r>
          </w:p>
        </w:tc>
        <w:tc>
          <w:tcPr>
            <w:tcW w:w="2434" w:type="dxa"/>
            <w:vAlign w:val="center"/>
          </w:tcPr>
          <w:p w14:paraId="2144AE3B" w14:textId="77777777" w:rsidR="00EA2081" w:rsidRPr="00445472" w:rsidRDefault="00EA2081" w:rsidP="00A22C31">
            <w:pPr>
              <w:pStyle w:val="TABELA"/>
              <w:jc w:val="right"/>
              <w:rPr>
                <w:lang w:val="sq-AL"/>
              </w:rPr>
            </w:pPr>
            <w:r w:rsidRPr="00445472">
              <w:rPr>
                <w:w w:val="99"/>
                <w:lang w:val="sq-AL"/>
              </w:rPr>
              <w:t>5</w:t>
            </w:r>
          </w:p>
        </w:tc>
      </w:tr>
      <w:tr w:rsidR="00EA2081" w:rsidRPr="00445472" w14:paraId="571FDA0D" w14:textId="77777777" w:rsidTr="00C17B97">
        <w:trPr>
          <w:trHeight w:val="300"/>
          <w:jc w:val="center"/>
        </w:trPr>
        <w:tc>
          <w:tcPr>
            <w:tcW w:w="5370" w:type="dxa"/>
            <w:shd w:val="clear" w:color="auto" w:fill="DFDFDF"/>
            <w:vAlign w:val="center"/>
          </w:tcPr>
          <w:p w14:paraId="4D87B249" w14:textId="77777777" w:rsidR="00EA2081" w:rsidRPr="00445472" w:rsidRDefault="00EA2081" w:rsidP="00580D3D">
            <w:pPr>
              <w:pStyle w:val="TABELA"/>
              <w:rPr>
                <w:lang w:val="sq-AL"/>
              </w:rPr>
            </w:pPr>
            <w:r w:rsidRPr="00445472">
              <w:rPr>
                <w:lang w:val="sq-AL"/>
              </w:rPr>
              <w:t>Gjatësia e lumit kryesor (km)</w:t>
            </w:r>
          </w:p>
        </w:tc>
        <w:tc>
          <w:tcPr>
            <w:tcW w:w="2434" w:type="dxa"/>
            <w:shd w:val="clear" w:color="auto" w:fill="DFDFDF"/>
            <w:vAlign w:val="center"/>
          </w:tcPr>
          <w:p w14:paraId="69CF7747" w14:textId="77777777" w:rsidR="00EA2081" w:rsidRPr="00445472" w:rsidRDefault="00EA2081" w:rsidP="00A22C31">
            <w:pPr>
              <w:pStyle w:val="TABELA"/>
              <w:jc w:val="right"/>
              <w:rPr>
                <w:lang w:val="sq-AL"/>
              </w:rPr>
            </w:pPr>
            <w:r w:rsidRPr="00445472">
              <w:rPr>
                <w:lang w:val="sq-AL"/>
              </w:rPr>
              <w:t>285</w:t>
            </w:r>
          </w:p>
        </w:tc>
      </w:tr>
      <w:tr w:rsidR="00EA2081" w:rsidRPr="00445472" w14:paraId="56842146" w14:textId="77777777" w:rsidTr="00C17B97">
        <w:trPr>
          <w:trHeight w:val="300"/>
          <w:jc w:val="center"/>
        </w:trPr>
        <w:tc>
          <w:tcPr>
            <w:tcW w:w="5370" w:type="dxa"/>
            <w:vAlign w:val="center"/>
          </w:tcPr>
          <w:p w14:paraId="7BFCF6D7" w14:textId="77777777" w:rsidR="00EA2081" w:rsidRPr="00445472" w:rsidRDefault="00EA2081" w:rsidP="00580D3D">
            <w:pPr>
              <w:pStyle w:val="TABELA"/>
              <w:rPr>
                <w:lang w:val="sq-AL"/>
              </w:rPr>
            </w:pPr>
            <w:r w:rsidRPr="00445472">
              <w:rPr>
                <w:lang w:val="sq-AL"/>
              </w:rPr>
              <w:t>Prurjet mesatare vjetore (m</w:t>
            </w:r>
            <w:r w:rsidRPr="00445472">
              <w:rPr>
                <w:vertAlign w:val="superscript"/>
                <w:lang w:val="sq-AL"/>
              </w:rPr>
              <w:t>3</w:t>
            </w:r>
            <w:r w:rsidRPr="00445472">
              <w:rPr>
                <w:lang w:val="sq-AL"/>
              </w:rPr>
              <w:t>/s)</w:t>
            </w:r>
          </w:p>
        </w:tc>
        <w:tc>
          <w:tcPr>
            <w:tcW w:w="2434" w:type="dxa"/>
            <w:vAlign w:val="center"/>
          </w:tcPr>
          <w:p w14:paraId="3296994E" w14:textId="77777777" w:rsidR="00EA2081" w:rsidRPr="00445472" w:rsidRDefault="00EA2081" w:rsidP="00A22C31">
            <w:pPr>
              <w:pStyle w:val="TABELA"/>
              <w:jc w:val="right"/>
              <w:rPr>
                <w:lang w:val="sq-AL"/>
              </w:rPr>
            </w:pPr>
            <w:r w:rsidRPr="00445472">
              <w:rPr>
                <w:lang w:val="sq-AL"/>
              </w:rPr>
              <w:t>680</w:t>
            </w:r>
          </w:p>
        </w:tc>
      </w:tr>
      <w:tr w:rsidR="00EA2081" w:rsidRPr="00445472" w14:paraId="698CC527" w14:textId="77777777" w:rsidTr="00C17B97">
        <w:trPr>
          <w:trHeight w:val="300"/>
          <w:jc w:val="center"/>
        </w:trPr>
        <w:tc>
          <w:tcPr>
            <w:tcW w:w="5370" w:type="dxa"/>
            <w:shd w:val="clear" w:color="auto" w:fill="DFDFDF"/>
            <w:vAlign w:val="center"/>
          </w:tcPr>
          <w:p w14:paraId="25FD4F66" w14:textId="77777777" w:rsidR="00EA2081" w:rsidRPr="00445472" w:rsidRDefault="00EA2081" w:rsidP="00580D3D">
            <w:pPr>
              <w:pStyle w:val="TABELA"/>
              <w:rPr>
                <w:lang w:val="sq-AL"/>
              </w:rPr>
            </w:pPr>
            <w:r w:rsidRPr="00445472">
              <w:rPr>
                <w:lang w:val="sq-AL"/>
              </w:rPr>
              <w:t>Cilësia e ujërave sipërfaqësore</w:t>
            </w:r>
          </w:p>
        </w:tc>
        <w:tc>
          <w:tcPr>
            <w:tcW w:w="2434" w:type="dxa"/>
            <w:shd w:val="clear" w:color="auto" w:fill="DFDFDF"/>
            <w:vAlign w:val="center"/>
          </w:tcPr>
          <w:p w14:paraId="01DBD526" w14:textId="2DA1B21F" w:rsidR="00EA2081" w:rsidRPr="00445472" w:rsidRDefault="00EA2081" w:rsidP="00A22C31">
            <w:pPr>
              <w:pStyle w:val="TABELA"/>
              <w:jc w:val="right"/>
              <w:rPr>
                <w:lang w:val="sq-AL"/>
              </w:rPr>
            </w:pPr>
            <w:r w:rsidRPr="00445472">
              <w:rPr>
                <w:lang w:val="sq-AL"/>
              </w:rPr>
              <w:t xml:space="preserve">Shumë e </w:t>
            </w:r>
            <w:r w:rsidR="00097ECB" w:rsidRPr="00445472">
              <w:rPr>
                <w:lang w:val="sq-AL"/>
              </w:rPr>
              <w:t>mirë, e mirë</w:t>
            </w:r>
          </w:p>
        </w:tc>
      </w:tr>
      <w:tr w:rsidR="00EA2081" w:rsidRPr="00445472" w14:paraId="00272044" w14:textId="77777777" w:rsidTr="00C17B97">
        <w:trPr>
          <w:trHeight w:val="300"/>
          <w:jc w:val="center"/>
        </w:trPr>
        <w:tc>
          <w:tcPr>
            <w:tcW w:w="5370" w:type="dxa"/>
            <w:vAlign w:val="center"/>
          </w:tcPr>
          <w:p w14:paraId="58746BC5" w14:textId="77777777" w:rsidR="00EA2081" w:rsidRPr="00445472" w:rsidRDefault="00EA2081" w:rsidP="00580D3D">
            <w:pPr>
              <w:pStyle w:val="TABELA"/>
              <w:rPr>
                <w:lang w:val="sq-AL"/>
              </w:rPr>
            </w:pPr>
            <w:r w:rsidRPr="00445472">
              <w:rPr>
                <w:lang w:val="sq-AL"/>
              </w:rPr>
              <w:t>Numri i liqeneve të mëdhenj</w:t>
            </w:r>
          </w:p>
        </w:tc>
        <w:tc>
          <w:tcPr>
            <w:tcW w:w="2434" w:type="dxa"/>
            <w:vAlign w:val="center"/>
          </w:tcPr>
          <w:p w14:paraId="0557460D" w14:textId="77777777" w:rsidR="00EA2081" w:rsidRPr="00445472" w:rsidRDefault="00EA2081" w:rsidP="00A22C31">
            <w:pPr>
              <w:pStyle w:val="TABELA"/>
              <w:jc w:val="right"/>
              <w:rPr>
                <w:lang w:val="sq-AL"/>
              </w:rPr>
            </w:pPr>
            <w:r w:rsidRPr="00445472">
              <w:rPr>
                <w:w w:val="99"/>
                <w:lang w:val="sq-AL"/>
              </w:rPr>
              <w:t>3</w:t>
            </w:r>
          </w:p>
        </w:tc>
      </w:tr>
      <w:tr w:rsidR="00EA2081" w:rsidRPr="00445472" w14:paraId="7BBFF7A0" w14:textId="77777777" w:rsidTr="00C17B97">
        <w:trPr>
          <w:trHeight w:val="300"/>
          <w:jc w:val="center"/>
        </w:trPr>
        <w:tc>
          <w:tcPr>
            <w:tcW w:w="5370" w:type="dxa"/>
            <w:shd w:val="clear" w:color="auto" w:fill="DFDFDF"/>
            <w:vAlign w:val="center"/>
          </w:tcPr>
          <w:p w14:paraId="780D8560" w14:textId="77777777" w:rsidR="00EA2081" w:rsidRPr="00445472" w:rsidRDefault="00EA2081" w:rsidP="00580D3D">
            <w:pPr>
              <w:pStyle w:val="TABELA"/>
              <w:rPr>
                <w:lang w:val="sq-AL"/>
              </w:rPr>
            </w:pPr>
            <w:r w:rsidRPr="00445472">
              <w:rPr>
                <w:lang w:val="sq-AL"/>
              </w:rPr>
              <w:t>Numri i akuiferëve kryesorë të përdorur (Banka Botërore, 2012)</w:t>
            </w:r>
            <w:r w:rsidRPr="00445472">
              <w:rPr>
                <w:rStyle w:val="FootnoteReference"/>
                <w:rFonts w:ascii="Garamond" w:hAnsi="Garamond" w:cs="Arial"/>
                <w:color w:val="auto"/>
                <w:szCs w:val="18"/>
                <w:lang w:val="sq-AL"/>
              </w:rPr>
              <w:footnoteReference w:id="10"/>
            </w:r>
          </w:p>
        </w:tc>
        <w:tc>
          <w:tcPr>
            <w:tcW w:w="2434" w:type="dxa"/>
            <w:shd w:val="clear" w:color="auto" w:fill="DFDFDF"/>
            <w:vAlign w:val="center"/>
          </w:tcPr>
          <w:p w14:paraId="39C2A851" w14:textId="77777777" w:rsidR="00EA2081" w:rsidRPr="00445472" w:rsidRDefault="00EA2081" w:rsidP="00A22C31">
            <w:pPr>
              <w:pStyle w:val="TABELA"/>
              <w:jc w:val="right"/>
              <w:rPr>
                <w:lang w:val="sq-AL"/>
              </w:rPr>
            </w:pPr>
            <w:r w:rsidRPr="00445472">
              <w:rPr>
                <w:w w:val="99"/>
                <w:lang w:val="sq-AL"/>
              </w:rPr>
              <w:t>3</w:t>
            </w:r>
          </w:p>
        </w:tc>
      </w:tr>
      <w:tr w:rsidR="00EA2081" w:rsidRPr="00445472" w14:paraId="1F289B2B" w14:textId="77777777" w:rsidTr="00C17B97">
        <w:trPr>
          <w:trHeight w:val="300"/>
          <w:jc w:val="center"/>
        </w:trPr>
        <w:tc>
          <w:tcPr>
            <w:tcW w:w="7804" w:type="dxa"/>
            <w:gridSpan w:val="2"/>
            <w:vAlign w:val="center"/>
          </w:tcPr>
          <w:p w14:paraId="0E8BAAEA" w14:textId="77777777" w:rsidR="00EA2081" w:rsidRPr="00445472" w:rsidRDefault="00EA2081" w:rsidP="00A22C31">
            <w:pPr>
              <w:pStyle w:val="TABELA"/>
              <w:jc w:val="right"/>
              <w:rPr>
                <w:lang w:val="sq-AL"/>
              </w:rPr>
            </w:pPr>
            <w:r w:rsidRPr="00445472">
              <w:rPr>
                <w:lang w:val="sq-AL"/>
              </w:rPr>
              <w:t>Përdorimi i Ujit</w:t>
            </w:r>
          </w:p>
        </w:tc>
      </w:tr>
      <w:tr w:rsidR="00EA2081" w:rsidRPr="00445472" w14:paraId="5183340F" w14:textId="77777777" w:rsidTr="00C17B97">
        <w:trPr>
          <w:trHeight w:val="300"/>
          <w:jc w:val="center"/>
        </w:trPr>
        <w:tc>
          <w:tcPr>
            <w:tcW w:w="5370" w:type="dxa"/>
            <w:shd w:val="clear" w:color="auto" w:fill="DFDFDF"/>
            <w:vAlign w:val="center"/>
          </w:tcPr>
          <w:p w14:paraId="73D57106" w14:textId="77777777" w:rsidR="00EA2081" w:rsidRPr="00445472" w:rsidRDefault="00EA2081" w:rsidP="00580D3D">
            <w:pPr>
              <w:pStyle w:val="TABELA"/>
              <w:rPr>
                <w:lang w:val="sq-AL"/>
              </w:rPr>
            </w:pPr>
            <w:r w:rsidRPr="00445472">
              <w:rPr>
                <w:lang w:val="sq-AL"/>
              </w:rPr>
              <w:t>Numri i rezervuarëve bujqësorë</w:t>
            </w:r>
          </w:p>
        </w:tc>
        <w:tc>
          <w:tcPr>
            <w:tcW w:w="2434" w:type="dxa"/>
            <w:shd w:val="clear" w:color="auto" w:fill="DFDFDF"/>
            <w:vAlign w:val="center"/>
          </w:tcPr>
          <w:p w14:paraId="5E5DDA0E" w14:textId="20B0D1D4" w:rsidR="00EA2081" w:rsidRPr="00445472" w:rsidRDefault="00EA2081" w:rsidP="00A22C31">
            <w:pPr>
              <w:pStyle w:val="TABELA"/>
              <w:jc w:val="right"/>
              <w:rPr>
                <w:lang w:val="sq-AL"/>
              </w:rPr>
            </w:pPr>
            <w:r w:rsidRPr="00445472">
              <w:rPr>
                <w:lang w:val="sq-AL"/>
              </w:rPr>
              <w:t xml:space="preserve">Përdorim i </w:t>
            </w:r>
            <w:r w:rsidR="00097ECB" w:rsidRPr="00445472">
              <w:rPr>
                <w:lang w:val="sq-AL"/>
              </w:rPr>
              <w:t xml:space="preserve">lartë </w:t>
            </w:r>
            <w:r w:rsidRPr="00445472">
              <w:rPr>
                <w:lang w:val="sq-AL"/>
              </w:rPr>
              <w:t>(110 Diga)</w:t>
            </w:r>
          </w:p>
        </w:tc>
      </w:tr>
      <w:tr w:rsidR="00A22C31" w:rsidRPr="00445472" w14:paraId="08246531" w14:textId="77777777" w:rsidTr="00C17B97">
        <w:trPr>
          <w:trHeight w:val="300"/>
          <w:jc w:val="center"/>
        </w:trPr>
        <w:tc>
          <w:tcPr>
            <w:tcW w:w="5370" w:type="dxa"/>
            <w:vAlign w:val="center"/>
          </w:tcPr>
          <w:p w14:paraId="31710FA6" w14:textId="79E53243" w:rsidR="00EA2081" w:rsidRPr="00445472" w:rsidRDefault="00EA2081" w:rsidP="00580D3D">
            <w:pPr>
              <w:pStyle w:val="TABELA"/>
              <w:rPr>
                <w:lang w:val="sq-AL"/>
              </w:rPr>
            </w:pPr>
            <w:r w:rsidRPr="00445472">
              <w:rPr>
                <w:lang w:val="sq-AL"/>
              </w:rPr>
              <w:t>Numri i hidrocentraleve të mëdha (48</w:t>
            </w:r>
            <w:r w:rsidR="00097ECB" w:rsidRPr="00445472">
              <w:rPr>
                <w:lang w:val="sq-AL"/>
              </w:rPr>
              <w:t>–500 mw</w:t>
            </w:r>
            <w:r w:rsidRPr="00445472">
              <w:rPr>
                <w:lang w:val="sq-AL"/>
              </w:rPr>
              <w:t>)</w:t>
            </w:r>
          </w:p>
        </w:tc>
        <w:tc>
          <w:tcPr>
            <w:tcW w:w="2434" w:type="dxa"/>
            <w:vAlign w:val="center"/>
          </w:tcPr>
          <w:p w14:paraId="597211DE" w14:textId="77777777" w:rsidR="00EA2081" w:rsidRPr="00445472" w:rsidRDefault="00EA2081" w:rsidP="00A22C31">
            <w:pPr>
              <w:pStyle w:val="TABELA"/>
              <w:jc w:val="right"/>
              <w:rPr>
                <w:lang w:val="sq-AL"/>
              </w:rPr>
            </w:pPr>
            <w:r w:rsidRPr="00445472">
              <w:rPr>
                <w:w w:val="99"/>
                <w:lang w:val="sq-AL"/>
              </w:rPr>
              <w:t>4</w:t>
            </w:r>
          </w:p>
        </w:tc>
      </w:tr>
      <w:tr w:rsidR="00EA2081" w:rsidRPr="00445472" w14:paraId="5922D297" w14:textId="77777777" w:rsidTr="00C17B97">
        <w:trPr>
          <w:trHeight w:val="300"/>
          <w:jc w:val="center"/>
        </w:trPr>
        <w:tc>
          <w:tcPr>
            <w:tcW w:w="5370" w:type="dxa"/>
            <w:shd w:val="clear" w:color="auto" w:fill="DFDFDF"/>
            <w:vAlign w:val="center"/>
          </w:tcPr>
          <w:p w14:paraId="774ABFB8" w14:textId="65935DA8" w:rsidR="00EA2081" w:rsidRPr="00445472" w:rsidRDefault="00A22C31" w:rsidP="00580D3D">
            <w:pPr>
              <w:pStyle w:val="TABELA"/>
              <w:rPr>
                <w:lang w:val="sq-AL"/>
              </w:rPr>
            </w:pPr>
            <w:r w:rsidRPr="00445472">
              <w:rPr>
                <w:lang w:val="sq-AL"/>
              </w:rPr>
              <w:t>Koncesionet</w:t>
            </w:r>
            <w:r w:rsidR="00EA2081" w:rsidRPr="00445472">
              <w:rPr>
                <w:lang w:val="sq-AL"/>
              </w:rPr>
              <w:t xml:space="preserve"> e HEC-ve</w:t>
            </w:r>
          </w:p>
        </w:tc>
        <w:tc>
          <w:tcPr>
            <w:tcW w:w="2434" w:type="dxa"/>
            <w:shd w:val="clear" w:color="auto" w:fill="DFDFDF"/>
            <w:vAlign w:val="center"/>
          </w:tcPr>
          <w:p w14:paraId="09A9FB85" w14:textId="5DB03AF4" w:rsidR="00EA2081" w:rsidRPr="00445472" w:rsidRDefault="00EA2081" w:rsidP="00A22C31">
            <w:pPr>
              <w:pStyle w:val="TABELA"/>
              <w:jc w:val="right"/>
              <w:rPr>
                <w:lang w:val="sq-AL"/>
              </w:rPr>
            </w:pPr>
            <w:r w:rsidRPr="00445472">
              <w:rPr>
                <w:lang w:val="sq-AL"/>
              </w:rPr>
              <w:t>47 për një total prej 121</w:t>
            </w:r>
            <w:r w:rsidRPr="00445472">
              <w:rPr>
                <w:rStyle w:val="FootnoteReference"/>
                <w:rFonts w:ascii="Garamond" w:hAnsi="Garamond" w:cs="Arial"/>
                <w:color w:val="auto"/>
                <w:lang w:val="sq-AL"/>
              </w:rPr>
              <w:footnoteReference w:id="11"/>
            </w:r>
            <w:r w:rsidRPr="00445472">
              <w:rPr>
                <w:lang w:val="sq-AL"/>
              </w:rPr>
              <w:t xml:space="preserve"> </w:t>
            </w:r>
            <w:r w:rsidR="00A22C31" w:rsidRPr="00445472">
              <w:rPr>
                <w:lang w:val="sq-AL"/>
              </w:rPr>
              <w:t xml:space="preserve">HEC-e </w:t>
            </w:r>
            <w:r w:rsidRPr="00445472">
              <w:rPr>
                <w:lang w:val="sq-AL"/>
              </w:rPr>
              <w:t>të vogla</w:t>
            </w:r>
          </w:p>
        </w:tc>
      </w:tr>
      <w:tr w:rsidR="00EA2081" w:rsidRPr="00445472" w14:paraId="31726C6F" w14:textId="77777777" w:rsidTr="00C17B97">
        <w:trPr>
          <w:trHeight w:val="300"/>
          <w:jc w:val="center"/>
        </w:trPr>
        <w:tc>
          <w:tcPr>
            <w:tcW w:w="5370" w:type="dxa"/>
            <w:shd w:val="clear" w:color="auto" w:fill="DFDFDF"/>
            <w:vAlign w:val="center"/>
          </w:tcPr>
          <w:p w14:paraId="27F5CA51" w14:textId="77777777" w:rsidR="00EA2081" w:rsidRPr="00445472" w:rsidRDefault="00EA2081" w:rsidP="00580D3D">
            <w:pPr>
              <w:pStyle w:val="TABELA"/>
              <w:rPr>
                <w:lang w:val="sq-AL"/>
              </w:rPr>
            </w:pPr>
            <w:r w:rsidRPr="00445472">
              <w:rPr>
                <w:lang w:val="sq-AL"/>
              </w:rPr>
              <w:t>Uji i pijshëm</w:t>
            </w:r>
          </w:p>
        </w:tc>
        <w:tc>
          <w:tcPr>
            <w:tcW w:w="2434" w:type="dxa"/>
            <w:shd w:val="clear" w:color="auto" w:fill="DFDFDF"/>
            <w:vAlign w:val="center"/>
          </w:tcPr>
          <w:p w14:paraId="1B5F48A4" w14:textId="77777777" w:rsidR="00EA2081" w:rsidRPr="00445472" w:rsidRDefault="00EA2081" w:rsidP="00A22C31">
            <w:pPr>
              <w:pStyle w:val="TABELA"/>
              <w:jc w:val="right"/>
              <w:rPr>
                <w:lang w:val="sq-AL"/>
              </w:rPr>
            </w:pPr>
            <w:r w:rsidRPr="00445472">
              <w:rPr>
                <w:lang w:val="sq-AL"/>
              </w:rPr>
              <w:t>I lartë</w:t>
            </w:r>
          </w:p>
        </w:tc>
      </w:tr>
      <w:tr w:rsidR="00EA2081" w:rsidRPr="00445472" w14:paraId="71475FC6" w14:textId="77777777" w:rsidTr="00C17B97">
        <w:trPr>
          <w:trHeight w:val="300"/>
          <w:jc w:val="center"/>
        </w:trPr>
        <w:tc>
          <w:tcPr>
            <w:tcW w:w="5370" w:type="dxa"/>
            <w:vAlign w:val="center"/>
          </w:tcPr>
          <w:p w14:paraId="0DB6A24A" w14:textId="77777777" w:rsidR="00EA2081" w:rsidRPr="00445472" w:rsidRDefault="00EA2081" w:rsidP="00580D3D">
            <w:pPr>
              <w:pStyle w:val="TABELA"/>
              <w:rPr>
                <w:lang w:val="sq-AL"/>
              </w:rPr>
            </w:pPr>
            <w:r w:rsidRPr="00445472">
              <w:rPr>
                <w:lang w:val="sq-AL"/>
              </w:rPr>
              <w:t>Përdorimi sipas industrive</w:t>
            </w:r>
          </w:p>
        </w:tc>
        <w:tc>
          <w:tcPr>
            <w:tcW w:w="2434" w:type="dxa"/>
            <w:vAlign w:val="center"/>
          </w:tcPr>
          <w:p w14:paraId="327C9AB2" w14:textId="4E1B9E3B" w:rsidR="00EA2081" w:rsidRPr="00445472" w:rsidRDefault="00EA2081" w:rsidP="00A22C31">
            <w:pPr>
              <w:pStyle w:val="TABELA"/>
              <w:jc w:val="right"/>
              <w:rPr>
                <w:lang w:val="sq-AL"/>
              </w:rPr>
            </w:pPr>
            <w:r w:rsidRPr="00445472">
              <w:rPr>
                <w:lang w:val="sq-AL"/>
              </w:rPr>
              <w:t xml:space="preserve">Përdorim i </w:t>
            </w:r>
            <w:r w:rsidR="00097ECB" w:rsidRPr="00445472">
              <w:rPr>
                <w:lang w:val="sq-AL"/>
              </w:rPr>
              <w:t>lartë</w:t>
            </w:r>
          </w:p>
        </w:tc>
      </w:tr>
      <w:tr w:rsidR="00EA2081" w:rsidRPr="00445472" w14:paraId="00AAFB36" w14:textId="77777777" w:rsidTr="00C17B97">
        <w:trPr>
          <w:trHeight w:val="300"/>
          <w:jc w:val="center"/>
        </w:trPr>
        <w:tc>
          <w:tcPr>
            <w:tcW w:w="5370" w:type="dxa"/>
            <w:shd w:val="clear" w:color="auto" w:fill="DFDFDF"/>
            <w:vAlign w:val="center"/>
          </w:tcPr>
          <w:p w14:paraId="5A322936" w14:textId="77777777" w:rsidR="00EA2081" w:rsidRPr="00445472" w:rsidRDefault="00EA2081" w:rsidP="00580D3D">
            <w:pPr>
              <w:pStyle w:val="TABELA"/>
              <w:rPr>
                <w:lang w:val="sq-AL"/>
              </w:rPr>
            </w:pPr>
            <w:r w:rsidRPr="00445472">
              <w:rPr>
                <w:lang w:val="sq-AL"/>
              </w:rPr>
              <w:t xml:space="preserve">Potencial për </w:t>
            </w:r>
            <w:r w:rsidRPr="00445472">
              <w:rPr>
                <w:i/>
                <w:lang w:val="sq-AL"/>
              </w:rPr>
              <w:t>hotspot</w:t>
            </w:r>
            <w:r w:rsidRPr="00445472">
              <w:rPr>
                <w:lang w:val="sq-AL"/>
              </w:rPr>
              <w:t>-et e ndotjes</w:t>
            </w:r>
          </w:p>
        </w:tc>
        <w:tc>
          <w:tcPr>
            <w:tcW w:w="2434" w:type="dxa"/>
            <w:shd w:val="clear" w:color="auto" w:fill="DFDFDF"/>
            <w:vAlign w:val="center"/>
          </w:tcPr>
          <w:p w14:paraId="5163E73D" w14:textId="77777777" w:rsidR="00EA2081" w:rsidRPr="00445472" w:rsidRDefault="00EA2081" w:rsidP="00A22C31">
            <w:pPr>
              <w:pStyle w:val="TABELA"/>
              <w:jc w:val="right"/>
              <w:rPr>
                <w:lang w:val="sq-AL"/>
              </w:rPr>
            </w:pPr>
            <w:r w:rsidRPr="00445472">
              <w:rPr>
                <w:lang w:val="sq-AL"/>
              </w:rPr>
              <w:t>I lartë</w:t>
            </w:r>
          </w:p>
        </w:tc>
      </w:tr>
      <w:tr w:rsidR="00EA2081" w:rsidRPr="00445472" w14:paraId="0BFBF557" w14:textId="77777777" w:rsidTr="00C17B97">
        <w:trPr>
          <w:trHeight w:val="300"/>
          <w:jc w:val="center"/>
        </w:trPr>
        <w:tc>
          <w:tcPr>
            <w:tcW w:w="5370" w:type="dxa"/>
            <w:vAlign w:val="center"/>
          </w:tcPr>
          <w:p w14:paraId="3A73F73F" w14:textId="77777777" w:rsidR="00EA2081" w:rsidRPr="00445472" w:rsidRDefault="00EA2081" w:rsidP="00580D3D">
            <w:pPr>
              <w:pStyle w:val="TABELA"/>
              <w:rPr>
                <w:lang w:val="sq-AL"/>
              </w:rPr>
            </w:pPr>
            <w:r w:rsidRPr="00445472">
              <w:rPr>
                <w:lang w:val="sq-AL"/>
              </w:rPr>
              <w:t>Numri i Zonave të Mbrojtura</w:t>
            </w:r>
          </w:p>
        </w:tc>
        <w:tc>
          <w:tcPr>
            <w:tcW w:w="2434" w:type="dxa"/>
            <w:vAlign w:val="center"/>
          </w:tcPr>
          <w:p w14:paraId="0DE1014F" w14:textId="77777777" w:rsidR="00EA2081" w:rsidRPr="00445472" w:rsidRDefault="00EA2081" w:rsidP="00A22C31">
            <w:pPr>
              <w:pStyle w:val="TABELA"/>
              <w:jc w:val="right"/>
              <w:rPr>
                <w:lang w:val="sq-AL"/>
              </w:rPr>
            </w:pPr>
            <w:r w:rsidRPr="00445472">
              <w:rPr>
                <w:lang w:val="sq-AL"/>
              </w:rPr>
              <w:t>10</w:t>
            </w:r>
          </w:p>
        </w:tc>
      </w:tr>
      <w:tr w:rsidR="00EA2081" w:rsidRPr="00445472" w14:paraId="74221DCD" w14:textId="77777777" w:rsidTr="00C17B97">
        <w:trPr>
          <w:trHeight w:val="300"/>
          <w:jc w:val="center"/>
        </w:trPr>
        <w:tc>
          <w:tcPr>
            <w:tcW w:w="5370" w:type="dxa"/>
            <w:shd w:val="clear" w:color="auto" w:fill="DFDFDF"/>
            <w:vAlign w:val="center"/>
          </w:tcPr>
          <w:p w14:paraId="5BFFC293" w14:textId="77777777" w:rsidR="00EA2081" w:rsidRPr="00445472" w:rsidRDefault="00EA2081" w:rsidP="00580D3D">
            <w:pPr>
              <w:pStyle w:val="TABELA"/>
              <w:rPr>
                <w:lang w:val="sq-AL"/>
              </w:rPr>
            </w:pPr>
            <w:r w:rsidRPr="00445472">
              <w:rPr>
                <w:lang w:val="sq-AL"/>
              </w:rPr>
              <w:t>Rëndësia e mbulesës pyjore</w:t>
            </w:r>
          </w:p>
        </w:tc>
        <w:tc>
          <w:tcPr>
            <w:tcW w:w="2434" w:type="dxa"/>
            <w:shd w:val="clear" w:color="auto" w:fill="DFDFDF"/>
            <w:vAlign w:val="center"/>
          </w:tcPr>
          <w:p w14:paraId="7DD8758A" w14:textId="77777777" w:rsidR="00EA2081" w:rsidRPr="00445472" w:rsidRDefault="00EA2081" w:rsidP="00A22C31">
            <w:pPr>
              <w:pStyle w:val="TABELA"/>
              <w:jc w:val="right"/>
              <w:rPr>
                <w:lang w:val="sq-AL"/>
              </w:rPr>
            </w:pPr>
            <w:r w:rsidRPr="00445472">
              <w:rPr>
                <w:lang w:val="sq-AL"/>
              </w:rPr>
              <w:t>Shumë e rëndësishme</w:t>
            </w:r>
          </w:p>
        </w:tc>
      </w:tr>
      <w:tr w:rsidR="00EA2081" w:rsidRPr="00445472" w14:paraId="463D5298" w14:textId="77777777" w:rsidTr="00C17B97">
        <w:trPr>
          <w:trHeight w:val="300"/>
          <w:jc w:val="center"/>
        </w:trPr>
        <w:tc>
          <w:tcPr>
            <w:tcW w:w="5370" w:type="dxa"/>
            <w:vAlign w:val="center"/>
          </w:tcPr>
          <w:p w14:paraId="5BDE2640" w14:textId="77777777" w:rsidR="00EA2081" w:rsidRPr="00445472" w:rsidRDefault="00EA2081" w:rsidP="00580D3D">
            <w:pPr>
              <w:pStyle w:val="TABELA"/>
              <w:rPr>
                <w:lang w:val="sq-AL"/>
              </w:rPr>
            </w:pPr>
            <w:r w:rsidRPr="00445472">
              <w:rPr>
                <w:lang w:val="sq-AL"/>
              </w:rPr>
              <w:t>Përdorime të tjera</w:t>
            </w:r>
          </w:p>
        </w:tc>
        <w:tc>
          <w:tcPr>
            <w:tcW w:w="2434" w:type="dxa"/>
            <w:vAlign w:val="center"/>
          </w:tcPr>
          <w:p w14:paraId="746E4AED" w14:textId="0DCE7AC1" w:rsidR="00EA2081" w:rsidRPr="00445472" w:rsidRDefault="00EA2081" w:rsidP="00A22C31">
            <w:pPr>
              <w:pStyle w:val="TABELA"/>
              <w:jc w:val="right"/>
              <w:rPr>
                <w:lang w:val="sq-AL"/>
              </w:rPr>
            </w:pPr>
            <w:r w:rsidRPr="00445472">
              <w:rPr>
                <w:lang w:val="sq-AL"/>
              </w:rPr>
              <w:t>Transport lumor/</w:t>
            </w:r>
            <w:r w:rsidR="00097ECB" w:rsidRPr="00445472">
              <w:rPr>
                <w:lang w:val="sq-AL"/>
              </w:rPr>
              <w:t>peshkim</w:t>
            </w:r>
          </w:p>
        </w:tc>
      </w:tr>
      <w:tr w:rsidR="00EA2081" w:rsidRPr="00445472" w14:paraId="375CFDC7" w14:textId="77777777" w:rsidTr="00C17B97">
        <w:trPr>
          <w:trHeight w:val="300"/>
          <w:jc w:val="center"/>
        </w:trPr>
        <w:tc>
          <w:tcPr>
            <w:tcW w:w="5370" w:type="dxa"/>
            <w:shd w:val="clear" w:color="auto" w:fill="DFDFDF"/>
            <w:vAlign w:val="center"/>
          </w:tcPr>
          <w:p w14:paraId="39966BA8" w14:textId="77777777" w:rsidR="00EA2081" w:rsidRPr="00445472" w:rsidRDefault="00EA2081" w:rsidP="00580D3D">
            <w:pPr>
              <w:pStyle w:val="TABELA"/>
              <w:rPr>
                <w:lang w:val="sq-AL"/>
              </w:rPr>
            </w:pPr>
            <w:r w:rsidRPr="00445472">
              <w:rPr>
                <w:lang w:val="sq-AL"/>
              </w:rPr>
              <w:t>Rrezik nga thatësira</w:t>
            </w:r>
          </w:p>
        </w:tc>
        <w:tc>
          <w:tcPr>
            <w:tcW w:w="2434" w:type="dxa"/>
            <w:shd w:val="clear" w:color="auto" w:fill="DFDFDF"/>
            <w:vAlign w:val="center"/>
          </w:tcPr>
          <w:p w14:paraId="5AACEF16" w14:textId="77777777" w:rsidR="00EA2081" w:rsidRPr="00445472" w:rsidRDefault="00EA2081" w:rsidP="00A22C31">
            <w:pPr>
              <w:pStyle w:val="TABELA"/>
              <w:jc w:val="right"/>
              <w:rPr>
                <w:lang w:val="sq-AL"/>
              </w:rPr>
            </w:pPr>
            <w:r w:rsidRPr="00445472">
              <w:rPr>
                <w:lang w:val="sq-AL"/>
              </w:rPr>
              <w:t>I ulët</w:t>
            </w:r>
          </w:p>
        </w:tc>
      </w:tr>
      <w:tr w:rsidR="00EA2081" w:rsidRPr="00445472" w14:paraId="7AA02D24" w14:textId="77777777" w:rsidTr="00C17B97">
        <w:trPr>
          <w:trHeight w:val="300"/>
          <w:jc w:val="center"/>
        </w:trPr>
        <w:tc>
          <w:tcPr>
            <w:tcW w:w="5370" w:type="dxa"/>
            <w:vAlign w:val="center"/>
          </w:tcPr>
          <w:p w14:paraId="05808C85" w14:textId="77777777" w:rsidR="00EA2081" w:rsidRPr="00445472" w:rsidRDefault="00EA2081" w:rsidP="00580D3D">
            <w:pPr>
              <w:pStyle w:val="TABELA"/>
              <w:rPr>
                <w:lang w:val="sq-AL"/>
              </w:rPr>
            </w:pPr>
            <w:r w:rsidRPr="00445472">
              <w:rPr>
                <w:lang w:val="sq-AL"/>
              </w:rPr>
              <w:t>Rrezik nga përmbytjet</w:t>
            </w:r>
          </w:p>
        </w:tc>
        <w:tc>
          <w:tcPr>
            <w:tcW w:w="2434" w:type="dxa"/>
            <w:vAlign w:val="center"/>
          </w:tcPr>
          <w:p w14:paraId="2F9B79E6" w14:textId="77777777" w:rsidR="00EA2081" w:rsidRPr="00445472" w:rsidRDefault="00EA2081" w:rsidP="00A22C31">
            <w:pPr>
              <w:pStyle w:val="TABELA"/>
              <w:jc w:val="right"/>
              <w:rPr>
                <w:lang w:val="sq-AL"/>
              </w:rPr>
            </w:pPr>
            <w:r w:rsidRPr="00445472">
              <w:rPr>
                <w:lang w:val="sq-AL"/>
              </w:rPr>
              <w:t>I lartë</w:t>
            </w:r>
          </w:p>
        </w:tc>
      </w:tr>
      <w:tr w:rsidR="00EA2081" w:rsidRPr="00445472" w14:paraId="454DFE19" w14:textId="77777777" w:rsidTr="00C17B97">
        <w:trPr>
          <w:trHeight w:val="300"/>
          <w:jc w:val="center"/>
        </w:trPr>
        <w:tc>
          <w:tcPr>
            <w:tcW w:w="7804" w:type="dxa"/>
            <w:gridSpan w:val="2"/>
            <w:shd w:val="clear" w:color="auto" w:fill="DFDFDF"/>
            <w:vAlign w:val="center"/>
          </w:tcPr>
          <w:p w14:paraId="6DF0ADF2" w14:textId="77777777" w:rsidR="00EA2081" w:rsidRPr="00445472" w:rsidRDefault="00EA2081" w:rsidP="00580D3D">
            <w:pPr>
              <w:pStyle w:val="TABELA"/>
              <w:rPr>
                <w:lang w:val="sq-AL"/>
              </w:rPr>
            </w:pPr>
            <w:r w:rsidRPr="00445472">
              <w:rPr>
                <w:lang w:val="sq-AL"/>
              </w:rPr>
              <w:t>Demografia</w:t>
            </w:r>
          </w:p>
        </w:tc>
      </w:tr>
      <w:tr w:rsidR="00EA2081" w:rsidRPr="00445472" w14:paraId="3809F322" w14:textId="77777777" w:rsidTr="00C17B97">
        <w:trPr>
          <w:trHeight w:val="300"/>
          <w:jc w:val="center"/>
        </w:trPr>
        <w:tc>
          <w:tcPr>
            <w:tcW w:w="5370" w:type="dxa"/>
            <w:vAlign w:val="center"/>
          </w:tcPr>
          <w:p w14:paraId="5C19CF2F" w14:textId="346073CD" w:rsidR="00EA2081" w:rsidRPr="00445472" w:rsidRDefault="00EA2081" w:rsidP="00097ECB">
            <w:pPr>
              <w:pStyle w:val="TABELA"/>
              <w:rPr>
                <w:lang w:val="sq-AL"/>
              </w:rPr>
            </w:pPr>
            <w:r w:rsidRPr="00445472">
              <w:rPr>
                <w:lang w:val="sq-AL"/>
              </w:rPr>
              <w:t xml:space="preserve">Numri i banorëve (Regj. </w:t>
            </w:r>
            <w:r w:rsidR="00097ECB" w:rsidRPr="00445472">
              <w:rPr>
                <w:lang w:val="sq-AL"/>
              </w:rPr>
              <w:t xml:space="preserve">i popullsisë </w:t>
            </w:r>
            <w:r w:rsidRPr="00445472">
              <w:rPr>
                <w:lang w:val="sq-AL"/>
              </w:rPr>
              <w:t>2011)</w:t>
            </w:r>
          </w:p>
        </w:tc>
        <w:tc>
          <w:tcPr>
            <w:tcW w:w="2434" w:type="dxa"/>
            <w:vAlign w:val="center"/>
          </w:tcPr>
          <w:p w14:paraId="652E3090" w14:textId="77777777" w:rsidR="00EA2081" w:rsidRPr="00445472" w:rsidRDefault="00EA2081" w:rsidP="00A22C31">
            <w:pPr>
              <w:pStyle w:val="TABELA"/>
              <w:jc w:val="right"/>
              <w:rPr>
                <w:lang w:val="sq-AL"/>
              </w:rPr>
            </w:pPr>
            <w:r w:rsidRPr="00445472">
              <w:rPr>
                <w:lang w:val="sq-AL"/>
              </w:rPr>
              <w:t>461,721</w:t>
            </w:r>
          </w:p>
        </w:tc>
      </w:tr>
    </w:tbl>
    <w:p w14:paraId="7C134953" w14:textId="77777777" w:rsidR="00EA2081" w:rsidRPr="00445472" w:rsidRDefault="00EA2081" w:rsidP="00EB3D96">
      <w:pPr>
        <w:pStyle w:val="NENTITULL"/>
      </w:pPr>
    </w:p>
    <w:p w14:paraId="419771E5" w14:textId="766C07ED" w:rsidR="00052378" w:rsidRPr="00445472" w:rsidRDefault="00052378" w:rsidP="00052378">
      <w:pPr>
        <w:pStyle w:val="NENTITULL"/>
      </w:pPr>
      <w:bookmarkStart w:id="37" w:name="_Toc486503385"/>
      <w:bookmarkStart w:id="38" w:name="_Toc11068747"/>
      <w:r w:rsidRPr="00445472">
        <w:t xml:space="preserve">3.2 </w:t>
      </w:r>
      <w:r w:rsidR="00D62EDF" w:rsidRPr="00445472">
        <w:t>“</w:t>
      </w:r>
      <w:r w:rsidRPr="00445472">
        <w:t>Corine</w:t>
      </w:r>
      <w:r w:rsidR="00D62EDF" w:rsidRPr="00445472">
        <w:t>”</w:t>
      </w:r>
      <w:r w:rsidRPr="00445472">
        <w:t xml:space="preserve"> dhe Mbulesa e Tokës </w:t>
      </w:r>
      <w:bookmarkEnd w:id="37"/>
      <w:bookmarkEnd w:id="38"/>
    </w:p>
    <w:p w14:paraId="69F94152" w14:textId="5BF46F4E" w:rsidR="00052378" w:rsidRPr="00445472" w:rsidRDefault="00D62EDF" w:rsidP="00052378">
      <w:pPr>
        <w:pStyle w:val="TEKSTIIII"/>
      </w:pPr>
      <w:r w:rsidRPr="00445472">
        <w:t>“</w:t>
      </w:r>
      <w:r w:rsidR="00052378" w:rsidRPr="00445472">
        <w:t>Corine</w:t>
      </w:r>
      <w:r w:rsidRPr="00445472">
        <w:t>”</w:t>
      </w:r>
      <w:r w:rsidR="00052378" w:rsidRPr="00445472">
        <w:t xml:space="preserve"> që do të thotë </w:t>
      </w:r>
      <w:r w:rsidRPr="00445472">
        <w:t>“</w:t>
      </w:r>
      <w:r w:rsidR="00052378" w:rsidRPr="00445472">
        <w:t>koordinimi i informacionit mbi mjedisin</w:t>
      </w:r>
      <w:r w:rsidRPr="00445472">
        <w:t>”</w:t>
      </w:r>
      <w:r w:rsidR="00052378" w:rsidRPr="00445472">
        <w:t xml:space="preserve"> është një inventar i mbulimit të tokës ndarë në 44 klasa dhe paraqitet si një produkt kartografik, në një shkallë prej 1:100 000. Kjo bazë të dhënash është operacionale në shumicën e zonave të Evropës dhe përdoret nga Agjencia Evropiane e Mjedisit.</w:t>
      </w:r>
    </w:p>
    <w:p w14:paraId="1A4BCC8B" w14:textId="56DBFE99" w:rsidR="00052378" w:rsidRPr="00445472" w:rsidRDefault="00052378" w:rsidP="00052378">
      <w:pPr>
        <w:pStyle w:val="TEKSTIIII"/>
      </w:pPr>
      <w:r w:rsidRPr="00445472">
        <w:t xml:space="preserve">Informacioni mbi Corine, përdoret për të vendosur bazën e klasave të mbulesës së tokës, e cila ndihmon për të minimizuar ndikimet ndaj aktivitetit ekonomik për shkak të zbatimit të planit pa rënë ndesh me objektivat e DKU-së. Ky informacion gjithashtu ofron një bazë për vlerësimin e dëmit potencial të </w:t>
      </w:r>
      <w:r w:rsidR="00A22C31" w:rsidRPr="00445472">
        <w:t>peizazheve</w:t>
      </w:r>
      <w:r w:rsidRPr="00445472">
        <w:t xml:space="preserve"> të përcaktuara si rezultat i zbatimit të Planit, domethënë i rëndësishëm për Vlerësimin Strategjik Mjedisor të Programit të Masave të PMBU. Mbulesa tokësore Korinë për Basenin Ujor </w:t>
      </w:r>
      <w:r w:rsidR="007E76E3" w:rsidRPr="00445472">
        <w:t>Drin–Bunë</w:t>
      </w:r>
      <w:r w:rsidRPr="00445472">
        <w:t xml:space="preserve"> është paraqitur në Figurën 3.2.</w:t>
      </w:r>
    </w:p>
    <w:p w14:paraId="710E0309" w14:textId="13AE35BB" w:rsidR="00052378" w:rsidRPr="00445472" w:rsidRDefault="00D6100A" w:rsidP="00D6100A">
      <w:pPr>
        <w:pStyle w:val="NENTITULL"/>
        <w:ind w:firstLine="0"/>
      </w:pPr>
      <w:r w:rsidRPr="00445472">
        <w:rPr>
          <w:noProof/>
          <w:lang w:val="en-US"/>
        </w:rPr>
        <w:drawing>
          <wp:inline distT="0" distB="0" distL="0" distR="0" wp14:anchorId="1D500E0B" wp14:editId="31525DB3">
            <wp:extent cx="5760085" cy="3696160"/>
            <wp:effectExtent l="19050" t="19050" r="12065" b="19050"/>
            <wp:docPr id="132" name="Picture 16" descr="Macintosh HD:Users:patrickreynolds:Desktop:ENG_Drini_Cor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patrickreynolds:Desktop:ENG_Drini_Corin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085" cy="3696160"/>
                    </a:xfrm>
                    <a:prstGeom prst="rect">
                      <a:avLst/>
                    </a:prstGeom>
                    <a:noFill/>
                    <a:ln w="9525" cmpd="sng">
                      <a:solidFill>
                        <a:srgbClr val="BFBFBF"/>
                      </a:solidFill>
                      <a:miter lim="800000"/>
                      <a:headEnd/>
                      <a:tailEnd/>
                    </a:ln>
                    <a:effectLst/>
                  </pic:spPr>
                </pic:pic>
              </a:graphicData>
            </a:graphic>
          </wp:inline>
        </w:drawing>
      </w:r>
    </w:p>
    <w:p w14:paraId="1CD036C6" w14:textId="2DA9FAD4" w:rsidR="007A17EF" w:rsidRPr="00445472" w:rsidRDefault="007A17EF" w:rsidP="00097ECB">
      <w:pPr>
        <w:pStyle w:val="NENTITULL"/>
        <w:jc w:val="center"/>
      </w:pPr>
      <w:r w:rsidRPr="00445472">
        <w:t xml:space="preserve">Figura 3.2: Mbulesa e Tokës në Basenin Ujor </w:t>
      </w:r>
      <w:r w:rsidR="007E76E3" w:rsidRPr="00445472">
        <w:t>Drin–Bunë</w:t>
      </w:r>
      <w:r w:rsidRPr="00445472">
        <w:rPr>
          <w:rStyle w:val="FootnoteReference"/>
          <w:rFonts w:ascii="Garamond" w:hAnsi="Garamond"/>
          <w:color w:val="auto"/>
        </w:rPr>
        <w:footnoteReference w:id="12"/>
      </w:r>
    </w:p>
    <w:p w14:paraId="6213632A" w14:textId="77777777" w:rsidR="007A17EF" w:rsidRPr="00445472" w:rsidRDefault="007A17EF" w:rsidP="00D6100A">
      <w:pPr>
        <w:pStyle w:val="NENTITULL"/>
        <w:ind w:firstLine="0"/>
      </w:pPr>
    </w:p>
    <w:p w14:paraId="59C97102" w14:textId="6823E401" w:rsidR="00C72EDF" w:rsidRPr="00445472" w:rsidRDefault="00C72EDF" w:rsidP="00C72EDF">
      <w:pPr>
        <w:pStyle w:val="NENTITULL"/>
      </w:pPr>
      <w:bookmarkStart w:id="39" w:name="_Toc486503386"/>
      <w:bookmarkStart w:id="40" w:name="_Toc11068748"/>
      <w:r w:rsidRPr="00445472">
        <w:t xml:space="preserve">3.3 Efektet </w:t>
      </w:r>
      <w:r w:rsidR="00097ECB" w:rsidRPr="00445472">
        <w:t>klimatike</w:t>
      </w:r>
      <w:bookmarkEnd w:id="39"/>
      <w:bookmarkEnd w:id="40"/>
    </w:p>
    <w:p w14:paraId="2001433A" w14:textId="0C49DEDD" w:rsidR="00C72EDF" w:rsidRPr="00445472" w:rsidRDefault="00C72EDF" w:rsidP="00C72EDF">
      <w:pPr>
        <w:pStyle w:val="TEKSTIIII"/>
      </w:pPr>
      <w:r w:rsidRPr="00445472">
        <w:t xml:space="preserve">Me bregdetin e saj përballë deteve Adriatik dhe Jon, malësitë e vendosura në territoret e larta Ballkanike të shtrirë në </w:t>
      </w:r>
      <w:r w:rsidR="00A22C31" w:rsidRPr="00445472">
        <w:t>gjerësi</w:t>
      </w:r>
      <w:r w:rsidRPr="00445472">
        <w:t xml:space="preserve"> në të gjithë vendin, duke bërë që </w:t>
      </w:r>
      <w:r w:rsidR="001F68B2" w:rsidRPr="00445472">
        <w:t>t’i</w:t>
      </w:r>
      <w:r w:rsidRPr="00445472">
        <w:t xml:space="preserve"> nënshtrohet një sërë modelesh të motit gjatë stinëve të dimrit dhe të verës, Shqipëria ka një numër të madh rajonesh klimatike për një zonë kaq të vogël gjeografike. Ultësira bregdetare ka një mot tipik mesdhetar; zonat malore kanë një klimë mesdhetare kontinentale. Në të dyja zonat e ulëta dhe të brendshme, moti ndryshon dukshëm nga veriu në jug. Ekzistojnë dy faktorë kryesorë që krijojnë ndryshueshmërinë në klimë: lartësia mbi nivelin e detit dhe distanca nga deti.</w:t>
      </w:r>
    </w:p>
    <w:p w14:paraId="6B7CD851" w14:textId="76C531FD" w:rsidR="00C72EDF" w:rsidRPr="00445472" w:rsidRDefault="00C72EDF" w:rsidP="00C72EDF">
      <w:pPr>
        <w:pStyle w:val="TEKSTIIII"/>
      </w:pPr>
      <w:r w:rsidRPr="00445472">
        <w:t>Në përgjithësi, reshjet zvogëlohen nga perëndimi në lindje. Vlerat më të larta gjenden pranë Mesdheut në perëndim, më të ul</w:t>
      </w:r>
      <w:r w:rsidR="00A22C31" w:rsidRPr="00445472">
        <w:t>ë</w:t>
      </w:r>
      <w:r w:rsidRPr="00445472">
        <w:t xml:space="preserve">tat në male. Dëbora është e zakonshme në male, më pak në pjesët më të ulëta të vendit. Hartat </w:t>
      </w:r>
      <w:bookmarkStart w:id="41" w:name="_GoBack"/>
      <w:bookmarkEnd w:id="41"/>
      <w:r w:rsidRPr="00445472">
        <w:t xml:space="preserve">në Figurën 3.3 tregojnë reshjet mesatare vjetore. Zona më e lagësht në ujëmbledhësin </w:t>
      </w:r>
      <w:r w:rsidR="007E76E3" w:rsidRPr="00445472">
        <w:t>Drin–Bunë</w:t>
      </w:r>
      <w:r w:rsidRPr="00445472">
        <w:t xml:space="preserve"> është mbi liqenin e Shkodrës me reshje vjetore mbi 1600 mm në vit. Pjesët më të thata të basenit janë në verilindje dhe në lindje. </w:t>
      </w:r>
    </w:p>
    <w:p w14:paraId="2F8389DF" w14:textId="77777777" w:rsidR="00C72EDF" w:rsidRPr="00445472" w:rsidRDefault="00C72EDF" w:rsidP="00C72EDF">
      <w:pPr>
        <w:pStyle w:val="TEKSTIIII"/>
      </w:pPr>
      <w:r w:rsidRPr="00445472">
        <w:t>Harta në të djathtë në Figurën 3.3 tregon temperaturën mesatare vjetore. Në këtë rast zonat më të nxehta janë rreth Liqenit të Shkodrës dhe zonat bregdetare në jug.</w:t>
      </w:r>
    </w:p>
    <w:p w14:paraId="6810502F" w14:textId="77777777" w:rsidR="00C72EDF" w:rsidRPr="00445472" w:rsidRDefault="00C72EDF" w:rsidP="00D6100A">
      <w:pPr>
        <w:pStyle w:val="NENTITULL"/>
        <w:ind w:firstLine="0"/>
      </w:pPr>
    </w:p>
    <w:tbl>
      <w:tblPr>
        <w:tblW w:w="9880" w:type="dxa"/>
        <w:jc w:val="center"/>
        <w:tblLayout w:type="fixed"/>
        <w:tblCellMar>
          <w:left w:w="0" w:type="dxa"/>
          <w:right w:w="0" w:type="dxa"/>
        </w:tblCellMar>
        <w:tblLook w:val="01E0" w:firstRow="1" w:lastRow="1" w:firstColumn="1" w:lastColumn="1" w:noHBand="0" w:noVBand="0"/>
      </w:tblPr>
      <w:tblGrid>
        <w:gridCol w:w="4951"/>
        <w:gridCol w:w="4929"/>
      </w:tblGrid>
      <w:tr w:rsidR="008E7363" w:rsidRPr="00445472" w14:paraId="27493342" w14:textId="77777777" w:rsidTr="008E7363">
        <w:trPr>
          <w:trHeight w:val="6300"/>
          <w:jc w:val="center"/>
        </w:trPr>
        <w:tc>
          <w:tcPr>
            <w:tcW w:w="4951" w:type="dxa"/>
          </w:tcPr>
          <w:p w14:paraId="345D197E" w14:textId="77777777" w:rsidR="008E7363" w:rsidRPr="00445472" w:rsidRDefault="008E7363" w:rsidP="008E7363">
            <w:pPr>
              <w:pStyle w:val="TableParagraph"/>
              <w:ind w:left="0"/>
              <w:rPr>
                <w:rFonts w:ascii="Garamond" w:hAnsi="Garamond"/>
                <w:sz w:val="20"/>
              </w:rPr>
            </w:pPr>
            <w:r w:rsidRPr="00445472">
              <w:rPr>
                <w:rFonts w:ascii="Garamond" w:hAnsi="Garamond"/>
                <w:noProof/>
                <w:sz w:val="20"/>
                <w:lang w:val="en-US"/>
              </w:rPr>
              <w:drawing>
                <wp:inline distT="0" distB="0" distL="0" distR="0" wp14:anchorId="0E3CDC22" wp14:editId="4FD5C47D">
                  <wp:extent cx="2962910" cy="3974465"/>
                  <wp:effectExtent l="0" t="0" r="0" b="0"/>
                  <wp:docPr id="1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2910" cy="3974465"/>
                          </a:xfrm>
                          <a:prstGeom prst="rect">
                            <a:avLst/>
                          </a:prstGeom>
                          <a:noFill/>
                          <a:ln>
                            <a:noFill/>
                          </a:ln>
                        </pic:spPr>
                      </pic:pic>
                    </a:graphicData>
                  </a:graphic>
                </wp:inline>
              </w:drawing>
            </w:r>
          </w:p>
        </w:tc>
        <w:tc>
          <w:tcPr>
            <w:tcW w:w="4929" w:type="dxa"/>
          </w:tcPr>
          <w:p w14:paraId="72A7B7F5" w14:textId="77777777" w:rsidR="008E7363" w:rsidRPr="00445472" w:rsidRDefault="008E7363" w:rsidP="008E7363">
            <w:pPr>
              <w:pStyle w:val="TableParagraph"/>
              <w:ind w:left="0"/>
              <w:jc w:val="center"/>
              <w:rPr>
                <w:rFonts w:ascii="Garamond" w:hAnsi="Garamond"/>
                <w:sz w:val="20"/>
              </w:rPr>
            </w:pPr>
            <w:r w:rsidRPr="00445472">
              <w:rPr>
                <w:rFonts w:ascii="Garamond" w:hAnsi="Garamond"/>
                <w:noProof/>
                <w:sz w:val="20"/>
                <w:lang w:val="en-US"/>
              </w:rPr>
              <w:drawing>
                <wp:inline distT="0" distB="0" distL="0" distR="0" wp14:anchorId="56DFDBD5" wp14:editId="65014DD9">
                  <wp:extent cx="2962910" cy="3974465"/>
                  <wp:effectExtent l="0" t="0" r="0" b="0"/>
                  <wp:docPr id="1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62910" cy="3974465"/>
                          </a:xfrm>
                          <a:prstGeom prst="rect">
                            <a:avLst/>
                          </a:prstGeom>
                          <a:noFill/>
                          <a:ln>
                            <a:noFill/>
                          </a:ln>
                        </pic:spPr>
                      </pic:pic>
                    </a:graphicData>
                  </a:graphic>
                </wp:inline>
              </w:drawing>
            </w:r>
          </w:p>
        </w:tc>
      </w:tr>
      <w:tr w:rsidR="008E7363" w:rsidRPr="00445472" w14:paraId="5F81B656" w14:textId="77777777" w:rsidTr="008E7363">
        <w:trPr>
          <w:trHeight w:val="300"/>
          <w:jc w:val="center"/>
        </w:trPr>
        <w:tc>
          <w:tcPr>
            <w:tcW w:w="4951" w:type="dxa"/>
          </w:tcPr>
          <w:p w14:paraId="3E402B31" w14:textId="61273030" w:rsidR="008E7363" w:rsidRPr="00445472" w:rsidRDefault="008E7363" w:rsidP="0044283E">
            <w:pPr>
              <w:pStyle w:val="NENTITULL"/>
              <w:ind w:firstLine="0"/>
              <w:jc w:val="center"/>
            </w:pPr>
            <w:r w:rsidRPr="00445472">
              <w:t xml:space="preserve">Reshjet </w:t>
            </w:r>
            <w:r w:rsidR="00097ECB" w:rsidRPr="00445472">
              <w:t xml:space="preserve">mesatare vjetore </w:t>
            </w:r>
            <w:r w:rsidRPr="00445472">
              <w:t>(mm/vit)</w:t>
            </w:r>
          </w:p>
        </w:tc>
        <w:tc>
          <w:tcPr>
            <w:tcW w:w="4929" w:type="dxa"/>
          </w:tcPr>
          <w:p w14:paraId="43F66B5D" w14:textId="58177D50" w:rsidR="008E7363" w:rsidRPr="00445472" w:rsidRDefault="008E7363" w:rsidP="0044283E">
            <w:pPr>
              <w:pStyle w:val="NENTITULL"/>
              <w:ind w:firstLine="0"/>
              <w:jc w:val="center"/>
            </w:pPr>
            <w:r w:rsidRPr="00445472">
              <w:t xml:space="preserve">Temperatura </w:t>
            </w:r>
            <w:r w:rsidR="00097ECB" w:rsidRPr="00445472">
              <w:t xml:space="preserve">mesatare vjetore </w:t>
            </w:r>
            <w:r w:rsidRPr="00445472">
              <w:t>(°C)</w:t>
            </w:r>
          </w:p>
        </w:tc>
      </w:tr>
    </w:tbl>
    <w:p w14:paraId="5F7C0873" w14:textId="77777777" w:rsidR="008E7363" w:rsidRPr="00445472" w:rsidRDefault="008E7363" w:rsidP="00D6100A">
      <w:pPr>
        <w:pStyle w:val="NENTITULL"/>
        <w:ind w:firstLine="0"/>
      </w:pPr>
    </w:p>
    <w:p w14:paraId="2422684C" w14:textId="26410E55" w:rsidR="00DA4F32" w:rsidRPr="00445472" w:rsidRDefault="00DA4F32" w:rsidP="00DA4F32">
      <w:pPr>
        <w:pStyle w:val="NENTITULL"/>
        <w:rPr>
          <w:sz w:val="13"/>
        </w:rPr>
      </w:pPr>
      <w:r w:rsidRPr="00445472">
        <w:t xml:space="preserve">Figura 3.3: Profilet e reshjeve dhe temperaturës në Basenin Ujor </w:t>
      </w:r>
      <w:r w:rsidR="007E76E3" w:rsidRPr="00445472">
        <w:t>Drin–Bunë</w:t>
      </w:r>
      <w:r w:rsidRPr="00445472">
        <w:rPr>
          <w:rStyle w:val="FootnoteReference"/>
          <w:rFonts w:ascii="Garamond" w:hAnsi="Garamond"/>
          <w:color w:val="auto"/>
        </w:rPr>
        <w:footnoteReference w:id="13"/>
      </w:r>
    </w:p>
    <w:p w14:paraId="1BBFB228" w14:textId="77777777" w:rsidR="00DA4F32" w:rsidRPr="00445472" w:rsidRDefault="00DA4F32" w:rsidP="00D6100A">
      <w:pPr>
        <w:pStyle w:val="NENTITULL"/>
        <w:ind w:firstLine="0"/>
      </w:pPr>
    </w:p>
    <w:p w14:paraId="7DD4A28F" w14:textId="77777777" w:rsidR="00134AB1" w:rsidRPr="00445472" w:rsidRDefault="00134AB1" w:rsidP="00134AB1">
      <w:pPr>
        <w:pStyle w:val="TEKSTIIII"/>
      </w:pPr>
      <w:r w:rsidRPr="00445472">
        <w:t>Figura 3.4 tregon reshjet mesatare mujore në Kukës në basenin e Drinit. Kjo shifër tregon natyrën sezonale të reshjeve me Qershorin, Korrikun dhe Gushtin si muajt më të thatë; që është dhe periudha më e rëndësishme për rritjen e kulturave bujqësore. Gjithashtu tregon se katër muajt më të lagësht janë nga Tetori deri në Janar. Në lartësi më të mëdha, shumica e reshjeve në muajt e dimrit është në formën e borës që shkrihet vetëm kur rritet temperatura në pranverë.</w:t>
      </w:r>
    </w:p>
    <w:p w14:paraId="616D37E4" w14:textId="45997E50" w:rsidR="00134AB1" w:rsidRPr="00445472" w:rsidRDefault="00134AB1" w:rsidP="00134AB1">
      <w:pPr>
        <w:pStyle w:val="TEKSTIIII"/>
      </w:pPr>
      <w:r w:rsidRPr="00445472">
        <w:t xml:space="preserve">Evapotranspimi potencial (PET) në Basenin Ujor </w:t>
      </w:r>
      <w:r w:rsidR="007E76E3" w:rsidRPr="00445472">
        <w:t>Drin–Bunë</w:t>
      </w:r>
      <w:r w:rsidRPr="00445472">
        <w:t xml:space="preserve"> është treguar në Figurën 3.5. Shkalla potenciale e avullimit përfaqëson sasinë e avullimit, e cila mund të ndodhë nëse toka do të ishte e lagur gjatë gjithë vitit. Në realitet, reshjet e ulëta në verë do të thotë që tokat bëhen shumë të thata për avullim dhe normat aktuale të avullimit janë më pak. Në këtë rast shkalla më e lartë e evapotranspirimit është në bregdet dhe normat më të ul</w:t>
      </w:r>
      <w:r w:rsidR="00A22C31" w:rsidRPr="00445472">
        <w:t>ë</w:t>
      </w:r>
      <w:r w:rsidRPr="00445472">
        <w:t>ta në verilindje. Harta në të djathtë të Figurës 3.5 tregon kërkesën e ujitjes të shprehur në mm në vit. Kjo është shuma PET (nevoja për ujë) minus reshjet për muajt kur PET është më e lartë se reshjet. Kjo tregon se në zonat bregdetare, ku reshjet dhe PET kanë vlera të ngjashme, kërkesa për ujitje është në një nivel të lartë prej 600 mm në vit. Kjo është për shkak të faktit se shumica e reshjeve është në dimër kur PET është i ulët.</w:t>
      </w:r>
    </w:p>
    <w:p w14:paraId="1BFA83E3" w14:textId="77777777" w:rsidR="00134AB1" w:rsidRPr="00445472" w:rsidRDefault="00134AB1" w:rsidP="00134AB1">
      <w:pPr>
        <w:pStyle w:val="TEKSTIIII"/>
      </w:pPr>
    </w:p>
    <w:p w14:paraId="4EB25A96" w14:textId="77777777" w:rsidR="00831D86" w:rsidRPr="00445472" w:rsidRDefault="00831D86" w:rsidP="00134AB1">
      <w:pPr>
        <w:pStyle w:val="TEKSTIIII"/>
      </w:pPr>
    </w:p>
    <w:p w14:paraId="2B49FB05" w14:textId="77777777" w:rsidR="00831D86" w:rsidRPr="00445472" w:rsidRDefault="00831D86" w:rsidP="00134AB1">
      <w:pPr>
        <w:pStyle w:val="TEKSTIIII"/>
      </w:pPr>
    </w:p>
    <w:p w14:paraId="502FB014" w14:textId="77777777" w:rsidR="00831D86" w:rsidRPr="00445472" w:rsidRDefault="00831D86" w:rsidP="00134AB1">
      <w:pPr>
        <w:pStyle w:val="TEKSTIIII"/>
      </w:pPr>
    </w:p>
    <w:p w14:paraId="5082D11F" w14:textId="77777777" w:rsidR="00831D86" w:rsidRPr="00445472" w:rsidRDefault="00831D86" w:rsidP="00134AB1">
      <w:pPr>
        <w:pStyle w:val="TEKSTIIII"/>
      </w:pPr>
    </w:p>
    <w:p w14:paraId="459D74A4" w14:textId="4490A460" w:rsidR="00831D86" w:rsidRPr="00445472" w:rsidRDefault="00831D86" w:rsidP="00134AB1">
      <w:pPr>
        <w:pStyle w:val="TEKSTIIII"/>
      </w:pPr>
      <w:r w:rsidRPr="00445472">
        <w:rPr>
          <w:b/>
          <w:noProof/>
          <w:lang w:val="en-US"/>
        </w:rPr>
        <w:drawing>
          <wp:inline distT="0" distB="0" distL="0" distR="0" wp14:anchorId="7BFEC6D2" wp14:editId="0D0DBDC3">
            <wp:extent cx="5563900" cy="3188473"/>
            <wp:effectExtent l="0" t="0" r="0" b="0"/>
            <wp:docPr id="1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5775" cy="3189547"/>
                    </a:xfrm>
                    <a:prstGeom prst="rect">
                      <a:avLst/>
                    </a:prstGeom>
                    <a:noFill/>
                    <a:ln>
                      <a:noFill/>
                    </a:ln>
                  </pic:spPr>
                </pic:pic>
              </a:graphicData>
            </a:graphic>
          </wp:inline>
        </w:drawing>
      </w:r>
    </w:p>
    <w:p w14:paraId="7A2461FD" w14:textId="54854BBA" w:rsidR="00831D86" w:rsidRPr="00445472" w:rsidRDefault="00831D86" w:rsidP="00AA105F">
      <w:pPr>
        <w:pStyle w:val="MEVIZE"/>
        <w:jc w:val="center"/>
        <w:rPr>
          <w:b/>
          <w:lang w:val="sq-AL"/>
        </w:rPr>
      </w:pPr>
      <w:r w:rsidRPr="00445472">
        <w:rPr>
          <w:b/>
          <w:lang w:val="sq-AL"/>
        </w:rPr>
        <w:t xml:space="preserve">Figura 3.4: Reshjet mesatare mujore në Kukës në Basenin Ujor </w:t>
      </w:r>
      <w:r w:rsidR="007E76E3" w:rsidRPr="00445472">
        <w:rPr>
          <w:b/>
          <w:lang w:val="sq-AL"/>
        </w:rPr>
        <w:t>Drin–Bunë</w:t>
      </w:r>
      <w:r w:rsidRPr="00445472">
        <w:rPr>
          <w:rStyle w:val="FootnoteReference"/>
          <w:rFonts w:ascii="Garamond" w:hAnsi="Garamond"/>
          <w:b/>
          <w:color w:val="auto"/>
          <w:lang w:val="sq-AL"/>
        </w:rPr>
        <w:footnoteReference w:id="14"/>
      </w:r>
    </w:p>
    <w:p w14:paraId="2F8771C5" w14:textId="77777777" w:rsidR="00831D86" w:rsidRPr="00445472" w:rsidRDefault="00831D86" w:rsidP="00134AB1">
      <w:pPr>
        <w:pStyle w:val="TEKSTIIII"/>
      </w:pPr>
    </w:p>
    <w:tbl>
      <w:tblPr>
        <w:tblW w:w="9558" w:type="dxa"/>
        <w:jc w:val="center"/>
        <w:tblLayout w:type="fixed"/>
        <w:tblCellMar>
          <w:left w:w="0" w:type="dxa"/>
          <w:right w:w="0" w:type="dxa"/>
        </w:tblCellMar>
        <w:tblLook w:val="01E0" w:firstRow="1" w:lastRow="1" w:firstColumn="1" w:lastColumn="1" w:noHBand="0" w:noVBand="0"/>
      </w:tblPr>
      <w:tblGrid>
        <w:gridCol w:w="4428"/>
        <w:gridCol w:w="5130"/>
      </w:tblGrid>
      <w:tr w:rsidR="00E005CD" w:rsidRPr="00445472" w14:paraId="4EDA5DBE" w14:textId="77777777" w:rsidTr="00E005CD">
        <w:trPr>
          <w:trHeight w:val="6300"/>
          <w:jc w:val="center"/>
        </w:trPr>
        <w:tc>
          <w:tcPr>
            <w:tcW w:w="4428" w:type="dxa"/>
          </w:tcPr>
          <w:p w14:paraId="4957560B" w14:textId="77777777" w:rsidR="00E005CD" w:rsidRPr="00445472" w:rsidRDefault="00E005CD" w:rsidP="00E005CD">
            <w:pPr>
              <w:pStyle w:val="TableParagraph"/>
              <w:ind w:left="0"/>
              <w:rPr>
                <w:rFonts w:ascii="Garamond" w:hAnsi="Garamond"/>
                <w:sz w:val="20"/>
              </w:rPr>
            </w:pPr>
            <w:r w:rsidRPr="00445472">
              <w:rPr>
                <w:rFonts w:ascii="Garamond" w:hAnsi="Garamond"/>
                <w:noProof/>
                <w:sz w:val="20"/>
                <w:lang w:val="en-US"/>
              </w:rPr>
              <w:drawing>
                <wp:inline distT="0" distB="0" distL="0" distR="0" wp14:anchorId="30FDD6A9" wp14:editId="1520DD73">
                  <wp:extent cx="2511425" cy="3785870"/>
                  <wp:effectExtent l="0" t="0" r="0" b="0"/>
                  <wp:docPr id="1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11425" cy="3785870"/>
                          </a:xfrm>
                          <a:prstGeom prst="rect">
                            <a:avLst/>
                          </a:prstGeom>
                          <a:noFill/>
                          <a:ln>
                            <a:noFill/>
                          </a:ln>
                        </pic:spPr>
                      </pic:pic>
                    </a:graphicData>
                  </a:graphic>
                </wp:inline>
              </w:drawing>
            </w:r>
          </w:p>
        </w:tc>
        <w:tc>
          <w:tcPr>
            <w:tcW w:w="5130" w:type="dxa"/>
          </w:tcPr>
          <w:p w14:paraId="368CB3CC" w14:textId="77777777" w:rsidR="00E005CD" w:rsidRPr="00445472" w:rsidRDefault="00E005CD" w:rsidP="00E005CD">
            <w:pPr>
              <w:pStyle w:val="TableParagraph"/>
              <w:ind w:left="0"/>
              <w:rPr>
                <w:rFonts w:ascii="Garamond" w:hAnsi="Garamond"/>
                <w:sz w:val="20"/>
              </w:rPr>
            </w:pPr>
            <w:r w:rsidRPr="00445472">
              <w:rPr>
                <w:rFonts w:ascii="Garamond" w:hAnsi="Garamond"/>
                <w:noProof/>
                <w:sz w:val="20"/>
                <w:lang w:val="en-US"/>
              </w:rPr>
              <w:drawing>
                <wp:inline distT="0" distB="0" distL="0" distR="0" wp14:anchorId="28DC4644" wp14:editId="73EB810E">
                  <wp:extent cx="2989690" cy="3856382"/>
                  <wp:effectExtent l="0" t="0" r="1270" b="0"/>
                  <wp:docPr id="1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3961"/>
                          <a:stretch/>
                        </pic:blipFill>
                        <pic:spPr bwMode="auto">
                          <a:xfrm>
                            <a:off x="0" y="0"/>
                            <a:ext cx="2993390" cy="386115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005CD" w:rsidRPr="00445472" w14:paraId="072BA8F8" w14:textId="77777777" w:rsidTr="00E005CD">
        <w:trPr>
          <w:trHeight w:val="540"/>
          <w:jc w:val="center"/>
        </w:trPr>
        <w:tc>
          <w:tcPr>
            <w:tcW w:w="4428" w:type="dxa"/>
          </w:tcPr>
          <w:p w14:paraId="2A4B2A8D" w14:textId="33B8CD61" w:rsidR="00E005CD" w:rsidRPr="00445472" w:rsidRDefault="00E005CD" w:rsidP="00317B27">
            <w:pPr>
              <w:pStyle w:val="NENTITULL"/>
              <w:ind w:firstLine="0"/>
              <w:jc w:val="center"/>
            </w:pPr>
            <w:r w:rsidRPr="00445472">
              <w:t xml:space="preserve">Evapotranspirimi </w:t>
            </w:r>
            <w:r w:rsidR="00AA105F" w:rsidRPr="00445472">
              <w:t xml:space="preserve">potencial mesatar vjetor </w:t>
            </w:r>
            <w:r w:rsidRPr="00445472">
              <w:t>(mm/vit)</w:t>
            </w:r>
          </w:p>
        </w:tc>
        <w:tc>
          <w:tcPr>
            <w:tcW w:w="5130" w:type="dxa"/>
          </w:tcPr>
          <w:p w14:paraId="20AC259D" w14:textId="3E7CF47F" w:rsidR="00E005CD" w:rsidRPr="00445472" w:rsidRDefault="00E005CD" w:rsidP="00317B27">
            <w:pPr>
              <w:pStyle w:val="NENTITULL"/>
              <w:ind w:firstLine="0"/>
              <w:jc w:val="center"/>
            </w:pPr>
            <w:r w:rsidRPr="00445472">
              <w:t>Kërkesa mesatare vjetore për ujitje (mm/vit)</w:t>
            </w:r>
          </w:p>
        </w:tc>
      </w:tr>
    </w:tbl>
    <w:p w14:paraId="0482AC90" w14:textId="686AA241" w:rsidR="006853CD" w:rsidRPr="00445472" w:rsidRDefault="006853CD" w:rsidP="006853CD">
      <w:pPr>
        <w:pStyle w:val="NENTITULL"/>
        <w:jc w:val="center"/>
        <w:rPr>
          <w:sz w:val="13"/>
        </w:rPr>
      </w:pPr>
      <w:r w:rsidRPr="00445472">
        <w:t>Figura 3.5: Evapotranspirimi potencial mesatar vjetor dhe kërkesa mesatare vjetore p</w:t>
      </w:r>
      <w:r w:rsidR="00AA105F" w:rsidRPr="00445472">
        <w:t>ë</w:t>
      </w:r>
      <w:r w:rsidRPr="00445472">
        <w:t xml:space="preserve">r ujitje në Basenin Ujor </w:t>
      </w:r>
      <w:r w:rsidR="007E76E3" w:rsidRPr="00445472">
        <w:t>Drin–Bunë</w:t>
      </w:r>
      <w:r w:rsidRPr="00445472">
        <w:rPr>
          <w:rStyle w:val="FootnoteReference"/>
          <w:rFonts w:ascii="Garamond" w:hAnsi="Garamond"/>
          <w:color w:val="auto"/>
        </w:rPr>
        <w:footnoteReference w:id="15"/>
      </w:r>
    </w:p>
    <w:p w14:paraId="311D3A6E" w14:textId="77777777" w:rsidR="00E005CD" w:rsidRPr="00445472" w:rsidRDefault="00E005CD" w:rsidP="00134AB1">
      <w:pPr>
        <w:pStyle w:val="TEKSTIIII"/>
      </w:pPr>
    </w:p>
    <w:p w14:paraId="41137AC9" w14:textId="7E927616" w:rsidR="00C2640A" w:rsidRPr="00445472" w:rsidRDefault="00C2640A" w:rsidP="00C2640A">
      <w:pPr>
        <w:pStyle w:val="NENTITULL"/>
      </w:pPr>
      <w:bookmarkStart w:id="42" w:name="_Toc486503387"/>
      <w:bookmarkStart w:id="43" w:name="_Toc11068749"/>
      <w:r w:rsidRPr="00445472">
        <w:t xml:space="preserve">3.4 Prurja </w:t>
      </w:r>
      <w:r w:rsidR="00AA105F" w:rsidRPr="00445472">
        <w:t>lumore</w:t>
      </w:r>
      <w:bookmarkEnd w:id="42"/>
      <w:bookmarkEnd w:id="43"/>
    </w:p>
    <w:p w14:paraId="235A5640" w14:textId="7246B251" w:rsidR="00C2640A" w:rsidRPr="00445472" w:rsidRDefault="00C2640A" w:rsidP="00C2640A">
      <w:pPr>
        <w:pStyle w:val="TEKSTIIII"/>
      </w:pPr>
      <w:r w:rsidRPr="00445472">
        <w:t xml:space="preserve">Pellgu hidrografik i Drinit ka një </w:t>
      </w:r>
      <w:r w:rsidR="00A22C31" w:rsidRPr="00445472">
        <w:t>sipërfaqe</w:t>
      </w:r>
      <w:r w:rsidRPr="00445472">
        <w:t xml:space="preserve"> totale prej 19,582 km</w:t>
      </w:r>
      <w:r w:rsidRPr="00445472">
        <w:rPr>
          <w:vertAlign w:val="superscript"/>
        </w:rPr>
        <w:t>2</w:t>
      </w:r>
      <w:r w:rsidRPr="00445472">
        <w:t xml:space="preserve"> nga të cilat 14,173 km</w:t>
      </w:r>
      <w:r w:rsidRPr="00445472">
        <w:rPr>
          <w:vertAlign w:val="superscript"/>
        </w:rPr>
        <w:t>2</w:t>
      </w:r>
      <w:r w:rsidRPr="00445472">
        <w:t xml:space="preserve"> i takojnë Drinit dhe 5,187 km</w:t>
      </w:r>
      <w:r w:rsidRPr="00445472">
        <w:rPr>
          <w:vertAlign w:val="superscript"/>
        </w:rPr>
        <w:t>2</w:t>
      </w:r>
      <w:r w:rsidRPr="00445472">
        <w:t xml:space="preserve"> lumit Bunë. Drini formohet nga dy degët kryesore: Drini i Zi, me një sipërfaqe ujëmbledhësi prej 5,885 km</w:t>
      </w:r>
      <w:r w:rsidRPr="00445472">
        <w:rPr>
          <w:vertAlign w:val="superscript"/>
        </w:rPr>
        <w:t>2</w:t>
      </w:r>
      <w:r w:rsidRPr="00445472">
        <w:t xml:space="preserve">, që rrjedh nga Maqedonia dhe Drini i Bardhë, nga Kosova. </w:t>
      </w:r>
    </w:p>
    <w:p w14:paraId="5BAB97EF" w14:textId="77777777" w:rsidR="00C2640A" w:rsidRPr="00445472" w:rsidRDefault="00C2640A" w:rsidP="00C2640A">
      <w:pPr>
        <w:pStyle w:val="TEKSTIIII"/>
      </w:pPr>
      <w:r w:rsidRPr="00445472">
        <w:t>Lumi Bunë rrjedh nga Liqeni i Shkodrës, i cili ushqehet nga lumenj me origjinë nga Mali i Zi dhe Shqipëria; dega më e madhe e tij është lumi Moraça. Në kohë të niveleve të ulëta në Liqenin e Shkodrës rrjedha e lumit Bunë mund të kthehet në drejtimin e kundërt.</w:t>
      </w:r>
    </w:p>
    <w:p w14:paraId="60F09EFD" w14:textId="77777777" w:rsidR="00C2640A" w:rsidRPr="00445472" w:rsidRDefault="00C2640A" w:rsidP="00C2640A">
      <w:pPr>
        <w:pStyle w:val="TEKSTIIII"/>
      </w:pPr>
      <w:r w:rsidRPr="00445472">
        <w:t>Në të kaluarën, daljet e lumenjve Bunë dhe Drin kanë qenë të ndara. Aktualisht shtrati i vjetër i Drinit, që drejtohet në jug të qytetit të Lezhës, mbart vetëm një pjesë të vogël të shkarkimit; pjesa tjetër takon Bunën pranë Shkodrës dhe ndjek shtratin e saj përgjatë kufirit me Malin e Zi.</w:t>
      </w:r>
    </w:p>
    <w:p w14:paraId="0A1030B9" w14:textId="3E0C4204" w:rsidR="00C2640A" w:rsidRPr="00445472" w:rsidRDefault="00C2640A" w:rsidP="00C2640A">
      <w:pPr>
        <w:pStyle w:val="TEKSTIIII"/>
      </w:pPr>
      <w:r w:rsidRPr="00445472">
        <w:t>Lumi Drin për periudhën 1951</w:t>
      </w:r>
      <w:r w:rsidR="00AA105F" w:rsidRPr="00445472">
        <w:t>–</w:t>
      </w:r>
      <w:r w:rsidRPr="00445472">
        <w:t>1985 ka një prurje shkarkuese mesatare vjetore prej 680 m³/s, nga të cilat 360 m³/s vijnë nga vetë Drini dhe 320 m³/s nga Buna. Norma e rrjedhës sipërfaqësore rezulton të jetë rreth 35 l</w:t>
      </w:r>
      <w:r w:rsidR="001D340B" w:rsidRPr="00445472">
        <w:t>/</w:t>
      </w:r>
      <w:r w:rsidRPr="00445472">
        <w:t>s.km</w:t>
      </w:r>
      <w:r w:rsidRPr="00445472">
        <w:rPr>
          <w:vertAlign w:val="superscript"/>
        </w:rPr>
        <w:t>2</w:t>
      </w:r>
      <w:r w:rsidRPr="00445472">
        <w:t xml:space="preserve"> dhe </w:t>
      </w:r>
      <w:r w:rsidR="00A22C31" w:rsidRPr="00445472">
        <w:t>koeficienti</w:t>
      </w:r>
      <w:r w:rsidRPr="00445472">
        <w:t xml:space="preserve"> i shkarkimit 0.74. Këto vlera të larta janë kryesisht për shkak të rendimentit shumë të lartë të Bunës, të cilat nuk mund të shfrytëzohen shumë përveç lundrimit. Duke pasur parasysh përdorimin e ujit në Shqipëri, lumi më i rëndësishëm është Drini.</w:t>
      </w:r>
    </w:p>
    <w:p w14:paraId="2A29D065" w14:textId="775C16B3" w:rsidR="00C2640A" w:rsidRPr="00445472" w:rsidRDefault="00C2640A" w:rsidP="00C2640A">
      <w:pPr>
        <w:pStyle w:val="TEKSTIIII"/>
      </w:pPr>
      <w:r w:rsidRPr="00445472">
        <w:t>Figura 3.6 tregon prurjen mujore të lumit Drin në rrjedhën e sipërme të bashkimit me Bunën. Një tipar interesant i modelit të prurjes është se flukset në Prill dhe Maj janë më të larta se ato të Janarit dhe Shkurtit, ndërsa me reshjet është e kundërta. Arsyeja për këtë është se pjesa më e madhe e reshjeve në dimër në male bie si borë dhe bëhet prurje vetëm në fund të pranverës. Dëbora e malit është, në fakt, një rezervuar, i cili kontribuon me ujë në fillim të sezonit t</w:t>
      </w:r>
      <w:r w:rsidR="00034FBB">
        <w:t>ë</w:t>
      </w:r>
      <w:r w:rsidRPr="00445472">
        <w:t xml:space="preserve"> ujitjes. Ka të ngjarë që me ndryshimet klimatike dhe temperaturat më të larta, do të ketë më pak borë në dimër dhe modeli sezonal i prurjes së lumit do të ketë më shumë ngjashmëri me modelin e reshjeve.</w:t>
      </w:r>
    </w:p>
    <w:p w14:paraId="212C8C75" w14:textId="77777777" w:rsidR="00C2640A" w:rsidRPr="00445472" w:rsidRDefault="00C2640A" w:rsidP="00C2640A">
      <w:pPr>
        <w:pStyle w:val="TEKSTIIII"/>
      </w:pPr>
    </w:p>
    <w:p w14:paraId="45152F35" w14:textId="77777777" w:rsidR="00C2640A" w:rsidRPr="00445472" w:rsidRDefault="00C2640A" w:rsidP="00C2640A">
      <w:pPr>
        <w:pStyle w:val="TEKSTIIII"/>
        <w:rPr>
          <w:b/>
          <w:sz w:val="13"/>
        </w:rPr>
      </w:pPr>
    </w:p>
    <w:p w14:paraId="58C0E1C3" w14:textId="77777777" w:rsidR="00C2640A" w:rsidRPr="00445472" w:rsidRDefault="00C2640A" w:rsidP="00C2640A">
      <w:pPr>
        <w:pStyle w:val="TEKSTIIII"/>
        <w:rPr>
          <w:b/>
        </w:rPr>
      </w:pPr>
      <w:r w:rsidRPr="00445472">
        <w:rPr>
          <w:noProof/>
          <w:lang w:val="en-US"/>
        </w:rPr>
        <w:drawing>
          <wp:anchor distT="0" distB="0" distL="114300" distR="114300" simplePos="0" relativeHeight="251605504" behindDoc="1" locked="0" layoutInCell="1" allowOverlap="1" wp14:anchorId="26365DDA" wp14:editId="5B506C8B">
            <wp:simplePos x="0" y="0"/>
            <wp:positionH relativeFrom="column">
              <wp:posOffset>69629</wp:posOffset>
            </wp:positionH>
            <wp:positionV relativeFrom="paragraph">
              <wp:posOffset>-248</wp:posOffset>
            </wp:positionV>
            <wp:extent cx="5470498" cy="2639833"/>
            <wp:effectExtent l="0" t="0" r="0" b="8255"/>
            <wp:wrapNone/>
            <wp:docPr id="1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3700" cy="26413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1EA0D" w14:textId="77777777" w:rsidR="00C2640A" w:rsidRPr="00445472" w:rsidRDefault="00C2640A" w:rsidP="00C2640A">
      <w:pPr>
        <w:pStyle w:val="TEKSTIIII"/>
        <w:rPr>
          <w:b/>
        </w:rPr>
      </w:pPr>
    </w:p>
    <w:p w14:paraId="309CEA5D" w14:textId="77777777" w:rsidR="00C2640A" w:rsidRPr="00445472" w:rsidRDefault="00C2640A" w:rsidP="00C2640A">
      <w:pPr>
        <w:pStyle w:val="TEKSTIIII"/>
        <w:rPr>
          <w:b/>
        </w:rPr>
      </w:pPr>
    </w:p>
    <w:p w14:paraId="0ED7AC28" w14:textId="77777777" w:rsidR="00C2640A" w:rsidRPr="00445472" w:rsidRDefault="00C2640A" w:rsidP="00C2640A">
      <w:pPr>
        <w:pStyle w:val="TEKSTIIII"/>
        <w:rPr>
          <w:b/>
        </w:rPr>
      </w:pPr>
    </w:p>
    <w:p w14:paraId="02F4411E" w14:textId="77777777" w:rsidR="00C2640A" w:rsidRPr="00445472" w:rsidRDefault="00C2640A" w:rsidP="00C2640A">
      <w:pPr>
        <w:pStyle w:val="TEKSTIIII"/>
        <w:rPr>
          <w:b/>
        </w:rPr>
      </w:pPr>
    </w:p>
    <w:p w14:paraId="6F72D36B" w14:textId="77777777" w:rsidR="00C2640A" w:rsidRPr="00445472" w:rsidRDefault="00C2640A" w:rsidP="00C2640A">
      <w:pPr>
        <w:pStyle w:val="TEKSTIIII"/>
        <w:rPr>
          <w:b/>
        </w:rPr>
      </w:pPr>
    </w:p>
    <w:p w14:paraId="2325A091" w14:textId="77777777" w:rsidR="00C2640A" w:rsidRPr="00445472" w:rsidRDefault="00C2640A" w:rsidP="00C2640A">
      <w:pPr>
        <w:pStyle w:val="TEKSTIIII"/>
        <w:rPr>
          <w:b/>
        </w:rPr>
      </w:pPr>
    </w:p>
    <w:p w14:paraId="758DAC6B" w14:textId="77777777" w:rsidR="00C2640A" w:rsidRPr="00445472" w:rsidRDefault="00C2640A" w:rsidP="00C2640A">
      <w:pPr>
        <w:pStyle w:val="TEKSTIIII"/>
        <w:rPr>
          <w:b/>
        </w:rPr>
      </w:pPr>
      <w:r w:rsidRPr="00445472">
        <w:rPr>
          <w:noProof/>
          <w:lang w:val="en-US"/>
        </w:rPr>
        <mc:AlternateContent>
          <mc:Choice Requires="wps">
            <w:drawing>
              <wp:anchor distT="0" distB="0" distL="114300" distR="114300" simplePos="0" relativeHeight="251594240" behindDoc="0" locked="0" layoutInCell="1" allowOverlap="1" wp14:anchorId="3EFEAB5C" wp14:editId="4B00CACD">
                <wp:simplePos x="0" y="0"/>
                <wp:positionH relativeFrom="page">
                  <wp:posOffset>752475</wp:posOffset>
                </wp:positionH>
                <wp:positionV relativeFrom="paragraph">
                  <wp:posOffset>226695</wp:posOffset>
                </wp:positionV>
                <wp:extent cx="238125" cy="919480"/>
                <wp:effectExtent l="0" t="0" r="0" b="0"/>
                <wp:wrapNone/>
                <wp:docPr id="402" name="Text 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919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DE3EB" w14:textId="77777777" w:rsidR="00E14B89" w:rsidRPr="00B90716" w:rsidRDefault="00E14B89" w:rsidP="00C2640A">
                            <w:pPr>
                              <w:spacing w:after="0"/>
                              <w:ind w:left="23" w:right="-181"/>
                              <w:jc w:val="center"/>
                              <w:rPr>
                                <w:rFonts w:ascii="Calibri"/>
                                <w:sz w:val="16"/>
                                <w:szCs w:val="16"/>
                              </w:rPr>
                            </w:pPr>
                            <w:r w:rsidRPr="00B90716">
                              <w:rPr>
                                <w:rFonts w:ascii="Calibri"/>
                                <w:color w:val="585858"/>
                                <w:spacing w:val="-2"/>
                                <w:w w:val="102"/>
                                <w:sz w:val="16"/>
                                <w:szCs w:val="16"/>
                              </w:rPr>
                              <w:t xml:space="preserve">Rrjedhja  </w:t>
                            </w:r>
                            <w:r w:rsidRPr="00B90716">
                              <w:rPr>
                                <w:rFonts w:ascii="Calibri"/>
                                <w:color w:val="585858"/>
                                <w:spacing w:val="-1"/>
                                <w:w w:val="102"/>
                                <w:sz w:val="16"/>
                                <w:szCs w:val="16"/>
                              </w:rPr>
                              <w:t>(</w:t>
                            </w:r>
                            <w:r w:rsidRPr="00B90716">
                              <w:rPr>
                                <w:rFonts w:ascii="Calibri"/>
                                <w:color w:val="585858"/>
                                <w:w w:val="102"/>
                                <w:sz w:val="16"/>
                                <w:szCs w:val="16"/>
                              </w:rPr>
                              <w:t>m</w:t>
                            </w:r>
                            <w:r w:rsidRPr="00B90716">
                              <w:rPr>
                                <w:rFonts w:ascii="Calibri"/>
                                <w:color w:val="585858"/>
                                <w:spacing w:val="1"/>
                                <w:w w:val="99"/>
                                <w:position w:val="4"/>
                                <w:sz w:val="16"/>
                                <w:szCs w:val="16"/>
                              </w:rPr>
                              <w:t>3</w:t>
                            </w:r>
                            <w:r w:rsidRPr="00B90716">
                              <w:rPr>
                                <w:rFonts w:ascii="Calibri"/>
                                <w:color w:val="585858"/>
                                <w:w w:val="102"/>
                                <w:sz w:val="16"/>
                                <w:szCs w:val="16"/>
                              </w:rPr>
                              <w: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EAB5C" id="_x0000_t202" coordsize="21600,21600" o:spt="202" path="m,l,21600r21600,l21600,xe">
                <v:stroke joinstyle="miter"/>
                <v:path gradientshapeok="t" o:connecttype="rect"/>
              </v:shapetype>
              <v:shape id="Text Box 402" o:spid="_x0000_s1026" type="#_x0000_t202" style="position:absolute;left:0;text-align:left;margin-left:59.25pt;margin-top:17.85pt;width:18.75pt;height:72.4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" filled="f" stroked="f">
                <v:textbox style="layout-flow:vertical;mso-layout-flow-alt:bottom-to-top" inset="0,0,0,0">
                  <w:txbxContent>
                    <w:p w14:paraId="3C1DE3EB" w14:textId="77777777" w:rsidR="00E14B89" w:rsidRPr="00B90716" w:rsidRDefault="00E14B89" w:rsidP="00C2640A">
                      <w:pPr>
                        <w:spacing w:after="0"/>
                        <w:ind w:left="23" w:right="-181"/>
                        <w:jc w:val="center"/>
                        <w:rPr>
                          <w:rFonts w:ascii="Calibri"/>
                          <w:sz w:val="16"/>
                          <w:szCs w:val="16"/>
                        </w:rPr>
                      </w:pPr>
                      <w:r w:rsidRPr="00B90716">
                        <w:rPr>
                          <w:rFonts w:ascii="Calibri"/>
                          <w:color w:val="585858"/>
                          <w:spacing w:val="-2"/>
                          <w:w w:val="102"/>
                          <w:sz w:val="16"/>
                          <w:szCs w:val="16"/>
                        </w:rPr>
                        <w:t xml:space="preserve">Rrjedhja  </w:t>
                      </w:r>
                      <w:r w:rsidRPr="00B90716">
                        <w:rPr>
                          <w:rFonts w:ascii="Calibri"/>
                          <w:color w:val="585858"/>
                          <w:spacing w:val="-1"/>
                          <w:w w:val="102"/>
                          <w:sz w:val="16"/>
                          <w:szCs w:val="16"/>
                        </w:rPr>
                        <w:t>(</w:t>
                      </w:r>
                      <w:r w:rsidRPr="00B90716">
                        <w:rPr>
                          <w:rFonts w:ascii="Calibri"/>
                          <w:color w:val="585858"/>
                          <w:w w:val="102"/>
                          <w:sz w:val="16"/>
                          <w:szCs w:val="16"/>
                        </w:rPr>
                        <w:t>m</w:t>
                      </w:r>
                      <w:r w:rsidRPr="00B90716">
                        <w:rPr>
                          <w:rFonts w:ascii="Calibri"/>
                          <w:color w:val="585858"/>
                          <w:spacing w:val="1"/>
                          <w:w w:val="99"/>
                          <w:position w:val="4"/>
                          <w:sz w:val="16"/>
                          <w:szCs w:val="16"/>
                        </w:rPr>
                        <w:t>3</w:t>
                      </w:r>
                      <w:r w:rsidRPr="00B90716">
                        <w:rPr>
                          <w:rFonts w:ascii="Calibri"/>
                          <w:color w:val="585858"/>
                          <w:w w:val="102"/>
                          <w:sz w:val="16"/>
                          <w:szCs w:val="16"/>
                        </w:rPr>
                        <w:t>/s)</w:t>
                      </w:r>
                    </w:p>
                  </w:txbxContent>
                </v:textbox>
                <w10:wrap anchorx="page"/>
              </v:shape>
            </w:pict>
          </mc:Fallback>
        </mc:AlternateContent>
      </w:r>
    </w:p>
    <w:p w14:paraId="571C8B97" w14:textId="77777777" w:rsidR="00C2640A" w:rsidRPr="00445472" w:rsidRDefault="00C2640A" w:rsidP="00C2640A">
      <w:pPr>
        <w:pStyle w:val="TEKSTIIII"/>
        <w:rPr>
          <w:b/>
        </w:rPr>
      </w:pPr>
    </w:p>
    <w:p w14:paraId="7D241078" w14:textId="77777777" w:rsidR="00C2640A" w:rsidRPr="00445472" w:rsidRDefault="00C2640A" w:rsidP="00C2640A">
      <w:pPr>
        <w:pStyle w:val="TEKSTIIII"/>
        <w:rPr>
          <w:b/>
        </w:rPr>
      </w:pPr>
    </w:p>
    <w:p w14:paraId="6B98CC05" w14:textId="77777777" w:rsidR="00C2640A" w:rsidRPr="00445472" w:rsidRDefault="00C2640A" w:rsidP="00C2640A">
      <w:pPr>
        <w:pStyle w:val="TEKSTIIII"/>
        <w:rPr>
          <w:b/>
        </w:rPr>
      </w:pPr>
    </w:p>
    <w:p w14:paraId="5FD7C28B" w14:textId="77777777" w:rsidR="00C2640A" w:rsidRPr="00445472" w:rsidRDefault="00C2640A" w:rsidP="00C2640A">
      <w:pPr>
        <w:pStyle w:val="TEKSTIIII"/>
        <w:rPr>
          <w:b/>
        </w:rPr>
      </w:pPr>
    </w:p>
    <w:p w14:paraId="734F2988" w14:textId="77777777" w:rsidR="00C2640A" w:rsidRPr="00445472" w:rsidRDefault="00C2640A" w:rsidP="00C2640A">
      <w:pPr>
        <w:pStyle w:val="TEKSTIIII"/>
        <w:rPr>
          <w:b/>
        </w:rPr>
      </w:pPr>
    </w:p>
    <w:p w14:paraId="3EF93AD8" w14:textId="77777777" w:rsidR="00C2640A" w:rsidRPr="00445472" w:rsidRDefault="00C2640A" w:rsidP="00C2640A">
      <w:pPr>
        <w:pStyle w:val="TEKSTIIII"/>
        <w:rPr>
          <w:b/>
        </w:rPr>
      </w:pPr>
    </w:p>
    <w:p w14:paraId="7A5354CB" w14:textId="77777777" w:rsidR="00C2640A" w:rsidRPr="00445472" w:rsidRDefault="00C2640A" w:rsidP="00C2640A">
      <w:pPr>
        <w:pStyle w:val="TEKSTIIII"/>
        <w:rPr>
          <w:b/>
        </w:rPr>
      </w:pPr>
    </w:p>
    <w:p w14:paraId="298920BF" w14:textId="77777777" w:rsidR="00C2640A" w:rsidRPr="00445472" w:rsidRDefault="00C2640A" w:rsidP="00AA105F">
      <w:pPr>
        <w:pStyle w:val="TEKSTIIII"/>
        <w:jc w:val="center"/>
        <w:rPr>
          <w:b/>
        </w:rPr>
      </w:pPr>
      <w:r w:rsidRPr="00445472">
        <w:rPr>
          <w:b/>
        </w:rPr>
        <w:t>Figura 3.6:  Prurja mesatare mujore në lumin e Drinit në rrjedhën e sipërme të bashkimit me lumin Bunë</w:t>
      </w:r>
      <w:r w:rsidRPr="00445472">
        <w:rPr>
          <w:rStyle w:val="FootnoteReference"/>
          <w:rFonts w:ascii="Garamond" w:hAnsi="Garamond"/>
          <w:b/>
          <w:color w:val="auto"/>
        </w:rPr>
        <w:footnoteReference w:id="16"/>
      </w:r>
    </w:p>
    <w:p w14:paraId="0473083E" w14:textId="77777777" w:rsidR="003D15A1" w:rsidRDefault="003D15A1" w:rsidP="004C5AE1">
      <w:pPr>
        <w:pStyle w:val="NENTITULL"/>
      </w:pPr>
      <w:bookmarkStart w:id="44" w:name="_Toc486503388"/>
      <w:bookmarkStart w:id="45" w:name="_Toc11068750"/>
    </w:p>
    <w:p w14:paraId="4C0FF030" w14:textId="77777777" w:rsidR="003D15A1" w:rsidRDefault="003D15A1" w:rsidP="004C5AE1">
      <w:pPr>
        <w:pStyle w:val="NENTITULL"/>
      </w:pPr>
    </w:p>
    <w:p w14:paraId="571C5DA2" w14:textId="5CC4AD6C" w:rsidR="00C2640A" w:rsidRPr="00445472" w:rsidRDefault="004C5AE1" w:rsidP="004C5AE1">
      <w:pPr>
        <w:pStyle w:val="NENTITULL"/>
      </w:pPr>
      <w:r w:rsidRPr="00445472">
        <w:t xml:space="preserve">3.5 </w:t>
      </w:r>
      <w:r w:rsidR="00C2640A" w:rsidRPr="00445472">
        <w:t xml:space="preserve">Burimet ujore të Basenit Ujor </w:t>
      </w:r>
      <w:bookmarkEnd w:id="44"/>
      <w:r w:rsidR="007E76E3" w:rsidRPr="00445472">
        <w:t>Drin–Bunë</w:t>
      </w:r>
      <w:bookmarkEnd w:id="45"/>
    </w:p>
    <w:p w14:paraId="7640FB72" w14:textId="75A9D3D5" w:rsidR="00C2640A" w:rsidRPr="00445472" w:rsidRDefault="00C2640A" w:rsidP="00C2640A">
      <w:pPr>
        <w:pStyle w:val="TEKSTIIII"/>
      </w:pPr>
      <w:bookmarkStart w:id="46" w:name="_Toc481259785"/>
      <w:r w:rsidRPr="00445472">
        <w:t xml:space="preserve">Ky seksion përmbledh rezultatet e një modeli të kalibruar të burimeve ujore të Basenit </w:t>
      </w:r>
      <w:r w:rsidR="007E76E3" w:rsidRPr="00445472">
        <w:t>Drin–Bunë</w:t>
      </w:r>
      <w:r w:rsidRPr="00445472">
        <w:t>.</w:t>
      </w:r>
    </w:p>
    <w:bookmarkEnd w:id="46"/>
    <w:p w14:paraId="35FB3E53" w14:textId="4B2DD456" w:rsidR="00C2640A" w:rsidRPr="00445472" w:rsidRDefault="00C2640A" w:rsidP="00C2640A">
      <w:pPr>
        <w:pStyle w:val="TEKSTIIII"/>
      </w:pPr>
      <w:r w:rsidRPr="00445472">
        <w:t xml:space="preserve">Modeli është zhvilluar në softuerin e modelimit të Baseneve Ujore </w:t>
      </w:r>
      <w:r w:rsidR="000A1B7F" w:rsidRPr="00445472">
        <w:t>Mike Hydro</w:t>
      </w:r>
      <w:r w:rsidRPr="00445472">
        <w:t xml:space="preserve">, i cili simulon një ekuilibër të ujit të basenit duke përdorur një rrjet </w:t>
      </w:r>
      <w:r w:rsidR="00AA105F" w:rsidRPr="00445472">
        <w:t>nyja</w:t>
      </w:r>
      <w:r w:rsidRPr="00445472">
        <w:t xml:space="preserve">sh lidhëse. Inputet e prurjeve në basen (duke përfshirë shkrirjen e borës) janë përllogaritur si funksion i reshjeve, avullimit dhe temperaturës duke përdorur modelin prurje-reshje NAM. Elementet e </w:t>
      </w:r>
      <w:r w:rsidR="00AA105F" w:rsidRPr="00445472">
        <w:t>nyja</w:t>
      </w:r>
      <w:r w:rsidRPr="00445472">
        <w:t xml:space="preserve">ve në Basenin </w:t>
      </w:r>
      <w:r w:rsidR="000A1B7F" w:rsidRPr="00445472">
        <w:t>Mike Hydro</w:t>
      </w:r>
      <w:r w:rsidRPr="00445472">
        <w:t xml:space="preserve"> përfshijnë rezervuarët dhe liqenet, ku ruhen ujërat, hidrocentralet dhe element</w:t>
      </w:r>
      <w:r w:rsidR="00E929FD">
        <w:t>e</w:t>
      </w:r>
      <w:r w:rsidRPr="00445472">
        <w:t xml:space="preserve">t e përdorimit të tij, të cilat përfaqësojnë vendet ku uji nxirret për përdorim ujitje, familjar ose industrial. Reagimet ndërmjet ujërave sipërfaqësorë dhe ujërave nëntokësorë simulohen duke përdorur modelin e thjeshtuar linear me dy shtresa të ujërave nëntokësorë. Bazuar në elementet e </w:t>
      </w:r>
      <w:r w:rsidR="00AA105F" w:rsidRPr="00445472">
        <w:t>nyja</w:t>
      </w:r>
      <w:r w:rsidRPr="00445472">
        <w:t>ve, baseni është përvijuar i ndarë në nën basene, të cilat janë njësitë e thjeshtuara për simulimin e proceseve të reshje-prurje dhe prurjeve të ujërave nëntokësorë.</w:t>
      </w:r>
    </w:p>
    <w:p w14:paraId="0292BE03" w14:textId="5B003BE4" w:rsidR="00C2640A" w:rsidRPr="00445472" w:rsidRDefault="00C2640A" w:rsidP="00C2640A">
      <w:pPr>
        <w:pStyle w:val="TEKSTIIII"/>
      </w:pPr>
      <w:r w:rsidRPr="00445472">
        <w:t>Të dhënat e modelit përfshijnë të dhënat meteorologjike</w:t>
      </w:r>
      <w:r w:rsidR="008F0A9F" w:rsidRPr="00445472">
        <w:t>, si dhe</w:t>
      </w:r>
      <w:r w:rsidRPr="00445472">
        <w:t xml:space="preserve"> të dhënat e kalibrimit. Të gjitha inputet meteorologjike janë marrë nga grupet e të dhënave globale. Të dhënat e kalibrimit, të cilat janë marrë nga një përzierje e grupeve të të dhënave vendore dhe globale, përfshijnë seri kohore të shkarkimit të lumenjve, nivelet e </w:t>
      </w:r>
      <w:r w:rsidR="00AA105F" w:rsidRPr="00445472">
        <w:t>rezervuarëve</w:t>
      </w:r>
      <w:r w:rsidRPr="00445472">
        <w:t xml:space="preserve"> dhe informacionin për prodhimin e hidrocentraleve.</w:t>
      </w:r>
    </w:p>
    <w:p w14:paraId="529033FC" w14:textId="2E3E5CA9" w:rsidR="00C2640A" w:rsidRPr="00445472" w:rsidRDefault="00C2640A" w:rsidP="00C2640A">
      <w:pPr>
        <w:pStyle w:val="TEKSTIIII"/>
      </w:pPr>
      <w:r w:rsidRPr="00445472">
        <w:t>Aktivitetet antropogjene që ndikojnë në balancën e ujërave të basenit përfshijnë ujitjen, prodhimin hidroenergjitik, përdorimet familjare dhe industriale. Aktivitetet e ujitjes përfshijnë ruajtjen e prurjeve sezonale në rezervuarët e vegjël të ujitjes</w:t>
      </w:r>
      <w:r w:rsidR="008F0A9F" w:rsidRPr="00445472">
        <w:t>, si dhe</w:t>
      </w:r>
      <w:r w:rsidRPr="00445472">
        <w:t xml:space="preserve"> devijimin e rrjedhave të lumenjve për ujitje. Rezervuarët e ujitjes dhe përdorimi i ujit për ujitje janë trajtuar në nivelin e nënbasenit për të zvogëluar kompleksitetin e modelit. Prodhimi hidroenergjitik ndodh në tre </w:t>
      </w:r>
      <w:r w:rsidR="00AA105F" w:rsidRPr="00445472">
        <w:t>rezervuarët</w:t>
      </w:r>
      <w:r w:rsidRPr="00445472">
        <w:t xml:space="preserve"> kryesor</w:t>
      </w:r>
      <w:r w:rsidR="00AA105F" w:rsidRPr="00445472">
        <w:t>ë</w:t>
      </w:r>
      <w:r w:rsidRPr="00445472">
        <w:t xml:space="preserve"> të kaskadës së Drinit. Përdorimet familjare dhe industriale supozohet të jenë të barabarta me prodhimin e ujit të raportuar nga ndërmarrjet e furnizimit me ujë.</w:t>
      </w:r>
    </w:p>
    <w:p w14:paraId="01271B8D" w14:textId="0386B23A" w:rsidR="00C2640A" w:rsidRPr="00445472" w:rsidRDefault="00C2640A" w:rsidP="00C2640A">
      <w:pPr>
        <w:pStyle w:val="TEKSTIIII"/>
      </w:pPr>
      <w:r w:rsidRPr="00445472">
        <w:t>Modeli është kalibruar duke përshtatur parametrat e modelit reshje-prurje, rregullat e operimit të rezervuar</w:t>
      </w:r>
      <w:r w:rsidR="00B35145">
        <w:t>ë</w:t>
      </w:r>
      <w:r w:rsidRPr="00445472">
        <w:t>ve dhe parametrat e ujërave nëntokësorë. Kalibrimi i prurjeve hyrëse në kaskadën e Drinit, siç matet në Rezervuarin e Fierzës, është i arsyeshëm. Megjithatë, kalibrimi i hyrjeve të simuluara lokale në rezervuarët e Komanit dhe Vaut të Dejës duhet të rishqyrtohet nëse ka më shumë të dhëna në dispozicion, si për</w:t>
      </w:r>
      <w:r w:rsidR="00A22C31" w:rsidRPr="00445472">
        <w:t xml:space="preserve"> </w:t>
      </w:r>
      <w:r w:rsidRPr="00445472">
        <w:t xml:space="preserve">sa </w:t>
      </w:r>
      <w:r w:rsidR="00A22C31" w:rsidRPr="00445472">
        <w:t>u</w:t>
      </w:r>
      <w:r w:rsidRPr="00445472">
        <w:t xml:space="preserve"> përket sasisë dhe cilësisë së të dhënave ashtu dhe për kalibrimin.</w:t>
      </w:r>
    </w:p>
    <w:p w14:paraId="6747DECD" w14:textId="63D15D09" w:rsidR="00C2640A" w:rsidRPr="00445472" w:rsidRDefault="00B20F8C" w:rsidP="00C2640A">
      <w:pPr>
        <w:pStyle w:val="TEKSTIIII"/>
        <w:rPr>
          <w:b/>
        </w:rPr>
      </w:pPr>
      <w:bookmarkStart w:id="47" w:name="_Toc11068751"/>
      <w:r w:rsidRPr="00445472">
        <w:rPr>
          <w:b/>
        </w:rPr>
        <w:t xml:space="preserve">3.5.1 </w:t>
      </w:r>
      <w:r w:rsidR="00C2640A" w:rsidRPr="00445472">
        <w:rPr>
          <w:b/>
        </w:rPr>
        <w:t>Sistemi i modelimit dhe elementet e tij bazë</w:t>
      </w:r>
      <w:bookmarkEnd w:id="47"/>
    </w:p>
    <w:p w14:paraId="4B3B5981" w14:textId="4658D9BF" w:rsidR="00C2640A" w:rsidRPr="00445472" w:rsidRDefault="00C2640A" w:rsidP="00C2640A">
      <w:pPr>
        <w:pStyle w:val="TEKSTIIII"/>
      </w:pPr>
      <w:r w:rsidRPr="00445472">
        <w:t xml:space="preserve">Modeli i Basenit </w:t>
      </w:r>
      <w:r w:rsidR="000A1B7F" w:rsidRPr="00445472">
        <w:t xml:space="preserve">Mike Hydro </w:t>
      </w:r>
      <w:r w:rsidRPr="00445472">
        <w:t xml:space="preserve">për basenin </w:t>
      </w:r>
      <w:r w:rsidR="007E76E3" w:rsidRPr="00445472">
        <w:t>Drin–Bunë</w:t>
      </w:r>
      <w:r w:rsidRPr="00445472">
        <w:t xml:space="preserve"> është përgatitur për të vlerësuar balancën midis furnizimit me ujë dhe kërkesës në kushtet e tashme dhe të ardhshme. Për shkak se kushtet e ardhshme mund të përfshijnë ndikimet e ndryshimeve klimatike, është zhvilluar gjithashtu një model i reshjeve-prurjeve duke përdorur softuerin simulues NAM. Modeli reshje-prurje NAM përdoret për të vlerësuar se si ndryshimet në reshje dhe evapotranspiracioni mund të ndikojnë në furnizimin me ujë dhe kërkesën për ujë.</w:t>
      </w:r>
    </w:p>
    <w:p w14:paraId="3EE58D72" w14:textId="495C6F97" w:rsidR="00C2640A" w:rsidRPr="00445472" w:rsidRDefault="00C2640A" w:rsidP="00C2640A">
      <w:pPr>
        <w:pStyle w:val="TEKSTIIII"/>
      </w:pPr>
      <w:r w:rsidRPr="00445472">
        <w:t xml:space="preserve">Modeli i Basenit </w:t>
      </w:r>
      <w:r w:rsidR="000A1B7F" w:rsidRPr="00445472">
        <w:t xml:space="preserve">Mike Hydro </w:t>
      </w:r>
      <w:r w:rsidRPr="00445472">
        <w:t>p</w:t>
      </w:r>
      <w:r w:rsidR="00814581">
        <w:t>ërbëhet nga elemente</w:t>
      </w:r>
      <w:r w:rsidRPr="00445472">
        <w:t xml:space="preserve"> që përdoren për të karakterizuar basenet, lumenjtë, vendet e përdorimit të ujit, rrjetin e transportit, rezervuarët dhe objektet e hidrocentraleve. Në ujëmbledhësit ku impaktet njerëzore në rrjedhat ujore nëntokësore mund të jenë të rëndësishme, modeli përfshin gjithashtu një model të thjeshtuar të ujërave nëntokësorë që vlerëson ndikimin e aktiviteteve të përdorimit të ujit në rrjedhat bazë të ujërave nëntokësorë në sistemin e lumenjve.</w:t>
      </w:r>
    </w:p>
    <w:p w14:paraId="71529EFC" w14:textId="71EB1BA7" w:rsidR="00C2640A" w:rsidRPr="00445472" w:rsidRDefault="00B20F8C" w:rsidP="00C2640A">
      <w:pPr>
        <w:pStyle w:val="TEKSTIIII"/>
        <w:rPr>
          <w:b/>
        </w:rPr>
      </w:pPr>
      <w:r w:rsidRPr="00445472">
        <w:rPr>
          <w:b/>
        </w:rPr>
        <w:t xml:space="preserve">3.5.1.1 </w:t>
      </w:r>
      <w:r w:rsidR="00C2640A" w:rsidRPr="00445472">
        <w:rPr>
          <w:b/>
        </w:rPr>
        <w:t>Pellgjet ujorë/basenet</w:t>
      </w:r>
    </w:p>
    <w:p w14:paraId="09AA287B" w14:textId="108938BC" w:rsidR="00C2640A" w:rsidRPr="00445472" w:rsidRDefault="00C2640A" w:rsidP="00C2640A">
      <w:pPr>
        <w:pStyle w:val="TEKSTIIII"/>
      </w:pPr>
      <w:r w:rsidRPr="00445472">
        <w:t xml:space="preserve">Ujëmbledhësit paraqiten në </w:t>
      </w:r>
      <w:r w:rsidR="000A1B7F" w:rsidRPr="00445472">
        <w:t xml:space="preserve">Basenin Mike Hydro </w:t>
      </w:r>
      <w:r w:rsidRPr="00445472">
        <w:t xml:space="preserve">si elemente të poligoneve hapësinore. Ujëmbledhësit janë njësitë që prodhojnë rrjedha dhe gjithashtu përfaqësojnë shtrirjen hapësinore të trupave ujorë nëntokësorë në pellgjet ujëmbledhëse ku modeli i ujërave nëntokësorë </w:t>
      </w:r>
      <w:r w:rsidR="000A1B7F" w:rsidRPr="00445472">
        <w:t>Mike Hydro</w:t>
      </w:r>
      <w:r w:rsidRPr="00445472">
        <w:t xml:space="preserve"> është aktiv.</w:t>
      </w:r>
    </w:p>
    <w:p w14:paraId="5FDF9EC5" w14:textId="41760B41" w:rsidR="00C2640A" w:rsidRPr="00445472" w:rsidRDefault="00C2640A" w:rsidP="00C2640A">
      <w:pPr>
        <w:pStyle w:val="TEKSTIIII"/>
      </w:pPr>
      <w:r w:rsidRPr="00445472">
        <w:t>Prurja e gjeneruar në çdo ujëmbledhës simulohet duke përdorur modelin reshje-prurje NAM. Modeli simulon prurjen hyrëse në sistemin e lumenjve në formën e prurjeve sipërfaqësore nga shiu dhe shkrirja e borës</w:t>
      </w:r>
      <w:r w:rsidR="008F0A9F" w:rsidRPr="00445472">
        <w:t>, si dhe</w:t>
      </w:r>
      <w:r w:rsidRPr="00445472">
        <w:t xml:space="preserve"> kontributet e prurjes bazë nga shkarkimi i ujërave nëntokësorë. Modeli parametrohet në bazë të grumbullimit të basenit, me përjashtim të modulit të shkrirjes së borës.</w:t>
      </w:r>
    </w:p>
    <w:p w14:paraId="20DACC3A" w14:textId="1D2F6D39" w:rsidR="00C2640A" w:rsidRPr="00445472" w:rsidRDefault="00C2640A" w:rsidP="00C2640A">
      <w:pPr>
        <w:pStyle w:val="TEKSTIIII"/>
      </w:pPr>
      <w:r w:rsidRPr="00445472">
        <w:t xml:space="preserve">Nëse modeli i ujërave nëntokësorë i </w:t>
      </w:r>
      <w:r w:rsidR="000A1B7F" w:rsidRPr="00445472">
        <w:t xml:space="preserve">Basenit Mike Hydro </w:t>
      </w:r>
      <w:r w:rsidRPr="00445472">
        <w:t>përdoret në një pellg ujëmbledhës, sistemi i ujërave nëntokësorë përfaqësohet duke përdorur një model rezervuari linear me dy shtresa. Modeli me dy shtresa përbëhet nga një shtresë e cekët dhe një shtresë e thellë. Konstantet e kohës përdoren për të kontrolluar shkarkimet e rrjedhës bazë nga të dyja shtresat në sistemin e lumenjve, si nga shtresa e cekët në shtresën e thellë. Rimbushja e ujërave nëntokësorë gjithashtu vlerësohet nga modeli NAM. Sistemi i ujitjes dhe humbjet në funksionimin e tij janë gjithashtu të përfshira në modelin e ujërave nëntokësorë.</w:t>
      </w:r>
    </w:p>
    <w:p w14:paraId="04D98CB0" w14:textId="42254EE7" w:rsidR="00C2640A" w:rsidRPr="00445472" w:rsidRDefault="00B20F8C" w:rsidP="00B20F8C">
      <w:pPr>
        <w:pStyle w:val="NENTITULL"/>
      </w:pPr>
      <w:r w:rsidRPr="00445472">
        <w:t xml:space="preserve">3.5.1.2 </w:t>
      </w:r>
      <w:r w:rsidR="00C2640A" w:rsidRPr="00445472">
        <w:t>Lumenjtë dhe kanalet transportuese</w:t>
      </w:r>
    </w:p>
    <w:p w14:paraId="28F6F795" w14:textId="797D7047" w:rsidR="00C2640A" w:rsidRPr="00445472" w:rsidRDefault="00C2640A" w:rsidP="00C2640A">
      <w:pPr>
        <w:pStyle w:val="TEKSTIIII"/>
      </w:pPr>
      <w:r w:rsidRPr="00445472">
        <w:t>Sistemi i lumenjve paraqitet si një rrjet kanalesh që marrin prurje nga basenet e tyre</w:t>
      </w:r>
      <w:r w:rsidR="008F0A9F" w:rsidRPr="00445472">
        <w:t>, si dhe</w:t>
      </w:r>
      <w:r w:rsidRPr="00445472">
        <w:t xml:space="preserve"> rrjedhat që kthehen nga vendet e përdorimit të ujit. Prurjet kalojnë përmes rrjetit të lumenjve duke përdorur parametrat e vonesës që përafrojnë kohën e udhëtimit nëpër basen. Në zonat ujëmbledhëse ku sistemet ujore nëntokësore aluviale janë të rëndësishme, shkarkimet e fluksit bazë të ujërave nëntokësore gjithashtu japin një kontribut të rëndësishëm në prurjet e lumenjve.</w:t>
      </w:r>
    </w:p>
    <w:p w14:paraId="2584D916" w14:textId="77777777" w:rsidR="00C2640A" w:rsidRPr="00445472" w:rsidRDefault="00C2640A" w:rsidP="00C2640A">
      <w:pPr>
        <w:pStyle w:val="TEKSTIIII"/>
      </w:pPr>
      <w:r w:rsidRPr="00445472">
        <w:t>Rrjeti i lumenjve është i lidhur me vendndodhjen e përdorimit të ujit duke përdorur kanalet e komunikimit, të cilat përcjellin ujërat sipërfaqësore në vendet e përdorimit të ujit dhe gjithashtu përcjellin rrjedhat e kthimit nga vendet e përdorimit të ujit përsëri në sistemin e lumenjve.</w:t>
      </w:r>
    </w:p>
    <w:p w14:paraId="7488DF2E" w14:textId="2A83C806" w:rsidR="00C2640A" w:rsidRPr="00445472" w:rsidRDefault="00C2640A" w:rsidP="00C2640A">
      <w:pPr>
        <w:pStyle w:val="TEKSTIIII"/>
      </w:pPr>
      <w:r w:rsidRPr="00445472">
        <w:t xml:space="preserve">Rezervuarët dhe liqenet paraqiten si </w:t>
      </w:r>
      <w:r w:rsidR="00AA105F" w:rsidRPr="00445472">
        <w:t>nyja</w:t>
      </w:r>
      <w:r w:rsidRPr="00445472">
        <w:t xml:space="preserve"> magazinimi ku rrjedhat e lumenjve mund të ruhen ose të devijohen. Për të përcaktuar lëshimet e ujit të rezervuarit në funksion të ruajtjes përdoren rregullat e funksionimit.</w:t>
      </w:r>
    </w:p>
    <w:p w14:paraId="41E6DEC6" w14:textId="5D395EA9" w:rsidR="00C2640A" w:rsidRPr="00445472" w:rsidRDefault="00C2640A" w:rsidP="00C2640A">
      <w:pPr>
        <w:pStyle w:val="TEKSTIIII"/>
      </w:pPr>
      <w:r w:rsidRPr="00445472">
        <w:t xml:space="preserve">Kërkesat minimale të rrjedhës (rrjedha ekologjike) gjithashtu paraqiten si </w:t>
      </w:r>
      <w:r w:rsidR="00AA105F" w:rsidRPr="00445472">
        <w:t>nyja</w:t>
      </w:r>
      <w:r w:rsidRPr="00445472">
        <w:t xml:space="preserve"> në rrjetin e lumenjve ku duhet të ruhen prurjet minimale. Këto kërkesa kanë përparësi mbi ruajtjen dhe përdorimin e ujit.</w:t>
      </w:r>
    </w:p>
    <w:p w14:paraId="1962CED0" w14:textId="2C50CD62" w:rsidR="00C2640A" w:rsidRPr="00445472" w:rsidRDefault="00B20F8C" w:rsidP="00B20F8C">
      <w:pPr>
        <w:pStyle w:val="NENTITULL"/>
      </w:pPr>
      <w:r w:rsidRPr="00445472">
        <w:t xml:space="preserve">3.5.1.3 </w:t>
      </w:r>
      <w:r w:rsidR="00C2640A" w:rsidRPr="00445472">
        <w:t>Rregullimi i prurjeve dhe përdorimi i ujit</w:t>
      </w:r>
    </w:p>
    <w:p w14:paraId="7EA4C452" w14:textId="2B86F1DD" w:rsidR="00C2640A" w:rsidRPr="00445472" w:rsidRDefault="00C2640A" w:rsidP="00C2640A">
      <w:pPr>
        <w:pStyle w:val="TEKSTIIII"/>
      </w:pPr>
      <w:r w:rsidRPr="00445472">
        <w:t xml:space="preserve">Vendet e përdorimit të ujit përfaqësohen në model si </w:t>
      </w:r>
      <w:r w:rsidR="00AA105F" w:rsidRPr="00445472">
        <w:t>nyja</w:t>
      </w:r>
      <w:r w:rsidRPr="00445472">
        <w:t xml:space="preserve"> ku uji është nxjerrë nga kanalet e lumenjve ose ujërat nëntokësor</w:t>
      </w:r>
      <w:r w:rsidR="0086054F" w:rsidRPr="00445472">
        <w:t>e</w:t>
      </w:r>
      <w:r w:rsidRPr="00445472">
        <w:t>. Një pjesë e ujit të tërhequr kthehet në sistemin e lumit si prurje kthimi.</w:t>
      </w:r>
    </w:p>
    <w:p w14:paraId="120C77ED" w14:textId="1BE47961" w:rsidR="00C2640A" w:rsidRPr="00445472" w:rsidRDefault="00AA105F" w:rsidP="00C2640A">
      <w:pPr>
        <w:pStyle w:val="TEKSTIIII"/>
        <w:rPr>
          <w:lang w:eastAsia="da-DK"/>
        </w:rPr>
      </w:pPr>
      <w:r w:rsidRPr="00445472">
        <w:t>Nyja</w:t>
      </w:r>
      <w:r w:rsidR="00C2640A" w:rsidRPr="00445472">
        <w:t>t e përdorimit të ujit përdoren për të përfaqësuar përdorimet në sektorët e mëposhtëm: furnizimi shtëpiak (përfshirë industrinë), ujitja dhe hidroenergjia. Përdorimi i ujit brenda çdo sektori përfaqësohet si vijon:</w:t>
      </w:r>
    </w:p>
    <w:p w14:paraId="03617593" w14:textId="00D4E7B0" w:rsidR="00C2640A" w:rsidRPr="00445472" w:rsidRDefault="00B20F8C" w:rsidP="00C2640A">
      <w:pPr>
        <w:pStyle w:val="TEKSTIIII"/>
      </w:pPr>
      <w:r w:rsidRPr="00445472">
        <w:t>-</w:t>
      </w:r>
      <w:r w:rsidR="00A22C31" w:rsidRPr="00445472">
        <w:t xml:space="preserve"> </w:t>
      </w:r>
      <w:r w:rsidR="00C2640A" w:rsidRPr="00445472">
        <w:t>Përdorimi i ujit shtëpiak</w:t>
      </w:r>
      <w:r w:rsidR="001D340B" w:rsidRPr="00445472">
        <w:t>/</w:t>
      </w:r>
      <w:r w:rsidR="00C2640A" w:rsidRPr="00445472">
        <w:t xml:space="preserve">industrial përfaqësohet duke përdorur seri kohore të kërkesës mujore. Ne supozojmë një vend ndodhje ujore për çdo kompani </w:t>
      </w:r>
      <w:r w:rsidR="00A22C31" w:rsidRPr="00445472">
        <w:t>shërbimi</w:t>
      </w:r>
      <w:r w:rsidR="00C2640A" w:rsidRPr="00445472">
        <w:t xml:space="preserve"> të furnizimit me ujë. Përdoruesit e ujit shtëpiak</w:t>
      </w:r>
      <w:r w:rsidR="001D340B" w:rsidRPr="00445472">
        <w:t>/</w:t>
      </w:r>
      <w:r w:rsidR="00C2640A" w:rsidRPr="00445472">
        <w:t>industrial përdorin ujëra të nxjerra nga ujërat nëntokësore, sistemi i lumenjve, ose një kombinim i të dyjave. Ne supozojmë se një pjesë konstante e ujit të shpërndarë në zonat e banuara/industriale kthehet në sistemin e lumenjve si prurje kthimi. Ne</w:t>
      </w:r>
      <w:r w:rsidR="00554D3B">
        <w:t>,</w:t>
      </w:r>
      <w:r w:rsidR="00C2640A" w:rsidRPr="00445472">
        <w:t xml:space="preserve"> gjithashtu</w:t>
      </w:r>
      <w:r w:rsidR="00554D3B">
        <w:t>,</w:t>
      </w:r>
      <w:r w:rsidR="00C2640A" w:rsidRPr="00445472">
        <w:t xml:space="preserve"> supozojmë se një pjesë e ujit të nxjerrë humbet për shkak të humbjeve të sistemit të shpërndarjes.</w:t>
      </w:r>
    </w:p>
    <w:p w14:paraId="4CE83DE7" w14:textId="755908B8" w:rsidR="00C2640A" w:rsidRPr="00445472" w:rsidRDefault="00B20F8C" w:rsidP="00C2640A">
      <w:pPr>
        <w:pStyle w:val="TEKSTIIII"/>
      </w:pPr>
      <w:r w:rsidRPr="00445472">
        <w:t>-</w:t>
      </w:r>
      <w:r w:rsidR="00A22C31" w:rsidRPr="00445472">
        <w:t xml:space="preserve"> </w:t>
      </w:r>
      <w:r w:rsidR="00C2640A" w:rsidRPr="00445472">
        <w:t>Përdorimi i ujit të ujitjes paraqitet gjithashtu duke përdorur seri kohore të kërkesës mujore. Ne supozojmë një përdorues të ujit për ujitje në secilin ujëmbledhës, ku secili përfaqëson kërkesën e integruar për ujitje brenda atij baseni. Përdoruesit e ujit për ujitje përdorin vetëm ujëra të nxjerra nga sistemi i lumenjve. Ne supozojmë se një pjesë konstante e ujit të dhënë/përdorur në vendet e ujitjes kthehet në sistemin e lumenjve si prurje kthimi. Ne</w:t>
      </w:r>
      <w:r w:rsidR="00554D3B">
        <w:t>,</w:t>
      </w:r>
      <w:r w:rsidR="00C2640A" w:rsidRPr="00445472">
        <w:t xml:space="preserve"> gjithashtu</w:t>
      </w:r>
      <w:r w:rsidR="00554D3B">
        <w:t>,</w:t>
      </w:r>
      <w:r w:rsidR="00C2640A" w:rsidRPr="00445472">
        <w:t xml:space="preserve"> supozojmë se një pjesë e ujit të nxjerrë nga sistemi i lumit humbet për shkak të transportit dhe humbjeve të filtrimeve.</w:t>
      </w:r>
    </w:p>
    <w:p w14:paraId="049B94EC" w14:textId="3D380EC0" w:rsidR="00C2640A" w:rsidRPr="00445472" w:rsidRDefault="00B20F8C" w:rsidP="00C2640A">
      <w:pPr>
        <w:pStyle w:val="TEKSTIIII"/>
      </w:pPr>
      <w:r w:rsidRPr="00445472">
        <w:t>-</w:t>
      </w:r>
      <w:r w:rsidR="00A22C31" w:rsidRPr="00445472">
        <w:t xml:space="preserve"> </w:t>
      </w:r>
      <w:r w:rsidR="00C2640A" w:rsidRPr="00445472">
        <w:t>Të tr</w:t>
      </w:r>
      <w:r w:rsidR="00A22C31" w:rsidRPr="00445472">
        <w:t>ia</w:t>
      </w:r>
      <w:r w:rsidR="00C2640A" w:rsidRPr="00445472">
        <w:t xml:space="preserve"> hidrocentralet e mëdha në kaskadën e Drinit janë të përfaqësuar në model. Nuk janë të përfaqësuara hidrocentrale të vegjël.</w:t>
      </w:r>
    </w:p>
    <w:p w14:paraId="5FACD895" w14:textId="77777777" w:rsidR="00C2640A" w:rsidRPr="00445472" w:rsidRDefault="00C2640A" w:rsidP="00C2640A">
      <w:pPr>
        <w:pStyle w:val="TEKSTIIII"/>
      </w:pPr>
      <w:r w:rsidRPr="00445472">
        <w:t>Për shkak se nuk ka informacion mbi përdorimin e ujit për pjesët e basenit jashtë Shqipërisë, modelimi i këtyre pjesëve të basenit është i kufizuar në modelimin e reshjeve-prurjeve.</w:t>
      </w:r>
    </w:p>
    <w:p w14:paraId="04FDA479" w14:textId="6D247B04" w:rsidR="00C2640A" w:rsidRPr="00445472" w:rsidRDefault="00B20F8C" w:rsidP="00B20F8C">
      <w:pPr>
        <w:pStyle w:val="NENTITULL"/>
      </w:pPr>
      <w:bookmarkStart w:id="48" w:name="_Toc11068752"/>
      <w:r w:rsidRPr="00445472">
        <w:t xml:space="preserve">3.5.2 </w:t>
      </w:r>
      <w:r w:rsidR="00C2640A" w:rsidRPr="00445472">
        <w:t>Shtrirja e modelit</w:t>
      </w:r>
      <w:bookmarkEnd w:id="48"/>
    </w:p>
    <w:p w14:paraId="119B6F5B" w14:textId="56541DBF" w:rsidR="00C2640A" w:rsidRPr="00445472" w:rsidRDefault="00C2640A" w:rsidP="00C2640A">
      <w:pPr>
        <w:pStyle w:val="TEKSTIIII"/>
      </w:pPr>
      <w:r w:rsidRPr="00445472">
        <w:t xml:space="preserve">Pellgjet ujëmbledhëse dhe lumenjtë në basenin </w:t>
      </w:r>
      <w:r w:rsidR="007E76E3" w:rsidRPr="00445472">
        <w:t>Drin–Bunë</w:t>
      </w:r>
      <w:r w:rsidRPr="00445472">
        <w:t xml:space="preserve"> janë përvijuar duke përdorur një Modeli Di</w:t>
      </w:r>
      <w:r w:rsidR="00A22C31" w:rsidRPr="00445472">
        <w:t>gj</w:t>
      </w:r>
      <w:r w:rsidRPr="00445472">
        <w:t>ital të Ngritjes (DEM) me një rezolucion hapësinor prej 90m x 90m. DEM është marrë nga NASA Shuttle Radar Topography Mission (SRTM).</w:t>
      </w:r>
    </w:p>
    <w:p w14:paraId="130BAEC8" w14:textId="77777777" w:rsidR="00C2640A" w:rsidRPr="00445472" w:rsidRDefault="00C2640A" w:rsidP="00C2640A">
      <w:pPr>
        <w:pStyle w:val="TEKSTIIII"/>
      </w:pPr>
      <w:r w:rsidRPr="00445472">
        <w:t>Zona bregdetare pranë grykës së lumit drenohet artificialisht dhe furnizohet me ujë të devijuar nga lumi Drin, dhe këtu zgjidhja e modelit të aplikuar SRTM nuk mjafton për përvijimin e tij. Për të përfshirë këto zona në model, kufiri i modelit është shtrirë në jug dhe përfshin rrafshinat bregdetare deri në derdhjen e kanalit më jugor të devijimit nga Drini, i cili derdhet në det pranë Lezhës.</w:t>
      </w:r>
    </w:p>
    <w:p w14:paraId="423CF564" w14:textId="411CD6E9" w:rsidR="00C2640A" w:rsidRPr="00445472" w:rsidRDefault="00C2640A" w:rsidP="00C2640A">
      <w:pPr>
        <w:pStyle w:val="TEKSTIIII"/>
      </w:pPr>
      <w:r w:rsidRPr="00445472">
        <w:t xml:space="preserve">Baseni </w:t>
      </w:r>
      <w:r w:rsidR="007E76E3" w:rsidRPr="00445472">
        <w:t>Drin–Bunë</w:t>
      </w:r>
      <w:r w:rsidRPr="00445472">
        <w:t xml:space="preserve"> merr prurje hyrëse nga dy basene fqinje. Përgjatë kufirit verior, një hidrocentral pranë Nikshiqit në Mal të Zi zhvendos ujë në basenin e Bunës. Në ujëmbledhësin më jugor Liqeni i Ohrit raportohet të marrë shkarkimin nëntokësor nga Liqeni i Prespës. Devijimi në Mal të Zi nuk është përfshirë në model për shkak të mungesës së informacionit sasior mbi këto flukse. Edhe pse informacioni sasior nuk është i disponueshëm për shkarkimin nga Liqeni i Prespës, është bërë një supozim për këtë prurje, për shkak të rëndësisë së saj në bilancin e ujit në basen.</w:t>
      </w:r>
    </w:p>
    <w:p w14:paraId="379EC2CA" w14:textId="595725BE" w:rsidR="00C2640A" w:rsidRPr="00445472" w:rsidRDefault="00B20F8C" w:rsidP="00B20F8C">
      <w:pPr>
        <w:pStyle w:val="NENTITULL"/>
      </w:pPr>
      <w:bookmarkStart w:id="49" w:name="_Toc11068753"/>
      <w:r w:rsidRPr="00445472">
        <w:t xml:space="preserve">3.5.3 </w:t>
      </w:r>
      <w:r w:rsidR="00C2640A" w:rsidRPr="00445472">
        <w:t>Përvijimi i nën baseneve</w:t>
      </w:r>
      <w:bookmarkEnd w:id="49"/>
    </w:p>
    <w:p w14:paraId="60A38178" w14:textId="25AC9DCD" w:rsidR="00C2640A" w:rsidRPr="00445472" w:rsidRDefault="00C2640A" w:rsidP="00C2640A">
      <w:pPr>
        <w:pStyle w:val="TEKSTIIII"/>
      </w:pPr>
      <w:r w:rsidRPr="00445472">
        <w:t xml:space="preserve">Bazuar në modelin Mike Hydro, baseni </w:t>
      </w:r>
      <w:r w:rsidR="007E76E3" w:rsidRPr="00445472">
        <w:t>Drin–Bunë</w:t>
      </w:r>
      <w:r w:rsidRPr="00445472">
        <w:t xml:space="preserve"> është ndarë në 13 nën pellgje ujëmbledhëse. Dhjetë ndodhen në zonat malore që shkarkojnë në rezervuarët e kaskadës së Rezervuarit të Drinit, dy pellgje ujëmbledhëse ndodhen në basenin e Bunës në rrjedhën e sipërme të Liqenit të Shkodrës dhe pjesa tjetër e nen baseneve mbulon pjesën më të ulët të basenit në Shqipëri në rrjedhën e poshtme të Rezervuarit të Vaut të Dejës dhe Liqenit të Shkodrës.</w:t>
      </w:r>
    </w:p>
    <w:p w14:paraId="7BAABA5F" w14:textId="77777777" w:rsidR="00C2640A" w:rsidRPr="00445472" w:rsidRDefault="00C2640A" w:rsidP="00C2640A">
      <w:pPr>
        <w:pStyle w:val="TEKSTIIII"/>
      </w:pPr>
      <w:r w:rsidRPr="00445472">
        <w:t>Vendndodhjet e shkarkimeve të nën baseneve të përdorura për përvijimin janë përzgjedhur në bazë të kritereve të mëposhtme:</w:t>
      </w:r>
    </w:p>
    <w:p w14:paraId="5FBCD049" w14:textId="74060A17" w:rsidR="00C2640A" w:rsidRPr="00445472" w:rsidRDefault="00B20F8C" w:rsidP="00C2640A">
      <w:pPr>
        <w:pStyle w:val="TEKSTIIII"/>
      </w:pPr>
      <w:r w:rsidRPr="00445472">
        <w:t>-</w:t>
      </w:r>
      <w:r w:rsidR="00A22C31" w:rsidRPr="00445472">
        <w:t xml:space="preserve"> </w:t>
      </w:r>
      <w:r w:rsidR="00C2640A" w:rsidRPr="00445472">
        <w:t>Vlerësimi i furnizimit me ujë në vendndodhje të veçanta.</w:t>
      </w:r>
    </w:p>
    <w:p w14:paraId="698F716F" w14:textId="26BE0F2A" w:rsidR="00C2640A" w:rsidRPr="00445472" w:rsidRDefault="00B20F8C" w:rsidP="00C2640A">
      <w:pPr>
        <w:pStyle w:val="TEKSTIIII"/>
      </w:pPr>
      <w:r w:rsidRPr="00445472">
        <w:t>-</w:t>
      </w:r>
      <w:r w:rsidR="00A22C31" w:rsidRPr="00445472">
        <w:t xml:space="preserve"> </w:t>
      </w:r>
      <w:r w:rsidR="00C2640A" w:rsidRPr="00445472">
        <w:t>Disponueshmëria e të dhënave të fluksit të prurjeve për kalibrimin e modelit.</w:t>
      </w:r>
    </w:p>
    <w:p w14:paraId="3EFFA543" w14:textId="64588D01" w:rsidR="00C2640A" w:rsidRPr="00445472" w:rsidRDefault="00B20F8C" w:rsidP="00C2640A">
      <w:pPr>
        <w:pStyle w:val="TEKSTIIII"/>
      </w:pPr>
      <w:r w:rsidRPr="00445472">
        <w:t>-</w:t>
      </w:r>
      <w:r w:rsidR="00A22C31" w:rsidRPr="00445472">
        <w:t xml:space="preserve"> </w:t>
      </w:r>
      <w:r w:rsidR="00C2640A" w:rsidRPr="00445472">
        <w:t>Ndarjen e ujëmbledhësve më të mëdhenj në ato më të vogla për të përmirësuar përfaqësimin e variacioneve hapësinore - veçanërisht për reshjet.</w:t>
      </w:r>
    </w:p>
    <w:p w14:paraId="7073D16E" w14:textId="1C13AA12" w:rsidR="00C2640A" w:rsidRPr="00445472" w:rsidRDefault="00C2640A" w:rsidP="00C2640A">
      <w:pPr>
        <w:pStyle w:val="TEKSTIIII"/>
      </w:pPr>
      <w:r w:rsidRPr="00445472">
        <w:t xml:space="preserve">Përvijimi i nën basenit balancon disponueshmërinë e të dhënave hidrologjike për kalibrimin me një analizim të duhur të balancave ujore të pjesëve të ndryshme të basenit. Harta e ujëmbledhësve është paraqitur në </w:t>
      </w:r>
      <w:r w:rsidR="00A22C31" w:rsidRPr="00445472">
        <w:t xml:space="preserve">figurën </w:t>
      </w:r>
      <w:r w:rsidRPr="00445472">
        <w:t xml:space="preserve">3.7. Arsyetimi i qartë për përcaktimin e secilit prej ujëmbledhësve jepet në </w:t>
      </w:r>
      <w:r w:rsidR="00A22C31" w:rsidRPr="00445472">
        <w:t xml:space="preserve">tabelën </w:t>
      </w:r>
      <w:r w:rsidRPr="00445472">
        <w:t>3.3.</w:t>
      </w:r>
    </w:p>
    <w:p w14:paraId="6335A9C5" w14:textId="77777777" w:rsidR="00317B27" w:rsidRPr="00445472" w:rsidRDefault="00317B27" w:rsidP="00134AB1">
      <w:pPr>
        <w:pStyle w:val="TEKSTIIII"/>
      </w:pPr>
    </w:p>
    <w:p w14:paraId="6E645B93" w14:textId="1B1A07B2" w:rsidR="00C26D7A" w:rsidRPr="00445472" w:rsidRDefault="00C26D7A" w:rsidP="00134AB1">
      <w:pPr>
        <w:pStyle w:val="TEKSTIIII"/>
      </w:pPr>
      <w:r w:rsidRPr="00445472">
        <w:rPr>
          <w:noProof/>
          <w:lang w:val="en-US"/>
        </w:rPr>
        <w:drawing>
          <wp:inline distT="0" distB="0" distL="0" distR="0" wp14:anchorId="50A603B7" wp14:editId="0BE96B56">
            <wp:extent cx="5364480" cy="7571105"/>
            <wp:effectExtent l="19050" t="19050" r="7620" b="0"/>
            <wp:docPr id="1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64480" cy="7571105"/>
                    </a:xfrm>
                    <a:prstGeom prst="rect">
                      <a:avLst/>
                    </a:prstGeom>
                    <a:noFill/>
                    <a:ln w="9525" cmpd="sng">
                      <a:solidFill>
                        <a:srgbClr val="000000"/>
                      </a:solidFill>
                      <a:miter lim="800000"/>
                      <a:headEnd/>
                      <a:tailEnd/>
                    </a:ln>
                    <a:effectLst/>
                  </pic:spPr>
                </pic:pic>
              </a:graphicData>
            </a:graphic>
          </wp:inline>
        </w:drawing>
      </w:r>
    </w:p>
    <w:p w14:paraId="675E716C" w14:textId="77777777" w:rsidR="00C26D7A" w:rsidRPr="00445472" w:rsidRDefault="00C26D7A" w:rsidP="00C26D7A">
      <w:pPr>
        <w:pStyle w:val="NENTITULL"/>
        <w:jc w:val="center"/>
      </w:pPr>
    </w:p>
    <w:p w14:paraId="1922CEA6" w14:textId="17E3EAEE" w:rsidR="00C26D7A" w:rsidRPr="00445472" w:rsidRDefault="00C26D7A" w:rsidP="00C26D7A">
      <w:pPr>
        <w:pStyle w:val="NENTITULL"/>
        <w:jc w:val="center"/>
      </w:pPr>
      <w:r w:rsidRPr="00445472">
        <w:t xml:space="preserve">Figura 3.7: Ujëmbledhësit e Basenit Ujor </w:t>
      </w:r>
      <w:r w:rsidR="007E76E3" w:rsidRPr="00445472">
        <w:t>Drin–Bunë</w:t>
      </w:r>
    </w:p>
    <w:p w14:paraId="0DF8B41F" w14:textId="77777777" w:rsidR="00C26D7A" w:rsidRPr="00445472" w:rsidRDefault="00C26D7A" w:rsidP="00134AB1">
      <w:pPr>
        <w:pStyle w:val="TEKSTIIII"/>
      </w:pPr>
    </w:p>
    <w:p w14:paraId="0C81A80D" w14:textId="77777777" w:rsidR="0024053A" w:rsidRPr="00445472" w:rsidRDefault="0024053A" w:rsidP="00134AB1">
      <w:pPr>
        <w:pStyle w:val="TEKSTIIII"/>
      </w:pPr>
    </w:p>
    <w:p w14:paraId="6518B038" w14:textId="77777777" w:rsidR="0024053A" w:rsidRPr="00445472" w:rsidRDefault="0024053A" w:rsidP="00134AB1">
      <w:pPr>
        <w:pStyle w:val="TEKSTIIII"/>
      </w:pPr>
    </w:p>
    <w:p w14:paraId="7F2D48B4" w14:textId="77777777" w:rsidR="0024053A" w:rsidRPr="00445472" w:rsidRDefault="0024053A" w:rsidP="00134AB1">
      <w:pPr>
        <w:pStyle w:val="TEKSTIIII"/>
      </w:pPr>
    </w:p>
    <w:p w14:paraId="3FA779CE" w14:textId="04F54511" w:rsidR="0024053A" w:rsidRPr="00445472" w:rsidRDefault="00F62CCD" w:rsidP="0024053A">
      <w:pPr>
        <w:pStyle w:val="NENTITULL"/>
      </w:pPr>
      <w:r>
        <w:t>Tabela 3.3: Përshkrimi i nën</w:t>
      </w:r>
      <w:r w:rsidR="0024053A" w:rsidRPr="00445472">
        <w:t xml:space="preserve">baseneve në Basenin Ujor </w:t>
      </w:r>
      <w:r w:rsidR="007E76E3" w:rsidRPr="00445472">
        <w:t>Drin–Bunë</w:t>
      </w:r>
    </w:p>
    <w:tbl>
      <w:tblPr>
        <w:tblW w:w="5000" w:type="pct"/>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510"/>
        <w:gridCol w:w="7777"/>
      </w:tblGrid>
      <w:tr w:rsidR="0024053A" w:rsidRPr="00445472" w14:paraId="5C6ED38D" w14:textId="77777777" w:rsidTr="0024053A">
        <w:trPr>
          <w:jc w:val="center"/>
        </w:trPr>
        <w:tc>
          <w:tcPr>
            <w:tcW w:w="813" w:type="pct"/>
            <w:shd w:val="clear" w:color="auto" w:fill="D4D4D4"/>
            <w:vAlign w:val="center"/>
          </w:tcPr>
          <w:p w14:paraId="16F8B552" w14:textId="77777777" w:rsidR="0024053A" w:rsidRPr="00445472" w:rsidRDefault="0024053A" w:rsidP="0024053A">
            <w:pPr>
              <w:pStyle w:val="TABELA"/>
              <w:jc w:val="center"/>
              <w:rPr>
                <w:b/>
                <w:lang w:val="sq-AL"/>
              </w:rPr>
            </w:pPr>
            <w:r w:rsidRPr="00445472">
              <w:rPr>
                <w:b/>
                <w:lang w:val="sq-AL"/>
              </w:rPr>
              <w:t>Nën baseni Nr.</w:t>
            </w:r>
            <w:r w:rsidRPr="00445472">
              <w:rPr>
                <w:rStyle w:val="FootnoteReference"/>
                <w:rFonts w:ascii="Garamond" w:eastAsia="Arial" w:hAnsi="Garamond" w:cs="Arial"/>
                <w:b/>
                <w:color w:val="auto"/>
                <w:sz w:val="24"/>
                <w:szCs w:val="24"/>
                <w:lang w:val="sq-AL"/>
              </w:rPr>
              <w:footnoteReference w:id="17"/>
            </w:r>
          </w:p>
        </w:tc>
        <w:tc>
          <w:tcPr>
            <w:tcW w:w="4187" w:type="pct"/>
            <w:shd w:val="clear" w:color="auto" w:fill="D4D4D4"/>
            <w:vAlign w:val="center"/>
          </w:tcPr>
          <w:p w14:paraId="5E50CA54" w14:textId="77777777" w:rsidR="0024053A" w:rsidRPr="00445472" w:rsidRDefault="0024053A" w:rsidP="0024053A">
            <w:pPr>
              <w:pStyle w:val="TABELA"/>
              <w:jc w:val="center"/>
              <w:rPr>
                <w:b/>
                <w:lang w:val="sq-AL"/>
              </w:rPr>
            </w:pPr>
            <w:r w:rsidRPr="00445472">
              <w:rPr>
                <w:b/>
                <w:lang w:val="sq-AL"/>
              </w:rPr>
              <w:t>Arsyeja për Përvijim</w:t>
            </w:r>
          </w:p>
        </w:tc>
      </w:tr>
      <w:tr w:rsidR="0024053A" w:rsidRPr="00445472" w14:paraId="127472A0" w14:textId="77777777" w:rsidTr="0024053A">
        <w:trPr>
          <w:jc w:val="center"/>
        </w:trPr>
        <w:tc>
          <w:tcPr>
            <w:tcW w:w="813" w:type="pct"/>
            <w:shd w:val="clear" w:color="auto" w:fill="auto"/>
            <w:vAlign w:val="center"/>
          </w:tcPr>
          <w:p w14:paraId="22B6BCAA" w14:textId="77777777" w:rsidR="0024053A" w:rsidRPr="00445472" w:rsidRDefault="0024053A" w:rsidP="00A22C31">
            <w:pPr>
              <w:pStyle w:val="TABELA"/>
              <w:jc w:val="center"/>
              <w:rPr>
                <w:lang w:val="sq-AL"/>
              </w:rPr>
            </w:pPr>
            <w:r w:rsidRPr="00445472">
              <w:rPr>
                <w:lang w:val="sq-AL"/>
              </w:rPr>
              <w:t>1</w:t>
            </w:r>
          </w:p>
        </w:tc>
        <w:tc>
          <w:tcPr>
            <w:tcW w:w="4187" w:type="pct"/>
            <w:shd w:val="clear" w:color="auto" w:fill="auto"/>
            <w:vAlign w:val="center"/>
          </w:tcPr>
          <w:p w14:paraId="57708393" w14:textId="77777777" w:rsidR="0024053A" w:rsidRPr="00445472" w:rsidRDefault="0024053A" w:rsidP="0024053A">
            <w:pPr>
              <w:pStyle w:val="TABELA"/>
              <w:rPr>
                <w:lang w:val="sq-AL"/>
              </w:rPr>
            </w:pPr>
            <w:r w:rsidRPr="00445472">
              <w:rPr>
                <w:lang w:val="sq-AL"/>
              </w:rPr>
              <w:t>Përfaqësimi i Liqenit të Ohrit me kufizimet e diktuara nga DEM</w:t>
            </w:r>
          </w:p>
        </w:tc>
      </w:tr>
      <w:tr w:rsidR="0024053A" w:rsidRPr="00445472" w14:paraId="3C22859B" w14:textId="77777777" w:rsidTr="0024053A">
        <w:trPr>
          <w:jc w:val="center"/>
        </w:trPr>
        <w:tc>
          <w:tcPr>
            <w:tcW w:w="813" w:type="pct"/>
            <w:shd w:val="clear" w:color="auto" w:fill="auto"/>
            <w:vAlign w:val="center"/>
          </w:tcPr>
          <w:p w14:paraId="185E1DE6" w14:textId="77777777" w:rsidR="0024053A" w:rsidRPr="00445472" w:rsidRDefault="0024053A" w:rsidP="00A22C31">
            <w:pPr>
              <w:pStyle w:val="TABELA"/>
              <w:jc w:val="center"/>
              <w:rPr>
                <w:lang w:val="sq-AL"/>
              </w:rPr>
            </w:pPr>
            <w:r w:rsidRPr="00445472">
              <w:rPr>
                <w:lang w:val="sq-AL"/>
              </w:rPr>
              <w:t>2</w:t>
            </w:r>
          </w:p>
        </w:tc>
        <w:tc>
          <w:tcPr>
            <w:tcW w:w="4187" w:type="pct"/>
            <w:shd w:val="clear" w:color="auto" w:fill="auto"/>
            <w:vAlign w:val="center"/>
          </w:tcPr>
          <w:p w14:paraId="6DADB5C0" w14:textId="77777777" w:rsidR="0024053A" w:rsidRPr="00445472" w:rsidRDefault="0024053A" w:rsidP="0024053A">
            <w:pPr>
              <w:pStyle w:val="TABELA"/>
              <w:rPr>
                <w:lang w:val="sq-AL"/>
              </w:rPr>
            </w:pPr>
            <w:r w:rsidRPr="00445472">
              <w:rPr>
                <w:lang w:val="sq-AL"/>
              </w:rPr>
              <w:t>Zona e digave, marrje për hidrocentralin</w:t>
            </w:r>
          </w:p>
        </w:tc>
      </w:tr>
      <w:tr w:rsidR="0024053A" w:rsidRPr="00445472" w14:paraId="5A4D449B" w14:textId="77777777" w:rsidTr="0024053A">
        <w:trPr>
          <w:jc w:val="center"/>
        </w:trPr>
        <w:tc>
          <w:tcPr>
            <w:tcW w:w="813" w:type="pct"/>
            <w:shd w:val="clear" w:color="auto" w:fill="auto"/>
            <w:vAlign w:val="center"/>
          </w:tcPr>
          <w:p w14:paraId="136C52B8" w14:textId="77777777" w:rsidR="0024053A" w:rsidRPr="00445472" w:rsidRDefault="0024053A" w:rsidP="00A22C31">
            <w:pPr>
              <w:pStyle w:val="TABELA"/>
              <w:jc w:val="center"/>
              <w:rPr>
                <w:lang w:val="sq-AL"/>
              </w:rPr>
            </w:pPr>
            <w:r w:rsidRPr="00445472">
              <w:rPr>
                <w:lang w:val="sq-AL"/>
              </w:rPr>
              <w:t>3</w:t>
            </w:r>
          </w:p>
        </w:tc>
        <w:tc>
          <w:tcPr>
            <w:tcW w:w="4187" w:type="pct"/>
            <w:shd w:val="clear" w:color="auto" w:fill="auto"/>
            <w:vAlign w:val="center"/>
          </w:tcPr>
          <w:p w14:paraId="3DAE144B" w14:textId="39703A86" w:rsidR="0024053A" w:rsidRPr="00445472" w:rsidRDefault="0024053A" w:rsidP="00A22C31">
            <w:pPr>
              <w:pStyle w:val="TABELA"/>
              <w:rPr>
                <w:lang w:val="sq-AL"/>
              </w:rPr>
            </w:pPr>
            <w:r w:rsidRPr="00445472">
              <w:rPr>
                <w:lang w:val="sq-AL"/>
              </w:rPr>
              <w:t>Nënndarja e basenit më të madh</w:t>
            </w:r>
          </w:p>
        </w:tc>
      </w:tr>
      <w:tr w:rsidR="0024053A" w:rsidRPr="00445472" w14:paraId="468D3633" w14:textId="77777777" w:rsidTr="0024053A">
        <w:trPr>
          <w:jc w:val="center"/>
        </w:trPr>
        <w:tc>
          <w:tcPr>
            <w:tcW w:w="813" w:type="pct"/>
            <w:shd w:val="clear" w:color="auto" w:fill="auto"/>
            <w:vAlign w:val="center"/>
          </w:tcPr>
          <w:p w14:paraId="614DD376" w14:textId="77777777" w:rsidR="0024053A" w:rsidRPr="00445472" w:rsidRDefault="0024053A" w:rsidP="00A22C31">
            <w:pPr>
              <w:pStyle w:val="TABELA"/>
              <w:jc w:val="center"/>
              <w:rPr>
                <w:lang w:val="sq-AL"/>
              </w:rPr>
            </w:pPr>
            <w:r w:rsidRPr="00445472">
              <w:rPr>
                <w:lang w:val="sq-AL"/>
              </w:rPr>
              <w:t>4</w:t>
            </w:r>
          </w:p>
        </w:tc>
        <w:tc>
          <w:tcPr>
            <w:tcW w:w="4187" w:type="pct"/>
            <w:shd w:val="clear" w:color="auto" w:fill="auto"/>
            <w:vAlign w:val="center"/>
          </w:tcPr>
          <w:p w14:paraId="01B637F4" w14:textId="28B2DD65" w:rsidR="0024053A" w:rsidRPr="00445472" w:rsidRDefault="0024053A" w:rsidP="00034FBB">
            <w:pPr>
              <w:pStyle w:val="TABELA"/>
              <w:rPr>
                <w:lang w:val="sq-AL"/>
              </w:rPr>
            </w:pPr>
            <w:r w:rsidRPr="00445472">
              <w:rPr>
                <w:lang w:val="sq-AL"/>
              </w:rPr>
              <w:t>Nënndarja e ujëmbledhësit më të madh dhe të dhënat e prurjes në stacionin e Drinit t</w:t>
            </w:r>
            <w:r w:rsidR="00034FBB">
              <w:rPr>
                <w:lang w:val="sq-AL"/>
              </w:rPr>
              <w:t>ë</w:t>
            </w:r>
            <w:r w:rsidRPr="00445472">
              <w:rPr>
                <w:lang w:val="sq-AL"/>
              </w:rPr>
              <w:t xml:space="preserve"> Zi tek Ura </w:t>
            </w:r>
            <w:r w:rsidR="00034FBB">
              <w:rPr>
                <w:lang w:val="sq-AL"/>
              </w:rPr>
              <w:t xml:space="preserve">e </w:t>
            </w:r>
            <w:r w:rsidRPr="00445472">
              <w:rPr>
                <w:lang w:val="sq-AL"/>
              </w:rPr>
              <w:t>Dodës</w:t>
            </w:r>
          </w:p>
        </w:tc>
      </w:tr>
      <w:tr w:rsidR="0024053A" w:rsidRPr="00445472" w14:paraId="78F2175A" w14:textId="77777777" w:rsidTr="0024053A">
        <w:trPr>
          <w:jc w:val="center"/>
        </w:trPr>
        <w:tc>
          <w:tcPr>
            <w:tcW w:w="813" w:type="pct"/>
            <w:shd w:val="clear" w:color="auto" w:fill="auto"/>
            <w:vAlign w:val="center"/>
          </w:tcPr>
          <w:p w14:paraId="326522F7" w14:textId="77777777" w:rsidR="0024053A" w:rsidRPr="00445472" w:rsidRDefault="0024053A" w:rsidP="00A22C31">
            <w:pPr>
              <w:pStyle w:val="TABELA"/>
              <w:jc w:val="center"/>
              <w:rPr>
                <w:lang w:val="sq-AL"/>
              </w:rPr>
            </w:pPr>
            <w:r w:rsidRPr="00445472">
              <w:rPr>
                <w:lang w:val="sq-AL"/>
              </w:rPr>
              <w:t>5</w:t>
            </w:r>
          </w:p>
        </w:tc>
        <w:tc>
          <w:tcPr>
            <w:tcW w:w="4187" w:type="pct"/>
            <w:shd w:val="clear" w:color="auto" w:fill="auto"/>
            <w:vAlign w:val="center"/>
          </w:tcPr>
          <w:p w14:paraId="6CFB1F71" w14:textId="629FA2A9" w:rsidR="0024053A" w:rsidRPr="00445472" w:rsidRDefault="0024053A" w:rsidP="00E14B89">
            <w:pPr>
              <w:pStyle w:val="TABELA"/>
              <w:rPr>
                <w:lang w:val="sq-AL"/>
              </w:rPr>
            </w:pPr>
            <w:r w:rsidRPr="00445472">
              <w:rPr>
                <w:lang w:val="sq-AL"/>
              </w:rPr>
              <w:t xml:space="preserve">Nënndarja e stacionit të prurjeve në Klinë, Kosovë </w:t>
            </w:r>
          </w:p>
        </w:tc>
      </w:tr>
      <w:tr w:rsidR="0024053A" w:rsidRPr="00445472" w14:paraId="41BC6606" w14:textId="77777777" w:rsidTr="0024053A">
        <w:trPr>
          <w:jc w:val="center"/>
        </w:trPr>
        <w:tc>
          <w:tcPr>
            <w:tcW w:w="813" w:type="pct"/>
            <w:shd w:val="clear" w:color="auto" w:fill="auto"/>
            <w:vAlign w:val="center"/>
          </w:tcPr>
          <w:p w14:paraId="7A76C7B6" w14:textId="77777777" w:rsidR="0024053A" w:rsidRPr="00445472" w:rsidRDefault="0024053A" w:rsidP="00A22C31">
            <w:pPr>
              <w:pStyle w:val="TABELA"/>
              <w:jc w:val="center"/>
              <w:rPr>
                <w:lang w:val="sq-AL"/>
              </w:rPr>
            </w:pPr>
            <w:r w:rsidRPr="00445472">
              <w:rPr>
                <w:lang w:val="sq-AL"/>
              </w:rPr>
              <w:t>6</w:t>
            </w:r>
          </w:p>
        </w:tc>
        <w:tc>
          <w:tcPr>
            <w:tcW w:w="4187" w:type="pct"/>
            <w:shd w:val="clear" w:color="auto" w:fill="auto"/>
            <w:vAlign w:val="center"/>
          </w:tcPr>
          <w:p w14:paraId="39D8803D" w14:textId="213018FE" w:rsidR="0024053A" w:rsidRPr="00445472" w:rsidRDefault="0024053A" w:rsidP="00E14B89">
            <w:pPr>
              <w:pStyle w:val="TABELA"/>
              <w:rPr>
                <w:lang w:val="sq-AL"/>
              </w:rPr>
            </w:pPr>
            <w:r w:rsidRPr="00445472">
              <w:rPr>
                <w:lang w:val="sq-AL"/>
              </w:rPr>
              <w:t>Nënndarja e pellgut më të madh</w:t>
            </w:r>
          </w:p>
        </w:tc>
      </w:tr>
      <w:tr w:rsidR="0024053A" w:rsidRPr="00445472" w14:paraId="1BE770CB" w14:textId="77777777" w:rsidTr="0024053A">
        <w:trPr>
          <w:jc w:val="center"/>
        </w:trPr>
        <w:tc>
          <w:tcPr>
            <w:tcW w:w="813" w:type="pct"/>
            <w:shd w:val="clear" w:color="auto" w:fill="auto"/>
            <w:vAlign w:val="center"/>
          </w:tcPr>
          <w:p w14:paraId="73A2C10E" w14:textId="77777777" w:rsidR="0024053A" w:rsidRPr="00445472" w:rsidRDefault="0024053A" w:rsidP="00A22C31">
            <w:pPr>
              <w:pStyle w:val="TABELA"/>
              <w:jc w:val="center"/>
              <w:rPr>
                <w:lang w:val="sq-AL"/>
              </w:rPr>
            </w:pPr>
            <w:r w:rsidRPr="00445472">
              <w:rPr>
                <w:lang w:val="sq-AL"/>
              </w:rPr>
              <w:t>7</w:t>
            </w:r>
          </w:p>
        </w:tc>
        <w:tc>
          <w:tcPr>
            <w:tcW w:w="4187" w:type="pct"/>
            <w:shd w:val="clear" w:color="auto" w:fill="auto"/>
            <w:vAlign w:val="center"/>
          </w:tcPr>
          <w:p w14:paraId="45D51DDD" w14:textId="77777777" w:rsidR="0024053A" w:rsidRPr="00445472" w:rsidRDefault="0024053A" w:rsidP="0024053A">
            <w:pPr>
              <w:pStyle w:val="TABELA"/>
              <w:rPr>
                <w:lang w:val="sq-AL"/>
              </w:rPr>
            </w:pPr>
            <w:r w:rsidRPr="00445472">
              <w:rPr>
                <w:lang w:val="sq-AL"/>
              </w:rPr>
              <w:t>Prurja hyrëse nga Kosova, Stacioni i prurjeve Vermice</w:t>
            </w:r>
          </w:p>
        </w:tc>
      </w:tr>
      <w:tr w:rsidR="0024053A" w:rsidRPr="00445472" w14:paraId="5CF77505" w14:textId="77777777" w:rsidTr="0024053A">
        <w:trPr>
          <w:jc w:val="center"/>
        </w:trPr>
        <w:tc>
          <w:tcPr>
            <w:tcW w:w="813" w:type="pct"/>
            <w:shd w:val="clear" w:color="auto" w:fill="auto"/>
            <w:vAlign w:val="center"/>
          </w:tcPr>
          <w:p w14:paraId="18DED67E" w14:textId="77777777" w:rsidR="0024053A" w:rsidRPr="00445472" w:rsidRDefault="0024053A" w:rsidP="00A22C31">
            <w:pPr>
              <w:pStyle w:val="TABELA"/>
              <w:jc w:val="center"/>
              <w:rPr>
                <w:lang w:val="sq-AL"/>
              </w:rPr>
            </w:pPr>
            <w:r w:rsidRPr="00445472">
              <w:rPr>
                <w:lang w:val="sq-AL"/>
              </w:rPr>
              <w:t>8</w:t>
            </w:r>
          </w:p>
        </w:tc>
        <w:tc>
          <w:tcPr>
            <w:tcW w:w="4187" w:type="pct"/>
            <w:shd w:val="clear" w:color="auto" w:fill="auto"/>
            <w:vAlign w:val="center"/>
          </w:tcPr>
          <w:p w14:paraId="37D762D6" w14:textId="77777777" w:rsidR="0024053A" w:rsidRPr="00445472" w:rsidRDefault="0024053A" w:rsidP="0024053A">
            <w:pPr>
              <w:pStyle w:val="TABELA"/>
              <w:rPr>
                <w:lang w:val="sq-AL"/>
              </w:rPr>
            </w:pPr>
            <w:r w:rsidRPr="00445472">
              <w:rPr>
                <w:lang w:val="sq-AL"/>
              </w:rPr>
              <w:t>Derdhja e rezervuarit të Fierzës</w:t>
            </w:r>
          </w:p>
        </w:tc>
      </w:tr>
      <w:tr w:rsidR="0024053A" w:rsidRPr="00445472" w14:paraId="444D02B3" w14:textId="77777777" w:rsidTr="0024053A">
        <w:trPr>
          <w:jc w:val="center"/>
        </w:trPr>
        <w:tc>
          <w:tcPr>
            <w:tcW w:w="813" w:type="pct"/>
            <w:shd w:val="clear" w:color="auto" w:fill="auto"/>
            <w:vAlign w:val="center"/>
          </w:tcPr>
          <w:p w14:paraId="1C513362" w14:textId="77777777" w:rsidR="0024053A" w:rsidRPr="00445472" w:rsidRDefault="0024053A" w:rsidP="00A22C31">
            <w:pPr>
              <w:pStyle w:val="TABELA"/>
              <w:jc w:val="center"/>
              <w:rPr>
                <w:lang w:val="sq-AL"/>
              </w:rPr>
            </w:pPr>
            <w:r w:rsidRPr="00445472">
              <w:rPr>
                <w:lang w:val="sq-AL"/>
              </w:rPr>
              <w:t>9</w:t>
            </w:r>
          </w:p>
        </w:tc>
        <w:tc>
          <w:tcPr>
            <w:tcW w:w="4187" w:type="pct"/>
            <w:shd w:val="clear" w:color="auto" w:fill="auto"/>
            <w:vAlign w:val="center"/>
          </w:tcPr>
          <w:p w14:paraId="722D0606" w14:textId="77777777" w:rsidR="0024053A" w:rsidRPr="00445472" w:rsidRDefault="0024053A" w:rsidP="0024053A">
            <w:pPr>
              <w:pStyle w:val="TABELA"/>
              <w:rPr>
                <w:lang w:val="sq-AL"/>
              </w:rPr>
            </w:pPr>
            <w:r w:rsidRPr="00445472">
              <w:rPr>
                <w:lang w:val="sq-AL"/>
              </w:rPr>
              <w:t>Derdhja e rezervuarit të Komanit</w:t>
            </w:r>
          </w:p>
        </w:tc>
      </w:tr>
      <w:tr w:rsidR="0024053A" w:rsidRPr="00445472" w14:paraId="2C4DAB8E" w14:textId="77777777" w:rsidTr="0024053A">
        <w:trPr>
          <w:jc w:val="center"/>
        </w:trPr>
        <w:tc>
          <w:tcPr>
            <w:tcW w:w="813" w:type="pct"/>
            <w:shd w:val="clear" w:color="auto" w:fill="auto"/>
            <w:vAlign w:val="center"/>
          </w:tcPr>
          <w:p w14:paraId="596D63DE" w14:textId="77777777" w:rsidR="0024053A" w:rsidRPr="00445472" w:rsidRDefault="0024053A" w:rsidP="00A22C31">
            <w:pPr>
              <w:pStyle w:val="TABELA"/>
              <w:jc w:val="center"/>
              <w:rPr>
                <w:lang w:val="sq-AL"/>
              </w:rPr>
            </w:pPr>
            <w:r w:rsidRPr="00445472">
              <w:rPr>
                <w:lang w:val="sq-AL"/>
              </w:rPr>
              <w:t>10</w:t>
            </w:r>
          </w:p>
        </w:tc>
        <w:tc>
          <w:tcPr>
            <w:tcW w:w="4187" w:type="pct"/>
            <w:shd w:val="clear" w:color="auto" w:fill="auto"/>
            <w:vAlign w:val="center"/>
          </w:tcPr>
          <w:p w14:paraId="549D297E" w14:textId="77777777" w:rsidR="0024053A" w:rsidRPr="00445472" w:rsidRDefault="0024053A" w:rsidP="0024053A">
            <w:pPr>
              <w:pStyle w:val="TABELA"/>
              <w:rPr>
                <w:lang w:val="sq-AL"/>
              </w:rPr>
            </w:pPr>
            <w:r w:rsidRPr="00445472">
              <w:rPr>
                <w:lang w:val="sq-AL"/>
              </w:rPr>
              <w:t>Pellgu në rrjedhën e poshtme të Liqenit të Shkodrës dhe rezervuarit të Vaut të Dejës qe marrin ujë nga Drini, Buna dhe degë më të vogla.</w:t>
            </w:r>
          </w:p>
        </w:tc>
      </w:tr>
      <w:tr w:rsidR="0024053A" w:rsidRPr="00445472" w14:paraId="7818C444" w14:textId="77777777" w:rsidTr="0024053A">
        <w:trPr>
          <w:jc w:val="center"/>
        </w:trPr>
        <w:tc>
          <w:tcPr>
            <w:tcW w:w="813" w:type="pct"/>
            <w:shd w:val="clear" w:color="auto" w:fill="auto"/>
            <w:vAlign w:val="center"/>
          </w:tcPr>
          <w:p w14:paraId="3ABB25D3" w14:textId="77777777" w:rsidR="0024053A" w:rsidRPr="00445472" w:rsidRDefault="0024053A" w:rsidP="00A22C31">
            <w:pPr>
              <w:pStyle w:val="TABELA"/>
              <w:jc w:val="center"/>
              <w:rPr>
                <w:lang w:val="sq-AL"/>
              </w:rPr>
            </w:pPr>
            <w:r w:rsidRPr="00445472">
              <w:rPr>
                <w:lang w:val="sq-AL"/>
              </w:rPr>
              <w:t>12</w:t>
            </w:r>
          </w:p>
        </w:tc>
        <w:tc>
          <w:tcPr>
            <w:tcW w:w="4187" w:type="pct"/>
            <w:shd w:val="clear" w:color="auto" w:fill="auto"/>
            <w:vAlign w:val="center"/>
          </w:tcPr>
          <w:p w14:paraId="38A6F52E" w14:textId="77777777" w:rsidR="0024053A" w:rsidRPr="00445472" w:rsidRDefault="0024053A" w:rsidP="0024053A">
            <w:pPr>
              <w:pStyle w:val="TABELA"/>
              <w:rPr>
                <w:lang w:val="sq-AL"/>
              </w:rPr>
            </w:pPr>
            <w:r w:rsidRPr="00445472">
              <w:rPr>
                <w:lang w:val="sq-AL"/>
              </w:rPr>
              <w:t>Derdhja e rezervuarit të Vaut të Dejës</w:t>
            </w:r>
          </w:p>
        </w:tc>
      </w:tr>
      <w:tr w:rsidR="0024053A" w:rsidRPr="00445472" w14:paraId="5150BE00" w14:textId="77777777" w:rsidTr="0024053A">
        <w:trPr>
          <w:jc w:val="center"/>
        </w:trPr>
        <w:tc>
          <w:tcPr>
            <w:tcW w:w="813" w:type="pct"/>
            <w:shd w:val="clear" w:color="auto" w:fill="auto"/>
            <w:vAlign w:val="center"/>
          </w:tcPr>
          <w:p w14:paraId="692E6DBF" w14:textId="77777777" w:rsidR="0024053A" w:rsidRPr="00445472" w:rsidRDefault="0024053A" w:rsidP="00A22C31">
            <w:pPr>
              <w:pStyle w:val="TABELA"/>
              <w:jc w:val="center"/>
              <w:rPr>
                <w:lang w:val="sq-AL"/>
              </w:rPr>
            </w:pPr>
            <w:r w:rsidRPr="00445472">
              <w:rPr>
                <w:lang w:val="sq-AL"/>
              </w:rPr>
              <w:t>17</w:t>
            </w:r>
          </w:p>
        </w:tc>
        <w:tc>
          <w:tcPr>
            <w:tcW w:w="4187" w:type="pct"/>
            <w:shd w:val="clear" w:color="auto" w:fill="auto"/>
            <w:vAlign w:val="center"/>
          </w:tcPr>
          <w:p w14:paraId="35351AC5" w14:textId="4D3B9BD1" w:rsidR="0024053A" w:rsidRPr="00445472" w:rsidRDefault="0024053A" w:rsidP="00E14B89">
            <w:pPr>
              <w:pStyle w:val="TABELA"/>
              <w:rPr>
                <w:lang w:val="sq-AL"/>
              </w:rPr>
            </w:pPr>
            <w:r w:rsidRPr="00445472">
              <w:rPr>
                <w:lang w:val="sq-AL"/>
              </w:rPr>
              <w:t>Nënndarja e pellgut më të madh. Kanali i prurjes kryesore në Liqenin e Shkodrës (Lumi Moraca)</w:t>
            </w:r>
          </w:p>
        </w:tc>
      </w:tr>
      <w:tr w:rsidR="0024053A" w:rsidRPr="00445472" w14:paraId="32DD6E1E" w14:textId="77777777" w:rsidTr="0024053A">
        <w:trPr>
          <w:jc w:val="center"/>
        </w:trPr>
        <w:tc>
          <w:tcPr>
            <w:tcW w:w="813" w:type="pct"/>
            <w:shd w:val="clear" w:color="auto" w:fill="auto"/>
            <w:vAlign w:val="center"/>
          </w:tcPr>
          <w:p w14:paraId="2195D5F3" w14:textId="77777777" w:rsidR="0024053A" w:rsidRPr="00445472" w:rsidRDefault="0024053A" w:rsidP="00A22C31">
            <w:pPr>
              <w:pStyle w:val="TABELA"/>
              <w:jc w:val="center"/>
              <w:rPr>
                <w:lang w:val="sq-AL"/>
              </w:rPr>
            </w:pPr>
            <w:r w:rsidRPr="00445472">
              <w:rPr>
                <w:lang w:val="sq-AL"/>
              </w:rPr>
              <w:t>20</w:t>
            </w:r>
          </w:p>
        </w:tc>
        <w:tc>
          <w:tcPr>
            <w:tcW w:w="4187" w:type="pct"/>
            <w:shd w:val="clear" w:color="auto" w:fill="auto"/>
            <w:vAlign w:val="center"/>
          </w:tcPr>
          <w:p w14:paraId="0C3D9DDA" w14:textId="77777777" w:rsidR="0024053A" w:rsidRPr="00445472" w:rsidRDefault="0024053A" w:rsidP="0024053A">
            <w:pPr>
              <w:pStyle w:val="TABELA"/>
              <w:rPr>
                <w:lang w:val="sq-AL"/>
              </w:rPr>
            </w:pPr>
            <w:r w:rsidRPr="00445472">
              <w:rPr>
                <w:lang w:val="sq-AL"/>
              </w:rPr>
              <w:t>Derdhja e liqenit të Shkodrës</w:t>
            </w:r>
          </w:p>
        </w:tc>
      </w:tr>
    </w:tbl>
    <w:p w14:paraId="73D63808" w14:textId="77777777" w:rsidR="0024053A" w:rsidRPr="00445472" w:rsidRDefault="0024053A" w:rsidP="0024053A">
      <w:pPr>
        <w:pStyle w:val="BodyText"/>
        <w:spacing w:before="0" w:after="0" w:line="240" w:lineRule="auto"/>
        <w:ind w:firstLine="284"/>
        <w:rPr>
          <w:rFonts w:ascii="Garamond" w:hAnsi="Garamond"/>
          <w:sz w:val="24"/>
          <w:szCs w:val="24"/>
          <w:lang w:val="sq-AL" w:eastAsia="da-DK"/>
        </w:rPr>
      </w:pPr>
    </w:p>
    <w:p w14:paraId="7C308184"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13 zonat ujëmbledhëse arrijnë një ekuilibër të arsyeshëm midis disponueshmërisë së të dhënave, kufizimeve të burimeve të projektit dhe nivelit të detajimit, për vlerësimin e ekuilibrit të arsyeshëm të ujit në pjesë të ndryshme të basenit.</w:t>
      </w:r>
    </w:p>
    <w:p w14:paraId="6BE59378" w14:textId="68D5F012" w:rsidR="0024053A" w:rsidRPr="00445472" w:rsidRDefault="0024053A" w:rsidP="0024053A">
      <w:pPr>
        <w:pStyle w:val="NENTITULL"/>
      </w:pPr>
      <w:bookmarkStart w:id="50" w:name="_Toc11068754"/>
      <w:bookmarkStart w:id="51" w:name="_Toc482050823"/>
      <w:r w:rsidRPr="00445472">
        <w:t>3.5.4 Bilanci i Ujit</w:t>
      </w:r>
      <w:bookmarkEnd w:id="50"/>
    </w:p>
    <w:p w14:paraId="61575FCC" w14:textId="4662035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Përcaktimi i bilancit të ujit është një hap i parë i rëndësishëm drejt zhvillimit të një strategjie të integruar të menaxhimit të burimeve ujore. Në thelb, bilanci i ujit përcakton burimet ujore në dispozicion, përdorimin e ujit dhe atë që mbetet në dispozicion për përdorime alternative. Llogaritja e bilancit të ujit bazohet në dokumentin</w:t>
      </w:r>
      <w:bookmarkStart w:id="52" w:name="_Ref483998366"/>
      <w:r w:rsidRPr="00445472">
        <w:rPr>
          <w:rFonts w:ascii="Garamond" w:hAnsi="Garamond"/>
          <w:sz w:val="24"/>
          <w:szCs w:val="24"/>
          <w:vertAlign w:val="superscript"/>
        </w:rPr>
        <w:footnoteReference w:id="18"/>
      </w:r>
      <w:bookmarkEnd w:id="52"/>
      <w:r w:rsidRPr="00445472">
        <w:rPr>
          <w:rFonts w:ascii="Garamond" w:hAnsi="Garamond"/>
          <w:sz w:val="24"/>
          <w:szCs w:val="24"/>
        </w:rPr>
        <w:t xml:space="preserve">  </w:t>
      </w:r>
      <w:r w:rsidR="00D62EDF" w:rsidRPr="00445472">
        <w:rPr>
          <w:rFonts w:ascii="Garamond" w:hAnsi="Garamond"/>
          <w:sz w:val="24"/>
          <w:szCs w:val="24"/>
        </w:rPr>
        <w:t>“</w:t>
      </w:r>
      <w:r w:rsidRPr="00445472">
        <w:rPr>
          <w:rFonts w:ascii="Garamond" w:hAnsi="Garamond"/>
          <w:sz w:val="24"/>
          <w:szCs w:val="24"/>
        </w:rPr>
        <w:t>Dokumenti udhëzues për zbatimin e bilancit të ujit për mbështetjen e zbatimit të DKU-së</w:t>
      </w:r>
      <w:r w:rsidR="00D62EDF" w:rsidRPr="00445472">
        <w:rPr>
          <w:rFonts w:ascii="Garamond" w:hAnsi="Garamond"/>
          <w:sz w:val="24"/>
          <w:szCs w:val="24"/>
        </w:rPr>
        <w:t>”</w:t>
      </w:r>
      <w:r w:rsidRPr="00445472">
        <w:rPr>
          <w:rFonts w:ascii="Garamond" w:hAnsi="Garamond"/>
          <w:sz w:val="24"/>
          <w:szCs w:val="24"/>
        </w:rPr>
        <w:t xml:space="preserve"> (Raporti Teknik: 2015-090). Ky është udhëzimi zyrtar mbi Bilancin e Ujërave i përcaktuar nga Komisioni Evropian.</w:t>
      </w:r>
    </w:p>
    <w:p w14:paraId="70030307" w14:textId="66D44C8F"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Burimet ujore në dispozicion janë ato nga uji sipërfaqësor (lumenjtë) dhe akuiferet (ujërat nëntokësor</w:t>
      </w:r>
      <w:r w:rsidR="0086054F" w:rsidRPr="00445472">
        <w:rPr>
          <w:rFonts w:ascii="Garamond" w:hAnsi="Garamond"/>
          <w:sz w:val="24"/>
          <w:szCs w:val="24"/>
        </w:rPr>
        <w:t>e</w:t>
      </w:r>
      <w:r w:rsidRPr="00445472">
        <w:rPr>
          <w:rFonts w:ascii="Garamond" w:hAnsi="Garamond"/>
          <w:sz w:val="24"/>
          <w:szCs w:val="24"/>
        </w:rPr>
        <w:t xml:space="preserve">). Në rastin e Basenit Ujor </w:t>
      </w:r>
      <w:r w:rsidR="007E76E3" w:rsidRPr="00445472">
        <w:rPr>
          <w:rFonts w:ascii="Garamond" w:hAnsi="Garamond"/>
          <w:sz w:val="24"/>
          <w:szCs w:val="24"/>
        </w:rPr>
        <w:t>Drin–Bunë</w:t>
      </w:r>
      <w:r w:rsidRPr="00445472">
        <w:rPr>
          <w:rFonts w:ascii="Garamond" w:hAnsi="Garamond"/>
          <w:sz w:val="24"/>
          <w:szCs w:val="24"/>
        </w:rPr>
        <w:t xml:space="preserve"> burimet e ujërave sipërfaqësorë nga rrjedha brenda vendit rritet me prurjet hyrëse nga vendet fqinje.</w:t>
      </w:r>
    </w:p>
    <w:p w14:paraId="3E980F4A" w14:textId="3AAC85C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Tre përdorimet kryesore të ujit klasifikohen si bujqësia, industria dhe uji i pijshëm. Në rastin e bujqësisë, përdorimi kryesor është për ujitje. Natyrisht ka edhe përdorime të tjera bujqësore, të tilla si uji i pijshëm për kafshët dhe akuakultura, por këto janë shumë të vogla në krahasim me ujitjen. Një situatë e ngjashme ekziston në lidhje me industrinë. Përdorimi industrial i ujit është shumë i ulët në Basenin Ujor </w:t>
      </w:r>
      <w:r w:rsidR="007E76E3" w:rsidRPr="00445472">
        <w:rPr>
          <w:rFonts w:ascii="Garamond" w:hAnsi="Garamond"/>
          <w:sz w:val="24"/>
          <w:szCs w:val="24"/>
        </w:rPr>
        <w:t>Drin–Bunë</w:t>
      </w:r>
      <w:r w:rsidRPr="00445472">
        <w:rPr>
          <w:rFonts w:ascii="Garamond" w:hAnsi="Garamond"/>
          <w:sz w:val="24"/>
          <w:szCs w:val="24"/>
        </w:rPr>
        <w:t xml:space="preserve"> dhe klasifikohet si </w:t>
      </w:r>
      <w:r w:rsidR="00A22C31" w:rsidRPr="00445472">
        <w:rPr>
          <w:rFonts w:ascii="Garamond" w:hAnsi="Garamond"/>
          <w:sz w:val="24"/>
          <w:szCs w:val="24"/>
        </w:rPr>
        <w:t>“</w:t>
      </w:r>
      <w:r w:rsidRPr="00445472">
        <w:rPr>
          <w:rFonts w:ascii="Garamond" w:hAnsi="Garamond"/>
          <w:sz w:val="24"/>
          <w:szCs w:val="24"/>
        </w:rPr>
        <w:t>ujë me shishe</w:t>
      </w:r>
      <w:r w:rsidR="00A22C31" w:rsidRPr="00445472">
        <w:rPr>
          <w:rFonts w:ascii="Garamond" w:hAnsi="Garamond"/>
          <w:sz w:val="24"/>
          <w:szCs w:val="24"/>
        </w:rPr>
        <w:t>”</w:t>
      </w:r>
      <w:r w:rsidRPr="00445472">
        <w:rPr>
          <w:rFonts w:ascii="Garamond" w:hAnsi="Garamond"/>
          <w:sz w:val="24"/>
          <w:szCs w:val="24"/>
        </w:rPr>
        <w:t xml:space="preserve"> etj</w:t>
      </w:r>
      <w:r w:rsidR="00A22C31" w:rsidRPr="00445472">
        <w:rPr>
          <w:rFonts w:ascii="Garamond" w:hAnsi="Garamond"/>
          <w:sz w:val="24"/>
          <w:szCs w:val="24"/>
        </w:rPr>
        <w:t>.</w:t>
      </w:r>
      <w:r w:rsidRPr="00445472">
        <w:rPr>
          <w:rFonts w:ascii="Garamond" w:hAnsi="Garamond"/>
          <w:sz w:val="24"/>
          <w:szCs w:val="24"/>
          <w:vertAlign w:val="superscript"/>
        </w:rPr>
        <w:footnoteReference w:id="19"/>
      </w:r>
      <w:r w:rsidRPr="00445472">
        <w:rPr>
          <w:rFonts w:ascii="Garamond" w:hAnsi="Garamond"/>
          <w:sz w:val="24"/>
          <w:szCs w:val="24"/>
        </w:rPr>
        <w:t xml:space="preserve"> Ka gjithashtu disa përdorime për industrinë nga ujërat nëntokësor</w:t>
      </w:r>
      <w:r w:rsidR="0086054F" w:rsidRPr="00445472">
        <w:rPr>
          <w:rFonts w:ascii="Garamond" w:hAnsi="Garamond"/>
          <w:sz w:val="24"/>
          <w:szCs w:val="24"/>
        </w:rPr>
        <w:t>e</w:t>
      </w:r>
      <w:r w:rsidRPr="00445472">
        <w:rPr>
          <w:rFonts w:ascii="Garamond" w:hAnsi="Garamond"/>
          <w:sz w:val="24"/>
          <w:szCs w:val="24"/>
        </w:rPr>
        <w:t>. Nxjerrja e klasifikuar si 'ujë i pijshëm' përfshin të gjitha nxjerrjet për qëllim pirje urbane/rurale. Përdorimi i katërt i ujit, prurjet e mjedisit, nuk është plotësisht i kuantifikuar dhe nuk është përfshirë në Tabelën 3.4. Kjo është vendosur sipas Ligjit që përfaqëson prurjen që natyrshëm do të ndodhte në 355 ditë të vitit. Rëndësia e saj, sidomos kur kërkesat rriten dhe burimet zvogëlohen nga ndryshimet klimatike tashmë njihet.</w:t>
      </w:r>
    </w:p>
    <w:p w14:paraId="6A8F6B83" w14:textId="7A6C4B43"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Edhe pse duket e drejtpërdrejtë, është e rëndësishme që bilanci i ujit të njohë karakteristikat specifike të llojeve të ndryshme të përdorimit të tij. Një shembull shumë i qartë për këtë është krahasimi i ujitjes dhe hidroenergjisë. Kur uji përdoret për ujitje pjesa më e madhe e tij avullon dhe shumë pak kthehet në lumenj ose ujëra nëntokësorë për përdorim të mëtejshëm. Megjithëse dihet se jo të gjithë ujërat që devijohen për ujitje mbërrijnë në fusha. Kur uji përdoret për hidroenergji pothuajse i gjithë uji që hyn në një rezervuar kalon përmes turbinave për të gjeneruar energji elektrike. Për këtë arsye dokumenti i udhëzimit të BE-së për bilancin e ujit tregon qartë se hidrocentralet nuk janë të përfshira në llogaritjen e bilancit të ujit, pra </w:t>
      </w:r>
      <w:r w:rsidR="00D62EDF" w:rsidRPr="00445472">
        <w:rPr>
          <w:rFonts w:ascii="Garamond" w:hAnsi="Garamond"/>
          <w:sz w:val="24"/>
          <w:szCs w:val="24"/>
        </w:rPr>
        <w:t>“</w:t>
      </w:r>
      <w:r w:rsidRPr="00445472">
        <w:rPr>
          <w:rFonts w:ascii="Garamond" w:hAnsi="Garamond"/>
          <w:sz w:val="24"/>
          <w:szCs w:val="24"/>
        </w:rPr>
        <w:t>nxjerrja e ujit për prodhimin e hidroenergjisë (përdorimi në vend) duhet të përjashtohet nga përfshirja në ekuacionin e bilancit të ujit</w:t>
      </w:r>
      <w:r w:rsidR="00D62EDF" w:rsidRPr="00445472">
        <w:rPr>
          <w:rFonts w:ascii="Garamond" w:hAnsi="Garamond"/>
          <w:sz w:val="24"/>
          <w:szCs w:val="24"/>
        </w:rPr>
        <w:t>”</w:t>
      </w:r>
      <w:r w:rsidRPr="00445472">
        <w:rPr>
          <w:rFonts w:ascii="Garamond" w:hAnsi="Garamond"/>
          <w:sz w:val="24"/>
          <w:szCs w:val="24"/>
        </w:rPr>
        <w:t>. Për hidroenergjinë, përdorimi bruto është i lartë, por përdorimi neto është i vogël; për ujitjen, vlen e kundërta. Konsiderata të ngjashme zbatohen për ujin e pijshëm publik, ku një pjesë nga uji i nxjerrë kthehet nëpërmjet rrjedhjes në ujërat nëntokësor</w:t>
      </w:r>
      <w:r w:rsidR="0086054F" w:rsidRPr="00445472">
        <w:rPr>
          <w:rFonts w:ascii="Garamond" w:hAnsi="Garamond"/>
          <w:sz w:val="24"/>
          <w:szCs w:val="24"/>
        </w:rPr>
        <w:t>e</w:t>
      </w:r>
      <w:r w:rsidRPr="00445472">
        <w:rPr>
          <w:rFonts w:ascii="Garamond" w:hAnsi="Garamond"/>
          <w:sz w:val="24"/>
          <w:szCs w:val="24"/>
        </w:rPr>
        <w:t xml:space="preserve"> ose pas trajtimit në një impiant për trajtimin e ujërave të ndotura në një lumë. Aktualisht, ekziston një humbje e madhe në sistemin e shpërndarjes ose n</w:t>
      </w:r>
      <w:r w:rsidR="004A1947" w:rsidRPr="00445472">
        <w:rPr>
          <w:rFonts w:ascii="Garamond" w:hAnsi="Garamond"/>
          <w:sz w:val="24"/>
          <w:szCs w:val="24"/>
        </w:rPr>
        <w:t>ga rrjedhjet ose lidhjet pa matë</w:t>
      </w:r>
      <w:r w:rsidRPr="00445472">
        <w:rPr>
          <w:rFonts w:ascii="Garamond" w:hAnsi="Garamond"/>
          <w:sz w:val="24"/>
          <w:szCs w:val="24"/>
        </w:rPr>
        <w:t>s; në të ardhmen, këto humbje do të kontrollohen dhe prodhimi për ujë të pijshëm do të reduktohet edhe pse sasia e furnizuar do të rritet.</w:t>
      </w:r>
    </w:p>
    <w:p w14:paraId="1B1C746E"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Përveç sa më sipër, ekziston edhe një ndryshim në rëndësinë e llojeve të ndryshme të burimeve ujore. Për shembull, shumica e ujit të pijshëm vjen nga burimet e ujërave nëntokësorë.</w:t>
      </w:r>
    </w:p>
    <w:p w14:paraId="2DAB72C2" w14:textId="77777777" w:rsidR="0024053A" w:rsidRPr="00445472" w:rsidRDefault="0024053A" w:rsidP="0024053A">
      <w:pPr>
        <w:spacing w:after="0" w:line="240" w:lineRule="auto"/>
        <w:ind w:firstLine="284"/>
        <w:rPr>
          <w:rFonts w:ascii="Garamond" w:hAnsi="Garamond"/>
          <w:b/>
          <w:bCs/>
          <w:sz w:val="24"/>
          <w:szCs w:val="24"/>
        </w:rPr>
      </w:pPr>
    </w:p>
    <w:p w14:paraId="255E4B4E" w14:textId="503A9C23" w:rsidR="0024053A" w:rsidRPr="00445472" w:rsidRDefault="0024053A" w:rsidP="008876B4">
      <w:pPr>
        <w:pStyle w:val="NENTITULL"/>
      </w:pPr>
      <w:r w:rsidRPr="00445472">
        <w:t xml:space="preserve">Tabela 3.4: Bilanci i Ujit në Basenin Ujor </w:t>
      </w:r>
      <w:r w:rsidR="007E76E3" w:rsidRPr="00445472">
        <w:t>Drin–Bunë</w:t>
      </w:r>
    </w:p>
    <w:tbl>
      <w:tblPr>
        <w:tblW w:w="9010" w:type="dxa"/>
        <w:tblInd w:w="152" w:type="dxa"/>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ayout w:type="fixed"/>
        <w:tblCellMar>
          <w:left w:w="0" w:type="dxa"/>
          <w:right w:w="0" w:type="dxa"/>
        </w:tblCellMar>
        <w:tblLook w:val="04A0" w:firstRow="1" w:lastRow="0" w:firstColumn="1" w:lastColumn="0" w:noHBand="0" w:noVBand="1"/>
      </w:tblPr>
      <w:tblGrid>
        <w:gridCol w:w="2957"/>
        <w:gridCol w:w="1431"/>
        <w:gridCol w:w="1607"/>
        <w:gridCol w:w="1633"/>
        <w:gridCol w:w="1382"/>
      </w:tblGrid>
      <w:tr w:rsidR="0024053A" w:rsidRPr="00445472" w14:paraId="50652560" w14:textId="77777777" w:rsidTr="00C17B97">
        <w:trPr>
          <w:tblHeader/>
        </w:trPr>
        <w:tc>
          <w:tcPr>
            <w:tcW w:w="1641" w:type="pct"/>
            <w:tcBorders>
              <w:top w:val="single" w:sz="8" w:space="0" w:color="009E9A"/>
              <w:left w:val="single" w:sz="8" w:space="0" w:color="27B1B0"/>
              <w:bottom w:val="single" w:sz="8" w:space="0" w:color="27B1B0"/>
              <w:right w:val="single" w:sz="8" w:space="0" w:color="27B1B0"/>
              <w:tl2br w:val="nil"/>
              <w:tr2bl w:val="nil"/>
            </w:tcBorders>
            <w:shd w:val="clear" w:color="auto" w:fill="auto"/>
            <w:vAlign w:val="center"/>
          </w:tcPr>
          <w:p w14:paraId="2D7BA61C" w14:textId="77777777" w:rsidR="0024053A" w:rsidRPr="00445472" w:rsidRDefault="0024053A" w:rsidP="008876B4">
            <w:pPr>
              <w:pStyle w:val="TABELA"/>
              <w:rPr>
                <w:lang w:val="sq-AL" w:eastAsia="en-GB"/>
              </w:rPr>
            </w:pPr>
            <w:r w:rsidRPr="00445472">
              <w:rPr>
                <w:lang w:val="sq-AL"/>
              </w:rPr>
              <w:t>Reshjet (mm/vit</w:t>
            </w:r>
            <w:r w:rsidRPr="00445472">
              <w:rPr>
                <w:lang w:val="sq-AL" w:eastAsia="en-GB"/>
              </w:rPr>
              <w:t>)</w:t>
            </w:r>
          </w:p>
        </w:tc>
        <w:tc>
          <w:tcPr>
            <w:tcW w:w="3359" w:type="pct"/>
            <w:gridSpan w:val="4"/>
            <w:tcBorders>
              <w:top w:val="single" w:sz="8" w:space="0" w:color="009E9A"/>
              <w:left w:val="single" w:sz="8" w:space="0" w:color="27B1B0"/>
              <w:bottom w:val="single" w:sz="8" w:space="0" w:color="27B1B0"/>
              <w:right w:val="single" w:sz="8" w:space="0" w:color="27B1B0"/>
              <w:tl2br w:val="nil"/>
              <w:tr2bl w:val="nil"/>
            </w:tcBorders>
            <w:shd w:val="clear" w:color="auto" w:fill="auto"/>
            <w:vAlign w:val="center"/>
          </w:tcPr>
          <w:p w14:paraId="7BA0518A" w14:textId="77777777" w:rsidR="0024053A" w:rsidRPr="00445472" w:rsidRDefault="0024053A" w:rsidP="004A1947">
            <w:pPr>
              <w:pStyle w:val="TABELA"/>
              <w:jc w:val="right"/>
              <w:rPr>
                <w:lang w:val="sq-AL"/>
              </w:rPr>
            </w:pPr>
            <w:r w:rsidRPr="00445472">
              <w:rPr>
                <w:lang w:val="sq-AL" w:eastAsia="en-GB"/>
              </w:rPr>
              <w:t>1,205</w:t>
            </w:r>
            <w:r w:rsidRPr="00445472">
              <w:rPr>
                <w:rStyle w:val="FootnoteReference"/>
                <w:rFonts w:ascii="Garamond" w:hAnsi="Garamond" w:cs="Arial"/>
                <w:color w:val="auto"/>
                <w:sz w:val="24"/>
                <w:szCs w:val="24"/>
                <w:lang w:val="sq-AL" w:eastAsia="en-GB"/>
              </w:rPr>
              <w:footnoteReference w:id="20"/>
            </w:r>
          </w:p>
        </w:tc>
      </w:tr>
      <w:tr w:rsidR="0024053A" w:rsidRPr="00445472" w14:paraId="1D9C5958" w14:textId="77777777" w:rsidTr="00C17B97">
        <w:tc>
          <w:tcPr>
            <w:tcW w:w="1641" w:type="pct"/>
            <w:tcBorders>
              <w:top w:val="single" w:sz="8" w:space="0" w:color="27B1B0"/>
              <w:bottom w:val="single" w:sz="8" w:space="0" w:color="27B1B0"/>
            </w:tcBorders>
            <w:shd w:val="clear" w:color="auto" w:fill="auto"/>
            <w:vAlign w:val="center"/>
          </w:tcPr>
          <w:p w14:paraId="5357B2A9" w14:textId="77777777" w:rsidR="0024053A" w:rsidRPr="00445472" w:rsidRDefault="0024053A" w:rsidP="008876B4">
            <w:pPr>
              <w:pStyle w:val="TABELA"/>
              <w:rPr>
                <w:lang w:val="sq-AL" w:eastAsia="en-GB"/>
              </w:rPr>
            </w:pPr>
            <w:r w:rsidRPr="00445472">
              <w:rPr>
                <w:lang w:val="sq-AL" w:eastAsia="en-GB"/>
              </w:rPr>
              <w:t>Baseni hidrografik në Shqipëri (km</w:t>
            </w:r>
            <w:r w:rsidRPr="00445472">
              <w:rPr>
                <w:vertAlign w:val="superscript"/>
                <w:lang w:val="sq-AL" w:eastAsia="en-GB"/>
              </w:rPr>
              <w:t>2</w:t>
            </w:r>
            <w:r w:rsidRPr="00445472">
              <w:rPr>
                <w:lang w:val="sq-AL" w:eastAsia="en-GB"/>
              </w:rPr>
              <w:t>)</w:t>
            </w:r>
          </w:p>
        </w:tc>
        <w:tc>
          <w:tcPr>
            <w:tcW w:w="3359" w:type="pct"/>
            <w:gridSpan w:val="4"/>
            <w:tcBorders>
              <w:top w:val="single" w:sz="8" w:space="0" w:color="27B1B0"/>
              <w:bottom w:val="single" w:sz="8" w:space="0" w:color="27B1B0"/>
            </w:tcBorders>
            <w:shd w:val="clear" w:color="auto" w:fill="auto"/>
            <w:vAlign w:val="center"/>
          </w:tcPr>
          <w:p w14:paraId="666DCE9D" w14:textId="77777777" w:rsidR="0024053A" w:rsidRPr="00445472" w:rsidRDefault="0024053A" w:rsidP="004A1947">
            <w:pPr>
              <w:pStyle w:val="TABELA"/>
              <w:jc w:val="right"/>
              <w:rPr>
                <w:lang w:val="sq-AL"/>
              </w:rPr>
            </w:pPr>
            <w:r w:rsidRPr="00445472">
              <w:rPr>
                <w:lang w:val="sq-AL" w:eastAsia="en-GB"/>
              </w:rPr>
              <w:t>6,887</w:t>
            </w:r>
          </w:p>
        </w:tc>
      </w:tr>
      <w:tr w:rsidR="0024053A" w:rsidRPr="00445472" w14:paraId="1CD96B40" w14:textId="77777777" w:rsidTr="00C17B97">
        <w:tc>
          <w:tcPr>
            <w:tcW w:w="1641" w:type="pct"/>
            <w:tcBorders>
              <w:bottom w:val="single" w:sz="8" w:space="0" w:color="27B1B0"/>
            </w:tcBorders>
            <w:shd w:val="clear" w:color="auto" w:fill="auto"/>
            <w:vAlign w:val="center"/>
          </w:tcPr>
          <w:p w14:paraId="121C458F" w14:textId="77777777" w:rsidR="0024053A" w:rsidRPr="00445472" w:rsidRDefault="0024053A" w:rsidP="008876B4">
            <w:pPr>
              <w:pStyle w:val="TABELA"/>
              <w:rPr>
                <w:lang w:val="sq-AL" w:eastAsia="en-GB"/>
              </w:rPr>
            </w:pPr>
            <w:r w:rsidRPr="00445472">
              <w:rPr>
                <w:lang w:val="sq-AL" w:eastAsia="en-GB"/>
              </w:rPr>
              <w:t>Baseni hidrografik total (km</w:t>
            </w:r>
            <w:r w:rsidRPr="00445472">
              <w:rPr>
                <w:vertAlign w:val="superscript"/>
                <w:lang w:val="sq-AL" w:eastAsia="en-GB"/>
              </w:rPr>
              <w:t>2</w:t>
            </w:r>
            <w:r w:rsidRPr="00445472">
              <w:rPr>
                <w:lang w:val="sq-AL" w:eastAsia="en-GB"/>
              </w:rPr>
              <w:t>)</w:t>
            </w:r>
          </w:p>
        </w:tc>
        <w:tc>
          <w:tcPr>
            <w:tcW w:w="3359" w:type="pct"/>
            <w:gridSpan w:val="4"/>
            <w:tcBorders>
              <w:bottom w:val="single" w:sz="8" w:space="0" w:color="27B1B0"/>
            </w:tcBorders>
            <w:shd w:val="clear" w:color="auto" w:fill="auto"/>
            <w:vAlign w:val="center"/>
          </w:tcPr>
          <w:p w14:paraId="61A54874" w14:textId="77777777" w:rsidR="0024053A" w:rsidRPr="00445472" w:rsidRDefault="0024053A" w:rsidP="004A1947">
            <w:pPr>
              <w:pStyle w:val="TABELA"/>
              <w:jc w:val="right"/>
              <w:rPr>
                <w:lang w:val="sq-AL"/>
              </w:rPr>
            </w:pPr>
            <w:r w:rsidRPr="00445472">
              <w:rPr>
                <w:lang w:val="sq-AL" w:eastAsia="en-GB"/>
              </w:rPr>
              <w:t>19,582</w:t>
            </w:r>
            <w:r w:rsidRPr="00445472">
              <w:rPr>
                <w:rStyle w:val="FootnoteReference"/>
                <w:rFonts w:ascii="Garamond" w:hAnsi="Garamond" w:cs="Arial"/>
                <w:color w:val="auto"/>
                <w:sz w:val="24"/>
                <w:szCs w:val="24"/>
                <w:lang w:val="sq-AL" w:eastAsia="en-GB"/>
              </w:rPr>
              <w:footnoteReference w:id="21"/>
            </w:r>
          </w:p>
        </w:tc>
      </w:tr>
      <w:tr w:rsidR="0024053A" w:rsidRPr="00445472" w14:paraId="5663324D" w14:textId="77777777" w:rsidTr="00C17B97">
        <w:tc>
          <w:tcPr>
            <w:tcW w:w="1641" w:type="pct"/>
            <w:tcBorders>
              <w:top w:val="single" w:sz="8" w:space="0" w:color="27B1B0"/>
              <w:bottom w:val="single" w:sz="8" w:space="0" w:color="27B1B0"/>
            </w:tcBorders>
            <w:shd w:val="clear" w:color="auto" w:fill="D4D4D4"/>
            <w:vAlign w:val="center"/>
          </w:tcPr>
          <w:p w14:paraId="5BF4394F" w14:textId="77777777" w:rsidR="0024053A" w:rsidRPr="00445472" w:rsidRDefault="0024053A" w:rsidP="008876B4">
            <w:pPr>
              <w:pStyle w:val="TABELA"/>
              <w:rPr>
                <w:b/>
                <w:lang w:val="sq-AL" w:eastAsia="en-GB"/>
              </w:rPr>
            </w:pPr>
            <w:r w:rsidRPr="00445472">
              <w:rPr>
                <w:b/>
                <w:lang w:val="sq-AL" w:eastAsia="en-GB"/>
              </w:rPr>
              <w:t>Burimet Ujore</w:t>
            </w:r>
          </w:p>
          <w:p w14:paraId="43477B58" w14:textId="77777777" w:rsidR="0024053A" w:rsidRPr="00445472" w:rsidRDefault="0024053A" w:rsidP="008876B4">
            <w:pPr>
              <w:pStyle w:val="TABELA"/>
              <w:rPr>
                <w:b/>
                <w:lang w:val="sq-AL" w:eastAsia="en-GB"/>
              </w:rPr>
            </w:pPr>
            <w:r w:rsidRPr="00445472">
              <w:rPr>
                <w:b/>
                <w:lang w:val="sq-AL" w:eastAsia="en-GB"/>
              </w:rPr>
              <w:t>(10</w:t>
            </w:r>
            <w:r w:rsidRPr="00445472">
              <w:rPr>
                <w:b/>
                <w:vertAlign w:val="superscript"/>
                <w:lang w:val="sq-AL" w:eastAsia="en-GB"/>
              </w:rPr>
              <w:t>9</w:t>
            </w:r>
            <w:r w:rsidRPr="00445472">
              <w:rPr>
                <w:b/>
                <w:lang w:val="sq-AL" w:eastAsia="en-GB"/>
              </w:rPr>
              <w:t xml:space="preserve"> m</w:t>
            </w:r>
            <w:r w:rsidRPr="00445472">
              <w:rPr>
                <w:b/>
                <w:vertAlign w:val="superscript"/>
                <w:lang w:val="sq-AL" w:eastAsia="en-GB"/>
              </w:rPr>
              <w:t>3</w:t>
            </w:r>
            <w:r w:rsidRPr="00445472">
              <w:rPr>
                <w:b/>
                <w:lang w:val="sq-AL" w:eastAsia="en-GB"/>
              </w:rPr>
              <w:t>/vit)</w:t>
            </w:r>
          </w:p>
        </w:tc>
        <w:tc>
          <w:tcPr>
            <w:tcW w:w="1686" w:type="pct"/>
            <w:gridSpan w:val="2"/>
            <w:tcBorders>
              <w:top w:val="single" w:sz="8" w:space="0" w:color="27B1B0"/>
              <w:bottom w:val="single" w:sz="8" w:space="0" w:color="27B1B0"/>
            </w:tcBorders>
            <w:shd w:val="clear" w:color="auto" w:fill="D4D4D4"/>
            <w:vAlign w:val="center"/>
          </w:tcPr>
          <w:p w14:paraId="2853AB2C" w14:textId="77777777" w:rsidR="0024053A" w:rsidRPr="00445472" w:rsidRDefault="0024053A" w:rsidP="004A1947">
            <w:pPr>
              <w:pStyle w:val="TABELA"/>
              <w:jc w:val="right"/>
              <w:rPr>
                <w:b/>
                <w:lang w:val="sq-AL" w:eastAsia="en-GB"/>
              </w:rPr>
            </w:pPr>
            <w:r w:rsidRPr="00445472">
              <w:rPr>
                <w:b/>
                <w:lang w:val="sq-AL" w:eastAsia="en-GB"/>
              </w:rPr>
              <w:t>Aktuale</w:t>
            </w:r>
          </w:p>
        </w:tc>
        <w:tc>
          <w:tcPr>
            <w:tcW w:w="1673" w:type="pct"/>
            <w:gridSpan w:val="2"/>
            <w:tcBorders>
              <w:top w:val="single" w:sz="8" w:space="0" w:color="27B1B0"/>
              <w:bottom w:val="single" w:sz="8" w:space="0" w:color="27B1B0"/>
            </w:tcBorders>
            <w:shd w:val="clear" w:color="auto" w:fill="D4D4D4"/>
            <w:vAlign w:val="center"/>
          </w:tcPr>
          <w:p w14:paraId="2CDA8669" w14:textId="77777777" w:rsidR="0024053A" w:rsidRPr="00445472" w:rsidRDefault="0024053A" w:rsidP="004A1947">
            <w:pPr>
              <w:pStyle w:val="TABELA"/>
              <w:jc w:val="right"/>
              <w:rPr>
                <w:b/>
                <w:lang w:val="sq-AL" w:eastAsia="en-GB"/>
              </w:rPr>
            </w:pPr>
            <w:r w:rsidRPr="00445472">
              <w:rPr>
                <w:b/>
                <w:lang w:val="sq-AL" w:eastAsia="en-GB"/>
              </w:rPr>
              <w:t>2027</w:t>
            </w:r>
            <w:r w:rsidRPr="00445472">
              <w:rPr>
                <w:rStyle w:val="FootnoteReference"/>
                <w:rFonts w:ascii="Garamond" w:hAnsi="Garamond" w:cs="Arial"/>
                <w:b/>
                <w:bCs/>
                <w:color w:val="auto"/>
                <w:sz w:val="24"/>
                <w:szCs w:val="24"/>
                <w:lang w:val="sq-AL" w:eastAsia="en-GB"/>
              </w:rPr>
              <w:footnoteReference w:id="22"/>
            </w:r>
          </w:p>
        </w:tc>
      </w:tr>
      <w:tr w:rsidR="0024053A" w:rsidRPr="00445472" w14:paraId="18F2A85A" w14:textId="77777777" w:rsidTr="00C17B97">
        <w:tc>
          <w:tcPr>
            <w:tcW w:w="1641" w:type="pct"/>
            <w:tcBorders>
              <w:bottom w:val="single" w:sz="8" w:space="0" w:color="27B1B0"/>
            </w:tcBorders>
            <w:shd w:val="clear" w:color="auto" w:fill="auto"/>
            <w:vAlign w:val="center"/>
          </w:tcPr>
          <w:p w14:paraId="368D8ABE" w14:textId="77777777" w:rsidR="0024053A" w:rsidRPr="00445472" w:rsidRDefault="0024053A" w:rsidP="008876B4">
            <w:pPr>
              <w:pStyle w:val="TABELA"/>
              <w:rPr>
                <w:lang w:val="sq-AL" w:eastAsia="en-GB"/>
              </w:rPr>
            </w:pPr>
            <w:r w:rsidRPr="00445472">
              <w:rPr>
                <w:lang w:val="sq-AL"/>
              </w:rPr>
              <w:t>Shkarkimet brenda Shqipërisë</w:t>
            </w:r>
          </w:p>
        </w:tc>
        <w:tc>
          <w:tcPr>
            <w:tcW w:w="1686" w:type="pct"/>
            <w:gridSpan w:val="2"/>
            <w:tcBorders>
              <w:bottom w:val="single" w:sz="8" w:space="0" w:color="27B1B0"/>
            </w:tcBorders>
            <w:shd w:val="clear" w:color="auto" w:fill="auto"/>
            <w:vAlign w:val="center"/>
          </w:tcPr>
          <w:p w14:paraId="6F105B89" w14:textId="77777777" w:rsidR="0024053A" w:rsidRPr="00445472" w:rsidRDefault="0024053A" w:rsidP="004A1947">
            <w:pPr>
              <w:pStyle w:val="TABELA"/>
              <w:jc w:val="right"/>
              <w:rPr>
                <w:lang w:val="sq-AL" w:eastAsia="en-GB"/>
              </w:rPr>
            </w:pPr>
            <w:r w:rsidRPr="00445472">
              <w:rPr>
                <w:lang w:val="sq-AL" w:eastAsia="en-GB"/>
              </w:rPr>
              <w:t>7.12</w:t>
            </w:r>
          </w:p>
        </w:tc>
        <w:tc>
          <w:tcPr>
            <w:tcW w:w="1673" w:type="pct"/>
            <w:gridSpan w:val="2"/>
            <w:tcBorders>
              <w:bottom w:val="single" w:sz="8" w:space="0" w:color="27B1B0"/>
            </w:tcBorders>
            <w:shd w:val="clear" w:color="auto" w:fill="auto"/>
            <w:vAlign w:val="center"/>
          </w:tcPr>
          <w:p w14:paraId="61947FAB" w14:textId="77777777" w:rsidR="0024053A" w:rsidRPr="00445472" w:rsidRDefault="0024053A" w:rsidP="004A1947">
            <w:pPr>
              <w:pStyle w:val="TABELA"/>
              <w:jc w:val="right"/>
              <w:rPr>
                <w:lang w:val="sq-AL"/>
              </w:rPr>
            </w:pPr>
            <w:r w:rsidRPr="00445472">
              <w:rPr>
                <w:lang w:val="sq-AL"/>
              </w:rPr>
              <w:t>6.72</w:t>
            </w:r>
          </w:p>
        </w:tc>
      </w:tr>
      <w:tr w:rsidR="0024053A" w:rsidRPr="00445472" w14:paraId="34CD4D9F" w14:textId="77777777" w:rsidTr="00C17B97">
        <w:tc>
          <w:tcPr>
            <w:tcW w:w="1641" w:type="pct"/>
            <w:tcBorders>
              <w:top w:val="single" w:sz="8" w:space="0" w:color="27B1B0"/>
              <w:bottom w:val="single" w:sz="8" w:space="0" w:color="27B1B0"/>
            </w:tcBorders>
            <w:shd w:val="clear" w:color="auto" w:fill="auto"/>
            <w:vAlign w:val="center"/>
          </w:tcPr>
          <w:p w14:paraId="30314762" w14:textId="77777777" w:rsidR="0024053A" w:rsidRPr="00445472" w:rsidRDefault="0024053A" w:rsidP="008876B4">
            <w:pPr>
              <w:pStyle w:val="TABELA"/>
              <w:rPr>
                <w:lang w:val="sq-AL" w:eastAsia="en-GB"/>
              </w:rPr>
            </w:pPr>
            <w:r w:rsidRPr="00445472">
              <w:rPr>
                <w:lang w:val="sq-AL" w:eastAsia="en-GB"/>
              </w:rPr>
              <w:t>Shkarkimet nga jashtë Shqipërisë</w:t>
            </w:r>
          </w:p>
        </w:tc>
        <w:tc>
          <w:tcPr>
            <w:tcW w:w="1686" w:type="pct"/>
            <w:gridSpan w:val="2"/>
            <w:tcBorders>
              <w:top w:val="single" w:sz="8" w:space="0" w:color="27B1B0"/>
              <w:bottom w:val="single" w:sz="8" w:space="0" w:color="27B1B0"/>
            </w:tcBorders>
            <w:shd w:val="clear" w:color="auto" w:fill="auto"/>
            <w:vAlign w:val="center"/>
          </w:tcPr>
          <w:p w14:paraId="6D8C4767" w14:textId="77777777" w:rsidR="0024053A" w:rsidRPr="00445472" w:rsidRDefault="0024053A" w:rsidP="004A1947">
            <w:pPr>
              <w:pStyle w:val="TABELA"/>
              <w:jc w:val="right"/>
              <w:rPr>
                <w:lang w:val="sq-AL" w:eastAsia="en-GB"/>
              </w:rPr>
            </w:pPr>
            <w:r w:rsidRPr="00445472">
              <w:rPr>
                <w:lang w:val="sq-AL" w:eastAsia="en-GB"/>
              </w:rPr>
              <w:t>7.92</w:t>
            </w:r>
          </w:p>
        </w:tc>
        <w:tc>
          <w:tcPr>
            <w:tcW w:w="1673" w:type="pct"/>
            <w:gridSpan w:val="2"/>
            <w:tcBorders>
              <w:top w:val="single" w:sz="8" w:space="0" w:color="27B1B0"/>
              <w:bottom w:val="single" w:sz="8" w:space="0" w:color="27B1B0"/>
            </w:tcBorders>
            <w:shd w:val="clear" w:color="auto" w:fill="auto"/>
            <w:vAlign w:val="center"/>
          </w:tcPr>
          <w:p w14:paraId="399C1B3A" w14:textId="77777777" w:rsidR="0024053A" w:rsidRPr="00445472" w:rsidRDefault="0024053A" w:rsidP="004A1947">
            <w:pPr>
              <w:pStyle w:val="TABELA"/>
              <w:jc w:val="right"/>
              <w:rPr>
                <w:lang w:val="sq-AL"/>
              </w:rPr>
            </w:pPr>
            <w:r w:rsidRPr="00445472">
              <w:rPr>
                <w:lang w:val="sq-AL"/>
              </w:rPr>
              <w:t>7.17</w:t>
            </w:r>
          </w:p>
        </w:tc>
      </w:tr>
      <w:tr w:rsidR="0024053A" w:rsidRPr="00445472" w14:paraId="25BD7C68" w14:textId="77777777" w:rsidTr="00C17B97">
        <w:tc>
          <w:tcPr>
            <w:tcW w:w="1641" w:type="pct"/>
            <w:shd w:val="clear" w:color="auto" w:fill="auto"/>
            <w:vAlign w:val="center"/>
          </w:tcPr>
          <w:p w14:paraId="4327A687" w14:textId="77777777" w:rsidR="0024053A" w:rsidRPr="00445472" w:rsidRDefault="0024053A" w:rsidP="008876B4">
            <w:pPr>
              <w:pStyle w:val="TABELA"/>
              <w:rPr>
                <w:b/>
                <w:lang w:val="sq-AL" w:eastAsia="en-GB"/>
              </w:rPr>
            </w:pPr>
            <w:r w:rsidRPr="00445472">
              <w:rPr>
                <w:b/>
                <w:lang w:val="sq-AL" w:eastAsia="en-GB"/>
              </w:rPr>
              <w:t>Uji total sipërfaqësor</w:t>
            </w:r>
          </w:p>
        </w:tc>
        <w:tc>
          <w:tcPr>
            <w:tcW w:w="1686" w:type="pct"/>
            <w:gridSpan w:val="2"/>
            <w:shd w:val="clear" w:color="auto" w:fill="auto"/>
            <w:vAlign w:val="center"/>
          </w:tcPr>
          <w:p w14:paraId="632C53BF" w14:textId="77777777" w:rsidR="0024053A" w:rsidRPr="00445472" w:rsidRDefault="0024053A" w:rsidP="004A1947">
            <w:pPr>
              <w:pStyle w:val="TABELA"/>
              <w:jc w:val="right"/>
              <w:rPr>
                <w:b/>
                <w:lang w:val="sq-AL" w:eastAsia="en-GB"/>
              </w:rPr>
            </w:pPr>
            <w:r w:rsidRPr="00445472">
              <w:rPr>
                <w:b/>
                <w:lang w:val="sq-AL" w:eastAsia="en-GB"/>
              </w:rPr>
              <w:t>15.04</w:t>
            </w:r>
          </w:p>
        </w:tc>
        <w:tc>
          <w:tcPr>
            <w:tcW w:w="1673" w:type="pct"/>
            <w:gridSpan w:val="2"/>
            <w:shd w:val="clear" w:color="auto" w:fill="auto"/>
            <w:vAlign w:val="center"/>
          </w:tcPr>
          <w:p w14:paraId="3695A3E6" w14:textId="77777777" w:rsidR="0024053A" w:rsidRPr="00445472" w:rsidRDefault="0024053A" w:rsidP="004A1947">
            <w:pPr>
              <w:pStyle w:val="TABELA"/>
              <w:jc w:val="right"/>
              <w:rPr>
                <w:b/>
                <w:lang w:val="sq-AL"/>
              </w:rPr>
            </w:pPr>
            <w:r w:rsidRPr="00445472">
              <w:rPr>
                <w:b/>
                <w:lang w:val="sq-AL"/>
              </w:rPr>
              <w:t>13.89</w:t>
            </w:r>
          </w:p>
        </w:tc>
      </w:tr>
      <w:tr w:rsidR="0024053A" w:rsidRPr="00445472" w14:paraId="448D90FC" w14:textId="77777777" w:rsidTr="00C17B97">
        <w:tc>
          <w:tcPr>
            <w:tcW w:w="1641" w:type="pct"/>
            <w:tcBorders>
              <w:bottom w:val="single" w:sz="8" w:space="0" w:color="27B1B0"/>
            </w:tcBorders>
            <w:shd w:val="clear" w:color="auto" w:fill="auto"/>
            <w:vAlign w:val="center"/>
          </w:tcPr>
          <w:p w14:paraId="715A710D" w14:textId="77777777" w:rsidR="0024053A" w:rsidRPr="00445472" w:rsidRDefault="0024053A" w:rsidP="008876B4">
            <w:pPr>
              <w:pStyle w:val="TABELA"/>
              <w:rPr>
                <w:lang w:val="sq-AL" w:eastAsia="en-GB"/>
              </w:rPr>
            </w:pPr>
            <w:r w:rsidRPr="00445472">
              <w:rPr>
                <w:lang w:val="sq-AL" w:eastAsia="en-GB"/>
              </w:rPr>
              <w:t>Nga i cili nëntokësor</w:t>
            </w:r>
          </w:p>
        </w:tc>
        <w:tc>
          <w:tcPr>
            <w:tcW w:w="1686" w:type="pct"/>
            <w:gridSpan w:val="2"/>
            <w:tcBorders>
              <w:bottom w:val="single" w:sz="8" w:space="0" w:color="27B1B0"/>
            </w:tcBorders>
            <w:shd w:val="clear" w:color="auto" w:fill="auto"/>
            <w:vAlign w:val="center"/>
          </w:tcPr>
          <w:p w14:paraId="35B006AB" w14:textId="77777777" w:rsidR="0024053A" w:rsidRPr="00445472" w:rsidRDefault="0024053A" w:rsidP="004A1947">
            <w:pPr>
              <w:pStyle w:val="TABELA"/>
              <w:jc w:val="right"/>
              <w:rPr>
                <w:lang w:val="sq-AL" w:eastAsia="en-GB"/>
              </w:rPr>
            </w:pPr>
            <w:r w:rsidRPr="00445472">
              <w:rPr>
                <w:lang w:val="sq-AL" w:eastAsia="en-GB"/>
              </w:rPr>
              <w:t>6.11</w:t>
            </w:r>
          </w:p>
        </w:tc>
        <w:tc>
          <w:tcPr>
            <w:tcW w:w="1673" w:type="pct"/>
            <w:gridSpan w:val="2"/>
            <w:tcBorders>
              <w:bottom w:val="single" w:sz="8" w:space="0" w:color="27B1B0"/>
            </w:tcBorders>
            <w:shd w:val="clear" w:color="auto" w:fill="auto"/>
            <w:vAlign w:val="center"/>
          </w:tcPr>
          <w:p w14:paraId="3CFCAD35" w14:textId="77777777" w:rsidR="0024053A" w:rsidRPr="00445472" w:rsidRDefault="0024053A" w:rsidP="004A1947">
            <w:pPr>
              <w:pStyle w:val="TABELA"/>
              <w:jc w:val="right"/>
              <w:rPr>
                <w:lang w:val="sq-AL"/>
              </w:rPr>
            </w:pPr>
            <w:r w:rsidRPr="00445472">
              <w:rPr>
                <w:lang w:val="sq-AL"/>
              </w:rPr>
              <w:t>5.70</w:t>
            </w:r>
          </w:p>
        </w:tc>
      </w:tr>
      <w:tr w:rsidR="0024053A" w:rsidRPr="00445472" w14:paraId="49C66733" w14:textId="77777777" w:rsidTr="00C17B97">
        <w:tc>
          <w:tcPr>
            <w:tcW w:w="1641" w:type="pct"/>
            <w:tcBorders>
              <w:bottom w:val="single" w:sz="8" w:space="0" w:color="27B1B0"/>
            </w:tcBorders>
            <w:shd w:val="clear" w:color="auto" w:fill="auto"/>
            <w:vAlign w:val="center"/>
          </w:tcPr>
          <w:p w14:paraId="05FFFF5F" w14:textId="128F0154" w:rsidR="0024053A" w:rsidRPr="00445472" w:rsidRDefault="0024053A" w:rsidP="00BE0492">
            <w:pPr>
              <w:pStyle w:val="TABELA"/>
              <w:rPr>
                <w:b/>
                <w:bCs/>
                <w:lang w:val="sq-AL" w:eastAsia="en-GB"/>
              </w:rPr>
            </w:pPr>
            <w:r w:rsidRPr="00445472">
              <w:rPr>
                <w:b/>
                <w:lang w:val="sq-AL"/>
              </w:rPr>
              <w:t>Burimet totale të ujit të ripërt</w:t>
            </w:r>
            <w:r w:rsidR="00BE0492" w:rsidRPr="00445472">
              <w:rPr>
                <w:b/>
                <w:lang w:val="sq-AL"/>
              </w:rPr>
              <w:t>ë</w:t>
            </w:r>
            <w:r w:rsidRPr="00445472">
              <w:rPr>
                <w:b/>
                <w:lang w:val="sq-AL"/>
              </w:rPr>
              <w:t>ritshme</w:t>
            </w:r>
          </w:p>
        </w:tc>
        <w:tc>
          <w:tcPr>
            <w:tcW w:w="1686" w:type="pct"/>
            <w:gridSpan w:val="2"/>
            <w:tcBorders>
              <w:bottom w:val="single" w:sz="8" w:space="0" w:color="27B1B0"/>
            </w:tcBorders>
            <w:shd w:val="clear" w:color="auto" w:fill="auto"/>
            <w:vAlign w:val="center"/>
          </w:tcPr>
          <w:p w14:paraId="48F4A199" w14:textId="77777777" w:rsidR="0024053A" w:rsidRPr="00445472" w:rsidRDefault="0024053A" w:rsidP="004A1947">
            <w:pPr>
              <w:pStyle w:val="TABELA"/>
              <w:jc w:val="right"/>
              <w:rPr>
                <w:b/>
                <w:bCs/>
                <w:lang w:val="sq-AL" w:eastAsia="en-GB"/>
              </w:rPr>
            </w:pPr>
            <w:r w:rsidRPr="00445472">
              <w:rPr>
                <w:b/>
                <w:bCs/>
                <w:lang w:val="sq-AL" w:eastAsia="en-GB"/>
              </w:rPr>
              <w:t>15.04</w:t>
            </w:r>
          </w:p>
        </w:tc>
        <w:tc>
          <w:tcPr>
            <w:tcW w:w="1673" w:type="pct"/>
            <w:gridSpan w:val="2"/>
            <w:tcBorders>
              <w:bottom w:val="single" w:sz="8" w:space="0" w:color="27B1B0"/>
            </w:tcBorders>
            <w:shd w:val="clear" w:color="auto" w:fill="auto"/>
            <w:vAlign w:val="center"/>
          </w:tcPr>
          <w:p w14:paraId="6BE84C5C" w14:textId="77777777" w:rsidR="0024053A" w:rsidRPr="00445472" w:rsidRDefault="0024053A" w:rsidP="004A1947">
            <w:pPr>
              <w:pStyle w:val="TABELA"/>
              <w:jc w:val="right"/>
              <w:rPr>
                <w:lang w:val="sq-AL"/>
              </w:rPr>
            </w:pPr>
            <w:r w:rsidRPr="00445472">
              <w:rPr>
                <w:b/>
                <w:lang w:val="sq-AL" w:eastAsia="en-GB"/>
              </w:rPr>
              <w:t>13.89</w:t>
            </w:r>
          </w:p>
        </w:tc>
      </w:tr>
      <w:tr w:rsidR="0024053A" w:rsidRPr="00445472" w14:paraId="7FCD0729" w14:textId="77777777" w:rsidTr="00C17B97">
        <w:tc>
          <w:tcPr>
            <w:tcW w:w="1641" w:type="pct"/>
            <w:vMerge w:val="restart"/>
            <w:shd w:val="clear" w:color="auto" w:fill="D4D4D4"/>
            <w:vAlign w:val="center"/>
          </w:tcPr>
          <w:p w14:paraId="5B71DA14" w14:textId="77777777" w:rsidR="0024053A" w:rsidRPr="00445472" w:rsidRDefault="0024053A" w:rsidP="008876B4">
            <w:pPr>
              <w:pStyle w:val="TABELA"/>
              <w:rPr>
                <w:b/>
                <w:lang w:val="sq-AL" w:eastAsia="en-GB"/>
              </w:rPr>
            </w:pPr>
            <w:r w:rsidRPr="00445472">
              <w:rPr>
                <w:b/>
                <w:lang w:val="sq-AL" w:eastAsia="en-GB"/>
              </w:rPr>
              <w:t xml:space="preserve">Kërkesa për ujë </w:t>
            </w:r>
          </w:p>
          <w:p w14:paraId="39C82734" w14:textId="77777777" w:rsidR="0024053A" w:rsidRPr="00445472" w:rsidRDefault="0024053A" w:rsidP="008876B4">
            <w:pPr>
              <w:pStyle w:val="TABELA"/>
              <w:rPr>
                <w:b/>
                <w:lang w:val="sq-AL" w:eastAsia="en-GB"/>
              </w:rPr>
            </w:pPr>
            <w:r w:rsidRPr="00445472">
              <w:rPr>
                <w:b/>
                <w:lang w:val="sq-AL" w:eastAsia="en-GB"/>
              </w:rPr>
              <w:t>(10</w:t>
            </w:r>
            <w:r w:rsidRPr="00445472">
              <w:rPr>
                <w:b/>
                <w:vertAlign w:val="superscript"/>
                <w:lang w:val="sq-AL" w:eastAsia="en-GB"/>
              </w:rPr>
              <w:t>9</w:t>
            </w:r>
            <w:r w:rsidRPr="00445472">
              <w:rPr>
                <w:b/>
                <w:lang w:val="sq-AL" w:eastAsia="en-GB"/>
              </w:rPr>
              <w:t xml:space="preserve"> m</w:t>
            </w:r>
            <w:r w:rsidRPr="00445472">
              <w:rPr>
                <w:b/>
                <w:vertAlign w:val="superscript"/>
                <w:lang w:val="sq-AL" w:eastAsia="en-GB"/>
              </w:rPr>
              <w:t>3</w:t>
            </w:r>
            <w:r w:rsidRPr="00445472">
              <w:rPr>
                <w:b/>
                <w:lang w:val="sq-AL" w:eastAsia="en-GB"/>
              </w:rPr>
              <w:t>/vit)</w:t>
            </w:r>
          </w:p>
        </w:tc>
        <w:tc>
          <w:tcPr>
            <w:tcW w:w="1686" w:type="pct"/>
            <w:gridSpan w:val="2"/>
            <w:tcBorders>
              <w:bottom w:val="single" w:sz="8" w:space="0" w:color="27B1B0"/>
            </w:tcBorders>
            <w:shd w:val="clear" w:color="auto" w:fill="D4D4D4"/>
            <w:vAlign w:val="center"/>
          </w:tcPr>
          <w:p w14:paraId="4E94CBFC" w14:textId="77777777" w:rsidR="0024053A" w:rsidRPr="00445472" w:rsidRDefault="0024053A" w:rsidP="004A1947">
            <w:pPr>
              <w:pStyle w:val="TABELA"/>
              <w:jc w:val="right"/>
              <w:rPr>
                <w:b/>
                <w:lang w:val="sq-AL" w:eastAsia="en-GB"/>
              </w:rPr>
            </w:pPr>
            <w:r w:rsidRPr="00445472">
              <w:rPr>
                <w:b/>
                <w:lang w:val="sq-AL" w:eastAsia="en-GB"/>
              </w:rPr>
              <w:t>Aktuale</w:t>
            </w:r>
          </w:p>
        </w:tc>
        <w:tc>
          <w:tcPr>
            <w:tcW w:w="1673" w:type="pct"/>
            <w:gridSpan w:val="2"/>
            <w:tcBorders>
              <w:bottom w:val="single" w:sz="8" w:space="0" w:color="27B1B0"/>
            </w:tcBorders>
            <w:shd w:val="clear" w:color="auto" w:fill="D4D4D4"/>
            <w:vAlign w:val="center"/>
          </w:tcPr>
          <w:p w14:paraId="3D625112" w14:textId="77777777" w:rsidR="0024053A" w:rsidRPr="00445472" w:rsidRDefault="0024053A" w:rsidP="004A1947">
            <w:pPr>
              <w:pStyle w:val="TABELA"/>
              <w:jc w:val="right"/>
              <w:rPr>
                <w:b/>
                <w:lang w:val="sq-AL" w:eastAsia="en-GB"/>
              </w:rPr>
            </w:pPr>
            <w:r w:rsidRPr="00445472">
              <w:rPr>
                <w:b/>
                <w:lang w:val="sq-AL" w:eastAsia="en-GB"/>
              </w:rPr>
              <w:t>2027</w:t>
            </w:r>
          </w:p>
        </w:tc>
      </w:tr>
      <w:tr w:rsidR="0024053A" w:rsidRPr="00445472" w14:paraId="14590DD3" w14:textId="77777777" w:rsidTr="00C17B97">
        <w:tc>
          <w:tcPr>
            <w:tcW w:w="1641" w:type="pct"/>
            <w:vMerge/>
            <w:shd w:val="clear" w:color="auto" w:fill="auto"/>
            <w:vAlign w:val="center"/>
          </w:tcPr>
          <w:p w14:paraId="7798B81C" w14:textId="77777777" w:rsidR="0024053A" w:rsidRPr="00445472" w:rsidRDefault="0024053A" w:rsidP="008876B4">
            <w:pPr>
              <w:pStyle w:val="TABELA"/>
              <w:rPr>
                <w:lang w:val="sq-AL"/>
              </w:rPr>
            </w:pPr>
          </w:p>
        </w:tc>
        <w:tc>
          <w:tcPr>
            <w:tcW w:w="794" w:type="pct"/>
            <w:shd w:val="clear" w:color="auto" w:fill="D4D4D4"/>
            <w:vAlign w:val="center"/>
          </w:tcPr>
          <w:p w14:paraId="38DC1311" w14:textId="77777777" w:rsidR="0024053A" w:rsidRPr="00445472" w:rsidRDefault="0024053A" w:rsidP="004A1947">
            <w:pPr>
              <w:pStyle w:val="TABELA"/>
              <w:jc w:val="right"/>
              <w:rPr>
                <w:lang w:val="sq-AL" w:eastAsia="en-GB"/>
              </w:rPr>
            </w:pPr>
            <w:r w:rsidRPr="00445472">
              <w:rPr>
                <w:lang w:val="sq-AL" w:eastAsia="en-GB"/>
              </w:rPr>
              <w:t>Bruto</w:t>
            </w:r>
          </w:p>
        </w:tc>
        <w:tc>
          <w:tcPr>
            <w:tcW w:w="892" w:type="pct"/>
            <w:shd w:val="clear" w:color="auto" w:fill="D4D4D4"/>
            <w:vAlign w:val="center"/>
          </w:tcPr>
          <w:p w14:paraId="6DD4479E" w14:textId="77777777" w:rsidR="0024053A" w:rsidRPr="00445472" w:rsidRDefault="0024053A" w:rsidP="004A1947">
            <w:pPr>
              <w:pStyle w:val="TABELA"/>
              <w:jc w:val="right"/>
              <w:rPr>
                <w:lang w:val="sq-AL" w:eastAsia="en-GB"/>
              </w:rPr>
            </w:pPr>
            <w:r w:rsidRPr="00445472">
              <w:rPr>
                <w:lang w:val="sq-AL" w:eastAsia="en-GB"/>
              </w:rPr>
              <w:t>%</w:t>
            </w:r>
            <w:bookmarkStart w:id="53" w:name="_Ref484800542"/>
            <w:r w:rsidRPr="00445472">
              <w:rPr>
                <w:rStyle w:val="FootnoteReference"/>
                <w:rFonts w:ascii="Garamond" w:hAnsi="Garamond" w:cs="Arial"/>
                <w:color w:val="auto"/>
                <w:sz w:val="24"/>
                <w:szCs w:val="24"/>
                <w:lang w:val="sq-AL" w:eastAsia="en-GB"/>
              </w:rPr>
              <w:footnoteReference w:id="23"/>
            </w:r>
            <w:bookmarkEnd w:id="53"/>
          </w:p>
        </w:tc>
        <w:tc>
          <w:tcPr>
            <w:tcW w:w="906" w:type="pct"/>
            <w:shd w:val="clear" w:color="auto" w:fill="D4D4D4"/>
            <w:vAlign w:val="center"/>
          </w:tcPr>
          <w:p w14:paraId="03CC6D71" w14:textId="77777777" w:rsidR="0024053A" w:rsidRPr="00445472" w:rsidRDefault="0024053A" w:rsidP="004A1947">
            <w:pPr>
              <w:pStyle w:val="TABELA"/>
              <w:jc w:val="right"/>
              <w:rPr>
                <w:lang w:val="sq-AL" w:eastAsia="en-GB"/>
              </w:rPr>
            </w:pPr>
            <w:r w:rsidRPr="00445472">
              <w:rPr>
                <w:lang w:val="sq-AL" w:eastAsia="en-GB"/>
              </w:rPr>
              <w:t>Bruto</w:t>
            </w:r>
          </w:p>
        </w:tc>
        <w:tc>
          <w:tcPr>
            <w:tcW w:w="767" w:type="pct"/>
            <w:shd w:val="clear" w:color="auto" w:fill="D4D4D4"/>
            <w:vAlign w:val="center"/>
          </w:tcPr>
          <w:p w14:paraId="548F3109" w14:textId="77777777" w:rsidR="0024053A" w:rsidRPr="00445472" w:rsidRDefault="0024053A" w:rsidP="004A1947">
            <w:pPr>
              <w:pStyle w:val="TABELA"/>
              <w:jc w:val="right"/>
              <w:rPr>
                <w:lang w:val="sq-AL" w:eastAsia="en-GB"/>
              </w:rPr>
            </w:pPr>
            <w:r w:rsidRPr="00445472">
              <w:rPr>
                <w:lang w:val="sq-AL" w:eastAsia="en-GB"/>
              </w:rPr>
              <w:t>%</w:t>
            </w:r>
          </w:p>
        </w:tc>
      </w:tr>
      <w:tr w:rsidR="0024053A" w:rsidRPr="00445472" w14:paraId="41429149" w14:textId="77777777" w:rsidTr="00C17B97">
        <w:tc>
          <w:tcPr>
            <w:tcW w:w="1641" w:type="pct"/>
            <w:tcBorders>
              <w:bottom w:val="single" w:sz="8" w:space="0" w:color="27B1B0"/>
            </w:tcBorders>
            <w:shd w:val="clear" w:color="auto" w:fill="auto"/>
            <w:vAlign w:val="center"/>
          </w:tcPr>
          <w:p w14:paraId="37740C2E" w14:textId="77777777" w:rsidR="0024053A" w:rsidRPr="00445472" w:rsidRDefault="0024053A" w:rsidP="008876B4">
            <w:pPr>
              <w:pStyle w:val="TABELA"/>
              <w:rPr>
                <w:lang w:val="sq-AL" w:eastAsia="en-GB"/>
              </w:rPr>
            </w:pPr>
            <w:r w:rsidRPr="00445472">
              <w:rPr>
                <w:lang w:val="sq-AL" w:eastAsia="en-GB"/>
              </w:rPr>
              <w:t>Uji i përdorur për bujqësi (përfshirë ujitjen)</w:t>
            </w:r>
          </w:p>
        </w:tc>
        <w:tc>
          <w:tcPr>
            <w:tcW w:w="794" w:type="pct"/>
            <w:tcBorders>
              <w:bottom w:val="single" w:sz="8" w:space="0" w:color="27B1B0"/>
            </w:tcBorders>
            <w:shd w:val="clear" w:color="auto" w:fill="auto"/>
            <w:vAlign w:val="center"/>
          </w:tcPr>
          <w:p w14:paraId="7A0400D9" w14:textId="77777777" w:rsidR="0024053A" w:rsidRPr="00445472" w:rsidRDefault="0024053A" w:rsidP="004A1947">
            <w:pPr>
              <w:pStyle w:val="TABELA"/>
              <w:jc w:val="right"/>
              <w:rPr>
                <w:lang w:val="sq-AL" w:eastAsia="en-GB"/>
              </w:rPr>
            </w:pPr>
            <w:r w:rsidRPr="00445472">
              <w:rPr>
                <w:lang w:val="sq-AL" w:eastAsia="en-GB"/>
              </w:rPr>
              <w:t>0.07</w:t>
            </w:r>
          </w:p>
        </w:tc>
        <w:tc>
          <w:tcPr>
            <w:tcW w:w="892" w:type="pct"/>
            <w:tcBorders>
              <w:bottom w:val="single" w:sz="8" w:space="0" w:color="27B1B0"/>
            </w:tcBorders>
            <w:shd w:val="clear" w:color="auto" w:fill="auto"/>
            <w:vAlign w:val="center"/>
          </w:tcPr>
          <w:p w14:paraId="06A17142" w14:textId="77777777" w:rsidR="0024053A" w:rsidRPr="00445472" w:rsidRDefault="0024053A" w:rsidP="004A1947">
            <w:pPr>
              <w:pStyle w:val="TABELA"/>
              <w:jc w:val="right"/>
              <w:rPr>
                <w:lang w:val="sq-AL" w:eastAsia="en-GB"/>
              </w:rPr>
            </w:pPr>
            <w:r w:rsidRPr="00445472">
              <w:rPr>
                <w:lang w:val="sq-AL" w:eastAsia="en-GB"/>
              </w:rPr>
              <w:t>46</w:t>
            </w:r>
          </w:p>
        </w:tc>
        <w:tc>
          <w:tcPr>
            <w:tcW w:w="906" w:type="pct"/>
            <w:tcBorders>
              <w:bottom w:val="single" w:sz="8" w:space="0" w:color="27B1B0"/>
            </w:tcBorders>
            <w:shd w:val="clear" w:color="auto" w:fill="auto"/>
            <w:vAlign w:val="center"/>
          </w:tcPr>
          <w:p w14:paraId="7A829E28" w14:textId="77777777" w:rsidR="0024053A" w:rsidRPr="00445472" w:rsidRDefault="0024053A" w:rsidP="004A1947">
            <w:pPr>
              <w:pStyle w:val="TABELA"/>
              <w:jc w:val="right"/>
              <w:rPr>
                <w:lang w:val="sq-AL" w:eastAsia="en-GB"/>
              </w:rPr>
            </w:pPr>
            <w:r w:rsidRPr="00445472">
              <w:rPr>
                <w:lang w:val="sq-AL" w:eastAsia="en-GB"/>
              </w:rPr>
              <w:t>0.34</w:t>
            </w:r>
          </w:p>
        </w:tc>
        <w:tc>
          <w:tcPr>
            <w:tcW w:w="767" w:type="pct"/>
            <w:tcBorders>
              <w:bottom w:val="single" w:sz="8" w:space="0" w:color="27B1B0"/>
            </w:tcBorders>
            <w:shd w:val="clear" w:color="auto" w:fill="auto"/>
            <w:vAlign w:val="center"/>
          </w:tcPr>
          <w:p w14:paraId="7FFA52AC" w14:textId="77777777" w:rsidR="0024053A" w:rsidRPr="00445472" w:rsidRDefault="0024053A" w:rsidP="004A1947">
            <w:pPr>
              <w:pStyle w:val="TABELA"/>
              <w:jc w:val="right"/>
              <w:rPr>
                <w:lang w:val="sq-AL" w:eastAsia="en-GB"/>
              </w:rPr>
            </w:pPr>
            <w:r w:rsidRPr="00445472">
              <w:rPr>
                <w:lang w:val="sq-AL" w:eastAsia="en-GB"/>
              </w:rPr>
              <w:t>2.44</w:t>
            </w:r>
          </w:p>
        </w:tc>
      </w:tr>
      <w:tr w:rsidR="0024053A" w:rsidRPr="00445472" w14:paraId="2D5E6D94" w14:textId="77777777" w:rsidTr="00C17B97">
        <w:tc>
          <w:tcPr>
            <w:tcW w:w="1641" w:type="pct"/>
            <w:shd w:val="clear" w:color="auto" w:fill="auto"/>
            <w:vAlign w:val="center"/>
          </w:tcPr>
          <w:p w14:paraId="31CC80A7" w14:textId="77777777" w:rsidR="0024053A" w:rsidRPr="00445472" w:rsidRDefault="0024053A" w:rsidP="008876B4">
            <w:pPr>
              <w:pStyle w:val="TABELA"/>
              <w:rPr>
                <w:lang w:val="sq-AL" w:eastAsia="en-GB"/>
              </w:rPr>
            </w:pPr>
            <w:r w:rsidRPr="00445472">
              <w:rPr>
                <w:lang w:val="sq-AL"/>
              </w:rPr>
              <w:t>Uji i përdorur në industri</w:t>
            </w:r>
          </w:p>
        </w:tc>
        <w:tc>
          <w:tcPr>
            <w:tcW w:w="794" w:type="pct"/>
            <w:shd w:val="clear" w:color="auto" w:fill="auto"/>
            <w:vAlign w:val="center"/>
          </w:tcPr>
          <w:p w14:paraId="0D704610" w14:textId="77777777" w:rsidR="0024053A" w:rsidRPr="00445472" w:rsidRDefault="0024053A" w:rsidP="004A1947">
            <w:pPr>
              <w:pStyle w:val="TABELA"/>
              <w:jc w:val="right"/>
              <w:rPr>
                <w:lang w:val="sq-AL" w:eastAsia="en-GB"/>
              </w:rPr>
            </w:pPr>
            <w:r w:rsidRPr="00445472">
              <w:rPr>
                <w:lang w:val="sq-AL" w:eastAsia="en-GB"/>
              </w:rPr>
              <w:t>0.00</w:t>
            </w:r>
          </w:p>
        </w:tc>
        <w:tc>
          <w:tcPr>
            <w:tcW w:w="892" w:type="pct"/>
            <w:shd w:val="clear" w:color="auto" w:fill="auto"/>
            <w:vAlign w:val="center"/>
          </w:tcPr>
          <w:p w14:paraId="273C7A8D" w14:textId="77777777" w:rsidR="0024053A" w:rsidRPr="00445472" w:rsidRDefault="0024053A" w:rsidP="004A1947">
            <w:pPr>
              <w:pStyle w:val="TABELA"/>
              <w:jc w:val="right"/>
              <w:rPr>
                <w:lang w:val="sq-AL" w:eastAsia="en-GB"/>
              </w:rPr>
            </w:pPr>
            <w:r w:rsidRPr="00445472">
              <w:rPr>
                <w:lang w:val="sq-AL" w:eastAsia="en-GB"/>
              </w:rPr>
              <w:t>0.0</w:t>
            </w:r>
          </w:p>
        </w:tc>
        <w:tc>
          <w:tcPr>
            <w:tcW w:w="906" w:type="pct"/>
            <w:shd w:val="clear" w:color="auto" w:fill="auto"/>
            <w:vAlign w:val="center"/>
          </w:tcPr>
          <w:p w14:paraId="5636498A" w14:textId="77777777" w:rsidR="0024053A" w:rsidRPr="00445472" w:rsidRDefault="0024053A" w:rsidP="004A1947">
            <w:pPr>
              <w:pStyle w:val="TABELA"/>
              <w:jc w:val="right"/>
              <w:rPr>
                <w:lang w:val="sq-AL" w:eastAsia="en-GB"/>
              </w:rPr>
            </w:pPr>
            <w:r w:rsidRPr="00445472">
              <w:rPr>
                <w:lang w:val="sq-AL" w:eastAsia="en-GB"/>
              </w:rPr>
              <w:t>0.00</w:t>
            </w:r>
          </w:p>
        </w:tc>
        <w:tc>
          <w:tcPr>
            <w:tcW w:w="767" w:type="pct"/>
            <w:shd w:val="clear" w:color="auto" w:fill="auto"/>
            <w:vAlign w:val="center"/>
          </w:tcPr>
          <w:p w14:paraId="7BB0168F" w14:textId="77777777" w:rsidR="0024053A" w:rsidRPr="00445472" w:rsidRDefault="0024053A" w:rsidP="004A1947">
            <w:pPr>
              <w:pStyle w:val="TABELA"/>
              <w:jc w:val="right"/>
              <w:rPr>
                <w:lang w:val="sq-AL" w:eastAsia="en-GB"/>
              </w:rPr>
            </w:pPr>
            <w:r w:rsidRPr="00445472">
              <w:rPr>
                <w:lang w:val="sq-AL" w:eastAsia="en-GB"/>
              </w:rPr>
              <w:t>0.0</w:t>
            </w:r>
          </w:p>
        </w:tc>
      </w:tr>
      <w:tr w:rsidR="0024053A" w:rsidRPr="00445472" w14:paraId="498510E0" w14:textId="77777777" w:rsidTr="00C17B97">
        <w:tc>
          <w:tcPr>
            <w:tcW w:w="1641" w:type="pct"/>
            <w:tcBorders>
              <w:bottom w:val="single" w:sz="8" w:space="0" w:color="27B1B0"/>
            </w:tcBorders>
            <w:shd w:val="clear" w:color="auto" w:fill="auto"/>
            <w:vAlign w:val="center"/>
          </w:tcPr>
          <w:p w14:paraId="1A9E8389" w14:textId="77777777" w:rsidR="0024053A" w:rsidRPr="00445472" w:rsidRDefault="0024053A" w:rsidP="008876B4">
            <w:pPr>
              <w:pStyle w:val="TABELA"/>
              <w:rPr>
                <w:lang w:val="sq-AL" w:eastAsia="en-GB"/>
              </w:rPr>
            </w:pPr>
            <w:r w:rsidRPr="00445472">
              <w:rPr>
                <w:lang w:val="sq-AL"/>
              </w:rPr>
              <w:t>Uji i përdorur për ujë të pijshëm</w:t>
            </w:r>
          </w:p>
        </w:tc>
        <w:tc>
          <w:tcPr>
            <w:tcW w:w="794" w:type="pct"/>
            <w:tcBorders>
              <w:bottom w:val="single" w:sz="8" w:space="0" w:color="27B1B0"/>
            </w:tcBorders>
            <w:shd w:val="clear" w:color="auto" w:fill="auto"/>
            <w:vAlign w:val="center"/>
          </w:tcPr>
          <w:p w14:paraId="4E28DE29" w14:textId="77777777" w:rsidR="0024053A" w:rsidRPr="00445472" w:rsidRDefault="0024053A" w:rsidP="004A1947">
            <w:pPr>
              <w:pStyle w:val="TABELA"/>
              <w:jc w:val="right"/>
              <w:rPr>
                <w:lang w:val="sq-AL" w:eastAsia="en-GB"/>
              </w:rPr>
            </w:pPr>
            <w:r w:rsidRPr="00445472">
              <w:rPr>
                <w:lang w:val="sq-AL" w:eastAsia="en-GB"/>
              </w:rPr>
              <w:t>0.02</w:t>
            </w:r>
          </w:p>
        </w:tc>
        <w:tc>
          <w:tcPr>
            <w:tcW w:w="892" w:type="pct"/>
            <w:tcBorders>
              <w:bottom w:val="single" w:sz="8" w:space="0" w:color="27B1B0"/>
            </w:tcBorders>
            <w:shd w:val="clear" w:color="auto" w:fill="auto"/>
            <w:vAlign w:val="center"/>
          </w:tcPr>
          <w:p w14:paraId="10DF9800" w14:textId="77777777" w:rsidR="0024053A" w:rsidRPr="00445472" w:rsidRDefault="0024053A" w:rsidP="004A1947">
            <w:pPr>
              <w:pStyle w:val="TABELA"/>
              <w:jc w:val="right"/>
              <w:rPr>
                <w:lang w:val="sq-AL" w:eastAsia="en-GB"/>
              </w:rPr>
            </w:pPr>
            <w:r w:rsidRPr="00445472">
              <w:rPr>
                <w:lang w:val="sq-AL" w:eastAsia="en-GB"/>
              </w:rPr>
              <w:t>0.14</w:t>
            </w:r>
          </w:p>
        </w:tc>
        <w:tc>
          <w:tcPr>
            <w:tcW w:w="906" w:type="pct"/>
            <w:tcBorders>
              <w:bottom w:val="single" w:sz="8" w:space="0" w:color="27B1B0"/>
            </w:tcBorders>
            <w:shd w:val="clear" w:color="auto" w:fill="auto"/>
            <w:vAlign w:val="center"/>
          </w:tcPr>
          <w:p w14:paraId="6CD6E7F4" w14:textId="77777777" w:rsidR="0024053A" w:rsidRPr="00445472" w:rsidRDefault="0024053A" w:rsidP="004A1947">
            <w:pPr>
              <w:pStyle w:val="TABELA"/>
              <w:jc w:val="right"/>
              <w:rPr>
                <w:lang w:val="sq-AL" w:eastAsia="en-GB"/>
              </w:rPr>
            </w:pPr>
            <w:r w:rsidRPr="00445472">
              <w:rPr>
                <w:lang w:val="sq-AL" w:eastAsia="en-GB"/>
              </w:rPr>
              <w:t>0.006</w:t>
            </w:r>
          </w:p>
        </w:tc>
        <w:tc>
          <w:tcPr>
            <w:tcW w:w="767" w:type="pct"/>
            <w:tcBorders>
              <w:bottom w:val="single" w:sz="8" w:space="0" w:color="27B1B0"/>
            </w:tcBorders>
            <w:shd w:val="clear" w:color="auto" w:fill="auto"/>
            <w:vAlign w:val="center"/>
          </w:tcPr>
          <w:p w14:paraId="0B8D5F13" w14:textId="77777777" w:rsidR="0024053A" w:rsidRPr="00445472" w:rsidRDefault="0024053A" w:rsidP="004A1947">
            <w:pPr>
              <w:pStyle w:val="TABELA"/>
              <w:jc w:val="right"/>
              <w:rPr>
                <w:lang w:val="sq-AL" w:eastAsia="en-GB"/>
              </w:rPr>
            </w:pPr>
            <w:r w:rsidRPr="00445472">
              <w:rPr>
                <w:lang w:val="sq-AL" w:eastAsia="en-GB"/>
              </w:rPr>
              <w:t>0.43</w:t>
            </w:r>
          </w:p>
        </w:tc>
      </w:tr>
      <w:tr w:rsidR="0024053A" w:rsidRPr="00445472" w14:paraId="5D545BCE" w14:textId="77777777" w:rsidTr="00C17B97">
        <w:tc>
          <w:tcPr>
            <w:tcW w:w="1641" w:type="pct"/>
            <w:shd w:val="clear" w:color="auto" w:fill="auto"/>
            <w:vAlign w:val="center"/>
          </w:tcPr>
          <w:p w14:paraId="10E54B54" w14:textId="77777777" w:rsidR="0024053A" w:rsidRPr="00445472" w:rsidRDefault="0024053A" w:rsidP="008876B4">
            <w:pPr>
              <w:pStyle w:val="TABELA"/>
              <w:rPr>
                <w:b/>
                <w:lang w:val="sq-AL" w:eastAsia="en-GB"/>
              </w:rPr>
            </w:pPr>
            <w:r w:rsidRPr="00445472">
              <w:rPr>
                <w:b/>
                <w:lang w:val="sq-AL" w:eastAsia="en-GB"/>
              </w:rPr>
              <w:t>Kërkesa totale</w:t>
            </w:r>
          </w:p>
        </w:tc>
        <w:tc>
          <w:tcPr>
            <w:tcW w:w="794" w:type="pct"/>
            <w:shd w:val="clear" w:color="auto" w:fill="auto"/>
            <w:vAlign w:val="center"/>
          </w:tcPr>
          <w:p w14:paraId="478782D9" w14:textId="77777777" w:rsidR="0024053A" w:rsidRPr="00445472" w:rsidRDefault="0024053A" w:rsidP="004A1947">
            <w:pPr>
              <w:pStyle w:val="TABELA"/>
              <w:jc w:val="right"/>
              <w:rPr>
                <w:b/>
                <w:lang w:val="sq-AL" w:eastAsia="en-GB"/>
              </w:rPr>
            </w:pPr>
            <w:r w:rsidRPr="00445472">
              <w:rPr>
                <w:b/>
                <w:lang w:val="sq-AL" w:eastAsia="en-GB"/>
              </w:rPr>
              <w:t>0.09</w:t>
            </w:r>
          </w:p>
        </w:tc>
        <w:tc>
          <w:tcPr>
            <w:tcW w:w="892" w:type="pct"/>
            <w:shd w:val="clear" w:color="auto" w:fill="auto"/>
            <w:vAlign w:val="center"/>
          </w:tcPr>
          <w:p w14:paraId="34B3948D" w14:textId="77777777" w:rsidR="0024053A" w:rsidRPr="00445472" w:rsidRDefault="0024053A" w:rsidP="004A1947">
            <w:pPr>
              <w:pStyle w:val="TABELA"/>
              <w:jc w:val="right"/>
              <w:rPr>
                <w:b/>
                <w:lang w:val="sq-AL" w:eastAsia="en-GB"/>
              </w:rPr>
            </w:pPr>
            <w:r w:rsidRPr="00445472">
              <w:rPr>
                <w:b/>
                <w:lang w:val="sq-AL" w:eastAsia="en-GB"/>
              </w:rPr>
              <w:t>0.60</w:t>
            </w:r>
          </w:p>
        </w:tc>
        <w:tc>
          <w:tcPr>
            <w:tcW w:w="906" w:type="pct"/>
            <w:shd w:val="clear" w:color="auto" w:fill="auto"/>
            <w:vAlign w:val="center"/>
          </w:tcPr>
          <w:p w14:paraId="6856B744" w14:textId="77777777" w:rsidR="0024053A" w:rsidRPr="00445472" w:rsidRDefault="0024053A" w:rsidP="004A1947">
            <w:pPr>
              <w:pStyle w:val="TABELA"/>
              <w:jc w:val="right"/>
              <w:rPr>
                <w:b/>
                <w:lang w:val="sq-AL" w:eastAsia="en-GB"/>
              </w:rPr>
            </w:pPr>
            <w:r w:rsidRPr="00445472">
              <w:rPr>
                <w:b/>
                <w:lang w:val="sq-AL" w:eastAsia="en-GB"/>
              </w:rPr>
              <w:t>0.40</w:t>
            </w:r>
          </w:p>
        </w:tc>
        <w:tc>
          <w:tcPr>
            <w:tcW w:w="767" w:type="pct"/>
            <w:shd w:val="clear" w:color="auto" w:fill="auto"/>
            <w:vAlign w:val="center"/>
          </w:tcPr>
          <w:p w14:paraId="61C1A7EF" w14:textId="77777777" w:rsidR="0024053A" w:rsidRPr="00445472" w:rsidRDefault="0024053A" w:rsidP="004A1947">
            <w:pPr>
              <w:pStyle w:val="TABELA"/>
              <w:jc w:val="right"/>
              <w:rPr>
                <w:b/>
                <w:lang w:val="sq-AL" w:eastAsia="en-GB"/>
              </w:rPr>
            </w:pPr>
            <w:r w:rsidRPr="00445472">
              <w:rPr>
                <w:b/>
                <w:lang w:val="sq-AL" w:eastAsia="en-GB"/>
              </w:rPr>
              <w:t>2.87</w:t>
            </w:r>
          </w:p>
        </w:tc>
      </w:tr>
      <w:tr w:rsidR="0024053A" w:rsidRPr="00445472" w14:paraId="5A6AA0E5" w14:textId="77777777" w:rsidTr="00C17B97">
        <w:tc>
          <w:tcPr>
            <w:tcW w:w="1641" w:type="pct"/>
            <w:shd w:val="clear" w:color="auto" w:fill="auto"/>
            <w:vAlign w:val="center"/>
          </w:tcPr>
          <w:p w14:paraId="0852E1D4" w14:textId="77777777" w:rsidR="0024053A" w:rsidRPr="00445472" w:rsidRDefault="0024053A" w:rsidP="008876B4">
            <w:pPr>
              <w:pStyle w:val="TABELA"/>
              <w:rPr>
                <w:b/>
                <w:lang w:val="sq-AL" w:eastAsia="en-GB"/>
              </w:rPr>
            </w:pPr>
            <w:r w:rsidRPr="00445472">
              <w:rPr>
                <w:b/>
                <w:lang w:val="sq-AL" w:eastAsia="en-GB"/>
              </w:rPr>
              <w:t>Bilanci i ujit</w:t>
            </w:r>
          </w:p>
        </w:tc>
        <w:tc>
          <w:tcPr>
            <w:tcW w:w="1686" w:type="pct"/>
            <w:gridSpan w:val="2"/>
            <w:shd w:val="clear" w:color="auto" w:fill="auto"/>
            <w:vAlign w:val="center"/>
          </w:tcPr>
          <w:p w14:paraId="6EAE3C62" w14:textId="77777777" w:rsidR="0024053A" w:rsidRPr="00445472" w:rsidRDefault="0024053A" w:rsidP="004A1947">
            <w:pPr>
              <w:pStyle w:val="TABELA"/>
              <w:jc w:val="right"/>
              <w:rPr>
                <w:b/>
                <w:lang w:val="sq-AL" w:eastAsia="en-GB"/>
              </w:rPr>
            </w:pPr>
            <w:r w:rsidRPr="00445472">
              <w:rPr>
                <w:b/>
                <w:lang w:val="sq-AL" w:eastAsia="en-GB"/>
              </w:rPr>
              <w:t>14.95</w:t>
            </w:r>
          </w:p>
        </w:tc>
        <w:tc>
          <w:tcPr>
            <w:tcW w:w="1673" w:type="pct"/>
            <w:gridSpan w:val="2"/>
            <w:shd w:val="clear" w:color="auto" w:fill="auto"/>
            <w:vAlign w:val="center"/>
          </w:tcPr>
          <w:p w14:paraId="2D4F688C" w14:textId="77777777" w:rsidR="0024053A" w:rsidRPr="00445472" w:rsidRDefault="0024053A" w:rsidP="004A1947">
            <w:pPr>
              <w:pStyle w:val="TABELA"/>
              <w:jc w:val="right"/>
              <w:rPr>
                <w:lang w:val="sq-AL"/>
              </w:rPr>
            </w:pPr>
            <w:r w:rsidRPr="00445472">
              <w:rPr>
                <w:b/>
                <w:lang w:val="sq-AL" w:eastAsia="en-GB"/>
              </w:rPr>
              <w:t>13.49</w:t>
            </w:r>
          </w:p>
        </w:tc>
      </w:tr>
    </w:tbl>
    <w:p w14:paraId="47AB4975" w14:textId="77777777" w:rsidR="0024053A" w:rsidRPr="00445472" w:rsidRDefault="0024053A" w:rsidP="0024053A">
      <w:pPr>
        <w:spacing w:after="0" w:line="240" w:lineRule="auto"/>
        <w:ind w:firstLine="284"/>
        <w:jc w:val="both"/>
        <w:rPr>
          <w:rFonts w:ascii="Garamond" w:hAnsi="Garamond"/>
          <w:sz w:val="24"/>
          <w:szCs w:val="24"/>
        </w:rPr>
      </w:pPr>
    </w:p>
    <w:p w14:paraId="112DE64C"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Tabela 3.4 më sipër përmbledh bilancin e ujit për dy periudha; e para është vlerësimi aktual dhe i dyti është për vitin 2027. Të dhënat e vitit 2027 përfshijnë një tolerancë për ndikimin e ndryshimeve klimatike, që parashikohet të zvogëlojë disponueshmërinë e burimeve ujore dhe për kërkesën e ardhshme të ujit, e cila pritet të rritet.</w:t>
      </w:r>
    </w:p>
    <w:p w14:paraId="28E8AE74" w14:textId="6C008CC7" w:rsidR="0024053A" w:rsidRPr="00445472" w:rsidRDefault="0024053A" w:rsidP="0024053A">
      <w:pPr>
        <w:spacing w:after="0" w:line="240" w:lineRule="auto"/>
        <w:ind w:firstLine="284"/>
        <w:rPr>
          <w:rFonts w:ascii="Garamond" w:hAnsi="Garamond"/>
          <w:sz w:val="24"/>
          <w:szCs w:val="24"/>
        </w:rPr>
      </w:pPr>
      <w:r w:rsidRPr="00445472">
        <w:rPr>
          <w:rFonts w:ascii="Garamond" w:hAnsi="Garamond"/>
          <w:sz w:val="24"/>
          <w:szCs w:val="24"/>
        </w:rPr>
        <w:t xml:space="preserve">Burimet kryesore të informacionit të përdorur për përgatitjen e tabelës, të cilat, gjithashtu janë përdorur si të dhëna hyrëse në modelin </w:t>
      </w:r>
      <w:r w:rsidR="000A1B7F" w:rsidRPr="00445472">
        <w:rPr>
          <w:rFonts w:ascii="Garamond" w:hAnsi="Garamond"/>
          <w:sz w:val="24"/>
          <w:szCs w:val="24"/>
        </w:rPr>
        <w:t>Mike Hydro</w:t>
      </w:r>
      <w:r w:rsidRPr="00445472">
        <w:rPr>
          <w:rFonts w:ascii="Garamond" w:hAnsi="Garamond"/>
          <w:sz w:val="24"/>
          <w:szCs w:val="24"/>
        </w:rPr>
        <w:t>, janë:</w:t>
      </w:r>
    </w:p>
    <w:p w14:paraId="01795E81" w14:textId="0B058240" w:rsidR="0024053A" w:rsidRPr="00445472" w:rsidRDefault="00C17B97" w:rsidP="00C17B97">
      <w:pPr>
        <w:pStyle w:val="TEKSTIIII"/>
      </w:pPr>
      <w:r w:rsidRPr="00445472">
        <w:t>-</w:t>
      </w:r>
      <w:r w:rsidR="00BE0492" w:rsidRPr="00445472">
        <w:t xml:space="preserve"> </w:t>
      </w:r>
      <w:r w:rsidR="0024053A" w:rsidRPr="00445472">
        <w:t>Master</w:t>
      </w:r>
      <w:r w:rsidR="00E14B89">
        <w:t>p</w:t>
      </w:r>
      <w:r w:rsidR="0024053A" w:rsidRPr="00445472">
        <w:t>lani për Furnizimin me Ujë dhe Kanalizime për Shqipërinë - Janar 2013. Kjo është përmbledhja më e fundit e kërkesave të ujit në Shqipëri;</w:t>
      </w:r>
    </w:p>
    <w:p w14:paraId="282B1D7B" w14:textId="19B02AC6" w:rsidR="0024053A" w:rsidRPr="00445472" w:rsidRDefault="00C17B97" w:rsidP="00C17B97">
      <w:pPr>
        <w:pStyle w:val="TEKSTIIII"/>
      </w:pPr>
      <w:r w:rsidRPr="00445472">
        <w:t>-</w:t>
      </w:r>
      <w:r w:rsidR="00BE0492" w:rsidRPr="00445472">
        <w:t xml:space="preserve"> </w:t>
      </w:r>
      <w:r w:rsidR="0024053A" w:rsidRPr="00445472">
        <w:t>Komunikimi i Tretë Kombëtar i Shqipërisë për UNFCCC (draft i tretë). Konventa Kuadër e Kombeve të Bashkuara për Ndryshimet Klimatike është një nga organet kryesore ndërqeveritare që lidhen me ndryshimet klimatike. Raportet për atë komision mund të konsiderohen si përfaqësues të opinionit të qeverisë për ndryshimet klimatike;</w:t>
      </w:r>
    </w:p>
    <w:p w14:paraId="1916CE61" w14:textId="1665BBEF" w:rsidR="0024053A" w:rsidRPr="00445472" w:rsidRDefault="00C17B97" w:rsidP="00C17B97">
      <w:pPr>
        <w:pStyle w:val="TEKSTIIII"/>
      </w:pPr>
      <w:r w:rsidRPr="00445472">
        <w:t>-</w:t>
      </w:r>
      <w:r w:rsidR="00BE0492" w:rsidRPr="00445472">
        <w:t xml:space="preserve"> </w:t>
      </w:r>
      <w:r w:rsidR="0024053A" w:rsidRPr="00445472">
        <w:t xml:space="preserve">Eftimi </w:t>
      </w:r>
      <w:r w:rsidR="00D62EDF" w:rsidRPr="00445472">
        <w:t>“</w:t>
      </w:r>
      <w:r w:rsidR="0024053A" w:rsidRPr="00445472">
        <w:t>Karakteristikat hidrogjeologjike të Shqipërisë</w:t>
      </w:r>
      <w:r w:rsidR="00D62EDF" w:rsidRPr="00445472">
        <w:t>”</w:t>
      </w:r>
      <w:r w:rsidR="0024053A" w:rsidRPr="00445472">
        <w:t xml:space="preserve"> AQUAmundi (2010). Ky dokument, ndërkohë që ka të bëjë kryesisht me ujërat nëntokësore, gjithashtu jep informacion të përgjithshëm mbi hidrologjinë dhe burimet ujore të Shqipërisë. Dokumenti gjithashtu bazohet në dokumente të tjera të prodhuara nga qeveria e Shqipërisë në veçanti </w:t>
      </w:r>
      <w:r w:rsidR="00D62EDF" w:rsidRPr="00445472">
        <w:t>“</w:t>
      </w:r>
      <w:r w:rsidR="0024053A" w:rsidRPr="00445472">
        <w:t>Klima e Shqipërisë</w:t>
      </w:r>
      <w:r w:rsidR="00D62EDF" w:rsidRPr="00445472">
        <w:t>”</w:t>
      </w:r>
      <w:r w:rsidR="0024053A" w:rsidRPr="00445472">
        <w:t xml:space="preserve"> e prodhuar nga Instituti i Hidrometeorologjisë në vitin 1975 dhe </w:t>
      </w:r>
      <w:r w:rsidR="00D62EDF" w:rsidRPr="00445472">
        <w:t>“</w:t>
      </w:r>
      <w:r w:rsidR="0024053A" w:rsidRPr="00445472">
        <w:t>Hidrologjia e Shqipërisë</w:t>
      </w:r>
      <w:r w:rsidR="00D62EDF" w:rsidRPr="00445472">
        <w:t>”</w:t>
      </w:r>
      <w:r w:rsidR="0024053A" w:rsidRPr="00445472">
        <w:t xml:space="preserve"> nga i njëjti burim dhe i publikuar në vitin 1984.</w:t>
      </w:r>
    </w:p>
    <w:p w14:paraId="1AF8244A" w14:textId="50674CAE" w:rsidR="0024053A" w:rsidRPr="00445472" w:rsidRDefault="00C17B97" w:rsidP="00C17B97">
      <w:pPr>
        <w:pStyle w:val="TEKSTIIII"/>
      </w:pPr>
      <w:r w:rsidRPr="00445472">
        <w:t>-</w:t>
      </w:r>
      <w:r w:rsidR="00F62CCD">
        <w:t xml:space="preserve"> </w:t>
      </w:r>
      <w:r w:rsidR="0024053A" w:rsidRPr="00445472">
        <w:t xml:space="preserve">Përdorimi industrial bazohet në dy burime. </w:t>
      </w:r>
      <w:r w:rsidR="00D62EDF" w:rsidRPr="00445472">
        <w:t>“</w:t>
      </w:r>
      <w:r w:rsidR="0024053A" w:rsidRPr="00445472">
        <w:t>Regjistri Kombëtar për Licencat e Përdorimit të Burimeve Ujore</w:t>
      </w:r>
      <w:r w:rsidR="00D62EDF" w:rsidRPr="00445472">
        <w:t>”</w:t>
      </w:r>
      <w:r w:rsidR="0024053A" w:rsidRPr="00445472">
        <w:t>, Ministria përgjegjëse për çështjet e mjedisit dhe Prodhimi dhe Përdorimi i Ujërave nëntokësore nga Ekonomitë Familjare dhe Industria, Agjencia Kombëtare e Ujësjellës</w:t>
      </w:r>
      <w:r w:rsidR="00E14B89">
        <w:t>-</w:t>
      </w:r>
      <w:r w:rsidR="0024053A" w:rsidRPr="00445472">
        <w:t xml:space="preserve"> Kanalizimeve.</w:t>
      </w:r>
    </w:p>
    <w:p w14:paraId="357558EB" w14:textId="24818A6A"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Dokumenti i fundit i udhëzimit të BE-së mbi 'Zbatimin e Bilanceve të Ujit' diskuton çështjen e raporteve. Kjo lidhet si me 'aspektin kohor' dhe 'aspektin hapësinor'. Ndër aspektet alternative të kohës që sugjerojnë është i ndarjes 'sezoni i lagësht</w:t>
      </w:r>
      <w:r w:rsidR="001D340B" w:rsidRPr="00445472">
        <w:rPr>
          <w:rFonts w:ascii="Garamond" w:hAnsi="Garamond"/>
          <w:sz w:val="24"/>
          <w:szCs w:val="24"/>
        </w:rPr>
        <w:t>/</w:t>
      </w:r>
      <w:r w:rsidRPr="00445472">
        <w:rPr>
          <w:rFonts w:ascii="Garamond" w:hAnsi="Garamond"/>
          <w:sz w:val="24"/>
          <w:szCs w:val="24"/>
        </w:rPr>
        <w:t xml:space="preserve">i thatë'. Analiza e mësipërme e </w:t>
      </w:r>
      <w:r w:rsidR="007E76E3" w:rsidRPr="00445472">
        <w:rPr>
          <w:rFonts w:ascii="Garamond" w:hAnsi="Garamond"/>
          <w:sz w:val="24"/>
          <w:szCs w:val="24"/>
        </w:rPr>
        <w:t>Drin–Bunë</w:t>
      </w:r>
      <w:r w:rsidRPr="00445472">
        <w:rPr>
          <w:rFonts w:ascii="Garamond" w:hAnsi="Garamond"/>
          <w:sz w:val="24"/>
          <w:szCs w:val="24"/>
        </w:rPr>
        <w:t xml:space="preserve">s në shkallë vjetore sugjeron se bilanci i ujit është shumë pozitiv. Një analizë e veçantë në përputhje me seksionin e dokumentit udhëzues të BE-së u krye për sezonin e thatë, i cili në bazë të të dhënave meteorologjike, është marrë si periudha nga qershori deri në shtator. Kjo tregoi se për </w:t>
      </w:r>
      <w:r w:rsidR="007E76E3" w:rsidRPr="00445472">
        <w:rPr>
          <w:rFonts w:ascii="Garamond" w:hAnsi="Garamond"/>
          <w:sz w:val="24"/>
          <w:szCs w:val="24"/>
        </w:rPr>
        <w:t>Drin–Bunë</w:t>
      </w:r>
      <w:r w:rsidRPr="00445472">
        <w:rPr>
          <w:rFonts w:ascii="Garamond" w:hAnsi="Garamond"/>
          <w:sz w:val="24"/>
          <w:szCs w:val="24"/>
        </w:rPr>
        <w:t xml:space="preserve">, kërkesa për ujë për atë periudhë 4 mujore u përllogarit 2.2 herë më e lartë se vjetorja.   Edhe pse </w:t>
      </w:r>
      <w:r w:rsidR="00BE0492" w:rsidRPr="00445472">
        <w:rPr>
          <w:rFonts w:ascii="Garamond" w:hAnsi="Garamond"/>
          <w:sz w:val="24"/>
          <w:szCs w:val="24"/>
        </w:rPr>
        <w:t>kërkesat</w:t>
      </w:r>
      <w:r w:rsidRPr="00445472">
        <w:rPr>
          <w:rFonts w:ascii="Garamond" w:hAnsi="Garamond"/>
          <w:sz w:val="24"/>
          <w:szCs w:val="24"/>
        </w:rPr>
        <w:t xml:space="preserve"> për ujë ishin më të larta gjatë muajve të verës ato janë përsëri një përqindje e vogël e burimeve ujore të disponueshme dhe balanca ujore e përgjithshme është përsëri pozitive.  Sidoqoftë, është e rëndësishme të theksohet se nevojiten kërkime të mëtejshme në mënyrë që të përcaktohet kërkesa e ujit në secilin nënbasen në lidhje me disponueshmërinë specifike të burimeve sipërfaqësore dhe nëntokësore.</w:t>
      </w:r>
    </w:p>
    <w:p w14:paraId="61170F31" w14:textId="3A020F79" w:rsidR="0024053A" w:rsidRPr="00445472" w:rsidRDefault="00C17B97" w:rsidP="00C17B97">
      <w:pPr>
        <w:pStyle w:val="NENTITULL"/>
      </w:pPr>
      <w:bookmarkStart w:id="54" w:name="_Toc486503389"/>
      <w:bookmarkStart w:id="55" w:name="_Toc11068755"/>
      <w:bookmarkEnd w:id="51"/>
      <w:r w:rsidRPr="00445472">
        <w:t xml:space="preserve">3.6 </w:t>
      </w:r>
      <w:r w:rsidR="0024053A" w:rsidRPr="00445472">
        <w:t>Karakterizimi i ujërave nëntokësorë</w:t>
      </w:r>
      <w:bookmarkEnd w:id="54"/>
      <w:bookmarkEnd w:id="55"/>
    </w:p>
    <w:p w14:paraId="4CAEC11D" w14:textId="0A61EC4F"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Baseni ujor </w:t>
      </w:r>
      <w:r w:rsidR="007E76E3" w:rsidRPr="00445472">
        <w:rPr>
          <w:rFonts w:ascii="Garamond" w:hAnsi="Garamond"/>
          <w:sz w:val="24"/>
          <w:szCs w:val="24"/>
        </w:rPr>
        <w:t>Drin–Bunë</w:t>
      </w:r>
      <w:r w:rsidRPr="00445472">
        <w:rPr>
          <w:rFonts w:ascii="Garamond" w:hAnsi="Garamond"/>
          <w:sz w:val="24"/>
          <w:szCs w:val="24"/>
        </w:rPr>
        <w:t xml:space="preserve"> karakterizohet nga tr</w:t>
      </w:r>
      <w:r w:rsidR="00905530">
        <w:rPr>
          <w:rFonts w:ascii="Garamond" w:hAnsi="Garamond"/>
          <w:sz w:val="24"/>
          <w:szCs w:val="24"/>
        </w:rPr>
        <w:t>i</w:t>
      </w:r>
      <w:r w:rsidRPr="00445472">
        <w:rPr>
          <w:rFonts w:ascii="Garamond" w:hAnsi="Garamond"/>
          <w:sz w:val="24"/>
          <w:szCs w:val="24"/>
        </w:rPr>
        <w:t xml:space="preserve"> lloje kryesore akuiferësh: Kuaternar, Karbonatik dhe Magmatik. Figura 3.8 tregon një hartë të akuiferëve kryesorë në Basenin Ujor </w:t>
      </w:r>
      <w:r w:rsidR="007E76E3" w:rsidRPr="00445472">
        <w:rPr>
          <w:rFonts w:ascii="Garamond" w:hAnsi="Garamond"/>
          <w:sz w:val="24"/>
          <w:szCs w:val="24"/>
        </w:rPr>
        <w:t>Drin–Bunë</w:t>
      </w:r>
      <w:r w:rsidRPr="00445472">
        <w:rPr>
          <w:rFonts w:ascii="Garamond" w:hAnsi="Garamond"/>
          <w:sz w:val="24"/>
          <w:szCs w:val="24"/>
        </w:rPr>
        <w:t>.</w:t>
      </w:r>
    </w:p>
    <w:p w14:paraId="6733481B" w14:textId="3FC5139B" w:rsidR="0024053A" w:rsidRPr="00445472" w:rsidRDefault="0017518F" w:rsidP="0017518F">
      <w:pPr>
        <w:pStyle w:val="NENTITULL"/>
      </w:pPr>
      <w:bookmarkStart w:id="56" w:name="_Toc11068756"/>
      <w:r w:rsidRPr="00445472">
        <w:t xml:space="preserve">3.6.1 </w:t>
      </w:r>
      <w:r w:rsidR="0024053A" w:rsidRPr="00445472">
        <w:t>Akuiferi kuaternar i Shkodrës</w:t>
      </w:r>
      <w:bookmarkEnd w:id="56"/>
    </w:p>
    <w:p w14:paraId="35621418" w14:textId="7EFF4115"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Depozitat e akuiferit të Shkodrës vërehen në lumenjtë dhe luginat në zonën e Shkodrës, </w:t>
      </w:r>
      <w:r w:rsidR="00CB2B23" w:rsidRPr="00445472">
        <w:rPr>
          <w:rFonts w:ascii="Garamond" w:hAnsi="Garamond"/>
          <w:sz w:val="24"/>
          <w:szCs w:val="24"/>
        </w:rPr>
        <w:t xml:space="preserve">Nënshkodrës </w:t>
      </w:r>
      <w:r w:rsidRPr="00445472">
        <w:rPr>
          <w:rFonts w:ascii="Garamond" w:hAnsi="Garamond"/>
          <w:sz w:val="24"/>
          <w:szCs w:val="24"/>
        </w:rPr>
        <w:t xml:space="preserve">dhe qytetit të Lezhës. Në shtratin e thatë, ku trashësia maksimale arrin 6 metra, hasen proluvione. Këto hasen gjithashtu edhe në rrjedhat e tjera, por në sasi të vogla. Në luginat e mëposhtme hasen depozita aluviale: </w:t>
      </w:r>
      <w:r w:rsidR="007E76E3" w:rsidRPr="00445472">
        <w:rPr>
          <w:rFonts w:ascii="Garamond" w:hAnsi="Garamond"/>
          <w:sz w:val="24"/>
          <w:szCs w:val="24"/>
        </w:rPr>
        <w:t>Drin–Bunë</w:t>
      </w:r>
      <w:r w:rsidRPr="00445472">
        <w:rPr>
          <w:rFonts w:ascii="Garamond" w:hAnsi="Garamond"/>
          <w:sz w:val="24"/>
          <w:szCs w:val="24"/>
        </w:rPr>
        <w:t>, Gjadri, Kiri, Vermoshi, Valbona, Drini i Zi (Bllata, Muhurr).</w:t>
      </w:r>
    </w:p>
    <w:p w14:paraId="0EA99FDC" w14:textId="5B3F3075"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Nga fshati Drisht në lumin Kir, tr</w:t>
      </w:r>
      <w:r w:rsidR="00BE0492" w:rsidRPr="00445472">
        <w:rPr>
          <w:rFonts w:ascii="Garamond" w:hAnsi="Garamond"/>
          <w:sz w:val="24"/>
          <w:szCs w:val="24"/>
        </w:rPr>
        <w:t>i</w:t>
      </w:r>
      <w:r w:rsidRPr="00445472">
        <w:rPr>
          <w:rFonts w:ascii="Garamond" w:hAnsi="Garamond"/>
          <w:sz w:val="24"/>
          <w:szCs w:val="24"/>
        </w:rPr>
        <w:t xml:space="preserve"> tarraca të ndërtuara nga depozitat aluviale mund të vërehen me dy nga tr</w:t>
      </w:r>
      <w:r w:rsidR="00905530">
        <w:rPr>
          <w:rFonts w:ascii="Garamond" w:hAnsi="Garamond"/>
          <w:sz w:val="24"/>
          <w:szCs w:val="24"/>
        </w:rPr>
        <w:t>i</w:t>
      </w:r>
      <w:r w:rsidRPr="00445472">
        <w:rPr>
          <w:rFonts w:ascii="Garamond" w:hAnsi="Garamond"/>
          <w:sz w:val="24"/>
          <w:szCs w:val="24"/>
        </w:rPr>
        <w:t xml:space="preserve"> depozitimet e çimentuara nga materialet karbonatike. Në lumin Vermosh ekziston një zonë aluviale në të cilën ndodhet fshati Vermosh. Kjo tarracë aluviale ka një lartësi prej 0.5</w:t>
      </w:r>
      <w:r w:rsidR="002E6C44">
        <w:rPr>
          <w:rFonts w:ascii="Garamond" w:hAnsi="Garamond"/>
          <w:sz w:val="24"/>
          <w:szCs w:val="24"/>
        </w:rPr>
        <w:t>–</w:t>
      </w:r>
      <w:r w:rsidRPr="00445472">
        <w:rPr>
          <w:rFonts w:ascii="Garamond" w:hAnsi="Garamond"/>
          <w:sz w:val="24"/>
          <w:szCs w:val="24"/>
        </w:rPr>
        <w:t>1 metrash dhe një trashësi maksimale prej 3</w:t>
      </w:r>
      <w:r w:rsidR="002E6C44">
        <w:rPr>
          <w:rFonts w:ascii="Garamond" w:hAnsi="Garamond"/>
          <w:sz w:val="24"/>
          <w:szCs w:val="24"/>
        </w:rPr>
        <w:t>–</w:t>
      </w:r>
      <w:r w:rsidRPr="00445472">
        <w:rPr>
          <w:rFonts w:ascii="Garamond" w:hAnsi="Garamond"/>
          <w:sz w:val="24"/>
          <w:szCs w:val="24"/>
        </w:rPr>
        <w:t>4 metrash. Përbërja kokrrizore është kryesisht e trashë, kokërr e mesme, zhavorr dhe guralecë.</w:t>
      </w:r>
    </w:p>
    <w:p w14:paraId="1C6664CF" w14:textId="6B4E4CB2"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Shkëmbinj porozë gjenden në zonat </w:t>
      </w:r>
      <w:r w:rsidR="00CB2B23" w:rsidRPr="00445472">
        <w:rPr>
          <w:rFonts w:ascii="Garamond" w:hAnsi="Garamond"/>
          <w:sz w:val="24"/>
          <w:szCs w:val="24"/>
        </w:rPr>
        <w:t>Nënshkodër</w:t>
      </w:r>
      <w:r w:rsidRPr="00445472">
        <w:rPr>
          <w:rFonts w:ascii="Garamond" w:hAnsi="Garamond"/>
          <w:sz w:val="24"/>
          <w:szCs w:val="24"/>
        </w:rPr>
        <w:t>-Zadrimë dhe Shkodër. Ujërat nëntokësore janë të lidhura me depozitat me rërë (aluviale) që përbëjnë shtresën më të pasur me kapacitet ujëmbajtës ose shtresën e basenit nëntokësor të Shkodrës, Zad</w:t>
      </w:r>
      <w:r w:rsidR="00E14B89">
        <w:rPr>
          <w:rFonts w:ascii="Garamond" w:hAnsi="Garamond"/>
          <w:sz w:val="24"/>
          <w:szCs w:val="24"/>
        </w:rPr>
        <w:t>rimës dhe Nën</w:t>
      </w:r>
      <w:r w:rsidR="00E14B89" w:rsidRPr="00445472">
        <w:rPr>
          <w:rFonts w:ascii="Garamond" w:hAnsi="Garamond"/>
          <w:sz w:val="24"/>
          <w:szCs w:val="24"/>
        </w:rPr>
        <w:t>shkodrës</w:t>
      </w:r>
      <w:r w:rsidRPr="00445472">
        <w:rPr>
          <w:rFonts w:ascii="Garamond" w:hAnsi="Garamond"/>
          <w:sz w:val="24"/>
          <w:szCs w:val="24"/>
        </w:rPr>
        <w:t>.</w:t>
      </w:r>
    </w:p>
    <w:p w14:paraId="0A56F9A4" w14:textId="77777777" w:rsidR="0024053A" w:rsidRPr="00445472" w:rsidRDefault="0024053A" w:rsidP="0017518F">
      <w:pPr>
        <w:pStyle w:val="NENTITULL"/>
      </w:pPr>
      <w:r w:rsidRPr="00445472">
        <w:t>3.6.1.1 Akuiferi i Shkodrës</w:t>
      </w:r>
    </w:p>
    <w:p w14:paraId="45B3CABD"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Ky akuifer poroz ka një përshkueshmëri të lartë dhe përfshin depozitat e zhavorrit dhe rërës së trashë, të cilat përbëjnë shtresa me kapacitet ujëmbajtës, të pranishëm në tërë zonën e Shkodrës.</w:t>
      </w:r>
    </w:p>
    <w:p w14:paraId="1D759D6A" w14:textId="5C9E0214"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Në pjesën lindore të akuiferit, zhavorri është zëvendësuar nga shkëmbinjtë gëlqerorë me shpella të shumta, ndërsa në veri, disa km në jug të Koplikut, zhavorri është në kontakt me formacionet ranore-argjilore të Piacensianit. Zhavorri kryesisht shfaqet në sipërfaqe në pjesët lindore dhe veriore të fushës së Shtoit, ndërsa drejt jugut dhe perëndimit, nën depozitat e nënshtresës argjilore, ato formojnë shtresa ujore nënartesiane dhe nganjëherë në sezonin e dimrit puset ofrojnë ujë (me presion).</w:t>
      </w:r>
    </w:p>
    <w:p w14:paraId="44249C70" w14:textId="5F2B32A9"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Në disa zona pranë liqenit të Shkodrës puset ofrojnë ujë, por vetëm në dimër. Kjo është si pasojë jo vetëm e kuotës më të ulët në terren, por edhe për shkak të përbërjes litologjike, ku zhavorri dhe zalli pranë Liqenit të Shkodrës janë zëvendësuar pjesërisht me argjila dhe nënargjila, të cilat shërbejnë për të kufizuar shkarkimin e ujërave nëntokësorë në liqen, d</w:t>
      </w:r>
      <w:r w:rsidR="00BE0492" w:rsidRPr="00445472">
        <w:rPr>
          <w:rFonts w:ascii="Garamond" w:hAnsi="Garamond"/>
          <w:sz w:val="24"/>
          <w:szCs w:val="24"/>
        </w:rPr>
        <w:t>.</w:t>
      </w:r>
      <w:r w:rsidRPr="00445472">
        <w:rPr>
          <w:rFonts w:ascii="Garamond" w:hAnsi="Garamond"/>
          <w:sz w:val="24"/>
          <w:szCs w:val="24"/>
        </w:rPr>
        <w:t>m</w:t>
      </w:r>
      <w:r w:rsidR="00BE0492" w:rsidRPr="00445472">
        <w:rPr>
          <w:rFonts w:ascii="Garamond" w:hAnsi="Garamond"/>
          <w:sz w:val="24"/>
          <w:szCs w:val="24"/>
        </w:rPr>
        <w:t>.</w:t>
      </w:r>
      <w:r w:rsidRPr="00445472">
        <w:rPr>
          <w:rFonts w:ascii="Garamond" w:hAnsi="Garamond"/>
          <w:sz w:val="24"/>
          <w:szCs w:val="24"/>
        </w:rPr>
        <w:t>th</w:t>
      </w:r>
      <w:r w:rsidR="00BE0492" w:rsidRPr="00445472">
        <w:rPr>
          <w:rFonts w:ascii="Garamond" w:hAnsi="Garamond"/>
          <w:sz w:val="24"/>
          <w:szCs w:val="24"/>
        </w:rPr>
        <w:t>.</w:t>
      </w:r>
      <w:r w:rsidRPr="00445472">
        <w:rPr>
          <w:rFonts w:ascii="Garamond" w:hAnsi="Garamond"/>
          <w:sz w:val="24"/>
          <w:szCs w:val="24"/>
        </w:rPr>
        <w:t xml:space="preserve"> duke shkaktuar një rritje në nivelin e ujërave nëntokësorë.</w:t>
      </w:r>
    </w:p>
    <w:p w14:paraId="4B923F9E" w14:textId="1C0D5C02"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Prej kodrinave të Dobracit deri në Grizhë është një sektor i pasur me rezerva të ujërave nëntokësorë, që përbën objektin kryesor për furnizimin me ujë të pijshëm të popullsisë së Shkodrës. Akuiferi poroz me përshkueshmërinë më të lartë gjendet në pothuajse të gjithë zonën e </w:t>
      </w:r>
      <w:r w:rsidR="00E14B89" w:rsidRPr="00445472">
        <w:rPr>
          <w:rFonts w:ascii="Garamond" w:hAnsi="Garamond"/>
          <w:sz w:val="24"/>
          <w:szCs w:val="24"/>
        </w:rPr>
        <w:t>Mbishkodrës</w:t>
      </w:r>
      <w:r w:rsidRPr="00445472">
        <w:rPr>
          <w:rFonts w:ascii="Garamond" w:hAnsi="Garamond"/>
          <w:sz w:val="24"/>
          <w:szCs w:val="24"/>
        </w:rPr>
        <w:t>.</w:t>
      </w:r>
    </w:p>
    <w:p w14:paraId="449F5C73" w14:textId="62C18981"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Në lindje, zhavorri prek me formacione bazë, si gëlqerorë karstikë të moshave Triasike, Jurasike dhe Kretake. Ujërat nëntokësor</w:t>
      </w:r>
      <w:r w:rsidR="0086054F" w:rsidRPr="00445472">
        <w:rPr>
          <w:rFonts w:ascii="Garamond" w:hAnsi="Garamond"/>
          <w:sz w:val="24"/>
          <w:szCs w:val="24"/>
        </w:rPr>
        <w:t>e</w:t>
      </w:r>
      <w:r w:rsidRPr="00445472">
        <w:rPr>
          <w:rFonts w:ascii="Garamond" w:hAnsi="Garamond"/>
          <w:sz w:val="24"/>
          <w:szCs w:val="24"/>
        </w:rPr>
        <w:t xml:space="preserve"> që ushqejnë këtë shtresë dalin nga formacionet bazë të Rrjollit, rrjedhave të Vrakës dhe lumit Kiri.</w:t>
      </w:r>
    </w:p>
    <w:p w14:paraId="30AA8FA1" w14:textId="08632911"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Reshjet atmosferike që bien direkt në sipërfaqe luajnë rol në ushqimin e ujërave nëntokësorë ku shtrihet shtresa me kapacitet ujëmbajtës. Rrjedhat e ujërave nëntokësorë lëvizin sipas pjerrësisë së terrenit, d</w:t>
      </w:r>
      <w:r w:rsidR="00BE0492" w:rsidRPr="00445472">
        <w:rPr>
          <w:rFonts w:ascii="Garamond" w:hAnsi="Garamond"/>
          <w:sz w:val="24"/>
          <w:szCs w:val="24"/>
        </w:rPr>
        <w:t>.</w:t>
      </w:r>
      <w:r w:rsidRPr="00445472">
        <w:rPr>
          <w:rFonts w:ascii="Garamond" w:hAnsi="Garamond"/>
          <w:sz w:val="24"/>
          <w:szCs w:val="24"/>
        </w:rPr>
        <w:t>m</w:t>
      </w:r>
      <w:r w:rsidR="00BE0492" w:rsidRPr="00445472">
        <w:rPr>
          <w:rFonts w:ascii="Garamond" w:hAnsi="Garamond"/>
          <w:sz w:val="24"/>
          <w:szCs w:val="24"/>
        </w:rPr>
        <w:t>.</w:t>
      </w:r>
      <w:r w:rsidRPr="00445472">
        <w:rPr>
          <w:rFonts w:ascii="Garamond" w:hAnsi="Garamond"/>
          <w:sz w:val="24"/>
          <w:szCs w:val="24"/>
        </w:rPr>
        <w:t>th. nga verilindja dhe lindja në zonat jugperëndimore dhe perëndimore.</w:t>
      </w:r>
    </w:p>
    <w:p w14:paraId="45B7517C" w14:textId="6523B724" w:rsidR="0024053A" w:rsidRPr="00445472" w:rsidRDefault="0024053A" w:rsidP="0017518F">
      <w:pPr>
        <w:pStyle w:val="NENTITULL"/>
      </w:pPr>
      <w:r w:rsidRPr="00445472">
        <w:t>3</w:t>
      </w:r>
      <w:r w:rsidR="00CB2B23">
        <w:t>.6.1.2 Akuiferi Zadrimë - Nën</w:t>
      </w:r>
      <w:r w:rsidR="00CB2B23" w:rsidRPr="00445472">
        <w:t xml:space="preserve">shkodër </w:t>
      </w:r>
    </w:p>
    <w:p w14:paraId="24BDC99B" w14:textId="6E92691F"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Sipas kushteve hidrogjeologjike, ky akuifer mund të ndahet në dy sektorë të veçantë: </w:t>
      </w:r>
      <w:r w:rsidR="00E14B89" w:rsidRPr="00445472">
        <w:rPr>
          <w:rFonts w:ascii="Garamond" w:hAnsi="Garamond"/>
          <w:sz w:val="24"/>
          <w:szCs w:val="24"/>
        </w:rPr>
        <w:t xml:space="preserve">Nënshkodër </w:t>
      </w:r>
      <w:r w:rsidRPr="00445472">
        <w:rPr>
          <w:rFonts w:ascii="Garamond" w:hAnsi="Garamond"/>
          <w:sz w:val="24"/>
          <w:szCs w:val="24"/>
        </w:rPr>
        <w:t>dhe Fusha e Zadrimës.</w:t>
      </w:r>
    </w:p>
    <w:p w14:paraId="1FEC04B2" w14:textId="429AA690" w:rsidR="0024053A" w:rsidRPr="00445472" w:rsidRDefault="00E14B89" w:rsidP="0024053A">
      <w:pPr>
        <w:spacing w:after="0" w:line="240" w:lineRule="auto"/>
        <w:ind w:firstLine="284"/>
        <w:jc w:val="both"/>
        <w:rPr>
          <w:rFonts w:ascii="Garamond" w:hAnsi="Garamond"/>
          <w:sz w:val="24"/>
          <w:szCs w:val="24"/>
        </w:rPr>
      </w:pPr>
      <w:r>
        <w:rPr>
          <w:rFonts w:ascii="Garamond" w:hAnsi="Garamond"/>
          <w:sz w:val="24"/>
          <w:szCs w:val="24"/>
        </w:rPr>
        <w:t>Seksioni i Nën</w:t>
      </w:r>
      <w:r w:rsidRPr="00445472">
        <w:rPr>
          <w:rFonts w:ascii="Garamond" w:hAnsi="Garamond"/>
          <w:sz w:val="24"/>
          <w:szCs w:val="24"/>
        </w:rPr>
        <w:t xml:space="preserve">shkodrës </w:t>
      </w:r>
      <w:r w:rsidR="0024053A" w:rsidRPr="00445472">
        <w:rPr>
          <w:rFonts w:ascii="Garamond" w:hAnsi="Garamond"/>
          <w:sz w:val="24"/>
          <w:szCs w:val="24"/>
        </w:rPr>
        <w:t xml:space="preserve">është përhapur gjerësisht në luginat e lumit Bunë dhe Drin dhe në fushat e tyre. Në jug, ky sektor kufizohet me fushën e Zadrimës, dhe në veri me basenin e </w:t>
      </w:r>
      <w:r w:rsidRPr="00445472">
        <w:rPr>
          <w:rFonts w:ascii="Garamond" w:hAnsi="Garamond"/>
          <w:sz w:val="24"/>
          <w:szCs w:val="24"/>
        </w:rPr>
        <w:t>Mbishkodrës</w:t>
      </w:r>
      <w:r w:rsidR="0024053A" w:rsidRPr="00445472">
        <w:rPr>
          <w:rFonts w:ascii="Garamond" w:hAnsi="Garamond"/>
          <w:sz w:val="24"/>
          <w:szCs w:val="24"/>
        </w:rPr>
        <w:t>. Ai zë gjithë zonën e fushës së ulët dhe ka aktivitet kumulativ për material poroz. Depozitat aluvionale kuaternare të lumenjve Bunë dhe Drin përbëjnë një shtresë të fortë të zhavorrit të trashë dhe rërës me karakteristika të filtrimit të lartë, të cilat grumbullojnë sasi të konsiderueshme të rezervave ujore nëntokësore. Zhavorri i trashë dhe rëra dominojnë me trashësi shtresash mesatarisht nga 5-10 metra në 60 metra në disa zona. Mbulimi nën rërë varion nga 2</w:t>
      </w:r>
      <w:r w:rsidR="00BE0492" w:rsidRPr="00445472">
        <w:rPr>
          <w:rFonts w:ascii="Garamond" w:hAnsi="Garamond"/>
          <w:sz w:val="24"/>
          <w:szCs w:val="24"/>
        </w:rPr>
        <w:t>–</w:t>
      </w:r>
      <w:r w:rsidR="0024053A" w:rsidRPr="00445472">
        <w:rPr>
          <w:rFonts w:ascii="Garamond" w:hAnsi="Garamond"/>
          <w:sz w:val="24"/>
          <w:szCs w:val="24"/>
        </w:rPr>
        <w:t>3 metra në 25</w:t>
      </w:r>
      <w:r w:rsidR="00BE0492" w:rsidRPr="00445472">
        <w:rPr>
          <w:rFonts w:ascii="Garamond" w:hAnsi="Garamond"/>
          <w:sz w:val="24"/>
          <w:szCs w:val="24"/>
        </w:rPr>
        <w:t>–</w:t>
      </w:r>
      <w:r w:rsidR="0024053A" w:rsidRPr="00445472">
        <w:rPr>
          <w:rFonts w:ascii="Garamond" w:hAnsi="Garamond"/>
          <w:sz w:val="24"/>
          <w:szCs w:val="24"/>
        </w:rPr>
        <w:t>30 metra. Zhavorret formojnë dalje në zonat e Mje</w:t>
      </w:r>
      <w:r>
        <w:rPr>
          <w:rFonts w:ascii="Garamond" w:hAnsi="Garamond"/>
          <w:sz w:val="24"/>
          <w:szCs w:val="24"/>
        </w:rPr>
        <w:t>dës, Kaçaracit dhe Stajkës. Nën</w:t>
      </w:r>
      <w:r w:rsidR="0024053A" w:rsidRPr="00445472">
        <w:rPr>
          <w:rFonts w:ascii="Garamond" w:hAnsi="Garamond"/>
          <w:sz w:val="24"/>
          <w:szCs w:val="24"/>
        </w:rPr>
        <w:t>argjila dhe mbulimi nën rërë rriten nga veriu në jug dhe në fluksin lindje-perëndim drejt lumenjve Bunë dhe Drin.</w:t>
      </w:r>
    </w:p>
    <w:p w14:paraId="3C7CDBC8" w14:textId="5924C7B2"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Në pjesën verilindore të këtij baseni, uji nëntokësor është pa presion, ndërsa në sektorët e jugut dhe perëndimit</w:t>
      </w:r>
      <w:r w:rsidR="00E14B89">
        <w:rPr>
          <w:rFonts w:ascii="Garamond" w:hAnsi="Garamond"/>
          <w:sz w:val="24"/>
          <w:szCs w:val="24"/>
        </w:rPr>
        <w:t>, si rezultat i mbulimit me nën</w:t>
      </w:r>
      <w:r w:rsidRPr="00445472">
        <w:rPr>
          <w:rFonts w:ascii="Garamond" w:hAnsi="Garamond"/>
          <w:sz w:val="24"/>
          <w:szCs w:val="24"/>
        </w:rPr>
        <w:t>zhavorr dhe nënrërë</w:t>
      </w:r>
      <w:r w:rsidR="008F0A9F" w:rsidRPr="00445472">
        <w:rPr>
          <w:rFonts w:ascii="Garamond" w:hAnsi="Garamond"/>
          <w:sz w:val="24"/>
          <w:szCs w:val="24"/>
        </w:rPr>
        <w:t>, si dhe</w:t>
      </w:r>
      <w:r w:rsidRPr="00445472">
        <w:rPr>
          <w:rFonts w:ascii="Garamond" w:hAnsi="Garamond"/>
          <w:sz w:val="24"/>
          <w:szCs w:val="24"/>
        </w:rPr>
        <w:t xml:space="preserve"> për shkak të pozicionit më të lartë hipsometrik të zonës, ata fitojnë presion dhe shpime. Në disa zona ujërat kanë karakter artesian, p.sh.</w:t>
      </w:r>
      <w:r w:rsidR="00BE0492" w:rsidRPr="00445472">
        <w:rPr>
          <w:rFonts w:ascii="Garamond" w:hAnsi="Garamond"/>
          <w:sz w:val="24"/>
          <w:szCs w:val="24"/>
        </w:rPr>
        <w:t>,</w:t>
      </w:r>
      <w:r w:rsidRPr="00445472">
        <w:rPr>
          <w:rFonts w:ascii="Garamond" w:hAnsi="Garamond"/>
          <w:sz w:val="24"/>
          <w:szCs w:val="24"/>
        </w:rPr>
        <w:t xml:space="preserve"> Trush, Pistull, Paçram dhe fshatrat Gocaj. Nivelet e ujërave nëntokësorë, megjithatë, në shumicën e territorit, janë afë</w:t>
      </w:r>
      <w:r w:rsidR="00E14B89">
        <w:rPr>
          <w:rFonts w:ascii="Garamond" w:hAnsi="Garamond"/>
          <w:sz w:val="24"/>
          <w:szCs w:val="24"/>
        </w:rPr>
        <w:t>r sipërfaqes, si në zonën e Mbi</w:t>
      </w:r>
      <w:r w:rsidR="00E14B89" w:rsidRPr="00445472">
        <w:rPr>
          <w:rFonts w:ascii="Garamond" w:hAnsi="Garamond"/>
          <w:sz w:val="24"/>
          <w:szCs w:val="24"/>
        </w:rPr>
        <w:t>shkodrës</w:t>
      </w:r>
      <w:r w:rsidRPr="00445472">
        <w:rPr>
          <w:rFonts w:ascii="Garamond" w:hAnsi="Garamond"/>
          <w:sz w:val="24"/>
          <w:szCs w:val="24"/>
        </w:rPr>
        <w:t>.</w:t>
      </w:r>
    </w:p>
    <w:p w14:paraId="1D086D90" w14:textId="69CEC431" w:rsidR="0024053A" w:rsidRPr="00445472" w:rsidRDefault="00BE0492" w:rsidP="0024053A">
      <w:pPr>
        <w:spacing w:after="0" w:line="240" w:lineRule="auto"/>
        <w:ind w:firstLine="284"/>
        <w:jc w:val="both"/>
        <w:rPr>
          <w:rFonts w:ascii="Garamond" w:hAnsi="Garamond"/>
          <w:sz w:val="24"/>
          <w:szCs w:val="24"/>
        </w:rPr>
      </w:pPr>
      <w:r w:rsidRPr="00445472">
        <w:rPr>
          <w:rFonts w:ascii="Garamond" w:hAnsi="Garamond"/>
          <w:sz w:val="24"/>
          <w:szCs w:val="24"/>
        </w:rPr>
        <w:t>Koeficientët</w:t>
      </w:r>
      <w:r w:rsidR="0024053A" w:rsidRPr="00445472">
        <w:rPr>
          <w:rFonts w:ascii="Garamond" w:hAnsi="Garamond"/>
          <w:sz w:val="24"/>
          <w:szCs w:val="24"/>
        </w:rPr>
        <w:t xml:space="preserve"> e filtrimit ndryshojnë nga 30</w:t>
      </w:r>
      <w:r w:rsidRPr="00445472">
        <w:rPr>
          <w:rFonts w:ascii="Garamond" w:hAnsi="Garamond"/>
          <w:sz w:val="24"/>
          <w:szCs w:val="24"/>
        </w:rPr>
        <w:t>–</w:t>
      </w:r>
      <w:r w:rsidR="0024053A" w:rsidRPr="00445472">
        <w:rPr>
          <w:rFonts w:ascii="Garamond" w:hAnsi="Garamond"/>
          <w:sz w:val="24"/>
          <w:szCs w:val="24"/>
        </w:rPr>
        <w:t>50 m/ditë dhe flukse specifike nga 5</w:t>
      </w:r>
      <w:r w:rsidRPr="00445472">
        <w:rPr>
          <w:rFonts w:ascii="Garamond" w:hAnsi="Garamond"/>
          <w:sz w:val="24"/>
          <w:szCs w:val="24"/>
        </w:rPr>
        <w:t>–</w:t>
      </w:r>
      <w:r w:rsidR="0024053A" w:rsidRPr="00445472">
        <w:rPr>
          <w:rFonts w:ascii="Garamond" w:hAnsi="Garamond"/>
          <w:sz w:val="24"/>
          <w:szCs w:val="24"/>
        </w:rPr>
        <w:t>10 l/sek</w:t>
      </w:r>
      <w:r w:rsidR="001D340B" w:rsidRPr="00445472">
        <w:rPr>
          <w:rFonts w:ascii="Garamond" w:hAnsi="Garamond"/>
          <w:sz w:val="24"/>
          <w:szCs w:val="24"/>
        </w:rPr>
        <w:t>/</w:t>
      </w:r>
      <w:r w:rsidR="0024053A" w:rsidRPr="00445472">
        <w:rPr>
          <w:rFonts w:ascii="Garamond" w:hAnsi="Garamond"/>
          <w:sz w:val="24"/>
          <w:szCs w:val="24"/>
        </w:rPr>
        <w:t>m, në zonat e ekstremeve jugperëndimore dhe perëndimore dhe jugore të basenit deri në 400</w:t>
      </w:r>
      <w:r w:rsidRPr="00445472">
        <w:rPr>
          <w:rFonts w:ascii="Garamond" w:hAnsi="Garamond"/>
          <w:sz w:val="24"/>
          <w:szCs w:val="24"/>
        </w:rPr>
        <w:t>–</w:t>
      </w:r>
      <w:r w:rsidR="0024053A" w:rsidRPr="00445472">
        <w:rPr>
          <w:rFonts w:ascii="Garamond" w:hAnsi="Garamond"/>
          <w:sz w:val="24"/>
          <w:szCs w:val="24"/>
        </w:rPr>
        <w:t>700 m/ditë dhe 100</w:t>
      </w:r>
      <w:r w:rsidRPr="00445472">
        <w:rPr>
          <w:rFonts w:ascii="Garamond" w:hAnsi="Garamond"/>
          <w:sz w:val="24"/>
          <w:szCs w:val="24"/>
        </w:rPr>
        <w:t>–</w:t>
      </w:r>
      <w:r w:rsidR="0024053A" w:rsidRPr="00445472">
        <w:rPr>
          <w:rFonts w:ascii="Garamond" w:hAnsi="Garamond"/>
          <w:sz w:val="24"/>
          <w:szCs w:val="24"/>
        </w:rPr>
        <w:t>150 l/sek/m, respektivisht në shumicën e sektorëve të saj, sidomos pranë lumenjve Bunë dhe Drin.</w:t>
      </w:r>
    </w:p>
    <w:p w14:paraId="675FE1FC" w14:textId="61895DC2"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Drejtimi i rrjedhës së ujërave nëntokësorë është kryesisht drejt jugut dhe jugperëndimit. Ujërat nëntokësor</w:t>
      </w:r>
      <w:r w:rsidR="0086054F" w:rsidRPr="00445472">
        <w:rPr>
          <w:rFonts w:ascii="Garamond" w:hAnsi="Garamond"/>
          <w:sz w:val="24"/>
          <w:szCs w:val="24"/>
        </w:rPr>
        <w:t>e</w:t>
      </w:r>
      <w:r w:rsidRPr="00445472">
        <w:rPr>
          <w:rFonts w:ascii="Garamond" w:hAnsi="Garamond"/>
          <w:sz w:val="24"/>
          <w:szCs w:val="24"/>
        </w:rPr>
        <w:t xml:space="preserve"> në këtë basen përgjithësisht janë të ëmbla me veti fizike dhe kimike të mira dhe një varg temperature prej 12</w:t>
      </w:r>
      <w:r w:rsidR="00BE0492" w:rsidRPr="00445472">
        <w:rPr>
          <w:rFonts w:ascii="Garamond" w:hAnsi="Garamond"/>
          <w:sz w:val="24"/>
          <w:szCs w:val="24"/>
        </w:rPr>
        <w:t>–</w:t>
      </w:r>
      <w:r w:rsidRPr="00445472">
        <w:rPr>
          <w:rFonts w:ascii="Garamond" w:hAnsi="Garamond"/>
          <w:sz w:val="24"/>
          <w:szCs w:val="24"/>
        </w:rPr>
        <w:t>16</w:t>
      </w:r>
      <w:r w:rsidRPr="00445472">
        <w:rPr>
          <w:rFonts w:ascii="Garamond" w:hAnsi="Garamond"/>
          <w:sz w:val="24"/>
          <w:szCs w:val="24"/>
          <w:vertAlign w:val="superscript"/>
        </w:rPr>
        <w:t>o</w:t>
      </w:r>
      <w:r w:rsidRPr="00445472">
        <w:rPr>
          <w:rFonts w:ascii="Garamond" w:hAnsi="Garamond"/>
          <w:sz w:val="24"/>
          <w:szCs w:val="24"/>
        </w:rPr>
        <w:t>C.</w:t>
      </w:r>
    </w:p>
    <w:p w14:paraId="646D74FC" w14:textId="47B03E2B"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Sektori i fushës së Zadrimës, i cili është i lidhur me veprimtarinë kumulative të materialit aluvial të kaskadës së Gjadrit, nuk është shumë i pasur me ujëra nëntokësorë. Depozitat aluviale të lumenjve në fushën e Zadrimës janë të kufizuara. Trashësia kuaternare nuk kalon 25</w:t>
      </w:r>
      <w:r w:rsidR="005C6A2C" w:rsidRPr="00445472">
        <w:rPr>
          <w:rFonts w:ascii="Garamond" w:hAnsi="Garamond"/>
          <w:sz w:val="24"/>
          <w:szCs w:val="24"/>
        </w:rPr>
        <w:t>–</w:t>
      </w:r>
      <w:r w:rsidRPr="00445472">
        <w:rPr>
          <w:rFonts w:ascii="Garamond" w:hAnsi="Garamond"/>
          <w:sz w:val="24"/>
          <w:szCs w:val="24"/>
        </w:rPr>
        <w:t>30 metra në zona të caktuara dhe deri në 50 metra në zonat pranë lumenjve. Shtresat e zhavorrit kanë trashësi të vogël deri në 2-3 metra.</w:t>
      </w:r>
    </w:p>
    <w:p w14:paraId="562DCBBA" w14:textId="75FF3DD5"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Sektorë të veçantë të fushës së Zadrimës në afërsi të lumenjve (Mabe, Dajç, Gramsh dhe Gjadër, Në Zojë dhe Mabe) kanë zhavorre me kapacitet ujëmbajtës deri në 20 metra të trasha dhe me një prodhim të lartë dhe një depërtueshmëri të lartë. Në këto sektorë </w:t>
      </w:r>
      <w:r w:rsidR="00924199" w:rsidRPr="00445472">
        <w:rPr>
          <w:rFonts w:ascii="Garamond" w:hAnsi="Garamond"/>
          <w:sz w:val="24"/>
          <w:szCs w:val="24"/>
        </w:rPr>
        <w:t>koeficienti</w:t>
      </w:r>
      <w:r w:rsidRPr="00445472">
        <w:rPr>
          <w:rFonts w:ascii="Garamond" w:hAnsi="Garamond"/>
          <w:sz w:val="24"/>
          <w:szCs w:val="24"/>
        </w:rPr>
        <w:t xml:space="preserve"> i filtrimit shkon nga 35 në 60 m/ditë, ndërsa shkalla specifike e prurjes ka një gamë prej 5</w:t>
      </w:r>
      <w:r w:rsidR="005C6A2C" w:rsidRPr="00445472">
        <w:rPr>
          <w:rFonts w:ascii="Garamond" w:hAnsi="Garamond"/>
          <w:sz w:val="24"/>
          <w:szCs w:val="24"/>
        </w:rPr>
        <w:t>–</w:t>
      </w:r>
      <w:r w:rsidRPr="00445472">
        <w:rPr>
          <w:rFonts w:ascii="Garamond" w:hAnsi="Garamond"/>
          <w:sz w:val="24"/>
          <w:szCs w:val="24"/>
        </w:rPr>
        <w:t xml:space="preserve">14 l/sek/m. Në sektorin e Gramshit, Zojës dhe Gjadrit </w:t>
      </w:r>
      <w:r w:rsidR="00924199" w:rsidRPr="00445472">
        <w:rPr>
          <w:rFonts w:ascii="Garamond" w:hAnsi="Garamond"/>
          <w:sz w:val="24"/>
          <w:szCs w:val="24"/>
        </w:rPr>
        <w:t>koeficienti</w:t>
      </w:r>
      <w:r w:rsidRPr="00445472">
        <w:rPr>
          <w:rFonts w:ascii="Garamond" w:hAnsi="Garamond"/>
          <w:sz w:val="24"/>
          <w:szCs w:val="24"/>
        </w:rPr>
        <w:t xml:space="preserve"> i filtrimit shkon nga 5 deri në 30 m/ditë, ndërsa shkalla specifike e prurjes në 2 l/sek/m.</w:t>
      </w:r>
    </w:p>
    <w:p w14:paraId="71598F83" w14:textId="77777777" w:rsidR="0024053A" w:rsidRPr="00445472" w:rsidRDefault="0024053A" w:rsidP="0017518F">
      <w:pPr>
        <w:pStyle w:val="MEVIZE"/>
        <w:rPr>
          <w:b/>
          <w:lang w:val="sq-AL"/>
        </w:rPr>
      </w:pPr>
      <w:r w:rsidRPr="00445472">
        <w:rPr>
          <w:b/>
          <w:lang w:val="sq-AL"/>
        </w:rPr>
        <w:t xml:space="preserve">3.6.1.3 Rajoni i Peshkopisë në Bashkinë e Dibrës </w:t>
      </w:r>
    </w:p>
    <w:p w14:paraId="13E39685" w14:textId="3B09096F"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Kjo zonë përfshin zhavorre dhe zall, gurë ranor argjilor që ndodhen në shtratin e lumit Drini i Zi. Ato shtrihen nga Ura e Dodës në afërsi të Maqellarës në jug dhe përbëhen nga shkëmbinj të rrumbullakosur që kanë një trashësi që varion nga disa metra në 10</w:t>
      </w:r>
      <w:r w:rsidR="005C6A2C" w:rsidRPr="00445472">
        <w:rPr>
          <w:rFonts w:ascii="Garamond" w:hAnsi="Garamond"/>
          <w:sz w:val="24"/>
          <w:szCs w:val="24"/>
        </w:rPr>
        <w:t>–</w:t>
      </w:r>
      <w:r w:rsidRPr="00445472">
        <w:rPr>
          <w:rFonts w:ascii="Garamond" w:hAnsi="Garamond"/>
          <w:sz w:val="24"/>
          <w:szCs w:val="24"/>
        </w:rPr>
        <w:t>15 metra në zonën Muhurit dhe Fushë-Aliajt. Këto zhavorrë kanë lidhje të mira hidraulike me lumin.</w:t>
      </w:r>
    </w:p>
    <w:p w14:paraId="5B2C827C" w14:textId="0E5F02EE" w:rsidR="0024053A" w:rsidRPr="00445472" w:rsidRDefault="0024053A" w:rsidP="0024053A">
      <w:pPr>
        <w:spacing w:after="0" w:line="240" w:lineRule="auto"/>
        <w:ind w:firstLine="284"/>
        <w:jc w:val="both"/>
        <w:rPr>
          <w:rFonts w:ascii="Garamond" w:hAnsi="Garamond"/>
          <w:b/>
          <w:sz w:val="24"/>
          <w:szCs w:val="24"/>
        </w:rPr>
      </w:pPr>
      <w:r w:rsidRPr="00445472">
        <w:rPr>
          <w:rFonts w:ascii="Garamond" w:hAnsi="Garamond"/>
          <w:b/>
          <w:sz w:val="24"/>
          <w:szCs w:val="24"/>
        </w:rPr>
        <w:t xml:space="preserve">3.6.1.4 </w:t>
      </w:r>
      <w:r w:rsidR="005C6A2C" w:rsidRPr="00445472">
        <w:rPr>
          <w:rFonts w:ascii="Garamond" w:hAnsi="Garamond"/>
          <w:b/>
          <w:sz w:val="24"/>
          <w:szCs w:val="24"/>
        </w:rPr>
        <w:t>Vlerësimi</w:t>
      </w:r>
      <w:r w:rsidRPr="00445472">
        <w:rPr>
          <w:rFonts w:ascii="Garamond" w:hAnsi="Garamond"/>
          <w:b/>
          <w:sz w:val="24"/>
          <w:szCs w:val="24"/>
        </w:rPr>
        <w:t xml:space="preserve"> sasior</w:t>
      </w:r>
    </w:p>
    <w:p w14:paraId="5596C402"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Rezervat e akuiferit kuaternar shfrytëzohen për ujë të pijshëm, duke furnizuar Lezhën, Shkodrën, Malësinë e Madhe, Tropojën, Pukën, Kukësin, Pogradecin dhe fshatrat përreth.</w:t>
      </w:r>
    </w:p>
    <w:p w14:paraId="13EA6F53" w14:textId="2C8A6F39"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Shfrytëz</w:t>
      </w:r>
      <w:r w:rsidR="00E14B89">
        <w:rPr>
          <w:rFonts w:ascii="Garamond" w:hAnsi="Garamond"/>
          <w:sz w:val="24"/>
          <w:szCs w:val="24"/>
        </w:rPr>
        <w:t>imi i rezervave nga fusha e Nën</w:t>
      </w:r>
      <w:r w:rsidR="00E14B89" w:rsidRPr="00445472">
        <w:rPr>
          <w:rFonts w:ascii="Garamond" w:hAnsi="Garamond"/>
          <w:sz w:val="24"/>
          <w:szCs w:val="24"/>
        </w:rPr>
        <w:t xml:space="preserve">shkodrës </w:t>
      </w:r>
      <w:r w:rsidRPr="00445472">
        <w:rPr>
          <w:rFonts w:ascii="Garamond" w:hAnsi="Garamond"/>
          <w:sz w:val="24"/>
          <w:szCs w:val="24"/>
        </w:rPr>
        <w:t>deri në 1000 l/sek dëshmohet nga burimet që rrjedhin nga shkëmbinjtë gëlqerorë, të cilët janë të varur prej reshjeve atmosferike.</w:t>
      </w:r>
    </w:p>
    <w:p w14:paraId="23BD7A87"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Qyteti i Shkodrës furnizohet me ujë nga zonat me kapacitet ujëmbajtës të Dobraçit nga puse, duke shfrytëzuar një prurje totale prej 900 l/sek në stacionin e pompimit të Dobraçit. Puset e tjera të përdorura që furnizojnë fshatrat me ujë afër Shkodrës ofrojnë:</w:t>
      </w:r>
    </w:p>
    <w:p w14:paraId="37124970" w14:textId="6E001982" w:rsidR="0024053A" w:rsidRPr="00445472" w:rsidRDefault="0017518F" w:rsidP="0017518F">
      <w:pPr>
        <w:pStyle w:val="TEKSTIIII"/>
      </w:pPr>
      <w:r w:rsidRPr="00445472">
        <w:t>-</w:t>
      </w:r>
      <w:r w:rsidR="005C6A2C" w:rsidRPr="00445472">
        <w:t xml:space="preserve"> </w:t>
      </w:r>
      <w:r w:rsidR="0024053A" w:rsidRPr="00445472">
        <w:t>Bërdica: 100 l/sek nga dy burime</w:t>
      </w:r>
    </w:p>
    <w:p w14:paraId="53981099" w14:textId="14DF8125" w:rsidR="0024053A" w:rsidRPr="00445472" w:rsidRDefault="0017518F" w:rsidP="0017518F">
      <w:pPr>
        <w:pStyle w:val="TEKSTIIII"/>
      </w:pPr>
      <w:r w:rsidRPr="00445472">
        <w:t>-</w:t>
      </w:r>
      <w:r w:rsidR="005C6A2C" w:rsidRPr="00445472">
        <w:t xml:space="preserve"> </w:t>
      </w:r>
      <w:r w:rsidR="0024053A" w:rsidRPr="00445472">
        <w:t>Bushat: 2 l/sek</w:t>
      </w:r>
    </w:p>
    <w:p w14:paraId="0BC19F4B" w14:textId="5D6A3817" w:rsidR="0024053A" w:rsidRPr="00445472" w:rsidRDefault="0017518F" w:rsidP="0017518F">
      <w:pPr>
        <w:pStyle w:val="TEKSTIIII"/>
      </w:pPr>
      <w:r w:rsidRPr="00445472">
        <w:t>-</w:t>
      </w:r>
      <w:r w:rsidR="005C6A2C" w:rsidRPr="00445472">
        <w:t xml:space="preserve"> </w:t>
      </w:r>
      <w:r w:rsidR="0024053A" w:rsidRPr="00445472">
        <w:t>Bahçallëk: 100 l/sek</w:t>
      </w:r>
    </w:p>
    <w:p w14:paraId="1E08AE54" w14:textId="4EF6A76A" w:rsidR="0024053A" w:rsidRPr="00445472" w:rsidRDefault="0017518F" w:rsidP="0017518F">
      <w:pPr>
        <w:pStyle w:val="TEKSTIIII"/>
      </w:pPr>
      <w:r w:rsidRPr="00445472">
        <w:t>-</w:t>
      </w:r>
      <w:r w:rsidR="005C6A2C" w:rsidRPr="00445472">
        <w:t xml:space="preserve"> </w:t>
      </w:r>
      <w:r w:rsidR="0024053A" w:rsidRPr="00445472">
        <w:t>Dajç: 11 l/sek</w:t>
      </w:r>
    </w:p>
    <w:p w14:paraId="4E149B31" w14:textId="67817E46" w:rsidR="0024053A" w:rsidRPr="00445472" w:rsidRDefault="0017518F" w:rsidP="0017518F">
      <w:pPr>
        <w:pStyle w:val="TEKSTIIII"/>
      </w:pPr>
      <w:r w:rsidRPr="00445472">
        <w:t>-</w:t>
      </w:r>
      <w:r w:rsidR="005C6A2C" w:rsidRPr="00445472">
        <w:t xml:space="preserve"> </w:t>
      </w:r>
      <w:r w:rsidR="0024053A" w:rsidRPr="00445472">
        <w:t>Oblikë: 2 l/sek</w:t>
      </w:r>
    </w:p>
    <w:p w14:paraId="07927601" w14:textId="4004A676" w:rsidR="0024053A" w:rsidRPr="00445472" w:rsidRDefault="0017518F" w:rsidP="0017518F">
      <w:pPr>
        <w:pStyle w:val="TEKSTIIII"/>
      </w:pPr>
      <w:r w:rsidRPr="00445472">
        <w:t>-</w:t>
      </w:r>
      <w:r w:rsidR="005C6A2C" w:rsidRPr="00445472">
        <w:t xml:space="preserve"> </w:t>
      </w:r>
      <w:r w:rsidR="0024053A" w:rsidRPr="00445472">
        <w:t>Shpime të tjera: 80</w:t>
      </w:r>
      <w:r w:rsidR="005C6A2C" w:rsidRPr="00445472">
        <w:t>–</w:t>
      </w:r>
      <w:r w:rsidR="0024053A" w:rsidRPr="00445472">
        <w:t>100 l/sek</w:t>
      </w:r>
    </w:p>
    <w:p w14:paraId="18C5B79E"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Sasia totale e ujit që përdoret nga rajoni i Shkodrës është rreth 1200-1300 l/sek.</w:t>
      </w:r>
    </w:p>
    <w:p w14:paraId="7421E52A"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Zona e Zadrimës siguron rreth 300 l/sek ujë, ndonëse kjo zonë ka kufizuar shfrytëzimin e ujit nëntokësor për shkak të cilësisë së dobët të tij. Megjithatë, gjatë viteve të fundit, puse të shpuara në formacionet karbonatike të Kakariqit treguan cilësi të mirë të ujit. Sot, në këtë zonë ujërat shfrytëzohen si më poshtë:</w:t>
      </w:r>
    </w:p>
    <w:p w14:paraId="53616202" w14:textId="0D72CC25" w:rsidR="0024053A" w:rsidRPr="00445472" w:rsidRDefault="0017518F" w:rsidP="0017518F">
      <w:pPr>
        <w:pStyle w:val="TEKSTIIII"/>
      </w:pPr>
      <w:r w:rsidRPr="00445472">
        <w:t>-</w:t>
      </w:r>
      <w:r w:rsidR="005C6A2C" w:rsidRPr="00445472">
        <w:t xml:space="preserve"> </w:t>
      </w:r>
      <w:r w:rsidR="0024053A" w:rsidRPr="00445472">
        <w:t>50 l/sek nga stacionet e pompimit, 20 l/sek nga ato në formacione gëlqerore</w:t>
      </w:r>
    </w:p>
    <w:p w14:paraId="59F9DA57" w14:textId="080E61AA" w:rsidR="0024053A" w:rsidRPr="00445472" w:rsidRDefault="0017518F" w:rsidP="0017518F">
      <w:pPr>
        <w:pStyle w:val="TEKSTIIII"/>
      </w:pPr>
      <w:r w:rsidRPr="00445472">
        <w:t>-</w:t>
      </w:r>
      <w:r w:rsidR="005C6A2C" w:rsidRPr="00445472">
        <w:t xml:space="preserve"> </w:t>
      </w:r>
      <w:r w:rsidR="0024053A" w:rsidRPr="00445472">
        <w:t>200 l/sek të marra nga puset e fshatit të përdorura për ujitje</w:t>
      </w:r>
    </w:p>
    <w:p w14:paraId="613A1FDC" w14:textId="2AC56F68" w:rsidR="0024053A" w:rsidRPr="00445472" w:rsidRDefault="0017518F" w:rsidP="0017518F">
      <w:pPr>
        <w:pStyle w:val="TEKSTIIII"/>
      </w:pPr>
      <w:r w:rsidRPr="00445472">
        <w:t>-</w:t>
      </w:r>
      <w:r w:rsidR="005C6A2C" w:rsidRPr="00445472">
        <w:t xml:space="preserve"> </w:t>
      </w:r>
      <w:r w:rsidR="0024053A" w:rsidRPr="00445472">
        <w:t>200 l/s të marra nga burime natyrore në zonën përreth</w:t>
      </w:r>
    </w:p>
    <w:p w14:paraId="0DE5161D" w14:textId="3B4D17FB"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Për qytetin e Peshkopisë rrjedhat e ujërave që shkojnë nga 60</w:t>
      </w:r>
      <w:r w:rsidR="00905530">
        <w:rPr>
          <w:rFonts w:ascii="Garamond" w:hAnsi="Garamond"/>
          <w:sz w:val="24"/>
          <w:szCs w:val="24"/>
        </w:rPr>
        <w:t>–</w:t>
      </w:r>
      <w:r w:rsidRPr="00445472">
        <w:rPr>
          <w:rFonts w:ascii="Garamond" w:hAnsi="Garamond"/>
          <w:sz w:val="24"/>
          <w:szCs w:val="24"/>
        </w:rPr>
        <w:t>100 l/sek janë marrë nga tr</w:t>
      </w:r>
      <w:r w:rsidR="00905530">
        <w:rPr>
          <w:rFonts w:ascii="Garamond" w:hAnsi="Garamond"/>
          <w:sz w:val="24"/>
          <w:szCs w:val="24"/>
        </w:rPr>
        <w:t xml:space="preserve">i </w:t>
      </w:r>
      <w:r w:rsidRPr="00445472">
        <w:rPr>
          <w:rFonts w:ascii="Garamond" w:hAnsi="Garamond"/>
          <w:sz w:val="24"/>
          <w:szCs w:val="24"/>
        </w:rPr>
        <w:t>puset e vendosura në shtratin zhavorror të Drinit të Zi pranë fushës së Muhurrit.</w:t>
      </w:r>
    </w:p>
    <w:p w14:paraId="6C764302" w14:textId="59F625C1" w:rsidR="0024053A" w:rsidRPr="00445472" w:rsidRDefault="0017518F" w:rsidP="0017518F">
      <w:pPr>
        <w:pStyle w:val="NENTITULL"/>
      </w:pPr>
      <w:bookmarkStart w:id="57" w:name="_Toc11068757"/>
      <w:r w:rsidRPr="00445472">
        <w:t xml:space="preserve">3.6.2 </w:t>
      </w:r>
      <w:r w:rsidR="0024053A" w:rsidRPr="00445472">
        <w:t>Akuiferi karbonatik</w:t>
      </w:r>
      <w:bookmarkEnd w:id="57"/>
    </w:p>
    <w:p w14:paraId="0FF59F10" w14:textId="1493CDF4"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 xml:space="preserve">Ky akuifer përbëhet nga depozita gëlqerore dhe dolomite, të cilat gjenden pothuajse në të gjithë anën veriperëndimore dhe në pjesën jugore të basenit qendror, duke formuar një masë të madhe të karbonateve në të ashtuquajturat Alpet Shqiptare. Në këto depozita ka burime shumë produktive, si në Tushemisht, Lin (Pogradec), Kalimash, Skavicë (Kukës), Valbonë, Dunishe (Tropojë), Petroshan dhe Syri Sheganit. Ujërat nëntokësore që </w:t>
      </w:r>
      <w:r w:rsidR="0086054F" w:rsidRPr="00445472">
        <w:rPr>
          <w:rFonts w:ascii="Garamond" w:hAnsi="Garamond"/>
          <w:sz w:val="24"/>
          <w:szCs w:val="24"/>
        </w:rPr>
        <w:t>u</w:t>
      </w:r>
      <w:r w:rsidRPr="00445472">
        <w:rPr>
          <w:rFonts w:ascii="Garamond" w:hAnsi="Garamond"/>
          <w:sz w:val="24"/>
          <w:szCs w:val="24"/>
        </w:rPr>
        <w:t xml:space="preserve"> përkasin depozitimeve karbonatike kanë një debit të madh të ujërave nëntokësore që varion nga 100</w:t>
      </w:r>
      <w:r w:rsidR="005C6A2C" w:rsidRPr="00445472">
        <w:rPr>
          <w:rFonts w:ascii="Garamond" w:hAnsi="Garamond"/>
          <w:sz w:val="24"/>
          <w:szCs w:val="24"/>
        </w:rPr>
        <w:t>–</w:t>
      </w:r>
      <w:r w:rsidRPr="00445472">
        <w:rPr>
          <w:rFonts w:ascii="Garamond" w:hAnsi="Garamond"/>
          <w:sz w:val="24"/>
          <w:szCs w:val="24"/>
        </w:rPr>
        <w:t>3000 l/s. Regjimi i ujit në këtë akuifer të basenit është shumë i ndryshueshëm në sezonin e dimrit ku ata janë quajtur burime, por në fakt janë pothuajse lumenj.</w:t>
      </w:r>
    </w:p>
    <w:p w14:paraId="5CE3DBB0"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Rezervat ujore të Tropojës, Kukësit dhe Pogradecit janë burimet më produktive, të cilat momentalisht nuk shfrytëzohen plotësisht për nevojat e këtyre rretheve. Për rajonin e Peshkopisë, ujërat nëntokësore sigurohen nga Burimi i Radomirës. Vlen të përmendet vlerësimi i mëposhtëm:</w:t>
      </w:r>
    </w:p>
    <w:p w14:paraId="2C6FD597" w14:textId="4B3B5773" w:rsidR="0024053A" w:rsidRPr="00445472" w:rsidRDefault="005C6A2C" w:rsidP="005C6A2C">
      <w:pPr>
        <w:pStyle w:val="Bullet1"/>
        <w:numPr>
          <w:ilvl w:val="0"/>
          <w:numId w:val="0"/>
        </w:numPr>
        <w:spacing w:before="0" w:after="0" w:line="240" w:lineRule="auto"/>
        <w:ind w:firstLine="284"/>
        <w:jc w:val="both"/>
        <w:rPr>
          <w:rFonts w:ascii="Garamond" w:hAnsi="Garamond"/>
          <w:sz w:val="24"/>
          <w:szCs w:val="24"/>
          <w:lang w:val="sq-AL"/>
        </w:rPr>
      </w:pPr>
      <w:r w:rsidRPr="00445472">
        <w:rPr>
          <w:rFonts w:ascii="Garamond" w:hAnsi="Garamond"/>
          <w:sz w:val="24"/>
          <w:szCs w:val="24"/>
          <w:lang w:val="sq-AL"/>
        </w:rPr>
        <w:t xml:space="preserve">- </w:t>
      </w:r>
      <w:r w:rsidR="0024053A" w:rsidRPr="00445472">
        <w:rPr>
          <w:rFonts w:ascii="Garamond" w:hAnsi="Garamond"/>
          <w:sz w:val="24"/>
          <w:szCs w:val="24"/>
          <w:lang w:val="sq-AL"/>
        </w:rPr>
        <w:t>Në rajonin e Tropojës, burimi natyror në Shoshani Vrella ka një shkarkesë prej 1000 l/sek, duke furnizuar qytetin e Bajram Currit dhe fshatrat përreth qytetit. Aktualisht, vetëm 100 l/sek shfrytëzohet.</w:t>
      </w:r>
    </w:p>
    <w:p w14:paraId="5961D5D9" w14:textId="25F58F32" w:rsidR="0024053A" w:rsidRPr="00445472" w:rsidRDefault="00F62CCD" w:rsidP="0017518F">
      <w:pPr>
        <w:pStyle w:val="TEKSTIIII"/>
      </w:pPr>
      <w:r>
        <w:t xml:space="preserve">- </w:t>
      </w:r>
      <w:r w:rsidR="0024053A" w:rsidRPr="00445472">
        <w:t>Për qarkun e Kukësit, qyteti i Kukësit furnizohet nga burimi natyror Kolosiani me shkarkim prej 300 l/sek. Qyteti i Krumës furnizohet nga burimi natyror Kruma me shkarkim prej 100 l/sek.</w:t>
      </w:r>
    </w:p>
    <w:p w14:paraId="1955D76D" w14:textId="58833ECA" w:rsidR="0024053A" w:rsidRPr="00445472" w:rsidRDefault="00F62CCD" w:rsidP="0017518F">
      <w:pPr>
        <w:pStyle w:val="TEKSTIIII"/>
      </w:pPr>
      <w:r>
        <w:t xml:space="preserve">- </w:t>
      </w:r>
      <w:r w:rsidR="0024053A" w:rsidRPr="00445472">
        <w:t>Në Rajonin e Pogradecit, burimi natyror në Tushemisht siguron rreth 200 l/sek. Burimi natyror i Linit ofron deri në 20 l/sek për konsum shtëpiak, 20 l/sek për fshatin Lin dhe 80 l/sek për kultivimin e peshkut.</w:t>
      </w:r>
    </w:p>
    <w:p w14:paraId="0D36322A" w14:textId="3E0CAC1E" w:rsidR="0024053A" w:rsidRPr="00445472" w:rsidRDefault="00F62CCD" w:rsidP="0017518F">
      <w:pPr>
        <w:pStyle w:val="TEKSTIIII"/>
      </w:pPr>
      <w:r>
        <w:t xml:space="preserve">- </w:t>
      </w:r>
      <w:r w:rsidR="0024053A" w:rsidRPr="00445472">
        <w:t>Për rajonin e Peshkopisë, qyteti i Peshkopisë furnizohet me 100 l/sek nga burimi natyror Radomira. Për zonën e Maqellarës, burimi natyror i Blatës siguron 20 l/sek.</w:t>
      </w:r>
    </w:p>
    <w:p w14:paraId="732F2642" w14:textId="28EDE8A2" w:rsidR="0024053A" w:rsidRPr="00445472" w:rsidRDefault="0024053A" w:rsidP="0017518F">
      <w:pPr>
        <w:pStyle w:val="TEKSTIIII"/>
      </w:pPr>
      <w:r w:rsidRPr="00445472">
        <w:t xml:space="preserve">Stacionet kryesore të monitorimit në akuifer janë treguar në </w:t>
      </w:r>
      <w:r w:rsidR="00A22CE0" w:rsidRPr="00445472">
        <w:t xml:space="preserve">figurën </w:t>
      </w:r>
      <w:r w:rsidRPr="00445472">
        <w:t>3.7. Cilësia e ujit të nxjerrë nga akuiferi karbonatik mund të përmblidhet si vijon:</w:t>
      </w:r>
    </w:p>
    <w:p w14:paraId="72DBAA3C" w14:textId="0733C17C" w:rsidR="0024053A" w:rsidRPr="00445472" w:rsidRDefault="00F62CCD" w:rsidP="0017518F">
      <w:pPr>
        <w:pStyle w:val="TEKSTIIII"/>
      </w:pPr>
      <w:r>
        <w:t xml:space="preserve">- </w:t>
      </w:r>
      <w:r w:rsidR="0024053A" w:rsidRPr="00445472">
        <w:t>Mineralizimi total në akuifer varion nga 142</w:t>
      </w:r>
      <w:r w:rsidR="00A22CE0">
        <w:t>–</w:t>
      </w:r>
      <w:r w:rsidR="0024053A" w:rsidRPr="00445472">
        <w:t>280 mg</w:t>
      </w:r>
      <w:r w:rsidR="001D340B" w:rsidRPr="00445472">
        <w:t>/</w:t>
      </w:r>
      <w:r w:rsidR="0024053A" w:rsidRPr="00445472">
        <w:t>l. Ujërat e këtij akuiferi janë ujëra të ëmbla.</w:t>
      </w:r>
    </w:p>
    <w:p w14:paraId="701EAE2A" w14:textId="31300D4C" w:rsidR="0024053A" w:rsidRPr="00445472" w:rsidRDefault="00F62CCD" w:rsidP="0017518F">
      <w:pPr>
        <w:pStyle w:val="TEKSTIIII"/>
      </w:pPr>
      <w:r>
        <w:t xml:space="preserve">- </w:t>
      </w:r>
      <w:r w:rsidR="0024053A" w:rsidRPr="00445472">
        <w:t>Ashpërsia totale varion nga 4.42</w:t>
      </w:r>
      <w:r w:rsidR="00A22CE0">
        <w:t>–</w:t>
      </w:r>
      <w:r w:rsidR="0024053A" w:rsidRPr="00445472">
        <w:t>10.01 Fp.° gj në Gurra e Kolesjanit, Kukës, Tushemit, Lin Pogradec, Syri i Sheganit, burimet e Shkodrës. Ashpërsia është brenda standardit shqiptar.</w:t>
      </w:r>
    </w:p>
    <w:p w14:paraId="640C7086" w14:textId="1B7AD94E" w:rsidR="0024053A" w:rsidRPr="00445472" w:rsidRDefault="00F62CCD" w:rsidP="0017518F">
      <w:pPr>
        <w:pStyle w:val="TEKSTIIII"/>
      </w:pPr>
      <w:r>
        <w:t xml:space="preserve">- </w:t>
      </w:r>
      <w:r w:rsidR="0024053A" w:rsidRPr="00445472">
        <w:t>pH e ujërave nëntokësore është dobësisht alkaline me një amplitudë prej 7.4</w:t>
      </w:r>
      <w:r w:rsidR="005C6A2C" w:rsidRPr="00445472">
        <w:t>–</w:t>
      </w:r>
      <w:r w:rsidR="0024053A" w:rsidRPr="00445472">
        <w:t>7.69.</w:t>
      </w:r>
    </w:p>
    <w:p w14:paraId="4C45BAD7" w14:textId="52EF3DC2" w:rsidR="0024053A" w:rsidRPr="00445472" w:rsidRDefault="00F62CCD" w:rsidP="0017518F">
      <w:pPr>
        <w:pStyle w:val="TEKSTIIII"/>
      </w:pPr>
      <w:r>
        <w:t xml:space="preserve">- </w:t>
      </w:r>
      <w:r w:rsidR="0024053A" w:rsidRPr="00445472">
        <w:t>Përmbajtja e Ca, Na, K, Mg, Cl, SO</w:t>
      </w:r>
      <w:r w:rsidR="0024053A" w:rsidRPr="00445472">
        <w:rPr>
          <w:vertAlign w:val="subscript"/>
        </w:rPr>
        <w:t>4</w:t>
      </w:r>
      <w:r w:rsidR="0024053A" w:rsidRPr="00445472">
        <w:t xml:space="preserve"> dhe solideve totalisht të tretura janë të gjitha brenda standardeve shqiptare dhe të BE-së.</w:t>
      </w:r>
    </w:p>
    <w:p w14:paraId="2A1DB51B" w14:textId="3F210CB3" w:rsidR="0024053A" w:rsidRPr="00445472" w:rsidRDefault="00F62CCD" w:rsidP="0017518F">
      <w:pPr>
        <w:pStyle w:val="TEKSTIIII"/>
      </w:pPr>
      <w:r>
        <w:t xml:space="preserve">- </w:t>
      </w:r>
      <w:r w:rsidR="0024053A" w:rsidRPr="00445472">
        <w:t>Nivelet e NH</w:t>
      </w:r>
      <w:r w:rsidR="0024053A" w:rsidRPr="00445472">
        <w:rPr>
          <w:vertAlign w:val="subscript"/>
        </w:rPr>
        <w:t>4</w:t>
      </w:r>
      <w:r w:rsidR="0024053A" w:rsidRPr="00445472">
        <w:t>, NO</w:t>
      </w:r>
      <w:r w:rsidR="0024053A" w:rsidRPr="00445472">
        <w:rPr>
          <w:vertAlign w:val="subscript"/>
        </w:rPr>
        <w:t>3</w:t>
      </w:r>
      <w:r w:rsidR="0024053A" w:rsidRPr="00445472">
        <w:t xml:space="preserve"> dhe NO</w:t>
      </w:r>
      <w:r w:rsidR="0024053A" w:rsidRPr="00445472">
        <w:rPr>
          <w:vertAlign w:val="subscript"/>
        </w:rPr>
        <w:t>2</w:t>
      </w:r>
      <w:r w:rsidR="0024053A" w:rsidRPr="00445472">
        <w:t xml:space="preserve"> janë brenda standardeve të kërkuara për ujë të pijshëm.</w:t>
      </w:r>
    </w:p>
    <w:p w14:paraId="50B98EF8" w14:textId="71F104F8" w:rsidR="0024053A" w:rsidRPr="00445472" w:rsidRDefault="00F62CCD" w:rsidP="0017518F">
      <w:pPr>
        <w:pStyle w:val="TEKSTIIII"/>
      </w:pPr>
      <w:r>
        <w:t xml:space="preserve">- </w:t>
      </w:r>
      <w:r w:rsidR="0024053A" w:rsidRPr="00445472">
        <w:t xml:space="preserve">Cilësia e ujit të akuiferit karbonatik është klasifikuar si </w:t>
      </w:r>
      <w:r w:rsidR="00D62EDF" w:rsidRPr="00445472">
        <w:t>“</w:t>
      </w:r>
      <w:r w:rsidR="0024053A" w:rsidRPr="00445472">
        <w:t>shumë e mirë</w:t>
      </w:r>
      <w:r w:rsidR="00D62EDF" w:rsidRPr="00445472">
        <w:t>”</w:t>
      </w:r>
      <w:r w:rsidR="0024053A" w:rsidRPr="00445472">
        <w:t>.</w:t>
      </w:r>
    </w:p>
    <w:p w14:paraId="3C903DC3" w14:textId="22D40474" w:rsidR="0024053A" w:rsidRPr="00445472" w:rsidRDefault="0017518F" w:rsidP="0017518F">
      <w:pPr>
        <w:pStyle w:val="Heading3"/>
        <w:numPr>
          <w:ilvl w:val="0"/>
          <w:numId w:val="0"/>
        </w:numPr>
        <w:spacing w:before="0" w:after="0" w:line="240" w:lineRule="auto"/>
        <w:ind w:left="284"/>
        <w:jc w:val="both"/>
        <w:rPr>
          <w:rFonts w:ascii="Garamond" w:hAnsi="Garamond"/>
          <w:color w:val="auto"/>
          <w:sz w:val="24"/>
          <w:szCs w:val="24"/>
          <w:lang w:val="sq-AL"/>
        </w:rPr>
      </w:pPr>
      <w:bookmarkStart w:id="58" w:name="_Toc11068758"/>
      <w:r w:rsidRPr="00445472">
        <w:rPr>
          <w:rFonts w:ascii="Garamond" w:hAnsi="Garamond"/>
          <w:color w:val="auto"/>
          <w:sz w:val="24"/>
          <w:szCs w:val="24"/>
          <w:lang w:val="sq-AL"/>
        </w:rPr>
        <w:t xml:space="preserve">3.6.3 </w:t>
      </w:r>
      <w:r w:rsidR="0024053A" w:rsidRPr="00445472">
        <w:rPr>
          <w:rFonts w:ascii="Garamond" w:hAnsi="Garamond"/>
          <w:color w:val="auto"/>
          <w:sz w:val="24"/>
          <w:szCs w:val="24"/>
          <w:lang w:val="sq-AL"/>
        </w:rPr>
        <w:t>Akuiferi magmatik</w:t>
      </w:r>
      <w:bookmarkEnd w:id="58"/>
    </w:p>
    <w:p w14:paraId="049E2CD9" w14:textId="77777777" w:rsidR="0024053A" w:rsidRPr="00445472" w:rsidRDefault="0024053A" w:rsidP="0024053A">
      <w:pPr>
        <w:spacing w:after="0" w:line="240" w:lineRule="auto"/>
        <w:ind w:firstLine="284"/>
        <w:jc w:val="both"/>
        <w:rPr>
          <w:rFonts w:ascii="Garamond" w:hAnsi="Garamond"/>
          <w:sz w:val="24"/>
          <w:szCs w:val="24"/>
        </w:rPr>
      </w:pPr>
      <w:r w:rsidRPr="00445472">
        <w:rPr>
          <w:rFonts w:ascii="Garamond" w:hAnsi="Garamond"/>
          <w:sz w:val="24"/>
          <w:szCs w:val="24"/>
        </w:rPr>
        <w:t>Akuiferi magmatik përbëhet nga tri lloje shkëmbinjsh:</w:t>
      </w:r>
    </w:p>
    <w:p w14:paraId="432B2D7D" w14:textId="4658850C" w:rsidR="0024053A" w:rsidRPr="00445472" w:rsidRDefault="00F62CCD" w:rsidP="0017518F">
      <w:pPr>
        <w:pStyle w:val="TEKSTIIII"/>
      </w:pPr>
      <w:r>
        <w:t xml:space="preserve">- </w:t>
      </w:r>
      <w:r w:rsidR="005C6A2C" w:rsidRPr="00445472">
        <w:t>Shkëmbinjtë</w:t>
      </w:r>
      <w:r w:rsidR="0024053A" w:rsidRPr="00445472">
        <w:t xml:space="preserve"> Ultrabazikë të Akuiferit: Këto janë të përhapura </w:t>
      </w:r>
      <w:r w:rsidR="005C6A2C" w:rsidRPr="00445472">
        <w:t>gjerësisht</w:t>
      </w:r>
      <w:r w:rsidR="0024053A" w:rsidRPr="00445472">
        <w:t xml:space="preserve"> në Basenin Ujor </w:t>
      </w:r>
      <w:r w:rsidR="007E76E3" w:rsidRPr="00445472">
        <w:t>Drin–Bunë</w:t>
      </w:r>
      <w:r w:rsidR="0024053A" w:rsidRPr="00445472">
        <w:t>. Këto shkëmbinj përbëhen kryesisht nga hartzburgitët, lerolitë të dunitit dhe serpentina, më pak piroksene. Shpërndarja e burimeve që hasen në këtë kompleks nuk është e ngjashme për çdo masiv ultrabazik, si rezultat i një numri faktorësh që ndikojnë në masivet me kapacitet ujëmbajtës (lartësia e masivit, densiteti i thyerjeve, mbulimi i bores</w:t>
      </w:r>
      <w:r w:rsidR="00084DB9" w:rsidRPr="00445472">
        <w:t xml:space="preserve"> etj.</w:t>
      </w:r>
      <w:r w:rsidR="0024053A" w:rsidRPr="00445472">
        <w:t>). Për këtë kompleks me interes është vetëm masivi i Krrabit ku burimet prodhojnë 5</w:t>
      </w:r>
      <w:r w:rsidR="002E6C44">
        <w:t>–</w:t>
      </w:r>
      <w:r w:rsidR="0024053A" w:rsidRPr="00445472">
        <w:t>25 l/s.</w:t>
      </w:r>
    </w:p>
    <w:p w14:paraId="6A7CF823" w14:textId="1AA0E280" w:rsidR="0024053A" w:rsidRPr="00445472" w:rsidRDefault="00F62CCD" w:rsidP="0017518F">
      <w:pPr>
        <w:pStyle w:val="TEKSTIIII"/>
      </w:pPr>
      <w:r>
        <w:t xml:space="preserve">- </w:t>
      </w:r>
      <w:r w:rsidR="0024053A" w:rsidRPr="00445472">
        <w:t>Akuiferi i shkëmbit me acid të lartë: Këta shkëmbinj kanë përhapje të kufizuar dhe përbëhen nga dioriti i kuarcit, graniti plagios, diorite mikro dhe granitet. Këto gurë shtrihen në formën e masiveve të vegjël. Vetitë hidrogjeologjike të shkëmbinjve të këtij kompleksi nuk janë të mira me një prurje që mund të ndryshojë nga 0.05</w:t>
      </w:r>
      <w:r w:rsidR="002E6C44">
        <w:t>–</w:t>
      </w:r>
      <w:r w:rsidR="0024053A" w:rsidRPr="00445472">
        <w:t>0.3 l/s.</w:t>
      </w:r>
    </w:p>
    <w:p w14:paraId="57484DDA" w14:textId="291E1587" w:rsidR="0024053A" w:rsidRPr="00445472" w:rsidRDefault="00F62CCD" w:rsidP="0017518F">
      <w:pPr>
        <w:pStyle w:val="TEKSTIIII"/>
      </w:pPr>
      <w:r>
        <w:t xml:space="preserve">- </w:t>
      </w:r>
      <w:r w:rsidR="0024053A" w:rsidRPr="00445472">
        <w:t xml:space="preserve">Akuiferi i depozitave </w:t>
      </w:r>
      <w:r w:rsidR="002E6C44" w:rsidRPr="00445472">
        <w:t>permiane dhe triasike të ul</w:t>
      </w:r>
      <w:r w:rsidR="002E6C44">
        <w:t>ë</w:t>
      </w:r>
      <w:r w:rsidR="002E6C44" w:rsidRPr="00445472">
        <w:t>ta - mesatare</w:t>
      </w:r>
      <w:r w:rsidR="0024053A" w:rsidRPr="00445472">
        <w:t xml:space="preserve">: Këto depozita uji shtrihen në të gjithë Basenin Ujor </w:t>
      </w:r>
      <w:r w:rsidR="007E76E3" w:rsidRPr="00445472">
        <w:t>Drin–Bunë</w:t>
      </w:r>
      <w:r w:rsidR="0024053A" w:rsidRPr="00445472">
        <w:t>, si në Alpe dhe zonat tektonike si masivët e Gashit dhe të Korabit. Këto janë depozita me një moshë më të vjetër me një prurje tipike prej 0.1</w:t>
      </w:r>
      <w:r w:rsidR="002E6C44">
        <w:t>–</w:t>
      </w:r>
      <w:r w:rsidR="0024053A" w:rsidRPr="00445472">
        <w:t>5.0 l/s.</w:t>
      </w:r>
    </w:p>
    <w:p w14:paraId="0BDF76B2" w14:textId="748D096F" w:rsidR="0024053A" w:rsidRPr="00445472" w:rsidRDefault="0024053A" w:rsidP="0017518F">
      <w:pPr>
        <w:pStyle w:val="TEKSTIIII"/>
      </w:pPr>
      <w:r w:rsidRPr="00445472">
        <w:t>Për këtë akuifer, e vetmja zonë me interes për shfrytëzimin e ujërave nëntokësore shtrihet në masivin e Krrabit ku ka burime me një shkarkesë prej 5-25 l/s. Ujërat klasifikohen si ujëra të ëmbla me një mineralizim prej 250</w:t>
      </w:r>
      <w:r w:rsidR="005C6A2C" w:rsidRPr="00445472">
        <w:t>–</w:t>
      </w:r>
      <w:r w:rsidRPr="00445472">
        <w:t>350 mg/l.</w:t>
      </w:r>
    </w:p>
    <w:p w14:paraId="6C05E47F" w14:textId="77777777" w:rsidR="008321D4" w:rsidRPr="00445472" w:rsidRDefault="008321D4" w:rsidP="0017518F">
      <w:pPr>
        <w:pStyle w:val="TEKSTIIII"/>
      </w:pPr>
    </w:p>
    <w:p w14:paraId="391BD658" w14:textId="77777777" w:rsidR="008321D4" w:rsidRPr="00445472" w:rsidRDefault="008321D4" w:rsidP="0017518F">
      <w:pPr>
        <w:pStyle w:val="TEKSTIIII"/>
      </w:pPr>
    </w:p>
    <w:p w14:paraId="56670ABA" w14:textId="68DEB747" w:rsidR="003A2356" w:rsidRPr="00445472" w:rsidRDefault="003A2356" w:rsidP="00134AB1">
      <w:pPr>
        <w:pStyle w:val="TEKSTIIII"/>
      </w:pPr>
      <w:r w:rsidRPr="00445472">
        <w:rPr>
          <w:noProof/>
          <w:lang w:val="en-US"/>
        </w:rPr>
        <w:drawing>
          <wp:inline distT="0" distB="0" distL="0" distR="0" wp14:anchorId="7C2456C1" wp14:editId="21A598AC">
            <wp:extent cx="5768340" cy="78486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8340" cy="7848600"/>
                    </a:xfrm>
                    <a:prstGeom prst="rect">
                      <a:avLst/>
                    </a:prstGeom>
                    <a:noFill/>
                  </pic:spPr>
                </pic:pic>
              </a:graphicData>
            </a:graphic>
          </wp:inline>
        </w:drawing>
      </w:r>
    </w:p>
    <w:p w14:paraId="55491E77" w14:textId="1096824A" w:rsidR="003A2356" w:rsidRPr="00445472" w:rsidRDefault="003A2356" w:rsidP="003A2356">
      <w:pPr>
        <w:pStyle w:val="NENTITULL"/>
        <w:jc w:val="center"/>
      </w:pPr>
      <w:r w:rsidRPr="00445472">
        <w:t xml:space="preserve">Figura 3.8: Akuiferët kryesorë të Basenit Ujor </w:t>
      </w:r>
      <w:r w:rsidR="007E76E3" w:rsidRPr="00445472">
        <w:t>Drin–Bunë</w:t>
      </w:r>
    </w:p>
    <w:p w14:paraId="71228E19" w14:textId="77777777" w:rsidR="003A2356" w:rsidRPr="00445472" w:rsidRDefault="003A2356" w:rsidP="00134AB1">
      <w:pPr>
        <w:pStyle w:val="TEKSTIIII"/>
      </w:pPr>
    </w:p>
    <w:p w14:paraId="55B2513D" w14:textId="77777777" w:rsidR="003A2356" w:rsidRPr="00445472" w:rsidRDefault="003A2356" w:rsidP="00134AB1">
      <w:pPr>
        <w:pStyle w:val="TEKSTIIII"/>
      </w:pPr>
    </w:p>
    <w:p w14:paraId="2CBBE75C" w14:textId="02FFD1F6" w:rsidR="0024053A" w:rsidRPr="00445472" w:rsidRDefault="0024053A" w:rsidP="003A2356">
      <w:pPr>
        <w:pStyle w:val="TEKSTIIII"/>
      </w:pPr>
    </w:p>
    <w:p w14:paraId="29C235E1" w14:textId="04274D73" w:rsidR="003A2356" w:rsidRPr="00445472" w:rsidRDefault="003A2356" w:rsidP="003A2356">
      <w:pPr>
        <w:pStyle w:val="NENTITULL"/>
      </w:pPr>
      <w:bookmarkStart w:id="59" w:name="_Toc11068759"/>
      <w:r w:rsidRPr="00445472">
        <w:t xml:space="preserve">4. Presionet dhe </w:t>
      </w:r>
      <w:r w:rsidR="007B56DA" w:rsidRPr="00445472">
        <w:t>ndikimet</w:t>
      </w:r>
      <w:bookmarkEnd w:id="59"/>
    </w:p>
    <w:p w14:paraId="1A99B343" w14:textId="2098844A" w:rsidR="003A2356" w:rsidRPr="00445472" w:rsidRDefault="003A2356" w:rsidP="003A2356">
      <w:pPr>
        <w:pStyle w:val="NENTITULL"/>
      </w:pPr>
      <w:bookmarkStart w:id="60" w:name="_Toc486503391"/>
      <w:bookmarkStart w:id="61" w:name="_Toc11068760"/>
      <w:r w:rsidRPr="00445472">
        <w:t xml:space="preserve">4.1 Burimet e ndotjes së ujit në Basenin Ujor </w:t>
      </w:r>
      <w:bookmarkEnd w:id="60"/>
      <w:r w:rsidR="007E76E3" w:rsidRPr="00445472">
        <w:t>Drin–Bunë</w:t>
      </w:r>
      <w:bookmarkEnd w:id="61"/>
    </w:p>
    <w:p w14:paraId="157EBF80" w14:textId="73B072D6" w:rsidR="003A2356" w:rsidRPr="00445472" w:rsidRDefault="003A2356" w:rsidP="003A2356">
      <w:pPr>
        <w:pStyle w:val="TEKSTIIII"/>
      </w:pPr>
      <w:r w:rsidRPr="00445472">
        <w:t xml:space="preserve">Urbanizimi, zhvillimi industrial, bujqësia, prodhimi i energjisë, prania e </w:t>
      </w:r>
      <w:r w:rsidRPr="00445472">
        <w:rPr>
          <w:i/>
        </w:rPr>
        <w:t>hotspot</w:t>
      </w:r>
      <w:r w:rsidRPr="00445472">
        <w:t>-eve dhe shkarkimi i ujërave të ndotura urbane dhe rurale në të dy</w:t>
      </w:r>
      <w:r w:rsidR="00554D3B">
        <w:t>ja</w:t>
      </w:r>
      <w:r w:rsidRPr="00445472">
        <w:t xml:space="preserve"> anët e Basenit Ujor </w:t>
      </w:r>
      <w:r w:rsidR="007E76E3" w:rsidRPr="00445472">
        <w:t>Drin–Bunë</w:t>
      </w:r>
      <w:r w:rsidRPr="00445472">
        <w:t xml:space="preserve"> në rajonet e Shkodrës, Kukësit dhe Dibrës konsiderohen si burimet kryesore të ndotjes. Ujërat e basenit përdoren për pirje, mbështetjen e aktivitetit industrial, ujitje</w:t>
      </w:r>
      <w:r w:rsidR="008F0A9F" w:rsidRPr="00445472">
        <w:t>, si dhe</w:t>
      </w:r>
      <w:r w:rsidRPr="00445472">
        <w:t xml:space="preserve"> prodhimit të energjisë pa marrë parasysh ndikimin që këto mund të ketë në cilësinë e ujit. Përveç kësaj, zona e pellgut ujëmbledhës është pjesërisht e shpyllëzuar dhe shpesh zonat e mbrojtura janë në përdorim. Për më tepër, Baseni Ujor </w:t>
      </w:r>
      <w:r w:rsidR="007E76E3" w:rsidRPr="00445472">
        <w:t>Drin–Bunë</w:t>
      </w:r>
      <w:r w:rsidRPr="00445472">
        <w:t xml:space="preserve"> dhe degët e tij shfrytëzohen si vendshkarkim për ujërat e ndotur</w:t>
      </w:r>
      <w:r w:rsidR="0086054F" w:rsidRPr="00445472">
        <w:t>a</w:t>
      </w:r>
      <w:r w:rsidRPr="00445472">
        <w:t xml:space="preserve"> urbanë dhe ato industrialë. Rrjedhimisht, Baseni Ujor </w:t>
      </w:r>
      <w:r w:rsidR="007E76E3" w:rsidRPr="00445472">
        <w:t>Drin–Bunë</w:t>
      </w:r>
      <w:r w:rsidRPr="00445472">
        <w:t xml:space="preserve"> përballet me një rritje të ndotjes së ujit dhe humbjen e florës dhe faunës.</w:t>
      </w:r>
    </w:p>
    <w:p w14:paraId="3A8540C8" w14:textId="77777777" w:rsidR="003A2356" w:rsidRPr="00445472" w:rsidRDefault="003A2356" w:rsidP="003A2356">
      <w:pPr>
        <w:pStyle w:val="TEKSTIIII"/>
      </w:pPr>
      <w:r w:rsidRPr="00445472">
        <w:t>Disa burime të ndotjes së ujit dhe presioneve në lumë mbeten konstante nga rajoni në rajon. I tillë është rasti i hedhjes së mbetjeve të ngurta komunale, shkarkimi i ujërave të ndotura dhe hedhja e mbeturinave industriale. Dallimi kryesor midis rajoneve është lloji i industrisë dhe shtrirja e zhvillimit të bujqësisë.</w:t>
      </w:r>
    </w:p>
    <w:p w14:paraId="65831D49" w14:textId="5D27A40F" w:rsidR="003A2356" w:rsidRPr="00445472" w:rsidRDefault="003A2356" w:rsidP="003A2356">
      <w:pPr>
        <w:pStyle w:val="NENTITULL"/>
      </w:pPr>
      <w:bookmarkStart w:id="62" w:name="_Toc11068761"/>
      <w:r w:rsidRPr="00445472">
        <w:t>4.1 Menaxhimi i mbetjeve</w:t>
      </w:r>
      <w:bookmarkEnd w:id="62"/>
    </w:p>
    <w:p w14:paraId="72075920" w14:textId="3190966F" w:rsidR="003A2356" w:rsidRPr="00445472" w:rsidRDefault="003A2356" w:rsidP="003A2356">
      <w:pPr>
        <w:pStyle w:val="TEKSTIIII"/>
      </w:pPr>
      <w:r w:rsidRPr="00445472">
        <w:t>Menaxhimi i mbetjeve të ngurta në të tri rajonet karakterizohet nga mungesa e vendgrumbullimit të mbetjeve në zonat rurale, transporti i papërshtatshëm, mungesa e trajtimit dhe e vend depozitimeve të përshtatshme. Mungesa e zonave të trajtimit dhe grumbullimit të ujërave të ndotur, përbën sfidën kryesore dhe burimin e mundshëm të ndotjes së ujit në rajonin e Shkodrës dhe Kukësit. Të tr</w:t>
      </w:r>
      <w:r w:rsidR="00905530">
        <w:t>ia</w:t>
      </w:r>
      <w:r w:rsidRPr="00445472">
        <w:t xml:space="preserve"> rajonet depozitojnë mbetjet e ngurta të tyre në vendgrumbullimet e improvizuara shpesh pranë shtratit të lumit duke ndotur Basenin Ujor </w:t>
      </w:r>
      <w:r w:rsidR="007E76E3" w:rsidRPr="00445472">
        <w:t>Drin–Bunë</w:t>
      </w:r>
      <w:r w:rsidRPr="00445472">
        <w:t xml:space="preserve"> dhe ujërat e tij. Shkodra është një nga rajonet e pakta që kanë një vendgrumbullim higjieno-sanitar. Megjithatë, Qarku i Shkodrës gjithashtu ka 4 zona të papërshtatshme për vendgrumbullimin e mbetjeve të ngurta (vendshkarkime), ndërsa Kukësi ka 5</w:t>
      </w:r>
      <w:r w:rsidRPr="00445472">
        <w:rPr>
          <w:vertAlign w:val="superscript"/>
        </w:rPr>
        <w:footnoteReference w:id="24"/>
      </w:r>
      <w:r w:rsidRPr="00445472">
        <w:t xml:space="preserve"> dhe Dibra ka 4</w:t>
      </w:r>
      <w:r w:rsidRPr="00445472">
        <w:rPr>
          <w:vertAlign w:val="superscript"/>
        </w:rPr>
        <w:footnoteReference w:id="25"/>
      </w:r>
      <w:r w:rsidRPr="00445472">
        <w:t>. Venddepozitimet e Velipojës në Shkodër ndodhet rreth 670 metra nga lumi Drin, ndërsa Kukësi ka dy venddepozitime në distancë rreth 500m dhe 70m nga Drini i Zi dhe Liqeni i Fierzës respektivisht. Peshkopia gjithashtu ka një venddepozitim afër lumit në një distancë jo më shumë se 220 metra nga Përroi i Llixhave, degë e Drinit të Zi. Në mënyrë të ngjashme, edhe pse ekzistojnë plane paraprake për të ndërtuar impiantet e trajtimit</w:t>
      </w:r>
      <w:r w:rsidR="00905530">
        <w:t xml:space="preserve"> të ujërave të ndotura në të tria</w:t>
      </w:r>
      <w:r w:rsidRPr="00445472">
        <w:t xml:space="preserve"> rajonet, ujërat e ndotura komunale ende derdhen drejtpërdrejt në degët e Basenit Ujor </w:t>
      </w:r>
      <w:r w:rsidR="007E76E3" w:rsidRPr="00445472">
        <w:t>Drin–Bunë</w:t>
      </w:r>
      <w:r w:rsidRPr="00445472">
        <w:t xml:space="preserve"> pa trajtim.</w:t>
      </w:r>
    </w:p>
    <w:p w14:paraId="1EF31823" w14:textId="76E0B8B2" w:rsidR="003A2356" w:rsidRPr="00445472" w:rsidRDefault="003A2356" w:rsidP="003A2356">
      <w:pPr>
        <w:pStyle w:val="TEKSTIIII"/>
      </w:pPr>
      <w:r w:rsidRPr="00445472">
        <w:t>Shqetësimet për ndotjen e lumit nga mbetjet e ngurta vetëm do të rriten në të ardhmen pasi prodhimi i tyre rritet nga viti në vit, megjithëse ka pasur një tendencë për të ndryshuar këtë trend në dy vitet e fundit me një rritje të riciklimit. Në Shkodër shkalla e prodhimit të mbetjeve të ngurta për person është rritur me 70% nga viti 2005 deri në 2014 (respektivisht 0.167 deri 0.237 kg/person/ditë), dhe në Kukës në të njëjtën periudhë kohore me 62% (0.133</w:t>
      </w:r>
      <w:r w:rsidR="002E6C44">
        <w:t>–</w:t>
      </w:r>
      <w:r w:rsidRPr="00445472">
        <w:t>0.214 kg/person/ditë, respektivisht)</w:t>
      </w:r>
      <w:r w:rsidRPr="00445472">
        <w:rPr>
          <w:rStyle w:val="FootnoteReference"/>
          <w:rFonts w:ascii="Garamond" w:hAnsi="Garamond"/>
          <w:color w:val="auto"/>
          <w:szCs w:val="24"/>
        </w:rPr>
        <w:footnoteReference w:id="26"/>
      </w:r>
      <w:r w:rsidRPr="00445472">
        <w:t>. Sasia e rritur e mbetjeve të ngurta të gjeneruara rrit presionin mbi lumenjtë për sa kohë që rajonet nuk kanë impiante të trajtimit të ujërave të ndotura dhe vendgrumbullime higjieno-sanitare për të depozituar mbetjet komunale dhe ato industriale.</w:t>
      </w:r>
    </w:p>
    <w:p w14:paraId="6EF1C5C3" w14:textId="73E7FD76" w:rsidR="003A2356" w:rsidRPr="00445472" w:rsidRDefault="003A2356" w:rsidP="003A2356">
      <w:pPr>
        <w:pStyle w:val="TEKSTIIII"/>
      </w:pPr>
      <w:r w:rsidRPr="00445472">
        <w:t>Së fundi, AMBU</w:t>
      </w:r>
      <w:r w:rsidR="007B56DA" w:rsidRPr="00445472">
        <w:t>-ja</w:t>
      </w:r>
      <w:r w:rsidRPr="00445472">
        <w:t xml:space="preserve"> në bashkëpunim me ASIG, ka përfshirë informacione për depozitimin e mbetjeve të ngurta urbane në Geoportalin e Autoritetit Shtetëror për Informata Gjeohapësinore, të cilat mund të shihen në: http://geoportal.asig.gov.al</w:t>
      </w:r>
      <w:r w:rsidR="007B56DA" w:rsidRPr="00445472">
        <w:t>.</w:t>
      </w:r>
    </w:p>
    <w:p w14:paraId="4C3CBBE1" w14:textId="5082B369" w:rsidR="003A2356" w:rsidRPr="00445472" w:rsidRDefault="003A2356" w:rsidP="003A2356">
      <w:pPr>
        <w:pStyle w:val="NENTITULL"/>
      </w:pPr>
      <w:bookmarkStart w:id="63" w:name="_Toc11068762"/>
      <w:r w:rsidRPr="00445472">
        <w:t>4.1.2 Aktiviteti industrial</w:t>
      </w:r>
      <w:bookmarkEnd w:id="63"/>
    </w:p>
    <w:p w14:paraId="51009242" w14:textId="25C69DA3" w:rsidR="003A2356" w:rsidRPr="00445472" w:rsidRDefault="003A2356" w:rsidP="003A2356">
      <w:pPr>
        <w:pStyle w:val="TEKSTIIII"/>
      </w:pPr>
      <w:r w:rsidRPr="00445472">
        <w:t xml:space="preserve">Industria gjithashtu ushtron një presion të vazhdueshëm në burimet e Basenit Ujor </w:t>
      </w:r>
      <w:r w:rsidR="007E76E3" w:rsidRPr="00445472">
        <w:t>Drin–Bunë</w:t>
      </w:r>
      <w:r w:rsidRPr="00445472">
        <w:t>. Tr</w:t>
      </w:r>
      <w:r w:rsidR="00C73272" w:rsidRPr="00445472">
        <w:t>i</w:t>
      </w:r>
      <w:r w:rsidRPr="00445472">
        <w:t xml:space="preserve"> rajonet trashëgojnë ndotje industriale nga e kaluara dhe hasin shqetësime serioze në lidhje me ndotjen industriale të së tashmes edhe pse lloji i industrisë ndryshon nga rajoni në rajon.</w:t>
      </w:r>
    </w:p>
    <w:p w14:paraId="1DF7E0EB" w14:textId="77777777" w:rsidR="003A2356" w:rsidRPr="00445472" w:rsidRDefault="003A2356" w:rsidP="003A2356">
      <w:pPr>
        <w:pStyle w:val="TEKSTIIII"/>
      </w:pPr>
      <w:r w:rsidRPr="00445472">
        <w:t>Në të kaluarën, industria e zhvilluar në rajonin e Shkodrës varionte nga industria e ndërtimit në atë kimike dhe mekanike. Në Kukës dhe Dibër, minierat kanë qenë sektori kryesor i ekonomisë në zonë gjatë 50 viteve të fundit. Rajoni i Kukësit dhe Dibrës është i pasur me krom, bakër, hekur, nikel, silikat, mineral alumini (boksit), linjit, platinium, uranium, asbest, kuarc, qymyr dhe argjila që janë shfrytëzuar vazhdimisht</w:t>
      </w:r>
      <w:r w:rsidRPr="00445472">
        <w:rPr>
          <w:rStyle w:val="FootnoteReference"/>
          <w:rFonts w:ascii="Garamond" w:hAnsi="Garamond"/>
          <w:color w:val="auto"/>
          <w:szCs w:val="24"/>
        </w:rPr>
        <w:footnoteReference w:id="27"/>
      </w:r>
      <w:r w:rsidRPr="00445472">
        <w:t>.</w:t>
      </w:r>
    </w:p>
    <w:p w14:paraId="497C6346" w14:textId="64DA6701" w:rsidR="003A2356" w:rsidRPr="00445472" w:rsidRDefault="003A2356" w:rsidP="003A2356">
      <w:pPr>
        <w:pStyle w:val="TEKSTIIII"/>
      </w:pPr>
      <w:r w:rsidRPr="00445472">
        <w:t xml:space="preserve">Në të kaluarën, ekonomia e rajonit të Kukësit u ndërtua kryesisht në minierat e hekur-nikelit, kromit dhe bakrit. Përveç përfitimeve ekonomike të këtij sektori për popullatën, minierat kanë ndikuar gjithashtu në cilësinë e ujit të Basenit Ujor </w:t>
      </w:r>
      <w:r w:rsidR="007E76E3" w:rsidRPr="00445472">
        <w:t>Drin–Bunë</w:t>
      </w:r>
      <w:r w:rsidRPr="00445472">
        <w:t xml:space="preserve"> kryesisht përmes kullimit të ujit acid dhe mbetjeve</w:t>
      </w:r>
      <w:r w:rsidRPr="00445472">
        <w:rPr>
          <w:rStyle w:val="FootnoteReference"/>
          <w:rFonts w:ascii="Garamond" w:hAnsi="Garamond"/>
          <w:color w:val="auto"/>
          <w:szCs w:val="24"/>
        </w:rPr>
        <w:footnoteReference w:id="28"/>
      </w:r>
      <w:r w:rsidRPr="00445472">
        <w:t>. Uzinat kryesore që kanë shkaktuar probleme mjedisore janë minierat e kromit dhe guroret (në Çabrat, Rrogam 1, 2, 3, Çorraj, Lajthizë, Kam, Kepenek, Zogaj 1, 2, 3, Skatinë, Shpati i Vishës, Vlah, Pëlajlaj, Qafë</w:t>
      </w:r>
      <w:r w:rsidR="00E14B89">
        <w:t>p</w:t>
      </w:r>
      <w:r w:rsidRPr="00445472">
        <w:t>rushi, Prroi i Batrës, Kalimash 1, 2, 3) dhe minierat e bakrit (në Gjegjan, Gdheshtë, Shëmri</w:t>
      </w:r>
      <w:r w:rsidR="001D340B" w:rsidRPr="00445472">
        <w:t>/</w:t>
      </w:r>
      <w:r w:rsidRPr="00445472">
        <w:t>Leproi, Golaj, Nikoliq, Krumë</w:t>
      </w:r>
      <w:r w:rsidR="001D340B" w:rsidRPr="00445472">
        <w:t>/</w:t>
      </w:r>
      <w:r w:rsidRPr="00445472">
        <w:t>Kullaj, Goskolli)</w:t>
      </w:r>
      <w:r w:rsidRPr="00445472">
        <w:rPr>
          <w:rStyle w:val="FootnoteReference"/>
          <w:rFonts w:ascii="Garamond" w:hAnsi="Garamond"/>
          <w:color w:val="auto"/>
          <w:szCs w:val="24"/>
        </w:rPr>
        <w:footnoteReference w:id="29"/>
      </w:r>
      <w:r w:rsidRPr="00445472">
        <w:t>. Studimet kanë treguar se minierat e bakrit vazhdimisht shkarkojnë ujërat e ndotura acide në burime apo lumenj, të cilat përfundojnë në liqenin e Fierzës. Për shkak të aktivitetit të kaluar të minierave, rajoni i Kukësit ka trashëguar dy ish-hotspote të lidhura me minierat, minierën në Gjegjan dhe fabrikën e shkrirjes së bakrit në Rexhepaj. Hotspotet kanë venddepozitime që ende ruajnë sasi të mëdha të mbetjeve minerare. Ish-minierat e bakrit në Gjegjan dhe uzina e shkrirjes së bakrit në Rexhepaj ende përbëjnë kërcënime serioze për mjedisin, megjithëse aktivitetet nuk janë aktive sot. Fabrika e shkrirjes së bakrit në Rexhepaj ndodhet vetëm 300 metra nga lumi Luma. Shpesh, mbetjet përfundojnë në lumin Luma, i cili i transporton drejtpërdrejt në Liqenin e Fierzës, vetëm 1 km larg nga ish-uzina. Përveç zonave hotspote, rajoni ka gjithashtu një venddepozitim në ish-Uzinën e Pasurimit të Kromit në Kalimash, e cila nuk është klasifikuar si hotspot. Në Dibër, pjesa më e madhe e aktivitetit minerar ka qenë e përqëndruar në nxjerrjen e kromit në Bulqizë, Bater, Theknë, Ternovë, dhe Cërujë, dhe Shkallë dhe të mermerit në fshatin Muhurr.</w:t>
      </w:r>
    </w:p>
    <w:p w14:paraId="43F94E58" w14:textId="77777777" w:rsidR="003A2356" w:rsidRPr="00445472" w:rsidRDefault="003A2356" w:rsidP="003A2356">
      <w:pPr>
        <w:pStyle w:val="TEKSTIIII"/>
      </w:pPr>
      <w:r w:rsidRPr="00445472">
        <w:t>Minierat janë ende sektori kryesor ekonomik në rajonet e Kukësit dhe Dibrës, të fokusuar në minierat e anhidridit (sulfat anhidrik kalciumi, CaSO4) në anën e djathtë të Drinit të Zi në rajonin e Dibrës dhe në minierat hekur-nikel, krom dhe bakër rreth liqenit të Fierzës në Rajonin e Kukësit. Deri në vitin 2014, në rajonin e Kukësit kishte rreth 80 operatorë që kishin marrë leje minerare (35 në Tropojë, 30 në Kukës dhe 15 në Has)</w:t>
      </w:r>
      <w:r w:rsidRPr="00445472">
        <w:rPr>
          <w:rStyle w:val="FootnoteReference"/>
          <w:rFonts w:ascii="Garamond" w:hAnsi="Garamond"/>
          <w:color w:val="auto"/>
          <w:szCs w:val="24"/>
        </w:rPr>
        <w:footnoteReference w:id="30"/>
      </w:r>
      <w:r w:rsidRPr="00445472">
        <w:t>.</w:t>
      </w:r>
    </w:p>
    <w:p w14:paraId="4E3F5E9C" w14:textId="3AA9E9EC" w:rsidR="003A2356" w:rsidRPr="00445472" w:rsidRDefault="003A2356" w:rsidP="003A2356">
      <w:pPr>
        <w:pStyle w:val="TEKSTIIII"/>
      </w:pPr>
      <w:r w:rsidRPr="00445472">
        <w:t xml:space="preserve">Një përzgjedhje e hartave është dhënë në figurat 4.1 deri 4.4 për të treguar aktivitetet aktuale të minierave dhe venddepozitimet në Basenin Ujor </w:t>
      </w:r>
      <w:r w:rsidR="007E76E3" w:rsidRPr="00445472">
        <w:t>Drin–Bunë</w:t>
      </w:r>
      <w:r w:rsidRPr="00445472">
        <w:rPr>
          <w:rStyle w:val="FootnoteReference"/>
          <w:rFonts w:ascii="Garamond" w:hAnsi="Garamond"/>
          <w:color w:val="auto"/>
          <w:szCs w:val="24"/>
        </w:rPr>
        <w:footnoteReference w:id="31"/>
      </w:r>
      <w:r w:rsidRPr="00445472">
        <w:t>.</w:t>
      </w:r>
    </w:p>
    <w:p w14:paraId="432A12DB" w14:textId="77777777" w:rsidR="003A2356" w:rsidRPr="00445472" w:rsidRDefault="003A2356" w:rsidP="00134AB1">
      <w:pPr>
        <w:pStyle w:val="TEKSTIIII"/>
      </w:pPr>
    </w:p>
    <w:p w14:paraId="2CAB5945" w14:textId="1C0CAB74" w:rsidR="005F2369" w:rsidRPr="00445472" w:rsidRDefault="00622E06" w:rsidP="00622E06">
      <w:pPr>
        <w:pStyle w:val="TEKSTIIII"/>
        <w:ind w:firstLine="0"/>
        <w:jc w:val="center"/>
      </w:pPr>
      <w:r w:rsidRPr="00445472">
        <w:rPr>
          <w:noProof/>
          <w:lang w:val="en-US"/>
        </w:rPr>
        <w:drawing>
          <wp:inline distT="0" distB="0" distL="0" distR="0" wp14:anchorId="01E87D10" wp14:editId="51BDECBD">
            <wp:extent cx="5605670" cy="25733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08695" cy="2574711"/>
                    </a:xfrm>
                    <a:prstGeom prst="rect">
                      <a:avLst/>
                    </a:prstGeom>
                    <a:noFill/>
                  </pic:spPr>
                </pic:pic>
              </a:graphicData>
            </a:graphic>
          </wp:inline>
        </w:drawing>
      </w:r>
    </w:p>
    <w:p w14:paraId="64784CBB" w14:textId="77777777" w:rsidR="00622E06" w:rsidRPr="00445472" w:rsidRDefault="00622E06" w:rsidP="00134AB1">
      <w:pPr>
        <w:pStyle w:val="TEKSTIIII"/>
      </w:pPr>
    </w:p>
    <w:p w14:paraId="47150C99" w14:textId="75E1295D" w:rsidR="00622E06" w:rsidRPr="00445472" w:rsidRDefault="00622E06" w:rsidP="00622E06">
      <w:pPr>
        <w:pStyle w:val="NENTITULL"/>
        <w:jc w:val="center"/>
      </w:pPr>
      <w:r w:rsidRPr="00445472">
        <w:t xml:space="preserve">Figura 4.1: Vendndodhja e aktiviteteve aktuale minerare në rajonet e Shkodrës dhe </w:t>
      </w:r>
      <w:r w:rsidR="00C73272" w:rsidRPr="00445472">
        <w:t xml:space="preserve">të </w:t>
      </w:r>
      <w:r w:rsidRPr="00445472">
        <w:t>Kukësit</w:t>
      </w:r>
    </w:p>
    <w:p w14:paraId="76249805" w14:textId="77777777" w:rsidR="00622E06" w:rsidRPr="00445472" w:rsidRDefault="00622E06" w:rsidP="00134AB1">
      <w:pPr>
        <w:pStyle w:val="TEKSTIIII"/>
      </w:pPr>
    </w:p>
    <w:p w14:paraId="74E8DBD8" w14:textId="28FC199E" w:rsidR="00622E06" w:rsidRPr="00445472" w:rsidRDefault="00622E06" w:rsidP="00134AB1">
      <w:pPr>
        <w:pStyle w:val="TEKSTIIII"/>
      </w:pPr>
      <w:r w:rsidRPr="00445472">
        <w:rPr>
          <w:noProof/>
          <w:lang w:val="en-US"/>
        </w:rPr>
        <w:drawing>
          <wp:inline distT="0" distB="0" distL="0" distR="0" wp14:anchorId="319344E5" wp14:editId="6D99C430">
            <wp:extent cx="5446644" cy="3281353"/>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6934" cy="3281528"/>
                    </a:xfrm>
                    <a:prstGeom prst="rect">
                      <a:avLst/>
                    </a:prstGeom>
                    <a:noFill/>
                  </pic:spPr>
                </pic:pic>
              </a:graphicData>
            </a:graphic>
          </wp:inline>
        </w:drawing>
      </w:r>
    </w:p>
    <w:p w14:paraId="2446DA31" w14:textId="77777777" w:rsidR="00622E06" w:rsidRPr="00445472" w:rsidRDefault="00622E06" w:rsidP="00134AB1">
      <w:pPr>
        <w:pStyle w:val="TEKSTIIII"/>
      </w:pPr>
    </w:p>
    <w:p w14:paraId="50E4FDC7" w14:textId="77777777" w:rsidR="00622E06" w:rsidRPr="00445472" w:rsidRDefault="00622E06" w:rsidP="00622E06">
      <w:pPr>
        <w:pStyle w:val="NENTITULL"/>
        <w:jc w:val="center"/>
      </w:pPr>
      <w:r w:rsidRPr="00445472">
        <w:t>Figura 4.2: Vendndodhja e aktiviteteve aktuale minerare në rajonin e Dibrës</w:t>
      </w:r>
    </w:p>
    <w:p w14:paraId="63E63FFF" w14:textId="77777777" w:rsidR="00622E06" w:rsidRPr="00445472" w:rsidRDefault="00622E06" w:rsidP="00134AB1">
      <w:pPr>
        <w:pStyle w:val="TEKSTIIII"/>
      </w:pPr>
    </w:p>
    <w:p w14:paraId="13320F0D" w14:textId="77777777" w:rsidR="00622E06" w:rsidRPr="00445472" w:rsidRDefault="00622E06" w:rsidP="00134AB1">
      <w:pPr>
        <w:pStyle w:val="TEKSTIIII"/>
      </w:pPr>
    </w:p>
    <w:p w14:paraId="02783168" w14:textId="18E0BE90" w:rsidR="00622E06" w:rsidRPr="00445472" w:rsidRDefault="00751889" w:rsidP="00134AB1">
      <w:pPr>
        <w:pStyle w:val="TEKSTIIII"/>
      </w:pPr>
      <w:r w:rsidRPr="00445472">
        <w:rPr>
          <w:noProof/>
          <w:lang w:val="en-US"/>
        </w:rPr>
        <w:drawing>
          <wp:inline distT="0" distB="0" distL="0" distR="0" wp14:anchorId="4763B84F" wp14:editId="4FED0E09">
            <wp:extent cx="5383033" cy="2411435"/>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87678" cy="2413516"/>
                    </a:xfrm>
                    <a:prstGeom prst="rect">
                      <a:avLst/>
                    </a:prstGeom>
                    <a:noFill/>
                  </pic:spPr>
                </pic:pic>
              </a:graphicData>
            </a:graphic>
          </wp:inline>
        </w:drawing>
      </w:r>
    </w:p>
    <w:p w14:paraId="580C016D" w14:textId="77777777" w:rsidR="00622E06" w:rsidRPr="00445472" w:rsidRDefault="00622E06" w:rsidP="00134AB1">
      <w:pPr>
        <w:pStyle w:val="TEKSTIIII"/>
      </w:pPr>
    </w:p>
    <w:p w14:paraId="7A58EDCF" w14:textId="1CAF76EE" w:rsidR="00751889" w:rsidRPr="00445472" w:rsidRDefault="00751889" w:rsidP="00751889">
      <w:pPr>
        <w:pStyle w:val="NENTITULL"/>
        <w:jc w:val="center"/>
      </w:pPr>
      <w:r w:rsidRPr="00445472">
        <w:t xml:space="preserve">Figura 4.3: Treguesit në hartë tregojnë depozitat; zonat e kuqe dhe portokalli </w:t>
      </w:r>
      <w:r w:rsidR="00806F1C" w:rsidRPr="00445472">
        <w:t>u</w:t>
      </w:r>
      <w:r w:rsidRPr="00445472">
        <w:t xml:space="preserve"> referohen zonave të rrezikshme minerare</w:t>
      </w:r>
    </w:p>
    <w:p w14:paraId="705F8D5D" w14:textId="77777777" w:rsidR="00F31D3A" w:rsidRPr="00445472" w:rsidRDefault="00F31D3A" w:rsidP="00751889">
      <w:pPr>
        <w:pStyle w:val="NENTITULL"/>
        <w:jc w:val="center"/>
      </w:pPr>
    </w:p>
    <w:p w14:paraId="1CBF1DD3" w14:textId="0AB67687" w:rsidR="00F31D3A" w:rsidRPr="00445472" w:rsidRDefault="00F31D3A" w:rsidP="00751889">
      <w:pPr>
        <w:pStyle w:val="NENTITULL"/>
        <w:jc w:val="center"/>
      </w:pPr>
      <w:r w:rsidRPr="00445472">
        <w:rPr>
          <w:noProof/>
          <w:lang w:val="en-US"/>
        </w:rPr>
        <w:drawing>
          <wp:inline distT="0" distB="0" distL="0" distR="0" wp14:anchorId="5FFBA28D" wp14:editId="70C580CE">
            <wp:extent cx="5422790" cy="3171303"/>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23386" cy="3171652"/>
                    </a:xfrm>
                    <a:prstGeom prst="rect">
                      <a:avLst/>
                    </a:prstGeom>
                    <a:noFill/>
                  </pic:spPr>
                </pic:pic>
              </a:graphicData>
            </a:graphic>
          </wp:inline>
        </w:drawing>
      </w:r>
    </w:p>
    <w:p w14:paraId="6703C929" w14:textId="77777777" w:rsidR="00F31D3A" w:rsidRPr="00445472" w:rsidRDefault="00F31D3A" w:rsidP="00751889">
      <w:pPr>
        <w:pStyle w:val="NENTITULL"/>
        <w:jc w:val="center"/>
      </w:pPr>
    </w:p>
    <w:p w14:paraId="6CDB1303" w14:textId="77777777" w:rsidR="00F31D3A" w:rsidRPr="00445472" w:rsidRDefault="00F31D3A" w:rsidP="00F31D3A">
      <w:pPr>
        <w:pStyle w:val="NENTITULL"/>
        <w:jc w:val="center"/>
      </w:pPr>
      <w:r w:rsidRPr="00445472">
        <w:t>Figura 4.4: Venddepozitimet dhe zonat e rrezikshme minerare pranë Drinit të Zi</w:t>
      </w:r>
    </w:p>
    <w:p w14:paraId="174929F3" w14:textId="77777777" w:rsidR="00F31D3A" w:rsidRPr="00445472" w:rsidRDefault="00F31D3A" w:rsidP="00751889">
      <w:pPr>
        <w:pStyle w:val="NENTITULL"/>
        <w:jc w:val="center"/>
      </w:pPr>
    </w:p>
    <w:p w14:paraId="46E79C7B" w14:textId="77777777" w:rsidR="009F0DBF" w:rsidRPr="00445472" w:rsidRDefault="009F0DBF" w:rsidP="00751889">
      <w:pPr>
        <w:pStyle w:val="NENTITULL"/>
        <w:jc w:val="center"/>
      </w:pPr>
    </w:p>
    <w:p w14:paraId="50F00C3D" w14:textId="48FD0AA2" w:rsidR="005D784C" w:rsidRPr="00445472" w:rsidRDefault="005D784C" w:rsidP="005D784C">
      <w:pPr>
        <w:pStyle w:val="NENTITULL"/>
      </w:pPr>
      <w:bookmarkStart w:id="64" w:name="_Toc11068763"/>
      <w:r w:rsidRPr="00445472">
        <w:t>4.1.3 Erozioni</w:t>
      </w:r>
      <w:bookmarkEnd w:id="64"/>
    </w:p>
    <w:p w14:paraId="241256A1" w14:textId="169E408E" w:rsidR="005D784C" w:rsidRPr="00445472" w:rsidRDefault="005D784C" w:rsidP="005D784C">
      <w:pPr>
        <w:pStyle w:val="TEKSTIIII"/>
      </w:pPr>
      <w:r w:rsidRPr="00445472">
        <w:t xml:space="preserve">Shfrytëzimi i inerteve të Basenit Ujor </w:t>
      </w:r>
      <w:r w:rsidR="007E76E3" w:rsidRPr="00445472">
        <w:t>Drin–Bunë</w:t>
      </w:r>
      <w:r w:rsidRPr="00445472">
        <w:t xml:space="preserve"> është gjithashtu një aktivitet që ka dëmtuar seriozisht degët e lumenjve gjatë 25 viteve të fundit. Si pasojë, degët e Drinit-Bunës pësojnë erozion të rëndë vertikal në kanalin Drin</w:t>
      </w:r>
      <w:r w:rsidR="00806F1C" w:rsidRPr="00445472">
        <w:t>–</w:t>
      </w:r>
      <w:r w:rsidRPr="00445472">
        <w:t>Gjadër</w:t>
      </w:r>
      <w:r w:rsidR="00806F1C" w:rsidRPr="00445472">
        <w:t>–</w:t>
      </w:r>
      <w:r w:rsidRPr="00445472">
        <w:t>Kir në Mali i Rrëzuem (&gt; 50 cm thellësi), Beltoje (&gt; 50 cm) dhe Zalli i Kirit (&gt; 15 cm). Në lumin Drini i Zi erozioni ka ndikuar kryesisht në seksionin Ura e Muhurit (&gt; 50cm)</w:t>
      </w:r>
      <w:r w:rsidRPr="00445472">
        <w:rPr>
          <w:vertAlign w:val="superscript"/>
        </w:rPr>
        <w:footnoteReference w:id="32"/>
      </w:r>
      <w:r w:rsidRPr="00445472">
        <w:t>.</w:t>
      </w:r>
    </w:p>
    <w:p w14:paraId="6E92297D" w14:textId="7004574F" w:rsidR="005D784C" w:rsidRPr="00445472" w:rsidRDefault="00040423" w:rsidP="00040423">
      <w:pPr>
        <w:pStyle w:val="NENTITULL"/>
      </w:pPr>
      <w:bookmarkStart w:id="65" w:name="_Toc11068764"/>
      <w:r w:rsidRPr="00445472">
        <w:t xml:space="preserve">4.1.4 </w:t>
      </w:r>
      <w:r w:rsidR="005D784C" w:rsidRPr="00445472">
        <w:t>Hidrocentralet</w:t>
      </w:r>
      <w:bookmarkEnd w:id="65"/>
    </w:p>
    <w:p w14:paraId="784E99CA" w14:textId="50BC76AE" w:rsidR="005D784C" w:rsidRPr="00445472" w:rsidRDefault="005D784C" w:rsidP="005D784C">
      <w:pPr>
        <w:pStyle w:val="TEKSTIIII"/>
      </w:pPr>
      <w:r w:rsidRPr="00445472">
        <w:t xml:space="preserve">Shqetësim serioz për cilësinë e ujit të Basenit Ujor </w:t>
      </w:r>
      <w:r w:rsidR="007E76E3" w:rsidRPr="00445472">
        <w:t>Drin–Bunë</w:t>
      </w:r>
      <w:r w:rsidRPr="00445472">
        <w:t xml:space="preserve"> lidhet gjithashtu edhe me hidrocentralet, edhe pse pjesa më e madhe e lumit Drin është përdorur për prodhimin e energjisë për më shumë se 40 vjet. Megjithatë, ka pasur një rritje të konsiderueshme të numrit të hidrocentraleve të vogla koncesionare (SHPP) që janë ndërtuar ose që janë planifikuar në Basenin Ujor </w:t>
      </w:r>
      <w:r w:rsidR="007E76E3" w:rsidRPr="00445472">
        <w:t>Drin–Bunë</w:t>
      </w:r>
      <w:r w:rsidRPr="00445472">
        <w:t xml:space="preserve">. Në nivel kombëtar, prej vitit 2008 janë dhënë 197 kontrata koncesioni për ndërtimin e 555 HEC-ve të vogla, nga të cilat 180 kontrata </w:t>
      </w:r>
      <w:r w:rsidR="008E44B6" w:rsidRPr="00445472">
        <w:t>koncesioni</w:t>
      </w:r>
      <w:r w:rsidRPr="00445472">
        <w:t xml:space="preserve"> janë aktive dhe ministria përfundoi 17 kontrata. Për 180 kontratat e koncesionit t</w:t>
      </w:r>
      <w:r w:rsidRPr="00445472">
        <w:rPr>
          <w:rFonts w:cs="Arial"/>
          <w:szCs w:val="18"/>
        </w:rPr>
        <w:t>ë cilat</w:t>
      </w:r>
      <w:r w:rsidRPr="00445472">
        <w:t xml:space="preserve"> janë aktive, është parashikuar ndërtimi i 486 HEC-ve. Gjithashtu, në përputhje me implementimin e VKM-së nr. 822, ka akoma 119 HEC-e të cilat nuk janë subjekt koncesioni</w:t>
      </w:r>
      <w:r w:rsidRPr="00445472">
        <w:rPr>
          <w:vertAlign w:val="superscript"/>
        </w:rPr>
        <w:footnoteReference w:id="33"/>
      </w:r>
      <w:r w:rsidRPr="00445472">
        <w:t xml:space="preserve">.Për sa i përket Basenit Ujor </w:t>
      </w:r>
      <w:r w:rsidR="007E76E3" w:rsidRPr="00445472">
        <w:t>Drin–Bunë</w:t>
      </w:r>
      <w:r w:rsidRPr="00445472">
        <w:t>, sipas AKBN-së, në përfundim të tremujorit të parë të vitit 2018 ka 47 kontrata koncesionare për ndërtimin e 121 hidrocentraleve të vegjël (SHPP) me një kapacitet të përllogaritur prej 650 MW dhe gjithashtu  26 HEC-e të vegjël që nuk janë subjekt koncesioni. 29 HEC-e të vegjël janë tashmë në funksionim.</w:t>
      </w:r>
    </w:p>
    <w:p w14:paraId="7A6EE479" w14:textId="5E424829" w:rsidR="005D784C" w:rsidRPr="00445472" w:rsidRDefault="005D784C" w:rsidP="005D784C">
      <w:pPr>
        <w:pStyle w:val="TEKSTIIII"/>
      </w:pPr>
      <w:r w:rsidRPr="00445472">
        <w:t xml:space="preserve">Studime mbi ndikimin që SHPP-të kanë në cilësinë e ujit të Basenit Ujor </w:t>
      </w:r>
      <w:r w:rsidR="007E76E3" w:rsidRPr="00445472">
        <w:t>Drin–Bunë</w:t>
      </w:r>
      <w:r w:rsidRPr="00445472">
        <w:t xml:space="preserve"> dhe jetën ujore janë ndërmarrë, aty ku është kërkuar ligjërisht. Megjithatë, mbeten ende shumë pyetje të hapura, në lidhje me vendndodhjen e SHPP-ve edhe ndikimin e tyre në Basenin Ujor për sa </w:t>
      </w:r>
      <w:r w:rsidR="00911750">
        <w:t>u</w:t>
      </w:r>
      <w:r w:rsidRPr="00445472">
        <w:t xml:space="preserve"> përket çështjeve mjedisore dhe sociale, të cilat përfshijnë: </w:t>
      </w:r>
    </w:p>
    <w:p w14:paraId="0B3FED2C" w14:textId="0E270387" w:rsidR="005D784C" w:rsidRPr="00445472" w:rsidRDefault="00C54AD8" w:rsidP="005D784C">
      <w:pPr>
        <w:pStyle w:val="TEKSTIIII"/>
      </w:pPr>
      <w:r>
        <w:t xml:space="preserve">- </w:t>
      </w:r>
      <w:r w:rsidR="005D784C" w:rsidRPr="00445472">
        <w:t>Caktimin e vendeve, brenda ose në kufij të Zonave të Mbrojtura apo ndërtimi duke respektuar tiparet arkitektonike dhe mjedisore;</w:t>
      </w:r>
    </w:p>
    <w:p w14:paraId="2E7A6429" w14:textId="3B59B3FA" w:rsidR="005D784C" w:rsidRPr="00445472" w:rsidRDefault="00C54AD8" w:rsidP="005D784C">
      <w:pPr>
        <w:pStyle w:val="TEKSTIIII"/>
      </w:pPr>
      <w:r>
        <w:t xml:space="preserve">- </w:t>
      </w:r>
      <w:r w:rsidR="005D784C" w:rsidRPr="00445472">
        <w:t>Rrjedhë e pamjaftueshme e shtratit të lumit, p</w:t>
      </w:r>
      <w:r w:rsidR="008E44B6" w:rsidRPr="00445472">
        <w:t>.</w:t>
      </w:r>
      <w:r w:rsidR="005D784C" w:rsidRPr="00445472">
        <w:t>sh.</w:t>
      </w:r>
      <w:r w:rsidR="008E44B6" w:rsidRPr="00445472">
        <w:t>,</w:t>
      </w:r>
      <w:r w:rsidR="005D784C" w:rsidRPr="00445472">
        <w:t xml:space="preserve"> potencial për të prishur standardet e rrjedhës ekologjike;</w:t>
      </w:r>
    </w:p>
    <w:p w14:paraId="2861550F" w14:textId="571AB367" w:rsidR="005D784C" w:rsidRPr="00445472" w:rsidRDefault="00C54AD8" w:rsidP="005D784C">
      <w:pPr>
        <w:pStyle w:val="TEKSTIIII"/>
      </w:pPr>
      <w:r>
        <w:t xml:space="preserve">- </w:t>
      </w:r>
      <w:r w:rsidR="005D784C" w:rsidRPr="00445472">
        <w:t>Cilësia e raporteve të impaktit mjedisor, të cilat përfshijnë mungesën e rishikimit të pavarur dhe disponueshmërinë e raporteve;</w:t>
      </w:r>
    </w:p>
    <w:p w14:paraId="3908E3F6" w14:textId="7B5A5987" w:rsidR="005D784C" w:rsidRPr="00445472" w:rsidRDefault="00C54AD8" w:rsidP="005D784C">
      <w:pPr>
        <w:pStyle w:val="TEKSTIIII"/>
      </w:pPr>
      <w:r>
        <w:t xml:space="preserve">- </w:t>
      </w:r>
      <w:r w:rsidR="005D784C" w:rsidRPr="00445472">
        <w:t>Nevoja për vlerësime mjedisore dhe sociale nën marrëveshje huazimi specifike;</w:t>
      </w:r>
    </w:p>
    <w:p w14:paraId="251E2119" w14:textId="54299CD5" w:rsidR="005D784C" w:rsidRPr="00445472" w:rsidRDefault="00C54AD8" w:rsidP="005D784C">
      <w:pPr>
        <w:pStyle w:val="TEKSTIIII"/>
      </w:pPr>
      <w:r>
        <w:t xml:space="preserve">- </w:t>
      </w:r>
      <w:r w:rsidR="008E44B6" w:rsidRPr="00445472">
        <w:t>Kompensimi</w:t>
      </w:r>
      <w:r w:rsidR="005D784C" w:rsidRPr="00445472">
        <w:t xml:space="preserve"> i pronarëve të tokës dhe komuniteteve lokale të cilat preken nga mungesa e ujit apo nga përmbytjet.</w:t>
      </w:r>
    </w:p>
    <w:p w14:paraId="630C929F" w14:textId="457141BB" w:rsidR="005D784C" w:rsidRPr="00445472" w:rsidRDefault="005D784C" w:rsidP="005D784C">
      <w:pPr>
        <w:pStyle w:val="TEKSTIIII"/>
      </w:pPr>
      <w:r w:rsidRPr="00445472">
        <w:t>Veçanërisht në lidhje me ndikimin e mundshëm që SHPP-të kanë në erozionin</w:t>
      </w:r>
      <w:r w:rsidRPr="00445472">
        <w:rPr>
          <w:vertAlign w:val="superscript"/>
        </w:rPr>
        <w:footnoteReference w:id="34"/>
      </w:r>
      <w:r w:rsidRPr="00445472">
        <w:t xml:space="preserve"> e detit, d</w:t>
      </w:r>
      <w:r w:rsidR="008E44B6" w:rsidRPr="00445472">
        <w:t>.</w:t>
      </w:r>
      <w:r w:rsidRPr="00445472">
        <w:t>m</w:t>
      </w:r>
      <w:r w:rsidR="008E44B6" w:rsidRPr="00445472">
        <w:t>.</w:t>
      </w:r>
      <w:r w:rsidRPr="00445472">
        <w:t>th.</w:t>
      </w:r>
      <w:r w:rsidR="008E44B6" w:rsidRPr="00445472">
        <w:t>,</w:t>
      </w:r>
      <w:r w:rsidRPr="00445472">
        <w:t xml:space="preserve"> duke shërbyer si barrierë, digat nuk lejojnë prurjen e lumit për të transportuar sedimentet (gurët, pjesët e mëdha etj</w:t>
      </w:r>
      <w:r w:rsidR="008E44B6" w:rsidRPr="00445472">
        <w:t>.</w:t>
      </w:r>
      <w:r w:rsidRPr="00445472">
        <w:t>) në det çka ndihmon në mbajtjen e plazheve</w:t>
      </w:r>
      <w:r w:rsidRPr="00445472">
        <w:rPr>
          <w:vertAlign w:val="superscript"/>
        </w:rPr>
        <w:footnoteReference w:id="35"/>
      </w:r>
      <w:r w:rsidRPr="00445472">
        <w:t>.</w:t>
      </w:r>
    </w:p>
    <w:p w14:paraId="7461B726" w14:textId="6F7C635C" w:rsidR="005D784C" w:rsidRPr="00445472" w:rsidRDefault="005D784C" w:rsidP="005D784C">
      <w:pPr>
        <w:pStyle w:val="TEKSTIIII"/>
      </w:pPr>
      <w:r w:rsidRPr="00445472">
        <w:t xml:space="preserve">Për sa </w:t>
      </w:r>
      <w:r w:rsidR="00911750">
        <w:t>u</w:t>
      </w:r>
      <w:r w:rsidRPr="00445472">
        <w:t xml:space="preserve"> përket efekteve të hidrocentraleve në lidhje me legjislacionin p</w:t>
      </w:r>
      <w:r w:rsidRPr="00445472">
        <w:rPr>
          <w:rFonts w:cs="Arial"/>
          <w:szCs w:val="18"/>
        </w:rPr>
        <w:t>ë</w:t>
      </w:r>
      <w:r w:rsidRPr="00445472">
        <w:t>r Natyrën, të BE-së, Komisioni Evropian ka publikuar në 2018 një dokument udhëzues</w:t>
      </w:r>
      <w:r w:rsidRPr="00445472">
        <w:rPr>
          <w:vertAlign w:val="superscript"/>
        </w:rPr>
        <w:footnoteReference w:id="36"/>
      </w:r>
      <w:r w:rsidRPr="00445472">
        <w:t xml:space="preserve">. Dokumenti nënvizon rangun e efekteve që hidrocentralet mund të kenë në habitatet dhe speciet nën DKU- në dhe nën Direktivat e Natyrës, veçanërisht, të tilla si: </w:t>
      </w:r>
    </w:p>
    <w:p w14:paraId="63BC2164" w14:textId="2D438D07" w:rsidR="005D784C" w:rsidRPr="00445472" w:rsidRDefault="00530986" w:rsidP="005D784C">
      <w:pPr>
        <w:pStyle w:val="TEKSTIIII"/>
      </w:pPr>
      <w:r w:rsidRPr="00445472">
        <w:t xml:space="preserve">- </w:t>
      </w:r>
      <w:r w:rsidR="005D784C" w:rsidRPr="00445472">
        <w:t>Ndryshimet në morfologjinë e lumit dhe të habitateve lumore;</w:t>
      </w:r>
    </w:p>
    <w:p w14:paraId="4359EB72" w14:textId="32AF956A" w:rsidR="005D784C" w:rsidRPr="00445472" w:rsidRDefault="00530986" w:rsidP="005D784C">
      <w:pPr>
        <w:pStyle w:val="TEKSTIIII"/>
      </w:pPr>
      <w:r w:rsidRPr="00445472">
        <w:t xml:space="preserve">- </w:t>
      </w:r>
      <w:r w:rsidR="008E44B6" w:rsidRPr="00445472">
        <w:t>Barriera</w:t>
      </w:r>
      <w:r w:rsidR="005D784C" w:rsidRPr="00445472">
        <w:t xml:space="preserve"> për migrimin dhe shpërndarjen e specieve të mbrojtura;</w:t>
      </w:r>
    </w:p>
    <w:p w14:paraId="6BAA4064" w14:textId="1503DBB4" w:rsidR="005D784C" w:rsidRPr="00445472" w:rsidRDefault="00530986" w:rsidP="005D784C">
      <w:pPr>
        <w:pStyle w:val="TEKSTIIII"/>
      </w:pPr>
      <w:r w:rsidRPr="00445472">
        <w:t xml:space="preserve">- </w:t>
      </w:r>
      <w:r w:rsidR="005D784C" w:rsidRPr="00445472">
        <w:t>Ndërprerja e dinamikës së sedimenteve;</w:t>
      </w:r>
    </w:p>
    <w:p w14:paraId="7D751D35" w14:textId="501033D9" w:rsidR="005D784C" w:rsidRPr="00445472" w:rsidRDefault="00530986" w:rsidP="005D784C">
      <w:pPr>
        <w:pStyle w:val="TEKSTIIII"/>
      </w:pPr>
      <w:r w:rsidRPr="00445472">
        <w:t xml:space="preserve">- </w:t>
      </w:r>
      <w:r w:rsidR="005D784C" w:rsidRPr="00445472">
        <w:t>Ndryshimi i regjimit të rrjedhës ekologjike;</w:t>
      </w:r>
    </w:p>
    <w:p w14:paraId="10EE7537" w14:textId="18A1F329" w:rsidR="005D784C" w:rsidRPr="00445472" w:rsidRDefault="00530986" w:rsidP="005D784C">
      <w:pPr>
        <w:pStyle w:val="TEKSTIIII"/>
      </w:pPr>
      <w:r w:rsidRPr="00445472">
        <w:t xml:space="preserve">- </w:t>
      </w:r>
      <w:r w:rsidR="008E44B6" w:rsidRPr="00445472">
        <w:t>Ndryshimet</w:t>
      </w:r>
      <w:r w:rsidR="005D784C" w:rsidRPr="00445472">
        <w:t xml:space="preserve"> e regjimit të rrjedhës sepse e marrin hidrocentralet;</w:t>
      </w:r>
    </w:p>
    <w:p w14:paraId="2713754E" w14:textId="6889A0C4" w:rsidR="005D784C" w:rsidRPr="00445472" w:rsidRDefault="00E45689" w:rsidP="005D784C">
      <w:pPr>
        <w:pStyle w:val="TEKSTIIII"/>
      </w:pPr>
      <w:r w:rsidRPr="00445472">
        <w:t>-</w:t>
      </w:r>
      <w:r w:rsidR="008E44B6" w:rsidRPr="00445472">
        <w:t xml:space="preserve"> </w:t>
      </w:r>
      <w:r w:rsidR="005D784C" w:rsidRPr="00445472">
        <w:t>Ndryshimet në ciklet e përmbytjeve sezonale;</w:t>
      </w:r>
    </w:p>
    <w:p w14:paraId="3087FF43" w14:textId="0D829F59" w:rsidR="005D784C" w:rsidRPr="00445472" w:rsidRDefault="00E45689" w:rsidP="005D784C">
      <w:pPr>
        <w:pStyle w:val="TEKSTIIII"/>
      </w:pPr>
      <w:r w:rsidRPr="00445472">
        <w:t>-</w:t>
      </w:r>
      <w:r w:rsidR="008E44B6" w:rsidRPr="00445472">
        <w:t xml:space="preserve"> </w:t>
      </w:r>
      <w:r w:rsidR="005D784C" w:rsidRPr="00445472">
        <w:t xml:space="preserve">Lëndët kimike në ujë ose </w:t>
      </w:r>
      <w:r w:rsidR="008E44B6" w:rsidRPr="00445472">
        <w:t>ndryshimet</w:t>
      </w:r>
      <w:r w:rsidR="005D784C" w:rsidRPr="00445472">
        <w:t xml:space="preserve"> në temperaturë;</w:t>
      </w:r>
    </w:p>
    <w:p w14:paraId="6C588394" w14:textId="02E972E5" w:rsidR="005D784C" w:rsidRPr="00445472" w:rsidRDefault="00E45689" w:rsidP="005D784C">
      <w:pPr>
        <w:pStyle w:val="TEKSTIIII"/>
      </w:pPr>
      <w:r w:rsidRPr="00445472">
        <w:t>-</w:t>
      </w:r>
      <w:r w:rsidR="008E44B6" w:rsidRPr="00445472">
        <w:t xml:space="preserve"> </w:t>
      </w:r>
      <w:r w:rsidR="005D784C" w:rsidRPr="00445472">
        <w:t>Plagosja dhe vrasja e kafshëve individuale;</w:t>
      </w:r>
    </w:p>
    <w:p w14:paraId="1ABCC798" w14:textId="50E9800D" w:rsidR="005D784C" w:rsidRPr="00445472" w:rsidRDefault="00E45689" w:rsidP="005D784C">
      <w:pPr>
        <w:pStyle w:val="TEKSTIIII"/>
      </w:pPr>
      <w:r w:rsidRPr="00445472">
        <w:t>-</w:t>
      </w:r>
      <w:r w:rsidR="008E44B6" w:rsidRPr="00445472">
        <w:t xml:space="preserve"> </w:t>
      </w:r>
      <w:r w:rsidR="005D784C" w:rsidRPr="00445472">
        <w:t>Zhvendosja edhe shqetësimi;</w:t>
      </w:r>
    </w:p>
    <w:p w14:paraId="5741CB63" w14:textId="371EA242" w:rsidR="005D784C" w:rsidRPr="00445472" w:rsidRDefault="00E45689" w:rsidP="005D784C">
      <w:pPr>
        <w:pStyle w:val="TEKSTIIII"/>
      </w:pPr>
      <w:r w:rsidRPr="00445472">
        <w:t>-</w:t>
      </w:r>
      <w:r w:rsidR="00530986" w:rsidRPr="00445472">
        <w:t xml:space="preserve"> </w:t>
      </w:r>
      <w:r w:rsidR="005D784C" w:rsidRPr="00445472">
        <w:t>Efektet në speciet dhe habitatet tokësore.</w:t>
      </w:r>
    </w:p>
    <w:p w14:paraId="12248583" w14:textId="4B9EEF49" w:rsidR="005D784C" w:rsidRPr="00445472" w:rsidRDefault="005D784C" w:rsidP="005D784C">
      <w:pPr>
        <w:pStyle w:val="TEKSTIIII"/>
      </w:pPr>
      <w:r w:rsidRPr="00445472">
        <w:t>Duke tërhequr në të njëjtën kohë vëmendjen në faktin se çfarë është përmendur m</w:t>
      </w:r>
      <w:r w:rsidRPr="00445472">
        <w:rPr>
          <w:rFonts w:cs="Arial"/>
          <w:szCs w:val="18"/>
        </w:rPr>
        <w:t>ë</w:t>
      </w:r>
      <w:r w:rsidRPr="00445472">
        <w:t xml:space="preserve"> sipër mund të ketë efekte kumulative, të cilat me kalimin e kohës do të ndodhin shpesh, dhe që efektet kumulative dhe të </w:t>
      </w:r>
      <w:r w:rsidR="001F075B" w:rsidRPr="00445472">
        <w:t>hidrocentraleve</w:t>
      </w:r>
      <w:r w:rsidRPr="00445472">
        <w:t xml:space="preserve"> të vogla mund të jenë të shpeshta dhe me efekte t</w:t>
      </w:r>
      <w:r w:rsidR="00034FBB">
        <w:t>ë</w:t>
      </w:r>
      <w:r w:rsidRPr="00445472">
        <w:t xml:space="preserve"> ndjeshme</w:t>
      </w:r>
      <w:r w:rsidR="001F075B" w:rsidRPr="00445472">
        <w:t>.</w:t>
      </w:r>
    </w:p>
    <w:p w14:paraId="1E229F53" w14:textId="2DF58767" w:rsidR="005D784C" w:rsidRPr="00445472" w:rsidRDefault="00530986" w:rsidP="005D784C">
      <w:pPr>
        <w:pStyle w:val="TEKSTIIII"/>
      </w:pPr>
      <w:r w:rsidRPr="00445472">
        <w:t>“</w:t>
      </w:r>
      <w:r w:rsidR="005D784C" w:rsidRPr="00445472">
        <w:t>Është akoma e vlefshme deklarata e drejtorëve të ujit të BE-së – rreth zhvillimit të hidrocentraleve nën DKU-në nga 2010</w:t>
      </w:r>
      <w:r w:rsidR="005D784C" w:rsidRPr="00445472">
        <w:rPr>
          <w:vertAlign w:val="superscript"/>
        </w:rPr>
        <w:footnoteReference w:id="37"/>
      </w:r>
      <w:r w:rsidR="005D784C" w:rsidRPr="00445472">
        <w:t xml:space="preserve">: </w:t>
      </w:r>
    </w:p>
    <w:p w14:paraId="3146F77D" w14:textId="5B1739C7" w:rsidR="005D784C" w:rsidRPr="00445472" w:rsidRDefault="00796A14" w:rsidP="005D784C">
      <w:pPr>
        <w:pStyle w:val="TEKSTIIII"/>
      </w:pPr>
      <w:r>
        <w:t xml:space="preserve">- </w:t>
      </w:r>
      <w:r w:rsidR="005D784C" w:rsidRPr="00445472">
        <w:t xml:space="preserve">Duhet të zhvillohen mekanizmat paraprakë të planifikimit për ndarjen e zonave për projektet e reja të hidrocentraleve. Ky përcaktim duhet të bazohet në një dialog ndërmjet institucioneve të ndryshme përgjegjëse, palëve të interesit dhe OJQ-ve. </w:t>
      </w:r>
    </w:p>
    <w:p w14:paraId="0A914311" w14:textId="21DC3EC7" w:rsidR="005D784C" w:rsidRPr="00445472" w:rsidRDefault="00796A14" w:rsidP="005D784C">
      <w:pPr>
        <w:pStyle w:val="TEKSTIIII"/>
      </w:pPr>
      <w:r>
        <w:t xml:space="preserve">- </w:t>
      </w:r>
      <w:r w:rsidR="005D784C" w:rsidRPr="00445472">
        <w:t xml:space="preserve">Për të minimizuar nevojën për vende të reja, zhvillimi i kapaciteteve të hidrocentraleve mund të mbështetet me modernizimin dhe përmirësimin e infrastrukturave ekzistuese. </w:t>
      </w:r>
    </w:p>
    <w:p w14:paraId="01C68FB0" w14:textId="1961185C" w:rsidR="005D784C" w:rsidRPr="00445472" w:rsidRDefault="00796A14" w:rsidP="005D784C">
      <w:pPr>
        <w:pStyle w:val="TEKSTIIII"/>
      </w:pPr>
      <w:r>
        <w:t xml:space="preserve">- </w:t>
      </w:r>
      <w:r w:rsidR="005D784C" w:rsidRPr="00445472">
        <w:t>Zhvillimi i hidrocentraleve duhet të shoqërohet me ekologji të përmirësuar të ujit, me standarde të qarta ekologjike për objektet e reja ose me objektet ekzistuese të modernizuara dhe me përmirësimin e kushteve të operimit. Hidrocentralet e reja duhet, për shembull, të kenë pasazhe të peshkut dhe duhet të respektojnë një rrjedhë minimale ekologjike.</w:t>
      </w:r>
    </w:p>
    <w:p w14:paraId="3983025E" w14:textId="3CF04083" w:rsidR="005D784C" w:rsidRPr="00445472" w:rsidRDefault="00796A14" w:rsidP="005D784C">
      <w:pPr>
        <w:pStyle w:val="TEKSTIIII"/>
      </w:pPr>
      <w:r>
        <w:t xml:space="preserve">- </w:t>
      </w:r>
      <w:r w:rsidR="005D784C" w:rsidRPr="00445472">
        <w:t>Një analizë e kostove dhe përfitimeve të projektit është e nevojshme për të mundësuar gjykimin nëse përfitimet për mjedisin dhe shoqërinë, që parandalojnë përkeqësimin e statusit ose rivendosjen e statusit të mirë, tejkalohen nga përfitimet dhe modifikimet. Kjo nuk do të thotë se do të jetë e domosdoshme të fitosh para ose të llogarisësh të gjitha kostot dhe përfitimet për të bërë një gjykim të tillë.</w:t>
      </w:r>
    </w:p>
    <w:p w14:paraId="71FEA92A" w14:textId="67E7B92E" w:rsidR="005D784C" w:rsidRPr="00445472" w:rsidRDefault="00796A14" w:rsidP="005D784C">
      <w:pPr>
        <w:pStyle w:val="TEKSTIIII"/>
      </w:pPr>
      <w:r>
        <w:t xml:space="preserve">- </w:t>
      </w:r>
      <w:r w:rsidR="005D784C" w:rsidRPr="00445472">
        <w:t>Madhësia e projektit nuk është kriteri më i rëndësishëm për të nxitur Nenin 4 (7). Qasja përkatëse është vlerësimi nëse një projekt i caktuar do të rezultojë në përkeqësimin e statusit të një trupi ujor. Kështu, projektet e çdo madhësie mund të bien në nenin 4 (7)</w:t>
      </w:r>
      <w:r w:rsidR="00530986" w:rsidRPr="00445472">
        <w:t>.”</w:t>
      </w:r>
    </w:p>
    <w:p w14:paraId="51AC9902" w14:textId="77777777" w:rsidR="005D784C" w:rsidRPr="00445472" w:rsidRDefault="005D784C" w:rsidP="005D784C">
      <w:pPr>
        <w:pStyle w:val="TEKSTIIII"/>
      </w:pPr>
      <w:r w:rsidRPr="00445472">
        <w:t>Një konkluzion i çmuar i dokumentit udhëzues i cili ka rëndësi për situatën e veçantë të Shqipërisë ku ndërtimi i hidrocentraleve të vogla është zhvilluar në mënyrë të shpejtë në vitet e fundit, është se:</w:t>
      </w:r>
    </w:p>
    <w:p w14:paraId="6576B92A" w14:textId="7458513D" w:rsidR="005D784C" w:rsidRPr="00445472" w:rsidRDefault="005D784C" w:rsidP="005D784C">
      <w:pPr>
        <w:pStyle w:val="TEKSTIIII"/>
      </w:pPr>
      <w:r w:rsidRPr="00445472">
        <w:t xml:space="preserve"> </w:t>
      </w:r>
      <w:r w:rsidR="00D62EDF" w:rsidRPr="00445472">
        <w:t>“</w:t>
      </w:r>
      <w:r w:rsidRPr="00445472">
        <w:t xml:space="preserve">Përqasja tradicionale për zhvillimin e një plani ose projekti, qoftë ky për hidrocentrale ose fusha të tjera, është së pari të konceptohet plani ose projekti për qëllimin e tij dhe më pas të konsiderohet mjedisi i </w:t>
      </w:r>
      <w:r w:rsidR="001F075B" w:rsidRPr="00445472">
        <w:t>gjere</w:t>
      </w:r>
      <w:r w:rsidRPr="00445472">
        <w:t xml:space="preserve"> dhe çështje të tjera. Megjithatë, kjo shpesh rezulton në konflikte potenciale duke marrë në konsideratë në një fazë relativisht të vonë në procesin e planifikimit, me raste kur ka më pak kohë për manovra. Kur koncepti i projektimit ka avancuar, vlerësimi i ndikimit në mjedis shpesh kthehet në një ushtrim në kufizim dëmesh. Pranimi i këtyre vështirësive, bën që planifikuesit e infrastrukturës gjithnjë e më shumë të adoptojnë një përqasje të integruar të planifikimit dhe projektimit të veprës. Përqasja e integruar merr në konsideratë edhe nevojat infrastrukturore ashtu edhe ato ekologjike të vend</w:t>
      </w:r>
      <w:r w:rsidR="001F075B" w:rsidRPr="00445472">
        <w:t>nd</w:t>
      </w:r>
      <w:r w:rsidRPr="00445472">
        <w:t>odhjes dhe i faktorizon këto në konceptimin fillestar të projektit, së bashku me përdorues të tjerë të lumit. Kjo gjithashtu promovon një proces me interaktiv dhe transparent dhe inkurajon asistencë aktive dhe impute nga ambientalistë dhe grupe interesi që në fazat fillestare.</w:t>
      </w:r>
      <w:r w:rsidR="00D62EDF" w:rsidRPr="00445472">
        <w:t>”</w:t>
      </w:r>
      <w:r w:rsidRPr="00445472">
        <w:rPr>
          <w:vertAlign w:val="superscript"/>
        </w:rPr>
        <w:footnoteReference w:id="38"/>
      </w:r>
    </w:p>
    <w:p w14:paraId="16AA7F7D" w14:textId="77777777" w:rsidR="005D784C" w:rsidRPr="00445472" w:rsidRDefault="005D784C" w:rsidP="005D784C">
      <w:pPr>
        <w:pStyle w:val="TEKSTIIII"/>
      </w:pPr>
      <w:r w:rsidRPr="00445472">
        <w:t>Fokusi në ndërtimin e hidrocentraleve të vogla për të zvogëluar nevojat e vendit për elekricitet ka krijuar përgjithësisht presion të konsiderueshëm në rrjedhat ujore dhe ve</w:t>
      </w:r>
      <w:r w:rsidRPr="00445472">
        <w:rPr>
          <w:rFonts w:cs="Arial"/>
        </w:rPr>
        <w:t>ç</w:t>
      </w:r>
      <w:r w:rsidRPr="00445472">
        <w:t>anërisht në ekosistemet. Në këto kushte, është me rëndësi të vëzhgohen procedurat dhe ve</w:t>
      </w:r>
      <w:r w:rsidRPr="00445472">
        <w:rPr>
          <w:rFonts w:cs="Arial"/>
        </w:rPr>
        <w:t>ç</w:t>
      </w:r>
      <w:r w:rsidRPr="00445472">
        <w:t xml:space="preserve">anërisht ligjet dhe rregullat që kanë lidhje me menaxhimin dhe përdorimin e ujit në basenin ujor.  </w:t>
      </w:r>
    </w:p>
    <w:p w14:paraId="25E9A239" w14:textId="69F8E9AF" w:rsidR="005D784C" w:rsidRPr="00445472" w:rsidRDefault="005D784C" w:rsidP="005D784C">
      <w:pPr>
        <w:pStyle w:val="TEKSTIIII"/>
      </w:pPr>
      <w:r w:rsidRPr="00445472">
        <w:t xml:space="preserve">Një element i rëndësishëm i këtij procesi është rrjedha ekologjike (shih kapitullin 4.2.3), vëzhgimi i të cilit është siguruar në </w:t>
      </w:r>
      <w:r w:rsidR="00530986" w:rsidRPr="00445472">
        <w:t xml:space="preserve">ligjin nr. </w:t>
      </w:r>
      <w:r w:rsidRPr="00445472">
        <w:t>111/2012</w:t>
      </w:r>
      <w:r w:rsidR="00D62EDF" w:rsidRPr="00445472">
        <w:t xml:space="preserve">, “Për </w:t>
      </w:r>
      <w:r w:rsidRPr="00445472">
        <w:t>menaxhimin e integruar të burimeve ujore</w:t>
      </w:r>
      <w:r w:rsidR="00D62EDF" w:rsidRPr="00445472">
        <w:t>”</w:t>
      </w:r>
      <w:r w:rsidRPr="00445472">
        <w:t>, i cili e përcakton atë si një mesatare ditore të studimit hidrologjik, i cili nuk tejkalon më shumë sesa 355 ditë në vit. Kjo nënkupton se një mesatare e rrjedhës natyrale është më e vogël se vlera Q</w:t>
      </w:r>
      <w:r w:rsidRPr="00445472">
        <w:rPr>
          <w:vertAlign w:val="subscript"/>
        </w:rPr>
        <w:t>355</w:t>
      </w:r>
      <w:r w:rsidRPr="00445472">
        <w:t xml:space="preserve"> për vetëm 10 ditë në vit. Ky është një tregues i rëndësishëm për të përcaktuar kushtet e ekosistemeve akuatike. Institucionet që konfirmojnë dhe monitorojnë janë: i</w:t>
      </w:r>
      <w:r w:rsidR="00530986" w:rsidRPr="00445472">
        <w:t>.</w:t>
      </w:r>
      <w:r w:rsidRPr="00445472">
        <w:t xml:space="preserve"> Zyrat e Administrimit të Baseneve Ujore, në kohën e aprovimit të Aplikimit për Përdorimin e Ujit</w:t>
      </w:r>
      <w:r w:rsidR="00530986" w:rsidRPr="00445472">
        <w:t>;</w:t>
      </w:r>
      <w:r w:rsidRPr="00445472">
        <w:t xml:space="preserve"> dhe ii</w:t>
      </w:r>
      <w:r w:rsidR="00530986" w:rsidRPr="00445472">
        <w:t>.</w:t>
      </w:r>
      <w:r w:rsidRPr="00445472">
        <w:t xml:space="preserve"> Agjencia Rajonale e Mjedisit, e cila duhet të monitorojë dhe respektojë kushtet e rrjedhës ekologjike.</w:t>
      </w:r>
    </w:p>
    <w:p w14:paraId="0F0126F2" w14:textId="163DF90B" w:rsidR="005D784C" w:rsidRPr="00445472" w:rsidRDefault="005D784C" w:rsidP="005D784C">
      <w:pPr>
        <w:pStyle w:val="TEKSTIIII"/>
      </w:pPr>
      <w:r w:rsidRPr="00445472">
        <w:t>Në shumë raste, leja për përdorim të ujit për energji nuk është e bazuar në kurbën ditore të rrjedh</w:t>
      </w:r>
      <w:r w:rsidRPr="00445472">
        <w:rPr>
          <w:rFonts w:cs="Arial"/>
          <w:szCs w:val="18"/>
        </w:rPr>
        <w:t>ë</w:t>
      </w:r>
      <w:r w:rsidRPr="00445472">
        <w:t xml:space="preserve">s së </w:t>
      </w:r>
      <w:r w:rsidR="00530986" w:rsidRPr="00445472">
        <w:t>qëndrueshme</w:t>
      </w:r>
      <w:r w:rsidRPr="00445472">
        <w:t xml:space="preserve">, ashtu siç kërkohet nga </w:t>
      </w:r>
      <w:r w:rsidR="00530986" w:rsidRPr="00445472">
        <w:t xml:space="preserve">ligji nr. </w:t>
      </w:r>
      <w:r w:rsidRPr="00445472">
        <w:t xml:space="preserve">111/2012 i sipërpërmendur, por vetëm në disa vlerësime të kryera nga projektuesit. </w:t>
      </w:r>
    </w:p>
    <w:p w14:paraId="3A3FDB45" w14:textId="77777777" w:rsidR="005D784C" w:rsidRPr="00445472" w:rsidRDefault="005D784C" w:rsidP="005D784C">
      <w:pPr>
        <w:pStyle w:val="TEKSTIIII"/>
      </w:pPr>
      <w:r w:rsidRPr="00445472">
        <w:t>Nga të dhënat e marra është e kuptueshme q</w:t>
      </w:r>
      <w:r w:rsidRPr="00445472">
        <w:rPr>
          <w:rFonts w:cs="Arial"/>
          <w:szCs w:val="18"/>
        </w:rPr>
        <w:t>ë</w:t>
      </w:r>
      <w:r w:rsidRPr="00445472">
        <w:t xml:space="preserve"> shumica e hidrocentraleve të vogla janë me derivacion, çka nënkupton se një sasi e caktuar uji merret nga rrjedha normale për një distancë të caktuar dhe kthehet përs</w:t>
      </w:r>
      <w:r w:rsidRPr="00445472">
        <w:rPr>
          <w:rFonts w:cs="Arial"/>
          <w:szCs w:val="18"/>
        </w:rPr>
        <w:t>ë</w:t>
      </w:r>
      <w:r w:rsidRPr="00445472">
        <w:t>ri në rrjedhë. Ka vetëm disa raste në të cilat hidrocentrali i vogël shoqërohet me digë. Më këtë rast regjimi i rrjedhës së poshtme është i varur nga regjimi i vetë hidrocentralit. Në të dyja rastet rrjedha ekologjike është e detyrueshme. Kjo vlerë i duhet shtuar sasisë së ujit të nevojshëm për përdoruesit e tjerë të rrjedhës së poshtme të hidrocentralit të vogël, e cila mund të jetë ujë për vaditje, ujë të pijshëm ose përdorim uji në industri të tjera.</w:t>
      </w:r>
    </w:p>
    <w:p w14:paraId="3ECBB93D" w14:textId="0F8D03AF" w:rsidR="005D784C" w:rsidRPr="00445472" w:rsidRDefault="005D784C" w:rsidP="005D784C">
      <w:pPr>
        <w:pStyle w:val="TEKSTIIII"/>
      </w:pPr>
      <w:r w:rsidRPr="00445472">
        <w:t xml:space="preserve">Është e nënkuptuar se përgjatë procedurave të dhënies së lejeve, jo në të gjitha rastet, vlerësimi i rrjedhës ekologjike bëhet duke marrë parasysh gjithashtu përdorues të tjerë të rrjedhës së poshtme të hidrocentralit të vogël. Disa herë përdorues të tjerë janë neglizhuar, veçanërisht ata të lidhur më ujitjen, duke </w:t>
      </w:r>
      <w:r w:rsidR="00530986" w:rsidRPr="00445472">
        <w:t>qenë</w:t>
      </w:r>
      <w:r w:rsidRPr="00445472">
        <w:t xml:space="preserve"> pjesë e bujqësisë. Përveç kësaj, siç edhe tregohet më sipër, sigurimi i një rrjedhje ekologjike, nuk garanton mosprekjen në mënyrë domethënëse të ekologjisë së basenit ujor.</w:t>
      </w:r>
    </w:p>
    <w:p w14:paraId="288E2477" w14:textId="3480728A" w:rsidR="005D784C" w:rsidRPr="00445472" w:rsidRDefault="005D784C" w:rsidP="005D784C">
      <w:pPr>
        <w:pStyle w:val="TEKSTIIII"/>
      </w:pPr>
      <w:r w:rsidRPr="00445472">
        <w:t>Eksperienca tregon se është e nevojshme të rriten aftësitë profesionale të ZABU–ve në vlerësimin e rrjedhës ekologjike dhe ndërgjegjësimi i tyre për</w:t>
      </w:r>
      <w:r w:rsidR="00530986" w:rsidRPr="00445472">
        <w:t xml:space="preserve"> </w:t>
      </w:r>
      <w:r w:rsidRPr="00445472">
        <w:t>sa i përket çdo përdoruesi. Kjo për arsye se, ata janë përgjegjës për interpretimin e studimeve hidrologjike të përgatitura dhe dorëzuara nga përdoruesit e ujit, duke i kushtuar vëmendje rrjedhës ekologjike e cila duhet lejuar në rrjedhën ujore.</w:t>
      </w:r>
    </w:p>
    <w:p w14:paraId="7019B1C2" w14:textId="26A835BD" w:rsidR="005D784C" w:rsidRPr="00445472" w:rsidRDefault="005D784C" w:rsidP="005D784C">
      <w:pPr>
        <w:pStyle w:val="TEKSTIIII"/>
      </w:pPr>
      <w:r w:rsidRPr="00445472">
        <w:t>Ndërtimi i kapaciteteve të ZABU – ve dhe sa më sipër u përmend ësh</w:t>
      </w:r>
      <w:r w:rsidR="00530986" w:rsidRPr="00445472">
        <w:t>t</w:t>
      </w:r>
      <w:r w:rsidRPr="00445472">
        <w:t>ë një e domosdoshm</w:t>
      </w:r>
      <w:r w:rsidRPr="00445472">
        <w:rPr>
          <w:rFonts w:cs="Arial"/>
          <w:szCs w:val="18"/>
        </w:rPr>
        <w:t>ëri</w:t>
      </w:r>
      <w:r w:rsidRPr="00445472">
        <w:t>, jo vetëm për të kuptuar dhe interpretuar elementet hidrologjik</w:t>
      </w:r>
      <w:r w:rsidR="00E929FD">
        <w:t>e</w:t>
      </w:r>
      <w:r w:rsidRPr="00445472">
        <w:t xml:space="preserve"> të rrjedhës, por gjithashtu për të lidhur ato me mundësitë për përdorim të ujit dhe nevojat për rrjedhë ekologjike, e cila është e domosdoshme për një mjedis të qëndrueshëm ekologjik në kohë edhe hapësirë.</w:t>
      </w:r>
    </w:p>
    <w:p w14:paraId="24C55916" w14:textId="1EFAC32F" w:rsidR="005D784C" w:rsidRPr="00445472" w:rsidRDefault="005D784C" w:rsidP="005D784C">
      <w:pPr>
        <w:pStyle w:val="TEKSTIIII"/>
      </w:pPr>
      <w:r w:rsidRPr="00445472">
        <w:t xml:space="preserve">Këto zyra duhet të jenë në </w:t>
      </w:r>
      <w:r w:rsidR="006A13D1" w:rsidRPr="00445472">
        <w:t>gjendje</w:t>
      </w:r>
      <w:r w:rsidRPr="00445472">
        <w:t xml:space="preserve"> të bëjnë një vlerësim të përgjithshëm të balancës së ujit në seksionet e rrjedhës ujore në sezone të ndryshme të vitit, në mënyrë që të vlerësojnë siç duhet kërkesën për ujë dhe furnizimin me ujë, duke mbajtur në mënyrë të përhershme rrjedhën ekologjike e cila është e nevojshme për mjedisin në përgjithësi dhe detyruese për të siguruar statusin ekologjik të rrjedhës në vetvete, në përputhje me ligjin 111/2012</w:t>
      </w:r>
      <w:r w:rsidR="00D62EDF" w:rsidRPr="00445472">
        <w:t xml:space="preserve">, “Për </w:t>
      </w:r>
      <w:r w:rsidRPr="00445472">
        <w:t>menaxhim e integruar të burimeve ujore</w:t>
      </w:r>
      <w:r w:rsidR="00D62EDF" w:rsidRPr="00445472">
        <w:t>”</w:t>
      </w:r>
      <w:r w:rsidRPr="00445472">
        <w:t>.</w:t>
      </w:r>
    </w:p>
    <w:p w14:paraId="41F77357" w14:textId="69DC52B5" w:rsidR="005D784C" w:rsidRPr="00445472" w:rsidRDefault="005D784C" w:rsidP="005D784C">
      <w:pPr>
        <w:pStyle w:val="TEKSTIIII"/>
        <w:rPr>
          <w:b/>
        </w:rPr>
      </w:pPr>
      <w:r w:rsidRPr="00445472">
        <w:t xml:space="preserve">Në këtë kuptim, aktualisht rrjeti i pamjaftueshëm i monitorimit, të dhënat e kufizuara (mungesa e miratimit/vlefshmërisë) së bashku me kapacitetin e limituar teknik dhe financiar e bëjnë shumë të vështirë zbatimin e ligjit shqiptar. </w:t>
      </w:r>
      <w:r w:rsidRPr="00445472">
        <w:rPr>
          <w:b/>
        </w:rPr>
        <w:t xml:space="preserve">Programi i propozuar i masave (kapitulli 12 i këtij dokumenti) dhe plani i veprimit 6-vjeçar për </w:t>
      </w:r>
      <w:r w:rsidR="006A13D1" w:rsidRPr="00445472">
        <w:rPr>
          <w:b/>
        </w:rPr>
        <w:t>institucionet</w:t>
      </w:r>
      <w:r w:rsidRPr="00445472">
        <w:rPr>
          <w:b/>
        </w:rPr>
        <w:t xml:space="preserve"> përgjegjëse (kapitulli 14, Tabela 14.7 të këtij dokumenti) përfshijnë hapat e nevojshëm për të përmirësuar situatën aktuale.</w:t>
      </w:r>
    </w:p>
    <w:p w14:paraId="113CE20D" w14:textId="16B69668" w:rsidR="005D784C" w:rsidRPr="00445472" w:rsidRDefault="00E45689" w:rsidP="00E45689">
      <w:pPr>
        <w:pStyle w:val="NENTITULL"/>
      </w:pPr>
      <w:bookmarkStart w:id="66" w:name="_Toc530562478"/>
      <w:bookmarkStart w:id="67" w:name="_Toc531002760"/>
      <w:bookmarkStart w:id="68" w:name="_Toc11068765"/>
      <w:bookmarkEnd w:id="66"/>
      <w:bookmarkEnd w:id="67"/>
      <w:r w:rsidRPr="00445472">
        <w:t xml:space="preserve">4.1.5 </w:t>
      </w:r>
      <w:r w:rsidR="005D784C" w:rsidRPr="00445472">
        <w:t>Ndotja bujqësore</w:t>
      </w:r>
      <w:bookmarkEnd w:id="68"/>
    </w:p>
    <w:p w14:paraId="67B8B57B" w14:textId="77777777" w:rsidR="005D784C" w:rsidRPr="00445472" w:rsidRDefault="005D784C" w:rsidP="005D784C">
      <w:pPr>
        <w:pStyle w:val="TEKSTIIII"/>
      </w:pPr>
      <w:r w:rsidRPr="00445472">
        <w:t>Shkarkimet e bujqësisë mbeten gjithashtu një sfidë për ndotjen e lumenjve. Midis tri rajoneve, Shkodra ka sektorin më të zhvilluar bujqësor pasi Kukësi dhe Dibra janë kryesisht rajone malore. Në zonat bujqësore të ulëta si ato të rajonit të Shkodrës, ndryshimet në sistemin ekonomik të vendit gjithashtu janë shoqëruar me ndryshime në sektorin e bujqësisë në vend. Rrjedhimisht, sot, sektori i bujqësisë është duke u zhvendosur nga një sistem i bazuar në familje në një sistem intensiv të bujqësisë. Kjo është përkthyer në realitet me një rritje në inputet bujqësore si pesticidet, herbicidet dhe lëndët ushqyese. Në fakt, në vitin 2015, Shqipëria importonte 67% më shumë plehra kimike krahasuar me vitin 2013 (152.207 ton në vitin 2015 kundrejt 102.483 ton në vitin 2013)</w:t>
      </w:r>
      <w:r w:rsidRPr="00445472">
        <w:rPr>
          <w:vertAlign w:val="superscript"/>
        </w:rPr>
        <w:footnoteReference w:id="39"/>
      </w:r>
      <w:r w:rsidRPr="00445472">
        <w:t xml:space="preserve">  dhe 71% më shumë pesticide (1.365.346 ton në vitin 2015 krahasuar me 982.314 ton në vitin 2013)</w:t>
      </w:r>
      <w:r w:rsidRPr="00445472">
        <w:rPr>
          <w:vertAlign w:val="superscript"/>
        </w:rPr>
        <w:footnoteReference w:id="40"/>
      </w:r>
      <w:r w:rsidRPr="00445472">
        <w:t>. Në bazë kombëtare, Shkodra, Dibra dhe Kukësi nuk janë shfrytëzuesit kryesorë të plehrave kimike. Megjithatë, Shkodra përdor rreth 6.66% të plehrave kimike ndjekur nga Dibra dhe Kukësi me 5.58 dhe 1.39% përkatësisht. Kur nuk menaxhohen siç duhet, inputet bujqësore rrezikojnë ndotjen e ujit të lumenjve.</w:t>
      </w:r>
    </w:p>
    <w:p w14:paraId="7780F58D" w14:textId="347DB2F1" w:rsidR="005D784C" w:rsidRPr="00445472" w:rsidRDefault="00E45689" w:rsidP="00E45689">
      <w:pPr>
        <w:pStyle w:val="NENTITULL"/>
      </w:pPr>
      <w:bookmarkStart w:id="69" w:name="_Toc11068766"/>
      <w:r w:rsidRPr="00445472">
        <w:t xml:space="preserve">4.1.6 </w:t>
      </w:r>
      <w:r w:rsidR="005D784C" w:rsidRPr="00445472">
        <w:t>Ndotja e ujërave nëntokësorë</w:t>
      </w:r>
      <w:bookmarkEnd w:id="69"/>
    </w:p>
    <w:p w14:paraId="2959079A" w14:textId="1AAE2719" w:rsidR="005D784C" w:rsidRPr="00445472" w:rsidRDefault="005D784C" w:rsidP="005D784C">
      <w:pPr>
        <w:pStyle w:val="TEKSTIIII"/>
      </w:pPr>
      <w:r w:rsidRPr="00445472">
        <w:t>Përveç ujërave sipërfaqësorë, ujërat nëntokësor</w:t>
      </w:r>
      <w:r w:rsidR="00B10A7B" w:rsidRPr="00445472">
        <w:t>e</w:t>
      </w:r>
      <w:r w:rsidRPr="00445472">
        <w:t xml:space="preserve"> kanë qenë të ndjeshëm ndaj ndotjes gjatë viteve të fundit. Shkaqet kryesore të ndotjes lidhen me mungesën e zonave të mbrojtura rreth puseve që mund të shërbejnë për mbrojtjen e higjienës dhe sanitetit. Zonat e mbrojtura nuk janë përcaktuar rreth puseve si atyre të ligjshme dhe atyre ilegale në pajtim me ligjin. Lidhur me puset industriale mungojnë të dhënat. Shkaqe të tjera të ndotjes janë mbipërdorimi i ujërave të akuiferit, kryesisht në verë kur kërkesa për ujë rritet ndërkohë që niveli i ujit të rezervuarit është i ulët. Përveç kësaj, përdorimi afatgjatë i ujërave nëntokësorë (mbishfrytëzimi) për furnizim me ujë, industri dhe bujqësi ka shkaktuar edhe ndotjen e disa akuiferëve duke rritur </w:t>
      </w:r>
      <w:r w:rsidR="006A13D1" w:rsidRPr="00445472">
        <w:t>përqendrimin</w:t>
      </w:r>
      <w:r w:rsidRPr="00445472">
        <w:t xml:space="preserve"> e kripërave. Nxjerrja e sedimenteve dhe marrja pa kriter e inerteve nga degët e Drinit dhe Bunës në zonat ku lumi ushqen ujësjellësit ka turbulluar balancën dhe rrugën e infiltrimit midis lumit dhe ujit të akuiferit që çon në ndotje. Ndotja përmes lumenjve është gjithashtu një sfidë. Në shumë raste, lumi ndikon në ndotjen e akuiferit nëpërmjet zonave të quajtura dritare hidrogjeologjike. Këto janë zonat ku lumi ushqen akuiferin. Së fundmi, industria e rëndë mbetet një kërcënim i vazhdueshëm për burimet ujore. Shqipëria nuk ka disiplinuar akoma përdorimin e ujërave nëntokësorë për qëllime industriale.</w:t>
      </w:r>
    </w:p>
    <w:p w14:paraId="3518D878" w14:textId="0F5FE563" w:rsidR="005D784C" w:rsidRPr="00445472" w:rsidRDefault="00E45689" w:rsidP="00E45689">
      <w:pPr>
        <w:pStyle w:val="NENTITULL"/>
      </w:pPr>
      <w:bookmarkStart w:id="70" w:name="_Toc11068767"/>
      <w:r w:rsidRPr="00445472">
        <w:t xml:space="preserve">4.1.7 </w:t>
      </w:r>
      <w:r w:rsidR="005D784C" w:rsidRPr="00445472">
        <w:t>Turizmi</w:t>
      </w:r>
      <w:bookmarkEnd w:id="70"/>
    </w:p>
    <w:p w14:paraId="15355108" w14:textId="261EAE6B" w:rsidR="005D784C" w:rsidRPr="00445472" w:rsidRDefault="005D784C" w:rsidP="005D784C">
      <w:pPr>
        <w:pStyle w:val="TEKSTIIII"/>
      </w:pPr>
      <w:r w:rsidRPr="00445472">
        <w:t xml:space="preserve">Është parashikuar që presioni në zonën bregdetare do të vazhdojë si pasojë e zhvillimit të mëtejshëm të turizmit. </w:t>
      </w:r>
      <w:r w:rsidR="006A13D1" w:rsidRPr="00445472">
        <w:t>Krahasuar</w:t>
      </w:r>
      <w:r w:rsidRPr="00445472">
        <w:t xml:space="preserve"> me përdorues të tjerë të ujit (p</w:t>
      </w:r>
      <w:r w:rsidR="006A13D1" w:rsidRPr="00445472">
        <w:t>.</w:t>
      </w:r>
      <w:r w:rsidRPr="00445472">
        <w:t>sh</w:t>
      </w:r>
      <w:r w:rsidR="006A13D1" w:rsidRPr="00445472">
        <w:t>.</w:t>
      </w:r>
      <w:r w:rsidRPr="00445472">
        <w:t xml:space="preserve"> bujqësia, industria, energjia, familja) kontributi i sektorit të turizmit në kërkesën totale për ujë në basenin ujor Seman është minimal. Gjithsesi, ky sektor është i rëndësishëm sepse karakterizohet nga një ndryshueshmëri në kërkesën për ujë, që do të thotë ndryshueshmëri kohore, me periudhën kulmore gjatë verës, atëherë kur disponueshmëria e ujit është më e ulët dhe ndryshueshmëri hapësinore, me industrinë e turizmit e cila </w:t>
      </w:r>
      <w:r w:rsidR="006A13D1" w:rsidRPr="00445472">
        <w:t>përqendrohet</w:t>
      </w:r>
      <w:r w:rsidRPr="00445472">
        <w:t xml:space="preserve"> përgjatë bregdetit, gjë që mund të shkaktojë disbalancë të madhe dhe përkeqësimin e cilësisë së ujit në zonat bregdetare për ujërat larës</w:t>
      </w:r>
      <w:r w:rsidR="00B10A7B" w:rsidRPr="00445472">
        <w:t>e</w:t>
      </w:r>
      <w:r w:rsidRPr="00445472">
        <w:t>.</w:t>
      </w:r>
    </w:p>
    <w:p w14:paraId="74DE26C6" w14:textId="77777777" w:rsidR="005D784C" w:rsidRPr="00445472" w:rsidRDefault="005D784C" w:rsidP="005D784C">
      <w:pPr>
        <w:pStyle w:val="TEKSTIIII"/>
        <w:rPr>
          <w:b/>
        </w:rPr>
      </w:pPr>
      <w:r w:rsidRPr="00445472">
        <w:rPr>
          <w:b/>
        </w:rPr>
        <w:t>Rritja e kërkesës për ujë si pasojë e turizmit</w:t>
      </w:r>
    </w:p>
    <w:p w14:paraId="09828081" w14:textId="77777777" w:rsidR="005D784C" w:rsidRPr="00445472" w:rsidRDefault="005D784C" w:rsidP="005D784C">
      <w:pPr>
        <w:pStyle w:val="TEKSTIIII"/>
      </w:pPr>
      <w:r w:rsidRPr="00445472">
        <w:t>Shkaqet kryesore të kërkesës për ujë të ëmbël nga turistët janë:</w:t>
      </w:r>
    </w:p>
    <w:p w14:paraId="6E889107" w14:textId="35844E4D" w:rsidR="005D784C" w:rsidRPr="00445472" w:rsidRDefault="006F3360" w:rsidP="005D784C">
      <w:pPr>
        <w:pStyle w:val="TEKSTIIII"/>
      </w:pPr>
      <w:r>
        <w:t xml:space="preserve">- </w:t>
      </w:r>
      <w:r w:rsidR="005D784C" w:rsidRPr="00445472">
        <w:t>Konsum më i lartë i ujit si pasojë e popullimit nga turistët</w:t>
      </w:r>
    </w:p>
    <w:p w14:paraId="0830B447" w14:textId="06B62BF1" w:rsidR="005D784C" w:rsidRPr="00445472" w:rsidRDefault="005D784C" w:rsidP="005D784C">
      <w:pPr>
        <w:pStyle w:val="TEKSTIIII"/>
      </w:pPr>
      <w:r w:rsidRPr="00445472">
        <w:t>Në disa zona turistike të caktuara dhe sidomos gjatë sezonit të thatë veror popullata vendase e një destinacioni (për shembull një bashki bregdetare) mund të rritet disa herë (ndonjëherë më shumë se dhjetëfish). Kjo rritje e popullsisë do të thotë një rritje proporcionale ose më shumë se proporcionale në konsumimin e ujit. Në disa zona, kërkesa për ujë gjatë muajve të kulmit të turizmit mund të jetë më e lartë se kërkesa për ujë e popullatës vendase përgjatë gjithë vitit. Sipas AEM-së (2000)</w:t>
      </w:r>
      <w:r w:rsidRPr="00445472">
        <w:rPr>
          <w:vertAlign w:val="superscript"/>
        </w:rPr>
        <w:footnoteReference w:id="41"/>
      </w:r>
      <w:r w:rsidRPr="00445472">
        <w:t>, një turist i cili qëndron në një hotel, përdor mesatarisht një të tretën më shumë ujë se vendasit. Hamele dhe Eckhardt (2006)</w:t>
      </w:r>
      <w:r w:rsidRPr="00445472">
        <w:rPr>
          <w:vertAlign w:val="superscript"/>
        </w:rPr>
        <w:footnoteReference w:id="42"/>
      </w:r>
      <w:r w:rsidRPr="00445472">
        <w:t xml:space="preserve"> duke përdorur të dhëna nga një kërkim i zgjeruar ndërkombëtar,  dalin në përfundimin se turistët përdorin mesatarisht 174 litra ujë në natë në një kamping, 281 litra ujë në natë për dhomë dhe 294 litra ujë në natë në një hotel. Kjo rezulton në një mesatare vjetore të konsumit të ujit në një kamping prej 14,200 m</w:t>
      </w:r>
      <w:r w:rsidRPr="00445472">
        <w:rPr>
          <w:vertAlign w:val="superscript"/>
        </w:rPr>
        <w:t>3</w:t>
      </w:r>
      <w:r w:rsidRPr="00445472">
        <w:t xml:space="preserve"> ujë, për dhomë prej 944 m</w:t>
      </w:r>
      <w:r w:rsidRPr="00445472">
        <w:rPr>
          <w:vertAlign w:val="superscript"/>
        </w:rPr>
        <w:t>3</w:t>
      </w:r>
      <w:r w:rsidRPr="00445472">
        <w:t xml:space="preserve"> dhe në një hotel prej 9,713</w:t>
      </w:r>
      <w:r w:rsidR="00084DB9" w:rsidRPr="00445472">
        <w:t xml:space="preserve"> </w:t>
      </w:r>
      <w:r w:rsidRPr="00445472">
        <w:t>m</w:t>
      </w:r>
      <w:r w:rsidRPr="00445472">
        <w:rPr>
          <w:vertAlign w:val="superscript"/>
        </w:rPr>
        <w:t>3</w:t>
      </w:r>
      <w:r w:rsidRPr="00445472">
        <w:t>. Në këto ndërtesa (përfshirë të 3 kategoritë) mesatarja e konsumit të ujit në kafene apo lokale është rreth 35 litra për çdo vizitor. Në vendet e fjetjes ku ka pishinë, vizitorët përdorin mesatarisht 60 litra më shumë ujë për qëndrimin gjatë një nate krahasuar me ndërtesat që nuk kanë pishinë. Është vlerësuar se turistët të cilët vizitojnë vendet mesdhetare (të cilët mund të përdoren si referencë për Adriatikun) konsumojnë një mesatare rreth 300 dhe 880 litra ujë në ditë (në varësi të vlerësimit me yje), sasi e dyfishuar në krahasim me banorët vendas. Të dhënat e lartpërmendura qartësojnë se në shumë rajone turistike, sektori i turizmit është konsumator shumë i rëndësishëm i ujit të ëmbël dhe në rast të mungesës së furnizimit me ujë në këto rajone shkaktohet një disbalancë e madhe e kërkesës për furnizimin me ujë.</w:t>
      </w:r>
    </w:p>
    <w:p w14:paraId="1BAAF490" w14:textId="79EC8F7D" w:rsidR="005D784C" w:rsidRPr="00445472" w:rsidRDefault="006F3360" w:rsidP="005D784C">
      <w:pPr>
        <w:pStyle w:val="TEKSTIIII"/>
      </w:pPr>
      <w:r>
        <w:t xml:space="preserve">- </w:t>
      </w:r>
      <w:r w:rsidR="005D784C" w:rsidRPr="00445472">
        <w:t>Kërkesë më e lartë për ujë si pasojë e faciliteteve të turizmit.</w:t>
      </w:r>
    </w:p>
    <w:p w14:paraId="08750950" w14:textId="1E7B2EE7" w:rsidR="005D784C" w:rsidRPr="00445472" w:rsidRDefault="005D784C" w:rsidP="005D784C">
      <w:pPr>
        <w:pStyle w:val="TEKSTIIII"/>
      </w:pPr>
      <w:r w:rsidRPr="00445472">
        <w:t>Ka një shumëllojshmëri të faciliteteve të ndërtimit dhe turizmit (p</w:t>
      </w:r>
      <w:r w:rsidR="00084DB9" w:rsidRPr="00445472">
        <w:t>.</w:t>
      </w:r>
      <w:r w:rsidRPr="00445472">
        <w:t>sh.</w:t>
      </w:r>
      <w:r w:rsidR="00084DB9" w:rsidRPr="00445472">
        <w:t>:</w:t>
      </w:r>
      <w:r w:rsidRPr="00445472">
        <w:t xml:space="preserve"> pishina, fusha golfi, parqe ujore, peizazhet e gjera)</w:t>
      </w:r>
      <w:r w:rsidR="00084DB9" w:rsidRPr="00445472">
        <w:t>,</w:t>
      </w:r>
      <w:r w:rsidRPr="00445472">
        <w:t xml:space="preserve"> të cilat kanë një kërkesë të shtuar për ujë. Kjo do të thotë 20% për hotelet, për vendet e kampingut 40% më shumë konsum dhe kosto se në bizneset e kolegëve pa pishinë (Ekologjik 2007)</w:t>
      </w:r>
      <w:r w:rsidRPr="00445472">
        <w:rPr>
          <w:vertAlign w:val="superscript"/>
        </w:rPr>
        <w:footnoteReference w:id="43"/>
      </w:r>
      <w:r w:rsidRPr="00445472">
        <w:t>.</w:t>
      </w:r>
    </w:p>
    <w:p w14:paraId="61CAC965" w14:textId="0DF879B8" w:rsidR="005D784C" w:rsidRPr="00445472" w:rsidRDefault="006F3360" w:rsidP="005D784C">
      <w:pPr>
        <w:pStyle w:val="TEKSTIIII"/>
      </w:pPr>
      <w:r>
        <w:t xml:space="preserve">- </w:t>
      </w:r>
      <w:r w:rsidR="005D784C" w:rsidRPr="00445472">
        <w:t>Kërkesë më e lartë për ujë si pasojë e urbanizimit të zonave turistike.</w:t>
      </w:r>
    </w:p>
    <w:p w14:paraId="3B9D1670" w14:textId="392D79C6" w:rsidR="005D784C" w:rsidRPr="00445472" w:rsidRDefault="005D784C" w:rsidP="005D784C">
      <w:pPr>
        <w:pStyle w:val="TEKSTIIII"/>
      </w:pPr>
      <w:r w:rsidRPr="00445472">
        <w:t>Në shumicën e rasteve, zhvillimi i turizmit imponon urbanizimin e zonave turistike. Turistët kanë nevojë për shumë shërbime dhe facilitete si transporti, tregtia, veprime bankare, posta, spitalet, aktivitete të kohës së lirë</w:t>
      </w:r>
      <w:r w:rsidR="00084DB9" w:rsidRPr="00445472">
        <w:t xml:space="preserve"> etj.</w:t>
      </w:r>
      <w:r w:rsidRPr="00445472">
        <w:t>, të cilat ofrohen nga njerëzit të cilëve u duhet të jetojnë në zonat turistike. Kjo çon në rritje të popullsisë vendase (të paktën gjatë sezonit turistik), gjë që ndikon jo vetëm kërkesën për ujë por edhe përdorimin e tokës. Më shumë presion te burimet ujore dhe tokat shkaktohet nga shtimi i shtëpive të dyta në rajonet bregdetare dhe në brendësi gjatë dekadave të shkuara.</w:t>
      </w:r>
    </w:p>
    <w:p w14:paraId="09719027" w14:textId="657D1A21" w:rsidR="005D784C" w:rsidRPr="00445472" w:rsidRDefault="005D784C" w:rsidP="006F3360">
      <w:pPr>
        <w:pStyle w:val="TEKSTIIII"/>
        <w:numPr>
          <w:ilvl w:val="0"/>
          <w:numId w:val="55"/>
        </w:numPr>
      </w:pPr>
      <w:r w:rsidRPr="00445472">
        <w:t>Kërkesë më e lartë për ujë si pasojë e aktiviteteve në mbështetje të turizmit.</w:t>
      </w:r>
    </w:p>
    <w:p w14:paraId="64B3EBD4" w14:textId="77777777" w:rsidR="005D784C" w:rsidRPr="00445472" w:rsidRDefault="005D784C" w:rsidP="005D784C">
      <w:pPr>
        <w:pStyle w:val="TEKSTIIII"/>
      </w:pPr>
      <w:r w:rsidRPr="00445472">
        <w:t>Në shumë zona turistike zhvillimi i turizmit mund të shkaktojë një shtim aktivitetesh si ndërtimin dhe bujqësinë intensive të cilat përdorin më shumë ujë se në rastin kur nuk ka turizëm.</w:t>
      </w:r>
    </w:p>
    <w:p w14:paraId="54B92ACF" w14:textId="77777777" w:rsidR="005D784C" w:rsidRPr="00445472" w:rsidRDefault="005D784C" w:rsidP="005D784C">
      <w:pPr>
        <w:pStyle w:val="TEKSTIIII"/>
        <w:rPr>
          <w:b/>
        </w:rPr>
      </w:pPr>
      <w:r w:rsidRPr="00445472">
        <w:rPr>
          <w:b/>
        </w:rPr>
        <w:t>Ndikimi i turizmit në burimet ujore</w:t>
      </w:r>
    </w:p>
    <w:p w14:paraId="5EAC199E" w14:textId="145BF330" w:rsidR="005D784C" w:rsidRPr="00445472" w:rsidRDefault="00F15174" w:rsidP="005D784C">
      <w:pPr>
        <w:pStyle w:val="TEKSTIIII"/>
      </w:pPr>
      <w:r>
        <w:t xml:space="preserve">- </w:t>
      </w:r>
      <w:r w:rsidR="005D784C" w:rsidRPr="00445472">
        <w:t>Shfrytëzimi i tepruar i ujërave nëntokësorë.</w:t>
      </w:r>
    </w:p>
    <w:p w14:paraId="0B5FBB1D" w14:textId="33C8126E" w:rsidR="005D784C" w:rsidRPr="00445472" w:rsidRDefault="005D784C" w:rsidP="005D784C">
      <w:pPr>
        <w:pStyle w:val="TEKSTIIII"/>
      </w:pPr>
      <w:r w:rsidRPr="00445472">
        <w:t>Në shumë rajone bregdetare, burimi kryesor i ujit të freskët janë ujërat nëntokësor</w:t>
      </w:r>
      <w:r w:rsidR="00B10A7B" w:rsidRPr="00445472">
        <w:t>e</w:t>
      </w:r>
      <w:r w:rsidRPr="00445472">
        <w:t xml:space="preserve"> dhe jo ujërat sipërfaqësor</w:t>
      </w:r>
      <w:r w:rsidR="00B10A7B" w:rsidRPr="00445472">
        <w:t>e</w:t>
      </w:r>
      <w:r w:rsidRPr="00445472">
        <w:t>. Për shembull, shumë studime dhe raporte tregojnë se shfrytëzimi i tepruar i ujërave nëntokësorë është i konsiderueshëm në shumë destinacione turistike (AEM 2003)</w:t>
      </w:r>
      <w:r w:rsidRPr="00445472">
        <w:rPr>
          <w:vertAlign w:val="superscript"/>
        </w:rPr>
        <w:footnoteReference w:id="44"/>
      </w:r>
      <w:r w:rsidRPr="00445472">
        <w:t>. Kjo nënkupton se volumi i ujit nëntokësor të nxjerrë nuk mund të rigjenerohet dhe nëse vazhdohet po me të njëjtin ritëm, ujërat nëntokësorë do të zhduken. Për më tepër, shfrytëzimi i tepruar i ujërave nëntokësor</w:t>
      </w:r>
      <w:r w:rsidR="00B10A7B" w:rsidRPr="00445472">
        <w:t>e</w:t>
      </w:r>
      <w:r w:rsidRPr="00445472">
        <w:t xml:space="preserve"> shkakton infiltrimin e ujërave të kripur</w:t>
      </w:r>
      <w:r w:rsidR="00B10A7B" w:rsidRPr="00445472">
        <w:t>a,</w:t>
      </w:r>
      <w:r w:rsidRPr="00445472">
        <w:t xml:space="preserve"> i cili ka ndikim negativ në cilësinë e ujit të pijshëm dhe rrit kripësinë e tokës bujqësore që çon në uljen e prodhimeve dhe/ose rritjen e përdorimit të plehut. E fundit por jo më pak e rëndësishme,  janë ligatinat, dinamika hidrologjike e të cilave lidhet drejtpërdrejtë me akuiferët.</w:t>
      </w:r>
    </w:p>
    <w:p w14:paraId="7299EC8C" w14:textId="4D253F3F" w:rsidR="005D784C" w:rsidRPr="00445472" w:rsidRDefault="00F15174" w:rsidP="005D784C">
      <w:pPr>
        <w:pStyle w:val="TEKSTIIII"/>
      </w:pPr>
      <w:r>
        <w:t xml:space="preserve">- </w:t>
      </w:r>
      <w:r w:rsidR="005D784C" w:rsidRPr="00445472">
        <w:t>Përkeqësimi i cilësisë së ujit.</w:t>
      </w:r>
    </w:p>
    <w:p w14:paraId="1614ACB9" w14:textId="38DC3CA4" w:rsidR="005D784C" w:rsidRPr="00445472" w:rsidRDefault="005D784C" w:rsidP="005D784C">
      <w:pPr>
        <w:pStyle w:val="TEKSTIIII"/>
      </w:pPr>
      <w:r w:rsidRPr="00445472">
        <w:t xml:space="preserve">Ndotja e ujërave sipërfaqësorë dhe nëntokësorë në zonat turistike mund të shkaktohet nga urbanizimi, </w:t>
      </w:r>
      <w:r w:rsidR="00084DB9" w:rsidRPr="00445472">
        <w:t>lëndët</w:t>
      </w:r>
      <w:r w:rsidRPr="00445472">
        <w:t xml:space="preserve"> e ngurta, bujqësia dhe aktivitete të tjera ekonomike ose nga pamjaftu</w:t>
      </w:r>
      <w:r w:rsidR="00084DB9" w:rsidRPr="00445472">
        <w:t>e</w:t>
      </w:r>
      <w:r w:rsidRPr="00445472">
        <w:t>shmëria apo mungesa e trajtimit të ujërave të ndotur. Në shumë zona turistike, hotelet dhe facilitetet e tjera nuk kanë plane trajtimi të tyret dhe nuk janë të lidhura me asnjë sistem kanalizimi. Në raste të tjera, rritja e ujërave të ndotur gjatë sezonit turistik nuk mund të mbulohet nga sistemi publik i trajtimit për shkak të kapacitetit të kufizuar i cili ul efektivitetin e trajtimit. Ndotja e ujërave sipërfaqësorë dhe nëntokësorë ka ndikim negativ në cilësinë e ujit të freskët por gjithashtu në ujin e ligatinave dhe gjithashtu të deteve. Sipas AEM (2000)</w:t>
      </w:r>
      <w:r w:rsidRPr="00445472">
        <w:rPr>
          <w:vertAlign w:val="superscript"/>
        </w:rPr>
        <w:footnoteReference w:id="45"/>
      </w:r>
      <w:r w:rsidRPr="00445472">
        <w:t>, turizmi kontribuon me 7% të të gjithë popullsisë së pellgut të Mesdheut, me një shifër të ngjashme ose më të lartë (si pasojë e faciliteteve të trajtimit të ujërave të ndotura) të parashikuar në detin Adriatik.</w:t>
      </w:r>
    </w:p>
    <w:p w14:paraId="6A3CE365" w14:textId="28F82423" w:rsidR="005D784C" w:rsidRPr="00445472" w:rsidRDefault="00F15174" w:rsidP="005D784C">
      <w:pPr>
        <w:pStyle w:val="TEKSTIIII"/>
      </w:pPr>
      <w:r>
        <w:t xml:space="preserve">- </w:t>
      </w:r>
      <w:r w:rsidR="005D784C" w:rsidRPr="00445472">
        <w:t>Rritje e investimeve për menaxhimin e ujit.</w:t>
      </w:r>
    </w:p>
    <w:p w14:paraId="3CEC7CD2" w14:textId="77777777" w:rsidR="005D784C" w:rsidRPr="00445472" w:rsidRDefault="005D784C" w:rsidP="005D784C">
      <w:pPr>
        <w:pStyle w:val="TEKSTIIII"/>
      </w:pPr>
      <w:r w:rsidRPr="00445472">
        <w:t>Në mënyrë që të përmbushet kërkesa e lartë për ujë për shkak të turizmit, autoritetet publike (vendase, rajonale ose kombëtare) detyrohen të investojnë para në projekte të ndryshme si, studime, diga, shpime, plane të reja hidrologjike, zgjerimi apo rigjenerimi i rrjeteve të furnizimit me ujë. Përveç problemeve me financimin publik, disa projekte, si digat, janë shpesh shkaktare të problemeve të rënda mjedisore.</w:t>
      </w:r>
    </w:p>
    <w:p w14:paraId="0159F51A" w14:textId="528F1ACC" w:rsidR="005D784C" w:rsidRPr="00445472" w:rsidRDefault="00F15174" w:rsidP="005D784C">
      <w:pPr>
        <w:pStyle w:val="TEKSTIIII"/>
      </w:pPr>
      <w:r>
        <w:t xml:space="preserve">- </w:t>
      </w:r>
      <w:r w:rsidR="005D784C" w:rsidRPr="00445472">
        <w:t>Presion mbi zonat e ligatinave dhe sistemeve të tjera ujore.</w:t>
      </w:r>
    </w:p>
    <w:p w14:paraId="731C9666" w14:textId="03EE5113" w:rsidR="005D784C" w:rsidRPr="00445472" w:rsidRDefault="005D784C" w:rsidP="005D784C">
      <w:pPr>
        <w:pStyle w:val="TEKSTIIII"/>
      </w:pPr>
      <w:r w:rsidRPr="00445472">
        <w:t>Ligatinat edhe ekosistemet detare janë që të dyja në rrezik, për shkak të aktiviteteve të turizmit si ndërtimi i hoteleve, infrastruktura, urbanizimi, konsumi i ujit, ndotja e ujit, mbetjet e ngurta, shfrytëzimi i zonave të mbrojtura dhe specieve për arsye turistike</w:t>
      </w:r>
      <w:r w:rsidR="00084DB9" w:rsidRPr="00445472">
        <w:t xml:space="preserve"> etj.</w:t>
      </w:r>
      <w:r w:rsidRPr="00445472">
        <w:t xml:space="preserve"> </w:t>
      </w:r>
    </w:p>
    <w:p w14:paraId="09133DED" w14:textId="2381A947" w:rsidR="005D784C" w:rsidRPr="00445472" w:rsidRDefault="00B14B93" w:rsidP="00B14B93">
      <w:pPr>
        <w:pStyle w:val="NENTITULL"/>
      </w:pPr>
      <w:bookmarkStart w:id="71" w:name="_Toc11068768"/>
      <w:r w:rsidRPr="00445472">
        <w:t xml:space="preserve">4.1.8 </w:t>
      </w:r>
      <w:r w:rsidR="005D784C" w:rsidRPr="00445472">
        <w:t>Konkluzionet dhe kontradiktat e mundshme</w:t>
      </w:r>
      <w:bookmarkEnd w:id="71"/>
    </w:p>
    <w:p w14:paraId="423B6FA2" w14:textId="5332744D" w:rsidR="005D784C" w:rsidRPr="00445472" w:rsidRDefault="005D784C" w:rsidP="005D784C">
      <w:pPr>
        <w:pStyle w:val="TEKSTIIII"/>
      </w:pPr>
      <w:r w:rsidRPr="00445472">
        <w:t>Është interesante që nga këndvështrimi i rrezikut të ndotjes si nga burimet e përdorueseve urban, industrial dhe nga ndotja e burimeve të shpërndara nga bujqësia, pritet që të dy</w:t>
      </w:r>
      <w:r w:rsidR="00554D3B">
        <w:t>ja</w:t>
      </w:r>
      <w:r w:rsidRPr="00445472">
        <w:t xml:space="preserve"> kategoritë, ujërat sipërfaqësor</w:t>
      </w:r>
      <w:r w:rsidR="00B10A7B" w:rsidRPr="00445472">
        <w:t>e</w:t>
      </w:r>
      <w:r w:rsidRPr="00445472">
        <w:t xml:space="preserve"> dhe ata nëntokësor</w:t>
      </w:r>
      <w:r w:rsidR="00B10A7B" w:rsidRPr="00445472">
        <w:t>e</w:t>
      </w:r>
      <w:r w:rsidRPr="00445472">
        <w:t xml:space="preserve"> të ndikohen ndjeshëm. Megjithatë, të dhënat për cilësinë e ujërave sipërfaqësor</w:t>
      </w:r>
      <w:r w:rsidR="00B10A7B" w:rsidRPr="00445472">
        <w:t>e</w:t>
      </w:r>
      <w:r w:rsidRPr="00445472">
        <w:t xml:space="preserve"> dhe të ujërave nëntokësorë nuk pasqyrojnë tërësisht këtë fakt, p.sh. rezultatet e monitorimit të ujërave sipërfaqësor</w:t>
      </w:r>
      <w:r w:rsidR="00B10A7B" w:rsidRPr="00445472">
        <w:t>e</w:t>
      </w:r>
      <w:r w:rsidRPr="00445472">
        <w:t xml:space="preserve"> tregojnë se cilësia është përgjithësisht e mirë, me përjashtim të seksionit Drini</w:t>
      </w:r>
      <w:r w:rsidR="001F68B2" w:rsidRPr="00445472">
        <w:t>–</w:t>
      </w:r>
      <w:r w:rsidRPr="00445472">
        <w:t>Lezhë dhe stacionit Topojan në Drinin e Zi. Në mënyrë të ngjashme, për ujërat nëntokësor</w:t>
      </w:r>
      <w:r w:rsidR="00B10A7B" w:rsidRPr="00445472">
        <w:t>e</w:t>
      </w:r>
      <w:r w:rsidRPr="00445472">
        <w:t xml:space="preserve">, cilësia e ujit të 4 llojeve kryesore të akuiferëve është përgjithësisht e pranueshme për </w:t>
      </w:r>
      <w:r w:rsidR="00B139CF" w:rsidRPr="00445472">
        <w:t>t’u</w:t>
      </w:r>
      <w:r w:rsidRPr="00445472">
        <w:t xml:space="preserve"> përdorur si burim i ujit të pijshëm sipas rezultateve të monitorimit.</w:t>
      </w:r>
    </w:p>
    <w:p w14:paraId="7D367F14" w14:textId="2CEA57A1" w:rsidR="005D784C" w:rsidRPr="00445472" w:rsidRDefault="005D784C" w:rsidP="005D784C">
      <w:pPr>
        <w:pStyle w:val="TEKSTIIII"/>
      </w:pPr>
      <w:r w:rsidRPr="00445472">
        <w:t>Për të konfirmuar rezultatet e cilësisë së ujit, projekti ka përdorur, përmes punës në terren, një metodologji të shpejtë të vlerësimit biologjik (</w:t>
      </w:r>
      <w:r w:rsidR="00316F21">
        <w:t>VSHB</w:t>
      </w:r>
      <w:r w:rsidRPr="00445472">
        <w:t xml:space="preserve">) që është përdorur deri më sot në shumë vende të BE-së. Metoda </w:t>
      </w:r>
      <w:r w:rsidR="00316F21">
        <w:t>VSHB</w:t>
      </w:r>
      <w:r w:rsidR="001F68B2" w:rsidRPr="00445472">
        <w:t xml:space="preserve"> </w:t>
      </w:r>
      <w:r w:rsidRPr="00445472">
        <w:t>siguron një vlerësim të specieve biologjike aktuale në ujërat sipërfaqësore dhe në këtë mënyrë nxjerr në pah çdo zonë të ndikuar nga ndotja, pavarësisht nga burimi (</w:t>
      </w:r>
      <w:r w:rsidR="00084DB9" w:rsidRPr="00445472">
        <w:t xml:space="preserve">shih seksionin </w:t>
      </w:r>
      <w:r w:rsidRPr="00445472">
        <w:t xml:space="preserve">7.2 dhe </w:t>
      </w:r>
      <w:r w:rsidR="00084DB9" w:rsidRPr="00445472">
        <w:t xml:space="preserve">shtojcën </w:t>
      </w:r>
      <w:r w:rsidRPr="00445472">
        <w:t>2).</w:t>
      </w:r>
    </w:p>
    <w:p w14:paraId="2EB60B51" w14:textId="0B3FA0C0" w:rsidR="005D784C" w:rsidRPr="00445472" w:rsidRDefault="00B14B93" w:rsidP="00B14B93">
      <w:pPr>
        <w:pStyle w:val="NENTITULL"/>
      </w:pPr>
      <w:bookmarkStart w:id="72" w:name="_Toc486503392"/>
      <w:bookmarkStart w:id="73" w:name="_Toc11068769"/>
      <w:r w:rsidRPr="00445472">
        <w:t xml:space="preserve">4.2 </w:t>
      </w:r>
      <w:r w:rsidR="005D784C" w:rsidRPr="00445472">
        <w:t xml:space="preserve">Ndikimi i kushteve hidrologjike aktuale dhe të ardhshme në Basenin Ujor </w:t>
      </w:r>
      <w:bookmarkEnd w:id="72"/>
      <w:r w:rsidR="007E76E3" w:rsidRPr="00445472">
        <w:t>Drin–Bunë</w:t>
      </w:r>
      <w:bookmarkEnd w:id="73"/>
    </w:p>
    <w:p w14:paraId="18DCEF61" w14:textId="4904806D" w:rsidR="005D784C" w:rsidRPr="00445472" w:rsidRDefault="005D784C" w:rsidP="005D784C">
      <w:pPr>
        <w:pStyle w:val="TEKSTIIII"/>
        <w:rPr>
          <w:lang w:eastAsia="da-DK"/>
        </w:rPr>
      </w:pPr>
      <w:r w:rsidRPr="00445472">
        <w:rPr>
          <w:lang w:eastAsia="da-DK"/>
        </w:rPr>
        <w:t xml:space="preserve">Termat e referencës për përgatitjen e Planit të Menaxhimit të Basenit Ujor </w:t>
      </w:r>
      <w:r w:rsidR="007E76E3" w:rsidRPr="00445472">
        <w:rPr>
          <w:lang w:eastAsia="da-DK"/>
        </w:rPr>
        <w:t>Drin–Bunë</w:t>
      </w:r>
      <w:r w:rsidRPr="00445472">
        <w:rPr>
          <w:lang w:eastAsia="da-DK"/>
        </w:rPr>
        <w:t xml:space="preserve"> kërkojnë vlerësimin e balancave të burimeve ujore për basenin. Vlerësimi duhet të përfshijë sa më poshtë:</w:t>
      </w:r>
    </w:p>
    <w:p w14:paraId="6ED8249E" w14:textId="6DEB21DF" w:rsidR="005D784C" w:rsidRPr="00445472" w:rsidRDefault="00A41C61" w:rsidP="005D784C">
      <w:pPr>
        <w:pStyle w:val="TEKSTIIII"/>
      </w:pPr>
      <w:r>
        <w:t xml:space="preserve">- </w:t>
      </w:r>
      <w:r w:rsidR="005D784C" w:rsidRPr="00445472">
        <w:t>Një vlerësim të disponueshmërisë së ujërave sipërfaqësore dhe ujërave nëntokësore në shkallët kohore vjetore dhe sezonale.</w:t>
      </w:r>
    </w:p>
    <w:p w14:paraId="7501AD11" w14:textId="707F55C7" w:rsidR="005D784C" w:rsidRPr="00445472" w:rsidRDefault="00A41C61" w:rsidP="005D784C">
      <w:pPr>
        <w:pStyle w:val="TEKSTIIII"/>
      </w:pPr>
      <w:r>
        <w:t xml:space="preserve">- </w:t>
      </w:r>
      <w:r w:rsidR="005D784C" w:rsidRPr="00445472">
        <w:t>Vlerësimet e kërkesave aktuale dhe të ardhshme të ujit për konsum nga sektorët kryesorë të përdorimit të ujit, duke përfshirë kërkesat e prurjeve ekologjike dhe mjedisore.</w:t>
      </w:r>
    </w:p>
    <w:p w14:paraId="5C596620" w14:textId="600AB78A" w:rsidR="005D784C" w:rsidRPr="00445472" w:rsidRDefault="00A41C61" w:rsidP="005D784C">
      <w:pPr>
        <w:pStyle w:val="TEKSTIIII"/>
      </w:pPr>
      <w:r>
        <w:t xml:space="preserve">- </w:t>
      </w:r>
      <w:r w:rsidR="005D784C" w:rsidRPr="00445472">
        <w:t xml:space="preserve">Vlerësimet e kërkesave të prurjes së lumenjve për përdorime të tilla si hidrocentralet, transporti detar, peshkimi dhe turizmi, sipas rastit, të cilat nuk e </w:t>
      </w:r>
      <w:r w:rsidR="005D784C" w:rsidRPr="00A41C61">
        <w:t>konumojnë ujin.</w:t>
      </w:r>
    </w:p>
    <w:p w14:paraId="6CAFCAB0" w14:textId="163019E7" w:rsidR="005D784C" w:rsidRPr="00445472" w:rsidRDefault="00A41C61" w:rsidP="005D784C">
      <w:pPr>
        <w:pStyle w:val="TEKSTIIII"/>
        <w:rPr>
          <w:lang w:eastAsia="da-DK"/>
        </w:rPr>
      </w:pPr>
      <w:r>
        <w:t xml:space="preserve">- </w:t>
      </w:r>
      <w:r w:rsidR="005D784C" w:rsidRPr="00445472">
        <w:rPr>
          <w:lang w:eastAsia="da-DK"/>
        </w:rPr>
        <w:t>Përveç kësaj, vlerësimet e bilancit të ujit duhet të marrin parasysh ndryshimet në prurjet e lumit për shkak të ndikimeve të parashikuara të ndryshimeve klimatike.</w:t>
      </w:r>
    </w:p>
    <w:p w14:paraId="2EFFC5D0" w14:textId="51114395" w:rsidR="005D784C" w:rsidRPr="00445472" w:rsidRDefault="005D784C" w:rsidP="005D784C">
      <w:pPr>
        <w:pStyle w:val="TEKSTIIII"/>
        <w:rPr>
          <w:lang w:eastAsia="da-DK"/>
        </w:rPr>
      </w:pPr>
      <w:r w:rsidRPr="00445472">
        <w:rPr>
          <w:lang w:eastAsia="da-DK"/>
        </w:rPr>
        <w:t xml:space="preserve">Për </w:t>
      </w:r>
      <w:r w:rsidR="001F68B2" w:rsidRPr="00445472">
        <w:rPr>
          <w:lang w:eastAsia="da-DK"/>
        </w:rPr>
        <w:t>t’i</w:t>
      </w:r>
      <w:r w:rsidRPr="00445472">
        <w:rPr>
          <w:lang w:eastAsia="da-DK"/>
        </w:rPr>
        <w:t xml:space="preserve"> adresuar këto pyetje, janë përgatitur katër skenarë:</w:t>
      </w:r>
    </w:p>
    <w:p w14:paraId="25548A6A" w14:textId="72778AE4" w:rsidR="005D784C" w:rsidRPr="00445472" w:rsidRDefault="00A41C61" w:rsidP="005D784C">
      <w:pPr>
        <w:pStyle w:val="TEKSTIIII"/>
      </w:pPr>
      <w:r>
        <w:t xml:space="preserve">- </w:t>
      </w:r>
      <w:r w:rsidR="005D784C" w:rsidRPr="00445472">
        <w:rPr>
          <w:b/>
          <w:i/>
        </w:rPr>
        <w:t xml:space="preserve">Klima aktuale, kërkesat aktuale: </w:t>
      </w:r>
      <w:r w:rsidR="005D784C" w:rsidRPr="00445472">
        <w:t>Ky skenar supozon se kushtet hidrologjike që ndikojnë në disponueshmërinë e ujërave sipërfaqësorë dhe të ujërave nëntokësorë janë të ngjashme me kushtet që janë vërejtur në të dhënat historike të kohëve të fundit. Kërkesat për konsum dhe ato nga aktivitetet që nuk e konsumojnë ujin janë të barabarta me kërkesat aktuale. Ky skenar krijon një bazë të përafrimit të kushteve të tanishme që përdoret për të vlerësuar ndikimin e ndryshimeve që priten në të ardhmen.</w:t>
      </w:r>
    </w:p>
    <w:p w14:paraId="374ED3C8" w14:textId="6F1851D3" w:rsidR="005D784C" w:rsidRPr="00445472" w:rsidRDefault="00A41C61" w:rsidP="005D784C">
      <w:pPr>
        <w:pStyle w:val="TEKSTIIII"/>
      </w:pPr>
      <w:r>
        <w:t xml:space="preserve">- </w:t>
      </w:r>
      <w:r w:rsidR="005D784C" w:rsidRPr="00445472">
        <w:rPr>
          <w:b/>
          <w:i/>
        </w:rPr>
        <w:t xml:space="preserve">Klima aktuale, kërkesat e ardhshme: </w:t>
      </w:r>
      <w:r w:rsidR="005D784C" w:rsidRPr="00445472">
        <w:t>Ky skenar gjithashtu supozon se kushtet hidrologjike që ndikojnë në disponueshmërinë e ujërave sipërfaqësore dhe të ujërave nëntokësore janë të ngjashme me kushtet që janë vërejtur në të dhënat e fundit historike. Kërkesat për konsum dhe ato nga aktivitetet që nuk e konsumojnë ujin janë të barabarta me kërkesat e ardhshme të parashikuara. Ky skenar vlerëson ndikimin e rritjes së kërkesës në bilancin e ujit të basenit nëse nuk bëhen ndryshime të rëndësishme në klimë.</w:t>
      </w:r>
    </w:p>
    <w:p w14:paraId="661F803D" w14:textId="1307F561" w:rsidR="005D784C" w:rsidRPr="00445472" w:rsidRDefault="00A41C61" w:rsidP="005D784C">
      <w:pPr>
        <w:pStyle w:val="TEKSTIIII"/>
      </w:pPr>
      <w:r>
        <w:t xml:space="preserve">- </w:t>
      </w:r>
      <w:r w:rsidR="005D784C" w:rsidRPr="00445472">
        <w:rPr>
          <w:b/>
          <w:i/>
        </w:rPr>
        <w:t xml:space="preserve">Klima e ardhshme, kërkesat aktuale: </w:t>
      </w:r>
      <w:r w:rsidR="005D784C" w:rsidRPr="00445472">
        <w:t>Ky skenar supozon se kushtet hidrologjike që ndikojnë në disponueshmërinë e ujit sipërfaqësor dhe të ujërave nëntokësorë pasqyrojnë ndryshimet në klimën që mund të pritet në të ardhmen. Ndryshimet klimatike vlerësohen duke përdorur modele klimatike globale dhe rajonale. Kërkesat për konsum dhe ato nga aktivitetet që nuk e konsumojnë ujin supozohen të jenë të barabarta me kërkesat aktuale, përveç në sektorin e ujitjes, ku supozohet se ndryshimet e kërkesave për përdorimin e ujit të konsumueshëm për shkak të ndryshimeve të reshjeve dhe avullimit që rezultojnë nga ndryshimet klimatike. Ky skenar vlerëson ndikimin e ndryshimeve klimatike në bilancin e ujërave të basenit, duke mos marrë parasysh asnjë ndryshim tjetër në kërkesat e ujit.</w:t>
      </w:r>
    </w:p>
    <w:p w14:paraId="6187832B" w14:textId="335D491B" w:rsidR="005D784C" w:rsidRPr="00445472" w:rsidRDefault="00A41C61" w:rsidP="005D784C">
      <w:pPr>
        <w:pStyle w:val="TEKSTIIII"/>
      </w:pPr>
      <w:r>
        <w:t xml:space="preserve">- </w:t>
      </w:r>
      <w:r w:rsidR="005D784C" w:rsidRPr="00445472">
        <w:rPr>
          <w:b/>
          <w:i/>
        </w:rPr>
        <w:t xml:space="preserve">Klima e ardhshme, kërkesat e ardhshme: </w:t>
      </w:r>
      <w:r w:rsidR="005D784C" w:rsidRPr="00445472">
        <w:t>Ky skenar supozon se ndryshimi i klimës do të ndikojë në kushtet hidrologjike dhe se kërkesat konsum dhe ato nga aktivitetet që nuk e konsumojnë ujin do të ndryshojnë gjithashtu në të ardhmen. Ky skenar vlerëson ndikimin e përbashkët të ndryshimeve klimatike dhe ndryshimet në modelet e kërkesës.</w:t>
      </w:r>
    </w:p>
    <w:p w14:paraId="26BFEEC0" w14:textId="14A4A695" w:rsidR="005D784C" w:rsidRPr="00445472" w:rsidRDefault="005D784C" w:rsidP="005D784C">
      <w:pPr>
        <w:pStyle w:val="TEKSTIIII"/>
      </w:pPr>
      <w:r w:rsidRPr="00445472">
        <w:t xml:space="preserve">Të katër skenarët janë zbatuar në një model simulimi të basenit që është zhvilluar duke përdorur softuerin modelues </w:t>
      </w:r>
      <w:r w:rsidR="000A1B7F" w:rsidRPr="000A1B7F">
        <w:t>Mike Hydro</w:t>
      </w:r>
      <w:r w:rsidR="000A1B7F" w:rsidRPr="00445472">
        <w:t xml:space="preserve"> </w:t>
      </w:r>
      <w:r w:rsidRPr="00445472">
        <w:t>Basin. Modeli i simulimit përdoret për të vlerësuar ndikimin e ndryshimeve në klimë dhe supozimet e kërkesës në balancat e ujërave të basenit. Detajet e strukturës së modelit dhe kalibrimit janë në dispozicion nga MBZH</w:t>
      </w:r>
      <w:r w:rsidR="001F68B2" w:rsidRPr="00445472">
        <w:t>-ja</w:t>
      </w:r>
      <w:r w:rsidRPr="00445472">
        <w:t xml:space="preserve"> sipas kërkesës. Supozimet për secilin skenar janë paraqitur në </w:t>
      </w:r>
      <w:r w:rsidR="000A1B7F" w:rsidRPr="00445472">
        <w:t xml:space="preserve">tabelën </w:t>
      </w:r>
      <w:r w:rsidRPr="00445472">
        <w:t>4.1.</w:t>
      </w:r>
    </w:p>
    <w:p w14:paraId="2C370555" w14:textId="77777777" w:rsidR="005D784C" w:rsidRPr="00445472" w:rsidRDefault="005D784C" w:rsidP="005D784C">
      <w:pPr>
        <w:pStyle w:val="TEKSTIIII"/>
      </w:pPr>
    </w:p>
    <w:p w14:paraId="55D44F97" w14:textId="3223338E" w:rsidR="005D784C" w:rsidRPr="00445472" w:rsidRDefault="005D784C" w:rsidP="005D04C8">
      <w:pPr>
        <w:pStyle w:val="NENTITULL"/>
      </w:pPr>
      <w:r w:rsidRPr="00445472">
        <w:t xml:space="preserve">Tabela 4.1: Supozimet e skenarit për të dhënat në modelin e basenit </w:t>
      </w:r>
      <w:r w:rsidR="000A1B7F" w:rsidRPr="00445472">
        <w:t>Mike Hydro</w:t>
      </w:r>
      <w:r w:rsidRPr="00445472">
        <w:rPr>
          <w:rStyle w:val="FootnoteReference"/>
          <w:rFonts w:ascii="Garamond" w:hAnsi="Garamond"/>
          <w:b w:val="0"/>
          <w:color w:val="auto"/>
        </w:rPr>
        <w:footnoteReference w:id="46"/>
      </w:r>
    </w:p>
    <w:p w14:paraId="4CFE3928" w14:textId="77777777" w:rsidR="005D784C" w:rsidRPr="00445472" w:rsidRDefault="005D784C" w:rsidP="005D784C">
      <w:pPr>
        <w:pStyle w:val="TEKSTIIII"/>
        <w:rPr>
          <w:b/>
        </w:rPr>
      </w:pP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812"/>
        <w:gridCol w:w="1866"/>
        <w:gridCol w:w="1867"/>
        <w:gridCol w:w="1871"/>
        <w:gridCol w:w="1871"/>
      </w:tblGrid>
      <w:tr w:rsidR="005D784C" w:rsidRPr="00445472" w14:paraId="759AF28C" w14:textId="77777777" w:rsidTr="001F68B2">
        <w:trPr>
          <w:tblHeader/>
          <w:jc w:val="center"/>
        </w:trPr>
        <w:tc>
          <w:tcPr>
            <w:tcW w:w="1834" w:type="dxa"/>
            <w:vMerge w:val="restart"/>
            <w:shd w:val="clear" w:color="auto" w:fill="D4D4D4"/>
            <w:vAlign w:val="center"/>
          </w:tcPr>
          <w:p w14:paraId="4FE3A38C" w14:textId="77777777" w:rsidR="005D784C" w:rsidRPr="00445472" w:rsidRDefault="005D784C" w:rsidP="001F68B2">
            <w:pPr>
              <w:pStyle w:val="TABELA"/>
              <w:jc w:val="center"/>
              <w:rPr>
                <w:b/>
                <w:lang w:val="sq-AL"/>
              </w:rPr>
            </w:pPr>
          </w:p>
          <w:p w14:paraId="6B0620E7" w14:textId="77777777" w:rsidR="005D784C" w:rsidRPr="00445472" w:rsidRDefault="005D784C" w:rsidP="001F68B2">
            <w:pPr>
              <w:pStyle w:val="TABELA"/>
              <w:jc w:val="center"/>
              <w:rPr>
                <w:b/>
                <w:lang w:val="sq-AL"/>
              </w:rPr>
            </w:pPr>
            <w:r w:rsidRPr="00445472">
              <w:rPr>
                <w:b/>
                <w:lang w:val="sq-AL"/>
              </w:rPr>
              <w:t>Kategoria</w:t>
            </w:r>
          </w:p>
        </w:tc>
        <w:tc>
          <w:tcPr>
            <w:tcW w:w="7663" w:type="dxa"/>
            <w:gridSpan w:val="4"/>
            <w:shd w:val="clear" w:color="auto" w:fill="D4D4D4"/>
            <w:vAlign w:val="center"/>
          </w:tcPr>
          <w:p w14:paraId="65291F19" w14:textId="77777777" w:rsidR="005D784C" w:rsidRPr="00445472" w:rsidRDefault="005D784C" w:rsidP="00593CA0">
            <w:pPr>
              <w:pStyle w:val="TABELA"/>
              <w:jc w:val="center"/>
              <w:rPr>
                <w:b/>
                <w:lang w:val="sq-AL"/>
              </w:rPr>
            </w:pPr>
            <w:r w:rsidRPr="00445472">
              <w:rPr>
                <w:b/>
                <w:lang w:val="sq-AL"/>
              </w:rPr>
              <w:t>Supozimet</w:t>
            </w:r>
          </w:p>
        </w:tc>
      </w:tr>
      <w:tr w:rsidR="005D784C" w:rsidRPr="00445472" w14:paraId="7B285644" w14:textId="77777777" w:rsidTr="001F68B2">
        <w:trPr>
          <w:tblHeader/>
          <w:jc w:val="center"/>
        </w:trPr>
        <w:tc>
          <w:tcPr>
            <w:tcW w:w="1834" w:type="dxa"/>
            <w:vMerge/>
            <w:shd w:val="clear" w:color="auto" w:fill="D4D4D4"/>
            <w:vAlign w:val="center"/>
          </w:tcPr>
          <w:p w14:paraId="5457D759" w14:textId="77777777" w:rsidR="005D784C" w:rsidRPr="00445472" w:rsidRDefault="005D784C" w:rsidP="001F68B2">
            <w:pPr>
              <w:pStyle w:val="TABELA"/>
              <w:jc w:val="center"/>
              <w:rPr>
                <w:b/>
                <w:lang w:val="sq-AL"/>
              </w:rPr>
            </w:pPr>
          </w:p>
        </w:tc>
        <w:tc>
          <w:tcPr>
            <w:tcW w:w="1915" w:type="dxa"/>
            <w:shd w:val="clear" w:color="auto" w:fill="D4D4D4"/>
            <w:vAlign w:val="center"/>
          </w:tcPr>
          <w:p w14:paraId="48ED6027" w14:textId="2D39B584" w:rsidR="005D784C" w:rsidRPr="00445472" w:rsidRDefault="005D784C" w:rsidP="001F68B2">
            <w:pPr>
              <w:pStyle w:val="TABELA"/>
              <w:jc w:val="center"/>
              <w:rPr>
                <w:b/>
                <w:lang w:val="sq-AL"/>
              </w:rPr>
            </w:pPr>
            <w:r w:rsidRPr="00445472">
              <w:rPr>
                <w:b/>
                <w:lang w:val="sq-AL"/>
              </w:rPr>
              <w:t xml:space="preserve">Skenari </w:t>
            </w:r>
            <w:r w:rsidR="001F68B2" w:rsidRPr="00445472">
              <w:rPr>
                <w:b/>
                <w:lang w:val="sq-AL"/>
              </w:rPr>
              <w:t>bazë</w:t>
            </w:r>
          </w:p>
          <w:p w14:paraId="558E8472" w14:textId="7F6E6ACC" w:rsidR="005D784C" w:rsidRPr="00445472" w:rsidRDefault="001F68B2" w:rsidP="001F68B2">
            <w:pPr>
              <w:pStyle w:val="TABELA"/>
              <w:jc w:val="center"/>
              <w:rPr>
                <w:b/>
                <w:lang w:val="sq-AL"/>
              </w:rPr>
            </w:pPr>
            <w:r w:rsidRPr="00445472">
              <w:rPr>
                <w:b/>
                <w:lang w:val="sq-AL" w:eastAsia="da-DK"/>
              </w:rPr>
              <w:t>Klima aktuale, kërkesat aktuale</w:t>
            </w:r>
          </w:p>
        </w:tc>
        <w:tc>
          <w:tcPr>
            <w:tcW w:w="1916" w:type="dxa"/>
            <w:shd w:val="clear" w:color="auto" w:fill="D4D4D4"/>
            <w:vAlign w:val="center"/>
          </w:tcPr>
          <w:p w14:paraId="577BDFCE" w14:textId="77777777" w:rsidR="005D784C" w:rsidRPr="00445472" w:rsidRDefault="005D784C" w:rsidP="001F68B2">
            <w:pPr>
              <w:pStyle w:val="TABELA"/>
              <w:jc w:val="center"/>
              <w:rPr>
                <w:b/>
                <w:lang w:val="sq-AL"/>
              </w:rPr>
            </w:pPr>
            <w:r w:rsidRPr="00445472">
              <w:rPr>
                <w:b/>
                <w:lang w:val="sq-AL"/>
              </w:rPr>
              <w:t>Skenari 1</w:t>
            </w:r>
          </w:p>
          <w:p w14:paraId="4645CC3C" w14:textId="1F1E3CEC" w:rsidR="005D784C" w:rsidRPr="00445472" w:rsidRDefault="005D784C" w:rsidP="001F68B2">
            <w:pPr>
              <w:pStyle w:val="TABELA"/>
              <w:jc w:val="center"/>
              <w:rPr>
                <w:b/>
                <w:lang w:val="sq-AL"/>
              </w:rPr>
            </w:pPr>
            <w:r w:rsidRPr="00445472">
              <w:rPr>
                <w:b/>
                <w:lang w:val="sq-AL" w:eastAsia="da-DK"/>
              </w:rPr>
              <w:t xml:space="preserve">Klima </w:t>
            </w:r>
            <w:r w:rsidR="001F68B2" w:rsidRPr="00445472">
              <w:rPr>
                <w:b/>
                <w:lang w:val="sq-AL" w:eastAsia="da-DK"/>
              </w:rPr>
              <w:t>aktuale, kërkesat e ardhshme</w:t>
            </w:r>
          </w:p>
        </w:tc>
        <w:tc>
          <w:tcPr>
            <w:tcW w:w="1916" w:type="dxa"/>
            <w:shd w:val="clear" w:color="auto" w:fill="D4D4D4"/>
            <w:vAlign w:val="center"/>
          </w:tcPr>
          <w:p w14:paraId="7EB8F0EF" w14:textId="77777777" w:rsidR="005D784C" w:rsidRPr="00445472" w:rsidRDefault="005D784C" w:rsidP="001F68B2">
            <w:pPr>
              <w:pStyle w:val="TABELA"/>
              <w:jc w:val="center"/>
              <w:rPr>
                <w:b/>
                <w:lang w:val="sq-AL"/>
              </w:rPr>
            </w:pPr>
            <w:r w:rsidRPr="00445472">
              <w:rPr>
                <w:b/>
                <w:lang w:val="sq-AL"/>
              </w:rPr>
              <w:t>Skenari 2</w:t>
            </w:r>
          </w:p>
          <w:p w14:paraId="18000A8C" w14:textId="253C02AE" w:rsidR="005D784C" w:rsidRPr="00445472" w:rsidRDefault="005D784C" w:rsidP="001F68B2">
            <w:pPr>
              <w:pStyle w:val="TABELA"/>
              <w:jc w:val="center"/>
              <w:rPr>
                <w:b/>
                <w:lang w:val="sq-AL"/>
              </w:rPr>
            </w:pPr>
            <w:r w:rsidRPr="00445472">
              <w:rPr>
                <w:b/>
                <w:lang w:val="sq-AL" w:eastAsia="da-DK"/>
              </w:rPr>
              <w:t xml:space="preserve">Klima e </w:t>
            </w:r>
            <w:r w:rsidR="001F68B2" w:rsidRPr="00445472">
              <w:rPr>
                <w:b/>
                <w:lang w:val="sq-AL" w:eastAsia="da-DK"/>
              </w:rPr>
              <w:t>ardhshme, kërkesat aktuale</w:t>
            </w:r>
          </w:p>
        </w:tc>
        <w:tc>
          <w:tcPr>
            <w:tcW w:w="1916" w:type="dxa"/>
            <w:shd w:val="clear" w:color="auto" w:fill="D4D4D4"/>
            <w:vAlign w:val="center"/>
          </w:tcPr>
          <w:p w14:paraId="54A14AF0" w14:textId="77777777" w:rsidR="005D784C" w:rsidRPr="00445472" w:rsidRDefault="005D784C" w:rsidP="001F68B2">
            <w:pPr>
              <w:pStyle w:val="TABELA"/>
              <w:jc w:val="center"/>
              <w:rPr>
                <w:b/>
                <w:lang w:val="sq-AL"/>
              </w:rPr>
            </w:pPr>
            <w:r w:rsidRPr="00445472">
              <w:rPr>
                <w:b/>
                <w:lang w:val="sq-AL"/>
              </w:rPr>
              <w:t>Skenari 3</w:t>
            </w:r>
          </w:p>
          <w:p w14:paraId="4AC4CE3A" w14:textId="0F5AE047" w:rsidR="005D784C" w:rsidRPr="00445472" w:rsidRDefault="005D784C" w:rsidP="001F68B2">
            <w:pPr>
              <w:pStyle w:val="TABELA"/>
              <w:jc w:val="center"/>
              <w:rPr>
                <w:b/>
                <w:lang w:val="sq-AL"/>
              </w:rPr>
            </w:pPr>
            <w:r w:rsidRPr="00445472">
              <w:rPr>
                <w:b/>
                <w:lang w:val="sq-AL" w:eastAsia="da-DK"/>
              </w:rPr>
              <w:t xml:space="preserve">Klima e </w:t>
            </w:r>
            <w:r w:rsidR="001F68B2" w:rsidRPr="00445472">
              <w:rPr>
                <w:b/>
                <w:lang w:val="sq-AL" w:eastAsia="da-DK"/>
              </w:rPr>
              <w:t>ardhshme, kërkesat e ardhshme</w:t>
            </w:r>
          </w:p>
        </w:tc>
      </w:tr>
      <w:tr w:rsidR="005D784C" w:rsidRPr="00445472" w14:paraId="410C3911" w14:textId="77777777" w:rsidTr="00B15A6B">
        <w:trPr>
          <w:jc w:val="center"/>
        </w:trPr>
        <w:tc>
          <w:tcPr>
            <w:tcW w:w="1834" w:type="dxa"/>
            <w:shd w:val="clear" w:color="auto" w:fill="auto"/>
            <w:vAlign w:val="center"/>
          </w:tcPr>
          <w:p w14:paraId="55826EAE" w14:textId="77777777" w:rsidR="005D784C" w:rsidRPr="00445472" w:rsidRDefault="005D784C" w:rsidP="005D04C8">
            <w:pPr>
              <w:pStyle w:val="TABELA"/>
              <w:rPr>
                <w:lang w:val="sq-AL"/>
              </w:rPr>
            </w:pPr>
            <w:r w:rsidRPr="00445472">
              <w:rPr>
                <w:lang w:val="sq-AL"/>
              </w:rPr>
              <w:t>Reshjet</w:t>
            </w:r>
          </w:p>
        </w:tc>
        <w:tc>
          <w:tcPr>
            <w:tcW w:w="1915" w:type="dxa"/>
            <w:shd w:val="clear" w:color="auto" w:fill="auto"/>
            <w:vAlign w:val="center"/>
          </w:tcPr>
          <w:p w14:paraId="52981B53" w14:textId="77777777" w:rsidR="00593CA0" w:rsidRPr="00445472" w:rsidRDefault="001F68B2" w:rsidP="005D04C8">
            <w:pPr>
              <w:pStyle w:val="TABELA"/>
              <w:rPr>
                <w:lang w:val="sq-AL"/>
              </w:rPr>
            </w:pPr>
            <w:r w:rsidRPr="00445472">
              <w:rPr>
                <w:lang w:val="sq-AL"/>
              </w:rPr>
              <w:t xml:space="preserve">Vëzhgimet </w:t>
            </w:r>
          </w:p>
          <w:p w14:paraId="07DCEC58" w14:textId="305D116D" w:rsidR="005D784C" w:rsidRPr="00445472" w:rsidRDefault="005D784C" w:rsidP="005D04C8">
            <w:pPr>
              <w:pStyle w:val="TABELA"/>
              <w:rPr>
                <w:lang w:val="sq-AL"/>
              </w:rPr>
            </w:pPr>
            <w:r w:rsidRPr="00445472">
              <w:rPr>
                <w:lang w:val="sq-AL"/>
              </w:rPr>
              <w:t>1986</w:t>
            </w:r>
            <w:r w:rsidR="001F68B2" w:rsidRPr="00445472">
              <w:rPr>
                <w:lang w:val="sq-AL"/>
              </w:rPr>
              <w:t>–</w:t>
            </w:r>
            <w:r w:rsidRPr="00445472">
              <w:rPr>
                <w:lang w:val="sq-AL"/>
              </w:rPr>
              <w:t xml:space="preserve">2005 </w:t>
            </w:r>
          </w:p>
        </w:tc>
        <w:tc>
          <w:tcPr>
            <w:tcW w:w="1916" w:type="dxa"/>
            <w:shd w:val="clear" w:color="auto" w:fill="auto"/>
            <w:vAlign w:val="center"/>
          </w:tcPr>
          <w:p w14:paraId="7D724701" w14:textId="77777777" w:rsidR="00593CA0" w:rsidRPr="00445472" w:rsidRDefault="001F68B2" w:rsidP="005D04C8">
            <w:pPr>
              <w:pStyle w:val="TABELA"/>
              <w:rPr>
                <w:lang w:val="sq-AL"/>
              </w:rPr>
            </w:pPr>
            <w:r w:rsidRPr="00445472">
              <w:rPr>
                <w:lang w:val="sq-AL"/>
              </w:rPr>
              <w:t xml:space="preserve">Vëzhgimet </w:t>
            </w:r>
          </w:p>
          <w:p w14:paraId="4163AB5C" w14:textId="241AEB59" w:rsidR="005D784C" w:rsidRPr="00445472" w:rsidRDefault="005D784C" w:rsidP="005D04C8">
            <w:pPr>
              <w:pStyle w:val="TABELA"/>
              <w:rPr>
                <w:lang w:val="sq-AL"/>
              </w:rPr>
            </w:pPr>
            <w:r w:rsidRPr="00445472">
              <w:rPr>
                <w:lang w:val="sq-AL"/>
              </w:rPr>
              <w:t>1986</w:t>
            </w:r>
            <w:r w:rsidR="001F68B2" w:rsidRPr="00445472">
              <w:rPr>
                <w:lang w:val="sq-AL"/>
              </w:rPr>
              <w:t>–</w:t>
            </w:r>
            <w:r w:rsidRPr="00445472">
              <w:rPr>
                <w:lang w:val="sq-AL"/>
              </w:rPr>
              <w:t xml:space="preserve">2005 </w:t>
            </w:r>
          </w:p>
        </w:tc>
        <w:tc>
          <w:tcPr>
            <w:tcW w:w="1916" w:type="dxa"/>
            <w:shd w:val="clear" w:color="auto" w:fill="auto"/>
            <w:vAlign w:val="center"/>
          </w:tcPr>
          <w:p w14:paraId="37C38415" w14:textId="77777777" w:rsidR="00593CA0" w:rsidRPr="00445472" w:rsidRDefault="001F68B2" w:rsidP="005D04C8">
            <w:pPr>
              <w:pStyle w:val="TABELA"/>
              <w:rPr>
                <w:lang w:val="sq-AL"/>
              </w:rPr>
            </w:pPr>
            <w:r w:rsidRPr="00445472">
              <w:rPr>
                <w:lang w:val="sq-AL"/>
              </w:rPr>
              <w:t xml:space="preserve">Parashikimet </w:t>
            </w:r>
          </w:p>
          <w:p w14:paraId="27B1B586" w14:textId="62AEEFCB" w:rsidR="005D784C" w:rsidRPr="00445472" w:rsidRDefault="005D784C" w:rsidP="005D04C8">
            <w:pPr>
              <w:pStyle w:val="TABELA"/>
              <w:rPr>
                <w:lang w:val="sq-AL"/>
              </w:rPr>
            </w:pPr>
            <w:r w:rsidRPr="00445472">
              <w:rPr>
                <w:lang w:val="sq-AL"/>
              </w:rPr>
              <w:t>2046</w:t>
            </w:r>
            <w:r w:rsidR="001F68B2" w:rsidRPr="00445472">
              <w:rPr>
                <w:lang w:val="sq-AL"/>
              </w:rPr>
              <w:t>–</w:t>
            </w:r>
            <w:r w:rsidRPr="00445472">
              <w:rPr>
                <w:lang w:val="sq-AL"/>
              </w:rPr>
              <w:t xml:space="preserve">2065 </w:t>
            </w:r>
          </w:p>
        </w:tc>
        <w:tc>
          <w:tcPr>
            <w:tcW w:w="1916" w:type="dxa"/>
            <w:shd w:val="clear" w:color="auto" w:fill="auto"/>
            <w:vAlign w:val="center"/>
          </w:tcPr>
          <w:p w14:paraId="6C323A9A" w14:textId="77777777" w:rsidR="00593CA0" w:rsidRPr="00445472" w:rsidRDefault="001F68B2" w:rsidP="005D04C8">
            <w:pPr>
              <w:pStyle w:val="TABELA"/>
              <w:rPr>
                <w:lang w:val="sq-AL"/>
              </w:rPr>
            </w:pPr>
            <w:r w:rsidRPr="00445472">
              <w:rPr>
                <w:lang w:val="sq-AL"/>
              </w:rPr>
              <w:t xml:space="preserve">Parashikimet </w:t>
            </w:r>
          </w:p>
          <w:p w14:paraId="678DABFF" w14:textId="5DFF0973" w:rsidR="005D784C" w:rsidRPr="00445472" w:rsidRDefault="005D784C" w:rsidP="005D04C8">
            <w:pPr>
              <w:pStyle w:val="TABELA"/>
              <w:rPr>
                <w:lang w:val="sq-AL"/>
              </w:rPr>
            </w:pPr>
            <w:r w:rsidRPr="00445472">
              <w:rPr>
                <w:lang w:val="sq-AL"/>
              </w:rPr>
              <w:t>2046</w:t>
            </w:r>
            <w:r w:rsidR="001F68B2" w:rsidRPr="00445472">
              <w:rPr>
                <w:lang w:val="sq-AL"/>
              </w:rPr>
              <w:t>–</w:t>
            </w:r>
            <w:r w:rsidRPr="00445472">
              <w:rPr>
                <w:lang w:val="sq-AL"/>
              </w:rPr>
              <w:t xml:space="preserve">2065 </w:t>
            </w:r>
          </w:p>
        </w:tc>
      </w:tr>
      <w:tr w:rsidR="005D784C" w:rsidRPr="00445472" w14:paraId="5958DEEE" w14:textId="77777777" w:rsidTr="00B15A6B">
        <w:trPr>
          <w:jc w:val="center"/>
        </w:trPr>
        <w:tc>
          <w:tcPr>
            <w:tcW w:w="1834" w:type="dxa"/>
            <w:shd w:val="clear" w:color="auto" w:fill="auto"/>
            <w:vAlign w:val="center"/>
          </w:tcPr>
          <w:p w14:paraId="0CF61C71" w14:textId="77777777" w:rsidR="005D784C" w:rsidRPr="00445472" w:rsidRDefault="005D784C" w:rsidP="005D04C8">
            <w:pPr>
              <w:pStyle w:val="TABELA"/>
              <w:rPr>
                <w:lang w:val="sq-AL"/>
              </w:rPr>
            </w:pPr>
            <w:r w:rsidRPr="00445472">
              <w:rPr>
                <w:lang w:val="sq-AL"/>
              </w:rPr>
              <w:t>Avullimi</w:t>
            </w:r>
          </w:p>
        </w:tc>
        <w:tc>
          <w:tcPr>
            <w:tcW w:w="1915" w:type="dxa"/>
            <w:shd w:val="clear" w:color="auto" w:fill="auto"/>
            <w:vAlign w:val="center"/>
          </w:tcPr>
          <w:p w14:paraId="1C1A6303" w14:textId="46050E1B" w:rsidR="00593CA0" w:rsidRPr="00445472" w:rsidRDefault="00593CA0" w:rsidP="005D04C8">
            <w:pPr>
              <w:pStyle w:val="TABELA"/>
              <w:rPr>
                <w:lang w:val="sq-AL"/>
              </w:rPr>
            </w:pPr>
            <w:r w:rsidRPr="00445472">
              <w:rPr>
                <w:lang w:val="sq-AL"/>
              </w:rPr>
              <w:t xml:space="preserve">Vëzhgimet </w:t>
            </w:r>
          </w:p>
          <w:p w14:paraId="58ADD7AB" w14:textId="3B552296" w:rsidR="005D784C" w:rsidRPr="00445472" w:rsidRDefault="005D784C" w:rsidP="005D04C8">
            <w:pPr>
              <w:pStyle w:val="TABELA"/>
              <w:rPr>
                <w:lang w:val="sq-AL"/>
              </w:rPr>
            </w:pPr>
            <w:r w:rsidRPr="00445472">
              <w:rPr>
                <w:lang w:val="sq-AL"/>
              </w:rPr>
              <w:t>1986</w:t>
            </w:r>
            <w:r w:rsidR="00593CA0" w:rsidRPr="00445472">
              <w:rPr>
                <w:lang w:val="sq-AL"/>
              </w:rPr>
              <w:t>–</w:t>
            </w:r>
            <w:r w:rsidRPr="00445472">
              <w:rPr>
                <w:lang w:val="sq-AL"/>
              </w:rPr>
              <w:t xml:space="preserve">2005 </w:t>
            </w:r>
          </w:p>
        </w:tc>
        <w:tc>
          <w:tcPr>
            <w:tcW w:w="1916" w:type="dxa"/>
            <w:shd w:val="clear" w:color="auto" w:fill="auto"/>
            <w:vAlign w:val="center"/>
          </w:tcPr>
          <w:p w14:paraId="056C1505" w14:textId="75E29198" w:rsidR="00593CA0" w:rsidRPr="00445472" w:rsidRDefault="00593CA0" w:rsidP="005D04C8">
            <w:pPr>
              <w:pStyle w:val="TABELA"/>
              <w:rPr>
                <w:lang w:val="sq-AL"/>
              </w:rPr>
            </w:pPr>
            <w:r w:rsidRPr="00445472">
              <w:rPr>
                <w:lang w:val="sq-AL"/>
              </w:rPr>
              <w:t xml:space="preserve">Vëzhgimet </w:t>
            </w:r>
          </w:p>
          <w:p w14:paraId="203792F0" w14:textId="1E6F26CE" w:rsidR="005D784C" w:rsidRPr="00445472" w:rsidRDefault="005D784C" w:rsidP="005D04C8">
            <w:pPr>
              <w:pStyle w:val="TABELA"/>
              <w:rPr>
                <w:lang w:val="sq-AL"/>
              </w:rPr>
            </w:pPr>
            <w:r w:rsidRPr="00445472">
              <w:rPr>
                <w:lang w:val="sq-AL"/>
              </w:rPr>
              <w:t>1986</w:t>
            </w:r>
            <w:r w:rsidR="00593CA0" w:rsidRPr="00445472">
              <w:rPr>
                <w:lang w:val="sq-AL"/>
              </w:rPr>
              <w:t>–</w:t>
            </w:r>
            <w:r w:rsidRPr="00445472">
              <w:rPr>
                <w:lang w:val="sq-AL"/>
              </w:rPr>
              <w:t xml:space="preserve">2005 </w:t>
            </w:r>
          </w:p>
        </w:tc>
        <w:tc>
          <w:tcPr>
            <w:tcW w:w="1916" w:type="dxa"/>
            <w:shd w:val="clear" w:color="auto" w:fill="auto"/>
            <w:vAlign w:val="center"/>
          </w:tcPr>
          <w:p w14:paraId="303685A7" w14:textId="3CFE27B2" w:rsidR="00593CA0" w:rsidRPr="00445472" w:rsidRDefault="00593CA0" w:rsidP="005D04C8">
            <w:pPr>
              <w:pStyle w:val="TABELA"/>
              <w:rPr>
                <w:lang w:val="sq-AL"/>
              </w:rPr>
            </w:pPr>
            <w:r w:rsidRPr="00445472">
              <w:rPr>
                <w:lang w:val="sq-AL"/>
              </w:rPr>
              <w:t xml:space="preserve">Parashikimet </w:t>
            </w:r>
          </w:p>
          <w:p w14:paraId="0F0CD689" w14:textId="36B21D94" w:rsidR="005D784C" w:rsidRPr="00445472" w:rsidRDefault="005D784C" w:rsidP="005D04C8">
            <w:pPr>
              <w:pStyle w:val="TABELA"/>
              <w:rPr>
                <w:lang w:val="sq-AL"/>
              </w:rPr>
            </w:pPr>
            <w:r w:rsidRPr="00445472">
              <w:rPr>
                <w:lang w:val="sq-AL"/>
              </w:rPr>
              <w:t>2046</w:t>
            </w:r>
            <w:r w:rsidR="00593CA0" w:rsidRPr="00445472">
              <w:rPr>
                <w:lang w:val="sq-AL"/>
              </w:rPr>
              <w:t>–</w:t>
            </w:r>
            <w:r w:rsidRPr="00445472">
              <w:rPr>
                <w:lang w:val="sq-AL"/>
              </w:rPr>
              <w:t xml:space="preserve">2065 </w:t>
            </w:r>
          </w:p>
        </w:tc>
        <w:tc>
          <w:tcPr>
            <w:tcW w:w="1916" w:type="dxa"/>
            <w:shd w:val="clear" w:color="auto" w:fill="auto"/>
            <w:vAlign w:val="center"/>
          </w:tcPr>
          <w:p w14:paraId="22393AB2" w14:textId="46D3B5C6" w:rsidR="00593CA0" w:rsidRPr="00445472" w:rsidRDefault="00593CA0" w:rsidP="005D04C8">
            <w:pPr>
              <w:pStyle w:val="TABELA"/>
              <w:rPr>
                <w:lang w:val="sq-AL"/>
              </w:rPr>
            </w:pPr>
            <w:r w:rsidRPr="00445472">
              <w:rPr>
                <w:lang w:val="sq-AL"/>
              </w:rPr>
              <w:t xml:space="preserve">Parashikimet </w:t>
            </w:r>
          </w:p>
          <w:p w14:paraId="7A8EF4F9" w14:textId="088D8387" w:rsidR="005D784C" w:rsidRPr="00445472" w:rsidRDefault="005D784C" w:rsidP="005D04C8">
            <w:pPr>
              <w:pStyle w:val="TABELA"/>
              <w:rPr>
                <w:lang w:val="sq-AL"/>
              </w:rPr>
            </w:pPr>
            <w:r w:rsidRPr="00445472">
              <w:rPr>
                <w:lang w:val="sq-AL"/>
              </w:rPr>
              <w:t>2046</w:t>
            </w:r>
            <w:r w:rsidR="00593CA0" w:rsidRPr="00445472">
              <w:rPr>
                <w:lang w:val="sq-AL"/>
              </w:rPr>
              <w:t>–</w:t>
            </w:r>
            <w:r w:rsidRPr="00445472">
              <w:rPr>
                <w:lang w:val="sq-AL"/>
              </w:rPr>
              <w:t xml:space="preserve">2065 </w:t>
            </w:r>
          </w:p>
        </w:tc>
      </w:tr>
      <w:tr w:rsidR="005D784C" w:rsidRPr="00445472" w14:paraId="4EFDD2DD" w14:textId="77777777" w:rsidTr="00B15A6B">
        <w:trPr>
          <w:jc w:val="center"/>
        </w:trPr>
        <w:tc>
          <w:tcPr>
            <w:tcW w:w="1834" w:type="dxa"/>
            <w:shd w:val="clear" w:color="auto" w:fill="auto"/>
            <w:vAlign w:val="center"/>
          </w:tcPr>
          <w:p w14:paraId="416D2EA5" w14:textId="77777777" w:rsidR="005D784C" w:rsidRPr="00445472" w:rsidRDefault="005D784C" w:rsidP="005D04C8">
            <w:pPr>
              <w:pStyle w:val="TABELA"/>
              <w:rPr>
                <w:lang w:val="sq-AL"/>
              </w:rPr>
            </w:pPr>
            <w:r w:rsidRPr="00445472">
              <w:rPr>
                <w:lang w:val="sq-AL"/>
              </w:rPr>
              <w:t>Temperatura</w:t>
            </w:r>
          </w:p>
        </w:tc>
        <w:tc>
          <w:tcPr>
            <w:tcW w:w="1915" w:type="dxa"/>
            <w:shd w:val="clear" w:color="auto" w:fill="auto"/>
            <w:vAlign w:val="center"/>
          </w:tcPr>
          <w:p w14:paraId="4C1CACAF" w14:textId="1B7AAB1F" w:rsidR="00593CA0" w:rsidRPr="00445472" w:rsidRDefault="00593CA0" w:rsidP="005D04C8">
            <w:pPr>
              <w:pStyle w:val="TABELA"/>
              <w:rPr>
                <w:lang w:val="sq-AL"/>
              </w:rPr>
            </w:pPr>
            <w:r w:rsidRPr="00445472">
              <w:rPr>
                <w:lang w:val="sq-AL"/>
              </w:rPr>
              <w:t xml:space="preserve">Vëzhgimet </w:t>
            </w:r>
          </w:p>
          <w:p w14:paraId="14A35626" w14:textId="03198766" w:rsidR="005D784C" w:rsidRPr="00445472" w:rsidRDefault="005D784C" w:rsidP="005D04C8">
            <w:pPr>
              <w:pStyle w:val="TABELA"/>
              <w:rPr>
                <w:lang w:val="sq-AL"/>
              </w:rPr>
            </w:pPr>
            <w:r w:rsidRPr="00445472">
              <w:rPr>
                <w:lang w:val="sq-AL"/>
              </w:rPr>
              <w:t>1986</w:t>
            </w:r>
            <w:r w:rsidR="00593CA0" w:rsidRPr="00445472">
              <w:rPr>
                <w:lang w:val="sq-AL"/>
              </w:rPr>
              <w:t>–</w:t>
            </w:r>
            <w:r w:rsidRPr="00445472">
              <w:rPr>
                <w:lang w:val="sq-AL"/>
              </w:rPr>
              <w:t xml:space="preserve">2005 </w:t>
            </w:r>
          </w:p>
        </w:tc>
        <w:tc>
          <w:tcPr>
            <w:tcW w:w="1916" w:type="dxa"/>
            <w:shd w:val="clear" w:color="auto" w:fill="auto"/>
            <w:vAlign w:val="center"/>
          </w:tcPr>
          <w:p w14:paraId="293069F8" w14:textId="40E0C81C" w:rsidR="00593CA0" w:rsidRPr="00445472" w:rsidRDefault="00593CA0" w:rsidP="005D04C8">
            <w:pPr>
              <w:pStyle w:val="TABELA"/>
              <w:rPr>
                <w:lang w:val="sq-AL"/>
              </w:rPr>
            </w:pPr>
            <w:r w:rsidRPr="00445472">
              <w:rPr>
                <w:lang w:val="sq-AL"/>
              </w:rPr>
              <w:t xml:space="preserve">Vëzhgimet </w:t>
            </w:r>
          </w:p>
          <w:p w14:paraId="592C99FD" w14:textId="415E2214" w:rsidR="005D784C" w:rsidRPr="00445472" w:rsidRDefault="005D784C" w:rsidP="005D04C8">
            <w:pPr>
              <w:pStyle w:val="TABELA"/>
              <w:rPr>
                <w:lang w:val="sq-AL"/>
              </w:rPr>
            </w:pPr>
            <w:r w:rsidRPr="00445472">
              <w:rPr>
                <w:lang w:val="sq-AL"/>
              </w:rPr>
              <w:t>1986</w:t>
            </w:r>
            <w:r w:rsidR="00593CA0" w:rsidRPr="00445472">
              <w:rPr>
                <w:lang w:val="sq-AL"/>
              </w:rPr>
              <w:t>–</w:t>
            </w:r>
            <w:r w:rsidRPr="00445472">
              <w:rPr>
                <w:lang w:val="sq-AL"/>
              </w:rPr>
              <w:t xml:space="preserve">2005 </w:t>
            </w:r>
          </w:p>
        </w:tc>
        <w:tc>
          <w:tcPr>
            <w:tcW w:w="1916" w:type="dxa"/>
            <w:shd w:val="clear" w:color="auto" w:fill="auto"/>
            <w:vAlign w:val="center"/>
          </w:tcPr>
          <w:p w14:paraId="6A257C4C" w14:textId="14DB00E0" w:rsidR="00593CA0" w:rsidRPr="00445472" w:rsidRDefault="00593CA0" w:rsidP="005D04C8">
            <w:pPr>
              <w:pStyle w:val="TABELA"/>
              <w:rPr>
                <w:lang w:val="sq-AL"/>
              </w:rPr>
            </w:pPr>
            <w:r w:rsidRPr="00445472">
              <w:rPr>
                <w:lang w:val="sq-AL"/>
              </w:rPr>
              <w:t xml:space="preserve">Parashikimet </w:t>
            </w:r>
          </w:p>
          <w:p w14:paraId="1F1C62DE" w14:textId="3B1E5F07" w:rsidR="005D784C" w:rsidRPr="00445472" w:rsidRDefault="005D784C" w:rsidP="005D04C8">
            <w:pPr>
              <w:pStyle w:val="TABELA"/>
              <w:rPr>
                <w:lang w:val="sq-AL"/>
              </w:rPr>
            </w:pPr>
            <w:r w:rsidRPr="00445472">
              <w:rPr>
                <w:lang w:val="sq-AL"/>
              </w:rPr>
              <w:t>2046</w:t>
            </w:r>
            <w:r w:rsidR="00593CA0" w:rsidRPr="00445472">
              <w:rPr>
                <w:lang w:val="sq-AL"/>
              </w:rPr>
              <w:t>–</w:t>
            </w:r>
            <w:r w:rsidRPr="00445472">
              <w:rPr>
                <w:lang w:val="sq-AL"/>
              </w:rPr>
              <w:t xml:space="preserve">2065 </w:t>
            </w:r>
          </w:p>
        </w:tc>
        <w:tc>
          <w:tcPr>
            <w:tcW w:w="1916" w:type="dxa"/>
            <w:shd w:val="clear" w:color="auto" w:fill="auto"/>
            <w:vAlign w:val="center"/>
          </w:tcPr>
          <w:p w14:paraId="688BAD86" w14:textId="6A883406" w:rsidR="00593CA0" w:rsidRPr="00445472" w:rsidRDefault="00593CA0" w:rsidP="005D04C8">
            <w:pPr>
              <w:pStyle w:val="TABELA"/>
              <w:rPr>
                <w:lang w:val="sq-AL"/>
              </w:rPr>
            </w:pPr>
            <w:r w:rsidRPr="00445472">
              <w:rPr>
                <w:lang w:val="sq-AL"/>
              </w:rPr>
              <w:t xml:space="preserve">Parashikimet </w:t>
            </w:r>
          </w:p>
          <w:p w14:paraId="1F099DF7" w14:textId="518CD0F5" w:rsidR="005D784C" w:rsidRPr="00445472" w:rsidRDefault="005D784C" w:rsidP="005D04C8">
            <w:pPr>
              <w:pStyle w:val="TABELA"/>
              <w:rPr>
                <w:lang w:val="sq-AL"/>
              </w:rPr>
            </w:pPr>
            <w:r w:rsidRPr="00445472">
              <w:rPr>
                <w:lang w:val="sq-AL"/>
              </w:rPr>
              <w:t>2046</w:t>
            </w:r>
            <w:r w:rsidR="00593CA0" w:rsidRPr="00445472">
              <w:rPr>
                <w:lang w:val="sq-AL"/>
              </w:rPr>
              <w:t>–</w:t>
            </w:r>
            <w:r w:rsidRPr="00445472">
              <w:rPr>
                <w:lang w:val="sq-AL"/>
              </w:rPr>
              <w:t xml:space="preserve">2065 </w:t>
            </w:r>
          </w:p>
        </w:tc>
      </w:tr>
      <w:tr w:rsidR="005D784C" w:rsidRPr="00445472" w14:paraId="64166449" w14:textId="77777777" w:rsidTr="00B15A6B">
        <w:trPr>
          <w:jc w:val="center"/>
        </w:trPr>
        <w:tc>
          <w:tcPr>
            <w:tcW w:w="1834" w:type="dxa"/>
            <w:shd w:val="clear" w:color="auto" w:fill="auto"/>
            <w:vAlign w:val="center"/>
          </w:tcPr>
          <w:p w14:paraId="7A8F42B8" w14:textId="70DAAF6F" w:rsidR="005D784C" w:rsidRPr="00445472" w:rsidRDefault="005D784C" w:rsidP="005D04C8">
            <w:pPr>
              <w:pStyle w:val="TABELA"/>
              <w:rPr>
                <w:lang w:val="sq-AL"/>
              </w:rPr>
            </w:pPr>
            <w:r w:rsidRPr="00445472">
              <w:rPr>
                <w:lang w:val="sq-AL"/>
              </w:rPr>
              <w:t xml:space="preserve">Zona e </w:t>
            </w:r>
            <w:r w:rsidR="00593CA0" w:rsidRPr="00445472">
              <w:rPr>
                <w:lang w:val="sq-AL"/>
              </w:rPr>
              <w:t>ujitur</w:t>
            </w:r>
          </w:p>
        </w:tc>
        <w:tc>
          <w:tcPr>
            <w:tcW w:w="1915" w:type="dxa"/>
            <w:shd w:val="clear" w:color="auto" w:fill="auto"/>
            <w:vAlign w:val="center"/>
          </w:tcPr>
          <w:p w14:paraId="64FF9643" w14:textId="77777777" w:rsidR="005D784C" w:rsidRPr="00445472" w:rsidRDefault="005D784C" w:rsidP="005D04C8">
            <w:pPr>
              <w:pStyle w:val="TABELA"/>
              <w:rPr>
                <w:lang w:val="sq-AL"/>
              </w:rPr>
            </w:pPr>
            <w:r w:rsidRPr="00445472">
              <w:rPr>
                <w:lang w:val="sq-AL"/>
              </w:rPr>
              <w:t>2015 vëzhguar</w:t>
            </w:r>
          </w:p>
        </w:tc>
        <w:tc>
          <w:tcPr>
            <w:tcW w:w="1916" w:type="dxa"/>
            <w:shd w:val="clear" w:color="auto" w:fill="auto"/>
            <w:vAlign w:val="center"/>
          </w:tcPr>
          <w:p w14:paraId="3C346746" w14:textId="77777777" w:rsidR="005D784C" w:rsidRPr="00445472" w:rsidRDefault="005D784C" w:rsidP="005D04C8">
            <w:pPr>
              <w:pStyle w:val="TABELA"/>
              <w:rPr>
                <w:lang w:val="sq-AL"/>
              </w:rPr>
            </w:pPr>
            <w:r w:rsidRPr="00445472">
              <w:rPr>
                <w:lang w:val="sq-AL"/>
              </w:rPr>
              <w:t>1990 vëzhguar</w:t>
            </w:r>
          </w:p>
        </w:tc>
        <w:tc>
          <w:tcPr>
            <w:tcW w:w="1916" w:type="dxa"/>
            <w:shd w:val="clear" w:color="auto" w:fill="auto"/>
            <w:vAlign w:val="center"/>
          </w:tcPr>
          <w:p w14:paraId="416AC797" w14:textId="77777777" w:rsidR="005D784C" w:rsidRPr="00445472" w:rsidRDefault="005D784C" w:rsidP="005D04C8">
            <w:pPr>
              <w:pStyle w:val="TABELA"/>
              <w:rPr>
                <w:lang w:val="sq-AL"/>
              </w:rPr>
            </w:pPr>
            <w:r w:rsidRPr="00445472">
              <w:rPr>
                <w:lang w:val="sq-AL"/>
              </w:rPr>
              <w:t>2015 vëzhguar</w:t>
            </w:r>
          </w:p>
        </w:tc>
        <w:tc>
          <w:tcPr>
            <w:tcW w:w="1916" w:type="dxa"/>
            <w:shd w:val="clear" w:color="auto" w:fill="auto"/>
            <w:vAlign w:val="center"/>
          </w:tcPr>
          <w:p w14:paraId="3877B98F" w14:textId="77777777" w:rsidR="005D784C" w:rsidRPr="00445472" w:rsidRDefault="005D784C" w:rsidP="005D04C8">
            <w:pPr>
              <w:pStyle w:val="TABELA"/>
              <w:rPr>
                <w:lang w:val="sq-AL"/>
              </w:rPr>
            </w:pPr>
            <w:r w:rsidRPr="00445472">
              <w:rPr>
                <w:lang w:val="sq-AL"/>
              </w:rPr>
              <w:t>1990 vëzhguar</w:t>
            </w:r>
          </w:p>
        </w:tc>
      </w:tr>
      <w:tr w:rsidR="005D784C" w:rsidRPr="00445472" w14:paraId="4CD9E577" w14:textId="77777777" w:rsidTr="00B15A6B">
        <w:trPr>
          <w:jc w:val="center"/>
        </w:trPr>
        <w:tc>
          <w:tcPr>
            <w:tcW w:w="1834" w:type="dxa"/>
            <w:shd w:val="clear" w:color="auto" w:fill="auto"/>
            <w:vAlign w:val="center"/>
          </w:tcPr>
          <w:p w14:paraId="4A122D58" w14:textId="77777777" w:rsidR="005D784C" w:rsidRPr="00445472" w:rsidRDefault="005D784C" w:rsidP="005D04C8">
            <w:pPr>
              <w:pStyle w:val="TABELA"/>
              <w:rPr>
                <w:lang w:val="sq-AL"/>
              </w:rPr>
            </w:pPr>
            <w:r w:rsidRPr="00445472">
              <w:rPr>
                <w:lang w:val="sq-AL"/>
              </w:rPr>
              <w:t>Kërkesa për ujitje</w:t>
            </w:r>
          </w:p>
        </w:tc>
        <w:tc>
          <w:tcPr>
            <w:tcW w:w="1915" w:type="dxa"/>
            <w:shd w:val="clear" w:color="auto" w:fill="auto"/>
            <w:vAlign w:val="center"/>
          </w:tcPr>
          <w:p w14:paraId="3662673B" w14:textId="4DC19AAD" w:rsidR="005D784C" w:rsidRPr="00445472" w:rsidRDefault="005D784C" w:rsidP="005D04C8">
            <w:pPr>
              <w:pStyle w:val="TABELA"/>
              <w:rPr>
                <w:lang w:val="sq-AL"/>
              </w:rPr>
            </w:pPr>
            <w:r w:rsidRPr="00445472">
              <w:rPr>
                <w:lang w:val="sq-AL"/>
              </w:rPr>
              <w:t>2015 zonë e vëzhguar + 1986</w:t>
            </w:r>
            <w:r w:rsidR="00593CA0" w:rsidRPr="00445472">
              <w:rPr>
                <w:lang w:val="sq-AL"/>
              </w:rPr>
              <w:t>–</w:t>
            </w:r>
            <w:r w:rsidRPr="00445472">
              <w:rPr>
                <w:lang w:val="sq-AL"/>
              </w:rPr>
              <w:t>2005 reshje dhe temperaturë</w:t>
            </w:r>
          </w:p>
        </w:tc>
        <w:tc>
          <w:tcPr>
            <w:tcW w:w="1916" w:type="dxa"/>
            <w:shd w:val="clear" w:color="auto" w:fill="auto"/>
            <w:vAlign w:val="center"/>
          </w:tcPr>
          <w:p w14:paraId="781F093D" w14:textId="3A6A6A9F" w:rsidR="005D784C" w:rsidRPr="00445472" w:rsidRDefault="005D784C" w:rsidP="005D04C8">
            <w:pPr>
              <w:pStyle w:val="TABELA"/>
              <w:rPr>
                <w:lang w:val="sq-AL"/>
              </w:rPr>
            </w:pPr>
            <w:r w:rsidRPr="00445472">
              <w:rPr>
                <w:lang w:val="sq-AL"/>
              </w:rPr>
              <w:t>1990 zonë e vëzhguar + 1986</w:t>
            </w:r>
            <w:r w:rsidR="00593CA0" w:rsidRPr="00445472">
              <w:rPr>
                <w:lang w:val="sq-AL"/>
              </w:rPr>
              <w:t>–</w:t>
            </w:r>
            <w:r w:rsidRPr="00445472">
              <w:rPr>
                <w:lang w:val="sq-AL"/>
              </w:rPr>
              <w:t>2005 reshje dhe temperaturë</w:t>
            </w:r>
          </w:p>
        </w:tc>
        <w:tc>
          <w:tcPr>
            <w:tcW w:w="1916" w:type="dxa"/>
            <w:shd w:val="clear" w:color="auto" w:fill="auto"/>
            <w:vAlign w:val="center"/>
          </w:tcPr>
          <w:p w14:paraId="59B25BF3" w14:textId="3C1B0FC5" w:rsidR="005D784C" w:rsidRPr="00445472" w:rsidRDefault="005D784C" w:rsidP="005D04C8">
            <w:pPr>
              <w:pStyle w:val="TABELA"/>
              <w:rPr>
                <w:lang w:val="sq-AL"/>
              </w:rPr>
            </w:pPr>
            <w:r w:rsidRPr="00445472">
              <w:rPr>
                <w:lang w:val="sq-AL"/>
              </w:rPr>
              <w:t>2015 zonë e vëzhguar + 2046</w:t>
            </w:r>
            <w:r w:rsidR="00593CA0" w:rsidRPr="00445472">
              <w:rPr>
                <w:lang w:val="sq-AL"/>
              </w:rPr>
              <w:t>–</w:t>
            </w:r>
            <w:r w:rsidRPr="00445472">
              <w:rPr>
                <w:lang w:val="sq-AL"/>
              </w:rPr>
              <w:t>2065 reshje dhe temperaturë</w:t>
            </w:r>
          </w:p>
        </w:tc>
        <w:tc>
          <w:tcPr>
            <w:tcW w:w="1916" w:type="dxa"/>
            <w:shd w:val="clear" w:color="auto" w:fill="auto"/>
            <w:vAlign w:val="center"/>
          </w:tcPr>
          <w:p w14:paraId="2A7E5D9C" w14:textId="4EC9E782" w:rsidR="005D784C" w:rsidRPr="00445472" w:rsidRDefault="005D784C" w:rsidP="005D04C8">
            <w:pPr>
              <w:pStyle w:val="TABELA"/>
              <w:rPr>
                <w:lang w:val="sq-AL"/>
              </w:rPr>
            </w:pPr>
            <w:r w:rsidRPr="00445472">
              <w:rPr>
                <w:lang w:val="sq-AL"/>
              </w:rPr>
              <w:t>1990 zonë e vëzhguar + 2046</w:t>
            </w:r>
            <w:r w:rsidR="00593CA0" w:rsidRPr="00445472">
              <w:rPr>
                <w:lang w:val="sq-AL"/>
              </w:rPr>
              <w:t>–</w:t>
            </w:r>
            <w:r w:rsidRPr="00445472">
              <w:rPr>
                <w:lang w:val="sq-AL"/>
              </w:rPr>
              <w:t>2065 reshje dhe temperaturë</w:t>
            </w:r>
          </w:p>
        </w:tc>
      </w:tr>
      <w:tr w:rsidR="005D784C" w:rsidRPr="00445472" w14:paraId="3B85D21A" w14:textId="77777777" w:rsidTr="00B15A6B">
        <w:trPr>
          <w:jc w:val="center"/>
        </w:trPr>
        <w:tc>
          <w:tcPr>
            <w:tcW w:w="1834" w:type="dxa"/>
            <w:shd w:val="clear" w:color="auto" w:fill="auto"/>
            <w:vAlign w:val="center"/>
          </w:tcPr>
          <w:p w14:paraId="5E44DE1F" w14:textId="77777777" w:rsidR="005D784C" w:rsidRPr="00445472" w:rsidRDefault="005D784C" w:rsidP="005D04C8">
            <w:pPr>
              <w:pStyle w:val="TABELA"/>
              <w:rPr>
                <w:lang w:val="sq-AL"/>
              </w:rPr>
            </w:pPr>
            <w:r w:rsidRPr="00445472">
              <w:rPr>
                <w:lang w:val="sq-AL"/>
              </w:rPr>
              <w:t>Humbjet e ujitjes</w:t>
            </w:r>
          </w:p>
        </w:tc>
        <w:tc>
          <w:tcPr>
            <w:tcW w:w="1915" w:type="dxa"/>
            <w:shd w:val="clear" w:color="auto" w:fill="auto"/>
            <w:vAlign w:val="center"/>
          </w:tcPr>
          <w:p w14:paraId="130A2794" w14:textId="77777777" w:rsidR="005D784C" w:rsidRPr="00445472" w:rsidRDefault="005D784C" w:rsidP="005D04C8">
            <w:pPr>
              <w:pStyle w:val="TABELA"/>
              <w:rPr>
                <w:lang w:val="sq-AL"/>
              </w:rPr>
            </w:pPr>
            <w:r w:rsidRPr="00445472">
              <w:rPr>
                <w:lang w:val="sq-AL"/>
              </w:rPr>
              <w:t>40%</w:t>
            </w:r>
          </w:p>
        </w:tc>
        <w:tc>
          <w:tcPr>
            <w:tcW w:w="1916" w:type="dxa"/>
            <w:shd w:val="clear" w:color="auto" w:fill="auto"/>
            <w:vAlign w:val="center"/>
          </w:tcPr>
          <w:p w14:paraId="079D03DA" w14:textId="77777777" w:rsidR="005D784C" w:rsidRPr="00445472" w:rsidRDefault="005D784C" w:rsidP="005D04C8">
            <w:pPr>
              <w:pStyle w:val="TABELA"/>
              <w:rPr>
                <w:lang w:val="sq-AL"/>
              </w:rPr>
            </w:pPr>
            <w:r w:rsidRPr="00445472">
              <w:rPr>
                <w:lang w:val="sq-AL"/>
              </w:rPr>
              <w:t>40%</w:t>
            </w:r>
          </w:p>
        </w:tc>
        <w:tc>
          <w:tcPr>
            <w:tcW w:w="1916" w:type="dxa"/>
            <w:shd w:val="clear" w:color="auto" w:fill="auto"/>
            <w:vAlign w:val="center"/>
          </w:tcPr>
          <w:p w14:paraId="2DA986AE" w14:textId="77777777" w:rsidR="005D784C" w:rsidRPr="00445472" w:rsidRDefault="005D784C" w:rsidP="005D04C8">
            <w:pPr>
              <w:pStyle w:val="TABELA"/>
              <w:rPr>
                <w:lang w:val="sq-AL"/>
              </w:rPr>
            </w:pPr>
            <w:r w:rsidRPr="00445472">
              <w:rPr>
                <w:lang w:val="sq-AL"/>
              </w:rPr>
              <w:t>40%</w:t>
            </w:r>
          </w:p>
        </w:tc>
        <w:tc>
          <w:tcPr>
            <w:tcW w:w="1916" w:type="dxa"/>
            <w:shd w:val="clear" w:color="auto" w:fill="auto"/>
            <w:vAlign w:val="center"/>
          </w:tcPr>
          <w:p w14:paraId="5BA09BCC" w14:textId="77777777" w:rsidR="005D784C" w:rsidRPr="00445472" w:rsidRDefault="005D784C" w:rsidP="005D04C8">
            <w:pPr>
              <w:pStyle w:val="TABELA"/>
              <w:rPr>
                <w:lang w:val="sq-AL"/>
              </w:rPr>
            </w:pPr>
            <w:r w:rsidRPr="00445472">
              <w:rPr>
                <w:lang w:val="sq-AL"/>
              </w:rPr>
              <w:t>40%</w:t>
            </w:r>
          </w:p>
        </w:tc>
      </w:tr>
      <w:tr w:rsidR="005D784C" w:rsidRPr="00445472" w14:paraId="7812A9B3" w14:textId="77777777" w:rsidTr="00B15A6B">
        <w:trPr>
          <w:jc w:val="center"/>
        </w:trPr>
        <w:tc>
          <w:tcPr>
            <w:tcW w:w="1834" w:type="dxa"/>
            <w:shd w:val="clear" w:color="auto" w:fill="auto"/>
            <w:vAlign w:val="center"/>
          </w:tcPr>
          <w:p w14:paraId="17DA05FE" w14:textId="77777777" w:rsidR="005D784C" w:rsidRPr="00445472" w:rsidRDefault="005D784C" w:rsidP="005D04C8">
            <w:pPr>
              <w:pStyle w:val="TABELA"/>
              <w:rPr>
                <w:lang w:val="sq-AL"/>
              </w:rPr>
            </w:pPr>
            <w:r w:rsidRPr="00445472">
              <w:rPr>
                <w:lang w:val="sq-AL"/>
              </w:rPr>
              <w:t>Kërkesa shtëpiake</w:t>
            </w:r>
          </w:p>
        </w:tc>
        <w:tc>
          <w:tcPr>
            <w:tcW w:w="1915" w:type="dxa"/>
            <w:shd w:val="clear" w:color="auto" w:fill="auto"/>
            <w:vAlign w:val="center"/>
          </w:tcPr>
          <w:p w14:paraId="22248CE2" w14:textId="77777777" w:rsidR="005D784C" w:rsidRPr="00445472" w:rsidRDefault="005D784C" w:rsidP="005D04C8">
            <w:pPr>
              <w:pStyle w:val="TABELA"/>
              <w:rPr>
                <w:lang w:val="sq-AL"/>
              </w:rPr>
            </w:pPr>
            <w:r w:rsidRPr="00445472">
              <w:rPr>
                <w:lang w:val="sq-AL"/>
              </w:rPr>
              <w:t xml:space="preserve">2015 vëzhguar </w:t>
            </w:r>
          </w:p>
        </w:tc>
        <w:tc>
          <w:tcPr>
            <w:tcW w:w="1916" w:type="dxa"/>
            <w:shd w:val="clear" w:color="auto" w:fill="auto"/>
            <w:vAlign w:val="center"/>
          </w:tcPr>
          <w:p w14:paraId="6F3D8900" w14:textId="77777777" w:rsidR="005D784C" w:rsidRPr="00445472" w:rsidRDefault="005D784C" w:rsidP="005D04C8">
            <w:pPr>
              <w:pStyle w:val="TABELA"/>
              <w:rPr>
                <w:lang w:val="sq-AL"/>
              </w:rPr>
            </w:pPr>
            <w:r w:rsidRPr="00445472">
              <w:rPr>
                <w:lang w:val="sq-AL"/>
              </w:rPr>
              <w:t>2031 parashikuar</w:t>
            </w:r>
          </w:p>
        </w:tc>
        <w:tc>
          <w:tcPr>
            <w:tcW w:w="1916" w:type="dxa"/>
            <w:shd w:val="clear" w:color="auto" w:fill="auto"/>
            <w:vAlign w:val="center"/>
          </w:tcPr>
          <w:p w14:paraId="26BDA91B" w14:textId="77777777" w:rsidR="005D784C" w:rsidRPr="00445472" w:rsidRDefault="005D784C" w:rsidP="005D04C8">
            <w:pPr>
              <w:pStyle w:val="TABELA"/>
              <w:rPr>
                <w:lang w:val="sq-AL"/>
              </w:rPr>
            </w:pPr>
            <w:r w:rsidRPr="00445472">
              <w:rPr>
                <w:lang w:val="sq-AL"/>
              </w:rPr>
              <w:t>2015 vëzhguar</w:t>
            </w:r>
          </w:p>
        </w:tc>
        <w:tc>
          <w:tcPr>
            <w:tcW w:w="1916" w:type="dxa"/>
            <w:shd w:val="clear" w:color="auto" w:fill="auto"/>
            <w:vAlign w:val="center"/>
          </w:tcPr>
          <w:p w14:paraId="550D3E0F" w14:textId="77777777" w:rsidR="005D784C" w:rsidRPr="00445472" w:rsidRDefault="005D784C" w:rsidP="005D04C8">
            <w:pPr>
              <w:pStyle w:val="TABELA"/>
              <w:rPr>
                <w:lang w:val="sq-AL"/>
              </w:rPr>
            </w:pPr>
            <w:r w:rsidRPr="00445472">
              <w:rPr>
                <w:lang w:val="sq-AL"/>
              </w:rPr>
              <w:t>2031 parashikuar</w:t>
            </w:r>
          </w:p>
        </w:tc>
      </w:tr>
      <w:tr w:rsidR="005D784C" w:rsidRPr="00445472" w14:paraId="1EB43384" w14:textId="77777777" w:rsidTr="00B15A6B">
        <w:trPr>
          <w:jc w:val="center"/>
        </w:trPr>
        <w:tc>
          <w:tcPr>
            <w:tcW w:w="1834" w:type="dxa"/>
            <w:shd w:val="clear" w:color="auto" w:fill="auto"/>
            <w:vAlign w:val="center"/>
          </w:tcPr>
          <w:p w14:paraId="7F053993" w14:textId="77777777" w:rsidR="005D784C" w:rsidRPr="00445472" w:rsidRDefault="005D784C" w:rsidP="005D04C8">
            <w:pPr>
              <w:pStyle w:val="TABELA"/>
              <w:rPr>
                <w:lang w:val="sq-AL"/>
              </w:rPr>
            </w:pPr>
            <w:r w:rsidRPr="00445472">
              <w:rPr>
                <w:lang w:val="sq-AL"/>
              </w:rPr>
              <w:t>Humbje shtëpiake</w:t>
            </w:r>
          </w:p>
        </w:tc>
        <w:tc>
          <w:tcPr>
            <w:tcW w:w="1915" w:type="dxa"/>
            <w:shd w:val="clear" w:color="auto" w:fill="auto"/>
            <w:vAlign w:val="center"/>
          </w:tcPr>
          <w:p w14:paraId="067EBEDB" w14:textId="77777777" w:rsidR="005D784C" w:rsidRPr="00445472" w:rsidRDefault="005D784C" w:rsidP="005D04C8">
            <w:pPr>
              <w:pStyle w:val="TABELA"/>
              <w:rPr>
                <w:lang w:val="sq-AL"/>
              </w:rPr>
            </w:pPr>
            <w:r w:rsidRPr="00445472">
              <w:rPr>
                <w:lang w:val="sq-AL"/>
              </w:rPr>
              <w:t>2015 vëzhguar</w:t>
            </w:r>
          </w:p>
        </w:tc>
        <w:tc>
          <w:tcPr>
            <w:tcW w:w="1916" w:type="dxa"/>
            <w:shd w:val="clear" w:color="auto" w:fill="auto"/>
            <w:vAlign w:val="center"/>
          </w:tcPr>
          <w:p w14:paraId="476C942D" w14:textId="77777777" w:rsidR="005D784C" w:rsidRPr="00445472" w:rsidRDefault="005D784C" w:rsidP="005D04C8">
            <w:pPr>
              <w:pStyle w:val="TABELA"/>
              <w:rPr>
                <w:lang w:val="sq-AL"/>
              </w:rPr>
            </w:pPr>
            <w:r w:rsidRPr="00445472">
              <w:rPr>
                <w:lang w:val="sq-AL"/>
              </w:rPr>
              <w:t>2031 parashikuar</w:t>
            </w:r>
          </w:p>
        </w:tc>
        <w:tc>
          <w:tcPr>
            <w:tcW w:w="1916" w:type="dxa"/>
            <w:shd w:val="clear" w:color="auto" w:fill="auto"/>
            <w:vAlign w:val="center"/>
          </w:tcPr>
          <w:p w14:paraId="2B7D5A2A" w14:textId="77777777" w:rsidR="005D784C" w:rsidRPr="00445472" w:rsidRDefault="005D784C" w:rsidP="005D04C8">
            <w:pPr>
              <w:pStyle w:val="TABELA"/>
              <w:rPr>
                <w:lang w:val="sq-AL"/>
              </w:rPr>
            </w:pPr>
            <w:r w:rsidRPr="00445472">
              <w:rPr>
                <w:lang w:val="sq-AL"/>
              </w:rPr>
              <w:t>2015 vëzhguar</w:t>
            </w:r>
          </w:p>
        </w:tc>
        <w:tc>
          <w:tcPr>
            <w:tcW w:w="1916" w:type="dxa"/>
            <w:shd w:val="clear" w:color="auto" w:fill="auto"/>
            <w:vAlign w:val="center"/>
          </w:tcPr>
          <w:p w14:paraId="02F8D29B" w14:textId="77777777" w:rsidR="005D784C" w:rsidRPr="00445472" w:rsidRDefault="005D784C" w:rsidP="005D04C8">
            <w:pPr>
              <w:pStyle w:val="TABELA"/>
              <w:rPr>
                <w:lang w:val="sq-AL"/>
              </w:rPr>
            </w:pPr>
            <w:r w:rsidRPr="00445472">
              <w:rPr>
                <w:lang w:val="sq-AL"/>
              </w:rPr>
              <w:t>2031 parashikuar</w:t>
            </w:r>
          </w:p>
        </w:tc>
      </w:tr>
      <w:tr w:rsidR="005D784C" w:rsidRPr="00445472" w14:paraId="7827AEAC" w14:textId="77777777" w:rsidTr="00B15A6B">
        <w:trPr>
          <w:jc w:val="center"/>
        </w:trPr>
        <w:tc>
          <w:tcPr>
            <w:tcW w:w="1834" w:type="dxa"/>
            <w:shd w:val="clear" w:color="auto" w:fill="auto"/>
            <w:vAlign w:val="center"/>
          </w:tcPr>
          <w:p w14:paraId="02291312" w14:textId="77777777" w:rsidR="005D784C" w:rsidRPr="00445472" w:rsidRDefault="005D784C" w:rsidP="005D04C8">
            <w:pPr>
              <w:pStyle w:val="TABELA"/>
              <w:rPr>
                <w:lang w:val="sq-AL"/>
              </w:rPr>
            </w:pPr>
            <w:r w:rsidRPr="00445472">
              <w:rPr>
                <w:lang w:val="sq-AL"/>
              </w:rPr>
              <w:t>Kërkesa hidroenergjitike, kaskada e Drinit</w:t>
            </w:r>
          </w:p>
        </w:tc>
        <w:tc>
          <w:tcPr>
            <w:tcW w:w="1915" w:type="dxa"/>
            <w:shd w:val="clear" w:color="auto" w:fill="auto"/>
            <w:vAlign w:val="center"/>
          </w:tcPr>
          <w:p w14:paraId="7CCD41EC" w14:textId="7A085719" w:rsidR="005D784C" w:rsidRPr="00445472" w:rsidRDefault="005D784C" w:rsidP="005D04C8">
            <w:pPr>
              <w:pStyle w:val="TABELA"/>
              <w:rPr>
                <w:lang w:val="sq-AL"/>
              </w:rPr>
            </w:pPr>
            <w:r w:rsidRPr="00445472">
              <w:rPr>
                <w:lang w:val="sq-AL"/>
              </w:rPr>
              <w:t>Mesatarja e vëzhguar 2014</w:t>
            </w:r>
            <w:r w:rsidR="00593CA0" w:rsidRPr="00445472">
              <w:rPr>
                <w:lang w:val="sq-AL"/>
              </w:rPr>
              <w:t>–</w:t>
            </w:r>
            <w:r w:rsidRPr="00445472">
              <w:rPr>
                <w:lang w:val="sq-AL"/>
              </w:rPr>
              <w:t xml:space="preserve">2016 </w:t>
            </w:r>
          </w:p>
        </w:tc>
        <w:tc>
          <w:tcPr>
            <w:tcW w:w="1916" w:type="dxa"/>
            <w:shd w:val="clear" w:color="auto" w:fill="auto"/>
            <w:vAlign w:val="center"/>
          </w:tcPr>
          <w:p w14:paraId="534E2654" w14:textId="77777777" w:rsidR="00593CA0" w:rsidRPr="00445472" w:rsidRDefault="005D784C" w:rsidP="005D04C8">
            <w:pPr>
              <w:pStyle w:val="TABELA"/>
              <w:rPr>
                <w:lang w:val="sq-AL"/>
              </w:rPr>
            </w:pPr>
            <w:r w:rsidRPr="00445472">
              <w:rPr>
                <w:lang w:val="sq-AL"/>
              </w:rPr>
              <w:t xml:space="preserve">Mesatarja e vëzhguar </w:t>
            </w:r>
          </w:p>
          <w:p w14:paraId="6966F744" w14:textId="78214A91" w:rsidR="005D784C" w:rsidRPr="00445472" w:rsidRDefault="005D784C" w:rsidP="005D04C8">
            <w:pPr>
              <w:pStyle w:val="TABELA"/>
              <w:rPr>
                <w:lang w:val="sq-AL"/>
              </w:rPr>
            </w:pPr>
            <w:r w:rsidRPr="00445472">
              <w:rPr>
                <w:lang w:val="sq-AL"/>
              </w:rPr>
              <w:t>2014</w:t>
            </w:r>
            <w:r w:rsidR="00593CA0" w:rsidRPr="00445472">
              <w:rPr>
                <w:lang w:val="sq-AL"/>
              </w:rPr>
              <w:t>–</w:t>
            </w:r>
            <w:r w:rsidRPr="00445472">
              <w:rPr>
                <w:lang w:val="sq-AL"/>
              </w:rPr>
              <w:t>2016</w:t>
            </w:r>
          </w:p>
        </w:tc>
        <w:tc>
          <w:tcPr>
            <w:tcW w:w="1916" w:type="dxa"/>
            <w:shd w:val="clear" w:color="auto" w:fill="auto"/>
            <w:vAlign w:val="center"/>
          </w:tcPr>
          <w:p w14:paraId="17306D35" w14:textId="77777777" w:rsidR="00593CA0" w:rsidRPr="00445472" w:rsidRDefault="005D784C" w:rsidP="005D04C8">
            <w:pPr>
              <w:pStyle w:val="TABELA"/>
              <w:rPr>
                <w:lang w:val="sq-AL"/>
              </w:rPr>
            </w:pPr>
            <w:r w:rsidRPr="00445472">
              <w:rPr>
                <w:lang w:val="sq-AL"/>
              </w:rPr>
              <w:t xml:space="preserve">Mesatarja e vëzhguar </w:t>
            </w:r>
          </w:p>
          <w:p w14:paraId="2E28D847" w14:textId="37DA3FAE" w:rsidR="005D784C" w:rsidRPr="00445472" w:rsidRDefault="005D784C" w:rsidP="005D04C8">
            <w:pPr>
              <w:pStyle w:val="TABELA"/>
              <w:rPr>
                <w:lang w:val="sq-AL"/>
              </w:rPr>
            </w:pPr>
            <w:r w:rsidRPr="00445472">
              <w:rPr>
                <w:lang w:val="sq-AL"/>
              </w:rPr>
              <w:t>2014</w:t>
            </w:r>
            <w:r w:rsidR="00593CA0" w:rsidRPr="00445472">
              <w:rPr>
                <w:lang w:val="sq-AL"/>
              </w:rPr>
              <w:t>–</w:t>
            </w:r>
            <w:r w:rsidRPr="00445472">
              <w:rPr>
                <w:lang w:val="sq-AL"/>
              </w:rPr>
              <w:t>2016</w:t>
            </w:r>
          </w:p>
        </w:tc>
        <w:tc>
          <w:tcPr>
            <w:tcW w:w="1916" w:type="dxa"/>
            <w:shd w:val="clear" w:color="auto" w:fill="auto"/>
            <w:vAlign w:val="center"/>
          </w:tcPr>
          <w:p w14:paraId="4AC9BD3E" w14:textId="77777777" w:rsidR="00593CA0" w:rsidRPr="00445472" w:rsidRDefault="005D784C" w:rsidP="005D04C8">
            <w:pPr>
              <w:pStyle w:val="TABELA"/>
              <w:rPr>
                <w:lang w:val="sq-AL"/>
              </w:rPr>
            </w:pPr>
            <w:r w:rsidRPr="00445472">
              <w:rPr>
                <w:lang w:val="sq-AL"/>
              </w:rPr>
              <w:t xml:space="preserve">Mesatarja e vëzhguar </w:t>
            </w:r>
          </w:p>
          <w:p w14:paraId="6FFDD6D5" w14:textId="386DD4DB" w:rsidR="005D784C" w:rsidRPr="00445472" w:rsidRDefault="005D784C" w:rsidP="005D04C8">
            <w:pPr>
              <w:pStyle w:val="TABELA"/>
              <w:rPr>
                <w:lang w:val="sq-AL"/>
              </w:rPr>
            </w:pPr>
            <w:r w:rsidRPr="00445472">
              <w:rPr>
                <w:lang w:val="sq-AL"/>
              </w:rPr>
              <w:t>2014</w:t>
            </w:r>
            <w:r w:rsidR="00593CA0" w:rsidRPr="00445472">
              <w:rPr>
                <w:lang w:val="sq-AL"/>
              </w:rPr>
              <w:t>–</w:t>
            </w:r>
            <w:r w:rsidRPr="00445472">
              <w:rPr>
                <w:lang w:val="sq-AL"/>
              </w:rPr>
              <w:t>2016</w:t>
            </w:r>
          </w:p>
        </w:tc>
      </w:tr>
    </w:tbl>
    <w:p w14:paraId="25650215" w14:textId="77777777" w:rsidR="005D784C" w:rsidRPr="00445472" w:rsidRDefault="005D784C" w:rsidP="005D784C">
      <w:pPr>
        <w:pStyle w:val="TEKSTIIII"/>
      </w:pPr>
    </w:p>
    <w:p w14:paraId="2F0DB460" w14:textId="796782A8" w:rsidR="005D784C" w:rsidRPr="00445472" w:rsidRDefault="005D04C8" w:rsidP="005D04C8">
      <w:pPr>
        <w:pStyle w:val="NENTITULL"/>
      </w:pPr>
      <w:bookmarkStart w:id="74" w:name="_Toc11068770"/>
      <w:r w:rsidRPr="00445472">
        <w:t xml:space="preserve">4.2.1 </w:t>
      </w:r>
      <w:r w:rsidR="005D784C" w:rsidRPr="00445472">
        <w:t>Rezultatet e modelimit</w:t>
      </w:r>
      <w:bookmarkEnd w:id="74"/>
    </w:p>
    <w:p w14:paraId="3BCD8B0F" w14:textId="24045E81" w:rsidR="005D784C" w:rsidRPr="00445472" w:rsidRDefault="005D784C" w:rsidP="005D784C">
      <w:pPr>
        <w:pStyle w:val="TEKSTIIII"/>
        <w:rPr>
          <w:lang w:eastAsia="da-DK"/>
        </w:rPr>
      </w:pPr>
      <w:r w:rsidRPr="00445472">
        <w:rPr>
          <w:lang w:eastAsia="da-DK"/>
        </w:rPr>
        <w:t xml:space="preserve">Rezultatet e paraqitura në Tabelën 4.2 vlerësojnë kërkesën për ujitje, të ujit për përdorim familjar dhe industrial dhe të </w:t>
      </w:r>
      <w:r w:rsidR="00C2143A" w:rsidRPr="00445472">
        <w:rPr>
          <w:lang w:eastAsia="da-DK"/>
        </w:rPr>
        <w:t>deficiteve</w:t>
      </w:r>
      <w:r w:rsidRPr="00445472">
        <w:rPr>
          <w:lang w:eastAsia="da-DK"/>
        </w:rPr>
        <w:t xml:space="preserve"> potenciale të hidroenergjisë</w:t>
      </w:r>
      <w:r w:rsidR="00C2143A" w:rsidRPr="00445472">
        <w:rPr>
          <w:lang w:eastAsia="da-DK"/>
        </w:rPr>
        <w:t>,</w:t>
      </w:r>
      <w:r w:rsidRPr="00445472">
        <w:rPr>
          <w:lang w:eastAsia="da-DK"/>
        </w:rPr>
        <w:t xml:space="preserve"> duke përdorur modele të baseneve ujore të zhvilluara duke përdorur paketën softuerike MIKE HYDRO Basin. Detajet e paketës së softuerit dhe qasjes së modelimit janë në dispozicion në kalibrimin e modelit shoqërues nga MBZHR sipas kërkesës.</w:t>
      </w:r>
    </w:p>
    <w:p w14:paraId="575CA387" w14:textId="77777777" w:rsidR="005D784C" w:rsidRPr="00445472" w:rsidRDefault="005D784C" w:rsidP="005D784C">
      <w:pPr>
        <w:pStyle w:val="TEKSTIIII"/>
        <w:rPr>
          <w:lang w:eastAsia="da-DK"/>
        </w:rPr>
      </w:pPr>
    </w:p>
    <w:p w14:paraId="17FA4D29" w14:textId="725AFA9B" w:rsidR="005D784C" w:rsidRPr="00445472" w:rsidRDefault="005D784C" w:rsidP="005D04C8">
      <w:pPr>
        <w:pStyle w:val="NENTITULL"/>
      </w:pPr>
      <w:r w:rsidRPr="00445472">
        <w:rPr>
          <w:lang w:eastAsia="da-DK"/>
        </w:rPr>
        <w:t xml:space="preserve">Tabela 4.2: </w:t>
      </w:r>
      <w:r w:rsidRPr="00445472">
        <w:t xml:space="preserve">Bilanci kërkesë-ofertë në Basenin Ujor </w:t>
      </w:r>
      <w:r w:rsidR="007E76E3" w:rsidRPr="00445472">
        <w:t>Drin–Bunë</w:t>
      </w:r>
      <w:r w:rsidRPr="00445472">
        <w:t xml:space="preserve"> nën supozime të ndryshme rreth kushteve hidrologjike (ofertës) dhe përdorimit të ujit (kërkesës)</w:t>
      </w:r>
    </w:p>
    <w:p w14:paraId="786ECC92" w14:textId="77777777" w:rsidR="005D784C" w:rsidRPr="00445472" w:rsidRDefault="005D784C" w:rsidP="005D784C">
      <w:pPr>
        <w:pStyle w:val="TEKSTIIII"/>
        <w:rPr>
          <w:b/>
        </w:rPr>
      </w:pP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408"/>
        <w:gridCol w:w="2024"/>
        <w:gridCol w:w="2004"/>
        <w:gridCol w:w="2023"/>
        <w:gridCol w:w="1828"/>
      </w:tblGrid>
      <w:tr w:rsidR="005D784C" w:rsidRPr="00445472" w14:paraId="00C1726D" w14:textId="77777777" w:rsidTr="00C2143A">
        <w:trPr>
          <w:tblHeader/>
          <w:jc w:val="center"/>
        </w:trPr>
        <w:tc>
          <w:tcPr>
            <w:tcW w:w="1408" w:type="dxa"/>
            <w:vMerge w:val="restart"/>
            <w:shd w:val="clear" w:color="auto" w:fill="D4D4D4"/>
            <w:vAlign w:val="center"/>
          </w:tcPr>
          <w:p w14:paraId="4DAB0376" w14:textId="77777777" w:rsidR="005D784C" w:rsidRPr="00445472" w:rsidRDefault="005D784C" w:rsidP="00C2143A">
            <w:pPr>
              <w:pStyle w:val="TABELA"/>
              <w:jc w:val="center"/>
              <w:rPr>
                <w:b/>
                <w:lang w:val="sq-AL"/>
              </w:rPr>
            </w:pPr>
          </w:p>
          <w:p w14:paraId="34B09A9D" w14:textId="77777777" w:rsidR="005D784C" w:rsidRPr="00445472" w:rsidRDefault="005D784C" w:rsidP="00C2143A">
            <w:pPr>
              <w:pStyle w:val="TABELA"/>
              <w:jc w:val="center"/>
              <w:rPr>
                <w:b/>
                <w:lang w:val="sq-AL"/>
              </w:rPr>
            </w:pPr>
            <w:r w:rsidRPr="00445472">
              <w:rPr>
                <w:b/>
                <w:lang w:val="sq-AL"/>
              </w:rPr>
              <w:t>Përdorimi i ujit</w:t>
            </w:r>
          </w:p>
        </w:tc>
        <w:tc>
          <w:tcPr>
            <w:tcW w:w="8227" w:type="dxa"/>
            <w:gridSpan w:val="4"/>
            <w:shd w:val="clear" w:color="auto" w:fill="D4D4D4"/>
            <w:vAlign w:val="center"/>
          </w:tcPr>
          <w:p w14:paraId="76283D38" w14:textId="77777777" w:rsidR="005D784C" w:rsidRPr="00445472" w:rsidRDefault="005D784C" w:rsidP="00C2143A">
            <w:pPr>
              <w:pStyle w:val="TABELA"/>
              <w:jc w:val="center"/>
              <w:rPr>
                <w:b/>
                <w:lang w:val="sq-AL"/>
              </w:rPr>
            </w:pPr>
            <w:r w:rsidRPr="00445472">
              <w:rPr>
                <w:b/>
                <w:lang w:val="sq-AL"/>
              </w:rPr>
              <w:t>Supozime</w:t>
            </w:r>
          </w:p>
        </w:tc>
      </w:tr>
      <w:tr w:rsidR="005D784C" w:rsidRPr="00445472" w14:paraId="25332D68" w14:textId="77777777" w:rsidTr="00C2143A">
        <w:trPr>
          <w:tblHeader/>
          <w:jc w:val="center"/>
        </w:trPr>
        <w:tc>
          <w:tcPr>
            <w:tcW w:w="1408" w:type="dxa"/>
            <w:vMerge/>
            <w:shd w:val="clear" w:color="auto" w:fill="D4D4D4"/>
            <w:vAlign w:val="center"/>
          </w:tcPr>
          <w:p w14:paraId="184F746D" w14:textId="77777777" w:rsidR="005D784C" w:rsidRPr="00445472" w:rsidRDefault="005D784C" w:rsidP="00C2143A">
            <w:pPr>
              <w:pStyle w:val="TABELA"/>
              <w:jc w:val="center"/>
              <w:rPr>
                <w:b/>
                <w:lang w:val="sq-AL"/>
              </w:rPr>
            </w:pPr>
          </w:p>
        </w:tc>
        <w:tc>
          <w:tcPr>
            <w:tcW w:w="2115" w:type="dxa"/>
            <w:shd w:val="clear" w:color="auto" w:fill="D4D4D4"/>
            <w:vAlign w:val="center"/>
          </w:tcPr>
          <w:p w14:paraId="3B322F40" w14:textId="77777777" w:rsidR="005D784C" w:rsidRPr="00445472" w:rsidRDefault="005D784C" w:rsidP="00C2143A">
            <w:pPr>
              <w:pStyle w:val="TABELA"/>
              <w:jc w:val="center"/>
              <w:rPr>
                <w:b/>
                <w:lang w:val="sq-AL"/>
              </w:rPr>
            </w:pPr>
            <w:r w:rsidRPr="00445472">
              <w:rPr>
                <w:b/>
                <w:lang w:val="sq-AL"/>
              </w:rPr>
              <w:t>Skenari Bazë</w:t>
            </w:r>
          </w:p>
          <w:p w14:paraId="0F4B6B54" w14:textId="77777777" w:rsidR="005D784C" w:rsidRPr="00445472" w:rsidRDefault="005D784C" w:rsidP="00C2143A">
            <w:pPr>
              <w:pStyle w:val="TABELA"/>
              <w:jc w:val="center"/>
              <w:rPr>
                <w:b/>
                <w:lang w:val="sq-AL"/>
              </w:rPr>
            </w:pPr>
            <w:r w:rsidRPr="00445472">
              <w:rPr>
                <w:b/>
                <w:lang w:val="sq-AL" w:eastAsia="da-DK"/>
              </w:rPr>
              <w:t>Klima Aktuale, Kërkesat Aktuale</w:t>
            </w:r>
          </w:p>
        </w:tc>
        <w:tc>
          <w:tcPr>
            <w:tcW w:w="2112" w:type="dxa"/>
            <w:shd w:val="clear" w:color="auto" w:fill="D4D4D4"/>
            <w:vAlign w:val="center"/>
          </w:tcPr>
          <w:p w14:paraId="5B6132CE" w14:textId="77777777" w:rsidR="005D784C" w:rsidRPr="00445472" w:rsidRDefault="005D784C" w:rsidP="00C2143A">
            <w:pPr>
              <w:pStyle w:val="TABELA"/>
              <w:jc w:val="center"/>
              <w:rPr>
                <w:b/>
                <w:lang w:val="sq-AL"/>
              </w:rPr>
            </w:pPr>
          </w:p>
        </w:tc>
        <w:tc>
          <w:tcPr>
            <w:tcW w:w="2114" w:type="dxa"/>
            <w:shd w:val="clear" w:color="auto" w:fill="D4D4D4"/>
            <w:vAlign w:val="center"/>
          </w:tcPr>
          <w:p w14:paraId="3AE6F901" w14:textId="77777777" w:rsidR="005D784C" w:rsidRPr="00445472" w:rsidRDefault="005D784C" w:rsidP="00C2143A">
            <w:pPr>
              <w:pStyle w:val="TABELA"/>
              <w:jc w:val="center"/>
              <w:rPr>
                <w:b/>
                <w:lang w:val="sq-AL"/>
              </w:rPr>
            </w:pPr>
            <w:r w:rsidRPr="00445472">
              <w:rPr>
                <w:b/>
                <w:lang w:val="sq-AL"/>
              </w:rPr>
              <w:t>Skenari Bazë</w:t>
            </w:r>
          </w:p>
          <w:p w14:paraId="49EB71FB" w14:textId="77777777" w:rsidR="005D784C" w:rsidRPr="00445472" w:rsidRDefault="005D784C" w:rsidP="00C2143A">
            <w:pPr>
              <w:pStyle w:val="TABELA"/>
              <w:jc w:val="center"/>
              <w:rPr>
                <w:b/>
                <w:lang w:val="sq-AL"/>
              </w:rPr>
            </w:pPr>
            <w:r w:rsidRPr="00445472">
              <w:rPr>
                <w:b/>
                <w:lang w:val="sq-AL" w:eastAsia="da-DK"/>
              </w:rPr>
              <w:t>Klima Aktuale, Kërkesat Aktuale</w:t>
            </w:r>
          </w:p>
        </w:tc>
        <w:tc>
          <w:tcPr>
            <w:tcW w:w="1886" w:type="dxa"/>
            <w:shd w:val="clear" w:color="auto" w:fill="D4D4D4"/>
            <w:vAlign w:val="center"/>
          </w:tcPr>
          <w:p w14:paraId="6880831F" w14:textId="77777777" w:rsidR="005D784C" w:rsidRPr="00445472" w:rsidRDefault="005D784C" w:rsidP="00C2143A">
            <w:pPr>
              <w:pStyle w:val="TABELA"/>
              <w:jc w:val="center"/>
              <w:rPr>
                <w:b/>
                <w:lang w:val="sq-AL"/>
              </w:rPr>
            </w:pPr>
          </w:p>
        </w:tc>
      </w:tr>
      <w:tr w:rsidR="005D784C" w:rsidRPr="00445472" w14:paraId="097CC0D3" w14:textId="77777777" w:rsidTr="00B15A6B">
        <w:trPr>
          <w:jc w:val="center"/>
        </w:trPr>
        <w:tc>
          <w:tcPr>
            <w:tcW w:w="1408" w:type="dxa"/>
            <w:shd w:val="clear" w:color="auto" w:fill="auto"/>
            <w:vAlign w:val="center"/>
          </w:tcPr>
          <w:p w14:paraId="3761ACE6" w14:textId="77777777" w:rsidR="005D784C" w:rsidRPr="00445472" w:rsidRDefault="005D784C" w:rsidP="005D04C8">
            <w:pPr>
              <w:pStyle w:val="TABELA"/>
              <w:rPr>
                <w:lang w:val="sq-AL"/>
              </w:rPr>
            </w:pPr>
            <w:r w:rsidRPr="00445472">
              <w:rPr>
                <w:lang w:val="sq-AL"/>
              </w:rPr>
              <w:t>Ujitje</w:t>
            </w:r>
          </w:p>
        </w:tc>
        <w:tc>
          <w:tcPr>
            <w:tcW w:w="2115" w:type="dxa"/>
            <w:shd w:val="clear" w:color="auto" w:fill="auto"/>
            <w:vAlign w:val="center"/>
          </w:tcPr>
          <w:p w14:paraId="3932BD49" w14:textId="77777777" w:rsidR="005D784C" w:rsidRPr="00445472" w:rsidRDefault="005D784C" w:rsidP="005D04C8">
            <w:pPr>
              <w:pStyle w:val="TABELA"/>
              <w:rPr>
                <w:lang w:val="sq-AL" w:eastAsia="da-DK"/>
              </w:rPr>
            </w:pPr>
            <w:r w:rsidRPr="00445472">
              <w:rPr>
                <w:lang w:val="sq-AL" w:eastAsia="da-DK"/>
              </w:rPr>
              <w:t>Në asnjë nga vendet e ujitjes nuk simulohet mungesa e kërkesës për ujë. Me fjalë të tjera, rezultatet e modelit sugjerojnë se Burimi i ujit të basenit është i mjaftueshëm për të plotësuar kërkesën e ujit për ujitje, duke marrë parasysh supozimet e përshkruara më parë për përdorimin e ujit hidrologjik dhe ujitjes.</w:t>
            </w:r>
          </w:p>
        </w:tc>
        <w:tc>
          <w:tcPr>
            <w:tcW w:w="2112" w:type="dxa"/>
            <w:shd w:val="clear" w:color="auto" w:fill="auto"/>
            <w:vAlign w:val="center"/>
          </w:tcPr>
          <w:p w14:paraId="6A94692B" w14:textId="647E358B" w:rsidR="005D784C" w:rsidRPr="00445472" w:rsidRDefault="00C2143A" w:rsidP="005D04C8">
            <w:pPr>
              <w:pStyle w:val="TABELA"/>
              <w:rPr>
                <w:lang w:val="sq-AL" w:eastAsia="da-DK"/>
              </w:rPr>
            </w:pPr>
            <w:r w:rsidRPr="00445472">
              <w:rPr>
                <w:lang w:val="sq-AL" w:eastAsia="da-DK"/>
              </w:rPr>
              <w:t>Deficitet</w:t>
            </w:r>
            <w:r w:rsidR="005D784C" w:rsidRPr="00445472">
              <w:rPr>
                <w:lang w:val="sq-AL" w:eastAsia="da-DK"/>
              </w:rPr>
              <w:t xml:space="preserve"> e kërkesës për ujitje simulohen në dy vjet të periudhës së simulimit për një ujëmbledhës (ujëmbledhësi 4</w:t>
            </w:r>
            <w:r w:rsidR="005D784C" w:rsidRPr="00445472">
              <w:rPr>
                <w:rStyle w:val="FootnoteReference"/>
                <w:rFonts w:ascii="Garamond" w:hAnsi="Garamond"/>
                <w:color w:val="auto"/>
                <w:sz w:val="18"/>
                <w:szCs w:val="18"/>
                <w:lang w:val="sq-AL" w:eastAsia="da-DK"/>
              </w:rPr>
              <w:footnoteReference w:id="47"/>
            </w:r>
            <w:r w:rsidR="005D784C" w:rsidRPr="00445472">
              <w:rPr>
                <w:lang w:val="sq-AL" w:eastAsia="da-DK"/>
              </w:rPr>
              <w:t>) kur supozohen zonat e ardhshme të ujitura. Rezerva ndodhet në pjesën e sipërme të basenit, përgjatë Drinit të Zi</w:t>
            </w:r>
          </w:p>
        </w:tc>
        <w:tc>
          <w:tcPr>
            <w:tcW w:w="2114" w:type="dxa"/>
            <w:shd w:val="clear" w:color="auto" w:fill="auto"/>
            <w:vAlign w:val="center"/>
          </w:tcPr>
          <w:p w14:paraId="5A9373AE" w14:textId="0DC5FB2D" w:rsidR="005D784C" w:rsidRPr="00445472" w:rsidRDefault="005D784C" w:rsidP="005D04C8">
            <w:pPr>
              <w:pStyle w:val="TABELA"/>
              <w:rPr>
                <w:lang w:val="sq-AL" w:eastAsia="da-DK"/>
              </w:rPr>
            </w:pPr>
            <w:r w:rsidRPr="00445472">
              <w:rPr>
                <w:lang w:val="sq-AL" w:eastAsia="da-DK"/>
              </w:rPr>
              <w:t xml:space="preserve">Defiçitet simulohen në pellgun 4, vendndodhjen e agreguar të ujitjes. Modeli i </w:t>
            </w:r>
            <w:r w:rsidR="00C2143A" w:rsidRPr="00445472">
              <w:rPr>
                <w:lang w:val="sq-AL" w:eastAsia="da-DK"/>
              </w:rPr>
              <w:t>deficitit</w:t>
            </w:r>
            <w:r w:rsidRPr="00445472">
              <w:rPr>
                <w:lang w:val="sq-AL" w:eastAsia="da-DK"/>
              </w:rPr>
              <w:t xml:space="preserve"> është i ndryshëm nga modeli i simuluar në klimën e tanishme, skenari i kërkesave të ardhshme </w:t>
            </w:r>
          </w:p>
        </w:tc>
        <w:tc>
          <w:tcPr>
            <w:tcW w:w="1886" w:type="dxa"/>
            <w:shd w:val="clear" w:color="auto" w:fill="auto"/>
            <w:vAlign w:val="center"/>
          </w:tcPr>
          <w:p w14:paraId="65C9CAFA" w14:textId="12C3BBD6" w:rsidR="005D784C" w:rsidRPr="00445472" w:rsidRDefault="00C2143A" w:rsidP="005D04C8">
            <w:pPr>
              <w:pStyle w:val="TABELA"/>
              <w:rPr>
                <w:lang w:val="sq-AL" w:eastAsia="da-DK"/>
              </w:rPr>
            </w:pPr>
            <w:r w:rsidRPr="00445472">
              <w:rPr>
                <w:lang w:val="sq-AL" w:eastAsia="da-DK"/>
              </w:rPr>
              <w:t>Deficitet</w:t>
            </w:r>
            <w:r w:rsidR="005D784C" w:rsidRPr="00445472">
              <w:rPr>
                <w:lang w:val="sq-AL" w:eastAsia="da-DK"/>
              </w:rPr>
              <w:t xml:space="preserve"> e ujitjes kufizohen në ujëmbledhësin 4. Megjithatë, ndryshimet klimatike rritin frekuencën dhe ashpërsinë e mungesave në lidhje me klimën e tanishme, skenarin e kërkesave të ardhshme </w:t>
            </w:r>
          </w:p>
        </w:tc>
      </w:tr>
      <w:tr w:rsidR="005D784C" w:rsidRPr="00445472" w14:paraId="4648A804" w14:textId="77777777" w:rsidTr="00C2143A">
        <w:trPr>
          <w:jc w:val="center"/>
        </w:trPr>
        <w:tc>
          <w:tcPr>
            <w:tcW w:w="1408" w:type="dxa"/>
            <w:shd w:val="clear" w:color="auto" w:fill="auto"/>
            <w:vAlign w:val="center"/>
          </w:tcPr>
          <w:p w14:paraId="11FE16A0" w14:textId="77777777" w:rsidR="005D784C" w:rsidRPr="00445472" w:rsidRDefault="005D784C" w:rsidP="005D04C8">
            <w:pPr>
              <w:pStyle w:val="TABELA"/>
              <w:rPr>
                <w:lang w:val="sq-AL"/>
              </w:rPr>
            </w:pPr>
            <w:r w:rsidRPr="00445472">
              <w:rPr>
                <w:lang w:val="sq-AL"/>
              </w:rPr>
              <w:t>Shtëpiak dhe Industrial</w:t>
            </w:r>
          </w:p>
        </w:tc>
        <w:tc>
          <w:tcPr>
            <w:tcW w:w="2115" w:type="dxa"/>
            <w:shd w:val="clear" w:color="auto" w:fill="auto"/>
          </w:tcPr>
          <w:p w14:paraId="5BB6C5E6" w14:textId="5BCBB9BD" w:rsidR="005D784C" w:rsidRPr="00445472" w:rsidRDefault="005D784C" w:rsidP="00C2143A">
            <w:pPr>
              <w:pStyle w:val="TABELA"/>
              <w:rPr>
                <w:lang w:val="sq-AL"/>
              </w:rPr>
            </w:pPr>
            <w:r w:rsidRPr="00445472">
              <w:rPr>
                <w:lang w:val="sq-AL" w:eastAsia="da-DK"/>
              </w:rPr>
              <w:t xml:space="preserve">Nuk ka </w:t>
            </w:r>
            <w:r w:rsidR="00C2143A" w:rsidRPr="00445472">
              <w:rPr>
                <w:lang w:val="sq-AL" w:eastAsia="da-DK"/>
              </w:rPr>
              <w:t>deficite</w:t>
            </w:r>
            <w:r w:rsidRPr="00445472">
              <w:rPr>
                <w:lang w:val="sq-AL" w:eastAsia="da-DK"/>
              </w:rPr>
              <w:t xml:space="preserve"> të kërkesës për ujë në asnjë vendndodhje </w:t>
            </w:r>
            <w:r w:rsidR="00C2143A" w:rsidRPr="00445472">
              <w:rPr>
                <w:lang w:val="sq-AL" w:eastAsia="da-DK"/>
              </w:rPr>
              <w:t>shtëpiake</w:t>
            </w:r>
            <w:r w:rsidRPr="00445472">
              <w:rPr>
                <w:lang w:val="sq-AL" w:eastAsia="da-DK"/>
              </w:rPr>
              <w:t xml:space="preserve"> dhe industriale</w:t>
            </w:r>
          </w:p>
        </w:tc>
        <w:tc>
          <w:tcPr>
            <w:tcW w:w="2112" w:type="dxa"/>
            <w:shd w:val="clear" w:color="auto" w:fill="auto"/>
          </w:tcPr>
          <w:p w14:paraId="0DD2F73A" w14:textId="19AA2035" w:rsidR="005D784C" w:rsidRPr="00445472" w:rsidRDefault="005D784C" w:rsidP="00C2143A">
            <w:pPr>
              <w:pStyle w:val="TABELA"/>
              <w:rPr>
                <w:lang w:val="sq-AL"/>
              </w:rPr>
            </w:pPr>
            <w:r w:rsidRPr="00445472">
              <w:rPr>
                <w:lang w:val="sq-AL" w:eastAsia="da-DK"/>
              </w:rPr>
              <w:t xml:space="preserve">Nuk ka </w:t>
            </w:r>
            <w:r w:rsidR="00C2143A" w:rsidRPr="00445472">
              <w:rPr>
                <w:lang w:val="sq-AL" w:eastAsia="da-DK"/>
              </w:rPr>
              <w:t>deficite</w:t>
            </w:r>
            <w:r w:rsidRPr="00445472">
              <w:rPr>
                <w:lang w:val="sq-AL" w:eastAsia="da-DK"/>
              </w:rPr>
              <w:t xml:space="preserve"> të kërkesës për ujë në asnjë vendndodhje </w:t>
            </w:r>
            <w:r w:rsidR="00C2143A" w:rsidRPr="00445472">
              <w:rPr>
                <w:lang w:val="sq-AL" w:eastAsia="da-DK"/>
              </w:rPr>
              <w:t>shtëpiake</w:t>
            </w:r>
            <w:r w:rsidRPr="00445472">
              <w:rPr>
                <w:lang w:val="sq-AL" w:eastAsia="da-DK"/>
              </w:rPr>
              <w:t xml:space="preserve"> dhe industriale</w:t>
            </w:r>
          </w:p>
        </w:tc>
        <w:tc>
          <w:tcPr>
            <w:tcW w:w="2114" w:type="dxa"/>
            <w:shd w:val="clear" w:color="auto" w:fill="auto"/>
          </w:tcPr>
          <w:p w14:paraId="71632A68" w14:textId="21C65086" w:rsidR="005D784C" w:rsidRPr="00445472" w:rsidRDefault="005D784C" w:rsidP="00C2143A">
            <w:pPr>
              <w:pStyle w:val="TABELA"/>
              <w:rPr>
                <w:lang w:val="sq-AL"/>
              </w:rPr>
            </w:pPr>
            <w:r w:rsidRPr="00445472">
              <w:rPr>
                <w:lang w:val="sq-AL" w:eastAsia="da-DK"/>
              </w:rPr>
              <w:t xml:space="preserve">Nuk ka </w:t>
            </w:r>
            <w:r w:rsidR="00C2143A" w:rsidRPr="00445472">
              <w:rPr>
                <w:lang w:val="sq-AL" w:eastAsia="da-DK"/>
              </w:rPr>
              <w:t>deficite</w:t>
            </w:r>
            <w:r w:rsidRPr="00445472">
              <w:rPr>
                <w:lang w:val="sq-AL" w:eastAsia="da-DK"/>
              </w:rPr>
              <w:t xml:space="preserve"> të kërkesës për ujë në asnjë vendndodhje </w:t>
            </w:r>
            <w:r w:rsidR="00C2143A" w:rsidRPr="00445472">
              <w:rPr>
                <w:lang w:val="sq-AL" w:eastAsia="da-DK"/>
              </w:rPr>
              <w:t>shtëpiake</w:t>
            </w:r>
            <w:r w:rsidRPr="00445472">
              <w:rPr>
                <w:lang w:val="sq-AL" w:eastAsia="da-DK"/>
              </w:rPr>
              <w:t xml:space="preserve"> dhe industriale</w:t>
            </w:r>
          </w:p>
        </w:tc>
        <w:tc>
          <w:tcPr>
            <w:tcW w:w="1886" w:type="dxa"/>
            <w:shd w:val="clear" w:color="auto" w:fill="auto"/>
          </w:tcPr>
          <w:p w14:paraId="045EDCC8" w14:textId="71D7C38B" w:rsidR="005D784C" w:rsidRPr="00445472" w:rsidRDefault="005D784C" w:rsidP="00C2143A">
            <w:pPr>
              <w:pStyle w:val="TABELA"/>
              <w:rPr>
                <w:lang w:val="sq-AL"/>
              </w:rPr>
            </w:pPr>
            <w:r w:rsidRPr="00445472">
              <w:rPr>
                <w:lang w:val="sq-AL" w:eastAsia="da-DK"/>
              </w:rPr>
              <w:t xml:space="preserve">Nuk ka </w:t>
            </w:r>
            <w:r w:rsidR="00C2143A" w:rsidRPr="00445472">
              <w:rPr>
                <w:lang w:val="sq-AL" w:eastAsia="da-DK"/>
              </w:rPr>
              <w:t>deficite</w:t>
            </w:r>
            <w:r w:rsidRPr="00445472">
              <w:rPr>
                <w:lang w:val="sq-AL" w:eastAsia="da-DK"/>
              </w:rPr>
              <w:t xml:space="preserve"> të kërkesës për ujë në asnjë vendndodhje </w:t>
            </w:r>
            <w:r w:rsidR="00C2143A" w:rsidRPr="00445472">
              <w:rPr>
                <w:lang w:val="sq-AL" w:eastAsia="da-DK"/>
              </w:rPr>
              <w:t>shtëpiake</w:t>
            </w:r>
            <w:r w:rsidRPr="00445472">
              <w:rPr>
                <w:lang w:val="sq-AL" w:eastAsia="da-DK"/>
              </w:rPr>
              <w:t xml:space="preserve"> dhe industriale</w:t>
            </w:r>
          </w:p>
        </w:tc>
      </w:tr>
      <w:tr w:rsidR="005D784C" w:rsidRPr="00445472" w14:paraId="37761122" w14:textId="77777777" w:rsidTr="00C2143A">
        <w:trPr>
          <w:jc w:val="center"/>
        </w:trPr>
        <w:tc>
          <w:tcPr>
            <w:tcW w:w="1408" w:type="dxa"/>
            <w:shd w:val="clear" w:color="auto" w:fill="auto"/>
            <w:vAlign w:val="center"/>
          </w:tcPr>
          <w:p w14:paraId="6C62869B" w14:textId="77777777" w:rsidR="005D784C" w:rsidRPr="00445472" w:rsidRDefault="005D784C" w:rsidP="005D04C8">
            <w:pPr>
              <w:pStyle w:val="TABELA"/>
              <w:rPr>
                <w:lang w:val="sq-AL"/>
              </w:rPr>
            </w:pPr>
            <w:r w:rsidRPr="00445472">
              <w:rPr>
                <w:lang w:val="sq-AL"/>
              </w:rPr>
              <w:t>Hidrocentralet</w:t>
            </w:r>
          </w:p>
        </w:tc>
        <w:tc>
          <w:tcPr>
            <w:tcW w:w="2115" w:type="dxa"/>
            <w:shd w:val="clear" w:color="auto" w:fill="auto"/>
          </w:tcPr>
          <w:p w14:paraId="1AD2CA64" w14:textId="25D1E0E9" w:rsidR="005D784C" w:rsidRPr="00445472" w:rsidRDefault="00C2143A" w:rsidP="00C2143A">
            <w:pPr>
              <w:pStyle w:val="TABELA"/>
              <w:rPr>
                <w:lang w:val="sq-AL" w:eastAsia="da-DK"/>
              </w:rPr>
            </w:pPr>
            <w:r w:rsidRPr="00445472">
              <w:rPr>
                <w:lang w:val="sq-AL" w:eastAsia="da-DK"/>
              </w:rPr>
              <w:t>Deficitet</w:t>
            </w:r>
            <w:r w:rsidR="005D784C" w:rsidRPr="00445472">
              <w:rPr>
                <w:lang w:val="sq-AL" w:eastAsia="da-DK"/>
              </w:rPr>
              <w:t xml:space="preserve"> e hidrocentraleve janë vërejtur në secilën prej objekteve kryesore në kaskadën e Drinit që simulohen në versionin bazë të modelit. Këto </w:t>
            </w:r>
            <w:r w:rsidRPr="00445472">
              <w:rPr>
                <w:lang w:val="sq-AL" w:eastAsia="da-DK"/>
              </w:rPr>
              <w:t>deficite</w:t>
            </w:r>
            <w:r w:rsidR="005D784C" w:rsidRPr="00445472">
              <w:rPr>
                <w:lang w:val="sq-AL" w:eastAsia="da-DK"/>
              </w:rPr>
              <w:t xml:space="preserve"> mund të rezultojnë nga zbatimi i rregullave të rezervuarit që synojnë të zvogëlojnë zbrazjen në periudha të thata në mënyrë që të ruhet magazinimi</w:t>
            </w:r>
          </w:p>
        </w:tc>
        <w:tc>
          <w:tcPr>
            <w:tcW w:w="2112" w:type="dxa"/>
            <w:shd w:val="clear" w:color="auto" w:fill="auto"/>
          </w:tcPr>
          <w:p w14:paraId="23AB2F54" w14:textId="7DDEE093" w:rsidR="005D784C" w:rsidRPr="00445472" w:rsidRDefault="005D784C" w:rsidP="00C2143A">
            <w:pPr>
              <w:pStyle w:val="TABELA"/>
              <w:rPr>
                <w:lang w:val="sq-AL" w:eastAsia="da-DK"/>
              </w:rPr>
            </w:pPr>
            <w:r w:rsidRPr="00445472">
              <w:rPr>
                <w:lang w:val="sq-AL" w:eastAsia="da-DK"/>
              </w:rPr>
              <w:t xml:space="preserve">Vetëm ndryshime të vogla në </w:t>
            </w:r>
            <w:r w:rsidR="00C2143A" w:rsidRPr="00445472">
              <w:rPr>
                <w:lang w:val="sq-AL" w:eastAsia="da-DK"/>
              </w:rPr>
              <w:t>deficitet</w:t>
            </w:r>
            <w:r w:rsidRPr="00445472">
              <w:rPr>
                <w:lang w:val="sq-AL" w:eastAsia="da-DK"/>
              </w:rPr>
              <w:t xml:space="preserve"> e energjisë vërehen në klimën aktuale, skenarin e kërkesave të ardhshme, për shkak të ndryshimeve të vogla në kohën e rrjedhjes së lumit për shkak të ndryshimeve në modelet e kërkesës në rrjedhën e sipërme </w:t>
            </w:r>
          </w:p>
          <w:p w14:paraId="79436A8D" w14:textId="77777777" w:rsidR="005D784C" w:rsidRPr="00445472" w:rsidRDefault="005D784C" w:rsidP="00C2143A">
            <w:pPr>
              <w:pStyle w:val="TABELA"/>
              <w:rPr>
                <w:lang w:val="sq-AL"/>
              </w:rPr>
            </w:pPr>
          </w:p>
        </w:tc>
        <w:tc>
          <w:tcPr>
            <w:tcW w:w="2114" w:type="dxa"/>
            <w:shd w:val="clear" w:color="auto" w:fill="auto"/>
          </w:tcPr>
          <w:p w14:paraId="2A5B968A" w14:textId="6763DB37" w:rsidR="005D784C" w:rsidRPr="00445472" w:rsidRDefault="00C2143A" w:rsidP="00905530">
            <w:pPr>
              <w:pStyle w:val="TABELA"/>
              <w:rPr>
                <w:lang w:val="sq-AL" w:eastAsia="da-DK"/>
              </w:rPr>
            </w:pPr>
            <w:r w:rsidRPr="00445472">
              <w:rPr>
                <w:lang w:val="sq-AL" w:eastAsia="da-DK"/>
              </w:rPr>
              <w:t>Deficitet</w:t>
            </w:r>
            <w:r w:rsidR="005D784C" w:rsidRPr="00445472">
              <w:rPr>
                <w:lang w:val="sq-AL" w:eastAsia="da-DK"/>
              </w:rPr>
              <w:t xml:space="preserve"> e simuluara të hidrocentraleve rriten ndjeshëm në të gjitha tr</w:t>
            </w:r>
            <w:r w:rsidR="00905530">
              <w:rPr>
                <w:lang w:val="sq-AL" w:eastAsia="da-DK"/>
              </w:rPr>
              <w:t>i</w:t>
            </w:r>
            <w:r w:rsidR="005D784C" w:rsidRPr="00445472">
              <w:rPr>
                <w:lang w:val="sq-AL" w:eastAsia="da-DK"/>
              </w:rPr>
              <w:t xml:space="preserve"> HEC-et e mëdha si rezultat i ndryshimeve klimatike </w:t>
            </w:r>
          </w:p>
        </w:tc>
        <w:tc>
          <w:tcPr>
            <w:tcW w:w="1886" w:type="dxa"/>
            <w:shd w:val="clear" w:color="auto" w:fill="auto"/>
          </w:tcPr>
          <w:p w14:paraId="16AAF497" w14:textId="5F722B28" w:rsidR="005D784C" w:rsidRPr="00445472" w:rsidRDefault="00C2143A" w:rsidP="00905530">
            <w:pPr>
              <w:pStyle w:val="TABELA"/>
              <w:rPr>
                <w:lang w:val="sq-AL" w:eastAsia="da-DK"/>
              </w:rPr>
            </w:pPr>
            <w:r w:rsidRPr="00445472">
              <w:rPr>
                <w:lang w:val="sq-AL" w:eastAsia="da-DK"/>
              </w:rPr>
              <w:t>Deficitet</w:t>
            </w:r>
            <w:r w:rsidR="005D784C" w:rsidRPr="00445472">
              <w:rPr>
                <w:lang w:val="sq-AL" w:eastAsia="da-DK"/>
              </w:rPr>
              <w:t xml:space="preserve"> e simuluara të hidrocentraleve rriten ndjeshëm në të gjitha tr</w:t>
            </w:r>
            <w:r w:rsidR="00905530">
              <w:rPr>
                <w:lang w:val="sq-AL" w:eastAsia="da-DK"/>
              </w:rPr>
              <w:t>i</w:t>
            </w:r>
            <w:r w:rsidR="005D784C" w:rsidRPr="00445472">
              <w:rPr>
                <w:lang w:val="sq-AL" w:eastAsia="da-DK"/>
              </w:rPr>
              <w:t xml:space="preserve"> HEC-et e mëdha si rezultat i ndryshimeve klimatike. Një ndryshim i mëtejshëm i vogël në prodhimin e energjisë hidrike simulohet në lidhje me klimën e ardhshme, e cila paraqet skenarin e nevojshëm, si rezultat i ndryshimit të nxjerrjes së ujit në rrjedhën e sipërme</w:t>
            </w:r>
          </w:p>
        </w:tc>
      </w:tr>
    </w:tbl>
    <w:p w14:paraId="477C1BBE" w14:textId="77777777" w:rsidR="005D784C" w:rsidRPr="00445472" w:rsidRDefault="005D784C" w:rsidP="005D784C">
      <w:pPr>
        <w:pStyle w:val="TEKSTIIII"/>
      </w:pPr>
    </w:p>
    <w:p w14:paraId="7F41326B" w14:textId="130C5CF9" w:rsidR="005D784C" w:rsidRPr="00445472" w:rsidRDefault="005D04C8" w:rsidP="005D04C8">
      <w:pPr>
        <w:pStyle w:val="NENTITULL"/>
      </w:pPr>
      <w:bookmarkStart w:id="75" w:name="_Toc11068771"/>
      <w:r w:rsidRPr="00445472">
        <w:t xml:space="preserve">4.2.2 </w:t>
      </w:r>
      <w:r w:rsidR="005D784C" w:rsidRPr="00445472">
        <w:t>Konkluzionet dhe rekomandimet të skenarëve të modelimit</w:t>
      </w:r>
      <w:bookmarkEnd w:id="75"/>
    </w:p>
    <w:p w14:paraId="03383061" w14:textId="4E849657" w:rsidR="005D784C" w:rsidRPr="00445472" w:rsidRDefault="005D784C" w:rsidP="005D784C">
      <w:pPr>
        <w:pStyle w:val="TEKSTIIII"/>
        <w:rPr>
          <w:lang w:eastAsia="da-DK"/>
        </w:rPr>
      </w:pPr>
      <w:r w:rsidRPr="00445472">
        <w:rPr>
          <w:lang w:eastAsia="da-DK"/>
        </w:rPr>
        <w:t xml:space="preserve">Duket se burimet ujore të basenit </w:t>
      </w:r>
      <w:r w:rsidR="007E76E3" w:rsidRPr="00445472">
        <w:rPr>
          <w:lang w:eastAsia="da-DK"/>
        </w:rPr>
        <w:t>Drin–Bunë</w:t>
      </w:r>
      <w:r w:rsidRPr="00445472">
        <w:rPr>
          <w:lang w:eastAsia="da-DK"/>
        </w:rPr>
        <w:t xml:space="preserve"> janë të mjaftueshme për të përmbushur kërkesat aktuale dhe të ardhshme të përdorimit konsumativ, pavarësisht nëse ndryshimet klimatike ndryshojnë kushtet hidrologjike në basen. Megjithatë, baseni është gjithashtu një burim kryesor i prodhimit të energjisë në Shqipëri dhe prodhimi i energjisë përmes kaskadës së Drinit mund të zvogëlohet si rezultat i ndryshimeve klimatike.</w:t>
      </w:r>
    </w:p>
    <w:p w14:paraId="1DA4B64F" w14:textId="77777777" w:rsidR="005D784C" w:rsidRPr="00445472" w:rsidRDefault="005D784C" w:rsidP="005D784C">
      <w:pPr>
        <w:pStyle w:val="TEKSTIIII"/>
        <w:rPr>
          <w:lang w:eastAsia="da-DK"/>
        </w:rPr>
      </w:pPr>
      <w:r w:rsidRPr="00445472">
        <w:rPr>
          <w:lang w:eastAsia="da-DK"/>
        </w:rPr>
        <w:t>Përfundimet e mëposhtme vijojnë nga vlerësimi i balancave të kërkesës dhe ofertës:</w:t>
      </w:r>
    </w:p>
    <w:p w14:paraId="52F2A99A" w14:textId="1CCA537F" w:rsidR="005D784C" w:rsidRPr="00445472" w:rsidRDefault="00A41C61" w:rsidP="005D784C">
      <w:pPr>
        <w:pStyle w:val="TEKSTIIII"/>
      </w:pPr>
      <w:r>
        <w:t xml:space="preserve">- </w:t>
      </w:r>
      <w:r w:rsidR="005D784C" w:rsidRPr="00445472">
        <w:t>Furnizimet duket të jenë të mjaftueshme për të plotësuar kërkesën familjare dhe industriale në basen për të dyja kushtet aktuale dhe të ardhshme. Ndërsa investimi në reduktimin e humbjeve të sistemit të shpërndarjes mund të jetë i dobishëm për reduktimin e kostove të prodhimit për sistemet e furnizimit me ujë, ai nuk duhet të motivohet nga një perceptim i mungesës së ujit.</w:t>
      </w:r>
    </w:p>
    <w:p w14:paraId="42614C91" w14:textId="18F1FBF1" w:rsidR="005D784C" w:rsidRPr="00445472" w:rsidRDefault="00A41C61" w:rsidP="005D784C">
      <w:pPr>
        <w:pStyle w:val="TEKSTIIII"/>
      </w:pPr>
      <w:r>
        <w:t xml:space="preserve">- </w:t>
      </w:r>
      <w:r w:rsidR="005D784C" w:rsidRPr="00445472">
        <w:t xml:space="preserve">Furnizimet janë të mjaftueshme për të përmbushur kërkesat e ujitjes në basenin e Drinit. Megjithatë, mungesa e ujit mund të ekzistojë në zonat më të vogla të ujitura në rrjedhën e sipërme, dhe ka të ngjarë që kjo mungesë të rritet nën kushtet e ndryshimeve klimatike. Prandaj, investime në objektet e vogla të magazinimit në zonat në rrjedhën e sipërme mund të jenë të dobishme për zbutjen e mungesës së ujit </w:t>
      </w:r>
      <w:r w:rsidR="00C2143A" w:rsidRPr="00445472">
        <w:t>për</w:t>
      </w:r>
      <w:r w:rsidR="005D784C" w:rsidRPr="00445472">
        <w:t xml:space="preserve"> ujitje.</w:t>
      </w:r>
    </w:p>
    <w:p w14:paraId="29C3256D" w14:textId="165B06FF" w:rsidR="005D784C" w:rsidRPr="00445472" w:rsidRDefault="00A41C61" w:rsidP="005D784C">
      <w:pPr>
        <w:pStyle w:val="TEKSTIIII"/>
      </w:pPr>
      <w:r>
        <w:t xml:space="preserve">- </w:t>
      </w:r>
      <w:r w:rsidR="005D784C" w:rsidRPr="00445472">
        <w:t>Prodhimi i hidroenergjisë ka gjasa të ulet nën kushtet e ndryshimeve klimatike si rezultat i prurjes së reduktuar. Planifikuesit e baseneve duhet të marrin në konsideratë veprimet për të zvogëluar këto ndikime, të tilla si riformulimi i rregullave të operimit të rezervuarit për të rritur efikasitetin operacional.</w:t>
      </w:r>
    </w:p>
    <w:p w14:paraId="3E7F9CC4" w14:textId="4A1A3534" w:rsidR="005D784C" w:rsidRPr="00445472" w:rsidRDefault="005D784C" w:rsidP="005D784C">
      <w:pPr>
        <w:pStyle w:val="TEKSTIIII"/>
        <w:rPr>
          <w:lang w:eastAsia="da-DK"/>
        </w:rPr>
      </w:pPr>
      <w:r w:rsidRPr="00445472">
        <w:rPr>
          <w:lang w:eastAsia="da-DK"/>
        </w:rPr>
        <w:t>Konkluzionet e paraqitura më lart bazohen në një numër supozimesh të përfshira në formulimin e skenarëve. Këto përfshijnë:</w:t>
      </w:r>
    </w:p>
    <w:p w14:paraId="40ADE0B2" w14:textId="6A77D698" w:rsidR="005D784C" w:rsidRPr="00445472" w:rsidRDefault="00A41C61" w:rsidP="005D784C">
      <w:pPr>
        <w:pStyle w:val="TEKSTIIII"/>
      </w:pPr>
      <w:r>
        <w:t xml:space="preserve">- </w:t>
      </w:r>
      <w:r w:rsidR="005D784C" w:rsidRPr="00445472">
        <w:t>Vlerësimet e kërkesave të ardhshme në sektorin shtëpiak të ujit të pijshëm/industrial supozojnë se humbjet e sistemit të shpërndarjes do të reduktohen në 35% të kërkesave. Në shumicën e rasteve, kjo kompenson në masë të konsiderueshme rritjen e parashikuar të kërkesës. Nëse institucionet e përdorimit t</w:t>
      </w:r>
      <w:r w:rsidR="00034FBB">
        <w:t>ë</w:t>
      </w:r>
      <w:r w:rsidR="005D784C" w:rsidRPr="00445472">
        <w:t xml:space="preserve"> ujit nuk janë në gjendje të ulin humbjet e sistemit të shpërndarjes, mund të ndodhë që kërkesat e ardhshme në sektorin e ujit të pijshëm/industriale, të jenë dukshëm më të larta. Në këtë rast, përfundimi se mungesat nuk ndikojnë në këtë sektor mund të mos jenë më të vlefshme.</w:t>
      </w:r>
    </w:p>
    <w:p w14:paraId="6991F02B" w14:textId="127062BB" w:rsidR="005D784C" w:rsidRPr="00445472" w:rsidRDefault="00A41C61" w:rsidP="005D784C">
      <w:pPr>
        <w:pStyle w:val="TEKSTIIII"/>
      </w:pPr>
      <w:r>
        <w:t xml:space="preserve">- </w:t>
      </w:r>
      <w:r w:rsidR="005D784C" w:rsidRPr="00445472">
        <w:t>Skenari i përqendrimit të gazeve me efekt serrë janë përzgjedhur për të projektuar kushtet e ardhshme klimatike në basen. Kombinimi i përdorur këtu është përzgjedhur pas krahasimit me të dhënat lokale. Megjithatë, modelet e tjera të klimës dhe skenarët e përqendrimit mund të japin parashikime të ndryshme që mund të çojnë në përfundime të ndryshme.</w:t>
      </w:r>
    </w:p>
    <w:p w14:paraId="1EB783DB" w14:textId="7C886DC8" w:rsidR="005D784C" w:rsidRPr="00445472" w:rsidRDefault="00A41C61" w:rsidP="005D784C">
      <w:pPr>
        <w:pStyle w:val="TEKSTIIII"/>
      </w:pPr>
      <w:r>
        <w:t xml:space="preserve">- </w:t>
      </w:r>
      <w:r w:rsidR="005D784C" w:rsidRPr="00445472">
        <w:t>Metoda e përdorur për vlerësimin e kërkesave për ujitje të njësisë nuk bën dallim midis llojeve të ndryshme të kulturave ose kapacitetit mbajtës të lagështisë së llojeve të ndryshme të tokës, të cilat mund të ndikojnë në sasinë dhe kohën e kërkesave të ujitjes. Metoda e thjeshtë e përdorur këtu u përzgjodh për shkak të informatave të pamjaftueshme në lidhje me llojet e tokës dhe tipologjitë e kulturave në basen; përveç kësaj, mendohej se çdo parashikim i modeleve të ardhshme të kultivimit do të ishte shumë i pasigurt për të dhënë informacion të dobishëm.</w:t>
      </w:r>
    </w:p>
    <w:p w14:paraId="014A210F" w14:textId="36F06CD2" w:rsidR="005D784C" w:rsidRPr="00445472" w:rsidRDefault="005D784C" w:rsidP="005D784C">
      <w:pPr>
        <w:pStyle w:val="TEKSTIIII"/>
      </w:pPr>
      <w:r w:rsidRPr="00445472">
        <w:t>Nuk është bërë asnjë përpjekje për të vlerësuar kërkesat e ardhshme të hidrocentraleve sepse një vlerësim i tillë duhet të marrë në konsideratë rolin e hidrocentraleve në shkëmbimin e përgjithshëm të energjisë. Për shkak se burimet e energjisë hidroenergjetike aktivizohen dhe çaktivizohen lehtë, këto burime shpesh luajnë një rol kyç në mbulimin e kërkesave të fuqisë maksimale dhe sigurimin e balancimit të ngarkesës. Një vlerësim i tillë është përtej fushëveprimit të këtij projekti. Megjithatë, duke pasur parasysh rëndësinë e ndikimeve të mundshme klimatike te hidrocentralet, një vlerësim i tillë mund të jetë i dobishëm në të ardhmen si pjesë e përpjekjeve të planifikimit në sektorin e energjisë.</w:t>
      </w:r>
    </w:p>
    <w:p w14:paraId="13E2EE48" w14:textId="5C576C56" w:rsidR="005D784C" w:rsidRPr="00445472" w:rsidRDefault="005D04C8" w:rsidP="005D04C8">
      <w:pPr>
        <w:pStyle w:val="NENTITULL"/>
      </w:pPr>
      <w:bookmarkStart w:id="76" w:name="_Toc524527870"/>
      <w:bookmarkStart w:id="77" w:name="_Toc11068772"/>
      <w:r w:rsidRPr="00445472">
        <w:t xml:space="preserve">4.2.3 </w:t>
      </w:r>
      <w:r w:rsidR="005D784C" w:rsidRPr="00445472">
        <w:t>Përcaktimi i mëtejshëm i regjimit hidrologjik (rrjedha ekologjike) në lidhje me objektivat mjedisorë</w:t>
      </w:r>
      <w:bookmarkEnd w:id="76"/>
      <w:bookmarkEnd w:id="77"/>
    </w:p>
    <w:p w14:paraId="03DBEB9F" w14:textId="7FDAE767" w:rsidR="005D784C" w:rsidRPr="00445472" w:rsidRDefault="005D784C" w:rsidP="005D784C">
      <w:pPr>
        <w:pStyle w:val="TEKSTIIII"/>
      </w:pPr>
      <w:r w:rsidRPr="00445472">
        <w:t xml:space="preserve">Nëpërmjet Dokumentit Udhëzues nr. 31, grupi i punës së DKU-së ka përshtatur termin </w:t>
      </w:r>
      <w:r w:rsidR="00D62EDF" w:rsidRPr="00445472">
        <w:t>“</w:t>
      </w:r>
      <w:r w:rsidRPr="00445472">
        <w:t>rrjedhë ekologjike</w:t>
      </w:r>
      <w:r w:rsidR="00D62EDF" w:rsidRPr="00445472">
        <w:t>”</w:t>
      </w:r>
      <w:r w:rsidRPr="00445472">
        <w:t xml:space="preserve"> me përkufizimin e mëposhtëm:</w:t>
      </w:r>
    </w:p>
    <w:p w14:paraId="26EAD8DD" w14:textId="357B225B" w:rsidR="005D784C" w:rsidRPr="00445472" w:rsidRDefault="005D784C" w:rsidP="005D784C">
      <w:pPr>
        <w:pStyle w:val="TEKSTIIII"/>
        <w:rPr>
          <w:b/>
        </w:rPr>
      </w:pPr>
      <w:r w:rsidRPr="00445472">
        <w:rPr>
          <w:b/>
        </w:rPr>
        <w:t xml:space="preserve">Rrjedhat ekologjike, në kontekstin e DKU-së, konsiderohen si </w:t>
      </w:r>
      <w:r w:rsidR="00D62EDF" w:rsidRPr="00445472">
        <w:rPr>
          <w:b/>
        </w:rPr>
        <w:t>“</w:t>
      </w:r>
      <w:r w:rsidRPr="00445472">
        <w:rPr>
          <w:b/>
        </w:rPr>
        <w:t xml:space="preserve">regjim hidrologjik në përputhje me përmbushjen e objektivave mjedisore të DKU-së në trupat ujorë sipërfaqësorë natyrorë, siç përmendet në </w:t>
      </w:r>
      <w:r w:rsidR="00C2143A" w:rsidRPr="00445472">
        <w:rPr>
          <w:b/>
        </w:rPr>
        <w:t xml:space="preserve">nenin </w:t>
      </w:r>
      <w:r w:rsidRPr="00445472">
        <w:rPr>
          <w:b/>
        </w:rPr>
        <w:t>4(1)</w:t>
      </w:r>
      <w:r w:rsidR="00D62EDF" w:rsidRPr="00445472">
        <w:rPr>
          <w:b/>
        </w:rPr>
        <w:t>”</w:t>
      </w:r>
      <w:r w:rsidRPr="00445472">
        <w:rPr>
          <w:b/>
        </w:rPr>
        <w:t>.</w:t>
      </w:r>
    </w:p>
    <w:p w14:paraId="1A8E6AEB" w14:textId="5FCE28F5" w:rsidR="005D784C" w:rsidRPr="00445472" w:rsidRDefault="005D784C" w:rsidP="005D784C">
      <w:pPr>
        <w:pStyle w:val="TEKSTIIII"/>
      </w:pPr>
      <w:r w:rsidRPr="00445472">
        <w:t>Duke marrë parasysh Nenin 4(1) të DKU-së, objektivat mjedisor</w:t>
      </w:r>
      <w:r w:rsidR="00DA3731" w:rsidRPr="00445472">
        <w:t>ë</w:t>
      </w:r>
      <w:r w:rsidRPr="00445472">
        <w:t xml:space="preserve"> i referohen: i</w:t>
      </w:r>
      <w:r w:rsidR="00C2143A" w:rsidRPr="00445472">
        <w:t>.</w:t>
      </w:r>
      <w:r w:rsidRPr="00445472">
        <w:t xml:space="preserve"> mospërkeqësimit të gjendjes ekzistuese</w:t>
      </w:r>
      <w:r w:rsidR="00C2143A" w:rsidRPr="00445472">
        <w:t xml:space="preserve">; </w:t>
      </w:r>
      <w:r w:rsidRPr="00445472">
        <w:t>ii</w:t>
      </w:r>
      <w:r w:rsidR="00C2143A" w:rsidRPr="00445472">
        <w:t>.</w:t>
      </w:r>
      <w:r w:rsidRPr="00445472">
        <w:t xml:space="preserve"> arritja e një statusi të mirë ekologjik në trupat ujorë sipërfaqësorë natyrorë</w:t>
      </w:r>
      <w:r w:rsidR="00C2143A" w:rsidRPr="00445472">
        <w:t>; iii.</w:t>
      </w:r>
      <w:r w:rsidRPr="00445472">
        <w:t xml:space="preserve"> përputhja me standardet dhe objektivat për zonat e mbrojtura, përfshirë ato të paracaktuara për mbrojtjen e habitateve dhe specieve të tilla ku mirëmbajtja dhe përmirësimi i gjendjes së ujit është një faktor i rëndësishëm për mbrojtjen e tyre, përfshirë zonat përkatëse të Natura 2000, të përcaktuara në Direktivën për Shpendët dhe Habitatet.</w:t>
      </w:r>
    </w:p>
    <w:p w14:paraId="64A88648" w14:textId="09EBB01A" w:rsidR="005D784C" w:rsidRPr="00445472" w:rsidRDefault="005D784C" w:rsidP="005D784C">
      <w:pPr>
        <w:pStyle w:val="TEKSTIIII"/>
      </w:pPr>
      <w:r w:rsidRPr="00445472">
        <w:t>Drejtimi i lumit për të mundësuar kontrollin e përmbytjes dhe</w:t>
      </w:r>
      <w:r w:rsidR="001D340B" w:rsidRPr="00445472">
        <w:t>/</w:t>
      </w:r>
      <w:r w:rsidRPr="00445472">
        <w:t xml:space="preserve">ose qëllime lundrimi, nxjerrjen e ujit, rregullimet e rrjedhës së ujit (digat, kapërderdhësit, portat e kontrollit, dhe rregullatorët e thellësisë), ndryshimet morfologjike, dhe argjinaturat janë të gjitha presione hidromorfologjike </w:t>
      </w:r>
      <w:r w:rsidRPr="00445472">
        <w:rPr>
          <w:lang w:eastAsia="da-DK"/>
        </w:rPr>
        <w:t xml:space="preserve">(Fehér et al. 2012) </w:t>
      </w:r>
      <w:r w:rsidRPr="00445472">
        <w:t>që tjetërsojnë regjimin e rrjedhës së lumenjve</w:t>
      </w:r>
      <w:r w:rsidRPr="00445472">
        <w:rPr>
          <w:rStyle w:val="FootnoteReference"/>
          <w:rFonts w:ascii="Garamond" w:hAnsi="Garamond"/>
          <w:color w:val="auto"/>
        </w:rPr>
        <w:footnoteReference w:id="48"/>
      </w:r>
      <w:r w:rsidRPr="00445472">
        <w:t>.</w:t>
      </w:r>
    </w:p>
    <w:p w14:paraId="30347699" w14:textId="77777777" w:rsidR="005D784C" w:rsidRPr="00445472" w:rsidRDefault="005D784C" w:rsidP="005D784C">
      <w:pPr>
        <w:pStyle w:val="TEKSTIIII"/>
      </w:pPr>
      <w:r w:rsidRPr="00445472">
        <w:t xml:space="preserve">Në rastet kur trupat ujorë mund të klasifikohen si trupa ujorë shumë të modifikuar dhe/ose të përjashtohen, kërkesat përkatëse në lidhje me regjimin e rrjedhës përfshijnë fizibilitetin teknik dhe ndikimin ekonomiko-shoqëror për përdorimin, gjë që do të ndikohej nga rrjedha ekologjike. </w:t>
      </w:r>
    </w:p>
    <w:p w14:paraId="67B6A618" w14:textId="32E241C8" w:rsidR="005D784C" w:rsidRPr="00445472" w:rsidRDefault="005D784C" w:rsidP="005D784C">
      <w:pPr>
        <w:pStyle w:val="TEKSTIIII"/>
      </w:pPr>
      <w:r w:rsidRPr="00445472">
        <w:t xml:space="preserve">Metoda Tennant e vlerësimit të </w:t>
      </w:r>
      <w:r w:rsidR="00C2143A" w:rsidRPr="00445472">
        <w:t>rrjedhjes</w:t>
      </w:r>
      <w:r w:rsidRPr="00445472">
        <w:t xml:space="preserve"> ekologjike supozon që një pjesë e rrjedhës mesatare vjetore (rrjedha mesatare vjetore – RMV – që përdoret më tej), është e nevojshme për të mbështetur integritetin biologjik të një ekosistemi lumor. Në mënyrë të veçantë, 10% e RMV konsiderohet të jetë rrjedha më e ulët e menjëhershme për të siguruar ekzistencën afatshkurtër të jetës ujore, 30% e RMV konsiderohet të sigurojë rrjedha ku integriteti biologjik i ekosistemit të lumit si një tërësi është i qëndrueshëm, ndërsa më e lartë se 60% e RMV-se, ofrojnë kushte të shkëlqyera për habitatet.</w:t>
      </w:r>
      <w:r w:rsidRPr="00445472">
        <w:rPr>
          <w:rStyle w:val="FootnoteReference"/>
          <w:rFonts w:ascii="Garamond" w:hAnsi="Garamond"/>
          <w:color w:val="auto"/>
        </w:rPr>
        <w:footnoteReference w:id="49"/>
      </w:r>
    </w:p>
    <w:p w14:paraId="650ED0BE" w14:textId="4FE1D519" w:rsidR="005D784C" w:rsidRPr="00445472" w:rsidRDefault="005D784C" w:rsidP="005D784C">
      <w:pPr>
        <w:pStyle w:val="TEKSTIIII"/>
      </w:pPr>
      <w:r w:rsidRPr="00445472">
        <w:t>Detyrimi për të përcaktuar rrjedhën ekologjike për secilin rrjet hidrologjik apo lum, jepet në ligjin shqiptar 111/2012 si një detyrim për ta përfshirë në PMBU-të. Duke mbajtur këtë parasysh, është e rëndësishme të përmendim se kur Dokumenti Udhëzues 31 u shpërnda në 2015-ën, shtetet anëtare të BE-së nuk ndanin të njëjtin mendim mbi rrjedhjet ekologjike dhe mënyrën e përdorimit të tyre në PMBU-të, rrjedhimisht dhe nevojën për udhëzimin. Aktualisht, nuk ka një zbatim të unifikuar të rrjedhave ekologjike në rangun e shteteve anëtare. Secili shtet ka gjetur mënyrën e vet për t’a adresuar çështjen, megjithatë ekzistojnë këto metodologji kryesore: hidrologjike, habitati hidraulik dhe holistik.</w:t>
      </w:r>
    </w:p>
    <w:p w14:paraId="046AE3B1" w14:textId="77777777" w:rsidR="005D784C" w:rsidRPr="00445472" w:rsidRDefault="005D784C" w:rsidP="005D784C">
      <w:pPr>
        <w:pStyle w:val="TEKSTIIII"/>
      </w:pPr>
      <w:r w:rsidRPr="00445472">
        <w:t>Metodologjia hidrologjike rekomandohet të bazohet në të dhëna 15-vjeçare mbi integritetin statistikor që sigurohen nga stacionet monitoruese të cilat mbulojnë basenin ujor. Me fjalë të tjera, përkufizimi i saktë dhe zbatimi efikas i rrjedhave ekologjike kanë nevojë për shumë të dhëna hidrologjike të marra nga monitorimi i regjimit hidrologjik; qasjet ndaj modeleve deri diku mund të ofrojnë të dhëna të pamjaftueshme të monitorimit.</w:t>
      </w:r>
    </w:p>
    <w:p w14:paraId="13ADA88A" w14:textId="77777777" w:rsidR="005D784C" w:rsidRPr="00445472" w:rsidRDefault="005D784C" w:rsidP="005D784C">
      <w:pPr>
        <w:pStyle w:val="TEKSTIIII"/>
      </w:pPr>
      <w:r w:rsidRPr="00445472">
        <w:t>Vlerësimi i presionit dhe ndikimit hidrologjik duhet që gjithashtu të vlerësojë presionet e konsiderueshme të cilat ndryshojnë regjimin e rrjedhës gjë që rezulton të ketë ndikim në aspektin biologjik dhe që ka gjasa të kontribuojë në dështimin e objektivave mjedisorë.</w:t>
      </w:r>
    </w:p>
    <w:p w14:paraId="08276232" w14:textId="77777777" w:rsidR="005D784C" w:rsidRPr="00445472" w:rsidRDefault="005D784C" w:rsidP="005D784C">
      <w:pPr>
        <w:pStyle w:val="TEKSTIIII"/>
      </w:pPr>
      <w:r w:rsidRPr="00445472">
        <w:t>Ndikimi ekologjik i alternimeve hidrologjike dhe domethënia e tyre duhet që në fund të fundit të vlerësohet me tregues biologjikë të ndërtuar mbi të dhënat e monitorimit të cilat janë specifikisht të ndjeshme ndaj alternimeve ekologjike. Në rast se matjet biologjike në dispozicion nuk e vlerësojnë presionin hidrologjik apo nuk janë aq specifike sa të fokusohen në ndikimin e përgjithshëm dhe për shkak se regjimi hidrologjik luan një rol kryesor në cilësinë e ekosistemit të lumit, vlerësimi i ndikimit të konsiderueshëm të presionit hidrologjik mbështetet gjerësisht në vlerësimin e alternimeve hidrologjike të rrjedhës së lumit. Në shumë raste alternimet hidrologjike më të shpeshta mund të evidentohen me disa mjete të thjeshta duke marrë parasysh përmasat e presionit apo alternimet në hapësirë dhe kohë të habitateve.</w:t>
      </w:r>
    </w:p>
    <w:p w14:paraId="69EEC425" w14:textId="77777777" w:rsidR="005D784C" w:rsidRPr="00445472" w:rsidRDefault="005D784C" w:rsidP="005D784C">
      <w:pPr>
        <w:pStyle w:val="TEKSTIIII"/>
      </w:pPr>
      <w:r w:rsidRPr="00445472">
        <w:t>Prezantimi i rrjedhës ekologjike për secilin rrjet hidrologjik apo lum, kërkon që programet monitoruese të përshtaten për të ofruar një pamje të përmirësuar të alternimeve hidrologjike dhe ndikimit të tyre në habitate/morfologji dhe biologji dhe të mbështesë në mënyrë efektive arritjen e rrjedhës ekologjike. Ky lloj monitorimi synon të mbledhë mjaftueshëm informacion hidrologjik sa për të vlerësuar regjimin aktual të rrjedhës dhe mënyrën se si ai devijon nga regjimi normal i rrjedhës. Hapi i parë për të adresuar ndryshimet klimatike janë njohuritë e ndikimeve dhe evolucionit hidrologjik në një kohë të gjatë; hidrologjia  përfshirë monitorimin dhe mbikëqyrjen do të japë informacion mbi ndryshimin afatgjatë të regjimit të rrjedhës natyrore.</w:t>
      </w:r>
    </w:p>
    <w:p w14:paraId="07E7B130" w14:textId="7E0116BA" w:rsidR="005D784C" w:rsidRPr="00445472" w:rsidRDefault="005D784C" w:rsidP="005D784C">
      <w:pPr>
        <w:pStyle w:val="TEKSTIIII"/>
      </w:pPr>
      <w:r w:rsidRPr="00445472">
        <w:t>Drini i Bardhë dhe nënbasenet e Drinit të Zi duket të jenë më të ndjeshme referuar kushteve të tanishme pasi nevojitet më shumë ujë për të përmbushur kërkesat e DKU-së, veçanërisht në muajt e verës.</w:t>
      </w:r>
      <w:r w:rsidRPr="00445472">
        <w:rPr>
          <w:rStyle w:val="FootnoteReference"/>
          <w:rFonts w:ascii="Garamond" w:hAnsi="Garamond"/>
          <w:color w:val="auto"/>
        </w:rPr>
        <w:footnoteReference w:id="50"/>
      </w:r>
    </w:p>
    <w:p w14:paraId="5E852792" w14:textId="1C3E038B" w:rsidR="005D784C" w:rsidRPr="00445472" w:rsidRDefault="005D784C" w:rsidP="005D784C">
      <w:pPr>
        <w:pStyle w:val="TEKSTIIII"/>
      </w:pPr>
      <w:r w:rsidRPr="00445472">
        <w:t>Për të përmbushur objektivat mjedisor</w:t>
      </w:r>
      <w:r w:rsidR="00DA3731" w:rsidRPr="00445472">
        <w:t>ë</w:t>
      </w:r>
      <w:r w:rsidRPr="00445472">
        <w:t xml:space="preserve"> të DKU-së në lumenjtë natyrorë, programet e masave duhet të sigurojnë mbrojtjen e rrjedhave ekologjike dhe restaurimin e tyre. Si pjesë e masave bazë, kontrolli i nxjerrjes së ujërave nëntokësorë dhe sipërfaqësorë, mbylljeve dhe aktiviteteve të tjera që ndikojnë hidromorfologjinë, formon një bazë të fortë për mbrojt</w:t>
      </w:r>
      <w:r w:rsidR="00C2143A" w:rsidRPr="00445472">
        <w:t>j</w:t>
      </w:r>
      <w:r w:rsidRPr="00445472">
        <w:t>en dhe restaurimin e rrjedhës ekologjike nëpërmjet procesit të autorizimit dhe rishikimit sistematik të lejeve.</w:t>
      </w:r>
    </w:p>
    <w:p w14:paraId="354C0187" w14:textId="75D7199D" w:rsidR="005D784C" w:rsidRPr="00445472" w:rsidRDefault="005D784C" w:rsidP="005D784C">
      <w:pPr>
        <w:pStyle w:val="TEKSTIIII"/>
      </w:pPr>
      <w:r w:rsidRPr="00445472">
        <w:t xml:space="preserve">Mund të nevojiten shumë masa të tjera të cilat ndihmojnë në përmbushjen e objektivave mjedisorë të DKU-së. Në shumë raste, kombinimi i masave hidrologjike (që sigurojnë mirëmbajtjen e </w:t>
      </w:r>
      <w:r w:rsidR="00C2143A" w:rsidRPr="00445472">
        <w:t>rrjedhjes</w:t>
      </w:r>
      <w:r w:rsidRPr="00445472">
        <w:t xml:space="preserve"> ekologjike nga rregulloret përkatëse) dhe masat morfologjike (që përmirësojnë habitatet ujore për </w:t>
      </w:r>
      <w:r w:rsidR="001F68B2" w:rsidRPr="00445472">
        <w:t>t’i</w:t>
      </w:r>
      <w:r w:rsidRPr="00445472">
        <w:t xml:space="preserve"> bërë ata më pak </w:t>
      </w:r>
      <w:r w:rsidR="007E76E3" w:rsidRPr="00445472">
        <w:t>të cenueshme</w:t>
      </w:r>
      <w:r w:rsidRPr="00445472">
        <w:t xml:space="preserve"> nga dëmtimet e rrjedhës) mund të jetë qasja me koston më efektive. Programi i Masave duhet të mbështesë zhvillimin e njohurive mbi kërkesat e rrjedhjes së ekosistemit lumor në një shkallë të gjerë dhe në nivel terreni aty ku është e përshtatshme. </w:t>
      </w:r>
    </w:p>
    <w:p w14:paraId="3FE36AB0" w14:textId="77777777" w:rsidR="005D784C" w:rsidRPr="00445472" w:rsidRDefault="005D784C" w:rsidP="005D784C">
      <w:pPr>
        <w:pStyle w:val="TEKSTIIII"/>
      </w:pPr>
      <w:r w:rsidRPr="00445472">
        <w:t>Metodologjia Tennant tregon flukset minimale ekologjike, gjatë periudhës së thatë të vitit, që luhaten nga përafërsisht 7 m</w:t>
      </w:r>
      <w:r w:rsidRPr="00445472">
        <w:rPr>
          <w:vertAlign w:val="superscript"/>
        </w:rPr>
        <w:t>3</w:t>
      </w:r>
      <w:r w:rsidRPr="00445472">
        <w:t>/s në Drinin e Bardhë në 260 m</w:t>
      </w:r>
      <w:r w:rsidRPr="00445472">
        <w:rPr>
          <w:vertAlign w:val="superscript"/>
        </w:rPr>
        <w:t>3</w:t>
      </w:r>
      <w:r w:rsidRPr="00445472">
        <w:t>/s në Bunë. Gjatë periudhës së lagësht të vitit, e njëjta metodologji tregoi flukset ekologjike që shkojnë nga 11 m</w:t>
      </w:r>
      <w:r w:rsidRPr="00445472">
        <w:rPr>
          <w:vertAlign w:val="superscript"/>
        </w:rPr>
        <w:t>3</w:t>
      </w:r>
      <w:r w:rsidRPr="00445472">
        <w:t>/s në Drinin e Bardhë në 526 m</w:t>
      </w:r>
      <w:r w:rsidRPr="00445472">
        <w:rPr>
          <w:vertAlign w:val="superscript"/>
        </w:rPr>
        <w:t>3</w:t>
      </w:r>
      <w:r w:rsidRPr="00445472">
        <w:t>/s në Buna. Vlerësimi global i rrjedhës ekologjike GEFC, tregoi regjimet e rrjedhës ekologjike që pasojnë ndryshimet hidrologjike natyrore dhe luhaten, gjatë periudhës së thatë në Drin e Bardhë, nga 10 m</w:t>
      </w:r>
      <w:r w:rsidRPr="00445472">
        <w:rPr>
          <w:vertAlign w:val="superscript"/>
        </w:rPr>
        <w:t>3</w:t>
      </w:r>
      <w:r w:rsidRPr="00445472">
        <w:t>/s në 80 m</w:t>
      </w:r>
      <w:r w:rsidRPr="00445472">
        <w:rPr>
          <w:vertAlign w:val="superscript"/>
        </w:rPr>
        <w:t>3</w:t>
      </w:r>
      <w:r w:rsidRPr="00445472">
        <w:t>/s (modifikime të moderuara) dhe gjatë periudhës së lagësht, nga 10 m</w:t>
      </w:r>
      <w:r w:rsidRPr="00445472">
        <w:rPr>
          <w:vertAlign w:val="superscript"/>
        </w:rPr>
        <w:t>3</w:t>
      </w:r>
      <w:r w:rsidRPr="00445472">
        <w:t>/s deri në 100 m</w:t>
      </w:r>
      <w:r w:rsidRPr="00445472">
        <w:rPr>
          <w:vertAlign w:val="superscript"/>
        </w:rPr>
        <w:t>3</w:t>
      </w:r>
      <w:r w:rsidRPr="00445472">
        <w:t>/s (modifikime të moderuara në Drinin e Bardhë).</w:t>
      </w:r>
      <w:r w:rsidRPr="00445472">
        <w:rPr>
          <w:rStyle w:val="FootnoteReference"/>
          <w:rFonts w:ascii="Garamond" w:hAnsi="Garamond"/>
          <w:color w:val="auto"/>
        </w:rPr>
        <w:footnoteReference w:id="51"/>
      </w:r>
    </w:p>
    <w:p w14:paraId="1280C931" w14:textId="41C4BD18" w:rsidR="005D784C" w:rsidRPr="00445472" w:rsidRDefault="005D784C" w:rsidP="005D784C">
      <w:pPr>
        <w:pStyle w:val="TEKSTIIII"/>
      </w:pPr>
      <w:r w:rsidRPr="00445472">
        <w:t xml:space="preserve">Në rrethana shumë të veçanta, alternimet hidrologjike pa ndryshime thelbësore në morfologji, mund të justifikojnë përcaktimin e përkohshëm të trupave ujorë tepër të modifikuar (TUTM), që përgjithësisht duhet të bazohet vetëm në identifikimin e ndryshimeve të konsiderueshme në morfologji. Përkufizimi i rrjedhës ekologjike dhe identifikimi i masave të nevojshme për t’a përcjellë dhe për të arritur një </w:t>
      </w:r>
      <w:r w:rsidR="00D62EDF" w:rsidRPr="00445472">
        <w:t>“</w:t>
      </w:r>
      <w:r w:rsidRPr="00445472">
        <w:t>status të mirë ekologjik</w:t>
      </w:r>
      <w:r w:rsidR="00D62EDF" w:rsidRPr="00445472">
        <w:t>”</w:t>
      </w:r>
      <w:r w:rsidRPr="00445472">
        <w:t>, aty ku hidrologjia ndryshon në mënyrë të konsiderueshme, duhet të trajtohet si pjesë e  provës së përcaktimit të TUTM-ve dhe të justifikohet pse këto masa nuk mund të ndërmerren. Kjo lidhet qartë me dhënien e lejeve për ndërtimin dhe operimin e HEC-eve të vegjël. Aktualisht, sipas ligjit shqiptar, kërkohet mbajtja e një rrjedhe minimale standarde në çdo rrjedhë apo lumë. Megjithatë, për përcaktimin e rrjedhës ekologjike kjo qasje kërkon</w:t>
      </w:r>
      <w:r w:rsidR="00C2143A" w:rsidRPr="00445472">
        <w:t>:</w:t>
      </w:r>
      <w:r w:rsidRPr="00445472">
        <w:t xml:space="preserve"> i</w:t>
      </w:r>
      <w:r w:rsidR="00C2143A" w:rsidRPr="00445472">
        <w:t>.</w:t>
      </w:r>
      <w:r w:rsidRPr="00445472">
        <w:t xml:space="preserve"> vlerësim të </w:t>
      </w:r>
      <w:r w:rsidR="00C2143A" w:rsidRPr="00445472">
        <w:t>mëtejshëm</w:t>
      </w:r>
      <w:r w:rsidRPr="00445472">
        <w:t xml:space="preserve"> të të dhënave të monitorimit (n</w:t>
      </w:r>
      <w:r w:rsidR="00C2143A" w:rsidRPr="00445472">
        <w:t>ëpërmjet rrjetit hidrologjik); ii) një vlerësim të plotë hidro</w:t>
      </w:r>
      <w:r w:rsidRPr="00445472">
        <w:t>morfologjik të basenit ujor</w:t>
      </w:r>
      <w:r w:rsidR="00C2143A" w:rsidRPr="00445472">
        <w:t>;</w:t>
      </w:r>
      <w:r w:rsidRPr="00445472">
        <w:t xml:space="preserve"> dhe </w:t>
      </w:r>
      <w:r w:rsidR="00C2143A" w:rsidRPr="00445472">
        <w:t>iii.</w:t>
      </w:r>
      <w:r w:rsidRPr="00445472">
        <w:t xml:space="preserve"> </w:t>
      </w:r>
      <w:r w:rsidR="00034FBB">
        <w:t>mundësimin dhe besueshmërinë te</w:t>
      </w:r>
      <w:r w:rsidRPr="00445472">
        <w:t xml:space="preserve"> të dhënat e mëparshme të ndryshimeve klimatike. Përkufizimi i rrjedhës ekologjike, veçanërisht në lidhje me lëshimin e lejeve për HEC-et e vegjël, përfshihet në Programin e Masave (tabela 12.3, 1f).</w:t>
      </w:r>
    </w:p>
    <w:p w14:paraId="71B31BD0" w14:textId="77777777" w:rsidR="005D784C" w:rsidRPr="00445472" w:rsidRDefault="005D784C" w:rsidP="005D784C">
      <w:pPr>
        <w:pStyle w:val="TEKSTIIII"/>
      </w:pPr>
      <w:r w:rsidRPr="00445472">
        <w:t>Sidoqoftë, në rastet kur informacioni ekologjik është i pamjaftueshëm, indekset hidrologjike mund të përdoren për të siguruar një vlerësim të përshtatshëm të kërkesave për ujë në mjedisin lumor.</w:t>
      </w:r>
      <w:r w:rsidRPr="00445472">
        <w:rPr>
          <w:rStyle w:val="FootnoteReference"/>
          <w:rFonts w:ascii="Garamond" w:hAnsi="Garamond"/>
          <w:color w:val="auto"/>
        </w:rPr>
        <w:footnoteReference w:id="52"/>
      </w:r>
    </w:p>
    <w:p w14:paraId="7F3EF18C" w14:textId="77777777" w:rsidR="005D784C" w:rsidRPr="00445472" w:rsidRDefault="005D784C" w:rsidP="005D784C">
      <w:pPr>
        <w:pStyle w:val="TEKSTIIII"/>
      </w:pPr>
      <w:r w:rsidRPr="00445472">
        <w:t>Duhet bërë një vlerësim i kujdesshëm i regjimit hidrologjik në përkufizimin e një potenciali të mirë ekologjik bashkë me masat lehtësuese për të përmirësuar gjendjen e rrjedhës; në varësi të natyrës dhe intensitetit të alternimeve morfologjike.</w:t>
      </w:r>
    </w:p>
    <w:p w14:paraId="2CC572C9" w14:textId="77777777" w:rsidR="005D784C" w:rsidRPr="00445472" w:rsidRDefault="005D784C" w:rsidP="005D784C">
      <w:pPr>
        <w:pStyle w:val="TEKSTIIII"/>
      </w:pPr>
    </w:p>
    <w:p w14:paraId="5035985C" w14:textId="00972475" w:rsidR="005D784C" w:rsidRPr="00445472" w:rsidRDefault="0020739F" w:rsidP="005D784C">
      <w:pPr>
        <w:pStyle w:val="TEKSTIIII"/>
        <w:rPr>
          <w:b/>
        </w:rPr>
      </w:pPr>
      <w:bookmarkStart w:id="78" w:name="_Toc11068773"/>
      <w:r w:rsidRPr="00445472">
        <w:rPr>
          <w:b/>
        </w:rPr>
        <w:t xml:space="preserve">5. </w:t>
      </w:r>
      <w:r w:rsidR="005D784C" w:rsidRPr="00445472">
        <w:rPr>
          <w:b/>
        </w:rPr>
        <w:t>Zonat e Mbrojtura</w:t>
      </w:r>
      <w:bookmarkEnd w:id="78"/>
    </w:p>
    <w:p w14:paraId="3322D438" w14:textId="57E1DC5E" w:rsidR="005D784C" w:rsidRPr="00445472" w:rsidRDefault="0020739F" w:rsidP="005D784C">
      <w:pPr>
        <w:pStyle w:val="TEKSTIIII"/>
        <w:rPr>
          <w:b/>
        </w:rPr>
      </w:pPr>
      <w:bookmarkStart w:id="79" w:name="_Toc486503394"/>
      <w:bookmarkStart w:id="80" w:name="_Toc11068774"/>
      <w:r w:rsidRPr="00445472">
        <w:rPr>
          <w:b/>
        </w:rPr>
        <w:t xml:space="preserve">5.1 </w:t>
      </w:r>
      <w:r w:rsidR="005D784C" w:rsidRPr="00445472">
        <w:rPr>
          <w:b/>
        </w:rPr>
        <w:t>Hyrje</w:t>
      </w:r>
      <w:bookmarkEnd w:id="79"/>
      <w:bookmarkEnd w:id="80"/>
    </w:p>
    <w:p w14:paraId="5A34372B" w14:textId="320AC4B0" w:rsidR="005D784C" w:rsidRPr="00445472" w:rsidRDefault="005D784C" w:rsidP="005D784C">
      <w:pPr>
        <w:pStyle w:val="TEKSTIIII"/>
      </w:pPr>
      <w:r w:rsidRPr="00445472">
        <w:t xml:space="preserve">Trupat ujorë të Basenit Ujor </w:t>
      </w:r>
      <w:r w:rsidR="007E76E3" w:rsidRPr="00445472">
        <w:t>Drin–Bunë</w:t>
      </w:r>
      <w:r w:rsidRPr="00445472">
        <w:t xml:space="preserve">, si liqenet, ligatinat dhe lagunat, luajnë një rol të rëndësishëm në ciklin jetësor të disa shpendëve, llojeve të peshqve dhe biodiversitetit në përgjithësi. Në këto zona, shumë specie janë endemike dhe folezuese ndërsa të tjerat janë migruese. Disa nga ekosistemet e </w:t>
      </w:r>
      <w:r w:rsidR="007E76E3" w:rsidRPr="00445472">
        <w:t>Drin–Bunë</w:t>
      </w:r>
      <w:r w:rsidRPr="00445472">
        <w:t>s janë të rëndësishme në nivel rajonal, kombëtar dhe ndërkombëtar. Liqeni i Shkodrës, për shembull, është një zonë me interes të veçantë ruajtjeje (vendet e Emeraldit), ligatina me rëndësi ndërkombëtare (zonat RAMSAR)</w:t>
      </w:r>
      <w:r w:rsidR="008F0A9F" w:rsidRPr="00445472">
        <w:t>, si dhe</w:t>
      </w:r>
      <w:r w:rsidRPr="00445472">
        <w:t xml:space="preserve"> zona të rëndësishme të shpendëve dhe biodiversitetit (IBA).</w:t>
      </w:r>
    </w:p>
    <w:p w14:paraId="203549C2" w14:textId="4B59CF9B" w:rsidR="005D784C" w:rsidRPr="00445472" w:rsidRDefault="005D784C" w:rsidP="005D784C">
      <w:pPr>
        <w:pStyle w:val="TEKSTIIII"/>
      </w:pPr>
      <w:r w:rsidRPr="00445472">
        <w:t xml:space="preserve">Shqipëria ka bërë përparim në transpozimin e legjislacionit ndërkombëtar dhe të BE-së në lidhje me zonat e mbrojtura të përfshira edhe në DKU (Tabela 5.1). Megjithatë, vendi ka vështirësi në zbatimin e tyre, gjë që përkthehet në praktikë në mungesë të përcaktimit të zonave të mbrojtura dhe të regjistrit të zonave të mbrojtura në rajonin e Basenit Ujor </w:t>
      </w:r>
      <w:r w:rsidR="007E76E3" w:rsidRPr="00445472">
        <w:t>Drin–Bunë</w:t>
      </w:r>
      <w:r w:rsidRPr="00445472">
        <w:t xml:space="preserve">. </w:t>
      </w:r>
    </w:p>
    <w:p w14:paraId="375B68D9" w14:textId="77777777" w:rsidR="005D784C" w:rsidRPr="00445472" w:rsidRDefault="005D784C" w:rsidP="005D784C">
      <w:pPr>
        <w:pStyle w:val="TEKSTIIII"/>
      </w:pPr>
    </w:p>
    <w:p w14:paraId="48D230B6" w14:textId="77777777" w:rsidR="005D784C" w:rsidRPr="00445472" w:rsidRDefault="005D784C" w:rsidP="005D784C">
      <w:pPr>
        <w:pStyle w:val="TEKSTIIII"/>
        <w:rPr>
          <w:b/>
        </w:rPr>
      </w:pPr>
      <w:r w:rsidRPr="00445472">
        <w:rPr>
          <w:b/>
        </w:rPr>
        <w:t>Tabela 5.1: Konventa ndërkombëtare dhe dypalëshe dhe marrëveshje të nënshkruara nga Qeveria Shqiptare për mbrojtjen e specieve dhe habitatit</w:t>
      </w:r>
      <w:r w:rsidRPr="00445472">
        <w:rPr>
          <w:rStyle w:val="FootnoteReference"/>
          <w:rFonts w:ascii="Garamond" w:hAnsi="Garamond"/>
          <w:b/>
          <w:color w:val="auto"/>
        </w:rPr>
        <w:footnoteReference w:id="53"/>
      </w:r>
    </w:p>
    <w:tbl>
      <w:tblPr>
        <w:tblW w:w="9497"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4820"/>
        <w:gridCol w:w="4677"/>
      </w:tblGrid>
      <w:tr w:rsidR="005D784C" w:rsidRPr="00445472" w14:paraId="1A345822" w14:textId="77777777" w:rsidTr="008843E3">
        <w:trPr>
          <w:tblHeader/>
          <w:jc w:val="center"/>
        </w:trPr>
        <w:tc>
          <w:tcPr>
            <w:tcW w:w="4820" w:type="dxa"/>
            <w:shd w:val="clear" w:color="auto" w:fill="auto"/>
            <w:vAlign w:val="center"/>
          </w:tcPr>
          <w:p w14:paraId="42A394D4" w14:textId="56E17B08" w:rsidR="005D784C" w:rsidRPr="00445472" w:rsidRDefault="005D784C" w:rsidP="008843E3">
            <w:pPr>
              <w:pStyle w:val="TEKSTIIII"/>
              <w:ind w:firstLine="0"/>
              <w:rPr>
                <w:b/>
                <w:sz w:val="18"/>
                <w:szCs w:val="18"/>
              </w:rPr>
            </w:pPr>
            <w:r w:rsidRPr="00445472">
              <w:rPr>
                <w:b/>
                <w:sz w:val="18"/>
              </w:rPr>
              <w:t>Konventat</w:t>
            </w:r>
            <w:r w:rsidR="001D340B" w:rsidRPr="00445472">
              <w:rPr>
                <w:b/>
                <w:sz w:val="18"/>
              </w:rPr>
              <w:t>/</w:t>
            </w:r>
            <w:r w:rsidR="00C2143A" w:rsidRPr="00445472">
              <w:rPr>
                <w:b/>
                <w:sz w:val="18"/>
              </w:rPr>
              <w:t>protokollet ndërkombëtare</w:t>
            </w:r>
          </w:p>
        </w:tc>
        <w:tc>
          <w:tcPr>
            <w:tcW w:w="4677" w:type="dxa"/>
            <w:shd w:val="clear" w:color="auto" w:fill="auto"/>
            <w:vAlign w:val="center"/>
          </w:tcPr>
          <w:p w14:paraId="18915346" w14:textId="071CBF38" w:rsidR="005D784C" w:rsidRPr="00445472" w:rsidRDefault="005D784C" w:rsidP="008843E3">
            <w:pPr>
              <w:pStyle w:val="TEKSTIIII"/>
              <w:ind w:firstLine="0"/>
              <w:rPr>
                <w:b/>
                <w:sz w:val="18"/>
                <w:szCs w:val="18"/>
              </w:rPr>
            </w:pPr>
            <w:r w:rsidRPr="00445472">
              <w:rPr>
                <w:b/>
                <w:sz w:val="18"/>
                <w:szCs w:val="18"/>
              </w:rPr>
              <w:t>Kuadri ligjor që transpozon Konventat</w:t>
            </w:r>
            <w:r w:rsidR="001D340B" w:rsidRPr="00445472">
              <w:rPr>
                <w:b/>
                <w:sz w:val="18"/>
                <w:szCs w:val="18"/>
              </w:rPr>
              <w:t>/</w:t>
            </w:r>
            <w:r w:rsidRPr="00445472">
              <w:rPr>
                <w:b/>
                <w:sz w:val="18"/>
                <w:szCs w:val="18"/>
              </w:rPr>
              <w:t>Protokollet në legjislacionin Shqiptar</w:t>
            </w:r>
          </w:p>
        </w:tc>
      </w:tr>
      <w:tr w:rsidR="005D784C" w:rsidRPr="00445472" w14:paraId="1BFD23BE" w14:textId="77777777" w:rsidTr="008843E3">
        <w:trPr>
          <w:jc w:val="center"/>
        </w:trPr>
        <w:tc>
          <w:tcPr>
            <w:tcW w:w="4820" w:type="dxa"/>
            <w:shd w:val="clear" w:color="auto" w:fill="D4D4D4"/>
            <w:vAlign w:val="center"/>
          </w:tcPr>
          <w:p w14:paraId="6525D090" w14:textId="77777777" w:rsidR="005D784C" w:rsidRPr="00445472" w:rsidRDefault="005D784C" w:rsidP="008843E3">
            <w:pPr>
              <w:pStyle w:val="TEKSTIIII"/>
              <w:ind w:firstLine="0"/>
              <w:rPr>
                <w:sz w:val="18"/>
                <w:szCs w:val="18"/>
              </w:rPr>
            </w:pPr>
            <w:r w:rsidRPr="00445472">
              <w:rPr>
                <w:sz w:val="18"/>
                <w:szCs w:val="18"/>
              </w:rPr>
              <w:t>Konventa mbi Diversitetin Biologjik, 1992</w:t>
            </w:r>
          </w:p>
        </w:tc>
        <w:tc>
          <w:tcPr>
            <w:tcW w:w="4677" w:type="dxa"/>
            <w:shd w:val="clear" w:color="auto" w:fill="D4D4D4"/>
            <w:vAlign w:val="center"/>
          </w:tcPr>
          <w:p w14:paraId="76BF17B3" w14:textId="77777777" w:rsidR="005D784C" w:rsidRPr="00445472" w:rsidRDefault="005D784C" w:rsidP="008843E3">
            <w:pPr>
              <w:pStyle w:val="TEKSTIIII"/>
              <w:ind w:firstLine="0"/>
              <w:rPr>
                <w:sz w:val="18"/>
                <w:szCs w:val="18"/>
              </w:rPr>
            </w:pPr>
            <w:r w:rsidRPr="00445472">
              <w:rPr>
                <w:sz w:val="18"/>
                <w:szCs w:val="18"/>
              </w:rPr>
              <w:t>Konventa mbi Diversitetin Biologjik (KDB)</w:t>
            </w:r>
          </w:p>
        </w:tc>
      </w:tr>
      <w:tr w:rsidR="005D784C" w:rsidRPr="00445472" w14:paraId="2D68C842" w14:textId="77777777" w:rsidTr="008843E3">
        <w:trPr>
          <w:jc w:val="center"/>
        </w:trPr>
        <w:tc>
          <w:tcPr>
            <w:tcW w:w="4820" w:type="dxa"/>
            <w:shd w:val="clear" w:color="auto" w:fill="auto"/>
            <w:vAlign w:val="center"/>
          </w:tcPr>
          <w:p w14:paraId="5950F149" w14:textId="77777777" w:rsidR="005D784C" w:rsidRPr="00445472" w:rsidRDefault="005D784C" w:rsidP="008843E3">
            <w:pPr>
              <w:pStyle w:val="TEKSTIIII"/>
              <w:ind w:firstLine="0"/>
              <w:rPr>
                <w:sz w:val="18"/>
                <w:szCs w:val="18"/>
              </w:rPr>
            </w:pPr>
            <w:r w:rsidRPr="00445472">
              <w:rPr>
                <w:sz w:val="18"/>
                <w:szCs w:val="18"/>
              </w:rPr>
              <w:t>Konventa e Bernës për ruajtjen e kafshëve të egra dhe habitateve natyrore në Evropë, 1994</w:t>
            </w:r>
          </w:p>
        </w:tc>
        <w:tc>
          <w:tcPr>
            <w:tcW w:w="4677" w:type="dxa"/>
            <w:shd w:val="clear" w:color="auto" w:fill="auto"/>
            <w:vAlign w:val="center"/>
          </w:tcPr>
          <w:p w14:paraId="11455F61" w14:textId="463139EA" w:rsidR="005D784C" w:rsidRPr="00445472" w:rsidRDefault="005D784C" w:rsidP="00C2143A">
            <w:pPr>
              <w:pStyle w:val="TEKSTIIII"/>
              <w:ind w:firstLine="0"/>
              <w:rPr>
                <w:sz w:val="18"/>
                <w:szCs w:val="18"/>
              </w:rPr>
            </w:pPr>
            <w:r w:rsidRPr="00445472">
              <w:rPr>
                <w:sz w:val="18"/>
                <w:szCs w:val="18"/>
              </w:rPr>
              <w:t>Ligji nr. 8294, DATE 2.3.1998 Për ratifikimin e konventës për ruajtjen e florës dhe faunës së egër dhe mjedisit natyror të E</w:t>
            </w:r>
            <w:r w:rsidR="00C2143A" w:rsidRPr="00445472">
              <w:rPr>
                <w:sz w:val="18"/>
                <w:szCs w:val="18"/>
              </w:rPr>
              <w:t>v</w:t>
            </w:r>
            <w:r w:rsidRPr="00445472">
              <w:rPr>
                <w:sz w:val="18"/>
                <w:szCs w:val="18"/>
              </w:rPr>
              <w:t>ropës (Konventa e Bernes)</w:t>
            </w:r>
            <w:r w:rsidR="00D62EDF" w:rsidRPr="00445472">
              <w:rPr>
                <w:sz w:val="18"/>
                <w:szCs w:val="18"/>
              </w:rPr>
              <w:t>”</w:t>
            </w:r>
          </w:p>
        </w:tc>
      </w:tr>
      <w:tr w:rsidR="005D784C" w:rsidRPr="00445472" w14:paraId="1ED0A94B" w14:textId="77777777" w:rsidTr="008843E3">
        <w:trPr>
          <w:jc w:val="center"/>
        </w:trPr>
        <w:tc>
          <w:tcPr>
            <w:tcW w:w="4820" w:type="dxa"/>
            <w:shd w:val="clear" w:color="auto" w:fill="D4D4D4"/>
            <w:vAlign w:val="center"/>
          </w:tcPr>
          <w:p w14:paraId="27D75269" w14:textId="73BA53D4" w:rsidR="005D784C" w:rsidRPr="00445472" w:rsidRDefault="005D784C" w:rsidP="008843E3">
            <w:pPr>
              <w:pStyle w:val="TEKSTIIII"/>
              <w:ind w:firstLine="0"/>
              <w:rPr>
                <w:sz w:val="18"/>
                <w:szCs w:val="18"/>
              </w:rPr>
            </w:pPr>
            <w:r w:rsidRPr="00445472">
              <w:rPr>
                <w:sz w:val="18"/>
                <w:szCs w:val="18"/>
              </w:rPr>
              <w:t>Konventa për mbrojtjen e mjedisit detar dhe zonën bregdetare të Detit Mesdhe</w:t>
            </w:r>
            <w:r w:rsidR="008F0A9F" w:rsidRPr="00445472">
              <w:rPr>
                <w:sz w:val="18"/>
                <w:szCs w:val="18"/>
              </w:rPr>
              <w:t>, si dhe</w:t>
            </w:r>
            <w:r w:rsidRPr="00445472">
              <w:rPr>
                <w:sz w:val="18"/>
                <w:szCs w:val="18"/>
              </w:rPr>
              <w:t xml:space="preserve"> 6 protokollet e saj shoqëruese, Barcelonë 1997</w:t>
            </w:r>
          </w:p>
        </w:tc>
        <w:tc>
          <w:tcPr>
            <w:tcW w:w="4677" w:type="dxa"/>
            <w:shd w:val="clear" w:color="auto" w:fill="D4D4D4"/>
            <w:vAlign w:val="center"/>
          </w:tcPr>
          <w:p w14:paraId="0A815619" w14:textId="74ED42EB" w:rsidR="005D784C" w:rsidRPr="00445472" w:rsidRDefault="005D784C" w:rsidP="008843E3">
            <w:pPr>
              <w:pStyle w:val="TEKSTIIII"/>
              <w:ind w:firstLine="0"/>
              <w:rPr>
                <w:sz w:val="18"/>
                <w:szCs w:val="18"/>
              </w:rPr>
            </w:pPr>
            <w:r w:rsidRPr="00445472">
              <w:rPr>
                <w:sz w:val="18"/>
                <w:szCs w:val="18"/>
              </w:rPr>
              <w:t>Ligji nr. 8690, datë 16.12.2000</w:t>
            </w:r>
            <w:r w:rsidR="00D62EDF" w:rsidRPr="00445472">
              <w:rPr>
                <w:sz w:val="18"/>
                <w:szCs w:val="18"/>
              </w:rPr>
              <w:t xml:space="preserve">, “Për </w:t>
            </w:r>
            <w:r w:rsidRPr="00445472">
              <w:rPr>
                <w:sz w:val="18"/>
                <w:szCs w:val="18"/>
              </w:rPr>
              <w:t>pranimin e Republikës së Shqipërisë në Konventë</w:t>
            </w:r>
            <w:r w:rsidR="00D62EDF" w:rsidRPr="00445472">
              <w:rPr>
                <w:sz w:val="18"/>
                <w:szCs w:val="18"/>
              </w:rPr>
              <w:t>”</w:t>
            </w:r>
            <w:r w:rsidRPr="00445472">
              <w:rPr>
                <w:sz w:val="18"/>
                <w:szCs w:val="18"/>
              </w:rPr>
              <w:t xml:space="preserve"> Për mbrojtjen e mjedisit detar dhe zonën bregdetare të Detit Mesdhe</w:t>
            </w:r>
            <w:r w:rsidR="008F0A9F" w:rsidRPr="00445472">
              <w:rPr>
                <w:sz w:val="18"/>
                <w:szCs w:val="18"/>
              </w:rPr>
              <w:t>, si dhe</w:t>
            </w:r>
            <w:r w:rsidRPr="00445472">
              <w:rPr>
                <w:sz w:val="18"/>
                <w:szCs w:val="18"/>
              </w:rPr>
              <w:t xml:space="preserve"> 6 protokollet shoqëruese të tij</w:t>
            </w:r>
            <w:r w:rsidR="00D62EDF" w:rsidRPr="00445472">
              <w:rPr>
                <w:sz w:val="18"/>
                <w:szCs w:val="18"/>
              </w:rPr>
              <w:t>”</w:t>
            </w:r>
          </w:p>
        </w:tc>
      </w:tr>
      <w:tr w:rsidR="005D784C" w:rsidRPr="00445472" w14:paraId="742302B9" w14:textId="77777777" w:rsidTr="008843E3">
        <w:trPr>
          <w:jc w:val="center"/>
        </w:trPr>
        <w:tc>
          <w:tcPr>
            <w:tcW w:w="4820" w:type="dxa"/>
            <w:shd w:val="clear" w:color="auto" w:fill="auto"/>
            <w:vAlign w:val="center"/>
          </w:tcPr>
          <w:p w14:paraId="45FB5C2A" w14:textId="77777777" w:rsidR="005D784C" w:rsidRPr="00445472" w:rsidRDefault="005D784C" w:rsidP="008843E3">
            <w:pPr>
              <w:pStyle w:val="TEKSTIIII"/>
              <w:ind w:firstLine="0"/>
              <w:rPr>
                <w:sz w:val="18"/>
                <w:szCs w:val="18"/>
              </w:rPr>
            </w:pPr>
            <w:r w:rsidRPr="00445472">
              <w:rPr>
                <w:sz w:val="18"/>
                <w:szCs w:val="18"/>
              </w:rPr>
              <w:t>Protokolli i Kartagjenës mbi Biosigurinë në Konventën për Diversitetin Biologjik, 2003</w:t>
            </w:r>
          </w:p>
        </w:tc>
        <w:tc>
          <w:tcPr>
            <w:tcW w:w="4677" w:type="dxa"/>
            <w:shd w:val="clear" w:color="auto" w:fill="auto"/>
            <w:vAlign w:val="center"/>
          </w:tcPr>
          <w:p w14:paraId="570BA0C1" w14:textId="2339D66C" w:rsidR="005D784C" w:rsidRPr="00445472" w:rsidRDefault="005D784C" w:rsidP="008843E3">
            <w:pPr>
              <w:pStyle w:val="TEKSTIIII"/>
              <w:ind w:firstLine="0"/>
              <w:rPr>
                <w:sz w:val="18"/>
                <w:szCs w:val="18"/>
              </w:rPr>
            </w:pPr>
            <w:r w:rsidRPr="00445472">
              <w:rPr>
                <w:sz w:val="18"/>
                <w:szCs w:val="18"/>
              </w:rPr>
              <w:t>Ligji nr</w:t>
            </w:r>
            <w:r w:rsidR="001F075B" w:rsidRPr="00445472">
              <w:rPr>
                <w:sz w:val="18"/>
                <w:szCs w:val="18"/>
              </w:rPr>
              <w:t>.</w:t>
            </w:r>
            <w:r w:rsidR="00C2143A" w:rsidRPr="00445472">
              <w:rPr>
                <w:sz w:val="18"/>
                <w:szCs w:val="18"/>
              </w:rPr>
              <w:t xml:space="preserve"> </w:t>
            </w:r>
            <w:r w:rsidRPr="00445472">
              <w:rPr>
                <w:sz w:val="18"/>
                <w:szCs w:val="18"/>
              </w:rPr>
              <w:t>9279, datë 23.9.2004 Për aderimin e Republikës së Shqipërisë në Protokollin e Kartagjenës për biosigurinë të Konventës</w:t>
            </w:r>
            <w:r w:rsidR="00D62EDF" w:rsidRPr="00445472">
              <w:rPr>
                <w:sz w:val="18"/>
                <w:szCs w:val="18"/>
              </w:rPr>
              <w:t xml:space="preserve">, “Për </w:t>
            </w:r>
            <w:r w:rsidRPr="00445472">
              <w:rPr>
                <w:sz w:val="18"/>
                <w:szCs w:val="18"/>
              </w:rPr>
              <w:t>larminë biologjike</w:t>
            </w:r>
            <w:r w:rsidR="00D62EDF" w:rsidRPr="00445472">
              <w:rPr>
                <w:sz w:val="18"/>
                <w:szCs w:val="18"/>
              </w:rPr>
              <w:t>”</w:t>
            </w:r>
          </w:p>
        </w:tc>
      </w:tr>
      <w:tr w:rsidR="005D784C" w:rsidRPr="00445472" w14:paraId="491C670B" w14:textId="77777777" w:rsidTr="008843E3">
        <w:trPr>
          <w:jc w:val="center"/>
        </w:trPr>
        <w:tc>
          <w:tcPr>
            <w:tcW w:w="4820" w:type="dxa"/>
            <w:shd w:val="clear" w:color="auto" w:fill="D4D4D4"/>
            <w:vAlign w:val="center"/>
          </w:tcPr>
          <w:p w14:paraId="7E2C61A6" w14:textId="77777777" w:rsidR="005D784C" w:rsidRPr="00445472" w:rsidRDefault="005D784C" w:rsidP="008843E3">
            <w:pPr>
              <w:pStyle w:val="TEKSTIIII"/>
              <w:ind w:firstLine="0"/>
              <w:rPr>
                <w:sz w:val="18"/>
                <w:szCs w:val="18"/>
              </w:rPr>
            </w:pPr>
            <w:r w:rsidRPr="00445472">
              <w:rPr>
                <w:sz w:val="18"/>
                <w:szCs w:val="18"/>
              </w:rPr>
              <w:t>Protokolli Suplementar i Nagoya-Kuala Lumpur mbi Përgjegjësinë dhe Zhdëmtimin ndaj Protokollit të Kartagjenës për Biosigurinë, 2011</w:t>
            </w:r>
          </w:p>
        </w:tc>
        <w:tc>
          <w:tcPr>
            <w:tcW w:w="4677" w:type="dxa"/>
            <w:shd w:val="clear" w:color="auto" w:fill="D4D4D4"/>
            <w:vAlign w:val="center"/>
          </w:tcPr>
          <w:p w14:paraId="07AB139F" w14:textId="7C7776E0" w:rsidR="005D784C" w:rsidRPr="00445472" w:rsidRDefault="005D784C" w:rsidP="008843E3">
            <w:pPr>
              <w:pStyle w:val="TEKSTIIII"/>
              <w:ind w:firstLine="0"/>
              <w:rPr>
                <w:sz w:val="18"/>
                <w:szCs w:val="18"/>
              </w:rPr>
            </w:pPr>
            <w:r w:rsidRPr="00445472">
              <w:rPr>
                <w:sz w:val="18"/>
                <w:szCs w:val="18"/>
              </w:rPr>
              <w:t>Ligji nr. 112/2012 Për aderimin e Republikës së Shqipërisë në Protokollin shtesë të Nagoja-Kuala Lumpurit</w:t>
            </w:r>
            <w:r w:rsidR="00D62EDF" w:rsidRPr="00445472">
              <w:rPr>
                <w:sz w:val="18"/>
                <w:szCs w:val="18"/>
              </w:rPr>
              <w:t xml:space="preserve">, “Për </w:t>
            </w:r>
            <w:r w:rsidRPr="00445472">
              <w:rPr>
                <w:sz w:val="18"/>
                <w:szCs w:val="18"/>
              </w:rPr>
              <w:t>përgjegjësi dhe dëmshpërblim të Protokollit të Kartagjenës për biosigurinë</w:t>
            </w:r>
            <w:r w:rsidR="00D62EDF" w:rsidRPr="00445472">
              <w:rPr>
                <w:sz w:val="18"/>
                <w:szCs w:val="18"/>
              </w:rPr>
              <w:t>”</w:t>
            </w:r>
            <w:r w:rsidRPr="00445472">
              <w:rPr>
                <w:sz w:val="18"/>
                <w:szCs w:val="18"/>
              </w:rPr>
              <w:t xml:space="preserve"> të Konventës së Biodiversitetit</w:t>
            </w:r>
          </w:p>
        </w:tc>
      </w:tr>
      <w:tr w:rsidR="005D784C" w:rsidRPr="00445472" w14:paraId="7583F753" w14:textId="77777777" w:rsidTr="008843E3">
        <w:trPr>
          <w:jc w:val="center"/>
        </w:trPr>
        <w:tc>
          <w:tcPr>
            <w:tcW w:w="4820" w:type="dxa"/>
            <w:shd w:val="clear" w:color="auto" w:fill="auto"/>
            <w:vAlign w:val="center"/>
          </w:tcPr>
          <w:p w14:paraId="61A9F83F" w14:textId="77777777" w:rsidR="005D784C" w:rsidRPr="00445472" w:rsidRDefault="005D784C" w:rsidP="008843E3">
            <w:pPr>
              <w:pStyle w:val="TEKSTIIII"/>
              <w:ind w:firstLine="0"/>
              <w:rPr>
                <w:sz w:val="18"/>
                <w:szCs w:val="18"/>
              </w:rPr>
            </w:pPr>
            <w:r w:rsidRPr="00445472">
              <w:rPr>
                <w:sz w:val="18"/>
                <w:szCs w:val="18"/>
              </w:rPr>
              <w:t>Konventa mbi tregtinë ndërkombëtare të llojeve të rrezikuara të faunës dhe florës së egër, 1973</w:t>
            </w:r>
          </w:p>
        </w:tc>
        <w:tc>
          <w:tcPr>
            <w:tcW w:w="4677" w:type="dxa"/>
            <w:shd w:val="clear" w:color="auto" w:fill="auto"/>
            <w:vAlign w:val="center"/>
          </w:tcPr>
          <w:p w14:paraId="50A56E44" w14:textId="06B6E16E" w:rsidR="005D784C" w:rsidRPr="00445472" w:rsidRDefault="005D784C" w:rsidP="008843E3">
            <w:pPr>
              <w:pStyle w:val="TEKSTIIII"/>
              <w:ind w:firstLine="0"/>
              <w:rPr>
                <w:sz w:val="18"/>
                <w:szCs w:val="18"/>
              </w:rPr>
            </w:pPr>
            <w:r w:rsidRPr="00445472">
              <w:rPr>
                <w:sz w:val="18"/>
                <w:szCs w:val="18"/>
              </w:rPr>
              <w:t xml:space="preserve">Ligji nr. 9021, datë 6.3.2003 Për aderimin e Republikës së Shqipërisë në </w:t>
            </w:r>
            <w:r w:rsidR="00D62EDF" w:rsidRPr="00445472">
              <w:rPr>
                <w:sz w:val="18"/>
                <w:szCs w:val="18"/>
              </w:rPr>
              <w:t>“</w:t>
            </w:r>
            <w:r w:rsidRPr="00445472">
              <w:rPr>
                <w:sz w:val="18"/>
                <w:szCs w:val="18"/>
              </w:rPr>
              <w:t>Konventën për tregtinë ndërkombëtare të specieve të rrezikuara të florës dhe faunës së egër (CITES)</w:t>
            </w:r>
          </w:p>
        </w:tc>
      </w:tr>
      <w:tr w:rsidR="005D784C" w:rsidRPr="00445472" w14:paraId="23172D3F" w14:textId="77777777" w:rsidTr="008843E3">
        <w:trPr>
          <w:jc w:val="center"/>
        </w:trPr>
        <w:tc>
          <w:tcPr>
            <w:tcW w:w="4820" w:type="dxa"/>
            <w:shd w:val="clear" w:color="auto" w:fill="D4D4D4"/>
            <w:vAlign w:val="center"/>
          </w:tcPr>
          <w:p w14:paraId="62B41613" w14:textId="77777777" w:rsidR="005D784C" w:rsidRPr="00445472" w:rsidRDefault="005D784C" w:rsidP="008843E3">
            <w:pPr>
              <w:pStyle w:val="TEKSTIIII"/>
              <w:ind w:firstLine="0"/>
              <w:rPr>
                <w:sz w:val="18"/>
                <w:szCs w:val="18"/>
              </w:rPr>
            </w:pPr>
            <w:r w:rsidRPr="00445472">
              <w:rPr>
                <w:sz w:val="18"/>
                <w:szCs w:val="18"/>
              </w:rPr>
              <w:t>Konventa mbi Ligatinat (Konventa RAMSAR), 1971</w:t>
            </w:r>
          </w:p>
        </w:tc>
        <w:tc>
          <w:tcPr>
            <w:tcW w:w="4677" w:type="dxa"/>
            <w:shd w:val="clear" w:color="auto" w:fill="D4D4D4"/>
            <w:vAlign w:val="center"/>
          </w:tcPr>
          <w:p w14:paraId="31BFB889" w14:textId="738643FD" w:rsidR="005D784C" w:rsidRPr="00445472" w:rsidRDefault="005D784C" w:rsidP="00C2143A">
            <w:pPr>
              <w:pStyle w:val="TEKSTIIII"/>
              <w:ind w:firstLine="0"/>
              <w:rPr>
                <w:sz w:val="18"/>
                <w:szCs w:val="18"/>
              </w:rPr>
            </w:pPr>
            <w:r w:rsidRPr="00445472">
              <w:rPr>
                <w:sz w:val="18"/>
                <w:szCs w:val="18"/>
              </w:rPr>
              <w:t xml:space="preserve">Konventa mbi Ligatinat me rëndësi ndërkombëtare </w:t>
            </w:r>
            <w:r w:rsidR="00C2143A" w:rsidRPr="00445472">
              <w:rPr>
                <w:sz w:val="18"/>
                <w:szCs w:val="18"/>
              </w:rPr>
              <w:t>ve</w:t>
            </w:r>
            <w:r w:rsidR="00C2143A" w:rsidRPr="00445472">
              <w:rPr>
                <w:rFonts w:cs="Cambria"/>
                <w:sz w:val="18"/>
                <w:szCs w:val="18"/>
              </w:rPr>
              <w:t>ç</w:t>
            </w:r>
            <w:r w:rsidR="00C2143A" w:rsidRPr="00445472">
              <w:rPr>
                <w:sz w:val="18"/>
                <w:szCs w:val="18"/>
              </w:rPr>
              <w:t>anërisht</w:t>
            </w:r>
            <w:r w:rsidRPr="00445472">
              <w:rPr>
                <w:sz w:val="18"/>
                <w:szCs w:val="18"/>
              </w:rPr>
              <w:t xml:space="preserve"> si habitate të </w:t>
            </w:r>
            <w:r w:rsidR="00C2143A" w:rsidRPr="00445472">
              <w:rPr>
                <w:sz w:val="18"/>
                <w:szCs w:val="18"/>
              </w:rPr>
              <w:t>shpendëve</w:t>
            </w:r>
            <w:r w:rsidRPr="00445472">
              <w:rPr>
                <w:sz w:val="18"/>
                <w:szCs w:val="18"/>
              </w:rPr>
              <w:t xml:space="preserve"> ujor</w:t>
            </w:r>
            <w:r w:rsidR="00C2143A" w:rsidRPr="00445472">
              <w:rPr>
                <w:sz w:val="18"/>
                <w:szCs w:val="18"/>
              </w:rPr>
              <w:t>ë</w:t>
            </w:r>
          </w:p>
        </w:tc>
      </w:tr>
      <w:tr w:rsidR="005D784C" w:rsidRPr="00445472" w14:paraId="56078A31" w14:textId="77777777" w:rsidTr="008843E3">
        <w:trPr>
          <w:jc w:val="center"/>
        </w:trPr>
        <w:tc>
          <w:tcPr>
            <w:tcW w:w="4820" w:type="dxa"/>
            <w:shd w:val="clear" w:color="auto" w:fill="auto"/>
            <w:vAlign w:val="center"/>
          </w:tcPr>
          <w:p w14:paraId="4B2F9CAF" w14:textId="77777777" w:rsidR="005D784C" w:rsidRPr="00445472" w:rsidRDefault="005D784C" w:rsidP="008843E3">
            <w:pPr>
              <w:pStyle w:val="TEKSTIIII"/>
              <w:ind w:firstLine="0"/>
              <w:rPr>
                <w:sz w:val="18"/>
                <w:szCs w:val="18"/>
              </w:rPr>
            </w:pPr>
            <w:r w:rsidRPr="00445472">
              <w:rPr>
                <w:sz w:val="18"/>
                <w:szCs w:val="18"/>
              </w:rPr>
              <w:t>Konventa mbi Ruajtjen e Specieve Migratore të Kafshëve të egra Shtojcat I dhe II të Konventës për Ruajtjen e Specieve Migratore të Kafshëve të egra (Bon), 2012</w:t>
            </w:r>
          </w:p>
        </w:tc>
        <w:tc>
          <w:tcPr>
            <w:tcW w:w="4677" w:type="dxa"/>
            <w:shd w:val="clear" w:color="auto" w:fill="auto"/>
            <w:vAlign w:val="center"/>
          </w:tcPr>
          <w:p w14:paraId="7C9AB465" w14:textId="77777777" w:rsidR="005D784C" w:rsidRPr="00445472" w:rsidRDefault="005D784C" w:rsidP="008843E3">
            <w:pPr>
              <w:pStyle w:val="TEKSTIIII"/>
              <w:ind w:firstLine="0"/>
              <w:rPr>
                <w:sz w:val="18"/>
                <w:szCs w:val="18"/>
              </w:rPr>
            </w:pPr>
            <w:r w:rsidRPr="00445472">
              <w:rPr>
                <w:sz w:val="18"/>
                <w:szCs w:val="18"/>
              </w:rPr>
              <w:t>Ligji nr. 8692, datë 16.11.2000, Për aderimin e Republikës së Shqipërisë në Konventën e Bonit: Mbi ruajtjen e llojeve migratore të kafshëve të egra dhe Marrëveshjet e kësaj Konvente</w:t>
            </w:r>
          </w:p>
        </w:tc>
      </w:tr>
    </w:tbl>
    <w:p w14:paraId="7A4D4B3F" w14:textId="77777777" w:rsidR="005D784C" w:rsidRPr="00445472" w:rsidRDefault="005D784C" w:rsidP="005D784C">
      <w:pPr>
        <w:pStyle w:val="TEKSTIIII"/>
      </w:pPr>
    </w:p>
    <w:p w14:paraId="024C9ABD" w14:textId="77777777" w:rsidR="005D784C" w:rsidRPr="00445472" w:rsidRDefault="005D784C" w:rsidP="005D784C">
      <w:pPr>
        <w:pStyle w:val="TEKSTIIII"/>
      </w:pPr>
      <w:r w:rsidRPr="00445472">
        <w:t>Seksionet 5.2 deri 5.6 më poshtë japin një përmbledhje të gjendjes aktuale të Zonave të Mbrojtura (ZM) në Qarkun e Basenit Ujor Drin - Bunë në lidhje me Direktivën Kuadër të Ujit (DKU). Kërkesat e DKU-së për monitorimin e zonave të mbrojtura dhe një udhërrëfyes për të përfshirë monitorimin e zonave të mbrojtura në programin e monitorimit të baseneve ujore në të ardhmen janë paraqitur në Seksionin 6.6.</w:t>
      </w:r>
    </w:p>
    <w:p w14:paraId="4FD8F909" w14:textId="670B0C46" w:rsidR="005D784C" w:rsidRPr="00445472" w:rsidRDefault="008843E3" w:rsidP="008843E3">
      <w:pPr>
        <w:pStyle w:val="NENTITULL"/>
      </w:pPr>
      <w:bookmarkStart w:id="81" w:name="_Toc486503395"/>
      <w:bookmarkStart w:id="82" w:name="_Toc11068775"/>
      <w:r w:rsidRPr="00445472">
        <w:t xml:space="preserve">5.2 </w:t>
      </w:r>
      <w:r w:rsidR="005D784C" w:rsidRPr="00445472">
        <w:t>Zonat e mbrojtura nën DKU</w:t>
      </w:r>
      <w:bookmarkEnd w:id="81"/>
      <w:bookmarkEnd w:id="82"/>
    </w:p>
    <w:p w14:paraId="51D6A6D6" w14:textId="231DF18D" w:rsidR="005D784C" w:rsidRPr="00445472" w:rsidRDefault="005D784C" w:rsidP="005D784C">
      <w:pPr>
        <w:pStyle w:val="TEKSTIIII"/>
      </w:pPr>
      <w:r w:rsidRPr="00445472">
        <w:t>DKU</w:t>
      </w:r>
      <w:r w:rsidR="00034FBB">
        <w:t>-ja</w:t>
      </w:r>
      <w:r w:rsidRPr="00445472">
        <w:t xml:space="preserve"> konsideron në mënyrë t</w:t>
      </w:r>
      <w:r w:rsidR="00034FBB">
        <w:t>ë</w:t>
      </w:r>
      <w:r w:rsidRPr="00445472">
        <w:t xml:space="preserve"> veçantë si zona të mbrojtura trupat ujorë që kanë nevojë për mbrojtje shtesë për ruajtjen e habitateve dhe</w:t>
      </w:r>
      <w:r w:rsidR="001D340B" w:rsidRPr="00445472">
        <w:t>/</w:t>
      </w:r>
      <w:r w:rsidRPr="00445472">
        <w:t>ose specieve</w:t>
      </w:r>
      <w:r w:rsidR="008F0A9F" w:rsidRPr="00445472">
        <w:t>, si dhe</w:t>
      </w:r>
      <w:r w:rsidRPr="00445472">
        <w:t xml:space="preserve"> për mbrojtjen e shëndetit të njeriut duke mbrojtur ujin e pijshëm, ujërat e larjes</w:t>
      </w:r>
      <w:r w:rsidR="00084DB9" w:rsidRPr="00445472">
        <w:t xml:space="preserve"> etj.</w:t>
      </w:r>
    </w:p>
    <w:p w14:paraId="32CB450C" w14:textId="77777777" w:rsidR="005D784C" w:rsidRPr="00445472" w:rsidRDefault="005D784C" w:rsidP="005D784C">
      <w:pPr>
        <w:pStyle w:val="TEKSTIIII"/>
      </w:pPr>
      <w:r w:rsidRPr="00445472">
        <w:t>Shtojca IV e DKU-së identifikon zonat e mbrojtura në vijim</w:t>
      </w:r>
      <w:r w:rsidRPr="00445472">
        <w:rPr>
          <w:rStyle w:val="FootnoteReference"/>
          <w:rFonts w:ascii="Garamond" w:hAnsi="Garamond"/>
          <w:color w:val="auto"/>
        </w:rPr>
        <w:footnoteReference w:id="54"/>
      </w:r>
      <w:r w:rsidRPr="00445472">
        <w:t>:</w:t>
      </w:r>
    </w:p>
    <w:p w14:paraId="3B24A704" w14:textId="78C52C46" w:rsidR="005D784C" w:rsidRPr="00445472" w:rsidRDefault="008843E3" w:rsidP="005D784C">
      <w:pPr>
        <w:pStyle w:val="TEKSTIIII"/>
      </w:pPr>
      <w:r w:rsidRPr="00445472">
        <w:t xml:space="preserve">i) </w:t>
      </w:r>
      <w:r w:rsidR="005D784C" w:rsidRPr="00445472">
        <w:t>Zonat e përcaktuara për nxjerrjen e ujit të destinuar për konsum njerëzor (Neni 7). Sipas Direktivës së Ujit të Pijshëm (98/83</w:t>
      </w:r>
      <w:r w:rsidR="001D340B" w:rsidRPr="00445472">
        <w:t>/</w:t>
      </w:r>
      <w:r w:rsidR="005D784C" w:rsidRPr="00445472">
        <w:t>KE), uji për konsum njerëzor nënkupton të gjithë ujin në gjendjen e tij origjinale ose pas trajtimit, i cili është:</w:t>
      </w:r>
    </w:p>
    <w:p w14:paraId="08280D23" w14:textId="45680DB1" w:rsidR="005D784C" w:rsidRPr="00445472" w:rsidRDefault="008843E3" w:rsidP="005D784C">
      <w:pPr>
        <w:pStyle w:val="TEKSTIIII"/>
      </w:pPr>
      <w:r w:rsidRPr="00445472">
        <w:t>-</w:t>
      </w:r>
      <w:r w:rsidR="00B217E8">
        <w:t xml:space="preserve"> </w:t>
      </w:r>
      <w:r w:rsidR="005D784C" w:rsidRPr="00445472">
        <w:t>I përcaktuar për pirje, gatim dhe për qëllime të tjera familjare; ose</w:t>
      </w:r>
    </w:p>
    <w:p w14:paraId="038CB28A" w14:textId="43E212EC" w:rsidR="005D784C" w:rsidRPr="00445472" w:rsidRDefault="008843E3" w:rsidP="005D784C">
      <w:pPr>
        <w:pStyle w:val="TEKSTIIII"/>
      </w:pPr>
      <w:r w:rsidRPr="00445472">
        <w:t>-</w:t>
      </w:r>
      <w:r w:rsidR="00B217E8">
        <w:t xml:space="preserve"> </w:t>
      </w:r>
      <w:r w:rsidR="005D784C" w:rsidRPr="00445472">
        <w:t xml:space="preserve">Përdoret në çdo biznes të prodhimit, përpunimit, ruajtjes ose tregtimit të produkteve ose substancave të dedikuara për konsum njerëzor, nëse </w:t>
      </w:r>
      <w:r w:rsidR="00C2143A" w:rsidRPr="00445472">
        <w:t>institucionet</w:t>
      </w:r>
      <w:r w:rsidR="005D784C" w:rsidRPr="00445472">
        <w:t xml:space="preserve"> përgjegjëse kombëtare në lidhje me cilësinë e ujit të pijshëm që drejtpërdrejt ose tërthorazi gjykojnë që ka ndikim në shëndetin e konsumatorëve.</w:t>
      </w:r>
    </w:p>
    <w:p w14:paraId="47A9FBCC" w14:textId="77777777" w:rsidR="005D784C" w:rsidRPr="00445472" w:rsidRDefault="005D784C" w:rsidP="005D784C">
      <w:pPr>
        <w:pStyle w:val="TEKSTIIII"/>
      </w:pPr>
      <w:r w:rsidRPr="00445472">
        <w:t>Zonat e mbrojtura të ujit të pijshëm janë:</w:t>
      </w:r>
    </w:p>
    <w:p w14:paraId="5F2DACA1" w14:textId="031D08DE" w:rsidR="005D784C" w:rsidRPr="00445472" w:rsidRDefault="008843E3" w:rsidP="005D784C">
      <w:pPr>
        <w:pStyle w:val="TEKSTIIII"/>
      </w:pPr>
      <w:r w:rsidRPr="00445472">
        <w:t>-</w:t>
      </w:r>
      <w:r w:rsidR="005610D6" w:rsidRPr="00445472">
        <w:t xml:space="preserve"> </w:t>
      </w:r>
      <w:r w:rsidR="005D784C" w:rsidRPr="00445472">
        <w:t>Trupat ujorë të përdorur për nxjerrjen e ujit për konsum njerëzor që ofrojnë më shumë se një mesatare prej 10 m</w:t>
      </w:r>
      <w:r w:rsidR="005D784C" w:rsidRPr="00445472">
        <w:rPr>
          <w:vertAlign w:val="superscript"/>
        </w:rPr>
        <w:t>3</w:t>
      </w:r>
      <w:r w:rsidR="005D784C" w:rsidRPr="00445472">
        <w:t xml:space="preserve"> në ditë në total ose që shërbejnë më shumë se 50 persona;</w:t>
      </w:r>
    </w:p>
    <w:p w14:paraId="76448F6D" w14:textId="7C988B18" w:rsidR="005D784C" w:rsidRPr="00445472" w:rsidRDefault="008843E3" w:rsidP="005D784C">
      <w:pPr>
        <w:pStyle w:val="TEKSTIIII"/>
      </w:pPr>
      <w:r w:rsidRPr="00445472">
        <w:t>-</w:t>
      </w:r>
      <w:r w:rsidR="005610D6" w:rsidRPr="00445472">
        <w:t xml:space="preserve"> </w:t>
      </w:r>
      <w:r w:rsidR="005D784C" w:rsidRPr="00445472">
        <w:t>Trupat ujorë të destinuar për një nivel të tillë të përdorimit në të ardhmen.</w:t>
      </w:r>
    </w:p>
    <w:p w14:paraId="77C20A45" w14:textId="1C8C2B42" w:rsidR="005D784C" w:rsidRPr="00445472" w:rsidRDefault="00B257D0" w:rsidP="005D784C">
      <w:pPr>
        <w:pStyle w:val="TEKSTIIII"/>
      </w:pPr>
      <w:r>
        <w:t xml:space="preserve">ii) </w:t>
      </w:r>
      <w:r w:rsidR="005D784C" w:rsidRPr="00445472">
        <w:t>Zonat e caktuara për mbrojtjen e specieve ujore të konsiderueshme ekonomikisht;</w:t>
      </w:r>
    </w:p>
    <w:p w14:paraId="6A10FF09" w14:textId="48643ADF" w:rsidR="005D784C" w:rsidRPr="00445472" w:rsidRDefault="00B257D0" w:rsidP="005D784C">
      <w:pPr>
        <w:pStyle w:val="TEKSTIIII"/>
      </w:pPr>
      <w:r>
        <w:t xml:space="preserve">iii) </w:t>
      </w:r>
      <w:r w:rsidR="005D784C" w:rsidRPr="00445472">
        <w:t>Trupat ujorë të përcaktuar si ujëra rekreativë, duke përfshirë zonat e përcaktuara si ujërat larë</w:t>
      </w:r>
      <w:r w:rsidR="005610D6" w:rsidRPr="00445472">
        <w:t>se</w:t>
      </w:r>
      <w:r w:rsidR="005D784C" w:rsidRPr="00445472">
        <w:t xml:space="preserve"> (Direktiva 76/160</w:t>
      </w:r>
      <w:r w:rsidR="001D340B" w:rsidRPr="00445472">
        <w:t>/</w:t>
      </w:r>
      <w:r w:rsidR="005D784C" w:rsidRPr="00445472">
        <w:t>KEE);</w:t>
      </w:r>
    </w:p>
    <w:p w14:paraId="2914F3C8" w14:textId="302D4CBA" w:rsidR="005D784C" w:rsidRPr="00445472" w:rsidRDefault="00B257D0" w:rsidP="005D784C">
      <w:pPr>
        <w:pStyle w:val="TEKSTIIII"/>
      </w:pPr>
      <w:r>
        <w:t xml:space="preserve">iv) </w:t>
      </w:r>
      <w:r w:rsidR="005D784C" w:rsidRPr="00445472">
        <w:t xml:space="preserve">Zonat me ndjeshmëri ushqyese, përfshirë zonat e përcaktuara si zona </w:t>
      </w:r>
      <w:r w:rsidR="007E76E3" w:rsidRPr="00445472">
        <w:t>të cenueshme</w:t>
      </w:r>
      <w:r w:rsidR="005D784C" w:rsidRPr="00445472">
        <w:t xml:space="preserve"> (Direktiva 91/676</w:t>
      </w:r>
      <w:r w:rsidR="001D340B" w:rsidRPr="00445472">
        <w:t>/</w:t>
      </w:r>
      <w:r w:rsidR="005D784C" w:rsidRPr="00445472">
        <w:t>KEE) dhe zonat e përcaktuara si zona të ndjeshme (sipas Direktivës 91/271</w:t>
      </w:r>
      <w:r w:rsidR="001D340B" w:rsidRPr="00445472">
        <w:t>/</w:t>
      </w:r>
      <w:r w:rsidR="005D784C" w:rsidRPr="00445472">
        <w:t>KEE), dhe</w:t>
      </w:r>
    </w:p>
    <w:p w14:paraId="23D90EA2" w14:textId="208BD9C0" w:rsidR="005D784C" w:rsidRPr="00445472" w:rsidRDefault="00B257D0" w:rsidP="005D784C">
      <w:pPr>
        <w:pStyle w:val="TEKSTIIII"/>
      </w:pPr>
      <w:r>
        <w:t xml:space="preserve">v) </w:t>
      </w:r>
      <w:r w:rsidR="005D784C" w:rsidRPr="00445472">
        <w:t>Zonat e caktuara për mbrojtjen e habitateve ose specieve ku ruajtja ose përmirësimi i statusit të ujit është një faktor i rëndësishëm në mbrojtjen e tyre, duke përfshirë zonat përkatëse të Natura 2000 të përcaktuara në Direktivën 92/43</w:t>
      </w:r>
      <w:r w:rsidR="001D340B" w:rsidRPr="00445472">
        <w:t>/</w:t>
      </w:r>
      <w:r w:rsidR="005D784C" w:rsidRPr="00445472">
        <w:t>KEE (1) dhe Direktivën 79/409</w:t>
      </w:r>
      <w:r w:rsidR="001D340B" w:rsidRPr="00445472">
        <w:t>/</w:t>
      </w:r>
      <w:r w:rsidR="005D784C" w:rsidRPr="00445472">
        <w:t>KEE (2).</w:t>
      </w:r>
    </w:p>
    <w:p w14:paraId="5913218F" w14:textId="5BB3C48B" w:rsidR="005D784C" w:rsidRPr="00445472" w:rsidRDefault="005D784C" w:rsidP="005D784C">
      <w:pPr>
        <w:pStyle w:val="TEKSTIIII"/>
      </w:pPr>
      <w:r w:rsidRPr="00445472">
        <w:t>Ligji 111/2012 për Menaxhimin</w:t>
      </w:r>
      <w:r w:rsidRPr="00445472">
        <w:rPr>
          <w:rStyle w:val="FootnoteReference"/>
          <w:rFonts w:ascii="Garamond" w:hAnsi="Garamond"/>
          <w:color w:val="auto"/>
        </w:rPr>
        <w:footnoteReference w:id="55"/>
      </w:r>
      <w:r w:rsidRPr="00445472">
        <w:t xml:space="preserve"> e Integruar të Burimeve Ujore ndryshuar me Ligjin nr. 6/2018 për disa ndryshime dhe shtesa në Ligjin nr. 111/2012</w:t>
      </w:r>
      <w:r w:rsidR="00D62EDF" w:rsidRPr="00445472">
        <w:t xml:space="preserve">, “Për </w:t>
      </w:r>
      <w:r w:rsidRPr="00445472">
        <w:t>Menaxhimin e Integruar të Burimeve Ujore</w:t>
      </w:r>
      <w:r w:rsidR="00D62EDF" w:rsidRPr="00445472">
        <w:t>”</w:t>
      </w:r>
      <w:r w:rsidRPr="00445472">
        <w:t>, transpozoi DKU-në dhe krijoi zonat e mbrojtura që kanë nevojë për masa të veçanta mbrojtëse në një basen ujor. Ky ligj i caktoi MBZHR-së dhe institucioneve përgjegjëse për çështjet e mjedisit përgjegjësinë për identifikimin e zonave të mbrojtura në përputhje me DKU-në. Këshilli i Ministrave, me propozimin e MBZHR-së dhe institucioneve përgjegjëse për çështjet mjedisore, miraton zonat e mbrojtura në përputhje me kërkesat e DKU-së</w:t>
      </w:r>
      <w:r w:rsidRPr="00445472">
        <w:rPr>
          <w:rStyle w:val="FootnoteReference"/>
          <w:rFonts w:ascii="Garamond" w:hAnsi="Garamond"/>
          <w:color w:val="auto"/>
        </w:rPr>
        <w:footnoteReference w:id="56"/>
      </w:r>
      <w:r w:rsidRPr="00445472">
        <w:t>.  Këshillat e Baseneve Ujore dhe MBZHR janë përgjegjëse për krijimin, menaxhimin dhe përditësimin e Regjistrit të Zonave të Mbrojtura, si pjesë e PMBU</w:t>
      </w:r>
      <w:r w:rsidRPr="00445472">
        <w:rPr>
          <w:rStyle w:val="FootnoteReference"/>
          <w:rFonts w:ascii="Garamond" w:hAnsi="Garamond"/>
          <w:color w:val="auto"/>
        </w:rPr>
        <w:footnoteReference w:id="57"/>
      </w:r>
      <w:r w:rsidRPr="00445472">
        <w:t xml:space="preserve">. Më poshtë është paraqitur gjendja e zonave të mbrojtura sipas DKU-së në terma të përcaktimit në Qarkun e Basenit Ujor </w:t>
      </w:r>
      <w:r w:rsidR="007E76E3" w:rsidRPr="00445472">
        <w:t>Drin–Bunë</w:t>
      </w:r>
      <w:r w:rsidRPr="00445472">
        <w:t>.</w:t>
      </w:r>
    </w:p>
    <w:p w14:paraId="4DFB5A71" w14:textId="2FCBF11C" w:rsidR="005D784C" w:rsidRPr="00445472" w:rsidRDefault="00BB75DE" w:rsidP="00BB75DE">
      <w:pPr>
        <w:pStyle w:val="NENTITULL"/>
      </w:pPr>
      <w:bookmarkStart w:id="83" w:name="_Toc486503396"/>
      <w:bookmarkStart w:id="84" w:name="_Toc11068776"/>
      <w:r w:rsidRPr="00445472">
        <w:t xml:space="preserve">5.3 </w:t>
      </w:r>
      <w:r w:rsidR="005D784C" w:rsidRPr="00445472">
        <w:t>Zonat e mbrojtjes higjieno-sanitare</w:t>
      </w:r>
      <w:bookmarkEnd w:id="83"/>
      <w:bookmarkEnd w:id="84"/>
    </w:p>
    <w:p w14:paraId="3EC985AE" w14:textId="5FF431F0" w:rsidR="005D784C" w:rsidRPr="00445472" w:rsidRDefault="005D784C" w:rsidP="005D784C">
      <w:pPr>
        <w:pStyle w:val="TEKSTIIII"/>
      </w:pPr>
      <w:r w:rsidRPr="00445472">
        <w:t>Në Shqipëri uji i pijshëm rrjedh kryesisht nga ujërat nëntokësor</w:t>
      </w:r>
      <w:r w:rsidR="00B10A7B" w:rsidRPr="00445472">
        <w:t>e</w:t>
      </w:r>
      <w:r w:rsidRPr="00445472">
        <w:t xml:space="preserve">. Kështu, mbrojtja e zonave të përcaktuara për mbrojtjen e ujit të pijshëm merr edhe më tepër rëndësi. Ligji 111/2012 ka caktuar ministritë e linjës përgjegjësinë për të përcaktuar zonat përreth sipërfaqeve dhe ujërave nëntokësorë që përdoren për nxjerrjen e ujit të pijshëm për popullatën urbane dhe rurale ndërsa Këshilli i Ministrave i miraton këto kufij, (VKM </w:t>
      </w:r>
      <w:r w:rsidR="005610D6" w:rsidRPr="00445472">
        <w:t>nr. 379 datë 25.</w:t>
      </w:r>
      <w:r w:rsidRPr="00445472">
        <w:t>5.2016)</w:t>
      </w:r>
      <w:r w:rsidRPr="00445472">
        <w:rPr>
          <w:rStyle w:val="FootnoteReference"/>
          <w:rFonts w:ascii="Garamond" w:hAnsi="Garamond"/>
          <w:color w:val="auto"/>
        </w:rPr>
        <w:footnoteReference w:id="58"/>
      </w:r>
      <w:r w:rsidRPr="00445472">
        <w:t>. Administratorët e ndërmarrjeve të Furnizimit me Ujë në nivel vendor janë përgjegjës për zonat e mbrojtjes higjieno-sanitare</w:t>
      </w:r>
      <w:r w:rsidRPr="00445472">
        <w:rPr>
          <w:rStyle w:val="FootnoteReference"/>
          <w:rFonts w:ascii="Garamond" w:hAnsi="Garamond"/>
          <w:color w:val="auto"/>
        </w:rPr>
        <w:footnoteReference w:id="59"/>
      </w:r>
      <w:r w:rsidRPr="00445472">
        <w:t xml:space="preserve">. Në rastin e puseve individuale, është përgjegjësi e pronarit të pusit të përcaktojë zonën e mbrojtjes higjieno-sanitare rreth saj nëpërmjet Shërbimit Gjeologjik Shqiptar ose </w:t>
      </w:r>
      <w:r w:rsidR="005610D6" w:rsidRPr="00445472">
        <w:t>institucioneve</w:t>
      </w:r>
      <w:r w:rsidRPr="00445472">
        <w:t xml:space="preserve"> të tjera të specializuara në hidrologji</w:t>
      </w:r>
      <w:r w:rsidRPr="00445472">
        <w:rPr>
          <w:rStyle w:val="FootnoteReference"/>
          <w:rFonts w:ascii="Garamond" w:hAnsi="Garamond"/>
          <w:color w:val="auto"/>
        </w:rPr>
        <w:footnoteReference w:id="60"/>
      </w:r>
      <w:r w:rsidRPr="00445472">
        <w:t>. Mbrojtja e zonave përreth puseve industriale nuk diskutohet në legjislacionin shqiptar.</w:t>
      </w:r>
    </w:p>
    <w:p w14:paraId="541A3BE0" w14:textId="51A491DA" w:rsidR="005D784C" w:rsidRPr="00445472" w:rsidRDefault="005D784C" w:rsidP="005D784C">
      <w:pPr>
        <w:pStyle w:val="TEKSTIIII"/>
      </w:pPr>
      <w:r w:rsidRPr="00445472">
        <w:t>Në këtë moment, zonat e përcaktuara për zonën e mbrojtjes higjieno-sanitare të ujit të pijshëm nuk janë përcaktuar për të dy</w:t>
      </w:r>
      <w:r w:rsidR="00554D3B">
        <w:t>ja</w:t>
      </w:r>
      <w:r w:rsidRPr="00445472">
        <w:t xml:space="preserve"> puset e përdorura për nxjerrjen e ujit nga kompanitë e furnizimit me ujë dhe puse private. Rrjedhimisht, MBZHR dhe Këshilli i Basenit Ujor </w:t>
      </w:r>
      <w:r w:rsidR="007E76E3" w:rsidRPr="00445472">
        <w:t>Drin–Bunë</w:t>
      </w:r>
      <w:r w:rsidRPr="00445472">
        <w:t xml:space="preserve"> dhe</w:t>
      </w:r>
      <w:r w:rsidR="001D340B" w:rsidRPr="00445472">
        <w:t>/</w:t>
      </w:r>
      <w:r w:rsidRPr="00445472">
        <w:t xml:space="preserve">ose Agjencia nuk kanë një regjistër të zonave të mbrojtjes higjieno-sanitare. Tabela 5.2 paraqet listën e të gjitha burimeve dhe puseve në basenin ujor </w:t>
      </w:r>
      <w:r w:rsidR="007E76E3" w:rsidRPr="00445472">
        <w:t>Drin–Bunë</w:t>
      </w:r>
      <w:r w:rsidRPr="00445472">
        <w:t xml:space="preserve"> që duhet të mbrohen sipas ligjit të BE-së.</w:t>
      </w:r>
    </w:p>
    <w:p w14:paraId="0D77EE26" w14:textId="615B31D5" w:rsidR="005D784C" w:rsidRPr="00445472" w:rsidRDefault="005D784C" w:rsidP="005D784C">
      <w:pPr>
        <w:pStyle w:val="TEKSTIIII"/>
        <w:rPr>
          <w:b/>
        </w:rPr>
      </w:pPr>
      <w:r w:rsidRPr="00445472">
        <w:rPr>
          <w:b/>
        </w:rPr>
        <w:t xml:space="preserve">Tabela 5.2: Vendndodhja e burimeve dhe e puseve në Basenin Ujor </w:t>
      </w:r>
      <w:r w:rsidR="007E76E3" w:rsidRPr="00445472">
        <w:rPr>
          <w:b/>
        </w:rPr>
        <w:t>Drin–Bunë</w:t>
      </w:r>
      <w:r w:rsidRPr="00445472">
        <w:rPr>
          <w:b/>
        </w:rPr>
        <w:t xml:space="preserve"> e caktuar për nxjerrjen e ujit të caktuar për konsum njerëzor.</w:t>
      </w:r>
    </w:p>
    <w:tbl>
      <w:tblPr>
        <w:tblW w:w="9526" w:type="dxa"/>
        <w:tblInd w:w="-147"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ayout w:type="fixed"/>
        <w:tblLook w:val="04A0" w:firstRow="1" w:lastRow="0" w:firstColumn="1" w:lastColumn="0" w:noHBand="0" w:noVBand="1"/>
      </w:tblPr>
      <w:tblGrid>
        <w:gridCol w:w="709"/>
        <w:gridCol w:w="1920"/>
        <w:gridCol w:w="1478"/>
        <w:gridCol w:w="1211"/>
        <w:gridCol w:w="1657"/>
        <w:gridCol w:w="1275"/>
        <w:gridCol w:w="1276"/>
      </w:tblGrid>
      <w:tr w:rsidR="005D784C" w:rsidRPr="00445472" w14:paraId="7639BFBB" w14:textId="77777777" w:rsidTr="00B15A6B">
        <w:trPr>
          <w:trHeight w:val="713"/>
          <w:tblHeader/>
        </w:trPr>
        <w:tc>
          <w:tcPr>
            <w:tcW w:w="709" w:type="dxa"/>
            <w:shd w:val="clear" w:color="auto" w:fill="D4D4D4"/>
            <w:noWrap/>
            <w:vAlign w:val="center"/>
            <w:hideMark/>
          </w:tcPr>
          <w:p w14:paraId="4CF7DF40" w14:textId="77777777" w:rsidR="005D784C" w:rsidRPr="00445472" w:rsidRDefault="005D784C" w:rsidP="00BB75DE">
            <w:pPr>
              <w:pStyle w:val="TABELA"/>
              <w:jc w:val="center"/>
              <w:rPr>
                <w:b/>
                <w:lang w:val="sq-AL"/>
              </w:rPr>
            </w:pPr>
            <w:r w:rsidRPr="00445472">
              <w:rPr>
                <w:b/>
                <w:lang w:val="sq-AL"/>
              </w:rPr>
              <w:t>Nr.</w:t>
            </w:r>
          </w:p>
        </w:tc>
        <w:tc>
          <w:tcPr>
            <w:tcW w:w="1920" w:type="dxa"/>
            <w:shd w:val="clear" w:color="auto" w:fill="D4D4D4"/>
            <w:noWrap/>
            <w:vAlign w:val="center"/>
            <w:hideMark/>
          </w:tcPr>
          <w:p w14:paraId="5C3C83F9" w14:textId="77777777" w:rsidR="005D784C" w:rsidRPr="00445472" w:rsidRDefault="005D784C" w:rsidP="00BB75DE">
            <w:pPr>
              <w:pStyle w:val="TABELA"/>
              <w:jc w:val="center"/>
              <w:rPr>
                <w:b/>
                <w:lang w:val="sq-AL"/>
              </w:rPr>
            </w:pPr>
            <w:r w:rsidRPr="00445472">
              <w:rPr>
                <w:b/>
                <w:lang w:val="sq-AL"/>
              </w:rPr>
              <w:t>Njësia Administrative</w:t>
            </w:r>
          </w:p>
        </w:tc>
        <w:tc>
          <w:tcPr>
            <w:tcW w:w="1478" w:type="dxa"/>
            <w:shd w:val="clear" w:color="auto" w:fill="D4D4D4"/>
            <w:noWrap/>
            <w:vAlign w:val="center"/>
            <w:hideMark/>
          </w:tcPr>
          <w:p w14:paraId="189FCC9D" w14:textId="555AEF54" w:rsidR="005D784C" w:rsidRPr="00445472" w:rsidRDefault="005D784C" w:rsidP="00BB75DE">
            <w:pPr>
              <w:pStyle w:val="TABELA"/>
              <w:jc w:val="center"/>
              <w:rPr>
                <w:b/>
                <w:lang w:val="sq-AL"/>
              </w:rPr>
            </w:pPr>
            <w:r w:rsidRPr="00445472">
              <w:rPr>
                <w:b/>
                <w:lang w:val="sq-AL"/>
              </w:rPr>
              <w:t>Vend</w:t>
            </w:r>
            <w:r w:rsidR="005610D6" w:rsidRPr="00445472">
              <w:rPr>
                <w:b/>
                <w:lang w:val="sq-AL"/>
              </w:rPr>
              <w:t>nd</w:t>
            </w:r>
            <w:r w:rsidRPr="00445472">
              <w:rPr>
                <w:b/>
                <w:lang w:val="sq-AL"/>
              </w:rPr>
              <w:t>odhja</w:t>
            </w:r>
          </w:p>
        </w:tc>
        <w:tc>
          <w:tcPr>
            <w:tcW w:w="1211" w:type="dxa"/>
            <w:shd w:val="clear" w:color="auto" w:fill="D4D4D4"/>
            <w:noWrap/>
            <w:vAlign w:val="center"/>
            <w:hideMark/>
          </w:tcPr>
          <w:p w14:paraId="45795EC1" w14:textId="50EC8CE9" w:rsidR="005D784C" w:rsidRPr="00445472" w:rsidRDefault="005D784C" w:rsidP="00BB75DE">
            <w:pPr>
              <w:pStyle w:val="TABELA"/>
              <w:jc w:val="center"/>
              <w:rPr>
                <w:b/>
                <w:lang w:val="sq-AL"/>
              </w:rPr>
            </w:pPr>
            <w:r w:rsidRPr="00445472">
              <w:rPr>
                <w:b/>
                <w:lang w:val="sq-AL"/>
              </w:rPr>
              <w:t xml:space="preserve">Lloji i </w:t>
            </w:r>
            <w:r w:rsidR="005610D6" w:rsidRPr="00445472">
              <w:rPr>
                <w:b/>
                <w:lang w:val="sq-AL"/>
              </w:rPr>
              <w:t>burimit</w:t>
            </w:r>
          </w:p>
        </w:tc>
        <w:tc>
          <w:tcPr>
            <w:tcW w:w="1657" w:type="dxa"/>
            <w:shd w:val="clear" w:color="auto" w:fill="D4D4D4"/>
            <w:noWrap/>
            <w:vAlign w:val="center"/>
            <w:hideMark/>
          </w:tcPr>
          <w:p w14:paraId="5C34E309" w14:textId="1494AD2C" w:rsidR="005D784C" w:rsidRPr="00445472" w:rsidRDefault="005D784C" w:rsidP="00BB75DE">
            <w:pPr>
              <w:pStyle w:val="TABELA"/>
              <w:jc w:val="center"/>
              <w:rPr>
                <w:b/>
                <w:lang w:val="sq-AL"/>
              </w:rPr>
            </w:pPr>
            <w:r w:rsidRPr="00445472">
              <w:rPr>
                <w:b/>
                <w:lang w:val="sq-AL"/>
              </w:rPr>
              <w:t xml:space="preserve">Lloji i </w:t>
            </w:r>
            <w:r w:rsidR="00DD45A9" w:rsidRPr="00445472">
              <w:rPr>
                <w:b/>
                <w:lang w:val="sq-AL"/>
              </w:rPr>
              <w:t>akuiferit</w:t>
            </w:r>
          </w:p>
        </w:tc>
        <w:tc>
          <w:tcPr>
            <w:tcW w:w="1275" w:type="dxa"/>
            <w:shd w:val="clear" w:color="auto" w:fill="D4D4D4"/>
            <w:vAlign w:val="center"/>
            <w:hideMark/>
          </w:tcPr>
          <w:p w14:paraId="73F6B0B3" w14:textId="26738491" w:rsidR="005D784C" w:rsidRPr="00445472" w:rsidRDefault="005D784C" w:rsidP="00BB75DE">
            <w:pPr>
              <w:pStyle w:val="TABELA"/>
              <w:jc w:val="center"/>
              <w:rPr>
                <w:b/>
                <w:lang w:val="sq-AL"/>
              </w:rPr>
            </w:pPr>
            <w:r w:rsidRPr="00445472">
              <w:rPr>
                <w:b/>
                <w:lang w:val="sq-AL"/>
              </w:rPr>
              <w:t xml:space="preserve">Sasia e </w:t>
            </w:r>
            <w:r w:rsidR="005610D6" w:rsidRPr="00445472">
              <w:rPr>
                <w:b/>
                <w:lang w:val="sq-AL"/>
              </w:rPr>
              <w:t xml:space="preserve">ujit  </w:t>
            </w:r>
            <w:r w:rsidRPr="00445472">
              <w:rPr>
                <w:b/>
                <w:lang w:val="sq-AL"/>
              </w:rPr>
              <w:t>(l/sek)</w:t>
            </w:r>
          </w:p>
        </w:tc>
        <w:tc>
          <w:tcPr>
            <w:tcW w:w="1276" w:type="dxa"/>
            <w:shd w:val="clear" w:color="auto" w:fill="D4D4D4"/>
            <w:noWrap/>
            <w:vAlign w:val="center"/>
            <w:hideMark/>
          </w:tcPr>
          <w:p w14:paraId="59E5BA76" w14:textId="77777777" w:rsidR="005D784C" w:rsidRPr="00445472" w:rsidRDefault="005D784C" w:rsidP="00BB75DE">
            <w:pPr>
              <w:pStyle w:val="TABELA"/>
              <w:jc w:val="center"/>
              <w:rPr>
                <w:b/>
                <w:vertAlign w:val="superscript"/>
                <w:lang w:val="sq-AL"/>
              </w:rPr>
            </w:pPr>
            <w:r w:rsidRPr="00445472">
              <w:rPr>
                <w:b/>
                <w:lang w:val="sq-AL"/>
              </w:rPr>
              <w:t>Popullsia</w:t>
            </w:r>
          </w:p>
          <w:p w14:paraId="5D2F2F63" w14:textId="77777777" w:rsidR="005D784C" w:rsidRPr="00445472" w:rsidRDefault="005D784C" w:rsidP="00BB75DE">
            <w:pPr>
              <w:pStyle w:val="TABELA"/>
              <w:jc w:val="center"/>
              <w:rPr>
                <w:b/>
                <w:lang w:val="sq-AL"/>
              </w:rPr>
            </w:pPr>
          </w:p>
        </w:tc>
      </w:tr>
      <w:tr w:rsidR="005D784C" w:rsidRPr="00445472" w14:paraId="391238AC" w14:textId="77777777" w:rsidTr="00B15A6B">
        <w:trPr>
          <w:trHeight w:val="300"/>
        </w:trPr>
        <w:tc>
          <w:tcPr>
            <w:tcW w:w="709" w:type="dxa"/>
            <w:vMerge w:val="restart"/>
            <w:shd w:val="clear" w:color="auto" w:fill="auto"/>
            <w:noWrap/>
            <w:vAlign w:val="center"/>
            <w:hideMark/>
          </w:tcPr>
          <w:p w14:paraId="207D4FD0" w14:textId="77777777" w:rsidR="005D784C" w:rsidRPr="00445472" w:rsidRDefault="005D784C" w:rsidP="00BB75DE">
            <w:pPr>
              <w:pStyle w:val="TABELA"/>
              <w:rPr>
                <w:lang w:val="sq-AL"/>
              </w:rPr>
            </w:pPr>
            <w:r w:rsidRPr="00445472">
              <w:rPr>
                <w:lang w:val="sq-AL"/>
              </w:rPr>
              <w:t>1</w:t>
            </w:r>
          </w:p>
        </w:tc>
        <w:tc>
          <w:tcPr>
            <w:tcW w:w="1920" w:type="dxa"/>
            <w:vMerge w:val="restart"/>
            <w:shd w:val="clear" w:color="auto" w:fill="auto"/>
            <w:noWrap/>
            <w:vAlign w:val="center"/>
            <w:hideMark/>
          </w:tcPr>
          <w:p w14:paraId="026BA12E" w14:textId="77777777" w:rsidR="005D784C" w:rsidRPr="00445472" w:rsidRDefault="005D784C" w:rsidP="00BB75DE">
            <w:pPr>
              <w:pStyle w:val="TABELA"/>
              <w:rPr>
                <w:lang w:val="sq-AL"/>
              </w:rPr>
            </w:pPr>
            <w:r w:rsidRPr="00445472">
              <w:rPr>
                <w:lang w:val="sq-AL"/>
              </w:rPr>
              <w:t>Bashkia Pukë</w:t>
            </w:r>
          </w:p>
        </w:tc>
        <w:tc>
          <w:tcPr>
            <w:tcW w:w="1478" w:type="dxa"/>
            <w:shd w:val="clear" w:color="auto" w:fill="auto"/>
            <w:noWrap/>
            <w:vAlign w:val="center"/>
            <w:hideMark/>
          </w:tcPr>
          <w:p w14:paraId="7613012E" w14:textId="08C642A2" w:rsidR="005D784C" w:rsidRPr="00445472" w:rsidRDefault="005D784C" w:rsidP="00BB75DE">
            <w:pPr>
              <w:pStyle w:val="TABELA"/>
              <w:rPr>
                <w:lang w:val="sq-AL"/>
              </w:rPr>
            </w:pPr>
            <w:r w:rsidRPr="00445472">
              <w:rPr>
                <w:lang w:val="sq-AL"/>
              </w:rPr>
              <w:t xml:space="preserve">Pusi Zez- </w:t>
            </w:r>
            <w:r w:rsidR="00DD45A9" w:rsidRPr="00445472">
              <w:rPr>
                <w:lang w:val="sq-AL"/>
              </w:rPr>
              <w:t>Kërrabë</w:t>
            </w:r>
          </w:p>
        </w:tc>
        <w:tc>
          <w:tcPr>
            <w:tcW w:w="1211" w:type="dxa"/>
            <w:shd w:val="clear" w:color="auto" w:fill="auto"/>
            <w:noWrap/>
            <w:vAlign w:val="center"/>
            <w:hideMark/>
          </w:tcPr>
          <w:p w14:paraId="522126A4"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CD445C1"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5684F7B2" w14:textId="176EA21D" w:rsidR="005D784C" w:rsidRPr="00445472" w:rsidRDefault="005610D6" w:rsidP="005610D6">
            <w:pPr>
              <w:pStyle w:val="TABELA"/>
              <w:jc w:val="center"/>
              <w:rPr>
                <w:lang w:val="sq-AL"/>
              </w:rPr>
            </w:pPr>
            <w:r w:rsidRPr="00445472">
              <w:rPr>
                <w:lang w:val="sq-AL"/>
              </w:rPr>
              <w:t>20–</w:t>
            </w:r>
            <w:r w:rsidR="005D784C" w:rsidRPr="00445472">
              <w:rPr>
                <w:lang w:val="sq-AL"/>
              </w:rPr>
              <w:t>24</w:t>
            </w:r>
          </w:p>
        </w:tc>
        <w:tc>
          <w:tcPr>
            <w:tcW w:w="1276" w:type="dxa"/>
            <w:shd w:val="clear" w:color="auto" w:fill="auto"/>
            <w:noWrap/>
            <w:vAlign w:val="center"/>
            <w:hideMark/>
          </w:tcPr>
          <w:p w14:paraId="461F47CC" w14:textId="77777777" w:rsidR="005D784C" w:rsidRPr="00445472" w:rsidRDefault="005D784C" w:rsidP="005610D6">
            <w:pPr>
              <w:pStyle w:val="TABELA"/>
              <w:jc w:val="center"/>
              <w:rPr>
                <w:lang w:val="sq-AL"/>
              </w:rPr>
            </w:pPr>
            <w:r w:rsidRPr="00445472">
              <w:rPr>
                <w:lang w:val="sq-AL"/>
              </w:rPr>
              <w:t>5,421</w:t>
            </w:r>
          </w:p>
        </w:tc>
      </w:tr>
      <w:tr w:rsidR="005D784C" w:rsidRPr="00445472" w14:paraId="68B00099" w14:textId="77777777" w:rsidTr="00B15A6B">
        <w:trPr>
          <w:trHeight w:val="300"/>
        </w:trPr>
        <w:tc>
          <w:tcPr>
            <w:tcW w:w="709" w:type="dxa"/>
            <w:vMerge/>
            <w:shd w:val="clear" w:color="auto" w:fill="auto"/>
            <w:vAlign w:val="center"/>
            <w:hideMark/>
          </w:tcPr>
          <w:p w14:paraId="0B14F6FA" w14:textId="77777777" w:rsidR="005D784C" w:rsidRPr="00445472" w:rsidRDefault="005D784C" w:rsidP="00BB75DE">
            <w:pPr>
              <w:pStyle w:val="TABELA"/>
              <w:rPr>
                <w:lang w:val="sq-AL"/>
              </w:rPr>
            </w:pPr>
          </w:p>
        </w:tc>
        <w:tc>
          <w:tcPr>
            <w:tcW w:w="1920" w:type="dxa"/>
            <w:vMerge/>
            <w:shd w:val="clear" w:color="auto" w:fill="auto"/>
            <w:vAlign w:val="center"/>
            <w:hideMark/>
          </w:tcPr>
          <w:p w14:paraId="3E539C27" w14:textId="77777777" w:rsidR="005D784C" w:rsidRPr="00445472" w:rsidRDefault="005D784C" w:rsidP="00BB75DE">
            <w:pPr>
              <w:pStyle w:val="TABELA"/>
              <w:rPr>
                <w:lang w:val="sq-AL"/>
              </w:rPr>
            </w:pPr>
          </w:p>
        </w:tc>
        <w:tc>
          <w:tcPr>
            <w:tcW w:w="1478" w:type="dxa"/>
            <w:shd w:val="clear" w:color="auto" w:fill="auto"/>
            <w:noWrap/>
            <w:vAlign w:val="center"/>
            <w:hideMark/>
          </w:tcPr>
          <w:p w14:paraId="289A5B03" w14:textId="77777777" w:rsidR="005D784C" w:rsidRPr="00445472" w:rsidRDefault="005D784C" w:rsidP="00BB75DE">
            <w:pPr>
              <w:pStyle w:val="TABELA"/>
              <w:rPr>
                <w:lang w:val="sq-AL"/>
              </w:rPr>
            </w:pPr>
            <w:r w:rsidRPr="00445472">
              <w:rPr>
                <w:lang w:val="sq-AL"/>
              </w:rPr>
              <w:t>Mece (rezervat)</w:t>
            </w:r>
          </w:p>
        </w:tc>
        <w:tc>
          <w:tcPr>
            <w:tcW w:w="1211" w:type="dxa"/>
            <w:shd w:val="clear" w:color="auto" w:fill="auto"/>
            <w:noWrap/>
            <w:vAlign w:val="center"/>
            <w:hideMark/>
          </w:tcPr>
          <w:p w14:paraId="44A24992"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20ED4AD2"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4A5C1987" w14:textId="77777777" w:rsidR="005D784C" w:rsidRPr="00445472" w:rsidRDefault="005D784C" w:rsidP="005610D6">
            <w:pPr>
              <w:pStyle w:val="TABELA"/>
              <w:jc w:val="center"/>
              <w:rPr>
                <w:lang w:val="sq-AL"/>
              </w:rPr>
            </w:pPr>
            <w:r w:rsidRPr="00445472">
              <w:rPr>
                <w:lang w:val="sq-AL"/>
              </w:rPr>
              <w:t>15</w:t>
            </w:r>
          </w:p>
        </w:tc>
        <w:tc>
          <w:tcPr>
            <w:tcW w:w="1276" w:type="dxa"/>
            <w:shd w:val="clear" w:color="auto" w:fill="auto"/>
            <w:noWrap/>
            <w:vAlign w:val="center"/>
            <w:hideMark/>
          </w:tcPr>
          <w:p w14:paraId="4A4C3592" w14:textId="77777777" w:rsidR="005D784C" w:rsidRPr="00445472" w:rsidRDefault="005D784C" w:rsidP="005610D6">
            <w:pPr>
              <w:pStyle w:val="TABELA"/>
              <w:jc w:val="center"/>
              <w:rPr>
                <w:lang w:val="sq-AL"/>
              </w:rPr>
            </w:pPr>
          </w:p>
        </w:tc>
      </w:tr>
      <w:tr w:rsidR="005D784C" w:rsidRPr="00445472" w14:paraId="10539232" w14:textId="77777777" w:rsidTr="00B15A6B">
        <w:trPr>
          <w:trHeight w:val="300"/>
        </w:trPr>
        <w:tc>
          <w:tcPr>
            <w:tcW w:w="709" w:type="dxa"/>
            <w:vMerge/>
            <w:shd w:val="clear" w:color="auto" w:fill="auto"/>
            <w:vAlign w:val="center"/>
            <w:hideMark/>
          </w:tcPr>
          <w:p w14:paraId="4313D043" w14:textId="77777777" w:rsidR="005D784C" w:rsidRPr="00445472" w:rsidRDefault="005D784C" w:rsidP="00BB75DE">
            <w:pPr>
              <w:pStyle w:val="TABELA"/>
              <w:rPr>
                <w:lang w:val="sq-AL"/>
              </w:rPr>
            </w:pPr>
          </w:p>
        </w:tc>
        <w:tc>
          <w:tcPr>
            <w:tcW w:w="1920" w:type="dxa"/>
            <w:vMerge/>
            <w:shd w:val="clear" w:color="auto" w:fill="auto"/>
            <w:vAlign w:val="center"/>
            <w:hideMark/>
          </w:tcPr>
          <w:p w14:paraId="6A297CA5" w14:textId="77777777" w:rsidR="005D784C" w:rsidRPr="00445472" w:rsidRDefault="005D784C" w:rsidP="00BB75DE">
            <w:pPr>
              <w:pStyle w:val="TABELA"/>
              <w:rPr>
                <w:lang w:val="sq-AL"/>
              </w:rPr>
            </w:pPr>
          </w:p>
        </w:tc>
        <w:tc>
          <w:tcPr>
            <w:tcW w:w="1478" w:type="dxa"/>
            <w:shd w:val="clear" w:color="auto" w:fill="auto"/>
            <w:noWrap/>
            <w:vAlign w:val="center"/>
            <w:hideMark/>
          </w:tcPr>
          <w:p w14:paraId="549FABC5" w14:textId="77777777" w:rsidR="005D784C" w:rsidRPr="00445472" w:rsidRDefault="005D784C" w:rsidP="00BB75DE">
            <w:pPr>
              <w:pStyle w:val="TABELA"/>
              <w:rPr>
                <w:lang w:val="sq-AL"/>
              </w:rPr>
            </w:pPr>
            <w:r w:rsidRPr="00445472">
              <w:rPr>
                <w:lang w:val="sq-AL"/>
              </w:rPr>
              <w:t>Pezhve</w:t>
            </w:r>
          </w:p>
        </w:tc>
        <w:tc>
          <w:tcPr>
            <w:tcW w:w="1211" w:type="dxa"/>
            <w:shd w:val="clear" w:color="auto" w:fill="auto"/>
            <w:noWrap/>
            <w:vAlign w:val="center"/>
            <w:hideMark/>
          </w:tcPr>
          <w:p w14:paraId="0C8D78A4"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2A59D76A"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53A9BAF3" w14:textId="77777777" w:rsidR="005D784C" w:rsidRPr="00445472" w:rsidRDefault="005D784C" w:rsidP="005610D6">
            <w:pPr>
              <w:pStyle w:val="TABELA"/>
              <w:jc w:val="center"/>
              <w:rPr>
                <w:lang w:val="sq-AL"/>
              </w:rPr>
            </w:pPr>
            <w:r w:rsidRPr="00445472">
              <w:rPr>
                <w:lang w:val="sq-AL"/>
              </w:rPr>
              <w:t>6</w:t>
            </w:r>
          </w:p>
        </w:tc>
        <w:tc>
          <w:tcPr>
            <w:tcW w:w="1276" w:type="dxa"/>
            <w:shd w:val="clear" w:color="auto" w:fill="auto"/>
            <w:noWrap/>
            <w:vAlign w:val="center"/>
            <w:hideMark/>
          </w:tcPr>
          <w:p w14:paraId="3175D405" w14:textId="77777777" w:rsidR="005D784C" w:rsidRPr="00445472" w:rsidRDefault="005D784C" w:rsidP="005610D6">
            <w:pPr>
              <w:pStyle w:val="TABELA"/>
              <w:jc w:val="center"/>
              <w:rPr>
                <w:lang w:val="sq-AL"/>
              </w:rPr>
            </w:pPr>
          </w:p>
        </w:tc>
      </w:tr>
      <w:tr w:rsidR="005D784C" w:rsidRPr="00445472" w14:paraId="45D29DD9" w14:textId="77777777" w:rsidTr="00B15A6B">
        <w:trPr>
          <w:trHeight w:val="300"/>
        </w:trPr>
        <w:tc>
          <w:tcPr>
            <w:tcW w:w="709" w:type="dxa"/>
            <w:vMerge w:val="restart"/>
            <w:shd w:val="clear" w:color="auto" w:fill="auto"/>
            <w:noWrap/>
            <w:vAlign w:val="center"/>
            <w:hideMark/>
          </w:tcPr>
          <w:p w14:paraId="711C3B7D" w14:textId="77777777" w:rsidR="005D784C" w:rsidRPr="00445472" w:rsidRDefault="005D784C" w:rsidP="00BB75DE">
            <w:pPr>
              <w:pStyle w:val="TABELA"/>
              <w:rPr>
                <w:lang w:val="sq-AL"/>
              </w:rPr>
            </w:pPr>
            <w:r w:rsidRPr="00445472">
              <w:rPr>
                <w:lang w:val="sq-AL"/>
              </w:rPr>
              <w:t>2</w:t>
            </w:r>
          </w:p>
        </w:tc>
        <w:tc>
          <w:tcPr>
            <w:tcW w:w="1920" w:type="dxa"/>
            <w:vMerge w:val="restart"/>
            <w:shd w:val="clear" w:color="auto" w:fill="auto"/>
            <w:noWrap/>
            <w:vAlign w:val="center"/>
            <w:hideMark/>
          </w:tcPr>
          <w:p w14:paraId="63231482" w14:textId="77777777" w:rsidR="005D784C" w:rsidRPr="00445472" w:rsidRDefault="005D784C" w:rsidP="00BB75DE">
            <w:pPr>
              <w:pStyle w:val="TABELA"/>
              <w:rPr>
                <w:lang w:val="sq-AL"/>
              </w:rPr>
            </w:pPr>
            <w:r w:rsidRPr="00445472">
              <w:rPr>
                <w:lang w:val="sq-AL"/>
              </w:rPr>
              <w:t xml:space="preserve">Furnizimi me ujë Vau i Dejës </w:t>
            </w:r>
          </w:p>
        </w:tc>
        <w:tc>
          <w:tcPr>
            <w:tcW w:w="1478" w:type="dxa"/>
            <w:shd w:val="clear" w:color="auto" w:fill="auto"/>
            <w:noWrap/>
            <w:vAlign w:val="center"/>
            <w:hideMark/>
          </w:tcPr>
          <w:p w14:paraId="53D6A0DB" w14:textId="77777777" w:rsidR="005D784C" w:rsidRPr="00445472" w:rsidRDefault="005D784C" w:rsidP="00BB75DE">
            <w:pPr>
              <w:pStyle w:val="TABELA"/>
              <w:rPr>
                <w:lang w:val="sq-AL"/>
              </w:rPr>
            </w:pPr>
            <w:r w:rsidRPr="00445472">
              <w:rPr>
                <w:lang w:val="sq-AL"/>
              </w:rPr>
              <w:t>Deja</w:t>
            </w:r>
          </w:p>
        </w:tc>
        <w:tc>
          <w:tcPr>
            <w:tcW w:w="1211" w:type="dxa"/>
            <w:shd w:val="clear" w:color="auto" w:fill="auto"/>
            <w:noWrap/>
            <w:vAlign w:val="center"/>
            <w:hideMark/>
          </w:tcPr>
          <w:p w14:paraId="6BE5E565"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D9E4CD9"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6CF71618" w14:textId="77777777" w:rsidR="005D784C" w:rsidRPr="00445472" w:rsidRDefault="005D784C" w:rsidP="005610D6">
            <w:pPr>
              <w:pStyle w:val="TABELA"/>
              <w:jc w:val="center"/>
              <w:rPr>
                <w:lang w:val="sq-AL"/>
              </w:rPr>
            </w:pPr>
            <w:r w:rsidRPr="00445472">
              <w:rPr>
                <w:lang w:val="sq-AL"/>
              </w:rPr>
              <w:t>60</w:t>
            </w:r>
          </w:p>
        </w:tc>
        <w:tc>
          <w:tcPr>
            <w:tcW w:w="1276" w:type="dxa"/>
            <w:shd w:val="clear" w:color="auto" w:fill="auto"/>
            <w:noWrap/>
            <w:vAlign w:val="center"/>
            <w:hideMark/>
          </w:tcPr>
          <w:p w14:paraId="5E177AE5" w14:textId="77777777" w:rsidR="005D784C" w:rsidRPr="00445472" w:rsidRDefault="005D784C" w:rsidP="005610D6">
            <w:pPr>
              <w:pStyle w:val="TABELA"/>
              <w:jc w:val="center"/>
              <w:rPr>
                <w:lang w:val="sq-AL"/>
              </w:rPr>
            </w:pPr>
            <w:r w:rsidRPr="00445472">
              <w:rPr>
                <w:lang w:val="sq-AL"/>
              </w:rPr>
              <w:t>5,106</w:t>
            </w:r>
          </w:p>
        </w:tc>
      </w:tr>
      <w:tr w:rsidR="005D784C" w:rsidRPr="00445472" w14:paraId="0FA631DA" w14:textId="77777777" w:rsidTr="00B15A6B">
        <w:trPr>
          <w:trHeight w:val="300"/>
        </w:trPr>
        <w:tc>
          <w:tcPr>
            <w:tcW w:w="709" w:type="dxa"/>
            <w:vMerge/>
            <w:shd w:val="clear" w:color="auto" w:fill="auto"/>
            <w:vAlign w:val="center"/>
            <w:hideMark/>
          </w:tcPr>
          <w:p w14:paraId="3BFE74EF" w14:textId="77777777" w:rsidR="005D784C" w:rsidRPr="00445472" w:rsidRDefault="005D784C" w:rsidP="00BB75DE">
            <w:pPr>
              <w:pStyle w:val="TABELA"/>
              <w:rPr>
                <w:lang w:val="sq-AL"/>
              </w:rPr>
            </w:pPr>
          </w:p>
        </w:tc>
        <w:tc>
          <w:tcPr>
            <w:tcW w:w="1920" w:type="dxa"/>
            <w:vMerge/>
            <w:shd w:val="clear" w:color="auto" w:fill="auto"/>
            <w:vAlign w:val="center"/>
            <w:hideMark/>
          </w:tcPr>
          <w:p w14:paraId="2BD8CC44" w14:textId="77777777" w:rsidR="005D784C" w:rsidRPr="00445472" w:rsidRDefault="005D784C" w:rsidP="00BB75DE">
            <w:pPr>
              <w:pStyle w:val="TABELA"/>
              <w:rPr>
                <w:lang w:val="sq-AL"/>
              </w:rPr>
            </w:pPr>
          </w:p>
        </w:tc>
        <w:tc>
          <w:tcPr>
            <w:tcW w:w="1478" w:type="dxa"/>
            <w:shd w:val="clear" w:color="auto" w:fill="auto"/>
            <w:noWrap/>
            <w:vAlign w:val="center"/>
            <w:hideMark/>
          </w:tcPr>
          <w:p w14:paraId="37212592" w14:textId="23C461C0" w:rsidR="005D784C" w:rsidRPr="00445472" w:rsidRDefault="005D784C" w:rsidP="00DD45A9">
            <w:pPr>
              <w:pStyle w:val="TABELA"/>
              <w:rPr>
                <w:lang w:val="sq-AL"/>
              </w:rPr>
            </w:pPr>
            <w:r w:rsidRPr="00445472">
              <w:rPr>
                <w:lang w:val="sq-AL"/>
              </w:rPr>
              <w:t>La</w:t>
            </w:r>
            <w:r w:rsidR="00DD45A9" w:rsidRPr="00445472">
              <w:rPr>
                <w:lang w:val="sq-AL"/>
              </w:rPr>
              <w:t>ç</w:t>
            </w:r>
          </w:p>
        </w:tc>
        <w:tc>
          <w:tcPr>
            <w:tcW w:w="1211" w:type="dxa"/>
            <w:shd w:val="clear" w:color="auto" w:fill="auto"/>
            <w:noWrap/>
            <w:vAlign w:val="center"/>
            <w:hideMark/>
          </w:tcPr>
          <w:p w14:paraId="0DAB15DA"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77720E6E"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6DA081AD" w14:textId="77777777" w:rsidR="005D784C" w:rsidRPr="00445472" w:rsidRDefault="005D784C" w:rsidP="005610D6">
            <w:pPr>
              <w:pStyle w:val="TABELA"/>
              <w:jc w:val="center"/>
              <w:rPr>
                <w:lang w:val="sq-AL"/>
              </w:rPr>
            </w:pPr>
            <w:r w:rsidRPr="00445472">
              <w:rPr>
                <w:lang w:val="sq-AL"/>
              </w:rPr>
              <w:t>45</w:t>
            </w:r>
          </w:p>
        </w:tc>
        <w:tc>
          <w:tcPr>
            <w:tcW w:w="1276" w:type="dxa"/>
            <w:shd w:val="clear" w:color="auto" w:fill="auto"/>
            <w:noWrap/>
            <w:vAlign w:val="center"/>
            <w:hideMark/>
          </w:tcPr>
          <w:p w14:paraId="419BC375" w14:textId="77777777" w:rsidR="005D784C" w:rsidRPr="00445472" w:rsidRDefault="005D784C" w:rsidP="005610D6">
            <w:pPr>
              <w:pStyle w:val="TABELA"/>
              <w:jc w:val="center"/>
              <w:rPr>
                <w:lang w:val="sq-AL"/>
              </w:rPr>
            </w:pPr>
          </w:p>
        </w:tc>
      </w:tr>
      <w:tr w:rsidR="005D784C" w:rsidRPr="00445472" w14:paraId="61AB93E4" w14:textId="77777777" w:rsidTr="00B15A6B">
        <w:trPr>
          <w:trHeight w:val="300"/>
        </w:trPr>
        <w:tc>
          <w:tcPr>
            <w:tcW w:w="709" w:type="dxa"/>
            <w:vMerge w:val="restart"/>
            <w:shd w:val="clear" w:color="auto" w:fill="auto"/>
            <w:noWrap/>
            <w:vAlign w:val="center"/>
            <w:hideMark/>
          </w:tcPr>
          <w:p w14:paraId="75D34392" w14:textId="77777777" w:rsidR="005D784C" w:rsidRPr="00445472" w:rsidRDefault="005D784C" w:rsidP="00BB75DE">
            <w:pPr>
              <w:pStyle w:val="TABELA"/>
              <w:rPr>
                <w:lang w:val="sq-AL"/>
              </w:rPr>
            </w:pPr>
            <w:r w:rsidRPr="00445472">
              <w:rPr>
                <w:lang w:val="sq-AL"/>
              </w:rPr>
              <w:t>3</w:t>
            </w:r>
          </w:p>
        </w:tc>
        <w:tc>
          <w:tcPr>
            <w:tcW w:w="1920" w:type="dxa"/>
            <w:vMerge w:val="restart"/>
            <w:shd w:val="clear" w:color="auto" w:fill="auto"/>
            <w:noWrap/>
            <w:vAlign w:val="center"/>
            <w:hideMark/>
          </w:tcPr>
          <w:p w14:paraId="44D42DE7" w14:textId="77777777" w:rsidR="005D784C" w:rsidRPr="00445472" w:rsidRDefault="005D784C" w:rsidP="00BB75DE">
            <w:pPr>
              <w:pStyle w:val="TABELA"/>
              <w:rPr>
                <w:lang w:val="sq-AL"/>
              </w:rPr>
            </w:pPr>
            <w:r w:rsidRPr="00445472">
              <w:rPr>
                <w:lang w:val="sq-AL"/>
              </w:rPr>
              <w:t xml:space="preserve">Bashkia Tropojë </w:t>
            </w:r>
          </w:p>
        </w:tc>
        <w:tc>
          <w:tcPr>
            <w:tcW w:w="1478" w:type="dxa"/>
            <w:shd w:val="clear" w:color="auto" w:fill="auto"/>
            <w:noWrap/>
            <w:vAlign w:val="center"/>
            <w:hideMark/>
          </w:tcPr>
          <w:p w14:paraId="1AF1C61F" w14:textId="77777777" w:rsidR="005D784C" w:rsidRPr="00445472" w:rsidRDefault="005D784C" w:rsidP="00BB75DE">
            <w:pPr>
              <w:pStyle w:val="TABELA"/>
              <w:rPr>
                <w:lang w:val="sq-AL"/>
              </w:rPr>
            </w:pPr>
            <w:r w:rsidRPr="00445472">
              <w:rPr>
                <w:lang w:val="sq-AL"/>
              </w:rPr>
              <w:t>Vrella Shoshan</w:t>
            </w:r>
          </w:p>
        </w:tc>
        <w:tc>
          <w:tcPr>
            <w:tcW w:w="1211" w:type="dxa"/>
            <w:shd w:val="clear" w:color="auto" w:fill="auto"/>
            <w:noWrap/>
            <w:vAlign w:val="center"/>
            <w:hideMark/>
          </w:tcPr>
          <w:p w14:paraId="484A4683"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47FF2B8" w14:textId="77777777" w:rsidR="005D784C" w:rsidRPr="00445472" w:rsidRDefault="005D784C" w:rsidP="00BB75DE">
            <w:pPr>
              <w:pStyle w:val="TABELA"/>
              <w:rPr>
                <w:lang w:val="sq-AL"/>
              </w:rPr>
            </w:pPr>
            <w:r w:rsidRPr="00445472">
              <w:rPr>
                <w:lang w:val="sq-AL"/>
              </w:rPr>
              <w:t>zhavorr</w:t>
            </w:r>
          </w:p>
        </w:tc>
        <w:tc>
          <w:tcPr>
            <w:tcW w:w="1275" w:type="dxa"/>
            <w:shd w:val="clear" w:color="auto" w:fill="auto"/>
            <w:vAlign w:val="center"/>
            <w:hideMark/>
          </w:tcPr>
          <w:p w14:paraId="1B8F6299" w14:textId="77777777" w:rsidR="005D784C" w:rsidRPr="00445472" w:rsidRDefault="005D784C" w:rsidP="00DD45A9">
            <w:pPr>
              <w:pStyle w:val="TABELA"/>
              <w:jc w:val="right"/>
              <w:rPr>
                <w:lang w:val="sq-AL"/>
              </w:rPr>
            </w:pPr>
            <w:r w:rsidRPr="00445472">
              <w:rPr>
                <w:lang w:val="sq-AL"/>
              </w:rPr>
              <w:t>30</w:t>
            </w:r>
          </w:p>
        </w:tc>
        <w:tc>
          <w:tcPr>
            <w:tcW w:w="1276" w:type="dxa"/>
            <w:shd w:val="clear" w:color="auto" w:fill="auto"/>
            <w:vAlign w:val="center"/>
            <w:hideMark/>
          </w:tcPr>
          <w:p w14:paraId="66C654AE" w14:textId="77777777" w:rsidR="005D784C" w:rsidRPr="00445472" w:rsidRDefault="005D784C" w:rsidP="00DD45A9">
            <w:pPr>
              <w:pStyle w:val="TABELA"/>
              <w:jc w:val="right"/>
              <w:rPr>
                <w:lang w:val="sq-AL"/>
              </w:rPr>
            </w:pPr>
            <w:r w:rsidRPr="00445472">
              <w:rPr>
                <w:lang w:val="sq-AL"/>
              </w:rPr>
              <w:t>8,500</w:t>
            </w:r>
          </w:p>
        </w:tc>
      </w:tr>
      <w:tr w:rsidR="005D784C" w:rsidRPr="00445472" w14:paraId="2D6F652A" w14:textId="77777777" w:rsidTr="00B15A6B">
        <w:trPr>
          <w:trHeight w:val="300"/>
        </w:trPr>
        <w:tc>
          <w:tcPr>
            <w:tcW w:w="709" w:type="dxa"/>
            <w:vMerge/>
            <w:shd w:val="clear" w:color="auto" w:fill="auto"/>
            <w:vAlign w:val="center"/>
            <w:hideMark/>
          </w:tcPr>
          <w:p w14:paraId="0E557543" w14:textId="77777777" w:rsidR="005D784C" w:rsidRPr="00445472" w:rsidRDefault="005D784C" w:rsidP="00BB75DE">
            <w:pPr>
              <w:pStyle w:val="TABELA"/>
              <w:rPr>
                <w:lang w:val="sq-AL"/>
              </w:rPr>
            </w:pPr>
          </w:p>
        </w:tc>
        <w:tc>
          <w:tcPr>
            <w:tcW w:w="1920" w:type="dxa"/>
            <w:vMerge/>
            <w:shd w:val="clear" w:color="auto" w:fill="auto"/>
            <w:vAlign w:val="center"/>
            <w:hideMark/>
          </w:tcPr>
          <w:p w14:paraId="7F80403C" w14:textId="77777777" w:rsidR="005D784C" w:rsidRPr="00445472" w:rsidRDefault="005D784C" w:rsidP="00BB75DE">
            <w:pPr>
              <w:pStyle w:val="TABELA"/>
              <w:rPr>
                <w:lang w:val="sq-AL"/>
              </w:rPr>
            </w:pPr>
          </w:p>
        </w:tc>
        <w:tc>
          <w:tcPr>
            <w:tcW w:w="1478" w:type="dxa"/>
            <w:shd w:val="clear" w:color="auto" w:fill="auto"/>
            <w:noWrap/>
            <w:vAlign w:val="center"/>
            <w:hideMark/>
          </w:tcPr>
          <w:p w14:paraId="762D4723" w14:textId="5197E3B6" w:rsidR="005D784C" w:rsidRPr="00445472" w:rsidRDefault="005D784C" w:rsidP="00DD45A9">
            <w:pPr>
              <w:pStyle w:val="TABELA"/>
              <w:rPr>
                <w:lang w:val="sq-AL"/>
              </w:rPr>
            </w:pPr>
            <w:r w:rsidRPr="00445472">
              <w:rPr>
                <w:lang w:val="sq-AL"/>
              </w:rPr>
              <w:t>Valbon</w:t>
            </w:r>
            <w:r w:rsidR="00DD45A9" w:rsidRPr="00445472">
              <w:rPr>
                <w:lang w:val="sq-AL"/>
              </w:rPr>
              <w:t>ë</w:t>
            </w:r>
            <w:r w:rsidRPr="00445472">
              <w:rPr>
                <w:lang w:val="sq-AL"/>
              </w:rPr>
              <w:t xml:space="preserve"> Suku i Dunishës</w:t>
            </w:r>
          </w:p>
        </w:tc>
        <w:tc>
          <w:tcPr>
            <w:tcW w:w="1211" w:type="dxa"/>
            <w:shd w:val="clear" w:color="auto" w:fill="auto"/>
            <w:noWrap/>
            <w:vAlign w:val="center"/>
            <w:hideMark/>
          </w:tcPr>
          <w:p w14:paraId="420F07F8"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5B1917B"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vAlign w:val="center"/>
            <w:hideMark/>
          </w:tcPr>
          <w:p w14:paraId="1826F41A" w14:textId="77777777" w:rsidR="005D784C" w:rsidRPr="00445472" w:rsidRDefault="005D784C" w:rsidP="00DD45A9">
            <w:pPr>
              <w:pStyle w:val="TABELA"/>
              <w:jc w:val="right"/>
              <w:rPr>
                <w:lang w:val="sq-AL"/>
              </w:rPr>
            </w:pPr>
            <w:r w:rsidRPr="00445472">
              <w:rPr>
                <w:lang w:val="sq-AL"/>
              </w:rPr>
              <w:t>60</w:t>
            </w:r>
          </w:p>
        </w:tc>
        <w:tc>
          <w:tcPr>
            <w:tcW w:w="1276" w:type="dxa"/>
            <w:shd w:val="clear" w:color="auto" w:fill="auto"/>
            <w:vAlign w:val="center"/>
            <w:hideMark/>
          </w:tcPr>
          <w:p w14:paraId="296F49CF" w14:textId="77777777" w:rsidR="005D784C" w:rsidRPr="00445472" w:rsidRDefault="005D784C" w:rsidP="00DD45A9">
            <w:pPr>
              <w:pStyle w:val="TABELA"/>
              <w:jc w:val="right"/>
              <w:rPr>
                <w:lang w:val="sq-AL"/>
              </w:rPr>
            </w:pPr>
            <w:r w:rsidRPr="00445472">
              <w:rPr>
                <w:lang w:val="sq-AL"/>
              </w:rPr>
              <w:t>8,500</w:t>
            </w:r>
          </w:p>
        </w:tc>
      </w:tr>
      <w:tr w:rsidR="005D784C" w:rsidRPr="00445472" w14:paraId="686CACAE" w14:textId="77777777" w:rsidTr="00B15A6B">
        <w:trPr>
          <w:trHeight w:val="300"/>
        </w:trPr>
        <w:tc>
          <w:tcPr>
            <w:tcW w:w="709" w:type="dxa"/>
            <w:vMerge/>
            <w:shd w:val="clear" w:color="auto" w:fill="auto"/>
            <w:vAlign w:val="center"/>
            <w:hideMark/>
          </w:tcPr>
          <w:p w14:paraId="2588C35E" w14:textId="77777777" w:rsidR="005D784C" w:rsidRPr="00445472" w:rsidRDefault="005D784C" w:rsidP="00BB75DE">
            <w:pPr>
              <w:pStyle w:val="TABELA"/>
              <w:rPr>
                <w:lang w:val="sq-AL"/>
              </w:rPr>
            </w:pPr>
          </w:p>
        </w:tc>
        <w:tc>
          <w:tcPr>
            <w:tcW w:w="1920" w:type="dxa"/>
            <w:vMerge/>
            <w:shd w:val="clear" w:color="auto" w:fill="auto"/>
            <w:vAlign w:val="center"/>
            <w:hideMark/>
          </w:tcPr>
          <w:p w14:paraId="0ABBAF17" w14:textId="77777777" w:rsidR="005D784C" w:rsidRPr="00445472" w:rsidRDefault="005D784C" w:rsidP="00BB75DE">
            <w:pPr>
              <w:pStyle w:val="TABELA"/>
              <w:rPr>
                <w:lang w:val="sq-AL"/>
              </w:rPr>
            </w:pPr>
          </w:p>
        </w:tc>
        <w:tc>
          <w:tcPr>
            <w:tcW w:w="1478" w:type="dxa"/>
            <w:shd w:val="clear" w:color="auto" w:fill="auto"/>
            <w:noWrap/>
            <w:vAlign w:val="center"/>
            <w:hideMark/>
          </w:tcPr>
          <w:p w14:paraId="5D38B2D6" w14:textId="77777777" w:rsidR="005D784C" w:rsidRPr="00445472" w:rsidRDefault="005D784C" w:rsidP="00BB75DE">
            <w:pPr>
              <w:pStyle w:val="TABELA"/>
              <w:rPr>
                <w:lang w:val="sq-AL"/>
              </w:rPr>
            </w:pPr>
            <w:r w:rsidRPr="00445472">
              <w:rPr>
                <w:lang w:val="sq-AL"/>
              </w:rPr>
              <w:t>Rragam Vrella Man Rexhës</w:t>
            </w:r>
          </w:p>
        </w:tc>
        <w:tc>
          <w:tcPr>
            <w:tcW w:w="1211" w:type="dxa"/>
            <w:shd w:val="clear" w:color="auto" w:fill="auto"/>
            <w:noWrap/>
            <w:vAlign w:val="center"/>
            <w:hideMark/>
          </w:tcPr>
          <w:p w14:paraId="63319F65"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1BCD5DD" w14:textId="77777777" w:rsidR="005D784C" w:rsidRPr="00445472" w:rsidRDefault="005D784C" w:rsidP="00BB75DE">
            <w:pPr>
              <w:pStyle w:val="TABELA"/>
              <w:rPr>
                <w:lang w:val="sq-AL"/>
              </w:rPr>
            </w:pPr>
            <w:r w:rsidRPr="00445472">
              <w:rPr>
                <w:lang w:val="sq-AL"/>
              </w:rPr>
              <w:t>zhavorr</w:t>
            </w:r>
          </w:p>
        </w:tc>
        <w:tc>
          <w:tcPr>
            <w:tcW w:w="1275" w:type="dxa"/>
            <w:shd w:val="clear" w:color="auto" w:fill="auto"/>
            <w:vAlign w:val="center"/>
            <w:hideMark/>
          </w:tcPr>
          <w:p w14:paraId="44652F8A" w14:textId="77777777" w:rsidR="005D784C" w:rsidRPr="00445472" w:rsidRDefault="005D784C" w:rsidP="00DD45A9">
            <w:pPr>
              <w:pStyle w:val="TABELA"/>
              <w:jc w:val="right"/>
              <w:rPr>
                <w:lang w:val="sq-AL"/>
              </w:rPr>
            </w:pPr>
            <w:r w:rsidRPr="00445472">
              <w:rPr>
                <w:lang w:val="sq-AL"/>
              </w:rPr>
              <w:t>12</w:t>
            </w:r>
          </w:p>
        </w:tc>
        <w:tc>
          <w:tcPr>
            <w:tcW w:w="1276" w:type="dxa"/>
            <w:shd w:val="clear" w:color="auto" w:fill="auto"/>
            <w:vAlign w:val="center"/>
            <w:hideMark/>
          </w:tcPr>
          <w:p w14:paraId="78DD9A12" w14:textId="77777777" w:rsidR="005D784C" w:rsidRPr="00445472" w:rsidRDefault="005D784C" w:rsidP="00DD45A9">
            <w:pPr>
              <w:pStyle w:val="TABELA"/>
              <w:jc w:val="right"/>
              <w:rPr>
                <w:lang w:val="sq-AL"/>
              </w:rPr>
            </w:pPr>
            <w:r w:rsidRPr="00445472">
              <w:rPr>
                <w:lang w:val="sq-AL"/>
              </w:rPr>
              <w:t>460</w:t>
            </w:r>
          </w:p>
        </w:tc>
      </w:tr>
      <w:tr w:rsidR="005D784C" w:rsidRPr="00445472" w14:paraId="6EF38368" w14:textId="77777777" w:rsidTr="00B15A6B">
        <w:trPr>
          <w:trHeight w:val="300"/>
        </w:trPr>
        <w:tc>
          <w:tcPr>
            <w:tcW w:w="709" w:type="dxa"/>
            <w:vMerge/>
            <w:shd w:val="clear" w:color="auto" w:fill="auto"/>
            <w:vAlign w:val="center"/>
            <w:hideMark/>
          </w:tcPr>
          <w:p w14:paraId="2C299110" w14:textId="77777777" w:rsidR="005D784C" w:rsidRPr="00445472" w:rsidRDefault="005D784C" w:rsidP="00BB75DE">
            <w:pPr>
              <w:pStyle w:val="TABELA"/>
              <w:rPr>
                <w:lang w:val="sq-AL"/>
              </w:rPr>
            </w:pPr>
          </w:p>
        </w:tc>
        <w:tc>
          <w:tcPr>
            <w:tcW w:w="1920" w:type="dxa"/>
            <w:vMerge/>
            <w:shd w:val="clear" w:color="auto" w:fill="auto"/>
            <w:vAlign w:val="center"/>
            <w:hideMark/>
          </w:tcPr>
          <w:p w14:paraId="51AEE455" w14:textId="77777777" w:rsidR="005D784C" w:rsidRPr="00445472" w:rsidRDefault="005D784C" w:rsidP="00BB75DE">
            <w:pPr>
              <w:pStyle w:val="TABELA"/>
              <w:rPr>
                <w:lang w:val="sq-AL"/>
              </w:rPr>
            </w:pPr>
          </w:p>
        </w:tc>
        <w:tc>
          <w:tcPr>
            <w:tcW w:w="1478" w:type="dxa"/>
            <w:shd w:val="clear" w:color="auto" w:fill="auto"/>
            <w:noWrap/>
            <w:vAlign w:val="center"/>
            <w:hideMark/>
          </w:tcPr>
          <w:p w14:paraId="3D7A82B2" w14:textId="77777777" w:rsidR="005D784C" w:rsidRPr="00445472" w:rsidRDefault="005D784C" w:rsidP="00BB75DE">
            <w:pPr>
              <w:pStyle w:val="TABELA"/>
              <w:rPr>
                <w:lang w:val="sq-AL"/>
              </w:rPr>
            </w:pPr>
            <w:r w:rsidRPr="00445472">
              <w:rPr>
                <w:lang w:val="sq-AL"/>
              </w:rPr>
              <w:t>Dezdart Vrrella</w:t>
            </w:r>
          </w:p>
        </w:tc>
        <w:tc>
          <w:tcPr>
            <w:tcW w:w="1211" w:type="dxa"/>
            <w:shd w:val="clear" w:color="auto" w:fill="auto"/>
            <w:noWrap/>
            <w:vAlign w:val="center"/>
            <w:hideMark/>
          </w:tcPr>
          <w:p w14:paraId="1FF4BD22" w14:textId="77777777" w:rsidR="005D784C" w:rsidRPr="00445472" w:rsidRDefault="005D784C" w:rsidP="00BB75DE">
            <w:pPr>
              <w:pStyle w:val="TABELA"/>
              <w:rPr>
                <w:lang w:val="sq-AL"/>
              </w:rPr>
            </w:pPr>
            <w:r w:rsidRPr="00445472">
              <w:rPr>
                <w:lang w:val="sq-AL"/>
              </w:rPr>
              <w:t>Burimi</w:t>
            </w:r>
          </w:p>
        </w:tc>
        <w:tc>
          <w:tcPr>
            <w:tcW w:w="1657" w:type="dxa"/>
            <w:shd w:val="clear" w:color="auto" w:fill="auto"/>
            <w:vAlign w:val="center"/>
            <w:hideMark/>
          </w:tcPr>
          <w:p w14:paraId="0B088C5C" w14:textId="77777777" w:rsidR="005D784C" w:rsidRPr="00445472" w:rsidRDefault="005D784C" w:rsidP="00BB75DE">
            <w:pPr>
              <w:pStyle w:val="TABELA"/>
              <w:rPr>
                <w:lang w:val="sq-AL"/>
              </w:rPr>
            </w:pPr>
            <w:r w:rsidRPr="00445472">
              <w:rPr>
                <w:lang w:val="sq-AL"/>
              </w:rPr>
              <w:t>zhavorr/konglomerate</w:t>
            </w:r>
          </w:p>
        </w:tc>
        <w:tc>
          <w:tcPr>
            <w:tcW w:w="1275" w:type="dxa"/>
            <w:shd w:val="clear" w:color="auto" w:fill="auto"/>
            <w:vAlign w:val="center"/>
            <w:hideMark/>
          </w:tcPr>
          <w:p w14:paraId="61FD5214" w14:textId="77777777" w:rsidR="005D784C" w:rsidRPr="00445472" w:rsidRDefault="005D784C" w:rsidP="00DD45A9">
            <w:pPr>
              <w:pStyle w:val="TABELA"/>
              <w:jc w:val="right"/>
              <w:rPr>
                <w:lang w:val="sq-AL"/>
              </w:rPr>
            </w:pPr>
            <w:r w:rsidRPr="00445472">
              <w:rPr>
                <w:lang w:val="sq-AL"/>
              </w:rPr>
              <w:t>15</w:t>
            </w:r>
          </w:p>
        </w:tc>
        <w:tc>
          <w:tcPr>
            <w:tcW w:w="1276" w:type="dxa"/>
            <w:shd w:val="clear" w:color="auto" w:fill="auto"/>
            <w:vAlign w:val="center"/>
            <w:hideMark/>
          </w:tcPr>
          <w:p w14:paraId="4E42ACFF" w14:textId="77777777" w:rsidR="005D784C" w:rsidRPr="00445472" w:rsidRDefault="005D784C" w:rsidP="00DD45A9">
            <w:pPr>
              <w:pStyle w:val="TABELA"/>
              <w:jc w:val="right"/>
              <w:rPr>
                <w:lang w:val="sq-AL"/>
              </w:rPr>
            </w:pPr>
            <w:r w:rsidRPr="00445472">
              <w:rPr>
                <w:lang w:val="sq-AL"/>
              </w:rPr>
              <w:t>1,750</w:t>
            </w:r>
          </w:p>
        </w:tc>
      </w:tr>
      <w:tr w:rsidR="005D784C" w:rsidRPr="00445472" w14:paraId="47532FC5" w14:textId="77777777" w:rsidTr="00B15A6B">
        <w:trPr>
          <w:trHeight w:val="300"/>
        </w:trPr>
        <w:tc>
          <w:tcPr>
            <w:tcW w:w="709" w:type="dxa"/>
            <w:vMerge w:val="restart"/>
            <w:shd w:val="clear" w:color="auto" w:fill="auto"/>
            <w:noWrap/>
            <w:vAlign w:val="center"/>
            <w:hideMark/>
          </w:tcPr>
          <w:p w14:paraId="0F0525A5" w14:textId="77777777" w:rsidR="005D784C" w:rsidRPr="00445472" w:rsidRDefault="005D784C" w:rsidP="00BB75DE">
            <w:pPr>
              <w:pStyle w:val="TABELA"/>
              <w:rPr>
                <w:lang w:val="sq-AL"/>
              </w:rPr>
            </w:pPr>
            <w:r w:rsidRPr="00445472">
              <w:rPr>
                <w:lang w:val="sq-AL"/>
              </w:rPr>
              <w:t>4</w:t>
            </w:r>
          </w:p>
        </w:tc>
        <w:tc>
          <w:tcPr>
            <w:tcW w:w="1920" w:type="dxa"/>
            <w:vMerge w:val="restart"/>
            <w:shd w:val="clear" w:color="auto" w:fill="auto"/>
            <w:noWrap/>
            <w:vAlign w:val="center"/>
            <w:hideMark/>
          </w:tcPr>
          <w:p w14:paraId="5381DDF7" w14:textId="77777777" w:rsidR="005D784C" w:rsidRPr="00445472" w:rsidRDefault="005D784C" w:rsidP="00BB75DE">
            <w:pPr>
              <w:pStyle w:val="TABELA"/>
              <w:rPr>
                <w:lang w:val="sq-AL"/>
              </w:rPr>
            </w:pPr>
            <w:r w:rsidRPr="00445472">
              <w:rPr>
                <w:lang w:val="sq-AL"/>
              </w:rPr>
              <w:t xml:space="preserve">Bashkia Pogradec </w:t>
            </w:r>
          </w:p>
        </w:tc>
        <w:tc>
          <w:tcPr>
            <w:tcW w:w="1478" w:type="dxa"/>
            <w:shd w:val="clear" w:color="auto" w:fill="auto"/>
            <w:noWrap/>
            <w:vAlign w:val="center"/>
            <w:hideMark/>
          </w:tcPr>
          <w:p w14:paraId="382D4152" w14:textId="77777777" w:rsidR="005D784C" w:rsidRPr="00445472" w:rsidRDefault="005D784C" w:rsidP="00BB75DE">
            <w:pPr>
              <w:pStyle w:val="TABELA"/>
              <w:rPr>
                <w:lang w:val="sq-AL"/>
              </w:rPr>
            </w:pPr>
            <w:r w:rsidRPr="00445472">
              <w:rPr>
                <w:lang w:val="sq-AL"/>
              </w:rPr>
              <w:t>Bash Pogradec</w:t>
            </w:r>
          </w:p>
        </w:tc>
        <w:tc>
          <w:tcPr>
            <w:tcW w:w="1211" w:type="dxa"/>
            <w:shd w:val="clear" w:color="auto" w:fill="auto"/>
            <w:noWrap/>
            <w:vAlign w:val="center"/>
            <w:hideMark/>
          </w:tcPr>
          <w:p w14:paraId="3B2FB28B"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2FE14A7A"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70F2E4D6" w14:textId="77777777" w:rsidR="005D784C" w:rsidRPr="00445472" w:rsidRDefault="005D784C" w:rsidP="00DD45A9">
            <w:pPr>
              <w:pStyle w:val="TABELA"/>
              <w:jc w:val="right"/>
              <w:rPr>
                <w:lang w:val="sq-AL"/>
              </w:rPr>
            </w:pPr>
            <w:r w:rsidRPr="00445472">
              <w:rPr>
                <w:lang w:val="sq-AL"/>
              </w:rPr>
              <w:t>60</w:t>
            </w:r>
          </w:p>
        </w:tc>
        <w:tc>
          <w:tcPr>
            <w:tcW w:w="1276" w:type="dxa"/>
            <w:shd w:val="clear" w:color="auto" w:fill="auto"/>
            <w:noWrap/>
            <w:vAlign w:val="center"/>
            <w:hideMark/>
          </w:tcPr>
          <w:p w14:paraId="3141E0A0" w14:textId="77777777" w:rsidR="005D784C" w:rsidRPr="00445472" w:rsidRDefault="005D784C" w:rsidP="00DD45A9">
            <w:pPr>
              <w:pStyle w:val="TABELA"/>
              <w:jc w:val="right"/>
              <w:rPr>
                <w:lang w:val="sq-AL"/>
              </w:rPr>
            </w:pPr>
            <w:r w:rsidRPr="00445472">
              <w:rPr>
                <w:lang w:val="sq-AL"/>
              </w:rPr>
              <w:t>38,873</w:t>
            </w:r>
          </w:p>
        </w:tc>
      </w:tr>
      <w:tr w:rsidR="005D784C" w:rsidRPr="00445472" w14:paraId="260FE64A" w14:textId="77777777" w:rsidTr="00B15A6B">
        <w:trPr>
          <w:trHeight w:val="300"/>
        </w:trPr>
        <w:tc>
          <w:tcPr>
            <w:tcW w:w="709" w:type="dxa"/>
            <w:vMerge/>
            <w:shd w:val="clear" w:color="auto" w:fill="auto"/>
            <w:vAlign w:val="center"/>
            <w:hideMark/>
          </w:tcPr>
          <w:p w14:paraId="5D5C63A5" w14:textId="77777777" w:rsidR="005D784C" w:rsidRPr="00445472" w:rsidRDefault="005D784C" w:rsidP="00BB75DE">
            <w:pPr>
              <w:pStyle w:val="TABELA"/>
              <w:rPr>
                <w:lang w:val="sq-AL"/>
              </w:rPr>
            </w:pPr>
          </w:p>
        </w:tc>
        <w:tc>
          <w:tcPr>
            <w:tcW w:w="1920" w:type="dxa"/>
            <w:vMerge/>
            <w:shd w:val="clear" w:color="auto" w:fill="auto"/>
            <w:vAlign w:val="center"/>
            <w:hideMark/>
          </w:tcPr>
          <w:p w14:paraId="3C678AEE" w14:textId="77777777" w:rsidR="005D784C" w:rsidRPr="00445472" w:rsidRDefault="005D784C" w:rsidP="00BB75DE">
            <w:pPr>
              <w:pStyle w:val="TABELA"/>
              <w:rPr>
                <w:lang w:val="sq-AL"/>
              </w:rPr>
            </w:pPr>
          </w:p>
        </w:tc>
        <w:tc>
          <w:tcPr>
            <w:tcW w:w="1478" w:type="dxa"/>
            <w:shd w:val="clear" w:color="auto" w:fill="auto"/>
            <w:noWrap/>
            <w:vAlign w:val="center"/>
            <w:hideMark/>
          </w:tcPr>
          <w:p w14:paraId="6B49AC11" w14:textId="77777777" w:rsidR="005D784C" w:rsidRPr="00445472" w:rsidRDefault="005D784C" w:rsidP="00BB75DE">
            <w:pPr>
              <w:pStyle w:val="TABELA"/>
              <w:rPr>
                <w:lang w:val="sq-AL"/>
              </w:rPr>
            </w:pPr>
            <w:r w:rsidRPr="00445472">
              <w:rPr>
                <w:lang w:val="sq-AL"/>
              </w:rPr>
              <w:t>Tushemisht</w:t>
            </w:r>
          </w:p>
        </w:tc>
        <w:tc>
          <w:tcPr>
            <w:tcW w:w="1211" w:type="dxa"/>
            <w:shd w:val="clear" w:color="auto" w:fill="auto"/>
            <w:noWrap/>
            <w:vAlign w:val="center"/>
            <w:hideMark/>
          </w:tcPr>
          <w:p w14:paraId="045AFFB1"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320FD1FD"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23F7A297" w14:textId="77777777" w:rsidR="005D784C" w:rsidRPr="00445472" w:rsidRDefault="005D784C" w:rsidP="00DD45A9">
            <w:pPr>
              <w:pStyle w:val="TABELA"/>
              <w:jc w:val="right"/>
              <w:rPr>
                <w:lang w:val="sq-AL"/>
              </w:rPr>
            </w:pPr>
            <w:r w:rsidRPr="00445472">
              <w:rPr>
                <w:lang w:val="sq-AL"/>
              </w:rPr>
              <w:t>3</w:t>
            </w:r>
          </w:p>
        </w:tc>
        <w:tc>
          <w:tcPr>
            <w:tcW w:w="1276" w:type="dxa"/>
            <w:shd w:val="clear" w:color="auto" w:fill="auto"/>
            <w:noWrap/>
            <w:vAlign w:val="center"/>
            <w:hideMark/>
          </w:tcPr>
          <w:p w14:paraId="6E253FDD" w14:textId="77777777" w:rsidR="005D784C" w:rsidRPr="00445472" w:rsidRDefault="005D784C" w:rsidP="00DD45A9">
            <w:pPr>
              <w:pStyle w:val="TABELA"/>
              <w:jc w:val="right"/>
              <w:rPr>
                <w:lang w:val="sq-AL"/>
              </w:rPr>
            </w:pPr>
            <w:r w:rsidRPr="00445472">
              <w:rPr>
                <w:lang w:val="sq-AL"/>
              </w:rPr>
              <w:t>600</w:t>
            </w:r>
          </w:p>
        </w:tc>
      </w:tr>
      <w:tr w:rsidR="005D784C" w:rsidRPr="00445472" w14:paraId="7B1E132A" w14:textId="77777777" w:rsidTr="00B15A6B">
        <w:trPr>
          <w:trHeight w:val="300"/>
        </w:trPr>
        <w:tc>
          <w:tcPr>
            <w:tcW w:w="709" w:type="dxa"/>
            <w:vMerge/>
            <w:shd w:val="clear" w:color="auto" w:fill="auto"/>
            <w:vAlign w:val="center"/>
            <w:hideMark/>
          </w:tcPr>
          <w:p w14:paraId="4B027907" w14:textId="77777777" w:rsidR="005D784C" w:rsidRPr="00445472" w:rsidRDefault="005D784C" w:rsidP="00BB75DE">
            <w:pPr>
              <w:pStyle w:val="TABELA"/>
              <w:rPr>
                <w:lang w:val="sq-AL"/>
              </w:rPr>
            </w:pPr>
          </w:p>
        </w:tc>
        <w:tc>
          <w:tcPr>
            <w:tcW w:w="1920" w:type="dxa"/>
            <w:vMerge/>
            <w:shd w:val="clear" w:color="auto" w:fill="auto"/>
            <w:vAlign w:val="center"/>
            <w:hideMark/>
          </w:tcPr>
          <w:p w14:paraId="38E9DAB5" w14:textId="77777777" w:rsidR="005D784C" w:rsidRPr="00445472" w:rsidRDefault="005D784C" w:rsidP="00BB75DE">
            <w:pPr>
              <w:pStyle w:val="TABELA"/>
              <w:rPr>
                <w:lang w:val="sq-AL"/>
              </w:rPr>
            </w:pPr>
          </w:p>
        </w:tc>
        <w:tc>
          <w:tcPr>
            <w:tcW w:w="1478" w:type="dxa"/>
            <w:shd w:val="clear" w:color="auto" w:fill="auto"/>
            <w:noWrap/>
            <w:vAlign w:val="center"/>
            <w:hideMark/>
          </w:tcPr>
          <w:p w14:paraId="7E78316F" w14:textId="77777777" w:rsidR="005D784C" w:rsidRPr="00445472" w:rsidRDefault="005D784C" w:rsidP="00BB75DE">
            <w:pPr>
              <w:pStyle w:val="TABELA"/>
              <w:rPr>
                <w:lang w:val="sq-AL"/>
              </w:rPr>
            </w:pPr>
            <w:r w:rsidRPr="00445472">
              <w:rPr>
                <w:lang w:val="sq-AL"/>
              </w:rPr>
              <w:t>Buçimas</w:t>
            </w:r>
          </w:p>
        </w:tc>
        <w:tc>
          <w:tcPr>
            <w:tcW w:w="1211" w:type="dxa"/>
            <w:shd w:val="clear" w:color="auto" w:fill="auto"/>
            <w:noWrap/>
            <w:vAlign w:val="center"/>
            <w:hideMark/>
          </w:tcPr>
          <w:p w14:paraId="640D6DCD"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723A42B0"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401D4563" w14:textId="77777777" w:rsidR="005D784C" w:rsidRPr="00445472" w:rsidRDefault="005D784C" w:rsidP="00DD45A9">
            <w:pPr>
              <w:pStyle w:val="TABELA"/>
              <w:jc w:val="right"/>
              <w:rPr>
                <w:lang w:val="sq-AL"/>
              </w:rPr>
            </w:pPr>
            <w:r w:rsidRPr="00445472">
              <w:rPr>
                <w:lang w:val="sq-AL"/>
              </w:rPr>
              <w:t>20</w:t>
            </w:r>
          </w:p>
        </w:tc>
        <w:tc>
          <w:tcPr>
            <w:tcW w:w="1276" w:type="dxa"/>
            <w:shd w:val="clear" w:color="auto" w:fill="auto"/>
            <w:noWrap/>
            <w:vAlign w:val="center"/>
            <w:hideMark/>
          </w:tcPr>
          <w:p w14:paraId="3DFBACB9" w14:textId="77777777" w:rsidR="005D784C" w:rsidRPr="00445472" w:rsidRDefault="005D784C" w:rsidP="00DD45A9">
            <w:pPr>
              <w:pStyle w:val="TABELA"/>
              <w:jc w:val="right"/>
              <w:rPr>
                <w:lang w:val="sq-AL"/>
              </w:rPr>
            </w:pPr>
            <w:r w:rsidRPr="00445472">
              <w:rPr>
                <w:lang w:val="sq-AL"/>
              </w:rPr>
              <w:t>5,800</w:t>
            </w:r>
          </w:p>
        </w:tc>
      </w:tr>
      <w:tr w:rsidR="005D784C" w:rsidRPr="00445472" w14:paraId="1EDA7A02" w14:textId="77777777" w:rsidTr="00B15A6B">
        <w:trPr>
          <w:trHeight w:val="300"/>
        </w:trPr>
        <w:tc>
          <w:tcPr>
            <w:tcW w:w="709" w:type="dxa"/>
            <w:vMerge/>
            <w:shd w:val="clear" w:color="auto" w:fill="auto"/>
            <w:vAlign w:val="center"/>
            <w:hideMark/>
          </w:tcPr>
          <w:p w14:paraId="4BD229EB" w14:textId="77777777" w:rsidR="005D784C" w:rsidRPr="00445472" w:rsidRDefault="005D784C" w:rsidP="00BB75DE">
            <w:pPr>
              <w:pStyle w:val="TABELA"/>
              <w:rPr>
                <w:lang w:val="sq-AL"/>
              </w:rPr>
            </w:pPr>
          </w:p>
        </w:tc>
        <w:tc>
          <w:tcPr>
            <w:tcW w:w="1920" w:type="dxa"/>
            <w:vMerge/>
            <w:shd w:val="clear" w:color="auto" w:fill="auto"/>
            <w:vAlign w:val="center"/>
            <w:hideMark/>
          </w:tcPr>
          <w:p w14:paraId="589EF95B" w14:textId="77777777" w:rsidR="005D784C" w:rsidRPr="00445472" w:rsidRDefault="005D784C" w:rsidP="00BB75DE">
            <w:pPr>
              <w:pStyle w:val="TABELA"/>
              <w:rPr>
                <w:lang w:val="sq-AL"/>
              </w:rPr>
            </w:pPr>
          </w:p>
        </w:tc>
        <w:tc>
          <w:tcPr>
            <w:tcW w:w="1478" w:type="dxa"/>
            <w:shd w:val="clear" w:color="auto" w:fill="auto"/>
            <w:noWrap/>
            <w:vAlign w:val="center"/>
            <w:hideMark/>
          </w:tcPr>
          <w:p w14:paraId="65D101DB" w14:textId="77777777" w:rsidR="005D784C" w:rsidRPr="00445472" w:rsidRDefault="005D784C" w:rsidP="00BB75DE">
            <w:pPr>
              <w:pStyle w:val="TABELA"/>
              <w:rPr>
                <w:lang w:val="sq-AL"/>
              </w:rPr>
            </w:pPr>
            <w:r w:rsidRPr="00445472">
              <w:rPr>
                <w:lang w:val="sq-AL"/>
              </w:rPr>
              <w:t>Rëmenji</w:t>
            </w:r>
          </w:p>
        </w:tc>
        <w:tc>
          <w:tcPr>
            <w:tcW w:w="1211" w:type="dxa"/>
            <w:shd w:val="clear" w:color="auto" w:fill="auto"/>
            <w:noWrap/>
            <w:vAlign w:val="center"/>
            <w:hideMark/>
          </w:tcPr>
          <w:p w14:paraId="1E411AAF"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42A9632C"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774E6047" w14:textId="77777777" w:rsidR="005D784C" w:rsidRPr="00445472" w:rsidRDefault="005D784C" w:rsidP="00DD45A9">
            <w:pPr>
              <w:pStyle w:val="TABELA"/>
              <w:jc w:val="right"/>
              <w:rPr>
                <w:lang w:val="sq-AL"/>
              </w:rPr>
            </w:pPr>
            <w:r w:rsidRPr="00445472">
              <w:rPr>
                <w:lang w:val="sq-AL"/>
              </w:rPr>
              <w:t>3.5</w:t>
            </w:r>
          </w:p>
        </w:tc>
        <w:tc>
          <w:tcPr>
            <w:tcW w:w="1276" w:type="dxa"/>
            <w:shd w:val="clear" w:color="auto" w:fill="auto"/>
            <w:noWrap/>
            <w:vAlign w:val="center"/>
            <w:hideMark/>
          </w:tcPr>
          <w:p w14:paraId="14D08712" w14:textId="77777777" w:rsidR="005D784C" w:rsidRPr="00445472" w:rsidRDefault="005D784C" w:rsidP="00DD45A9">
            <w:pPr>
              <w:pStyle w:val="TABELA"/>
              <w:jc w:val="right"/>
              <w:rPr>
                <w:lang w:val="sq-AL"/>
              </w:rPr>
            </w:pPr>
            <w:r w:rsidRPr="00445472">
              <w:rPr>
                <w:lang w:val="sq-AL"/>
              </w:rPr>
              <w:t>2,580</w:t>
            </w:r>
          </w:p>
        </w:tc>
      </w:tr>
      <w:tr w:rsidR="005D784C" w:rsidRPr="00445472" w14:paraId="5A033FE1" w14:textId="77777777" w:rsidTr="00B15A6B">
        <w:trPr>
          <w:trHeight w:val="300"/>
        </w:trPr>
        <w:tc>
          <w:tcPr>
            <w:tcW w:w="709" w:type="dxa"/>
            <w:vMerge/>
            <w:shd w:val="clear" w:color="auto" w:fill="auto"/>
            <w:vAlign w:val="center"/>
            <w:hideMark/>
          </w:tcPr>
          <w:p w14:paraId="3E87689B" w14:textId="77777777" w:rsidR="005D784C" w:rsidRPr="00445472" w:rsidRDefault="005D784C" w:rsidP="00BB75DE">
            <w:pPr>
              <w:pStyle w:val="TABELA"/>
              <w:rPr>
                <w:lang w:val="sq-AL"/>
              </w:rPr>
            </w:pPr>
          </w:p>
        </w:tc>
        <w:tc>
          <w:tcPr>
            <w:tcW w:w="1920" w:type="dxa"/>
            <w:vMerge/>
            <w:shd w:val="clear" w:color="auto" w:fill="auto"/>
            <w:vAlign w:val="center"/>
            <w:hideMark/>
          </w:tcPr>
          <w:p w14:paraId="6BC4DFE4" w14:textId="77777777" w:rsidR="005D784C" w:rsidRPr="00445472" w:rsidRDefault="005D784C" w:rsidP="00BB75DE">
            <w:pPr>
              <w:pStyle w:val="TABELA"/>
              <w:rPr>
                <w:lang w:val="sq-AL"/>
              </w:rPr>
            </w:pPr>
          </w:p>
        </w:tc>
        <w:tc>
          <w:tcPr>
            <w:tcW w:w="1478" w:type="dxa"/>
            <w:shd w:val="clear" w:color="auto" w:fill="auto"/>
            <w:noWrap/>
            <w:vAlign w:val="center"/>
            <w:hideMark/>
          </w:tcPr>
          <w:p w14:paraId="7ACE2902" w14:textId="77777777" w:rsidR="005D784C" w:rsidRPr="00445472" w:rsidRDefault="005D784C" w:rsidP="00BB75DE">
            <w:pPr>
              <w:pStyle w:val="TABELA"/>
              <w:rPr>
                <w:lang w:val="sq-AL"/>
              </w:rPr>
            </w:pPr>
            <w:r w:rsidRPr="00445472">
              <w:rPr>
                <w:lang w:val="sq-AL"/>
              </w:rPr>
              <w:t>Vërdovë</w:t>
            </w:r>
          </w:p>
        </w:tc>
        <w:tc>
          <w:tcPr>
            <w:tcW w:w="1211" w:type="dxa"/>
            <w:shd w:val="clear" w:color="auto" w:fill="auto"/>
            <w:noWrap/>
            <w:vAlign w:val="center"/>
            <w:hideMark/>
          </w:tcPr>
          <w:p w14:paraId="5208233E"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1D3CE28F"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43CC440B" w14:textId="77777777" w:rsidR="005D784C" w:rsidRPr="00445472" w:rsidRDefault="005D784C" w:rsidP="00DD45A9">
            <w:pPr>
              <w:pStyle w:val="TABELA"/>
              <w:jc w:val="right"/>
              <w:rPr>
                <w:lang w:val="sq-AL"/>
              </w:rPr>
            </w:pPr>
            <w:r w:rsidRPr="00445472">
              <w:rPr>
                <w:lang w:val="sq-AL"/>
              </w:rPr>
              <w:t>7</w:t>
            </w:r>
          </w:p>
        </w:tc>
        <w:tc>
          <w:tcPr>
            <w:tcW w:w="1276" w:type="dxa"/>
            <w:shd w:val="clear" w:color="auto" w:fill="auto"/>
            <w:noWrap/>
            <w:vAlign w:val="center"/>
            <w:hideMark/>
          </w:tcPr>
          <w:p w14:paraId="0E5B2766" w14:textId="77777777" w:rsidR="005D784C" w:rsidRPr="00445472" w:rsidRDefault="005D784C" w:rsidP="00DD45A9">
            <w:pPr>
              <w:pStyle w:val="TABELA"/>
              <w:jc w:val="right"/>
              <w:rPr>
                <w:lang w:val="sq-AL"/>
              </w:rPr>
            </w:pPr>
            <w:r w:rsidRPr="00445472">
              <w:rPr>
                <w:lang w:val="sq-AL"/>
              </w:rPr>
              <w:t>3,850</w:t>
            </w:r>
          </w:p>
        </w:tc>
      </w:tr>
      <w:tr w:rsidR="005D784C" w:rsidRPr="00445472" w14:paraId="5E39F49E" w14:textId="77777777" w:rsidTr="00B15A6B">
        <w:trPr>
          <w:trHeight w:val="300"/>
        </w:trPr>
        <w:tc>
          <w:tcPr>
            <w:tcW w:w="709" w:type="dxa"/>
            <w:vMerge/>
            <w:shd w:val="clear" w:color="auto" w:fill="auto"/>
            <w:vAlign w:val="center"/>
            <w:hideMark/>
          </w:tcPr>
          <w:p w14:paraId="49B6940C" w14:textId="77777777" w:rsidR="005D784C" w:rsidRPr="00445472" w:rsidRDefault="005D784C" w:rsidP="00BB75DE">
            <w:pPr>
              <w:pStyle w:val="TABELA"/>
              <w:rPr>
                <w:lang w:val="sq-AL"/>
              </w:rPr>
            </w:pPr>
          </w:p>
        </w:tc>
        <w:tc>
          <w:tcPr>
            <w:tcW w:w="1920" w:type="dxa"/>
            <w:vMerge/>
            <w:shd w:val="clear" w:color="auto" w:fill="auto"/>
            <w:vAlign w:val="center"/>
            <w:hideMark/>
          </w:tcPr>
          <w:p w14:paraId="7C5A6D1E" w14:textId="77777777" w:rsidR="005D784C" w:rsidRPr="00445472" w:rsidRDefault="005D784C" w:rsidP="00BB75DE">
            <w:pPr>
              <w:pStyle w:val="TABELA"/>
              <w:rPr>
                <w:lang w:val="sq-AL"/>
              </w:rPr>
            </w:pPr>
          </w:p>
        </w:tc>
        <w:tc>
          <w:tcPr>
            <w:tcW w:w="1478" w:type="dxa"/>
            <w:shd w:val="clear" w:color="auto" w:fill="auto"/>
            <w:noWrap/>
            <w:vAlign w:val="center"/>
            <w:hideMark/>
          </w:tcPr>
          <w:p w14:paraId="34191328" w14:textId="77777777" w:rsidR="005D784C" w:rsidRPr="00445472" w:rsidRDefault="005D784C" w:rsidP="00BB75DE">
            <w:pPr>
              <w:pStyle w:val="TABELA"/>
              <w:rPr>
                <w:lang w:val="sq-AL"/>
              </w:rPr>
            </w:pPr>
            <w:r w:rsidRPr="00445472">
              <w:rPr>
                <w:lang w:val="sq-AL"/>
              </w:rPr>
              <w:t>Guras</w:t>
            </w:r>
          </w:p>
        </w:tc>
        <w:tc>
          <w:tcPr>
            <w:tcW w:w="1211" w:type="dxa"/>
            <w:shd w:val="clear" w:color="auto" w:fill="auto"/>
            <w:noWrap/>
            <w:vAlign w:val="center"/>
            <w:hideMark/>
          </w:tcPr>
          <w:p w14:paraId="4100B7BA"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3953E60"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1F86C09E" w14:textId="77777777" w:rsidR="005D784C" w:rsidRPr="00445472" w:rsidRDefault="005D784C" w:rsidP="00DD45A9">
            <w:pPr>
              <w:pStyle w:val="TABELA"/>
              <w:jc w:val="right"/>
              <w:rPr>
                <w:lang w:val="sq-AL"/>
              </w:rPr>
            </w:pPr>
            <w:r w:rsidRPr="00445472">
              <w:rPr>
                <w:lang w:val="sq-AL"/>
              </w:rPr>
              <w:t>12</w:t>
            </w:r>
          </w:p>
        </w:tc>
        <w:tc>
          <w:tcPr>
            <w:tcW w:w="1276" w:type="dxa"/>
            <w:shd w:val="clear" w:color="auto" w:fill="auto"/>
            <w:noWrap/>
            <w:vAlign w:val="center"/>
            <w:hideMark/>
          </w:tcPr>
          <w:p w14:paraId="0F983BC7" w14:textId="77777777" w:rsidR="005D784C" w:rsidRPr="00445472" w:rsidRDefault="005D784C" w:rsidP="00DD45A9">
            <w:pPr>
              <w:pStyle w:val="TABELA"/>
              <w:jc w:val="right"/>
              <w:rPr>
                <w:lang w:val="sq-AL"/>
              </w:rPr>
            </w:pPr>
            <w:r w:rsidRPr="00445472">
              <w:rPr>
                <w:lang w:val="sq-AL"/>
              </w:rPr>
              <w:t>1,890</w:t>
            </w:r>
          </w:p>
        </w:tc>
      </w:tr>
      <w:tr w:rsidR="005D784C" w:rsidRPr="00445472" w14:paraId="222D63A2" w14:textId="77777777" w:rsidTr="00B15A6B">
        <w:trPr>
          <w:trHeight w:val="300"/>
        </w:trPr>
        <w:tc>
          <w:tcPr>
            <w:tcW w:w="709" w:type="dxa"/>
            <w:vMerge/>
            <w:shd w:val="clear" w:color="auto" w:fill="auto"/>
            <w:vAlign w:val="center"/>
            <w:hideMark/>
          </w:tcPr>
          <w:p w14:paraId="706A3B7F" w14:textId="77777777" w:rsidR="005D784C" w:rsidRPr="00445472" w:rsidRDefault="005D784C" w:rsidP="00BB75DE">
            <w:pPr>
              <w:pStyle w:val="TABELA"/>
              <w:rPr>
                <w:lang w:val="sq-AL"/>
              </w:rPr>
            </w:pPr>
          </w:p>
        </w:tc>
        <w:tc>
          <w:tcPr>
            <w:tcW w:w="1920" w:type="dxa"/>
            <w:vMerge/>
            <w:shd w:val="clear" w:color="auto" w:fill="auto"/>
            <w:vAlign w:val="center"/>
            <w:hideMark/>
          </w:tcPr>
          <w:p w14:paraId="367958C5" w14:textId="77777777" w:rsidR="005D784C" w:rsidRPr="00445472" w:rsidRDefault="005D784C" w:rsidP="00BB75DE">
            <w:pPr>
              <w:pStyle w:val="TABELA"/>
              <w:rPr>
                <w:lang w:val="sq-AL"/>
              </w:rPr>
            </w:pPr>
          </w:p>
        </w:tc>
        <w:tc>
          <w:tcPr>
            <w:tcW w:w="1478" w:type="dxa"/>
            <w:shd w:val="clear" w:color="auto" w:fill="auto"/>
            <w:noWrap/>
            <w:vAlign w:val="center"/>
            <w:hideMark/>
          </w:tcPr>
          <w:p w14:paraId="684F4B1D" w14:textId="77777777" w:rsidR="005D784C" w:rsidRPr="00445472" w:rsidRDefault="005D784C" w:rsidP="00BB75DE">
            <w:pPr>
              <w:pStyle w:val="TABELA"/>
              <w:rPr>
                <w:lang w:val="sq-AL"/>
              </w:rPr>
            </w:pPr>
            <w:r w:rsidRPr="00445472">
              <w:rPr>
                <w:lang w:val="sq-AL"/>
              </w:rPr>
              <w:t>Gështenjas</w:t>
            </w:r>
          </w:p>
        </w:tc>
        <w:tc>
          <w:tcPr>
            <w:tcW w:w="1211" w:type="dxa"/>
            <w:shd w:val="clear" w:color="auto" w:fill="auto"/>
            <w:noWrap/>
            <w:vAlign w:val="center"/>
            <w:hideMark/>
          </w:tcPr>
          <w:p w14:paraId="450197AA"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9241F76"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29D7CF61" w14:textId="77777777" w:rsidR="005D784C" w:rsidRPr="00445472" w:rsidRDefault="005D784C" w:rsidP="00DD45A9">
            <w:pPr>
              <w:pStyle w:val="TABELA"/>
              <w:jc w:val="right"/>
              <w:rPr>
                <w:lang w:val="sq-AL"/>
              </w:rPr>
            </w:pPr>
            <w:r w:rsidRPr="00445472">
              <w:rPr>
                <w:lang w:val="sq-AL"/>
              </w:rPr>
              <w:t>8</w:t>
            </w:r>
          </w:p>
        </w:tc>
        <w:tc>
          <w:tcPr>
            <w:tcW w:w="1276" w:type="dxa"/>
            <w:shd w:val="clear" w:color="auto" w:fill="auto"/>
            <w:noWrap/>
            <w:vAlign w:val="center"/>
            <w:hideMark/>
          </w:tcPr>
          <w:p w14:paraId="573B8A16" w14:textId="77777777" w:rsidR="005D784C" w:rsidRPr="00445472" w:rsidRDefault="005D784C" w:rsidP="00DD45A9">
            <w:pPr>
              <w:pStyle w:val="TABELA"/>
              <w:jc w:val="right"/>
              <w:rPr>
                <w:lang w:val="sq-AL"/>
              </w:rPr>
            </w:pPr>
            <w:r w:rsidRPr="00445472">
              <w:rPr>
                <w:lang w:val="sq-AL"/>
              </w:rPr>
              <w:t>3,100</w:t>
            </w:r>
          </w:p>
        </w:tc>
      </w:tr>
      <w:tr w:rsidR="005D784C" w:rsidRPr="00445472" w14:paraId="33CEB060" w14:textId="77777777" w:rsidTr="00B15A6B">
        <w:trPr>
          <w:trHeight w:val="300"/>
        </w:trPr>
        <w:tc>
          <w:tcPr>
            <w:tcW w:w="709" w:type="dxa"/>
            <w:vMerge/>
            <w:shd w:val="clear" w:color="auto" w:fill="auto"/>
            <w:vAlign w:val="center"/>
            <w:hideMark/>
          </w:tcPr>
          <w:p w14:paraId="4253F812" w14:textId="77777777" w:rsidR="005D784C" w:rsidRPr="00445472" w:rsidRDefault="005D784C" w:rsidP="00BB75DE">
            <w:pPr>
              <w:pStyle w:val="TABELA"/>
              <w:rPr>
                <w:lang w:val="sq-AL"/>
              </w:rPr>
            </w:pPr>
          </w:p>
        </w:tc>
        <w:tc>
          <w:tcPr>
            <w:tcW w:w="1920" w:type="dxa"/>
            <w:vMerge/>
            <w:shd w:val="clear" w:color="auto" w:fill="auto"/>
            <w:vAlign w:val="center"/>
            <w:hideMark/>
          </w:tcPr>
          <w:p w14:paraId="2A60A98D" w14:textId="77777777" w:rsidR="005D784C" w:rsidRPr="00445472" w:rsidRDefault="005D784C" w:rsidP="00BB75DE">
            <w:pPr>
              <w:pStyle w:val="TABELA"/>
              <w:rPr>
                <w:lang w:val="sq-AL"/>
              </w:rPr>
            </w:pPr>
          </w:p>
        </w:tc>
        <w:tc>
          <w:tcPr>
            <w:tcW w:w="1478" w:type="dxa"/>
            <w:shd w:val="clear" w:color="auto" w:fill="auto"/>
            <w:noWrap/>
            <w:vAlign w:val="center"/>
            <w:hideMark/>
          </w:tcPr>
          <w:p w14:paraId="595545FC" w14:textId="77777777" w:rsidR="005D784C" w:rsidRPr="00445472" w:rsidRDefault="005D784C" w:rsidP="00BB75DE">
            <w:pPr>
              <w:pStyle w:val="TABELA"/>
              <w:rPr>
                <w:lang w:val="sq-AL"/>
              </w:rPr>
            </w:pPr>
            <w:r w:rsidRPr="00445472">
              <w:rPr>
                <w:lang w:val="sq-AL"/>
              </w:rPr>
              <w:t>Baçallëk</w:t>
            </w:r>
          </w:p>
        </w:tc>
        <w:tc>
          <w:tcPr>
            <w:tcW w:w="1211" w:type="dxa"/>
            <w:shd w:val="clear" w:color="auto" w:fill="auto"/>
            <w:noWrap/>
            <w:vAlign w:val="center"/>
            <w:hideMark/>
          </w:tcPr>
          <w:p w14:paraId="376AC47E"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1600D77D"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3957955A" w14:textId="77777777" w:rsidR="005D784C" w:rsidRPr="00445472" w:rsidRDefault="005D784C" w:rsidP="00DD45A9">
            <w:pPr>
              <w:pStyle w:val="TABELA"/>
              <w:jc w:val="right"/>
              <w:rPr>
                <w:lang w:val="sq-AL"/>
              </w:rPr>
            </w:pPr>
            <w:r w:rsidRPr="00445472">
              <w:rPr>
                <w:lang w:val="sq-AL"/>
              </w:rPr>
              <w:t>2</w:t>
            </w:r>
          </w:p>
        </w:tc>
        <w:tc>
          <w:tcPr>
            <w:tcW w:w="1276" w:type="dxa"/>
            <w:shd w:val="clear" w:color="auto" w:fill="auto"/>
            <w:noWrap/>
            <w:vAlign w:val="center"/>
            <w:hideMark/>
          </w:tcPr>
          <w:p w14:paraId="70096759" w14:textId="77777777" w:rsidR="005D784C" w:rsidRPr="00445472" w:rsidRDefault="005D784C" w:rsidP="00DD45A9">
            <w:pPr>
              <w:pStyle w:val="TABELA"/>
              <w:jc w:val="right"/>
              <w:rPr>
                <w:lang w:val="sq-AL"/>
              </w:rPr>
            </w:pPr>
            <w:r w:rsidRPr="00445472">
              <w:rPr>
                <w:lang w:val="sq-AL"/>
              </w:rPr>
              <w:t>420</w:t>
            </w:r>
          </w:p>
        </w:tc>
      </w:tr>
      <w:tr w:rsidR="005D784C" w:rsidRPr="00445472" w14:paraId="24775607" w14:textId="77777777" w:rsidTr="00B15A6B">
        <w:trPr>
          <w:trHeight w:val="300"/>
        </w:trPr>
        <w:tc>
          <w:tcPr>
            <w:tcW w:w="709" w:type="dxa"/>
            <w:vMerge w:val="restart"/>
            <w:shd w:val="clear" w:color="auto" w:fill="auto"/>
            <w:noWrap/>
            <w:vAlign w:val="center"/>
            <w:hideMark/>
          </w:tcPr>
          <w:p w14:paraId="1B513436" w14:textId="77777777" w:rsidR="005D784C" w:rsidRPr="00445472" w:rsidRDefault="005D784C" w:rsidP="00BB75DE">
            <w:pPr>
              <w:pStyle w:val="TABELA"/>
              <w:rPr>
                <w:lang w:val="sq-AL"/>
              </w:rPr>
            </w:pPr>
            <w:r w:rsidRPr="00445472">
              <w:rPr>
                <w:lang w:val="sq-AL"/>
              </w:rPr>
              <w:t>5</w:t>
            </w:r>
          </w:p>
        </w:tc>
        <w:tc>
          <w:tcPr>
            <w:tcW w:w="1920" w:type="dxa"/>
            <w:vMerge w:val="restart"/>
            <w:shd w:val="clear" w:color="auto" w:fill="auto"/>
            <w:noWrap/>
            <w:vAlign w:val="center"/>
            <w:hideMark/>
          </w:tcPr>
          <w:p w14:paraId="154CAD39" w14:textId="77777777" w:rsidR="005D784C" w:rsidRPr="00445472" w:rsidRDefault="005D784C" w:rsidP="00BB75DE">
            <w:pPr>
              <w:pStyle w:val="TABELA"/>
              <w:rPr>
                <w:lang w:val="sq-AL"/>
              </w:rPr>
            </w:pPr>
            <w:r w:rsidRPr="00445472">
              <w:rPr>
                <w:lang w:val="sq-AL"/>
              </w:rPr>
              <w:t>Furnizimi me ujë Shkodër</w:t>
            </w:r>
          </w:p>
        </w:tc>
        <w:tc>
          <w:tcPr>
            <w:tcW w:w="1478" w:type="dxa"/>
            <w:shd w:val="clear" w:color="auto" w:fill="auto"/>
            <w:noWrap/>
            <w:vAlign w:val="center"/>
            <w:hideMark/>
          </w:tcPr>
          <w:p w14:paraId="399E20A0" w14:textId="77777777" w:rsidR="005D784C" w:rsidRPr="00445472" w:rsidRDefault="005D784C" w:rsidP="00BB75DE">
            <w:pPr>
              <w:pStyle w:val="TABELA"/>
              <w:rPr>
                <w:lang w:val="sq-AL"/>
              </w:rPr>
            </w:pPr>
            <w:r w:rsidRPr="00445472">
              <w:rPr>
                <w:lang w:val="sq-AL"/>
              </w:rPr>
              <w:t>Bashk.  Shkodër Dobraç</w:t>
            </w:r>
          </w:p>
        </w:tc>
        <w:tc>
          <w:tcPr>
            <w:tcW w:w="1211" w:type="dxa"/>
            <w:shd w:val="clear" w:color="auto" w:fill="auto"/>
            <w:vAlign w:val="center"/>
            <w:hideMark/>
          </w:tcPr>
          <w:p w14:paraId="02566775"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47CB9200" w14:textId="77777777" w:rsidR="005D784C" w:rsidRPr="00445472" w:rsidRDefault="005D784C" w:rsidP="00BB75DE">
            <w:pPr>
              <w:pStyle w:val="TABELA"/>
              <w:rPr>
                <w:lang w:val="sq-AL"/>
              </w:rPr>
            </w:pPr>
            <w:r w:rsidRPr="00445472">
              <w:rPr>
                <w:lang w:val="sq-AL"/>
              </w:rPr>
              <w:t>zhavorr</w:t>
            </w:r>
          </w:p>
        </w:tc>
        <w:tc>
          <w:tcPr>
            <w:tcW w:w="1275" w:type="dxa"/>
            <w:shd w:val="clear" w:color="auto" w:fill="auto"/>
            <w:vAlign w:val="center"/>
            <w:hideMark/>
          </w:tcPr>
          <w:p w14:paraId="67ACE111" w14:textId="77777777" w:rsidR="005D784C" w:rsidRPr="00445472" w:rsidRDefault="005D784C" w:rsidP="00DD45A9">
            <w:pPr>
              <w:pStyle w:val="TABELA"/>
              <w:jc w:val="right"/>
              <w:rPr>
                <w:lang w:val="sq-AL"/>
              </w:rPr>
            </w:pPr>
            <w:r w:rsidRPr="00445472">
              <w:rPr>
                <w:lang w:val="sq-AL"/>
              </w:rPr>
              <w:t>920</w:t>
            </w:r>
          </w:p>
        </w:tc>
        <w:tc>
          <w:tcPr>
            <w:tcW w:w="1276" w:type="dxa"/>
            <w:shd w:val="clear" w:color="auto" w:fill="auto"/>
            <w:vAlign w:val="center"/>
            <w:hideMark/>
          </w:tcPr>
          <w:p w14:paraId="6E433C90" w14:textId="77777777" w:rsidR="005D784C" w:rsidRPr="00445472" w:rsidRDefault="005D784C" w:rsidP="00DD45A9">
            <w:pPr>
              <w:pStyle w:val="TABELA"/>
              <w:jc w:val="right"/>
              <w:rPr>
                <w:lang w:val="sq-AL"/>
              </w:rPr>
            </w:pPr>
            <w:r w:rsidRPr="00445472">
              <w:rPr>
                <w:lang w:val="sq-AL"/>
              </w:rPr>
              <w:t>117,432</w:t>
            </w:r>
          </w:p>
        </w:tc>
      </w:tr>
      <w:tr w:rsidR="005D784C" w:rsidRPr="00445472" w14:paraId="18B3D8AB" w14:textId="77777777" w:rsidTr="00B15A6B">
        <w:trPr>
          <w:trHeight w:val="300"/>
        </w:trPr>
        <w:tc>
          <w:tcPr>
            <w:tcW w:w="709" w:type="dxa"/>
            <w:vMerge/>
            <w:shd w:val="clear" w:color="auto" w:fill="auto"/>
            <w:vAlign w:val="center"/>
            <w:hideMark/>
          </w:tcPr>
          <w:p w14:paraId="112C0BCF" w14:textId="77777777" w:rsidR="005D784C" w:rsidRPr="00445472" w:rsidRDefault="005D784C" w:rsidP="00BB75DE">
            <w:pPr>
              <w:pStyle w:val="TABELA"/>
              <w:rPr>
                <w:lang w:val="sq-AL"/>
              </w:rPr>
            </w:pPr>
          </w:p>
        </w:tc>
        <w:tc>
          <w:tcPr>
            <w:tcW w:w="1920" w:type="dxa"/>
            <w:vMerge/>
            <w:shd w:val="clear" w:color="auto" w:fill="auto"/>
            <w:vAlign w:val="center"/>
            <w:hideMark/>
          </w:tcPr>
          <w:p w14:paraId="61CDBFB1" w14:textId="77777777" w:rsidR="005D784C" w:rsidRPr="00445472" w:rsidRDefault="005D784C" w:rsidP="00BB75DE">
            <w:pPr>
              <w:pStyle w:val="TABELA"/>
              <w:rPr>
                <w:lang w:val="sq-AL"/>
              </w:rPr>
            </w:pPr>
          </w:p>
        </w:tc>
        <w:tc>
          <w:tcPr>
            <w:tcW w:w="1478" w:type="dxa"/>
            <w:shd w:val="clear" w:color="auto" w:fill="auto"/>
            <w:noWrap/>
            <w:vAlign w:val="center"/>
            <w:hideMark/>
          </w:tcPr>
          <w:p w14:paraId="2D3FCBAF" w14:textId="77777777" w:rsidR="005D784C" w:rsidRPr="00445472" w:rsidRDefault="005D784C" w:rsidP="00BB75DE">
            <w:pPr>
              <w:pStyle w:val="TABELA"/>
              <w:rPr>
                <w:lang w:val="sq-AL"/>
              </w:rPr>
            </w:pPr>
            <w:r w:rsidRPr="00445472">
              <w:rPr>
                <w:lang w:val="sq-AL"/>
              </w:rPr>
              <w:t>Rrjolli Koplik grup burimesh</w:t>
            </w:r>
          </w:p>
        </w:tc>
        <w:tc>
          <w:tcPr>
            <w:tcW w:w="1211" w:type="dxa"/>
            <w:shd w:val="clear" w:color="auto" w:fill="auto"/>
            <w:noWrap/>
            <w:vAlign w:val="center"/>
            <w:hideMark/>
          </w:tcPr>
          <w:p w14:paraId="0375BF03"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72D7FAD"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vAlign w:val="center"/>
            <w:hideMark/>
          </w:tcPr>
          <w:p w14:paraId="0787E26C" w14:textId="77777777" w:rsidR="005D784C" w:rsidRPr="00445472" w:rsidRDefault="005D784C" w:rsidP="00DD45A9">
            <w:pPr>
              <w:pStyle w:val="TABELA"/>
              <w:jc w:val="right"/>
              <w:rPr>
                <w:lang w:val="sq-AL"/>
              </w:rPr>
            </w:pPr>
            <w:r w:rsidRPr="00445472">
              <w:rPr>
                <w:lang w:val="sq-AL"/>
              </w:rPr>
              <w:t>150</w:t>
            </w:r>
          </w:p>
        </w:tc>
        <w:tc>
          <w:tcPr>
            <w:tcW w:w="1276" w:type="dxa"/>
            <w:shd w:val="clear" w:color="auto" w:fill="auto"/>
            <w:vAlign w:val="center"/>
            <w:hideMark/>
          </w:tcPr>
          <w:p w14:paraId="03060328" w14:textId="77777777" w:rsidR="005D784C" w:rsidRPr="00445472" w:rsidRDefault="005D784C" w:rsidP="00DD45A9">
            <w:pPr>
              <w:pStyle w:val="TABELA"/>
              <w:jc w:val="right"/>
              <w:rPr>
                <w:lang w:val="sq-AL"/>
              </w:rPr>
            </w:pPr>
          </w:p>
        </w:tc>
      </w:tr>
      <w:tr w:rsidR="005D784C" w:rsidRPr="00445472" w14:paraId="3F60F0A6" w14:textId="77777777" w:rsidTr="00B15A6B">
        <w:trPr>
          <w:trHeight w:val="300"/>
        </w:trPr>
        <w:tc>
          <w:tcPr>
            <w:tcW w:w="709" w:type="dxa"/>
            <w:vMerge w:val="restart"/>
            <w:shd w:val="clear" w:color="auto" w:fill="auto"/>
            <w:noWrap/>
            <w:vAlign w:val="center"/>
            <w:hideMark/>
          </w:tcPr>
          <w:p w14:paraId="468BE85F" w14:textId="77777777" w:rsidR="005D784C" w:rsidRPr="00445472" w:rsidRDefault="005D784C" w:rsidP="00BB75DE">
            <w:pPr>
              <w:pStyle w:val="TABELA"/>
              <w:rPr>
                <w:lang w:val="sq-AL"/>
              </w:rPr>
            </w:pPr>
            <w:r w:rsidRPr="00445472">
              <w:rPr>
                <w:lang w:val="sq-AL"/>
              </w:rPr>
              <w:t>6</w:t>
            </w:r>
          </w:p>
        </w:tc>
        <w:tc>
          <w:tcPr>
            <w:tcW w:w="1920" w:type="dxa"/>
            <w:vMerge w:val="restart"/>
            <w:shd w:val="clear" w:color="auto" w:fill="auto"/>
            <w:noWrap/>
            <w:vAlign w:val="center"/>
            <w:hideMark/>
          </w:tcPr>
          <w:p w14:paraId="005E639A" w14:textId="77777777" w:rsidR="005D784C" w:rsidRPr="00445472" w:rsidRDefault="005D784C" w:rsidP="00BB75DE">
            <w:pPr>
              <w:pStyle w:val="TABELA"/>
              <w:rPr>
                <w:lang w:val="sq-AL"/>
              </w:rPr>
            </w:pPr>
            <w:r w:rsidRPr="00445472">
              <w:rPr>
                <w:lang w:val="sq-AL"/>
              </w:rPr>
              <w:t xml:space="preserve">Furnizimi me ujë fshati Pukë </w:t>
            </w:r>
          </w:p>
        </w:tc>
        <w:tc>
          <w:tcPr>
            <w:tcW w:w="1478" w:type="dxa"/>
            <w:shd w:val="clear" w:color="auto" w:fill="auto"/>
            <w:noWrap/>
            <w:vAlign w:val="center"/>
            <w:hideMark/>
          </w:tcPr>
          <w:p w14:paraId="401FAB51" w14:textId="26C438EB" w:rsidR="005D784C" w:rsidRPr="00445472" w:rsidRDefault="005D784C" w:rsidP="00BB75DE">
            <w:pPr>
              <w:pStyle w:val="TABELA"/>
              <w:rPr>
                <w:lang w:val="sq-AL"/>
              </w:rPr>
            </w:pPr>
            <w:r w:rsidRPr="00445472">
              <w:rPr>
                <w:lang w:val="sq-AL"/>
              </w:rPr>
              <w:t>Burimi nr.</w:t>
            </w:r>
            <w:r w:rsidR="00DD45A9" w:rsidRPr="00445472">
              <w:rPr>
                <w:lang w:val="sq-AL"/>
              </w:rPr>
              <w:t xml:space="preserve"> </w:t>
            </w:r>
            <w:r w:rsidRPr="00445472">
              <w:rPr>
                <w:lang w:val="sq-AL"/>
              </w:rPr>
              <w:t>1</w:t>
            </w:r>
          </w:p>
        </w:tc>
        <w:tc>
          <w:tcPr>
            <w:tcW w:w="1211" w:type="dxa"/>
            <w:shd w:val="clear" w:color="auto" w:fill="auto"/>
            <w:noWrap/>
            <w:vAlign w:val="center"/>
            <w:hideMark/>
          </w:tcPr>
          <w:p w14:paraId="19FC07E3"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74C75FEF" w14:textId="77777777" w:rsidR="005D784C" w:rsidRPr="00445472" w:rsidRDefault="005D784C" w:rsidP="00BB75DE">
            <w:pPr>
              <w:pStyle w:val="TABELA"/>
              <w:rPr>
                <w:lang w:val="sq-AL"/>
              </w:rPr>
            </w:pPr>
          </w:p>
        </w:tc>
        <w:tc>
          <w:tcPr>
            <w:tcW w:w="1275" w:type="dxa"/>
            <w:shd w:val="clear" w:color="auto" w:fill="auto"/>
            <w:noWrap/>
            <w:vAlign w:val="center"/>
            <w:hideMark/>
          </w:tcPr>
          <w:p w14:paraId="1FB8572D" w14:textId="77777777" w:rsidR="005D784C" w:rsidRPr="00445472" w:rsidRDefault="005D784C" w:rsidP="00DD45A9">
            <w:pPr>
              <w:pStyle w:val="TABELA"/>
              <w:jc w:val="right"/>
              <w:rPr>
                <w:lang w:val="sq-AL"/>
              </w:rPr>
            </w:pPr>
            <w:r w:rsidRPr="00445472">
              <w:rPr>
                <w:lang w:val="sq-AL"/>
              </w:rPr>
              <w:t>1.5</w:t>
            </w:r>
          </w:p>
        </w:tc>
        <w:tc>
          <w:tcPr>
            <w:tcW w:w="1276" w:type="dxa"/>
            <w:shd w:val="clear" w:color="auto" w:fill="auto"/>
            <w:noWrap/>
            <w:vAlign w:val="center"/>
            <w:hideMark/>
          </w:tcPr>
          <w:p w14:paraId="7DF51CDB" w14:textId="77777777" w:rsidR="005D784C" w:rsidRPr="00445472" w:rsidRDefault="005D784C" w:rsidP="00DD45A9">
            <w:pPr>
              <w:pStyle w:val="TABELA"/>
              <w:jc w:val="right"/>
              <w:rPr>
                <w:lang w:val="sq-AL"/>
              </w:rPr>
            </w:pPr>
          </w:p>
        </w:tc>
      </w:tr>
      <w:tr w:rsidR="005D784C" w:rsidRPr="00445472" w14:paraId="5511A4CF" w14:textId="77777777" w:rsidTr="00B15A6B">
        <w:trPr>
          <w:trHeight w:val="300"/>
        </w:trPr>
        <w:tc>
          <w:tcPr>
            <w:tcW w:w="709" w:type="dxa"/>
            <w:vMerge/>
            <w:shd w:val="clear" w:color="auto" w:fill="auto"/>
            <w:vAlign w:val="center"/>
            <w:hideMark/>
          </w:tcPr>
          <w:p w14:paraId="04FCEA26" w14:textId="77777777" w:rsidR="005D784C" w:rsidRPr="00445472" w:rsidRDefault="005D784C" w:rsidP="00BB75DE">
            <w:pPr>
              <w:pStyle w:val="TABELA"/>
              <w:rPr>
                <w:lang w:val="sq-AL"/>
              </w:rPr>
            </w:pPr>
          </w:p>
        </w:tc>
        <w:tc>
          <w:tcPr>
            <w:tcW w:w="1920" w:type="dxa"/>
            <w:vMerge/>
            <w:shd w:val="clear" w:color="auto" w:fill="auto"/>
            <w:vAlign w:val="center"/>
            <w:hideMark/>
          </w:tcPr>
          <w:p w14:paraId="75AF5F1C" w14:textId="77777777" w:rsidR="005D784C" w:rsidRPr="00445472" w:rsidRDefault="005D784C" w:rsidP="00BB75DE">
            <w:pPr>
              <w:pStyle w:val="TABELA"/>
              <w:rPr>
                <w:lang w:val="sq-AL"/>
              </w:rPr>
            </w:pPr>
          </w:p>
        </w:tc>
        <w:tc>
          <w:tcPr>
            <w:tcW w:w="1478" w:type="dxa"/>
            <w:shd w:val="clear" w:color="auto" w:fill="auto"/>
            <w:vAlign w:val="center"/>
            <w:hideMark/>
          </w:tcPr>
          <w:p w14:paraId="63E0B4EC" w14:textId="50C8683C" w:rsidR="005D784C" w:rsidRPr="00445472" w:rsidRDefault="005D784C" w:rsidP="00BB75DE">
            <w:pPr>
              <w:pStyle w:val="TABELA"/>
              <w:rPr>
                <w:lang w:val="sq-AL"/>
              </w:rPr>
            </w:pPr>
            <w:r w:rsidRPr="00445472">
              <w:rPr>
                <w:lang w:val="sq-AL"/>
              </w:rPr>
              <w:t>Burimi nr.</w:t>
            </w:r>
            <w:r w:rsidR="00DD45A9" w:rsidRPr="00445472">
              <w:rPr>
                <w:lang w:val="sq-AL"/>
              </w:rPr>
              <w:t xml:space="preserve"> </w:t>
            </w:r>
            <w:r w:rsidRPr="00445472">
              <w:rPr>
                <w:lang w:val="sq-AL"/>
              </w:rPr>
              <w:t xml:space="preserve">2, komuna Qerret Luf </w:t>
            </w:r>
          </w:p>
        </w:tc>
        <w:tc>
          <w:tcPr>
            <w:tcW w:w="1211" w:type="dxa"/>
            <w:shd w:val="clear" w:color="auto" w:fill="auto"/>
            <w:noWrap/>
            <w:vAlign w:val="center"/>
            <w:hideMark/>
          </w:tcPr>
          <w:p w14:paraId="3E89B666"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442739C7" w14:textId="77777777" w:rsidR="005D784C" w:rsidRPr="00445472" w:rsidRDefault="005D784C" w:rsidP="00BB75DE">
            <w:pPr>
              <w:pStyle w:val="TABELA"/>
              <w:rPr>
                <w:lang w:val="sq-AL"/>
              </w:rPr>
            </w:pPr>
          </w:p>
        </w:tc>
        <w:tc>
          <w:tcPr>
            <w:tcW w:w="1275" w:type="dxa"/>
            <w:shd w:val="clear" w:color="auto" w:fill="auto"/>
            <w:noWrap/>
            <w:vAlign w:val="center"/>
            <w:hideMark/>
          </w:tcPr>
          <w:p w14:paraId="2FE04F27" w14:textId="77777777" w:rsidR="005D784C" w:rsidRPr="00445472" w:rsidRDefault="005D784C" w:rsidP="00DD45A9">
            <w:pPr>
              <w:pStyle w:val="TABELA"/>
              <w:jc w:val="right"/>
              <w:rPr>
                <w:lang w:val="sq-AL"/>
              </w:rPr>
            </w:pPr>
            <w:r w:rsidRPr="00445472">
              <w:rPr>
                <w:lang w:val="sq-AL"/>
              </w:rPr>
              <w:t>1</w:t>
            </w:r>
          </w:p>
        </w:tc>
        <w:tc>
          <w:tcPr>
            <w:tcW w:w="1276" w:type="dxa"/>
            <w:shd w:val="clear" w:color="auto" w:fill="auto"/>
            <w:noWrap/>
            <w:vAlign w:val="center"/>
            <w:hideMark/>
          </w:tcPr>
          <w:p w14:paraId="4B494610" w14:textId="77777777" w:rsidR="005D784C" w:rsidRPr="00445472" w:rsidRDefault="005D784C" w:rsidP="00DD45A9">
            <w:pPr>
              <w:pStyle w:val="TABELA"/>
              <w:jc w:val="right"/>
              <w:rPr>
                <w:lang w:val="sq-AL"/>
              </w:rPr>
            </w:pPr>
          </w:p>
        </w:tc>
      </w:tr>
      <w:tr w:rsidR="005D784C" w:rsidRPr="00445472" w14:paraId="35EAF64F" w14:textId="77777777" w:rsidTr="00B15A6B">
        <w:trPr>
          <w:trHeight w:val="300"/>
        </w:trPr>
        <w:tc>
          <w:tcPr>
            <w:tcW w:w="709" w:type="dxa"/>
            <w:vMerge/>
            <w:shd w:val="clear" w:color="auto" w:fill="auto"/>
            <w:vAlign w:val="center"/>
            <w:hideMark/>
          </w:tcPr>
          <w:p w14:paraId="20EC809A" w14:textId="77777777" w:rsidR="005D784C" w:rsidRPr="00445472" w:rsidRDefault="005D784C" w:rsidP="00BB75DE">
            <w:pPr>
              <w:pStyle w:val="TABELA"/>
              <w:rPr>
                <w:lang w:val="sq-AL"/>
              </w:rPr>
            </w:pPr>
          </w:p>
        </w:tc>
        <w:tc>
          <w:tcPr>
            <w:tcW w:w="1920" w:type="dxa"/>
            <w:vMerge/>
            <w:shd w:val="clear" w:color="auto" w:fill="auto"/>
            <w:vAlign w:val="center"/>
            <w:hideMark/>
          </w:tcPr>
          <w:p w14:paraId="2C0E60E6" w14:textId="77777777" w:rsidR="005D784C" w:rsidRPr="00445472" w:rsidRDefault="005D784C" w:rsidP="00BB75DE">
            <w:pPr>
              <w:pStyle w:val="TABELA"/>
              <w:rPr>
                <w:lang w:val="sq-AL"/>
              </w:rPr>
            </w:pPr>
          </w:p>
        </w:tc>
        <w:tc>
          <w:tcPr>
            <w:tcW w:w="1478" w:type="dxa"/>
            <w:shd w:val="clear" w:color="auto" w:fill="auto"/>
            <w:vAlign w:val="center"/>
            <w:hideMark/>
          </w:tcPr>
          <w:p w14:paraId="3EA81FF0" w14:textId="77777777" w:rsidR="005D784C" w:rsidRPr="00445472" w:rsidRDefault="005D784C" w:rsidP="00BB75DE">
            <w:pPr>
              <w:pStyle w:val="TABELA"/>
              <w:rPr>
                <w:lang w:val="sq-AL"/>
              </w:rPr>
            </w:pPr>
            <w:r w:rsidRPr="00445472">
              <w:rPr>
                <w:lang w:val="sq-AL"/>
              </w:rPr>
              <w:t>Fshati Verrith</w:t>
            </w:r>
          </w:p>
        </w:tc>
        <w:tc>
          <w:tcPr>
            <w:tcW w:w="1211" w:type="dxa"/>
            <w:shd w:val="clear" w:color="auto" w:fill="auto"/>
            <w:noWrap/>
            <w:vAlign w:val="center"/>
            <w:hideMark/>
          </w:tcPr>
          <w:p w14:paraId="52DDFF7F"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299F85A7" w14:textId="77777777" w:rsidR="005D784C" w:rsidRPr="00445472" w:rsidRDefault="005D784C" w:rsidP="00BB75DE">
            <w:pPr>
              <w:pStyle w:val="TABELA"/>
              <w:rPr>
                <w:lang w:val="sq-AL"/>
              </w:rPr>
            </w:pPr>
          </w:p>
        </w:tc>
        <w:tc>
          <w:tcPr>
            <w:tcW w:w="1275" w:type="dxa"/>
            <w:shd w:val="clear" w:color="auto" w:fill="auto"/>
            <w:noWrap/>
            <w:vAlign w:val="center"/>
            <w:hideMark/>
          </w:tcPr>
          <w:p w14:paraId="67D71B53" w14:textId="77777777" w:rsidR="005D784C" w:rsidRPr="00445472" w:rsidRDefault="005D784C" w:rsidP="00DD45A9">
            <w:pPr>
              <w:pStyle w:val="TABELA"/>
              <w:jc w:val="right"/>
              <w:rPr>
                <w:lang w:val="sq-AL"/>
              </w:rPr>
            </w:pPr>
            <w:r w:rsidRPr="00445472">
              <w:rPr>
                <w:lang w:val="sq-AL"/>
              </w:rPr>
              <w:t>0.1</w:t>
            </w:r>
          </w:p>
        </w:tc>
        <w:tc>
          <w:tcPr>
            <w:tcW w:w="1276" w:type="dxa"/>
            <w:shd w:val="clear" w:color="auto" w:fill="auto"/>
            <w:noWrap/>
            <w:vAlign w:val="center"/>
            <w:hideMark/>
          </w:tcPr>
          <w:p w14:paraId="4240402E" w14:textId="77777777" w:rsidR="005D784C" w:rsidRPr="00445472" w:rsidRDefault="005D784C" w:rsidP="00DD45A9">
            <w:pPr>
              <w:pStyle w:val="TABELA"/>
              <w:jc w:val="right"/>
              <w:rPr>
                <w:lang w:val="sq-AL"/>
              </w:rPr>
            </w:pPr>
          </w:p>
        </w:tc>
      </w:tr>
      <w:tr w:rsidR="005D784C" w:rsidRPr="00445472" w14:paraId="4844145B" w14:textId="77777777" w:rsidTr="00B15A6B">
        <w:trPr>
          <w:trHeight w:val="300"/>
        </w:trPr>
        <w:tc>
          <w:tcPr>
            <w:tcW w:w="709" w:type="dxa"/>
            <w:vMerge/>
            <w:shd w:val="clear" w:color="auto" w:fill="auto"/>
            <w:vAlign w:val="center"/>
            <w:hideMark/>
          </w:tcPr>
          <w:p w14:paraId="11F80720" w14:textId="77777777" w:rsidR="005D784C" w:rsidRPr="00445472" w:rsidRDefault="005D784C" w:rsidP="00BB75DE">
            <w:pPr>
              <w:pStyle w:val="TABELA"/>
              <w:rPr>
                <w:lang w:val="sq-AL"/>
              </w:rPr>
            </w:pPr>
          </w:p>
        </w:tc>
        <w:tc>
          <w:tcPr>
            <w:tcW w:w="1920" w:type="dxa"/>
            <w:vMerge/>
            <w:shd w:val="clear" w:color="auto" w:fill="auto"/>
            <w:vAlign w:val="center"/>
            <w:hideMark/>
          </w:tcPr>
          <w:p w14:paraId="7336029B" w14:textId="77777777" w:rsidR="005D784C" w:rsidRPr="00445472" w:rsidRDefault="005D784C" w:rsidP="00BB75DE">
            <w:pPr>
              <w:pStyle w:val="TABELA"/>
              <w:rPr>
                <w:lang w:val="sq-AL"/>
              </w:rPr>
            </w:pPr>
          </w:p>
        </w:tc>
        <w:tc>
          <w:tcPr>
            <w:tcW w:w="1478" w:type="dxa"/>
            <w:shd w:val="clear" w:color="auto" w:fill="auto"/>
            <w:vAlign w:val="center"/>
            <w:hideMark/>
          </w:tcPr>
          <w:p w14:paraId="7A0EE60C" w14:textId="77777777" w:rsidR="005D784C" w:rsidRPr="00445472" w:rsidRDefault="005D784C" w:rsidP="00BB75DE">
            <w:pPr>
              <w:pStyle w:val="TABELA"/>
              <w:rPr>
                <w:lang w:val="sq-AL"/>
              </w:rPr>
            </w:pPr>
            <w:r w:rsidRPr="00445472">
              <w:rPr>
                <w:lang w:val="sq-AL"/>
              </w:rPr>
              <w:t>Fshati Kaftall</w:t>
            </w:r>
          </w:p>
        </w:tc>
        <w:tc>
          <w:tcPr>
            <w:tcW w:w="1211" w:type="dxa"/>
            <w:shd w:val="clear" w:color="auto" w:fill="auto"/>
            <w:noWrap/>
            <w:vAlign w:val="center"/>
            <w:hideMark/>
          </w:tcPr>
          <w:p w14:paraId="289C5060"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FC429A7" w14:textId="77777777" w:rsidR="005D784C" w:rsidRPr="00445472" w:rsidRDefault="005D784C" w:rsidP="00BB75DE">
            <w:pPr>
              <w:pStyle w:val="TABELA"/>
              <w:rPr>
                <w:lang w:val="sq-AL"/>
              </w:rPr>
            </w:pPr>
          </w:p>
        </w:tc>
        <w:tc>
          <w:tcPr>
            <w:tcW w:w="1275" w:type="dxa"/>
            <w:shd w:val="clear" w:color="auto" w:fill="auto"/>
            <w:noWrap/>
            <w:vAlign w:val="center"/>
            <w:hideMark/>
          </w:tcPr>
          <w:p w14:paraId="737E96AD" w14:textId="77777777" w:rsidR="005D784C" w:rsidRPr="00445472" w:rsidRDefault="005D784C" w:rsidP="00DD45A9">
            <w:pPr>
              <w:pStyle w:val="TABELA"/>
              <w:jc w:val="right"/>
              <w:rPr>
                <w:lang w:val="sq-AL"/>
              </w:rPr>
            </w:pPr>
            <w:r w:rsidRPr="00445472">
              <w:rPr>
                <w:lang w:val="sq-AL"/>
              </w:rPr>
              <w:t>0.1</w:t>
            </w:r>
          </w:p>
        </w:tc>
        <w:tc>
          <w:tcPr>
            <w:tcW w:w="1276" w:type="dxa"/>
            <w:shd w:val="clear" w:color="auto" w:fill="auto"/>
            <w:noWrap/>
            <w:vAlign w:val="center"/>
            <w:hideMark/>
          </w:tcPr>
          <w:p w14:paraId="5A674EBA" w14:textId="77777777" w:rsidR="005D784C" w:rsidRPr="00445472" w:rsidRDefault="005D784C" w:rsidP="00DD45A9">
            <w:pPr>
              <w:pStyle w:val="TABELA"/>
              <w:jc w:val="right"/>
              <w:rPr>
                <w:lang w:val="sq-AL"/>
              </w:rPr>
            </w:pPr>
          </w:p>
        </w:tc>
      </w:tr>
      <w:tr w:rsidR="005D784C" w:rsidRPr="00445472" w14:paraId="70B38F18" w14:textId="77777777" w:rsidTr="00B15A6B">
        <w:trPr>
          <w:trHeight w:val="300"/>
        </w:trPr>
        <w:tc>
          <w:tcPr>
            <w:tcW w:w="709" w:type="dxa"/>
            <w:vMerge/>
            <w:shd w:val="clear" w:color="auto" w:fill="auto"/>
            <w:vAlign w:val="center"/>
            <w:hideMark/>
          </w:tcPr>
          <w:p w14:paraId="76CDB847" w14:textId="77777777" w:rsidR="005D784C" w:rsidRPr="00445472" w:rsidRDefault="005D784C" w:rsidP="00BB75DE">
            <w:pPr>
              <w:pStyle w:val="TABELA"/>
              <w:rPr>
                <w:lang w:val="sq-AL"/>
              </w:rPr>
            </w:pPr>
          </w:p>
        </w:tc>
        <w:tc>
          <w:tcPr>
            <w:tcW w:w="1920" w:type="dxa"/>
            <w:vMerge/>
            <w:shd w:val="clear" w:color="auto" w:fill="auto"/>
            <w:vAlign w:val="center"/>
            <w:hideMark/>
          </w:tcPr>
          <w:p w14:paraId="4D237819" w14:textId="77777777" w:rsidR="005D784C" w:rsidRPr="00445472" w:rsidRDefault="005D784C" w:rsidP="00BB75DE">
            <w:pPr>
              <w:pStyle w:val="TABELA"/>
              <w:rPr>
                <w:lang w:val="sq-AL"/>
              </w:rPr>
            </w:pPr>
          </w:p>
        </w:tc>
        <w:tc>
          <w:tcPr>
            <w:tcW w:w="1478" w:type="dxa"/>
            <w:shd w:val="clear" w:color="auto" w:fill="auto"/>
            <w:vAlign w:val="center"/>
            <w:hideMark/>
          </w:tcPr>
          <w:p w14:paraId="64C33E1B" w14:textId="77777777" w:rsidR="005D784C" w:rsidRPr="00445472" w:rsidRDefault="005D784C" w:rsidP="00BB75DE">
            <w:pPr>
              <w:pStyle w:val="TABELA"/>
              <w:rPr>
                <w:lang w:val="sq-AL"/>
              </w:rPr>
            </w:pPr>
            <w:r w:rsidRPr="00445472">
              <w:rPr>
                <w:lang w:val="sq-AL"/>
              </w:rPr>
              <w:t>Fshati Gomsiqe</w:t>
            </w:r>
          </w:p>
        </w:tc>
        <w:tc>
          <w:tcPr>
            <w:tcW w:w="1211" w:type="dxa"/>
            <w:shd w:val="clear" w:color="auto" w:fill="auto"/>
            <w:noWrap/>
            <w:vAlign w:val="center"/>
            <w:hideMark/>
          </w:tcPr>
          <w:p w14:paraId="313288A5"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7AB0FEED" w14:textId="77777777" w:rsidR="005D784C" w:rsidRPr="00445472" w:rsidRDefault="005D784C" w:rsidP="00BB75DE">
            <w:pPr>
              <w:pStyle w:val="TABELA"/>
              <w:rPr>
                <w:lang w:val="sq-AL"/>
              </w:rPr>
            </w:pPr>
          </w:p>
        </w:tc>
        <w:tc>
          <w:tcPr>
            <w:tcW w:w="1275" w:type="dxa"/>
            <w:shd w:val="clear" w:color="auto" w:fill="auto"/>
            <w:noWrap/>
            <w:vAlign w:val="center"/>
            <w:hideMark/>
          </w:tcPr>
          <w:p w14:paraId="7330B3E5" w14:textId="77777777" w:rsidR="005D784C" w:rsidRPr="00445472" w:rsidRDefault="005D784C" w:rsidP="00DD45A9">
            <w:pPr>
              <w:pStyle w:val="TABELA"/>
              <w:jc w:val="right"/>
              <w:rPr>
                <w:lang w:val="sq-AL"/>
              </w:rPr>
            </w:pPr>
            <w:r w:rsidRPr="00445472">
              <w:rPr>
                <w:lang w:val="sq-AL"/>
              </w:rPr>
              <w:t>0.5</w:t>
            </w:r>
          </w:p>
        </w:tc>
        <w:tc>
          <w:tcPr>
            <w:tcW w:w="1276" w:type="dxa"/>
            <w:shd w:val="clear" w:color="auto" w:fill="auto"/>
            <w:noWrap/>
            <w:vAlign w:val="center"/>
            <w:hideMark/>
          </w:tcPr>
          <w:p w14:paraId="2E724450" w14:textId="77777777" w:rsidR="005D784C" w:rsidRPr="00445472" w:rsidRDefault="005D784C" w:rsidP="00DD45A9">
            <w:pPr>
              <w:pStyle w:val="TABELA"/>
              <w:jc w:val="right"/>
              <w:rPr>
                <w:lang w:val="sq-AL"/>
              </w:rPr>
            </w:pPr>
            <w:r w:rsidRPr="00445472">
              <w:rPr>
                <w:lang w:val="sq-AL"/>
              </w:rPr>
              <w:t>265</w:t>
            </w:r>
          </w:p>
        </w:tc>
      </w:tr>
      <w:tr w:rsidR="005D784C" w:rsidRPr="00445472" w14:paraId="59F5AC8F" w14:textId="77777777" w:rsidTr="00B15A6B">
        <w:trPr>
          <w:trHeight w:val="300"/>
        </w:trPr>
        <w:tc>
          <w:tcPr>
            <w:tcW w:w="709" w:type="dxa"/>
            <w:vMerge/>
            <w:shd w:val="clear" w:color="auto" w:fill="auto"/>
            <w:vAlign w:val="center"/>
            <w:hideMark/>
          </w:tcPr>
          <w:p w14:paraId="33858A59" w14:textId="77777777" w:rsidR="005D784C" w:rsidRPr="00445472" w:rsidRDefault="005D784C" w:rsidP="00BB75DE">
            <w:pPr>
              <w:pStyle w:val="TABELA"/>
              <w:rPr>
                <w:lang w:val="sq-AL"/>
              </w:rPr>
            </w:pPr>
          </w:p>
        </w:tc>
        <w:tc>
          <w:tcPr>
            <w:tcW w:w="1920" w:type="dxa"/>
            <w:vMerge/>
            <w:shd w:val="clear" w:color="auto" w:fill="auto"/>
            <w:vAlign w:val="center"/>
            <w:hideMark/>
          </w:tcPr>
          <w:p w14:paraId="25195146" w14:textId="77777777" w:rsidR="005D784C" w:rsidRPr="00445472" w:rsidRDefault="005D784C" w:rsidP="00BB75DE">
            <w:pPr>
              <w:pStyle w:val="TABELA"/>
              <w:rPr>
                <w:lang w:val="sq-AL"/>
              </w:rPr>
            </w:pPr>
          </w:p>
        </w:tc>
        <w:tc>
          <w:tcPr>
            <w:tcW w:w="1478" w:type="dxa"/>
            <w:shd w:val="clear" w:color="auto" w:fill="auto"/>
            <w:vAlign w:val="center"/>
            <w:hideMark/>
          </w:tcPr>
          <w:p w14:paraId="574FB535" w14:textId="77777777" w:rsidR="005D784C" w:rsidRPr="00445472" w:rsidRDefault="005D784C" w:rsidP="00BB75DE">
            <w:pPr>
              <w:pStyle w:val="TABELA"/>
              <w:rPr>
                <w:lang w:val="sq-AL"/>
              </w:rPr>
            </w:pPr>
            <w:r w:rsidRPr="00445472">
              <w:rPr>
                <w:lang w:val="sq-AL"/>
              </w:rPr>
              <w:t>Fshati Tejkoder</w:t>
            </w:r>
          </w:p>
        </w:tc>
        <w:tc>
          <w:tcPr>
            <w:tcW w:w="1211" w:type="dxa"/>
            <w:shd w:val="clear" w:color="auto" w:fill="auto"/>
            <w:noWrap/>
            <w:vAlign w:val="center"/>
            <w:hideMark/>
          </w:tcPr>
          <w:p w14:paraId="27E796BC"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7A8E7406" w14:textId="77777777" w:rsidR="005D784C" w:rsidRPr="00445472" w:rsidRDefault="005D784C" w:rsidP="00BB75DE">
            <w:pPr>
              <w:pStyle w:val="TABELA"/>
              <w:rPr>
                <w:lang w:val="sq-AL"/>
              </w:rPr>
            </w:pPr>
          </w:p>
        </w:tc>
        <w:tc>
          <w:tcPr>
            <w:tcW w:w="1275" w:type="dxa"/>
            <w:shd w:val="clear" w:color="auto" w:fill="auto"/>
            <w:noWrap/>
            <w:vAlign w:val="center"/>
            <w:hideMark/>
          </w:tcPr>
          <w:p w14:paraId="46060031" w14:textId="77777777" w:rsidR="005D784C" w:rsidRPr="00445472" w:rsidRDefault="005D784C" w:rsidP="00DD45A9">
            <w:pPr>
              <w:pStyle w:val="TABELA"/>
              <w:jc w:val="right"/>
              <w:rPr>
                <w:lang w:val="sq-AL"/>
              </w:rPr>
            </w:pPr>
            <w:r w:rsidRPr="00445472">
              <w:rPr>
                <w:lang w:val="sq-AL"/>
              </w:rPr>
              <w:t>0.1</w:t>
            </w:r>
          </w:p>
        </w:tc>
        <w:tc>
          <w:tcPr>
            <w:tcW w:w="1276" w:type="dxa"/>
            <w:shd w:val="clear" w:color="auto" w:fill="auto"/>
            <w:noWrap/>
            <w:vAlign w:val="center"/>
            <w:hideMark/>
          </w:tcPr>
          <w:p w14:paraId="6F4234EF" w14:textId="77777777" w:rsidR="005D784C" w:rsidRPr="00445472" w:rsidRDefault="005D784C" w:rsidP="00DD45A9">
            <w:pPr>
              <w:pStyle w:val="TABELA"/>
              <w:jc w:val="right"/>
              <w:rPr>
                <w:lang w:val="sq-AL"/>
              </w:rPr>
            </w:pPr>
          </w:p>
        </w:tc>
      </w:tr>
      <w:tr w:rsidR="005D784C" w:rsidRPr="00445472" w14:paraId="6FDC7C21" w14:textId="77777777" w:rsidTr="00B15A6B">
        <w:trPr>
          <w:trHeight w:val="300"/>
        </w:trPr>
        <w:tc>
          <w:tcPr>
            <w:tcW w:w="709" w:type="dxa"/>
            <w:vMerge/>
            <w:shd w:val="clear" w:color="auto" w:fill="auto"/>
            <w:vAlign w:val="center"/>
            <w:hideMark/>
          </w:tcPr>
          <w:p w14:paraId="40E9CDFB" w14:textId="77777777" w:rsidR="005D784C" w:rsidRPr="00445472" w:rsidRDefault="005D784C" w:rsidP="00BB75DE">
            <w:pPr>
              <w:pStyle w:val="TABELA"/>
              <w:rPr>
                <w:lang w:val="sq-AL"/>
              </w:rPr>
            </w:pPr>
          </w:p>
        </w:tc>
        <w:tc>
          <w:tcPr>
            <w:tcW w:w="1920" w:type="dxa"/>
            <w:vMerge/>
            <w:shd w:val="clear" w:color="auto" w:fill="auto"/>
            <w:vAlign w:val="center"/>
            <w:hideMark/>
          </w:tcPr>
          <w:p w14:paraId="648FDC77" w14:textId="77777777" w:rsidR="005D784C" w:rsidRPr="00445472" w:rsidRDefault="005D784C" w:rsidP="00BB75DE">
            <w:pPr>
              <w:pStyle w:val="TABELA"/>
              <w:rPr>
                <w:lang w:val="sq-AL"/>
              </w:rPr>
            </w:pPr>
          </w:p>
        </w:tc>
        <w:tc>
          <w:tcPr>
            <w:tcW w:w="1478" w:type="dxa"/>
            <w:shd w:val="clear" w:color="auto" w:fill="auto"/>
            <w:vAlign w:val="center"/>
            <w:hideMark/>
          </w:tcPr>
          <w:p w14:paraId="7E09A99A" w14:textId="77777777" w:rsidR="005D784C" w:rsidRPr="00445472" w:rsidRDefault="005D784C" w:rsidP="00BB75DE">
            <w:pPr>
              <w:pStyle w:val="TABELA"/>
              <w:rPr>
                <w:lang w:val="sq-AL"/>
              </w:rPr>
            </w:pPr>
            <w:r w:rsidRPr="00445472">
              <w:rPr>
                <w:lang w:val="sq-AL"/>
              </w:rPr>
              <w:t>Fshati Plet</w:t>
            </w:r>
          </w:p>
        </w:tc>
        <w:tc>
          <w:tcPr>
            <w:tcW w:w="1211" w:type="dxa"/>
            <w:shd w:val="clear" w:color="auto" w:fill="auto"/>
            <w:noWrap/>
            <w:vAlign w:val="center"/>
            <w:hideMark/>
          </w:tcPr>
          <w:p w14:paraId="53BC7A1F"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0A5D6CD" w14:textId="77777777" w:rsidR="005D784C" w:rsidRPr="00445472" w:rsidRDefault="005D784C" w:rsidP="00BB75DE">
            <w:pPr>
              <w:pStyle w:val="TABELA"/>
              <w:rPr>
                <w:lang w:val="sq-AL"/>
              </w:rPr>
            </w:pPr>
          </w:p>
        </w:tc>
        <w:tc>
          <w:tcPr>
            <w:tcW w:w="1275" w:type="dxa"/>
            <w:shd w:val="clear" w:color="auto" w:fill="auto"/>
            <w:noWrap/>
            <w:vAlign w:val="center"/>
            <w:hideMark/>
          </w:tcPr>
          <w:p w14:paraId="752E1A49" w14:textId="77777777" w:rsidR="005D784C" w:rsidRPr="00445472" w:rsidRDefault="005D784C" w:rsidP="00DD45A9">
            <w:pPr>
              <w:pStyle w:val="TABELA"/>
              <w:jc w:val="right"/>
              <w:rPr>
                <w:lang w:val="sq-AL"/>
              </w:rPr>
            </w:pPr>
            <w:r w:rsidRPr="00445472">
              <w:rPr>
                <w:lang w:val="sq-AL"/>
              </w:rPr>
              <w:t>0.1</w:t>
            </w:r>
          </w:p>
        </w:tc>
        <w:tc>
          <w:tcPr>
            <w:tcW w:w="1276" w:type="dxa"/>
            <w:shd w:val="clear" w:color="auto" w:fill="auto"/>
            <w:noWrap/>
            <w:vAlign w:val="center"/>
            <w:hideMark/>
          </w:tcPr>
          <w:p w14:paraId="04B35BFC" w14:textId="77777777" w:rsidR="005D784C" w:rsidRPr="00445472" w:rsidRDefault="005D784C" w:rsidP="00DD45A9">
            <w:pPr>
              <w:pStyle w:val="TABELA"/>
              <w:jc w:val="right"/>
              <w:rPr>
                <w:lang w:val="sq-AL"/>
              </w:rPr>
            </w:pPr>
          </w:p>
        </w:tc>
      </w:tr>
      <w:tr w:rsidR="005D784C" w:rsidRPr="00445472" w14:paraId="47D5CDFD" w14:textId="77777777" w:rsidTr="00B15A6B">
        <w:trPr>
          <w:trHeight w:val="300"/>
        </w:trPr>
        <w:tc>
          <w:tcPr>
            <w:tcW w:w="709" w:type="dxa"/>
            <w:vMerge/>
            <w:shd w:val="clear" w:color="auto" w:fill="auto"/>
            <w:vAlign w:val="center"/>
            <w:hideMark/>
          </w:tcPr>
          <w:p w14:paraId="7892F6EB" w14:textId="77777777" w:rsidR="005D784C" w:rsidRPr="00445472" w:rsidRDefault="005D784C" w:rsidP="00BB75DE">
            <w:pPr>
              <w:pStyle w:val="TABELA"/>
              <w:rPr>
                <w:lang w:val="sq-AL"/>
              </w:rPr>
            </w:pPr>
          </w:p>
        </w:tc>
        <w:tc>
          <w:tcPr>
            <w:tcW w:w="1920" w:type="dxa"/>
            <w:vMerge/>
            <w:shd w:val="clear" w:color="auto" w:fill="auto"/>
            <w:vAlign w:val="center"/>
            <w:hideMark/>
          </w:tcPr>
          <w:p w14:paraId="39179C2B" w14:textId="77777777" w:rsidR="005D784C" w:rsidRPr="00445472" w:rsidRDefault="005D784C" w:rsidP="00BB75DE">
            <w:pPr>
              <w:pStyle w:val="TABELA"/>
              <w:rPr>
                <w:lang w:val="sq-AL"/>
              </w:rPr>
            </w:pPr>
          </w:p>
        </w:tc>
        <w:tc>
          <w:tcPr>
            <w:tcW w:w="1478" w:type="dxa"/>
            <w:shd w:val="clear" w:color="auto" w:fill="auto"/>
            <w:vAlign w:val="center"/>
            <w:hideMark/>
          </w:tcPr>
          <w:p w14:paraId="59CEEEC4" w14:textId="77777777" w:rsidR="005D784C" w:rsidRPr="00445472" w:rsidRDefault="005D784C" w:rsidP="00BB75DE">
            <w:pPr>
              <w:pStyle w:val="TABELA"/>
              <w:rPr>
                <w:lang w:val="sq-AL"/>
              </w:rPr>
            </w:pPr>
            <w:r w:rsidRPr="00445472">
              <w:rPr>
                <w:lang w:val="sq-AL"/>
              </w:rPr>
              <w:t>Fshati Kishagji</w:t>
            </w:r>
          </w:p>
        </w:tc>
        <w:tc>
          <w:tcPr>
            <w:tcW w:w="1211" w:type="dxa"/>
            <w:shd w:val="clear" w:color="auto" w:fill="auto"/>
            <w:noWrap/>
            <w:vAlign w:val="center"/>
            <w:hideMark/>
          </w:tcPr>
          <w:p w14:paraId="72AACA8A"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1D28FB35" w14:textId="77777777" w:rsidR="005D784C" w:rsidRPr="00445472" w:rsidRDefault="005D784C" w:rsidP="00BB75DE">
            <w:pPr>
              <w:pStyle w:val="TABELA"/>
              <w:rPr>
                <w:lang w:val="sq-AL"/>
              </w:rPr>
            </w:pPr>
          </w:p>
        </w:tc>
        <w:tc>
          <w:tcPr>
            <w:tcW w:w="1275" w:type="dxa"/>
            <w:shd w:val="clear" w:color="auto" w:fill="auto"/>
            <w:noWrap/>
            <w:vAlign w:val="center"/>
            <w:hideMark/>
          </w:tcPr>
          <w:p w14:paraId="4839E975" w14:textId="77777777" w:rsidR="005D784C" w:rsidRPr="00445472" w:rsidRDefault="005D784C" w:rsidP="00DD45A9">
            <w:pPr>
              <w:pStyle w:val="TABELA"/>
              <w:jc w:val="right"/>
              <w:rPr>
                <w:lang w:val="sq-AL"/>
              </w:rPr>
            </w:pPr>
            <w:r w:rsidRPr="00445472">
              <w:rPr>
                <w:lang w:val="sq-AL"/>
              </w:rPr>
              <w:t>0.3</w:t>
            </w:r>
          </w:p>
        </w:tc>
        <w:tc>
          <w:tcPr>
            <w:tcW w:w="1276" w:type="dxa"/>
            <w:shd w:val="clear" w:color="auto" w:fill="auto"/>
            <w:noWrap/>
            <w:vAlign w:val="center"/>
            <w:hideMark/>
          </w:tcPr>
          <w:p w14:paraId="70BE1919" w14:textId="77777777" w:rsidR="005D784C" w:rsidRPr="00445472" w:rsidRDefault="005D784C" w:rsidP="00DD45A9">
            <w:pPr>
              <w:pStyle w:val="TABELA"/>
              <w:jc w:val="right"/>
              <w:rPr>
                <w:lang w:val="sq-AL"/>
              </w:rPr>
            </w:pPr>
          </w:p>
        </w:tc>
      </w:tr>
      <w:tr w:rsidR="005D784C" w:rsidRPr="00445472" w14:paraId="0864AA0E" w14:textId="77777777" w:rsidTr="00B15A6B">
        <w:trPr>
          <w:trHeight w:val="300"/>
        </w:trPr>
        <w:tc>
          <w:tcPr>
            <w:tcW w:w="709" w:type="dxa"/>
            <w:vMerge/>
            <w:shd w:val="clear" w:color="auto" w:fill="auto"/>
            <w:vAlign w:val="center"/>
            <w:hideMark/>
          </w:tcPr>
          <w:p w14:paraId="704C5121" w14:textId="77777777" w:rsidR="005D784C" w:rsidRPr="00445472" w:rsidRDefault="005D784C" w:rsidP="00BB75DE">
            <w:pPr>
              <w:pStyle w:val="TABELA"/>
              <w:rPr>
                <w:lang w:val="sq-AL"/>
              </w:rPr>
            </w:pPr>
          </w:p>
        </w:tc>
        <w:tc>
          <w:tcPr>
            <w:tcW w:w="1920" w:type="dxa"/>
            <w:vMerge/>
            <w:shd w:val="clear" w:color="auto" w:fill="auto"/>
            <w:vAlign w:val="center"/>
            <w:hideMark/>
          </w:tcPr>
          <w:p w14:paraId="3AD1403F" w14:textId="77777777" w:rsidR="005D784C" w:rsidRPr="00445472" w:rsidRDefault="005D784C" w:rsidP="00BB75DE">
            <w:pPr>
              <w:pStyle w:val="TABELA"/>
              <w:rPr>
                <w:lang w:val="sq-AL"/>
              </w:rPr>
            </w:pPr>
          </w:p>
        </w:tc>
        <w:tc>
          <w:tcPr>
            <w:tcW w:w="1478" w:type="dxa"/>
            <w:shd w:val="clear" w:color="auto" w:fill="auto"/>
            <w:vAlign w:val="center"/>
            <w:hideMark/>
          </w:tcPr>
          <w:p w14:paraId="089A820A" w14:textId="77777777" w:rsidR="005D784C" w:rsidRPr="00445472" w:rsidRDefault="005D784C" w:rsidP="00BB75DE">
            <w:pPr>
              <w:pStyle w:val="TABELA"/>
              <w:rPr>
                <w:lang w:val="sq-AL"/>
              </w:rPr>
            </w:pPr>
            <w:r w:rsidRPr="00445472">
              <w:rPr>
                <w:lang w:val="sq-AL"/>
              </w:rPr>
              <w:t>Fshati Filipaj</w:t>
            </w:r>
          </w:p>
        </w:tc>
        <w:tc>
          <w:tcPr>
            <w:tcW w:w="1211" w:type="dxa"/>
            <w:shd w:val="clear" w:color="auto" w:fill="auto"/>
            <w:noWrap/>
            <w:vAlign w:val="center"/>
            <w:hideMark/>
          </w:tcPr>
          <w:p w14:paraId="2A7B623F"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A74CF98" w14:textId="77777777" w:rsidR="005D784C" w:rsidRPr="00445472" w:rsidRDefault="005D784C" w:rsidP="00BB75DE">
            <w:pPr>
              <w:pStyle w:val="TABELA"/>
              <w:rPr>
                <w:lang w:val="sq-AL"/>
              </w:rPr>
            </w:pPr>
          </w:p>
        </w:tc>
        <w:tc>
          <w:tcPr>
            <w:tcW w:w="1275" w:type="dxa"/>
            <w:shd w:val="clear" w:color="auto" w:fill="auto"/>
            <w:noWrap/>
            <w:vAlign w:val="center"/>
            <w:hideMark/>
          </w:tcPr>
          <w:p w14:paraId="4E4CE9B6" w14:textId="77777777" w:rsidR="005D784C" w:rsidRPr="00445472" w:rsidRDefault="005D784C" w:rsidP="00DD45A9">
            <w:pPr>
              <w:pStyle w:val="TABELA"/>
              <w:jc w:val="right"/>
              <w:rPr>
                <w:lang w:val="sq-AL"/>
              </w:rPr>
            </w:pPr>
            <w:r w:rsidRPr="00445472">
              <w:rPr>
                <w:lang w:val="sq-AL"/>
              </w:rPr>
              <w:t>0.1</w:t>
            </w:r>
          </w:p>
        </w:tc>
        <w:tc>
          <w:tcPr>
            <w:tcW w:w="1276" w:type="dxa"/>
            <w:shd w:val="clear" w:color="auto" w:fill="auto"/>
            <w:noWrap/>
            <w:vAlign w:val="center"/>
            <w:hideMark/>
          </w:tcPr>
          <w:p w14:paraId="77AECFBE" w14:textId="77777777" w:rsidR="005D784C" w:rsidRPr="00445472" w:rsidRDefault="005D784C" w:rsidP="00DD45A9">
            <w:pPr>
              <w:pStyle w:val="TABELA"/>
              <w:jc w:val="right"/>
              <w:rPr>
                <w:lang w:val="sq-AL"/>
              </w:rPr>
            </w:pPr>
          </w:p>
        </w:tc>
      </w:tr>
      <w:tr w:rsidR="005D784C" w:rsidRPr="00445472" w14:paraId="606F569C" w14:textId="77777777" w:rsidTr="00B15A6B">
        <w:trPr>
          <w:trHeight w:val="300"/>
        </w:trPr>
        <w:tc>
          <w:tcPr>
            <w:tcW w:w="709" w:type="dxa"/>
            <w:vMerge/>
            <w:shd w:val="clear" w:color="auto" w:fill="auto"/>
            <w:vAlign w:val="center"/>
            <w:hideMark/>
          </w:tcPr>
          <w:p w14:paraId="18DCA2A5" w14:textId="77777777" w:rsidR="005D784C" w:rsidRPr="00445472" w:rsidRDefault="005D784C" w:rsidP="00BB75DE">
            <w:pPr>
              <w:pStyle w:val="TABELA"/>
              <w:rPr>
                <w:lang w:val="sq-AL"/>
              </w:rPr>
            </w:pPr>
          </w:p>
        </w:tc>
        <w:tc>
          <w:tcPr>
            <w:tcW w:w="1920" w:type="dxa"/>
            <w:vMerge/>
            <w:shd w:val="clear" w:color="auto" w:fill="auto"/>
            <w:vAlign w:val="center"/>
            <w:hideMark/>
          </w:tcPr>
          <w:p w14:paraId="63585953" w14:textId="77777777" w:rsidR="005D784C" w:rsidRPr="00445472" w:rsidRDefault="005D784C" w:rsidP="00BB75DE">
            <w:pPr>
              <w:pStyle w:val="TABELA"/>
              <w:rPr>
                <w:lang w:val="sq-AL"/>
              </w:rPr>
            </w:pPr>
          </w:p>
        </w:tc>
        <w:tc>
          <w:tcPr>
            <w:tcW w:w="1478" w:type="dxa"/>
            <w:shd w:val="clear" w:color="auto" w:fill="auto"/>
            <w:vAlign w:val="center"/>
            <w:hideMark/>
          </w:tcPr>
          <w:p w14:paraId="4F67A6A2" w14:textId="77777777" w:rsidR="005D784C" w:rsidRPr="00445472" w:rsidRDefault="005D784C" w:rsidP="00BB75DE">
            <w:pPr>
              <w:pStyle w:val="TABELA"/>
              <w:rPr>
                <w:lang w:val="sq-AL"/>
              </w:rPr>
            </w:pPr>
            <w:r w:rsidRPr="00445472">
              <w:rPr>
                <w:lang w:val="sq-AL"/>
              </w:rPr>
              <w:t>Fshati Qerret</w:t>
            </w:r>
          </w:p>
        </w:tc>
        <w:tc>
          <w:tcPr>
            <w:tcW w:w="1211" w:type="dxa"/>
            <w:shd w:val="clear" w:color="auto" w:fill="auto"/>
            <w:noWrap/>
            <w:vAlign w:val="center"/>
            <w:hideMark/>
          </w:tcPr>
          <w:p w14:paraId="56707AC1"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34221927" w14:textId="77777777" w:rsidR="005D784C" w:rsidRPr="00445472" w:rsidRDefault="005D784C" w:rsidP="00BB75DE">
            <w:pPr>
              <w:pStyle w:val="TABELA"/>
              <w:rPr>
                <w:lang w:val="sq-AL"/>
              </w:rPr>
            </w:pPr>
          </w:p>
        </w:tc>
        <w:tc>
          <w:tcPr>
            <w:tcW w:w="1275" w:type="dxa"/>
            <w:shd w:val="clear" w:color="auto" w:fill="auto"/>
            <w:noWrap/>
            <w:vAlign w:val="center"/>
            <w:hideMark/>
          </w:tcPr>
          <w:p w14:paraId="1B2BBB3F" w14:textId="77777777" w:rsidR="005D784C" w:rsidRPr="00445472" w:rsidRDefault="005D784C" w:rsidP="00DD45A9">
            <w:pPr>
              <w:pStyle w:val="TABELA"/>
              <w:jc w:val="right"/>
              <w:rPr>
                <w:lang w:val="sq-AL"/>
              </w:rPr>
            </w:pPr>
            <w:r w:rsidRPr="00445472">
              <w:rPr>
                <w:lang w:val="sq-AL"/>
              </w:rPr>
              <w:t>2</w:t>
            </w:r>
          </w:p>
        </w:tc>
        <w:tc>
          <w:tcPr>
            <w:tcW w:w="1276" w:type="dxa"/>
            <w:shd w:val="clear" w:color="auto" w:fill="auto"/>
            <w:noWrap/>
            <w:vAlign w:val="center"/>
            <w:hideMark/>
          </w:tcPr>
          <w:p w14:paraId="77BB1DB3" w14:textId="77777777" w:rsidR="005D784C" w:rsidRPr="00445472" w:rsidRDefault="005D784C" w:rsidP="00DD45A9">
            <w:pPr>
              <w:pStyle w:val="TABELA"/>
              <w:jc w:val="right"/>
              <w:rPr>
                <w:lang w:val="sq-AL"/>
              </w:rPr>
            </w:pPr>
            <w:r w:rsidRPr="00445472">
              <w:rPr>
                <w:lang w:val="sq-AL"/>
              </w:rPr>
              <w:t>419</w:t>
            </w:r>
          </w:p>
        </w:tc>
      </w:tr>
      <w:tr w:rsidR="005D784C" w:rsidRPr="00445472" w14:paraId="22D21210" w14:textId="77777777" w:rsidTr="00B15A6B">
        <w:trPr>
          <w:trHeight w:val="300"/>
        </w:trPr>
        <w:tc>
          <w:tcPr>
            <w:tcW w:w="709" w:type="dxa"/>
            <w:vMerge/>
            <w:shd w:val="clear" w:color="auto" w:fill="auto"/>
            <w:vAlign w:val="center"/>
            <w:hideMark/>
          </w:tcPr>
          <w:p w14:paraId="2A5A7ECE" w14:textId="77777777" w:rsidR="005D784C" w:rsidRPr="00445472" w:rsidRDefault="005D784C" w:rsidP="00BB75DE">
            <w:pPr>
              <w:pStyle w:val="TABELA"/>
              <w:rPr>
                <w:lang w:val="sq-AL"/>
              </w:rPr>
            </w:pPr>
          </w:p>
        </w:tc>
        <w:tc>
          <w:tcPr>
            <w:tcW w:w="1920" w:type="dxa"/>
            <w:vMerge/>
            <w:shd w:val="clear" w:color="auto" w:fill="auto"/>
            <w:vAlign w:val="center"/>
            <w:hideMark/>
          </w:tcPr>
          <w:p w14:paraId="6CBF8065" w14:textId="77777777" w:rsidR="005D784C" w:rsidRPr="00445472" w:rsidRDefault="005D784C" w:rsidP="00BB75DE">
            <w:pPr>
              <w:pStyle w:val="TABELA"/>
              <w:rPr>
                <w:lang w:val="sq-AL"/>
              </w:rPr>
            </w:pPr>
          </w:p>
        </w:tc>
        <w:tc>
          <w:tcPr>
            <w:tcW w:w="1478" w:type="dxa"/>
            <w:shd w:val="clear" w:color="auto" w:fill="auto"/>
            <w:vAlign w:val="center"/>
            <w:hideMark/>
          </w:tcPr>
          <w:p w14:paraId="09ADA18C" w14:textId="77777777" w:rsidR="005D784C" w:rsidRPr="00445472" w:rsidRDefault="005D784C" w:rsidP="00BB75DE">
            <w:pPr>
              <w:pStyle w:val="TABELA"/>
              <w:rPr>
                <w:lang w:val="sq-AL"/>
              </w:rPr>
            </w:pPr>
            <w:r w:rsidRPr="00445472">
              <w:rPr>
                <w:lang w:val="sq-AL"/>
              </w:rPr>
              <w:t>Fshati Iballe</w:t>
            </w:r>
          </w:p>
        </w:tc>
        <w:tc>
          <w:tcPr>
            <w:tcW w:w="1211" w:type="dxa"/>
            <w:shd w:val="clear" w:color="auto" w:fill="auto"/>
            <w:noWrap/>
            <w:vAlign w:val="center"/>
            <w:hideMark/>
          </w:tcPr>
          <w:p w14:paraId="651B3F44"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156F183"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5F7C1850" w14:textId="77777777" w:rsidR="005D784C" w:rsidRPr="00445472" w:rsidRDefault="005D784C" w:rsidP="00DD45A9">
            <w:pPr>
              <w:pStyle w:val="TABELA"/>
              <w:jc w:val="right"/>
              <w:rPr>
                <w:lang w:val="sq-AL"/>
              </w:rPr>
            </w:pPr>
            <w:r w:rsidRPr="00445472">
              <w:rPr>
                <w:lang w:val="sq-AL"/>
              </w:rPr>
              <w:t>4</w:t>
            </w:r>
          </w:p>
        </w:tc>
        <w:tc>
          <w:tcPr>
            <w:tcW w:w="1276" w:type="dxa"/>
            <w:shd w:val="clear" w:color="auto" w:fill="auto"/>
            <w:noWrap/>
            <w:vAlign w:val="center"/>
            <w:hideMark/>
          </w:tcPr>
          <w:p w14:paraId="36BD9A37" w14:textId="77777777" w:rsidR="005D784C" w:rsidRPr="00445472" w:rsidRDefault="005D784C" w:rsidP="00DD45A9">
            <w:pPr>
              <w:pStyle w:val="TABELA"/>
              <w:jc w:val="right"/>
              <w:rPr>
                <w:lang w:val="sq-AL"/>
              </w:rPr>
            </w:pPr>
            <w:r w:rsidRPr="00445472">
              <w:rPr>
                <w:lang w:val="sq-AL"/>
              </w:rPr>
              <w:t>928</w:t>
            </w:r>
          </w:p>
        </w:tc>
      </w:tr>
      <w:tr w:rsidR="005D784C" w:rsidRPr="00445472" w14:paraId="2B57C292" w14:textId="77777777" w:rsidTr="00B15A6B">
        <w:trPr>
          <w:trHeight w:val="300"/>
        </w:trPr>
        <w:tc>
          <w:tcPr>
            <w:tcW w:w="709" w:type="dxa"/>
            <w:vMerge/>
            <w:shd w:val="clear" w:color="auto" w:fill="auto"/>
            <w:vAlign w:val="center"/>
            <w:hideMark/>
          </w:tcPr>
          <w:p w14:paraId="700BC0BC" w14:textId="77777777" w:rsidR="005D784C" w:rsidRPr="00445472" w:rsidRDefault="005D784C" w:rsidP="00BB75DE">
            <w:pPr>
              <w:pStyle w:val="TABELA"/>
              <w:rPr>
                <w:lang w:val="sq-AL"/>
              </w:rPr>
            </w:pPr>
          </w:p>
        </w:tc>
        <w:tc>
          <w:tcPr>
            <w:tcW w:w="1920" w:type="dxa"/>
            <w:vMerge/>
            <w:shd w:val="clear" w:color="auto" w:fill="auto"/>
            <w:vAlign w:val="center"/>
            <w:hideMark/>
          </w:tcPr>
          <w:p w14:paraId="0DEDCCBC" w14:textId="77777777" w:rsidR="005D784C" w:rsidRPr="00445472" w:rsidRDefault="005D784C" w:rsidP="00BB75DE">
            <w:pPr>
              <w:pStyle w:val="TABELA"/>
              <w:rPr>
                <w:lang w:val="sq-AL"/>
              </w:rPr>
            </w:pPr>
          </w:p>
        </w:tc>
        <w:tc>
          <w:tcPr>
            <w:tcW w:w="1478" w:type="dxa"/>
            <w:shd w:val="clear" w:color="auto" w:fill="auto"/>
            <w:vAlign w:val="center"/>
            <w:hideMark/>
          </w:tcPr>
          <w:p w14:paraId="76D3F314" w14:textId="77777777" w:rsidR="005D784C" w:rsidRPr="00445472" w:rsidRDefault="005D784C" w:rsidP="00BB75DE">
            <w:pPr>
              <w:pStyle w:val="TABELA"/>
              <w:rPr>
                <w:lang w:val="sq-AL"/>
              </w:rPr>
            </w:pPr>
            <w:r w:rsidRPr="00445472">
              <w:rPr>
                <w:lang w:val="sq-AL"/>
              </w:rPr>
              <w:t>Fshati Qafa e Mugut, 2 Burimis</w:t>
            </w:r>
          </w:p>
        </w:tc>
        <w:tc>
          <w:tcPr>
            <w:tcW w:w="1211" w:type="dxa"/>
            <w:shd w:val="clear" w:color="auto" w:fill="auto"/>
            <w:noWrap/>
            <w:vAlign w:val="center"/>
            <w:hideMark/>
          </w:tcPr>
          <w:p w14:paraId="3C213B9B"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1F86E2A" w14:textId="77777777" w:rsidR="005D784C" w:rsidRPr="00445472" w:rsidRDefault="005D784C" w:rsidP="00BB75DE">
            <w:pPr>
              <w:pStyle w:val="TABELA"/>
              <w:rPr>
                <w:lang w:val="sq-AL"/>
              </w:rPr>
            </w:pPr>
          </w:p>
        </w:tc>
        <w:tc>
          <w:tcPr>
            <w:tcW w:w="1275" w:type="dxa"/>
            <w:shd w:val="clear" w:color="auto" w:fill="auto"/>
            <w:noWrap/>
            <w:vAlign w:val="center"/>
            <w:hideMark/>
          </w:tcPr>
          <w:p w14:paraId="12A73EB1" w14:textId="77777777" w:rsidR="005D784C" w:rsidRPr="00445472" w:rsidRDefault="005D784C" w:rsidP="00DD45A9">
            <w:pPr>
              <w:pStyle w:val="TABELA"/>
              <w:jc w:val="right"/>
              <w:rPr>
                <w:lang w:val="sq-AL"/>
              </w:rPr>
            </w:pPr>
            <w:r w:rsidRPr="00445472">
              <w:rPr>
                <w:lang w:val="sq-AL"/>
              </w:rPr>
              <w:t>0.4</w:t>
            </w:r>
          </w:p>
        </w:tc>
        <w:tc>
          <w:tcPr>
            <w:tcW w:w="1276" w:type="dxa"/>
            <w:shd w:val="clear" w:color="auto" w:fill="auto"/>
            <w:noWrap/>
            <w:vAlign w:val="center"/>
            <w:hideMark/>
          </w:tcPr>
          <w:p w14:paraId="351CC253" w14:textId="77777777" w:rsidR="005D784C" w:rsidRPr="00445472" w:rsidRDefault="005D784C" w:rsidP="00DD45A9">
            <w:pPr>
              <w:pStyle w:val="TABELA"/>
              <w:jc w:val="right"/>
              <w:rPr>
                <w:lang w:val="sq-AL"/>
              </w:rPr>
            </w:pPr>
          </w:p>
        </w:tc>
      </w:tr>
      <w:tr w:rsidR="005D784C" w:rsidRPr="00445472" w14:paraId="54044902" w14:textId="77777777" w:rsidTr="00B15A6B">
        <w:trPr>
          <w:trHeight w:val="300"/>
        </w:trPr>
        <w:tc>
          <w:tcPr>
            <w:tcW w:w="709" w:type="dxa"/>
            <w:vMerge/>
            <w:shd w:val="clear" w:color="auto" w:fill="auto"/>
            <w:vAlign w:val="center"/>
            <w:hideMark/>
          </w:tcPr>
          <w:p w14:paraId="60D01B67" w14:textId="77777777" w:rsidR="005D784C" w:rsidRPr="00445472" w:rsidRDefault="005D784C" w:rsidP="00BB75DE">
            <w:pPr>
              <w:pStyle w:val="TABELA"/>
              <w:rPr>
                <w:lang w:val="sq-AL"/>
              </w:rPr>
            </w:pPr>
          </w:p>
        </w:tc>
        <w:tc>
          <w:tcPr>
            <w:tcW w:w="1920" w:type="dxa"/>
            <w:vMerge/>
            <w:shd w:val="clear" w:color="auto" w:fill="auto"/>
            <w:vAlign w:val="center"/>
            <w:hideMark/>
          </w:tcPr>
          <w:p w14:paraId="2AB81962" w14:textId="77777777" w:rsidR="005D784C" w:rsidRPr="00445472" w:rsidRDefault="005D784C" w:rsidP="00BB75DE">
            <w:pPr>
              <w:pStyle w:val="TABELA"/>
              <w:rPr>
                <w:lang w:val="sq-AL"/>
              </w:rPr>
            </w:pPr>
          </w:p>
        </w:tc>
        <w:tc>
          <w:tcPr>
            <w:tcW w:w="1478" w:type="dxa"/>
            <w:shd w:val="clear" w:color="auto" w:fill="auto"/>
            <w:vAlign w:val="center"/>
            <w:hideMark/>
          </w:tcPr>
          <w:p w14:paraId="73B28BB5" w14:textId="77777777" w:rsidR="005D784C" w:rsidRPr="00445472" w:rsidRDefault="005D784C" w:rsidP="00BB75DE">
            <w:pPr>
              <w:pStyle w:val="TABELA"/>
              <w:rPr>
                <w:lang w:val="sq-AL"/>
              </w:rPr>
            </w:pPr>
            <w:r w:rsidRPr="00445472">
              <w:rPr>
                <w:lang w:val="sq-AL"/>
              </w:rPr>
              <w:t>Fshati Shopel</w:t>
            </w:r>
          </w:p>
        </w:tc>
        <w:tc>
          <w:tcPr>
            <w:tcW w:w="1211" w:type="dxa"/>
            <w:shd w:val="clear" w:color="auto" w:fill="auto"/>
            <w:noWrap/>
            <w:vAlign w:val="center"/>
            <w:hideMark/>
          </w:tcPr>
          <w:p w14:paraId="23A6870E"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4697F7EE" w14:textId="77777777" w:rsidR="005D784C" w:rsidRPr="00445472" w:rsidRDefault="005D784C" w:rsidP="00BB75DE">
            <w:pPr>
              <w:pStyle w:val="TABELA"/>
              <w:rPr>
                <w:lang w:val="sq-AL"/>
              </w:rPr>
            </w:pPr>
          </w:p>
        </w:tc>
        <w:tc>
          <w:tcPr>
            <w:tcW w:w="1275" w:type="dxa"/>
            <w:shd w:val="clear" w:color="auto" w:fill="auto"/>
            <w:noWrap/>
            <w:vAlign w:val="center"/>
            <w:hideMark/>
          </w:tcPr>
          <w:p w14:paraId="4F0F491D" w14:textId="77777777" w:rsidR="005D784C" w:rsidRPr="00445472" w:rsidRDefault="005D784C" w:rsidP="00DD45A9">
            <w:pPr>
              <w:pStyle w:val="TABELA"/>
              <w:jc w:val="right"/>
              <w:rPr>
                <w:lang w:val="sq-AL"/>
              </w:rPr>
            </w:pPr>
            <w:r w:rsidRPr="00445472">
              <w:rPr>
                <w:lang w:val="sq-AL"/>
              </w:rPr>
              <w:t>1.1</w:t>
            </w:r>
          </w:p>
        </w:tc>
        <w:tc>
          <w:tcPr>
            <w:tcW w:w="1276" w:type="dxa"/>
            <w:shd w:val="clear" w:color="auto" w:fill="auto"/>
            <w:noWrap/>
            <w:vAlign w:val="center"/>
            <w:hideMark/>
          </w:tcPr>
          <w:p w14:paraId="1874CDB5" w14:textId="77777777" w:rsidR="005D784C" w:rsidRPr="00445472" w:rsidRDefault="005D784C" w:rsidP="00DD45A9">
            <w:pPr>
              <w:pStyle w:val="TABELA"/>
              <w:jc w:val="right"/>
              <w:rPr>
                <w:lang w:val="sq-AL"/>
              </w:rPr>
            </w:pPr>
            <w:r w:rsidRPr="00445472">
              <w:rPr>
                <w:lang w:val="sq-AL"/>
              </w:rPr>
              <w:t>150</w:t>
            </w:r>
          </w:p>
        </w:tc>
      </w:tr>
      <w:tr w:rsidR="005D784C" w:rsidRPr="00445472" w14:paraId="7D0C33E3" w14:textId="77777777" w:rsidTr="00B15A6B">
        <w:trPr>
          <w:trHeight w:val="300"/>
        </w:trPr>
        <w:tc>
          <w:tcPr>
            <w:tcW w:w="709" w:type="dxa"/>
            <w:vMerge/>
            <w:shd w:val="clear" w:color="auto" w:fill="auto"/>
            <w:vAlign w:val="center"/>
            <w:hideMark/>
          </w:tcPr>
          <w:p w14:paraId="4371AAAB" w14:textId="77777777" w:rsidR="005D784C" w:rsidRPr="00445472" w:rsidRDefault="005D784C" w:rsidP="00BB75DE">
            <w:pPr>
              <w:pStyle w:val="TABELA"/>
              <w:rPr>
                <w:lang w:val="sq-AL"/>
              </w:rPr>
            </w:pPr>
          </w:p>
        </w:tc>
        <w:tc>
          <w:tcPr>
            <w:tcW w:w="1920" w:type="dxa"/>
            <w:vMerge/>
            <w:shd w:val="clear" w:color="auto" w:fill="auto"/>
            <w:vAlign w:val="center"/>
            <w:hideMark/>
          </w:tcPr>
          <w:p w14:paraId="7AAD2CE5" w14:textId="77777777" w:rsidR="005D784C" w:rsidRPr="00445472" w:rsidRDefault="005D784C" w:rsidP="00BB75DE">
            <w:pPr>
              <w:pStyle w:val="TABELA"/>
              <w:rPr>
                <w:lang w:val="sq-AL"/>
              </w:rPr>
            </w:pPr>
          </w:p>
        </w:tc>
        <w:tc>
          <w:tcPr>
            <w:tcW w:w="1478" w:type="dxa"/>
            <w:shd w:val="clear" w:color="auto" w:fill="auto"/>
            <w:vAlign w:val="center"/>
            <w:hideMark/>
          </w:tcPr>
          <w:p w14:paraId="60A05808" w14:textId="77777777" w:rsidR="005D784C" w:rsidRPr="00445472" w:rsidRDefault="005D784C" w:rsidP="00BB75DE">
            <w:pPr>
              <w:pStyle w:val="TABELA"/>
              <w:rPr>
                <w:lang w:val="sq-AL"/>
              </w:rPr>
            </w:pPr>
            <w:r w:rsidRPr="00445472">
              <w:rPr>
                <w:lang w:val="sq-AL"/>
              </w:rPr>
              <w:t>Fshati Levozh</w:t>
            </w:r>
          </w:p>
        </w:tc>
        <w:tc>
          <w:tcPr>
            <w:tcW w:w="1211" w:type="dxa"/>
            <w:shd w:val="clear" w:color="auto" w:fill="auto"/>
            <w:noWrap/>
            <w:vAlign w:val="center"/>
            <w:hideMark/>
          </w:tcPr>
          <w:p w14:paraId="025E1B14"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F417E84" w14:textId="77777777" w:rsidR="005D784C" w:rsidRPr="00445472" w:rsidRDefault="005D784C" w:rsidP="00BB75DE">
            <w:pPr>
              <w:pStyle w:val="TABELA"/>
              <w:rPr>
                <w:lang w:val="sq-AL"/>
              </w:rPr>
            </w:pPr>
          </w:p>
        </w:tc>
        <w:tc>
          <w:tcPr>
            <w:tcW w:w="1275" w:type="dxa"/>
            <w:shd w:val="clear" w:color="auto" w:fill="auto"/>
            <w:noWrap/>
            <w:vAlign w:val="center"/>
            <w:hideMark/>
          </w:tcPr>
          <w:p w14:paraId="3E9F8D42" w14:textId="77777777" w:rsidR="005D784C" w:rsidRPr="00445472" w:rsidRDefault="005D784C" w:rsidP="00DD45A9">
            <w:pPr>
              <w:pStyle w:val="TABELA"/>
              <w:jc w:val="right"/>
              <w:rPr>
                <w:lang w:val="sq-AL"/>
              </w:rPr>
            </w:pPr>
            <w:r w:rsidRPr="00445472">
              <w:rPr>
                <w:lang w:val="sq-AL"/>
              </w:rPr>
              <w:t>1.2</w:t>
            </w:r>
          </w:p>
        </w:tc>
        <w:tc>
          <w:tcPr>
            <w:tcW w:w="1276" w:type="dxa"/>
            <w:shd w:val="clear" w:color="auto" w:fill="auto"/>
            <w:noWrap/>
            <w:vAlign w:val="center"/>
            <w:hideMark/>
          </w:tcPr>
          <w:p w14:paraId="09FAFEC3" w14:textId="77777777" w:rsidR="005D784C" w:rsidRPr="00445472" w:rsidRDefault="005D784C" w:rsidP="00DD45A9">
            <w:pPr>
              <w:pStyle w:val="TABELA"/>
              <w:jc w:val="right"/>
              <w:rPr>
                <w:lang w:val="sq-AL"/>
              </w:rPr>
            </w:pPr>
            <w:r w:rsidRPr="00445472">
              <w:rPr>
                <w:lang w:val="sq-AL"/>
              </w:rPr>
              <w:t>182</w:t>
            </w:r>
          </w:p>
        </w:tc>
      </w:tr>
      <w:tr w:rsidR="005D784C" w:rsidRPr="00445472" w14:paraId="25075B47" w14:textId="77777777" w:rsidTr="00B15A6B">
        <w:trPr>
          <w:trHeight w:val="300"/>
        </w:trPr>
        <w:tc>
          <w:tcPr>
            <w:tcW w:w="709" w:type="dxa"/>
            <w:vMerge/>
            <w:shd w:val="clear" w:color="auto" w:fill="auto"/>
            <w:vAlign w:val="center"/>
            <w:hideMark/>
          </w:tcPr>
          <w:p w14:paraId="582F7C61" w14:textId="77777777" w:rsidR="005D784C" w:rsidRPr="00445472" w:rsidRDefault="005D784C" w:rsidP="00BB75DE">
            <w:pPr>
              <w:pStyle w:val="TABELA"/>
              <w:rPr>
                <w:lang w:val="sq-AL"/>
              </w:rPr>
            </w:pPr>
          </w:p>
        </w:tc>
        <w:tc>
          <w:tcPr>
            <w:tcW w:w="1920" w:type="dxa"/>
            <w:vMerge/>
            <w:shd w:val="clear" w:color="auto" w:fill="auto"/>
            <w:vAlign w:val="center"/>
            <w:hideMark/>
          </w:tcPr>
          <w:p w14:paraId="30C38B40" w14:textId="77777777" w:rsidR="005D784C" w:rsidRPr="00445472" w:rsidRDefault="005D784C" w:rsidP="00BB75DE">
            <w:pPr>
              <w:pStyle w:val="TABELA"/>
              <w:rPr>
                <w:lang w:val="sq-AL"/>
              </w:rPr>
            </w:pPr>
          </w:p>
        </w:tc>
        <w:tc>
          <w:tcPr>
            <w:tcW w:w="1478" w:type="dxa"/>
            <w:shd w:val="clear" w:color="auto" w:fill="auto"/>
            <w:vAlign w:val="center"/>
            <w:hideMark/>
          </w:tcPr>
          <w:p w14:paraId="58C1F34F" w14:textId="77777777" w:rsidR="005D784C" w:rsidRPr="00445472" w:rsidRDefault="005D784C" w:rsidP="00BB75DE">
            <w:pPr>
              <w:pStyle w:val="TABELA"/>
              <w:rPr>
                <w:lang w:val="sq-AL"/>
              </w:rPr>
            </w:pPr>
            <w:r w:rsidRPr="00445472">
              <w:rPr>
                <w:lang w:val="sq-AL"/>
              </w:rPr>
              <w:t>Fshati Majsa</w:t>
            </w:r>
          </w:p>
        </w:tc>
        <w:tc>
          <w:tcPr>
            <w:tcW w:w="1211" w:type="dxa"/>
            <w:shd w:val="clear" w:color="auto" w:fill="auto"/>
            <w:noWrap/>
            <w:vAlign w:val="center"/>
            <w:hideMark/>
          </w:tcPr>
          <w:p w14:paraId="23A00E78"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4E57D33B" w14:textId="77777777" w:rsidR="005D784C" w:rsidRPr="00445472" w:rsidRDefault="005D784C" w:rsidP="00BB75DE">
            <w:pPr>
              <w:pStyle w:val="TABELA"/>
              <w:rPr>
                <w:lang w:val="sq-AL"/>
              </w:rPr>
            </w:pPr>
          </w:p>
        </w:tc>
        <w:tc>
          <w:tcPr>
            <w:tcW w:w="1275" w:type="dxa"/>
            <w:shd w:val="clear" w:color="auto" w:fill="auto"/>
            <w:noWrap/>
            <w:vAlign w:val="center"/>
            <w:hideMark/>
          </w:tcPr>
          <w:p w14:paraId="1A4F5CC5" w14:textId="77777777" w:rsidR="005D784C" w:rsidRPr="00445472" w:rsidRDefault="005D784C" w:rsidP="00DD45A9">
            <w:pPr>
              <w:pStyle w:val="TABELA"/>
              <w:jc w:val="right"/>
              <w:rPr>
                <w:lang w:val="sq-AL"/>
              </w:rPr>
            </w:pPr>
            <w:r w:rsidRPr="00445472">
              <w:rPr>
                <w:lang w:val="sq-AL"/>
              </w:rPr>
              <w:t>0.5</w:t>
            </w:r>
          </w:p>
        </w:tc>
        <w:tc>
          <w:tcPr>
            <w:tcW w:w="1276" w:type="dxa"/>
            <w:shd w:val="clear" w:color="auto" w:fill="auto"/>
            <w:noWrap/>
            <w:vAlign w:val="center"/>
            <w:hideMark/>
          </w:tcPr>
          <w:p w14:paraId="71A6BF57" w14:textId="77777777" w:rsidR="005D784C" w:rsidRPr="00445472" w:rsidRDefault="005D784C" w:rsidP="00DD45A9">
            <w:pPr>
              <w:pStyle w:val="TABELA"/>
              <w:jc w:val="right"/>
              <w:rPr>
                <w:lang w:val="sq-AL"/>
              </w:rPr>
            </w:pPr>
          </w:p>
        </w:tc>
      </w:tr>
      <w:tr w:rsidR="005D784C" w:rsidRPr="00445472" w14:paraId="66A17AD6" w14:textId="77777777" w:rsidTr="00B15A6B">
        <w:trPr>
          <w:trHeight w:val="300"/>
        </w:trPr>
        <w:tc>
          <w:tcPr>
            <w:tcW w:w="709" w:type="dxa"/>
            <w:vMerge/>
            <w:shd w:val="clear" w:color="auto" w:fill="auto"/>
            <w:vAlign w:val="center"/>
            <w:hideMark/>
          </w:tcPr>
          <w:p w14:paraId="26457136" w14:textId="77777777" w:rsidR="005D784C" w:rsidRPr="00445472" w:rsidRDefault="005D784C" w:rsidP="00BB75DE">
            <w:pPr>
              <w:pStyle w:val="TABELA"/>
              <w:rPr>
                <w:lang w:val="sq-AL"/>
              </w:rPr>
            </w:pPr>
          </w:p>
        </w:tc>
        <w:tc>
          <w:tcPr>
            <w:tcW w:w="1920" w:type="dxa"/>
            <w:vMerge/>
            <w:shd w:val="clear" w:color="auto" w:fill="auto"/>
            <w:vAlign w:val="center"/>
            <w:hideMark/>
          </w:tcPr>
          <w:p w14:paraId="5114E3DB" w14:textId="77777777" w:rsidR="005D784C" w:rsidRPr="00445472" w:rsidRDefault="005D784C" w:rsidP="00BB75DE">
            <w:pPr>
              <w:pStyle w:val="TABELA"/>
              <w:rPr>
                <w:lang w:val="sq-AL"/>
              </w:rPr>
            </w:pPr>
          </w:p>
        </w:tc>
        <w:tc>
          <w:tcPr>
            <w:tcW w:w="1478" w:type="dxa"/>
            <w:shd w:val="clear" w:color="auto" w:fill="auto"/>
            <w:vAlign w:val="center"/>
            <w:hideMark/>
          </w:tcPr>
          <w:p w14:paraId="29762E17" w14:textId="77777777" w:rsidR="005D784C" w:rsidRPr="00445472" w:rsidRDefault="005D784C" w:rsidP="00BB75DE">
            <w:pPr>
              <w:pStyle w:val="TABELA"/>
              <w:rPr>
                <w:lang w:val="sq-AL"/>
              </w:rPr>
            </w:pPr>
            <w:r w:rsidRPr="00445472">
              <w:rPr>
                <w:lang w:val="sq-AL"/>
              </w:rPr>
              <w:t>Fshati Gjegjan</w:t>
            </w:r>
          </w:p>
        </w:tc>
        <w:tc>
          <w:tcPr>
            <w:tcW w:w="1211" w:type="dxa"/>
            <w:shd w:val="clear" w:color="auto" w:fill="auto"/>
            <w:noWrap/>
            <w:vAlign w:val="center"/>
            <w:hideMark/>
          </w:tcPr>
          <w:p w14:paraId="35D2E08D"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75FD63E6" w14:textId="77777777" w:rsidR="005D784C" w:rsidRPr="00445472" w:rsidRDefault="005D784C" w:rsidP="00BB75DE">
            <w:pPr>
              <w:pStyle w:val="TABELA"/>
              <w:rPr>
                <w:lang w:val="sq-AL"/>
              </w:rPr>
            </w:pPr>
          </w:p>
        </w:tc>
        <w:tc>
          <w:tcPr>
            <w:tcW w:w="1275" w:type="dxa"/>
            <w:shd w:val="clear" w:color="auto" w:fill="auto"/>
            <w:noWrap/>
            <w:vAlign w:val="center"/>
            <w:hideMark/>
          </w:tcPr>
          <w:p w14:paraId="14EE773A" w14:textId="77777777" w:rsidR="005D784C" w:rsidRPr="00445472" w:rsidRDefault="005D784C" w:rsidP="00DD45A9">
            <w:pPr>
              <w:pStyle w:val="TABELA"/>
              <w:jc w:val="right"/>
              <w:rPr>
                <w:lang w:val="sq-AL"/>
              </w:rPr>
            </w:pPr>
            <w:r w:rsidRPr="00445472">
              <w:rPr>
                <w:lang w:val="sq-AL"/>
              </w:rPr>
              <w:t>3.2</w:t>
            </w:r>
          </w:p>
        </w:tc>
        <w:tc>
          <w:tcPr>
            <w:tcW w:w="1276" w:type="dxa"/>
            <w:shd w:val="clear" w:color="auto" w:fill="auto"/>
            <w:noWrap/>
            <w:vAlign w:val="center"/>
            <w:hideMark/>
          </w:tcPr>
          <w:p w14:paraId="1B60AB8A" w14:textId="77777777" w:rsidR="005D784C" w:rsidRPr="00445472" w:rsidRDefault="005D784C" w:rsidP="00DD45A9">
            <w:pPr>
              <w:pStyle w:val="TABELA"/>
              <w:jc w:val="right"/>
              <w:rPr>
                <w:lang w:val="sq-AL"/>
              </w:rPr>
            </w:pPr>
            <w:r w:rsidRPr="00445472">
              <w:rPr>
                <w:lang w:val="sq-AL"/>
              </w:rPr>
              <w:t>976</w:t>
            </w:r>
          </w:p>
        </w:tc>
      </w:tr>
      <w:tr w:rsidR="005D784C" w:rsidRPr="00445472" w14:paraId="0B0BFF79" w14:textId="77777777" w:rsidTr="00B15A6B">
        <w:trPr>
          <w:trHeight w:val="300"/>
        </w:trPr>
        <w:tc>
          <w:tcPr>
            <w:tcW w:w="709" w:type="dxa"/>
            <w:vMerge/>
            <w:shd w:val="clear" w:color="auto" w:fill="auto"/>
            <w:vAlign w:val="center"/>
            <w:hideMark/>
          </w:tcPr>
          <w:p w14:paraId="5BF25C4D" w14:textId="77777777" w:rsidR="005D784C" w:rsidRPr="00445472" w:rsidRDefault="005D784C" w:rsidP="00BB75DE">
            <w:pPr>
              <w:pStyle w:val="TABELA"/>
              <w:rPr>
                <w:lang w:val="sq-AL"/>
              </w:rPr>
            </w:pPr>
          </w:p>
        </w:tc>
        <w:tc>
          <w:tcPr>
            <w:tcW w:w="1920" w:type="dxa"/>
            <w:vMerge/>
            <w:shd w:val="clear" w:color="auto" w:fill="auto"/>
            <w:vAlign w:val="center"/>
            <w:hideMark/>
          </w:tcPr>
          <w:p w14:paraId="7BCBD9C6" w14:textId="77777777" w:rsidR="005D784C" w:rsidRPr="00445472" w:rsidRDefault="005D784C" w:rsidP="00BB75DE">
            <w:pPr>
              <w:pStyle w:val="TABELA"/>
              <w:rPr>
                <w:lang w:val="sq-AL"/>
              </w:rPr>
            </w:pPr>
          </w:p>
        </w:tc>
        <w:tc>
          <w:tcPr>
            <w:tcW w:w="1478" w:type="dxa"/>
            <w:shd w:val="clear" w:color="auto" w:fill="auto"/>
            <w:vAlign w:val="center"/>
            <w:hideMark/>
          </w:tcPr>
          <w:p w14:paraId="566E7F08" w14:textId="77777777" w:rsidR="005D784C" w:rsidRPr="00445472" w:rsidRDefault="005D784C" w:rsidP="00BB75DE">
            <w:pPr>
              <w:pStyle w:val="TABELA"/>
              <w:rPr>
                <w:lang w:val="sq-AL"/>
              </w:rPr>
            </w:pPr>
            <w:r w:rsidRPr="00445472">
              <w:rPr>
                <w:lang w:val="sq-AL"/>
              </w:rPr>
              <w:t>Fshati Dom</w:t>
            </w:r>
          </w:p>
        </w:tc>
        <w:tc>
          <w:tcPr>
            <w:tcW w:w="1211" w:type="dxa"/>
            <w:shd w:val="clear" w:color="auto" w:fill="auto"/>
            <w:noWrap/>
            <w:vAlign w:val="center"/>
            <w:hideMark/>
          </w:tcPr>
          <w:p w14:paraId="680C4AB8"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3A9B5580" w14:textId="77777777" w:rsidR="005D784C" w:rsidRPr="00445472" w:rsidRDefault="005D784C" w:rsidP="00BB75DE">
            <w:pPr>
              <w:pStyle w:val="TABELA"/>
              <w:rPr>
                <w:lang w:val="sq-AL"/>
              </w:rPr>
            </w:pPr>
          </w:p>
        </w:tc>
        <w:tc>
          <w:tcPr>
            <w:tcW w:w="1275" w:type="dxa"/>
            <w:shd w:val="clear" w:color="auto" w:fill="auto"/>
            <w:noWrap/>
            <w:vAlign w:val="center"/>
            <w:hideMark/>
          </w:tcPr>
          <w:p w14:paraId="742BF579" w14:textId="77777777" w:rsidR="005D784C" w:rsidRPr="00445472" w:rsidRDefault="005D784C" w:rsidP="00DD45A9">
            <w:pPr>
              <w:pStyle w:val="TABELA"/>
              <w:jc w:val="right"/>
              <w:rPr>
                <w:lang w:val="sq-AL"/>
              </w:rPr>
            </w:pPr>
            <w:r w:rsidRPr="00445472">
              <w:rPr>
                <w:lang w:val="sq-AL"/>
              </w:rPr>
              <w:t>0.5</w:t>
            </w:r>
          </w:p>
        </w:tc>
        <w:tc>
          <w:tcPr>
            <w:tcW w:w="1276" w:type="dxa"/>
            <w:shd w:val="clear" w:color="auto" w:fill="auto"/>
            <w:noWrap/>
            <w:vAlign w:val="center"/>
            <w:hideMark/>
          </w:tcPr>
          <w:p w14:paraId="55752B53" w14:textId="77777777" w:rsidR="005D784C" w:rsidRPr="00445472" w:rsidRDefault="005D784C" w:rsidP="00DD45A9">
            <w:pPr>
              <w:pStyle w:val="TABELA"/>
              <w:jc w:val="right"/>
              <w:rPr>
                <w:lang w:val="sq-AL"/>
              </w:rPr>
            </w:pPr>
          </w:p>
        </w:tc>
      </w:tr>
      <w:tr w:rsidR="005D784C" w:rsidRPr="00445472" w14:paraId="3C49E784" w14:textId="77777777" w:rsidTr="00B15A6B">
        <w:trPr>
          <w:trHeight w:val="300"/>
        </w:trPr>
        <w:tc>
          <w:tcPr>
            <w:tcW w:w="709" w:type="dxa"/>
            <w:vMerge/>
            <w:shd w:val="clear" w:color="auto" w:fill="auto"/>
            <w:vAlign w:val="center"/>
            <w:hideMark/>
          </w:tcPr>
          <w:p w14:paraId="66548325" w14:textId="77777777" w:rsidR="005D784C" w:rsidRPr="00445472" w:rsidRDefault="005D784C" w:rsidP="00BB75DE">
            <w:pPr>
              <w:pStyle w:val="TABELA"/>
              <w:rPr>
                <w:lang w:val="sq-AL"/>
              </w:rPr>
            </w:pPr>
          </w:p>
        </w:tc>
        <w:tc>
          <w:tcPr>
            <w:tcW w:w="1920" w:type="dxa"/>
            <w:vMerge/>
            <w:shd w:val="clear" w:color="auto" w:fill="auto"/>
            <w:vAlign w:val="center"/>
            <w:hideMark/>
          </w:tcPr>
          <w:p w14:paraId="53381980" w14:textId="77777777" w:rsidR="005D784C" w:rsidRPr="00445472" w:rsidRDefault="005D784C" w:rsidP="00BB75DE">
            <w:pPr>
              <w:pStyle w:val="TABELA"/>
              <w:rPr>
                <w:lang w:val="sq-AL"/>
              </w:rPr>
            </w:pPr>
          </w:p>
        </w:tc>
        <w:tc>
          <w:tcPr>
            <w:tcW w:w="1478" w:type="dxa"/>
            <w:shd w:val="clear" w:color="auto" w:fill="auto"/>
            <w:vAlign w:val="center"/>
            <w:hideMark/>
          </w:tcPr>
          <w:p w14:paraId="2A373565" w14:textId="77777777" w:rsidR="005D784C" w:rsidRPr="00445472" w:rsidRDefault="005D784C" w:rsidP="00BB75DE">
            <w:pPr>
              <w:pStyle w:val="TABELA"/>
              <w:rPr>
                <w:lang w:val="sq-AL"/>
              </w:rPr>
            </w:pPr>
            <w:r w:rsidRPr="00445472">
              <w:rPr>
                <w:lang w:val="sq-AL"/>
              </w:rPr>
              <w:t>Fshati Kalivarë</w:t>
            </w:r>
          </w:p>
        </w:tc>
        <w:tc>
          <w:tcPr>
            <w:tcW w:w="1211" w:type="dxa"/>
            <w:shd w:val="clear" w:color="auto" w:fill="auto"/>
            <w:noWrap/>
            <w:vAlign w:val="center"/>
            <w:hideMark/>
          </w:tcPr>
          <w:p w14:paraId="23081AC4"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8F79817"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1D925764" w14:textId="77777777" w:rsidR="005D784C" w:rsidRPr="00445472" w:rsidRDefault="005D784C" w:rsidP="00DD45A9">
            <w:pPr>
              <w:pStyle w:val="TABELA"/>
              <w:jc w:val="right"/>
              <w:rPr>
                <w:lang w:val="sq-AL"/>
              </w:rPr>
            </w:pPr>
            <w:r w:rsidRPr="00445472">
              <w:rPr>
                <w:lang w:val="sq-AL"/>
              </w:rPr>
              <w:t>0.9</w:t>
            </w:r>
          </w:p>
        </w:tc>
        <w:tc>
          <w:tcPr>
            <w:tcW w:w="1276" w:type="dxa"/>
            <w:shd w:val="clear" w:color="auto" w:fill="auto"/>
            <w:noWrap/>
            <w:vAlign w:val="center"/>
            <w:hideMark/>
          </w:tcPr>
          <w:p w14:paraId="122F512D" w14:textId="77777777" w:rsidR="005D784C" w:rsidRPr="00445472" w:rsidRDefault="005D784C" w:rsidP="00DD45A9">
            <w:pPr>
              <w:pStyle w:val="TABELA"/>
              <w:jc w:val="right"/>
              <w:rPr>
                <w:lang w:val="sq-AL"/>
              </w:rPr>
            </w:pPr>
            <w:r w:rsidRPr="00445472">
              <w:rPr>
                <w:lang w:val="sq-AL"/>
              </w:rPr>
              <w:t>233</w:t>
            </w:r>
          </w:p>
        </w:tc>
      </w:tr>
      <w:tr w:rsidR="005D784C" w:rsidRPr="00445472" w14:paraId="035B5295" w14:textId="77777777" w:rsidTr="00B15A6B">
        <w:trPr>
          <w:trHeight w:val="300"/>
        </w:trPr>
        <w:tc>
          <w:tcPr>
            <w:tcW w:w="709" w:type="dxa"/>
            <w:vMerge/>
            <w:shd w:val="clear" w:color="auto" w:fill="auto"/>
            <w:vAlign w:val="center"/>
            <w:hideMark/>
          </w:tcPr>
          <w:p w14:paraId="7A438752" w14:textId="77777777" w:rsidR="005D784C" w:rsidRPr="00445472" w:rsidRDefault="005D784C" w:rsidP="00BB75DE">
            <w:pPr>
              <w:pStyle w:val="TABELA"/>
              <w:rPr>
                <w:lang w:val="sq-AL"/>
              </w:rPr>
            </w:pPr>
          </w:p>
        </w:tc>
        <w:tc>
          <w:tcPr>
            <w:tcW w:w="1920" w:type="dxa"/>
            <w:vMerge/>
            <w:shd w:val="clear" w:color="auto" w:fill="auto"/>
            <w:vAlign w:val="center"/>
            <w:hideMark/>
          </w:tcPr>
          <w:p w14:paraId="0BAB42DD" w14:textId="77777777" w:rsidR="005D784C" w:rsidRPr="00445472" w:rsidRDefault="005D784C" w:rsidP="00BB75DE">
            <w:pPr>
              <w:pStyle w:val="TABELA"/>
              <w:rPr>
                <w:lang w:val="sq-AL"/>
              </w:rPr>
            </w:pPr>
          </w:p>
        </w:tc>
        <w:tc>
          <w:tcPr>
            <w:tcW w:w="1478" w:type="dxa"/>
            <w:shd w:val="clear" w:color="auto" w:fill="auto"/>
            <w:vAlign w:val="center"/>
            <w:hideMark/>
          </w:tcPr>
          <w:p w14:paraId="4430C551" w14:textId="77777777" w:rsidR="005D784C" w:rsidRPr="00445472" w:rsidRDefault="005D784C" w:rsidP="00BB75DE">
            <w:pPr>
              <w:pStyle w:val="TABELA"/>
              <w:rPr>
                <w:lang w:val="sq-AL"/>
              </w:rPr>
            </w:pPr>
            <w:r w:rsidRPr="00445472">
              <w:rPr>
                <w:lang w:val="sq-AL"/>
              </w:rPr>
              <w:t>Fshati Shkoz</w:t>
            </w:r>
          </w:p>
        </w:tc>
        <w:tc>
          <w:tcPr>
            <w:tcW w:w="1211" w:type="dxa"/>
            <w:shd w:val="clear" w:color="auto" w:fill="auto"/>
            <w:noWrap/>
            <w:vAlign w:val="center"/>
            <w:hideMark/>
          </w:tcPr>
          <w:p w14:paraId="1E0E94A3"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3068ED62" w14:textId="77777777" w:rsidR="005D784C" w:rsidRPr="00445472" w:rsidRDefault="005D784C" w:rsidP="00BB75DE">
            <w:pPr>
              <w:pStyle w:val="TABELA"/>
              <w:rPr>
                <w:lang w:val="sq-AL"/>
              </w:rPr>
            </w:pPr>
          </w:p>
        </w:tc>
        <w:tc>
          <w:tcPr>
            <w:tcW w:w="1275" w:type="dxa"/>
            <w:shd w:val="clear" w:color="auto" w:fill="auto"/>
            <w:noWrap/>
            <w:vAlign w:val="center"/>
            <w:hideMark/>
          </w:tcPr>
          <w:p w14:paraId="44679CF9" w14:textId="77777777" w:rsidR="005D784C" w:rsidRPr="00445472" w:rsidRDefault="005D784C" w:rsidP="00DD45A9">
            <w:pPr>
              <w:pStyle w:val="TABELA"/>
              <w:jc w:val="right"/>
              <w:rPr>
                <w:lang w:val="sq-AL"/>
              </w:rPr>
            </w:pPr>
            <w:r w:rsidRPr="00445472">
              <w:rPr>
                <w:lang w:val="sq-AL"/>
              </w:rPr>
              <w:t>0.3</w:t>
            </w:r>
          </w:p>
        </w:tc>
        <w:tc>
          <w:tcPr>
            <w:tcW w:w="1276" w:type="dxa"/>
            <w:shd w:val="clear" w:color="auto" w:fill="auto"/>
            <w:noWrap/>
            <w:vAlign w:val="center"/>
            <w:hideMark/>
          </w:tcPr>
          <w:p w14:paraId="55FDC42A" w14:textId="77777777" w:rsidR="005D784C" w:rsidRPr="00445472" w:rsidRDefault="005D784C" w:rsidP="00DD45A9">
            <w:pPr>
              <w:pStyle w:val="TABELA"/>
              <w:jc w:val="right"/>
              <w:rPr>
                <w:lang w:val="sq-AL"/>
              </w:rPr>
            </w:pPr>
          </w:p>
        </w:tc>
      </w:tr>
      <w:tr w:rsidR="005D784C" w:rsidRPr="00445472" w14:paraId="56C9CCBC" w14:textId="77777777" w:rsidTr="00B15A6B">
        <w:trPr>
          <w:trHeight w:val="300"/>
        </w:trPr>
        <w:tc>
          <w:tcPr>
            <w:tcW w:w="709" w:type="dxa"/>
            <w:vMerge/>
            <w:shd w:val="clear" w:color="auto" w:fill="auto"/>
            <w:vAlign w:val="center"/>
            <w:hideMark/>
          </w:tcPr>
          <w:p w14:paraId="617BD101" w14:textId="77777777" w:rsidR="005D784C" w:rsidRPr="00445472" w:rsidRDefault="005D784C" w:rsidP="00BB75DE">
            <w:pPr>
              <w:pStyle w:val="TABELA"/>
              <w:rPr>
                <w:lang w:val="sq-AL"/>
              </w:rPr>
            </w:pPr>
          </w:p>
        </w:tc>
        <w:tc>
          <w:tcPr>
            <w:tcW w:w="1920" w:type="dxa"/>
            <w:vMerge/>
            <w:shd w:val="clear" w:color="auto" w:fill="auto"/>
            <w:vAlign w:val="center"/>
            <w:hideMark/>
          </w:tcPr>
          <w:p w14:paraId="660DFA03" w14:textId="77777777" w:rsidR="005D784C" w:rsidRPr="00445472" w:rsidRDefault="005D784C" w:rsidP="00BB75DE">
            <w:pPr>
              <w:pStyle w:val="TABELA"/>
              <w:rPr>
                <w:lang w:val="sq-AL"/>
              </w:rPr>
            </w:pPr>
          </w:p>
        </w:tc>
        <w:tc>
          <w:tcPr>
            <w:tcW w:w="1478" w:type="dxa"/>
            <w:shd w:val="clear" w:color="auto" w:fill="auto"/>
            <w:vAlign w:val="center"/>
            <w:hideMark/>
          </w:tcPr>
          <w:p w14:paraId="413D3F73" w14:textId="77777777" w:rsidR="005D784C" w:rsidRPr="00445472" w:rsidRDefault="005D784C" w:rsidP="00BB75DE">
            <w:pPr>
              <w:pStyle w:val="TABELA"/>
              <w:rPr>
                <w:lang w:val="sq-AL"/>
              </w:rPr>
            </w:pPr>
            <w:r w:rsidRPr="00445472">
              <w:rPr>
                <w:lang w:val="sq-AL"/>
              </w:rPr>
              <w:t>Fshati Gojan i Madh, 1Burimi</w:t>
            </w:r>
          </w:p>
        </w:tc>
        <w:tc>
          <w:tcPr>
            <w:tcW w:w="1211" w:type="dxa"/>
            <w:shd w:val="clear" w:color="auto" w:fill="auto"/>
            <w:noWrap/>
            <w:vAlign w:val="center"/>
            <w:hideMark/>
          </w:tcPr>
          <w:p w14:paraId="65B7EA01"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B99104A"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1A12BE40" w14:textId="77777777" w:rsidR="005D784C" w:rsidRPr="00445472" w:rsidRDefault="005D784C" w:rsidP="00DD45A9">
            <w:pPr>
              <w:pStyle w:val="TABELA"/>
              <w:jc w:val="right"/>
              <w:rPr>
                <w:lang w:val="sq-AL"/>
              </w:rPr>
            </w:pPr>
            <w:r w:rsidRPr="00445472">
              <w:rPr>
                <w:lang w:val="sq-AL"/>
              </w:rPr>
              <w:t>1.01</w:t>
            </w:r>
          </w:p>
        </w:tc>
        <w:tc>
          <w:tcPr>
            <w:tcW w:w="1276" w:type="dxa"/>
            <w:shd w:val="clear" w:color="auto" w:fill="auto"/>
            <w:noWrap/>
            <w:vAlign w:val="center"/>
            <w:hideMark/>
          </w:tcPr>
          <w:p w14:paraId="5C196F25" w14:textId="77777777" w:rsidR="005D784C" w:rsidRPr="00445472" w:rsidRDefault="005D784C" w:rsidP="00DD45A9">
            <w:pPr>
              <w:pStyle w:val="TABELA"/>
              <w:jc w:val="right"/>
              <w:rPr>
                <w:lang w:val="sq-AL"/>
              </w:rPr>
            </w:pPr>
            <w:r w:rsidRPr="00445472">
              <w:rPr>
                <w:lang w:val="sq-AL"/>
              </w:rPr>
              <w:t>885</w:t>
            </w:r>
          </w:p>
        </w:tc>
      </w:tr>
      <w:tr w:rsidR="005D784C" w:rsidRPr="00445472" w14:paraId="7A7D7882" w14:textId="77777777" w:rsidTr="00B15A6B">
        <w:trPr>
          <w:trHeight w:val="300"/>
        </w:trPr>
        <w:tc>
          <w:tcPr>
            <w:tcW w:w="709" w:type="dxa"/>
            <w:vMerge/>
            <w:shd w:val="clear" w:color="auto" w:fill="auto"/>
            <w:vAlign w:val="center"/>
            <w:hideMark/>
          </w:tcPr>
          <w:p w14:paraId="16C03086" w14:textId="77777777" w:rsidR="005D784C" w:rsidRPr="00445472" w:rsidRDefault="005D784C" w:rsidP="00BB75DE">
            <w:pPr>
              <w:pStyle w:val="TABELA"/>
              <w:rPr>
                <w:lang w:val="sq-AL"/>
              </w:rPr>
            </w:pPr>
          </w:p>
        </w:tc>
        <w:tc>
          <w:tcPr>
            <w:tcW w:w="1920" w:type="dxa"/>
            <w:vMerge/>
            <w:shd w:val="clear" w:color="auto" w:fill="auto"/>
            <w:vAlign w:val="center"/>
            <w:hideMark/>
          </w:tcPr>
          <w:p w14:paraId="6612518E" w14:textId="77777777" w:rsidR="005D784C" w:rsidRPr="00445472" w:rsidRDefault="005D784C" w:rsidP="00BB75DE">
            <w:pPr>
              <w:pStyle w:val="TABELA"/>
              <w:rPr>
                <w:lang w:val="sq-AL"/>
              </w:rPr>
            </w:pPr>
          </w:p>
        </w:tc>
        <w:tc>
          <w:tcPr>
            <w:tcW w:w="1478" w:type="dxa"/>
            <w:shd w:val="clear" w:color="auto" w:fill="auto"/>
            <w:vAlign w:val="center"/>
            <w:hideMark/>
          </w:tcPr>
          <w:p w14:paraId="67CF9C5C" w14:textId="2C92A5B2" w:rsidR="005D784C" w:rsidRPr="00445472" w:rsidRDefault="005D784C" w:rsidP="00BB75DE">
            <w:pPr>
              <w:pStyle w:val="TABELA"/>
              <w:rPr>
                <w:lang w:val="sq-AL"/>
              </w:rPr>
            </w:pPr>
            <w:r w:rsidRPr="00445472">
              <w:rPr>
                <w:lang w:val="sq-AL"/>
              </w:rPr>
              <w:t xml:space="preserve">Fshati Gojan i </w:t>
            </w:r>
            <w:r w:rsidR="00DD45A9" w:rsidRPr="00445472">
              <w:rPr>
                <w:lang w:val="sq-AL"/>
              </w:rPr>
              <w:t>Vogël</w:t>
            </w:r>
            <w:r w:rsidRPr="00445472">
              <w:rPr>
                <w:lang w:val="sq-AL"/>
              </w:rPr>
              <w:t xml:space="preserve"> -Burim</w:t>
            </w:r>
          </w:p>
        </w:tc>
        <w:tc>
          <w:tcPr>
            <w:tcW w:w="1211" w:type="dxa"/>
            <w:shd w:val="clear" w:color="auto" w:fill="auto"/>
            <w:noWrap/>
            <w:vAlign w:val="center"/>
            <w:hideMark/>
          </w:tcPr>
          <w:p w14:paraId="22AE6538"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176DC91F"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69C97171" w14:textId="77777777" w:rsidR="005D784C" w:rsidRPr="00445472" w:rsidRDefault="005D784C" w:rsidP="00BB75DE">
            <w:pPr>
              <w:pStyle w:val="TABELA"/>
              <w:rPr>
                <w:lang w:val="sq-AL"/>
              </w:rPr>
            </w:pPr>
            <w:r w:rsidRPr="00445472">
              <w:rPr>
                <w:lang w:val="sq-AL"/>
              </w:rPr>
              <w:t>1.6</w:t>
            </w:r>
          </w:p>
        </w:tc>
        <w:tc>
          <w:tcPr>
            <w:tcW w:w="1276" w:type="dxa"/>
            <w:shd w:val="clear" w:color="auto" w:fill="auto"/>
            <w:noWrap/>
            <w:vAlign w:val="center"/>
            <w:hideMark/>
          </w:tcPr>
          <w:p w14:paraId="7011EB51" w14:textId="77777777" w:rsidR="005D784C" w:rsidRPr="00445472" w:rsidRDefault="005D784C" w:rsidP="00BB75DE">
            <w:pPr>
              <w:pStyle w:val="TABELA"/>
              <w:rPr>
                <w:lang w:val="sq-AL"/>
              </w:rPr>
            </w:pPr>
            <w:r w:rsidRPr="00445472">
              <w:rPr>
                <w:lang w:val="sq-AL"/>
              </w:rPr>
              <w:t>499</w:t>
            </w:r>
          </w:p>
        </w:tc>
      </w:tr>
      <w:tr w:rsidR="005D784C" w:rsidRPr="00445472" w14:paraId="684534FF" w14:textId="77777777" w:rsidTr="00B15A6B">
        <w:trPr>
          <w:trHeight w:val="300"/>
        </w:trPr>
        <w:tc>
          <w:tcPr>
            <w:tcW w:w="709" w:type="dxa"/>
            <w:vMerge w:val="restart"/>
            <w:shd w:val="clear" w:color="auto" w:fill="auto"/>
            <w:noWrap/>
            <w:vAlign w:val="center"/>
            <w:hideMark/>
          </w:tcPr>
          <w:p w14:paraId="3A851D9F" w14:textId="77777777" w:rsidR="005D784C" w:rsidRPr="00445472" w:rsidRDefault="005D784C" w:rsidP="00BB75DE">
            <w:pPr>
              <w:pStyle w:val="TABELA"/>
              <w:rPr>
                <w:lang w:val="sq-AL"/>
              </w:rPr>
            </w:pPr>
            <w:r w:rsidRPr="00445472">
              <w:rPr>
                <w:lang w:val="sq-AL"/>
              </w:rPr>
              <w:t>7</w:t>
            </w:r>
          </w:p>
        </w:tc>
        <w:tc>
          <w:tcPr>
            <w:tcW w:w="1920" w:type="dxa"/>
            <w:vMerge w:val="restart"/>
            <w:shd w:val="clear" w:color="auto" w:fill="auto"/>
            <w:noWrap/>
            <w:vAlign w:val="center"/>
            <w:hideMark/>
          </w:tcPr>
          <w:p w14:paraId="401A61DD" w14:textId="77777777" w:rsidR="00DD45A9" w:rsidRPr="00445472" w:rsidRDefault="005D784C" w:rsidP="00DD45A9">
            <w:pPr>
              <w:pStyle w:val="TABELA"/>
              <w:rPr>
                <w:lang w:val="sq-AL"/>
              </w:rPr>
            </w:pPr>
            <w:r w:rsidRPr="00445472">
              <w:rPr>
                <w:lang w:val="sq-AL"/>
              </w:rPr>
              <w:t>Furnizimi me ujë</w:t>
            </w:r>
          </w:p>
          <w:p w14:paraId="1FCE231F" w14:textId="4B1E448C" w:rsidR="005D784C" w:rsidRPr="00445472" w:rsidRDefault="00DD45A9" w:rsidP="00DD45A9">
            <w:pPr>
              <w:pStyle w:val="TABELA"/>
              <w:rPr>
                <w:lang w:val="sq-AL"/>
              </w:rPr>
            </w:pPr>
            <w:r w:rsidRPr="00445472">
              <w:rPr>
                <w:lang w:val="sq-AL"/>
              </w:rPr>
              <w:t xml:space="preserve">Fshati </w:t>
            </w:r>
            <w:r w:rsidR="005D784C" w:rsidRPr="00445472">
              <w:rPr>
                <w:lang w:val="sq-AL"/>
              </w:rPr>
              <w:t xml:space="preserve">Shkodër </w:t>
            </w:r>
          </w:p>
        </w:tc>
        <w:tc>
          <w:tcPr>
            <w:tcW w:w="1478" w:type="dxa"/>
            <w:shd w:val="clear" w:color="auto" w:fill="auto"/>
            <w:vAlign w:val="center"/>
            <w:hideMark/>
          </w:tcPr>
          <w:p w14:paraId="4226253E" w14:textId="77777777" w:rsidR="005D784C" w:rsidRPr="00445472" w:rsidRDefault="005D784C" w:rsidP="00BB75DE">
            <w:pPr>
              <w:pStyle w:val="TABELA"/>
              <w:rPr>
                <w:lang w:val="sq-AL"/>
              </w:rPr>
            </w:pPr>
            <w:r w:rsidRPr="00445472">
              <w:rPr>
                <w:lang w:val="sq-AL"/>
              </w:rPr>
              <w:t>Pusi Trushe-Velipojë</w:t>
            </w:r>
          </w:p>
        </w:tc>
        <w:tc>
          <w:tcPr>
            <w:tcW w:w="1211" w:type="dxa"/>
            <w:shd w:val="clear" w:color="auto" w:fill="auto"/>
            <w:noWrap/>
            <w:vAlign w:val="center"/>
            <w:hideMark/>
          </w:tcPr>
          <w:p w14:paraId="4C6F9237"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6F4927E3"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648C1C7C" w14:textId="77777777" w:rsidR="005D784C" w:rsidRPr="00445472" w:rsidRDefault="005D784C" w:rsidP="00BB75DE">
            <w:pPr>
              <w:pStyle w:val="TABELA"/>
              <w:rPr>
                <w:lang w:val="sq-AL"/>
              </w:rPr>
            </w:pPr>
            <w:r w:rsidRPr="00445472">
              <w:rPr>
                <w:lang w:val="sq-AL"/>
              </w:rPr>
              <w:t>25</w:t>
            </w:r>
          </w:p>
        </w:tc>
        <w:tc>
          <w:tcPr>
            <w:tcW w:w="1276" w:type="dxa"/>
            <w:shd w:val="clear" w:color="auto" w:fill="auto"/>
            <w:noWrap/>
            <w:vAlign w:val="center"/>
            <w:hideMark/>
          </w:tcPr>
          <w:p w14:paraId="6E2DA5F9" w14:textId="77777777" w:rsidR="005D784C" w:rsidRPr="00445472" w:rsidRDefault="005D784C" w:rsidP="00BB75DE">
            <w:pPr>
              <w:pStyle w:val="TABELA"/>
              <w:rPr>
                <w:lang w:val="sq-AL"/>
              </w:rPr>
            </w:pPr>
          </w:p>
        </w:tc>
      </w:tr>
      <w:tr w:rsidR="005D784C" w:rsidRPr="00445472" w14:paraId="3C8C4DB9" w14:textId="77777777" w:rsidTr="00B15A6B">
        <w:trPr>
          <w:trHeight w:val="300"/>
        </w:trPr>
        <w:tc>
          <w:tcPr>
            <w:tcW w:w="709" w:type="dxa"/>
            <w:vMerge/>
            <w:shd w:val="clear" w:color="auto" w:fill="auto"/>
            <w:vAlign w:val="center"/>
            <w:hideMark/>
          </w:tcPr>
          <w:p w14:paraId="420EF813" w14:textId="77777777" w:rsidR="005D784C" w:rsidRPr="00445472" w:rsidRDefault="005D784C" w:rsidP="00BB75DE">
            <w:pPr>
              <w:pStyle w:val="TABELA"/>
              <w:rPr>
                <w:lang w:val="sq-AL"/>
              </w:rPr>
            </w:pPr>
          </w:p>
        </w:tc>
        <w:tc>
          <w:tcPr>
            <w:tcW w:w="1920" w:type="dxa"/>
            <w:vMerge/>
            <w:shd w:val="clear" w:color="auto" w:fill="auto"/>
            <w:vAlign w:val="center"/>
            <w:hideMark/>
          </w:tcPr>
          <w:p w14:paraId="534FB7C9" w14:textId="77777777" w:rsidR="005D784C" w:rsidRPr="00445472" w:rsidRDefault="005D784C" w:rsidP="00BB75DE">
            <w:pPr>
              <w:pStyle w:val="TABELA"/>
              <w:rPr>
                <w:lang w:val="sq-AL"/>
              </w:rPr>
            </w:pPr>
          </w:p>
        </w:tc>
        <w:tc>
          <w:tcPr>
            <w:tcW w:w="1478" w:type="dxa"/>
            <w:shd w:val="clear" w:color="auto" w:fill="auto"/>
            <w:noWrap/>
            <w:vAlign w:val="center"/>
            <w:hideMark/>
          </w:tcPr>
          <w:p w14:paraId="344A6D6A" w14:textId="77777777" w:rsidR="005D784C" w:rsidRPr="00445472" w:rsidRDefault="005D784C" w:rsidP="00BB75DE">
            <w:pPr>
              <w:pStyle w:val="TABELA"/>
              <w:rPr>
                <w:lang w:val="sq-AL"/>
              </w:rPr>
            </w:pPr>
            <w:r w:rsidRPr="00445472">
              <w:rPr>
                <w:lang w:val="sq-AL"/>
              </w:rPr>
              <w:t>Pusi Mali Kolaj</w:t>
            </w:r>
          </w:p>
        </w:tc>
        <w:tc>
          <w:tcPr>
            <w:tcW w:w="1211" w:type="dxa"/>
            <w:shd w:val="clear" w:color="auto" w:fill="auto"/>
            <w:noWrap/>
            <w:vAlign w:val="center"/>
            <w:hideMark/>
          </w:tcPr>
          <w:p w14:paraId="26545BB8"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0D4F5E04"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38D66D76" w14:textId="77777777" w:rsidR="005D784C" w:rsidRPr="00445472" w:rsidRDefault="005D784C" w:rsidP="00BB75DE">
            <w:pPr>
              <w:pStyle w:val="TABELA"/>
              <w:rPr>
                <w:lang w:val="sq-AL"/>
              </w:rPr>
            </w:pPr>
            <w:r w:rsidRPr="00445472">
              <w:rPr>
                <w:lang w:val="sq-AL"/>
              </w:rPr>
              <w:t>3  4</w:t>
            </w:r>
          </w:p>
        </w:tc>
        <w:tc>
          <w:tcPr>
            <w:tcW w:w="1276" w:type="dxa"/>
            <w:shd w:val="clear" w:color="auto" w:fill="auto"/>
            <w:noWrap/>
            <w:vAlign w:val="center"/>
            <w:hideMark/>
          </w:tcPr>
          <w:p w14:paraId="15320F94" w14:textId="77777777" w:rsidR="005D784C" w:rsidRPr="00445472" w:rsidRDefault="005D784C" w:rsidP="00BB75DE">
            <w:pPr>
              <w:pStyle w:val="TABELA"/>
              <w:rPr>
                <w:lang w:val="sq-AL"/>
              </w:rPr>
            </w:pPr>
          </w:p>
        </w:tc>
      </w:tr>
      <w:tr w:rsidR="005D784C" w:rsidRPr="00445472" w14:paraId="7E287CE4" w14:textId="77777777" w:rsidTr="00B15A6B">
        <w:trPr>
          <w:trHeight w:val="300"/>
        </w:trPr>
        <w:tc>
          <w:tcPr>
            <w:tcW w:w="709" w:type="dxa"/>
            <w:vMerge/>
            <w:shd w:val="clear" w:color="auto" w:fill="auto"/>
            <w:vAlign w:val="center"/>
            <w:hideMark/>
          </w:tcPr>
          <w:p w14:paraId="6D8E8B72" w14:textId="77777777" w:rsidR="005D784C" w:rsidRPr="00445472" w:rsidRDefault="005D784C" w:rsidP="00BB75DE">
            <w:pPr>
              <w:pStyle w:val="TABELA"/>
              <w:rPr>
                <w:lang w:val="sq-AL"/>
              </w:rPr>
            </w:pPr>
          </w:p>
        </w:tc>
        <w:tc>
          <w:tcPr>
            <w:tcW w:w="1920" w:type="dxa"/>
            <w:vMerge/>
            <w:shd w:val="clear" w:color="auto" w:fill="auto"/>
            <w:vAlign w:val="center"/>
            <w:hideMark/>
          </w:tcPr>
          <w:p w14:paraId="10887B12" w14:textId="77777777" w:rsidR="005D784C" w:rsidRPr="00445472" w:rsidRDefault="005D784C" w:rsidP="00BB75DE">
            <w:pPr>
              <w:pStyle w:val="TABELA"/>
              <w:rPr>
                <w:lang w:val="sq-AL"/>
              </w:rPr>
            </w:pPr>
          </w:p>
        </w:tc>
        <w:tc>
          <w:tcPr>
            <w:tcW w:w="1478" w:type="dxa"/>
            <w:shd w:val="clear" w:color="auto" w:fill="auto"/>
            <w:noWrap/>
            <w:vAlign w:val="center"/>
            <w:hideMark/>
          </w:tcPr>
          <w:p w14:paraId="5EE60F52" w14:textId="77777777" w:rsidR="005D784C" w:rsidRPr="00445472" w:rsidRDefault="005D784C" w:rsidP="00BB75DE">
            <w:pPr>
              <w:pStyle w:val="TABELA"/>
              <w:rPr>
                <w:lang w:val="sq-AL"/>
              </w:rPr>
            </w:pPr>
            <w:r w:rsidRPr="00445472">
              <w:rPr>
                <w:lang w:val="sq-AL"/>
              </w:rPr>
              <w:t>Pusi Mali Mabe</w:t>
            </w:r>
          </w:p>
        </w:tc>
        <w:tc>
          <w:tcPr>
            <w:tcW w:w="1211" w:type="dxa"/>
            <w:shd w:val="clear" w:color="auto" w:fill="auto"/>
            <w:noWrap/>
            <w:vAlign w:val="center"/>
            <w:hideMark/>
          </w:tcPr>
          <w:p w14:paraId="3AE695F4"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3B139153"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78BAF544" w14:textId="77777777" w:rsidR="005D784C" w:rsidRPr="00445472" w:rsidRDefault="005D784C" w:rsidP="00BB75DE">
            <w:pPr>
              <w:pStyle w:val="TABELA"/>
              <w:rPr>
                <w:lang w:val="sq-AL"/>
              </w:rPr>
            </w:pPr>
            <w:r w:rsidRPr="00445472">
              <w:rPr>
                <w:lang w:val="sq-AL"/>
              </w:rPr>
              <w:t>12</w:t>
            </w:r>
          </w:p>
        </w:tc>
        <w:tc>
          <w:tcPr>
            <w:tcW w:w="1276" w:type="dxa"/>
            <w:shd w:val="clear" w:color="auto" w:fill="auto"/>
            <w:noWrap/>
            <w:vAlign w:val="center"/>
            <w:hideMark/>
          </w:tcPr>
          <w:p w14:paraId="376022EC" w14:textId="77777777" w:rsidR="005D784C" w:rsidRPr="00445472" w:rsidRDefault="005D784C" w:rsidP="00BB75DE">
            <w:pPr>
              <w:pStyle w:val="TABELA"/>
              <w:rPr>
                <w:lang w:val="sq-AL"/>
              </w:rPr>
            </w:pPr>
          </w:p>
        </w:tc>
      </w:tr>
      <w:tr w:rsidR="005D784C" w:rsidRPr="00445472" w14:paraId="4713080A" w14:textId="77777777" w:rsidTr="00B15A6B">
        <w:trPr>
          <w:trHeight w:val="300"/>
        </w:trPr>
        <w:tc>
          <w:tcPr>
            <w:tcW w:w="709" w:type="dxa"/>
            <w:vMerge/>
            <w:shd w:val="clear" w:color="auto" w:fill="auto"/>
            <w:vAlign w:val="center"/>
            <w:hideMark/>
          </w:tcPr>
          <w:p w14:paraId="724C29C4" w14:textId="77777777" w:rsidR="005D784C" w:rsidRPr="00445472" w:rsidRDefault="005D784C" w:rsidP="00BB75DE">
            <w:pPr>
              <w:pStyle w:val="TABELA"/>
              <w:rPr>
                <w:lang w:val="sq-AL"/>
              </w:rPr>
            </w:pPr>
          </w:p>
        </w:tc>
        <w:tc>
          <w:tcPr>
            <w:tcW w:w="1920" w:type="dxa"/>
            <w:vMerge/>
            <w:shd w:val="clear" w:color="auto" w:fill="auto"/>
            <w:vAlign w:val="center"/>
            <w:hideMark/>
          </w:tcPr>
          <w:p w14:paraId="6EEB369E" w14:textId="77777777" w:rsidR="005D784C" w:rsidRPr="00445472" w:rsidRDefault="005D784C" w:rsidP="00BB75DE">
            <w:pPr>
              <w:pStyle w:val="TABELA"/>
              <w:rPr>
                <w:lang w:val="sq-AL"/>
              </w:rPr>
            </w:pPr>
          </w:p>
        </w:tc>
        <w:tc>
          <w:tcPr>
            <w:tcW w:w="1478" w:type="dxa"/>
            <w:shd w:val="clear" w:color="auto" w:fill="auto"/>
            <w:noWrap/>
            <w:vAlign w:val="center"/>
            <w:hideMark/>
          </w:tcPr>
          <w:p w14:paraId="509B3353" w14:textId="77777777" w:rsidR="005D784C" w:rsidRPr="00445472" w:rsidRDefault="005D784C" w:rsidP="00BB75DE">
            <w:pPr>
              <w:pStyle w:val="TABELA"/>
              <w:rPr>
                <w:lang w:val="sq-AL"/>
              </w:rPr>
            </w:pPr>
            <w:r w:rsidRPr="00445472">
              <w:rPr>
                <w:lang w:val="sq-AL"/>
              </w:rPr>
              <w:t>Pusi Berdicë</w:t>
            </w:r>
          </w:p>
        </w:tc>
        <w:tc>
          <w:tcPr>
            <w:tcW w:w="1211" w:type="dxa"/>
            <w:shd w:val="clear" w:color="auto" w:fill="auto"/>
            <w:noWrap/>
            <w:vAlign w:val="center"/>
            <w:hideMark/>
          </w:tcPr>
          <w:p w14:paraId="6D0CCE97"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1F5E7616"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05E4EDF5" w14:textId="77777777" w:rsidR="005D784C" w:rsidRPr="00445472" w:rsidRDefault="005D784C" w:rsidP="00BB75DE">
            <w:pPr>
              <w:pStyle w:val="TABELA"/>
              <w:rPr>
                <w:lang w:val="sq-AL"/>
              </w:rPr>
            </w:pPr>
            <w:r w:rsidRPr="00445472">
              <w:rPr>
                <w:lang w:val="sq-AL"/>
              </w:rPr>
              <w:t>25</w:t>
            </w:r>
          </w:p>
        </w:tc>
        <w:tc>
          <w:tcPr>
            <w:tcW w:w="1276" w:type="dxa"/>
            <w:shd w:val="clear" w:color="auto" w:fill="auto"/>
            <w:noWrap/>
            <w:vAlign w:val="center"/>
            <w:hideMark/>
          </w:tcPr>
          <w:p w14:paraId="3A8979D1" w14:textId="77777777" w:rsidR="005D784C" w:rsidRPr="00445472" w:rsidRDefault="005D784C" w:rsidP="00BB75DE">
            <w:pPr>
              <w:pStyle w:val="TABELA"/>
              <w:rPr>
                <w:lang w:val="sq-AL"/>
              </w:rPr>
            </w:pPr>
          </w:p>
        </w:tc>
      </w:tr>
      <w:tr w:rsidR="005D784C" w:rsidRPr="00445472" w14:paraId="7D1E6646" w14:textId="77777777" w:rsidTr="00B15A6B">
        <w:trPr>
          <w:trHeight w:val="300"/>
        </w:trPr>
        <w:tc>
          <w:tcPr>
            <w:tcW w:w="709" w:type="dxa"/>
            <w:vMerge/>
            <w:shd w:val="clear" w:color="auto" w:fill="auto"/>
            <w:vAlign w:val="center"/>
            <w:hideMark/>
          </w:tcPr>
          <w:p w14:paraId="40283B8E" w14:textId="77777777" w:rsidR="005D784C" w:rsidRPr="00445472" w:rsidRDefault="005D784C" w:rsidP="00BB75DE">
            <w:pPr>
              <w:pStyle w:val="TABELA"/>
              <w:rPr>
                <w:lang w:val="sq-AL"/>
              </w:rPr>
            </w:pPr>
          </w:p>
        </w:tc>
        <w:tc>
          <w:tcPr>
            <w:tcW w:w="1920" w:type="dxa"/>
            <w:vMerge/>
            <w:shd w:val="clear" w:color="auto" w:fill="auto"/>
            <w:vAlign w:val="center"/>
            <w:hideMark/>
          </w:tcPr>
          <w:p w14:paraId="62817AD8" w14:textId="77777777" w:rsidR="005D784C" w:rsidRPr="00445472" w:rsidRDefault="005D784C" w:rsidP="00BB75DE">
            <w:pPr>
              <w:pStyle w:val="TABELA"/>
              <w:rPr>
                <w:lang w:val="sq-AL"/>
              </w:rPr>
            </w:pPr>
          </w:p>
        </w:tc>
        <w:tc>
          <w:tcPr>
            <w:tcW w:w="1478" w:type="dxa"/>
            <w:shd w:val="clear" w:color="auto" w:fill="auto"/>
            <w:noWrap/>
            <w:vAlign w:val="center"/>
            <w:hideMark/>
          </w:tcPr>
          <w:p w14:paraId="1C529C85" w14:textId="77777777" w:rsidR="005D784C" w:rsidRPr="00445472" w:rsidRDefault="005D784C" w:rsidP="00BB75DE">
            <w:pPr>
              <w:pStyle w:val="TABELA"/>
              <w:rPr>
                <w:lang w:val="sq-AL"/>
              </w:rPr>
            </w:pPr>
            <w:r w:rsidRPr="00445472">
              <w:rPr>
                <w:lang w:val="sq-AL"/>
              </w:rPr>
              <w:t>Pusi Badica Zogaj</w:t>
            </w:r>
          </w:p>
        </w:tc>
        <w:tc>
          <w:tcPr>
            <w:tcW w:w="1211" w:type="dxa"/>
            <w:shd w:val="clear" w:color="auto" w:fill="auto"/>
            <w:noWrap/>
            <w:vAlign w:val="center"/>
            <w:hideMark/>
          </w:tcPr>
          <w:p w14:paraId="284B4AF2"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6B86FB54"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3464C86B" w14:textId="77777777" w:rsidR="005D784C" w:rsidRPr="00445472" w:rsidRDefault="005D784C" w:rsidP="00BB75DE">
            <w:pPr>
              <w:pStyle w:val="TABELA"/>
              <w:rPr>
                <w:lang w:val="sq-AL"/>
              </w:rPr>
            </w:pPr>
            <w:r w:rsidRPr="00445472">
              <w:rPr>
                <w:lang w:val="sq-AL"/>
              </w:rPr>
              <w:t>5</w:t>
            </w:r>
          </w:p>
        </w:tc>
        <w:tc>
          <w:tcPr>
            <w:tcW w:w="1276" w:type="dxa"/>
            <w:shd w:val="clear" w:color="auto" w:fill="auto"/>
            <w:noWrap/>
            <w:vAlign w:val="center"/>
            <w:hideMark/>
          </w:tcPr>
          <w:p w14:paraId="196970F0" w14:textId="77777777" w:rsidR="005D784C" w:rsidRPr="00445472" w:rsidRDefault="005D784C" w:rsidP="00BB75DE">
            <w:pPr>
              <w:pStyle w:val="TABELA"/>
              <w:rPr>
                <w:lang w:val="sq-AL"/>
              </w:rPr>
            </w:pPr>
            <w:r w:rsidRPr="00445472">
              <w:rPr>
                <w:lang w:val="sq-AL"/>
              </w:rPr>
              <w:t>374</w:t>
            </w:r>
          </w:p>
        </w:tc>
      </w:tr>
      <w:tr w:rsidR="005D784C" w:rsidRPr="00445472" w14:paraId="110F1C29" w14:textId="77777777" w:rsidTr="00B15A6B">
        <w:trPr>
          <w:trHeight w:val="300"/>
        </w:trPr>
        <w:tc>
          <w:tcPr>
            <w:tcW w:w="709" w:type="dxa"/>
            <w:vMerge/>
            <w:shd w:val="clear" w:color="auto" w:fill="auto"/>
            <w:vAlign w:val="center"/>
            <w:hideMark/>
          </w:tcPr>
          <w:p w14:paraId="12468963" w14:textId="77777777" w:rsidR="005D784C" w:rsidRPr="00445472" w:rsidRDefault="005D784C" w:rsidP="00BB75DE">
            <w:pPr>
              <w:pStyle w:val="TABELA"/>
              <w:rPr>
                <w:lang w:val="sq-AL"/>
              </w:rPr>
            </w:pPr>
          </w:p>
        </w:tc>
        <w:tc>
          <w:tcPr>
            <w:tcW w:w="1920" w:type="dxa"/>
            <w:vMerge/>
            <w:shd w:val="clear" w:color="auto" w:fill="auto"/>
            <w:vAlign w:val="center"/>
            <w:hideMark/>
          </w:tcPr>
          <w:p w14:paraId="37115B7B" w14:textId="77777777" w:rsidR="005D784C" w:rsidRPr="00445472" w:rsidRDefault="005D784C" w:rsidP="00BB75DE">
            <w:pPr>
              <w:pStyle w:val="TABELA"/>
              <w:rPr>
                <w:lang w:val="sq-AL"/>
              </w:rPr>
            </w:pPr>
          </w:p>
        </w:tc>
        <w:tc>
          <w:tcPr>
            <w:tcW w:w="1478" w:type="dxa"/>
            <w:shd w:val="clear" w:color="auto" w:fill="auto"/>
            <w:noWrap/>
            <w:vAlign w:val="center"/>
            <w:hideMark/>
          </w:tcPr>
          <w:p w14:paraId="2FEF4039" w14:textId="77777777" w:rsidR="005D784C" w:rsidRPr="00445472" w:rsidRDefault="005D784C" w:rsidP="00BB75DE">
            <w:pPr>
              <w:pStyle w:val="TABELA"/>
              <w:rPr>
                <w:lang w:val="sq-AL"/>
              </w:rPr>
            </w:pPr>
            <w:r w:rsidRPr="00445472">
              <w:rPr>
                <w:lang w:val="sq-AL"/>
              </w:rPr>
              <w:t>Pusi Badica Zues</w:t>
            </w:r>
          </w:p>
        </w:tc>
        <w:tc>
          <w:tcPr>
            <w:tcW w:w="1211" w:type="dxa"/>
            <w:shd w:val="clear" w:color="auto" w:fill="auto"/>
            <w:noWrap/>
            <w:vAlign w:val="center"/>
            <w:hideMark/>
          </w:tcPr>
          <w:p w14:paraId="087F8993"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1FCD8F17"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2BF73229" w14:textId="77777777" w:rsidR="005D784C" w:rsidRPr="00445472" w:rsidRDefault="005D784C" w:rsidP="00BB75DE">
            <w:pPr>
              <w:pStyle w:val="TABELA"/>
              <w:rPr>
                <w:lang w:val="sq-AL"/>
              </w:rPr>
            </w:pPr>
            <w:r w:rsidRPr="00445472">
              <w:rPr>
                <w:lang w:val="sq-AL"/>
              </w:rPr>
              <w:t>10</w:t>
            </w:r>
          </w:p>
        </w:tc>
        <w:tc>
          <w:tcPr>
            <w:tcW w:w="1276" w:type="dxa"/>
            <w:shd w:val="clear" w:color="auto" w:fill="auto"/>
            <w:noWrap/>
            <w:vAlign w:val="center"/>
            <w:hideMark/>
          </w:tcPr>
          <w:p w14:paraId="454C0957" w14:textId="77777777" w:rsidR="005D784C" w:rsidRPr="00445472" w:rsidRDefault="005D784C" w:rsidP="00BB75DE">
            <w:pPr>
              <w:pStyle w:val="TABELA"/>
              <w:rPr>
                <w:lang w:val="sq-AL"/>
              </w:rPr>
            </w:pPr>
            <w:r w:rsidRPr="00445472">
              <w:rPr>
                <w:lang w:val="sq-AL"/>
              </w:rPr>
              <w:t>570</w:t>
            </w:r>
          </w:p>
        </w:tc>
      </w:tr>
      <w:tr w:rsidR="005D784C" w:rsidRPr="00445472" w14:paraId="34D22D47" w14:textId="77777777" w:rsidTr="00B15A6B">
        <w:trPr>
          <w:trHeight w:val="300"/>
        </w:trPr>
        <w:tc>
          <w:tcPr>
            <w:tcW w:w="709" w:type="dxa"/>
            <w:vMerge/>
            <w:shd w:val="clear" w:color="auto" w:fill="auto"/>
            <w:vAlign w:val="center"/>
            <w:hideMark/>
          </w:tcPr>
          <w:p w14:paraId="0BB8044D" w14:textId="77777777" w:rsidR="005D784C" w:rsidRPr="00445472" w:rsidRDefault="005D784C" w:rsidP="00BB75DE">
            <w:pPr>
              <w:pStyle w:val="TABELA"/>
              <w:rPr>
                <w:lang w:val="sq-AL"/>
              </w:rPr>
            </w:pPr>
          </w:p>
        </w:tc>
        <w:tc>
          <w:tcPr>
            <w:tcW w:w="1920" w:type="dxa"/>
            <w:vMerge/>
            <w:shd w:val="clear" w:color="auto" w:fill="auto"/>
            <w:vAlign w:val="center"/>
            <w:hideMark/>
          </w:tcPr>
          <w:p w14:paraId="2D89A250" w14:textId="77777777" w:rsidR="005D784C" w:rsidRPr="00445472" w:rsidRDefault="005D784C" w:rsidP="00BB75DE">
            <w:pPr>
              <w:pStyle w:val="TABELA"/>
              <w:rPr>
                <w:lang w:val="sq-AL"/>
              </w:rPr>
            </w:pPr>
          </w:p>
        </w:tc>
        <w:tc>
          <w:tcPr>
            <w:tcW w:w="1478" w:type="dxa"/>
            <w:shd w:val="clear" w:color="auto" w:fill="auto"/>
            <w:noWrap/>
            <w:vAlign w:val="center"/>
            <w:hideMark/>
          </w:tcPr>
          <w:p w14:paraId="1424B493" w14:textId="77777777" w:rsidR="005D784C" w:rsidRPr="00445472" w:rsidRDefault="005D784C" w:rsidP="00BB75DE">
            <w:pPr>
              <w:pStyle w:val="TABELA"/>
              <w:rPr>
                <w:lang w:val="sq-AL"/>
              </w:rPr>
            </w:pPr>
            <w:r w:rsidRPr="00445472">
              <w:rPr>
                <w:lang w:val="sq-AL"/>
              </w:rPr>
              <w:t>Pusi Hajmel</w:t>
            </w:r>
          </w:p>
        </w:tc>
        <w:tc>
          <w:tcPr>
            <w:tcW w:w="1211" w:type="dxa"/>
            <w:shd w:val="clear" w:color="auto" w:fill="auto"/>
            <w:noWrap/>
            <w:vAlign w:val="center"/>
            <w:hideMark/>
          </w:tcPr>
          <w:p w14:paraId="5F303940"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581141E3"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2919820D" w14:textId="77777777" w:rsidR="005D784C" w:rsidRPr="00445472" w:rsidRDefault="005D784C" w:rsidP="00BB75DE">
            <w:pPr>
              <w:pStyle w:val="TABELA"/>
              <w:rPr>
                <w:lang w:val="sq-AL"/>
              </w:rPr>
            </w:pPr>
            <w:r w:rsidRPr="00445472">
              <w:rPr>
                <w:lang w:val="sq-AL"/>
              </w:rPr>
              <w:t>5</w:t>
            </w:r>
          </w:p>
        </w:tc>
        <w:tc>
          <w:tcPr>
            <w:tcW w:w="1276" w:type="dxa"/>
            <w:shd w:val="clear" w:color="auto" w:fill="auto"/>
            <w:noWrap/>
            <w:vAlign w:val="center"/>
            <w:hideMark/>
          </w:tcPr>
          <w:p w14:paraId="529EE55E" w14:textId="77777777" w:rsidR="005D784C" w:rsidRPr="00445472" w:rsidRDefault="005D784C" w:rsidP="00BB75DE">
            <w:pPr>
              <w:pStyle w:val="TABELA"/>
              <w:rPr>
                <w:lang w:val="sq-AL"/>
              </w:rPr>
            </w:pPr>
            <w:r w:rsidRPr="00445472">
              <w:rPr>
                <w:lang w:val="sq-AL"/>
              </w:rPr>
              <w:t>585</w:t>
            </w:r>
          </w:p>
        </w:tc>
      </w:tr>
      <w:tr w:rsidR="005D784C" w:rsidRPr="00445472" w14:paraId="70E57549" w14:textId="77777777" w:rsidTr="00B15A6B">
        <w:trPr>
          <w:trHeight w:val="300"/>
        </w:trPr>
        <w:tc>
          <w:tcPr>
            <w:tcW w:w="709" w:type="dxa"/>
            <w:vMerge/>
            <w:shd w:val="clear" w:color="auto" w:fill="auto"/>
            <w:vAlign w:val="center"/>
            <w:hideMark/>
          </w:tcPr>
          <w:p w14:paraId="7E1FC65E" w14:textId="77777777" w:rsidR="005D784C" w:rsidRPr="00445472" w:rsidRDefault="005D784C" w:rsidP="00BB75DE">
            <w:pPr>
              <w:pStyle w:val="TABELA"/>
              <w:rPr>
                <w:lang w:val="sq-AL"/>
              </w:rPr>
            </w:pPr>
          </w:p>
        </w:tc>
        <w:tc>
          <w:tcPr>
            <w:tcW w:w="1920" w:type="dxa"/>
            <w:vMerge/>
            <w:shd w:val="clear" w:color="auto" w:fill="auto"/>
            <w:vAlign w:val="center"/>
            <w:hideMark/>
          </w:tcPr>
          <w:p w14:paraId="240A1297" w14:textId="77777777" w:rsidR="005D784C" w:rsidRPr="00445472" w:rsidRDefault="005D784C" w:rsidP="00BB75DE">
            <w:pPr>
              <w:pStyle w:val="TABELA"/>
              <w:rPr>
                <w:lang w:val="sq-AL"/>
              </w:rPr>
            </w:pPr>
          </w:p>
        </w:tc>
        <w:tc>
          <w:tcPr>
            <w:tcW w:w="1478" w:type="dxa"/>
            <w:shd w:val="clear" w:color="auto" w:fill="auto"/>
            <w:noWrap/>
            <w:vAlign w:val="center"/>
            <w:hideMark/>
          </w:tcPr>
          <w:p w14:paraId="3177E9DF" w14:textId="77777777" w:rsidR="005D784C" w:rsidRPr="00445472" w:rsidRDefault="005D784C" w:rsidP="00BB75DE">
            <w:pPr>
              <w:pStyle w:val="TABELA"/>
              <w:rPr>
                <w:lang w:val="sq-AL"/>
              </w:rPr>
            </w:pPr>
            <w:r w:rsidRPr="00445472">
              <w:rPr>
                <w:lang w:val="sq-AL"/>
              </w:rPr>
              <w:t>Pusi Pistull</w:t>
            </w:r>
          </w:p>
        </w:tc>
        <w:tc>
          <w:tcPr>
            <w:tcW w:w="1211" w:type="dxa"/>
            <w:shd w:val="clear" w:color="auto" w:fill="auto"/>
            <w:noWrap/>
            <w:vAlign w:val="center"/>
            <w:hideMark/>
          </w:tcPr>
          <w:p w14:paraId="6053E0A2"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0CDD91C7"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2B2E3A7D" w14:textId="77777777" w:rsidR="005D784C" w:rsidRPr="00445472" w:rsidRDefault="005D784C" w:rsidP="00BB75DE">
            <w:pPr>
              <w:pStyle w:val="TABELA"/>
              <w:rPr>
                <w:lang w:val="sq-AL"/>
              </w:rPr>
            </w:pPr>
            <w:r w:rsidRPr="00445472">
              <w:rPr>
                <w:lang w:val="sq-AL"/>
              </w:rPr>
              <w:t>5</w:t>
            </w:r>
          </w:p>
        </w:tc>
        <w:tc>
          <w:tcPr>
            <w:tcW w:w="1276" w:type="dxa"/>
            <w:shd w:val="clear" w:color="auto" w:fill="auto"/>
            <w:noWrap/>
            <w:vAlign w:val="center"/>
            <w:hideMark/>
          </w:tcPr>
          <w:p w14:paraId="278693EB" w14:textId="77777777" w:rsidR="005D784C" w:rsidRPr="00445472" w:rsidRDefault="005D784C" w:rsidP="00BB75DE">
            <w:pPr>
              <w:pStyle w:val="TABELA"/>
              <w:rPr>
                <w:lang w:val="sq-AL"/>
              </w:rPr>
            </w:pPr>
            <w:r w:rsidRPr="00445472">
              <w:rPr>
                <w:lang w:val="sq-AL"/>
              </w:rPr>
              <w:t>325</w:t>
            </w:r>
          </w:p>
        </w:tc>
      </w:tr>
      <w:tr w:rsidR="005D784C" w:rsidRPr="00445472" w14:paraId="28C8FCA1" w14:textId="77777777" w:rsidTr="00B15A6B">
        <w:trPr>
          <w:trHeight w:val="300"/>
        </w:trPr>
        <w:tc>
          <w:tcPr>
            <w:tcW w:w="709" w:type="dxa"/>
            <w:vMerge/>
            <w:shd w:val="clear" w:color="auto" w:fill="auto"/>
            <w:vAlign w:val="center"/>
            <w:hideMark/>
          </w:tcPr>
          <w:p w14:paraId="2DD16656" w14:textId="77777777" w:rsidR="005D784C" w:rsidRPr="00445472" w:rsidRDefault="005D784C" w:rsidP="00BB75DE">
            <w:pPr>
              <w:pStyle w:val="TABELA"/>
              <w:rPr>
                <w:lang w:val="sq-AL"/>
              </w:rPr>
            </w:pPr>
          </w:p>
        </w:tc>
        <w:tc>
          <w:tcPr>
            <w:tcW w:w="1920" w:type="dxa"/>
            <w:vMerge/>
            <w:shd w:val="clear" w:color="auto" w:fill="auto"/>
            <w:vAlign w:val="center"/>
            <w:hideMark/>
          </w:tcPr>
          <w:p w14:paraId="554FAB9C" w14:textId="77777777" w:rsidR="005D784C" w:rsidRPr="00445472" w:rsidRDefault="005D784C" w:rsidP="00BB75DE">
            <w:pPr>
              <w:pStyle w:val="TABELA"/>
              <w:rPr>
                <w:lang w:val="sq-AL"/>
              </w:rPr>
            </w:pPr>
          </w:p>
        </w:tc>
        <w:tc>
          <w:tcPr>
            <w:tcW w:w="1478" w:type="dxa"/>
            <w:shd w:val="clear" w:color="auto" w:fill="auto"/>
            <w:noWrap/>
            <w:vAlign w:val="center"/>
            <w:hideMark/>
          </w:tcPr>
          <w:p w14:paraId="6C776C9D" w14:textId="77777777" w:rsidR="005D784C" w:rsidRPr="00445472" w:rsidRDefault="005D784C" w:rsidP="00BB75DE">
            <w:pPr>
              <w:pStyle w:val="TABELA"/>
              <w:rPr>
                <w:lang w:val="sq-AL"/>
              </w:rPr>
            </w:pPr>
            <w:r w:rsidRPr="00445472">
              <w:rPr>
                <w:lang w:val="sq-AL"/>
              </w:rPr>
              <w:t>Pusi Pacram</w:t>
            </w:r>
          </w:p>
        </w:tc>
        <w:tc>
          <w:tcPr>
            <w:tcW w:w="1211" w:type="dxa"/>
            <w:shd w:val="clear" w:color="auto" w:fill="auto"/>
            <w:noWrap/>
            <w:vAlign w:val="center"/>
            <w:hideMark/>
          </w:tcPr>
          <w:p w14:paraId="3C8EC749"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4C8005EC"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667016BC" w14:textId="77777777" w:rsidR="005D784C" w:rsidRPr="00445472" w:rsidRDefault="005D784C" w:rsidP="00BB75DE">
            <w:pPr>
              <w:pStyle w:val="TABELA"/>
              <w:rPr>
                <w:lang w:val="sq-AL"/>
              </w:rPr>
            </w:pPr>
            <w:r w:rsidRPr="00445472">
              <w:rPr>
                <w:lang w:val="sq-AL"/>
              </w:rPr>
              <w:t>4</w:t>
            </w:r>
          </w:p>
        </w:tc>
        <w:tc>
          <w:tcPr>
            <w:tcW w:w="1276" w:type="dxa"/>
            <w:shd w:val="clear" w:color="auto" w:fill="auto"/>
            <w:noWrap/>
            <w:vAlign w:val="center"/>
            <w:hideMark/>
          </w:tcPr>
          <w:p w14:paraId="752508A1" w14:textId="77777777" w:rsidR="005D784C" w:rsidRPr="00445472" w:rsidRDefault="005D784C" w:rsidP="00BB75DE">
            <w:pPr>
              <w:pStyle w:val="TABELA"/>
              <w:rPr>
                <w:lang w:val="sq-AL"/>
              </w:rPr>
            </w:pPr>
            <w:r w:rsidRPr="00445472">
              <w:rPr>
                <w:lang w:val="sq-AL"/>
              </w:rPr>
              <w:t>440</w:t>
            </w:r>
          </w:p>
        </w:tc>
      </w:tr>
      <w:tr w:rsidR="005D784C" w:rsidRPr="00445472" w14:paraId="6C0A6822" w14:textId="77777777" w:rsidTr="00B15A6B">
        <w:trPr>
          <w:trHeight w:val="300"/>
        </w:trPr>
        <w:tc>
          <w:tcPr>
            <w:tcW w:w="709" w:type="dxa"/>
            <w:vMerge/>
            <w:shd w:val="clear" w:color="auto" w:fill="auto"/>
            <w:vAlign w:val="center"/>
            <w:hideMark/>
          </w:tcPr>
          <w:p w14:paraId="419074F2" w14:textId="77777777" w:rsidR="005D784C" w:rsidRPr="00445472" w:rsidRDefault="005D784C" w:rsidP="00BB75DE">
            <w:pPr>
              <w:pStyle w:val="TABELA"/>
              <w:rPr>
                <w:lang w:val="sq-AL"/>
              </w:rPr>
            </w:pPr>
          </w:p>
        </w:tc>
        <w:tc>
          <w:tcPr>
            <w:tcW w:w="1920" w:type="dxa"/>
            <w:vMerge/>
            <w:shd w:val="clear" w:color="auto" w:fill="auto"/>
            <w:vAlign w:val="center"/>
            <w:hideMark/>
          </w:tcPr>
          <w:p w14:paraId="5DE33431" w14:textId="77777777" w:rsidR="005D784C" w:rsidRPr="00445472" w:rsidRDefault="005D784C" w:rsidP="00BB75DE">
            <w:pPr>
              <w:pStyle w:val="TABELA"/>
              <w:rPr>
                <w:lang w:val="sq-AL"/>
              </w:rPr>
            </w:pPr>
          </w:p>
        </w:tc>
        <w:tc>
          <w:tcPr>
            <w:tcW w:w="1478" w:type="dxa"/>
            <w:shd w:val="clear" w:color="auto" w:fill="auto"/>
            <w:noWrap/>
            <w:vAlign w:val="center"/>
            <w:hideMark/>
          </w:tcPr>
          <w:p w14:paraId="70561231" w14:textId="77777777" w:rsidR="005D784C" w:rsidRPr="00445472" w:rsidRDefault="005D784C" w:rsidP="00BB75DE">
            <w:pPr>
              <w:pStyle w:val="TABELA"/>
              <w:rPr>
                <w:lang w:val="sq-AL"/>
              </w:rPr>
            </w:pPr>
            <w:r w:rsidRPr="00445472">
              <w:rPr>
                <w:lang w:val="sq-AL"/>
              </w:rPr>
              <w:t>Pusi Kullaj</w:t>
            </w:r>
          </w:p>
        </w:tc>
        <w:tc>
          <w:tcPr>
            <w:tcW w:w="1211" w:type="dxa"/>
            <w:shd w:val="clear" w:color="auto" w:fill="auto"/>
            <w:noWrap/>
            <w:vAlign w:val="center"/>
            <w:hideMark/>
          </w:tcPr>
          <w:p w14:paraId="3104CC33"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201A97AC"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37395E7A" w14:textId="77777777" w:rsidR="005D784C" w:rsidRPr="00445472" w:rsidRDefault="005D784C" w:rsidP="00BB75DE">
            <w:pPr>
              <w:pStyle w:val="TABELA"/>
              <w:rPr>
                <w:lang w:val="sq-AL"/>
              </w:rPr>
            </w:pPr>
            <w:r w:rsidRPr="00445472">
              <w:rPr>
                <w:lang w:val="sq-AL"/>
              </w:rPr>
              <w:t>10</w:t>
            </w:r>
          </w:p>
        </w:tc>
        <w:tc>
          <w:tcPr>
            <w:tcW w:w="1276" w:type="dxa"/>
            <w:shd w:val="clear" w:color="auto" w:fill="auto"/>
            <w:noWrap/>
            <w:vAlign w:val="center"/>
            <w:hideMark/>
          </w:tcPr>
          <w:p w14:paraId="2EEA429E" w14:textId="77777777" w:rsidR="005D784C" w:rsidRPr="00445472" w:rsidRDefault="005D784C" w:rsidP="00BB75DE">
            <w:pPr>
              <w:pStyle w:val="TABELA"/>
              <w:rPr>
                <w:lang w:val="sq-AL"/>
              </w:rPr>
            </w:pPr>
            <w:r w:rsidRPr="00445472">
              <w:rPr>
                <w:lang w:val="sq-AL"/>
              </w:rPr>
              <w:t>3,148</w:t>
            </w:r>
          </w:p>
        </w:tc>
      </w:tr>
      <w:tr w:rsidR="005D784C" w:rsidRPr="00445472" w14:paraId="286A8DD2" w14:textId="77777777" w:rsidTr="00B15A6B">
        <w:trPr>
          <w:trHeight w:val="300"/>
        </w:trPr>
        <w:tc>
          <w:tcPr>
            <w:tcW w:w="709" w:type="dxa"/>
            <w:vMerge/>
            <w:shd w:val="clear" w:color="auto" w:fill="auto"/>
            <w:vAlign w:val="center"/>
            <w:hideMark/>
          </w:tcPr>
          <w:p w14:paraId="6649DE27" w14:textId="77777777" w:rsidR="005D784C" w:rsidRPr="00445472" w:rsidRDefault="005D784C" w:rsidP="00BB75DE">
            <w:pPr>
              <w:pStyle w:val="TABELA"/>
              <w:rPr>
                <w:lang w:val="sq-AL"/>
              </w:rPr>
            </w:pPr>
          </w:p>
        </w:tc>
        <w:tc>
          <w:tcPr>
            <w:tcW w:w="1920" w:type="dxa"/>
            <w:vMerge/>
            <w:shd w:val="clear" w:color="auto" w:fill="auto"/>
            <w:vAlign w:val="center"/>
            <w:hideMark/>
          </w:tcPr>
          <w:p w14:paraId="3ADC7D79" w14:textId="77777777" w:rsidR="005D784C" w:rsidRPr="00445472" w:rsidRDefault="005D784C" w:rsidP="00BB75DE">
            <w:pPr>
              <w:pStyle w:val="TABELA"/>
              <w:rPr>
                <w:lang w:val="sq-AL"/>
              </w:rPr>
            </w:pPr>
          </w:p>
        </w:tc>
        <w:tc>
          <w:tcPr>
            <w:tcW w:w="1478" w:type="dxa"/>
            <w:shd w:val="clear" w:color="auto" w:fill="auto"/>
            <w:noWrap/>
            <w:vAlign w:val="center"/>
            <w:hideMark/>
          </w:tcPr>
          <w:p w14:paraId="37C655BC" w14:textId="77777777" w:rsidR="005D784C" w:rsidRPr="00445472" w:rsidRDefault="005D784C" w:rsidP="00BB75DE">
            <w:pPr>
              <w:pStyle w:val="TABELA"/>
              <w:rPr>
                <w:lang w:val="sq-AL"/>
              </w:rPr>
            </w:pPr>
            <w:r w:rsidRPr="00445472">
              <w:rPr>
                <w:lang w:val="sq-AL"/>
              </w:rPr>
              <w:t>Oblik</w:t>
            </w:r>
          </w:p>
        </w:tc>
        <w:tc>
          <w:tcPr>
            <w:tcW w:w="1211" w:type="dxa"/>
            <w:shd w:val="clear" w:color="auto" w:fill="auto"/>
            <w:noWrap/>
            <w:vAlign w:val="center"/>
            <w:hideMark/>
          </w:tcPr>
          <w:p w14:paraId="4ED3F1C6" w14:textId="77777777" w:rsidR="005D784C" w:rsidRPr="00445472" w:rsidRDefault="005D784C" w:rsidP="00BB75DE">
            <w:pPr>
              <w:pStyle w:val="TABELA"/>
              <w:rPr>
                <w:lang w:val="sq-AL"/>
              </w:rPr>
            </w:pPr>
            <w:r w:rsidRPr="00445472">
              <w:rPr>
                <w:lang w:val="sq-AL"/>
              </w:rPr>
              <w:t>Pusi</w:t>
            </w:r>
          </w:p>
        </w:tc>
        <w:tc>
          <w:tcPr>
            <w:tcW w:w="1657" w:type="dxa"/>
            <w:shd w:val="clear" w:color="auto" w:fill="auto"/>
            <w:noWrap/>
            <w:vAlign w:val="center"/>
            <w:hideMark/>
          </w:tcPr>
          <w:p w14:paraId="33EF2906" w14:textId="77777777" w:rsidR="005D784C" w:rsidRPr="00445472" w:rsidRDefault="005D784C" w:rsidP="00BB75DE">
            <w:pPr>
              <w:pStyle w:val="TABELA"/>
              <w:rPr>
                <w:lang w:val="sq-AL"/>
              </w:rPr>
            </w:pPr>
            <w:r w:rsidRPr="00445472">
              <w:rPr>
                <w:lang w:val="sq-AL"/>
              </w:rPr>
              <w:t>zhavorr</w:t>
            </w:r>
          </w:p>
        </w:tc>
        <w:tc>
          <w:tcPr>
            <w:tcW w:w="1275" w:type="dxa"/>
            <w:shd w:val="clear" w:color="auto" w:fill="auto"/>
            <w:noWrap/>
            <w:vAlign w:val="center"/>
            <w:hideMark/>
          </w:tcPr>
          <w:p w14:paraId="79059AD3" w14:textId="77777777" w:rsidR="005D784C" w:rsidRPr="00445472" w:rsidRDefault="005D784C" w:rsidP="00BB75DE">
            <w:pPr>
              <w:pStyle w:val="TABELA"/>
              <w:rPr>
                <w:lang w:val="sq-AL"/>
              </w:rPr>
            </w:pPr>
            <w:r w:rsidRPr="00445472">
              <w:rPr>
                <w:lang w:val="sq-AL"/>
              </w:rPr>
              <w:t>10   15</w:t>
            </w:r>
          </w:p>
        </w:tc>
        <w:tc>
          <w:tcPr>
            <w:tcW w:w="1276" w:type="dxa"/>
            <w:shd w:val="clear" w:color="auto" w:fill="auto"/>
            <w:noWrap/>
            <w:vAlign w:val="center"/>
            <w:hideMark/>
          </w:tcPr>
          <w:p w14:paraId="67119413" w14:textId="77777777" w:rsidR="005D784C" w:rsidRPr="00445472" w:rsidRDefault="005D784C" w:rsidP="00BB75DE">
            <w:pPr>
              <w:pStyle w:val="TABELA"/>
              <w:rPr>
                <w:lang w:val="sq-AL"/>
              </w:rPr>
            </w:pPr>
            <w:r w:rsidRPr="00445472">
              <w:rPr>
                <w:lang w:val="sq-AL"/>
              </w:rPr>
              <w:t>265</w:t>
            </w:r>
          </w:p>
        </w:tc>
      </w:tr>
      <w:tr w:rsidR="005D784C" w:rsidRPr="00445472" w14:paraId="238F0F6E" w14:textId="77777777" w:rsidTr="00B15A6B">
        <w:trPr>
          <w:trHeight w:val="300"/>
        </w:trPr>
        <w:tc>
          <w:tcPr>
            <w:tcW w:w="709" w:type="dxa"/>
            <w:vMerge w:val="restart"/>
            <w:shd w:val="clear" w:color="auto" w:fill="auto"/>
            <w:noWrap/>
            <w:vAlign w:val="center"/>
            <w:hideMark/>
          </w:tcPr>
          <w:p w14:paraId="1ACF80DE" w14:textId="77777777" w:rsidR="005D784C" w:rsidRPr="00445472" w:rsidRDefault="005D784C" w:rsidP="00BB75DE">
            <w:pPr>
              <w:pStyle w:val="TABELA"/>
              <w:rPr>
                <w:lang w:val="sq-AL"/>
              </w:rPr>
            </w:pPr>
            <w:r w:rsidRPr="00445472">
              <w:rPr>
                <w:lang w:val="sq-AL"/>
              </w:rPr>
              <w:t>8</w:t>
            </w:r>
          </w:p>
        </w:tc>
        <w:tc>
          <w:tcPr>
            <w:tcW w:w="1920" w:type="dxa"/>
            <w:vMerge w:val="restart"/>
            <w:shd w:val="clear" w:color="auto" w:fill="auto"/>
            <w:noWrap/>
            <w:vAlign w:val="center"/>
            <w:hideMark/>
          </w:tcPr>
          <w:p w14:paraId="258F7461" w14:textId="08ADA60D" w:rsidR="005D784C" w:rsidRPr="00445472" w:rsidRDefault="005D784C" w:rsidP="00DD45A9">
            <w:pPr>
              <w:pStyle w:val="TABELA"/>
              <w:rPr>
                <w:lang w:val="sq-AL"/>
              </w:rPr>
            </w:pPr>
            <w:r w:rsidRPr="00445472">
              <w:rPr>
                <w:lang w:val="sq-AL"/>
              </w:rPr>
              <w:t>Furnizimi me ujë Fushë</w:t>
            </w:r>
            <w:r w:rsidR="00DD45A9" w:rsidRPr="00445472">
              <w:rPr>
                <w:lang w:val="sq-AL"/>
              </w:rPr>
              <w:t>-</w:t>
            </w:r>
            <w:r w:rsidRPr="00445472">
              <w:rPr>
                <w:lang w:val="sq-AL"/>
              </w:rPr>
              <w:t>Arrëz</w:t>
            </w:r>
          </w:p>
        </w:tc>
        <w:tc>
          <w:tcPr>
            <w:tcW w:w="1478" w:type="dxa"/>
            <w:shd w:val="clear" w:color="auto" w:fill="auto"/>
            <w:noWrap/>
            <w:vAlign w:val="center"/>
            <w:hideMark/>
          </w:tcPr>
          <w:p w14:paraId="0B707BC4" w14:textId="77777777" w:rsidR="005D784C" w:rsidRPr="00445472" w:rsidRDefault="005D784C" w:rsidP="00BB75DE">
            <w:pPr>
              <w:pStyle w:val="TABELA"/>
              <w:rPr>
                <w:lang w:val="sq-AL"/>
              </w:rPr>
            </w:pPr>
            <w:r w:rsidRPr="00445472">
              <w:rPr>
                <w:lang w:val="sq-AL"/>
              </w:rPr>
              <w:t>Ndershej</w:t>
            </w:r>
          </w:p>
        </w:tc>
        <w:tc>
          <w:tcPr>
            <w:tcW w:w="1211" w:type="dxa"/>
            <w:shd w:val="clear" w:color="auto" w:fill="auto"/>
            <w:noWrap/>
            <w:vAlign w:val="center"/>
            <w:hideMark/>
          </w:tcPr>
          <w:p w14:paraId="7548CF76"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54BEA17"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4C603086" w14:textId="77777777" w:rsidR="005D784C" w:rsidRPr="00445472" w:rsidRDefault="005D784C" w:rsidP="00BB75DE">
            <w:pPr>
              <w:pStyle w:val="TABELA"/>
              <w:rPr>
                <w:lang w:val="sq-AL"/>
              </w:rPr>
            </w:pPr>
            <w:r w:rsidRPr="00445472">
              <w:rPr>
                <w:lang w:val="sq-AL"/>
              </w:rPr>
              <w:t>7</w:t>
            </w:r>
          </w:p>
        </w:tc>
        <w:tc>
          <w:tcPr>
            <w:tcW w:w="1276" w:type="dxa"/>
            <w:shd w:val="clear" w:color="auto" w:fill="auto"/>
            <w:noWrap/>
            <w:vAlign w:val="center"/>
            <w:hideMark/>
          </w:tcPr>
          <w:p w14:paraId="2132590D" w14:textId="77777777" w:rsidR="005D784C" w:rsidRPr="00445472" w:rsidRDefault="005D784C" w:rsidP="00BB75DE">
            <w:pPr>
              <w:pStyle w:val="TABELA"/>
              <w:rPr>
                <w:lang w:val="sq-AL"/>
              </w:rPr>
            </w:pPr>
            <w:r w:rsidRPr="00445472">
              <w:rPr>
                <w:lang w:val="sq-AL"/>
              </w:rPr>
              <w:t>3,000</w:t>
            </w:r>
          </w:p>
        </w:tc>
      </w:tr>
      <w:tr w:rsidR="005D784C" w:rsidRPr="00445472" w14:paraId="229F24EA" w14:textId="77777777" w:rsidTr="00B15A6B">
        <w:trPr>
          <w:trHeight w:val="300"/>
        </w:trPr>
        <w:tc>
          <w:tcPr>
            <w:tcW w:w="709" w:type="dxa"/>
            <w:vMerge/>
            <w:shd w:val="clear" w:color="auto" w:fill="auto"/>
            <w:vAlign w:val="center"/>
            <w:hideMark/>
          </w:tcPr>
          <w:p w14:paraId="424FC248" w14:textId="77777777" w:rsidR="005D784C" w:rsidRPr="00445472" w:rsidRDefault="005D784C" w:rsidP="00BB75DE">
            <w:pPr>
              <w:pStyle w:val="TABELA"/>
              <w:rPr>
                <w:lang w:val="sq-AL"/>
              </w:rPr>
            </w:pPr>
          </w:p>
        </w:tc>
        <w:tc>
          <w:tcPr>
            <w:tcW w:w="1920" w:type="dxa"/>
            <w:vMerge/>
            <w:shd w:val="clear" w:color="auto" w:fill="auto"/>
            <w:vAlign w:val="center"/>
            <w:hideMark/>
          </w:tcPr>
          <w:p w14:paraId="08DD1D66" w14:textId="77777777" w:rsidR="005D784C" w:rsidRPr="00445472" w:rsidRDefault="005D784C" w:rsidP="00BB75DE">
            <w:pPr>
              <w:pStyle w:val="TABELA"/>
              <w:rPr>
                <w:lang w:val="sq-AL"/>
              </w:rPr>
            </w:pPr>
          </w:p>
        </w:tc>
        <w:tc>
          <w:tcPr>
            <w:tcW w:w="1478" w:type="dxa"/>
            <w:shd w:val="clear" w:color="auto" w:fill="auto"/>
            <w:noWrap/>
            <w:vAlign w:val="center"/>
            <w:hideMark/>
          </w:tcPr>
          <w:p w14:paraId="25BD9258" w14:textId="77777777" w:rsidR="005D784C" w:rsidRPr="00445472" w:rsidRDefault="005D784C" w:rsidP="00BB75DE">
            <w:pPr>
              <w:pStyle w:val="TABELA"/>
              <w:rPr>
                <w:lang w:val="sq-AL"/>
              </w:rPr>
            </w:pPr>
            <w:r w:rsidRPr="00445472">
              <w:rPr>
                <w:lang w:val="sq-AL"/>
              </w:rPr>
              <w:t>Micojt</w:t>
            </w:r>
          </w:p>
        </w:tc>
        <w:tc>
          <w:tcPr>
            <w:tcW w:w="1211" w:type="dxa"/>
            <w:shd w:val="clear" w:color="auto" w:fill="auto"/>
            <w:noWrap/>
            <w:vAlign w:val="center"/>
            <w:hideMark/>
          </w:tcPr>
          <w:p w14:paraId="74A40DF6"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4B887F5" w14:textId="77777777" w:rsidR="005D784C" w:rsidRPr="00445472" w:rsidRDefault="005D784C" w:rsidP="00BB75DE">
            <w:pPr>
              <w:pStyle w:val="TABELA"/>
              <w:rPr>
                <w:lang w:val="sq-AL"/>
              </w:rPr>
            </w:pPr>
            <w:r w:rsidRPr="00445472">
              <w:rPr>
                <w:lang w:val="sq-AL"/>
              </w:rPr>
              <w:t>ultrabazik</w:t>
            </w:r>
          </w:p>
        </w:tc>
        <w:tc>
          <w:tcPr>
            <w:tcW w:w="1275" w:type="dxa"/>
            <w:shd w:val="clear" w:color="auto" w:fill="auto"/>
            <w:noWrap/>
            <w:vAlign w:val="center"/>
            <w:hideMark/>
          </w:tcPr>
          <w:p w14:paraId="4644A9EE" w14:textId="77777777" w:rsidR="005D784C" w:rsidRPr="00445472" w:rsidRDefault="005D784C" w:rsidP="00BB75DE">
            <w:pPr>
              <w:pStyle w:val="TABELA"/>
              <w:rPr>
                <w:lang w:val="sq-AL"/>
              </w:rPr>
            </w:pPr>
            <w:r w:rsidRPr="00445472">
              <w:rPr>
                <w:lang w:val="sq-AL"/>
              </w:rPr>
              <w:t>5</w:t>
            </w:r>
          </w:p>
        </w:tc>
        <w:tc>
          <w:tcPr>
            <w:tcW w:w="1276" w:type="dxa"/>
            <w:shd w:val="clear" w:color="auto" w:fill="auto"/>
            <w:noWrap/>
            <w:vAlign w:val="center"/>
            <w:hideMark/>
          </w:tcPr>
          <w:p w14:paraId="5337E6D4" w14:textId="77777777" w:rsidR="005D784C" w:rsidRPr="00445472" w:rsidRDefault="005D784C" w:rsidP="00BB75DE">
            <w:pPr>
              <w:pStyle w:val="TABELA"/>
              <w:rPr>
                <w:lang w:val="sq-AL"/>
              </w:rPr>
            </w:pPr>
          </w:p>
        </w:tc>
      </w:tr>
      <w:tr w:rsidR="005D784C" w:rsidRPr="00445472" w14:paraId="08AD7B76" w14:textId="77777777" w:rsidTr="00B15A6B">
        <w:trPr>
          <w:trHeight w:val="300"/>
        </w:trPr>
        <w:tc>
          <w:tcPr>
            <w:tcW w:w="709" w:type="dxa"/>
            <w:shd w:val="clear" w:color="auto" w:fill="auto"/>
            <w:noWrap/>
            <w:vAlign w:val="center"/>
            <w:hideMark/>
          </w:tcPr>
          <w:p w14:paraId="4E57ECF0" w14:textId="77777777" w:rsidR="005D784C" w:rsidRPr="00445472" w:rsidRDefault="005D784C" w:rsidP="00BB75DE">
            <w:pPr>
              <w:pStyle w:val="TABELA"/>
              <w:rPr>
                <w:lang w:val="sq-AL"/>
              </w:rPr>
            </w:pPr>
            <w:r w:rsidRPr="00445472">
              <w:rPr>
                <w:lang w:val="sq-AL"/>
              </w:rPr>
              <w:t>9</w:t>
            </w:r>
          </w:p>
        </w:tc>
        <w:tc>
          <w:tcPr>
            <w:tcW w:w="1920" w:type="dxa"/>
            <w:shd w:val="clear" w:color="auto" w:fill="auto"/>
            <w:noWrap/>
            <w:vAlign w:val="center"/>
            <w:hideMark/>
          </w:tcPr>
          <w:p w14:paraId="1E299B6A" w14:textId="77777777" w:rsidR="005D784C" w:rsidRPr="00445472" w:rsidRDefault="005D784C" w:rsidP="00BB75DE">
            <w:pPr>
              <w:pStyle w:val="TABELA"/>
              <w:rPr>
                <w:lang w:val="sq-AL"/>
              </w:rPr>
            </w:pPr>
            <w:r w:rsidRPr="00445472">
              <w:rPr>
                <w:lang w:val="sq-AL"/>
              </w:rPr>
              <w:t>Furnizimi me ujë Peshkopi</w:t>
            </w:r>
          </w:p>
        </w:tc>
        <w:tc>
          <w:tcPr>
            <w:tcW w:w="1478" w:type="dxa"/>
            <w:shd w:val="clear" w:color="auto" w:fill="auto"/>
            <w:noWrap/>
            <w:vAlign w:val="center"/>
            <w:hideMark/>
          </w:tcPr>
          <w:p w14:paraId="3D3BFE62" w14:textId="7A2F575A" w:rsidR="005D784C" w:rsidRPr="00445472" w:rsidRDefault="005D784C" w:rsidP="00DD45A9">
            <w:pPr>
              <w:pStyle w:val="TABELA"/>
              <w:rPr>
                <w:lang w:val="sq-AL"/>
              </w:rPr>
            </w:pPr>
            <w:r w:rsidRPr="00445472">
              <w:rPr>
                <w:lang w:val="sq-AL"/>
              </w:rPr>
              <w:t xml:space="preserve">Burimi </w:t>
            </w:r>
            <w:r w:rsidR="00DD45A9" w:rsidRPr="00445472">
              <w:rPr>
                <w:lang w:val="sq-AL"/>
              </w:rPr>
              <w:t>i</w:t>
            </w:r>
            <w:r w:rsidRPr="00445472">
              <w:rPr>
                <w:lang w:val="sq-AL"/>
              </w:rPr>
              <w:t xml:space="preserve"> Izvirit Radomirë</w:t>
            </w:r>
          </w:p>
        </w:tc>
        <w:tc>
          <w:tcPr>
            <w:tcW w:w="1211" w:type="dxa"/>
            <w:shd w:val="clear" w:color="auto" w:fill="auto"/>
            <w:noWrap/>
            <w:vAlign w:val="center"/>
            <w:hideMark/>
          </w:tcPr>
          <w:p w14:paraId="419ADD61"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D2B9BAA"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3CFFC943" w14:textId="77777777" w:rsidR="005D784C" w:rsidRPr="00445472" w:rsidRDefault="005D784C" w:rsidP="00BB75DE">
            <w:pPr>
              <w:pStyle w:val="TABELA"/>
              <w:rPr>
                <w:lang w:val="sq-AL"/>
              </w:rPr>
            </w:pPr>
            <w:r w:rsidRPr="00445472">
              <w:rPr>
                <w:lang w:val="sq-AL"/>
              </w:rPr>
              <w:t>25</w:t>
            </w:r>
          </w:p>
        </w:tc>
        <w:tc>
          <w:tcPr>
            <w:tcW w:w="1276" w:type="dxa"/>
            <w:shd w:val="clear" w:color="auto" w:fill="auto"/>
            <w:noWrap/>
            <w:vAlign w:val="center"/>
            <w:hideMark/>
          </w:tcPr>
          <w:p w14:paraId="3BD8D699" w14:textId="77777777" w:rsidR="005D784C" w:rsidRPr="00445472" w:rsidRDefault="005D784C" w:rsidP="00BB75DE">
            <w:pPr>
              <w:pStyle w:val="TABELA"/>
              <w:rPr>
                <w:lang w:val="sq-AL"/>
              </w:rPr>
            </w:pPr>
            <w:r w:rsidRPr="00445472">
              <w:rPr>
                <w:lang w:val="sq-AL"/>
              </w:rPr>
              <w:t>19,123</w:t>
            </w:r>
          </w:p>
        </w:tc>
      </w:tr>
      <w:tr w:rsidR="005D784C" w:rsidRPr="00445472" w14:paraId="0CE9B085" w14:textId="77777777" w:rsidTr="00B15A6B">
        <w:trPr>
          <w:trHeight w:val="300"/>
        </w:trPr>
        <w:tc>
          <w:tcPr>
            <w:tcW w:w="709" w:type="dxa"/>
            <w:vMerge w:val="restart"/>
            <w:shd w:val="clear" w:color="auto" w:fill="auto"/>
            <w:noWrap/>
            <w:vAlign w:val="center"/>
            <w:hideMark/>
          </w:tcPr>
          <w:p w14:paraId="0266031C" w14:textId="77777777" w:rsidR="005D784C" w:rsidRPr="00445472" w:rsidRDefault="005D784C" w:rsidP="00BB75DE">
            <w:pPr>
              <w:pStyle w:val="TABELA"/>
              <w:rPr>
                <w:lang w:val="sq-AL"/>
              </w:rPr>
            </w:pPr>
            <w:r w:rsidRPr="00445472">
              <w:rPr>
                <w:lang w:val="sq-AL"/>
              </w:rPr>
              <w:t>10</w:t>
            </w:r>
          </w:p>
        </w:tc>
        <w:tc>
          <w:tcPr>
            <w:tcW w:w="1920" w:type="dxa"/>
            <w:vMerge w:val="restart"/>
            <w:shd w:val="clear" w:color="auto" w:fill="auto"/>
            <w:noWrap/>
            <w:vAlign w:val="center"/>
            <w:hideMark/>
          </w:tcPr>
          <w:p w14:paraId="1E920737" w14:textId="77777777" w:rsidR="005D784C" w:rsidRPr="00445472" w:rsidRDefault="005D784C" w:rsidP="00BB75DE">
            <w:pPr>
              <w:pStyle w:val="TABELA"/>
              <w:rPr>
                <w:lang w:val="sq-AL"/>
              </w:rPr>
            </w:pPr>
            <w:r w:rsidRPr="00445472">
              <w:rPr>
                <w:lang w:val="sq-AL"/>
              </w:rPr>
              <w:t>Furnizimi me ujë Has</w:t>
            </w:r>
          </w:p>
        </w:tc>
        <w:tc>
          <w:tcPr>
            <w:tcW w:w="1478" w:type="dxa"/>
            <w:shd w:val="clear" w:color="auto" w:fill="auto"/>
            <w:noWrap/>
            <w:vAlign w:val="center"/>
            <w:hideMark/>
          </w:tcPr>
          <w:p w14:paraId="632B8BBE" w14:textId="77777777" w:rsidR="005D784C" w:rsidRPr="00445472" w:rsidRDefault="005D784C" w:rsidP="00BB75DE">
            <w:pPr>
              <w:pStyle w:val="TABELA"/>
              <w:rPr>
                <w:lang w:val="sq-AL"/>
              </w:rPr>
            </w:pPr>
            <w:r w:rsidRPr="00445472">
              <w:rPr>
                <w:lang w:val="sq-AL"/>
              </w:rPr>
              <w:t>Furnizimi me ujë Krumës</w:t>
            </w:r>
          </w:p>
        </w:tc>
        <w:tc>
          <w:tcPr>
            <w:tcW w:w="1211" w:type="dxa"/>
            <w:shd w:val="clear" w:color="auto" w:fill="auto"/>
            <w:noWrap/>
            <w:vAlign w:val="center"/>
            <w:hideMark/>
          </w:tcPr>
          <w:p w14:paraId="189CE2CD"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5B57FBA"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2EF1F7AF" w14:textId="77777777" w:rsidR="005D784C" w:rsidRPr="00445472" w:rsidRDefault="005D784C" w:rsidP="00BB75DE">
            <w:pPr>
              <w:pStyle w:val="TABELA"/>
              <w:rPr>
                <w:lang w:val="sq-AL"/>
              </w:rPr>
            </w:pPr>
            <w:r w:rsidRPr="00445472">
              <w:rPr>
                <w:lang w:val="sq-AL"/>
              </w:rPr>
              <w:t>41</w:t>
            </w:r>
          </w:p>
        </w:tc>
        <w:tc>
          <w:tcPr>
            <w:tcW w:w="1276" w:type="dxa"/>
            <w:shd w:val="clear" w:color="auto" w:fill="auto"/>
            <w:noWrap/>
            <w:vAlign w:val="center"/>
            <w:hideMark/>
          </w:tcPr>
          <w:p w14:paraId="13B7CABF" w14:textId="77777777" w:rsidR="005D784C" w:rsidRPr="00445472" w:rsidRDefault="005D784C" w:rsidP="00BB75DE">
            <w:pPr>
              <w:pStyle w:val="TABELA"/>
              <w:rPr>
                <w:lang w:val="sq-AL"/>
              </w:rPr>
            </w:pPr>
          </w:p>
        </w:tc>
      </w:tr>
      <w:tr w:rsidR="005D784C" w:rsidRPr="00445472" w14:paraId="131597F0" w14:textId="77777777" w:rsidTr="00B15A6B">
        <w:trPr>
          <w:trHeight w:val="300"/>
        </w:trPr>
        <w:tc>
          <w:tcPr>
            <w:tcW w:w="709" w:type="dxa"/>
            <w:vMerge/>
            <w:shd w:val="clear" w:color="auto" w:fill="auto"/>
            <w:vAlign w:val="center"/>
            <w:hideMark/>
          </w:tcPr>
          <w:p w14:paraId="7C259B74" w14:textId="77777777" w:rsidR="005D784C" w:rsidRPr="00445472" w:rsidRDefault="005D784C" w:rsidP="00BB75DE">
            <w:pPr>
              <w:pStyle w:val="TABELA"/>
              <w:rPr>
                <w:lang w:val="sq-AL"/>
              </w:rPr>
            </w:pPr>
          </w:p>
        </w:tc>
        <w:tc>
          <w:tcPr>
            <w:tcW w:w="1920" w:type="dxa"/>
            <w:vMerge/>
            <w:shd w:val="clear" w:color="auto" w:fill="auto"/>
            <w:vAlign w:val="center"/>
            <w:hideMark/>
          </w:tcPr>
          <w:p w14:paraId="49C9B9BC" w14:textId="77777777" w:rsidR="005D784C" w:rsidRPr="00445472" w:rsidRDefault="005D784C" w:rsidP="00BB75DE">
            <w:pPr>
              <w:pStyle w:val="TABELA"/>
              <w:rPr>
                <w:lang w:val="sq-AL"/>
              </w:rPr>
            </w:pPr>
          </w:p>
        </w:tc>
        <w:tc>
          <w:tcPr>
            <w:tcW w:w="1478" w:type="dxa"/>
            <w:shd w:val="clear" w:color="auto" w:fill="auto"/>
            <w:vAlign w:val="center"/>
            <w:hideMark/>
          </w:tcPr>
          <w:p w14:paraId="5AE7403B" w14:textId="77777777" w:rsidR="005D784C" w:rsidRPr="00445472" w:rsidRDefault="005D784C" w:rsidP="00BB75DE">
            <w:pPr>
              <w:pStyle w:val="TABELA"/>
              <w:rPr>
                <w:lang w:val="sq-AL"/>
              </w:rPr>
            </w:pPr>
            <w:r w:rsidRPr="00445472">
              <w:rPr>
                <w:lang w:val="sq-AL"/>
              </w:rPr>
              <w:t>Furnizimi me ujë Harhull (Vranisat)</w:t>
            </w:r>
          </w:p>
        </w:tc>
        <w:tc>
          <w:tcPr>
            <w:tcW w:w="1211" w:type="dxa"/>
            <w:shd w:val="clear" w:color="auto" w:fill="auto"/>
            <w:noWrap/>
            <w:vAlign w:val="center"/>
            <w:hideMark/>
          </w:tcPr>
          <w:p w14:paraId="7497F697"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4DBF2EC"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05030927" w14:textId="77777777" w:rsidR="005D784C" w:rsidRPr="00445472" w:rsidRDefault="005D784C" w:rsidP="00BB75DE">
            <w:pPr>
              <w:pStyle w:val="TABELA"/>
              <w:rPr>
                <w:lang w:val="sq-AL"/>
              </w:rPr>
            </w:pPr>
            <w:r w:rsidRPr="00445472">
              <w:rPr>
                <w:lang w:val="sq-AL"/>
              </w:rPr>
              <w:t>1.1</w:t>
            </w:r>
          </w:p>
        </w:tc>
        <w:tc>
          <w:tcPr>
            <w:tcW w:w="1276" w:type="dxa"/>
            <w:shd w:val="clear" w:color="auto" w:fill="auto"/>
            <w:noWrap/>
            <w:vAlign w:val="center"/>
            <w:hideMark/>
          </w:tcPr>
          <w:p w14:paraId="6082C03C" w14:textId="77777777" w:rsidR="005D784C" w:rsidRPr="00445472" w:rsidRDefault="005D784C" w:rsidP="00BB75DE">
            <w:pPr>
              <w:pStyle w:val="TABELA"/>
              <w:rPr>
                <w:lang w:val="sq-AL"/>
              </w:rPr>
            </w:pPr>
          </w:p>
        </w:tc>
      </w:tr>
      <w:tr w:rsidR="005D784C" w:rsidRPr="00445472" w14:paraId="7CB220FF" w14:textId="77777777" w:rsidTr="00B15A6B">
        <w:trPr>
          <w:trHeight w:val="300"/>
        </w:trPr>
        <w:tc>
          <w:tcPr>
            <w:tcW w:w="709" w:type="dxa"/>
            <w:vMerge/>
            <w:shd w:val="clear" w:color="auto" w:fill="auto"/>
            <w:vAlign w:val="center"/>
            <w:hideMark/>
          </w:tcPr>
          <w:p w14:paraId="3E72995F" w14:textId="77777777" w:rsidR="005D784C" w:rsidRPr="00445472" w:rsidRDefault="005D784C" w:rsidP="00BB75DE">
            <w:pPr>
              <w:pStyle w:val="TABELA"/>
              <w:rPr>
                <w:lang w:val="sq-AL"/>
              </w:rPr>
            </w:pPr>
          </w:p>
        </w:tc>
        <w:tc>
          <w:tcPr>
            <w:tcW w:w="1920" w:type="dxa"/>
            <w:vMerge/>
            <w:shd w:val="clear" w:color="auto" w:fill="auto"/>
            <w:vAlign w:val="center"/>
            <w:hideMark/>
          </w:tcPr>
          <w:p w14:paraId="4D729A6B" w14:textId="77777777" w:rsidR="005D784C" w:rsidRPr="00445472" w:rsidRDefault="005D784C" w:rsidP="00BB75DE">
            <w:pPr>
              <w:pStyle w:val="TABELA"/>
              <w:rPr>
                <w:lang w:val="sq-AL"/>
              </w:rPr>
            </w:pPr>
          </w:p>
        </w:tc>
        <w:tc>
          <w:tcPr>
            <w:tcW w:w="1478" w:type="dxa"/>
            <w:shd w:val="clear" w:color="auto" w:fill="auto"/>
            <w:noWrap/>
            <w:vAlign w:val="center"/>
            <w:hideMark/>
          </w:tcPr>
          <w:p w14:paraId="409ACA98" w14:textId="77777777" w:rsidR="005D784C" w:rsidRPr="00445472" w:rsidRDefault="005D784C" w:rsidP="00BB75DE">
            <w:pPr>
              <w:pStyle w:val="TABELA"/>
              <w:rPr>
                <w:lang w:val="sq-AL"/>
              </w:rPr>
            </w:pPr>
            <w:r w:rsidRPr="00445472">
              <w:rPr>
                <w:lang w:val="sq-AL"/>
              </w:rPr>
              <w:t>Furnizimi me ujë Cahanit</w:t>
            </w:r>
          </w:p>
        </w:tc>
        <w:tc>
          <w:tcPr>
            <w:tcW w:w="1211" w:type="dxa"/>
            <w:shd w:val="clear" w:color="auto" w:fill="auto"/>
            <w:noWrap/>
            <w:vAlign w:val="center"/>
            <w:hideMark/>
          </w:tcPr>
          <w:p w14:paraId="0D5B0D40"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79181688"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2C2547C8" w14:textId="77777777" w:rsidR="005D784C" w:rsidRPr="00445472" w:rsidRDefault="005D784C" w:rsidP="00BB75DE">
            <w:pPr>
              <w:pStyle w:val="TABELA"/>
              <w:rPr>
                <w:lang w:val="sq-AL"/>
              </w:rPr>
            </w:pPr>
            <w:r w:rsidRPr="00445472">
              <w:rPr>
                <w:lang w:val="sq-AL"/>
              </w:rPr>
              <w:t>1.6</w:t>
            </w:r>
          </w:p>
        </w:tc>
        <w:tc>
          <w:tcPr>
            <w:tcW w:w="1276" w:type="dxa"/>
            <w:shd w:val="clear" w:color="auto" w:fill="auto"/>
            <w:noWrap/>
            <w:vAlign w:val="center"/>
            <w:hideMark/>
          </w:tcPr>
          <w:p w14:paraId="2D3F9E8C" w14:textId="77777777" w:rsidR="005D784C" w:rsidRPr="00445472" w:rsidRDefault="005D784C" w:rsidP="00BB75DE">
            <w:pPr>
              <w:pStyle w:val="TABELA"/>
              <w:rPr>
                <w:lang w:val="sq-AL"/>
              </w:rPr>
            </w:pPr>
          </w:p>
        </w:tc>
      </w:tr>
      <w:tr w:rsidR="005D784C" w:rsidRPr="00445472" w14:paraId="27809280" w14:textId="77777777" w:rsidTr="00B15A6B">
        <w:trPr>
          <w:trHeight w:val="300"/>
        </w:trPr>
        <w:tc>
          <w:tcPr>
            <w:tcW w:w="709" w:type="dxa"/>
            <w:vMerge w:val="restart"/>
            <w:shd w:val="clear" w:color="auto" w:fill="auto"/>
            <w:noWrap/>
            <w:vAlign w:val="center"/>
            <w:hideMark/>
          </w:tcPr>
          <w:p w14:paraId="58A8C30F" w14:textId="77777777" w:rsidR="005D784C" w:rsidRPr="00445472" w:rsidRDefault="005D784C" w:rsidP="00BB75DE">
            <w:pPr>
              <w:pStyle w:val="TABELA"/>
              <w:rPr>
                <w:lang w:val="sq-AL"/>
              </w:rPr>
            </w:pPr>
            <w:r w:rsidRPr="00445472">
              <w:rPr>
                <w:lang w:val="sq-AL"/>
              </w:rPr>
              <w:t>11</w:t>
            </w:r>
          </w:p>
        </w:tc>
        <w:tc>
          <w:tcPr>
            <w:tcW w:w="1920" w:type="dxa"/>
            <w:vMerge w:val="restart"/>
            <w:shd w:val="clear" w:color="auto" w:fill="auto"/>
            <w:noWrap/>
            <w:vAlign w:val="center"/>
            <w:hideMark/>
          </w:tcPr>
          <w:p w14:paraId="5D4FE9FE" w14:textId="77777777" w:rsidR="005D784C" w:rsidRPr="00445472" w:rsidRDefault="005D784C" w:rsidP="00BB75DE">
            <w:pPr>
              <w:pStyle w:val="TABELA"/>
              <w:rPr>
                <w:lang w:val="sq-AL"/>
              </w:rPr>
            </w:pPr>
            <w:r w:rsidRPr="00445472">
              <w:rPr>
                <w:lang w:val="sq-AL"/>
              </w:rPr>
              <w:t>Furnizimi me ujë Malësi e Madhe</w:t>
            </w:r>
          </w:p>
        </w:tc>
        <w:tc>
          <w:tcPr>
            <w:tcW w:w="1478" w:type="dxa"/>
            <w:shd w:val="clear" w:color="auto" w:fill="auto"/>
            <w:noWrap/>
            <w:vAlign w:val="center"/>
            <w:hideMark/>
          </w:tcPr>
          <w:p w14:paraId="5DD0A36B" w14:textId="77777777" w:rsidR="005D784C" w:rsidRPr="00445472" w:rsidRDefault="005D784C" w:rsidP="00BB75DE">
            <w:pPr>
              <w:pStyle w:val="TABELA"/>
              <w:rPr>
                <w:lang w:val="sq-AL"/>
              </w:rPr>
            </w:pPr>
            <w:r w:rsidRPr="00445472">
              <w:rPr>
                <w:lang w:val="sq-AL"/>
              </w:rPr>
              <w:t>Rrjolli</w:t>
            </w:r>
          </w:p>
        </w:tc>
        <w:tc>
          <w:tcPr>
            <w:tcW w:w="1211" w:type="dxa"/>
            <w:shd w:val="clear" w:color="auto" w:fill="auto"/>
            <w:noWrap/>
            <w:vAlign w:val="center"/>
            <w:hideMark/>
          </w:tcPr>
          <w:p w14:paraId="281A1A29"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C6A6C04"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69BE961D" w14:textId="77777777" w:rsidR="005D784C" w:rsidRPr="00445472" w:rsidRDefault="005D784C" w:rsidP="00BB75DE">
            <w:pPr>
              <w:pStyle w:val="TABELA"/>
              <w:rPr>
                <w:lang w:val="sq-AL"/>
              </w:rPr>
            </w:pPr>
            <w:r w:rsidRPr="00445472">
              <w:rPr>
                <w:lang w:val="sq-AL"/>
              </w:rPr>
              <w:t>90</w:t>
            </w:r>
          </w:p>
        </w:tc>
        <w:tc>
          <w:tcPr>
            <w:tcW w:w="1276" w:type="dxa"/>
            <w:shd w:val="clear" w:color="auto" w:fill="auto"/>
            <w:noWrap/>
            <w:vAlign w:val="center"/>
            <w:hideMark/>
          </w:tcPr>
          <w:p w14:paraId="4F91CD5F" w14:textId="77777777" w:rsidR="005D784C" w:rsidRPr="00445472" w:rsidRDefault="005D784C" w:rsidP="00BB75DE">
            <w:pPr>
              <w:pStyle w:val="TABELA"/>
              <w:rPr>
                <w:lang w:val="sq-AL"/>
              </w:rPr>
            </w:pPr>
            <w:r w:rsidRPr="00445472">
              <w:rPr>
                <w:lang w:val="sq-AL"/>
              </w:rPr>
              <w:t>8333</w:t>
            </w:r>
          </w:p>
        </w:tc>
      </w:tr>
      <w:tr w:rsidR="005D784C" w:rsidRPr="00445472" w14:paraId="7DACF6BD" w14:textId="77777777" w:rsidTr="00B15A6B">
        <w:trPr>
          <w:trHeight w:val="300"/>
        </w:trPr>
        <w:tc>
          <w:tcPr>
            <w:tcW w:w="709" w:type="dxa"/>
            <w:vMerge/>
            <w:shd w:val="clear" w:color="auto" w:fill="auto"/>
            <w:vAlign w:val="center"/>
            <w:hideMark/>
          </w:tcPr>
          <w:p w14:paraId="0A80FBF0" w14:textId="77777777" w:rsidR="005D784C" w:rsidRPr="00445472" w:rsidRDefault="005D784C" w:rsidP="00BB75DE">
            <w:pPr>
              <w:pStyle w:val="TABELA"/>
              <w:rPr>
                <w:lang w:val="sq-AL"/>
              </w:rPr>
            </w:pPr>
          </w:p>
        </w:tc>
        <w:tc>
          <w:tcPr>
            <w:tcW w:w="1920" w:type="dxa"/>
            <w:vMerge/>
            <w:shd w:val="clear" w:color="auto" w:fill="auto"/>
            <w:vAlign w:val="center"/>
            <w:hideMark/>
          </w:tcPr>
          <w:p w14:paraId="114DEBF3" w14:textId="77777777" w:rsidR="005D784C" w:rsidRPr="00445472" w:rsidRDefault="005D784C" w:rsidP="00BB75DE">
            <w:pPr>
              <w:pStyle w:val="TABELA"/>
              <w:rPr>
                <w:lang w:val="sq-AL"/>
              </w:rPr>
            </w:pPr>
          </w:p>
        </w:tc>
        <w:tc>
          <w:tcPr>
            <w:tcW w:w="1478" w:type="dxa"/>
            <w:shd w:val="clear" w:color="auto" w:fill="auto"/>
            <w:noWrap/>
            <w:vAlign w:val="center"/>
            <w:hideMark/>
          </w:tcPr>
          <w:p w14:paraId="756180DF" w14:textId="77777777" w:rsidR="005D784C" w:rsidRPr="00445472" w:rsidRDefault="005D784C" w:rsidP="00BB75DE">
            <w:pPr>
              <w:pStyle w:val="TABELA"/>
              <w:rPr>
                <w:lang w:val="sq-AL"/>
              </w:rPr>
            </w:pPr>
            <w:r w:rsidRPr="00445472">
              <w:rPr>
                <w:lang w:val="sq-AL"/>
              </w:rPr>
              <w:t>Burimi Tamarë</w:t>
            </w:r>
          </w:p>
        </w:tc>
        <w:tc>
          <w:tcPr>
            <w:tcW w:w="1211" w:type="dxa"/>
            <w:shd w:val="clear" w:color="auto" w:fill="auto"/>
            <w:noWrap/>
            <w:vAlign w:val="center"/>
            <w:hideMark/>
          </w:tcPr>
          <w:p w14:paraId="3899E2AC"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0299BD79"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5F068E64" w14:textId="77777777" w:rsidR="005D784C" w:rsidRPr="00445472" w:rsidRDefault="005D784C" w:rsidP="00BB75DE">
            <w:pPr>
              <w:pStyle w:val="TABELA"/>
              <w:rPr>
                <w:lang w:val="sq-AL"/>
              </w:rPr>
            </w:pPr>
            <w:r w:rsidRPr="00445472">
              <w:rPr>
                <w:lang w:val="sq-AL"/>
              </w:rPr>
              <w:t>5</w:t>
            </w:r>
          </w:p>
        </w:tc>
        <w:tc>
          <w:tcPr>
            <w:tcW w:w="1276" w:type="dxa"/>
            <w:shd w:val="clear" w:color="auto" w:fill="auto"/>
            <w:vAlign w:val="center"/>
            <w:hideMark/>
          </w:tcPr>
          <w:p w14:paraId="19917E74" w14:textId="77777777" w:rsidR="005D784C" w:rsidRPr="00445472" w:rsidRDefault="005D784C" w:rsidP="00BB75DE">
            <w:pPr>
              <w:pStyle w:val="TABELA"/>
              <w:rPr>
                <w:lang w:val="sq-AL"/>
              </w:rPr>
            </w:pPr>
          </w:p>
        </w:tc>
      </w:tr>
      <w:tr w:rsidR="005D784C" w:rsidRPr="00445472" w14:paraId="04A7A7D1" w14:textId="77777777" w:rsidTr="00B15A6B">
        <w:trPr>
          <w:trHeight w:val="300"/>
        </w:trPr>
        <w:tc>
          <w:tcPr>
            <w:tcW w:w="709" w:type="dxa"/>
            <w:vMerge/>
            <w:shd w:val="clear" w:color="auto" w:fill="auto"/>
            <w:vAlign w:val="center"/>
            <w:hideMark/>
          </w:tcPr>
          <w:p w14:paraId="6F829F40" w14:textId="77777777" w:rsidR="005D784C" w:rsidRPr="00445472" w:rsidRDefault="005D784C" w:rsidP="00BB75DE">
            <w:pPr>
              <w:pStyle w:val="TABELA"/>
              <w:rPr>
                <w:lang w:val="sq-AL"/>
              </w:rPr>
            </w:pPr>
          </w:p>
        </w:tc>
        <w:tc>
          <w:tcPr>
            <w:tcW w:w="1920" w:type="dxa"/>
            <w:vMerge/>
            <w:shd w:val="clear" w:color="auto" w:fill="auto"/>
            <w:vAlign w:val="center"/>
            <w:hideMark/>
          </w:tcPr>
          <w:p w14:paraId="01245E5A" w14:textId="77777777" w:rsidR="005D784C" w:rsidRPr="00445472" w:rsidRDefault="005D784C" w:rsidP="00BB75DE">
            <w:pPr>
              <w:pStyle w:val="TABELA"/>
              <w:rPr>
                <w:lang w:val="sq-AL"/>
              </w:rPr>
            </w:pPr>
          </w:p>
        </w:tc>
        <w:tc>
          <w:tcPr>
            <w:tcW w:w="1478" w:type="dxa"/>
            <w:shd w:val="clear" w:color="auto" w:fill="auto"/>
            <w:noWrap/>
            <w:vAlign w:val="center"/>
            <w:hideMark/>
          </w:tcPr>
          <w:p w14:paraId="6B445F29" w14:textId="77777777" w:rsidR="005D784C" w:rsidRPr="00445472" w:rsidRDefault="005D784C" w:rsidP="00BB75DE">
            <w:pPr>
              <w:pStyle w:val="TABELA"/>
              <w:rPr>
                <w:lang w:val="sq-AL"/>
              </w:rPr>
            </w:pPr>
            <w:r w:rsidRPr="00445472">
              <w:rPr>
                <w:lang w:val="sq-AL"/>
              </w:rPr>
              <w:t>Burimi Luisi</w:t>
            </w:r>
          </w:p>
        </w:tc>
        <w:tc>
          <w:tcPr>
            <w:tcW w:w="1211" w:type="dxa"/>
            <w:shd w:val="clear" w:color="auto" w:fill="auto"/>
            <w:noWrap/>
            <w:vAlign w:val="center"/>
            <w:hideMark/>
          </w:tcPr>
          <w:p w14:paraId="39039824"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59F05FD7"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75998EDF" w14:textId="77777777" w:rsidR="005D784C" w:rsidRPr="00445472" w:rsidRDefault="005D784C" w:rsidP="00BB75DE">
            <w:pPr>
              <w:pStyle w:val="TABELA"/>
              <w:rPr>
                <w:lang w:val="sq-AL"/>
              </w:rPr>
            </w:pPr>
            <w:r w:rsidRPr="00445472">
              <w:rPr>
                <w:lang w:val="sq-AL"/>
              </w:rPr>
              <w:t>0.2</w:t>
            </w:r>
          </w:p>
        </w:tc>
        <w:tc>
          <w:tcPr>
            <w:tcW w:w="1276" w:type="dxa"/>
            <w:shd w:val="clear" w:color="auto" w:fill="auto"/>
            <w:vAlign w:val="center"/>
            <w:hideMark/>
          </w:tcPr>
          <w:p w14:paraId="1F0B0410" w14:textId="77777777" w:rsidR="005D784C" w:rsidRPr="00445472" w:rsidRDefault="005D784C" w:rsidP="00BB75DE">
            <w:pPr>
              <w:pStyle w:val="TABELA"/>
              <w:rPr>
                <w:lang w:val="sq-AL"/>
              </w:rPr>
            </w:pPr>
          </w:p>
        </w:tc>
      </w:tr>
      <w:tr w:rsidR="005D784C" w:rsidRPr="00445472" w14:paraId="7FD0D464" w14:textId="77777777" w:rsidTr="00B15A6B">
        <w:trPr>
          <w:trHeight w:val="300"/>
        </w:trPr>
        <w:tc>
          <w:tcPr>
            <w:tcW w:w="709" w:type="dxa"/>
            <w:vMerge w:val="restart"/>
            <w:shd w:val="clear" w:color="auto" w:fill="auto"/>
            <w:noWrap/>
            <w:vAlign w:val="center"/>
            <w:hideMark/>
          </w:tcPr>
          <w:p w14:paraId="2EDDB3C6" w14:textId="77777777" w:rsidR="005D784C" w:rsidRPr="00445472" w:rsidRDefault="005D784C" w:rsidP="00BB75DE">
            <w:pPr>
              <w:pStyle w:val="TABELA"/>
              <w:rPr>
                <w:lang w:val="sq-AL"/>
              </w:rPr>
            </w:pPr>
            <w:r w:rsidRPr="00445472">
              <w:rPr>
                <w:lang w:val="sq-AL"/>
              </w:rPr>
              <w:t>12</w:t>
            </w:r>
          </w:p>
        </w:tc>
        <w:tc>
          <w:tcPr>
            <w:tcW w:w="1920" w:type="dxa"/>
            <w:vMerge w:val="restart"/>
            <w:shd w:val="clear" w:color="auto" w:fill="auto"/>
            <w:noWrap/>
            <w:vAlign w:val="center"/>
            <w:hideMark/>
          </w:tcPr>
          <w:p w14:paraId="0A468B46" w14:textId="77777777" w:rsidR="005D784C" w:rsidRPr="00445472" w:rsidRDefault="005D784C" w:rsidP="00BB75DE">
            <w:pPr>
              <w:pStyle w:val="TABELA"/>
              <w:rPr>
                <w:lang w:val="sq-AL"/>
              </w:rPr>
            </w:pPr>
            <w:r w:rsidRPr="00445472">
              <w:rPr>
                <w:lang w:val="sq-AL"/>
              </w:rPr>
              <w:t>Bashkia Kukës</w:t>
            </w:r>
          </w:p>
        </w:tc>
        <w:tc>
          <w:tcPr>
            <w:tcW w:w="1478" w:type="dxa"/>
            <w:shd w:val="clear" w:color="auto" w:fill="auto"/>
            <w:noWrap/>
            <w:vAlign w:val="center"/>
            <w:hideMark/>
          </w:tcPr>
          <w:p w14:paraId="4F59B5D3" w14:textId="77777777" w:rsidR="005D784C" w:rsidRPr="00445472" w:rsidRDefault="005D784C" w:rsidP="00BB75DE">
            <w:pPr>
              <w:pStyle w:val="TABELA"/>
              <w:rPr>
                <w:lang w:val="sq-AL"/>
              </w:rPr>
            </w:pPr>
            <w:r w:rsidRPr="00445472">
              <w:rPr>
                <w:lang w:val="sq-AL"/>
              </w:rPr>
              <w:t>Gurra Kolosjan</w:t>
            </w:r>
          </w:p>
        </w:tc>
        <w:tc>
          <w:tcPr>
            <w:tcW w:w="1211" w:type="dxa"/>
            <w:shd w:val="clear" w:color="auto" w:fill="auto"/>
            <w:noWrap/>
            <w:vAlign w:val="center"/>
            <w:hideMark/>
          </w:tcPr>
          <w:p w14:paraId="3FA13EBD"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27F09F65"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551FAB26" w14:textId="77777777" w:rsidR="005D784C" w:rsidRPr="00445472" w:rsidRDefault="005D784C" w:rsidP="00BB75DE">
            <w:pPr>
              <w:pStyle w:val="TABELA"/>
              <w:rPr>
                <w:lang w:val="sq-AL"/>
              </w:rPr>
            </w:pPr>
            <w:r w:rsidRPr="00445472">
              <w:rPr>
                <w:lang w:val="sq-AL"/>
              </w:rPr>
              <w:t>10  25</w:t>
            </w:r>
          </w:p>
        </w:tc>
        <w:tc>
          <w:tcPr>
            <w:tcW w:w="1276" w:type="dxa"/>
            <w:shd w:val="clear" w:color="auto" w:fill="auto"/>
            <w:noWrap/>
            <w:vAlign w:val="center"/>
            <w:hideMark/>
          </w:tcPr>
          <w:p w14:paraId="3AF5B941" w14:textId="77777777" w:rsidR="005D784C" w:rsidRPr="00445472" w:rsidRDefault="005D784C" w:rsidP="00BB75DE">
            <w:pPr>
              <w:pStyle w:val="TABELA"/>
              <w:rPr>
                <w:lang w:val="sq-AL"/>
              </w:rPr>
            </w:pPr>
            <w:r w:rsidRPr="00445472">
              <w:rPr>
                <w:lang w:val="sq-AL"/>
              </w:rPr>
              <w:t>40,000</w:t>
            </w:r>
          </w:p>
        </w:tc>
      </w:tr>
      <w:tr w:rsidR="005D784C" w:rsidRPr="00445472" w14:paraId="33AB3FE5" w14:textId="77777777" w:rsidTr="00B15A6B">
        <w:trPr>
          <w:trHeight w:val="300"/>
        </w:trPr>
        <w:tc>
          <w:tcPr>
            <w:tcW w:w="709" w:type="dxa"/>
            <w:vMerge/>
            <w:shd w:val="clear" w:color="auto" w:fill="auto"/>
            <w:vAlign w:val="center"/>
            <w:hideMark/>
          </w:tcPr>
          <w:p w14:paraId="0971021C" w14:textId="77777777" w:rsidR="005D784C" w:rsidRPr="00445472" w:rsidRDefault="005D784C" w:rsidP="00BB75DE">
            <w:pPr>
              <w:pStyle w:val="TABELA"/>
              <w:rPr>
                <w:lang w:val="sq-AL"/>
              </w:rPr>
            </w:pPr>
          </w:p>
        </w:tc>
        <w:tc>
          <w:tcPr>
            <w:tcW w:w="1920" w:type="dxa"/>
            <w:vMerge/>
            <w:shd w:val="clear" w:color="auto" w:fill="auto"/>
            <w:vAlign w:val="center"/>
            <w:hideMark/>
          </w:tcPr>
          <w:p w14:paraId="4F6A905D" w14:textId="77777777" w:rsidR="005D784C" w:rsidRPr="00445472" w:rsidRDefault="005D784C" w:rsidP="00BB75DE">
            <w:pPr>
              <w:pStyle w:val="TABELA"/>
              <w:rPr>
                <w:lang w:val="sq-AL"/>
              </w:rPr>
            </w:pPr>
          </w:p>
        </w:tc>
        <w:tc>
          <w:tcPr>
            <w:tcW w:w="1478" w:type="dxa"/>
            <w:shd w:val="clear" w:color="auto" w:fill="auto"/>
            <w:vAlign w:val="center"/>
            <w:hideMark/>
          </w:tcPr>
          <w:p w14:paraId="46310F5C" w14:textId="77777777" w:rsidR="005D784C" w:rsidRPr="00445472" w:rsidRDefault="005D784C" w:rsidP="00BB75DE">
            <w:pPr>
              <w:pStyle w:val="TABELA"/>
              <w:rPr>
                <w:lang w:val="sq-AL"/>
              </w:rPr>
            </w:pPr>
            <w:r w:rsidRPr="00445472">
              <w:rPr>
                <w:lang w:val="sq-AL"/>
              </w:rPr>
              <w:t>Burimi Domaj</w:t>
            </w:r>
          </w:p>
        </w:tc>
        <w:tc>
          <w:tcPr>
            <w:tcW w:w="1211" w:type="dxa"/>
            <w:shd w:val="clear" w:color="auto" w:fill="auto"/>
            <w:noWrap/>
            <w:vAlign w:val="center"/>
            <w:hideMark/>
          </w:tcPr>
          <w:p w14:paraId="63271283"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6CFE207A"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6C30CFF2" w14:textId="77777777" w:rsidR="005D784C" w:rsidRPr="00445472" w:rsidRDefault="005D784C" w:rsidP="00BB75DE">
            <w:pPr>
              <w:pStyle w:val="TABELA"/>
              <w:rPr>
                <w:lang w:val="sq-AL"/>
              </w:rPr>
            </w:pPr>
            <w:r w:rsidRPr="00445472">
              <w:rPr>
                <w:lang w:val="sq-AL"/>
              </w:rPr>
              <w:t>30  80</w:t>
            </w:r>
          </w:p>
        </w:tc>
        <w:tc>
          <w:tcPr>
            <w:tcW w:w="1276" w:type="dxa"/>
            <w:shd w:val="clear" w:color="auto" w:fill="auto"/>
            <w:noWrap/>
            <w:vAlign w:val="center"/>
            <w:hideMark/>
          </w:tcPr>
          <w:p w14:paraId="27A658D9" w14:textId="77777777" w:rsidR="005D784C" w:rsidRPr="00445472" w:rsidRDefault="005D784C" w:rsidP="00BB75DE">
            <w:pPr>
              <w:pStyle w:val="TABELA"/>
              <w:rPr>
                <w:lang w:val="sq-AL"/>
              </w:rPr>
            </w:pPr>
          </w:p>
        </w:tc>
      </w:tr>
      <w:tr w:rsidR="005D784C" w:rsidRPr="00445472" w14:paraId="0568840F" w14:textId="77777777" w:rsidTr="00B15A6B">
        <w:trPr>
          <w:trHeight w:val="300"/>
        </w:trPr>
        <w:tc>
          <w:tcPr>
            <w:tcW w:w="709" w:type="dxa"/>
            <w:vMerge/>
            <w:shd w:val="clear" w:color="auto" w:fill="auto"/>
            <w:vAlign w:val="center"/>
            <w:hideMark/>
          </w:tcPr>
          <w:p w14:paraId="4BBEFD79" w14:textId="77777777" w:rsidR="005D784C" w:rsidRPr="00445472" w:rsidRDefault="005D784C" w:rsidP="00BB75DE">
            <w:pPr>
              <w:pStyle w:val="TABELA"/>
              <w:rPr>
                <w:lang w:val="sq-AL"/>
              </w:rPr>
            </w:pPr>
          </w:p>
        </w:tc>
        <w:tc>
          <w:tcPr>
            <w:tcW w:w="1920" w:type="dxa"/>
            <w:vMerge/>
            <w:shd w:val="clear" w:color="auto" w:fill="auto"/>
            <w:vAlign w:val="center"/>
            <w:hideMark/>
          </w:tcPr>
          <w:p w14:paraId="790ED728" w14:textId="77777777" w:rsidR="005D784C" w:rsidRPr="00445472" w:rsidRDefault="005D784C" w:rsidP="00BB75DE">
            <w:pPr>
              <w:pStyle w:val="TABELA"/>
              <w:rPr>
                <w:lang w:val="sq-AL"/>
              </w:rPr>
            </w:pPr>
          </w:p>
        </w:tc>
        <w:tc>
          <w:tcPr>
            <w:tcW w:w="1478" w:type="dxa"/>
            <w:shd w:val="clear" w:color="auto" w:fill="auto"/>
            <w:noWrap/>
            <w:vAlign w:val="center"/>
            <w:hideMark/>
          </w:tcPr>
          <w:p w14:paraId="49610F51" w14:textId="77777777" w:rsidR="005D784C" w:rsidRPr="00445472" w:rsidRDefault="005D784C" w:rsidP="00BB75DE">
            <w:pPr>
              <w:pStyle w:val="TABELA"/>
              <w:rPr>
                <w:lang w:val="sq-AL"/>
              </w:rPr>
            </w:pPr>
            <w:r w:rsidRPr="00445472">
              <w:rPr>
                <w:lang w:val="sq-AL"/>
              </w:rPr>
              <w:t>Burimi Lajme</w:t>
            </w:r>
          </w:p>
        </w:tc>
        <w:tc>
          <w:tcPr>
            <w:tcW w:w="1211" w:type="dxa"/>
            <w:shd w:val="clear" w:color="auto" w:fill="auto"/>
            <w:noWrap/>
            <w:vAlign w:val="center"/>
            <w:hideMark/>
          </w:tcPr>
          <w:p w14:paraId="2B9584F2" w14:textId="77777777" w:rsidR="005D784C" w:rsidRPr="00445472" w:rsidRDefault="005D784C" w:rsidP="00BB75DE">
            <w:pPr>
              <w:pStyle w:val="TABELA"/>
              <w:rPr>
                <w:lang w:val="sq-AL"/>
              </w:rPr>
            </w:pPr>
            <w:r w:rsidRPr="00445472">
              <w:rPr>
                <w:lang w:val="sq-AL"/>
              </w:rPr>
              <w:t>Burimi</w:t>
            </w:r>
          </w:p>
        </w:tc>
        <w:tc>
          <w:tcPr>
            <w:tcW w:w="1657" w:type="dxa"/>
            <w:shd w:val="clear" w:color="auto" w:fill="auto"/>
            <w:noWrap/>
            <w:vAlign w:val="center"/>
            <w:hideMark/>
          </w:tcPr>
          <w:p w14:paraId="221A0EAF" w14:textId="77777777" w:rsidR="005D784C" w:rsidRPr="00445472" w:rsidRDefault="005D784C" w:rsidP="00BB75DE">
            <w:pPr>
              <w:pStyle w:val="TABELA"/>
              <w:rPr>
                <w:lang w:val="sq-AL"/>
              </w:rPr>
            </w:pPr>
            <w:r w:rsidRPr="00445472">
              <w:rPr>
                <w:lang w:val="sq-AL"/>
              </w:rPr>
              <w:t>karbonatik</w:t>
            </w:r>
          </w:p>
        </w:tc>
        <w:tc>
          <w:tcPr>
            <w:tcW w:w="1275" w:type="dxa"/>
            <w:shd w:val="clear" w:color="auto" w:fill="auto"/>
            <w:noWrap/>
            <w:vAlign w:val="center"/>
            <w:hideMark/>
          </w:tcPr>
          <w:p w14:paraId="5CB21016" w14:textId="77777777" w:rsidR="005D784C" w:rsidRPr="00445472" w:rsidRDefault="005D784C" w:rsidP="00BB75DE">
            <w:pPr>
              <w:pStyle w:val="TABELA"/>
              <w:rPr>
                <w:lang w:val="sq-AL"/>
              </w:rPr>
            </w:pPr>
            <w:r w:rsidRPr="00445472">
              <w:rPr>
                <w:lang w:val="sq-AL"/>
              </w:rPr>
              <w:t>10  25</w:t>
            </w:r>
          </w:p>
        </w:tc>
        <w:tc>
          <w:tcPr>
            <w:tcW w:w="1276" w:type="dxa"/>
            <w:shd w:val="clear" w:color="auto" w:fill="auto"/>
            <w:noWrap/>
            <w:vAlign w:val="center"/>
            <w:hideMark/>
          </w:tcPr>
          <w:p w14:paraId="362004E5" w14:textId="77777777" w:rsidR="005D784C" w:rsidRPr="00445472" w:rsidRDefault="005D784C" w:rsidP="00BB75DE">
            <w:pPr>
              <w:pStyle w:val="TABELA"/>
              <w:rPr>
                <w:lang w:val="sq-AL"/>
              </w:rPr>
            </w:pPr>
          </w:p>
        </w:tc>
      </w:tr>
    </w:tbl>
    <w:p w14:paraId="159EF623" w14:textId="77777777" w:rsidR="005D784C" w:rsidRPr="00445472" w:rsidRDefault="005D784C" w:rsidP="005D784C">
      <w:pPr>
        <w:pStyle w:val="TEKSTIIII"/>
      </w:pPr>
    </w:p>
    <w:p w14:paraId="0E556985" w14:textId="13CB4A9B" w:rsidR="005D784C" w:rsidRPr="00445472" w:rsidRDefault="00BB75DE" w:rsidP="00BB75DE">
      <w:pPr>
        <w:pStyle w:val="NENTITULL"/>
      </w:pPr>
      <w:bookmarkStart w:id="85" w:name="_Toc486503397"/>
      <w:bookmarkStart w:id="86" w:name="_Toc11068777"/>
      <w:r w:rsidRPr="00445472">
        <w:t xml:space="preserve">5.4 </w:t>
      </w:r>
      <w:r w:rsidR="005D784C" w:rsidRPr="00445472">
        <w:t xml:space="preserve">Zonat e përcaktuara për </w:t>
      </w:r>
      <w:r w:rsidR="006C2BA9" w:rsidRPr="00445472">
        <w:t xml:space="preserve">mbrojtjen e specieve ujore ekonomikisht </w:t>
      </w:r>
      <w:r w:rsidR="005D784C" w:rsidRPr="00445472">
        <w:t>të rëndësishme</w:t>
      </w:r>
      <w:bookmarkEnd w:id="85"/>
      <w:bookmarkEnd w:id="86"/>
    </w:p>
    <w:p w14:paraId="7DBDCDC2" w14:textId="77777777" w:rsidR="005D784C" w:rsidRPr="00445472" w:rsidRDefault="005D784C" w:rsidP="005D784C">
      <w:pPr>
        <w:pStyle w:val="TEKSTIIII"/>
      </w:pPr>
      <w:r w:rsidRPr="00445472">
        <w:t>Ligji Nr. 64/2012 Për Peshkimin</w:t>
      </w:r>
      <w:r w:rsidRPr="00445472">
        <w:rPr>
          <w:rStyle w:val="FootnoteReference"/>
          <w:rFonts w:ascii="Garamond" w:hAnsi="Garamond"/>
          <w:color w:val="auto"/>
        </w:rPr>
        <w:footnoteReference w:id="61"/>
      </w:r>
      <w:r w:rsidRPr="00445472">
        <w:t xml:space="preserve"> identifikon si vijon zonat që synojnë të mbrojnë peshkimin dhe ato janë:</w:t>
      </w:r>
    </w:p>
    <w:p w14:paraId="758B7F63" w14:textId="63BE73F0" w:rsidR="005D784C" w:rsidRPr="00445472" w:rsidRDefault="00BB75DE" w:rsidP="005D784C">
      <w:pPr>
        <w:pStyle w:val="TEKSTIIII"/>
      </w:pPr>
      <w:r w:rsidRPr="00445472">
        <w:rPr>
          <w:i/>
        </w:rPr>
        <w:t>-</w:t>
      </w:r>
      <w:r w:rsidR="002F2591" w:rsidRPr="00445472">
        <w:rPr>
          <w:i/>
        </w:rPr>
        <w:t xml:space="preserve"> </w:t>
      </w:r>
      <w:r w:rsidR="005D784C" w:rsidRPr="00445472">
        <w:rPr>
          <w:i/>
        </w:rPr>
        <w:t>Zonat e limituara për peshkim</w:t>
      </w:r>
      <w:r w:rsidR="005D784C" w:rsidRPr="00445472">
        <w:t xml:space="preserve"> që janë trupa ujorë dhe</w:t>
      </w:r>
      <w:r w:rsidR="001D340B" w:rsidRPr="00445472">
        <w:t>/</w:t>
      </w:r>
      <w:r w:rsidR="005D784C" w:rsidRPr="00445472">
        <w:t xml:space="preserve">ose seksione të trupave ujorë që deklarohen ligjërisht si zona ku nuk lejohet peshkimi ose zona që kanë kapacitet të kufizuar të peshkimit; </w:t>
      </w:r>
    </w:p>
    <w:p w14:paraId="03A2F92C" w14:textId="1C72A358" w:rsidR="005D784C" w:rsidRPr="00445472" w:rsidRDefault="00BB75DE" w:rsidP="005D784C">
      <w:pPr>
        <w:pStyle w:val="TEKSTIIII"/>
      </w:pPr>
      <w:r w:rsidRPr="00445472">
        <w:rPr>
          <w:i/>
        </w:rPr>
        <w:t>-</w:t>
      </w:r>
      <w:r w:rsidR="002F2591" w:rsidRPr="00445472">
        <w:rPr>
          <w:i/>
        </w:rPr>
        <w:t xml:space="preserve"> </w:t>
      </w:r>
      <w:r w:rsidR="005D784C" w:rsidRPr="00445472">
        <w:rPr>
          <w:i/>
        </w:rPr>
        <w:t>Zonat e bashkëmenaxhimit</w:t>
      </w:r>
      <w:r w:rsidR="005D784C" w:rsidRPr="00445472">
        <w:t xml:space="preserve"> janë zonat e peshkimit që MBZHR</w:t>
      </w:r>
      <w:r w:rsidR="008D6F13" w:rsidRPr="00445472">
        <w:t>-ja</w:t>
      </w:r>
      <w:r w:rsidR="005D784C" w:rsidRPr="00445472">
        <w:t xml:space="preserve"> menaxhon në bashkëpunim me një organizatë peshkimi në mënyrë që të garantojë përdorimin e qëndrueshëm të burimeve të peshkimit dhe të mbrojë biodiversitetin ujor</w:t>
      </w:r>
      <w:r w:rsidR="005D784C" w:rsidRPr="00445472">
        <w:rPr>
          <w:rStyle w:val="FootnoteReference"/>
          <w:rFonts w:ascii="Garamond" w:hAnsi="Garamond"/>
          <w:color w:val="auto"/>
        </w:rPr>
        <w:footnoteReference w:id="62"/>
      </w:r>
      <w:r w:rsidR="005D784C" w:rsidRPr="00445472">
        <w:t>. Organizata që merr të drejtën për të bashkëmenaxhuar zonën e peshkimit me MBZHR-në është e përfshirë në hartimin dhe zbatimin e planit të menaxhimit të këtyre zonave.</w:t>
      </w:r>
      <w:r w:rsidR="005D784C" w:rsidRPr="00445472">
        <w:rPr>
          <w:rStyle w:val="FootnoteReference"/>
          <w:rFonts w:ascii="Garamond" w:hAnsi="Garamond"/>
          <w:color w:val="auto"/>
        </w:rPr>
        <w:footnoteReference w:id="63"/>
      </w:r>
    </w:p>
    <w:p w14:paraId="1E3DB85F" w14:textId="56DE869A" w:rsidR="005D784C" w:rsidRPr="00445472" w:rsidRDefault="00BB75DE" w:rsidP="005D784C">
      <w:pPr>
        <w:pStyle w:val="TEKSTIIII"/>
      </w:pPr>
      <w:r w:rsidRPr="00445472">
        <w:rPr>
          <w:i/>
        </w:rPr>
        <w:t>-</w:t>
      </w:r>
      <w:r w:rsidR="00A543A2">
        <w:rPr>
          <w:i/>
        </w:rPr>
        <w:t xml:space="preserve"> </w:t>
      </w:r>
      <w:r w:rsidR="005D784C" w:rsidRPr="00445472">
        <w:rPr>
          <w:i/>
        </w:rPr>
        <w:t>Një zonë e mbrojtur peshkimi</w:t>
      </w:r>
      <w:r w:rsidR="005D784C" w:rsidRPr="00445472">
        <w:t xml:space="preserve"> është një zonë ku peshkimi nuk lejohet për një kohë të kufizuar - dhe ndonjëherë përgjithmonë - për të mbrojtur burimet ujore ose ekosistemet ujore.</w:t>
      </w:r>
    </w:p>
    <w:p w14:paraId="40D6CE82" w14:textId="31DEB868" w:rsidR="005D784C" w:rsidRPr="00445472" w:rsidRDefault="00BB75DE" w:rsidP="005D784C">
      <w:pPr>
        <w:pStyle w:val="TEKSTIIII"/>
      </w:pPr>
      <w:r w:rsidRPr="00445472">
        <w:t>-</w:t>
      </w:r>
      <w:r w:rsidR="00A543A2">
        <w:t xml:space="preserve"> </w:t>
      </w:r>
      <w:r w:rsidR="005D784C" w:rsidRPr="00445472">
        <w:t>Në zonat e mbrojtura bregdetare nuk lejohet peshkimi për qëllime komerciale, duke iu referuar dispozitave ligjore në fuqi për peshkimin dhe akuakulturën. Peshkimi tregtar është i lejuar në zonat e mbrojtura bregdetare pjesë e kategorisë IV, V dhe VI, të miratuara me urdhër të Drejtorit të Përgjithshëm të AKZM</w:t>
      </w:r>
      <w:r w:rsidR="006C2BA9" w:rsidRPr="00445472">
        <w:t>-së</w:t>
      </w:r>
      <w:r w:rsidR="005D784C" w:rsidRPr="00445472">
        <w:rPr>
          <w:rStyle w:val="FootnoteReference"/>
          <w:rFonts w:ascii="Garamond" w:hAnsi="Garamond"/>
          <w:color w:val="auto"/>
        </w:rPr>
        <w:footnoteReference w:id="64"/>
      </w:r>
      <w:r w:rsidR="006C2BA9" w:rsidRPr="00445472">
        <w:t>,</w:t>
      </w:r>
      <w:r w:rsidR="005D784C" w:rsidRPr="00445472">
        <w:t xml:space="preserve"> sipas kushteve të peshkimit që do të zbatohen në këtë fushë</w:t>
      </w:r>
    </w:p>
    <w:p w14:paraId="0BBD1B56" w14:textId="0E7171A6" w:rsidR="005D784C" w:rsidRPr="00445472" w:rsidRDefault="005D784C" w:rsidP="005D784C">
      <w:pPr>
        <w:pStyle w:val="TEKSTIIII"/>
      </w:pPr>
      <w:r w:rsidRPr="00445472">
        <w:t>Këshilli i Ministrave miraton tr</w:t>
      </w:r>
      <w:r w:rsidR="00905530">
        <w:t>i</w:t>
      </w:r>
      <w:r w:rsidRPr="00445472">
        <w:t xml:space="preserve"> lloje të zonave të mbrojtura me propozimin e MBZHR-së.</w:t>
      </w:r>
      <w:r w:rsidRPr="00445472">
        <w:rPr>
          <w:rStyle w:val="FootnoteReference"/>
          <w:rFonts w:ascii="Garamond" w:hAnsi="Garamond"/>
          <w:color w:val="auto"/>
        </w:rPr>
        <w:footnoteReference w:id="65"/>
      </w:r>
      <w:r w:rsidRPr="00445472">
        <w:t xml:space="preserve"> Për të garantuar përdorimin e qëndrueshëm të burimeve të peshkimit dhe për të mbrojtur speciet ujore të rëndësishme ekonomikisht, MBZHR cakton</w:t>
      </w:r>
      <w:r w:rsidRPr="00445472">
        <w:rPr>
          <w:rStyle w:val="FootnoteReference"/>
          <w:rFonts w:ascii="Garamond" w:hAnsi="Garamond"/>
          <w:color w:val="auto"/>
        </w:rPr>
        <w:footnoteReference w:id="66"/>
      </w:r>
      <w:r w:rsidRPr="00445472">
        <w:t xml:space="preserve"> numrin dhe dimensionet e anijeve të peshkimit duke përfshirë detajet e motorit dhe llojin e pajisjeve të peshkimit që lejohen në një zonë të tillë; ndalimin e peshkimit në një zonë të përcaktuar; sasinë e peshqve të lejuar për peshkim dhe numrin e lejeve të peshkimit në një zonë të përcaktuar.</w:t>
      </w:r>
    </w:p>
    <w:p w14:paraId="70CE5801" w14:textId="3134BB29" w:rsidR="005D784C" w:rsidRPr="00445472" w:rsidRDefault="005D784C" w:rsidP="005D784C">
      <w:pPr>
        <w:pStyle w:val="TEKSTIIII"/>
      </w:pPr>
      <w:bookmarkStart w:id="87" w:name="_Toc486503398"/>
      <w:r w:rsidRPr="00445472">
        <w:t xml:space="preserve">Në Basenin Ujor </w:t>
      </w:r>
      <w:r w:rsidR="007E76E3" w:rsidRPr="00445472">
        <w:t>Drin–Bunë</w:t>
      </w:r>
      <w:r w:rsidRPr="00445472">
        <w:t>, MBZHR ka caktuar një zonë të bashkëmenaxhimit siç raportohet në Tabelën 5.3. MBZHR nuk ka caktuar zona të kufizuara të peshkimit dhe</w:t>
      </w:r>
      <w:r w:rsidR="001D340B" w:rsidRPr="00445472">
        <w:t>/</w:t>
      </w:r>
      <w:r w:rsidRPr="00445472">
        <w:t>ose zona të mbrojtura të peshkimit</w:t>
      </w:r>
      <w:bookmarkEnd w:id="87"/>
      <w:r w:rsidRPr="00445472">
        <w:t>.</w:t>
      </w:r>
    </w:p>
    <w:p w14:paraId="23454A57" w14:textId="77777777" w:rsidR="006C2BA9" w:rsidRPr="00445472" w:rsidRDefault="006C2BA9" w:rsidP="005D784C">
      <w:pPr>
        <w:pStyle w:val="TEKSTIIII"/>
        <w:rPr>
          <w:b/>
        </w:rPr>
      </w:pPr>
    </w:p>
    <w:p w14:paraId="70ED906C" w14:textId="4EFCD887" w:rsidR="005D784C" w:rsidRPr="00445472" w:rsidRDefault="005D784C" w:rsidP="005D784C">
      <w:pPr>
        <w:pStyle w:val="TEKSTIIII"/>
        <w:rPr>
          <w:b/>
        </w:rPr>
      </w:pPr>
      <w:r w:rsidRPr="00445472">
        <w:rPr>
          <w:b/>
        </w:rPr>
        <w:t xml:space="preserve">Tabela 5.3: Zonat e bashkëmenaxhimit në Basenin Ujor </w:t>
      </w:r>
      <w:r w:rsidR="007E76E3" w:rsidRPr="00445472">
        <w:rPr>
          <w:b/>
        </w:rPr>
        <w:t>Drin–Bunë</w:t>
      </w:r>
      <w:r w:rsidRPr="00445472">
        <w:rPr>
          <w:rStyle w:val="FootnoteReference"/>
          <w:rFonts w:ascii="Garamond" w:hAnsi="Garamond"/>
          <w:b/>
          <w:color w:val="auto"/>
        </w:rPr>
        <w:footnoteReference w:id="67"/>
      </w:r>
    </w:p>
    <w:tbl>
      <w:tblPr>
        <w:tblStyle w:val="TableGrid"/>
        <w:tblW w:w="0" w:type="auto"/>
        <w:tblLook w:val="04A0" w:firstRow="1" w:lastRow="0" w:firstColumn="1" w:lastColumn="0" w:noHBand="0" w:noVBand="1"/>
      </w:tblPr>
      <w:tblGrid>
        <w:gridCol w:w="675"/>
        <w:gridCol w:w="2410"/>
        <w:gridCol w:w="6202"/>
      </w:tblGrid>
      <w:tr w:rsidR="00BB75DE" w:rsidRPr="00445472" w14:paraId="7C26D07C" w14:textId="77777777" w:rsidTr="00BB75DE">
        <w:tc>
          <w:tcPr>
            <w:tcW w:w="675" w:type="dxa"/>
            <w:vAlign w:val="center"/>
          </w:tcPr>
          <w:p w14:paraId="37D951E8" w14:textId="164D5847" w:rsidR="00BB75DE" w:rsidRPr="00445472" w:rsidRDefault="00BB75DE" w:rsidP="00BB75DE">
            <w:pPr>
              <w:pStyle w:val="TEKSTIIII"/>
              <w:spacing w:before="0"/>
              <w:ind w:firstLine="0"/>
              <w:jc w:val="center"/>
              <w:rPr>
                <w:b/>
                <w:sz w:val="20"/>
                <w:szCs w:val="20"/>
              </w:rPr>
            </w:pPr>
            <w:r w:rsidRPr="00445472">
              <w:rPr>
                <w:b/>
                <w:sz w:val="20"/>
                <w:szCs w:val="20"/>
              </w:rPr>
              <w:t>Nr.</w:t>
            </w:r>
          </w:p>
        </w:tc>
        <w:tc>
          <w:tcPr>
            <w:tcW w:w="2410" w:type="dxa"/>
            <w:vAlign w:val="center"/>
          </w:tcPr>
          <w:p w14:paraId="2727FF49" w14:textId="4C6408DA" w:rsidR="00BB75DE" w:rsidRPr="00445472" w:rsidRDefault="00BB75DE" w:rsidP="00BB75DE">
            <w:pPr>
              <w:pStyle w:val="TEKSTIIII"/>
              <w:spacing w:before="0"/>
              <w:ind w:firstLine="0"/>
              <w:jc w:val="center"/>
              <w:rPr>
                <w:b/>
                <w:sz w:val="20"/>
                <w:szCs w:val="20"/>
              </w:rPr>
            </w:pPr>
            <w:r w:rsidRPr="00445472">
              <w:rPr>
                <w:b/>
                <w:sz w:val="20"/>
                <w:szCs w:val="20"/>
              </w:rPr>
              <w:t>Trupi</w:t>
            </w:r>
            <w:r w:rsidR="001D340B" w:rsidRPr="00445472">
              <w:rPr>
                <w:b/>
                <w:sz w:val="20"/>
                <w:szCs w:val="20"/>
              </w:rPr>
              <w:t>/</w:t>
            </w:r>
            <w:r w:rsidRPr="00445472">
              <w:rPr>
                <w:b/>
                <w:sz w:val="20"/>
                <w:szCs w:val="20"/>
              </w:rPr>
              <w:t>Zona Ujore</w:t>
            </w:r>
          </w:p>
        </w:tc>
        <w:tc>
          <w:tcPr>
            <w:tcW w:w="6202" w:type="dxa"/>
            <w:vAlign w:val="center"/>
          </w:tcPr>
          <w:p w14:paraId="44794A5E" w14:textId="328089F3" w:rsidR="00BB75DE" w:rsidRPr="00445472" w:rsidRDefault="00BB75DE" w:rsidP="00BB75DE">
            <w:pPr>
              <w:pStyle w:val="TEKSTIIII"/>
              <w:spacing w:before="0"/>
              <w:ind w:firstLine="0"/>
              <w:jc w:val="center"/>
              <w:rPr>
                <w:b/>
                <w:sz w:val="20"/>
                <w:szCs w:val="20"/>
              </w:rPr>
            </w:pPr>
            <w:r w:rsidRPr="00445472">
              <w:rPr>
                <w:b/>
                <w:sz w:val="20"/>
                <w:szCs w:val="20"/>
              </w:rPr>
              <w:t>Vendimi i Këshillit të Ministrave</w:t>
            </w:r>
          </w:p>
        </w:tc>
      </w:tr>
      <w:tr w:rsidR="00BB75DE" w:rsidRPr="00445472" w14:paraId="68A16998" w14:textId="77777777" w:rsidTr="00B15A6B">
        <w:tc>
          <w:tcPr>
            <w:tcW w:w="675" w:type="dxa"/>
          </w:tcPr>
          <w:p w14:paraId="78192B2A" w14:textId="17116EFC" w:rsidR="00BB75DE" w:rsidRPr="00445472" w:rsidRDefault="00BB75DE" w:rsidP="006C2BA9">
            <w:pPr>
              <w:pStyle w:val="TEKSTIIII"/>
              <w:spacing w:before="0"/>
              <w:ind w:firstLine="0"/>
              <w:jc w:val="center"/>
              <w:rPr>
                <w:sz w:val="20"/>
                <w:szCs w:val="20"/>
              </w:rPr>
            </w:pPr>
            <w:r w:rsidRPr="00445472">
              <w:rPr>
                <w:sz w:val="20"/>
                <w:szCs w:val="20"/>
              </w:rPr>
              <w:t>1</w:t>
            </w:r>
          </w:p>
        </w:tc>
        <w:tc>
          <w:tcPr>
            <w:tcW w:w="2410" w:type="dxa"/>
            <w:vAlign w:val="center"/>
          </w:tcPr>
          <w:p w14:paraId="7899EFDA" w14:textId="0CCA5AAA" w:rsidR="00BB75DE" w:rsidRPr="00445472" w:rsidRDefault="00BB75DE" w:rsidP="00BB75DE">
            <w:pPr>
              <w:pStyle w:val="TEKSTIIII"/>
              <w:spacing w:before="0"/>
              <w:ind w:firstLine="0"/>
              <w:rPr>
                <w:sz w:val="20"/>
                <w:szCs w:val="20"/>
              </w:rPr>
            </w:pPr>
            <w:r w:rsidRPr="00445472">
              <w:rPr>
                <w:sz w:val="20"/>
                <w:szCs w:val="20"/>
              </w:rPr>
              <w:t xml:space="preserve">Liqeni i Shkodrës dhe </w:t>
            </w:r>
            <w:r w:rsidR="006C2BA9" w:rsidRPr="00445472">
              <w:rPr>
                <w:sz w:val="20"/>
                <w:szCs w:val="20"/>
              </w:rPr>
              <w:t xml:space="preserve">lumi </w:t>
            </w:r>
            <w:r w:rsidRPr="00445472">
              <w:rPr>
                <w:sz w:val="20"/>
                <w:szCs w:val="20"/>
              </w:rPr>
              <w:t>Bunë</w:t>
            </w:r>
          </w:p>
        </w:tc>
        <w:tc>
          <w:tcPr>
            <w:tcW w:w="6202" w:type="dxa"/>
            <w:vAlign w:val="center"/>
          </w:tcPr>
          <w:p w14:paraId="4493794D" w14:textId="059944BE" w:rsidR="00BB75DE" w:rsidRPr="00445472" w:rsidRDefault="00BB75DE" w:rsidP="006C2BA9">
            <w:pPr>
              <w:pStyle w:val="TEKSTIIII"/>
              <w:spacing w:before="0"/>
              <w:ind w:firstLine="0"/>
              <w:rPr>
                <w:sz w:val="20"/>
                <w:szCs w:val="20"/>
              </w:rPr>
            </w:pPr>
            <w:r w:rsidRPr="00445472">
              <w:rPr>
                <w:sz w:val="20"/>
                <w:szCs w:val="20"/>
              </w:rPr>
              <w:t xml:space="preserve">Vendim </w:t>
            </w:r>
            <w:r w:rsidR="006C2BA9" w:rsidRPr="00445472">
              <w:rPr>
                <w:sz w:val="20"/>
                <w:szCs w:val="20"/>
              </w:rPr>
              <w:t>nr</w:t>
            </w:r>
            <w:r w:rsidRPr="00445472">
              <w:rPr>
                <w:sz w:val="20"/>
                <w:szCs w:val="20"/>
              </w:rPr>
              <w:t>. 469, datë 22.6.2016</w:t>
            </w:r>
            <w:r w:rsidR="006C2BA9" w:rsidRPr="00445472">
              <w:rPr>
                <w:sz w:val="20"/>
                <w:szCs w:val="20"/>
              </w:rPr>
              <w:t>,</w:t>
            </w:r>
            <w:r w:rsidRPr="00445472">
              <w:rPr>
                <w:sz w:val="20"/>
                <w:szCs w:val="20"/>
              </w:rPr>
              <w:t xml:space="preserve"> </w:t>
            </w:r>
            <w:r w:rsidR="006C2BA9" w:rsidRPr="00445472">
              <w:rPr>
                <w:sz w:val="20"/>
                <w:szCs w:val="20"/>
              </w:rPr>
              <w:t>“</w:t>
            </w:r>
            <w:r w:rsidRPr="00445472">
              <w:rPr>
                <w:sz w:val="20"/>
                <w:szCs w:val="20"/>
              </w:rPr>
              <w:t xml:space="preserve">Për shpalljen e Liqenit të Shkodrës dhe </w:t>
            </w:r>
            <w:r w:rsidR="006C2BA9" w:rsidRPr="00445472">
              <w:rPr>
                <w:sz w:val="20"/>
                <w:szCs w:val="20"/>
              </w:rPr>
              <w:t xml:space="preserve">lumit </w:t>
            </w:r>
            <w:r w:rsidRPr="00445472">
              <w:rPr>
                <w:sz w:val="20"/>
                <w:szCs w:val="20"/>
              </w:rPr>
              <w:t>Bunë si zonë bashkëmenaxhuese peshkimi</w:t>
            </w:r>
            <w:r w:rsidR="006C2BA9" w:rsidRPr="00445472">
              <w:rPr>
                <w:sz w:val="20"/>
                <w:szCs w:val="20"/>
              </w:rPr>
              <w:t>”</w:t>
            </w:r>
          </w:p>
        </w:tc>
      </w:tr>
      <w:tr w:rsidR="00BB75DE" w:rsidRPr="00445472" w14:paraId="4585F32A" w14:textId="77777777" w:rsidTr="00B15A6B">
        <w:tc>
          <w:tcPr>
            <w:tcW w:w="675" w:type="dxa"/>
          </w:tcPr>
          <w:p w14:paraId="135CD845" w14:textId="12DB8467" w:rsidR="00BB75DE" w:rsidRPr="00445472" w:rsidRDefault="00BB75DE" w:rsidP="006C2BA9">
            <w:pPr>
              <w:pStyle w:val="TEKSTIIII"/>
              <w:spacing w:before="0"/>
              <w:ind w:firstLine="0"/>
              <w:jc w:val="center"/>
              <w:rPr>
                <w:sz w:val="20"/>
                <w:szCs w:val="20"/>
              </w:rPr>
            </w:pPr>
            <w:r w:rsidRPr="00445472">
              <w:rPr>
                <w:sz w:val="20"/>
                <w:szCs w:val="20"/>
              </w:rPr>
              <w:t>2</w:t>
            </w:r>
          </w:p>
        </w:tc>
        <w:tc>
          <w:tcPr>
            <w:tcW w:w="2410" w:type="dxa"/>
            <w:vAlign w:val="center"/>
          </w:tcPr>
          <w:p w14:paraId="6BE17FB1" w14:textId="0423314E" w:rsidR="00BB75DE" w:rsidRPr="00445472" w:rsidRDefault="00BB75DE" w:rsidP="00BB75DE">
            <w:pPr>
              <w:pStyle w:val="TEKSTIIII"/>
              <w:spacing w:before="0"/>
              <w:ind w:firstLine="0"/>
              <w:rPr>
                <w:sz w:val="20"/>
                <w:szCs w:val="20"/>
              </w:rPr>
            </w:pPr>
            <w:r w:rsidRPr="00445472">
              <w:rPr>
                <w:sz w:val="20"/>
                <w:szCs w:val="20"/>
              </w:rPr>
              <w:t>Liqeni i Ohrit</w:t>
            </w:r>
          </w:p>
        </w:tc>
        <w:tc>
          <w:tcPr>
            <w:tcW w:w="6202" w:type="dxa"/>
            <w:vAlign w:val="center"/>
          </w:tcPr>
          <w:p w14:paraId="44ECA515" w14:textId="260A511C" w:rsidR="00BB75DE" w:rsidRPr="00445472" w:rsidRDefault="00BB75DE" w:rsidP="00BB75DE">
            <w:pPr>
              <w:pStyle w:val="TEKSTIIII"/>
              <w:spacing w:before="0"/>
              <w:ind w:firstLine="0"/>
              <w:rPr>
                <w:sz w:val="20"/>
                <w:szCs w:val="20"/>
              </w:rPr>
            </w:pPr>
            <w:r w:rsidRPr="00445472">
              <w:rPr>
                <w:sz w:val="20"/>
                <w:szCs w:val="20"/>
              </w:rPr>
              <w:t>Vendim 283, datë 13.4.2016</w:t>
            </w:r>
            <w:r w:rsidR="006C2BA9" w:rsidRPr="00445472">
              <w:rPr>
                <w:sz w:val="20"/>
                <w:szCs w:val="20"/>
              </w:rPr>
              <w:t>,</w:t>
            </w:r>
            <w:r w:rsidRPr="00445472">
              <w:rPr>
                <w:sz w:val="20"/>
                <w:szCs w:val="20"/>
              </w:rPr>
              <w:t xml:space="preserve"> </w:t>
            </w:r>
            <w:r w:rsidR="006C2BA9" w:rsidRPr="00445472">
              <w:rPr>
                <w:sz w:val="20"/>
                <w:szCs w:val="20"/>
              </w:rPr>
              <w:t>“</w:t>
            </w:r>
            <w:r w:rsidRPr="00445472">
              <w:rPr>
                <w:sz w:val="20"/>
                <w:szCs w:val="20"/>
              </w:rPr>
              <w:t xml:space="preserve">Për shpalljen e </w:t>
            </w:r>
            <w:r w:rsidR="006C2BA9" w:rsidRPr="00445472">
              <w:rPr>
                <w:sz w:val="20"/>
                <w:szCs w:val="20"/>
              </w:rPr>
              <w:t>liqenit të Ohrit si zonë bashkëmenaxhuese peshkimi”</w:t>
            </w:r>
          </w:p>
        </w:tc>
      </w:tr>
    </w:tbl>
    <w:p w14:paraId="77298952" w14:textId="77777777" w:rsidR="00BB75DE" w:rsidRPr="00445472" w:rsidRDefault="00BB75DE" w:rsidP="005D784C">
      <w:pPr>
        <w:pStyle w:val="TEKSTIIII"/>
        <w:rPr>
          <w:b/>
        </w:rPr>
      </w:pPr>
    </w:p>
    <w:p w14:paraId="608FDCAA" w14:textId="70818533" w:rsidR="005D784C" w:rsidRPr="00445472" w:rsidRDefault="000D7A19" w:rsidP="000D7A19">
      <w:pPr>
        <w:pStyle w:val="NENTITULL"/>
      </w:pPr>
      <w:bookmarkStart w:id="88" w:name="_Toc486503399"/>
      <w:bookmarkStart w:id="89" w:name="_TOC_250041"/>
      <w:bookmarkStart w:id="90" w:name="_Toc11068778"/>
      <w:r w:rsidRPr="00445472">
        <w:t xml:space="preserve">5.5 </w:t>
      </w:r>
      <w:r w:rsidR="005D784C" w:rsidRPr="00445472">
        <w:t xml:space="preserve">Trupat </w:t>
      </w:r>
      <w:r w:rsidR="008F62B1" w:rsidRPr="00445472">
        <w:t xml:space="preserve">ujorë të përcaktuar si ujëra rekreative dhe të </w:t>
      </w:r>
      <w:bookmarkEnd w:id="88"/>
      <w:bookmarkEnd w:id="89"/>
      <w:r w:rsidR="008F62B1" w:rsidRPr="00445472">
        <w:t>larjes</w:t>
      </w:r>
      <w:bookmarkEnd w:id="90"/>
    </w:p>
    <w:p w14:paraId="0A114658" w14:textId="77777777" w:rsidR="005D784C" w:rsidRPr="00445472" w:rsidRDefault="005D784C" w:rsidP="005D784C">
      <w:pPr>
        <w:pStyle w:val="TEKSTIIII"/>
      </w:pPr>
      <w:r w:rsidRPr="00445472">
        <w:t>Njësitë e qeverisjes vendore, Ministria e Shëndetësisë dhe Mbrojtjes Sociale (nëpërmjet Inspektoratit Shtetëror Shëndetësor) dhe AKM janë përgjegjës për identifikimin dhe miratimin e zonave të mbrojtura për ujërat e larjes në baza vjetore</w:t>
      </w:r>
      <w:r w:rsidRPr="00445472">
        <w:rPr>
          <w:rStyle w:val="FootnoteReference"/>
          <w:rFonts w:ascii="Garamond" w:hAnsi="Garamond"/>
          <w:color w:val="auto"/>
        </w:rPr>
        <w:footnoteReference w:id="68"/>
      </w:r>
      <w:r w:rsidRPr="00445472">
        <w:t>. Në përgjithësi, këto janë plazhet në brigjet e detit Adriatik. Menaxhimi i zonave të larjes është përgjegjësi e këtyre institucioneve.</w:t>
      </w:r>
    </w:p>
    <w:p w14:paraId="53C4569D" w14:textId="61D253E2" w:rsidR="005D784C" w:rsidRPr="00445472" w:rsidRDefault="005D784C" w:rsidP="005D784C">
      <w:pPr>
        <w:pStyle w:val="TEKSTIIII"/>
      </w:pPr>
      <w:r w:rsidRPr="00445472">
        <w:t xml:space="preserve">Në rajonin e Basenit Ujor </w:t>
      </w:r>
      <w:r w:rsidR="007E76E3" w:rsidRPr="00445472">
        <w:t>Drin–Bunë</w:t>
      </w:r>
      <w:r w:rsidRPr="00445472">
        <w:t xml:space="preserve">, zonat kryesore të larjes janë Plazhi i Velipojës dhe Plazhi i Shëngjinit. Megjithatë, e gjithë zona bregdetare e Detit Adriatik në Basenin Ujor </w:t>
      </w:r>
      <w:r w:rsidR="007E76E3" w:rsidRPr="00445472">
        <w:t>Drin–Bunë</w:t>
      </w:r>
      <w:r w:rsidRPr="00445472">
        <w:t xml:space="preserve"> përdoret për larje gjatë periudhës së verës.</w:t>
      </w:r>
    </w:p>
    <w:p w14:paraId="2E3BAB2A" w14:textId="2794FCF9" w:rsidR="005D784C" w:rsidRPr="00445472" w:rsidRDefault="000D7A19" w:rsidP="000D7A19">
      <w:pPr>
        <w:pStyle w:val="NENTITULL"/>
      </w:pPr>
      <w:bookmarkStart w:id="91" w:name="_Toc486503400"/>
      <w:bookmarkStart w:id="92" w:name="_Toc11068779"/>
      <w:r w:rsidRPr="00445472">
        <w:t xml:space="preserve">5.6 </w:t>
      </w:r>
      <w:r w:rsidR="005D784C" w:rsidRPr="00445472">
        <w:t xml:space="preserve">Zonat e ndjeshme ndaj lëndëve ushqyese, duke përfshirë zonat e përcaktuara si </w:t>
      </w:r>
      <w:r w:rsidR="007E76E3" w:rsidRPr="00445472">
        <w:t>të cenueshme</w:t>
      </w:r>
      <w:bookmarkEnd w:id="91"/>
      <w:bookmarkEnd w:id="92"/>
    </w:p>
    <w:p w14:paraId="422233D6" w14:textId="58490249" w:rsidR="005D784C" w:rsidRPr="00445472" w:rsidRDefault="005D784C" w:rsidP="005D784C">
      <w:pPr>
        <w:pStyle w:val="TEKSTIIII"/>
      </w:pPr>
      <w:r w:rsidRPr="00445472">
        <w:t>Shqipëria nuk e ka transpozuar Direktivën e Nitrateve. Pra, nuk ekziston një ligj i veçantë që rregullon mbrojtjen e burimeve ujore nga nitratet. Në vend të kësaj, ligje të ndryshme i referohen ndotjes nga nitratet, direkt ose indirekt, siç është rasti i Ligjit për Mbrojtjen e Tokës Bujqësore dhe Ligjit 111/2012 ndryshuar me Ligjin nr. 6/2018 për disa ndryshime dhe shtesa në Ligjin nr. 111/2012</w:t>
      </w:r>
      <w:r w:rsidR="00D62EDF" w:rsidRPr="00445472">
        <w:t xml:space="preserve">, “Për </w:t>
      </w:r>
      <w:r w:rsidRPr="00445472">
        <w:t>Menaxhimin e Integruar të Burimeve Ujore</w:t>
      </w:r>
      <w:r w:rsidR="00D62EDF" w:rsidRPr="00445472">
        <w:t>”</w:t>
      </w:r>
      <w:r w:rsidRPr="00445472">
        <w:t>. I pari synon mbrojtjen e burimeve ujore nga ndotja nga inputet bujqësore nëpërmjet miratimit të praktikave të mira bujqësore nga fermerët</w:t>
      </w:r>
      <w:r w:rsidRPr="00445472">
        <w:rPr>
          <w:rStyle w:val="FootnoteReference"/>
          <w:rFonts w:ascii="Garamond" w:hAnsi="Garamond"/>
          <w:color w:val="auto"/>
        </w:rPr>
        <w:footnoteReference w:id="69"/>
      </w:r>
      <w:r w:rsidRPr="00445472">
        <w:t>. Ligji 111/2012 ndryshuar me Ligjin nr. 6/2018 për disa ndryshime dhe shtesa në Ligjin nr. 111/2012</w:t>
      </w:r>
      <w:r w:rsidR="00D62EDF" w:rsidRPr="00445472">
        <w:t xml:space="preserve">, “Për </w:t>
      </w:r>
      <w:r w:rsidRPr="00445472">
        <w:t>Menaxhimin e Integruar të Burimeve Ujore</w:t>
      </w:r>
      <w:r w:rsidR="00D62EDF" w:rsidRPr="00445472">
        <w:t>”</w:t>
      </w:r>
      <w:r w:rsidRPr="00445472">
        <w:t>, identifikon AMBU si institucion përgjegjës për mbrojtjen e burimeve ujore nga ndotja bujqësore.</w:t>
      </w:r>
    </w:p>
    <w:p w14:paraId="352B80D2" w14:textId="0BA944ED" w:rsidR="005D784C" w:rsidRPr="00445472" w:rsidRDefault="00A543A2" w:rsidP="005D784C">
      <w:pPr>
        <w:pStyle w:val="TEKSTIIII"/>
      </w:pPr>
      <w:r>
        <w:t>Sa u</w:t>
      </w:r>
      <w:r w:rsidR="005D784C" w:rsidRPr="00445472">
        <w:t xml:space="preserve"> përket zonave të ndjeshme të shkarkimit të ujërave të ndotura, Ministria përgjegjëse për çështjet mjedisore është përgjegjëse për identifikimin e zonave të ndjeshme të shkarkimit të ujërave të ndotura dhe përgatitjen e listës së trupave ujorë të ndjeshëm</w:t>
      </w:r>
      <w:r w:rsidR="005D784C" w:rsidRPr="00445472">
        <w:rPr>
          <w:rStyle w:val="FootnoteReference"/>
          <w:rFonts w:ascii="Garamond" w:hAnsi="Garamond"/>
          <w:color w:val="auto"/>
        </w:rPr>
        <w:footnoteReference w:id="70"/>
      </w:r>
      <w:r w:rsidR="005D784C" w:rsidRPr="00445472">
        <w:t xml:space="preserve">. </w:t>
      </w:r>
    </w:p>
    <w:p w14:paraId="60F9B73A" w14:textId="4399128E" w:rsidR="005D784C" w:rsidRPr="00445472" w:rsidRDefault="005D784C" w:rsidP="005D784C">
      <w:pPr>
        <w:pStyle w:val="TEKSTIIII"/>
      </w:pPr>
      <w:r w:rsidRPr="00445472">
        <w:t xml:space="preserve">Në Qarkun e Basenit Ujor </w:t>
      </w:r>
      <w:r w:rsidR="007E76E3" w:rsidRPr="00445472">
        <w:t>Drin–Bunë</w:t>
      </w:r>
      <w:r w:rsidRPr="00445472">
        <w:t xml:space="preserve">, zonat e ndjeshme ndaj lëndëve ushqyese, duke përfshirë zonat e përcaktuara si zona </w:t>
      </w:r>
      <w:r w:rsidR="007E76E3" w:rsidRPr="00445472">
        <w:t>të cenueshme</w:t>
      </w:r>
      <w:r w:rsidRPr="00445472">
        <w:t xml:space="preserve"> nuk janë përcaktuar. Në mënyrë të ngjashme, zonat e ndjeshme të shkarkimit të ujërave të ndotura nuk janë përcaktuar.</w:t>
      </w:r>
    </w:p>
    <w:p w14:paraId="66F71C16" w14:textId="5BF29A4F" w:rsidR="005D784C" w:rsidRPr="00445472" w:rsidRDefault="000D7A19" w:rsidP="000D7A19">
      <w:pPr>
        <w:pStyle w:val="NENTITULL"/>
      </w:pPr>
      <w:bookmarkStart w:id="93" w:name="_Toc486503401"/>
      <w:bookmarkStart w:id="94" w:name="_Toc11068780"/>
      <w:r w:rsidRPr="00445472">
        <w:t xml:space="preserve">5.7 </w:t>
      </w:r>
      <w:r w:rsidR="005D784C" w:rsidRPr="00445472">
        <w:t>Zonat e përcaktuara për mbrojtjen e Habitateve ose Specieve</w:t>
      </w:r>
      <w:bookmarkEnd w:id="93"/>
      <w:bookmarkEnd w:id="94"/>
    </w:p>
    <w:p w14:paraId="30FD670A" w14:textId="2B94A65D" w:rsidR="005D784C" w:rsidRPr="00445472" w:rsidRDefault="005D784C" w:rsidP="005D784C">
      <w:pPr>
        <w:pStyle w:val="TEKSTIIII"/>
      </w:pPr>
      <w:r w:rsidRPr="00445472">
        <w:t>Ligji për Zonat e Mbrojtura</w:t>
      </w:r>
      <w:r w:rsidRPr="00445472">
        <w:rPr>
          <w:rStyle w:val="FootnoteReference"/>
          <w:rFonts w:ascii="Garamond" w:hAnsi="Garamond"/>
          <w:color w:val="auto"/>
        </w:rPr>
        <w:footnoteReference w:id="71"/>
      </w:r>
      <w:r w:rsidR="006F2108" w:rsidRPr="00445472">
        <w:t xml:space="preserve"> </w:t>
      </w:r>
      <w:r w:rsidRPr="00445472">
        <w:t>vlen për gjashtë kategoritë e Menaxhimit të Zonave të Mbrojtura, të cilat klasifikojnë zonat e mbrojtura sipas objektivave të tyre të menaxhimit në përputhje me Bashkimin Ndërkombëtar për Ruajtjen e Natyrës - IUCN.</w:t>
      </w:r>
    </w:p>
    <w:p w14:paraId="0466A575" w14:textId="77777777" w:rsidR="005D784C" w:rsidRPr="00445472" w:rsidRDefault="005D784C" w:rsidP="005D784C">
      <w:pPr>
        <w:pStyle w:val="TEKSTIIII"/>
      </w:pPr>
      <w:r w:rsidRPr="00445472">
        <w:t>Këto kategori përfshijnë:</w:t>
      </w:r>
    </w:p>
    <w:p w14:paraId="70E61D2B" w14:textId="3E69A780" w:rsidR="005D784C" w:rsidRPr="00445472" w:rsidRDefault="000D7A19" w:rsidP="005D784C">
      <w:pPr>
        <w:pStyle w:val="TEKSTIIII"/>
      </w:pPr>
      <w:r w:rsidRPr="00445472">
        <w:t>-</w:t>
      </w:r>
      <w:r w:rsidR="006F2108" w:rsidRPr="00445472">
        <w:t xml:space="preserve"> </w:t>
      </w:r>
      <w:r w:rsidR="005D784C" w:rsidRPr="00445472">
        <w:t xml:space="preserve">Kategoria I: </w:t>
      </w:r>
      <w:r w:rsidRPr="00445472">
        <w:t xml:space="preserve"> </w:t>
      </w:r>
      <w:r w:rsidR="005D784C" w:rsidRPr="00445472">
        <w:t>Rezervat Strikt Natyror</w:t>
      </w:r>
      <w:r w:rsidR="001D340B" w:rsidRPr="00445472">
        <w:t>/</w:t>
      </w:r>
      <w:r w:rsidR="005D784C" w:rsidRPr="00445472">
        <w:t>Rezervat Shkencor;</w:t>
      </w:r>
    </w:p>
    <w:p w14:paraId="46F9E625" w14:textId="31B66C68" w:rsidR="005D784C" w:rsidRPr="00445472" w:rsidRDefault="000D7A19" w:rsidP="005D784C">
      <w:pPr>
        <w:pStyle w:val="TEKSTIIII"/>
      </w:pPr>
      <w:r w:rsidRPr="00445472">
        <w:t>-</w:t>
      </w:r>
      <w:r w:rsidR="006F2108" w:rsidRPr="00445472">
        <w:t xml:space="preserve"> </w:t>
      </w:r>
      <w:r w:rsidR="005D784C" w:rsidRPr="00445472">
        <w:t xml:space="preserve">Kategoria II: </w:t>
      </w:r>
      <w:r w:rsidRPr="00445472">
        <w:t xml:space="preserve"> </w:t>
      </w:r>
      <w:r w:rsidR="005D784C" w:rsidRPr="00445472">
        <w:t>Park Kombëtar;</w:t>
      </w:r>
    </w:p>
    <w:p w14:paraId="7BFEE617" w14:textId="764BAB8B" w:rsidR="005D784C" w:rsidRPr="00445472" w:rsidRDefault="000D7A19" w:rsidP="005D784C">
      <w:pPr>
        <w:pStyle w:val="TEKSTIIII"/>
      </w:pPr>
      <w:r w:rsidRPr="00445472">
        <w:t>-</w:t>
      </w:r>
      <w:r w:rsidR="006F2108" w:rsidRPr="00445472">
        <w:t xml:space="preserve"> </w:t>
      </w:r>
      <w:r w:rsidR="005D784C" w:rsidRPr="00445472">
        <w:t>Kategoria III:  Monument Natyror;</w:t>
      </w:r>
    </w:p>
    <w:p w14:paraId="7CCDF996" w14:textId="5000EFBA" w:rsidR="005D784C" w:rsidRPr="00445472" w:rsidRDefault="000D7A19" w:rsidP="005D784C">
      <w:pPr>
        <w:pStyle w:val="TEKSTIIII"/>
      </w:pPr>
      <w:r w:rsidRPr="00445472">
        <w:t>-</w:t>
      </w:r>
      <w:r w:rsidR="006F2108" w:rsidRPr="00445472">
        <w:t xml:space="preserve"> </w:t>
      </w:r>
      <w:r w:rsidR="005D784C" w:rsidRPr="00445472">
        <w:t>Kategoria IV:  Rezervat Natyror i Menaxhuar;</w:t>
      </w:r>
    </w:p>
    <w:p w14:paraId="04ECEBCD" w14:textId="4EF992B4" w:rsidR="005D784C" w:rsidRPr="00445472" w:rsidRDefault="000D7A19" w:rsidP="005D784C">
      <w:pPr>
        <w:pStyle w:val="TEKSTIIII"/>
      </w:pPr>
      <w:r w:rsidRPr="00445472">
        <w:t>-</w:t>
      </w:r>
      <w:r w:rsidR="006F2108" w:rsidRPr="00445472">
        <w:t xml:space="preserve"> </w:t>
      </w:r>
      <w:r w:rsidR="005D784C" w:rsidRPr="00445472">
        <w:t>Kategoria V: Peizazh i mbrojtur;</w:t>
      </w:r>
    </w:p>
    <w:p w14:paraId="101ED824" w14:textId="577DDEF4" w:rsidR="005D784C" w:rsidRPr="00445472" w:rsidRDefault="000D7A19" w:rsidP="005D784C">
      <w:pPr>
        <w:pStyle w:val="TEKSTIIII"/>
      </w:pPr>
      <w:r w:rsidRPr="00445472">
        <w:t>-</w:t>
      </w:r>
      <w:r w:rsidR="006F2108" w:rsidRPr="00445472">
        <w:t xml:space="preserve"> </w:t>
      </w:r>
      <w:r w:rsidR="005D784C" w:rsidRPr="00445472">
        <w:t>Kategoria VI: Zonë e Mbrojtur e Rezervatit të Menaxhuar.</w:t>
      </w:r>
    </w:p>
    <w:p w14:paraId="348D196D" w14:textId="77777777" w:rsidR="005D784C" w:rsidRPr="00445472" w:rsidRDefault="005D784C" w:rsidP="005D784C">
      <w:pPr>
        <w:pStyle w:val="TEKSTIIII"/>
      </w:pPr>
      <w:r w:rsidRPr="00445472">
        <w:t>Ministria e Turizmit dhe Mjedisit në bashkëpunim me ministritë e tjera të linjës, bashkitë, shoqërinë civile, grupet e interesit dhe pronarët private, pasuritë e të cilëve ndodhën në Zonat e Mbrojtura, miraton Planin e Menaxhimit për çdo zonë të mbrojtur, të hartuar nga  AKZM-ja. Plani i Menaxhimit të një Zone të Mbrojtur është një dokument  për mbrojtjen dhe zhvillimin e një zone dhe zbatohet nga administrata e zonës së mbrojtur. PMZM-të janë pjesë e politikave qeveritare, programeve dhe aktiviteteve në nivel kombëtar, rajonal dhe lokal. PMZM-të menaxhohen nga Institucionet e Zonave të Mbrojtura, të cilat miratohen nga Këshilli i Ministrave.</w:t>
      </w:r>
    </w:p>
    <w:p w14:paraId="24152E09" w14:textId="1CBE1EC3" w:rsidR="005D784C" w:rsidRPr="00445472" w:rsidRDefault="005D784C" w:rsidP="005D784C">
      <w:pPr>
        <w:pStyle w:val="TEKSTIIII"/>
      </w:pPr>
      <w:r w:rsidRPr="00445472">
        <w:t xml:space="preserve">Në Basenin Ujor </w:t>
      </w:r>
      <w:r w:rsidR="007E76E3" w:rsidRPr="00445472">
        <w:t>Drin–Bunë</w:t>
      </w:r>
      <w:r w:rsidRPr="00445472">
        <w:t>, Zonat e Mbrojtura të habitateve dhe specieve janë të shumta dhe përfshijnë të gjashta llojet e kategorive të IUCN (</w:t>
      </w:r>
      <w:r w:rsidR="00E07D87" w:rsidRPr="00445472">
        <w:t xml:space="preserve">tabela </w:t>
      </w:r>
      <w:r w:rsidRPr="00445472">
        <w:t>5.4). Aktualisht, Shqipëria i ka grupuar Zonat e Mbrojtura në baza rajonale. Pra, shumë Zona të Mbrojtura ndahen mes Baseneve Ujore. Në Basenin Ujor Drin - Bunë ka 52 Monumente Natyre (</w:t>
      </w:r>
      <w:r w:rsidR="006F2108" w:rsidRPr="00445472">
        <w:t xml:space="preserve">kategoria </w:t>
      </w:r>
      <w:r w:rsidRPr="00445472">
        <w:t xml:space="preserve">III), të cilat janë të detajuara në </w:t>
      </w:r>
      <w:r w:rsidR="006F2108" w:rsidRPr="00445472">
        <w:t xml:space="preserve">tabelën </w:t>
      </w:r>
      <w:r w:rsidRPr="00445472">
        <w:t>5.5.</w:t>
      </w:r>
    </w:p>
    <w:p w14:paraId="18CEB3F3" w14:textId="77777777" w:rsidR="00E71763" w:rsidRPr="00445472" w:rsidRDefault="00E71763" w:rsidP="009F0DBF">
      <w:pPr>
        <w:pStyle w:val="TEKSTIIII"/>
        <w:sectPr w:rsidR="00E71763" w:rsidRPr="00445472" w:rsidSect="00DD04DA">
          <w:footerReference w:type="default" r:id="rId30"/>
          <w:pgSz w:w="11907" w:h="16839" w:code="9"/>
          <w:pgMar w:top="1418" w:right="1418" w:bottom="1418" w:left="1418" w:header="1304" w:footer="1134" w:gutter="0"/>
          <w:cols w:space="720"/>
          <w:docGrid w:linePitch="360"/>
        </w:sectPr>
      </w:pPr>
    </w:p>
    <w:p w14:paraId="3361474E" w14:textId="5627DED5" w:rsidR="0059625C" w:rsidRPr="00445472" w:rsidRDefault="0059625C" w:rsidP="0059625C">
      <w:pPr>
        <w:pStyle w:val="NENTITULL"/>
      </w:pPr>
      <w:r w:rsidRPr="00445472">
        <w:t xml:space="preserve">Tabela 5.4: Regjistri i </w:t>
      </w:r>
      <w:r w:rsidR="006F2108" w:rsidRPr="00445472">
        <w:t xml:space="preserve">zonave të mbrojtura të rëndësishme </w:t>
      </w:r>
      <w:r w:rsidRPr="00445472">
        <w:t xml:space="preserve">nga aspekti i ruajtjes së habitatit dhe specieve në Basenin Ujor </w:t>
      </w:r>
      <w:r w:rsidR="007E76E3" w:rsidRPr="00445472">
        <w:t>Drin–Bunë</w:t>
      </w:r>
      <w:r w:rsidRPr="00445472">
        <w:t xml:space="preserve"> </w:t>
      </w:r>
    </w:p>
    <w:p w14:paraId="5D0B5CC9" w14:textId="77777777" w:rsidR="0059625C" w:rsidRPr="00445472" w:rsidRDefault="0059625C" w:rsidP="0059625C">
      <w:pPr>
        <w:pStyle w:val="NENTITULL"/>
      </w:pPr>
    </w:p>
    <w:tbl>
      <w:tblPr>
        <w:tblW w:w="14521"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07"/>
        <w:gridCol w:w="585"/>
        <w:gridCol w:w="1489"/>
        <w:gridCol w:w="1014"/>
        <w:gridCol w:w="2021"/>
        <w:gridCol w:w="2560"/>
        <w:gridCol w:w="1583"/>
        <w:gridCol w:w="1025"/>
        <w:gridCol w:w="1484"/>
        <w:gridCol w:w="1040"/>
        <w:gridCol w:w="1213"/>
      </w:tblGrid>
      <w:tr w:rsidR="0059625C" w:rsidRPr="00445472" w14:paraId="3DED95DA" w14:textId="77777777" w:rsidTr="0059625C">
        <w:trPr>
          <w:trHeight w:val="255"/>
          <w:tblHeader/>
          <w:jc w:val="center"/>
        </w:trPr>
        <w:tc>
          <w:tcPr>
            <w:tcW w:w="507" w:type="dxa"/>
            <w:shd w:val="clear" w:color="auto" w:fill="auto"/>
            <w:noWrap/>
            <w:vAlign w:val="center"/>
            <w:hideMark/>
          </w:tcPr>
          <w:p w14:paraId="35F94B6F"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Nr.</w:t>
            </w:r>
          </w:p>
        </w:tc>
        <w:tc>
          <w:tcPr>
            <w:tcW w:w="585" w:type="dxa"/>
            <w:shd w:val="clear" w:color="auto" w:fill="auto"/>
            <w:noWrap/>
            <w:vAlign w:val="center"/>
            <w:hideMark/>
          </w:tcPr>
          <w:p w14:paraId="37CFC1D5"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Kat.</w:t>
            </w:r>
          </w:p>
        </w:tc>
        <w:tc>
          <w:tcPr>
            <w:tcW w:w="1489" w:type="dxa"/>
            <w:shd w:val="clear" w:color="auto" w:fill="auto"/>
            <w:noWrap/>
            <w:vAlign w:val="center"/>
            <w:hideMark/>
          </w:tcPr>
          <w:p w14:paraId="384BE06C" w14:textId="76BBC846"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Rajoni (</w:t>
            </w:r>
            <w:r w:rsidR="006F2108" w:rsidRPr="00445472">
              <w:rPr>
                <w:rFonts w:ascii="Garamond" w:hAnsi="Garamond"/>
                <w:b/>
                <w:sz w:val="20"/>
                <w:szCs w:val="20"/>
                <w:lang w:val="sq-AL"/>
              </w:rPr>
              <w:t>qark</w:t>
            </w:r>
            <w:r w:rsidRPr="00445472">
              <w:rPr>
                <w:rFonts w:ascii="Garamond" w:hAnsi="Garamond"/>
                <w:b/>
                <w:sz w:val="20"/>
                <w:szCs w:val="20"/>
                <w:lang w:val="sq-AL"/>
              </w:rPr>
              <w:t>)</w:t>
            </w:r>
          </w:p>
        </w:tc>
        <w:tc>
          <w:tcPr>
            <w:tcW w:w="1014" w:type="dxa"/>
            <w:shd w:val="clear" w:color="auto" w:fill="auto"/>
            <w:noWrap/>
            <w:vAlign w:val="center"/>
            <w:hideMark/>
          </w:tcPr>
          <w:p w14:paraId="51ED531E"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Qarku</w:t>
            </w:r>
          </w:p>
        </w:tc>
        <w:tc>
          <w:tcPr>
            <w:tcW w:w="2021" w:type="dxa"/>
            <w:shd w:val="clear" w:color="auto" w:fill="auto"/>
            <w:noWrap/>
            <w:vAlign w:val="center"/>
            <w:hideMark/>
          </w:tcPr>
          <w:p w14:paraId="189A9578" w14:textId="7443FCB1"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 xml:space="preserve">Zona e </w:t>
            </w:r>
            <w:r w:rsidR="006F2108" w:rsidRPr="00445472">
              <w:rPr>
                <w:rFonts w:ascii="Garamond" w:hAnsi="Garamond"/>
                <w:b/>
                <w:sz w:val="20"/>
                <w:szCs w:val="20"/>
                <w:lang w:val="sq-AL"/>
              </w:rPr>
              <w:t>mbrojtur</w:t>
            </w:r>
          </w:p>
        </w:tc>
        <w:tc>
          <w:tcPr>
            <w:tcW w:w="2560" w:type="dxa"/>
            <w:shd w:val="clear" w:color="auto" w:fill="auto"/>
            <w:noWrap/>
            <w:vAlign w:val="center"/>
            <w:hideMark/>
          </w:tcPr>
          <w:p w14:paraId="7D64E1D3" w14:textId="4927BA95"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 xml:space="preserve">Data e </w:t>
            </w:r>
            <w:r w:rsidR="006F2108" w:rsidRPr="00445472">
              <w:rPr>
                <w:rFonts w:ascii="Garamond" w:hAnsi="Garamond"/>
                <w:b/>
                <w:sz w:val="20"/>
                <w:szCs w:val="20"/>
                <w:lang w:val="sq-AL"/>
              </w:rPr>
              <w:t xml:space="preserve">miratimit </w:t>
            </w:r>
            <w:r w:rsidRPr="00445472">
              <w:rPr>
                <w:rFonts w:ascii="Garamond" w:hAnsi="Garamond"/>
                <w:b/>
                <w:sz w:val="20"/>
                <w:szCs w:val="20"/>
                <w:lang w:val="sq-AL"/>
              </w:rPr>
              <w:t>të VKM</w:t>
            </w:r>
            <w:r w:rsidR="006F2108" w:rsidRPr="00445472">
              <w:rPr>
                <w:rFonts w:ascii="Garamond" w:hAnsi="Garamond"/>
                <w:b/>
                <w:sz w:val="20"/>
                <w:szCs w:val="20"/>
                <w:lang w:val="sq-AL"/>
              </w:rPr>
              <w:t>-së</w:t>
            </w:r>
          </w:p>
        </w:tc>
        <w:tc>
          <w:tcPr>
            <w:tcW w:w="1583" w:type="dxa"/>
            <w:shd w:val="clear" w:color="auto" w:fill="auto"/>
            <w:noWrap/>
            <w:vAlign w:val="center"/>
            <w:hideMark/>
          </w:tcPr>
          <w:p w14:paraId="22385590"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Sipërfaqja (ha)</w:t>
            </w:r>
          </w:p>
        </w:tc>
        <w:tc>
          <w:tcPr>
            <w:tcW w:w="1025" w:type="dxa"/>
            <w:shd w:val="clear" w:color="auto" w:fill="auto"/>
            <w:noWrap/>
            <w:vAlign w:val="center"/>
            <w:hideMark/>
          </w:tcPr>
          <w:p w14:paraId="66373D2B"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PMZM</w:t>
            </w:r>
          </w:p>
        </w:tc>
        <w:tc>
          <w:tcPr>
            <w:tcW w:w="1484" w:type="dxa"/>
            <w:shd w:val="clear" w:color="auto" w:fill="auto"/>
            <w:noWrap/>
            <w:vAlign w:val="center"/>
            <w:hideMark/>
          </w:tcPr>
          <w:p w14:paraId="70327BE0"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Trashëgimi  UNESCO</w:t>
            </w:r>
          </w:p>
        </w:tc>
        <w:tc>
          <w:tcPr>
            <w:tcW w:w="1040" w:type="dxa"/>
            <w:shd w:val="clear" w:color="auto" w:fill="auto"/>
            <w:noWrap/>
            <w:vAlign w:val="center"/>
            <w:hideMark/>
          </w:tcPr>
          <w:p w14:paraId="5BC737BC"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Rrjeti Emerald</w:t>
            </w:r>
          </w:p>
        </w:tc>
        <w:tc>
          <w:tcPr>
            <w:tcW w:w="1213" w:type="dxa"/>
            <w:shd w:val="clear" w:color="auto" w:fill="auto"/>
            <w:noWrap/>
            <w:vAlign w:val="center"/>
            <w:hideMark/>
          </w:tcPr>
          <w:p w14:paraId="04B20EC7"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RAMSAR</w:t>
            </w:r>
          </w:p>
        </w:tc>
      </w:tr>
      <w:tr w:rsidR="0059625C" w:rsidRPr="00445472" w14:paraId="6AA49E2F" w14:textId="77777777" w:rsidTr="0059625C">
        <w:trPr>
          <w:trHeight w:val="300"/>
          <w:jc w:val="center"/>
        </w:trPr>
        <w:tc>
          <w:tcPr>
            <w:tcW w:w="14521" w:type="dxa"/>
            <w:gridSpan w:val="11"/>
            <w:shd w:val="clear" w:color="auto" w:fill="D4D4D4"/>
            <w:noWrap/>
            <w:vAlign w:val="center"/>
            <w:hideMark/>
          </w:tcPr>
          <w:p w14:paraId="5E9A9074" w14:textId="2E6B2DB3"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1. Rezervat Natyror Strikt (RNS)</w:t>
            </w:r>
            <w:r w:rsidR="001D340B" w:rsidRPr="00445472">
              <w:rPr>
                <w:rFonts w:ascii="Garamond" w:hAnsi="Garamond"/>
                <w:b/>
                <w:sz w:val="20"/>
                <w:szCs w:val="20"/>
                <w:lang w:val="sq-AL"/>
              </w:rPr>
              <w:t>/</w:t>
            </w:r>
            <w:r w:rsidRPr="00445472">
              <w:rPr>
                <w:rFonts w:ascii="Garamond" w:hAnsi="Garamond"/>
                <w:b/>
                <w:sz w:val="20"/>
                <w:szCs w:val="20"/>
                <w:lang w:val="sq-AL"/>
              </w:rPr>
              <w:t>Rezervat Shkencor</w:t>
            </w:r>
          </w:p>
        </w:tc>
      </w:tr>
      <w:tr w:rsidR="0059625C" w:rsidRPr="00445472" w14:paraId="38A2758F" w14:textId="77777777" w:rsidTr="0059625C">
        <w:trPr>
          <w:trHeight w:val="300"/>
          <w:jc w:val="center"/>
        </w:trPr>
        <w:tc>
          <w:tcPr>
            <w:tcW w:w="507" w:type="dxa"/>
            <w:shd w:val="clear" w:color="auto" w:fill="auto"/>
            <w:noWrap/>
            <w:vAlign w:val="center"/>
            <w:hideMark/>
          </w:tcPr>
          <w:p w14:paraId="48556E6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107A476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w:t>
            </w:r>
          </w:p>
        </w:tc>
        <w:tc>
          <w:tcPr>
            <w:tcW w:w="1489" w:type="dxa"/>
            <w:shd w:val="clear" w:color="auto" w:fill="auto"/>
            <w:noWrap/>
            <w:vAlign w:val="center"/>
            <w:hideMark/>
          </w:tcPr>
          <w:p w14:paraId="3E1130C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Kukës</w:t>
            </w:r>
          </w:p>
        </w:tc>
        <w:tc>
          <w:tcPr>
            <w:tcW w:w="1014" w:type="dxa"/>
            <w:shd w:val="clear" w:color="auto" w:fill="auto"/>
            <w:noWrap/>
            <w:vAlign w:val="center"/>
            <w:hideMark/>
          </w:tcPr>
          <w:p w14:paraId="3489024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Tropojë</w:t>
            </w:r>
          </w:p>
        </w:tc>
        <w:tc>
          <w:tcPr>
            <w:tcW w:w="2021" w:type="dxa"/>
            <w:shd w:val="clear" w:color="auto" w:fill="auto"/>
            <w:noWrap/>
            <w:vAlign w:val="center"/>
            <w:hideMark/>
          </w:tcPr>
          <w:p w14:paraId="072962A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Lumi i Gashit</w:t>
            </w:r>
          </w:p>
        </w:tc>
        <w:tc>
          <w:tcPr>
            <w:tcW w:w="2560" w:type="dxa"/>
            <w:shd w:val="clear" w:color="auto" w:fill="auto"/>
            <w:noWrap/>
            <w:vAlign w:val="center"/>
            <w:hideMark/>
          </w:tcPr>
          <w:p w14:paraId="59BA094A" w14:textId="018DC1B0" w:rsidR="0059625C" w:rsidRPr="00445472" w:rsidRDefault="00E07D87"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102, datë 15.</w:t>
            </w:r>
            <w:r w:rsidR="0059625C" w:rsidRPr="00445472">
              <w:rPr>
                <w:rFonts w:ascii="Garamond" w:hAnsi="Garamond"/>
                <w:sz w:val="20"/>
                <w:szCs w:val="20"/>
                <w:lang w:val="sq-AL"/>
              </w:rPr>
              <w:t>1.1996</w:t>
            </w:r>
          </w:p>
        </w:tc>
        <w:tc>
          <w:tcPr>
            <w:tcW w:w="1583" w:type="dxa"/>
            <w:shd w:val="clear" w:color="auto" w:fill="auto"/>
            <w:noWrap/>
            <w:vAlign w:val="center"/>
            <w:hideMark/>
          </w:tcPr>
          <w:p w14:paraId="5103424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3,000.00</w:t>
            </w:r>
          </w:p>
        </w:tc>
        <w:tc>
          <w:tcPr>
            <w:tcW w:w="1025" w:type="dxa"/>
            <w:shd w:val="clear" w:color="auto" w:fill="auto"/>
            <w:noWrap/>
            <w:vAlign w:val="center"/>
            <w:hideMark/>
          </w:tcPr>
          <w:p w14:paraId="0513B62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603FCDC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040" w:type="dxa"/>
            <w:shd w:val="clear" w:color="auto" w:fill="auto"/>
            <w:noWrap/>
            <w:vAlign w:val="center"/>
            <w:hideMark/>
          </w:tcPr>
          <w:p w14:paraId="0AC5724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53BDEFB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19EB708A" w14:textId="77777777" w:rsidTr="0059625C">
        <w:trPr>
          <w:trHeight w:val="300"/>
          <w:jc w:val="center"/>
        </w:trPr>
        <w:tc>
          <w:tcPr>
            <w:tcW w:w="507" w:type="dxa"/>
            <w:shd w:val="clear" w:color="auto" w:fill="auto"/>
            <w:noWrap/>
            <w:vAlign w:val="center"/>
            <w:hideMark/>
          </w:tcPr>
          <w:p w14:paraId="4B84B14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w:t>
            </w:r>
          </w:p>
        </w:tc>
        <w:tc>
          <w:tcPr>
            <w:tcW w:w="585" w:type="dxa"/>
            <w:shd w:val="clear" w:color="auto" w:fill="auto"/>
            <w:noWrap/>
            <w:vAlign w:val="center"/>
            <w:hideMark/>
          </w:tcPr>
          <w:p w14:paraId="3C9127A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w:t>
            </w:r>
          </w:p>
        </w:tc>
        <w:tc>
          <w:tcPr>
            <w:tcW w:w="1489" w:type="dxa"/>
            <w:shd w:val="clear" w:color="auto" w:fill="auto"/>
            <w:noWrap/>
            <w:vAlign w:val="center"/>
            <w:hideMark/>
          </w:tcPr>
          <w:p w14:paraId="27AB73CF"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hideMark/>
          </w:tcPr>
          <w:p w14:paraId="778697E0"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hideMark/>
          </w:tcPr>
          <w:p w14:paraId="017D57C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Lumi i Gashit</w:t>
            </w:r>
            <w:r w:rsidRPr="00445472">
              <w:rPr>
                <w:rStyle w:val="FootnoteReference"/>
                <w:rFonts w:ascii="Garamond" w:hAnsi="Garamond"/>
                <w:color w:val="auto"/>
                <w:sz w:val="20"/>
                <w:lang w:val="sq-AL"/>
              </w:rPr>
              <w:footnoteReference w:id="72"/>
            </w:r>
          </w:p>
        </w:tc>
        <w:tc>
          <w:tcPr>
            <w:tcW w:w="2560" w:type="dxa"/>
            <w:shd w:val="clear" w:color="auto" w:fill="auto"/>
            <w:noWrap/>
            <w:vAlign w:val="center"/>
            <w:hideMark/>
          </w:tcPr>
          <w:p w14:paraId="409C1F77"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hideMark/>
          </w:tcPr>
          <w:p w14:paraId="406FF358" w14:textId="77777777" w:rsidR="0059625C" w:rsidRPr="00445472" w:rsidRDefault="0059625C" w:rsidP="00B15A6B">
            <w:pPr>
              <w:pStyle w:val="TableTextCentre"/>
              <w:spacing w:before="0" w:after="0"/>
              <w:ind w:right="0"/>
              <w:rPr>
                <w:rFonts w:ascii="Garamond" w:hAnsi="Garamond"/>
                <w:sz w:val="20"/>
                <w:szCs w:val="20"/>
                <w:lang w:val="sq-AL"/>
              </w:rPr>
            </w:pPr>
          </w:p>
        </w:tc>
        <w:tc>
          <w:tcPr>
            <w:tcW w:w="1025" w:type="dxa"/>
            <w:shd w:val="clear" w:color="auto" w:fill="auto"/>
            <w:noWrap/>
            <w:vAlign w:val="center"/>
            <w:hideMark/>
          </w:tcPr>
          <w:p w14:paraId="21D7577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Duke u përgatitur</w:t>
            </w:r>
          </w:p>
        </w:tc>
        <w:tc>
          <w:tcPr>
            <w:tcW w:w="1484" w:type="dxa"/>
            <w:shd w:val="clear" w:color="auto" w:fill="auto"/>
            <w:noWrap/>
            <w:vAlign w:val="center"/>
            <w:hideMark/>
          </w:tcPr>
          <w:p w14:paraId="5D43BB5C"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0A77A2AC"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hideMark/>
          </w:tcPr>
          <w:p w14:paraId="2AA869B1"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2543EA36" w14:textId="77777777" w:rsidTr="0059625C">
        <w:trPr>
          <w:trHeight w:val="300"/>
          <w:jc w:val="center"/>
        </w:trPr>
        <w:tc>
          <w:tcPr>
            <w:tcW w:w="14521" w:type="dxa"/>
            <w:gridSpan w:val="11"/>
            <w:shd w:val="clear" w:color="auto" w:fill="D4D4D4"/>
            <w:noWrap/>
            <w:vAlign w:val="center"/>
            <w:hideMark/>
          </w:tcPr>
          <w:p w14:paraId="78490B50"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2. Park Kombëtar (PK)</w:t>
            </w:r>
          </w:p>
        </w:tc>
      </w:tr>
      <w:tr w:rsidR="0059625C" w:rsidRPr="00445472" w14:paraId="5D2921BA" w14:textId="77777777" w:rsidTr="0059625C">
        <w:trPr>
          <w:trHeight w:val="300"/>
          <w:jc w:val="center"/>
        </w:trPr>
        <w:tc>
          <w:tcPr>
            <w:tcW w:w="507" w:type="dxa"/>
            <w:shd w:val="clear" w:color="auto" w:fill="auto"/>
            <w:noWrap/>
            <w:vAlign w:val="center"/>
            <w:hideMark/>
          </w:tcPr>
          <w:p w14:paraId="397CCDB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03EBE25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 </w:t>
            </w:r>
          </w:p>
        </w:tc>
        <w:tc>
          <w:tcPr>
            <w:tcW w:w="1489" w:type="dxa"/>
            <w:shd w:val="clear" w:color="auto" w:fill="auto"/>
            <w:noWrap/>
            <w:vAlign w:val="center"/>
            <w:hideMark/>
          </w:tcPr>
          <w:p w14:paraId="0B579BD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Shkodër</w:t>
            </w:r>
          </w:p>
        </w:tc>
        <w:tc>
          <w:tcPr>
            <w:tcW w:w="1014" w:type="dxa"/>
            <w:shd w:val="clear" w:color="auto" w:fill="auto"/>
            <w:noWrap/>
            <w:vAlign w:val="center"/>
            <w:hideMark/>
          </w:tcPr>
          <w:p w14:paraId="3B027EB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Shkodër</w:t>
            </w:r>
          </w:p>
        </w:tc>
        <w:tc>
          <w:tcPr>
            <w:tcW w:w="2021" w:type="dxa"/>
            <w:shd w:val="clear" w:color="auto" w:fill="auto"/>
            <w:noWrap/>
            <w:vAlign w:val="center"/>
            <w:hideMark/>
          </w:tcPr>
          <w:p w14:paraId="69C3223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Thethi</w:t>
            </w:r>
          </w:p>
        </w:tc>
        <w:tc>
          <w:tcPr>
            <w:tcW w:w="2560" w:type="dxa"/>
            <w:shd w:val="clear" w:color="auto" w:fill="auto"/>
            <w:noWrap/>
            <w:vAlign w:val="center"/>
            <w:hideMark/>
          </w:tcPr>
          <w:p w14:paraId="7E058B7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96, datë 21.11.1966</w:t>
            </w:r>
          </w:p>
        </w:tc>
        <w:tc>
          <w:tcPr>
            <w:tcW w:w="1583" w:type="dxa"/>
            <w:shd w:val="clear" w:color="auto" w:fill="auto"/>
            <w:noWrap/>
            <w:vAlign w:val="center"/>
            <w:hideMark/>
          </w:tcPr>
          <w:p w14:paraId="35C490D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2,630.00</w:t>
            </w:r>
          </w:p>
        </w:tc>
        <w:tc>
          <w:tcPr>
            <w:tcW w:w="1025" w:type="dxa"/>
            <w:shd w:val="clear" w:color="auto" w:fill="auto"/>
            <w:noWrap/>
            <w:vAlign w:val="center"/>
            <w:hideMark/>
          </w:tcPr>
          <w:p w14:paraId="50F4CFD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5AD60EC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6101871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12A849E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0C72FCD9" w14:textId="77777777" w:rsidTr="0059625C">
        <w:trPr>
          <w:trHeight w:val="300"/>
          <w:jc w:val="center"/>
        </w:trPr>
        <w:tc>
          <w:tcPr>
            <w:tcW w:w="507" w:type="dxa"/>
            <w:shd w:val="clear" w:color="auto" w:fill="auto"/>
            <w:noWrap/>
            <w:vAlign w:val="center"/>
            <w:hideMark/>
          </w:tcPr>
          <w:p w14:paraId="0DFFB67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w:t>
            </w:r>
          </w:p>
        </w:tc>
        <w:tc>
          <w:tcPr>
            <w:tcW w:w="585" w:type="dxa"/>
            <w:shd w:val="clear" w:color="auto" w:fill="auto"/>
            <w:noWrap/>
            <w:vAlign w:val="center"/>
            <w:hideMark/>
          </w:tcPr>
          <w:p w14:paraId="26088BB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hideMark/>
          </w:tcPr>
          <w:p w14:paraId="30E3B43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1014" w:type="dxa"/>
            <w:shd w:val="clear" w:color="auto" w:fill="auto"/>
            <w:noWrap/>
            <w:vAlign w:val="center"/>
            <w:hideMark/>
          </w:tcPr>
          <w:p w14:paraId="2A8523D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2021" w:type="dxa"/>
            <w:shd w:val="clear" w:color="auto" w:fill="auto"/>
            <w:noWrap/>
            <w:vAlign w:val="center"/>
            <w:hideMark/>
          </w:tcPr>
          <w:p w14:paraId="50BD50C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Lura</w:t>
            </w:r>
          </w:p>
        </w:tc>
        <w:tc>
          <w:tcPr>
            <w:tcW w:w="2560" w:type="dxa"/>
            <w:shd w:val="clear" w:color="auto" w:fill="auto"/>
            <w:noWrap/>
            <w:vAlign w:val="center"/>
            <w:hideMark/>
          </w:tcPr>
          <w:p w14:paraId="09D1331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96, datë 21.11.1967</w:t>
            </w:r>
          </w:p>
        </w:tc>
        <w:tc>
          <w:tcPr>
            <w:tcW w:w="1583" w:type="dxa"/>
            <w:shd w:val="clear" w:color="auto" w:fill="auto"/>
            <w:noWrap/>
            <w:vAlign w:val="center"/>
            <w:hideMark/>
          </w:tcPr>
          <w:p w14:paraId="39A2E8A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1,280.00</w:t>
            </w:r>
          </w:p>
        </w:tc>
        <w:tc>
          <w:tcPr>
            <w:tcW w:w="1025" w:type="dxa"/>
            <w:shd w:val="clear" w:color="auto" w:fill="auto"/>
            <w:noWrap/>
            <w:vAlign w:val="center"/>
            <w:hideMark/>
          </w:tcPr>
          <w:p w14:paraId="39C437F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37A2FA4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02678A6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59361FE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0539FA0F" w14:textId="77777777" w:rsidTr="0059625C">
        <w:trPr>
          <w:trHeight w:val="300"/>
          <w:jc w:val="center"/>
        </w:trPr>
        <w:tc>
          <w:tcPr>
            <w:tcW w:w="507" w:type="dxa"/>
            <w:shd w:val="clear" w:color="auto" w:fill="auto"/>
            <w:noWrap/>
            <w:vAlign w:val="center"/>
            <w:hideMark/>
          </w:tcPr>
          <w:p w14:paraId="325ADB1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w:t>
            </w:r>
          </w:p>
        </w:tc>
        <w:tc>
          <w:tcPr>
            <w:tcW w:w="585" w:type="dxa"/>
            <w:shd w:val="clear" w:color="auto" w:fill="auto"/>
            <w:noWrap/>
            <w:vAlign w:val="center"/>
            <w:hideMark/>
          </w:tcPr>
          <w:p w14:paraId="6293B50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hideMark/>
          </w:tcPr>
          <w:p w14:paraId="5795C0A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Kukës</w:t>
            </w:r>
          </w:p>
        </w:tc>
        <w:tc>
          <w:tcPr>
            <w:tcW w:w="1014" w:type="dxa"/>
            <w:shd w:val="clear" w:color="auto" w:fill="auto"/>
            <w:noWrap/>
            <w:vAlign w:val="center"/>
            <w:hideMark/>
          </w:tcPr>
          <w:p w14:paraId="270D06C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Tropojë</w:t>
            </w:r>
          </w:p>
        </w:tc>
        <w:tc>
          <w:tcPr>
            <w:tcW w:w="2021" w:type="dxa"/>
            <w:shd w:val="clear" w:color="auto" w:fill="auto"/>
            <w:noWrap/>
            <w:vAlign w:val="center"/>
            <w:hideMark/>
          </w:tcPr>
          <w:p w14:paraId="39CA1C5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Lugina e Valbonës</w:t>
            </w:r>
          </w:p>
        </w:tc>
        <w:tc>
          <w:tcPr>
            <w:tcW w:w="2560" w:type="dxa"/>
            <w:shd w:val="clear" w:color="auto" w:fill="auto"/>
            <w:noWrap/>
            <w:vAlign w:val="center"/>
            <w:hideMark/>
          </w:tcPr>
          <w:p w14:paraId="19AF29B4" w14:textId="0074E5A0"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102, datë</w:t>
            </w:r>
            <w:r w:rsidR="006F2108" w:rsidRPr="00445472">
              <w:rPr>
                <w:rFonts w:ascii="Garamond" w:hAnsi="Garamond"/>
                <w:sz w:val="20"/>
                <w:szCs w:val="20"/>
                <w:lang w:val="sq-AL"/>
              </w:rPr>
              <w:t xml:space="preserve"> 15.</w:t>
            </w:r>
            <w:r w:rsidRPr="00445472">
              <w:rPr>
                <w:rFonts w:ascii="Garamond" w:hAnsi="Garamond"/>
                <w:sz w:val="20"/>
                <w:szCs w:val="20"/>
                <w:lang w:val="sq-AL"/>
              </w:rPr>
              <w:t>1.1996</w:t>
            </w:r>
          </w:p>
        </w:tc>
        <w:tc>
          <w:tcPr>
            <w:tcW w:w="1583" w:type="dxa"/>
            <w:shd w:val="clear" w:color="auto" w:fill="auto"/>
            <w:noWrap/>
            <w:vAlign w:val="center"/>
            <w:hideMark/>
          </w:tcPr>
          <w:p w14:paraId="6FDF92E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8,000.00</w:t>
            </w:r>
          </w:p>
        </w:tc>
        <w:tc>
          <w:tcPr>
            <w:tcW w:w="1025" w:type="dxa"/>
            <w:shd w:val="clear" w:color="auto" w:fill="auto"/>
            <w:noWrap/>
            <w:vAlign w:val="center"/>
            <w:hideMark/>
          </w:tcPr>
          <w:p w14:paraId="6F14018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6D8AC4A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7FA6E7D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41195E0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55DAE252" w14:textId="77777777" w:rsidTr="0059625C">
        <w:trPr>
          <w:trHeight w:val="300"/>
          <w:jc w:val="center"/>
        </w:trPr>
        <w:tc>
          <w:tcPr>
            <w:tcW w:w="507" w:type="dxa"/>
            <w:shd w:val="clear" w:color="auto" w:fill="auto"/>
            <w:noWrap/>
            <w:vAlign w:val="center"/>
            <w:hideMark/>
          </w:tcPr>
          <w:p w14:paraId="1C3AC30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w:t>
            </w:r>
          </w:p>
        </w:tc>
        <w:tc>
          <w:tcPr>
            <w:tcW w:w="585" w:type="dxa"/>
            <w:shd w:val="clear" w:color="auto" w:fill="auto"/>
            <w:noWrap/>
            <w:vAlign w:val="center"/>
            <w:hideMark/>
          </w:tcPr>
          <w:p w14:paraId="1559AD0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hideMark/>
          </w:tcPr>
          <w:p w14:paraId="2C4ECCB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1014" w:type="dxa"/>
            <w:shd w:val="clear" w:color="auto" w:fill="auto"/>
            <w:noWrap/>
            <w:vAlign w:val="center"/>
            <w:hideMark/>
          </w:tcPr>
          <w:p w14:paraId="660F672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Mat</w:t>
            </w:r>
          </w:p>
        </w:tc>
        <w:tc>
          <w:tcPr>
            <w:tcW w:w="2021" w:type="dxa"/>
            <w:shd w:val="clear" w:color="auto" w:fill="auto"/>
            <w:noWrap/>
            <w:vAlign w:val="center"/>
            <w:hideMark/>
          </w:tcPr>
          <w:p w14:paraId="77F566F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Zall Gjoçaj</w:t>
            </w:r>
          </w:p>
        </w:tc>
        <w:tc>
          <w:tcPr>
            <w:tcW w:w="2560" w:type="dxa"/>
            <w:shd w:val="clear" w:color="auto" w:fill="auto"/>
            <w:noWrap/>
            <w:vAlign w:val="center"/>
            <w:hideMark/>
          </w:tcPr>
          <w:p w14:paraId="1C7BC7C2" w14:textId="24B35B21"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102, datë</w:t>
            </w:r>
            <w:r w:rsidR="006F2108" w:rsidRPr="00445472">
              <w:rPr>
                <w:rFonts w:ascii="Garamond" w:hAnsi="Garamond"/>
                <w:sz w:val="20"/>
                <w:szCs w:val="20"/>
                <w:lang w:val="sq-AL"/>
              </w:rPr>
              <w:t xml:space="preserve"> </w:t>
            </w:r>
            <w:r w:rsidR="00E07D87" w:rsidRPr="00445472">
              <w:rPr>
                <w:rFonts w:ascii="Garamond" w:hAnsi="Garamond"/>
                <w:sz w:val="20"/>
                <w:szCs w:val="20"/>
                <w:lang w:val="sq-AL"/>
              </w:rPr>
              <w:t>15.</w:t>
            </w:r>
            <w:r w:rsidRPr="00445472">
              <w:rPr>
                <w:rFonts w:ascii="Garamond" w:hAnsi="Garamond"/>
                <w:sz w:val="20"/>
                <w:szCs w:val="20"/>
                <w:lang w:val="sq-AL"/>
              </w:rPr>
              <w:t>1.1997</w:t>
            </w:r>
          </w:p>
        </w:tc>
        <w:tc>
          <w:tcPr>
            <w:tcW w:w="1583" w:type="dxa"/>
            <w:shd w:val="clear" w:color="auto" w:fill="auto"/>
            <w:noWrap/>
            <w:vAlign w:val="center"/>
            <w:hideMark/>
          </w:tcPr>
          <w:p w14:paraId="53AB0F9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140</w:t>
            </w:r>
          </w:p>
        </w:tc>
        <w:tc>
          <w:tcPr>
            <w:tcW w:w="1025" w:type="dxa"/>
            <w:shd w:val="clear" w:color="auto" w:fill="auto"/>
            <w:noWrap/>
            <w:vAlign w:val="center"/>
            <w:hideMark/>
          </w:tcPr>
          <w:p w14:paraId="648274A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7BC18E6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4B818CB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44002D6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39007B5F" w14:textId="77777777" w:rsidTr="0059625C">
        <w:trPr>
          <w:trHeight w:val="300"/>
          <w:jc w:val="center"/>
        </w:trPr>
        <w:tc>
          <w:tcPr>
            <w:tcW w:w="507" w:type="dxa"/>
            <w:shd w:val="clear" w:color="auto" w:fill="auto"/>
            <w:noWrap/>
            <w:vAlign w:val="center"/>
            <w:hideMark/>
          </w:tcPr>
          <w:p w14:paraId="4929411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5</w:t>
            </w:r>
          </w:p>
        </w:tc>
        <w:tc>
          <w:tcPr>
            <w:tcW w:w="585" w:type="dxa"/>
            <w:shd w:val="clear" w:color="auto" w:fill="auto"/>
            <w:noWrap/>
            <w:vAlign w:val="center"/>
            <w:hideMark/>
          </w:tcPr>
          <w:p w14:paraId="4EB2553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hideMark/>
          </w:tcPr>
          <w:p w14:paraId="2A7BD44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Elbasan, Dibër</w:t>
            </w:r>
          </w:p>
        </w:tc>
        <w:tc>
          <w:tcPr>
            <w:tcW w:w="1014" w:type="dxa"/>
            <w:shd w:val="clear" w:color="auto" w:fill="auto"/>
            <w:noWrap/>
            <w:vAlign w:val="center"/>
            <w:hideMark/>
          </w:tcPr>
          <w:p w14:paraId="6B8AA11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4052191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Shebenik-Jabllanice</w:t>
            </w:r>
          </w:p>
        </w:tc>
        <w:tc>
          <w:tcPr>
            <w:tcW w:w="2560" w:type="dxa"/>
            <w:shd w:val="clear" w:color="auto" w:fill="auto"/>
            <w:noWrap/>
            <w:vAlign w:val="center"/>
            <w:hideMark/>
          </w:tcPr>
          <w:p w14:paraId="289A44D4" w14:textId="6A572A23"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640, datë 21.</w:t>
            </w:r>
            <w:r w:rsidR="0059625C" w:rsidRPr="00445472">
              <w:rPr>
                <w:rFonts w:ascii="Garamond" w:hAnsi="Garamond"/>
                <w:sz w:val="20"/>
                <w:szCs w:val="20"/>
                <w:lang w:val="sq-AL"/>
              </w:rPr>
              <w:t>5.2008</w:t>
            </w:r>
          </w:p>
        </w:tc>
        <w:tc>
          <w:tcPr>
            <w:tcW w:w="1583" w:type="dxa"/>
            <w:shd w:val="clear" w:color="auto" w:fill="auto"/>
            <w:noWrap/>
            <w:vAlign w:val="center"/>
            <w:hideMark/>
          </w:tcPr>
          <w:p w14:paraId="414F43F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33,927.70</w:t>
            </w:r>
          </w:p>
        </w:tc>
        <w:tc>
          <w:tcPr>
            <w:tcW w:w="1025" w:type="dxa"/>
            <w:shd w:val="clear" w:color="auto" w:fill="auto"/>
            <w:noWrap/>
            <w:vAlign w:val="center"/>
            <w:hideMark/>
          </w:tcPr>
          <w:p w14:paraId="18EE66F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Duke u përgatitur</w:t>
            </w:r>
          </w:p>
        </w:tc>
        <w:tc>
          <w:tcPr>
            <w:tcW w:w="1484" w:type="dxa"/>
            <w:shd w:val="clear" w:color="auto" w:fill="auto"/>
            <w:noWrap/>
            <w:vAlign w:val="center"/>
            <w:hideMark/>
          </w:tcPr>
          <w:p w14:paraId="0CF0F996"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13A3998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0645A61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438D4387" w14:textId="77777777" w:rsidTr="0059625C">
        <w:trPr>
          <w:trHeight w:val="300"/>
          <w:jc w:val="center"/>
        </w:trPr>
        <w:tc>
          <w:tcPr>
            <w:tcW w:w="507" w:type="dxa"/>
            <w:shd w:val="clear" w:color="auto" w:fill="auto"/>
            <w:noWrap/>
            <w:vAlign w:val="center"/>
            <w:hideMark/>
          </w:tcPr>
          <w:p w14:paraId="6289B0E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585" w:type="dxa"/>
            <w:shd w:val="clear" w:color="auto" w:fill="auto"/>
            <w:noWrap/>
            <w:vAlign w:val="center"/>
            <w:hideMark/>
          </w:tcPr>
          <w:p w14:paraId="575422A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9" w:type="dxa"/>
            <w:shd w:val="clear" w:color="auto" w:fill="auto"/>
            <w:noWrap/>
            <w:vAlign w:val="center"/>
            <w:hideMark/>
          </w:tcPr>
          <w:p w14:paraId="51C3066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Elbasan</w:t>
            </w:r>
          </w:p>
        </w:tc>
        <w:tc>
          <w:tcPr>
            <w:tcW w:w="1014" w:type="dxa"/>
            <w:shd w:val="clear" w:color="auto" w:fill="auto"/>
            <w:noWrap/>
            <w:vAlign w:val="center"/>
            <w:hideMark/>
          </w:tcPr>
          <w:p w14:paraId="41D8DF0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Librazhd</w:t>
            </w:r>
          </w:p>
        </w:tc>
        <w:tc>
          <w:tcPr>
            <w:tcW w:w="2021" w:type="dxa"/>
            <w:shd w:val="clear" w:color="auto" w:fill="auto"/>
            <w:noWrap/>
            <w:vAlign w:val="center"/>
            <w:hideMark/>
          </w:tcPr>
          <w:p w14:paraId="37EFF77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Shebenik-Jabllanice</w:t>
            </w:r>
          </w:p>
        </w:tc>
        <w:tc>
          <w:tcPr>
            <w:tcW w:w="2560" w:type="dxa"/>
            <w:shd w:val="clear" w:color="auto" w:fill="auto"/>
            <w:noWrap/>
            <w:vAlign w:val="center"/>
            <w:hideMark/>
          </w:tcPr>
          <w:p w14:paraId="0BF467DF" w14:textId="526430F1"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640,</w:t>
            </w:r>
            <w:r w:rsidR="006F2108" w:rsidRPr="00445472">
              <w:rPr>
                <w:rFonts w:ascii="Garamond" w:hAnsi="Garamond"/>
                <w:sz w:val="20"/>
                <w:szCs w:val="20"/>
                <w:lang w:val="sq-AL"/>
              </w:rPr>
              <w:t xml:space="preserve"> datë 21.</w:t>
            </w:r>
            <w:r w:rsidRPr="00445472">
              <w:rPr>
                <w:rFonts w:ascii="Garamond" w:hAnsi="Garamond"/>
                <w:sz w:val="20"/>
                <w:szCs w:val="20"/>
                <w:lang w:val="sq-AL"/>
              </w:rPr>
              <w:t>5.2009</w:t>
            </w:r>
          </w:p>
        </w:tc>
        <w:tc>
          <w:tcPr>
            <w:tcW w:w="1583" w:type="dxa"/>
            <w:shd w:val="clear" w:color="auto" w:fill="auto"/>
            <w:noWrap/>
            <w:vAlign w:val="center"/>
            <w:hideMark/>
          </w:tcPr>
          <w:p w14:paraId="3A4183D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33,760.10</w:t>
            </w:r>
          </w:p>
        </w:tc>
        <w:tc>
          <w:tcPr>
            <w:tcW w:w="1025" w:type="dxa"/>
            <w:shd w:val="clear" w:color="auto" w:fill="auto"/>
            <w:noWrap/>
            <w:vAlign w:val="center"/>
            <w:hideMark/>
          </w:tcPr>
          <w:p w14:paraId="7E6CBBC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Duke u përgatitur</w:t>
            </w:r>
          </w:p>
        </w:tc>
        <w:tc>
          <w:tcPr>
            <w:tcW w:w="1484" w:type="dxa"/>
            <w:shd w:val="clear" w:color="auto" w:fill="auto"/>
            <w:noWrap/>
            <w:vAlign w:val="center"/>
            <w:hideMark/>
          </w:tcPr>
          <w:p w14:paraId="2C6CC33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r w:rsidRPr="00445472">
              <w:rPr>
                <w:rStyle w:val="FootnoteReference"/>
                <w:rFonts w:ascii="Garamond" w:hAnsi="Garamond"/>
                <w:color w:val="auto"/>
                <w:sz w:val="20"/>
                <w:lang w:val="sq-AL"/>
              </w:rPr>
              <w:footnoteReference w:id="73"/>
            </w:r>
          </w:p>
        </w:tc>
        <w:tc>
          <w:tcPr>
            <w:tcW w:w="1040" w:type="dxa"/>
            <w:shd w:val="clear" w:color="auto" w:fill="auto"/>
            <w:noWrap/>
            <w:vAlign w:val="center"/>
            <w:hideMark/>
          </w:tcPr>
          <w:p w14:paraId="638A13F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432D7FD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3C01AB75" w14:textId="77777777" w:rsidTr="0059625C">
        <w:trPr>
          <w:trHeight w:val="300"/>
          <w:jc w:val="center"/>
        </w:trPr>
        <w:tc>
          <w:tcPr>
            <w:tcW w:w="507" w:type="dxa"/>
            <w:shd w:val="clear" w:color="auto" w:fill="auto"/>
            <w:noWrap/>
            <w:vAlign w:val="center"/>
            <w:hideMark/>
          </w:tcPr>
          <w:p w14:paraId="1D645A4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585" w:type="dxa"/>
            <w:shd w:val="clear" w:color="auto" w:fill="auto"/>
            <w:noWrap/>
            <w:vAlign w:val="center"/>
            <w:hideMark/>
          </w:tcPr>
          <w:p w14:paraId="2DE80D2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9" w:type="dxa"/>
            <w:shd w:val="clear" w:color="auto" w:fill="auto"/>
            <w:noWrap/>
            <w:vAlign w:val="center"/>
            <w:hideMark/>
          </w:tcPr>
          <w:p w14:paraId="3A4DE70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 Kukës</w:t>
            </w:r>
          </w:p>
        </w:tc>
        <w:tc>
          <w:tcPr>
            <w:tcW w:w="1014" w:type="dxa"/>
            <w:shd w:val="clear" w:color="auto" w:fill="auto"/>
            <w:noWrap/>
            <w:vAlign w:val="center"/>
            <w:hideMark/>
          </w:tcPr>
          <w:p w14:paraId="59A4475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Bulqize</w:t>
            </w:r>
          </w:p>
        </w:tc>
        <w:tc>
          <w:tcPr>
            <w:tcW w:w="2021" w:type="dxa"/>
            <w:shd w:val="clear" w:color="auto" w:fill="auto"/>
            <w:noWrap/>
            <w:vAlign w:val="center"/>
            <w:hideMark/>
          </w:tcPr>
          <w:p w14:paraId="0E529C7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Shebenik-Jabllanice</w:t>
            </w:r>
          </w:p>
        </w:tc>
        <w:tc>
          <w:tcPr>
            <w:tcW w:w="2560" w:type="dxa"/>
            <w:shd w:val="clear" w:color="auto" w:fill="auto"/>
            <w:noWrap/>
            <w:vAlign w:val="center"/>
            <w:hideMark/>
          </w:tcPr>
          <w:p w14:paraId="124A6239" w14:textId="3813BFBA"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640, datë 21.</w:t>
            </w:r>
            <w:r w:rsidR="0059625C" w:rsidRPr="00445472">
              <w:rPr>
                <w:rFonts w:ascii="Garamond" w:hAnsi="Garamond"/>
                <w:sz w:val="20"/>
                <w:szCs w:val="20"/>
                <w:lang w:val="sq-AL"/>
              </w:rPr>
              <w:t>5.2010</w:t>
            </w:r>
          </w:p>
        </w:tc>
        <w:tc>
          <w:tcPr>
            <w:tcW w:w="1583" w:type="dxa"/>
            <w:shd w:val="clear" w:color="auto" w:fill="auto"/>
            <w:noWrap/>
            <w:vAlign w:val="center"/>
            <w:hideMark/>
          </w:tcPr>
          <w:p w14:paraId="4AA6CD0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167.6</w:t>
            </w:r>
          </w:p>
        </w:tc>
        <w:tc>
          <w:tcPr>
            <w:tcW w:w="1025" w:type="dxa"/>
            <w:shd w:val="clear" w:color="auto" w:fill="auto"/>
            <w:noWrap/>
            <w:vAlign w:val="center"/>
            <w:hideMark/>
          </w:tcPr>
          <w:p w14:paraId="7C14080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Duke u përgatitur</w:t>
            </w:r>
          </w:p>
        </w:tc>
        <w:tc>
          <w:tcPr>
            <w:tcW w:w="1484" w:type="dxa"/>
            <w:shd w:val="clear" w:color="auto" w:fill="auto"/>
            <w:noWrap/>
            <w:vAlign w:val="center"/>
            <w:hideMark/>
          </w:tcPr>
          <w:p w14:paraId="27845B12"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1BA67E4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5D485C1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33E12211" w14:textId="77777777" w:rsidTr="0059625C">
        <w:trPr>
          <w:trHeight w:val="300"/>
          <w:jc w:val="center"/>
        </w:trPr>
        <w:tc>
          <w:tcPr>
            <w:tcW w:w="507" w:type="dxa"/>
            <w:shd w:val="clear" w:color="auto" w:fill="auto"/>
            <w:noWrap/>
            <w:vAlign w:val="center"/>
          </w:tcPr>
          <w:p w14:paraId="271B7DD3" w14:textId="77777777" w:rsidR="0059625C" w:rsidRPr="00445472" w:rsidRDefault="0059625C" w:rsidP="00B15A6B">
            <w:pPr>
              <w:pStyle w:val="TableTextCentre"/>
              <w:spacing w:before="0" w:after="0"/>
              <w:ind w:right="0"/>
              <w:rPr>
                <w:rFonts w:ascii="Garamond" w:hAnsi="Garamond"/>
                <w:sz w:val="20"/>
                <w:szCs w:val="20"/>
                <w:lang w:val="sq-AL"/>
              </w:rPr>
            </w:pPr>
          </w:p>
        </w:tc>
        <w:tc>
          <w:tcPr>
            <w:tcW w:w="585" w:type="dxa"/>
            <w:shd w:val="clear" w:color="auto" w:fill="auto"/>
            <w:noWrap/>
            <w:vAlign w:val="center"/>
          </w:tcPr>
          <w:p w14:paraId="64B6C4B8"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52A5A21B"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3748C8CA"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7E4BC532" w14:textId="77777777" w:rsidR="0059625C" w:rsidRPr="00445472" w:rsidRDefault="0059625C" w:rsidP="00B15A6B">
            <w:pPr>
              <w:pStyle w:val="TableTextCentre"/>
              <w:spacing w:before="0" w:after="0"/>
              <w:ind w:right="0"/>
              <w:rPr>
                <w:rFonts w:ascii="Garamond" w:hAnsi="Garamond"/>
                <w:sz w:val="20"/>
                <w:szCs w:val="20"/>
                <w:lang w:val="sq-AL"/>
              </w:rPr>
            </w:pPr>
          </w:p>
        </w:tc>
        <w:tc>
          <w:tcPr>
            <w:tcW w:w="2560" w:type="dxa"/>
            <w:shd w:val="clear" w:color="auto" w:fill="auto"/>
            <w:noWrap/>
            <w:vAlign w:val="center"/>
          </w:tcPr>
          <w:p w14:paraId="3BD90ADF"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tcPr>
          <w:p w14:paraId="1082E2A8" w14:textId="77777777" w:rsidR="0059625C" w:rsidRPr="00445472" w:rsidRDefault="0059625C" w:rsidP="00B15A6B">
            <w:pPr>
              <w:pStyle w:val="TableTextCentre"/>
              <w:spacing w:before="0" w:after="0"/>
              <w:ind w:right="0"/>
              <w:rPr>
                <w:rFonts w:ascii="Garamond" w:hAnsi="Garamond"/>
                <w:sz w:val="20"/>
                <w:szCs w:val="20"/>
                <w:lang w:val="sq-AL"/>
              </w:rPr>
            </w:pPr>
          </w:p>
        </w:tc>
        <w:tc>
          <w:tcPr>
            <w:tcW w:w="1025" w:type="dxa"/>
            <w:shd w:val="clear" w:color="auto" w:fill="auto"/>
            <w:noWrap/>
            <w:vAlign w:val="center"/>
          </w:tcPr>
          <w:p w14:paraId="083E121D" w14:textId="77777777" w:rsidR="0059625C" w:rsidRPr="00445472" w:rsidRDefault="0059625C" w:rsidP="00B15A6B">
            <w:pPr>
              <w:pStyle w:val="TableTextCentre"/>
              <w:spacing w:before="0" w:after="0"/>
              <w:ind w:right="0"/>
              <w:rPr>
                <w:rFonts w:ascii="Garamond" w:hAnsi="Garamond"/>
                <w:sz w:val="20"/>
                <w:szCs w:val="20"/>
                <w:lang w:val="sq-AL"/>
              </w:rPr>
            </w:pPr>
          </w:p>
        </w:tc>
        <w:tc>
          <w:tcPr>
            <w:tcW w:w="1484" w:type="dxa"/>
            <w:shd w:val="clear" w:color="auto" w:fill="auto"/>
            <w:noWrap/>
            <w:vAlign w:val="center"/>
          </w:tcPr>
          <w:p w14:paraId="50499629"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32128281"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0B256004"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3A2163D4" w14:textId="77777777" w:rsidTr="0059625C">
        <w:trPr>
          <w:trHeight w:val="300"/>
          <w:jc w:val="center"/>
        </w:trPr>
        <w:tc>
          <w:tcPr>
            <w:tcW w:w="507" w:type="dxa"/>
            <w:shd w:val="clear" w:color="auto" w:fill="auto"/>
            <w:noWrap/>
            <w:vAlign w:val="center"/>
          </w:tcPr>
          <w:p w14:paraId="5EE4AAE2" w14:textId="77777777" w:rsidR="0059625C" w:rsidRPr="00445472" w:rsidRDefault="0059625C" w:rsidP="00B15A6B">
            <w:pPr>
              <w:pStyle w:val="TableTextCentre"/>
              <w:spacing w:before="0" w:after="0"/>
              <w:ind w:right="0"/>
              <w:rPr>
                <w:rFonts w:ascii="Garamond" w:hAnsi="Garamond"/>
                <w:sz w:val="20"/>
                <w:szCs w:val="20"/>
                <w:lang w:val="sq-AL"/>
              </w:rPr>
            </w:pPr>
          </w:p>
        </w:tc>
        <w:tc>
          <w:tcPr>
            <w:tcW w:w="585" w:type="dxa"/>
            <w:shd w:val="clear" w:color="auto" w:fill="auto"/>
            <w:noWrap/>
            <w:vAlign w:val="center"/>
          </w:tcPr>
          <w:p w14:paraId="057C8F99"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169D9EDA"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37E3C280"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37A96FE8" w14:textId="77777777" w:rsidR="0059625C" w:rsidRPr="00445472" w:rsidRDefault="0059625C" w:rsidP="00B15A6B">
            <w:pPr>
              <w:pStyle w:val="TableTextCentre"/>
              <w:spacing w:before="0" w:after="0"/>
              <w:ind w:right="0"/>
              <w:rPr>
                <w:rFonts w:ascii="Garamond" w:hAnsi="Garamond"/>
                <w:sz w:val="20"/>
                <w:szCs w:val="20"/>
                <w:lang w:val="sq-AL"/>
              </w:rPr>
            </w:pPr>
          </w:p>
        </w:tc>
        <w:tc>
          <w:tcPr>
            <w:tcW w:w="2560" w:type="dxa"/>
            <w:shd w:val="clear" w:color="auto" w:fill="auto"/>
            <w:noWrap/>
            <w:vAlign w:val="center"/>
          </w:tcPr>
          <w:p w14:paraId="7A36F517"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tcPr>
          <w:p w14:paraId="29655D15" w14:textId="77777777" w:rsidR="0059625C" w:rsidRPr="00445472" w:rsidRDefault="0059625C" w:rsidP="00B15A6B">
            <w:pPr>
              <w:pStyle w:val="TableTextCentre"/>
              <w:spacing w:before="0" w:after="0"/>
              <w:ind w:right="0"/>
              <w:rPr>
                <w:rFonts w:ascii="Garamond" w:hAnsi="Garamond"/>
                <w:sz w:val="20"/>
                <w:szCs w:val="20"/>
                <w:lang w:val="sq-AL"/>
              </w:rPr>
            </w:pPr>
          </w:p>
        </w:tc>
        <w:tc>
          <w:tcPr>
            <w:tcW w:w="1025" w:type="dxa"/>
            <w:shd w:val="clear" w:color="auto" w:fill="auto"/>
            <w:noWrap/>
            <w:vAlign w:val="center"/>
          </w:tcPr>
          <w:p w14:paraId="30B0AD7F" w14:textId="77777777" w:rsidR="0059625C" w:rsidRPr="00445472" w:rsidRDefault="0059625C" w:rsidP="00B15A6B">
            <w:pPr>
              <w:pStyle w:val="TableTextCentre"/>
              <w:spacing w:before="0" w:after="0"/>
              <w:ind w:right="0"/>
              <w:rPr>
                <w:rFonts w:ascii="Garamond" w:hAnsi="Garamond"/>
                <w:sz w:val="20"/>
                <w:szCs w:val="20"/>
                <w:lang w:val="sq-AL"/>
              </w:rPr>
            </w:pPr>
          </w:p>
        </w:tc>
        <w:tc>
          <w:tcPr>
            <w:tcW w:w="1484" w:type="dxa"/>
            <w:shd w:val="clear" w:color="auto" w:fill="auto"/>
            <w:noWrap/>
            <w:vAlign w:val="center"/>
          </w:tcPr>
          <w:p w14:paraId="04FCA3D4"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6B25A274"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1DD61CF3"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3B957BB0" w14:textId="77777777" w:rsidTr="0059625C">
        <w:trPr>
          <w:trHeight w:val="300"/>
          <w:jc w:val="center"/>
        </w:trPr>
        <w:tc>
          <w:tcPr>
            <w:tcW w:w="507" w:type="dxa"/>
            <w:shd w:val="clear" w:color="auto" w:fill="auto"/>
            <w:noWrap/>
            <w:vAlign w:val="center"/>
          </w:tcPr>
          <w:p w14:paraId="2DFF95C8" w14:textId="77777777" w:rsidR="0059625C" w:rsidRPr="00445472" w:rsidRDefault="0059625C" w:rsidP="00B15A6B">
            <w:pPr>
              <w:pStyle w:val="TableTextCentre"/>
              <w:spacing w:before="0" w:after="0"/>
              <w:ind w:right="0"/>
              <w:rPr>
                <w:rFonts w:ascii="Garamond" w:hAnsi="Garamond"/>
                <w:sz w:val="20"/>
                <w:szCs w:val="20"/>
                <w:lang w:val="sq-AL"/>
              </w:rPr>
            </w:pPr>
          </w:p>
        </w:tc>
        <w:tc>
          <w:tcPr>
            <w:tcW w:w="585" w:type="dxa"/>
            <w:shd w:val="clear" w:color="auto" w:fill="auto"/>
            <w:noWrap/>
            <w:vAlign w:val="center"/>
          </w:tcPr>
          <w:p w14:paraId="4121E45C"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4C427AEF"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2D72F0AD"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2D87EC20" w14:textId="77777777" w:rsidR="0059625C" w:rsidRPr="00445472" w:rsidRDefault="0059625C" w:rsidP="00B15A6B">
            <w:pPr>
              <w:pStyle w:val="TableTextCentre"/>
              <w:spacing w:before="0" w:after="0"/>
              <w:ind w:right="0"/>
              <w:rPr>
                <w:rFonts w:ascii="Garamond" w:hAnsi="Garamond"/>
                <w:sz w:val="20"/>
                <w:szCs w:val="20"/>
                <w:lang w:val="sq-AL"/>
              </w:rPr>
            </w:pPr>
          </w:p>
        </w:tc>
        <w:tc>
          <w:tcPr>
            <w:tcW w:w="2560" w:type="dxa"/>
            <w:shd w:val="clear" w:color="auto" w:fill="auto"/>
            <w:noWrap/>
            <w:vAlign w:val="center"/>
          </w:tcPr>
          <w:p w14:paraId="527A41D8"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tcPr>
          <w:p w14:paraId="373CDA7B" w14:textId="77777777" w:rsidR="0059625C" w:rsidRPr="00445472" w:rsidRDefault="0059625C" w:rsidP="00B15A6B">
            <w:pPr>
              <w:pStyle w:val="TableTextCentre"/>
              <w:spacing w:before="0" w:after="0"/>
              <w:ind w:right="0"/>
              <w:rPr>
                <w:rFonts w:ascii="Garamond" w:hAnsi="Garamond"/>
                <w:sz w:val="20"/>
                <w:szCs w:val="20"/>
                <w:lang w:val="sq-AL"/>
              </w:rPr>
            </w:pPr>
          </w:p>
        </w:tc>
        <w:tc>
          <w:tcPr>
            <w:tcW w:w="1025" w:type="dxa"/>
            <w:shd w:val="clear" w:color="auto" w:fill="auto"/>
            <w:noWrap/>
            <w:vAlign w:val="center"/>
          </w:tcPr>
          <w:p w14:paraId="34966073" w14:textId="77777777" w:rsidR="0059625C" w:rsidRPr="00445472" w:rsidRDefault="0059625C" w:rsidP="00B15A6B">
            <w:pPr>
              <w:pStyle w:val="TableTextCentre"/>
              <w:spacing w:before="0" w:after="0"/>
              <w:ind w:right="0"/>
              <w:rPr>
                <w:rFonts w:ascii="Garamond" w:hAnsi="Garamond"/>
                <w:sz w:val="20"/>
                <w:szCs w:val="20"/>
                <w:lang w:val="sq-AL"/>
              </w:rPr>
            </w:pPr>
          </w:p>
        </w:tc>
        <w:tc>
          <w:tcPr>
            <w:tcW w:w="1484" w:type="dxa"/>
            <w:shd w:val="clear" w:color="auto" w:fill="auto"/>
            <w:noWrap/>
            <w:vAlign w:val="center"/>
          </w:tcPr>
          <w:p w14:paraId="07FEE55C"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58B1BC22"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358B49A8"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12F205FA" w14:textId="77777777" w:rsidTr="0059625C">
        <w:trPr>
          <w:trHeight w:val="300"/>
          <w:jc w:val="center"/>
        </w:trPr>
        <w:tc>
          <w:tcPr>
            <w:tcW w:w="507" w:type="dxa"/>
            <w:shd w:val="clear" w:color="auto" w:fill="auto"/>
            <w:noWrap/>
            <w:vAlign w:val="center"/>
          </w:tcPr>
          <w:p w14:paraId="70B6D79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6</w:t>
            </w:r>
          </w:p>
        </w:tc>
        <w:tc>
          <w:tcPr>
            <w:tcW w:w="585" w:type="dxa"/>
            <w:shd w:val="clear" w:color="auto" w:fill="auto"/>
            <w:noWrap/>
            <w:vAlign w:val="center"/>
          </w:tcPr>
          <w:p w14:paraId="317AA99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tcPr>
          <w:p w14:paraId="49C8833C" w14:textId="77777777" w:rsidR="0059625C" w:rsidRPr="00445472" w:rsidRDefault="0059625C" w:rsidP="00B15A6B">
            <w:pPr>
              <w:spacing w:after="0" w:line="240" w:lineRule="auto"/>
              <w:rPr>
                <w:rFonts w:ascii="Garamond" w:hAnsi="Garamond"/>
                <w:sz w:val="20"/>
                <w:szCs w:val="20"/>
              </w:rPr>
            </w:pPr>
            <w:r w:rsidRPr="00445472">
              <w:rPr>
                <w:rFonts w:ascii="Garamond" w:hAnsi="Garamond"/>
                <w:sz w:val="20"/>
                <w:szCs w:val="20"/>
              </w:rPr>
              <w:t xml:space="preserve">       Korçë</w:t>
            </w:r>
          </w:p>
        </w:tc>
        <w:tc>
          <w:tcPr>
            <w:tcW w:w="1014" w:type="dxa"/>
            <w:shd w:val="clear" w:color="auto" w:fill="auto"/>
            <w:noWrap/>
            <w:vAlign w:val="center"/>
          </w:tcPr>
          <w:p w14:paraId="2C5F60ED" w14:textId="77777777" w:rsidR="0059625C" w:rsidRPr="00445472" w:rsidRDefault="0059625C" w:rsidP="00B15A6B">
            <w:pPr>
              <w:pStyle w:val="TableTextCentre"/>
              <w:spacing w:before="0" w:after="0"/>
              <w:ind w:right="0"/>
              <w:jc w:val="left"/>
              <w:rPr>
                <w:rFonts w:ascii="Garamond" w:hAnsi="Garamond"/>
                <w:sz w:val="20"/>
                <w:szCs w:val="20"/>
                <w:lang w:val="sq-AL"/>
              </w:rPr>
            </w:pPr>
            <w:r w:rsidRPr="00445472">
              <w:rPr>
                <w:rFonts w:ascii="Garamond" w:hAnsi="Garamond"/>
                <w:sz w:val="20"/>
                <w:szCs w:val="20"/>
                <w:lang w:val="sq-AL"/>
              </w:rPr>
              <w:t>Korçë</w:t>
            </w:r>
          </w:p>
        </w:tc>
        <w:tc>
          <w:tcPr>
            <w:tcW w:w="2021" w:type="dxa"/>
            <w:shd w:val="clear" w:color="auto" w:fill="auto"/>
            <w:noWrap/>
            <w:vAlign w:val="center"/>
          </w:tcPr>
          <w:p w14:paraId="62162C8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Prespa</w:t>
            </w:r>
          </w:p>
        </w:tc>
        <w:tc>
          <w:tcPr>
            <w:tcW w:w="2560" w:type="dxa"/>
            <w:shd w:val="clear" w:color="auto" w:fill="auto"/>
            <w:noWrap/>
            <w:vAlign w:val="center"/>
          </w:tcPr>
          <w:p w14:paraId="07B80FDE" w14:textId="1E6F1603"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489, datë 13.</w:t>
            </w:r>
            <w:r w:rsidR="0059625C" w:rsidRPr="00445472">
              <w:rPr>
                <w:rFonts w:ascii="Garamond" w:hAnsi="Garamond"/>
                <w:sz w:val="20"/>
                <w:szCs w:val="20"/>
                <w:lang w:val="sq-AL"/>
              </w:rPr>
              <w:t>6.2013</w:t>
            </w:r>
          </w:p>
        </w:tc>
        <w:tc>
          <w:tcPr>
            <w:tcW w:w="1583" w:type="dxa"/>
            <w:shd w:val="clear" w:color="auto" w:fill="auto"/>
            <w:noWrap/>
            <w:vAlign w:val="center"/>
          </w:tcPr>
          <w:p w14:paraId="3B4567A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27,750.00</w:t>
            </w:r>
          </w:p>
        </w:tc>
        <w:tc>
          <w:tcPr>
            <w:tcW w:w="1025" w:type="dxa"/>
            <w:shd w:val="clear" w:color="auto" w:fill="auto"/>
            <w:noWrap/>
            <w:vAlign w:val="center"/>
          </w:tcPr>
          <w:p w14:paraId="70A7423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r w:rsidRPr="00445472">
              <w:rPr>
                <w:rStyle w:val="FootnoteReference"/>
                <w:rFonts w:ascii="Garamond" w:hAnsi="Garamond"/>
                <w:color w:val="auto"/>
                <w:sz w:val="20"/>
                <w:lang w:val="sq-AL"/>
              </w:rPr>
              <w:footnoteReference w:id="74"/>
            </w:r>
          </w:p>
        </w:tc>
        <w:tc>
          <w:tcPr>
            <w:tcW w:w="1484" w:type="dxa"/>
            <w:shd w:val="clear" w:color="auto" w:fill="auto"/>
            <w:noWrap/>
            <w:vAlign w:val="center"/>
          </w:tcPr>
          <w:p w14:paraId="5BA5420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040" w:type="dxa"/>
            <w:shd w:val="clear" w:color="auto" w:fill="auto"/>
            <w:noWrap/>
            <w:vAlign w:val="center"/>
          </w:tcPr>
          <w:p w14:paraId="6DE2E9F8"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3536D0B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r>
      <w:tr w:rsidR="0059625C" w:rsidRPr="00445472" w14:paraId="141879D5" w14:textId="77777777" w:rsidTr="0059625C">
        <w:trPr>
          <w:trHeight w:val="300"/>
          <w:jc w:val="center"/>
        </w:trPr>
        <w:tc>
          <w:tcPr>
            <w:tcW w:w="507" w:type="dxa"/>
            <w:shd w:val="clear" w:color="auto" w:fill="auto"/>
            <w:noWrap/>
            <w:vAlign w:val="center"/>
          </w:tcPr>
          <w:p w14:paraId="69DC073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7</w:t>
            </w:r>
          </w:p>
        </w:tc>
        <w:tc>
          <w:tcPr>
            <w:tcW w:w="585" w:type="dxa"/>
            <w:shd w:val="clear" w:color="auto" w:fill="auto"/>
            <w:noWrap/>
            <w:vAlign w:val="center"/>
          </w:tcPr>
          <w:p w14:paraId="390D6FB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tcPr>
          <w:p w14:paraId="5383BC29"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7FD65452"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5C6DCF6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Theth</w:t>
            </w:r>
          </w:p>
        </w:tc>
        <w:tc>
          <w:tcPr>
            <w:tcW w:w="2560" w:type="dxa"/>
            <w:shd w:val="clear" w:color="auto" w:fill="auto"/>
            <w:noWrap/>
            <w:vAlign w:val="center"/>
          </w:tcPr>
          <w:p w14:paraId="7BBAF8A2" w14:textId="77777777" w:rsidR="0059625C" w:rsidRPr="00445472" w:rsidRDefault="0059625C" w:rsidP="00B15A6B">
            <w:pPr>
              <w:spacing w:after="0" w:line="240" w:lineRule="auto"/>
              <w:rPr>
                <w:rFonts w:ascii="Garamond" w:hAnsi="Garamond"/>
                <w:sz w:val="20"/>
                <w:szCs w:val="20"/>
              </w:rPr>
            </w:pPr>
          </w:p>
        </w:tc>
        <w:tc>
          <w:tcPr>
            <w:tcW w:w="1583" w:type="dxa"/>
            <w:shd w:val="clear" w:color="auto" w:fill="auto"/>
            <w:noWrap/>
            <w:vAlign w:val="center"/>
          </w:tcPr>
          <w:p w14:paraId="4EE16AF8" w14:textId="77777777" w:rsidR="0059625C" w:rsidRPr="00445472" w:rsidRDefault="0059625C" w:rsidP="00B15A6B">
            <w:pPr>
              <w:spacing w:after="0" w:line="240" w:lineRule="auto"/>
              <w:jc w:val="center"/>
              <w:rPr>
                <w:rFonts w:ascii="Garamond" w:hAnsi="Garamond"/>
                <w:sz w:val="20"/>
                <w:szCs w:val="20"/>
              </w:rPr>
            </w:pPr>
          </w:p>
        </w:tc>
        <w:tc>
          <w:tcPr>
            <w:tcW w:w="1025" w:type="dxa"/>
            <w:shd w:val="clear" w:color="auto" w:fill="auto"/>
            <w:noWrap/>
            <w:vAlign w:val="center"/>
          </w:tcPr>
          <w:p w14:paraId="38D1795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Draft</w:t>
            </w:r>
            <w:r w:rsidRPr="00445472">
              <w:rPr>
                <w:rStyle w:val="FootnoteReference"/>
                <w:rFonts w:ascii="Garamond" w:hAnsi="Garamond"/>
                <w:color w:val="auto"/>
                <w:sz w:val="20"/>
                <w:lang w:val="sq-AL"/>
              </w:rPr>
              <w:footnoteReference w:id="75"/>
            </w:r>
          </w:p>
        </w:tc>
        <w:tc>
          <w:tcPr>
            <w:tcW w:w="1484" w:type="dxa"/>
            <w:shd w:val="clear" w:color="auto" w:fill="auto"/>
            <w:noWrap/>
            <w:vAlign w:val="center"/>
          </w:tcPr>
          <w:p w14:paraId="57290939"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5C53AAE5"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10CFEF35"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7BC97A0C" w14:textId="77777777" w:rsidTr="0059625C">
        <w:trPr>
          <w:trHeight w:val="300"/>
          <w:jc w:val="center"/>
        </w:trPr>
        <w:tc>
          <w:tcPr>
            <w:tcW w:w="507" w:type="dxa"/>
            <w:shd w:val="clear" w:color="auto" w:fill="auto"/>
            <w:noWrap/>
            <w:vAlign w:val="center"/>
          </w:tcPr>
          <w:p w14:paraId="0A068EF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8</w:t>
            </w:r>
          </w:p>
        </w:tc>
        <w:tc>
          <w:tcPr>
            <w:tcW w:w="585" w:type="dxa"/>
            <w:shd w:val="clear" w:color="auto" w:fill="auto"/>
            <w:noWrap/>
            <w:vAlign w:val="center"/>
          </w:tcPr>
          <w:p w14:paraId="38A832A3"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27AB6FEF"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76F1D9B2"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3739728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Lugina e Valbonës</w:t>
            </w:r>
          </w:p>
        </w:tc>
        <w:tc>
          <w:tcPr>
            <w:tcW w:w="2560" w:type="dxa"/>
            <w:shd w:val="clear" w:color="auto" w:fill="auto"/>
            <w:noWrap/>
            <w:vAlign w:val="center"/>
          </w:tcPr>
          <w:p w14:paraId="31EAADFC" w14:textId="77777777" w:rsidR="0059625C" w:rsidRPr="00445472" w:rsidRDefault="0059625C" w:rsidP="00B15A6B">
            <w:pPr>
              <w:spacing w:after="0" w:line="240" w:lineRule="auto"/>
              <w:rPr>
                <w:rFonts w:ascii="Garamond" w:hAnsi="Garamond"/>
                <w:sz w:val="20"/>
                <w:szCs w:val="20"/>
              </w:rPr>
            </w:pPr>
          </w:p>
        </w:tc>
        <w:tc>
          <w:tcPr>
            <w:tcW w:w="1583" w:type="dxa"/>
            <w:shd w:val="clear" w:color="auto" w:fill="auto"/>
            <w:noWrap/>
            <w:vAlign w:val="center"/>
          </w:tcPr>
          <w:p w14:paraId="13215E56" w14:textId="77777777" w:rsidR="0059625C" w:rsidRPr="00445472" w:rsidRDefault="0059625C" w:rsidP="00B15A6B">
            <w:pPr>
              <w:spacing w:after="0" w:line="240" w:lineRule="auto"/>
              <w:jc w:val="center"/>
              <w:rPr>
                <w:rFonts w:ascii="Garamond" w:hAnsi="Garamond"/>
                <w:sz w:val="20"/>
                <w:szCs w:val="20"/>
              </w:rPr>
            </w:pPr>
          </w:p>
        </w:tc>
        <w:tc>
          <w:tcPr>
            <w:tcW w:w="1025" w:type="dxa"/>
            <w:shd w:val="clear" w:color="auto" w:fill="auto"/>
            <w:noWrap/>
            <w:vAlign w:val="center"/>
          </w:tcPr>
          <w:p w14:paraId="022CCF2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Draft</w:t>
            </w:r>
            <w:r w:rsidRPr="00445472">
              <w:rPr>
                <w:rStyle w:val="FootnoteReference"/>
                <w:rFonts w:ascii="Garamond" w:hAnsi="Garamond"/>
                <w:color w:val="auto"/>
                <w:sz w:val="20"/>
                <w:lang w:val="sq-AL"/>
              </w:rPr>
              <w:footnoteReference w:id="76"/>
            </w:r>
          </w:p>
        </w:tc>
        <w:tc>
          <w:tcPr>
            <w:tcW w:w="1484" w:type="dxa"/>
            <w:shd w:val="clear" w:color="auto" w:fill="auto"/>
            <w:noWrap/>
            <w:vAlign w:val="center"/>
          </w:tcPr>
          <w:p w14:paraId="0C13D0B4"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6F3A5272"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2B79D412"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46CBBDF6" w14:textId="77777777" w:rsidTr="0059625C">
        <w:trPr>
          <w:trHeight w:val="300"/>
          <w:jc w:val="center"/>
        </w:trPr>
        <w:tc>
          <w:tcPr>
            <w:tcW w:w="507" w:type="dxa"/>
            <w:shd w:val="clear" w:color="auto" w:fill="auto"/>
            <w:noWrap/>
            <w:vAlign w:val="center"/>
          </w:tcPr>
          <w:p w14:paraId="7B5C117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9</w:t>
            </w:r>
          </w:p>
        </w:tc>
        <w:tc>
          <w:tcPr>
            <w:tcW w:w="585" w:type="dxa"/>
            <w:shd w:val="clear" w:color="auto" w:fill="auto"/>
            <w:noWrap/>
            <w:vAlign w:val="center"/>
          </w:tcPr>
          <w:p w14:paraId="1616429F"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6F067925"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666260CC"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672862B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Lurë</w:t>
            </w:r>
          </w:p>
        </w:tc>
        <w:tc>
          <w:tcPr>
            <w:tcW w:w="2560" w:type="dxa"/>
            <w:shd w:val="clear" w:color="auto" w:fill="auto"/>
            <w:noWrap/>
            <w:vAlign w:val="center"/>
          </w:tcPr>
          <w:p w14:paraId="136053A3" w14:textId="77777777" w:rsidR="0059625C" w:rsidRPr="00445472" w:rsidRDefault="0059625C" w:rsidP="00B15A6B">
            <w:pPr>
              <w:spacing w:after="0" w:line="240" w:lineRule="auto"/>
              <w:rPr>
                <w:rFonts w:ascii="Garamond" w:hAnsi="Garamond"/>
                <w:sz w:val="20"/>
                <w:szCs w:val="20"/>
              </w:rPr>
            </w:pPr>
          </w:p>
        </w:tc>
        <w:tc>
          <w:tcPr>
            <w:tcW w:w="1583" w:type="dxa"/>
            <w:shd w:val="clear" w:color="auto" w:fill="auto"/>
            <w:noWrap/>
            <w:vAlign w:val="center"/>
          </w:tcPr>
          <w:p w14:paraId="7175546D" w14:textId="77777777" w:rsidR="0059625C" w:rsidRPr="00445472" w:rsidRDefault="0059625C" w:rsidP="00B15A6B">
            <w:pPr>
              <w:spacing w:after="0" w:line="240" w:lineRule="auto"/>
              <w:jc w:val="center"/>
              <w:rPr>
                <w:rFonts w:ascii="Garamond" w:hAnsi="Garamond"/>
                <w:sz w:val="20"/>
                <w:szCs w:val="20"/>
              </w:rPr>
            </w:pPr>
          </w:p>
        </w:tc>
        <w:tc>
          <w:tcPr>
            <w:tcW w:w="1025" w:type="dxa"/>
            <w:shd w:val="clear" w:color="auto" w:fill="auto"/>
            <w:noWrap/>
            <w:vAlign w:val="center"/>
          </w:tcPr>
          <w:p w14:paraId="3D34CCFD" w14:textId="77777777" w:rsidR="0059625C" w:rsidRPr="00445472" w:rsidRDefault="0059625C" w:rsidP="00B15A6B">
            <w:pPr>
              <w:pStyle w:val="TableTextCentre"/>
              <w:spacing w:before="0" w:after="0"/>
              <w:ind w:right="0"/>
              <w:rPr>
                <w:rFonts w:ascii="Garamond" w:hAnsi="Garamond"/>
                <w:sz w:val="20"/>
                <w:szCs w:val="20"/>
                <w:lang w:val="sq-AL"/>
              </w:rPr>
            </w:pPr>
          </w:p>
        </w:tc>
        <w:tc>
          <w:tcPr>
            <w:tcW w:w="1484" w:type="dxa"/>
            <w:shd w:val="clear" w:color="auto" w:fill="auto"/>
            <w:noWrap/>
            <w:vAlign w:val="center"/>
          </w:tcPr>
          <w:p w14:paraId="2DA8D543"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410A2C87"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3E5B11EE"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41D720C5" w14:textId="77777777" w:rsidTr="0059625C">
        <w:trPr>
          <w:trHeight w:val="300"/>
          <w:jc w:val="center"/>
        </w:trPr>
        <w:tc>
          <w:tcPr>
            <w:tcW w:w="507" w:type="dxa"/>
            <w:shd w:val="clear" w:color="auto" w:fill="auto"/>
            <w:noWrap/>
            <w:vAlign w:val="center"/>
          </w:tcPr>
          <w:p w14:paraId="114372C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10</w:t>
            </w:r>
          </w:p>
        </w:tc>
        <w:tc>
          <w:tcPr>
            <w:tcW w:w="585" w:type="dxa"/>
            <w:shd w:val="clear" w:color="auto" w:fill="auto"/>
            <w:noWrap/>
            <w:vAlign w:val="center"/>
          </w:tcPr>
          <w:p w14:paraId="639782DA"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4683CC5F"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494436EC"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58FBD07A" w14:textId="77777777" w:rsidR="0059625C" w:rsidRPr="00445472" w:rsidRDefault="0059625C" w:rsidP="00B15A6B">
            <w:pPr>
              <w:pStyle w:val="TableTextCentre"/>
              <w:spacing w:before="0" w:after="0"/>
              <w:ind w:right="0"/>
              <w:rPr>
                <w:rFonts w:ascii="Garamond" w:eastAsia="SimSun" w:hAnsi="Garamond"/>
                <w:sz w:val="20"/>
                <w:szCs w:val="20"/>
                <w:lang w:val="sq-AL"/>
              </w:rPr>
            </w:pPr>
            <w:r w:rsidRPr="00445472">
              <w:rPr>
                <w:rFonts w:ascii="Garamond" w:hAnsi="Garamond"/>
                <w:sz w:val="20"/>
                <w:szCs w:val="20"/>
                <w:lang w:val="sq-AL"/>
              </w:rPr>
              <w:t>Korab – Koritnik</w:t>
            </w:r>
          </w:p>
        </w:tc>
        <w:tc>
          <w:tcPr>
            <w:tcW w:w="2560" w:type="dxa"/>
            <w:shd w:val="clear" w:color="auto" w:fill="auto"/>
            <w:noWrap/>
            <w:vAlign w:val="center"/>
          </w:tcPr>
          <w:p w14:paraId="4F79C2DE" w14:textId="77777777" w:rsidR="0059625C" w:rsidRPr="00445472" w:rsidRDefault="0059625C" w:rsidP="00B15A6B">
            <w:pPr>
              <w:spacing w:after="0" w:line="240" w:lineRule="auto"/>
              <w:rPr>
                <w:rFonts w:ascii="Garamond" w:hAnsi="Garamond"/>
                <w:sz w:val="20"/>
                <w:szCs w:val="20"/>
              </w:rPr>
            </w:pPr>
          </w:p>
        </w:tc>
        <w:tc>
          <w:tcPr>
            <w:tcW w:w="1583" w:type="dxa"/>
            <w:shd w:val="clear" w:color="auto" w:fill="auto"/>
            <w:noWrap/>
            <w:vAlign w:val="center"/>
          </w:tcPr>
          <w:p w14:paraId="0D35A3BB" w14:textId="77777777" w:rsidR="0059625C" w:rsidRPr="00445472" w:rsidRDefault="0059625C" w:rsidP="00B15A6B">
            <w:pPr>
              <w:spacing w:after="0" w:line="240" w:lineRule="auto"/>
              <w:jc w:val="center"/>
              <w:rPr>
                <w:rFonts w:ascii="Garamond" w:hAnsi="Garamond"/>
                <w:sz w:val="20"/>
                <w:szCs w:val="20"/>
              </w:rPr>
            </w:pPr>
          </w:p>
        </w:tc>
        <w:tc>
          <w:tcPr>
            <w:tcW w:w="1025" w:type="dxa"/>
            <w:shd w:val="clear" w:color="auto" w:fill="auto"/>
            <w:noWrap/>
            <w:vAlign w:val="center"/>
          </w:tcPr>
          <w:p w14:paraId="5DD6F1A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r w:rsidRPr="00445472">
              <w:rPr>
                <w:rStyle w:val="FootnoteReference"/>
                <w:rFonts w:ascii="Garamond" w:hAnsi="Garamond"/>
                <w:color w:val="auto"/>
                <w:sz w:val="20"/>
                <w:lang w:val="sq-AL"/>
              </w:rPr>
              <w:footnoteReference w:id="77"/>
            </w:r>
          </w:p>
        </w:tc>
        <w:tc>
          <w:tcPr>
            <w:tcW w:w="1484" w:type="dxa"/>
            <w:shd w:val="clear" w:color="auto" w:fill="auto"/>
            <w:noWrap/>
            <w:vAlign w:val="center"/>
          </w:tcPr>
          <w:p w14:paraId="1A029B9F"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7118DC74"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61CE4919"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1A7C806A" w14:textId="77777777" w:rsidTr="0059625C">
        <w:trPr>
          <w:trHeight w:val="300"/>
          <w:jc w:val="center"/>
        </w:trPr>
        <w:tc>
          <w:tcPr>
            <w:tcW w:w="507" w:type="dxa"/>
            <w:shd w:val="clear" w:color="auto" w:fill="auto"/>
            <w:noWrap/>
            <w:vAlign w:val="center"/>
          </w:tcPr>
          <w:p w14:paraId="7510F37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11</w:t>
            </w:r>
          </w:p>
        </w:tc>
        <w:tc>
          <w:tcPr>
            <w:tcW w:w="585" w:type="dxa"/>
            <w:shd w:val="clear" w:color="auto" w:fill="auto"/>
            <w:noWrap/>
            <w:vAlign w:val="center"/>
          </w:tcPr>
          <w:p w14:paraId="2659FF05" w14:textId="77777777" w:rsidR="0059625C" w:rsidRPr="00445472" w:rsidRDefault="0059625C" w:rsidP="00B15A6B">
            <w:pPr>
              <w:pStyle w:val="TableTextCentre"/>
              <w:spacing w:before="0" w:after="0"/>
              <w:ind w:right="0"/>
              <w:rPr>
                <w:rFonts w:ascii="Garamond" w:hAnsi="Garamond"/>
                <w:sz w:val="20"/>
                <w:szCs w:val="20"/>
                <w:lang w:val="sq-AL"/>
              </w:rPr>
            </w:pPr>
          </w:p>
        </w:tc>
        <w:tc>
          <w:tcPr>
            <w:tcW w:w="1489" w:type="dxa"/>
            <w:shd w:val="clear" w:color="auto" w:fill="auto"/>
            <w:noWrap/>
            <w:vAlign w:val="center"/>
          </w:tcPr>
          <w:p w14:paraId="659918FD"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tcPr>
          <w:p w14:paraId="3D608843"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tcPr>
          <w:p w14:paraId="3B5850D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Zall Gjocaj</w:t>
            </w:r>
          </w:p>
        </w:tc>
        <w:tc>
          <w:tcPr>
            <w:tcW w:w="2560" w:type="dxa"/>
            <w:shd w:val="clear" w:color="auto" w:fill="auto"/>
            <w:noWrap/>
            <w:vAlign w:val="center"/>
          </w:tcPr>
          <w:p w14:paraId="46218A5D" w14:textId="77777777" w:rsidR="0059625C" w:rsidRPr="00445472" w:rsidRDefault="0059625C" w:rsidP="00B15A6B">
            <w:pPr>
              <w:spacing w:after="0" w:line="240" w:lineRule="auto"/>
              <w:rPr>
                <w:rFonts w:ascii="Garamond" w:hAnsi="Garamond"/>
                <w:sz w:val="20"/>
                <w:szCs w:val="20"/>
              </w:rPr>
            </w:pPr>
          </w:p>
        </w:tc>
        <w:tc>
          <w:tcPr>
            <w:tcW w:w="1583" w:type="dxa"/>
            <w:shd w:val="clear" w:color="auto" w:fill="auto"/>
            <w:noWrap/>
            <w:vAlign w:val="center"/>
          </w:tcPr>
          <w:p w14:paraId="0FC5F837" w14:textId="77777777" w:rsidR="0059625C" w:rsidRPr="00445472" w:rsidRDefault="0059625C" w:rsidP="00B15A6B">
            <w:pPr>
              <w:spacing w:after="0" w:line="240" w:lineRule="auto"/>
              <w:jc w:val="center"/>
              <w:rPr>
                <w:rFonts w:ascii="Garamond" w:hAnsi="Garamond"/>
                <w:sz w:val="20"/>
                <w:szCs w:val="20"/>
              </w:rPr>
            </w:pPr>
          </w:p>
        </w:tc>
        <w:tc>
          <w:tcPr>
            <w:tcW w:w="1025" w:type="dxa"/>
            <w:shd w:val="clear" w:color="auto" w:fill="auto"/>
            <w:noWrap/>
            <w:vAlign w:val="center"/>
          </w:tcPr>
          <w:p w14:paraId="38D01512" w14:textId="77777777" w:rsidR="0059625C" w:rsidRPr="00445472" w:rsidRDefault="0059625C" w:rsidP="00B15A6B">
            <w:pPr>
              <w:pStyle w:val="TableTextCentre"/>
              <w:spacing w:before="0" w:after="0"/>
              <w:ind w:right="0"/>
              <w:rPr>
                <w:rFonts w:ascii="Garamond" w:hAnsi="Garamond"/>
                <w:sz w:val="20"/>
                <w:szCs w:val="20"/>
                <w:lang w:val="sq-AL"/>
              </w:rPr>
            </w:pPr>
          </w:p>
        </w:tc>
        <w:tc>
          <w:tcPr>
            <w:tcW w:w="1484" w:type="dxa"/>
            <w:shd w:val="clear" w:color="auto" w:fill="auto"/>
            <w:noWrap/>
            <w:vAlign w:val="center"/>
          </w:tcPr>
          <w:p w14:paraId="21C52B22"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tcPr>
          <w:p w14:paraId="241477CB"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tcPr>
          <w:p w14:paraId="40446250"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6B2C5C9C" w14:textId="77777777" w:rsidTr="0059625C">
        <w:trPr>
          <w:trHeight w:val="300"/>
          <w:jc w:val="center"/>
        </w:trPr>
        <w:tc>
          <w:tcPr>
            <w:tcW w:w="14521" w:type="dxa"/>
            <w:gridSpan w:val="11"/>
            <w:shd w:val="clear" w:color="auto" w:fill="D4D4D4"/>
            <w:noWrap/>
            <w:vAlign w:val="center"/>
            <w:hideMark/>
          </w:tcPr>
          <w:p w14:paraId="176C28CF" w14:textId="77777777" w:rsidR="000417AA" w:rsidRPr="00445472" w:rsidRDefault="0059625C" w:rsidP="006F2108">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 xml:space="preserve">3. Monument Natyre (MN) (Bio </w:t>
            </w:r>
            <w:r w:rsidR="006F2108" w:rsidRPr="00445472">
              <w:rPr>
                <w:rFonts w:ascii="Garamond" w:hAnsi="Garamond"/>
                <w:b/>
                <w:sz w:val="20"/>
                <w:szCs w:val="20"/>
                <w:lang w:val="sq-AL"/>
              </w:rPr>
              <w:t>dhe</w:t>
            </w:r>
          </w:p>
          <w:p w14:paraId="355724D2" w14:textId="2B6644F3" w:rsidR="0059625C" w:rsidRPr="00445472" w:rsidRDefault="0059625C" w:rsidP="006F2108">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 xml:space="preserve"> Gjeo)</w:t>
            </w:r>
          </w:p>
        </w:tc>
      </w:tr>
      <w:tr w:rsidR="0059625C" w:rsidRPr="00445472" w14:paraId="77FDAB0B" w14:textId="77777777" w:rsidTr="0059625C">
        <w:trPr>
          <w:trHeight w:val="300"/>
          <w:jc w:val="center"/>
        </w:trPr>
        <w:tc>
          <w:tcPr>
            <w:tcW w:w="507" w:type="dxa"/>
            <w:shd w:val="clear" w:color="auto" w:fill="auto"/>
            <w:noWrap/>
            <w:vAlign w:val="center"/>
            <w:hideMark/>
          </w:tcPr>
          <w:p w14:paraId="1FE9C21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1</w:t>
            </w:r>
          </w:p>
        </w:tc>
        <w:tc>
          <w:tcPr>
            <w:tcW w:w="585" w:type="dxa"/>
            <w:shd w:val="clear" w:color="auto" w:fill="auto"/>
            <w:noWrap/>
            <w:vAlign w:val="center"/>
            <w:hideMark/>
          </w:tcPr>
          <w:p w14:paraId="65C791B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III</w:t>
            </w:r>
          </w:p>
        </w:tc>
        <w:tc>
          <w:tcPr>
            <w:tcW w:w="1489" w:type="dxa"/>
            <w:shd w:val="clear" w:color="auto" w:fill="auto"/>
            <w:noWrap/>
            <w:vAlign w:val="center"/>
            <w:hideMark/>
          </w:tcPr>
          <w:p w14:paraId="342F185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1014" w:type="dxa"/>
            <w:shd w:val="clear" w:color="auto" w:fill="auto"/>
            <w:noWrap/>
            <w:vAlign w:val="center"/>
            <w:hideMark/>
          </w:tcPr>
          <w:p w14:paraId="0DC688A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2021" w:type="dxa"/>
            <w:shd w:val="clear" w:color="auto" w:fill="auto"/>
            <w:noWrap/>
            <w:vAlign w:val="center"/>
            <w:hideMark/>
          </w:tcPr>
          <w:p w14:paraId="1475DCA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Vlashaj</w:t>
            </w:r>
          </w:p>
        </w:tc>
        <w:tc>
          <w:tcPr>
            <w:tcW w:w="2560" w:type="dxa"/>
            <w:shd w:val="clear" w:color="auto" w:fill="auto"/>
            <w:noWrap/>
            <w:vAlign w:val="center"/>
            <w:hideMark/>
          </w:tcPr>
          <w:p w14:paraId="089E553A" w14:textId="08250955"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102, datë</w:t>
            </w:r>
            <w:r w:rsidR="006F2108" w:rsidRPr="00445472">
              <w:rPr>
                <w:rFonts w:ascii="Garamond" w:hAnsi="Garamond"/>
                <w:sz w:val="20"/>
                <w:szCs w:val="20"/>
                <w:lang w:val="sq-AL"/>
              </w:rPr>
              <w:t xml:space="preserve"> 15.</w:t>
            </w:r>
            <w:r w:rsidRPr="00445472">
              <w:rPr>
                <w:rFonts w:ascii="Garamond" w:hAnsi="Garamond"/>
                <w:sz w:val="20"/>
                <w:szCs w:val="20"/>
                <w:lang w:val="sq-AL"/>
              </w:rPr>
              <w:t>1.1996</w:t>
            </w:r>
          </w:p>
        </w:tc>
        <w:tc>
          <w:tcPr>
            <w:tcW w:w="1583" w:type="dxa"/>
            <w:shd w:val="clear" w:color="auto" w:fill="auto"/>
            <w:noWrap/>
            <w:vAlign w:val="center"/>
            <w:hideMark/>
          </w:tcPr>
          <w:p w14:paraId="3D3836C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50</w:t>
            </w:r>
          </w:p>
        </w:tc>
        <w:tc>
          <w:tcPr>
            <w:tcW w:w="1025" w:type="dxa"/>
            <w:shd w:val="clear" w:color="auto" w:fill="auto"/>
            <w:noWrap/>
            <w:vAlign w:val="center"/>
            <w:hideMark/>
          </w:tcPr>
          <w:p w14:paraId="309A970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35A0075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57463F6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3CFAAE4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2BF4040A" w14:textId="77777777" w:rsidTr="0059625C">
        <w:trPr>
          <w:trHeight w:val="300"/>
          <w:jc w:val="center"/>
        </w:trPr>
        <w:tc>
          <w:tcPr>
            <w:tcW w:w="14521" w:type="dxa"/>
            <w:gridSpan w:val="11"/>
            <w:shd w:val="clear" w:color="auto" w:fill="D4D4D4"/>
            <w:noWrap/>
            <w:vAlign w:val="center"/>
            <w:hideMark/>
          </w:tcPr>
          <w:p w14:paraId="5997B47D" w14:textId="7F29023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4. Rezervat Natyror i Menaxhuar (RNM)</w:t>
            </w:r>
            <w:r w:rsidR="001D340B" w:rsidRPr="00445472">
              <w:rPr>
                <w:rFonts w:ascii="Garamond" w:hAnsi="Garamond"/>
                <w:b/>
                <w:sz w:val="20"/>
                <w:szCs w:val="20"/>
                <w:lang w:val="sq-AL"/>
              </w:rPr>
              <w:t>/</w:t>
            </w:r>
            <w:r w:rsidRPr="00445472">
              <w:rPr>
                <w:rFonts w:ascii="Garamond" w:hAnsi="Garamond"/>
                <w:b/>
                <w:sz w:val="20"/>
                <w:szCs w:val="20"/>
                <w:lang w:val="sq-AL"/>
              </w:rPr>
              <w:t>Park Kombëtar i Natyrës</w:t>
            </w:r>
          </w:p>
        </w:tc>
      </w:tr>
      <w:tr w:rsidR="0059625C" w:rsidRPr="00445472" w14:paraId="53E07AA3" w14:textId="77777777" w:rsidTr="0059625C">
        <w:trPr>
          <w:trHeight w:val="300"/>
          <w:jc w:val="center"/>
        </w:trPr>
        <w:tc>
          <w:tcPr>
            <w:tcW w:w="507" w:type="dxa"/>
            <w:shd w:val="clear" w:color="auto" w:fill="auto"/>
            <w:noWrap/>
            <w:vAlign w:val="center"/>
            <w:hideMark/>
          </w:tcPr>
          <w:p w14:paraId="4B4BCB4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35C3106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1758370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Kukës</w:t>
            </w:r>
          </w:p>
        </w:tc>
        <w:tc>
          <w:tcPr>
            <w:tcW w:w="1014" w:type="dxa"/>
            <w:shd w:val="clear" w:color="auto" w:fill="auto"/>
            <w:noWrap/>
            <w:vAlign w:val="center"/>
            <w:hideMark/>
          </w:tcPr>
          <w:p w14:paraId="2E44B11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Has</w:t>
            </w:r>
          </w:p>
        </w:tc>
        <w:tc>
          <w:tcPr>
            <w:tcW w:w="2021" w:type="dxa"/>
            <w:shd w:val="clear" w:color="auto" w:fill="auto"/>
            <w:noWrap/>
            <w:vAlign w:val="center"/>
            <w:hideMark/>
          </w:tcPr>
          <w:p w14:paraId="1C4A57C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Tej Drin i Bardhë</w:t>
            </w:r>
          </w:p>
        </w:tc>
        <w:tc>
          <w:tcPr>
            <w:tcW w:w="2560" w:type="dxa"/>
            <w:shd w:val="clear" w:color="auto" w:fill="auto"/>
            <w:noWrap/>
            <w:vAlign w:val="center"/>
            <w:hideMark/>
          </w:tcPr>
          <w:p w14:paraId="6B1675BC" w14:textId="307A15A9"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nr.102, datë 15.</w:t>
            </w:r>
            <w:r w:rsidR="0059625C" w:rsidRPr="00445472">
              <w:rPr>
                <w:rFonts w:ascii="Garamond" w:hAnsi="Garamond"/>
                <w:sz w:val="20"/>
                <w:szCs w:val="20"/>
                <w:lang w:val="sq-AL"/>
              </w:rPr>
              <w:t>1.1996</w:t>
            </w:r>
          </w:p>
        </w:tc>
        <w:tc>
          <w:tcPr>
            <w:tcW w:w="1583" w:type="dxa"/>
            <w:shd w:val="clear" w:color="auto" w:fill="auto"/>
            <w:noWrap/>
            <w:vAlign w:val="center"/>
            <w:hideMark/>
          </w:tcPr>
          <w:p w14:paraId="57AFA49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30</w:t>
            </w:r>
          </w:p>
        </w:tc>
        <w:tc>
          <w:tcPr>
            <w:tcW w:w="1025" w:type="dxa"/>
            <w:shd w:val="clear" w:color="auto" w:fill="auto"/>
            <w:noWrap/>
            <w:vAlign w:val="center"/>
            <w:hideMark/>
          </w:tcPr>
          <w:p w14:paraId="0849C89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11A00D6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442E56F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40CB574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449572C2" w14:textId="77777777" w:rsidTr="0059625C">
        <w:trPr>
          <w:trHeight w:val="300"/>
          <w:jc w:val="center"/>
        </w:trPr>
        <w:tc>
          <w:tcPr>
            <w:tcW w:w="507" w:type="dxa"/>
            <w:shd w:val="clear" w:color="auto" w:fill="auto"/>
            <w:noWrap/>
            <w:vAlign w:val="center"/>
            <w:hideMark/>
          </w:tcPr>
          <w:p w14:paraId="65CDA75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w:t>
            </w:r>
          </w:p>
        </w:tc>
        <w:tc>
          <w:tcPr>
            <w:tcW w:w="585" w:type="dxa"/>
            <w:shd w:val="clear" w:color="auto" w:fill="auto"/>
            <w:noWrap/>
            <w:vAlign w:val="center"/>
            <w:hideMark/>
          </w:tcPr>
          <w:p w14:paraId="1D9A870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4C3C0FF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Shkodra</w:t>
            </w:r>
          </w:p>
        </w:tc>
        <w:tc>
          <w:tcPr>
            <w:tcW w:w="1014" w:type="dxa"/>
            <w:shd w:val="clear" w:color="auto" w:fill="auto"/>
            <w:noWrap/>
            <w:vAlign w:val="center"/>
            <w:hideMark/>
          </w:tcPr>
          <w:p w14:paraId="373DFF9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Shkodra</w:t>
            </w:r>
          </w:p>
        </w:tc>
        <w:tc>
          <w:tcPr>
            <w:tcW w:w="2021" w:type="dxa"/>
            <w:shd w:val="clear" w:color="auto" w:fill="auto"/>
            <w:noWrap/>
            <w:vAlign w:val="center"/>
            <w:hideMark/>
          </w:tcPr>
          <w:p w14:paraId="6083949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Liqeni i Shkodrës</w:t>
            </w:r>
          </w:p>
        </w:tc>
        <w:tc>
          <w:tcPr>
            <w:tcW w:w="2560" w:type="dxa"/>
            <w:shd w:val="clear" w:color="auto" w:fill="auto"/>
            <w:noWrap/>
            <w:vAlign w:val="center"/>
            <w:hideMark/>
          </w:tcPr>
          <w:p w14:paraId="32E8DA19" w14:textId="7B3D90A9"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xml:space="preserve">VKM nr. 684, datë </w:t>
            </w:r>
            <w:r w:rsidR="0059625C" w:rsidRPr="00445472">
              <w:rPr>
                <w:rFonts w:ascii="Garamond" w:hAnsi="Garamond"/>
                <w:sz w:val="20"/>
                <w:szCs w:val="20"/>
                <w:lang w:val="sq-AL"/>
              </w:rPr>
              <w:t>2.11.2005</w:t>
            </w:r>
          </w:p>
        </w:tc>
        <w:tc>
          <w:tcPr>
            <w:tcW w:w="1583" w:type="dxa"/>
            <w:shd w:val="clear" w:color="auto" w:fill="auto"/>
            <w:noWrap/>
            <w:vAlign w:val="center"/>
            <w:hideMark/>
          </w:tcPr>
          <w:p w14:paraId="2A03B81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26,535.00</w:t>
            </w:r>
          </w:p>
        </w:tc>
        <w:tc>
          <w:tcPr>
            <w:tcW w:w="1025" w:type="dxa"/>
            <w:shd w:val="clear" w:color="auto" w:fill="auto"/>
            <w:noWrap/>
            <w:vAlign w:val="center"/>
            <w:hideMark/>
          </w:tcPr>
          <w:p w14:paraId="6BBB11D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02A9499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3379EF7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67E4837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650122E6" w14:textId="77777777" w:rsidTr="0059625C">
        <w:trPr>
          <w:trHeight w:val="300"/>
          <w:jc w:val="center"/>
        </w:trPr>
        <w:tc>
          <w:tcPr>
            <w:tcW w:w="507" w:type="dxa"/>
            <w:shd w:val="clear" w:color="auto" w:fill="auto"/>
            <w:noWrap/>
            <w:vAlign w:val="center"/>
            <w:hideMark/>
          </w:tcPr>
          <w:p w14:paraId="34604B3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w:t>
            </w:r>
          </w:p>
        </w:tc>
        <w:tc>
          <w:tcPr>
            <w:tcW w:w="585" w:type="dxa"/>
            <w:shd w:val="clear" w:color="auto" w:fill="auto"/>
            <w:noWrap/>
            <w:vAlign w:val="center"/>
            <w:hideMark/>
          </w:tcPr>
          <w:p w14:paraId="6D32C63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4FEBE7A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Lezhë</w:t>
            </w:r>
          </w:p>
        </w:tc>
        <w:tc>
          <w:tcPr>
            <w:tcW w:w="1014" w:type="dxa"/>
            <w:shd w:val="clear" w:color="auto" w:fill="auto"/>
            <w:noWrap/>
            <w:vAlign w:val="center"/>
            <w:hideMark/>
          </w:tcPr>
          <w:p w14:paraId="2822D54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Lezhë</w:t>
            </w:r>
          </w:p>
        </w:tc>
        <w:tc>
          <w:tcPr>
            <w:tcW w:w="2021" w:type="dxa"/>
            <w:shd w:val="clear" w:color="auto" w:fill="auto"/>
            <w:noWrap/>
            <w:vAlign w:val="center"/>
            <w:hideMark/>
          </w:tcPr>
          <w:p w14:paraId="5B5BBB1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Kune-Vain-Tale</w:t>
            </w:r>
          </w:p>
        </w:tc>
        <w:tc>
          <w:tcPr>
            <w:tcW w:w="2560" w:type="dxa"/>
            <w:shd w:val="clear" w:color="auto" w:fill="auto"/>
            <w:noWrap/>
            <w:vAlign w:val="center"/>
            <w:hideMark/>
          </w:tcPr>
          <w:p w14:paraId="692515BA" w14:textId="4E447F1F"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w:t>
            </w:r>
            <w:r w:rsidR="006F2108" w:rsidRPr="00445472">
              <w:rPr>
                <w:rFonts w:ascii="Garamond" w:hAnsi="Garamond"/>
                <w:sz w:val="20"/>
                <w:szCs w:val="20"/>
                <w:lang w:val="sq-AL"/>
              </w:rPr>
              <w:t xml:space="preserve"> 432, datë 28.</w:t>
            </w:r>
            <w:r w:rsidRPr="00445472">
              <w:rPr>
                <w:rFonts w:ascii="Garamond" w:hAnsi="Garamond"/>
                <w:sz w:val="20"/>
                <w:szCs w:val="20"/>
                <w:lang w:val="sq-AL"/>
              </w:rPr>
              <w:t>4.2010</w:t>
            </w:r>
          </w:p>
        </w:tc>
        <w:tc>
          <w:tcPr>
            <w:tcW w:w="1583" w:type="dxa"/>
            <w:shd w:val="clear" w:color="auto" w:fill="auto"/>
            <w:noWrap/>
            <w:vAlign w:val="center"/>
            <w:hideMark/>
          </w:tcPr>
          <w:p w14:paraId="4EBF7F8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4,393.20</w:t>
            </w:r>
          </w:p>
        </w:tc>
        <w:tc>
          <w:tcPr>
            <w:tcW w:w="1025" w:type="dxa"/>
            <w:shd w:val="clear" w:color="auto" w:fill="auto"/>
            <w:noWrap/>
            <w:vAlign w:val="center"/>
            <w:hideMark/>
          </w:tcPr>
          <w:p w14:paraId="238B1FC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2B4FCE3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2FA61C0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128DCD1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6F0752EC" w14:textId="77777777" w:rsidTr="0059625C">
        <w:trPr>
          <w:trHeight w:val="300"/>
          <w:jc w:val="center"/>
        </w:trPr>
        <w:tc>
          <w:tcPr>
            <w:tcW w:w="507" w:type="dxa"/>
            <w:shd w:val="clear" w:color="auto" w:fill="auto"/>
            <w:noWrap/>
            <w:vAlign w:val="center"/>
            <w:hideMark/>
          </w:tcPr>
          <w:p w14:paraId="77A4B8F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w:t>
            </w:r>
          </w:p>
        </w:tc>
        <w:tc>
          <w:tcPr>
            <w:tcW w:w="585" w:type="dxa"/>
            <w:shd w:val="clear" w:color="auto" w:fill="auto"/>
            <w:noWrap/>
            <w:vAlign w:val="center"/>
            <w:hideMark/>
          </w:tcPr>
          <w:p w14:paraId="05585BF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29CC8E76" w14:textId="528B11B1"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r w:rsidR="0059625C" w:rsidRPr="00445472">
              <w:rPr>
                <w:rFonts w:ascii="Garamond" w:hAnsi="Garamond"/>
                <w:sz w:val="20"/>
                <w:szCs w:val="20"/>
                <w:lang w:val="sq-AL"/>
              </w:rPr>
              <w:t>, Kukës</w:t>
            </w:r>
          </w:p>
        </w:tc>
        <w:tc>
          <w:tcPr>
            <w:tcW w:w="1014" w:type="dxa"/>
            <w:shd w:val="clear" w:color="auto" w:fill="auto"/>
            <w:noWrap/>
            <w:vAlign w:val="center"/>
            <w:hideMark/>
          </w:tcPr>
          <w:p w14:paraId="2782112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43D88ED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Korab-Koritnik</w:t>
            </w:r>
          </w:p>
        </w:tc>
        <w:tc>
          <w:tcPr>
            <w:tcW w:w="2560" w:type="dxa"/>
            <w:shd w:val="clear" w:color="auto" w:fill="auto"/>
            <w:noWrap/>
            <w:vAlign w:val="center"/>
            <w:hideMark/>
          </w:tcPr>
          <w:p w14:paraId="65EC6BC6" w14:textId="7D832A7A"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w:t>
            </w:r>
            <w:r w:rsidR="006F2108" w:rsidRPr="00445472">
              <w:rPr>
                <w:rFonts w:ascii="Garamond" w:hAnsi="Garamond"/>
                <w:sz w:val="20"/>
                <w:szCs w:val="20"/>
                <w:lang w:val="sq-AL"/>
              </w:rPr>
              <w:t xml:space="preserve"> </w:t>
            </w:r>
            <w:r w:rsidRPr="00445472">
              <w:rPr>
                <w:rFonts w:ascii="Garamond" w:hAnsi="Garamond"/>
                <w:sz w:val="20"/>
                <w:szCs w:val="20"/>
                <w:lang w:val="sq-AL"/>
              </w:rPr>
              <w:t>898, datë 21.12.2011</w:t>
            </w:r>
          </w:p>
        </w:tc>
        <w:tc>
          <w:tcPr>
            <w:tcW w:w="1583" w:type="dxa"/>
            <w:shd w:val="clear" w:color="auto" w:fill="auto"/>
            <w:noWrap/>
            <w:vAlign w:val="center"/>
            <w:hideMark/>
          </w:tcPr>
          <w:p w14:paraId="39EF886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55,550.20</w:t>
            </w:r>
          </w:p>
        </w:tc>
        <w:tc>
          <w:tcPr>
            <w:tcW w:w="1025" w:type="dxa"/>
            <w:shd w:val="clear" w:color="auto" w:fill="auto"/>
            <w:noWrap/>
            <w:vAlign w:val="center"/>
            <w:hideMark/>
          </w:tcPr>
          <w:p w14:paraId="3551EDA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2318008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6AD83BF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04814A2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5AD56B1C" w14:textId="77777777" w:rsidTr="0059625C">
        <w:trPr>
          <w:trHeight w:val="300"/>
          <w:jc w:val="center"/>
        </w:trPr>
        <w:tc>
          <w:tcPr>
            <w:tcW w:w="507" w:type="dxa"/>
            <w:shd w:val="clear" w:color="auto" w:fill="auto"/>
            <w:noWrap/>
            <w:vAlign w:val="center"/>
            <w:hideMark/>
          </w:tcPr>
          <w:p w14:paraId="070518E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585" w:type="dxa"/>
            <w:shd w:val="clear" w:color="auto" w:fill="auto"/>
            <w:noWrap/>
            <w:vAlign w:val="center"/>
            <w:hideMark/>
          </w:tcPr>
          <w:p w14:paraId="69982E0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0E29B40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1014" w:type="dxa"/>
            <w:shd w:val="clear" w:color="auto" w:fill="auto"/>
            <w:noWrap/>
            <w:vAlign w:val="center"/>
            <w:hideMark/>
          </w:tcPr>
          <w:p w14:paraId="70EC5E4F" w14:textId="79B3D761"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2021" w:type="dxa"/>
            <w:shd w:val="clear" w:color="auto" w:fill="auto"/>
            <w:noWrap/>
            <w:vAlign w:val="center"/>
            <w:hideMark/>
          </w:tcPr>
          <w:p w14:paraId="36EB00E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Korab-Koritnik</w:t>
            </w:r>
          </w:p>
        </w:tc>
        <w:tc>
          <w:tcPr>
            <w:tcW w:w="2560" w:type="dxa"/>
            <w:shd w:val="clear" w:color="auto" w:fill="auto"/>
            <w:noWrap/>
            <w:vAlign w:val="center"/>
            <w:hideMark/>
          </w:tcPr>
          <w:p w14:paraId="708D54BC" w14:textId="7B9E2876"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w:t>
            </w:r>
            <w:r w:rsidR="006F2108" w:rsidRPr="00445472">
              <w:rPr>
                <w:rFonts w:ascii="Garamond" w:hAnsi="Garamond"/>
                <w:sz w:val="20"/>
                <w:szCs w:val="20"/>
                <w:lang w:val="sq-AL"/>
              </w:rPr>
              <w:t xml:space="preserve"> </w:t>
            </w:r>
            <w:r w:rsidRPr="00445472">
              <w:rPr>
                <w:rFonts w:ascii="Garamond" w:hAnsi="Garamond"/>
                <w:sz w:val="20"/>
                <w:szCs w:val="20"/>
                <w:lang w:val="sq-AL"/>
              </w:rPr>
              <w:t>898, datë 21.12.201</w:t>
            </w:r>
          </w:p>
        </w:tc>
        <w:tc>
          <w:tcPr>
            <w:tcW w:w="1583" w:type="dxa"/>
            <w:shd w:val="clear" w:color="auto" w:fill="auto"/>
            <w:noWrap/>
            <w:vAlign w:val="center"/>
            <w:hideMark/>
          </w:tcPr>
          <w:p w14:paraId="78F8957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20,663.40</w:t>
            </w:r>
          </w:p>
        </w:tc>
        <w:tc>
          <w:tcPr>
            <w:tcW w:w="1025" w:type="dxa"/>
            <w:shd w:val="clear" w:color="auto" w:fill="auto"/>
            <w:noWrap/>
            <w:vAlign w:val="center"/>
            <w:hideMark/>
          </w:tcPr>
          <w:p w14:paraId="738A3F0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19A00EA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2C5F48A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5E721D2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618331D3" w14:textId="77777777" w:rsidTr="0059625C">
        <w:trPr>
          <w:trHeight w:val="367"/>
          <w:jc w:val="center"/>
        </w:trPr>
        <w:tc>
          <w:tcPr>
            <w:tcW w:w="507" w:type="dxa"/>
            <w:shd w:val="clear" w:color="auto" w:fill="auto"/>
            <w:noWrap/>
            <w:vAlign w:val="center"/>
            <w:hideMark/>
          </w:tcPr>
          <w:p w14:paraId="487AFA5F" w14:textId="77777777" w:rsidR="0059625C" w:rsidRPr="00445472" w:rsidRDefault="0059625C" w:rsidP="00B15A6B">
            <w:pPr>
              <w:pStyle w:val="TableTextCentre"/>
              <w:spacing w:before="0" w:after="0"/>
              <w:ind w:right="0"/>
              <w:jc w:val="left"/>
              <w:rPr>
                <w:rFonts w:ascii="Garamond" w:hAnsi="Garamond"/>
                <w:sz w:val="20"/>
                <w:szCs w:val="20"/>
                <w:lang w:val="sq-AL"/>
              </w:rPr>
            </w:pPr>
          </w:p>
        </w:tc>
        <w:tc>
          <w:tcPr>
            <w:tcW w:w="585" w:type="dxa"/>
            <w:shd w:val="clear" w:color="auto" w:fill="auto"/>
            <w:noWrap/>
            <w:vAlign w:val="center"/>
            <w:hideMark/>
          </w:tcPr>
          <w:p w14:paraId="30E3E94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327814D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Kukës</w:t>
            </w:r>
          </w:p>
        </w:tc>
        <w:tc>
          <w:tcPr>
            <w:tcW w:w="1014" w:type="dxa"/>
            <w:shd w:val="clear" w:color="auto" w:fill="auto"/>
            <w:noWrap/>
            <w:vAlign w:val="center"/>
            <w:hideMark/>
          </w:tcPr>
          <w:p w14:paraId="43C3643A" w14:textId="4383A17D" w:rsidR="0059625C" w:rsidRPr="00445472" w:rsidRDefault="006F2108"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Kukës</w:t>
            </w:r>
          </w:p>
        </w:tc>
        <w:tc>
          <w:tcPr>
            <w:tcW w:w="2021" w:type="dxa"/>
            <w:shd w:val="clear" w:color="auto" w:fill="auto"/>
            <w:noWrap/>
            <w:vAlign w:val="center"/>
            <w:hideMark/>
          </w:tcPr>
          <w:p w14:paraId="39E8D7C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Korab-Koritnik</w:t>
            </w:r>
          </w:p>
        </w:tc>
        <w:tc>
          <w:tcPr>
            <w:tcW w:w="2560" w:type="dxa"/>
            <w:shd w:val="clear" w:color="auto" w:fill="auto"/>
            <w:noWrap/>
            <w:vAlign w:val="center"/>
            <w:hideMark/>
          </w:tcPr>
          <w:p w14:paraId="34AB4E9A" w14:textId="3BE5D80C"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w:t>
            </w:r>
            <w:r w:rsidR="006F2108" w:rsidRPr="00445472">
              <w:rPr>
                <w:rFonts w:ascii="Garamond" w:hAnsi="Garamond"/>
                <w:sz w:val="20"/>
                <w:szCs w:val="20"/>
                <w:lang w:val="sq-AL"/>
              </w:rPr>
              <w:t xml:space="preserve"> </w:t>
            </w:r>
            <w:r w:rsidRPr="00445472">
              <w:rPr>
                <w:rFonts w:ascii="Garamond" w:hAnsi="Garamond"/>
                <w:sz w:val="20"/>
                <w:szCs w:val="20"/>
                <w:lang w:val="sq-AL"/>
              </w:rPr>
              <w:t>898, datë 21.12.2011</w:t>
            </w:r>
          </w:p>
        </w:tc>
        <w:tc>
          <w:tcPr>
            <w:tcW w:w="1583" w:type="dxa"/>
            <w:shd w:val="clear" w:color="auto" w:fill="auto"/>
            <w:noWrap/>
            <w:vAlign w:val="center"/>
            <w:hideMark/>
          </w:tcPr>
          <w:p w14:paraId="2AF34B34" w14:textId="77777777" w:rsidR="0059625C" w:rsidRPr="00445472" w:rsidRDefault="0059625C" w:rsidP="00B15A6B">
            <w:pPr>
              <w:pStyle w:val="TableTextCentre"/>
              <w:spacing w:before="0" w:after="0"/>
              <w:ind w:right="0"/>
              <w:jc w:val="left"/>
              <w:rPr>
                <w:rFonts w:ascii="Garamond" w:hAnsi="Garamond"/>
                <w:sz w:val="20"/>
                <w:szCs w:val="20"/>
                <w:lang w:val="sq-AL"/>
              </w:rPr>
            </w:pPr>
            <w:r w:rsidRPr="00445472">
              <w:rPr>
                <w:rFonts w:ascii="Garamond" w:hAnsi="Garamond"/>
                <w:sz w:val="20"/>
                <w:szCs w:val="20"/>
                <w:lang w:val="sq-AL"/>
              </w:rPr>
              <w:t>34,886.80</w:t>
            </w:r>
          </w:p>
        </w:tc>
        <w:tc>
          <w:tcPr>
            <w:tcW w:w="1025" w:type="dxa"/>
            <w:shd w:val="clear" w:color="auto" w:fill="auto"/>
            <w:noWrap/>
            <w:vAlign w:val="center"/>
            <w:hideMark/>
          </w:tcPr>
          <w:p w14:paraId="5298DAE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4D121DD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4B109A9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5707CE5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1A166361" w14:textId="77777777" w:rsidTr="0059625C">
        <w:trPr>
          <w:trHeight w:val="367"/>
          <w:jc w:val="center"/>
        </w:trPr>
        <w:tc>
          <w:tcPr>
            <w:tcW w:w="507" w:type="dxa"/>
            <w:shd w:val="clear" w:color="auto" w:fill="auto"/>
            <w:noWrap/>
            <w:vAlign w:val="center"/>
            <w:hideMark/>
          </w:tcPr>
          <w:p w14:paraId="011B462B" w14:textId="77777777" w:rsidR="0059625C" w:rsidRPr="00445472" w:rsidRDefault="0059625C" w:rsidP="00B15A6B">
            <w:pPr>
              <w:pStyle w:val="TableTextCentre"/>
              <w:spacing w:before="0" w:after="0"/>
              <w:ind w:right="0"/>
              <w:jc w:val="left"/>
              <w:rPr>
                <w:rFonts w:ascii="Garamond" w:hAnsi="Garamond"/>
                <w:sz w:val="20"/>
                <w:szCs w:val="20"/>
                <w:lang w:val="sq-AL"/>
              </w:rPr>
            </w:pPr>
            <w:r w:rsidRPr="00445472">
              <w:rPr>
                <w:rFonts w:ascii="Garamond" w:hAnsi="Garamond"/>
                <w:sz w:val="20"/>
                <w:szCs w:val="20"/>
                <w:lang w:val="sq-AL"/>
              </w:rPr>
              <w:t>5</w:t>
            </w:r>
          </w:p>
        </w:tc>
        <w:tc>
          <w:tcPr>
            <w:tcW w:w="585" w:type="dxa"/>
            <w:shd w:val="clear" w:color="auto" w:fill="auto"/>
            <w:noWrap/>
            <w:vAlign w:val="center"/>
            <w:hideMark/>
          </w:tcPr>
          <w:p w14:paraId="0E5FA34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0607DBD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Shkodër</w:t>
            </w:r>
          </w:p>
        </w:tc>
        <w:tc>
          <w:tcPr>
            <w:tcW w:w="1014" w:type="dxa"/>
            <w:shd w:val="clear" w:color="auto" w:fill="auto"/>
            <w:noWrap/>
            <w:vAlign w:val="center"/>
            <w:hideMark/>
          </w:tcPr>
          <w:p w14:paraId="7688E46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Shkodër</w:t>
            </w:r>
          </w:p>
        </w:tc>
        <w:tc>
          <w:tcPr>
            <w:tcW w:w="2021" w:type="dxa"/>
            <w:shd w:val="clear" w:color="auto" w:fill="auto"/>
            <w:noWrap/>
            <w:vAlign w:val="center"/>
            <w:hideMark/>
          </w:tcPr>
          <w:p w14:paraId="7CAE8B0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Liqeni i Shkodrës</w:t>
            </w:r>
          </w:p>
        </w:tc>
        <w:tc>
          <w:tcPr>
            <w:tcW w:w="2560" w:type="dxa"/>
            <w:shd w:val="clear" w:color="auto" w:fill="auto"/>
            <w:noWrap/>
            <w:vAlign w:val="center"/>
            <w:hideMark/>
          </w:tcPr>
          <w:p w14:paraId="4F18AB11"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hideMark/>
          </w:tcPr>
          <w:p w14:paraId="00677A14" w14:textId="77777777" w:rsidR="0059625C" w:rsidRPr="00445472" w:rsidRDefault="0059625C" w:rsidP="00B15A6B">
            <w:pPr>
              <w:pStyle w:val="TableTextCentre"/>
              <w:spacing w:before="0" w:after="0"/>
              <w:ind w:right="0"/>
              <w:jc w:val="left"/>
              <w:rPr>
                <w:rFonts w:ascii="Garamond" w:hAnsi="Garamond"/>
                <w:sz w:val="20"/>
                <w:szCs w:val="20"/>
                <w:lang w:val="sq-AL"/>
              </w:rPr>
            </w:pPr>
          </w:p>
        </w:tc>
        <w:tc>
          <w:tcPr>
            <w:tcW w:w="1025" w:type="dxa"/>
            <w:shd w:val="clear" w:color="auto" w:fill="auto"/>
            <w:noWrap/>
            <w:vAlign w:val="center"/>
            <w:hideMark/>
          </w:tcPr>
          <w:p w14:paraId="1CC30F0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r w:rsidRPr="00445472">
              <w:rPr>
                <w:rStyle w:val="FootnoteReference"/>
                <w:rFonts w:ascii="Garamond" w:hAnsi="Garamond"/>
                <w:color w:val="auto"/>
                <w:sz w:val="20"/>
                <w:lang w:val="sq-AL"/>
              </w:rPr>
              <w:footnoteReference w:id="78"/>
            </w:r>
          </w:p>
        </w:tc>
        <w:tc>
          <w:tcPr>
            <w:tcW w:w="1484" w:type="dxa"/>
            <w:shd w:val="clear" w:color="auto" w:fill="auto"/>
            <w:noWrap/>
            <w:vAlign w:val="center"/>
            <w:hideMark/>
          </w:tcPr>
          <w:p w14:paraId="02238CFC"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28E44576"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hideMark/>
          </w:tcPr>
          <w:p w14:paraId="58499643"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55B3C95C" w14:textId="77777777" w:rsidTr="0059625C">
        <w:trPr>
          <w:trHeight w:val="367"/>
          <w:jc w:val="center"/>
        </w:trPr>
        <w:tc>
          <w:tcPr>
            <w:tcW w:w="507" w:type="dxa"/>
            <w:shd w:val="clear" w:color="auto" w:fill="auto"/>
            <w:noWrap/>
            <w:vAlign w:val="center"/>
            <w:hideMark/>
          </w:tcPr>
          <w:p w14:paraId="67EF4E50" w14:textId="77777777" w:rsidR="0059625C" w:rsidRPr="00445472" w:rsidRDefault="0059625C" w:rsidP="00B15A6B">
            <w:pPr>
              <w:pStyle w:val="TableTextCentre"/>
              <w:spacing w:before="0" w:after="0"/>
              <w:ind w:right="0"/>
              <w:jc w:val="left"/>
              <w:rPr>
                <w:rFonts w:ascii="Garamond" w:hAnsi="Garamond"/>
                <w:sz w:val="20"/>
                <w:szCs w:val="20"/>
                <w:lang w:val="sq-AL"/>
              </w:rPr>
            </w:pPr>
            <w:r w:rsidRPr="00445472">
              <w:rPr>
                <w:rFonts w:ascii="Garamond" w:hAnsi="Garamond"/>
                <w:sz w:val="20"/>
                <w:szCs w:val="20"/>
                <w:lang w:val="sq-AL"/>
              </w:rPr>
              <w:t>6</w:t>
            </w:r>
          </w:p>
        </w:tc>
        <w:tc>
          <w:tcPr>
            <w:tcW w:w="585" w:type="dxa"/>
            <w:shd w:val="clear" w:color="auto" w:fill="auto"/>
            <w:noWrap/>
            <w:vAlign w:val="center"/>
            <w:hideMark/>
          </w:tcPr>
          <w:p w14:paraId="629C373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1E0019BF" w14:textId="77777777" w:rsidR="0059625C" w:rsidRPr="00445472" w:rsidRDefault="0059625C" w:rsidP="00B15A6B">
            <w:pPr>
              <w:pStyle w:val="TableTextCentre"/>
              <w:spacing w:before="0" w:after="0"/>
              <w:ind w:right="0"/>
              <w:rPr>
                <w:rFonts w:ascii="Garamond" w:hAnsi="Garamond"/>
                <w:sz w:val="20"/>
                <w:szCs w:val="20"/>
                <w:lang w:val="sq-AL"/>
              </w:rPr>
            </w:pPr>
          </w:p>
        </w:tc>
        <w:tc>
          <w:tcPr>
            <w:tcW w:w="1014" w:type="dxa"/>
            <w:shd w:val="clear" w:color="auto" w:fill="auto"/>
            <w:noWrap/>
            <w:vAlign w:val="center"/>
            <w:hideMark/>
          </w:tcPr>
          <w:p w14:paraId="04E86E29" w14:textId="77777777" w:rsidR="0059625C" w:rsidRPr="00445472" w:rsidRDefault="0059625C" w:rsidP="00B15A6B">
            <w:pPr>
              <w:pStyle w:val="TableTextCentre"/>
              <w:spacing w:before="0" w:after="0"/>
              <w:ind w:right="0"/>
              <w:rPr>
                <w:rFonts w:ascii="Garamond" w:hAnsi="Garamond"/>
                <w:sz w:val="20"/>
                <w:szCs w:val="20"/>
                <w:lang w:val="sq-AL"/>
              </w:rPr>
            </w:pPr>
          </w:p>
        </w:tc>
        <w:tc>
          <w:tcPr>
            <w:tcW w:w="2021" w:type="dxa"/>
            <w:shd w:val="clear" w:color="auto" w:fill="auto"/>
            <w:noWrap/>
            <w:vAlign w:val="center"/>
            <w:hideMark/>
          </w:tcPr>
          <w:p w14:paraId="63D6D01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Kunë - Vain -Talë</w:t>
            </w:r>
          </w:p>
        </w:tc>
        <w:tc>
          <w:tcPr>
            <w:tcW w:w="2560" w:type="dxa"/>
            <w:shd w:val="clear" w:color="auto" w:fill="auto"/>
            <w:noWrap/>
            <w:vAlign w:val="center"/>
            <w:hideMark/>
          </w:tcPr>
          <w:p w14:paraId="42FA0136"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hideMark/>
          </w:tcPr>
          <w:p w14:paraId="0C0D3BF4" w14:textId="77777777" w:rsidR="0059625C" w:rsidRPr="00445472" w:rsidRDefault="0059625C" w:rsidP="00B15A6B">
            <w:pPr>
              <w:pStyle w:val="TableTextCentre"/>
              <w:spacing w:before="0" w:after="0"/>
              <w:ind w:right="0"/>
              <w:jc w:val="left"/>
              <w:rPr>
                <w:rFonts w:ascii="Garamond" w:hAnsi="Garamond"/>
                <w:sz w:val="20"/>
                <w:szCs w:val="20"/>
                <w:lang w:val="sq-AL"/>
              </w:rPr>
            </w:pPr>
          </w:p>
        </w:tc>
        <w:tc>
          <w:tcPr>
            <w:tcW w:w="1025" w:type="dxa"/>
            <w:shd w:val="clear" w:color="auto" w:fill="auto"/>
            <w:noWrap/>
            <w:vAlign w:val="center"/>
            <w:hideMark/>
          </w:tcPr>
          <w:p w14:paraId="72C1B01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r w:rsidRPr="00445472">
              <w:rPr>
                <w:rStyle w:val="FootnoteReference"/>
                <w:rFonts w:ascii="Garamond" w:hAnsi="Garamond"/>
                <w:color w:val="auto"/>
                <w:sz w:val="20"/>
                <w:lang w:val="sq-AL"/>
              </w:rPr>
              <w:footnoteReference w:id="79"/>
            </w:r>
          </w:p>
        </w:tc>
        <w:tc>
          <w:tcPr>
            <w:tcW w:w="1484" w:type="dxa"/>
            <w:shd w:val="clear" w:color="auto" w:fill="auto"/>
            <w:noWrap/>
            <w:vAlign w:val="center"/>
            <w:hideMark/>
          </w:tcPr>
          <w:p w14:paraId="0B8E5CBF"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6F88C9F3"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hideMark/>
          </w:tcPr>
          <w:p w14:paraId="6DB862D0"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676F4263" w14:textId="77777777" w:rsidTr="0059625C">
        <w:trPr>
          <w:trHeight w:val="300"/>
          <w:jc w:val="center"/>
        </w:trPr>
        <w:tc>
          <w:tcPr>
            <w:tcW w:w="14521" w:type="dxa"/>
            <w:gridSpan w:val="11"/>
            <w:shd w:val="clear" w:color="auto" w:fill="D4D4D4"/>
            <w:noWrap/>
            <w:vAlign w:val="center"/>
            <w:hideMark/>
          </w:tcPr>
          <w:p w14:paraId="6D40BBBD" w14:textId="4CCE06A6"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 xml:space="preserve">5. </w:t>
            </w:r>
            <w:r w:rsidR="006F2108" w:rsidRPr="00445472">
              <w:rPr>
                <w:rFonts w:ascii="Garamond" w:hAnsi="Garamond"/>
                <w:b/>
                <w:sz w:val="20"/>
                <w:szCs w:val="20"/>
                <w:lang w:val="sq-AL"/>
              </w:rPr>
              <w:t>Peizazh</w:t>
            </w:r>
            <w:r w:rsidRPr="00445472">
              <w:rPr>
                <w:rFonts w:ascii="Garamond" w:hAnsi="Garamond"/>
                <w:b/>
                <w:sz w:val="20"/>
                <w:szCs w:val="20"/>
                <w:lang w:val="sq-AL"/>
              </w:rPr>
              <w:t xml:space="preserve"> i Mbrojtur (PM)</w:t>
            </w:r>
          </w:p>
        </w:tc>
      </w:tr>
      <w:tr w:rsidR="0059625C" w:rsidRPr="00445472" w14:paraId="45205D9A" w14:textId="77777777" w:rsidTr="0059625C">
        <w:trPr>
          <w:trHeight w:val="300"/>
          <w:jc w:val="center"/>
        </w:trPr>
        <w:tc>
          <w:tcPr>
            <w:tcW w:w="507" w:type="dxa"/>
            <w:shd w:val="clear" w:color="auto" w:fill="auto"/>
            <w:noWrap/>
            <w:vAlign w:val="center"/>
            <w:hideMark/>
          </w:tcPr>
          <w:p w14:paraId="3252AC3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28A5115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5F98321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Korçë</w:t>
            </w:r>
          </w:p>
        </w:tc>
        <w:tc>
          <w:tcPr>
            <w:tcW w:w="1014" w:type="dxa"/>
            <w:shd w:val="clear" w:color="auto" w:fill="auto"/>
            <w:noWrap/>
            <w:vAlign w:val="center"/>
            <w:hideMark/>
          </w:tcPr>
          <w:p w14:paraId="6CC7831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Pogradec</w:t>
            </w:r>
          </w:p>
        </w:tc>
        <w:tc>
          <w:tcPr>
            <w:tcW w:w="2021" w:type="dxa"/>
            <w:shd w:val="clear" w:color="auto" w:fill="auto"/>
            <w:noWrap/>
            <w:vAlign w:val="center"/>
            <w:hideMark/>
          </w:tcPr>
          <w:p w14:paraId="3CFDBDB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Pogradec (Ohrid Lake)</w:t>
            </w:r>
          </w:p>
        </w:tc>
        <w:tc>
          <w:tcPr>
            <w:tcW w:w="2560" w:type="dxa"/>
            <w:shd w:val="clear" w:color="auto" w:fill="auto"/>
            <w:noWrap/>
            <w:vAlign w:val="center"/>
            <w:hideMark/>
          </w:tcPr>
          <w:p w14:paraId="6D62CDCB" w14:textId="605A01FC" w:rsidR="0059625C" w:rsidRPr="00445472" w:rsidRDefault="0059625C" w:rsidP="002E6C44">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 80, datë 18.2.1999</w:t>
            </w:r>
          </w:p>
        </w:tc>
        <w:tc>
          <w:tcPr>
            <w:tcW w:w="1583" w:type="dxa"/>
            <w:shd w:val="clear" w:color="auto" w:fill="auto"/>
            <w:noWrap/>
            <w:vAlign w:val="center"/>
            <w:hideMark/>
          </w:tcPr>
          <w:p w14:paraId="027DE22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27,323.00</w:t>
            </w:r>
          </w:p>
        </w:tc>
        <w:tc>
          <w:tcPr>
            <w:tcW w:w="1025" w:type="dxa"/>
            <w:shd w:val="clear" w:color="auto" w:fill="auto"/>
            <w:noWrap/>
            <w:vAlign w:val="center"/>
            <w:hideMark/>
          </w:tcPr>
          <w:p w14:paraId="325AB4E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484" w:type="dxa"/>
            <w:shd w:val="clear" w:color="auto" w:fill="auto"/>
            <w:noWrap/>
            <w:vAlign w:val="center"/>
            <w:hideMark/>
          </w:tcPr>
          <w:p w14:paraId="5CDA287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384EDFA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44E5F62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02912BD6" w14:textId="77777777" w:rsidTr="0059625C">
        <w:trPr>
          <w:trHeight w:val="300"/>
          <w:jc w:val="center"/>
        </w:trPr>
        <w:tc>
          <w:tcPr>
            <w:tcW w:w="507" w:type="dxa"/>
            <w:shd w:val="clear" w:color="auto" w:fill="auto"/>
            <w:noWrap/>
            <w:vAlign w:val="center"/>
            <w:hideMark/>
          </w:tcPr>
          <w:p w14:paraId="05B3C25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w:t>
            </w:r>
          </w:p>
        </w:tc>
        <w:tc>
          <w:tcPr>
            <w:tcW w:w="585" w:type="dxa"/>
            <w:shd w:val="clear" w:color="auto" w:fill="auto"/>
            <w:noWrap/>
            <w:vAlign w:val="center"/>
            <w:hideMark/>
          </w:tcPr>
          <w:p w14:paraId="5C32BAC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213428D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Shkodra</w:t>
            </w:r>
          </w:p>
        </w:tc>
        <w:tc>
          <w:tcPr>
            <w:tcW w:w="1014" w:type="dxa"/>
            <w:shd w:val="clear" w:color="auto" w:fill="auto"/>
            <w:noWrap/>
            <w:vAlign w:val="center"/>
            <w:hideMark/>
          </w:tcPr>
          <w:p w14:paraId="691014C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Shkodra</w:t>
            </w:r>
          </w:p>
        </w:tc>
        <w:tc>
          <w:tcPr>
            <w:tcW w:w="2021" w:type="dxa"/>
            <w:shd w:val="clear" w:color="auto" w:fill="auto"/>
            <w:noWrap/>
            <w:vAlign w:val="center"/>
            <w:hideMark/>
          </w:tcPr>
          <w:p w14:paraId="28F8F69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Lumi Bunë-Velipojë</w:t>
            </w:r>
          </w:p>
        </w:tc>
        <w:tc>
          <w:tcPr>
            <w:tcW w:w="2560" w:type="dxa"/>
            <w:shd w:val="clear" w:color="auto" w:fill="auto"/>
            <w:noWrap/>
            <w:vAlign w:val="center"/>
            <w:hideMark/>
          </w:tcPr>
          <w:p w14:paraId="721A08AD" w14:textId="261A7728" w:rsidR="0059625C" w:rsidRPr="00445472" w:rsidRDefault="0059625C" w:rsidP="002E6C44">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w:t>
            </w:r>
            <w:r w:rsidR="006F2108" w:rsidRPr="00445472">
              <w:rPr>
                <w:rFonts w:ascii="Garamond" w:hAnsi="Garamond"/>
                <w:sz w:val="20"/>
                <w:szCs w:val="20"/>
                <w:lang w:val="sq-AL"/>
              </w:rPr>
              <w:t xml:space="preserve"> </w:t>
            </w:r>
            <w:r w:rsidRPr="00445472">
              <w:rPr>
                <w:rFonts w:ascii="Garamond" w:hAnsi="Garamond"/>
                <w:sz w:val="20"/>
                <w:szCs w:val="20"/>
                <w:lang w:val="sq-AL"/>
              </w:rPr>
              <w:t>682, datë 2.11.2005</w:t>
            </w:r>
          </w:p>
        </w:tc>
        <w:tc>
          <w:tcPr>
            <w:tcW w:w="1583" w:type="dxa"/>
            <w:shd w:val="clear" w:color="auto" w:fill="auto"/>
            <w:noWrap/>
            <w:vAlign w:val="center"/>
            <w:hideMark/>
          </w:tcPr>
          <w:p w14:paraId="6BCBC9A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23,027.00</w:t>
            </w:r>
          </w:p>
        </w:tc>
        <w:tc>
          <w:tcPr>
            <w:tcW w:w="1025" w:type="dxa"/>
            <w:shd w:val="clear" w:color="auto" w:fill="auto"/>
            <w:noWrap/>
            <w:vAlign w:val="center"/>
            <w:hideMark/>
          </w:tcPr>
          <w:p w14:paraId="0404392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31106DA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5E4B37C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c>
          <w:tcPr>
            <w:tcW w:w="1213" w:type="dxa"/>
            <w:shd w:val="clear" w:color="auto" w:fill="auto"/>
            <w:noWrap/>
            <w:vAlign w:val="center"/>
            <w:hideMark/>
          </w:tcPr>
          <w:p w14:paraId="06A8535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p>
        </w:tc>
      </w:tr>
      <w:tr w:rsidR="0059625C" w:rsidRPr="00445472" w14:paraId="483A172C" w14:textId="77777777" w:rsidTr="0059625C">
        <w:trPr>
          <w:trHeight w:val="300"/>
          <w:jc w:val="center"/>
        </w:trPr>
        <w:tc>
          <w:tcPr>
            <w:tcW w:w="507" w:type="dxa"/>
            <w:shd w:val="clear" w:color="auto" w:fill="auto"/>
            <w:noWrap/>
            <w:vAlign w:val="center"/>
            <w:hideMark/>
          </w:tcPr>
          <w:p w14:paraId="164B695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w:t>
            </w:r>
          </w:p>
        </w:tc>
        <w:tc>
          <w:tcPr>
            <w:tcW w:w="585" w:type="dxa"/>
            <w:shd w:val="clear" w:color="auto" w:fill="auto"/>
            <w:noWrap/>
            <w:vAlign w:val="center"/>
            <w:hideMark/>
          </w:tcPr>
          <w:p w14:paraId="6614013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287FCC6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Velipojё</w:t>
            </w:r>
          </w:p>
        </w:tc>
        <w:tc>
          <w:tcPr>
            <w:tcW w:w="1014" w:type="dxa"/>
            <w:shd w:val="clear" w:color="auto" w:fill="auto"/>
            <w:noWrap/>
            <w:vAlign w:val="center"/>
            <w:hideMark/>
          </w:tcPr>
          <w:p w14:paraId="49D1B6C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Velipojё</w:t>
            </w:r>
          </w:p>
        </w:tc>
        <w:tc>
          <w:tcPr>
            <w:tcW w:w="2021" w:type="dxa"/>
            <w:shd w:val="clear" w:color="auto" w:fill="auto"/>
            <w:noWrap/>
            <w:vAlign w:val="center"/>
            <w:hideMark/>
          </w:tcPr>
          <w:p w14:paraId="0D5DD9F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Lumi Bunë</w:t>
            </w:r>
          </w:p>
        </w:tc>
        <w:tc>
          <w:tcPr>
            <w:tcW w:w="2560" w:type="dxa"/>
            <w:shd w:val="clear" w:color="auto" w:fill="auto"/>
            <w:noWrap/>
            <w:vAlign w:val="center"/>
            <w:hideMark/>
          </w:tcPr>
          <w:p w14:paraId="647ED0BC"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hideMark/>
          </w:tcPr>
          <w:p w14:paraId="701AA27F" w14:textId="77777777" w:rsidR="0059625C" w:rsidRPr="00445472" w:rsidRDefault="0059625C" w:rsidP="00B15A6B">
            <w:pPr>
              <w:pStyle w:val="TableTextCentre"/>
              <w:spacing w:before="0" w:after="0"/>
              <w:ind w:right="0"/>
              <w:rPr>
                <w:rFonts w:ascii="Garamond" w:hAnsi="Garamond"/>
                <w:sz w:val="20"/>
                <w:szCs w:val="20"/>
                <w:lang w:val="sq-AL"/>
              </w:rPr>
            </w:pPr>
          </w:p>
        </w:tc>
        <w:tc>
          <w:tcPr>
            <w:tcW w:w="1025" w:type="dxa"/>
            <w:shd w:val="clear" w:color="auto" w:fill="auto"/>
            <w:noWrap/>
            <w:vAlign w:val="center"/>
            <w:hideMark/>
          </w:tcPr>
          <w:p w14:paraId="48D8D90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Duke u përgatitur</w:t>
            </w:r>
          </w:p>
        </w:tc>
        <w:tc>
          <w:tcPr>
            <w:tcW w:w="1484" w:type="dxa"/>
            <w:shd w:val="clear" w:color="auto" w:fill="auto"/>
            <w:noWrap/>
            <w:vAlign w:val="center"/>
            <w:hideMark/>
          </w:tcPr>
          <w:p w14:paraId="420B8564"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4F09139C"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hideMark/>
          </w:tcPr>
          <w:p w14:paraId="2A42300C"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3FA100E4" w14:textId="77777777" w:rsidTr="0059625C">
        <w:trPr>
          <w:trHeight w:val="300"/>
          <w:jc w:val="center"/>
        </w:trPr>
        <w:tc>
          <w:tcPr>
            <w:tcW w:w="507" w:type="dxa"/>
            <w:shd w:val="clear" w:color="auto" w:fill="auto"/>
            <w:noWrap/>
            <w:vAlign w:val="center"/>
            <w:hideMark/>
          </w:tcPr>
          <w:p w14:paraId="7797D28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w:t>
            </w:r>
          </w:p>
        </w:tc>
        <w:tc>
          <w:tcPr>
            <w:tcW w:w="585" w:type="dxa"/>
            <w:shd w:val="clear" w:color="auto" w:fill="auto"/>
            <w:noWrap/>
            <w:vAlign w:val="center"/>
            <w:hideMark/>
          </w:tcPr>
          <w:p w14:paraId="1674028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7B909561" w14:textId="77777777" w:rsidR="0059625C" w:rsidRPr="00445472" w:rsidRDefault="0059625C" w:rsidP="00B15A6B">
            <w:pPr>
              <w:pStyle w:val="TableTextCentre"/>
              <w:keepNext/>
              <w:spacing w:before="0" w:after="0"/>
              <w:ind w:right="0"/>
              <w:outlineLvl w:val="2"/>
              <w:rPr>
                <w:rFonts w:ascii="Garamond" w:hAnsi="Garamond"/>
                <w:sz w:val="20"/>
                <w:szCs w:val="20"/>
                <w:lang w:val="sq-AL"/>
              </w:rPr>
            </w:pPr>
          </w:p>
        </w:tc>
        <w:tc>
          <w:tcPr>
            <w:tcW w:w="1014" w:type="dxa"/>
            <w:shd w:val="clear" w:color="auto" w:fill="auto"/>
            <w:noWrap/>
            <w:vAlign w:val="center"/>
            <w:hideMark/>
          </w:tcPr>
          <w:p w14:paraId="74BFA2DF" w14:textId="77777777" w:rsidR="0059625C" w:rsidRPr="00445472" w:rsidRDefault="0059625C" w:rsidP="00B15A6B">
            <w:pPr>
              <w:pStyle w:val="TableTextCentre"/>
              <w:keepNext/>
              <w:spacing w:before="0" w:after="0"/>
              <w:ind w:right="0"/>
              <w:outlineLvl w:val="2"/>
              <w:rPr>
                <w:rFonts w:ascii="Garamond" w:hAnsi="Garamond"/>
                <w:sz w:val="20"/>
                <w:szCs w:val="20"/>
                <w:lang w:val="sq-AL"/>
              </w:rPr>
            </w:pPr>
          </w:p>
        </w:tc>
        <w:tc>
          <w:tcPr>
            <w:tcW w:w="2021" w:type="dxa"/>
            <w:shd w:val="clear" w:color="auto" w:fill="auto"/>
            <w:noWrap/>
            <w:vAlign w:val="center"/>
            <w:hideMark/>
          </w:tcPr>
          <w:p w14:paraId="76D82FE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Liqeni i Pogradecit</w:t>
            </w:r>
          </w:p>
        </w:tc>
        <w:tc>
          <w:tcPr>
            <w:tcW w:w="2560" w:type="dxa"/>
            <w:shd w:val="clear" w:color="auto" w:fill="auto"/>
            <w:noWrap/>
            <w:vAlign w:val="center"/>
            <w:hideMark/>
          </w:tcPr>
          <w:p w14:paraId="5EB3C574" w14:textId="77777777" w:rsidR="0059625C" w:rsidRPr="00445472" w:rsidRDefault="0059625C" w:rsidP="00B15A6B">
            <w:pPr>
              <w:pStyle w:val="TableTextCentre"/>
              <w:spacing w:before="0" w:after="0"/>
              <w:ind w:right="0"/>
              <w:rPr>
                <w:rFonts w:ascii="Garamond" w:hAnsi="Garamond"/>
                <w:sz w:val="20"/>
                <w:szCs w:val="20"/>
                <w:lang w:val="sq-AL"/>
              </w:rPr>
            </w:pPr>
          </w:p>
        </w:tc>
        <w:tc>
          <w:tcPr>
            <w:tcW w:w="1583" w:type="dxa"/>
            <w:shd w:val="clear" w:color="auto" w:fill="auto"/>
            <w:noWrap/>
            <w:vAlign w:val="center"/>
            <w:hideMark/>
          </w:tcPr>
          <w:p w14:paraId="31AAE70E" w14:textId="77777777" w:rsidR="0059625C" w:rsidRPr="00445472" w:rsidRDefault="0059625C" w:rsidP="00B15A6B">
            <w:pPr>
              <w:pStyle w:val="TableTextCentre"/>
              <w:spacing w:before="0" w:after="0"/>
              <w:ind w:right="0"/>
              <w:rPr>
                <w:rFonts w:ascii="Garamond" w:hAnsi="Garamond"/>
                <w:sz w:val="20"/>
                <w:szCs w:val="20"/>
                <w:lang w:val="sq-AL"/>
              </w:rPr>
            </w:pPr>
          </w:p>
        </w:tc>
        <w:tc>
          <w:tcPr>
            <w:tcW w:w="1025" w:type="dxa"/>
            <w:shd w:val="clear" w:color="auto" w:fill="auto"/>
            <w:noWrap/>
            <w:vAlign w:val="center"/>
            <w:hideMark/>
          </w:tcPr>
          <w:p w14:paraId="046EDDD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Po</w:t>
            </w:r>
            <w:r w:rsidRPr="00445472">
              <w:rPr>
                <w:rStyle w:val="FootnoteReference"/>
                <w:rFonts w:ascii="Garamond" w:hAnsi="Garamond"/>
                <w:color w:val="auto"/>
                <w:sz w:val="20"/>
                <w:lang w:val="sq-AL"/>
              </w:rPr>
              <w:footnoteReference w:id="80"/>
            </w:r>
          </w:p>
        </w:tc>
        <w:tc>
          <w:tcPr>
            <w:tcW w:w="1484" w:type="dxa"/>
            <w:shd w:val="clear" w:color="auto" w:fill="auto"/>
            <w:noWrap/>
            <w:vAlign w:val="center"/>
            <w:hideMark/>
          </w:tcPr>
          <w:p w14:paraId="2C41BEE6" w14:textId="77777777" w:rsidR="0059625C" w:rsidRPr="00445472" w:rsidRDefault="0059625C" w:rsidP="00B15A6B">
            <w:pPr>
              <w:pStyle w:val="TableTextCentre"/>
              <w:spacing w:before="0" w:after="0"/>
              <w:ind w:right="0"/>
              <w:rPr>
                <w:rFonts w:ascii="Garamond" w:hAnsi="Garamond"/>
                <w:sz w:val="20"/>
                <w:szCs w:val="20"/>
                <w:lang w:val="sq-AL"/>
              </w:rPr>
            </w:pPr>
          </w:p>
        </w:tc>
        <w:tc>
          <w:tcPr>
            <w:tcW w:w="1040" w:type="dxa"/>
            <w:shd w:val="clear" w:color="auto" w:fill="auto"/>
            <w:noWrap/>
            <w:vAlign w:val="center"/>
            <w:hideMark/>
          </w:tcPr>
          <w:p w14:paraId="71455B10" w14:textId="77777777" w:rsidR="0059625C" w:rsidRPr="00445472" w:rsidRDefault="0059625C" w:rsidP="00B15A6B">
            <w:pPr>
              <w:pStyle w:val="TableTextCentre"/>
              <w:spacing w:before="0" w:after="0"/>
              <w:ind w:right="0"/>
              <w:rPr>
                <w:rFonts w:ascii="Garamond" w:hAnsi="Garamond"/>
                <w:sz w:val="20"/>
                <w:szCs w:val="20"/>
                <w:lang w:val="sq-AL"/>
              </w:rPr>
            </w:pPr>
          </w:p>
        </w:tc>
        <w:tc>
          <w:tcPr>
            <w:tcW w:w="1213" w:type="dxa"/>
            <w:shd w:val="clear" w:color="auto" w:fill="auto"/>
            <w:noWrap/>
            <w:vAlign w:val="center"/>
            <w:hideMark/>
          </w:tcPr>
          <w:p w14:paraId="0CC36908" w14:textId="77777777" w:rsidR="0059625C" w:rsidRPr="00445472" w:rsidRDefault="0059625C" w:rsidP="00B15A6B">
            <w:pPr>
              <w:pStyle w:val="TableTextCentre"/>
              <w:spacing w:before="0" w:after="0"/>
              <w:ind w:right="0"/>
              <w:rPr>
                <w:rFonts w:ascii="Garamond" w:hAnsi="Garamond"/>
                <w:sz w:val="20"/>
                <w:szCs w:val="20"/>
                <w:lang w:val="sq-AL"/>
              </w:rPr>
            </w:pPr>
          </w:p>
        </w:tc>
      </w:tr>
      <w:tr w:rsidR="0059625C" w:rsidRPr="00445472" w14:paraId="4A49EE20" w14:textId="77777777" w:rsidTr="0059625C">
        <w:trPr>
          <w:trHeight w:val="300"/>
          <w:jc w:val="center"/>
        </w:trPr>
        <w:tc>
          <w:tcPr>
            <w:tcW w:w="14521" w:type="dxa"/>
            <w:gridSpan w:val="11"/>
            <w:shd w:val="clear" w:color="auto" w:fill="D4D4D4"/>
            <w:noWrap/>
            <w:vAlign w:val="center"/>
            <w:hideMark/>
          </w:tcPr>
          <w:p w14:paraId="1EAC1262"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6. Zonë e Mbrojtur e Rezervatit Natyror të Menaxhuar (ZMRNM)</w:t>
            </w:r>
          </w:p>
        </w:tc>
      </w:tr>
      <w:tr w:rsidR="0059625C" w:rsidRPr="00445472" w14:paraId="12391F2C" w14:textId="77777777" w:rsidTr="0059625C">
        <w:trPr>
          <w:trHeight w:val="300"/>
          <w:jc w:val="center"/>
        </w:trPr>
        <w:tc>
          <w:tcPr>
            <w:tcW w:w="507" w:type="dxa"/>
            <w:shd w:val="clear" w:color="auto" w:fill="auto"/>
            <w:noWrap/>
            <w:vAlign w:val="center"/>
            <w:hideMark/>
          </w:tcPr>
          <w:p w14:paraId="1141282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0BAD400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VI</w:t>
            </w:r>
          </w:p>
        </w:tc>
        <w:tc>
          <w:tcPr>
            <w:tcW w:w="1489" w:type="dxa"/>
            <w:shd w:val="clear" w:color="auto" w:fill="auto"/>
            <w:noWrap/>
            <w:vAlign w:val="center"/>
            <w:hideMark/>
          </w:tcPr>
          <w:p w14:paraId="107EDFD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1014" w:type="dxa"/>
            <w:shd w:val="clear" w:color="auto" w:fill="auto"/>
            <w:noWrap/>
            <w:vAlign w:val="center"/>
            <w:hideMark/>
          </w:tcPr>
          <w:p w14:paraId="6E5DAF3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Dibër</w:t>
            </w:r>
          </w:p>
        </w:tc>
        <w:tc>
          <w:tcPr>
            <w:tcW w:w="2021" w:type="dxa"/>
            <w:shd w:val="clear" w:color="auto" w:fill="auto"/>
            <w:noWrap/>
            <w:vAlign w:val="center"/>
            <w:hideMark/>
          </w:tcPr>
          <w:p w14:paraId="1B16C93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Luzni-Bulaç</w:t>
            </w:r>
          </w:p>
        </w:tc>
        <w:tc>
          <w:tcPr>
            <w:tcW w:w="2560" w:type="dxa"/>
            <w:shd w:val="clear" w:color="auto" w:fill="auto"/>
            <w:noWrap/>
            <w:vAlign w:val="center"/>
            <w:hideMark/>
          </w:tcPr>
          <w:p w14:paraId="5431F15C" w14:textId="3370B814" w:rsidR="0059625C" w:rsidRPr="00445472" w:rsidRDefault="00E07D87"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nr.102, datë 15.</w:t>
            </w:r>
            <w:r w:rsidR="0059625C" w:rsidRPr="00445472">
              <w:rPr>
                <w:rFonts w:ascii="Garamond" w:hAnsi="Garamond"/>
                <w:sz w:val="20"/>
                <w:szCs w:val="20"/>
                <w:lang w:val="sq-AL"/>
              </w:rPr>
              <w:t>1.1996</w:t>
            </w:r>
          </w:p>
        </w:tc>
        <w:tc>
          <w:tcPr>
            <w:tcW w:w="1583" w:type="dxa"/>
            <w:shd w:val="clear" w:color="auto" w:fill="auto"/>
            <w:noWrap/>
            <w:vAlign w:val="center"/>
            <w:hideMark/>
          </w:tcPr>
          <w:p w14:paraId="1B0540F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5,900.00</w:t>
            </w:r>
          </w:p>
        </w:tc>
        <w:tc>
          <w:tcPr>
            <w:tcW w:w="1025" w:type="dxa"/>
            <w:shd w:val="clear" w:color="auto" w:fill="auto"/>
            <w:noWrap/>
            <w:vAlign w:val="center"/>
            <w:hideMark/>
          </w:tcPr>
          <w:p w14:paraId="339A4F2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41DC261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35AE622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7DF745A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36EB5E76" w14:textId="77777777" w:rsidTr="0059625C">
        <w:trPr>
          <w:trHeight w:val="300"/>
          <w:jc w:val="center"/>
        </w:trPr>
        <w:tc>
          <w:tcPr>
            <w:tcW w:w="507" w:type="dxa"/>
            <w:shd w:val="clear" w:color="auto" w:fill="auto"/>
            <w:noWrap/>
            <w:vAlign w:val="center"/>
            <w:hideMark/>
          </w:tcPr>
          <w:p w14:paraId="346D914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w:t>
            </w:r>
          </w:p>
        </w:tc>
        <w:tc>
          <w:tcPr>
            <w:tcW w:w="585" w:type="dxa"/>
            <w:shd w:val="clear" w:color="auto" w:fill="auto"/>
            <w:noWrap/>
            <w:vAlign w:val="center"/>
            <w:hideMark/>
          </w:tcPr>
          <w:p w14:paraId="6A6C519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VI</w:t>
            </w:r>
          </w:p>
        </w:tc>
        <w:tc>
          <w:tcPr>
            <w:tcW w:w="1489" w:type="dxa"/>
            <w:shd w:val="clear" w:color="auto" w:fill="auto"/>
            <w:noWrap/>
            <w:vAlign w:val="center"/>
            <w:hideMark/>
          </w:tcPr>
          <w:p w14:paraId="58843D5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Lezhë</w:t>
            </w:r>
          </w:p>
        </w:tc>
        <w:tc>
          <w:tcPr>
            <w:tcW w:w="1014" w:type="dxa"/>
            <w:shd w:val="clear" w:color="auto" w:fill="auto"/>
            <w:noWrap/>
            <w:vAlign w:val="center"/>
            <w:hideMark/>
          </w:tcPr>
          <w:p w14:paraId="64331B9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Mirditë</w:t>
            </w:r>
          </w:p>
        </w:tc>
        <w:tc>
          <w:tcPr>
            <w:tcW w:w="2021" w:type="dxa"/>
            <w:shd w:val="clear" w:color="auto" w:fill="auto"/>
            <w:noWrap/>
            <w:vAlign w:val="center"/>
            <w:hideMark/>
          </w:tcPr>
          <w:p w14:paraId="17B70F0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Bjeshka e Oroshit</w:t>
            </w:r>
          </w:p>
        </w:tc>
        <w:tc>
          <w:tcPr>
            <w:tcW w:w="2560" w:type="dxa"/>
            <w:shd w:val="clear" w:color="auto" w:fill="auto"/>
            <w:noWrap/>
            <w:vAlign w:val="center"/>
            <w:hideMark/>
          </w:tcPr>
          <w:p w14:paraId="64C96EB1" w14:textId="2C10D99D" w:rsidR="0059625C" w:rsidRPr="00445472" w:rsidRDefault="00E07D87"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VKM nr.102, datë 15.</w:t>
            </w:r>
            <w:r w:rsidR="0059625C" w:rsidRPr="00445472">
              <w:rPr>
                <w:rFonts w:ascii="Garamond" w:hAnsi="Garamond"/>
                <w:sz w:val="20"/>
                <w:szCs w:val="20"/>
                <w:lang w:val="sq-AL"/>
              </w:rPr>
              <w:t>1.1998</w:t>
            </w:r>
          </w:p>
        </w:tc>
        <w:tc>
          <w:tcPr>
            <w:tcW w:w="1583" w:type="dxa"/>
            <w:shd w:val="clear" w:color="auto" w:fill="auto"/>
            <w:noWrap/>
            <w:vAlign w:val="center"/>
            <w:hideMark/>
          </w:tcPr>
          <w:p w14:paraId="1EA857A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4,745.00</w:t>
            </w:r>
          </w:p>
        </w:tc>
        <w:tc>
          <w:tcPr>
            <w:tcW w:w="1025" w:type="dxa"/>
            <w:shd w:val="clear" w:color="auto" w:fill="auto"/>
            <w:noWrap/>
            <w:vAlign w:val="center"/>
            <w:hideMark/>
          </w:tcPr>
          <w:p w14:paraId="3B36F22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45F508F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64654E5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1D7BF17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038DDCD3" w14:textId="77777777" w:rsidTr="0059625C">
        <w:trPr>
          <w:trHeight w:val="314"/>
          <w:jc w:val="center"/>
        </w:trPr>
        <w:tc>
          <w:tcPr>
            <w:tcW w:w="14521" w:type="dxa"/>
            <w:gridSpan w:val="11"/>
            <w:shd w:val="clear" w:color="auto" w:fill="D4D4D4"/>
            <w:noWrap/>
            <w:vAlign w:val="center"/>
            <w:hideMark/>
          </w:tcPr>
          <w:p w14:paraId="7E93B4D9"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Rrjeti EMERALD* (Zonat me Interes Special Konservimi -ZISK)</w:t>
            </w:r>
          </w:p>
        </w:tc>
      </w:tr>
      <w:tr w:rsidR="0059625C" w:rsidRPr="00445472" w14:paraId="68F90355" w14:textId="77777777" w:rsidTr="0059625C">
        <w:trPr>
          <w:trHeight w:val="300"/>
          <w:jc w:val="center"/>
        </w:trPr>
        <w:tc>
          <w:tcPr>
            <w:tcW w:w="507" w:type="dxa"/>
            <w:shd w:val="clear" w:color="auto" w:fill="auto"/>
            <w:noWrap/>
            <w:vAlign w:val="center"/>
            <w:hideMark/>
          </w:tcPr>
          <w:p w14:paraId="745D450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392DBDC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IV</w:t>
            </w:r>
          </w:p>
        </w:tc>
        <w:tc>
          <w:tcPr>
            <w:tcW w:w="1489" w:type="dxa"/>
            <w:shd w:val="clear" w:color="auto" w:fill="auto"/>
            <w:noWrap/>
            <w:vAlign w:val="center"/>
            <w:hideMark/>
          </w:tcPr>
          <w:p w14:paraId="2AD5BFE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14" w:type="dxa"/>
            <w:shd w:val="clear" w:color="auto" w:fill="auto"/>
            <w:noWrap/>
            <w:vAlign w:val="center"/>
            <w:hideMark/>
          </w:tcPr>
          <w:p w14:paraId="652ECCA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4F6D885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Rezervati Natyror i Menaxhuar i Liqenit të Shkodrës</w:t>
            </w:r>
          </w:p>
        </w:tc>
        <w:tc>
          <w:tcPr>
            <w:tcW w:w="2560" w:type="dxa"/>
            <w:shd w:val="clear" w:color="auto" w:fill="auto"/>
            <w:noWrap/>
            <w:vAlign w:val="center"/>
            <w:hideMark/>
          </w:tcPr>
          <w:p w14:paraId="3815615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583" w:type="dxa"/>
            <w:shd w:val="clear" w:color="auto" w:fill="auto"/>
            <w:noWrap/>
            <w:vAlign w:val="center"/>
            <w:hideMark/>
          </w:tcPr>
          <w:p w14:paraId="2744A66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26,535</w:t>
            </w:r>
          </w:p>
        </w:tc>
        <w:tc>
          <w:tcPr>
            <w:tcW w:w="1025" w:type="dxa"/>
            <w:shd w:val="clear" w:color="auto" w:fill="auto"/>
            <w:noWrap/>
            <w:vAlign w:val="center"/>
            <w:hideMark/>
          </w:tcPr>
          <w:p w14:paraId="0FB11FD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191FC4E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72D1185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5AA0E18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57F60DAC" w14:textId="77777777" w:rsidTr="0059625C">
        <w:trPr>
          <w:trHeight w:val="300"/>
          <w:jc w:val="center"/>
        </w:trPr>
        <w:tc>
          <w:tcPr>
            <w:tcW w:w="507" w:type="dxa"/>
            <w:shd w:val="clear" w:color="auto" w:fill="auto"/>
            <w:noWrap/>
            <w:vAlign w:val="center"/>
            <w:hideMark/>
          </w:tcPr>
          <w:p w14:paraId="3401C76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w:t>
            </w:r>
          </w:p>
        </w:tc>
        <w:tc>
          <w:tcPr>
            <w:tcW w:w="585" w:type="dxa"/>
            <w:shd w:val="clear" w:color="auto" w:fill="auto"/>
            <w:noWrap/>
            <w:vAlign w:val="center"/>
            <w:hideMark/>
          </w:tcPr>
          <w:p w14:paraId="434C312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hideMark/>
          </w:tcPr>
          <w:p w14:paraId="5D06AAD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14" w:type="dxa"/>
            <w:shd w:val="clear" w:color="auto" w:fill="auto"/>
            <w:noWrap/>
            <w:vAlign w:val="center"/>
            <w:hideMark/>
          </w:tcPr>
          <w:p w14:paraId="63D4D5B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7718B97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Alpet (park kombëtar i propozuar)</w:t>
            </w:r>
          </w:p>
        </w:tc>
        <w:tc>
          <w:tcPr>
            <w:tcW w:w="2560" w:type="dxa"/>
            <w:shd w:val="clear" w:color="auto" w:fill="auto"/>
            <w:noWrap/>
            <w:vAlign w:val="center"/>
            <w:hideMark/>
          </w:tcPr>
          <w:p w14:paraId="0A908D4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583" w:type="dxa"/>
            <w:shd w:val="clear" w:color="auto" w:fill="auto"/>
            <w:noWrap/>
            <w:vAlign w:val="center"/>
            <w:hideMark/>
          </w:tcPr>
          <w:p w14:paraId="6687F44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77,458</w:t>
            </w:r>
          </w:p>
        </w:tc>
        <w:tc>
          <w:tcPr>
            <w:tcW w:w="1025" w:type="dxa"/>
            <w:shd w:val="clear" w:color="auto" w:fill="auto"/>
            <w:noWrap/>
            <w:vAlign w:val="center"/>
            <w:hideMark/>
          </w:tcPr>
          <w:p w14:paraId="08B2C60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4D6293B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59C8AEC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02E64BC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6B50E376" w14:textId="77777777" w:rsidTr="0059625C">
        <w:trPr>
          <w:trHeight w:val="710"/>
          <w:jc w:val="center"/>
        </w:trPr>
        <w:tc>
          <w:tcPr>
            <w:tcW w:w="507" w:type="dxa"/>
            <w:shd w:val="clear" w:color="auto" w:fill="auto"/>
            <w:noWrap/>
            <w:vAlign w:val="center"/>
            <w:hideMark/>
          </w:tcPr>
          <w:p w14:paraId="15776D6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w:t>
            </w:r>
          </w:p>
        </w:tc>
        <w:tc>
          <w:tcPr>
            <w:tcW w:w="585" w:type="dxa"/>
            <w:shd w:val="clear" w:color="auto" w:fill="auto"/>
            <w:noWrap/>
            <w:vAlign w:val="center"/>
            <w:hideMark/>
          </w:tcPr>
          <w:p w14:paraId="21AD0B2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II</w:t>
            </w:r>
          </w:p>
        </w:tc>
        <w:tc>
          <w:tcPr>
            <w:tcW w:w="1489" w:type="dxa"/>
            <w:shd w:val="clear" w:color="auto" w:fill="auto"/>
            <w:noWrap/>
            <w:vAlign w:val="center"/>
            <w:hideMark/>
          </w:tcPr>
          <w:p w14:paraId="0692490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14" w:type="dxa"/>
            <w:shd w:val="clear" w:color="auto" w:fill="auto"/>
            <w:noWrap/>
            <w:vAlign w:val="center"/>
            <w:hideMark/>
          </w:tcPr>
          <w:p w14:paraId="3508C4F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2C7A459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Kurora e Lurës -Kunore-Valmore-Zall-Gjocaj (park kombëtar i propozuar)</w:t>
            </w:r>
          </w:p>
        </w:tc>
        <w:tc>
          <w:tcPr>
            <w:tcW w:w="2560" w:type="dxa"/>
            <w:shd w:val="clear" w:color="auto" w:fill="auto"/>
            <w:noWrap/>
            <w:vAlign w:val="center"/>
            <w:hideMark/>
          </w:tcPr>
          <w:p w14:paraId="69CCEC0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583" w:type="dxa"/>
            <w:shd w:val="clear" w:color="auto" w:fill="auto"/>
            <w:noWrap/>
            <w:vAlign w:val="center"/>
            <w:hideMark/>
          </w:tcPr>
          <w:p w14:paraId="7588970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16,596</w:t>
            </w:r>
          </w:p>
        </w:tc>
        <w:tc>
          <w:tcPr>
            <w:tcW w:w="1025" w:type="dxa"/>
            <w:shd w:val="clear" w:color="auto" w:fill="auto"/>
            <w:noWrap/>
            <w:vAlign w:val="center"/>
            <w:hideMark/>
          </w:tcPr>
          <w:p w14:paraId="1416950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415FEAE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17C3BD6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4B46845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12641C47" w14:textId="77777777" w:rsidTr="0059625C">
        <w:trPr>
          <w:trHeight w:val="300"/>
          <w:jc w:val="center"/>
        </w:trPr>
        <w:tc>
          <w:tcPr>
            <w:tcW w:w="507" w:type="dxa"/>
            <w:shd w:val="clear" w:color="auto" w:fill="auto"/>
            <w:noWrap/>
            <w:vAlign w:val="center"/>
            <w:hideMark/>
          </w:tcPr>
          <w:p w14:paraId="1933137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w:t>
            </w:r>
          </w:p>
        </w:tc>
        <w:tc>
          <w:tcPr>
            <w:tcW w:w="585" w:type="dxa"/>
            <w:shd w:val="clear" w:color="auto" w:fill="auto"/>
            <w:noWrap/>
            <w:vAlign w:val="center"/>
            <w:hideMark/>
          </w:tcPr>
          <w:p w14:paraId="577F725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4F5305F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14" w:type="dxa"/>
            <w:shd w:val="clear" w:color="auto" w:fill="auto"/>
            <w:noWrap/>
            <w:vAlign w:val="center"/>
            <w:hideMark/>
          </w:tcPr>
          <w:p w14:paraId="3F19C18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5A234E1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Peisazh i Mbrojtur Pogradec</w:t>
            </w:r>
          </w:p>
        </w:tc>
        <w:tc>
          <w:tcPr>
            <w:tcW w:w="2560" w:type="dxa"/>
            <w:shd w:val="clear" w:color="auto" w:fill="auto"/>
            <w:noWrap/>
            <w:vAlign w:val="center"/>
            <w:hideMark/>
          </w:tcPr>
          <w:p w14:paraId="1777723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583" w:type="dxa"/>
            <w:shd w:val="clear" w:color="auto" w:fill="auto"/>
            <w:noWrap/>
            <w:vAlign w:val="center"/>
            <w:hideMark/>
          </w:tcPr>
          <w:p w14:paraId="5C667C9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24,350</w:t>
            </w:r>
          </w:p>
        </w:tc>
        <w:tc>
          <w:tcPr>
            <w:tcW w:w="1025" w:type="dxa"/>
            <w:shd w:val="clear" w:color="auto" w:fill="auto"/>
            <w:noWrap/>
            <w:vAlign w:val="center"/>
            <w:hideMark/>
          </w:tcPr>
          <w:p w14:paraId="62C7161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0AA7F4C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68676B5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628E912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1BAD640C" w14:textId="77777777" w:rsidTr="0059625C">
        <w:trPr>
          <w:trHeight w:val="300"/>
          <w:jc w:val="center"/>
        </w:trPr>
        <w:tc>
          <w:tcPr>
            <w:tcW w:w="507" w:type="dxa"/>
            <w:shd w:val="clear" w:color="auto" w:fill="auto"/>
            <w:noWrap/>
            <w:vAlign w:val="center"/>
            <w:hideMark/>
          </w:tcPr>
          <w:p w14:paraId="259D9AB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5</w:t>
            </w:r>
          </w:p>
        </w:tc>
        <w:tc>
          <w:tcPr>
            <w:tcW w:w="585" w:type="dxa"/>
            <w:shd w:val="clear" w:color="auto" w:fill="auto"/>
            <w:noWrap/>
            <w:vAlign w:val="center"/>
            <w:hideMark/>
          </w:tcPr>
          <w:p w14:paraId="2A45774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45FD06D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14" w:type="dxa"/>
            <w:shd w:val="clear" w:color="auto" w:fill="auto"/>
            <w:noWrap/>
            <w:vAlign w:val="center"/>
            <w:hideMark/>
          </w:tcPr>
          <w:p w14:paraId="16FBC36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53848F86"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Peisazh i Mbrojtur  i lumit Bunë-Velipoja</w:t>
            </w:r>
          </w:p>
        </w:tc>
        <w:tc>
          <w:tcPr>
            <w:tcW w:w="2560" w:type="dxa"/>
            <w:shd w:val="clear" w:color="auto" w:fill="auto"/>
            <w:noWrap/>
            <w:vAlign w:val="center"/>
            <w:hideMark/>
          </w:tcPr>
          <w:p w14:paraId="1F82F59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583" w:type="dxa"/>
            <w:shd w:val="clear" w:color="auto" w:fill="auto"/>
            <w:noWrap/>
            <w:vAlign w:val="center"/>
            <w:hideMark/>
          </w:tcPr>
          <w:p w14:paraId="7E14DA5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22,479</w:t>
            </w:r>
          </w:p>
        </w:tc>
        <w:tc>
          <w:tcPr>
            <w:tcW w:w="1025" w:type="dxa"/>
            <w:shd w:val="clear" w:color="auto" w:fill="auto"/>
            <w:noWrap/>
            <w:vAlign w:val="center"/>
            <w:hideMark/>
          </w:tcPr>
          <w:p w14:paraId="0108AA00"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446E819D"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5E6F460A"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6DDEE969"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7D743660" w14:textId="77777777" w:rsidTr="0059625C">
        <w:trPr>
          <w:trHeight w:val="300"/>
          <w:jc w:val="center"/>
        </w:trPr>
        <w:tc>
          <w:tcPr>
            <w:tcW w:w="507" w:type="dxa"/>
            <w:shd w:val="clear" w:color="auto" w:fill="auto"/>
            <w:noWrap/>
            <w:vAlign w:val="center"/>
            <w:hideMark/>
          </w:tcPr>
          <w:p w14:paraId="65E3E06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6</w:t>
            </w:r>
          </w:p>
        </w:tc>
        <w:tc>
          <w:tcPr>
            <w:tcW w:w="585" w:type="dxa"/>
            <w:shd w:val="clear" w:color="auto" w:fill="auto"/>
            <w:noWrap/>
            <w:vAlign w:val="center"/>
            <w:hideMark/>
          </w:tcPr>
          <w:p w14:paraId="722574A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V</w:t>
            </w:r>
          </w:p>
        </w:tc>
        <w:tc>
          <w:tcPr>
            <w:tcW w:w="1489" w:type="dxa"/>
            <w:shd w:val="clear" w:color="auto" w:fill="auto"/>
            <w:noWrap/>
            <w:vAlign w:val="center"/>
            <w:hideMark/>
          </w:tcPr>
          <w:p w14:paraId="21FA5B8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14" w:type="dxa"/>
            <w:shd w:val="clear" w:color="auto" w:fill="auto"/>
            <w:noWrap/>
            <w:vAlign w:val="center"/>
            <w:hideMark/>
          </w:tcPr>
          <w:p w14:paraId="1C9630E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2021" w:type="dxa"/>
            <w:shd w:val="clear" w:color="auto" w:fill="auto"/>
            <w:noWrap/>
            <w:vAlign w:val="center"/>
            <w:hideMark/>
          </w:tcPr>
          <w:p w14:paraId="48DF9045"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Peisazh i Mbrojtur i Korabit</w:t>
            </w:r>
          </w:p>
        </w:tc>
        <w:tc>
          <w:tcPr>
            <w:tcW w:w="2560" w:type="dxa"/>
            <w:shd w:val="clear" w:color="auto" w:fill="auto"/>
            <w:noWrap/>
            <w:vAlign w:val="center"/>
            <w:hideMark/>
          </w:tcPr>
          <w:p w14:paraId="43AE8C4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583" w:type="dxa"/>
            <w:shd w:val="clear" w:color="auto" w:fill="auto"/>
            <w:noWrap/>
            <w:vAlign w:val="center"/>
            <w:hideMark/>
          </w:tcPr>
          <w:p w14:paraId="1A49024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31,360</w:t>
            </w:r>
          </w:p>
        </w:tc>
        <w:tc>
          <w:tcPr>
            <w:tcW w:w="1025" w:type="dxa"/>
            <w:shd w:val="clear" w:color="auto" w:fill="auto"/>
            <w:noWrap/>
            <w:vAlign w:val="center"/>
            <w:hideMark/>
          </w:tcPr>
          <w:p w14:paraId="7DE9EA68"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4" w:type="dxa"/>
            <w:shd w:val="clear" w:color="auto" w:fill="auto"/>
            <w:noWrap/>
            <w:vAlign w:val="center"/>
            <w:hideMark/>
          </w:tcPr>
          <w:p w14:paraId="11D29EF4"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5828C43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2EFB659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r w:rsidR="0059625C" w:rsidRPr="00445472" w14:paraId="1B5E079A" w14:textId="77777777" w:rsidTr="0059625C">
        <w:trPr>
          <w:trHeight w:val="300"/>
          <w:jc w:val="center"/>
        </w:trPr>
        <w:tc>
          <w:tcPr>
            <w:tcW w:w="14521" w:type="dxa"/>
            <w:gridSpan w:val="11"/>
            <w:shd w:val="clear" w:color="auto" w:fill="D4D4D4"/>
            <w:noWrap/>
            <w:vAlign w:val="center"/>
            <w:hideMark/>
          </w:tcPr>
          <w:p w14:paraId="6E5704BF"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RAMSAR</w:t>
            </w:r>
          </w:p>
        </w:tc>
      </w:tr>
      <w:tr w:rsidR="0059625C" w:rsidRPr="00445472" w14:paraId="0849FA93" w14:textId="77777777" w:rsidTr="0059625C">
        <w:trPr>
          <w:trHeight w:val="600"/>
          <w:jc w:val="center"/>
        </w:trPr>
        <w:tc>
          <w:tcPr>
            <w:tcW w:w="507" w:type="dxa"/>
            <w:shd w:val="clear" w:color="auto" w:fill="auto"/>
            <w:noWrap/>
            <w:vAlign w:val="center"/>
            <w:hideMark/>
          </w:tcPr>
          <w:p w14:paraId="01566E4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1</w:t>
            </w:r>
          </w:p>
        </w:tc>
        <w:tc>
          <w:tcPr>
            <w:tcW w:w="585" w:type="dxa"/>
            <w:shd w:val="clear" w:color="auto" w:fill="auto"/>
            <w:noWrap/>
            <w:vAlign w:val="center"/>
            <w:hideMark/>
          </w:tcPr>
          <w:p w14:paraId="6BD21AC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489" w:type="dxa"/>
            <w:shd w:val="clear" w:color="auto" w:fill="auto"/>
            <w:noWrap/>
            <w:vAlign w:val="center"/>
            <w:hideMark/>
          </w:tcPr>
          <w:p w14:paraId="765ADEF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Shkodra</w:t>
            </w:r>
          </w:p>
        </w:tc>
        <w:tc>
          <w:tcPr>
            <w:tcW w:w="1014" w:type="dxa"/>
            <w:shd w:val="clear" w:color="auto" w:fill="auto"/>
            <w:noWrap/>
            <w:vAlign w:val="center"/>
            <w:hideMark/>
          </w:tcPr>
          <w:p w14:paraId="1729CEC1"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Shkodra</w:t>
            </w:r>
          </w:p>
        </w:tc>
        <w:tc>
          <w:tcPr>
            <w:tcW w:w="2021" w:type="dxa"/>
            <w:shd w:val="clear" w:color="auto" w:fill="auto"/>
            <w:noWrap/>
            <w:vAlign w:val="center"/>
            <w:hideMark/>
          </w:tcPr>
          <w:p w14:paraId="39ED8E2B"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Liqeni i Shkodrës-Lumi i Bunës</w:t>
            </w:r>
          </w:p>
        </w:tc>
        <w:tc>
          <w:tcPr>
            <w:tcW w:w="2560" w:type="dxa"/>
            <w:shd w:val="clear" w:color="auto" w:fill="auto"/>
            <w:noWrap/>
            <w:vAlign w:val="center"/>
            <w:hideMark/>
          </w:tcPr>
          <w:p w14:paraId="6973C91B" w14:textId="5BEBEED4" w:rsidR="0059625C" w:rsidRPr="00445472" w:rsidRDefault="002E6C44" w:rsidP="00B15A6B">
            <w:pPr>
              <w:pStyle w:val="TableTextCentre"/>
              <w:spacing w:before="0" w:after="0"/>
              <w:ind w:right="0"/>
              <w:rPr>
                <w:rFonts w:ascii="Garamond" w:hAnsi="Garamond"/>
                <w:sz w:val="20"/>
                <w:szCs w:val="20"/>
                <w:lang w:val="sq-AL"/>
              </w:rPr>
            </w:pPr>
            <w:r>
              <w:rPr>
                <w:rFonts w:ascii="Garamond" w:hAnsi="Garamond"/>
                <w:sz w:val="20"/>
                <w:szCs w:val="20"/>
                <w:lang w:val="sq-AL"/>
              </w:rPr>
              <w:t xml:space="preserve">VKM nr. 683, datë </w:t>
            </w:r>
            <w:r w:rsidR="0059625C" w:rsidRPr="00445472">
              <w:rPr>
                <w:rFonts w:ascii="Garamond" w:hAnsi="Garamond"/>
                <w:sz w:val="20"/>
                <w:szCs w:val="20"/>
                <w:lang w:val="sq-AL"/>
              </w:rPr>
              <w:t>2.11.2005</w:t>
            </w:r>
          </w:p>
        </w:tc>
        <w:tc>
          <w:tcPr>
            <w:tcW w:w="1583" w:type="dxa"/>
            <w:shd w:val="clear" w:color="auto" w:fill="auto"/>
            <w:noWrap/>
            <w:vAlign w:val="center"/>
            <w:hideMark/>
          </w:tcPr>
          <w:p w14:paraId="19F70793"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49,562.00</w:t>
            </w:r>
          </w:p>
        </w:tc>
        <w:tc>
          <w:tcPr>
            <w:tcW w:w="1025" w:type="dxa"/>
            <w:shd w:val="clear" w:color="auto" w:fill="auto"/>
            <w:noWrap/>
            <w:vAlign w:val="center"/>
            <w:hideMark/>
          </w:tcPr>
          <w:p w14:paraId="34EA420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Në proces përgatitje</w:t>
            </w:r>
          </w:p>
        </w:tc>
        <w:tc>
          <w:tcPr>
            <w:tcW w:w="1484" w:type="dxa"/>
            <w:shd w:val="clear" w:color="auto" w:fill="auto"/>
            <w:noWrap/>
            <w:vAlign w:val="center"/>
            <w:hideMark/>
          </w:tcPr>
          <w:p w14:paraId="19F50102"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040" w:type="dxa"/>
            <w:shd w:val="clear" w:color="auto" w:fill="auto"/>
            <w:noWrap/>
            <w:vAlign w:val="center"/>
            <w:hideMark/>
          </w:tcPr>
          <w:p w14:paraId="67346F1C"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c>
          <w:tcPr>
            <w:tcW w:w="1213" w:type="dxa"/>
            <w:shd w:val="clear" w:color="auto" w:fill="auto"/>
            <w:noWrap/>
            <w:vAlign w:val="center"/>
            <w:hideMark/>
          </w:tcPr>
          <w:p w14:paraId="619766A7"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w:t>
            </w:r>
          </w:p>
        </w:tc>
      </w:tr>
    </w:tbl>
    <w:p w14:paraId="191E8E14" w14:textId="77777777" w:rsidR="0059625C" w:rsidRPr="00445472" w:rsidRDefault="0059625C" w:rsidP="0059625C">
      <w:pPr>
        <w:spacing w:after="0" w:line="240" w:lineRule="auto"/>
        <w:rPr>
          <w:rFonts w:ascii="Garamond" w:hAnsi="Garamond"/>
          <w:sz w:val="20"/>
          <w:szCs w:val="20"/>
        </w:rPr>
      </w:pPr>
      <w:r w:rsidRPr="00445472">
        <w:rPr>
          <w:rFonts w:ascii="Garamond" w:hAnsi="Garamond"/>
          <w:sz w:val="20"/>
          <w:szCs w:val="20"/>
        </w:rPr>
        <w:t>(Burimi: AKZM, 2017)</w:t>
      </w:r>
    </w:p>
    <w:p w14:paraId="443D6357" w14:textId="77777777" w:rsidR="0059625C" w:rsidRPr="00445472" w:rsidRDefault="0059625C" w:rsidP="0059625C">
      <w:pPr>
        <w:spacing w:after="0" w:line="240" w:lineRule="auto"/>
        <w:rPr>
          <w:rFonts w:ascii="Garamond" w:hAnsi="Garamond"/>
          <w:sz w:val="20"/>
          <w:szCs w:val="20"/>
        </w:rPr>
      </w:pPr>
    </w:p>
    <w:p w14:paraId="17F373FF" w14:textId="77777777" w:rsidR="0059625C" w:rsidRPr="00445472" w:rsidRDefault="0059625C" w:rsidP="0059625C">
      <w:pPr>
        <w:spacing w:after="0" w:line="240" w:lineRule="auto"/>
        <w:rPr>
          <w:rFonts w:ascii="Garamond" w:hAnsi="Garamond"/>
          <w:sz w:val="20"/>
          <w:szCs w:val="20"/>
        </w:rPr>
      </w:pPr>
    </w:p>
    <w:p w14:paraId="71B5C378" w14:textId="77777777" w:rsidR="0059625C" w:rsidRPr="00445472" w:rsidRDefault="0059625C" w:rsidP="0059625C">
      <w:pPr>
        <w:spacing w:after="0" w:line="240" w:lineRule="auto"/>
        <w:rPr>
          <w:rFonts w:ascii="Garamond" w:hAnsi="Garamond"/>
          <w:sz w:val="20"/>
          <w:szCs w:val="20"/>
        </w:rPr>
      </w:pPr>
    </w:p>
    <w:p w14:paraId="6518B785" w14:textId="77777777" w:rsidR="0059625C" w:rsidRPr="00445472" w:rsidRDefault="0059625C" w:rsidP="0059625C">
      <w:pPr>
        <w:spacing w:after="0" w:line="240" w:lineRule="auto"/>
        <w:rPr>
          <w:rFonts w:ascii="Garamond" w:hAnsi="Garamond"/>
          <w:sz w:val="20"/>
          <w:szCs w:val="20"/>
        </w:rPr>
      </w:pPr>
    </w:p>
    <w:p w14:paraId="00455CEF" w14:textId="77777777" w:rsidR="0059625C" w:rsidRPr="00445472" w:rsidRDefault="0059625C" w:rsidP="0059625C">
      <w:pPr>
        <w:spacing w:after="0" w:line="240" w:lineRule="auto"/>
        <w:rPr>
          <w:rFonts w:ascii="Garamond" w:hAnsi="Garamond"/>
          <w:sz w:val="20"/>
          <w:szCs w:val="20"/>
        </w:rPr>
      </w:pPr>
    </w:p>
    <w:p w14:paraId="405771D0" w14:textId="77777777" w:rsidR="00E07D87" w:rsidRPr="00445472" w:rsidRDefault="00E07D87" w:rsidP="0059625C">
      <w:pPr>
        <w:pStyle w:val="NENTITULL"/>
      </w:pPr>
    </w:p>
    <w:p w14:paraId="75B6019D" w14:textId="77777777" w:rsidR="00E07D87" w:rsidRPr="00445472" w:rsidRDefault="00E07D87" w:rsidP="0059625C">
      <w:pPr>
        <w:pStyle w:val="NENTITULL"/>
      </w:pPr>
    </w:p>
    <w:p w14:paraId="0218E4CA" w14:textId="16972AF3" w:rsidR="0059625C" w:rsidRPr="00445472" w:rsidRDefault="0059625C" w:rsidP="0059625C">
      <w:pPr>
        <w:pStyle w:val="NENTITULL"/>
      </w:pPr>
      <w:r w:rsidRPr="00445472">
        <w:t>Tabela 5.5: Monumentet natyrore (</w:t>
      </w:r>
      <w:r w:rsidR="00E07D87" w:rsidRPr="00445472">
        <w:t xml:space="preserve">kategoria </w:t>
      </w:r>
      <w:r w:rsidRPr="00445472">
        <w:t xml:space="preserve">III) në Basenin Ujor </w:t>
      </w:r>
      <w:r w:rsidR="007E76E3" w:rsidRPr="00445472">
        <w:t>Drin–Bunë</w:t>
      </w:r>
      <w:r w:rsidRPr="00445472">
        <w:rPr>
          <w:rStyle w:val="FootnoteReference"/>
          <w:rFonts w:ascii="Garamond" w:hAnsi="Garamond"/>
          <w:color w:val="auto"/>
          <w:sz w:val="20"/>
        </w:rPr>
        <w:footnoteReference w:id="81"/>
      </w:r>
    </w:p>
    <w:p w14:paraId="000AFAB8" w14:textId="77777777" w:rsidR="0059625C" w:rsidRPr="00445472" w:rsidRDefault="0059625C" w:rsidP="0059625C">
      <w:pPr>
        <w:pStyle w:val="NENTITULL"/>
      </w:pPr>
    </w:p>
    <w:tbl>
      <w:tblPr>
        <w:tblW w:w="5000" w:type="pct"/>
        <w:jc w:val="center"/>
        <w:tblBorders>
          <w:top w:val="single" w:sz="4" w:space="0" w:color="27B1B0"/>
          <w:left w:val="single" w:sz="4" w:space="0" w:color="27B1B0"/>
          <w:bottom w:val="single" w:sz="4" w:space="0" w:color="27B1B0"/>
          <w:right w:val="single" w:sz="4" w:space="0" w:color="auto"/>
          <w:insideH w:val="single" w:sz="4" w:space="0" w:color="27B1B0"/>
          <w:insideV w:val="single" w:sz="4" w:space="0" w:color="auto"/>
        </w:tblBorders>
        <w:tblLook w:val="04A0" w:firstRow="1" w:lastRow="0" w:firstColumn="1" w:lastColumn="0" w:noHBand="0" w:noVBand="1"/>
      </w:tblPr>
      <w:tblGrid>
        <w:gridCol w:w="771"/>
        <w:gridCol w:w="2278"/>
        <w:gridCol w:w="5386"/>
        <w:gridCol w:w="5784"/>
      </w:tblGrid>
      <w:tr w:rsidR="0059625C" w:rsidRPr="00445472" w14:paraId="7BA14F4B" w14:textId="77777777" w:rsidTr="0059625C">
        <w:trPr>
          <w:trHeight w:val="300"/>
          <w:tblHeader/>
          <w:jc w:val="center"/>
        </w:trPr>
        <w:tc>
          <w:tcPr>
            <w:tcW w:w="5000" w:type="pct"/>
            <w:gridSpan w:val="4"/>
            <w:tcBorders>
              <w:right w:val="single" w:sz="4" w:space="0" w:color="27B1B0"/>
            </w:tcBorders>
            <w:shd w:val="clear" w:color="000000" w:fill="D4D4D4"/>
            <w:vAlign w:val="center"/>
            <w:hideMark/>
          </w:tcPr>
          <w:p w14:paraId="100DC73E"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Kategoria III – Monumentet natyrore (MN)</w:t>
            </w:r>
          </w:p>
        </w:tc>
      </w:tr>
      <w:tr w:rsidR="0059625C" w:rsidRPr="00445472" w14:paraId="074B7E86" w14:textId="77777777" w:rsidTr="0059625C">
        <w:trPr>
          <w:trHeight w:val="300"/>
          <w:tblHeader/>
          <w:jc w:val="center"/>
        </w:trPr>
        <w:tc>
          <w:tcPr>
            <w:tcW w:w="271" w:type="pct"/>
            <w:tcBorders>
              <w:right w:val="single" w:sz="4" w:space="0" w:color="27B1B0"/>
            </w:tcBorders>
            <w:shd w:val="clear" w:color="000000" w:fill="D4D4D4"/>
            <w:vAlign w:val="center"/>
            <w:hideMark/>
          </w:tcPr>
          <w:p w14:paraId="766BE2CF"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Nr.</w:t>
            </w:r>
          </w:p>
        </w:tc>
        <w:tc>
          <w:tcPr>
            <w:tcW w:w="801" w:type="pct"/>
            <w:tcBorders>
              <w:left w:val="single" w:sz="4" w:space="0" w:color="27B1B0"/>
              <w:right w:val="single" w:sz="4" w:space="0" w:color="27B1B0"/>
            </w:tcBorders>
            <w:shd w:val="clear" w:color="000000" w:fill="D4D4D4"/>
            <w:vAlign w:val="center"/>
            <w:hideMark/>
          </w:tcPr>
          <w:p w14:paraId="23E91510"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Zonat e mbrojtura</w:t>
            </w:r>
          </w:p>
        </w:tc>
        <w:tc>
          <w:tcPr>
            <w:tcW w:w="1894" w:type="pct"/>
            <w:tcBorders>
              <w:left w:val="single" w:sz="4" w:space="0" w:color="27B1B0"/>
              <w:right w:val="single" w:sz="4" w:space="0" w:color="27B1B0"/>
            </w:tcBorders>
            <w:shd w:val="clear" w:color="000000" w:fill="D4D4D4"/>
            <w:vAlign w:val="center"/>
            <w:hideMark/>
          </w:tcPr>
          <w:p w14:paraId="3FD9D603"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Vendndodhja</w:t>
            </w:r>
          </w:p>
        </w:tc>
        <w:tc>
          <w:tcPr>
            <w:tcW w:w="2034" w:type="pct"/>
            <w:tcBorders>
              <w:left w:val="single" w:sz="4" w:space="0" w:color="27B1B0"/>
              <w:right w:val="single" w:sz="4" w:space="0" w:color="27B1B0"/>
            </w:tcBorders>
            <w:shd w:val="clear" w:color="000000" w:fill="D4D4D4"/>
            <w:vAlign w:val="center"/>
            <w:hideMark/>
          </w:tcPr>
          <w:p w14:paraId="22F40AB5" w14:textId="77777777" w:rsidR="0059625C" w:rsidRPr="00445472" w:rsidRDefault="0059625C" w:rsidP="00B15A6B">
            <w:pPr>
              <w:pStyle w:val="TableTextCentre"/>
              <w:spacing w:before="0" w:after="0"/>
              <w:ind w:right="0"/>
              <w:rPr>
                <w:rFonts w:ascii="Garamond" w:hAnsi="Garamond"/>
                <w:b/>
                <w:sz w:val="20"/>
                <w:szCs w:val="20"/>
                <w:lang w:val="sq-AL"/>
              </w:rPr>
            </w:pPr>
            <w:r w:rsidRPr="00445472">
              <w:rPr>
                <w:rFonts w:ascii="Garamond" w:hAnsi="Garamond"/>
                <w:b/>
                <w:sz w:val="20"/>
                <w:szCs w:val="20"/>
                <w:lang w:val="sq-AL"/>
              </w:rPr>
              <w:t>Përshkrim i shkurtër</w:t>
            </w:r>
          </w:p>
        </w:tc>
      </w:tr>
      <w:tr w:rsidR="0059625C" w:rsidRPr="00445472" w14:paraId="3137A2EB" w14:textId="77777777" w:rsidTr="0059625C">
        <w:trPr>
          <w:trHeight w:val="495"/>
          <w:jc w:val="center"/>
        </w:trPr>
        <w:tc>
          <w:tcPr>
            <w:tcW w:w="271" w:type="pct"/>
            <w:tcBorders>
              <w:right w:val="single" w:sz="4" w:space="0" w:color="27B1B0"/>
            </w:tcBorders>
            <w:shd w:val="clear" w:color="auto" w:fill="auto"/>
            <w:vAlign w:val="center"/>
            <w:hideMark/>
          </w:tcPr>
          <w:p w14:paraId="76419A11"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w:t>
            </w:r>
          </w:p>
        </w:tc>
        <w:tc>
          <w:tcPr>
            <w:tcW w:w="801" w:type="pct"/>
            <w:tcBorders>
              <w:left w:val="single" w:sz="4" w:space="0" w:color="27B1B0"/>
              <w:right w:val="single" w:sz="4" w:space="0" w:color="27B1B0"/>
            </w:tcBorders>
            <w:shd w:val="clear" w:color="auto" w:fill="auto"/>
            <w:vAlign w:val="center"/>
            <w:hideMark/>
          </w:tcPr>
          <w:p w14:paraId="4DC071A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Burimet e Vuklit </w:t>
            </w:r>
          </w:p>
        </w:tc>
        <w:tc>
          <w:tcPr>
            <w:tcW w:w="1894" w:type="pct"/>
            <w:tcBorders>
              <w:left w:val="single" w:sz="4" w:space="0" w:color="27B1B0"/>
              <w:right w:val="single" w:sz="4" w:space="0" w:color="27B1B0"/>
            </w:tcBorders>
            <w:shd w:val="clear" w:color="auto" w:fill="auto"/>
            <w:vAlign w:val="center"/>
            <w:hideMark/>
          </w:tcPr>
          <w:p w14:paraId="6AD476F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Kelmend, Rrethi i Malësisë së Madhe </w:t>
            </w:r>
          </w:p>
        </w:tc>
        <w:tc>
          <w:tcPr>
            <w:tcW w:w="2034" w:type="pct"/>
            <w:tcBorders>
              <w:left w:val="single" w:sz="4" w:space="0" w:color="27B1B0"/>
              <w:right w:val="single" w:sz="4" w:space="0" w:color="27B1B0"/>
            </w:tcBorders>
            <w:shd w:val="clear" w:color="auto" w:fill="auto"/>
            <w:vAlign w:val="center"/>
            <w:hideMark/>
          </w:tcPr>
          <w:p w14:paraId="73E4F27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 karstik që ushqen Lumin Cemi në Vukli. Ujërat përdoren për konsum dhe vaditje.  </w:t>
            </w:r>
          </w:p>
        </w:tc>
      </w:tr>
      <w:tr w:rsidR="0059625C" w:rsidRPr="00445472" w14:paraId="11750218" w14:textId="77777777" w:rsidTr="0059625C">
        <w:trPr>
          <w:trHeight w:val="300"/>
          <w:jc w:val="center"/>
        </w:trPr>
        <w:tc>
          <w:tcPr>
            <w:tcW w:w="271" w:type="pct"/>
            <w:tcBorders>
              <w:right w:val="single" w:sz="4" w:space="0" w:color="27B1B0"/>
            </w:tcBorders>
            <w:shd w:val="clear" w:color="auto" w:fill="auto"/>
            <w:vAlign w:val="center"/>
            <w:hideMark/>
          </w:tcPr>
          <w:p w14:paraId="3E71CE7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w:t>
            </w:r>
          </w:p>
        </w:tc>
        <w:tc>
          <w:tcPr>
            <w:tcW w:w="801" w:type="pct"/>
            <w:tcBorders>
              <w:left w:val="single" w:sz="4" w:space="0" w:color="27B1B0"/>
              <w:right w:val="single" w:sz="4" w:space="0" w:color="27B1B0"/>
            </w:tcBorders>
            <w:shd w:val="clear" w:color="auto" w:fill="auto"/>
            <w:vAlign w:val="center"/>
            <w:hideMark/>
          </w:tcPr>
          <w:p w14:paraId="2F0979F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Burimet e Shtrazës </w:t>
            </w:r>
          </w:p>
        </w:tc>
        <w:tc>
          <w:tcPr>
            <w:tcW w:w="1894" w:type="pct"/>
            <w:tcBorders>
              <w:left w:val="single" w:sz="4" w:space="0" w:color="27B1B0"/>
              <w:right w:val="single" w:sz="4" w:space="0" w:color="27B1B0"/>
            </w:tcBorders>
            <w:shd w:val="clear" w:color="auto" w:fill="auto"/>
            <w:vAlign w:val="center"/>
            <w:hideMark/>
          </w:tcPr>
          <w:p w14:paraId="1998424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Theth, Shalë, Rrethi i Shkodrës </w:t>
            </w:r>
          </w:p>
        </w:tc>
        <w:tc>
          <w:tcPr>
            <w:tcW w:w="2034" w:type="pct"/>
            <w:tcBorders>
              <w:left w:val="single" w:sz="4" w:space="0" w:color="27B1B0"/>
              <w:right w:val="single" w:sz="4" w:space="0" w:color="27B1B0"/>
            </w:tcBorders>
            <w:shd w:val="clear" w:color="auto" w:fill="auto"/>
            <w:vAlign w:val="center"/>
            <w:hideMark/>
          </w:tcPr>
          <w:p w14:paraId="0132B5C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00EAD38F" w14:textId="77777777" w:rsidTr="0059625C">
        <w:trPr>
          <w:trHeight w:val="330"/>
          <w:jc w:val="center"/>
        </w:trPr>
        <w:tc>
          <w:tcPr>
            <w:tcW w:w="271" w:type="pct"/>
            <w:tcBorders>
              <w:right w:val="single" w:sz="4" w:space="0" w:color="27B1B0"/>
            </w:tcBorders>
            <w:shd w:val="clear" w:color="auto" w:fill="auto"/>
            <w:vAlign w:val="center"/>
            <w:hideMark/>
          </w:tcPr>
          <w:p w14:paraId="50DE01E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w:t>
            </w:r>
          </w:p>
        </w:tc>
        <w:tc>
          <w:tcPr>
            <w:tcW w:w="801" w:type="pct"/>
            <w:tcBorders>
              <w:left w:val="single" w:sz="4" w:space="0" w:color="27B1B0"/>
              <w:right w:val="single" w:sz="4" w:space="0" w:color="27B1B0"/>
            </w:tcBorders>
            <w:shd w:val="clear" w:color="auto" w:fill="auto"/>
            <w:vAlign w:val="center"/>
            <w:hideMark/>
          </w:tcPr>
          <w:p w14:paraId="6FFCB0B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Burimet Bellovës </w:t>
            </w:r>
          </w:p>
        </w:tc>
        <w:tc>
          <w:tcPr>
            <w:tcW w:w="1894" w:type="pct"/>
            <w:tcBorders>
              <w:left w:val="single" w:sz="4" w:space="0" w:color="27B1B0"/>
              <w:right w:val="single" w:sz="4" w:space="0" w:color="27B1B0"/>
            </w:tcBorders>
            <w:shd w:val="clear" w:color="auto" w:fill="auto"/>
            <w:vAlign w:val="center"/>
            <w:hideMark/>
          </w:tcPr>
          <w:p w14:paraId="4C13FC8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fshatit Bellova, Melan, Rrethi i Dibrës</w:t>
            </w:r>
          </w:p>
        </w:tc>
        <w:tc>
          <w:tcPr>
            <w:tcW w:w="2034" w:type="pct"/>
            <w:tcBorders>
              <w:left w:val="single" w:sz="4" w:space="0" w:color="27B1B0"/>
              <w:right w:val="single" w:sz="4" w:space="0" w:color="27B1B0"/>
            </w:tcBorders>
            <w:shd w:val="clear" w:color="auto" w:fill="auto"/>
            <w:vAlign w:val="center"/>
            <w:hideMark/>
          </w:tcPr>
          <w:p w14:paraId="35CC7D2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773B6DB0" w14:textId="77777777" w:rsidTr="0059625C">
        <w:trPr>
          <w:trHeight w:val="300"/>
          <w:jc w:val="center"/>
        </w:trPr>
        <w:tc>
          <w:tcPr>
            <w:tcW w:w="271" w:type="pct"/>
            <w:tcBorders>
              <w:right w:val="single" w:sz="4" w:space="0" w:color="27B1B0"/>
            </w:tcBorders>
            <w:shd w:val="clear" w:color="auto" w:fill="auto"/>
            <w:vAlign w:val="center"/>
            <w:hideMark/>
          </w:tcPr>
          <w:p w14:paraId="4BC2CED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w:t>
            </w:r>
          </w:p>
        </w:tc>
        <w:tc>
          <w:tcPr>
            <w:tcW w:w="801" w:type="pct"/>
            <w:tcBorders>
              <w:left w:val="single" w:sz="4" w:space="0" w:color="27B1B0"/>
              <w:right w:val="single" w:sz="4" w:space="0" w:color="27B1B0"/>
            </w:tcBorders>
            <w:shd w:val="clear" w:color="auto" w:fill="auto"/>
            <w:vAlign w:val="center"/>
            <w:hideMark/>
          </w:tcPr>
          <w:p w14:paraId="0B87042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Burimet e Brudit </w:t>
            </w:r>
          </w:p>
        </w:tc>
        <w:tc>
          <w:tcPr>
            <w:tcW w:w="1894" w:type="pct"/>
            <w:tcBorders>
              <w:left w:val="single" w:sz="4" w:space="0" w:color="27B1B0"/>
              <w:right w:val="single" w:sz="4" w:space="0" w:color="27B1B0"/>
            </w:tcBorders>
            <w:shd w:val="clear" w:color="auto" w:fill="auto"/>
            <w:vAlign w:val="center"/>
            <w:hideMark/>
          </w:tcPr>
          <w:p w14:paraId="55B7018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Brud </w:t>
            </w:r>
          </w:p>
        </w:tc>
        <w:tc>
          <w:tcPr>
            <w:tcW w:w="2034" w:type="pct"/>
            <w:tcBorders>
              <w:left w:val="single" w:sz="4" w:space="0" w:color="27B1B0"/>
              <w:right w:val="single" w:sz="4" w:space="0" w:color="27B1B0"/>
            </w:tcBorders>
            <w:shd w:val="clear" w:color="auto" w:fill="auto"/>
            <w:vAlign w:val="center"/>
            <w:hideMark/>
          </w:tcPr>
          <w:p w14:paraId="68C20B61"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722B4438" w14:textId="77777777" w:rsidTr="0059625C">
        <w:trPr>
          <w:trHeight w:val="300"/>
          <w:jc w:val="center"/>
        </w:trPr>
        <w:tc>
          <w:tcPr>
            <w:tcW w:w="271" w:type="pct"/>
            <w:tcBorders>
              <w:right w:val="single" w:sz="4" w:space="0" w:color="27B1B0"/>
            </w:tcBorders>
            <w:shd w:val="clear" w:color="auto" w:fill="auto"/>
            <w:vAlign w:val="center"/>
            <w:hideMark/>
          </w:tcPr>
          <w:p w14:paraId="3DEBF6E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5</w:t>
            </w:r>
          </w:p>
        </w:tc>
        <w:tc>
          <w:tcPr>
            <w:tcW w:w="801" w:type="pct"/>
            <w:tcBorders>
              <w:left w:val="single" w:sz="4" w:space="0" w:color="27B1B0"/>
              <w:right w:val="single" w:sz="4" w:space="0" w:color="27B1B0"/>
            </w:tcBorders>
            <w:shd w:val="clear" w:color="auto" w:fill="auto"/>
            <w:vAlign w:val="center"/>
            <w:hideMark/>
          </w:tcPr>
          <w:p w14:paraId="206B6FB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Burimet e Kirit </w:t>
            </w:r>
          </w:p>
        </w:tc>
        <w:tc>
          <w:tcPr>
            <w:tcW w:w="1894" w:type="pct"/>
            <w:tcBorders>
              <w:left w:val="single" w:sz="4" w:space="0" w:color="27B1B0"/>
              <w:right w:val="single" w:sz="4" w:space="0" w:color="27B1B0"/>
            </w:tcBorders>
            <w:shd w:val="clear" w:color="auto" w:fill="auto"/>
            <w:vAlign w:val="center"/>
            <w:hideMark/>
          </w:tcPr>
          <w:p w14:paraId="54A9354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fshatit Kir, Pult, Rrethi i Shkodrës</w:t>
            </w:r>
          </w:p>
        </w:tc>
        <w:tc>
          <w:tcPr>
            <w:tcW w:w="2034" w:type="pct"/>
            <w:tcBorders>
              <w:left w:val="single" w:sz="4" w:space="0" w:color="27B1B0"/>
              <w:right w:val="single" w:sz="4" w:space="0" w:color="27B1B0"/>
            </w:tcBorders>
            <w:shd w:val="clear" w:color="auto" w:fill="auto"/>
            <w:vAlign w:val="center"/>
            <w:hideMark/>
          </w:tcPr>
          <w:p w14:paraId="7A6E3D1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 karstik që shërben si burim i lumit Kir </w:t>
            </w:r>
          </w:p>
        </w:tc>
      </w:tr>
      <w:tr w:rsidR="0059625C" w:rsidRPr="00445472" w14:paraId="10B3F5D1" w14:textId="77777777" w:rsidTr="0059625C">
        <w:trPr>
          <w:trHeight w:val="495"/>
          <w:jc w:val="center"/>
        </w:trPr>
        <w:tc>
          <w:tcPr>
            <w:tcW w:w="271" w:type="pct"/>
            <w:tcBorders>
              <w:right w:val="single" w:sz="4" w:space="0" w:color="27B1B0"/>
            </w:tcBorders>
            <w:shd w:val="clear" w:color="auto" w:fill="auto"/>
            <w:vAlign w:val="center"/>
            <w:hideMark/>
          </w:tcPr>
          <w:p w14:paraId="00E50BA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6</w:t>
            </w:r>
          </w:p>
        </w:tc>
        <w:tc>
          <w:tcPr>
            <w:tcW w:w="801" w:type="pct"/>
            <w:tcBorders>
              <w:left w:val="single" w:sz="4" w:space="0" w:color="27B1B0"/>
              <w:right w:val="single" w:sz="4" w:space="0" w:color="27B1B0"/>
            </w:tcBorders>
            <w:shd w:val="clear" w:color="auto" w:fill="auto"/>
            <w:vAlign w:val="center"/>
            <w:hideMark/>
          </w:tcPr>
          <w:p w14:paraId="6DFD1AD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Burimi i Koprishtit </w:t>
            </w:r>
          </w:p>
        </w:tc>
        <w:tc>
          <w:tcPr>
            <w:tcW w:w="1894" w:type="pct"/>
            <w:tcBorders>
              <w:left w:val="single" w:sz="4" w:space="0" w:color="27B1B0"/>
              <w:right w:val="single" w:sz="4" w:space="0" w:color="27B1B0"/>
            </w:tcBorders>
            <w:shd w:val="clear" w:color="auto" w:fill="auto"/>
            <w:vAlign w:val="center"/>
            <w:hideMark/>
          </w:tcPr>
          <w:p w14:paraId="21FBE97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fshatit Selcë, Kelmend, Rrethi i Malësisë së Madhe</w:t>
            </w:r>
          </w:p>
        </w:tc>
        <w:tc>
          <w:tcPr>
            <w:tcW w:w="2034" w:type="pct"/>
            <w:tcBorders>
              <w:left w:val="single" w:sz="4" w:space="0" w:color="27B1B0"/>
              <w:right w:val="single" w:sz="4" w:space="0" w:color="27B1B0"/>
            </w:tcBorders>
            <w:shd w:val="clear" w:color="auto" w:fill="auto"/>
            <w:vAlign w:val="center"/>
            <w:hideMark/>
          </w:tcPr>
          <w:p w14:paraId="5838A8E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 që shërben si burim i lumit Cem</w:t>
            </w:r>
          </w:p>
        </w:tc>
      </w:tr>
      <w:tr w:rsidR="0059625C" w:rsidRPr="00445472" w14:paraId="52BD8CD9" w14:textId="77777777" w:rsidTr="0059625C">
        <w:trPr>
          <w:trHeight w:val="300"/>
          <w:jc w:val="center"/>
        </w:trPr>
        <w:tc>
          <w:tcPr>
            <w:tcW w:w="271" w:type="pct"/>
            <w:tcBorders>
              <w:right w:val="single" w:sz="4" w:space="0" w:color="27B1B0"/>
            </w:tcBorders>
            <w:shd w:val="clear" w:color="auto" w:fill="auto"/>
            <w:vAlign w:val="center"/>
            <w:hideMark/>
          </w:tcPr>
          <w:p w14:paraId="62EA153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7</w:t>
            </w:r>
          </w:p>
        </w:tc>
        <w:tc>
          <w:tcPr>
            <w:tcW w:w="801" w:type="pct"/>
            <w:tcBorders>
              <w:left w:val="single" w:sz="4" w:space="0" w:color="27B1B0"/>
              <w:right w:val="single" w:sz="4" w:space="0" w:color="27B1B0"/>
            </w:tcBorders>
            <w:shd w:val="clear" w:color="auto" w:fill="auto"/>
            <w:vAlign w:val="center"/>
            <w:hideMark/>
          </w:tcPr>
          <w:p w14:paraId="493D957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Burimet e Okolit </w:t>
            </w:r>
          </w:p>
        </w:tc>
        <w:tc>
          <w:tcPr>
            <w:tcW w:w="1894" w:type="pct"/>
            <w:tcBorders>
              <w:left w:val="single" w:sz="4" w:space="0" w:color="27B1B0"/>
              <w:right w:val="single" w:sz="4" w:space="0" w:color="27B1B0"/>
            </w:tcBorders>
            <w:shd w:val="clear" w:color="auto" w:fill="auto"/>
            <w:vAlign w:val="center"/>
            <w:hideMark/>
          </w:tcPr>
          <w:p w14:paraId="5A9C851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Theth (Nikgjonaj), Shalë, Rrethi i Shkodrës</w:t>
            </w:r>
          </w:p>
        </w:tc>
        <w:tc>
          <w:tcPr>
            <w:tcW w:w="2034" w:type="pct"/>
            <w:tcBorders>
              <w:left w:val="single" w:sz="4" w:space="0" w:color="27B1B0"/>
              <w:right w:val="single" w:sz="4" w:space="0" w:color="27B1B0"/>
            </w:tcBorders>
            <w:shd w:val="clear" w:color="auto" w:fill="auto"/>
            <w:vAlign w:val="center"/>
            <w:hideMark/>
          </w:tcPr>
          <w:p w14:paraId="41AADBC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2CDDC32D" w14:textId="77777777" w:rsidTr="0059625C">
        <w:trPr>
          <w:trHeight w:val="495"/>
          <w:jc w:val="center"/>
        </w:trPr>
        <w:tc>
          <w:tcPr>
            <w:tcW w:w="271" w:type="pct"/>
            <w:tcBorders>
              <w:right w:val="single" w:sz="4" w:space="0" w:color="27B1B0"/>
            </w:tcBorders>
            <w:shd w:val="clear" w:color="auto" w:fill="auto"/>
            <w:vAlign w:val="center"/>
            <w:hideMark/>
          </w:tcPr>
          <w:p w14:paraId="4CD145D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8</w:t>
            </w:r>
          </w:p>
        </w:tc>
        <w:tc>
          <w:tcPr>
            <w:tcW w:w="801" w:type="pct"/>
            <w:tcBorders>
              <w:left w:val="single" w:sz="4" w:space="0" w:color="27B1B0"/>
              <w:right w:val="single" w:sz="4" w:space="0" w:color="27B1B0"/>
            </w:tcBorders>
            <w:shd w:val="clear" w:color="auto" w:fill="auto"/>
            <w:vAlign w:val="center"/>
            <w:hideMark/>
          </w:tcPr>
          <w:p w14:paraId="1370F6E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Burimet e Valbonës</w:t>
            </w:r>
          </w:p>
        </w:tc>
        <w:tc>
          <w:tcPr>
            <w:tcW w:w="1894" w:type="pct"/>
            <w:tcBorders>
              <w:left w:val="single" w:sz="4" w:space="0" w:color="27B1B0"/>
              <w:right w:val="single" w:sz="4" w:space="0" w:color="27B1B0"/>
            </w:tcBorders>
            <w:shd w:val="clear" w:color="auto" w:fill="auto"/>
            <w:vAlign w:val="center"/>
            <w:hideMark/>
          </w:tcPr>
          <w:p w14:paraId="6FBC3BA0" w14:textId="3666615C"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Valbonë, </w:t>
            </w:r>
            <w:r w:rsidR="00034FBB">
              <w:rPr>
                <w:rFonts w:ascii="Garamond" w:hAnsi="Garamond"/>
                <w:sz w:val="20"/>
                <w:szCs w:val="20"/>
                <w:lang w:val="sq-AL"/>
              </w:rPr>
              <w:t>NJQV</w:t>
            </w:r>
            <w:r w:rsidRPr="00445472">
              <w:rPr>
                <w:rFonts w:ascii="Garamond" w:hAnsi="Garamond"/>
                <w:sz w:val="20"/>
                <w:szCs w:val="20"/>
                <w:lang w:val="sq-AL"/>
              </w:rPr>
              <w:t xml:space="preserve"> Margegaj, Rrethi i Tropojës</w:t>
            </w:r>
          </w:p>
        </w:tc>
        <w:tc>
          <w:tcPr>
            <w:tcW w:w="2034" w:type="pct"/>
            <w:tcBorders>
              <w:left w:val="single" w:sz="4" w:space="0" w:color="27B1B0"/>
              <w:right w:val="single" w:sz="4" w:space="0" w:color="27B1B0"/>
            </w:tcBorders>
            <w:shd w:val="clear" w:color="auto" w:fill="auto"/>
            <w:vAlign w:val="center"/>
            <w:hideMark/>
          </w:tcPr>
          <w:p w14:paraId="23486F2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64D66067" w14:textId="77777777" w:rsidTr="0059625C">
        <w:trPr>
          <w:trHeight w:val="300"/>
          <w:jc w:val="center"/>
        </w:trPr>
        <w:tc>
          <w:tcPr>
            <w:tcW w:w="271" w:type="pct"/>
            <w:tcBorders>
              <w:right w:val="single" w:sz="4" w:space="0" w:color="27B1B0"/>
            </w:tcBorders>
            <w:shd w:val="clear" w:color="auto" w:fill="auto"/>
            <w:vAlign w:val="center"/>
            <w:hideMark/>
          </w:tcPr>
          <w:p w14:paraId="5295672B"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9</w:t>
            </w:r>
          </w:p>
        </w:tc>
        <w:tc>
          <w:tcPr>
            <w:tcW w:w="801" w:type="pct"/>
            <w:tcBorders>
              <w:left w:val="single" w:sz="4" w:space="0" w:color="27B1B0"/>
              <w:right w:val="single" w:sz="4" w:space="0" w:color="27B1B0"/>
            </w:tcBorders>
            <w:shd w:val="clear" w:color="auto" w:fill="auto"/>
            <w:vAlign w:val="center"/>
            <w:hideMark/>
          </w:tcPr>
          <w:p w14:paraId="48A3C3F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dhe shpella e Sopanikës</w:t>
            </w:r>
          </w:p>
        </w:tc>
        <w:tc>
          <w:tcPr>
            <w:tcW w:w="1894" w:type="pct"/>
            <w:tcBorders>
              <w:left w:val="single" w:sz="4" w:space="0" w:color="27B1B0"/>
              <w:right w:val="single" w:sz="4" w:space="0" w:color="27B1B0"/>
            </w:tcBorders>
            <w:shd w:val="clear" w:color="auto" w:fill="auto"/>
            <w:vAlign w:val="center"/>
            <w:hideMark/>
          </w:tcPr>
          <w:p w14:paraId="4DA1074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Fushë Çidhnë </w:t>
            </w:r>
          </w:p>
        </w:tc>
        <w:tc>
          <w:tcPr>
            <w:tcW w:w="2034" w:type="pct"/>
            <w:tcBorders>
              <w:left w:val="single" w:sz="4" w:space="0" w:color="27B1B0"/>
              <w:right w:val="single" w:sz="4" w:space="0" w:color="27B1B0"/>
            </w:tcBorders>
            <w:shd w:val="clear" w:color="auto" w:fill="auto"/>
            <w:vAlign w:val="center"/>
            <w:hideMark/>
          </w:tcPr>
          <w:p w14:paraId="35A061D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194BA83F" w14:textId="77777777" w:rsidTr="0059625C">
        <w:trPr>
          <w:trHeight w:val="525"/>
          <w:jc w:val="center"/>
        </w:trPr>
        <w:tc>
          <w:tcPr>
            <w:tcW w:w="271" w:type="pct"/>
            <w:tcBorders>
              <w:right w:val="single" w:sz="4" w:space="0" w:color="27B1B0"/>
            </w:tcBorders>
            <w:shd w:val="clear" w:color="auto" w:fill="auto"/>
            <w:vAlign w:val="center"/>
            <w:hideMark/>
          </w:tcPr>
          <w:p w14:paraId="0F3D2D7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10</w:t>
            </w:r>
          </w:p>
        </w:tc>
        <w:tc>
          <w:tcPr>
            <w:tcW w:w="801" w:type="pct"/>
            <w:tcBorders>
              <w:left w:val="single" w:sz="4" w:space="0" w:color="27B1B0"/>
              <w:right w:val="single" w:sz="4" w:space="0" w:color="27B1B0"/>
            </w:tcBorders>
            <w:shd w:val="clear" w:color="auto" w:fill="auto"/>
            <w:vAlign w:val="center"/>
            <w:hideMark/>
          </w:tcPr>
          <w:p w14:paraId="3905936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Drilonit</w:t>
            </w:r>
          </w:p>
        </w:tc>
        <w:tc>
          <w:tcPr>
            <w:tcW w:w="1894" w:type="pct"/>
            <w:tcBorders>
              <w:left w:val="single" w:sz="4" w:space="0" w:color="27B1B0"/>
              <w:right w:val="single" w:sz="4" w:space="0" w:color="27B1B0"/>
            </w:tcBorders>
            <w:shd w:val="clear" w:color="auto" w:fill="auto"/>
            <w:vAlign w:val="center"/>
            <w:hideMark/>
          </w:tcPr>
          <w:p w14:paraId="25F4D59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Afër fshatit Tushemisht, Rrethi i Pogradecit, në Juglindje të Liqenit të Ohrit</w:t>
            </w:r>
          </w:p>
        </w:tc>
        <w:tc>
          <w:tcPr>
            <w:tcW w:w="2034" w:type="pct"/>
            <w:tcBorders>
              <w:left w:val="single" w:sz="4" w:space="0" w:color="27B1B0"/>
              <w:right w:val="single" w:sz="4" w:space="0" w:color="27B1B0"/>
            </w:tcBorders>
            <w:shd w:val="clear" w:color="auto" w:fill="auto"/>
            <w:vAlign w:val="center"/>
            <w:hideMark/>
          </w:tcPr>
          <w:p w14:paraId="3CB2253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Burimi ushqehet nga liqeni i Prespës dhe nga Mali i Thatë. Burimi rrethohet nga ekosisteme të pasura të ligatinave </w:t>
            </w:r>
          </w:p>
        </w:tc>
      </w:tr>
      <w:tr w:rsidR="0059625C" w:rsidRPr="00445472" w14:paraId="30E56487" w14:textId="77777777" w:rsidTr="0059625C">
        <w:trPr>
          <w:trHeight w:val="270"/>
          <w:jc w:val="center"/>
        </w:trPr>
        <w:tc>
          <w:tcPr>
            <w:tcW w:w="271" w:type="pct"/>
            <w:tcBorders>
              <w:right w:val="single" w:sz="4" w:space="0" w:color="27B1B0"/>
            </w:tcBorders>
            <w:shd w:val="clear" w:color="auto" w:fill="auto"/>
            <w:vAlign w:val="center"/>
            <w:hideMark/>
          </w:tcPr>
          <w:p w14:paraId="068241D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11</w:t>
            </w:r>
          </w:p>
        </w:tc>
        <w:tc>
          <w:tcPr>
            <w:tcW w:w="801" w:type="pct"/>
            <w:tcBorders>
              <w:left w:val="single" w:sz="4" w:space="0" w:color="27B1B0"/>
              <w:right w:val="single" w:sz="4" w:space="0" w:color="27B1B0"/>
            </w:tcBorders>
            <w:shd w:val="clear" w:color="auto" w:fill="auto"/>
            <w:vAlign w:val="center"/>
            <w:hideMark/>
          </w:tcPr>
          <w:p w14:paraId="4E25B85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Kërçinit</w:t>
            </w:r>
          </w:p>
        </w:tc>
        <w:tc>
          <w:tcPr>
            <w:tcW w:w="1894" w:type="pct"/>
            <w:tcBorders>
              <w:left w:val="single" w:sz="4" w:space="0" w:color="27B1B0"/>
              <w:right w:val="single" w:sz="4" w:space="0" w:color="27B1B0"/>
            </w:tcBorders>
            <w:shd w:val="clear" w:color="auto" w:fill="auto"/>
            <w:vAlign w:val="center"/>
            <w:hideMark/>
          </w:tcPr>
          <w:p w14:paraId="181DC18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malin Kërçini, në afërsi të fshatit Kërçisht </w:t>
            </w:r>
          </w:p>
        </w:tc>
        <w:tc>
          <w:tcPr>
            <w:tcW w:w="2034" w:type="pct"/>
            <w:tcBorders>
              <w:left w:val="single" w:sz="4" w:space="0" w:color="27B1B0"/>
              <w:right w:val="single" w:sz="4" w:space="0" w:color="27B1B0"/>
            </w:tcBorders>
            <w:shd w:val="clear" w:color="auto" w:fill="auto"/>
            <w:vAlign w:val="center"/>
            <w:hideMark/>
          </w:tcPr>
          <w:p w14:paraId="4895AB9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3C2E7288" w14:textId="77777777" w:rsidTr="0059625C">
        <w:trPr>
          <w:trHeight w:val="495"/>
          <w:jc w:val="center"/>
        </w:trPr>
        <w:tc>
          <w:tcPr>
            <w:tcW w:w="271" w:type="pct"/>
            <w:tcBorders>
              <w:right w:val="single" w:sz="4" w:space="0" w:color="27B1B0"/>
            </w:tcBorders>
            <w:shd w:val="clear" w:color="auto" w:fill="auto"/>
            <w:vAlign w:val="center"/>
            <w:hideMark/>
          </w:tcPr>
          <w:p w14:paraId="6B4E554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12</w:t>
            </w:r>
          </w:p>
        </w:tc>
        <w:tc>
          <w:tcPr>
            <w:tcW w:w="801" w:type="pct"/>
            <w:tcBorders>
              <w:left w:val="single" w:sz="4" w:space="0" w:color="27B1B0"/>
              <w:right w:val="single" w:sz="4" w:space="0" w:color="27B1B0"/>
            </w:tcBorders>
            <w:shd w:val="clear" w:color="auto" w:fill="auto"/>
            <w:vAlign w:val="center"/>
            <w:hideMark/>
          </w:tcPr>
          <w:p w14:paraId="372959A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Burimet e Kolesianit</w:t>
            </w:r>
          </w:p>
        </w:tc>
        <w:tc>
          <w:tcPr>
            <w:tcW w:w="1894" w:type="pct"/>
            <w:tcBorders>
              <w:left w:val="single" w:sz="4" w:space="0" w:color="27B1B0"/>
              <w:right w:val="single" w:sz="4" w:space="0" w:color="27B1B0"/>
            </w:tcBorders>
            <w:shd w:val="clear" w:color="auto" w:fill="auto"/>
            <w:vAlign w:val="center"/>
            <w:hideMark/>
          </w:tcPr>
          <w:p w14:paraId="486160F7" w14:textId="102F3BF5"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Kolosian, </w:t>
            </w:r>
            <w:r w:rsidR="00034FBB">
              <w:rPr>
                <w:rFonts w:ascii="Garamond" w:hAnsi="Garamond"/>
                <w:sz w:val="20"/>
                <w:szCs w:val="20"/>
                <w:lang w:val="sq-AL"/>
              </w:rPr>
              <w:t>NJQV</w:t>
            </w:r>
            <w:r w:rsidRPr="00445472">
              <w:rPr>
                <w:rFonts w:ascii="Garamond" w:hAnsi="Garamond"/>
                <w:sz w:val="20"/>
                <w:szCs w:val="20"/>
                <w:lang w:val="sq-AL"/>
              </w:rPr>
              <w:t xml:space="preserve"> Bicaj, Rrethi i Kukësit</w:t>
            </w:r>
          </w:p>
        </w:tc>
        <w:tc>
          <w:tcPr>
            <w:tcW w:w="2034" w:type="pct"/>
            <w:tcBorders>
              <w:left w:val="single" w:sz="4" w:space="0" w:color="27B1B0"/>
              <w:right w:val="single" w:sz="4" w:space="0" w:color="27B1B0"/>
            </w:tcBorders>
            <w:shd w:val="clear" w:color="auto" w:fill="auto"/>
            <w:vAlign w:val="center"/>
            <w:hideMark/>
          </w:tcPr>
          <w:p w14:paraId="5AD1C2E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6BF63635" w14:textId="77777777" w:rsidTr="0059625C">
        <w:trPr>
          <w:trHeight w:val="300"/>
          <w:jc w:val="center"/>
        </w:trPr>
        <w:tc>
          <w:tcPr>
            <w:tcW w:w="271" w:type="pct"/>
            <w:tcBorders>
              <w:right w:val="single" w:sz="4" w:space="0" w:color="27B1B0"/>
            </w:tcBorders>
            <w:shd w:val="clear" w:color="auto" w:fill="auto"/>
            <w:vAlign w:val="center"/>
            <w:hideMark/>
          </w:tcPr>
          <w:p w14:paraId="5CEC8CB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13</w:t>
            </w:r>
          </w:p>
        </w:tc>
        <w:tc>
          <w:tcPr>
            <w:tcW w:w="801" w:type="pct"/>
            <w:tcBorders>
              <w:left w:val="single" w:sz="4" w:space="0" w:color="27B1B0"/>
              <w:right w:val="single" w:sz="4" w:space="0" w:color="27B1B0"/>
            </w:tcBorders>
            <w:shd w:val="clear" w:color="auto" w:fill="auto"/>
            <w:vAlign w:val="center"/>
            <w:hideMark/>
          </w:tcPr>
          <w:p w14:paraId="79E03DD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Krumës</w:t>
            </w:r>
          </w:p>
        </w:tc>
        <w:tc>
          <w:tcPr>
            <w:tcW w:w="1894" w:type="pct"/>
            <w:tcBorders>
              <w:left w:val="single" w:sz="4" w:space="0" w:color="27B1B0"/>
              <w:right w:val="single" w:sz="4" w:space="0" w:color="27B1B0"/>
            </w:tcBorders>
            <w:shd w:val="clear" w:color="auto" w:fill="auto"/>
            <w:vAlign w:val="center"/>
            <w:hideMark/>
          </w:tcPr>
          <w:p w14:paraId="2AB18C1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Ana juglindore e qytetit të Krumës</w:t>
            </w:r>
          </w:p>
        </w:tc>
        <w:tc>
          <w:tcPr>
            <w:tcW w:w="2034" w:type="pct"/>
            <w:tcBorders>
              <w:left w:val="single" w:sz="4" w:space="0" w:color="27B1B0"/>
              <w:right w:val="single" w:sz="4" w:space="0" w:color="27B1B0"/>
            </w:tcBorders>
            <w:shd w:val="clear" w:color="auto" w:fill="auto"/>
            <w:vAlign w:val="center"/>
            <w:hideMark/>
          </w:tcPr>
          <w:p w14:paraId="78583BA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58B2BC3A" w14:textId="77777777" w:rsidTr="0059625C">
        <w:trPr>
          <w:trHeight w:val="495"/>
          <w:jc w:val="center"/>
        </w:trPr>
        <w:tc>
          <w:tcPr>
            <w:tcW w:w="271" w:type="pct"/>
            <w:tcBorders>
              <w:right w:val="single" w:sz="4" w:space="0" w:color="27B1B0"/>
            </w:tcBorders>
            <w:shd w:val="clear" w:color="auto" w:fill="auto"/>
            <w:vAlign w:val="center"/>
            <w:hideMark/>
          </w:tcPr>
          <w:p w14:paraId="5F8A91D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14</w:t>
            </w:r>
          </w:p>
        </w:tc>
        <w:tc>
          <w:tcPr>
            <w:tcW w:w="801" w:type="pct"/>
            <w:tcBorders>
              <w:left w:val="single" w:sz="4" w:space="0" w:color="27B1B0"/>
              <w:right w:val="single" w:sz="4" w:space="0" w:color="27B1B0"/>
            </w:tcBorders>
            <w:shd w:val="clear" w:color="auto" w:fill="auto"/>
            <w:vAlign w:val="center"/>
            <w:hideMark/>
          </w:tcPr>
          <w:p w14:paraId="620A491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Burimi i Qukut të Dunishës </w:t>
            </w:r>
          </w:p>
        </w:tc>
        <w:tc>
          <w:tcPr>
            <w:tcW w:w="1894" w:type="pct"/>
            <w:tcBorders>
              <w:left w:val="single" w:sz="4" w:space="0" w:color="27B1B0"/>
              <w:right w:val="single" w:sz="4" w:space="0" w:color="27B1B0"/>
            </w:tcBorders>
            <w:shd w:val="clear" w:color="auto" w:fill="auto"/>
            <w:vAlign w:val="center"/>
            <w:hideMark/>
          </w:tcPr>
          <w:p w14:paraId="3FA3AD1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fshatit Valbona, afër Rasës së Pecmarrës</w:t>
            </w:r>
          </w:p>
        </w:tc>
        <w:tc>
          <w:tcPr>
            <w:tcW w:w="2034" w:type="pct"/>
            <w:tcBorders>
              <w:left w:val="single" w:sz="4" w:space="0" w:color="27B1B0"/>
              <w:right w:val="single" w:sz="4" w:space="0" w:color="27B1B0"/>
            </w:tcBorders>
            <w:shd w:val="clear" w:color="auto" w:fill="auto"/>
            <w:vAlign w:val="center"/>
            <w:hideMark/>
          </w:tcPr>
          <w:p w14:paraId="0534E14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 karstik që ushqen lumin e Valbonës. Rrethohet nga bimësia </w:t>
            </w:r>
          </w:p>
        </w:tc>
      </w:tr>
      <w:tr w:rsidR="0059625C" w:rsidRPr="00445472" w14:paraId="7C914DD0" w14:textId="77777777" w:rsidTr="0059625C">
        <w:trPr>
          <w:trHeight w:val="495"/>
          <w:jc w:val="center"/>
        </w:trPr>
        <w:tc>
          <w:tcPr>
            <w:tcW w:w="271" w:type="pct"/>
            <w:tcBorders>
              <w:right w:val="single" w:sz="4" w:space="0" w:color="27B1B0"/>
            </w:tcBorders>
            <w:shd w:val="clear" w:color="auto" w:fill="auto"/>
            <w:vAlign w:val="center"/>
            <w:hideMark/>
          </w:tcPr>
          <w:p w14:paraId="5BEBE4B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15</w:t>
            </w:r>
          </w:p>
        </w:tc>
        <w:tc>
          <w:tcPr>
            <w:tcW w:w="801" w:type="pct"/>
            <w:tcBorders>
              <w:left w:val="single" w:sz="4" w:space="0" w:color="27B1B0"/>
              <w:right w:val="single" w:sz="4" w:space="0" w:color="27B1B0"/>
            </w:tcBorders>
            <w:shd w:val="clear" w:color="auto" w:fill="auto"/>
            <w:vAlign w:val="center"/>
            <w:hideMark/>
          </w:tcPr>
          <w:p w14:paraId="03B1628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Shoshanit</w:t>
            </w:r>
          </w:p>
        </w:tc>
        <w:tc>
          <w:tcPr>
            <w:tcW w:w="1894" w:type="pct"/>
            <w:tcBorders>
              <w:left w:val="single" w:sz="4" w:space="0" w:color="27B1B0"/>
              <w:right w:val="single" w:sz="4" w:space="0" w:color="27B1B0"/>
            </w:tcBorders>
            <w:shd w:val="clear" w:color="auto" w:fill="auto"/>
            <w:vAlign w:val="center"/>
            <w:hideMark/>
          </w:tcPr>
          <w:p w14:paraId="471D6AB2" w14:textId="6D7292D3"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Shoshan, </w:t>
            </w:r>
            <w:r w:rsidR="00034FBB">
              <w:rPr>
                <w:rFonts w:ascii="Garamond" w:hAnsi="Garamond"/>
                <w:sz w:val="20"/>
                <w:szCs w:val="20"/>
                <w:lang w:val="sq-AL"/>
              </w:rPr>
              <w:t>NJQV</w:t>
            </w:r>
            <w:r w:rsidRPr="00445472">
              <w:rPr>
                <w:rFonts w:ascii="Garamond" w:hAnsi="Garamond"/>
                <w:sz w:val="20"/>
                <w:szCs w:val="20"/>
                <w:lang w:val="sq-AL"/>
              </w:rPr>
              <w:t xml:space="preserve"> Margegaj, Rrethi i Tropojës, afër shtratit të lumit të Valbonës</w:t>
            </w:r>
          </w:p>
        </w:tc>
        <w:tc>
          <w:tcPr>
            <w:tcW w:w="2034" w:type="pct"/>
            <w:tcBorders>
              <w:left w:val="single" w:sz="4" w:space="0" w:color="27B1B0"/>
              <w:right w:val="single" w:sz="4" w:space="0" w:color="27B1B0"/>
            </w:tcBorders>
            <w:shd w:val="clear" w:color="auto" w:fill="auto"/>
            <w:vAlign w:val="center"/>
            <w:hideMark/>
          </w:tcPr>
          <w:p w14:paraId="4E931B7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1E7D9E38" w14:textId="77777777" w:rsidTr="0059625C">
        <w:trPr>
          <w:trHeight w:val="300"/>
          <w:jc w:val="center"/>
        </w:trPr>
        <w:tc>
          <w:tcPr>
            <w:tcW w:w="271" w:type="pct"/>
            <w:tcBorders>
              <w:right w:val="single" w:sz="4" w:space="0" w:color="27B1B0"/>
            </w:tcBorders>
            <w:shd w:val="clear" w:color="auto" w:fill="auto"/>
            <w:vAlign w:val="center"/>
            <w:hideMark/>
          </w:tcPr>
          <w:p w14:paraId="6D631D7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16</w:t>
            </w:r>
          </w:p>
        </w:tc>
        <w:tc>
          <w:tcPr>
            <w:tcW w:w="801" w:type="pct"/>
            <w:tcBorders>
              <w:left w:val="single" w:sz="4" w:space="0" w:color="27B1B0"/>
              <w:right w:val="single" w:sz="4" w:space="0" w:color="27B1B0"/>
            </w:tcBorders>
            <w:shd w:val="clear" w:color="auto" w:fill="auto"/>
            <w:vAlign w:val="center"/>
            <w:hideMark/>
          </w:tcPr>
          <w:p w14:paraId="0E6F719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Uji i Ftohtë - Vleshë</w:t>
            </w:r>
          </w:p>
        </w:tc>
        <w:tc>
          <w:tcPr>
            <w:tcW w:w="1894" w:type="pct"/>
            <w:tcBorders>
              <w:left w:val="single" w:sz="4" w:space="0" w:color="27B1B0"/>
              <w:right w:val="single" w:sz="4" w:space="0" w:color="27B1B0"/>
            </w:tcBorders>
            <w:shd w:val="clear" w:color="auto" w:fill="auto"/>
            <w:vAlign w:val="center"/>
            <w:hideMark/>
          </w:tcPr>
          <w:p w14:paraId="6464BF2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fshatit Vleshë</w:t>
            </w:r>
          </w:p>
        </w:tc>
        <w:tc>
          <w:tcPr>
            <w:tcW w:w="2034" w:type="pct"/>
            <w:tcBorders>
              <w:left w:val="single" w:sz="4" w:space="0" w:color="27B1B0"/>
              <w:right w:val="single" w:sz="4" w:space="0" w:color="27B1B0"/>
            </w:tcBorders>
            <w:shd w:val="clear" w:color="auto" w:fill="auto"/>
            <w:vAlign w:val="center"/>
            <w:hideMark/>
          </w:tcPr>
          <w:p w14:paraId="0807636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2648A6DC" w14:textId="77777777" w:rsidTr="0059625C">
        <w:trPr>
          <w:trHeight w:val="495"/>
          <w:jc w:val="center"/>
        </w:trPr>
        <w:tc>
          <w:tcPr>
            <w:tcW w:w="271" w:type="pct"/>
            <w:tcBorders>
              <w:right w:val="single" w:sz="4" w:space="0" w:color="27B1B0"/>
            </w:tcBorders>
            <w:shd w:val="clear" w:color="auto" w:fill="auto"/>
            <w:vAlign w:val="center"/>
            <w:hideMark/>
          </w:tcPr>
          <w:p w14:paraId="542B937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17</w:t>
            </w:r>
          </w:p>
        </w:tc>
        <w:tc>
          <w:tcPr>
            <w:tcW w:w="801" w:type="pct"/>
            <w:tcBorders>
              <w:left w:val="single" w:sz="4" w:space="0" w:color="27B1B0"/>
              <w:right w:val="single" w:sz="4" w:space="0" w:color="27B1B0"/>
            </w:tcBorders>
            <w:shd w:val="clear" w:color="auto" w:fill="auto"/>
            <w:vAlign w:val="center"/>
            <w:hideMark/>
          </w:tcPr>
          <w:p w14:paraId="26C56D9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Vrakës</w:t>
            </w:r>
          </w:p>
        </w:tc>
        <w:tc>
          <w:tcPr>
            <w:tcW w:w="1894" w:type="pct"/>
            <w:tcBorders>
              <w:left w:val="single" w:sz="4" w:space="0" w:color="27B1B0"/>
              <w:right w:val="single" w:sz="4" w:space="0" w:color="27B1B0"/>
            </w:tcBorders>
            <w:shd w:val="clear" w:color="auto" w:fill="auto"/>
            <w:vAlign w:val="center"/>
            <w:hideMark/>
          </w:tcPr>
          <w:p w14:paraId="7F09EB2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Afër Gruemirës, Rrethi i Shkodrës</w:t>
            </w:r>
          </w:p>
        </w:tc>
        <w:tc>
          <w:tcPr>
            <w:tcW w:w="2034" w:type="pct"/>
            <w:tcBorders>
              <w:left w:val="single" w:sz="4" w:space="0" w:color="27B1B0"/>
              <w:right w:val="single" w:sz="4" w:space="0" w:color="27B1B0"/>
            </w:tcBorders>
            <w:shd w:val="clear" w:color="auto" w:fill="auto"/>
            <w:vAlign w:val="center"/>
            <w:hideMark/>
          </w:tcPr>
          <w:p w14:paraId="3A8F4B4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 karstik që përdoret për vaditje dhe konsum nga popullsia e fshatrave përreth </w:t>
            </w:r>
          </w:p>
        </w:tc>
      </w:tr>
      <w:tr w:rsidR="0059625C" w:rsidRPr="00445472" w14:paraId="651D8C97" w14:textId="77777777" w:rsidTr="0059625C">
        <w:trPr>
          <w:trHeight w:val="495"/>
          <w:jc w:val="center"/>
        </w:trPr>
        <w:tc>
          <w:tcPr>
            <w:tcW w:w="271" w:type="pct"/>
            <w:tcBorders>
              <w:right w:val="single" w:sz="4" w:space="0" w:color="27B1B0"/>
            </w:tcBorders>
            <w:shd w:val="clear" w:color="auto" w:fill="auto"/>
            <w:vAlign w:val="center"/>
            <w:hideMark/>
          </w:tcPr>
          <w:p w14:paraId="4C36104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18</w:t>
            </w:r>
          </w:p>
        </w:tc>
        <w:tc>
          <w:tcPr>
            <w:tcW w:w="801" w:type="pct"/>
            <w:tcBorders>
              <w:left w:val="single" w:sz="4" w:space="0" w:color="27B1B0"/>
              <w:right w:val="single" w:sz="4" w:space="0" w:color="27B1B0"/>
            </w:tcBorders>
            <w:shd w:val="clear" w:color="auto" w:fill="auto"/>
            <w:vAlign w:val="center"/>
            <w:hideMark/>
          </w:tcPr>
          <w:p w14:paraId="511A484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Karstik i Qirecit</w:t>
            </w:r>
          </w:p>
        </w:tc>
        <w:tc>
          <w:tcPr>
            <w:tcW w:w="1894" w:type="pct"/>
            <w:tcBorders>
              <w:left w:val="single" w:sz="4" w:space="0" w:color="27B1B0"/>
              <w:right w:val="single" w:sz="4" w:space="0" w:color="27B1B0"/>
            </w:tcBorders>
            <w:shd w:val="clear" w:color="auto" w:fill="auto"/>
            <w:vAlign w:val="center"/>
            <w:hideMark/>
          </w:tcPr>
          <w:p w14:paraId="7853D49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luginën e Burimit të Qirecit, Lekbibaj, Rrethi i Tropojës</w:t>
            </w:r>
          </w:p>
        </w:tc>
        <w:tc>
          <w:tcPr>
            <w:tcW w:w="2034" w:type="pct"/>
            <w:tcBorders>
              <w:left w:val="single" w:sz="4" w:space="0" w:color="27B1B0"/>
              <w:right w:val="single" w:sz="4" w:space="0" w:color="27B1B0"/>
            </w:tcBorders>
            <w:shd w:val="clear" w:color="auto" w:fill="auto"/>
            <w:vAlign w:val="center"/>
            <w:hideMark/>
          </w:tcPr>
          <w:p w14:paraId="4310587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6BB48B63" w14:textId="77777777" w:rsidTr="0059625C">
        <w:trPr>
          <w:trHeight w:val="525"/>
          <w:jc w:val="center"/>
        </w:trPr>
        <w:tc>
          <w:tcPr>
            <w:tcW w:w="271" w:type="pct"/>
            <w:tcBorders>
              <w:right w:val="single" w:sz="4" w:space="0" w:color="27B1B0"/>
            </w:tcBorders>
            <w:shd w:val="clear" w:color="auto" w:fill="auto"/>
            <w:vAlign w:val="center"/>
            <w:hideMark/>
          </w:tcPr>
          <w:p w14:paraId="39A756C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19</w:t>
            </w:r>
          </w:p>
        </w:tc>
        <w:tc>
          <w:tcPr>
            <w:tcW w:w="801" w:type="pct"/>
            <w:tcBorders>
              <w:left w:val="single" w:sz="4" w:space="0" w:color="27B1B0"/>
              <w:right w:val="single" w:sz="4" w:space="0" w:color="27B1B0"/>
            </w:tcBorders>
            <w:shd w:val="clear" w:color="auto" w:fill="auto"/>
            <w:vAlign w:val="center"/>
            <w:hideMark/>
          </w:tcPr>
          <w:p w14:paraId="63B89C3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termomineral i Peshkopisë (Llixhat)</w:t>
            </w:r>
          </w:p>
        </w:tc>
        <w:tc>
          <w:tcPr>
            <w:tcW w:w="1894" w:type="pct"/>
            <w:tcBorders>
              <w:left w:val="single" w:sz="4" w:space="0" w:color="27B1B0"/>
              <w:right w:val="single" w:sz="4" w:space="0" w:color="27B1B0"/>
            </w:tcBorders>
            <w:shd w:val="clear" w:color="auto" w:fill="auto"/>
            <w:vAlign w:val="center"/>
            <w:hideMark/>
          </w:tcPr>
          <w:p w14:paraId="3C4D728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lindje të qytetit të Peshkopisë, në të djathtë të burime termale  (Llixha)</w:t>
            </w:r>
          </w:p>
        </w:tc>
        <w:tc>
          <w:tcPr>
            <w:tcW w:w="2034" w:type="pct"/>
            <w:tcBorders>
              <w:left w:val="single" w:sz="4" w:space="0" w:color="27B1B0"/>
              <w:right w:val="single" w:sz="4" w:space="0" w:color="27B1B0"/>
            </w:tcBorders>
            <w:shd w:val="clear" w:color="auto" w:fill="auto"/>
            <w:vAlign w:val="center"/>
            <w:hideMark/>
          </w:tcPr>
          <w:p w14:paraId="022F4D4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w:t>
            </w:r>
          </w:p>
        </w:tc>
      </w:tr>
      <w:tr w:rsidR="0059625C" w:rsidRPr="00445472" w14:paraId="29D35451" w14:textId="77777777" w:rsidTr="0059625C">
        <w:trPr>
          <w:trHeight w:val="525"/>
          <w:jc w:val="center"/>
        </w:trPr>
        <w:tc>
          <w:tcPr>
            <w:tcW w:w="271" w:type="pct"/>
            <w:tcBorders>
              <w:right w:val="single" w:sz="4" w:space="0" w:color="27B1B0"/>
            </w:tcBorders>
            <w:shd w:val="clear" w:color="auto" w:fill="auto"/>
            <w:vAlign w:val="center"/>
            <w:hideMark/>
          </w:tcPr>
          <w:p w14:paraId="085432B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20</w:t>
            </w:r>
          </w:p>
        </w:tc>
        <w:tc>
          <w:tcPr>
            <w:tcW w:w="801" w:type="pct"/>
            <w:tcBorders>
              <w:left w:val="single" w:sz="4" w:space="0" w:color="27B1B0"/>
              <w:right w:val="single" w:sz="4" w:space="0" w:color="27B1B0"/>
            </w:tcBorders>
            <w:shd w:val="clear" w:color="auto" w:fill="auto"/>
            <w:vAlign w:val="center"/>
            <w:hideMark/>
          </w:tcPr>
          <w:p w14:paraId="2129F6C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w:t>
            </w:r>
            <w:hyperlink r:id="rId31" w:history="1">
              <w:r w:rsidRPr="00445472">
                <w:rPr>
                  <w:rFonts w:ascii="Garamond" w:hAnsi="Garamond"/>
                  <w:sz w:val="20"/>
                  <w:szCs w:val="20"/>
                  <w:lang w:val="sq-AL"/>
                </w:rPr>
                <w:t>Depozitimet fluvio-glaciale të</w:t>
              </w:r>
            </w:hyperlink>
            <w:r w:rsidRPr="00445472">
              <w:rPr>
                <w:rFonts w:ascii="Garamond" w:hAnsi="Garamond"/>
                <w:sz w:val="20"/>
                <w:szCs w:val="20"/>
                <w:lang w:val="sq-AL"/>
              </w:rPr>
              <w:t xml:space="preserve"> Shëmtirës</w:t>
            </w:r>
          </w:p>
        </w:tc>
        <w:tc>
          <w:tcPr>
            <w:tcW w:w="1894" w:type="pct"/>
            <w:tcBorders>
              <w:left w:val="single" w:sz="4" w:space="0" w:color="27B1B0"/>
              <w:right w:val="single" w:sz="4" w:space="0" w:color="27B1B0"/>
            </w:tcBorders>
            <w:shd w:val="clear" w:color="auto" w:fill="auto"/>
            <w:vAlign w:val="center"/>
            <w:hideMark/>
          </w:tcPr>
          <w:p w14:paraId="61ED5D3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urës së Shëmtirës</w:t>
            </w:r>
          </w:p>
        </w:tc>
        <w:tc>
          <w:tcPr>
            <w:tcW w:w="2034" w:type="pct"/>
            <w:tcBorders>
              <w:left w:val="single" w:sz="4" w:space="0" w:color="27B1B0"/>
              <w:right w:val="single" w:sz="4" w:space="0" w:color="27B1B0"/>
            </w:tcBorders>
            <w:shd w:val="clear" w:color="auto" w:fill="auto"/>
            <w:vAlign w:val="center"/>
            <w:hideMark/>
          </w:tcPr>
          <w:p w14:paraId="6A1E5C99" w14:textId="77777777" w:rsidR="0059625C" w:rsidRPr="00445472" w:rsidRDefault="00FD51F7" w:rsidP="0059625C">
            <w:pPr>
              <w:pStyle w:val="TableTextCentre"/>
              <w:spacing w:before="0" w:after="0"/>
              <w:ind w:right="0"/>
              <w:jc w:val="both"/>
              <w:rPr>
                <w:rFonts w:ascii="Garamond" w:hAnsi="Garamond"/>
                <w:sz w:val="20"/>
                <w:szCs w:val="20"/>
                <w:lang w:val="sq-AL"/>
              </w:rPr>
            </w:pPr>
            <w:hyperlink r:id="rId32" w:history="1">
              <w:r w:rsidR="0059625C" w:rsidRPr="00445472">
                <w:rPr>
                  <w:rFonts w:ascii="Garamond" w:hAnsi="Garamond"/>
                  <w:sz w:val="20"/>
                  <w:szCs w:val="20"/>
                  <w:lang w:val="sq-AL"/>
                </w:rPr>
                <w:t>Depozitimet fluvio-glaciale</w:t>
              </w:r>
            </w:hyperlink>
          </w:p>
        </w:tc>
      </w:tr>
      <w:tr w:rsidR="0059625C" w:rsidRPr="00445472" w14:paraId="366A9BEB" w14:textId="77777777" w:rsidTr="0059625C">
        <w:trPr>
          <w:trHeight w:val="495"/>
          <w:jc w:val="center"/>
        </w:trPr>
        <w:tc>
          <w:tcPr>
            <w:tcW w:w="271" w:type="pct"/>
            <w:tcBorders>
              <w:right w:val="single" w:sz="4" w:space="0" w:color="27B1B0"/>
            </w:tcBorders>
            <w:shd w:val="clear" w:color="auto" w:fill="auto"/>
            <w:vAlign w:val="center"/>
            <w:hideMark/>
          </w:tcPr>
          <w:p w14:paraId="2B566F2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21</w:t>
            </w:r>
          </w:p>
        </w:tc>
        <w:tc>
          <w:tcPr>
            <w:tcW w:w="801" w:type="pct"/>
            <w:tcBorders>
              <w:left w:val="single" w:sz="4" w:space="0" w:color="27B1B0"/>
              <w:right w:val="single" w:sz="4" w:space="0" w:color="27B1B0"/>
            </w:tcBorders>
            <w:shd w:val="clear" w:color="auto" w:fill="auto"/>
            <w:vAlign w:val="center"/>
            <w:hideMark/>
          </w:tcPr>
          <w:p w14:paraId="2DF23EAC" w14:textId="77777777" w:rsidR="0059625C" w:rsidRPr="00445472" w:rsidRDefault="00FD51F7" w:rsidP="0059625C">
            <w:pPr>
              <w:pStyle w:val="TableTextCentre"/>
              <w:spacing w:before="0" w:after="0"/>
              <w:ind w:right="0"/>
              <w:jc w:val="both"/>
              <w:rPr>
                <w:rFonts w:ascii="Garamond" w:hAnsi="Garamond"/>
                <w:sz w:val="20"/>
                <w:szCs w:val="20"/>
                <w:lang w:val="sq-AL"/>
              </w:rPr>
            </w:pPr>
            <w:hyperlink r:id="rId33" w:history="1">
              <w:r w:rsidR="0059625C" w:rsidRPr="00445472">
                <w:rPr>
                  <w:rFonts w:ascii="Garamond" w:hAnsi="Garamond"/>
                  <w:sz w:val="20"/>
                  <w:szCs w:val="20"/>
                  <w:lang w:val="sq-AL"/>
                </w:rPr>
                <w:t>Depozitimet fluvio-glaciale të</w:t>
              </w:r>
            </w:hyperlink>
            <w:r w:rsidR="0059625C" w:rsidRPr="00445472">
              <w:rPr>
                <w:rFonts w:ascii="Garamond" w:hAnsi="Garamond"/>
                <w:sz w:val="20"/>
                <w:szCs w:val="20"/>
                <w:lang w:val="sq-AL"/>
              </w:rPr>
              <w:t xml:space="preserve"> Shoshajt</w:t>
            </w:r>
          </w:p>
        </w:tc>
        <w:tc>
          <w:tcPr>
            <w:tcW w:w="1894" w:type="pct"/>
            <w:tcBorders>
              <w:left w:val="single" w:sz="4" w:space="0" w:color="27B1B0"/>
              <w:right w:val="single" w:sz="4" w:space="0" w:color="27B1B0"/>
            </w:tcBorders>
            <w:shd w:val="clear" w:color="auto" w:fill="auto"/>
            <w:vAlign w:val="center"/>
            <w:hideMark/>
          </w:tcPr>
          <w:p w14:paraId="415B25B9" w14:textId="089C191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urës së Shoshanit, </w:t>
            </w:r>
            <w:r w:rsidR="00034FBB">
              <w:rPr>
                <w:rFonts w:ascii="Garamond" w:hAnsi="Garamond"/>
                <w:sz w:val="20"/>
                <w:szCs w:val="20"/>
                <w:lang w:val="sq-AL"/>
              </w:rPr>
              <w:t>NJQV</w:t>
            </w:r>
            <w:r w:rsidRPr="00445472">
              <w:rPr>
                <w:rFonts w:ascii="Garamond" w:hAnsi="Garamond"/>
                <w:sz w:val="20"/>
                <w:szCs w:val="20"/>
                <w:lang w:val="sq-AL"/>
              </w:rPr>
              <w:t xml:space="preserve"> Margegaj, Rrethi i Tropojës, Në afërsi të urës së fshatit të Shoshanit</w:t>
            </w:r>
          </w:p>
        </w:tc>
        <w:tc>
          <w:tcPr>
            <w:tcW w:w="2034" w:type="pct"/>
            <w:tcBorders>
              <w:left w:val="single" w:sz="4" w:space="0" w:color="27B1B0"/>
              <w:right w:val="single" w:sz="4" w:space="0" w:color="27B1B0"/>
            </w:tcBorders>
            <w:shd w:val="clear" w:color="auto" w:fill="auto"/>
            <w:vAlign w:val="center"/>
            <w:hideMark/>
          </w:tcPr>
          <w:p w14:paraId="60C310DB" w14:textId="77777777" w:rsidR="0059625C" w:rsidRPr="00445472" w:rsidRDefault="00FD51F7" w:rsidP="0059625C">
            <w:pPr>
              <w:pStyle w:val="TableTextCentre"/>
              <w:spacing w:before="0" w:after="0"/>
              <w:ind w:right="0"/>
              <w:jc w:val="both"/>
              <w:rPr>
                <w:rFonts w:ascii="Garamond" w:hAnsi="Garamond"/>
                <w:sz w:val="20"/>
                <w:szCs w:val="20"/>
                <w:lang w:val="sq-AL"/>
              </w:rPr>
            </w:pPr>
            <w:hyperlink r:id="rId34" w:history="1">
              <w:r w:rsidR="0059625C" w:rsidRPr="00445472">
                <w:rPr>
                  <w:rFonts w:ascii="Garamond" w:hAnsi="Garamond"/>
                  <w:sz w:val="20"/>
                  <w:szCs w:val="20"/>
                  <w:lang w:val="sq-AL"/>
                </w:rPr>
                <w:t>Depozitimet fluvio-glaciale</w:t>
              </w:r>
            </w:hyperlink>
          </w:p>
        </w:tc>
      </w:tr>
      <w:tr w:rsidR="0059625C" w:rsidRPr="00445472" w14:paraId="734087D4" w14:textId="77777777" w:rsidTr="0059625C">
        <w:trPr>
          <w:trHeight w:val="270"/>
          <w:jc w:val="center"/>
        </w:trPr>
        <w:tc>
          <w:tcPr>
            <w:tcW w:w="271" w:type="pct"/>
            <w:tcBorders>
              <w:right w:val="single" w:sz="4" w:space="0" w:color="27B1B0"/>
            </w:tcBorders>
            <w:shd w:val="clear" w:color="auto" w:fill="auto"/>
            <w:vAlign w:val="center"/>
            <w:hideMark/>
          </w:tcPr>
          <w:p w14:paraId="32EC519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22</w:t>
            </w:r>
          </w:p>
        </w:tc>
        <w:tc>
          <w:tcPr>
            <w:tcW w:w="801" w:type="pct"/>
            <w:tcBorders>
              <w:left w:val="single" w:sz="4" w:space="0" w:color="27B1B0"/>
              <w:right w:val="single" w:sz="4" w:space="0" w:color="27B1B0"/>
            </w:tcBorders>
            <w:shd w:val="clear" w:color="auto" w:fill="auto"/>
            <w:vAlign w:val="center"/>
            <w:hideMark/>
          </w:tcPr>
          <w:p w14:paraId="2F03428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Domajt</w:t>
            </w:r>
          </w:p>
        </w:tc>
        <w:tc>
          <w:tcPr>
            <w:tcW w:w="1894" w:type="pct"/>
            <w:tcBorders>
              <w:left w:val="single" w:sz="4" w:space="0" w:color="27B1B0"/>
              <w:right w:val="single" w:sz="4" w:space="0" w:color="27B1B0"/>
            </w:tcBorders>
            <w:shd w:val="clear" w:color="auto" w:fill="auto"/>
            <w:vAlign w:val="center"/>
            <w:hideMark/>
          </w:tcPr>
          <w:p w14:paraId="2B1B4C98" w14:textId="7EAF21FC"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Domaj, </w:t>
            </w:r>
            <w:r w:rsidR="00034FBB">
              <w:rPr>
                <w:rFonts w:ascii="Garamond" w:hAnsi="Garamond"/>
                <w:sz w:val="20"/>
                <w:szCs w:val="20"/>
                <w:lang w:val="sq-AL"/>
              </w:rPr>
              <w:t>NJQV</w:t>
            </w:r>
            <w:r w:rsidRPr="00445472">
              <w:rPr>
                <w:rFonts w:ascii="Garamond" w:hAnsi="Garamond"/>
                <w:sz w:val="20"/>
                <w:szCs w:val="20"/>
                <w:lang w:val="sq-AL"/>
              </w:rPr>
              <w:t xml:space="preserve"> Golaj, Rrethi i Hasit</w:t>
            </w:r>
          </w:p>
        </w:tc>
        <w:tc>
          <w:tcPr>
            <w:tcW w:w="2034" w:type="pct"/>
            <w:tcBorders>
              <w:left w:val="single" w:sz="4" w:space="0" w:color="27B1B0"/>
              <w:right w:val="single" w:sz="4" w:space="0" w:color="27B1B0"/>
            </w:tcBorders>
            <w:shd w:val="clear" w:color="auto" w:fill="auto"/>
            <w:vAlign w:val="center"/>
            <w:hideMark/>
          </w:tcPr>
          <w:p w14:paraId="5156351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6860AE48" w14:textId="77777777" w:rsidTr="0059625C">
        <w:trPr>
          <w:trHeight w:val="495"/>
          <w:jc w:val="center"/>
        </w:trPr>
        <w:tc>
          <w:tcPr>
            <w:tcW w:w="271" w:type="pct"/>
            <w:tcBorders>
              <w:right w:val="single" w:sz="4" w:space="0" w:color="27B1B0"/>
            </w:tcBorders>
            <w:shd w:val="clear" w:color="auto" w:fill="auto"/>
            <w:vAlign w:val="center"/>
            <w:hideMark/>
          </w:tcPr>
          <w:p w14:paraId="0DA7B83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23</w:t>
            </w:r>
          </w:p>
        </w:tc>
        <w:tc>
          <w:tcPr>
            <w:tcW w:w="801" w:type="pct"/>
            <w:tcBorders>
              <w:left w:val="single" w:sz="4" w:space="0" w:color="27B1B0"/>
              <w:right w:val="single" w:sz="4" w:space="0" w:color="27B1B0"/>
            </w:tcBorders>
            <w:shd w:val="clear" w:color="auto" w:fill="auto"/>
            <w:vAlign w:val="center"/>
            <w:hideMark/>
          </w:tcPr>
          <w:p w14:paraId="7653EF7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Burimi i Vranishtit</w:t>
            </w:r>
          </w:p>
        </w:tc>
        <w:tc>
          <w:tcPr>
            <w:tcW w:w="1894" w:type="pct"/>
            <w:tcBorders>
              <w:left w:val="single" w:sz="4" w:space="0" w:color="27B1B0"/>
              <w:right w:val="single" w:sz="4" w:space="0" w:color="27B1B0"/>
            </w:tcBorders>
            <w:shd w:val="clear" w:color="auto" w:fill="auto"/>
            <w:vAlign w:val="center"/>
            <w:hideMark/>
          </w:tcPr>
          <w:p w14:paraId="0D16E3B4" w14:textId="68366E63"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Fshati i Vranishtit, </w:t>
            </w:r>
            <w:r w:rsidR="00034FBB">
              <w:rPr>
                <w:rFonts w:ascii="Garamond" w:hAnsi="Garamond"/>
                <w:sz w:val="20"/>
                <w:szCs w:val="20"/>
                <w:lang w:val="sq-AL"/>
              </w:rPr>
              <w:t>NJQV</w:t>
            </w:r>
            <w:r w:rsidRPr="00445472">
              <w:rPr>
                <w:rFonts w:ascii="Garamond" w:hAnsi="Garamond"/>
                <w:sz w:val="20"/>
                <w:szCs w:val="20"/>
                <w:lang w:val="sq-AL"/>
              </w:rPr>
              <w:t xml:space="preserve"> Fajzë, Rrethi i Hasit</w:t>
            </w:r>
          </w:p>
        </w:tc>
        <w:tc>
          <w:tcPr>
            <w:tcW w:w="2034" w:type="pct"/>
            <w:tcBorders>
              <w:left w:val="single" w:sz="4" w:space="0" w:color="27B1B0"/>
              <w:right w:val="single" w:sz="4" w:space="0" w:color="27B1B0"/>
            </w:tcBorders>
            <w:shd w:val="clear" w:color="auto" w:fill="auto"/>
            <w:vAlign w:val="center"/>
            <w:hideMark/>
          </w:tcPr>
          <w:p w14:paraId="422A35D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 karstik që ushqehet nga ujërat nëntokësore të akuiferi karstik të Hasit të Thatë </w:t>
            </w:r>
          </w:p>
        </w:tc>
      </w:tr>
      <w:tr w:rsidR="0059625C" w:rsidRPr="00445472" w14:paraId="4CDF0DFF" w14:textId="77777777" w:rsidTr="0059625C">
        <w:trPr>
          <w:trHeight w:val="495"/>
          <w:jc w:val="center"/>
        </w:trPr>
        <w:tc>
          <w:tcPr>
            <w:tcW w:w="271" w:type="pct"/>
            <w:tcBorders>
              <w:right w:val="single" w:sz="4" w:space="0" w:color="27B1B0"/>
            </w:tcBorders>
            <w:shd w:val="clear" w:color="auto" w:fill="auto"/>
            <w:vAlign w:val="center"/>
            <w:hideMark/>
          </w:tcPr>
          <w:p w14:paraId="600AE1F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24</w:t>
            </w:r>
          </w:p>
        </w:tc>
        <w:tc>
          <w:tcPr>
            <w:tcW w:w="801" w:type="pct"/>
            <w:tcBorders>
              <w:left w:val="single" w:sz="4" w:space="0" w:color="27B1B0"/>
              <w:right w:val="single" w:sz="4" w:space="0" w:color="27B1B0"/>
            </w:tcBorders>
            <w:shd w:val="clear" w:color="auto" w:fill="auto"/>
            <w:vAlign w:val="center"/>
            <w:hideMark/>
          </w:tcPr>
          <w:p w14:paraId="1C8A8F9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Kanioni i Bashkim – Vermoshit</w:t>
            </w:r>
          </w:p>
        </w:tc>
        <w:tc>
          <w:tcPr>
            <w:tcW w:w="1894" w:type="pct"/>
            <w:tcBorders>
              <w:left w:val="single" w:sz="4" w:space="0" w:color="27B1B0"/>
              <w:right w:val="single" w:sz="4" w:space="0" w:color="27B1B0"/>
            </w:tcBorders>
            <w:shd w:val="clear" w:color="auto" w:fill="auto"/>
            <w:vAlign w:val="center"/>
            <w:hideMark/>
          </w:tcPr>
          <w:p w14:paraId="0AB3D181" w14:textId="28511188"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Vermosh, </w:t>
            </w:r>
            <w:r w:rsidR="00034FBB">
              <w:rPr>
                <w:rFonts w:ascii="Garamond" w:hAnsi="Garamond"/>
                <w:sz w:val="20"/>
                <w:szCs w:val="20"/>
                <w:lang w:val="sq-AL"/>
              </w:rPr>
              <w:t>NJQV</w:t>
            </w:r>
            <w:r w:rsidRPr="00445472">
              <w:rPr>
                <w:rFonts w:ascii="Garamond" w:hAnsi="Garamond"/>
                <w:sz w:val="20"/>
                <w:szCs w:val="20"/>
                <w:lang w:val="sq-AL"/>
              </w:rPr>
              <w:t xml:space="preserve"> Kelmend, Rrethi i Malësisë së Madhe</w:t>
            </w:r>
          </w:p>
        </w:tc>
        <w:tc>
          <w:tcPr>
            <w:tcW w:w="2034" w:type="pct"/>
            <w:tcBorders>
              <w:left w:val="single" w:sz="4" w:space="0" w:color="27B1B0"/>
              <w:right w:val="single" w:sz="4" w:space="0" w:color="27B1B0"/>
            </w:tcBorders>
            <w:shd w:val="clear" w:color="auto" w:fill="auto"/>
            <w:vAlign w:val="center"/>
            <w:hideMark/>
          </w:tcPr>
          <w:p w14:paraId="2F78EB1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kanion që formohet nga korrozioni i ujërave të lumit Vermosh. Një ekosistem karstik </w:t>
            </w:r>
          </w:p>
        </w:tc>
      </w:tr>
      <w:tr w:rsidR="0059625C" w:rsidRPr="00445472" w14:paraId="0211D8A9" w14:textId="77777777" w:rsidTr="0059625C">
        <w:trPr>
          <w:trHeight w:val="495"/>
          <w:jc w:val="center"/>
        </w:trPr>
        <w:tc>
          <w:tcPr>
            <w:tcW w:w="271" w:type="pct"/>
            <w:tcBorders>
              <w:right w:val="single" w:sz="4" w:space="0" w:color="27B1B0"/>
            </w:tcBorders>
            <w:shd w:val="clear" w:color="auto" w:fill="auto"/>
            <w:vAlign w:val="center"/>
            <w:hideMark/>
          </w:tcPr>
          <w:p w14:paraId="2428BE2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25</w:t>
            </w:r>
          </w:p>
        </w:tc>
        <w:tc>
          <w:tcPr>
            <w:tcW w:w="801" w:type="pct"/>
            <w:tcBorders>
              <w:left w:val="single" w:sz="4" w:space="0" w:color="27B1B0"/>
              <w:right w:val="single" w:sz="4" w:space="0" w:color="27B1B0"/>
            </w:tcBorders>
            <w:shd w:val="clear" w:color="auto" w:fill="auto"/>
            <w:vAlign w:val="center"/>
            <w:hideMark/>
          </w:tcPr>
          <w:p w14:paraId="4A14128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Kanioni i Grunasit</w:t>
            </w:r>
          </w:p>
        </w:tc>
        <w:tc>
          <w:tcPr>
            <w:tcW w:w="1894" w:type="pct"/>
            <w:tcBorders>
              <w:left w:val="single" w:sz="4" w:space="0" w:color="27B1B0"/>
              <w:right w:val="single" w:sz="4" w:space="0" w:color="27B1B0"/>
            </w:tcBorders>
            <w:shd w:val="clear" w:color="auto" w:fill="auto"/>
            <w:vAlign w:val="center"/>
            <w:hideMark/>
          </w:tcPr>
          <w:p w14:paraId="7F175A2B"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Fshati Theth, Rrethi i Shkodrës</w:t>
            </w:r>
          </w:p>
        </w:tc>
        <w:tc>
          <w:tcPr>
            <w:tcW w:w="2034" w:type="pct"/>
            <w:tcBorders>
              <w:left w:val="single" w:sz="4" w:space="0" w:color="27B1B0"/>
              <w:right w:val="single" w:sz="4" w:space="0" w:color="27B1B0"/>
            </w:tcBorders>
            <w:shd w:val="clear" w:color="auto" w:fill="auto"/>
            <w:vAlign w:val="center"/>
            <w:hideMark/>
          </w:tcPr>
          <w:p w14:paraId="3DEB2C5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kanion që formohet nga korrozioni i ujërave të lumit Theth dhe proceseve karstike </w:t>
            </w:r>
          </w:p>
        </w:tc>
      </w:tr>
      <w:tr w:rsidR="0059625C" w:rsidRPr="00445472" w14:paraId="54B4903A" w14:textId="77777777" w:rsidTr="0059625C">
        <w:trPr>
          <w:trHeight w:val="818"/>
          <w:jc w:val="center"/>
        </w:trPr>
        <w:tc>
          <w:tcPr>
            <w:tcW w:w="271" w:type="pct"/>
            <w:tcBorders>
              <w:right w:val="single" w:sz="4" w:space="0" w:color="27B1B0"/>
            </w:tcBorders>
            <w:shd w:val="clear" w:color="auto" w:fill="auto"/>
            <w:vAlign w:val="center"/>
            <w:hideMark/>
          </w:tcPr>
          <w:p w14:paraId="01B17BF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26</w:t>
            </w:r>
          </w:p>
        </w:tc>
        <w:tc>
          <w:tcPr>
            <w:tcW w:w="801" w:type="pct"/>
            <w:tcBorders>
              <w:left w:val="single" w:sz="4" w:space="0" w:color="27B1B0"/>
              <w:right w:val="single" w:sz="4" w:space="0" w:color="27B1B0"/>
            </w:tcBorders>
            <w:shd w:val="clear" w:color="auto" w:fill="auto"/>
            <w:vAlign w:val="center"/>
            <w:hideMark/>
          </w:tcPr>
          <w:p w14:paraId="10ECE7B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Kanioni i Urës së Shenjtë</w:t>
            </w:r>
          </w:p>
        </w:tc>
        <w:tc>
          <w:tcPr>
            <w:tcW w:w="1894" w:type="pct"/>
            <w:tcBorders>
              <w:left w:val="single" w:sz="4" w:space="0" w:color="27B1B0"/>
              <w:right w:val="single" w:sz="4" w:space="0" w:color="27B1B0"/>
            </w:tcBorders>
            <w:shd w:val="clear" w:color="auto" w:fill="auto"/>
            <w:vAlign w:val="center"/>
            <w:hideMark/>
          </w:tcPr>
          <w:p w14:paraId="6B82C239" w14:textId="1024A3DA"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të Urës së Shenjtë, </w:t>
            </w:r>
            <w:r w:rsidR="00034FBB">
              <w:rPr>
                <w:rFonts w:ascii="Garamond" w:hAnsi="Garamond"/>
                <w:sz w:val="20"/>
                <w:szCs w:val="20"/>
                <w:lang w:val="sq-AL"/>
              </w:rPr>
              <w:t>NJQV</w:t>
            </w:r>
            <w:r w:rsidRPr="00445472">
              <w:rPr>
                <w:rFonts w:ascii="Garamond" w:hAnsi="Garamond"/>
                <w:sz w:val="20"/>
                <w:szCs w:val="20"/>
                <w:lang w:val="sq-AL"/>
              </w:rPr>
              <w:t xml:space="preserve"> Postribë, Rrethi i Shkodrës</w:t>
            </w:r>
          </w:p>
        </w:tc>
        <w:tc>
          <w:tcPr>
            <w:tcW w:w="2034" w:type="pct"/>
            <w:tcBorders>
              <w:left w:val="single" w:sz="4" w:space="0" w:color="27B1B0"/>
              <w:right w:val="single" w:sz="4" w:space="0" w:color="27B1B0"/>
            </w:tcBorders>
            <w:shd w:val="clear" w:color="auto" w:fill="auto"/>
            <w:vAlign w:val="center"/>
            <w:hideMark/>
          </w:tcPr>
          <w:p w14:paraId="1262005C" w14:textId="6294778A"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kanion që formohet nga korrozioni i ujërave të lumit Kir. Një ekosistem karstik. Është ndërtuar një urë në këtë </w:t>
            </w:r>
            <w:r w:rsidR="00E07D87" w:rsidRPr="00445472">
              <w:rPr>
                <w:rFonts w:ascii="Garamond" w:hAnsi="Garamond"/>
                <w:sz w:val="20"/>
                <w:szCs w:val="20"/>
                <w:lang w:val="sq-AL"/>
              </w:rPr>
              <w:t xml:space="preserve">kanion, </w:t>
            </w:r>
            <w:r w:rsidRPr="00445472">
              <w:rPr>
                <w:rFonts w:ascii="Garamond" w:hAnsi="Garamond"/>
                <w:sz w:val="20"/>
                <w:szCs w:val="20"/>
                <w:lang w:val="sq-AL"/>
              </w:rPr>
              <w:t xml:space="preserve">që lidh qytetin e Shkodrës me fshatin Prekal dhe përtej </w:t>
            </w:r>
          </w:p>
        </w:tc>
      </w:tr>
      <w:tr w:rsidR="0059625C" w:rsidRPr="00445472" w14:paraId="158FEBCD" w14:textId="77777777" w:rsidTr="0059625C">
        <w:trPr>
          <w:trHeight w:val="495"/>
          <w:jc w:val="center"/>
        </w:trPr>
        <w:tc>
          <w:tcPr>
            <w:tcW w:w="271" w:type="pct"/>
            <w:tcBorders>
              <w:right w:val="single" w:sz="4" w:space="0" w:color="27B1B0"/>
            </w:tcBorders>
            <w:shd w:val="clear" w:color="auto" w:fill="auto"/>
            <w:vAlign w:val="center"/>
            <w:hideMark/>
          </w:tcPr>
          <w:p w14:paraId="2E0DF3D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27</w:t>
            </w:r>
          </w:p>
        </w:tc>
        <w:tc>
          <w:tcPr>
            <w:tcW w:w="801" w:type="pct"/>
            <w:tcBorders>
              <w:left w:val="single" w:sz="4" w:space="0" w:color="27B1B0"/>
              <w:right w:val="single" w:sz="4" w:space="0" w:color="27B1B0"/>
            </w:tcBorders>
            <w:shd w:val="clear" w:color="auto" w:fill="auto"/>
            <w:vAlign w:val="center"/>
            <w:hideMark/>
          </w:tcPr>
          <w:p w14:paraId="6851234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Kanioni i Vanave</w:t>
            </w:r>
          </w:p>
        </w:tc>
        <w:tc>
          <w:tcPr>
            <w:tcW w:w="1894" w:type="pct"/>
            <w:tcBorders>
              <w:left w:val="single" w:sz="4" w:space="0" w:color="27B1B0"/>
              <w:right w:val="single" w:sz="4" w:space="0" w:color="27B1B0"/>
            </w:tcBorders>
            <w:shd w:val="clear" w:color="auto" w:fill="auto"/>
            <w:vAlign w:val="center"/>
            <w:hideMark/>
          </w:tcPr>
          <w:p w14:paraId="0BC2306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Rrjedha e mesme e lumit Lumë (Rivat e Drinit të Bardhë), Fshati Topojan, Kukës</w:t>
            </w:r>
          </w:p>
        </w:tc>
        <w:tc>
          <w:tcPr>
            <w:tcW w:w="2034" w:type="pct"/>
            <w:tcBorders>
              <w:left w:val="single" w:sz="4" w:space="0" w:color="27B1B0"/>
              <w:right w:val="single" w:sz="4" w:space="0" w:color="27B1B0"/>
            </w:tcBorders>
            <w:shd w:val="clear" w:color="auto" w:fill="auto"/>
            <w:vAlign w:val="center"/>
            <w:hideMark/>
          </w:tcPr>
          <w:p w14:paraId="33C7DDA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kanion karstik</w:t>
            </w:r>
          </w:p>
        </w:tc>
      </w:tr>
      <w:tr w:rsidR="0059625C" w:rsidRPr="00445472" w14:paraId="018B6AA2" w14:textId="77777777" w:rsidTr="0059625C">
        <w:trPr>
          <w:trHeight w:val="495"/>
          <w:jc w:val="center"/>
        </w:trPr>
        <w:tc>
          <w:tcPr>
            <w:tcW w:w="271" w:type="pct"/>
            <w:tcBorders>
              <w:right w:val="single" w:sz="4" w:space="0" w:color="27B1B0"/>
            </w:tcBorders>
            <w:shd w:val="clear" w:color="auto" w:fill="auto"/>
            <w:vAlign w:val="center"/>
            <w:hideMark/>
          </w:tcPr>
          <w:p w14:paraId="4D55C28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28</w:t>
            </w:r>
          </w:p>
        </w:tc>
        <w:tc>
          <w:tcPr>
            <w:tcW w:w="801" w:type="pct"/>
            <w:tcBorders>
              <w:left w:val="single" w:sz="4" w:space="0" w:color="27B1B0"/>
              <w:right w:val="single" w:sz="4" w:space="0" w:color="27B1B0"/>
            </w:tcBorders>
            <w:shd w:val="clear" w:color="auto" w:fill="auto"/>
            <w:vAlign w:val="center"/>
            <w:hideMark/>
          </w:tcPr>
          <w:p w14:paraId="6E15AC6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Kanioni i Shoshanit</w:t>
            </w:r>
          </w:p>
        </w:tc>
        <w:tc>
          <w:tcPr>
            <w:tcW w:w="1894" w:type="pct"/>
            <w:tcBorders>
              <w:left w:val="single" w:sz="4" w:space="0" w:color="27B1B0"/>
              <w:right w:val="single" w:sz="4" w:space="0" w:color="27B1B0"/>
            </w:tcBorders>
            <w:shd w:val="clear" w:color="auto" w:fill="auto"/>
            <w:vAlign w:val="center"/>
            <w:hideMark/>
          </w:tcPr>
          <w:p w14:paraId="5084F8E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Rrjedha e mesme e lumit Valbonë</w:t>
            </w:r>
          </w:p>
        </w:tc>
        <w:tc>
          <w:tcPr>
            <w:tcW w:w="2034" w:type="pct"/>
            <w:tcBorders>
              <w:left w:val="single" w:sz="4" w:space="0" w:color="27B1B0"/>
              <w:right w:val="single" w:sz="4" w:space="0" w:color="27B1B0"/>
            </w:tcBorders>
            <w:shd w:val="clear" w:color="auto" w:fill="auto"/>
            <w:vAlign w:val="center"/>
            <w:hideMark/>
          </w:tcPr>
          <w:p w14:paraId="184DF3B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kanion që formohet nga korrozioni i ujërave të lumit Shoshan </w:t>
            </w:r>
          </w:p>
        </w:tc>
      </w:tr>
      <w:tr w:rsidR="0059625C" w:rsidRPr="00445472" w14:paraId="1E344983" w14:textId="77777777" w:rsidTr="0059625C">
        <w:trPr>
          <w:trHeight w:val="495"/>
          <w:jc w:val="center"/>
        </w:trPr>
        <w:tc>
          <w:tcPr>
            <w:tcW w:w="271" w:type="pct"/>
            <w:tcBorders>
              <w:right w:val="single" w:sz="4" w:space="0" w:color="27B1B0"/>
            </w:tcBorders>
            <w:shd w:val="clear" w:color="auto" w:fill="auto"/>
            <w:vAlign w:val="center"/>
            <w:hideMark/>
          </w:tcPr>
          <w:p w14:paraId="5C86705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29</w:t>
            </w:r>
          </w:p>
        </w:tc>
        <w:tc>
          <w:tcPr>
            <w:tcW w:w="801" w:type="pct"/>
            <w:tcBorders>
              <w:left w:val="single" w:sz="4" w:space="0" w:color="27B1B0"/>
              <w:right w:val="single" w:sz="4" w:space="0" w:color="27B1B0"/>
            </w:tcBorders>
            <w:shd w:val="clear" w:color="auto" w:fill="auto"/>
            <w:vAlign w:val="center"/>
            <w:hideMark/>
          </w:tcPr>
          <w:p w14:paraId="2C9088E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Ligatina e Kukësit</w:t>
            </w:r>
          </w:p>
        </w:tc>
        <w:tc>
          <w:tcPr>
            <w:tcW w:w="1894" w:type="pct"/>
            <w:tcBorders>
              <w:left w:val="single" w:sz="4" w:space="0" w:color="27B1B0"/>
              <w:right w:val="single" w:sz="4" w:space="0" w:color="27B1B0"/>
            </w:tcBorders>
            <w:shd w:val="clear" w:color="auto" w:fill="auto"/>
            <w:vAlign w:val="center"/>
            <w:hideMark/>
          </w:tcPr>
          <w:p w14:paraId="3FE00BC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shtatit të lumit Drini i Zi, midis Kukësit dhe Bicajt, afër fshatit Bushat, Kukës</w:t>
            </w:r>
          </w:p>
        </w:tc>
        <w:tc>
          <w:tcPr>
            <w:tcW w:w="2034" w:type="pct"/>
            <w:tcBorders>
              <w:left w:val="single" w:sz="4" w:space="0" w:color="27B1B0"/>
              <w:right w:val="single" w:sz="4" w:space="0" w:color="27B1B0"/>
            </w:tcBorders>
            <w:shd w:val="clear" w:color="auto" w:fill="auto"/>
            <w:vAlign w:val="center"/>
            <w:hideMark/>
          </w:tcPr>
          <w:p w14:paraId="1130F50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liqen që prej epokës katërsore që po zhduket. Është një ekosistem moçalishte </w:t>
            </w:r>
          </w:p>
        </w:tc>
      </w:tr>
      <w:tr w:rsidR="0059625C" w:rsidRPr="00445472" w14:paraId="733576DC" w14:textId="77777777" w:rsidTr="0059625C">
        <w:trPr>
          <w:trHeight w:val="495"/>
          <w:jc w:val="center"/>
        </w:trPr>
        <w:tc>
          <w:tcPr>
            <w:tcW w:w="271" w:type="pct"/>
            <w:tcBorders>
              <w:right w:val="single" w:sz="4" w:space="0" w:color="27B1B0"/>
            </w:tcBorders>
            <w:shd w:val="clear" w:color="auto" w:fill="auto"/>
            <w:vAlign w:val="center"/>
            <w:hideMark/>
          </w:tcPr>
          <w:p w14:paraId="56F4DCC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30</w:t>
            </w:r>
          </w:p>
        </w:tc>
        <w:tc>
          <w:tcPr>
            <w:tcW w:w="801" w:type="pct"/>
            <w:tcBorders>
              <w:left w:val="single" w:sz="4" w:space="0" w:color="27B1B0"/>
              <w:right w:val="single" w:sz="4" w:space="0" w:color="27B1B0"/>
            </w:tcBorders>
            <w:shd w:val="clear" w:color="auto" w:fill="auto"/>
            <w:vAlign w:val="center"/>
            <w:hideMark/>
          </w:tcPr>
          <w:p w14:paraId="0AC60B3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Kanioni i Poicës (Kanioni i Përroit të Thatë)</w:t>
            </w:r>
          </w:p>
        </w:tc>
        <w:tc>
          <w:tcPr>
            <w:tcW w:w="1894" w:type="pct"/>
            <w:tcBorders>
              <w:left w:val="single" w:sz="4" w:space="0" w:color="27B1B0"/>
              <w:right w:val="single" w:sz="4" w:space="0" w:color="27B1B0"/>
            </w:tcBorders>
            <w:shd w:val="clear" w:color="auto" w:fill="auto"/>
            <w:vAlign w:val="center"/>
            <w:hideMark/>
          </w:tcPr>
          <w:p w14:paraId="6AA8354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Afër fshatit Zagorë, Malësia ë Madhe</w:t>
            </w:r>
          </w:p>
        </w:tc>
        <w:tc>
          <w:tcPr>
            <w:tcW w:w="2034" w:type="pct"/>
            <w:tcBorders>
              <w:left w:val="single" w:sz="4" w:space="0" w:color="27B1B0"/>
              <w:right w:val="single" w:sz="4" w:space="0" w:color="27B1B0"/>
            </w:tcBorders>
            <w:shd w:val="clear" w:color="auto" w:fill="auto"/>
            <w:vAlign w:val="center"/>
            <w:hideMark/>
          </w:tcPr>
          <w:p w14:paraId="52110D3B"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grykë e ngushtë që formohet nga korrozioni i ujërave të Përroit të Thatë dhe procesit karstik </w:t>
            </w:r>
          </w:p>
        </w:tc>
      </w:tr>
      <w:tr w:rsidR="0059625C" w:rsidRPr="00445472" w14:paraId="4B23487F" w14:textId="77777777" w:rsidTr="0059625C">
        <w:trPr>
          <w:trHeight w:val="495"/>
          <w:jc w:val="center"/>
        </w:trPr>
        <w:tc>
          <w:tcPr>
            <w:tcW w:w="271" w:type="pct"/>
            <w:tcBorders>
              <w:right w:val="single" w:sz="4" w:space="0" w:color="27B1B0"/>
            </w:tcBorders>
            <w:shd w:val="clear" w:color="auto" w:fill="auto"/>
            <w:vAlign w:val="center"/>
            <w:hideMark/>
          </w:tcPr>
          <w:p w14:paraId="651DBB5F"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31</w:t>
            </w:r>
          </w:p>
        </w:tc>
        <w:tc>
          <w:tcPr>
            <w:tcW w:w="801" w:type="pct"/>
            <w:tcBorders>
              <w:left w:val="single" w:sz="4" w:space="0" w:color="27B1B0"/>
              <w:right w:val="single" w:sz="4" w:space="0" w:color="27B1B0"/>
            </w:tcBorders>
            <w:shd w:val="clear" w:color="auto" w:fill="auto"/>
            <w:vAlign w:val="center"/>
            <w:hideMark/>
          </w:tcPr>
          <w:p w14:paraId="40AA299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Kroi i Bardhë</w:t>
            </w:r>
          </w:p>
        </w:tc>
        <w:tc>
          <w:tcPr>
            <w:tcW w:w="1894" w:type="pct"/>
            <w:tcBorders>
              <w:left w:val="single" w:sz="4" w:space="0" w:color="27B1B0"/>
              <w:right w:val="single" w:sz="4" w:space="0" w:color="27B1B0"/>
            </w:tcBorders>
            <w:shd w:val="clear" w:color="auto" w:fill="auto"/>
            <w:vAlign w:val="center"/>
            <w:hideMark/>
          </w:tcPr>
          <w:p w14:paraId="5B0B60C6" w14:textId="1000B302"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 xml:space="preserve">Në afërsi të Shishtavecit, në Veriperëndim të majës së Tërfojës, 1750 m, fshatit Turaj, </w:t>
            </w:r>
            <w:r w:rsidR="00034FBB">
              <w:rPr>
                <w:rFonts w:ascii="Garamond" w:hAnsi="Garamond"/>
                <w:sz w:val="20"/>
                <w:szCs w:val="20"/>
                <w:lang w:val="sq-AL"/>
              </w:rPr>
              <w:t>NJQV</w:t>
            </w:r>
            <w:r w:rsidRPr="00445472">
              <w:rPr>
                <w:rFonts w:ascii="Garamond" w:hAnsi="Garamond"/>
                <w:sz w:val="20"/>
                <w:szCs w:val="20"/>
                <w:lang w:val="sq-AL"/>
              </w:rPr>
              <w:t xml:space="preserve"> Topojan, Kukës</w:t>
            </w:r>
          </w:p>
        </w:tc>
        <w:tc>
          <w:tcPr>
            <w:tcW w:w="2034" w:type="pct"/>
            <w:tcBorders>
              <w:left w:val="single" w:sz="4" w:space="0" w:color="27B1B0"/>
              <w:right w:val="single" w:sz="4" w:space="0" w:color="27B1B0"/>
            </w:tcBorders>
            <w:shd w:val="clear" w:color="auto" w:fill="auto"/>
            <w:vAlign w:val="center"/>
            <w:hideMark/>
          </w:tcPr>
          <w:p w14:paraId="5E8C659E" w14:textId="77777777" w:rsidR="0059625C" w:rsidRPr="00445472" w:rsidRDefault="0059625C" w:rsidP="00B15A6B">
            <w:pPr>
              <w:pStyle w:val="TableTextCentre"/>
              <w:spacing w:before="0" w:after="0"/>
              <w:ind w:right="0"/>
              <w:rPr>
                <w:rFonts w:ascii="Garamond" w:hAnsi="Garamond"/>
                <w:sz w:val="20"/>
                <w:szCs w:val="20"/>
                <w:lang w:val="sq-AL"/>
              </w:rPr>
            </w:pPr>
            <w:r w:rsidRPr="00445472">
              <w:rPr>
                <w:rFonts w:ascii="Garamond" w:hAnsi="Garamond"/>
                <w:sz w:val="20"/>
                <w:szCs w:val="20"/>
                <w:lang w:val="sq-AL"/>
              </w:rPr>
              <w:t>Burim karstik</w:t>
            </w:r>
          </w:p>
        </w:tc>
      </w:tr>
      <w:tr w:rsidR="0059625C" w:rsidRPr="00445472" w14:paraId="5F6B680B" w14:textId="77777777" w:rsidTr="0059625C">
        <w:trPr>
          <w:trHeight w:val="495"/>
          <w:jc w:val="center"/>
        </w:trPr>
        <w:tc>
          <w:tcPr>
            <w:tcW w:w="271" w:type="pct"/>
            <w:tcBorders>
              <w:right w:val="single" w:sz="4" w:space="0" w:color="27B1B0"/>
            </w:tcBorders>
            <w:shd w:val="clear" w:color="auto" w:fill="auto"/>
            <w:vAlign w:val="center"/>
            <w:hideMark/>
          </w:tcPr>
          <w:p w14:paraId="23A111C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32</w:t>
            </w:r>
          </w:p>
        </w:tc>
        <w:tc>
          <w:tcPr>
            <w:tcW w:w="801" w:type="pct"/>
            <w:tcBorders>
              <w:left w:val="single" w:sz="4" w:space="0" w:color="27B1B0"/>
              <w:right w:val="single" w:sz="4" w:space="0" w:color="27B1B0"/>
            </w:tcBorders>
            <w:shd w:val="clear" w:color="auto" w:fill="auto"/>
            <w:vAlign w:val="center"/>
            <w:hideMark/>
          </w:tcPr>
          <w:p w14:paraId="7533800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Kroi i Gjallicës</w:t>
            </w:r>
          </w:p>
        </w:tc>
        <w:tc>
          <w:tcPr>
            <w:tcW w:w="1894" w:type="pct"/>
            <w:tcBorders>
              <w:left w:val="single" w:sz="4" w:space="0" w:color="27B1B0"/>
              <w:right w:val="single" w:sz="4" w:space="0" w:color="27B1B0"/>
            </w:tcBorders>
            <w:shd w:val="clear" w:color="auto" w:fill="auto"/>
            <w:vAlign w:val="center"/>
            <w:hideMark/>
          </w:tcPr>
          <w:p w14:paraId="53C3F8CA" w14:textId="0038F3C8"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Shishtavecit, në Veriperëndim të Malit Gjalicë, Dërshanë, </w:t>
            </w:r>
            <w:r w:rsidR="00034FBB">
              <w:rPr>
                <w:rFonts w:ascii="Garamond" w:hAnsi="Garamond"/>
                <w:sz w:val="20"/>
                <w:szCs w:val="20"/>
                <w:lang w:val="sq-AL"/>
              </w:rPr>
              <w:t>NJQV</w:t>
            </w:r>
            <w:r w:rsidRPr="00445472">
              <w:rPr>
                <w:rFonts w:ascii="Garamond" w:hAnsi="Garamond"/>
                <w:sz w:val="20"/>
                <w:szCs w:val="20"/>
                <w:lang w:val="sq-AL"/>
              </w:rPr>
              <w:t xml:space="preserve"> Topojan, Kukës </w:t>
            </w:r>
          </w:p>
        </w:tc>
        <w:tc>
          <w:tcPr>
            <w:tcW w:w="2034" w:type="pct"/>
            <w:tcBorders>
              <w:left w:val="single" w:sz="4" w:space="0" w:color="27B1B0"/>
              <w:right w:val="single" w:sz="4" w:space="0" w:color="27B1B0"/>
            </w:tcBorders>
            <w:shd w:val="clear" w:color="auto" w:fill="auto"/>
            <w:vAlign w:val="center"/>
            <w:hideMark/>
          </w:tcPr>
          <w:p w14:paraId="202C52A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514A7558" w14:textId="77777777" w:rsidTr="0059625C">
        <w:trPr>
          <w:trHeight w:val="300"/>
          <w:jc w:val="center"/>
        </w:trPr>
        <w:tc>
          <w:tcPr>
            <w:tcW w:w="271" w:type="pct"/>
            <w:tcBorders>
              <w:right w:val="single" w:sz="4" w:space="0" w:color="27B1B0"/>
            </w:tcBorders>
            <w:shd w:val="clear" w:color="auto" w:fill="auto"/>
            <w:vAlign w:val="center"/>
            <w:hideMark/>
          </w:tcPr>
          <w:p w14:paraId="3683619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33</w:t>
            </w:r>
          </w:p>
        </w:tc>
        <w:tc>
          <w:tcPr>
            <w:tcW w:w="801" w:type="pct"/>
            <w:tcBorders>
              <w:left w:val="single" w:sz="4" w:space="0" w:color="27B1B0"/>
              <w:right w:val="single" w:sz="4" w:space="0" w:color="27B1B0"/>
            </w:tcBorders>
            <w:shd w:val="clear" w:color="auto" w:fill="auto"/>
            <w:vAlign w:val="center"/>
            <w:hideMark/>
          </w:tcPr>
          <w:p w14:paraId="694481E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Kroi i Mbretit – Serakol</w:t>
            </w:r>
          </w:p>
        </w:tc>
        <w:tc>
          <w:tcPr>
            <w:tcW w:w="1894" w:type="pct"/>
            <w:tcBorders>
              <w:left w:val="single" w:sz="4" w:space="0" w:color="27B1B0"/>
              <w:right w:val="single" w:sz="4" w:space="0" w:color="27B1B0"/>
            </w:tcBorders>
            <w:shd w:val="clear" w:color="auto" w:fill="auto"/>
            <w:vAlign w:val="center"/>
            <w:hideMark/>
          </w:tcPr>
          <w:p w14:paraId="04393C4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Afër fshatit Dobërdol </w:t>
            </w:r>
          </w:p>
        </w:tc>
        <w:tc>
          <w:tcPr>
            <w:tcW w:w="2034" w:type="pct"/>
            <w:tcBorders>
              <w:left w:val="single" w:sz="4" w:space="0" w:color="27B1B0"/>
              <w:right w:val="single" w:sz="4" w:space="0" w:color="27B1B0"/>
            </w:tcBorders>
            <w:shd w:val="clear" w:color="auto" w:fill="auto"/>
            <w:vAlign w:val="center"/>
            <w:hideMark/>
          </w:tcPr>
          <w:p w14:paraId="22CA988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0AEC3BB6" w14:textId="77777777" w:rsidTr="0059625C">
        <w:trPr>
          <w:trHeight w:val="495"/>
          <w:jc w:val="center"/>
        </w:trPr>
        <w:tc>
          <w:tcPr>
            <w:tcW w:w="271" w:type="pct"/>
            <w:tcBorders>
              <w:right w:val="single" w:sz="4" w:space="0" w:color="27B1B0"/>
            </w:tcBorders>
            <w:shd w:val="clear" w:color="auto" w:fill="auto"/>
            <w:vAlign w:val="center"/>
            <w:hideMark/>
          </w:tcPr>
          <w:p w14:paraId="308485F0"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34</w:t>
            </w:r>
          </w:p>
        </w:tc>
        <w:tc>
          <w:tcPr>
            <w:tcW w:w="801" w:type="pct"/>
            <w:tcBorders>
              <w:left w:val="single" w:sz="4" w:space="0" w:color="27B1B0"/>
              <w:right w:val="single" w:sz="4" w:space="0" w:color="27B1B0"/>
            </w:tcBorders>
            <w:shd w:val="clear" w:color="auto" w:fill="auto"/>
            <w:vAlign w:val="center"/>
            <w:hideMark/>
          </w:tcPr>
          <w:p w14:paraId="6713214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Liqenet akullnajore të Dobërdolit</w:t>
            </w:r>
          </w:p>
        </w:tc>
        <w:tc>
          <w:tcPr>
            <w:tcW w:w="1894" w:type="pct"/>
            <w:tcBorders>
              <w:left w:val="single" w:sz="4" w:space="0" w:color="27B1B0"/>
              <w:right w:val="single" w:sz="4" w:space="0" w:color="27B1B0"/>
            </w:tcBorders>
            <w:shd w:val="clear" w:color="auto" w:fill="auto"/>
            <w:vAlign w:val="center"/>
            <w:hideMark/>
          </w:tcPr>
          <w:p w14:paraId="63F07982" w14:textId="51A5EEA4"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Fshati Çerëm, </w:t>
            </w:r>
            <w:r w:rsidR="00034FBB">
              <w:rPr>
                <w:rFonts w:ascii="Garamond" w:hAnsi="Garamond"/>
                <w:sz w:val="20"/>
                <w:szCs w:val="20"/>
                <w:lang w:val="sq-AL"/>
              </w:rPr>
              <w:t>NJQV</w:t>
            </w:r>
            <w:r w:rsidRPr="00445472">
              <w:rPr>
                <w:rFonts w:ascii="Garamond" w:hAnsi="Garamond"/>
                <w:sz w:val="20"/>
                <w:szCs w:val="20"/>
                <w:lang w:val="sq-AL"/>
              </w:rPr>
              <w:t xml:space="preserve"> Margegaj, Rrethi i Tropojës</w:t>
            </w:r>
          </w:p>
        </w:tc>
        <w:tc>
          <w:tcPr>
            <w:tcW w:w="2034" w:type="pct"/>
            <w:tcBorders>
              <w:left w:val="single" w:sz="4" w:space="0" w:color="27B1B0"/>
              <w:right w:val="single" w:sz="4" w:space="0" w:color="27B1B0"/>
            </w:tcBorders>
            <w:shd w:val="clear" w:color="auto" w:fill="auto"/>
            <w:vAlign w:val="center"/>
            <w:hideMark/>
          </w:tcPr>
          <w:p w14:paraId="1B724C7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liqen akullnajor. I pasur në fauna, karakteristikë e liqeneve të Alpeve </w:t>
            </w:r>
          </w:p>
        </w:tc>
      </w:tr>
      <w:tr w:rsidR="0059625C" w:rsidRPr="00445472" w14:paraId="1F99F8B9" w14:textId="77777777" w:rsidTr="0059625C">
        <w:trPr>
          <w:trHeight w:val="278"/>
          <w:jc w:val="center"/>
        </w:trPr>
        <w:tc>
          <w:tcPr>
            <w:tcW w:w="271" w:type="pct"/>
            <w:tcBorders>
              <w:right w:val="single" w:sz="4" w:space="0" w:color="27B1B0"/>
            </w:tcBorders>
            <w:shd w:val="clear" w:color="auto" w:fill="auto"/>
            <w:vAlign w:val="center"/>
            <w:hideMark/>
          </w:tcPr>
          <w:p w14:paraId="23BB7DB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35</w:t>
            </w:r>
          </w:p>
        </w:tc>
        <w:tc>
          <w:tcPr>
            <w:tcW w:w="801" w:type="pct"/>
            <w:tcBorders>
              <w:left w:val="single" w:sz="4" w:space="0" w:color="27B1B0"/>
              <w:right w:val="single" w:sz="4" w:space="0" w:color="27B1B0"/>
            </w:tcBorders>
            <w:shd w:val="clear" w:color="auto" w:fill="auto"/>
            <w:vAlign w:val="center"/>
            <w:hideMark/>
          </w:tcPr>
          <w:p w14:paraId="6AD2FC6B"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Liqenet akullnajore të Sylbicës</w:t>
            </w:r>
          </w:p>
        </w:tc>
        <w:tc>
          <w:tcPr>
            <w:tcW w:w="1894" w:type="pct"/>
            <w:tcBorders>
              <w:left w:val="single" w:sz="4" w:space="0" w:color="27B1B0"/>
              <w:right w:val="single" w:sz="4" w:space="0" w:color="27B1B0"/>
            </w:tcBorders>
            <w:shd w:val="clear" w:color="auto" w:fill="auto"/>
            <w:vAlign w:val="center"/>
            <w:hideMark/>
          </w:tcPr>
          <w:p w14:paraId="3B2A896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luginën akullnajore In the glacial të zonës malore të Gashit </w:t>
            </w:r>
          </w:p>
        </w:tc>
        <w:tc>
          <w:tcPr>
            <w:tcW w:w="2034" w:type="pct"/>
            <w:tcBorders>
              <w:left w:val="single" w:sz="4" w:space="0" w:color="27B1B0"/>
              <w:right w:val="single" w:sz="4" w:space="0" w:color="27B1B0"/>
            </w:tcBorders>
            <w:shd w:val="clear" w:color="auto" w:fill="auto"/>
            <w:vAlign w:val="center"/>
            <w:hideMark/>
          </w:tcPr>
          <w:p w14:paraId="69E55FD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liqen akullnajor. I pasur në fauna, karakteristikë e liqeneve të Alpeve</w:t>
            </w:r>
          </w:p>
        </w:tc>
      </w:tr>
      <w:tr w:rsidR="0059625C" w:rsidRPr="00445472" w14:paraId="2A798510" w14:textId="77777777" w:rsidTr="0059625C">
        <w:trPr>
          <w:trHeight w:val="251"/>
          <w:jc w:val="center"/>
        </w:trPr>
        <w:tc>
          <w:tcPr>
            <w:tcW w:w="271" w:type="pct"/>
            <w:tcBorders>
              <w:right w:val="single" w:sz="4" w:space="0" w:color="27B1B0"/>
            </w:tcBorders>
            <w:shd w:val="clear" w:color="auto" w:fill="auto"/>
            <w:vAlign w:val="center"/>
            <w:hideMark/>
          </w:tcPr>
          <w:p w14:paraId="70E7873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36</w:t>
            </w:r>
          </w:p>
        </w:tc>
        <w:tc>
          <w:tcPr>
            <w:tcW w:w="801" w:type="pct"/>
            <w:tcBorders>
              <w:left w:val="single" w:sz="4" w:space="0" w:color="27B1B0"/>
              <w:right w:val="single" w:sz="4" w:space="0" w:color="27B1B0"/>
            </w:tcBorders>
            <w:shd w:val="clear" w:color="auto" w:fill="auto"/>
            <w:vAlign w:val="center"/>
            <w:hideMark/>
          </w:tcPr>
          <w:p w14:paraId="7D3BBAD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Luleve (Lurë)</w:t>
            </w:r>
          </w:p>
        </w:tc>
        <w:tc>
          <w:tcPr>
            <w:tcW w:w="1894" w:type="pct"/>
            <w:tcBorders>
              <w:left w:val="single" w:sz="4" w:space="0" w:color="27B1B0"/>
              <w:right w:val="single" w:sz="4" w:space="0" w:color="27B1B0"/>
            </w:tcBorders>
            <w:shd w:val="clear" w:color="auto" w:fill="auto"/>
            <w:vAlign w:val="center"/>
            <w:hideMark/>
          </w:tcPr>
          <w:p w14:paraId="777BFD8E" w14:textId="74BAC418"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Parkun Kombëtar të Lurës, 1600</w:t>
            </w:r>
            <w:r w:rsidR="00E07D87" w:rsidRPr="00445472">
              <w:rPr>
                <w:rFonts w:ascii="Garamond" w:hAnsi="Garamond"/>
                <w:sz w:val="20"/>
                <w:szCs w:val="20"/>
                <w:lang w:val="sq-AL"/>
              </w:rPr>
              <w:t xml:space="preserve"> </w:t>
            </w:r>
            <w:r w:rsidRPr="00445472">
              <w:rPr>
                <w:rFonts w:ascii="Garamond" w:hAnsi="Garamond"/>
                <w:sz w:val="20"/>
                <w:szCs w:val="20"/>
                <w:lang w:val="sq-AL"/>
              </w:rPr>
              <w:t xml:space="preserve">m </w:t>
            </w:r>
          </w:p>
        </w:tc>
        <w:tc>
          <w:tcPr>
            <w:tcW w:w="2034" w:type="pct"/>
            <w:tcBorders>
              <w:left w:val="single" w:sz="4" w:space="0" w:color="27B1B0"/>
              <w:right w:val="single" w:sz="4" w:space="0" w:color="27B1B0"/>
            </w:tcBorders>
            <w:shd w:val="clear" w:color="auto" w:fill="auto"/>
            <w:vAlign w:val="center"/>
            <w:hideMark/>
          </w:tcPr>
          <w:p w14:paraId="6ABB31F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liqen akullnajor. I pasur në fauna, karakteristikë e liqeneve të Alpeve</w:t>
            </w:r>
          </w:p>
        </w:tc>
      </w:tr>
      <w:tr w:rsidR="0059625C" w:rsidRPr="00445472" w14:paraId="7A63316C" w14:textId="77777777" w:rsidTr="0059625C">
        <w:trPr>
          <w:trHeight w:val="287"/>
          <w:jc w:val="center"/>
        </w:trPr>
        <w:tc>
          <w:tcPr>
            <w:tcW w:w="271" w:type="pct"/>
            <w:tcBorders>
              <w:right w:val="single" w:sz="4" w:space="0" w:color="27B1B0"/>
            </w:tcBorders>
            <w:shd w:val="clear" w:color="auto" w:fill="auto"/>
            <w:vAlign w:val="center"/>
            <w:hideMark/>
          </w:tcPr>
          <w:p w14:paraId="12F27B9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37</w:t>
            </w:r>
          </w:p>
        </w:tc>
        <w:tc>
          <w:tcPr>
            <w:tcW w:w="801" w:type="pct"/>
            <w:tcBorders>
              <w:left w:val="single" w:sz="4" w:space="0" w:color="27B1B0"/>
              <w:right w:val="single" w:sz="4" w:space="0" w:color="27B1B0"/>
            </w:tcBorders>
            <w:shd w:val="clear" w:color="auto" w:fill="auto"/>
            <w:vAlign w:val="center"/>
            <w:hideMark/>
          </w:tcPr>
          <w:p w14:paraId="7B7C6CA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Jezercës</w:t>
            </w:r>
          </w:p>
        </w:tc>
        <w:tc>
          <w:tcPr>
            <w:tcW w:w="1894" w:type="pct"/>
            <w:tcBorders>
              <w:left w:val="single" w:sz="4" w:space="0" w:color="27B1B0"/>
              <w:right w:val="single" w:sz="4" w:space="0" w:color="27B1B0"/>
            </w:tcBorders>
            <w:shd w:val="clear" w:color="auto" w:fill="auto"/>
            <w:vAlign w:val="center"/>
            <w:hideMark/>
          </w:tcPr>
          <w:p w14:paraId="6F622FB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Mali Jezerca </w:t>
            </w:r>
          </w:p>
        </w:tc>
        <w:tc>
          <w:tcPr>
            <w:tcW w:w="2034" w:type="pct"/>
            <w:tcBorders>
              <w:left w:val="single" w:sz="4" w:space="0" w:color="27B1B0"/>
              <w:right w:val="single" w:sz="4" w:space="0" w:color="27B1B0"/>
            </w:tcBorders>
            <w:shd w:val="clear" w:color="auto" w:fill="auto"/>
            <w:vAlign w:val="center"/>
            <w:hideMark/>
          </w:tcPr>
          <w:p w14:paraId="24CD7DE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liqen akullnajor. I pasur në fauna, karakteristikë e liqeneve të Alpeve</w:t>
            </w:r>
          </w:p>
        </w:tc>
      </w:tr>
      <w:tr w:rsidR="0059625C" w:rsidRPr="00445472" w14:paraId="4A9A9004" w14:textId="77777777" w:rsidTr="0059625C">
        <w:trPr>
          <w:trHeight w:val="323"/>
          <w:jc w:val="center"/>
        </w:trPr>
        <w:tc>
          <w:tcPr>
            <w:tcW w:w="271" w:type="pct"/>
            <w:tcBorders>
              <w:right w:val="single" w:sz="4" w:space="0" w:color="27B1B0"/>
            </w:tcBorders>
            <w:shd w:val="clear" w:color="auto" w:fill="auto"/>
            <w:vAlign w:val="center"/>
            <w:hideMark/>
          </w:tcPr>
          <w:p w14:paraId="4A6BF2C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38</w:t>
            </w:r>
          </w:p>
        </w:tc>
        <w:tc>
          <w:tcPr>
            <w:tcW w:w="801" w:type="pct"/>
            <w:tcBorders>
              <w:left w:val="single" w:sz="4" w:space="0" w:color="27B1B0"/>
              <w:right w:val="single" w:sz="4" w:space="0" w:color="27B1B0"/>
            </w:tcBorders>
            <w:shd w:val="clear" w:color="auto" w:fill="auto"/>
            <w:vAlign w:val="center"/>
            <w:hideMark/>
          </w:tcPr>
          <w:p w14:paraId="2A4D573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Madh (Lurë)</w:t>
            </w:r>
          </w:p>
        </w:tc>
        <w:tc>
          <w:tcPr>
            <w:tcW w:w="1894" w:type="pct"/>
            <w:tcBorders>
              <w:left w:val="single" w:sz="4" w:space="0" w:color="27B1B0"/>
              <w:right w:val="single" w:sz="4" w:space="0" w:color="27B1B0"/>
            </w:tcBorders>
            <w:shd w:val="clear" w:color="auto" w:fill="auto"/>
            <w:vAlign w:val="center"/>
            <w:hideMark/>
          </w:tcPr>
          <w:p w14:paraId="7416D4A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Parkun Kombëtar të Lurës</w:t>
            </w:r>
          </w:p>
        </w:tc>
        <w:tc>
          <w:tcPr>
            <w:tcW w:w="2034" w:type="pct"/>
            <w:tcBorders>
              <w:left w:val="single" w:sz="4" w:space="0" w:color="27B1B0"/>
              <w:right w:val="single" w:sz="4" w:space="0" w:color="27B1B0"/>
            </w:tcBorders>
            <w:shd w:val="clear" w:color="auto" w:fill="auto"/>
            <w:vAlign w:val="center"/>
            <w:hideMark/>
          </w:tcPr>
          <w:p w14:paraId="2AE9136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liqen akullnajor. I pasur në fauna, karakteristikë e liqeneve të Alpeve</w:t>
            </w:r>
          </w:p>
        </w:tc>
      </w:tr>
      <w:tr w:rsidR="0059625C" w:rsidRPr="00445472" w14:paraId="26E91C8A" w14:textId="77777777" w:rsidTr="0059625C">
        <w:trPr>
          <w:trHeight w:val="300"/>
          <w:jc w:val="center"/>
        </w:trPr>
        <w:tc>
          <w:tcPr>
            <w:tcW w:w="271" w:type="pct"/>
            <w:tcBorders>
              <w:right w:val="single" w:sz="4" w:space="0" w:color="27B1B0"/>
            </w:tcBorders>
            <w:shd w:val="clear" w:color="auto" w:fill="auto"/>
            <w:vAlign w:val="center"/>
            <w:hideMark/>
          </w:tcPr>
          <w:p w14:paraId="2693C05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39</w:t>
            </w:r>
          </w:p>
        </w:tc>
        <w:tc>
          <w:tcPr>
            <w:tcW w:w="801" w:type="pct"/>
            <w:tcBorders>
              <w:left w:val="single" w:sz="4" w:space="0" w:color="27B1B0"/>
              <w:right w:val="single" w:sz="4" w:space="0" w:color="27B1B0"/>
            </w:tcBorders>
            <w:shd w:val="clear" w:color="auto" w:fill="auto"/>
            <w:vAlign w:val="center"/>
            <w:hideMark/>
          </w:tcPr>
          <w:p w14:paraId="0D47CAF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Vogël (Lurë)</w:t>
            </w:r>
          </w:p>
        </w:tc>
        <w:tc>
          <w:tcPr>
            <w:tcW w:w="1894" w:type="pct"/>
            <w:tcBorders>
              <w:left w:val="single" w:sz="4" w:space="0" w:color="27B1B0"/>
              <w:right w:val="single" w:sz="4" w:space="0" w:color="27B1B0"/>
            </w:tcBorders>
            <w:shd w:val="clear" w:color="auto" w:fill="auto"/>
            <w:vAlign w:val="center"/>
            <w:hideMark/>
          </w:tcPr>
          <w:p w14:paraId="1642200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Afër Pejës</w:t>
            </w:r>
          </w:p>
        </w:tc>
        <w:tc>
          <w:tcPr>
            <w:tcW w:w="2034" w:type="pct"/>
            <w:tcBorders>
              <w:left w:val="single" w:sz="4" w:space="0" w:color="27B1B0"/>
              <w:right w:val="single" w:sz="4" w:space="0" w:color="27B1B0"/>
            </w:tcBorders>
            <w:shd w:val="clear" w:color="auto" w:fill="auto"/>
            <w:vAlign w:val="center"/>
            <w:hideMark/>
          </w:tcPr>
          <w:p w14:paraId="01D36C2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liqen akullnajor, i pasur në flora dhe fauna </w:t>
            </w:r>
          </w:p>
        </w:tc>
      </w:tr>
      <w:tr w:rsidR="0059625C" w:rsidRPr="00445472" w14:paraId="4DBA4001" w14:textId="77777777" w:rsidTr="0059625C">
        <w:trPr>
          <w:trHeight w:val="495"/>
          <w:jc w:val="center"/>
        </w:trPr>
        <w:tc>
          <w:tcPr>
            <w:tcW w:w="271" w:type="pct"/>
            <w:tcBorders>
              <w:right w:val="single" w:sz="4" w:space="0" w:color="27B1B0"/>
            </w:tcBorders>
            <w:shd w:val="clear" w:color="auto" w:fill="auto"/>
            <w:vAlign w:val="center"/>
            <w:hideMark/>
          </w:tcPr>
          <w:p w14:paraId="57F8A41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40</w:t>
            </w:r>
          </w:p>
        </w:tc>
        <w:tc>
          <w:tcPr>
            <w:tcW w:w="801" w:type="pct"/>
            <w:tcBorders>
              <w:left w:val="single" w:sz="4" w:space="0" w:color="27B1B0"/>
              <w:right w:val="single" w:sz="4" w:space="0" w:color="27B1B0"/>
            </w:tcBorders>
            <w:shd w:val="clear" w:color="auto" w:fill="auto"/>
            <w:vAlign w:val="center"/>
            <w:hideMark/>
          </w:tcPr>
          <w:p w14:paraId="78BBDB8C"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Ponarëve (Liqeni i Markajs)</w:t>
            </w:r>
          </w:p>
        </w:tc>
        <w:tc>
          <w:tcPr>
            <w:tcW w:w="1894" w:type="pct"/>
            <w:tcBorders>
              <w:left w:val="single" w:sz="4" w:space="0" w:color="27B1B0"/>
              <w:right w:val="single" w:sz="4" w:space="0" w:color="27B1B0"/>
            </w:tcBorders>
            <w:shd w:val="clear" w:color="auto" w:fill="auto"/>
            <w:vAlign w:val="center"/>
            <w:hideMark/>
          </w:tcPr>
          <w:p w14:paraId="59E277DA" w14:textId="33AAB400"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Majën e Hekurt në Alpet Lindore, fshati Shoshan, </w:t>
            </w:r>
            <w:r w:rsidR="00034FBB">
              <w:rPr>
                <w:rFonts w:ascii="Garamond" w:hAnsi="Garamond"/>
                <w:sz w:val="20"/>
                <w:szCs w:val="20"/>
                <w:lang w:val="sq-AL"/>
              </w:rPr>
              <w:t>NJQV</w:t>
            </w:r>
            <w:r w:rsidRPr="00445472">
              <w:rPr>
                <w:rFonts w:ascii="Garamond" w:hAnsi="Garamond"/>
                <w:sz w:val="20"/>
                <w:szCs w:val="20"/>
                <w:lang w:val="sq-AL"/>
              </w:rPr>
              <w:t xml:space="preserve"> Margegaj, Rrethi i Tropojës</w:t>
            </w:r>
          </w:p>
        </w:tc>
        <w:tc>
          <w:tcPr>
            <w:tcW w:w="2034" w:type="pct"/>
            <w:tcBorders>
              <w:left w:val="single" w:sz="4" w:space="0" w:color="27B1B0"/>
              <w:right w:val="single" w:sz="4" w:space="0" w:color="27B1B0"/>
            </w:tcBorders>
            <w:shd w:val="clear" w:color="auto" w:fill="auto"/>
            <w:vAlign w:val="center"/>
            <w:hideMark/>
          </w:tcPr>
          <w:p w14:paraId="601CD8E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liqen akullnajor dhe karstik</w:t>
            </w:r>
          </w:p>
        </w:tc>
      </w:tr>
      <w:tr w:rsidR="0059625C" w:rsidRPr="00445472" w14:paraId="7A3F4C67" w14:textId="77777777" w:rsidTr="0059625C">
        <w:trPr>
          <w:trHeight w:val="296"/>
          <w:jc w:val="center"/>
        </w:trPr>
        <w:tc>
          <w:tcPr>
            <w:tcW w:w="271" w:type="pct"/>
            <w:tcBorders>
              <w:right w:val="single" w:sz="4" w:space="0" w:color="27B1B0"/>
            </w:tcBorders>
            <w:shd w:val="clear" w:color="auto" w:fill="auto"/>
            <w:vAlign w:val="center"/>
            <w:hideMark/>
          </w:tcPr>
          <w:p w14:paraId="7D364CA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41</w:t>
            </w:r>
          </w:p>
        </w:tc>
        <w:tc>
          <w:tcPr>
            <w:tcW w:w="801" w:type="pct"/>
            <w:tcBorders>
              <w:left w:val="single" w:sz="4" w:space="0" w:color="27B1B0"/>
              <w:right w:val="single" w:sz="4" w:space="0" w:color="27B1B0"/>
            </w:tcBorders>
            <w:shd w:val="clear" w:color="auto" w:fill="auto"/>
            <w:vAlign w:val="center"/>
            <w:hideMark/>
          </w:tcPr>
          <w:p w14:paraId="2727071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Zi (Lurë)</w:t>
            </w:r>
          </w:p>
        </w:tc>
        <w:tc>
          <w:tcPr>
            <w:tcW w:w="1894" w:type="pct"/>
            <w:tcBorders>
              <w:left w:val="single" w:sz="4" w:space="0" w:color="27B1B0"/>
              <w:right w:val="single" w:sz="4" w:space="0" w:color="27B1B0"/>
            </w:tcBorders>
            <w:shd w:val="clear" w:color="auto" w:fill="auto"/>
            <w:vAlign w:val="center"/>
            <w:hideMark/>
          </w:tcPr>
          <w:p w14:paraId="1F48038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Parkun Kombëtar të Lurës</w:t>
            </w:r>
          </w:p>
        </w:tc>
        <w:tc>
          <w:tcPr>
            <w:tcW w:w="2034" w:type="pct"/>
            <w:tcBorders>
              <w:left w:val="single" w:sz="4" w:space="0" w:color="27B1B0"/>
              <w:right w:val="single" w:sz="4" w:space="0" w:color="27B1B0"/>
            </w:tcBorders>
            <w:shd w:val="clear" w:color="auto" w:fill="auto"/>
            <w:vAlign w:val="center"/>
            <w:hideMark/>
          </w:tcPr>
          <w:p w14:paraId="28BD1E4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liqen akullnajor. I pasur në fauna, karakteristikë e liqeneve të Alpeve</w:t>
            </w:r>
          </w:p>
        </w:tc>
      </w:tr>
      <w:tr w:rsidR="0059625C" w:rsidRPr="00445472" w14:paraId="457D250F" w14:textId="77777777" w:rsidTr="0059625C">
        <w:trPr>
          <w:trHeight w:val="495"/>
          <w:jc w:val="center"/>
        </w:trPr>
        <w:tc>
          <w:tcPr>
            <w:tcW w:w="271" w:type="pct"/>
            <w:tcBorders>
              <w:right w:val="single" w:sz="4" w:space="0" w:color="27B1B0"/>
            </w:tcBorders>
            <w:shd w:val="clear" w:color="auto" w:fill="auto"/>
            <w:vAlign w:val="center"/>
            <w:hideMark/>
          </w:tcPr>
          <w:p w14:paraId="6962F79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42</w:t>
            </w:r>
          </w:p>
        </w:tc>
        <w:tc>
          <w:tcPr>
            <w:tcW w:w="801" w:type="pct"/>
            <w:tcBorders>
              <w:left w:val="single" w:sz="4" w:space="0" w:color="27B1B0"/>
              <w:right w:val="single" w:sz="4" w:space="0" w:color="27B1B0"/>
            </w:tcBorders>
            <w:shd w:val="clear" w:color="auto" w:fill="auto"/>
            <w:vAlign w:val="center"/>
            <w:hideMark/>
          </w:tcPr>
          <w:p w14:paraId="14C226F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Liqeni i Zi (sipër Radomirës)</w:t>
            </w:r>
          </w:p>
        </w:tc>
        <w:tc>
          <w:tcPr>
            <w:tcW w:w="1894" w:type="pct"/>
            <w:tcBorders>
              <w:left w:val="single" w:sz="4" w:space="0" w:color="27B1B0"/>
              <w:right w:val="single" w:sz="4" w:space="0" w:color="27B1B0"/>
            </w:tcBorders>
            <w:shd w:val="clear" w:color="auto" w:fill="auto"/>
            <w:vAlign w:val="center"/>
            <w:hideMark/>
          </w:tcPr>
          <w:p w14:paraId="775D9EE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Malin e Korabit, në afërsi të fshatit Radomirë </w:t>
            </w:r>
          </w:p>
        </w:tc>
        <w:tc>
          <w:tcPr>
            <w:tcW w:w="2034" w:type="pct"/>
            <w:tcBorders>
              <w:left w:val="single" w:sz="4" w:space="0" w:color="27B1B0"/>
              <w:right w:val="single" w:sz="4" w:space="0" w:color="27B1B0"/>
            </w:tcBorders>
            <w:shd w:val="clear" w:color="auto" w:fill="auto"/>
            <w:vAlign w:val="center"/>
            <w:hideMark/>
          </w:tcPr>
          <w:p w14:paraId="5DA60791"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Një liqen akullnajor. I pasur në fauna, karakteristikë e këtyre liqeneve </w:t>
            </w:r>
          </w:p>
        </w:tc>
      </w:tr>
      <w:tr w:rsidR="0059625C" w:rsidRPr="00445472" w14:paraId="60E4D32C" w14:textId="77777777" w:rsidTr="0059625C">
        <w:trPr>
          <w:trHeight w:val="656"/>
          <w:jc w:val="center"/>
        </w:trPr>
        <w:tc>
          <w:tcPr>
            <w:tcW w:w="271" w:type="pct"/>
            <w:tcBorders>
              <w:right w:val="single" w:sz="4" w:space="0" w:color="27B1B0"/>
            </w:tcBorders>
            <w:shd w:val="clear" w:color="auto" w:fill="auto"/>
            <w:vAlign w:val="center"/>
            <w:hideMark/>
          </w:tcPr>
          <w:p w14:paraId="6D03930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43</w:t>
            </w:r>
          </w:p>
        </w:tc>
        <w:tc>
          <w:tcPr>
            <w:tcW w:w="801" w:type="pct"/>
            <w:tcBorders>
              <w:left w:val="single" w:sz="4" w:space="0" w:color="27B1B0"/>
              <w:right w:val="single" w:sz="4" w:space="0" w:color="27B1B0"/>
            </w:tcBorders>
            <w:shd w:val="clear" w:color="auto" w:fill="auto"/>
            <w:vAlign w:val="center"/>
            <w:hideMark/>
          </w:tcPr>
          <w:p w14:paraId="3D2D5B6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Lugina Akullnajore e Motinës (Valbonë)</w:t>
            </w:r>
          </w:p>
        </w:tc>
        <w:tc>
          <w:tcPr>
            <w:tcW w:w="1894" w:type="pct"/>
            <w:tcBorders>
              <w:left w:val="single" w:sz="4" w:space="0" w:color="27B1B0"/>
              <w:right w:val="single" w:sz="4" w:space="0" w:color="27B1B0"/>
            </w:tcBorders>
            <w:shd w:val="clear" w:color="auto" w:fill="auto"/>
            <w:vAlign w:val="center"/>
            <w:hideMark/>
          </w:tcPr>
          <w:p w14:paraId="10192843" w14:textId="3B2450D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Alpet Lindore, në afërsi të fshatit Dragobi, </w:t>
            </w:r>
            <w:r w:rsidR="00034FBB">
              <w:rPr>
                <w:rFonts w:ascii="Garamond" w:hAnsi="Garamond"/>
                <w:sz w:val="20"/>
                <w:szCs w:val="20"/>
                <w:lang w:val="sq-AL"/>
              </w:rPr>
              <w:t>NJQV</w:t>
            </w:r>
            <w:r w:rsidRPr="00445472">
              <w:rPr>
                <w:rFonts w:ascii="Garamond" w:hAnsi="Garamond"/>
                <w:sz w:val="20"/>
                <w:szCs w:val="20"/>
                <w:lang w:val="sq-AL"/>
              </w:rPr>
              <w:t xml:space="preserve"> Margegaj, Rrethi i Tropojës, midis Majës të Hekurt dhe Grykave të Hapuna </w:t>
            </w:r>
          </w:p>
        </w:tc>
        <w:tc>
          <w:tcPr>
            <w:tcW w:w="2034" w:type="pct"/>
            <w:tcBorders>
              <w:left w:val="single" w:sz="4" w:space="0" w:color="27B1B0"/>
              <w:right w:val="single" w:sz="4" w:space="0" w:color="27B1B0"/>
            </w:tcBorders>
            <w:shd w:val="clear" w:color="auto" w:fill="auto"/>
            <w:vAlign w:val="center"/>
            <w:hideMark/>
          </w:tcPr>
          <w:p w14:paraId="302A46A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Luginë akullnajore-karstike </w:t>
            </w:r>
          </w:p>
        </w:tc>
      </w:tr>
      <w:tr w:rsidR="0059625C" w:rsidRPr="00445472" w14:paraId="5426EB6E" w14:textId="77777777" w:rsidTr="0059625C">
        <w:trPr>
          <w:trHeight w:val="495"/>
          <w:jc w:val="center"/>
        </w:trPr>
        <w:tc>
          <w:tcPr>
            <w:tcW w:w="271" w:type="pct"/>
            <w:tcBorders>
              <w:right w:val="single" w:sz="4" w:space="0" w:color="27B1B0"/>
            </w:tcBorders>
            <w:shd w:val="clear" w:color="auto" w:fill="auto"/>
            <w:vAlign w:val="center"/>
            <w:hideMark/>
          </w:tcPr>
          <w:p w14:paraId="458637C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44</w:t>
            </w:r>
          </w:p>
        </w:tc>
        <w:tc>
          <w:tcPr>
            <w:tcW w:w="801" w:type="pct"/>
            <w:tcBorders>
              <w:left w:val="single" w:sz="4" w:space="0" w:color="27B1B0"/>
              <w:right w:val="single" w:sz="4" w:space="0" w:color="27B1B0"/>
            </w:tcBorders>
            <w:shd w:val="clear" w:color="auto" w:fill="auto"/>
            <w:vAlign w:val="center"/>
            <w:hideMark/>
          </w:tcPr>
          <w:p w14:paraId="491652EA"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Lugina Akullnajore e Kukajt</w:t>
            </w:r>
          </w:p>
        </w:tc>
        <w:tc>
          <w:tcPr>
            <w:tcW w:w="1894" w:type="pct"/>
            <w:tcBorders>
              <w:left w:val="single" w:sz="4" w:space="0" w:color="27B1B0"/>
              <w:right w:val="single" w:sz="4" w:space="0" w:color="27B1B0"/>
            </w:tcBorders>
            <w:shd w:val="clear" w:color="auto" w:fill="auto"/>
            <w:vAlign w:val="center"/>
            <w:hideMark/>
          </w:tcPr>
          <w:p w14:paraId="7877A662" w14:textId="16141BD8"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Ragam, </w:t>
            </w:r>
            <w:r w:rsidR="00034FBB">
              <w:rPr>
                <w:rFonts w:ascii="Garamond" w:hAnsi="Garamond"/>
                <w:sz w:val="20"/>
                <w:szCs w:val="20"/>
                <w:lang w:val="sq-AL"/>
              </w:rPr>
              <w:t>NJQV</w:t>
            </w:r>
            <w:r w:rsidRPr="00445472">
              <w:rPr>
                <w:rFonts w:ascii="Garamond" w:hAnsi="Garamond"/>
                <w:sz w:val="20"/>
                <w:szCs w:val="20"/>
                <w:lang w:val="sq-AL"/>
              </w:rPr>
              <w:t xml:space="preserve"> Margegaj, Rrethi i Tropojës</w:t>
            </w:r>
          </w:p>
        </w:tc>
        <w:tc>
          <w:tcPr>
            <w:tcW w:w="2034" w:type="pct"/>
            <w:tcBorders>
              <w:left w:val="single" w:sz="4" w:space="0" w:color="27B1B0"/>
              <w:right w:val="single" w:sz="4" w:space="0" w:color="27B1B0"/>
            </w:tcBorders>
            <w:shd w:val="clear" w:color="auto" w:fill="auto"/>
            <w:vAlign w:val="center"/>
            <w:hideMark/>
          </w:tcPr>
          <w:p w14:paraId="2136F37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Luginë akullnajore-karstike</w:t>
            </w:r>
          </w:p>
        </w:tc>
      </w:tr>
      <w:tr w:rsidR="0059625C" w:rsidRPr="00445472" w14:paraId="79EF28B6" w14:textId="77777777" w:rsidTr="0059625C">
        <w:trPr>
          <w:trHeight w:val="368"/>
          <w:jc w:val="center"/>
        </w:trPr>
        <w:tc>
          <w:tcPr>
            <w:tcW w:w="271" w:type="pct"/>
            <w:tcBorders>
              <w:right w:val="single" w:sz="4" w:space="0" w:color="27B1B0"/>
            </w:tcBorders>
            <w:shd w:val="clear" w:color="auto" w:fill="auto"/>
            <w:vAlign w:val="center"/>
            <w:hideMark/>
          </w:tcPr>
          <w:p w14:paraId="7422B49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45</w:t>
            </w:r>
          </w:p>
        </w:tc>
        <w:tc>
          <w:tcPr>
            <w:tcW w:w="801" w:type="pct"/>
            <w:tcBorders>
              <w:left w:val="single" w:sz="4" w:space="0" w:color="27B1B0"/>
              <w:right w:val="single" w:sz="4" w:space="0" w:color="27B1B0"/>
            </w:tcBorders>
            <w:shd w:val="clear" w:color="auto" w:fill="auto"/>
            <w:vAlign w:val="center"/>
            <w:hideMark/>
          </w:tcPr>
          <w:p w14:paraId="72764E8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Portat e Shalës</w:t>
            </w:r>
          </w:p>
        </w:tc>
        <w:tc>
          <w:tcPr>
            <w:tcW w:w="1894" w:type="pct"/>
            <w:tcBorders>
              <w:left w:val="single" w:sz="4" w:space="0" w:color="27B1B0"/>
              <w:right w:val="single" w:sz="4" w:space="0" w:color="27B1B0"/>
            </w:tcBorders>
            <w:shd w:val="clear" w:color="auto" w:fill="auto"/>
            <w:vAlign w:val="center"/>
            <w:hideMark/>
          </w:tcPr>
          <w:p w14:paraId="3FAF9D3C" w14:textId="7F49E483"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fshatin Breglumë, </w:t>
            </w:r>
            <w:r w:rsidR="00034FBB">
              <w:rPr>
                <w:rFonts w:ascii="Garamond" w:hAnsi="Garamond"/>
                <w:sz w:val="20"/>
                <w:szCs w:val="20"/>
                <w:lang w:val="sq-AL"/>
              </w:rPr>
              <w:t>NJQV</w:t>
            </w:r>
            <w:r w:rsidRPr="00445472">
              <w:rPr>
                <w:rFonts w:ascii="Garamond" w:hAnsi="Garamond"/>
                <w:sz w:val="20"/>
                <w:szCs w:val="20"/>
                <w:lang w:val="sq-AL"/>
              </w:rPr>
              <w:t xml:space="preserve"> Shalë, Rrethi i Shkodrës</w:t>
            </w:r>
          </w:p>
        </w:tc>
        <w:tc>
          <w:tcPr>
            <w:tcW w:w="2034" w:type="pct"/>
            <w:tcBorders>
              <w:left w:val="single" w:sz="4" w:space="0" w:color="27B1B0"/>
              <w:right w:val="single" w:sz="4" w:space="0" w:color="27B1B0"/>
            </w:tcBorders>
            <w:shd w:val="clear" w:color="auto" w:fill="auto"/>
            <w:vAlign w:val="center"/>
            <w:hideMark/>
          </w:tcPr>
          <w:p w14:paraId="4F2FDAF1"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Një formacion si kanion, i formuar nga korrozioni i ujërave të lumit Shalë drejt shkëmbinjve karstikë</w:t>
            </w:r>
          </w:p>
        </w:tc>
      </w:tr>
      <w:tr w:rsidR="0059625C" w:rsidRPr="00445472" w14:paraId="5FD6ACA0" w14:textId="77777777" w:rsidTr="0059625C">
        <w:trPr>
          <w:trHeight w:val="495"/>
          <w:jc w:val="center"/>
        </w:trPr>
        <w:tc>
          <w:tcPr>
            <w:tcW w:w="271" w:type="pct"/>
            <w:tcBorders>
              <w:right w:val="single" w:sz="4" w:space="0" w:color="27B1B0"/>
            </w:tcBorders>
            <w:shd w:val="clear" w:color="auto" w:fill="auto"/>
            <w:vAlign w:val="center"/>
            <w:hideMark/>
          </w:tcPr>
          <w:p w14:paraId="66F9D42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46</w:t>
            </w:r>
          </w:p>
        </w:tc>
        <w:tc>
          <w:tcPr>
            <w:tcW w:w="801" w:type="pct"/>
            <w:tcBorders>
              <w:left w:val="single" w:sz="4" w:space="0" w:color="27B1B0"/>
              <w:right w:val="single" w:sz="4" w:space="0" w:color="27B1B0"/>
            </w:tcBorders>
            <w:shd w:val="clear" w:color="auto" w:fill="auto"/>
            <w:vAlign w:val="center"/>
            <w:hideMark/>
          </w:tcPr>
          <w:p w14:paraId="194D277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Pylli i ishullit të Franc Jozefit (ujëra bregdetare)</w:t>
            </w:r>
          </w:p>
        </w:tc>
        <w:tc>
          <w:tcPr>
            <w:tcW w:w="1894" w:type="pct"/>
            <w:tcBorders>
              <w:left w:val="single" w:sz="4" w:space="0" w:color="27B1B0"/>
              <w:right w:val="single" w:sz="4" w:space="0" w:color="27B1B0"/>
            </w:tcBorders>
            <w:shd w:val="clear" w:color="auto" w:fill="auto"/>
            <w:vAlign w:val="center"/>
            <w:hideMark/>
          </w:tcPr>
          <w:p w14:paraId="3FEF389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Grykëderdhja e Bunës, në Veriperëndim të fshatit Velipojë, Shkodër</w:t>
            </w:r>
          </w:p>
        </w:tc>
        <w:tc>
          <w:tcPr>
            <w:tcW w:w="2034" w:type="pct"/>
            <w:tcBorders>
              <w:left w:val="single" w:sz="4" w:space="0" w:color="27B1B0"/>
              <w:right w:val="single" w:sz="4" w:space="0" w:color="27B1B0"/>
            </w:tcBorders>
            <w:shd w:val="clear" w:color="auto" w:fill="auto"/>
            <w:vAlign w:val="center"/>
            <w:hideMark/>
          </w:tcPr>
          <w:p w14:paraId="575B2CE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I pasur në bimësi të ligatinës. Është një habitat i rëndësishëm për zogjtë </w:t>
            </w:r>
          </w:p>
        </w:tc>
      </w:tr>
      <w:tr w:rsidR="0059625C" w:rsidRPr="00445472" w14:paraId="2AF40C97" w14:textId="77777777" w:rsidTr="0059625C">
        <w:trPr>
          <w:trHeight w:val="495"/>
          <w:jc w:val="center"/>
        </w:trPr>
        <w:tc>
          <w:tcPr>
            <w:tcW w:w="271" w:type="pct"/>
            <w:tcBorders>
              <w:right w:val="single" w:sz="4" w:space="0" w:color="27B1B0"/>
            </w:tcBorders>
            <w:shd w:val="clear" w:color="auto" w:fill="auto"/>
            <w:vAlign w:val="center"/>
            <w:hideMark/>
          </w:tcPr>
          <w:p w14:paraId="49A968FD"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47</w:t>
            </w:r>
          </w:p>
        </w:tc>
        <w:tc>
          <w:tcPr>
            <w:tcW w:w="801" w:type="pct"/>
            <w:tcBorders>
              <w:left w:val="single" w:sz="4" w:space="0" w:color="27B1B0"/>
              <w:right w:val="single" w:sz="4" w:space="0" w:color="27B1B0"/>
            </w:tcBorders>
            <w:shd w:val="clear" w:color="auto" w:fill="auto"/>
            <w:vAlign w:val="center"/>
            <w:hideMark/>
          </w:tcPr>
          <w:p w14:paraId="032D9D3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Rivat e Drinit (në afërsi të  moçalishtes Kashta, në të majtë)</w:t>
            </w:r>
          </w:p>
        </w:tc>
        <w:tc>
          <w:tcPr>
            <w:tcW w:w="1894" w:type="pct"/>
            <w:tcBorders>
              <w:left w:val="single" w:sz="4" w:space="0" w:color="27B1B0"/>
              <w:right w:val="single" w:sz="4" w:space="0" w:color="27B1B0"/>
            </w:tcBorders>
            <w:shd w:val="clear" w:color="auto" w:fill="auto"/>
            <w:vAlign w:val="center"/>
            <w:hideMark/>
          </w:tcPr>
          <w:p w14:paraId="07F4D84B"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Shëngjin </w:t>
            </w:r>
          </w:p>
        </w:tc>
        <w:tc>
          <w:tcPr>
            <w:tcW w:w="2034" w:type="pct"/>
            <w:tcBorders>
              <w:left w:val="single" w:sz="4" w:space="0" w:color="27B1B0"/>
              <w:right w:val="single" w:sz="4" w:space="0" w:color="27B1B0"/>
            </w:tcBorders>
            <w:shd w:val="clear" w:color="auto" w:fill="auto"/>
            <w:vAlign w:val="center"/>
            <w:hideMark/>
          </w:tcPr>
          <w:p w14:paraId="571A6726"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Habitat moçalishteje i pasur në fauna. Zogjtë janë zakonisht në rrezik zhdukjeje </w:t>
            </w:r>
          </w:p>
        </w:tc>
      </w:tr>
      <w:tr w:rsidR="0059625C" w:rsidRPr="00445472" w14:paraId="418CC600" w14:textId="77777777" w:rsidTr="0059625C">
        <w:trPr>
          <w:trHeight w:val="300"/>
          <w:jc w:val="center"/>
        </w:trPr>
        <w:tc>
          <w:tcPr>
            <w:tcW w:w="271" w:type="pct"/>
            <w:tcBorders>
              <w:right w:val="single" w:sz="4" w:space="0" w:color="27B1B0"/>
            </w:tcBorders>
            <w:shd w:val="clear" w:color="auto" w:fill="auto"/>
            <w:vAlign w:val="center"/>
            <w:hideMark/>
          </w:tcPr>
          <w:p w14:paraId="6F93C7B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48</w:t>
            </w:r>
          </w:p>
        </w:tc>
        <w:tc>
          <w:tcPr>
            <w:tcW w:w="801" w:type="pct"/>
            <w:tcBorders>
              <w:left w:val="single" w:sz="4" w:space="0" w:color="27B1B0"/>
              <w:right w:val="single" w:sz="4" w:space="0" w:color="27B1B0"/>
            </w:tcBorders>
            <w:shd w:val="clear" w:color="auto" w:fill="auto"/>
            <w:vAlign w:val="center"/>
            <w:hideMark/>
          </w:tcPr>
          <w:p w14:paraId="1361563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Rana e Hedhun</w:t>
            </w:r>
          </w:p>
        </w:tc>
        <w:tc>
          <w:tcPr>
            <w:tcW w:w="1894" w:type="pct"/>
            <w:tcBorders>
              <w:left w:val="single" w:sz="4" w:space="0" w:color="27B1B0"/>
              <w:right w:val="single" w:sz="4" w:space="0" w:color="27B1B0"/>
            </w:tcBorders>
            <w:shd w:val="clear" w:color="auto" w:fill="auto"/>
            <w:vAlign w:val="center"/>
            <w:hideMark/>
          </w:tcPr>
          <w:p w14:paraId="1834CEA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Veriperëndim të portit të Shëngjin </w:t>
            </w:r>
          </w:p>
        </w:tc>
        <w:tc>
          <w:tcPr>
            <w:tcW w:w="2034" w:type="pct"/>
            <w:tcBorders>
              <w:left w:val="single" w:sz="4" w:space="0" w:color="27B1B0"/>
              <w:right w:val="single" w:sz="4" w:space="0" w:color="27B1B0"/>
            </w:tcBorders>
            <w:shd w:val="clear" w:color="auto" w:fill="auto"/>
            <w:vAlign w:val="center"/>
            <w:hideMark/>
          </w:tcPr>
          <w:p w14:paraId="3CE89444"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Rërë e akumuluar nga erozioni eolik. </w:t>
            </w:r>
          </w:p>
        </w:tc>
      </w:tr>
      <w:tr w:rsidR="0059625C" w:rsidRPr="00445472" w14:paraId="645B3418" w14:textId="77777777" w:rsidTr="0059625C">
        <w:trPr>
          <w:trHeight w:val="495"/>
          <w:jc w:val="center"/>
        </w:trPr>
        <w:tc>
          <w:tcPr>
            <w:tcW w:w="271" w:type="pct"/>
            <w:tcBorders>
              <w:right w:val="single" w:sz="4" w:space="0" w:color="27B1B0"/>
            </w:tcBorders>
            <w:shd w:val="clear" w:color="auto" w:fill="auto"/>
            <w:vAlign w:val="center"/>
            <w:hideMark/>
          </w:tcPr>
          <w:p w14:paraId="5094CAE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49</w:t>
            </w:r>
          </w:p>
        </w:tc>
        <w:tc>
          <w:tcPr>
            <w:tcW w:w="801" w:type="pct"/>
            <w:tcBorders>
              <w:left w:val="single" w:sz="4" w:space="0" w:color="27B1B0"/>
              <w:right w:val="single" w:sz="4" w:space="0" w:color="27B1B0"/>
            </w:tcBorders>
            <w:shd w:val="clear" w:color="auto" w:fill="auto"/>
            <w:vAlign w:val="center"/>
            <w:hideMark/>
          </w:tcPr>
          <w:p w14:paraId="77392F79"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Burimi i Gjonit (syri) </w:t>
            </w:r>
          </w:p>
        </w:tc>
        <w:tc>
          <w:tcPr>
            <w:tcW w:w="1894" w:type="pct"/>
            <w:tcBorders>
              <w:left w:val="single" w:sz="4" w:space="0" w:color="27B1B0"/>
              <w:right w:val="single" w:sz="4" w:space="0" w:color="27B1B0"/>
            </w:tcBorders>
            <w:shd w:val="clear" w:color="auto" w:fill="auto"/>
            <w:vAlign w:val="center"/>
            <w:hideMark/>
          </w:tcPr>
          <w:p w14:paraId="67DF2533"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Në afërsi të fshatit Grudë-Fushë, Gruemirë, Malësi e Madhe</w:t>
            </w:r>
          </w:p>
        </w:tc>
        <w:tc>
          <w:tcPr>
            <w:tcW w:w="2034" w:type="pct"/>
            <w:tcBorders>
              <w:left w:val="single" w:sz="4" w:space="0" w:color="27B1B0"/>
              <w:right w:val="single" w:sz="4" w:space="0" w:color="27B1B0"/>
            </w:tcBorders>
            <w:shd w:val="clear" w:color="auto" w:fill="auto"/>
            <w:vAlign w:val="center"/>
            <w:hideMark/>
          </w:tcPr>
          <w:p w14:paraId="76A2F342"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Burim karstik. Përdoret për konsum dhe vaditje. I pasur në florën ujore në sipërfaqe </w:t>
            </w:r>
          </w:p>
        </w:tc>
      </w:tr>
      <w:tr w:rsidR="0059625C" w:rsidRPr="00445472" w14:paraId="75877F31" w14:textId="77777777" w:rsidTr="0059625C">
        <w:trPr>
          <w:trHeight w:val="495"/>
          <w:jc w:val="center"/>
        </w:trPr>
        <w:tc>
          <w:tcPr>
            <w:tcW w:w="271" w:type="pct"/>
            <w:tcBorders>
              <w:right w:val="single" w:sz="4" w:space="0" w:color="27B1B0"/>
            </w:tcBorders>
            <w:shd w:val="clear" w:color="auto" w:fill="auto"/>
            <w:vAlign w:val="center"/>
            <w:hideMark/>
          </w:tcPr>
          <w:p w14:paraId="19EA6625"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50</w:t>
            </w:r>
          </w:p>
        </w:tc>
        <w:tc>
          <w:tcPr>
            <w:tcW w:w="801" w:type="pct"/>
            <w:tcBorders>
              <w:left w:val="single" w:sz="4" w:space="0" w:color="27B1B0"/>
              <w:right w:val="single" w:sz="4" w:space="0" w:color="27B1B0"/>
            </w:tcBorders>
            <w:shd w:val="clear" w:color="auto" w:fill="auto"/>
            <w:vAlign w:val="center"/>
            <w:hideMark/>
          </w:tcPr>
          <w:p w14:paraId="505D62B8"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Ujëvara e Kryeziut </w:t>
            </w:r>
          </w:p>
        </w:tc>
        <w:tc>
          <w:tcPr>
            <w:tcW w:w="1894" w:type="pct"/>
            <w:tcBorders>
              <w:left w:val="single" w:sz="4" w:space="0" w:color="27B1B0"/>
              <w:right w:val="single" w:sz="4" w:space="0" w:color="27B1B0"/>
            </w:tcBorders>
            <w:shd w:val="clear" w:color="auto" w:fill="auto"/>
            <w:vAlign w:val="center"/>
            <w:hideMark/>
          </w:tcPr>
          <w:p w14:paraId="29A11F69" w14:textId="672A0B2A"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qendrës së fshatit Kryezi, Qafë – </w:t>
            </w:r>
            <w:r w:rsidR="00034FBB">
              <w:rPr>
                <w:rFonts w:ascii="Garamond" w:hAnsi="Garamond"/>
                <w:sz w:val="20"/>
                <w:szCs w:val="20"/>
                <w:lang w:val="sq-AL"/>
              </w:rPr>
              <w:t>NJQV</w:t>
            </w:r>
            <w:r w:rsidRPr="00445472">
              <w:rPr>
                <w:rFonts w:ascii="Garamond" w:hAnsi="Garamond"/>
                <w:sz w:val="20"/>
                <w:szCs w:val="20"/>
                <w:lang w:val="sq-AL"/>
              </w:rPr>
              <w:t xml:space="preserve"> Mali, Rrethi i Pukës</w:t>
            </w:r>
          </w:p>
        </w:tc>
        <w:tc>
          <w:tcPr>
            <w:tcW w:w="2034" w:type="pct"/>
            <w:tcBorders>
              <w:left w:val="single" w:sz="4" w:space="0" w:color="27B1B0"/>
              <w:right w:val="single" w:sz="4" w:space="0" w:color="27B1B0"/>
            </w:tcBorders>
            <w:shd w:val="clear" w:color="auto" w:fill="auto"/>
            <w:vAlign w:val="center"/>
            <w:hideMark/>
          </w:tcPr>
          <w:p w14:paraId="253ECE92" w14:textId="67CA1310"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Ujëvarë e formuar nga ujërat e </w:t>
            </w:r>
            <w:r w:rsidR="00445472" w:rsidRPr="00445472">
              <w:rPr>
                <w:rFonts w:ascii="Garamond" w:hAnsi="Garamond"/>
                <w:sz w:val="20"/>
                <w:szCs w:val="20"/>
                <w:lang w:val="sq-AL"/>
              </w:rPr>
              <w:t xml:space="preserve">burimit </w:t>
            </w:r>
            <w:r w:rsidRPr="00445472">
              <w:rPr>
                <w:rFonts w:ascii="Garamond" w:hAnsi="Garamond"/>
                <w:sz w:val="20"/>
                <w:szCs w:val="20"/>
                <w:lang w:val="sq-AL"/>
              </w:rPr>
              <w:t xml:space="preserve">të Oroshit në shkëmbinjtë magnetikë </w:t>
            </w:r>
          </w:p>
        </w:tc>
      </w:tr>
      <w:tr w:rsidR="0059625C" w:rsidRPr="00445472" w14:paraId="1C8343DE" w14:textId="77777777" w:rsidTr="0059625C">
        <w:trPr>
          <w:trHeight w:val="495"/>
          <w:jc w:val="center"/>
        </w:trPr>
        <w:tc>
          <w:tcPr>
            <w:tcW w:w="271" w:type="pct"/>
            <w:tcBorders>
              <w:right w:val="single" w:sz="4" w:space="0" w:color="27B1B0"/>
            </w:tcBorders>
            <w:shd w:val="clear" w:color="auto" w:fill="auto"/>
            <w:vAlign w:val="center"/>
            <w:hideMark/>
          </w:tcPr>
          <w:p w14:paraId="6A2777E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51</w:t>
            </w:r>
          </w:p>
        </w:tc>
        <w:tc>
          <w:tcPr>
            <w:tcW w:w="801" w:type="pct"/>
            <w:tcBorders>
              <w:left w:val="single" w:sz="4" w:space="0" w:color="27B1B0"/>
              <w:right w:val="single" w:sz="4" w:space="0" w:color="27B1B0"/>
            </w:tcBorders>
            <w:shd w:val="clear" w:color="auto" w:fill="auto"/>
            <w:vAlign w:val="center"/>
            <w:hideMark/>
          </w:tcPr>
          <w:p w14:paraId="0730CC7E"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Ujëvara e Thethit</w:t>
            </w:r>
          </w:p>
        </w:tc>
        <w:tc>
          <w:tcPr>
            <w:tcW w:w="1894" w:type="pct"/>
            <w:tcBorders>
              <w:left w:val="single" w:sz="4" w:space="0" w:color="27B1B0"/>
              <w:right w:val="single" w:sz="4" w:space="0" w:color="27B1B0"/>
            </w:tcBorders>
            <w:shd w:val="clear" w:color="auto" w:fill="auto"/>
            <w:vAlign w:val="center"/>
            <w:hideMark/>
          </w:tcPr>
          <w:p w14:paraId="7621A7E1" w14:textId="0BA6D69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fshatit Theth, </w:t>
            </w:r>
            <w:r w:rsidR="00034FBB">
              <w:rPr>
                <w:rFonts w:ascii="Garamond" w:hAnsi="Garamond"/>
                <w:sz w:val="20"/>
                <w:szCs w:val="20"/>
                <w:lang w:val="sq-AL"/>
              </w:rPr>
              <w:t>NJQV</w:t>
            </w:r>
            <w:r w:rsidRPr="00445472">
              <w:rPr>
                <w:rFonts w:ascii="Garamond" w:hAnsi="Garamond"/>
                <w:sz w:val="20"/>
                <w:szCs w:val="20"/>
                <w:lang w:val="sq-AL"/>
              </w:rPr>
              <w:t xml:space="preserve"> Shalë, Rrethi i Shkodrës</w:t>
            </w:r>
          </w:p>
        </w:tc>
        <w:tc>
          <w:tcPr>
            <w:tcW w:w="2034" w:type="pct"/>
            <w:tcBorders>
              <w:left w:val="single" w:sz="4" w:space="0" w:color="27B1B0"/>
              <w:right w:val="single" w:sz="4" w:space="0" w:color="27B1B0"/>
            </w:tcBorders>
            <w:shd w:val="clear" w:color="auto" w:fill="auto"/>
            <w:vAlign w:val="center"/>
            <w:hideMark/>
          </w:tcPr>
          <w:p w14:paraId="04326617"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Burim karstik</w:t>
            </w:r>
          </w:p>
        </w:tc>
      </w:tr>
      <w:tr w:rsidR="0059625C" w:rsidRPr="00445472" w14:paraId="606BB510" w14:textId="77777777" w:rsidTr="0059625C">
        <w:trPr>
          <w:trHeight w:val="495"/>
          <w:jc w:val="center"/>
        </w:trPr>
        <w:tc>
          <w:tcPr>
            <w:tcW w:w="271" w:type="pct"/>
            <w:tcBorders>
              <w:right w:val="single" w:sz="4" w:space="0" w:color="27B1B0"/>
            </w:tcBorders>
            <w:shd w:val="clear" w:color="auto" w:fill="auto"/>
            <w:vAlign w:val="center"/>
          </w:tcPr>
          <w:p w14:paraId="72CF685F" w14:textId="77777777"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52</w:t>
            </w:r>
          </w:p>
        </w:tc>
        <w:tc>
          <w:tcPr>
            <w:tcW w:w="801" w:type="pct"/>
            <w:tcBorders>
              <w:left w:val="single" w:sz="4" w:space="0" w:color="27B1B0"/>
              <w:right w:val="single" w:sz="4" w:space="0" w:color="27B1B0"/>
            </w:tcBorders>
            <w:shd w:val="clear" w:color="auto" w:fill="auto"/>
            <w:vAlign w:val="center"/>
          </w:tcPr>
          <w:p w14:paraId="19E404B7" w14:textId="77777777" w:rsidR="0059625C" w:rsidRPr="00445472" w:rsidRDefault="00FD51F7" w:rsidP="0059625C">
            <w:pPr>
              <w:pStyle w:val="TableTextCentre"/>
              <w:spacing w:before="0" w:after="0"/>
              <w:ind w:right="0"/>
              <w:jc w:val="both"/>
              <w:rPr>
                <w:rFonts w:ascii="Garamond" w:hAnsi="Garamond"/>
                <w:sz w:val="20"/>
                <w:szCs w:val="20"/>
                <w:lang w:val="sq-AL"/>
              </w:rPr>
            </w:pPr>
            <w:hyperlink r:id="rId35" w:history="1">
              <w:r w:rsidR="0059625C" w:rsidRPr="00445472">
                <w:rPr>
                  <w:rFonts w:ascii="Garamond" w:hAnsi="Garamond"/>
                  <w:sz w:val="20"/>
                  <w:szCs w:val="20"/>
                  <w:lang w:val="sq-AL"/>
                </w:rPr>
                <w:t>Depozitimet fluvio-glaciale të</w:t>
              </w:r>
            </w:hyperlink>
            <w:r w:rsidR="0059625C" w:rsidRPr="00445472">
              <w:rPr>
                <w:rFonts w:ascii="Garamond" w:hAnsi="Garamond"/>
                <w:sz w:val="20"/>
                <w:szCs w:val="20"/>
                <w:lang w:val="sq-AL"/>
              </w:rPr>
              <w:t xml:space="preserve"> Shoshajt</w:t>
            </w:r>
          </w:p>
        </w:tc>
        <w:tc>
          <w:tcPr>
            <w:tcW w:w="1894" w:type="pct"/>
            <w:tcBorders>
              <w:left w:val="single" w:sz="4" w:space="0" w:color="27B1B0"/>
              <w:right w:val="single" w:sz="4" w:space="0" w:color="27B1B0"/>
            </w:tcBorders>
            <w:shd w:val="clear" w:color="auto" w:fill="auto"/>
            <w:vAlign w:val="center"/>
          </w:tcPr>
          <w:p w14:paraId="5B95B23A" w14:textId="2F4F507A" w:rsidR="0059625C" w:rsidRPr="00445472" w:rsidRDefault="0059625C" w:rsidP="0059625C">
            <w:pPr>
              <w:pStyle w:val="TableTextCentre"/>
              <w:spacing w:before="0" w:after="0"/>
              <w:ind w:right="0"/>
              <w:jc w:val="both"/>
              <w:rPr>
                <w:rFonts w:ascii="Garamond" w:hAnsi="Garamond"/>
                <w:sz w:val="20"/>
                <w:szCs w:val="20"/>
                <w:lang w:val="sq-AL"/>
              </w:rPr>
            </w:pPr>
            <w:r w:rsidRPr="00445472">
              <w:rPr>
                <w:rFonts w:ascii="Garamond" w:hAnsi="Garamond"/>
                <w:sz w:val="20"/>
                <w:szCs w:val="20"/>
                <w:lang w:val="sq-AL"/>
              </w:rPr>
              <w:t xml:space="preserve">Në afërsi të Urës së Shoshanit, </w:t>
            </w:r>
            <w:r w:rsidR="00034FBB">
              <w:rPr>
                <w:rFonts w:ascii="Garamond" w:hAnsi="Garamond"/>
                <w:sz w:val="20"/>
                <w:szCs w:val="20"/>
                <w:lang w:val="sq-AL"/>
              </w:rPr>
              <w:t>NJQV</w:t>
            </w:r>
            <w:r w:rsidRPr="00445472">
              <w:rPr>
                <w:rFonts w:ascii="Garamond" w:hAnsi="Garamond"/>
                <w:sz w:val="20"/>
                <w:szCs w:val="20"/>
                <w:lang w:val="sq-AL"/>
              </w:rPr>
              <w:t xml:space="preserve"> Margegaj, Rrethi i Tropojës, afër urës së fshatit Shoshan </w:t>
            </w:r>
          </w:p>
        </w:tc>
        <w:tc>
          <w:tcPr>
            <w:tcW w:w="2034" w:type="pct"/>
            <w:tcBorders>
              <w:left w:val="single" w:sz="4" w:space="0" w:color="27B1B0"/>
              <w:right w:val="single" w:sz="4" w:space="0" w:color="27B1B0"/>
            </w:tcBorders>
            <w:shd w:val="clear" w:color="auto" w:fill="auto"/>
            <w:vAlign w:val="center"/>
          </w:tcPr>
          <w:p w14:paraId="18E33B6E" w14:textId="77777777" w:rsidR="0059625C" w:rsidRPr="00445472" w:rsidRDefault="00FD51F7" w:rsidP="0059625C">
            <w:pPr>
              <w:pStyle w:val="TableTextCentre"/>
              <w:spacing w:before="0" w:after="0"/>
              <w:ind w:right="0"/>
              <w:jc w:val="both"/>
              <w:rPr>
                <w:rFonts w:ascii="Garamond" w:hAnsi="Garamond"/>
                <w:sz w:val="20"/>
                <w:szCs w:val="20"/>
                <w:lang w:val="sq-AL"/>
              </w:rPr>
            </w:pPr>
            <w:hyperlink r:id="rId36" w:history="1">
              <w:r w:rsidR="0059625C" w:rsidRPr="00445472">
                <w:rPr>
                  <w:rFonts w:ascii="Garamond" w:hAnsi="Garamond"/>
                  <w:sz w:val="20"/>
                  <w:szCs w:val="20"/>
                  <w:lang w:val="sq-AL"/>
                </w:rPr>
                <w:t>Depozitimet fluvio-glaciale</w:t>
              </w:r>
            </w:hyperlink>
          </w:p>
        </w:tc>
      </w:tr>
    </w:tbl>
    <w:p w14:paraId="1F0E194E" w14:textId="77777777" w:rsidR="0059625C" w:rsidRPr="00445472" w:rsidRDefault="0059625C" w:rsidP="0059625C">
      <w:pPr>
        <w:spacing w:after="0" w:line="240" w:lineRule="auto"/>
        <w:jc w:val="both"/>
        <w:rPr>
          <w:rFonts w:ascii="Garamond" w:hAnsi="Garamond"/>
          <w:sz w:val="20"/>
          <w:szCs w:val="20"/>
        </w:rPr>
      </w:pPr>
    </w:p>
    <w:p w14:paraId="3E6AE4A3" w14:textId="05E76307" w:rsidR="009F0DBF" w:rsidRPr="00445472" w:rsidRDefault="009F0DBF" w:rsidP="0059625C">
      <w:pPr>
        <w:pStyle w:val="TEKSTIIII"/>
      </w:pPr>
    </w:p>
    <w:p w14:paraId="404119AC" w14:textId="77777777" w:rsidR="0059625C" w:rsidRPr="00445472" w:rsidRDefault="0059625C" w:rsidP="0059625C">
      <w:pPr>
        <w:pStyle w:val="TEKSTIIII"/>
      </w:pPr>
    </w:p>
    <w:p w14:paraId="1C829F82" w14:textId="77777777" w:rsidR="0059625C" w:rsidRPr="00445472" w:rsidRDefault="0059625C" w:rsidP="0059625C">
      <w:pPr>
        <w:pStyle w:val="TEKSTIIII"/>
      </w:pPr>
    </w:p>
    <w:p w14:paraId="5A2E0EFF" w14:textId="77777777" w:rsidR="0059625C" w:rsidRPr="00445472" w:rsidRDefault="0059625C" w:rsidP="0059625C">
      <w:pPr>
        <w:pStyle w:val="TEKSTIIII"/>
      </w:pPr>
    </w:p>
    <w:p w14:paraId="3402457F" w14:textId="77777777" w:rsidR="0059625C" w:rsidRPr="00445472" w:rsidRDefault="0059625C" w:rsidP="0059625C">
      <w:pPr>
        <w:pStyle w:val="TEKSTIIII"/>
      </w:pPr>
    </w:p>
    <w:p w14:paraId="5630F273" w14:textId="77777777" w:rsidR="0059625C" w:rsidRPr="00445472" w:rsidRDefault="0059625C" w:rsidP="0059625C">
      <w:pPr>
        <w:pStyle w:val="TEKSTIIII"/>
      </w:pPr>
    </w:p>
    <w:p w14:paraId="2ED21366" w14:textId="77777777" w:rsidR="0059625C" w:rsidRPr="00445472" w:rsidRDefault="0059625C" w:rsidP="0059625C">
      <w:pPr>
        <w:pStyle w:val="TEKSTIIII"/>
      </w:pPr>
    </w:p>
    <w:p w14:paraId="71734A32" w14:textId="77777777" w:rsidR="0059625C" w:rsidRPr="00445472" w:rsidRDefault="0059625C" w:rsidP="0059625C">
      <w:pPr>
        <w:pStyle w:val="TEKSTIIII"/>
      </w:pPr>
    </w:p>
    <w:p w14:paraId="6EF266F5" w14:textId="77777777" w:rsidR="0059625C" w:rsidRPr="00445472" w:rsidRDefault="0059625C" w:rsidP="0059625C">
      <w:pPr>
        <w:pStyle w:val="TEKSTIIII"/>
      </w:pPr>
    </w:p>
    <w:p w14:paraId="6464BC83" w14:textId="77777777" w:rsidR="0059625C" w:rsidRPr="00445472" w:rsidRDefault="0059625C" w:rsidP="0059625C">
      <w:pPr>
        <w:pStyle w:val="TEKSTIIII"/>
      </w:pPr>
    </w:p>
    <w:p w14:paraId="07A0E302" w14:textId="77777777" w:rsidR="0059625C" w:rsidRPr="00445472" w:rsidRDefault="0059625C" w:rsidP="0059625C">
      <w:pPr>
        <w:pStyle w:val="TEKSTIIII"/>
      </w:pPr>
    </w:p>
    <w:p w14:paraId="4231690B" w14:textId="77777777" w:rsidR="0059625C" w:rsidRPr="00445472" w:rsidRDefault="0059625C" w:rsidP="0059625C">
      <w:pPr>
        <w:pStyle w:val="TEKSTIIII"/>
      </w:pPr>
    </w:p>
    <w:p w14:paraId="7C979000" w14:textId="77777777" w:rsidR="0059625C" w:rsidRPr="00445472" w:rsidRDefault="0059625C" w:rsidP="0059625C">
      <w:pPr>
        <w:pStyle w:val="TEKSTIIII"/>
      </w:pPr>
    </w:p>
    <w:p w14:paraId="5D7C5B5D" w14:textId="77777777" w:rsidR="0059625C" w:rsidRPr="00445472" w:rsidRDefault="0059625C" w:rsidP="0059625C">
      <w:pPr>
        <w:pStyle w:val="TEKSTIIII"/>
      </w:pPr>
    </w:p>
    <w:p w14:paraId="06C9F94C" w14:textId="77777777" w:rsidR="0059625C" w:rsidRPr="00445472" w:rsidRDefault="0059625C" w:rsidP="0059625C">
      <w:pPr>
        <w:pStyle w:val="TEKSTIIII"/>
      </w:pPr>
    </w:p>
    <w:p w14:paraId="0D6D8B6A" w14:textId="77777777" w:rsidR="0059625C" w:rsidRPr="00445472" w:rsidRDefault="0059625C" w:rsidP="0059625C">
      <w:pPr>
        <w:pStyle w:val="TEKSTIIII"/>
      </w:pPr>
    </w:p>
    <w:p w14:paraId="3E8A1AD4" w14:textId="77777777" w:rsidR="0059625C" w:rsidRPr="00445472" w:rsidRDefault="0059625C" w:rsidP="0059625C">
      <w:pPr>
        <w:pStyle w:val="TEKSTIIII"/>
      </w:pPr>
    </w:p>
    <w:p w14:paraId="0C38F457" w14:textId="77777777" w:rsidR="0059625C" w:rsidRPr="00445472" w:rsidRDefault="0059625C" w:rsidP="0059625C">
      <w:pPr>
        <w:pStyle w:val="TEKSTIIII"/>
        <w:sectPr w:rsidR="0059625C" w:rsidRPr="00445472" w:rsidSect="00E71763">
          <w:pgSz w:w="16839" w:h="11907" w:orient="landscape" w:code="9"/>
          <w:pgMar w:top="1418" w:right="1418" w:bottom="1418" w:left="1418" w:header="1304" w:footer="1134" w:gutter="0"/>
          <w:cols w:space="720"/>
          <w:docGrid w:linePitch="360"/>
        </w:sectPr>
      </w:pPr>
    </w:p>
    <w:p w14:paraId="0D5B7A5A" w14:textId="259C1ABF" w:rsidR="00DD09E9" w:rsidRPr="00445472" w:rsidRDefault="00DD09E9" w:rsidP="00DD09E9">
      <w:pPr>
        <w:pStyle w:val="NENTITULL"/>
      </w:pPr>
      <w:bookmarkStart w:id="95" w:name="_Toc11068781"/>
      <w:r w:rsidRPr="00445472">
        <w:t xml:space="preserve">6. Rrjeti i </w:t>
      </w:r>
      <w:r w:rsidR="00E07D87" w:rsidRPr="00445472">
        <w:t>monitorimit të cilësisë së ujit</w:t>
      </w:r>
      <w:bookmarkEnd w:id="95"/>
    </w:p>
    <w:p w14:paraId="09719A00" w14:textId="0B65ECD0" w:rsidR="00DD09E9" w:rsidRPr="00445472" w:rsidRDefault="00DD09E9" w:rsidP="00DD09E9">
      <w:pPr>
        <w:pStyle w:val="NENTITULL"/>
      </w:pPr>
      <w:bookmarkStart w:id="96" w:name="_Toc486503403"/>
      <w:bookmarkStart w:id="97" w:name="_Toc11068782"/>
      <w:r w:rsidRPr="00445472">
        <w:t>6.1 Hyrje</w:t>
      </w:r>
      <w:bookmarkEnd w:id="96"/>
      <w:bookmarkEnd w:id="97"/>
    </w:p>
    <w:p w14:paraId="662DBA87" w14:textId="4DAADBF0" w:rsidR="00DD09E9" w:rsidRPr="00445472" w:rsidRDefault="00DD09E9" w:rsidP="00DD09E9">
      <w:pPr>
        <w:pStyle w:val="TEKSTIIII"/>
      </w:pPr>
      <w:r w:rsidRPr="00445472">
        <w:t xml:space="preserve">Ligji për </w:t>
      </w:r>
      <w:r w:rsidR="00E07D87" w:rsidRPr="00445472">
        <w:t>menaxhimin e integruar të burimeve ujore, ndryshuar me ligjin</w:t>
      </w:r>
      <w:r w:rsidRPr="00445472">
        <w:t xml:space="preserve"> nr. 6/2018 për disa ndryshime dhe shtesa në </w:t>
      </w:r>
      <w:r w:rsidR="00E07D87" w:rsidRPr="00445472">
        <w:t xml:space="preserve">ligjin </w:t>
      </w:r>
      <w:r w:rsidRPr="00445472">
        <w:t>nr. 111/2012</w:t>
      </w:r>
      <w:r w:rsidR="00D62EDF" w:rsidRPr="00445472">
        <w:t xml:space="preserve">, “Për </w:t>
      </w:r>
      <w:r w:rsidR="00E07D87" w:rsidRPr="00445472">
        <w:t>menaxhimin e integruar të burimeve ujore</w:t>
      </w:r>
      <w:r w:rsidR="00D62EDF" w:rsidRPr="00445472">
        <w:t>”</w:t>
      </w:r>
      <w:r w:rsidRPr="00445472">
        <w:t xml:space="preserve">, i ka dhënë AMBU-së përgjegjësinë kryesore për hartimin e Programeve të Monitorimit të Ujërave për basenet ujore. Ligji gjithashtu </w:t>
      </w:r>
      <w:r w:rsidR="00E07D87" w:rsidRPr="00445472">
        <w:t>u</w:t>
      </w:r>
      <w:r w:rsidRPr="00445472">
        <w:t xml:space="preserve"> jep Këshillave të Baseneve Ujore përgjegjësinë kryesore për zbatimin e Programeve të Monitorimit të Ujërave në përputhje me DKU-në</w:t>
      </w:r>
      <w:r w:rsidRPr="00445472">
        <w:rPr>
          <w:rStyle w:val="FootnoteReference"/>
          <w:rFonts w:ascii="Garamond" w:hAnsi="Garamond"/>
          <w:color w:val="auto"/>
        </w:rPr>
        <w:footnoteReference w:id="82"/>
      </w:r>
      <w:r w:rsidRPr="00445472">
        <w:t>. Rrjedhimisht, si AMBU-ja ashtu edhe Këshilli i Baseneve Ujore janë bërë institucionet kyçe për monitorimin e ujërave sipërfaqësorë dhe në</w:t>
      </w:r>
      <w:r w:rsidR="00E07D87" w:rsidRPr="00445472">
        <w:t>ntokësorë për Basenin Ujor Drin–</w:t>
      </w:r>
      <w:r w:rsidRPr="00445472">
        <w:t>Bunë. AKM</w:t>
      </w:r>
      <w:r w:rsidR="00E07D87" w:rsidRPr="00445472">
        <w:t>-ja</w:t>
      </w:r>
      <w:r w:rsidRPr="00445472">
        <w:t xml:space="preserve"> monitoron ujin në nivel kombëtar.</w:t>
      </w:r>
    </w:p>
    <w:p w14:paraId="2626C6F1" w14:textId="43E80E0A" w:rsidR="00DD09E9" w:rsidRPr="00445472" w:rsidRDefault="00DD09E9" w:rsidP="00DD09E9">
      <w:pPr>
        <w:pStyle w:val="NENTITULL"/>
      </w:pPr>
      <w:bookmarkStart w:id="98" w:name="_Toc486503404"/>
      <w:bookmarkStart w:id="99" w:name="_Toc11068783"/>
      <w:r w:rsidRPr="00445472">
        <w:t xml:space="preserve">6.2 Kërkesat e </w:t>
      </w:r>
      <w:r w:rsidR="00E07D87" w:rsidRPr="00445472">
        <w:t xml:space="preserve">monitorimit të ujit sipërfaqësor </w:t>
      </w:r>
      <w:r w:rsidRPr="00445472">
        <w:t>në kuadër të DKU-së</w:t>
      </w:r>
      <w:bookmarkEnd w:id="98"/>
      <w:bookmarkEnd w:id="99"/>
    </w:p>
    <w:p w14:paraId="38AACFF6" w14:textId="1F131AB1" w:rsidR="00DD09E9" w:rsidRPr="00445472" w:rsidRDefault="00DD09E9" w:rsidP="00DD09E9">
      <w:pPr>
        <w:pStyle w:val="TEKSTIIII"/>
      </w:pPr>
      <w:r w:rsidRPr="00445472">
        <w:t>Direktiva Kuadër e Ujit mbulon: i</w:t>
      </w:r>
      <w:r w:rsidR="00E07D87" w:rsidRPr="00445472">
        <w:t>.</w:t>
      </w:r>
      <w:r w:rsidRPr="00445472">
        <w:t xml:space="preserve"> ujërat e brendshme që përfshijnë ujërat sipërfaqësor</w:t>
      </w:r>
      <w:r w:rsidR="00445472">
        <w:t>e</w:t>
      </w:r>
      <w:r w:rsidRPr="00445472">
        <w:t xml:space="preserve"> dhe ujërat nëntokësor</w:t>
      </w:r>
      <w:r w:rsidR="00445472">
        <w:t>e</w:t>
      </w:r>
      <w:r w:rsidR="00E07D87" w:rsidRPr="00445472">
        <w:t>;</w:t>
      </w:r>
      <w:r w:rsidRPr="00445472">
        <w:t xml:space="preserve"> ii</w:t>
      </w:r>
      <w:r w:rsidR="00E07D87" w:rsidRPr="00445472">
        <w:t>.</w:t>
      </w:r>
      <w:r w:rsidRPr="00445472">
        <w:t xml:space="preserve"> ujërat kalimtare dhe bregdetare deri në një milje detare</w:t>
      </w:r>
      <w:r w:rsidR="00E07D87" w:rsidRPr="00445472">
        <w:t>;</w:t>
      </w:r>
      <w:r w:rsidRPr="00445472">
        <w:t xml:space="preserve"> dhe iii</w:t>
      </w:r>
      <w:r w:rsidR="00E07D87" w:rsidRPr="00445472">
        <w:t>.</w:t>
      </w:r>
      <w:r w:rsidRPr="00445472">
        <w:t xml:space="preserve"> gjendjen kimike edhe ujërat territorial</w:t>
      </w:r>
      <w:r w:rsidR="00445472">
        <w:t>e</w:t>
      </w:r>
      <w:r w:rsidRPr="00445472">
        <w:t>, të cilat mund të shtrihen në 12 milje detare nga pjesa tokësore e Shtetit Anëtar, pavarësisht nga madhësia dhe karakteristikat</w:t>
      </w:r>
      <w:r w:rsidRPr="00445472">
        <w:rPr>
          <w:rStyle w:val="FootnoteReference"/>
          <w:rFonts w:ascii="Garamond" w:hAnsi="Garamond"/>
          <w:color w:val="auto"/>
        </w:rPr>
        <w:footnoteReference w:id="83"/>
      </w:r>
      <w:r w:rsidRPr="00445472">
        <w:t>.</w:t>
      </w:r>
    </w:p>
    <w:p w14:paraId="664F2FA8" w14:textId="0CF5CA59" w:rsidR="00DD09E9" w:rsidRPr="00445472" w:rsidRDefault="00DD09E9" w:rsidP="00DD09E9">
      <w:pPr>
        <w:pStyle w:val="NENTITULL"/>
      </w:pPr>
      <w:bookmarkStart w:id="100" w:name="_Toc11068784"/>
      <w:r w:rsidRPr="00445472">
        <w:t>6.2.1 Rrjeti i monitorimit të ujit</w:t>
      </w:r>
      <w:bookmarkEnd w:id="100"/>
    </w:p>
    <w:p w14:paraId="06E43C91" w14:textId="3135159E" w:rsidR="00DD09E9" w:rsidRPr="00445472" w:rsidRDefault="00DD09E9" w:rsidP="00DD09E9">
      <w:pPr>
        <w:pStyle w:val="TEKSTIIII"/>
      </w:pPr>
      <w:r w:rsidRPr="00445472">
        <w:t xml:space="preserve">Direktiva kërkon që shtetet të krijojnë një rrjet të monitorimit të ujit sipërfaqësor që ofron një pasqyrë koherente dhe gjithëpërfshirëse të gjendjes ekologjike dhe kimike në çdo basen ujor. Të dhënat për mbikëqyrjen e ujërave sipërfaqësorë shërbejnë gjithashtu për plotësimin dhe vlerësimin e </w:t>
      </w:r>
      <w:r w:rsidR="00E07D87" w:rsidRPr="00445472">
        <w:t>procedurës</w:t>
      </w:r>
      <w:r w:rsidRPr="00445472">
        <w:t xml:space="preserve"> së vlerësimit të rrezikut, duke mbështetur hartimin e programeve të ardhshme të monitorimit, duke vlerësuar ndryshimet afatgjata në kushtet natyrore dhe ato që rezultojnë nga aktivitetet antropogjene, vlerësimin e ngarkesave të ndotësve të transferuar në të gjithë kufijtë ndërkombëtarë ose shkarkimin në det, vlerësojnë ndryshimet në statusin e atyre trupave të identifikuar si të rrezikuar në përgjigje të zbatimit të masave për përmirësimin ose parandalimin e përkeqësimit, përcaktimin e shkaqeve të trupave ujorë që nuk arrijnë objektivat mjedisorë, ku arsyeja e dështimit nuk është identifikuar, duke konstatuar madhësinë dhe ndikimet e ndotjes aksidentale, vlerësimi i pajtueshmërisë me standardet dhe objektivat e </w:t>
      </w:r>
      <w:r w:rsidR="00DA3731" w:rsidRPr="00445472">
        <w:t>zonave të mbrojtura</w:t>
      </w:r>
      <w:r w:rsidRPr="00445472">
        <w:t>; dhe, kuantifikimin e kushteve të referencës (ku ato ekzistojnë) për trupat ujorë sipërfaqësorë</w:t>
      </w:r>
      <w:r w:rsidRPr="00445472">
        <w:rPr>
          <w:rStyle w:val="FootnoteReference"/>
          <w:rFonts w:ascii="Garamond" w:hAnsi="Garamond"/>
          <w:color w:val="auto"/>
        </w:rPr>
        <w:footnoteReference w:id="84"/>
      </w:r>
      <w:r w:rsidRPr="00445472">
        <w:t>.</w:t>
      </w:r>
    </w:p>
    <w:p w14:paraId="7CF435CD" w14:textId="422786C3" w:rsidR="00DD09E9" w:rsidRPr="00445472" w:rsidRDefault="00DD09E9" w:rsidP="00DD09E9">
      <w:pPr>
        <w:pStyle w:val="TEKSTIIII"/>
      </w:pPr>
      <w:r w:rsidRPr="00445472">
        <w:t>Statusi ekologjik i trupave ujorë në një Basen Ujor përcaktohet bazuar në elementet biologjik</w:t>
      </w:r>
      <w:r w:rsidR="00E929FD">
        <w:t>e</w:t>
      </w:r>
      <w:r w:rsidRPr="00445472">
        <w:t>, hidromorfologjikë dhe të përgjithshme fiziko-kimikë të cilësisë (</w:t>
      </w:r>
      <w:r w:rsidR="00E07D87" w:rsidRPr="00445472">
        <w:t xml:space="preserve">tabela </w:t>
      </w:r>
      <w:r w:rsidRPr="00445472">
        <w:t>6.1)</w:t>
      </w:r>
      <w:r w:rsidRPr="00445472">
        <w:rPr>
          <w:rStyle w:val="FootnoteReference"/>
          <w:rFonts w:ascii="Garamond" w:hAnsi="Garamond"/>
          <w:color w:val="auto"/>
        </w:rPr>
        <w:footnoteReference w:id="85"/>
      </w:r>
      <w:r w:rsidRPr="00445472">
        <w:t>. Elementet e cilësisë së aplikueshme për trupat ujorë sipërfaqësorë artificialë dhe trupat ujorë tepër të modifikuar janë ato që zbatohen në cilëndo nga katër kategoritë natyrore të ujërave sipërfaqësorë që më së shumti i ngjan trupit ujor të modifikuar ose artificial</w:t>
      </w:r>
      <w:r w:rsidRPr="00445472">
        <w:rPr>
          <w:rStyle w:val="FootnoteReference"/>
          <w:rFonts w:ascii="Garamond" w:hAnsi="Garamond"/>
          <w:color w:val="auto"/>
        </w:rPr>
        <w:footnoteReference w:id="86"/>
      </w:r>
      <w:r w:rsidRPr="00445472">
        <w:t>.Në varësi të financimit, shteteve u kërkohet të monitorojnë parametrat, të cil</w:t>
      </w:r>
      <w:r w:rsidR="00973771">
        <w:t>ë</w:t>
      </w:r>
      <w:r w:rsidRPr="00445472">
        <w:t xml:space="preserve">t tregojnë statusin e secilit element të cilësisë përkatëse dhe përfshijnë vlerësimet e nivelit të besueshmërisë dhe saktësisë së rezultateve në programin e monitorimit. </w:t>
      </w:r>
    </w:p>
    <w:p w14:paraId="3FC10357" w14:textId="119D0849" w:rsidR="00DD09E9" w:rsidRPr="00445472" w:rsidRDefault="00DD09E9" w:rsidP="00DD09E9">
      <w:pPr>
        <w:pStyle w:val="TEKSTIIII"/>
      </w:pPr>
      <w:r w:rsidRPr="00445472">
        <w:t>Për lumenjtë, liqenet, ujërat kalimtar</w:t>
      </w:r>
      <w:r w:rsidR="00445472">
        <w:t>e</w:t>
      </w:r>
      <w:r w:rsidRPr="00445472">
        <w:t xml:space="preserve"> dhe ujërat bregdetar</w:t>
      </w:r>
      <w:r w:rsidR="00445472">
        <w:t>e</w:t>
      </w:r>
      <w:r w:rsidRPr="00445472">
        <w:t>, statusi ekologjik i ujit mund të përcaktohet si status shumë i mirë, i mirë dhe mesatar ndërsa për trupat ujorë artificialë dhe ata tepër të modifikuar mund të klasifikohet si ujëra me potencial të mirë ekologjik dhe status i mirë kimik i ujit sipërfaqësor. Ujërat që arrijnë një status nën mesataren klasifikohen me st</w:t>
      </w:r>
      <w:r w:rsidR="00E07D87" w:rsidRPr="00445472">
        <w:t>a</w:t>
      </w:r>
      <w:r w:rsidRPr="00445472">
        <w:t xml:space="preserve">tus </w:t>
      </w:r>
      <w:r w:rsidR="00D62EDF" w:rsidRPr="00445472">
        <w:t>“</w:t>
      </w:r>
      <w:r w:rsidRPr="00445472">
        <w:t>të keq</w:t>
      </w:r>
      <w:r w:rsidR="00D62EDF" w:rsidRPr="00445472">
        <w:t>”</w:t>
      </w:r>
      <w:r w:rsidRPr="00445472">
        <w:t xml:space="preserve"> ose </w:t>
      </w:r>
      <w:r w:rsidR="00D62EDF" w:rsidRPr="00445472">
        <w:t>“</w:t>
      </w:r>
      <w:r w:rsidRPr="00445472">
        <w:t>shumë të keq</w:t>
      </w:r>
      <w:r w:rsidR="00D62EDF" w:rsidRPr="00445472">
        <w:t>”</w:t>
      </w:r>
      <w:r w:rsidRPr="00445472">
        <w:rPr>
          <w:rStyle w:val="FootnoteReference"/>
          <w:rFonts w:ascii="Garamond" w:hAnsi="Garamond"/>
          <w:color w:val="auto"/>
        </w:rPr>
        <w:footnoteReference w:id="87"/>
      </w:r>
      <w:r w:rsidRPr="00445472">
        <w:t>.</w:t>
      </w:r>
    </w:p>
    <w:p w14:paraId="6AAA02D6" w14:textId="2B55C9EB" w:rsidR="00DD09E9" w:rsidRPr="00445472" w:rsidRDefault="00DD09E9" w:rsidP="00DD09E9">
      <w:pPr>
        <w:pStyle w:val="TEKSTIIII"/>
      </w:pPr>
      <w:r w:rsidRPr="00445472">
        <w:t>DKU kërkon që Shtetet të krijojnë mënyra monitorimi, mbikëqyrëse, operacionale dhe investigative. Si një udhëzues i përgjithshëm, programi i monitorimit mbikëqyrës dhe operacional janë të nevojshëm për secilën periudhë në të cilën zbatohet plani i menaxhimit të basenit ujor. Programi i monitorimit investigativ kërkohet në rastet e konstatimit ose kur ka nevojë të konstatohen shkaqet e një trupi ujor për të arritur objektivat mjedisor</w:t>
      </w:r>
      <w:r w:rsidR="00DA3731" w:rsidRPr="00445472">
        <w:t>ë</w:t>
      </w:r>
      <w:r w:rsidRPr="00445472">
        <w:t xml:space="preserve"> ose për të përcaktuar madhësinë dhe ndikimet e ndotjes aksidentale</w:t>
      </w:r>
      <w:r w:rsidRPr="00445472">
        <w:rPr>
          <w:rStyle w:val="FootnoteReference"/>
          <w:rFonts w:ascii="Garamond" w:hAnsi="Garamond"/>
          <w:color w:val="auto"/>
        </w:rPr>
        <w:footnoteReference w:id="88"/>
      </w:r>
      <w:r w:rsidRPr="00445472">
        <w:t>. Një përshkrim i shkurtër i tri llojeve të monitorimit jepet më poshtë.</w:t>
      </w:r>
    </w:p>
    <w:p w14:paraId="173BAA9B" w14:textId="1BDC731D" w:rsidR="00DD09E9" w:rsidRPr="00445472" w:rsidRDefault="00DD09E9" w:rsidP="00DD09E9">
      <w:pPr>
        <w:pStyle w:val="NENTITULL"/>
      </w:pPr>
      <w:bookmarkStart w:id="101" w:name="_Toc11068785"/>
      <w:r w:rsidRPr="00445472">
        <w:t xml:space="preserve">6.2.2 Monitorimi </w:t>
      </w:r>
      <w:bookmarkEnd w:id="101"/>
      <w:r w:rsidR="00E07D87" w:rsidRPr="00445472">
        <w:t>mbikëqyrës</w:t>
      </w:r>
    </w:p>
    <w:p w14:paraId="670CAE22" w14:textId="6B64150A" w:rsidR="00DD09E9" w:rsidRPr="00445472" w:rsidRDefault="00DD09E9" w:rsidP="00DD09E9">
      <w:pPr>
        <w:pStyle w:val="TEKSTIIII"/>
      </w:pPr>
      <w:r w:rsidRPr="00445472">
        <w:t xml:space="preserve">Qëllimi i monitorimit </w:t>
      </w:r>
      <w:r w:rsidR="00E07D87" w:rsidRPr="00445472">
        <w:t>mbikëqyrës</w:t>
      </w:r>
      <w:r w:rsidRPr="00445472">
        <w:t xml:space="preserve"> është identifikimi i trupave ujorë në rrezik në mënyrë që të krijohet një bazë kuantitative për vlerësimet e ardhshme të ndryshimeve afatgjata natyrore ose antropogjene</w:t>
      </w:r>
      <w:r w:rsidRPr="00445472">
        <w:rPr>
          <w:rStyle w:val="FootnoteReference"/>
          <w:rFonts w:ascii="Garamond" w:hAnsi="Garamond"/>
          <w:bCs/>
          <w:color w:val="auto"/>
        </w:rPr>
        <w:footnoteReference w:id="89"/>
      </w:r>
      <w:r w:rsidRPr="00445472">
        <w:rPr>
          <w:bCs/>
        </w:rPr>
        <w:t xml:space="preserve">. Monitorimi </w:t>
      </w:r>
      <w:r w:rsidR="00E07D87" w:rsidRPr="00445472">
        <w:rPr>
          <w:bCs/>
        </w:rPr>
        <w:t>mbikëqyrës</w:t>
      </w:r>
      <w:r w:rsidRPr="00445472">
        <w:rPr>
          <w:bCs/>
        </w:rPr>
        <w:t xml:space="preserve"> kërkohet për çdo pikë monitorimi për një periudhë prej një viti gjatë periudhës së mbuluar nga një PMBU për </w:t>
      </w:r>
      <w:r w:rsidRPr="00445472">
        <w:rPr>
          <w:bCs/>
          <w:i/>
        </w:rPr>
        <w:t>parametra</w:t>
      </w:r>
      <w:r w:rsidRPr="00445472">
        <w:rPr>
          <w:bCs/>
        </w:rPr>
        <w:t>t tregues të të gjitha elementeve të cilësisë biologjike, të gjith</w:t>
      </w:r>
      <w:r w:rsidR="00814581">
        <w:t>a</w:t>
      </w:r>
      <w:r w:rsidRPr="00445472">
        <w:rPr>
          <w:bCs/>
        </w:rPr>
        <w:t xml:space="preserve"> element</w:t>
      </w:r>
      <w:r w:rsidR="00814581">
        <w:t>e</w:t>
      </w:r>
      <w:r w:rsidRPr="00445472">
        <w:t>ve</w:t>
      </w:r>
      <w:r w:rsidRPr="00445472">
        <w:rPr>
          <w:bCs/>
        </w:rPr>
        <w:t xml:space="preserve"> t</w:t>
      </w:r>
      <w:r w:rsidRPr="00445472">
        <w:t>ë</w:t>
      </w:r>
      <w:r w:rsidRPr="00445472">
        <w:rPr>
          <w:bCs/>
        </w:rPr>
        <w:t xml:space="preserve"> cilësisë hidromorfologjike dhe të gjith</w:t>
      </w:r>
      <w:r w:rsidR="00814581">
        <w:t>a</w:t>
      </w:r>
      <w:r w:rsidRPr="00445472">
        <w:rPr>
          <w:bCs/>
        </w:rPr>
        <w:t xml:space="preserve"> elemen</w:t>
      </w:r>
      <w:r w:rsidR="00814581">
        <w:rPr>
          <w:bCs/>
        </w:rPr>
        <w:t>e</w:t>
      </w:r>
      <w:r w:rsidRPr="00445472">
        <w:t>ve</w:t>
      </w:r>
      <w:r w:rsidRPr="00445472">
        <w:rPr>
          <w:bCs/>
        </w:rPr>
        <w:t xml:space="preserve"> t</w:t>
      </w:r>
      <w:r w:rsidRPr="00445472">
        <w:t>ë</w:t>
      </w:r>
      <w:r w:rsidRPr="00445472">
        <w:rPr>
          <w:bCs/>
        </w:rPr>
        <w:t xml:space="preserve"> përgjithsh</w:t>
      </w:r>
      <w:r w:rsidR="00814581">
        <w:t>me</w:t>
      </w:r>
      <w:r w:rsidRPr="00445472">
        <w:rPr>
          <w:bCs/>
        </w:rPr>
        <w:t xml:space="preserve"> fiziko-kimik</w:t>
      </w:r>
      <w:r w:rsidR="00814581">
        <w:t>e</w:t>
      </w:r>
      <w:r w:rsidRPr="00445472">
        <w:rPr>
          <w:bCs/>
        </w:rPr>
        <w:t xml:space="preserve"> të cilësisë (Tabela 1). Në rastet kur ka mungesë të informacionit të monitorimit për statusin e përgjithshëm të ujërave sipërfaqësor</w:t>
      </w:r>
      <w:r w:rsidRPr="00445472">
        <w:t>ë</w:t>
      </w:r>
      <w:r w:rsidRPr="00445472">
        <w:rPr>
          <w:bCs/>
        </w:rPr>
        <w:t xml:space="preserve"> brenda secilit pellg ujëmbledhës dhe nënbasen t</w:t>
      </w:r>
      <w:r w:rsidRPr="00445472">
        <w:t>ë rajonit</w:t>
      </w:r>
      <w:r w:rsidRPr="00445472">
        <w:rPr>
          <w:bCs/>
        </w:rPr>
        <w:t xml:space="preserve"> të basenit ujor, DKU sugjeron shtetet që të ndërmarrin monitorimin </w:t>
      </w:r>
      <w:r w:rsidR="00E07D87" w:rsidRPr="00445472">
        <w:rPr>
          <w:bCs/>
        </w:rPr>
        <w:t>mbikëqyrës</w:t>
      </w:r>
      <w:r w:rsidRPr="00445472">
        <w:rPr>
          <w:bCs/>
        </w:rPr>
        <w:t xml:space="preserve"> çdo vit, së paku gjatë tr</w:t>
      </w:r>
      <w:r w:rsidR="00905530">
        <w:rPr>
          <w:bCs/>
        </w:rPr>
        <w:t>i</w:t>
      </w:r>
      <w:r w:rsidRPr="00445472">
        <w:rPr>
          <w:bCs/>
        </w:rPr>
        <w:t xml:space="preserve"> viteve të para, në mënyrë që të arrijnë besueshm</w:t>
      </w:r>
      <w:r w:rsidRPr="00445472">
        <w:t>ërinë dhe vërtetësinë e</w:t>
      </w:r>
      <w:r w:rsidRPr="00445472">
        <w:rPr>
          <w:bCs/>
        </w:rPr>
        <w:t xml:space="preserve"> të dhënave t</w:t>
      </w:r>
      <w:r w:rsidRPr="00445472">
        <w:t>ë</w:t>
      </w:r>
      <w:r w:rsidRPr="00445472">
        <w:rPr>
          <w:bCs/>
        </w:rPr>
        <w:t xml:space="preserve"> monitorimit. Në rast se nuk ka ndryshime në gjendjen ekologjike të trupave ujorë në një Basen Ujor, shtetet kanë fleksibilitetin për të kryer monitorimin mbikëqyrës në tr</w:t>
      </w:r>
      <w:r w:rsidR="00905530">
        <w:rPr>
          <w:bCs/>
        </w:rPr>
        <w:t>i</w:t>
      </w:r>
      <w:r w:rsidRPr="00445472">
        <w:rPr>
          <w:bCs/>
        </w:rPr>
        <w:t xml:space="preserve"> </w:t>
      </w:r>
      <w:r w:rsidR="00905530" w:rsidRPr="00445472">
        <w:rPr>
          <w:bCs/>
        </w:rPr>
        <w:t xml:space="preserve">planet e baseneve ujore </w:t>
      </w:r>
      <w:r w:rsidRPr="00445472">
        <w:rPr>
          <w:bCs/>
        </w:rPr>
        <w:t>(një herë në 18 vjet).</w:t>
      </w:r>
    </w:p>
    <w:p w14:paraId="53340F21" w14:textId="0F355635" w:rsidR="0059625C" w:rsidRPr="00445472" w:rsidRDefault="0059625C" w:rsidP="0059625C">
      <w:pPr>
        <w:pStyle w:val="TEKSTIIII"/>
      </w:pPr>
    </w:p>
    <w:p w14:paraId="46DDD177" w14:textId="77777777" w:rsidR="00B94D2C" w:rsidRPr="00445472" w:rsidRDefault="00B94D2C" w:rsidP="0059625C">
      <w:pPr>
        <w:pStyle w:val="TEKSTIIII"/>
      </w:pPr>
    </w:p>
    <w:p w14:paraId="46B9A79C" w14:textId="77777777" w:rsidR="00B94D2C" w:rsidRPr="00445472" w:rsidRDefault="00B94D2C" w:rsidP="0059625C">
      <w:pPr>
        <w:pStyle w:val="TEKSTIIII"/>
      </w:pPr>
    </w:p>
    <w:p w14:paraId="5B5FDC4B" w14:textId="77777777" w:rsidR="00B94D2C" w:rsidRPr="00445472" w:rsidRDefault="00B94D2C" w:rsidP="0059625C">
      <w:pPr>
        <w:pStyle w:val="TEKSTIIII"/>
      </w:pPr>
    </w:p>
    <w:p w14:paraId="0793142C" w14:textId="77777777" w:rsidR="00B94D2C" w:rsidRPr="00445472" w:rsidRDefault="00B94D2C" w:rsidP="0059625C">
      <w:pPr>
        <w:pStyle w:val="TEKSTIIII"/>
      </w:pPr>
    </w:p>
    <w:p w14:paraId="598EE942" w14:textId="77777777" w:rsidR="00B94D2C" w:rsidRPr="00445472" w:rsidRDefault="00B94D2C" w:rsidP="0059625C">
      <w:pPr>
        <w:pStyle w:val="TEKSTIIII"/>
        <w:sectPr w:rsidR="00B94D2C" w:rsidRPr="00445472" w:rsidSect="0059625C">
          <w:pgSz w:w="11907" w:h="16839" w:code="9"/>
          <w:pgMar w:top="1418" w:right="1418" w:bottom="1418" w:left="1418" w:header="1304" w:footer="1134" w:gutter="0"/>
          <w:cols w:space="720"/>
          <w:docGrid w:linePitch="360"/>
        </w:sectPr>
      </w:pPr>
    </w:p>
    <w:p w14:paraId="304EB717" w14:textId="77777777" w:rsidR="00E879EE" w:rsidRPr="00445472" w:rsidRDefault="00E879EE" w:rsidP="00E879EE">
      <w:pPr>
        <w:pStyle w:val="NENTITULL"/>
      </w:pPr>
      <w:r w:rsidRPr="00445472">
        <w:t>Tabela 6.1: Elementet e cilësisë së ujit sipërfaqësor për klasifikimin e statusit ekologjik sipas DKU-së</w:t>
      </w:r>
      <w:r w:rsidRPr="00445472">
        <w:rPr>
          <w:rStyle w:val="FootnoteReference"/>
          <w:rFonts w:ascii="Garamond" w:hAnsi="Garamond"/>
          <w:b w:val="0"/>
          <w:color w:val="auto"/>
        </w:rPr>
        <w:footnoteReference w:id="90"/>
      </w:r>
    </w:p>
    <w:tbl>
      <w:tblPr>
        <w:tblW w:w="14216" w:type="dxa"/>
        <w:tblInd w:w="96" w:type="dxa"/>
        <w:tblBorders>
          <w:top w:val="single" w:sz="4" w:space="0" w:color="27B1B0"/>
          <w:left w:val="single" w:sz="4" w:space="0" w:color="27B1B0"/>
          <w:bottom w:val="single" w:sz="4" w:space="0" w:color="27B1B0"/>
          <w:right w:val="single" w:sz="4" w:space="0" w:color="27B1B0"/>
          <w:insideH w:val="single" w:sz="4" w:space="0" w:color="27B1B0"/>
        </w:tblBorders>
        <w:tblLayout w:type="fixed"/>
        <w:tblLook w:val="04A0" w:firstRow="1" w:lastRow="0" w:firstColumn="1" w:lastColumn="0" w:noHBand="0" w:noVBand="1"/>
      </w:tblPr>
      <w:tblGrid>
        <w:gridCol w:w="1600"/>
        <w:gridCol w:w="1418"/>
        <w:gridCol w:w="4252"/>
        <w:gridCol w:w="928"/>
        <w:gridCol w:w="65"/>
        <w:gridCol w:w="1984"/>
        <w:gridCol w:w="65"/>
        <w:gridCol w:w="2004"/>
        <w:gridCol w:w="65"/>
        <w:gridCol w:w="1835"/>
      </w:tblGrid>
      <w:tr w:rsidR="00E879EE" w:rsidRPr="00445472" w14:paraId="29226679" w14:textId="77777777" w:rsidTr="00B15A6B">
        <w:trPr>
          <w:trHeight w:val="293"/>
          <w:tblHeader/>
        </w:trPr>
        <w:tc>
          <w:tcPr>
            <w:tcW w:w="7270" w:type="dxa"/>
            <w:gridSpan w:val="3"/>
            <w:vMerge w:val="restart"/>
            <w:shd w:val="clear" w:color="auto" w:fill="D4D4D4"/>
            <w:vAlign w:val="center"/>
            <w:hideMark/>
          </w:tcPr>
          <w:p w14:paraId="56D2BE0D" w14:textId="77777777" w:rsidR="00E879EE" w:rsidRPr="00445472" w:rsidRDefault="00E879EE" w:rsidP="00E879EE">
            <w:pPr>
              <w:pStyle w:val="TableTextCentre"/>
              <w:spacing w:before="0" w:after="0"/>
              <w:ind w:right="44"/>
              <w:rPr>
                <w:rFonts w:ascii="Garamond" w:hAnsi="Garamond"/>
                <w:b/>
                <w:sz w:val="18"/>
                <w:szCs w:val="18"/>
                <w:lang w:val="sq-AL"/>
              </w:rPr>
            </w:pPr>
            <w:r w:rsidRPr="00445472">
              <w:rPr>
                <w:rFonts w:ascii="Garamond" w:hAnsi="Garamond"/>
                <w:b/>
                <w:sz w:val="18"/>
                <w:szCs w:val="18"/>
                <w:lang w:val="sq-AL"/>
              </w:rPr>
              <w:t>Elementet e monitorimit (parametrat) për trupat e ujërave sipërfaqësorë</w:t>
            </w:r>
          </w:p>
        </w:tc>
        <w:tc>
          <w:tcPr>
            <w:tcW w:w="6946" w:type="dxa"/>
            <w:gridSpan w:val="7"/>
            <w:shd w:val="clear" w:color="auto" w:fill="D4D4D4"/>
            <w:vAlign w:val="center"/>
            <w:hideMark/>
          </w:tcPr>
          <w:p w14:paraId="6DD1EA9C" w14:textId="77777777" w:rsidR="00E879EE" w:rsidRPr="00445472" w:rsidRDefault="00E879EE" w:rsidP="00E879EE">
            <w:pPr>
              <w:pStyle w:val="TableTextCentre"/>
              <w:spacing w:before="0" w:after="0"/>
              <w:ind w:right="44"/>
              <w:rPr>
                <w:rFonts w:ascii="Garamond" w:hAnsi="Garamond"/>
                <w:b/>
                <w:sz w:val="18"/>
                <w:szCs w:val="18"/>
                <w:lang w:val="sq-AL"/>
              </w:rPr>
            </w:pPr>
            <w:r w:rsidRPr="00445472">
              <w:rPr>
                <w:rFonts w:ascii="Garamond" w:hAnsi="Garamond"/>
                <w:b/>
                <w:sz w:val="18"/>
                <w:szCs w:val="18"/>
                <w:lang w:val="sq-AL"/>
              </w:rPr>
              <w:t>Trupat Ujorë sipërfaqësorë</w:t>
            </w:r>
          </w:p>
        </w:tc>
      </w:tr>
      <w:tr w:rsidR="00E879EE" w:rsidRPr="00445472" w14:paraId="5B2EFA71" w14:textId="77777777" w:rsidTr="00B15A6B">
        <w:trPr>
          <w:trHeight w:val="306"/>
          <w:tblHeader/>
        </w:trPr>
        <w:tc>
          <w:tcPr>
            <w:tcW w:w="7270" w:type="dxa"/>
            <w:gridSpan w:val="3"/>
            <w:vMerge/>
            <w:shd w:val="clear" w:color="auto" w:fill="D4D4D4"/>
            <w:vAlign w:val="center"/>
            <w:hideMark/>
          </w:tcPr>
          <w:p w14:paraId="27C1F6EA" w14:textId="77777777" w:rsidR="00E879EE" w:rsidRPr="00445472" w:rsidRDefault="00E879EE" w:rsidP="00E879EE">
            <w:pPr>
              <w:pStyle w:val="TableTextCentre"/>
              <w:spacing w:before="0" w:after="0"/>
              <w:ind w:right="44"/>
              <w:rPr>
                <w:rFonts w:ascii="Garamond" w:hAnsi="Garamond"/>
                <w:b/>
                <w:sz w:val="18"/>
                <w:szCs w:val="18"/>
                <w:lang w:val="sq-AL"/>
              </w:rPr>
            </w:pPr>
          </w:p>
        </w:tc>
        <w:tc>
          <w:tcPr>
            <w:tcW w:w="993" w:type="dxa"/>
            <w:gridSpan w:val="2"/>
            <w:shd w:val="clear" w:color="auto" w:fill="D4D4D4"/>
            <w:vAlign w:val="center"/>
            <w:hideMark/>
          </w:tcPr>
          <w:p w14:paraId="572A495F" w14:textId="77777777" w:rsidR="00E879EE" w:rsidRPr="00445472" w:rsidRDefault="00E879EE" w:rsidP="00E879EE">
            <w:pPr>
              <w:pStyle w:val="TableTextCentre"/>
              <w:spacing w:before="0" w:after="0"/>
              <w:ind w:right="-35"/>
              <w:rPr>
                <w:rFonts w:ascii="Garamond" w:hAnsi="Garamond"/>
                <w:b/>
                <w:sz w:val="18"/>
                <w:szCs w:val="18"/>
                <w:lang w:val="sq-AL"/>
              </w:rPr>
            </w:pPr>
            <w:r w:rsidRPr="00445472">
              <w:rPr>
                <w:rFonts w:ascii="Garamond" w:hAnsi="Garamond"/>
                <w:b/>
                <w:sz w:val="18"/>
                <w:szCs w:val="18"/>
                <w:lang w:val="sq-AL"/>
              </w:rPr>
              <w:t>Lumenjtë</w:t>
            </w:r>
          </w:p>
        </w:tc>
        <w:tc>
          <w:tcPr>
            <w:tcW w:w="2049" w:type="dxa"/>
            <w:gridSpan w:val="2"/>
            <w:shd w:val="clear" w:color="auto" w:fill="D4D4D4"/>
            <w:vAlign w:val="center"/>
            <w:hideMark/>
          </w:tcPr>
          <w:p w14:paraId="0C4D9D9A" w14:textId="77777777" w:rsidR="00E879EE" w:rsidRPr="00445472" w:rsidRDefault="00E879EE" w:rsidP="00E879EE">
            <w:pPr>
              <w:pStyle w:val="TableTextCentre"/>
              <w:spacing w:before="0" w:after="0"/>
              <w:ind w:right="44"/>
              <w:rPr>
                <w:rFonts w:ascii="Garamond" w:hAnsi="Garamond"/>
                <w:b/>
                <w:sz w:val="18"/>
                <w:szCs w:val="18"/>
                <w:lang w:val="sq-AL"/>
              </w:rPr>
            </w:pPr>
            <w:r w:rsidRPr="00445472">
              <w:rPr>
                <w:rFonts w:ascii="Garamond" w:hAnsi="Garamond"/>
                <w:b/>
                <w:sz w:val="18"/>
                <w:szCs w:val="18"/>
                <w:lang w:val="sq-AL"/>
              </w:rPr>
              <w:t>Liqenet</w:t>
            </w:r>
          </w:p>
        </w:tc>
        <w:tc>
          <w:tcPr>
            <w:tcW w:w="2069" w:type="dxa"/>
            <w:gridSpan w:val="2"/>
            <w:shd w:val="clear" w:color="auto" w:fill="D4D4D4"/>
            <w:vAlign w:val="center"/>
            <w:hideMark/>
          </w:tcPr>
          <w:p w14:paraId="18A3D97D" w14:textId="77777777" w:rsidR="00E879EE" w:rsidRPr="00445472" w:rsidRDefault="00E879EE" w:rsidP="00E879EE">
            <w:pPr>
              <w:pStyle w:val="TableTextCentre"/>
              <w:spacing w:before="0" w:after="0"/>
              <w:ind w:right="44"/>
              <w:rPr>
                <w:rFonts w:ascii="Garamond" w:hAnsi="Garamond"/>
                <w:b/>
                <w:sz w:val="18"/>
                <w:szCs w:val="18"/>
                <w:lang w:val="sq-AL"/>
              </w:rPr>
            </w:pPr>
            <w:r w:rsidRPr="00445472">
              <w:rPr>
                <w:rFonts w:ascii="Garamond" w:hAnsi="Garamond"/>
                <w:b/>
                <w:sz w:val="18"/>
                <w:szCs w:val="18"/>
                <w:lang w:val="sq-AL"/>
              </w:rPr>
              <w:t>Ujëra Kalimtare</w:t>
            </w:r>
          </w:p>
        </w:tc>
        <w:tc>
          <w:tcPr>
            <w:tcW w:w="1835" w:type="dxa"/>
            <w:shd w:val="clear" w:color="auto" w:fill="D4D4D4"/>
            <w:vAlign w:val="center"/>
            <w:hideMark/>
          </w:tcPr>
          <w:p w14:paraId="60DB6142" w14:textId="77777777" w:rsidR="00E879EE" w:rsidRPr="00445472" w:rsidRDefault="00E879EE" w:rsidP="00E879EE">
            <w:pPr>
              <w:pStyle w:val="TableTextCentre"/>
              <w:spacing w:before="0" w:after="0"/>
              <w:ind w:right="-30"/>
              <w:rPr>
                <w:rFonts w:ascii="Garamond" w:hAnsi="Garamond"/>
                <w:b/>
                <w:sz w:val="18"/>
                <w:szCs w:val="18"/>
                <w:lang w:val="sq-AL"/>
              </w:rPr>
            </w:pPr>
            <w:r w:rsidRPr="00445472">
              <w:rPr>
                <w:rFonts w:ascii="Garamond" w:hAnsi="Garamond"/>
                <w:b/>
                <w:sz w:val="18"/>
                <w:szCs w:val="18"/>
                <w:lang w:val="sq-AL"/>
              </w:rPr>
              <w:t>Ujëra bregdetare</w:t>
            </w:r>
          </w:p>
        </w:tc>
      </w:tr>
      <w:tr w:rsidR="00E879EE" w:rsidRPr="00445472" w14:paraId="3E62DEEF" w14:textId="77777777" w:rsidTr="00B15A6B">
        <w:trPr>
          <w:trHeight w:val="298"/>
        </w:trPr>
        <w:tc>
          <w:tcPr>
            <w:tcW w:w="1600" w:type="dxa"/>
            <w:vMerge w:val="restart"/>
            <w:tcBorders>
              <w:right w:val="single" w:sz="4" w:space="0" w:color="27B1B0"/>
            </w:tcBorders>
            <w:shd w:val="clear" w:color="auto" w:fill="auto"/>
            <w:vAlign w:val="center"/>
            <w:hideMark/>
          </w:tcPr>
          <w:p w14:paraId="344A963F" w14:textId="31AC568B" w:rsidR="00E879EE" w:rsidRPr="00445472" w:rsidRDefault="00E879EE" w:rsidP="00E07D87">
            <w:pPr>
              <w:pStyle w:val="TableTextCentre"/>
              <w:spacing w:before="0" w:after="0"/>
              <w:ind w:right="44"/>
              <w:rPr>
                <w:rFonts w:ascii="Garamond" w:hAnsi="Garamond"/>
                <w:sz w:val="18"/>
                <w:szCs w:val="18"/>
                <w:lang w:val="sq-AL"/>
              </w:rPr>
            </w:pPr>
            <w:r w:rsidRPr="00445472">
              <w:rPr>
                <w:rFonts w:ascii="Garamond" w:hAnsi="Garamond"/>
                <w:sz w:val="18"/>
                <w:szCs w:val="18"/>
                <w:lang w:val="sq-AL"/>
              </w:rPr>
              <w:t xml:space="preserve">Elementet </w:t>
            </w:r>
            <w:r w:rsidR="00E07D87" w:rsidRPr="00445472">
              <w:rPr>
                <w:rFonts w:ascii="Garamond" w:hAnsi="Garamond"/>
                <w:sz w:val="18"/>
                <w:szCs w:val="18"/>
                <w:lang w:val="sq-AL"/>
              </w:rPr>
              <w:t>biologjike</w:t>
            </w:r>
          </w:p>
        </w:tc>
        <w:tc>
          <w:tcPr>
            <w:tcW w:w="5670" w:type="dxa"/>
            <w:gridSpan w:val="2"/>
            <w:tcBorders>
              <w:left w:val="single" w:sz="4" w:space="0" w:color="27B1B0"/>
            </w:tcBorders>
            <w:shd w:val="clear" w:color="auto" w:fill="auto"/>
            <w:vAlign w:val="center"/>
            <w:hideMark/>
          </w:tcPr>
          <w:p w14:paraId="2C72B68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Përbërja dhe abondanca e florës ujore</w:t>
            </w:r>
          </w:p>
        </w:tc>
        <w:tc>
          <w:tcPr>
            <w:tcW w:w="928" w:type="dxa"/>
            <w:shd w:val="clear" w:color="auto" w:fill="auto"/>
            <w:vAlign w:val="center"/>
            <w:hideMark/>
          </w:tcPr>
          <w:p w14:paraId="47D0D8AB"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3214F57C"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691A55F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326095E2"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06053966" w14:textId="77777777" w:rsidTr="00B15A6B">
        <w:trPr>
          <w:trHeight w:val="254"/>
        </w:trPr>
        <w:tc>
          <w:tcPr>
            <w:tcW w:w="1600" w:type="dxa"/>
            <w:vMerge/>
            <w:tcBorders>
              <w:right w:val="single" w:sz="4" w:space="0" w:color="27B1B0"/>
            </w:tcBorders>
            <w:shd w:val="clear" w:color="auto" w:fill="auto"/>
            <w:vAlign w:val="center"/>
            <w:hideMark/>
          </w:tcPr>
          <w:p w14:paraId="720F5CE0" w14:textId="77777777" w:rsidR="00E879EE" w:rsidRPr="00445472" w:rsidRDefault="00E879EE" w:rsidP="00E879EE">
            <w:pPr>
              <w:pStyle w:val="TableTextCentre"/>
              <w:spacing w:before="0" w:after="0"/>
              <w:ind w:right="44"/>
              <w:rPr>
                <w:rFonts w:ascii="Garamond" w:hAnsi="Garamond"/>
                <w:sz w:val="18"/>
                <w:szCs w:val="18"/>
                <w:lang w:val="sq-AL"/>
              </w:rPr>
            </w:pPr>
          </w:p>
        </w:tc>
        <w:tc>
          <w:tcPr>
            <w:tcW w:w="5670" w:type="dxa"/>
            <w:gridSpan w:val="2"/>
            <w:tcBorders>
              <w:left w:val="single" w:sz="4" w:space="0" w:color="27B1B0"/>
            </w:tcBorders>
            <w:shd w:val="clear" w:color="auto" w:fill="auto"/>
            <w:vAlign w:val="center"/>
            <w:hideMark/>
          </w:tcPr>
          <w:p w14:paraId="526AE65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Përbërja dhe abondanca e faunës së invertebrorëve bentikë</w:t>
            </w:r>
          </w:p>
        </w:tc>
        <w:tc>
          <w:tcPr>
            <w:tcW w:w="928" w:type="dxa"/>
            <w:shd w:val="clear" w:color="auto" w:fill="auto"/>
            <w:vAlign w:val="center"/>
            <w:hideMark/>
          </w:tcPr>
          <w:p w14:paraId="6A13D09A"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15368FD8"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69391A86"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4EBB645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0F1177C3" w14:textId="77777777" w:rsidTr="00B15A6B">
        <w:trPr>
          <w:trHeight w:val="254"/>
        </w:trPr>
        <w:tc>
          <w:tcPr>
            <w:tcW w:w="1600" w:type="dxa"/>
            <w:vMerge/>
            <w:tcBorders>
              <w:right w:val="single" w:sz="4" w:space="0" w:color="27B1B0"/>
            </w:tcBorders>
            <w:shd w:val="clear" w:color="auto" w:fill="auto"/>
            <w:vAlign w:val="center"/>
            <w:hideMark/>
          </w:tcPr>
          <w:p w14:paraId="11779EBA" w14:textId="77777777" w:rsidR="00E879EE" w:rsidRPr="00445472" w:rsidRDefault="00E879EE" w:rsidP="00E879EE">
            <w:pPr>
              <w:pStyle w:val="TableTextCentre"/>
              <w:spacing w:before="0" w:after="0"/>
              <w:ind w:right="44"/>
              <w:rPr>
                <w:rFonts w:ascii="Garamond" w:hAnsi="Garamond"/>
                <w:sz w:val="18"/>
                <w:szCs w:val="18"/>
                <w:lang w:val="sq-AL"/>
              </w:rPr>
            </w:pPr>
          </w:p>
        </w:tc>
        <w:tc>
          <w:tcPr>
            <w:tcW w:w="5670" w:type="dxa"/>
            <w:gridSpan w:val="2"/>
            <w:tcBorders>
              <w:left w:val="single" w:sz="4" w:space="0" w:color="27B1B0"/>
            </w:tcBorders>
            <w:shd w:val="clear" w:color="auto" w:fill="auto"/>
            <w:vAlign w:val="center"/>
            <w:hideMark/>
          </w:tcPr>
          <w:p w14:paraId="3511008A"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Përbërja, abondanca dhe struktura e moshës së faunës së peshkut</w:t>
            </w:r>
          </w:p>
        </w:tc>
        <w:tc>
          <w:tcPr>
            <w:tcW w:w="928" w:type="dxa"/>
            <w:shd w:val="clear" w:color="auto" w:fill="auto"/>
            <w:vAlign w:val="center"/>
            <w:hideMark/>
          </w:tcPr>
          <w:p w14:paraId="684E861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277B505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40C6CD1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25B7966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2DEB3469" w14:textId="77777777" w:rsidTr="00B15A6B">
        <w:trPr>
          <w:trHeight w:val="245"/>
        </w:trPr>
        <w:tc>
          <w:tcPr>
            <w:tcW w:w="1600" w:type="dxa"/>
            <w:vMerge/>
            <w:tcBorders>
              <w:bottom w:val="single" w:sz="4" w:space="0" w:color="27B1B0"/>
              <w:right w:val="single" w:sz="4" w:space="0" w:color="27B1B0"/>
            </w:tcBorders>
            <w:shd w:val="clear" w:color="auto" w:fill="auto"/>
            <w:vAlign w:val="center"/>
            <w:hideMark/>
          </w:tcPr>
          <w:p w14:paraId="2C2C29DD" w14:textId="77777777" w:rsidR="00E879EE" w:rsidRPr="00445472" w:rsidRDefault="00E879EE" w:rsidP="00E879EE">
            <w:pPr>
              <w:pStyle w:val="TableTextCentre"/>
              <w:spacing w:before="0" w:after="0"/>
              <w:ind w:right="44"/>
              <w:rPr>
                <w:rFonts w:ascii="Garamond" w:hAnsi="Garamond"/>
                <w:sz w:val="18"/>
                <w:szCs w:val="18"/>
                <w:lang w:val="sq-AL"/>
              </w:rPr>
            </w:pPr>
          </w:p>
        </w:tc>
        <w:tc>
          <w:tcPr>
            <w:tcW w:w="5670" w:type="dxa"/>
            <w:gridSpan w:val="2"/>
            <w:tcBorders>
              <w:left w:val="single" w:sz="4" w:space="0" w:color="27B1B0"/>
            </w:tcBorders>
            <w:shd w:val="clear" w:color="auto" w:fill="auto"/>
            <w:vAlign w:val="center"/>
            <w:hideMark/>
          </w:tcPr>
          <w:p w14:paraId="354EDBB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Përbërja, abondanca dhe biomasa e fitoplanktonit</w:t>
            </w:r>
          </w:p>
        </w:tc>
        <w:tc>
          <w:tcPr>
            <w:tcW w:w="928" w:type="dxa"/>
            <w:shd w:val="clear" w:color="auto" w:fill="auto"/>
            <w:vAlign w:val="center"/>
            <w:hideMark/>
          </w:tcPr>
          <w:p w14:paraId="2D4F48C1"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49" w:type="dxa"/>
            <w:gridSpan w:val="2"/>
            <w:shd w:val="clear" w:color="auto" w:fill="auto"/>
            <w:vAlign w:val="center"/>
            <w:hideMark/>
          </w:tcPr>
          <w:p w14:paraId="55A6EF1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002E9960"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16BEB9D1"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69CB8D7E" w14:textId="77777777" w:rsidTr="00B15A6B">
        <w:trPr>
          <w:trHeight w:val="262"/>
        </w:trPr>
        <w:tc>
          <w:tcPr>
            <w:tcW w:w="1600" w:type="dxa"/>
            <w:vMerge w:val="restart"/>
            <w:tcBorders>
              <w:right w:val="single" w:sz="4" w:space="0" w:color="27B1B0"/>
            </w:tcBorders>
            <w:shd w:val="clear" w:color="auto" w:fill="D4D4D4"/>
            <w:vAlign w:val="center"/>
            <w:hideMark/>
          </w:tcPr>
          <w:p w14:paraId="33466BCE" w14:textId="0BCFE3CB" w:rsidR="00E879EE" w:rsidRPr="00445472" w:rsidRDefault="00E879EE" w:rsidP="00E07D87">
            <w:pPr>
              <w:pStyle w:val="TableTextCentre"/>
              <w:spacing w:before="0" w:after="0"/>
              <w:ind w:right="44"/>
              <w:rPr>
                <w:rFonts w:ascii="Garamond" w:hAnsi="Garamond"/>
                <w:sz w:val="18"/>
                <w:szCs w:val="18"/>
                <w:lang w:val="sq-AL"/>
              </w:rPr>
            </w:pPr>
            <w:r w:rsidRPr="00445472">
              <w:rPr>
                <w:rFonts w:ascii="Garamond" w:hAnsi="Garamond"/>
                <w:sz w:val="18"/>
                <w:szCs w:val="18"/>
                <w:lang w:val="sq-AL"/>
              </w:rPr>
              <w:t xml:space="preserve">Elementet </w:t>
            </w:r>
            <w:r w:rsidR="00E07D87" w:rsidRPr="00445472">
              <w:rPr>
                <w:rFonts w:ascii="Garamond" w:hAnsi="Garamond"/>
                <w:sz w:val="18"/>
                <w:szCs w:val="18"/>
                <w:lang w:val="sq-AL"/>
              </w:rPr>
              <w:t xml:space="preserve">hidromorfologjike </w:t>
            </w:r>
          </w:p>
        </w:tc>
        <w:tc>
          <w:tcPr>
            <w:tcW w:w="1418" w:type="dxa"/>
            <w:vMerge w:val="restart"/>
            <w:tcBorders>
              <w:left w:val="single" w:sz="4" w:space="0" w:color="27B1B0"/>
              <w:right w:val="single" w:sz="4" w:space="0" w:color="27B1B0"/>
            </w:tcBorders>
            <w:shd w:val="clear" w:color="auto" w:fill="D4D4D4"/>
            <w:vAlign w:val="center"/>
            <w:hideMark/>
          </w:tcPr>
          <w:p w14:paraId="2FA28AB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Regjimi Hidrologjik</w:t>
            </w:r>
          </w:p>
        </w:tc>
        <w:tc>
          <w:tcPr>
            <w:tcW w:w="4252" w:type="dxa"/>
            <w:tcBorders>
              <w:left w:val="single" w:sz="4" w:space="0" w:color="27B1B0"/>
            </w:tcBorders>
            <w:shd w:val="clear" w:color="auto" w:fill="D4D4D4"/>
            <w:vAlign w:val="center"/>
            <w:hideMark/>
          </w:tcPr>
          <w:p w14:paraId="09B04FE6"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Sasia dhe dinamika e rrjedhjes së ujit</w:t>
            </w:r>
          </w:p>
        </w:tc>
        <w:tc>
          <w:tcPr>
            <w:tcW w:w="928" w:type="dxa"/>
            <w:shd w:val="clear" w:color="auto" w:fill="D4D4D4"/>
            <w:vAlign w:val="center"/>
            <w:hideMark/>
          </w:tcPr>
          <w:p w14:paraId="4BF5CD9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D4D4D4"/>
            <w:vAlign w:val="center"/>
            <w:hideMark/>
          </w:tcPr>
          <w:p w14:paraId="2FDE26E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D4D4D4"/>
            <w:vAlign w:val="center"/>
            <w:hideMark/>
          </w:tcPr>
          <w:p w14:paraId="7887331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1900" w:type="dxa"/>
            <w:gridSpan w:val="2"/>
            <w:shd w:val="clear" w:color="auto" w:fill="D4D4D4"/>
            <w:vAlign w:val="center"/>
            <w:hideMark/>
          </w:tcPr>
          <w:p w14:paraId="75C0355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190C264E" w14:textId="77777777" w:rsidTr="00B15A6B">
        <w:trPr>
          <w:trHeight w:val="293"/>
        </w:trPr>
        <w:tc>
          <w:tcPr>
            <w:tcW w:w="1600" w:type="dxa"/>
            <w:vMerge/>
            <w:tcBorders>
              <w:right w:val="single" w:sz="4" w:space="0" w:color="27B1B0"/>
            </w:tcBorders>
            <w:shd w:val="clear" w:color="auto" w:fill="D4D4D4"/>
            <w:vAlign w:val="center"/>
            <w:hideMark/>
          </w:tcPr>
          <w:p w14:paraId="410005D9"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D4D4D4"/>
            <w:vAlign w:val="center"/>
            <w:hideMark/>
          </w:tcPr>
          <w:p w14:paraId="38ED1EF6"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7BC9A7FE"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Lidhja me trupat ujorë nëntokësorë</w:t>
            </w:r>
          </w:p>
        </w:tc>
        <w:tc>
          <w:tcPr>
            <w:tcW w:w="928" w:type="dxa"/>
            <w:shd w:val="clear" w:color="auto" w:fill="D4D4D4"/>
            <w:vAlign w:val="center"/>
            <w:hideMark/>
          </w:tcPr>
          <w:p w14:paraId="023EB94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D4D4D4"/>
            <w:vAlign w:val="center"/>
            <w:hideMark/>
          </w:tcPr>
          <w:p w14:paraId="3B57ACE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D4D4D4"/>
            <w:vAlign w:val="center"/>
            <w:hideMark/>
          </w:tcPr>
          <w:p w14:paraId="2D90929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1900" w:type="dxa"/>
            <w:gridSpan w:val="2"/>
            <w:shd w:val="clear" w:color="auto" w:fill="D4D4D4"/>
            <w:vAlign w:val="center"/>
            <w:hideMark/>
          </w:tcPr>
          <w:p w14:paraId="1E5409E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65FAF6BF" w14:textId="77777777" w:rsidTr="00B15A6B">
        <w:trPr>
          <w:trHeight w:val="254"/>
        </w:trPr>
        <w:tc>
          <w:tcPr>
            <w:tcW w:w="1600" w:type="dxa"/>
            <w:vMerge/>
            <w:tcBorders>
              <w:right w:val="single" w:sz="4" w:space="0" w:color="27B1B0"/>
            </w:tcBorders>
            <w:shd w:val="clear" w:color="auto" w:fill="D4D4D4"/>
            <w:vAlign w:val="center"/>
            <w:hideMark/>
          </w:tcPr>
          <w:p w14:paraId="022633D7"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bottom w:val="single" w:sz="4" w:space="0" w:color="27B1B0"/>
              <w:right w:val="single" w:sz="4" w:space="0" w:color="27B1B0"/>
            </w:tcBorders>
            <w:shd w:val="clear" w:color="auto" w:fill="D4D4D4"/>
            <w:vAlign w:val="center"/>
            <w:hideMark/>
          </w:tcPr>
          <w:p w14:paraId="0E9F66BF"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1435643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Koha e qëndrimit</w:t>
            </w:r>
          </w:p>
        </w:tc>
        <w:tc>
          <w:tcPr>
            <w:tcW w:w="928" w:type="dxa"/>
            <w:shd w:val="clear" w:color="auto" w:fill="D4D4D4"/>
            <w:vAlign w:val="center"/>
            <w:hideMark/>
          </w:tcPr>
          <w:p w14:paraId="5F53412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49" w:type="dxa"/>
            <w:gridSpan w:val="2"/>
            <w:shd w:val="clear" w:color="auto" w:fill="D4D4D4"/>
            <w:vAlign w:val="center"/>
            <w:hideMark/>
          </w:tcPr>
          <w:p w14:paraId="17F6D8C6"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D4D4D4"/>
            <w:vAlign w:val="center"/>
            <w:hideMark/>
          </w:tcPr>
          <w:p w14:paraId="73E6DD7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1900" w:type="dxa"/>
            <w:gridSpan w:val="2"/>
            <w:shd w:val="clear" w:color="auto" w:fill="D4D4D4"/>
            <w:vAlign w:val="center"/>
            <w:hideMark/>
          </w:tcPr>
          <w:p w14:paraId="7ACB57F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0D3518B7" w14:textId="77777777" w:rsidTr="00E879EE">
        <w:trPr>
          <w:trHeight w:val="125"/>
        </w:trPr>
        <w:tc>
          <w:tcPr>
            <w:tcW w:w="1600" w:type="dxa"/>
            <w:vMerge/>
            <w:tcBorders>
              <w:right w:val="single" w:sz="4" w:space="0" w:color="27B1B0"/>
            </w:tcBorders>
            <w:shd w:val="clear" w:color="auto" w:fill="D4D4D4"/>
            <w:vAlign w:val="center"/>
            <w:hideMark/>
          </w:tcPr>
          <w:p w14:paraId="67D8F100"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val="restart"/>
            <w:tcBorders>
              <w:left w:val="single" w:sz="4" w:space="0" w:color="27B1B0"/>
              <w:right w:val="single" w:sz="4" w:space="0" w:color="27B1B0"/>
            </w:tcBorders>
            <w:shd w:val="clear" w:color="auto" w:fill="D4D4D4"/>
            <w:vAlign w:val="center"/>
            <w:hideMark/>
          </w:tcPr>
          <w:p w14:paraId="08A27142"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Kushtet Morfologjike</w:t>
            </w:r>
          </w:p>
        </w:tc>
        <w:tc>
          <w:tcPr>
            <w:tcW w:w="4252" w:type="dxa"/>
            <w:tcBorders>
              <w:left w:val="single" w:sz="4" w:space="0" w:color="27B1B0"/>
            </w:tcBorders>
            <w:shd w:val="clear" w:color="auto" w:fill="D4D4D4"/>
            <w:vAlign w:val="center"/>
          </w:tcPr>
          <w:p w14:paraId="5ADFA5C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Vazhdimësia e Lumit</w:t>
            </w:r>
          </w:p>
        </w:tc>
        <w:tc>
          <w:tcPr>
            <w:tcW w:w="928" w:type="dxa"/>
            <w:shd w:val="clear" w:color="auto" w:fill="D4D4D4"/>
            <w:vAlign w:val="center"/>
            <w:hideMark/>
          </w:tcPr>
          <w:p w14:paraId="50E8857C"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D4D4D4"/>
            <w:vAlign w:val="center"/>
            <w:hideMark/>
          </w:tcPr>
          <w:p w14:paraId="0355C1F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69" w:type="dxa"/>
            <w:gridSpan w:val="2"/>
            <w:shd w:val="clear" w:color="auto" w:fill="D4D4D4"/>
            <w:vAlign w:val="center"/>
            <w:hideMark/>
          </w:tcPr>
          <w:p w14:paraId="0BFFB58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1900" w:type="dxa"/>
            <w:gridSpan w:val="2"/>
            <w:shd w:val="clear" w:color="auto" w:fill="D4D4D4"/>
            <w:vAlign w:val="center"/>
            <w:hideMark/>
          </w:tcPr>
          <w:p w14:paraId="6BE3620A"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02311D0C" w14:textId="77777777" w:rsidTr="00E879EE">
        <w:trPr>
          <w:trHeight w:val="158"/>
        </w:trPr>
        <w:tc>
          <w:tcPr>
            <w:tcW w:w="1600" w:type="dxa"/>
            <w:vMerge/>
            <w:tcBorders>
              <w:right w:val="single" w:sz="4" w:space="0" w:color="27B1B0"/>
            </w:tcBorders>
            <w:shd w:val="clear" w:color="auto" w:fill="D4D4D4"/>
            <w:vAlign w:val="center"/>
            <w:hideMark/>
          </w:tcPr>
          <w:p w14:paraId="4901DA5B"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D4D4D4"/>
            <w:vAlign w:val="center"/>
            <w:hideMark/>
          </w:tcPr>
          <w:p w14:paraId="67229F89"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364F39B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Variacioni i thellësisë dhe gjerësisë</w:t>
            </w:r>
          </w:p>
        </w:tc>
        <w:tc>
          <w:tcPr>
            <w:tcW w:w="928" w:type="dxa"/>
            <w:shd w:val="clear" w:color="auto" w:fill="D4D4D4"/>
            <w:vAlign w:val="center"/>
            <w:hideMark/>
          </w:tcPr>
          <w:p w14:paraId="1866E1E0"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D4D4D4"/>
            <w:vAlign w:val="center"/>
            <w:hideMark/>
          </w:tcPr>
          <w:p w14:paraId="3DF41C8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Variacion i thellësisë</w:t>
            </w:r>
          </w:p>
        </w:tc>
        <w:tc>
          <w:tcPr>
            <w:tcW w:w="2069" w:type="dxa"/>
            <w:gridSpan w:val="2"/>
            <w:shd w:val="clear" w:color="auto" w:fill="D4D4D4"/>
            <w:vAlign w:val="center"/>
            <w:hideMark/>
          </w:tcPr>
          <w:p w14:paraId="58F72BD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Variacion i thellësisë</w:t>
            </w:r>
          </w:p>
        </w:tc>
        <w:tc>
          <w:tcPr>
            <w:tcW w:w="1900" w:type="dxa"/>
            <w:gridSpan w:val="2"/>
            <w:shd w:val="clear" w:color="auto" w:fill="D4D4D4"/>
            <w:vAlign w:val="center"/>
            <w:hideMark/>
          </w:tcPr>
          <w:p w14:paraId="1D59341E"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Variacion i thellësisë</w:t>
            </w:r>
          </w:p>
        </w:tc>
      </w:tr>
      <w:tr w:rsidR="00E879EE" w:rsidRPr="00445472" w14:paraId="48A8AABC" w14:textId="77777777" w:rsidTr="00B15A6B">
        <w:trPr>
          <w:trHeight w:val="458"/>
        </w:trPr>
        <w:tc>
          <w:tcPr>
            <w:tcW w:w="1600" w:type="dxa"/>
            <w:vMerge/>
            <w:tcBorders>
              <w:right w:val="single" w:sz="4" w:space="0" w:color="27B1B0"/>
            </w:tcBorders>
            <w:shd w:val="clear" w:color="auto" w:fill="D4D4D4"/>
            <w:vAlign w:val="center"/>
            <w:hideMark/>
          </w:tcPr>
          <w:p w14:paraId="3134070A"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D4D4D4"/>
            <w:vAlign w:val="center"/>
            <w:hideMark/>
          </w:tcPr>
          <w:p w14:paraId="33FECE85"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5145A486"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xml:space="preserve">Struktura dhe substrati i shtratit </w:t>
            </w:r>
          </w:p>
        </w:tc>
        <w:tc>
          <w:tcPr>
            <w:tcW w:w="928" w:type="dxa"/>
            <w:shd w:val="clear" w:color="auto" w:fill="D4D4D4"/>
            <w:vAlign w:val="center"/>
            <w:hideMark/>
          </w:tcPr>
          <w:p w14:paraId="77C58B3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D4D4D4"/>
            <w:vAlign w:val="center"/>
            <w:hideMark/>
          </w:tcPr>
          <w:p w14:paraId="707A6AFC"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xml:space="preserve">Sasia, struktura dhe shtresa e shtratit </w:t>
            </w:r>
          </w:p>
        </w:tc>
        <w:tc>
          <w:tcPr>
            <w:tcW w:w="2069" w:type="dxa"/>
            <w:gridSpan w:val="2"/>
            <w:shd w:val="clear" w:color="auto" w:fill="D4D4D4"/>
            <w:vAlign w:val="center"/>
            <w:hideMark/>
          </w:tcPr>
          <w:p w14:paraId="236733C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xml:space="preserve">Sasia, struktura dhe shtresa e shtratit </w:t>
            </w:r>
          </w:p>
        </w:tc>
        <w:tc>
          <w:tcPr>
            <w:tcW w:w="1900" w:type="dxa"/>
            <w:gridSpan w:val="2"/>
            <w:shd w:val="clear" w:color="auto" w:fill="D4D4D4"/>
            <w:vAlign w:val="center"/>
            <w:hideMark/>
          </w:tcPr>
          <w:p w14:paraId="4939C78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7D8D58F4" w14:textId="77777777" w:rsidTr="00B15A6B">
        <w:trPr>
          <w:trHeight w:val="440"/>
        </w:trPr>
        <w:tc>
          <w:tcPr>
            <w:tcW w:w="1600" w:type="dxa"/>
            <w:vMerge/>
            <w:tcBorders>
              <w:right w:val="single" w:sz="4" w:space="0" w:color="27B1B0"/>
            </w:tcBorders>
            <w:shd w:val="clear" w:color="auto" w:fill="D4D4D4"/>
            <w:vAlign w:val="center"/>
            <w:hideMark/>
          </w:tcPr>
          <w:p w14:paraId="09AAD195"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bottom w:val="single" w:sz="4" w:space="0" w:color="27B1B0"/>
              <w:right w:val="single" w:sz="4" w:space="0" w:color="27B1B0"/>
            </w:tcBorders>
            <w:shd w:val="clear" w:color="auto" w:fill="D4D4D4"/>
            <w:vAlign w:val="center"/>
            <w:hideMark/>
          </w:tcPr>
          <w:p w14:paraId="7936E817"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4A72A594" w14:textId="41B66025"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xml:space="preserve">Struktura e </w:t>
            </w:r>
            <w:r w:rsidR="00E07D87" w:rsidRPr="00445472">
              <w:rPr>
                <w:rFonts w:ascii="Garamond" w:hAnsi="Garamond"/>
                <w:sz w:val="18"/>
                <w:szCs w:val="18"/>
                <w:lang w:val="sq-AL"/>
              </w:rPr>
              <w:t>zonës</w:t>
            </w:r>
            <w:r w:rsidRPr="00445472">
              <w:rPr>
                <w:rFonts w:ascii="Garamond" w:hAnsi="Garamond"/>
                <w:sz w:val="18"/>
                <w:szCs w:val="18"/>
                <w:lang w:val="sq-AL"/>
              </w:rPr>
              <w:t xml:space="preserve"> së bregut</w:t>
            </w:r>
          </w:p>
        </w:tc>
        <w:tc>
          <w:tcPr>
            <w:tcW w:w="928" w:type="dxa"/>
            <w:shd w:val="clear" w:color="auto" w:fill="D4D4D4"/>
            <w:vAlign w:val="center"/>
            <w:hideMark/>
          </w:tcPr>
          <w:p w14:paraId="2B46F5E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D4D4D4"/>
            <w:vAlign w:val="center"/>
            <w:hideMark/>
          </w:tcPr>
          <w:p w14:paraId="5C54A8A2"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Struktura e bregut të liqenit</w:t>
            </w:r>
          </w:p>
        </w:tc>
        <w:tc>
          <w:tcPr>
            <w:tcW w:w="2069" w:type="dxa"/>
            <w:gridSpan w:val="2"/>
            <w:shd w:val="clear" w:color="auto" w:fill="D4D4D4"/>
            <w:vAlign w:val="center"/>
            <w:hideMark/>
          </w:tcPr>
          <w:p w14:paraId="36D6498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Struktura e bregut të liqenit</w:t>
            </w:r>
          </w:p>
        </w:tc>
        <w:tc>
          <w:tcPr>
            <w:tcW w:w="1900" w:type="dxa"/>
            <w:gridSpan w:val="2"/>
            <w:shd w:val="clear" w:color="auto" w:fill="D4D4D4"/>
            <w:vAlign w:val="center"/>
            <w:hideMark/>
          </w:tcPr>
          <w:p w14:paraId="55CEE75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Struktura e zonës ndërbaticore</w:t>
            </w:r>
          </w:p>
        </w:tc>
      </w:tr>
      <w:tr w:rsidR="00E879EE" w:rsidRPr="00445472" w14:paraId="49FD488E" w14:textId="77777777" w:rsidTr="00E879EE">
        <w:trPr>
          <w:trHeight w:val="159"/>
        </w:trPr>
        <w:tc>
          <w:tcPr>
            <w:tcW w:w="1600" w:type="dxa"/>
            <w:vMerge/>
            <w:tcBorders>
              <w:right w:val="single" w:sz="4" w:space="0" w:color="27B1B0"/>
            </w:tcBorders>
            <w:shd w:val="clear" w:color="auto" w:fill="D4D4D4"/>
            <w:vAlign w:val="center"/>
            <w:hideMark/>
          </w:tcPr>
          <w:p w14:paraId="329A87DF"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val="restart"/>
            <w:tcBorders>
              <w:left w:val="single" w:sz="4" w:space="0" w:color="27B1B0"/>
              <w:right w:val="single" w:sz="4" w:space="0" w:color="27B1B0"/>
            </w:tcBorders>
            <w:shd w:val="clear" w:color="auto" w:fill="D4D4D4"/>
            <w:vAlign w:val="center"/>
            <w:hideMark/>
          </w:tcPr>
          <w:p w14:paraId="6D5B39F8"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Regjimi i Baticave</w:t>
            </w:r>
          </w:p>
          <w:p w14:paraId="5FCBD5A1"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29CF691E"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Rrjedha e ujërave të ëmbla</w:t>
            </w:r>
          </w:p>
        </w:tc>
        <w:tc>
          <w:tcPr>
            <w:tcW w:w="928" w:type="dxa"/>
            <w:shd w:val="clear" w:color="auto" w:fill="D4D4D4"/>
            <w:vAlign w:val="center"/>
            <w:hideMark/>
          </w:tcPr>
          <w:p w14:paraId="15005F6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49" w:type="dxa"/>
            <w:gridSpan w:val="2"/>
            <w:shd w:val="clear" w:color="auto" w:fill="D4D4D4"/>
            <w:vAlign w:val="center"/>
            <w:hideMark/>
          </w:tcPr>
          <w:p w14:paraId="4A5861B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69" w:type="dxa"/>
            <w:gridSpan w:val="2"/>
            <w:shd w:val="clear" w:color="auto" w:fill="D4D4D4"/>
            <w:vAlign w:val="center"/>
            <w:hideMark/>
          </w:tcPr>
          <w:p w14:paraId="3BA9498D"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D4D4D4"/>
            <w:vAlign w:val="center"/>
            <w:hideMark/>
          </w:tcPr>
          <w:p w14:paraId="6877762B"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43DBEDBC" w14:textId="77777777" w:rsidTr="00E879EE">
        <w:trPr>
          <w:trHeight w:val="205"/>
        </w:trPr>
        <w:tc>
          <w:tcPr>
            <w:tcW w:w="1600" w:type="dxa"/>
            <w:vMerge/>
            <w:tcBorders>
              <w:right w:val="single" w:sz="4" w:space="0" w:color="27B1B0"/>
            </w:tcBorders>
            <w:shd w:val="clear" w:color="auto" w:fill="D4D4D4"/>
            <w:vAlign w:val="center"/>
            <w:hideMark/>
          </w:tcPr>
          <w:p w14:paraId="14D54FDF"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D4D4D4"/>
            <w:vAlign w:val="center"/>
            <w:hideMark/>
          </w:tcPr>
          <w:p w14:paraId="5665E125"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1D7B3F0E"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Ekspozimi i valës</w:t>
            </w:r>
          </w:p>
        </w:tc>
        <w:tc>
          <w:tcPr>
            <w:tcW w:w="928" w:type="dxa"/>
            <w:shd w:val="clear" w:color="auto" w:fill="D4D4D4"/>
            <w:vAlign w:val="center"/>
            <w:hideMark/>
          </w:tcPr>
          <w:p w14:paraId="1C2EC42B"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49" w:type="dxa"/>
            <w:gridSpan w:val="2"/>
            <w:shd w:val="clear" w:color="auto" w:fill="D4D4D4"/>
            <w:vAlign w:val="center"/>
            <w:hideMark/>
          </w:tcPr>
          <w:p w14:paraId="4928756B"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69" w:type="dxa"/>
            <w:gridSpan w:val="2"/>
            <w:shd w:val="clear" w:color="auto" w:fill="D4D4D4"/>
            <w:vAlign w:val="center"/>
            <w:hideMark/>
          </w:tcPr>
          <w:p w14:paraId="302D74D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D4D4D4"/>
            <w:vAlign w:val="center"/>
            <w:hideMark/>
          </w:tcPr>
          <w:p w14:paraId="5AE9512C"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13E590E5" w14:textId="77777777" w:rsidTr="00E879EE">
        <w:trPr>
          <w:trHeight w:val="124"/>
        </w:trPr>
        <w:tc>
          <w:tcPr>
            <w:tcW w:w="1600" w:type="dxa"/>
            <w:vMerge/>
            <w:tcBorders>
              <w:bottom w:val="single" w:sz="4" w:space="0" w:color="27B1B0"/>
              <w:right w:val="single" w:sz="4" w:space="0" w:color="27B1B0"/>
            </w:tcBorders>
            <w:shd w:val="clear" w:color="auto" w:fill="D4D4D4"/>
            <w:vAlign w:val="center"/>
            <w:hideMark/>
          </w:tcPr>
          <w:p w14:paraId="673C1C96"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bottom w:val="single" w:sz="4" w:space="0" w:color="27B1B0"/>
              <w:right w:val="single" w:sz="4" w:space="0" w:color="27B1B0"/>
            </w:tcBorders>
            <w:shd w:val="clear" w:color="auto" w:fill="D4D4D4"/>
            <w:vAlign w:val="center"/>
            <w:hideMark/>
          </w:tcPr>
          <w:p w14:paraId="082197CA"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D4D4D4"/>
            <w:vAlign w:val="center"/>
            <w:hideMark/>
          </w:tcPr>
          <w:p w14:paraId="0BC8C61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Drejtimi i rrymave dominuese</w:t>
            </w:r>
          </w:p>
        </w:tc>
        <w:tc>
          <w:tcPr>
            <w:tcW w:w="928" w:type="dxa"/>
            <w:shd w:val="clear" w:color="auto" w:fill="D4D4D4"/>
            <w:vAlign w:val="center"/>
            <w:hideMark/>
          </w:tcPr>
          <w:p w14:paraId="3063886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49" w:type="dxa"/>
            <w:gridSpan w:val="2"/>
            <w:shd w:val="clear" w:color="auto" w:fill="D4D4D4"/>
            <w:vAlign w:val="center"/>
            <w:hideMark/>
          </w:tcPr>
          <w:p w14:paraId="757434B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69" w:type="dxa"/>
            <w:gridSpan w:val="2"/>
            <w:shd w:val="clear" w:color="auto" w:fill="D4D4D4"/>
            <w:vAlign w:val="center"/>
            <w:hideMark/>
          </w:tcPr>
          <w:p w14:paraId="06179998"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1900" w:type="dxa"/>
            <w:gridSpan w:val="2"/>
            <w:shd w:val="clear" w:color="auto" w:fill="D4D4D4"/>
            <w:vAlign w:val="center"/>
            <w:hideMark/>
          </w:tcPr>
          <w:p w14:paraId="526BFD69"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6E4016A8" w14:textId="77777777" w:rsidTr="00E879EE">
        <w:trPr>
          <w:trHeight w:val="99"/>
        </w:trPr>
        <w:tc>
          <w:tcPr>
            <w:tcW w:w="1600" w:type="dxa"/>
            <w:vMerge w:val="restart"/>
            <w:tcBorders>
              <w:right w:val="single" w:sz="4" w:space="0" w:color="27B1B0"/>
            </w:tcBorders>
            <w:shd w:val="clear" w:color="auto" w:fill="auto"/>
            <w:vAlign w:val="center"/>
            <w:hideMark/>
          </w:tcPr>
          <w:p w14:paraId="68F45C4F" w14:textId="66C4DCA5" w:rsidR="00E879EE" w:rsidRPr="00445472" w:rsidRDefault="00E879EE" w:rsidP="00E929FD">
            <w:pPr>
              <w:pStyle w:val="TableTextCentre"/>
              <w:spacing w:before="0" w:after="0"/>
              <w:ind w:right="44"/>
              <w:rPr>
                <w:rFonts w:ascii="Garamond" w:hAnsi="Garamond"/>
                <w:sz w:val="18"/>
                <w:szCs w:val="18"/>
                <w:lang w:val="sq-AL"/>
              </w:rPr>
            </w:pPr>
            <w:r w:rsidRPr="00445472">
              <w:rPr>
                <w:rFonts w:ascii="Garamond" w:hAnsi="Garamond"/>
                <w:sz w:val="18"/>
                <w:szCs w:val="18"/>
                <w:lang w:val="sq-AL"/>
              </w:rPr>
              <w:t>Elementet kimik</w:t>
            </w:r>
            <w:r w:rsidR="00E07D87" w:rsidRPr="00445472">
              <w:rPr>
                <w:rFonts w:ascii="Garamond" w:hAnsi="Garamond"/>
                <w:sz w:val="18"/>
                <w:szCs w:val="18"/>
                <w:lang w:val="sq-AL"/>
              </w:rPr>
              <w:t>e</w:t>
            </w:r>
            <w:r w:rsidRPr="00445472">
              <w:rPr>
                <w:rFonts w:ascii="Garamond" w:hAnsi="Garamond"/>
                <w:sz w:val="18"/>
                <w:szCs w:val="18"/>
                <w:lang w:val="sq-AL"/>
              </w:rPr>
              <w:t xml:space="preserve"> dhe fiziko-kimik</w:t>
            </w:r>
            <w:r w:rsidR="00E929FD">
              <w:rPr>
                <w:rFonts w:ascii="Garamond" w:hAnsi="Garamond"/>
                <w:sz w:val="18"/>
                <w:szCs w:val="18"/>
                <w:lang w:val="sq-AL"/>
              </w:rPr>
              <w:t>e</w:t>
            </w:r>
            <w:r w:rsidRPr="00445472">
              <w:rPr>
                <w:rFonts w:ascii="Garamond" w:hAnsi="Garamond"/>
                <w:sz w:val="18"/>
                <w:szCs w:val="18"/>
                <w:lang w:val="sq-AL"/>
              </w:rPr>
              <w:t xml:space="preserve"> </w:t>
            </w:r>
          </w:p>
        </w:tc>
        <w:tc>
          <w:tcPr>
            <w:tcW w:w="1418" w:type="dxa"/>
            <w:vMerge w:val="restart"/>
            <w:tcBorders>
              <w:left w:val="single" w:sz="4" w:space="0" w:color="27B1B0"/>
              <w:right w:val="single" w:sz="4" w:space="0" w:color="27B1B0"/>
            </w:tcBorders>
            <w:shd w:val="clear" w:color="auto" w:fill="auto"/>
            <w:vAlign w:val="center"/>
            <w:hideMark/>
          </w:tcPr>
          <w:p w14:paraId="0186289B"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Të përgjithshme</w:t>
            </w:r>
          </w:p>
        </w:tc>
        <w:tc>
          <w:tcPr>
            <w:tcW w:w="4252" w:type="dxa"/>
            <w:tcBorders>
              <w:left w:val="single" w:sz="4" w:space="0" w:color="27B1B0"/>
            </w:tcBorders>
            <w:shd w:val="clear" w:color="auto" w:fill="auto"/>
            <w:vAlign w:val="center"/>
            <w:hideMark/>
          </w:tcPr>
          <w:p w14:paraId="12D076FC"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Transparenca</w:t>
            </w:r>
          </w:p>
        </w:tc>
        <w:tc>
          <w:tcPr>
            <w:tcW w:w="928" w:type="dxa"/>
            <w:shd w:val="clear" w:color="auto" w:fill="auto"/>
            <w:vAlign w:val="center"/>
            <w:hideMark/>
          </w:tcPr>
          <w:p w14:paraId="62716F9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2049" w:type="dxa"/>
            <w:gridSpan w:val="2"/>
            <w:shd w:val="clear" w:color="auto" w:fill="auto"/>
            <w:vAlign w:val="center"/>
            <w:hideMark/>
          </w:tcPr>
          <w:p w14:paraId="34D41671"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476DCFF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5ACFBADA"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4EBAF008" w14:textId="77777777" w:rsidTr="00E879EE">
        <w:trPr>
          <w:trHeight w:val="229"/>
        </w:trPr>
        <w:tc>
          <w:tcPr>
            <w:tcW w:w="1600" w:type="dxa"/>
            <w:vMerge/>
            <w:tcBorders>
              <w:right w:val="single" w:sz="4" w:space="0" w:color="27B1B0"/>
            </w:tcBorders>
            <w:shd w:val="clear" w:color="auto" w:fill="auto"/>
            <w:vAlign w:val="center"/>
            <w:hideMark/>
          </w:tcPr>
          <w:p w14:paraId="2BB22697"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auto"/>
            <w:vAlign w:val="center"/>
            <w:hideMark/>
          </w:tcPr>
          <w:p w14:paraId="6C7F368F"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auto"/>
            <w:vAlign w:val="center"/>
            <w:hideMark/>
          </w:tcPr>
          <w:p w14:paraId="675D05A1"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Kushtet Termale</w:t>
            </w:r>
          </w:p>
        </w:tc>
        <w:tc>
          <w:tcPr>
            <w:tcW w:w="928" w:type="dxa"/>
            <w:shd w:val="clear" w:color="auto" w:fill="auto"/>
            <w:vAlign w:val="center"/>
            <w:hideMark/>
          </w:tcPr>
          <w:p w14:paraId="76ADF11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0A06E60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45B2AED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72EB7A2C"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1AF8E9ED" w14:textId="77777777" w:rsidTr="00E879EE">
        <w:trPr>
          <w:trHeight w:val="205"/>
        </w:trPr>
        <w:tc>
          <w:tcPr>
            <w:tcW w:w="1600" w:type="dxa"/>
            <w:vMerge/>
            <w:tcBorders>
              <w:right w:val="single" w:sz="4" w:space="0" w:color="27B1B0"/>
            </w:tcBorders>
            <w:shd w:val="clear" w:color="auto" w:fill="auto"/>
            <w:vAlign w:val="center"/>
            <w:hideMark/>
          </w:tcPr>
          <w:p w14:paraId="74973B18"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auto"/>
            <w:vAlign w:val="center"/>
            <w:hideMark/>
          </w:tcPr>
          <w:p w14:paraId="68C2FFE7"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auto"/>
            <w:vAlign w:val="center"/>
            <w:hideMark/>
          </w:tcPr>
          <w:p w14:paraId="1BE0283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Kushtet e oksigjenimit</w:t>
            </w:r>
          </w:p>
        </w:tc>
        <w:tc>
          <w:tcPr>
            <w:tcW w:w="928" w:type="dxa"/>
            <w:shd w:val="clear" w:color="auto" w:fill="auto"/>
            <w:vAlign w:val="center"/>
            <w:hideMark/>
          </w:tcPr>
          <w:p w14:paraId="0174BEE0"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76CB3D8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6E03B5E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1F65AF0B"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1D6BCE15" w14:textId="77777777" w:rsidTr="00E879EE">
        <w:trPr>
          <w:trHeight w:val="193"/>
        </w:trPr>
        <w:tc>
          <w:tcPr>
            <w:tcW w:w="1600" w:type="dxa"/>
            <w:vMerge/>
            <w:tcBorders>
              <w:right w:val="single" w:sz="4" w:space="0" w:color="27B1B0"/>
            </w:tcBorders>
            <w:shd w:val="clear" w:color="auto" w:fill="auto"/>
            <w:vAlign w:val="center"/>
            <w:hideMark/>
          </w:tcPr>
          <w:p w14:paraId="5A32F406"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auto"/>
            <w:vAlign w:val="center"/>
            <w:hideMark/>
          </w:tcPr>
          <w:p w14:paraId="6FC87C98"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auto"/>
            <w:vAlign w:val="center"/>
            <w:hideMark/>
          </w:tcPr>
          <w:p w14:paraId="7960BB11"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Kripësia</w:t>
            </w:r>
          </w:p>
        </w:tc>
        <w:tc>
          <w:tcPr>
            <w:tcW w:w="928" w:type="dxa"/>
            <w:shd w:val="clear" w:color="auto" w:fill="auto"/>
            <w:vAlign w:val="center"/>
            <w:hideMark/>
          </w:tcPr>
          <w:p w14:paraId="0EF5721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79269A0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58EF9E76"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7B9EFD6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09634216" w14:textId="77777777" w:rsidTr="00E879EE">
        <w:trPr>
          <w:trHeight w:val="156"/>
        </w:trPr>
        <w:tc>
          <w:tcPr>
            <w:tcW w:w="1600" w:type="dxa"/>
            <w:vMerge/>
            <w:tcBorders>
              <w:right w:val="single" w:sz="4" w:space="0" w:color="27B1B0"/>
            </w:tcBorders>
            <w:shd w:val="clear" w:color="auto" w:fill="auto"/>
            <w:vAlign w:val="center"/>
            <w:hideMark/>
          </w:tcPr>
          <w:p w14:paraId="4BCDACB5"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auto"/>
            <w:vAlign w:val="center"/>
            <w:hideMark/>
          </w:tcPr>
          <w:p w14:paraId="2C67749F"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auto"/>
            <w:vAlign w:val="center"/>
            <w:hideMark/>
          </w:tcPr>
          <w:p w14:paraId="17F1BB93"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Statusi i acidifikimit</w:t>
            </w:r>
          </w:p>
        </w:tc>
        <w:tc>
          <w:tcPr>
            <w:tcW w:w="928" w:type="dxa"/>
            <w:shd w:val="clear" w:color="auto" w:fill="auto"/>
            <w:vAlign w:val="center"/>
            <w:hideMark/>
          </w:tcPr>
          <w:p w14:paraId="2FB5B8A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697934EE"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69F087FE"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c>
          <w:tcPr>
            <w:tcW w:w="1900" w:type="dxa"/>
            <w:gridSpan w:val="2"/>
            <w:shd w:val="clear" w:color="auto" w:fill="auto"/>
            <w:vAlign w:val="center"/>
            <w:hideMark/>
          </w:tcPr>
          <w:p w14:paraId="4B9E0CF0"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 </w:t>
            </w:r>
          </w:p>
        </w:tc>
      </w:tr>
      <w:tr w:rsidR="00E879EE" w:rsidRPr="00445472" w14:paraId="41CF3B04" w14:textId="77777777" w:rsidTr="00E879EE">
        <w:trPr>
          <w:trHeight w:val="143"/>
        </w:trPr>
        <w:tc>
          <w:tcPr>
            <w:tcW w:w="1600" w:type="dxa"/>
            <w:vMerge/>
            <w:tcBorders>
              <w:right w:val="single" w:sz="4" w:space="0" w:color="27B1B0"/>
            </w:tcBorders>
            <w:shd w:val="clear" w:color="auto" w:fill="auto"/>
            <w:vAlign w:val="center"/>
            <w:hideMark/>
          </w:tcPr>
          <w:p w14:paraId="3FEAF2E0"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bottom w:val="single" w:sz="4" w:space="0" w:color="27B1B0"/>
              <w:right w:val="single" w:sz="4" w:space="0" w:color="27B1B0"/>
            </w:tcBorders>
            <w:shd w:val="clear" w:color="auto" w:fill="auto"/>
            <w:vAlign w:val="center"/>
            <w:hideMark/>
          </w:tcPr>
          <w:p w14:paraId="33744DA6"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auto"/>
            <w:vAlign w:val="center"/>
            <w:hideMark/>
          </w:tcPr>
          <w:p w14:paraId="0FD39DB8"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Kushtet ushqyese</w:t>
            </w:r>
          </w:p>
        </w:tc>
        <w:tc>
          <w:tcPr>
            <w:tcW w:w="928" w:type="dxa"/>
            <w:shd w:val="clear" w:color="auto" w:fill="auto"/>
            <w:vAlign w:val="center"/>
            <w:hideMark/>
          </w:tcPr>
          <w:p w14:paraId="4456491A"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3D3F3932"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3D82095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40ACD75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781689F1" w14:textId="77777777" w:rsidTr="00E879EE">
        <w:trPr>
          <w:trHeight w:val="417"/>
        </w:trPr>
        <w:tc>
          <w:tcPr>
            <w:tcW w:w="1600" w:type="dxa"/>
            <w:vMerge/>
            <w:tcBorders>
              <w:right w:val="single" w:sz="4" w:space="0" w:color="27B1B0"/>
            </w:tcBorders>
            <w:shd w:val="clear" w:color="auto" w:fill="auto"/>
            <w:vAlign w:val="center"/>
            <w:hideMark/>
          </w:tcPr>
          <w:p w14:paraId="4617EAAF"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val="restart"/>
            <w:tcBorders>
              <w:left w:val="single" w:sz="4" w:space="0" w:color="27B1B0"/>
              <w:right w:val="single" w:sz="4" w:space="0" w:color="27B1B0"/>
            </w:tcBorders>
            <w:shd w:val="clear" w:color="auto" w:fill="auto"/>
            <w:vAlign w:val="center"/>
            <w:hideMark/>
          </w:tcPr>
          <w:p w14:paraId="1E931A70"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Ndotës Specifike</w:t>
            </w:r>
          </w:p>
        </w:tc>
        <w:tc>
          <w:tcPr>
            <w:tcW w:w="4252" w:type="dxa"/>
            <w:tcBorders>
              <w:left w:val="single" w:sz="4" w:space="0" w:color="27B1B0"/>
            </w:tcBorders>
            <w:shd w:val="clear" w:color="auto" w:fill="auto"/>
            <w:vAlign w:val="center"/>
            <w:hideMark/>
          </w:tcPr>
          <w:p w14:paraId="0C69EC8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Ndotja nga të gjitha substancat prioritare të identifikuara si të shkarkuara në trupin ujor</w:t>
            </w:r>
          </w:p>
        </w:tc>
        <w:tc>
          <w:tcPr>
            <w:tcW w:w="928" w:type="dxa"/>
            <w:shd w:val="clear" w:color="auto" w:fill="auto"/>
            <w:vAlign w:val="center"/>
            <w:hideMark/>
          </w:tcPr>
          <w:p w14:paraId="56A355C6"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531E7441"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525ECDF5"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1A1022D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r w:rsidR="00E879EE" w:rsidRPr="00445472" w14:paraId="252E98D3" w14:textId="77777777" w:rsidTr="00E879EE">
        <w:trPr>
          <w:trHeight w:val="337"/>
        </w:trPr>
        <w:tc>
          <w:tcPr>
            <w:tcW w:w="1600" w:type="dxa"/>
            <w:vMerge/>
            <w:tcBorders>
              <w:right w:val="single" w:sz="4" w:space="0" w:color="27B1B0"/>
            </w:tcBorders>
            <w:shd w:val="clear" w:color="auto" w:fill="auto"/>
            <w:vAlign w:val="center"/>
            <w:hideMark/>
          </w:tcPr>
          <w:p w14:paraId="13B6E6F4" w14:textId="77777777" w:rsidR="00E879EE" w:rsidRPr="00445472" w:rsidRDefault="00E879EE" w:rsidP="00E879EE">
            <w:pPr>
              <w:pStyle w:val="TableTextCentre"/>
              <w:spacing w:before="0" w:after="0"/>
              <w:ind w:right="44"/>
              <w:rPr>
                <w:rFonts w:ascii="Garamond" w:hAnsi="Garamond"/>
                <w:sz w:val="18"/>
                <w:szCs w:val="18"/>
                <w:lang w:val="sq-AL"/>
              </w:rPr>
            </w:pPr>
          </w:p>
        </w:tc>
        <w:tc>
          <w:tcPr>
            <w:tcW w:w="1418" w:type="dxa"/>
            <w:vMerge/>
            <w:tcBorders>
              <w:left w:val="single" w:sz="4" w:space="0" w:color="27B1B0"/>
              <w:right w:val="single" w:sz="4" w:space="0" w:color="27B1B0"/>
            </w:tcBorders>
            <w:shd w:val="clear" w:color="auto" w:fill="auto"/>
            <w:vAlign w:val="center"/>
            <w:hideMark/>
          </w:tcPr>
          <w:p w14:paraId="6AC6D09E" w14:textId="77777777" w:rsidR="00E879EE" w:rsidRPr="00445472" w:rsidRDefault="00E879EE" w:rsidP="00E879EE">
            <w:pPr>
              <w:pStyle w:val="TableTextCentre"/>
              <w:spacing w:before="0" w:after="0"/>
              <w:ind w:right="44"/>
              <w:rPr>
                <w:rFonts w:ascii="Garamond" w:hAnsi="Garamond"/>
                <w:sz w:val="18"/>
                <w:szCs w:val="18"/>
                <w:lang w:val="sq-AL"/>
              </w:rPr>
            </w:pPr>
          </w:p>
        </w:tc>
        <w:tc>
          <w:tcPr>
            <w:tcW w:w="4252" w:type="dxa"/>
            <w:tcBorders>
              <w:left w:val="single" w:sz="4" w:space="0" w:color="27B1B0"/>
            </w:tcBorders>
            <w:shd w:val="clear" w:color="auto" w:fill="auto"/>
            <w:vAlign w:val="center"/>
            <w:hideMark/>
          </w:tcPr>
          <w:p w14:paraId="683E1D28"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t>Ndotja nga substancat e tjera të identifikuara si shkarkime në sasi të konsiderueshme në trupin ujor</w:t>
            </w:r>
          </w:p>
        </w:tc>
        <w:tc>
          <w:tcPr>
            <w:tcW w:w="928" w:type="dxa"/>
            <w:shd w:val="clear" w:color="auto" w:fill="auto"/>
            <w:vAlign w:val="center"/>
            <w:hideMark/>
          </w:tcPr>
          <w:p w14:paraId="31F166C4"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49" w:type="dxa"/>
            <w:gridSpan w:val="2"/>
            <w:shd w:val="clear" w:color="auto" w:fill="auto"/>
            <w:vAlign w:val="center"/>
            <w:hideMark/>
          </w:tcPr>
          <w:p w14:paraId="150041E0"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2069" w:type="dxa"/>
            <w:gridSpan w:val="2"/>
            <w:shd w:val="clear" w:color="auto" w:fill="auto"/>
            <w:vAlign w:val="center"/>
            <w:hideMark/>
          </w:tcPr>
          <w:p w14:paraId="45EBEB97"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c>
          <w:tcPr>
            <w:tcW w:w="1900" w:type="dxa"/>
            <w:gridSpan w:val="2"/>
            <w:shd w:val="clear" w:color="auto" w:fill="auto"/>
            <w:vAlign w:val="center"/>
            <w:hideMark/>
          </w:tcPr>
          <w:p w14:paraId="06B9E90F" w14:textId="77777777" w:rsidR="00E879EE" w:rsidRPr="00445472" w:rsidRDefault="00E879EE" w:rsidP="00E879EE">
            <w:pPr>
              <w:pStyle w:val="TableTextCentre"/>
              <w:spacing w:before="0" w:after="0"/>
              <w:ind w:right="44"/>
              <w:rPr>
                <w:rFonts w:ascii="Garamond" w:hAnsi="Garamond"/>
                <w:sz w:val="18"/>
                <w:szCs w:val="18"/>
                <w:lang w:val="sq-AL"/>
              </w:rPr>
            </w:pPr>
            <w:r w:rsidRPr="00445472">
              <w:rPr>
                <w:rFonts w:ascii="Garamond" w:hAnsi="Garamond"/>
                <w:sz w:val="18"/>
                <w:szCs w:val="18"/>
                <w:lang w:val="sq-AL"/>
              </w:rPr>
              <w:sym w:font="Symbol" w:char="F0D6"/>
            </w:r>
          </w:p>
        </w:tc>
      </w:tr>
    </w:tbl>
    <w:p w14:paraId="3839EADD" w14:textId="77777777" w:rsidR="00E879EE" w:rsidRPr="00445472" w:rsidRDefault="00E879EE" w:rsidP="0059625C">
      <w:pPr>
        <w:pStyle w:val="TEKSTIIII"/>
        <w:sectPr w:rsidR="00E879EE" w:rsidRPr="00445472" w:rsidSect="00B94D2C">
          <w:pgSz w:w="16839" w:h="11907" w:orient="landscape" w:code="9"/>
          <w:pgMar w:top="1418" w:right="1418" w:bottom="1418" w:left="1418" w:header="1304" w:footer="1134" w:gutter="0"/>
          <w:cols w:space="720"/>
          <w:docGrid w:linePitch="360"/>
        </w:sectPr>
      </w:pPr>
    </w:p>
    <w:p w14:paraId="1CD27985" w14:textId="77777777" w:rsidR="00C559D9" w:rsidRPr="00445472" w:rsidRDefault="00C559D9" w:rsidP="00C559D9">
      <w:pPr>
        <w:pStyle w:val="TEKSTIIII"/>
      </w:pPr>
      <w:r w:rsidRPr="00445472">
        <w:rPr>
          <w:i/>
        </w:rPr>
        <w:t>Stacionet e monitorimit:</w:t>
      </w:r>
      <w:r w:rsidRPr="00445472">
        <w:t xml:space="preserve"> DKU kërkon që monitorimi të kryhet në pikat e mëposhtme ku:</w:t>
      </w:r>
    </w:p>
    <w:p w14:paraId="518C97B1" w14:textId="30BE6A1C" w:rsidR="00C559D9" w:rsidRPr="00445472" w:rsidRDefault="00A16227" w:rsidP="00C559D9">
      <w:pPr>
        <w:pStyle w:val="TEKSTIIII"/>
      </w:pPr>
      <w:r>
        <w:t xml:space="preserve">- </w:t>
      </w:r>
      <w:r w:rsidR="00C559D9" w:rsidRPr="00445472">
        <w:t>Shkalla e rrjedhjes së ujit është e rëndësishme brenda zonës së basenit ujor në tërësi; duke përfshirë pikat në lumenjtë e mëdhenj ku zona e mbulimit është më e madhe se 2,500 km</w:t>
      </w:r>
      <w:r w:rsidR="00C559D9" w:rsidRPr="00445472">
        <w:rPr>
          <w:vertAlign w:val="superscript"/>
        </w:rPr>
        <w:t>2</w:t>
      </w:r>
      <w:r w:rsidR="00C559D9" w:rsidRPr="00445472">
        <w:t>,</w:t>
      </w:r>
    </w:p>
    <w:p w14:paraId="19A439DE" w14:textId="13F99236" w:rsidR="00C559D9" w:rsidRPr="00445472" w:rsidRDefault="00A16227" w:rsidP="00C559D9">
      <w:pPr>
        <w:pStyle w:val="TEKSTIIII"/>
        <w:rPr>
          <w:sz w:val="15"/>
        </w:rPr>
      </w:pPr>
      <w:r>
        <w:t xml:space="preserve">- </w:t>
      </w:r>
      <w:r w:rsidR="00C559D9" w:rsidRPr="00445472">
        <w:t>Vëllimi i ujit është i rëndësishëm në zonën e basenit ujor, duke përfshirë liqenet dhe rezervuarët e mëdhenj,</w:t>
      </w:r>
    </w:p>
    <w:p w14:paraId="4C4CC7F3" w14:textId="686AD384" w:rsidR="00C559D9" w:rsidRPr="00445472" w:rsidRDefault="00A16227" w:rsidP="00C559D9">
      <w:pPr>
        <w:pStyle w:val="TEKSTIIII"/>
      </w:pPr>
      <w:r>
        <w:t xml:space="preserve">- </w:t>
      </w:r>
      <w:r w:rsidR="00C559D9" w:rsidRPr="00445472">
        <w:t>Trupat e rëndësishme ujorë që kalojnë kufijtë e një Shtetit Anëtar,</w:t>
      </w:r>
    </w:p>
    <w:p w14:paraId="389F8800" w14:textId="65416E1B" w:rsidR="00C559D9" w:rsidRPr="00445472" w:rsidRDefault="00A16227" w:rsidP="00C559D9">
      <w:pPr>
        <w:pStyle w:val="TEKSTIIII"/>
      </w:pPr>
      <w:r>
        <w:t xml:space="preserve">- </w:t>
      </w:r>
      <w:r w:rsidR="00C559D9" w:rsidRPr="00445472">
        <w:t>Pikat janë identifikuar sipas Vendimit të Shkëmbimit të Informacionit 77/795</w:t>
      </w:r>
      <w:r w:rsidR="001D340B" w:rsidRPr="00445472">
        <w:t>/</w:t>
      </w:r>
      <w:r w:rsidR="00C559D9" w:rsidRPr="00445472">
        <w:t>KEE, dhe</w:t>
      </w:r>
    </w:p>
    <w:p w14:paraId="5B312FDB" w14:textId="1A29E504" w:rsidR="00C559D9" w:rsidRPr="00445472" w:rsidRDefault="00A16227" w:rsidP="00C559D9">
      <w:pPr>
        <w:pStyle w:val="TEKSTIIII"/>
      </w:pPr>
      <w:r>
        <w:t xml:space="preserve">- </w:t>
      </w:r>
      <w:r w:rsidR="00C559D9" w:rsidRPr="00445472">
        <w:t>Në pika të tjera, për të vlerësuar ngarkesën e ndotësve e cila është transferuar në të gjithë kufijtë e Shteteve Anëtare dhe që është transferuar në mjedisin detar.</w:t>
      </w:r>
    </w:p>
    <w:p w14:paraId="0905C5D2" w14:textId="48BAF1D7" w:rsidR="00C559D9" w:rsidRPr="00445472" w:rsidRDefault="00C559D9" w:rsidP="00C559D9">
      <w:pPr>
        <w:pStyle w:val="NENTITULL"/>
      </w:pPr>
      <w:bookmarkStart w:id="102" w:name="_Toc11068786"/>
      <w:r w:rsidRPr="00445472">
        <w:t>6.2.3 Monitorimi Operacional</w:t>
      </w:r>
      <w:bookmarkEnd w:id="102"/>
    </w:p>
    <w:p w14:paraId="3D82B3EC" w14:textId="5243021C" w:rsidR="00C559D9" w:rsidRPr="00445472" w:rsidRDefault="00C559D9" w:rsidP="00C559D9">
      <w:pPr>
        <w:pStyle w:val="TEKSTIIII"/>
      </w:pPr>
      <w:r w:rsidRPr="00445472">
        <w:t xml:space="preserve">Ky lloj monitorimi fokusohet në trupat ujorë që monitorimi mbikëqyrës ka identifikuar se janë në rrezik për mospërmbushjen e objektivave të tyre mjedisore dhe kryhet për të vlerësuar ndryshimet që ndodhin në trupat ujorë </w:t>
      </w:r>
      <w:r w:rsidR="00D62EDF" w:rsidRPr="00445472">
        <w:t>“</w:t>
      </w:r>
      <w:r w:rsidRPr="00445472">
        <w:t>në rrezik</w:t>
      </w:r>
      <w:r w:rsidR="00D62EDF" w:rsidRPr="00445472">
        <w:t>”</w:t>
      </w:r>
      <w:r w:rsidRPr="00445472">
        <w:t xml:space="preserve"> pas zbatimit të programit të masave</w:t>
      </w:r>
      <w:r w:rsidRPr="00445472">
        <w:rPr>
          <w:rStyle w:val="FootnoteReference"/>
          <w:rFonts w:ascii="Garamond" w:hAnsi="Garamond"/>
          <w:color w:val="auto"/>
        </w:rPr>
        <w:footnoteReference w:id="91"/>
      </w:r>
      <w:r w:rsidRPr="00445472">
        <w:t>.  Monitorimi përfshin karakteristikat që tregojnë presionet ndaj të cilave trupat janë subjekt</w:t>
      </w:r>
      <w:r w:rsidRPr="00445472">
        <w:rPr>
          <w:rStyle w:val="FootnoteReference"/>
          <w:rFonts w:ascii="Garamond" w:hAnsi="Garamond"/>
          <w:color w:val="auto"/>
        </w:rPr>
        <w:footnoteReference w:id="92"/>
      </w:r>
      <w:r w:rsidRPr="00445472">
        <w:t>. DKU-ja thekson nevojën për të monitoruar trupat ujorë që janë më të ndjeshëm ose janë më të ekspozuar ndaj këtyre presioneve duke përzgjedhur llojin e mëposhtëm të stacioneve të monitorimit</w:t>
      </w:r>
      <w:r w:rsidRPr="00445472">
        <w:rPr>
          <w:rStyle w:val="FootnoteReference"/>
          <w:rFonts w:ascii="Garamond" w:hAnsi="Garamond"/>
          <w:color w:val="auto"/>
        </w:rPr>
        <w:footnoteReference w:id="93"/>
      </w:r>
      <w:r w:rsidRPr="00445472">
        <w:t>:</w:t>
      </w:r>
    </w:p>
    <w:p w14:paraId="5A3D4C22" w14:textId="544390CF" w:rsidR="00C559D9" w:rsidRPr="00445472" w:rsidRDefault="00A16227" w:rsidP="00C559D9">
      <w:pPr>
        <w:pStyle w:val="TEKSTIIII"/>
        <w:rPr>
          <w:sz w:val="15"/>
        </w:rPr>
      </w:pPr>
      <w:r>
        <w:t xml:space="preserve">- </w:t>
      </w:r>
      <w:r w:rsidR="00C559D9" w:rsidRPr="00445472">
        <w:t>Stacionet referencë (ku ndikimi i aktivitetit njerëzor është minimal për të matur statusin shumë të mirë dhe të mirë);</w:t>
      </w:r>
    </w:p>
    <w:p w14:paraId="7C9EA7AA" w14:textId="3F17448B" w:rsidR="00C559D9" w:rsidRPr="00445472" w:rsidRDefault="00A16227" w:rsidP="00C559D9">
      <w:pPr>
        <w:pStyle w:val="TEKSTIIII"/>
      </w:pPr>
      <w:r>
        <w:t xml:space="preserve">- </w:t>
      </w:r>
      <w:r w:rsidR="00C559D9" w:rsidRPr="00445472">
        <w:t>Stacionet përfaqësuese, (të cilat përfaqësojnë të gjithë trupin ujor);</w:t>
      </w:r>
    </w:p>
    <w:p w14:paraId="6D931380" w14:textId="7AAD5F2F" w:rsidR="00C559D9" w:rsidRPr="00445472" w:rsidRDefault="00A16227" w:rsidP="00C559D9">
      <w:pPr>
        <w:pStyle w:val="TEKSTIIII"/>
      </w:pPr>
      <w:r>
        <w:t xml:space="preserve">- </w:t>
      </w:r>
      <w:r w:rsidR="00C559D9" w:rsidRPr="00445472">
        <w:t>Stacionet e fluksit (që përfaqësojnë ngarkesat e shkarkimeve të ndotësve, për krahasimet ndërkombëtare dhe shkëmbimin e informacionit);</w:t>
      </w:r>
    </w:p>
    <w:p w14:paraId="3E600152" w14:textId="68299458" w:rsidR="00C559D9" w:rsidRPr="00445472" w:rsidRDefault="00A16227" w:rsidP="00C559D9">
      <w:pPr>
        <w:pStyle w:val="TEKSTIIII"/>
      </w:pPr>
      <w:r>
        <w:t xml:space="preserve">- </w:t>
      </w:r>
      <w:r w:rsidR="00C559D9" w:rsidRPr="00445472">
        <w:t>Ujërat e zonave të ndjeshme (për mbrojtjen e burimeve të ujit të pijshëm, ujërave të larjes, peshqve, shpendëve, habitateve, ligatinave etj.);</w:t>
      </w:r>
    </w:p>
    <w:p w14:paraId="041F8F51" w14:textId="1E2CE0FE" w:rsidR="00C559D9" w:rsidRPr="00445472" w:rsidRDefault="00A16227" w:rsidP="00C559D9">
      <w:pPr>
        <w:pStyle w:val="TEKSTIIII"/>
      </w:pPr>
      <w:r>
        <w:t xml:space="preserve">- </w:t>
      </w:r>
      <w:r w:rsidR="00C559D9" w:rsidRPr="00445472">
        <w:t xml:space="preserve">Stacionet e monitorimit të </w:t>
      </w:r>
      <w:r w:rsidR="00C559D9" w:rsidRPr="00445472">
        <w:rPr>
          <w:i/>
        </w:rPr>
        <w:t>hotspot</w:t>
      </w:r>
      <w:r w:rsidR="00C559D9" w:rsidRPr="00445472">
        <w:t>-eve ose të ndikimit (për të vlerësuar ndikimin e burimeve pikësore dhe jopikësore (difuze) të ndotjes);</w:t>
      </w:r>
    </w:p>
    <w:p w14:paraId="49C9D8D0" w14:textId="3AC02EC4" w:rsidR="00C559D9" w:rsidRPr="00445472" w:rsidRDefault="00A16227" w:rsidP="00C559D9">
      <w:pPr>
        <w:pStyle w:val="TEKSTIIII"/>
      </w:pPr>
      <w:r>
        <w:t xml:space="preserve">- </w:t>
      </w:r>
      <w:r w:rsidR="00C559D9" w:rsidRPr="00445472">
        <w:t>Stacionet kryesore (për trupat e mëdhenj ose të rëndësishëm ujorë).</w:t>
      </w:r>
    </w:p>
    <w:p w14:paraId="5F8F7ADA" w14:textId="77777777" w:rsidR="00C559D9" w:rsidRPr="00445472" w:rsidRDefault="00C559D9" w:rsidP="00C559D9">
      <w:pPr>
        <w:pStyle w:val="TEKSTIIII"/>
      </w:pPr>
      <w:r w:rsidRPr="00445472">
        <w:rPr>
          <w:i/>
        </w:rPr>
        <w:t>Parametrat</w:t>
      </w:r>
      <w:r w:rsidRPr="00445472">
        <w:t>: DKU rekomandon parametrat e monitorimit që janë tregues të elementeve të cilësisë biologjike dhe hidromorfologjike më të ndjeshme kundrejt presioneve ndaj të cilave është subjekt trupi ujor, të gjitha substancat prioritare të shkarkuara dhe substancat e tjera të shkarkuara në sasi të konsiderueshme</w:t>
      </w:r>
      <w:r w:rsidRPr="00445472">
        <w:rPr>
          <w:rStyle w:val="FootnoteReference"/>
          <w:rFonts w:ascii="Garamond" w:hAnsi="Garamond"/>
          <w:color w:val="auto"/>
        </w:rPr>
        <w:footnoteReference w:id="94"/>
      </w:r>
      <w:r w:rsidRPr="00445472">
        <w:t xml:space="preserve">. </w:t>
      </w:r>
    </w:p>
    <w:p w14:paraId="1E68EE7D" w14:textId="1909B8BE" w:rsidR="00C559D9" w:rsidRPr="00445472" w:rsidRDefault="00C559D9" w:rsidP="00C559D9">
      <w:pPr>
        <w:pStyle w:val="NENTITULL"/>
      </w:pPr>
      <w:bookmarkStart w:id="103" w:name="_Toc11068787"/>
      <w:r w:rsidRPr="00445472">
        <w:t>6.2.4 Monitorimi Investigues</w:t>
      </w:r>
      <w:bookmarkEnd w:id="103"/>
    </w:p>
    <w:p w14:paraId="3A91FD77" w14:textId="77777777" w:rsidR="00C559D9" w:rsidRPr="00445472" w:rsidRDefault="00C559D9" w:rsidP="00C559D9">
      <w:pPr>
        <w:pStyle w:val="TEKSTIIII"/>
      </w:pPr>
      <w:r w:rsidRPr="00445472">
        <w:t xml:space="preserve">Ky monitorim është rast specifik dhe kërkohet në rastet e specifikuara (të Objektivave Mjedisore), kur ka nevojë të konstatohen shkaqet që një trup ujor dështon në arritjen e objektivave mjedisore, ose për të përcaktuar madhësinë dhe ndikimet e ndotjes aksidentale. Duke marrë parasysh natyrën specifike të këtij lloji monitorimi, DKU kërkon që kjo e fundit të hartohet rast pas rasti. </w:t>
      </w:r>
    </w:p>
    <w:p w14:paraId="0DB57FB9" w14:textId="25011C7A" w:rsidR="00C559D9" w:rsidRPr="00445472" w:rsidRDefault="00C559D9" w:rsidP="00C559D9">
      <w:pPr>
        <w:pStyle w:val="NENTITULL"/>
      </w:pPr>
      <w:bookmarkStart w:id="104" w:name="_Toc11068788"/>
      <w:r w:rsidRPr="00445472">
        <w:t>6.2.5 Frekuenca e monitorimit</w:t>
      </w:r>
      <w:bookmarkEnd w:id="104"/>
    </w:p>
    <w:p w14:paraId="06F1863F" w14:textId="77777777" w:rsidR="00C559D9" w:rsidRPr="00445472" w:rsidRDefault="00C559D9" w:rsidP="00C559D9">
      <w:pPr>
        <w:pStyle w:val="TEKSTIIII"/>
      </w:pPr>
      <w:r w:rsidRPr="00445472">
        <w:t xml:space="preserve">DKU rekomandon frekuencat e monitorimit të paraqitura në Tabelën 6.2 për parametrat e kërkuar në programin e monitorimit. Për monitorimin operacional, shtetet kanë fleksibilitetin për të përcaktuar frekuencën dhe parametrat e monitorimit me kusht që të mos tejkalojnë intervalet e rekomanduara të monitorimit, përveç nëse kjo justifikohet në bazë të njohurive teknike dhe gjykimit të ekspertëve. </w:t>
      </w:r>
    </w:p>
    <w:p w14:paraId="7AB7CE8A" w14:textId="77777777" w:rsidR="00C559D9" w:rsidRPr="00445472" w:rsidRDefault="00C559D9" w:rsidP="00C559D9">
      <w:pPr>
        <w:pStyle w:val="TEKSTIIII"/>
      </w:pPr>
      <w:r w:rsidRPr="00445472">
        <w:t>Frekuencat duhet të zgjidhen në mënyrë që të arrihet një nivel besueshmërie dhe saktësie e pranueshme. Frekuenca e monitorimit duhet të zgjidhet pasi të jenë marr</w:t>
      </w:r>
      <w:bookmarkStart w:id="105" w:name="_Hlk524076451"/>
      <w:r w:rsidRPr="00445472">
        <w:t>ë</w:t>
      </w:r>
      <w:bookmarkEnd w:id="105"/>
      <w:r w:rsidRPr="00445472">
        <w:t xml:space="preserve"> parasysh ndryshime midis parametrave në kushte natyrore dhe antropogjene. Periudha në të cilën kryhet monitorimi duhet të zgjidhet në mënyrë që të minimizohet rezultati</w:t>
      </w:r>
      <w:r w:rsidRPr="00445472">
        <w:rPr>
          <w:rStyle w:val="FootnoteReference"/>
          <w:rFonts w:ascii="Garamond" w:hAnsi="Garamond"/>
          <w:color w:val="auto"/>
        </w:rPr>
        <w:footnoteReference w:id="95"/>
      </w:r>
      <w:r w:rsidRPr="00445472">
        <w:t xml:space="preserve"> i ndikimit të variacionit sezonal dhe kështu të sigurojë që rezultatet të pasqyrojnë ndryshimet në trupin ujor si rezultat i ndryshimeve për shkak të presionit antropogjen. Monitorimi shtesë gjatë sezoneve të ndryshme të të njëjtit vit kryhet, kur është e nevojshme, për të arritur këtë objektiv.</w:t>
      </w:r>
    </w:p>
    <w:p w14:paraId="787B720D" w14:textId="77777777" w:rsidR="00C559D9" w:rsidRPr="00445472" w:rsidRDefault="00C559D9" w:rsidP="00C559D9">
      <w:pPr>
        <w:rPr>
          <w:rFonts w:ascii="Garamond" w:hAnsi="Garamond"/>
          <w:b/>
        </w:rPr>
      </w:pPr>
    </w:p>
    <w:p w14:paraId="32D3488C" w14:textId="77777777" w:rsidR="00C559D9" w:rsidRPr="00445472" w:rsidRDefault="00C559D9" w:rsidP="00C559D9">
      <w:pPr>
        <w:pStyle w:val="NENTITULL"/>
      </w:pPr>
      <w:r w:rsidRPr="00445472">
        <w:t>Tabela 6.2: Frekuenca e monitorimit të elementeve të cilësisë në trupat ujorë sipërfaqësorë sipas DKU-së</w:t>
      </w:r>
      <w:r w:rsidRPr="00445472">
        <w:rPr>
          <w:rStyle w:val="FootnoteReference"/>
          <w:rFonts w:ascii="Garamond" w:hAnsi="Garamond"/>
          <w:b w:val="0"/>
          <w:color w:val="auto"/>
        </w:rPr>
        <w:footnoteReference w:id="96"/>
      </w:r>
    </w:p>
    <w:tbl>
      <w:tblPr>
        <w:tblW w:w="9072" w:type="dxa"/>
        <w:tblInd w:w="-10" w:type="dxa"/>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ayout w:type="fixed"/>
        <w:tblLook w:val="04A0" w:firstRow="1" w:lastRow="0" w:firstColumn="1" w:lastColumn="0" w:noHBand="0" w:noVBand="1"/>
      </w:tblPr>
      <w:tblGrid>
        <w:gridCol w:w="2032"/>
        <w:gridCol w:w="1654"/>
        <w:gridCol w:w="1559"/>
        <w:gridCol w:w="1843"/>
        <w:gridCol w:w="1984"/>
      </w:tblGrid>
      <w:tr w:rsidR="00C559D9" w:rsidRPr="00445472" w14:paraId="6DD3C2C3" w14:textId="77777777" w:rsidTr="00B15A6B">
        <w:trPr>
          <w:trHeight w:val="386"/>
          <w:tblHeader/>
        </w:trPr>
        <w:tc>
          <w:tcPr>
            <w:tcW w:w="2032" w:type="dxa"/>
            <w:vMerge w:val="restart"/>
            <w:shd w:val="clear" w:color="auto" w:fill="auto"/>
            <w:vAlign w:val="center"/>
          </w:tcPr>
          <w:p w14:paraId="6E92E505"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lang w:val="sq-AL"/>
              </w:rPr>
              <w:t> </w:t>
            </w:r>
          </w:p>
          <w:p w14:paraId="1468D992" w14:textId="724A3290" w:rsidR="00C559D9" w:rsidRPr="00445472" w:rsidRDefault="00814581" w:rsidP="00B15A6B">
            <w:pPr>
              <w:pStyle w:val="TableTextCentre"/>
              <w:spacing w:before="22" w:after="22"/>
              <w:ind w:right="63"/>
              <w:rPr>
                <w:rFonts w:ascii="Garamond" w:hAnsi="Garamond" w:cs="Arial"/>
                <w:b/>
                <w:sz w:val="18"/>
                <w:szCs w:val="18"/>
                <w:lang w:val="sq-AL"/>
              </w:rPr>
            </w:pPr>
            <w:r>
              <w:rPr>
                <w:rFonts w:ascii="Garamond" w:hAnsi="Garamond" w:cs="Arial"/>
                <w:b/>
                <w:sz w:val="18"/>
                <w:szCs w:val="18"/>
                <w:lang w:val="sq-AL"/>
              </w:rPr>
              <w:t>Elemente</w:t>
            </w:r>
            <w:r w:rsidR="00C559D9" w:rsidRPr="00445472">
              <w:rPr>
                <w:rFonts w:ascii="Garamond" w:hAnsi="Garamond" w:cs="Arial"/>
                <w:b/>
                <w:sz w:val="18"/>
                <w:szCs w:val="18"/>
                <w:lang w:val="sq-AL"/>
              </w:rPr>
              <w:t>t e cilësisë</w:t>
            </w:r>
          </w:p>
        </w:tc>
        <w:tc>
          <w:tcPr>
            <w:tcW w:w="7040" w:type="dxa"/>
            <w:gridSpan w:val="4"/>
            <w:shd w:val="clear" w:color="auto" w:fill="auto"/>
            <w:vAlign w:val="center"/>
            <w:hideMark/>
          </w:tcPr>
          <w:p w14:paraId="156F671F" w14:textId="19BA5FF3" w:rsidR="00C559D9" w:rsidRPr="00445472" w:rsidRDefault="00C559D9" w:rsidP="00B15A6B">
            <w:pPr>
              <w:pStyle w:val="TableTextCentre"/>
              <w:spacing w:before="22" w:after="22"/>
              <w:ind w:right="63"/>
              <w:rPr>
                <w:rFonts w:ascii="Garamond" w:hAnsi="Garamond" w:cs="Arial"/>
                <w:b/>
                <w:sz w:val="18"/>
                <w:szCs w:val="18"/>
                <w:lang w:val="sq-AL"/>
              </w:rPr>
            </w:pPr>
            <w:r w:rsidRPr="00445472">
              <w:rPr>
                <w:rFonts w:ascii="Garamond" w:hAnsi="Garamond" w:cs="Arial"/>
                <w:b/>
                <w:sz w:val="18"/>
                <w:szCs w:val="18"/>
                <w:lang w:val="sq-AL"/>
              </w:rPr>
              <w:t xml:space="preserve">Trupat </w:t>
            </w:r>
            <w:r w:rsidR="00814581" w:rsidRPr="00445472">
              <w:rPr>
                <w:rFonts w:ascii="Garamond" w:hAnsi="Garamond" w:cs="Arial"/>
                <w:b/>
                <w:sz w:val="18"/>
                <w:szCs w:val="18"/>
                <w:lang w:val="sq-AL"/>
              </w:rPr>
              <w:t>ujorë sipërfaqësorë</w:t>
            </w:r>
          </w:p>
        </w:tc>
      </w:tr>
      <w:tr w:rsidR="00C559D9" w:rsidRPr="00445472" w14:paraId="0B9B1B45" w14:textId="77777777" w:rsidTr="00B15A6B">
        <w:trPr>
          <w:trHeight w:val="300"/>
          <w:tblHeader/>
        </w:trPr>
        <w:tc>
          <w:tcPr>
            <w:tcW w:w="2032" w:type="dxa"/>
            <w:vMerge/>
            <w:shd w:val="clear" w:color="auto" w:fill="auto"/>
            <w:vAlign w:val="center"/>
          </w:tcPr>
          <w:p w14:paraId="6FE39D03" w14:textId="77777777" w:rsidR="00C559D9" w:rsidRPr="00445472" w:rsidRDefault="00C559D9" w:rsidP="00B15A6B">
            <w:pPr>
              <w:pStyle w:val="TableTextCentre"/>
              <w:spacing w:before="22" w:after="22"/>
              <w:ind w:right="63"/>
              <w:rPr>
                <w:rFonts w:ascii="Garamond" w:hAnsi="Garamond" w:cs="Arial"/>
                <w:sz w:val="18"/>
                <w:szCs w:val="18"/>
                <w:lang w:val="sq-AL"/>
              </w:rPr>
            </w:pPr>
          </w:p>
        </w:tc>
        <w:tc>
          <w:tcPr>
            <w:tcW w:w="1654" w:type="dxa"/>
            <w:shd w:val="clear" w:color="auto" w:fill="auto"/>
            <w:vAlign w:val="center"/>
            <w:hideMark/>
          </w:tcPr>
          <w:p w14:paraId="0A0B64C5" w14:textId="77777777" w:rsidR="00C559D9" w:rsidRPr="00445472" w:rsidRDefault="00C559D9" w:rsidP="00B15A6B">
            <w:pPr>
              <w:pStyle w:val="TableTextCentre"/>
              <w:spacing w:before="22" w:after="22"/>
              <w:ind w:right="63"/>
              <w:rPr>
                <w:rFonts w:ascii="Garamond" w:eastAsia="Calibri" w:hAnsi="Garamond" w:cs="Arial"/>
                <w:b/>
                <w:sz w:val="18"/>
                <w:szCs w:val="18"/>
                <w:lang w:val="sq-AL"/>
              </w:rPr>
            </w:pPr>
            <w:r w:rsidRPr="00445472">
              <w:rPr>
                <w:rFonts w:ascii="Garamond" w:eastAsia="Calibri" w:hAnsi="Garamond" w:cs="Arial"/>
                <w:b/>
                <w:sz w:val="18"/>
                <w:szCs w:val="18"/>
                <w:lang w:val="sq-AL"/>
              </w:rPr>
              <w:t>Lumenj</w:t>
            </w:r>
          </w:p>
        </w:tc>
        <w:tc>
          <w:tcPr>
            <w:tcW w:w="1559" w:type="dxa"/>
            <w:shd w:val="clear" w:color="auto" w:fill="auto"/>
            <w:vAlign w:val="center"/>
            <w:hideMark/>
          </w:tcPr>
          <w:p w14:paraId="72258399" w14:textId="77777777" w:rsidR="00C559D9" w:rsidRPr="00445472" w:rsidRDefault="00C559D9" w:rsidP="00B15A6B">
            <w:pPr>
              <w:pStyle w:val="TableTextCentre"/>
              <w:spacing w:before="22" w:after="22"/>
              <w:ind w:right="63"/>
              <w:rPr>
                <w:rFonts w:ascii="Garamond" w:eastAsia="Calibri" w:hAnsi="Garamond" w:cs="Arial"/>
                <w:b/>
                <w:sz w:val="18"/>
                <w:szCs w:val="18"/>
                <w:lang w:val="sq-AL"/>
              </w:rPr>
            </w:pPr>
            <w:r w:rsidRPr="00445472">
              <w:rPr>
                <w:rFonts w:ascii="Garamond" w:eastAsia="Calibri" w:hAnsi="Garamond" w:cs="Arial"/>
                <w:b/>
                <w:sz w:val="18"/>
                <w:szCs w:val="18"/>
                <w:lang w:val="sq-AL"/>
              </w:rPr>
              <w:t>Liqene</w:t>
            </w:r>
          </w:p>
        </w:tc>
        <w:tc>
          <w:tcPr>
            <w:tcW w:w="1843" w:type="dxa"/>
            <w:shd w:val="clear" w:color="auto" w:fill="auto"/>
            <w:vAlign w:val="center"/>
            <w:hideMark/>
          </w:tcPr>
          <w:p w14:paraId="243680F7" w14:textId="77777777" w:rsidR="00C559D9" w:rsidRPr="00445472" w:rsidRDefault="00C559D9" w:rsidP="00B15A6B">
            <w:pPr>
              <w:pStyle w:val="TableTextCentre"/>
              <w:spacing w:before="22" w:after="22"/>
              <w:ind w:right="63"/>
              <w:rPr>
                <w:rFonts w:ascii="Garamond" w:eastAsia="Calibri" w:hAnsi="Garamond" w:cs="Arial"/>
                <w:b/>
                <w:sz w:val="18"/>
                <w:szCs w:val="18"/>
                <w:lang w:val="sq-AL"/>
              </w:rPr>
            </w:pPr>
            <w:r w:rsidRPr="00445472">
              <w:rPr>
                <w:rFonts w:ascii="Garamond" w:eastAsia="Calibri" w:hAnsi="Garamond" w:cs="Arial"/>
                <w:b/>
                <w:sz w:val="18"/>
                <w:szCs w:val="18"/>
                <w:lang w:val="sq-AL"/>
              </w:rPr>
              <w:t>Kalimtare</w:t>
            </w:r>
          </w:p>
        </w:tc>
        <w:tc>
          <w:tcPr>
            <w:tcW w:w="1984" w:type="dxa"/>
            <w:shd w:val="clear" w:color="auto" w:fill="auto"/>
            <w:vAlign w:val="center"/>
            <w:hideMark/>
          </w:tcPr>
          <w:p w14:paraId="59FE4B49" w14:textId="77777777" w:rsidR="00C559D9" w:rsidRPr="00445472" w:rsidRDefault="00C559D9" w:rsidP="00B15A6B">
            <w:pPr>
              <w:pStyle w:val="TableTextCentre"/>
              <w:spacing w:before="22" w:after="22"/>
              <w:ind w:right="63"/>
              <w:rPr>
                <w:rFonts w:ascii="Garamond" w:eastAsia="Calibri" w:hAnsi="Garamond" w:cs="Arial"/>
                <w:b/>
                <w:sz w:val="18"/>
                <w:szCs w:val="18"/>
                <w:lang w:val="sq-AL"/>
              </w:rPr>
            </w:pPr>
            <w:r w:rsidRPr="00445472">
              <w:rPr>
                <w:rFonts w:ascii="Garamond" w:eastAsia="Calibri" w:hAnsi="Garamond" w:cs="Arial"/>
                <w:b/>
                <w:sz w:val="18"/>
                <w:szCs w:val="18"/>
                <w:lang w:val="sq-AL"/>
              </w:rPr>
              <w:t>Bregdetare</w:t>
            </w:r>
          </w:p>
        </w:tc>
      </w:tr>
      <w:tr w:rsidR="00C559D9" w:rsidRPr="00445472" w14:paraId="23D8ADFB" w14:textId="77777777" w:rsidTr="00B15A6B">
        <w:trPr>
          <w:trHeight w:val="315"/>
        </w:trPr>
        <w:tc>
          <w:tcPr>
            <w:tcW w:w="9072" w:type="dxa"/>
            <w:gridSpan w:val="5"/>
            <w:shd w:val="clear" w:color="auto" w:fill="D4D4D4"/>
            <w:vAlign w:val="center"/>
            <w:hideMark/>
          </w:tcPr>
          <w:p w14:paraId="5871E12F" w14:textId="77777777" w:rsidR="00C559D9" w:rsidRPr="00445472" w:rsidRDefault="00C559D9" w:rsidP="00B15A6B">
            <w:pPr>
              <w:pStyle w:val="TableTextCentre"/>
              <w:spacing w:before="22" w:after="22"/>
              <w:ind w:right="63"/>
              <w:rPr>
                <w:rFonts w:ascii="Garamond" w:hAnsi="Garamond" w:cs="Arial"/>
                <w:b/>
                <w:sz w:val="18"/>
                <w:szCs w:val="18"/>
                <w:lang w:val="sq-AL"/>
              </w:rPr>
            </w:pPr>
            <w:r w:rsidRPr="00445472">
              <w:rPr>
                <w:rFonts w:ascii="Garamond" w:hAnsi="Garamond" w:cs="Arial"/>
                <w:b/>
                <w:sz w:val="18"/>
                <w:szCs w:val="18"/>
                <w:lang w:val="sq-AL"/>
              </w:rPr>
              <w:t>Elemente të cilësisë biologjike</w:t>
            </w:r>
          </w:p>
        </w:tc>
      </w:tr>
      <w:tr w:rsidR="00C559D9" w:rsidRPr="00445472" w14:paraId="2E27D0F7" w14:textId="77777777" w:rsidTr="00B15A6B">
        <w:trPr>
          <w:trHeight w:val="315"/>
        </w:trPr>
        <w:tc>
          <w:tcPr>
            <w:tcW w:w="2032" w:type="dxa"/>
            <w:shd w:val="clear" w:color="auto" w:fill="auto"/>
            <w:vAlign w:val="center"/>
            <w:hideMark/>
          </w:tcPr>
          <w:p w14:paraId="4A972ADC"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 xml:space="preserve">Fitoplankton     </w:t>
            </w:r>
          </w:p>
        </w:tc>
        <w:tc>
          <w:tcPr>
            <w:tcW w:w="1654" w:type="dxa"/>
            <w:shd w:val="clear" w:color="auto" w:fill="auto"/>
            <w:vAlign w:val="center"/>
            <w:hideMark/>
          </w:tcPr>
          <w:p w14:paraId="24540800"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6 muaj</w:t>
            </w:r>
          </w:p>
        </w:tc>
        <w:tc>
          <w:tcPr>
            <w:tcW w:w="1559" w:type="dxa"/>
            <w:shd w:val="clear" w:color="auto" w:fill="auto"/>
            <w:vAlign w:val="center"/>
            <w:hideMark/>
          </w:tcPr>
          <w:p w14:paraId="46C3A5D1"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6 muaj</w:t>
            </w:r>
          </w:p>
        </w:tc>
        <w:tc>
          <w:tcPr>
            <w:tcW w:w="1843" w:type="dxa"/>
            <w:shd w:val="clear" w:color="auto" w:fill="auto"/>
            <w:vAlign w:val="center"/>
            <w:hideMark/>
          </w:tcPr>
          <w:p w14:paraId="5ABD1725"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6 muaj</w:t>
            </w:r>
          </w:p>
        </w:tc>
        <w:tc>
          <w:tcPr>
            <w:tcW w:w="1984" w:type="dxa"/>
            <w:shd w:val="clear" w:color="auto" w:fill="auto"/>
            <w:vAlign w:val="center"/>
            <w:hideMark/>
          </w:tcPr>
          <w:p w14:paraId="232DC694"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6 muaj</w:t>
            </w:r>
          </w:p>
        </w:tc>
      </w:tr>
      <w:tr w:rsidR="00C559D9" w:rsidRPr="00445472" w14:paraId="282BE8DB" w14:textId="77777777" w:rsidTr="00B15A6B">
        <w:trPr>
          <w:trHeight w:val="300"/>
        </w:trPr>
        <w:tc>
          <w:tcPr>
            <w:tcW w:w="2032" w:type="dxa"/>
            <w:shd w:val="clear" w:color="auto" w:fill="auto"/>
            <w:vAlign w:val="center"/>
            <w:hideMark/>
          </w:tcPr>
          <w:p w14:paraId="48886C38"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Bimësi tjetër ujore</w:t>
            </w:r>
          </w:p>
        </w:tc>
        <w:tc>
          <w:tcPr>
            <w:tcW w:w="1654" w:type="dxa"/>
            <w:shd w:val="clear" w:color="auto" w:fill="auto"/>
            <w:vAlign w:val="center"/>
            <w:hideMark/>
          </w:tcPr>
          <w:p w14:paraId="34AC8E0A"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559" w:type="dxa"/>
            <w:shd w:val="clear" w:color="auto" w:fill="auto"/>
            <w:vAlign w:val="center"/>
            <w:hideMark/>
          </w:tcPr>
          <w:p w14:paraId="5AD1EC79"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843" w:type="dxa"/>
            <w:shd w:val="clear" w:color="auto" w:fill="auto"/>
            <w:vAlign w:val="center"/>
            <w:hideMark/>
          </w:tcPr>
          <w:p w14:paraId="4269CBCD"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984" w:type="dxa"/>
            <w:shd w:val="clear" w:color="auto" w:fill="auto"/>
            <w:vAlign w:val="center"/>
            <w:hideMark/>
          </w:tcPr>
          <w:p w14:paraId="6FBC5C40"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r>
      <w:tr w:rsidR="00C559D9" w:rsidRPr="00445472" w14:paraId="686B27D0" w14:textId="77777777" w:rsidTr="00B15A6B">
        <w:trPr>
          <w:trHeight w:val="300"/>
        </w:trPr>
        <w:tc>
          <w:tcPr>
            <w:tcW w:w="2032" w:type="dxa"/>
            <w:shd w:val="clear" w:color="auto" w:fill="auto"/>
            <w:vAlign w:val="center"/>
            <w:hideMark/>
          </w:tcPr>
          <w:p w14:paraId="3790D8B9"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Makroinvertebrorët</w:t>
            </w:r>
          </w:p>
        </w:tc>
        <w:tc>
          <w:tcPr>
            <w:tcW w:w="1654" w:type="dxa"/>
            <w:shd w:val="clear" w:color="auto" w:fill="auto"/>
            <w:vAlign w:val="center"/>
            <w:hideMark/>
          </w:tcPr>
          <w:p w14:paraId="4AD70FC4"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559" w:type="dxa"/>
            <w:shd w:val="clear" w:color="auto" w:fill="auto"/>
            <w:vAlign w:val="center"/>
            <w:hideMark/>
          </w:tcPr>
          <w:p w14:paraId="3784B4E2"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843" w:type="dxa"/>
            <w:shd w:val="clear" w:color="auto" w:fill="auto"/>
            <w:vAlign w:val="center"/>
            <w:hideMark/>
          </w:tcPr>
          <w:p w14:paraId="791C2468"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984" w:type="dxa"/>
            <w:shd w:val="clear" w:color="auto" w:fill="auto"/>
            <w:vAlign w:val="center"/>
            <w:hideMark/>
          </w:tcPr>
          <w:p w14:paraId="47AD8F9C"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r>
      <w:tr w:rsidR="00C559D9" w:rsidRPr="00445472" w14:paraId="75772E80" w14:textId="77777777" w:rsidTr="00B15A6B">
        <w:trPr>
          <w:trHeight w:val="300"/>
        </w:trPr>
        <w:tc>
          <w:tcPr>
            <w:tcW w:w="2032" w:type="dxa"/>
            <w:shd w:val="clear" w:color="auto" w:fill="auto"/>
            <w:vAlign w:val="center"/>
            <w:hideMark/>
          </w:tcPr>
          <w:p w14:paraId="71E35616"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Peshq</w:t>
            </w:r>
          </w:p>
        </w:tc>
        <w:tc>
          <w:tcPr>
            <w:tcW w:w="1654" w:type="dxa"/>
            <w:shd w:val="clear" w:color="auto" w:fill="auto"/>
            <w:vAlign w:val="center"/>
            <w:hideMark/>
          </w:tcPr>
          <w:p w14:paraId="396A900A"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559" w:type="dxa"/>
            <w:shd w:val="clear" w:color="auto" w:fill="auto"/>
            <w:vAlign w:val="center"/>
            <w:hideMark/>
          </w:tcPr>
          <w:p w14:paraId="4824A7D3"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843" w:type="dxa"/>
            <w:shd w:val="clear" w:color="auto" w:fill="auto"/>
            <w:vAlign w:val="center"/>
            <w:hideMark/>
          </w:tcPr>
          <w:p w14:paraId="41471B79"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vjet</w:t>
            </w:r>
          </w:p>
        </w:tc>
        <w:tc>
          <w:tcPr>
            <w:tcW w:w="1984" w:type="dxa"/>
            <w:shd w:val="clear" w:color="auto" w:fill="auto"/>
            <w:vAlign w:val="center"/>
            <w:hideMark/>
          </w:tcPr>
          <w:p w14:paraId="5FF5D848"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n/a</w:t>
            </w:r>
          </w:p>
        </w:tc>
      </w:tr>
      <w:tr w:rsidR="00C559D9" w:rsidRPr="00445472" w14:paraId="4435F628" w14:textId="77777777" w:rsidTr="00B15A6B">
        <w:trPr>
          <w:trHeight w:val="300"/>
        </w:trPr>
        <w:tc>
          <w:tcPr>
            <w:tcW w:w="9072" w:type="dxa"/>
            <w:gridSpan w:val="5"/>
            <w:shd w:val="clear" w:color="auto" w:fill="D4D4D4"/>
            <w:noWrap/>
            <w:vAlign w:val="center"/>
            <w:hideMark/>
          </w:tcPr>
          <w:p w14:paraId="783FD75D" w14:textId="357726E5" w:rsidR="00C559D9" w:rsidRPr="00445472" w:rsidRDefault="00C559D9" w:rsidP="001A3217">
            <w:pPr>
              <w:pStyle w:val="TableTextCentre"/>
              <w:spacing w:before="22" w:after="22"/>
              <w:ind w:right="63"/>
              <w:rPr>
                <w:rFonts w:ascii="Garamond" w:hAnsi="Garamond" w:cs="Arial"/>
                <w:b/>
                <w:sz w:val="18"/>
                <w:szCs w:val="18"/>
                <w:lang w:val="sq-AL"/>
              </w:rPr>
            </w:pPr>
            <w:r w:rsidRPr="00445472">
              <w:rPr>
                <w:rFonts w:ascii="Garamond" w:hAnsi="Garamond" w:cs="Arial"/>
                <w:b/>
                <w:sz w:val="18"/>
                <w:szCs w:val="18"/>
                <w:lang w:val="sq-AL"/>
              </w:rPr>
              <w:t>Element</w:t>
            </w:r>
            <w:r w:rsidR="001A3217" w:rsidRPr="00445472">
              <w:rPr>
                <w:rFonts w:ascii="Garamond" w:hAnsi="Garamond" w:cs="Arial"/>
                <w:b/>
                <w:sz w:val="18"/>
                <w:szCs w:val="18"/>
                <w:lang w:val="sq-AL"/>
              </w:rPr>
              <w:t>e</w:t>
            </w:r>
            <w:r w:rsidRPr="00445472">
              <w:rPr>
                <w:rFonts w:ascii="Garamond" w:hAnsi="Garamond" w:cs="Arial"/>
                <w:b/>
                <w:sz w:val="18"/>
                <w:szCs w:val="18"/>
                <w:lang w:val="sq-AL"/>
              </w:rPr>
              <w:t>t hidromorfologjik</w:t>
            </w:r>
            <w:r w:rsidR="001A3217" w:rsidRPr="00445472">
              <w:rPr>
                <w:rFonts w:ascii="Garamond" w:hAnsi="Garamond" w:cs="Arial"/>
                <w:b/>
                <w:sz w:val="18"/>
                <w:szCs w:val="18"/>
                <w:lang w:val="sq-AL"/>
              </w:rPr>
              <w:t>e</w:t>
            </w:r>
          </w:p>
        </w:tc>
      </w:tr>
      <w:tr w:rsidR="00C559D9" w:rsidRPr="00445472" w14:paraId="2F5642FF" w14:textId="77777777" w:rsidTr="00B15A6B">
        <w:trPr>
          <w:trHeight w:val="300"/>
        </w:trPr>
        <w:tc>
          <w:tcPr>
            <w:tcW w:w="2032" w:type="dxa"/>
            <w:shd w:val="clear" w:color="auto" w:fill="auto"/>
            <w:noWrap/>
            <w:vAlign w:val="center"/>
            <w:hideMark/>
          </w:tcPr>
          <w:p w14:paraId="6531419C"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Vazhdimësia</w:t>
            </w:r>
          </w:p>
        </w:tc>
        <w:tc>
          <w:tcPr>
            <w:tcW w:w="1654" w:type="dxa"/>
            <w:shd w:val="clear" w:color="auto" w:fill="auto"/>
            <w:noWrap/>
            <w:vAlign w:val="center"/>
            <w:hideMark/>
          </w:tcPr>
          <w:p w14:paraId="2DAED8C9"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sz w:val="18"/>
                <w:szCs w:val="18"/>
                <w:lang w:val="sq-AL"/>
              </w:rPr>
              <w:t>6 vjet</w:t>
            </w:r>
          </w:p>
        </w:tc>
        <w:tc>
          <w:tcPr>
            <w:tcW w:w="1559" w:type="dxa"/>
            <w:shd w:val="clear" w:color="auto" w:fill="auto"/>
            <w:noWrap/>
            <w:vAlign w:val="center"/>
            <w:hideMark/>
          </w:tcPr>
          <w:p w14:paraId="27BF6C11"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w:t>
            </w:r>
          </w:p>
        </w:tc>
        <w:tc>
          <w:tcPr>
            <w:tcW w:w="1843" w:type="dxa"/>
            <w:shd w:val="clear" w:color="auto" w:fill="auto"/>
            <w:noWrap/>
            <w:vAlign w:val="center"/>
            <w:hideMark/>
          </w:tcPr>
          <w:p w14:paraId="75A181DE"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w:t>
            </w:r>
          </w:p>
        </w:tc>
        <w:tc>
          <w:tcPr>
            <w:tcW w:w="1984" w:type="dxa"/>
            <w:shd w:val="clear" w:color="auto" w:fill="auto"/>
            <w:noWrap/>
            <w:vAlign w:val="center"/>
            <w:hideMark/>
          </w:tcPr>
          <w:p w14:paraId="50001C9B"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w:t>
            </w:r>
          </w:p>
        </w:tc>
      </w:tr>
      <w:tr w:rsidR="00C559D9" w:rsidRPr="00445472" w14:paraId="4030B1D4" w14:textId="77777777" w:rsidTr="00B15A6B">
        <w:trPr>
          <w:trHeight w:val="300"/>
        </w:trPr>
        <w:tc>
          <w:tcPr>
            <w:tcW w:w="2032" w:type="dxa"/>
            <w:shd w:val="clear" w:color="auto" w:fill="auto"/>
            <w:noWrap/>
            <w:vAlign w:val="center"/>
            <w:hideMark/>
          </w:tcPr>
          <w:p w14:paraId="1B54FE91"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 xml:space="preserve">Hidrologjia </w:t>
            </w:r>
          </w:p>
        </w:tc>
        <w:tc>
          <w:tcPr>
            <w:tcW w:w="1654" w:type="dxa"/>
            <w:shd w:val="clear" w:color="auto" w:fill="auto"/>
            <w:noWrap/>
            <w:vAlign w:val="center"/>
            <w:hideMark/>
          </w:tcPr>
          <w:p w14:paraId="26B6B08F"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xml:space="preserve">e vazhdueshme </w:t>
            </w:r>
          </w:p>
        </w:tc>
        <w:tc>
          <w:tcPr>
            <w:tcW w:w="1559" w:type="dxa"/>
            <w:shd w:val="clear" w:color="auto" w:fill="auto"/>
            <w:noWrap/>
            <w:vAlign w:val="center"/>
            <w:hideMark/>
          </w:tcPr>
          <w:p w14:paraId="49A0140C"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1 muaj</w:t>
            </w:r>
          </w:p>
        </w:tc>
        <w:tc>
          <w:tcPr>
            <w:tcW w:w="1843" w:type="dxa"/>
            <w:shd w:val="clear" w:color="auto" w:fill="auto"/>
            <w:noWrap/>
            <w:vAlign w:val="center"/>
            <w:hideMark/>
          </w:tcPr>
          <w:p w14:paraId="1D2DEFBF"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w:t>
            </w:r>
          </w:p>
        </w:tc>
        <w:tc>
          <w:tcPr>
            <w:tcW w:w="1984" w:type="dxa"/>
            <w:shd w:val="clear" w:color="auto" w:fill="auto"/>
            <w:noWrap/>
            <w:vAlign w:val="center"/>
            <w:hideMark/>
          </w:tcPr>
          <w:p w14:paraId="06532EA2"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w:t>
            </w:r>
          </w:p>
        </w:tc>
      </w:tr>
      <w:tr w:rsidR="00C559D9" w:rsidRPr="00445472" w14:paraId="291B838A" w14:textId="77777777" w:rsidTr="00B15A6B">
        <w:trPr>
          <w:trHeight w:val="300"/>
        </w:trPr>
        <w:tc>
          <w:tcPr>
            <w:tcW w:w="2032" w:type="dxa"/>
            <w:shd w:val="clear" w:color="auto" w:fill="auto"/>
            <w:noWrap/>
            <w:vAlign w:val="center"/>
            <w:hideMark/>
          </w:tcPr>
          <w:p w14:paraId="2722D59A"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Morfologjia</w:t>
            </w:r>
          </w:p>
        </w:tc>
        <w:tc>
          <w:tcPr>
            <w:tcW w:w="1654" w:type="dxa"/>
            <w:shd w:val="clear" w:color="auto" w:fill="auto"/>
            <w:vAlign w:val="center"/>
            <w:hideMark/>
          </w:tcPr>
          <w:p w14:paraId="7E6948A3"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xml:space="preserve"> </w:t>
            </w:r>
            <w:r w:rsidRPr="00445472">
              <w:rPr>
                <w:rFonts w:ascii="Garamond" w:eastAsia="Calibri" w:hAnsi="Garamond"/>
                <w:sz w:val="18"/>
                <w:szCs w:val="18"/>
                <w:lang w:val="sq-AL"/>
              </w:rPr>
              <w:t xml:space="preserve"> 6 vjet</w:t>
            </w:r>
          </w:p>
        </w:tc>
        <w:tc>
          <w:tcPr>
            <w:tcW w:w="1559" w:type="dxa"/>
            <w:shd w:val="clear" w:color="auto" w:fill="auto"/>
            <w:vAlign w:val="center"/>
            <w:hideMark/>
          </w:tcPr>
          <w:p w14:paraId="2814914C"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xml:space="preserve"> 6 vjet</w:t>
            </w:r>
          </w:p>
        </w:tc>
        <w:tc>
          <w:tcPr>
            <w:tcW w:w="1843" w:type="dxa"/>
            <w:shd w:val="clear" w:color="auto" w:fill="auto"/>
            <w:hideMark/>
          </w:tcPr>
          <w:p w14:paraId="3816E2A8"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xml:space="preserve"> 6 vjet</w:t>
            </w:r>
          </w:p>
        </w:tc>
        <w:tc>
          <w:tcPr>
            <w:tcW w:w="1984" w:type="dxa"/>
            <w:shd w:val="clear" w:color="auto" w:fill="auto"/>
            <w:hideMark/>
          </w:tcPr>
          <w:p w14:paraId="61021CE6"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 xml:space="preserve"> 6 vjet</w:t>
            </w:r>
          </w:p>
        </w:tc>
      </w:tr>
      <w:tr w:rsidR="00C559D9" w:rsidRPr="00445472" w14:paraId="41E67D36" w14:textId="77777777" w:rsidTr="00B15A6B">
        <w:trPr>
          <w:trHeight w:val="323"/>
        </w:trPr>
        <w:tc>
          <w:tcPr>
            <w:tcW w:w="9072" w:type="dxa"/>
            <w:gridSpan w:val="5"/>
            <w:shd w:val="clear" w:color="auto" w:fill="D4D4D4"/>
            <w:vAlign w:val="center"/>
            <w:hideMark/>
          </w:tcPr>
          <w:p w14:paraId="1F9212C3" w14:textId="52B5AF72" w:rsidR="00C559D9" w:rsidRPr="00445472" w:rsidRDefault="00C559D9" w:rsidP="001A3217">
            <w:pPr>
              <w:pStyle w:val="TableTextCentre"/>
              <w:spacing w:before="22" w:after="22"/>
              <w:ind w:right="63"/>
              <w:rPr>
                <w:rFonts w:ascii="Garamond" w:hAnsi="Garamond" w:cs="Arial"/>
                <w:b/>
                <w:sz w:val="18"/>
                <w:szCs w:val="18"/>
                <w:lang w:val="sq-AL"/>
              </w:rPr>
            </w:pPr>
            <w:r w:rsidRPr="00445472">
              <w:rPr>
                <w:rFonts w:ascii="Garamond" w:hAnsi="Garamond" w:cs="Arial"/>
                <w:b/>
                <w:sz w:val="18"/>
                <w:szCs w:val="18"/>
                <w:lang w:val="sq-AL"/>
              </w:rPr>
              <w:t>Element</w:t>
            </w:r>
            <w:r w:rsidR="001A3217" w:rsidRPr="00445472">
              <w:rPr>
                <w:rFonts w:ascii="Garamond" w:hAnsi="Garamond" w:cs="Arial"/>
                <w:b/>
                <w:sz w:val="18"/>
                <w:szCs w:val="18"/>
                <w:lang w:val="sq-AL"/>
              </w:rPr>
              <w:t>e</w:t>
            </w:r>
            <w:r w:rsidRPr="00445472">
              <w:rPr>
                <w:rFonts w:ascii="Garamond" w:hAnsi="Garamond" w:cs="Arial"/>
                <w:b/>
                <w:sz w:val="18"/>
                <w:szCs w:val="18"/>
                <w:lang w:val="sq-AL"/>
              </w:rPr>
              <w:t>t fiziko-kimik</w:t>
            </w:r>
            <w:r w:rsidR="001A3217" w:rsidRPr="00445472">
              <w:rPr>
                <w:rFonts w:ascii="Garamond" w:hAnsi="Garamond" w:cs="Arial"/>
                <w:b/>
                <w:sz w:val="18"/>
                <w:szCs w:val="18"/>
                <w:lang w:val="sq-AL"/>
              </w:rPr>
              <w:t>e</w:t>
            </w:r>
          </w:p>
        </w:tc>
      </w:tr>
      <w:tr w:rsidR="00C559D9" w:rsidRPr="00445472" w14:paraId="1B00745E" w14:textId="77777777" w:rsidTr="00B15A6B">
        <w:trPr>
          <w:trHeight w:val="323"/>
        </w:trPr>
        <w:tc>
          <w:tcPr>
            <w:tcW w:w="2032" w:type="dxa"/>
            <w:shd w:val="clear" w:color="auto" w:fill="auto"/>
            <w:vAlign w:val="center"/>
            <w:hideMark/>
          </w:tcPr>
          <w:p w14:paraId="425E4733"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Kushtet Termike</w:t>
            </w:r>
          </w:p>
        </w:tc>
        <w:tc>
          <w:tcPr>
            <w:tcW w:w="1654" w:type="dxa"/>
            <w:shd w:val="clear" w:color="auto" w:fill="auto"/>
            <w:vAlign w:val="center"/>
            <w:hideMark/>
          </w:tcPr>
          <w:p w14:paraId="35DE4D6A"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559" w:type="dxa"/>
            <w:shd w:val="clear" w:color="auto" w:fill="auto"/>
            <w:vAlign w:val="center"/>
            <w:hideMark/>
          </w:tcPr>
          <w:p w14:paraId="2C4CA5D7"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843" w:type="dxa"/>
            <w:shd w:val="clear" w:color="auto" w:fill="auto"/>
            <w:vAlign w:val="center"/>
            <w:hideMark/>
          </w:tcPr>
          <w:p w14:paraId="1382E3C7"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984" w:type="dxa"/>
            <w:shd w:val="clear" w:color="auto" w:fill="auto"/>
            <w:vAlign w:val="center"/>
            <w:hideMark/>
          </w:tcPr>
          <w:p w14:paraId="1F690563"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r>
      <w:tr w:rsidR="00C559D9" w:rsidRPr="00445472" w14:paraId="7E6A72AA" w14:textId="77777777" w:rsidTr="00B15A6B">
        <w:trPr>
          <w:trHeight w:val="300"/>
        </w:trPr>
        <w:tc>
          <w:tcPr>
            <w:tcW w:w="2032" w:type="dxa"/>
            <w:shd w:val="clear" w:color="auto" w:fill="auto"/>
            <w:vAlign w:val="center"/>
            <w:hideMark/>
          </w:tcPr>
          <w:p w14:paraId="7B7D05F9"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Oksigjenimi</w:t>
            </w:r>
          </w:p>
        </w:tc>
        <w:tc>
          <w:tcPr>
            <w:tcW w:w="1654" w:type="dxa"/>
            <w:shd w:val="clear" w:color="auto" w:fill="auto"/>
            <w:vAlign w:val="center"/>
            <w:hideMark/>
          </w:tcPr>
          <w:p w14:paraId="065B1AC5"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559" w:type="dxa"/>
            <w:shd w:val="clear" w:color="auto" w:fill="auto"/>
            <w:vAlign w:val="center"/>
            <w:hideMark/>
          </w:tcPr>
          <w:p w14:paraId="701EAE09"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843" w:type="dxa"/>
            <w:shd w:val="clear" w:color="auto" w:fill="auto"/>
            <w:vAlign w:val="center"/>
            <w:hideMark/>
          </w:tcPr>
          <w:p w14:paraId="6407917E"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984" w:type="dxa"/>
            <w:shd w:val="clear" w:color="auto" w:fill="auto"/>
            <w:vAlign w:val="center"/>
            <w:hideMark/>
          </w:tcPr>
          <w:p w14:paraId="1165834A"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r>
      <w:tr w:rsidR="00C559D9" w:rsidRPr="00445472" w14:paraId="6E7A6526" w14:textId="77777777" w:rsidTr="00B15A6B">
        <w:trPr>
          <w:trHeight w:val="300"/>
        </w:trPr>
        <w:tc>
          <w:tcPr>
            <w:tcW w:w="2032" w:type="dxa"/>
            <w:shd w:val="clear" w:color="auto" w:fill="auto"/>
            <w:vAlign w:val="center"/>
            <w:hideMark/>
          </w:tcPr>
          <w:p w14:paraId="54BDDA38"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Kripshmëria</w:t>
            </w:r>
          </w:p>
        </w:tc>
        <w:tc>
          <w:tcPr>
            <w:tcW w:w="1654" w:type="dxa"/>
            <w:shd w:val="clear" w:color="auto" w:fill="auto"/>
            <w:vAlign w:val="center"/>
            <w:hideMark/>
          </w:tcPr>
          <w:p w14:paraId="126976EE"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559" w:type="dxa"/>
            <w:shd w:val="clear" w:color="auto" w:fill="auto"/>
            <w:vAlign w:val="center"/>
            <w:hideMark/>
          </w:tcPr>
          <w:p w14:paraId="7304411B"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843" w:type="dxa"/>
            <w:shd w:val="clear" w:color="auto" w:fill="auto"/>
            <w:vAlign w:val="center"/>
            <w:hideMark/>
          </w:tcPr>
          <w:p w14:paraId="05428EF1"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984" w:type="dxa"/>
            <w:shd w:val="clear" w:color="auto" w:fill="auto"/>
            <w:vAlign w:val="center"/>
            <w:hideMark/>
          </w:tcPr>
          <w:p w14:paraId="657256D7"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r>
      <w:tr w:rsidR="00C559D9" w:rsidRPr="00445472" w14:paraId="14A8202B" w14:textId="77777777" w:rsidTr="00B15A6B">
        <w:trPr>
          <w:trHeight w:val="300"/>
        </w:trPr>
        <w:tc>
          <w:tcPr>
            <w:tcW w:w="2032" w:type="dxa"/>
            <w:shd w:val="clear" w:color="auto" w:fill="auto"/>
            <w:vAlign w:val="center"/>
            <w:hideMark/>
          </w:tcPr>
          <w:p w14:paraId="688743FC"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 xml:space="preserve">Statusi trofik </w:t>
            </w:r>
          </w:p>
          <w:p w14:paraId="28480B04"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(i lëndëve ushqyese)</w:t>
            </w:r>
          </w:p>
        </w:tc>
        <w:tc>
          <w:tcPr>
            <w:tcW w:w="1654" w:type="dxa"/>
            <w:shd w:val="clear" w:color="auto" w:fill="auto"/>
            <w:vAlign w:val="center"/>
            <w:hideMark/>
          </w:tcPr>
          <w:p w14:paraId="6EDB6494"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559" w:type="dxa"/>
            <w:shd w:val="clear" w:color="auto" w:fill="auto"/>
            <w:vAlign w:val="center"/>
            <w:hideMark/>
          </w:tcPr>
          <w:p w14:paraId="71AE7095"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843" w:type="dxa"/>
            <w:shd w:val="clear" w:color="auto" w:fill="auto"/>
            <w:vAlign w:val="center"/>
            <w:hideMark/>
          </w:tcPr>
          <w:p w14:paraId="4C21F6D8"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984" w:type="dxa"/>
            <w:shd w:val="clear" w:color="auto" w:fill="auto"/>
            <w:vAlign w:val="center"/>
            <w:hideMark/>
          </w:tcPr>
          <w:p w14:paraId="4E0799E7"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r>
      <w:tr w:rsidR="00C559D9" w:rsidRPr="00445472" w14:paraId="67AB9908" w14:textId="77777777" w:rsidTr="00B15A6B">
        <w:trPr>
          <w:trHeight w:val="300"/>
        </w:trPr>
        <w:tc>
          <w:tcPr>
            <w:tcW w:w="2032" w:type="dxa"/>
            <w:shd w:val="clear" w:color="auto" w:fill="auto"/>
            <w:vAlign w:val="center"/>
            <w:hideMark/>
          </w:tcPr>
          <w:p w14:paraId="10E6BEA8" w14:textId="1A2578E2"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Statusi i acidifikimit</w:t>
            </w:r>
            <w:r w:rsidR="001D340B" w:rsidRPr="00445472">
              <w:rPr>
                <w:rFonts w:ascii="Garamond" w:hAnsi="Garamond" w:cs="Arial"/>
                <w:sz w:val="18"/>
                <w:szCs w:val="18"/>
                <w:lang w:val="sq-AL"/>
              </w:rPr>
              <w:t>/</w:t>
            </w:r>
            <w:r w:rsidRPr="00445472">
              <w:rPr>
                <w:rFonts w:ascii="Garamond" w:hAnsi="Garamond" w:cs="Arial"/>
                <w:sz w:val="18"/>
                <w:szCs w:val="18"/>
                <w:lang w:val="sq-AL"/>
              </w:rPr>
              <w:t>pH</w:t>
            </w:r>
          </w:p>
        </w:tc>
        <w:tc>
          <w:tcPr>
            <w:tcW w:w="1654" w:type="dxa"/>
            <w:shd w:val="clear" w:color="auto" w:fill="auto"/>
            <w:vAlign w:val="center"/>
            <w:hideMark/>
          </w:tcPr>
          <w:p w14:paraId="7F2CECDF"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559" w:type="dxa"/>
            <w:shd w:val="clear" w:color="auto" w:fill="auto"/>
            <w:vAlign w:val="center"/>
            <w:hideMark/>
          </w:tcPr>
          <w:p w14:paraId="79882FE7"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843" w:type="dxa"/>
            <w:shd w:val="clear" w:color="auto" w:fill="auto"/>
            <w:vAlign w:val="center"/>
            <w:hideMark/>
          </w:tcPr>
          <w:p w14:paraId="78A2ABB9"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984" w:type="dxa"/>
            <w:shd w:val="clear" w:color="auto" w:fill="auto"/>
            <w:vAlign w:val="center"/>
            <w:hideMark/>
          </w:tcPr>
          <w:p w14:paraId="13A2CD53"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r>
      <w:tr w:rsidR="00C559D9" w:rsidRPr="00445472" w14:paraId="529BFC6D" w14:textId="77777777" w:rsidTr="00B15A6B">
        <w:trPr>
          <w:trHeight w:val="300"/>
        </w:trPr>
        <w:tc>
          <w:tcPr>
            <w:tcW w:w="2032" w:type="dxa"/>
            <w:shd w:val="clear" w:color="auto" w:fill="auto"/>
            <w:vAlign w:val="center"/>
            <w:hideMark/>
          </w:tcPr>
          <w:p w14:paraId="3D1AA45E"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Ndotës të tjerë</w:t>
            </w:r>
          </w:p>
        </w:tc>
        <w:tc>
          <w:tcPr>
            <w:tcW w:w="1654" w:type="dxa"/>
            <w:shd w:val="clear" w:color="auto" w:fill="auto"/>
            <w:vAlign w:val="center"/>
            <w:hideMark/>
          </w:tcPr>
          <w:p w14:paraId="42208988"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559" w:type="dxa"/>
            <w:shd w:val="clear" w:color="auto" w:fill="auto"/>
            <w:vAlign w:val="center"/>
            <w:hideMark/>
          </w:tcPr>
          <w:p w14:paraId="75490902"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843" w:type="dxa"/>
            <w:shd w:val="clear" w:color="auto" w:fill="auto"/>
            <w:vAlign w:val="center"/>
            <w:hideMark/>
          </w:tcPr>
          <w:p w14:paraId="0DEB936E"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c>
          <w:tcPr>
            <w:tcW w:w="1984" w:type="dxa"/>
            <w:shd w:val="clear" w:color="auto" w:fill="auto"/>
            <w:vAlign w:val="center"/>
            <w:hideMark/>
          </w:tcPr>
          <w:p w14:paraId="2183A6A0"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3 muaj</w:t>
            </w:r>
          </w:p>
        </w:tc>
      </w:tr>
      <w:tr w:rsidR="00C559D9" w:rsidRPr="00445472" w14:paraId="3261FBFC" w14:textId="77777777" w:rsidTr="00B15A6B">
        <w:trPr>
          <w:trHeight w:val="300"/>
        </w:trPr>
        <w:tc>
          <w:tcPr>
            <w:tcW w:w="2032" w:type="dxa"/>
            <w:shd w:val="clear" w:color="auto" w:fill="auto"/>
            <w:vAlign w:val="center"/>
            <w:hideMark/>
          </w:tcPr>
          <w:p w14:paraId="452FB332" w14:textId="77777777" w:rsidR="00C559D9" w:rsidRPr="00445472" w:rsidRDefault="00C559D9" w:rsidP="00B15A6B">
            <w:pPr>
              <w:pStyle w:val="TableTextCentre"/>
              <w:spacing w:before="22" w:after="22"/>
              <w:ind w:right="63"/>
              <w:rPr>
                <w:rFonts w:ascii="Garamond" w:hAnsi="Garamond" w:cs="Arial"/>
                <w:sz w:val="18"/>
                <w:szCs w:val="18"/>
                <w:lang w:val="sq-AL"/>
              </w:rPr>
            </w:pPr>
            <w:r w:rsidRPr="00445472">
              <w:rPr>
                <w:rFonts w:ascii="Garamond" w:hAnsi="Garamond" w:cs="Arial"/>
                <w:sz w:val="18"/>
                <w:szCs w:val="18"/>
                <w:lang w:val="sq-AL"/>
              </w:rPr>
              <w:t>Substancat prioritare</w:t>
            </w:r>
          </w:p>
        </w:tc>
        <w:tc>
          <w:tcPr>
            <w:tcW w:w="1654" w:type="dxa"/>
            <w:shd w:val="clear" w:color="auto" w:fill="auto"/>
            <w:vAlign w:val="center"/>
            <w:hideMark/>
          </w:tcPr>
          <w:p w14:paraId="51FA5796"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1 muaj</w:t>
            </w:r>
          </w:p>
        </w:tc>
        <w:tc>
          <w:tcPr>
            <w:tcW w:w="1559" w:type="dxa"/>
            <w:shd w:val="clear" w:color="auto" w:fill="auto"/>
            <w:vAlign w:val="center"/>
            <w:hideMark/>
          </w:tcPr>
          <w:p w14:paraId="0BFEE7D8"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1 muaj</w:t>
            </w:r>
          </w:p>
        </w:tc>
        <w:tc>
          <w:tcPr>
            <w:tcW w:w="1843" w:type="dxa"/>
            <w:shd w:val="clear" w:color="auto" w:fill="auto"/>
            <w:vAlign w:val="center"/>
            <w:hideMark/>
          </w:tcPr>
          <w:p w14:paraId="4D10EE7C"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1 muaj</w:t>
            </w:r>
          </w:p>
        </w:tc>
        <w:tc>
          <w:tcPr>
            <w:tcW w:w="1984" w:type="dxa"/>
            <w:shd w:val="clear" w:color="auto" w:fill="auto"/>
            <w:vAlign w:val="center"/>
            <w:hideMark/>
          </w:tcPr>
          <w:p w14:paraId="1D99DA8C" w14:textId="77777777" w:rsidR="00C559D9" w:rsidRPr="00445472" w:rsidRDefault="00C559D9" w:rsidP="00B15A6B">
            <w:pPr>
              <w:pStyle w:val="TableTextCentre"/>
              <w:spacing w:before="22" w:after="22"/>
              <w:ind w:right="63"/>
              <w:rPr>
                <w:rFonts w:ascii="Garamond" w:eastAsia="Calibri" w:hAnsi="Garamond" w:cs="Arial"/>
                <w:sz w:val="18"/>
                <w:szCs w:val="18"/>
                <w:lang w:val="sq-AL"/>
              </w:rPr>
            </w:pPr>
            <w:r w:rsidRPr="00445472">
              <w:rPr>
                <w:rFonts w:ascii="Garamond" w:eastAsia="Calibri" w:hAnsi="Garamond" w:cs="Arial"/>
                <w:sz w:val="18"/>
                <w:szCs w:val="18"/>
                <w:lang w:val="sq-AL"/>
              </w:rPr>
              <w:t>1 muaj</w:t>
            </w:r>
          </w:p>
        </w:tc>
      </w:tr>
    </w:tbl>
    <w:p w14:paraId="740CC531" w14:textId="77777777" w:rsidR="00C559D9" w:rsidRPr="00445472" w:rsidRDefault="00C559D9" w:rsidP="00C559D9">
      <w:pPr>
        <w:pStyle w:val="TEKSTIIII"/>
      </w:pPr>
    </w:p>
    <w:p w14:paraId="28F5D00E" w14:textId="0FC42C8E" w:rsidR="00C559D9" w:rsidRPr="00445472" w:rsidRDefault="00A16227" w:rsidP="003B73DA">
      <w:pPr>
        <w:pStyle w:val="NENTITULL"/>
      </w:pPr>
      <w:bookmarkStart w:id="106" w:name="_Toc11068789"/>
      <w:r>
        <w:t>6.2</w:t>
      </w:r>
      <w:r w:rsidR="003B73DA" w:rsidRPr="00445472">
        <w:t xml:space="preserve">.6 </w:t>
      </w:r>
      <w:r w:rsidR="00C559D9" w:rsidRPr="00445472">
        <w:t>Përcaktimi i standardeve të cilësisë së mjedisit (SCM) për elementet e cilësisë kimike</w:t>
      </w:r>
      <w:bookmarkEnd w:id="106"/>
    </w:p>
    <w:p w14:paraId="793B683F" w14:textId="77777777" w:rsidR="00C559D9" w:rsidRPr="00445472" w:rsidRDefault="00C559D9" w:rsidP="00C559D9">
      <w:pPr>
        <w:pStyle w:val="TEKSTIIII"/>
      </w:pPr>
      <w:r w:rsidRPr="00445472">
        <w:t>DKU përcakton një standard të cilësisë mjedisore si përqendrimi i një ndotësi ose grupi ndotësish të veçantë në ujë, sediment ose biota, të cilat nuk duhet të tejkalohen për të mbrojtur shëndetin e njeriut dhe mjedisin</w:t>
      </w:r>
      <w:r w:rsidRPr="00445472">
        <w:rPr>
          <w:rStyle w:val="FootnoteReference"/>
          <w:rFonts w:ascii="Garamond" w:hAnsi="Garamond"/>
          <w:color w:val="auto"/>
        </w:rPr>
        <w:footnoteReference w:id="97"/>
      </w:r>
      <w:r w:rsidRPr="00445472">
        <w:t xml:space="preserve">. Direktiva u rekomandon vendeve të vendosin SCM për </w:t>
      </w:r>
      <w:r w:rsidRPr="00445472">
        <w:rPr>
          <w:i/>
        </w:rPr>
        <w:t>ujin, sedimentin dhe biotë</w:t>
      </w:r>
      <w:r w:rsidRPr="00445472">
        <w:t>n të dedikuara për mbrojtjen e jetës ujore edhe pse DKU nuk kërkon që vendet të monitorojnë ndotjen në sedimentet e trupave ujorë</w:t>
      </w:r>
      <w:r w:rsidRPr="00445472">
        <w:rPr>
          <w:rStyle w:val="FootnoteReference"/>
          <w:rFonts w:ascii="Garamond" w:hAnsi="Garamond"/>
          <w:color w:val="auto"/>
        </w:rPr>
        <w:footnoteReference w:id="98"/>
      </w:r>
      <w:r w:rsidRPr="00445472">
        <w:t>.</w:t>
      </w:r>
    </w:p>
    <w:p w14:paraId="771B3DCE" w14:textId="77777777" w:rsidR="00C559D9" w:rsidRPr="00445472" w:rsidRDefault="00C559D9" w:rsidP="00C559D9">
      <w:pPr>
        <w:pStyle w:val="TEKSTIIII"/>
      </w:pPr>
      <w:r w:rsidRPr="00445472">
        <w:t>SCM-të janë specifikisht të kërkuara për ndotësit kryesorë të përfshirë në listën indikative të paraqitur në Shtojcën VIII të DKU-së</w:t>
      </w:r>
      <w:r w:rsidRPr="00445472">
        <w:rPr>
          <w:rStyle w:val="FootnoteReference"/>
          <w:rFonts w:ascii="Garamond" w:hAnsi="Garamond"/>
          <w:color w:val="auto"/>
        </w:rPr>
        <w:footnoteReference w:id="99"/>
      </w:r>
      <w:r w:rsidRPr="00445472">
        <w:t>,që përfshin organohalogjenet dhe substancat të cilat mund të formojnë përbërës të tillë në mjedisin ujor, komponimet organofosfore dhe organotine, substancat dhe preparatet, ose produktet e shpërbërjes së të cilëve kanë provuar të kenë veti kancerogjene ose mutagjene ose veti të cilat mund të ndikojnë në sintezën e steroideve, gjendën tiroide, riprodhimin ose funksione të tjera të lidhura me sistemin endokrin në ose nëpërmjet mjedisit ujor, hidrokarburet ciklike dhe substancat toksike organike ciklike dhe me veti bioakumuluese, cianidet, metalet e rëndë dhe përbërjet e tyre, arseniku dhe përbërjet e tij, dhe biocidet dhe produktet e mbrojtjes së bimëve</w:t>
      </w:r>
      <w:r w:rsidRPr="00445472">
        <w:rPr>
          <w:rStyle w:val="FootnoteReference"/>
          <w:rFonts w:ascii="Garamond" w:hAnsi="Garamond"/>
          <w:color w:val="auto"/>
        </w:rPr>
        <w:footnoteReference w:id="100"/>
      </w:r>
      <w:r w:rsidRPr="00445472">
        <w:t>.</w:t>
      </w:r>
    </w:p>
    <w:p w14:paraId="6B1F1107" w14:textId="342259C9" w:rsidR="00C559D9" w:rsidRPr="00445472" w:rsidRDefault="00F809A6" w:rsidP="00F809A6">
      <w:pPr>
        <w:pStyle w:val="NENTITULL"/>
      </w:pPr>
      <w:bookmarkStart w:id="107" w:name="_Toc11068790"/>
      <w:r w:rsidRPr="00445472">
        <w:t xml:space="preserve">6.2.7 </w:t>
      </w:r>
      <w:r w:rsidR="00C559D9" w:rsidRPr="00445472">
        <w:t>Ujërat ndërkufitar</w:t>
      </w:r>
      <w:bookmarkEnd w:id="107"/>
      <w:r w:rsidR="00445472">
        <w:t>e</w:t>
      </w:r>
      <w:r w:rsidR="00C559D9" w:rsidRPr="00445472">
        <w:t xml:space="preserve"> </w:t>
      </w:r>
    </w:p>
    <w:p w14:paraId="21DD29DD" w14:textId="33AFED79" w:rsidR="00C559D9" w:rsidRPr="00445472" w:rsidRDefault="00C559D9" w:rsidP="00C559D9">
      <w:pPr>
        <w:pStyle w:val="TEKSTIIII"/>
      </w:pPr>
      <w:r w:rsidRPr="00445472">
        <w:t xml:space="preserve">Për basenin ujor </w:t>
      </w:r>
      <w:r w:rsidR="007E76E3" w:rsidRPr="00445472">
        <w:t>Drin–Bunë</w:t>
      </w:r>
      <w:r w:rsidRPr="00445472">
        <w:t xml:space="preserve"> ku përdorimi i ujit mund të ketë efekte ndërkufitare, kërkesat për arritjen e objektivave mjedisorë të vendosura nga DKU-ja e  BE-së, dhe në veçanti të gjitha programet e masave, duhet të koordinohen për gjithë basenin ujor. DKU-ja e  BE-së kontribuon në zbatimin e detyrimeve të Komunitetit sipas konventave ndërkombëtare për mbrojtjen dhe menaxhimin e ujërave, veçanërisht Konventën e Ujërave të UNECE.</w:t>
      </w:r>
    </w:p>
    <w:p w14:paraId="3C9BC18D" w14:textId="77777777" w:rsidR="00C559D9" w:rsidRPr="00445472" w:rsidRDefault="00C559D9" w:rsidP="00C559D9">
      <w:pPr>
        <w:pStyle w:val="TEKSTIIII"/>
      </w:pPr>
      <w:r w:rsidRPr="00445472">
        <w:t>Është e domosdoshme që marrëveshjet e duhura institucionale në nivel ndërkombëtar, kombëtar dhe lokal janë një parakusht për monitorimin dhe vlerësimin e ujërave ndërkufitare, për të siguruar bashkëpunimin ndërmjet entiteteve të ndryshme qeveritare, sektorit privat dhe të tjerëve. Në kryerjen e këtyre marrëveshjeve, është e rëndësishme të theksohet se përgjegjësia për monitorimin dhe vlerësimin e ujërave nëntokësorë në lidhje me cilësinë dhe sasinë e ujit mund të qëndrojë me institucionet studimore gjeologjike në vend të agjencive mjedisore ose ujore. Bashkëpunimi ndërmjet autoriteteve të ujit, mjedisit dhe shëndetit nevojitet për të siguruar mbledhjen dhe përdorimin e të dhënave në lidhje me shëndetin dhe sigurinë e njeriut.</w:t>
      </w:r>
    </w:p>
    <w:p w14:paraId="3E5D15E4" w14:textId="77777777" w:rsidR="00C559D9" w:rsidRPr="00445472" w:rsidRDefault="00C559D9" w:rsidP="00C559D9">
      <w:pPr>
        <w:pStyle w:val="TEKSTIIII"/>
      </w:pPr>
      <w:r w:rsidRPr="00445472">
        <w:t>Shërbimet hidrometeorologjike luajnë një rol thelbësor në monitorimin ndërkufitar të ujërave duke siguruar të dhëna të sasisë së ujit dhe informacione të paralajmërimit të hershëm për ngjarje ekstreme hidrologjike. Institucionet të cilët veprojnë në sistemet e reagimit ndaj emergjencave që përfshijnë strukturat e rregullimit të ujit dhe impiantet industriale janë partnerë të rëndësishëm në sigurimin e të dhënave për të zbutur ndikimet negative të dështimeve të instalimeve të tilla në ujërat ndërkufitare. Ndërmarrjet industriale që monitorojnë nxjerrjen e ujit të tyre dhe shkarkimet e ujërave të zeza sigurojnë të dhëna për qëllime të pajtueshmërisë. Vlerësimi i rrjedhave ujore gjithashtu kërkon të dhëna socio-ekonomike, duke përfshirë popullsinë dhe statistikat ekonomike, të cilat grumbullohen nga zyrat statistikore.</w:t>
      </w:r>
    </w:p>
    <w:p w14:paraId="141D933D" w14:textId="5E0BEA04" w:rsidR="00C559D9" w:rsidRPr="00445472" w:rsidRDefault="00C559D9" w:rsidP="00C559D9">
      <w:pPr>
        <w:pStyle w:val="TEKSTIIII"/>
      </w:pPr>
      <w:r w:rsidRPr="00445472">
        <w:t>Është veçanërisht e rëndësishme për monitorimin e ujërave ndërkufitare të ngrihet një sistem i cilësisë, pasi është thelbësor për sigurimin e besueshmërisë së informacionit të marrë nga monitorimi. Sistemi i cilësisë duhet të organizohet rreth të gjith</w:t>
      </w:r>
      <w:r w:rsidR="00E929FD">
        <w:t>a</w:t>
      </w:r>
      <w:r w:rsidRPr="00445472">
        <w:t xml:space="preserve"> element</w:t>
      </w:r>
      <w:r w:rsidR="00E929FD">
        <w:t>e</w:t>
      </w:r>
      <w:r w:rsidRPr="00445472">
        <w:t>ve të ciklit të monitorimit dhe vlerësimit, duke filluar me procedurat e dokumentimit për specifikimin e nevojave të informacionit dhe zhvillimin e një strategjie informacioni. Standardet, të krijuara nën kujdesin e Organizatës Ndërkombëtare për Standardizim (ISO), Komitetit Evropian për Standardizim (CEN) dhe organizata të tjera për grumbullimin, transportin dhe ruajtjen e mostrave dhe analizat laboratorike, janë bazë për sistemin e cilësisë. Duhet të krijohen edhe dokumente, protokolle për vlefshmërinë e të dhënave, ruajtjen dhe shkëmbimin</w:t>
      </w:r>
      <w:r w:rsidR="008F0A9F" w:rsidRPr="00445472">
        <w:t>, si dhe</w:t>
      </w:r>
      <w:r w:rsidRPr="00445472">
        <w:t xml:space="preserve"> të analizohen dhe raportohen ato. Vendet bregdetare duhet, aty ku është e përshtatshme, </w:t>
      </w:r>
      <w:r w:rsidR="00B139CF" w:rsidRPr="00445472">
        <w:t>t’u</w:t>
      </w:r>
      <w:r w:rsidRPr="00445472">
        <w:t xml:space="preserve"> caktojnë përgjegjësive të lidhura me sistemet e cilësisë në organet e tyre të përbashkëta. Duhet nxitur dhe promovuar bashkëpunimi ndërkufitar në nivel lokal, duke përfshirë kontaktet e drejtpërdrejta midis laboratorëve dhe institucioneve të përfshira. Duke qenë se shumë vendimmarrës nuk janë në dijeni të sistemeve të cilësisë së laboratorit, është thelbësore të theksohet se trendi në të gjithë komunitetin analitik dhe më gjerë është të forcojë sigurimin e cilësisë laboratorike në një qasje hap pas hapi: nga masat e kontrollit të brendshëm të thjeshtë të cilësisë në akreditimin e laboratorit, dhe në fund të standardeve ndërkombëtare si ISO</w:t>
      </w:r>
      <w:r w:rsidR="001D340B" w:rsidRPr="00445472">
        <w:t>/</w:t>
      </w:r>
      <w:r w:rsidRPr="00445472">
        <w:t>IEC 17025 që mbulon kërkesat e përgjithshme për kompetencat e kalibrimit dhe testimit të laboratorëve.</w:t>
      </w:r>
    </w:p>
    <w:p w14:paraId="4DA6429B" w14:textId="1194EF36" w:rsidR="00C559D9" w:rsidRPr="00445472" w:rsidRDefault="00C559D9" w:rsidP="00C559D9">
      <w:pPr>
        <w:pStyle w:val="TEKSTIIII"/>
      </w:pPr>
      <w:r w:rsidRPr="00445472">
        <w:t xml:space="preserve">Sipas dispozitave të DKU-së dhe Konventës së Aarhusit, vendet bregdetare duhet </w:t>
      </w:r>
      <w:r w:rsidR="001F68B2" w:rsidRPr="00445472">
        <w:t>t’i</w:t>
      </w:r>
      <w:r w:rsidRPr="00445472">
        <w:t xml:space="preserve"> japin njëri-tjetrit  mundësi për shkëmbimin e informacioneve që lidhen me cilësinë dhe sasinë e ujërave sipërfaqësorë dhe të ujërave nëntokësorë. Marrëveshjet për shkëmbimin e informacionit midis vendeve bregdetare duhet të vendosen nga rregullat e miratuara bashkërisht nga këto vende. Marrëveshjet duhet të specifikojnë formatin dhe shpeshtësinë e raportimit. Informacioni duhet të shkëmbehet pa pagesë. Gjithashtu, aranzhimet për dhënien e informacionit për publikun duhet të miratohen bashkërisht dhe duhet të përfshijnë ngritjen dhe mirëmbajtjen e një </w:t>
      </w:r>
      <w:r w:rsidRPr="00445472">
        <w:rPr>
          <w:i/>
        </w:rPr>
        <w:t>website</w:t>
      </w:r>
      <w:r w:rsidRPr="00445472">
        <w:t xml:space="preserve"> të përbashkët.</w:t>
      </w:r>
    </w:p>
    <w:p w14:paraId="7E561E07" w14:textId="6C37D767" w:rsidR="00C559D9" w:rsidRPr="00445472" w:rsidRDefault="00C559D9" w:rsidP="00C559D9">
      <w:pPr>
        <w:pStyle w:val="TEKSTIIII"/>
      </w:pPr>
      <w:r w:rsidRPr="00445472">
        <w:t>Kostot e monitorimit duhet të vlerësohen para fillimit të programeve të monitorimit, ose kur planifikohen ndryshime të mëdha. Nëse nevojat për informacion janë të përcaktuara mirë, vlerësimi mund të jetë mjaft i detajuar. Kostot e monitorimit mund të ndahen në komponentët e mëposhtëm: - Administrimi i rrjetit, duke përfshirë hartimin dhe rishikimin; - Kostot kapitale të pajisjeve të monitorimit dhe marrjes së mostrave, ndërtimi i puseve të vëzhgimit ose vendeve të kampionimit të ujërave sipërfaqësor</w:t>
      </w:r>
      <w:r w:rsidR="00272A3A" w:rsidRPr="00445472">
        <w:t>e</w:t>
      </w:r>
      <w:r w:rsidRPr="00445472">
        <w:t xml:space="preserve"> dhe stacioneve matëse, transportit, përpunimit të të dhënave dhe harduerët; - Puna dhe shpenzimet e tjera operative të përfshira në mbledhjen e mostrave dhe analizën në terren; - Kostoja e punës dhe kostove të tjera operacionale të përfshira në analiza laboratorike; - Punën dhe kostot përkatëse të harduerëve dhe softuerëve që përfshihen në ruajtjen dhe përpunimin e të dhënave; - Interpretimi dhe raportimi i të dhënave; prodhimin e rezultateve, duke përfshirë sistemet e informacionit gjeografik (GIS) ose softuerin e prezantimit dhe kostot e printimit të raporteve.</w:t>
      </w:r>
    </w:p>
    <w:p w14:paraId="48CAFE0F" w14:textId="568FF252" w:rsidR="00C559D9" w:rsidRPr="00445472" w:rsidRDefault="00C559D9" w:rsidP="00C559D9">
      <w:pPr>
        <w:pStyle w:val="TEKSTIIII"/>
      </w:pPr>
      <w:r w:rsidRPr="00445472">
        <w:t xml:space="preserve">DKU-ja kërkon që vendet </w:t>
      </w:r>
      <w:r w:rsidR="001F68B2" w:rsidRPr="00445472">
        <w:t>t’i</w:t>
      </w:r>
      <w:r w:rsidRPr="00445472">
        <w:t xml:space="preserve"> bëjnë rezultatet e monitorimit të element</w:t>
      </w:r>
      <w:r w:rsidR="00814581">
        <w:t>e</w:t>
      </w:r>
      <w:r w:rsidRPr="00445472">
        <w:t>ve biologjik</w:t>
      </w:r>
      <w:r w:rsidR="00E929FD">
        <w:t>e</w:t>
      </w:r>
      <w:r w:rsidRPr="00445472">
        <w:t xml:space="preserve"> të krahasuesh</w:t>
      </w:r>
      <w:r w:rsidR="00E929FD">
        <w:t>me</w:t>
      </w:r>
      <w:r w:rsidRPr="00445472">
        <w:t xml:space="preserve"> mes baseneve ujore (dhe midis vendeve) duke i shprehur ato në Raportin e Cilësisë Ekologjike (RCE). RCE përfaqëson marrëdhënien midis vlerave të parametrave biologjikë të vëzhguar për një trup të caktuar ujor sipërfaqësor dhe vlerave për këto parametra në kushtet e referencës të zbatueshme për atë trup. Raporti do të shprehet si një vlerë numerike midis zero dhe një, me status shumë të mirë ekologjik të përfaqësuar nga vlerat afër një-shit dhe </w:t>
      </w:r>
      <w:r w:rsidR="00272A3A" w:rsidRPr="00445472">
        <w:t>gjendjes</w:t>
      </w:r>
      <w:r w:rsidRPr="00445472">
        <w:t xml:space="preserve"> shumë të keqe ekologjike me vlera afër zeros, (Shih Shtojcën 3 për më shumë detaje). Shkalla e raportit të cilësisë ekologjike duhet të ndahet për secilën kategori të ujërave sipërfaqësorë në pesë klasa duke filluar nga statusi shumë i mirë deri në gjendjen shumë të keqe ekologjike duke caktuar një vlerë numerike për secilin nga kufijtë ndërmjet klasave. Vlera për kufirin mes klasave të statusit shumë të mirë dhe të mirë, dhe vlera për kufirin mes statusit të mirë dhe të mesëm duhet të përcaktohet përmes një shembulli interkalibrimi.</w:t>
      </w:r>
    </w:p>
    <w:p w14:paraId="2E8167AE" w14:textId="77777777" w:rsidR="00C559D9" w:rsidRPr="00445472" w:rsidRDefault="00C559D9" w:rsidP="00C559D9">
      <w:pPr>
        <w:pStyle w:val="TEKSTIIII"/>
      </w:pPr>
      <w:r w:rsidRPr="00445472">
        <w:t>Shteteve u kërkohet gjithashtu të fillojnë bashkëpunimin për monitorimin e përbashkët të ujërave ndërkufitare ose ushtrimin e interkalibrimit. Kjo e fundit konsiston kryesisht në:</w:t>
      </w:r>
    </w:p>
    <w:p w14:paraId="35735D12" w14:textId="161304D3" w:rsidR="00C559D9" w:rsidRPr="00445472" w:rsidRDefault="00F354CD" w:rsidP="00C559D9">
      <w:pPr>
        <w:pStyle w:val="TEKSTIIII"/>
      </w:pPr>
      <w:r>
        <w:t xml:space="preserve">- </w:t>
      </w:r>
      <w:r w:rsidR="00C559D9" w:rsidRPr="00445472">
        <w:rPr>
          <w:i/>
        </w:rPr>
        <w:t>Identifikimin e të paktën dy sta</w:t>
      </w:r>
      <w:r w:rsidR="00814581">
        <w:rPr>
          <w:i/>
        </w:rPr>
        <w:t>cioneve monitoruese për elementet biologjike</w:t>
      </w:r>
      <w:r w:rsidR="00C559D9" w:rsidRPr="00445472">
        <w:rPr>
          <w:i/>
        </w:rPr>
        <w:t xml:space="preserve"> </w:t>
      </w:r>
      <w:r w:rsidR="00C559D9" w:rsidRPr="00445472">
        <w:t xml:space="preserve">në afërsi të kufirit. Vendet mund të zgjidhen në bazë të gjykimit të ekspertit bazuar në inspektimet e përbashkëta dhe të gjitha informacionet e tjera në dispozicion. Është deklaruar se të paktën dy vende që korrespondojnë me kufirin mes statusit të mirë dhe shumë të mire dhe dy vende që korrespondojnë me kufirin midis statusit të mirë dhe të moderuar duhet </w:t>
      </w:r>
      <w:r w:rsidR="00272A3A" w:rsidRPr="00445472">
        <w:t>të zgjidhen për një rrjet inter</w:t>
      </w:r>
      <w:r w:rsidR="00C559D9" w:rsidRPr="00445472">
        <w:t>kalibirmi për secilin lloj të trupit ujor brenda secilit ekorajon. Për shkak të ndryshueshmërisë natyrore midis llojeve të njëjta të trupave ujorë, numri i vendeve mund të jetë shumë më i madh për të qenë në gjendje të përcaktojë kufijtë mes grupeve të statusit dhe ndryshueshmërisë së këtij kufiri.</w:t>
      </w:r>
    </w:p>
    <w:p w14:paraId="25C653BB" w14:textId="72ACD7A9" w:rsidR="00C559D9" w:rsidRPr="00445472" w:rsidRDefault="00F354CD" w:rsidP="00C559D9">
      <w:pPr>
        <w:pStyle w:val="TEKSTIIII"/>
      </w:pPr>
      <w:r>
        <w:t xml:space="preserve">- </w:t>
      </w:r>
      <w:r w:rsidR="00C559D9" w:rsidRPr="00445472">
        <w:rPr>
          <w:i/>
        </w:rPr>
        <w:t xml:space="preserve">Marrjen e masave në të njëjtën kohë: </w:t>
      </w:r>
      <w:r w:rsidR="00C559D9" w:rsidRPr="00445472">
        <w:t xml:space="preserve">Shtetet anëtare që ndajnë të njëjtin trup ujor natyror janë të detyruar të ndërmarrin matje në të njëjtën kohë në vendet e identifikuara në mënyrë që të lejojnë një krahasim të vërtetë të vlerësimit të statusit </w:t>
      </w:r>
      <w:r w:rsidR="00D62EDF" w:rsidRPr="00445472">
        <w:t>“</w:t>
      </w:r>
      <w:r w:rsidR="00C559D9" w:rsidRPr="00445472">
        <w:t>të mirë</w:t>
      </w:r>
      <w:r w:rsidR="00D62EDF" w:rsidRPr="00445472">
        <w:t>”</w:t>
      </w:r>
      <w:r w:rsidR="00C559D9" w:rsidRPr="00445472">
        <w:t>;</w:t>
      </w:r>
    </w:p>
    <w:p w14:paraId="4486FEC1" w14:textId="6BDA5365" w:rsidR="00C559D9" w:rsidRPr="00445472" w:rsidRDefault="00F354CD" w:rsidP="00C559D9">
      <w:pPr>
        <w:pStyle w:val="TEKSTIIII"/>
      </w:pPr>
      <w:r>
        <w:t xml:space="preserve">- </w:t>
      </w:r>
      <w:r w:rsidR="00C559D9" w:rsidRPr="00445472">
        <w:rPr>
          <w:i/>
        </w:rPr>
        <w:t xml:space="preserve">Aplikimin e sistemit të monitorimit dhe vlerësimit të një Shteti Anëtar </w:t>
      </w:r>
      <w:r w:rsidR="00C559D9" w:rsidRPr="00445472">
        <w:t>në vendet e përshtatshme të identifikuara dhe në trupat ujorë në një ose më shumë Shtete të tjera Anëtare.</w:t>
      </w:r>
    </w:p>
    <w:p w14:paraId="09E81971" w14:textId="77777777" w:rsidR="00C559D9" w:rsidRPr="00445472" w:rsidRDefault="00C559D9" w:rsidP="00C559D9">
      <w:pPr>
        <w:pStyle w:val="TEKSTIIII"/>
      </w:pPr>
      <w:r w:rsidRPr="00445472">
        <w:t>Ushtrimi i interkalibrimit synon të jetë një ushtrim i njëhershëm, edhe pse sipas parimeve të BE-së, të gjitha vendet duhet ta përsërisin atë. Një ushtrim interkalibrimi do të kërkohet edhe pasi vendet e pranuara të anëtarësohen në BE</w:t>
      </w:r>
      <w:r w:rsidRPr="00445472">
        <w:rPr>
          <w:rStyle w:val="FootnoteReference"/>
          <w:rFonts w:ascii="Garamond" w:hAnsi="Garamond"/>
          <w:iCs/>
          <w:color w:val="auto"/>
        </w:rPr>
        <w:footnoteReference w:id="101"/>
      </w:r>
      <w:r w:rsidRPr="00445472">
        <w:rPr>
          <w:iCs/>
        </w:rPr>
        <w:t xml:space="preserve">. </w:t>
      </w:r>
      <w:r w:rsidRPr="00445472">
        <w:t xml:space="preserve">Komisioni është zotuar të luajë rolin e lehtësuesit në ushtrimin e interkalibrimit. </w:t>
      </w:r>
    </w:p>
    <w:p w14:paraId="2824CA09" w14:textId="6E8EF715" w:rsidR="00C559D9" w:rsidRPr="00445472" w:rsidRDefault="00C559D9" w:rsidP="00C559D9">
      <w:pPr>
        <w:pStyle w:val="TEKSTIIII"/>
      </w:pPr>
      <w:r w:rsidRPr="00445472">
        <w:t xml:space="preserve">Hartimi i një programi ndërkufitar monitorimit për basenin ujor </w:t>
      </w:r>
      <w:r w:rsidR="007E76E3" w:rsidRPr="00445472">
        <w:t>Drin–Bunë</w:t>
      </w:r>
      <w:r w:rsidRPr="00445472">
        <w:t xml:space="preserve"> midis Shqipërisë, Maqedonisë së Veriut, Malit të Zi, Kosovës dhe Greqisë nuk do të jetë i mundur deri sa të adresohen kushtet e mëposhtme të përmendura më lart, që do të thotë: aranzhimet e përshtatshme institucionale në nivel ndërkombëtar, kombëtar dhe lokal, roli dhe funksioni i qartë i shërbimeve hidrometrologjike, hartimi dhe zbatimi i një sistemi të cilësisë (marrja e mostrave, analiza laboratorike dhe menaxhimi i të dhënave), përcaktimi i kostove për kryerjen e monitorimit në përputhje me DKU-në dhe pajtueshmërinë zyrtare të shkëmbimit të të dhënave siç kërkohet nga ligji ndërkombëtar. Derisa të plotësohen këto kushte, përcaktimi i stacioneve kombëtare të monitorimit nuk është i qartë, në drejtim të përcaktimit të cilësisë së ujërave ndërkufitarë. Seksioni 14 jep rekomandime të qarta për Qeverinë e Shqipërisë në mënyrë që të përgatisë monitorimin ndërkufitar të basenit ujor </w:t>
      </w:r>
      <w:r w:rsidR="007E76E3" w:rsidRPr="00445472">
        <w:t>Drin–Bunë</w:t>
      </w:r>
      <w:r w:rsidRPr="00445472">
        <w:t>.</w:t>
      </w:r>
    </w:p>
    <w:p w14:paraId="6CD07BDC" w14:textId="7787FA62" w:rsidR="00C559D9" w:rsidRPr="00445472" w:rsidRDefault="00F809A6" w:rsidP="00F809A6">
      <w:pPr>
        <w:pStyle w:val="NENTITULL"/>
      </w:pPr>
      <w:bookmarkStart w:id="108" w:name="_Toc11068791"/>
      <w:r w:rsidRPr="00445472">
        <w:t xml:space="preserve">6.2.8 </w:t>
      </w:r>
      <w:r w:rsidR="00C559D9" w:rsidRPr="00445472">
        <w:t>Kushtet e referencës për trupat ujorë sipërfaqësorë</w:t>
      </w:r>
      <w:bookmarkEnd w:id="108"/>
    </w:p>
    <w:p w14:paraId="152CAB53" w14:textId="77777777" w:rsidR="00C559D9" w:rsidRPr="00445472" w:rsidRDefault="00C559D9" w:rsidP="00C559D9">
      <w:pPr>
        <w:pStyle w:val="TEKSTIIII"/>
      </w:pPr>
      <w:r w:rsidRPr="00445472">
        <w:t>Vendeve Anëtare</w:t>
      </w:r>
      <w:r w:rsidRPr="00445472">
        <w:rPr>
          <w:rStyle w:val="FootnoteReference"/>
          <w:rFonts w:ascii="Garamond" w:hAnsi="Garamond"/>
          <w:color w:val="auto"/>
        </w:rPr>
        <w:footnoteReference w:id="102"/>
      </w:r>
      <w:r w:rsidRPr="00445472">
        <w:t xml:space="preserve"> u kërkohet të krijojnë kushtet e referencës bazuar në trupat ekzistuese të ujit të gjendjes shumë të mirë kur ata ekzistojnë ende</w:t>
      </w:r>
      <w:r w:rsidRPr="00445472">
        <w:rPr>
          <w:rStyle w:val="FootnoteReference"/>
          <w:rFonts w:ascii="Garamond" w:hAnsi="Garamond"/>
          <w:color w:val="auto"/>
        </w:rPr>
        <w:footnoteReference w:id="103"/>
      </w:r>
      <w:r w:rsidRPr="00445472">
        <w:t>. Në këtë rast monitorimi do të kërkohet për të përcaktuar vlerat e elementeve të cilësisë biologjike, kushtet specifike hidromorfologjike dhe fiziko-kimike për çdo lloj trupi ujor me status shumë të mirë ekologjik. Kushtet specifike hidromorfologjike, fiziko-kimike dhe biologjike sipas tipit specifik mund të rrjedhin nga metodat e bazuara në bazë hapësinore ose të modelimit, një kombinim i të dyjave ose në bazë të gjykimit të ekspertit.</w:t>
      </w:r>
      <w:r w:rsidRPr="00445472">
        <w:rPr>
          <w:rStyle w:val="FootnoteReference"/>
          <w:rFonts w:ascii="Garamond" w:hAnsi="Garamond"/>
          <w:color w:val="auto"/>
        </w:rPr>
        <w:footnoteReference w:id="104"/>
      </w:r>
      <w:r w:rsidRPr="00445472">
        <w:t xml:space="preserve">. </w:t>
      </w:r>
    </w:p>
    <w:p w14:paraId="6DB54121" w14:textId="77777777" w:rsidR="00C559D9" w:rsidRPr="00445472" w:rsidRDefault="00C559D9" w:rsidP="00C559D9">
      <w:pPr>
        <w:pStyle w:val="TEKSTIIII"/>
      </w:pPr>
      <w:r w:rsidRPr="00445472">
        <w:t>Sa herë që ndryshueshmëria e trupit ujor është shumë e mirë, ai trup ujor mund të përjashtohet nga vlerësimi i statusit ekologjik. Në rastin e trupave ujorë sipërfaqësorë tepër të modifikuar ose artificialë, referencat për statusin shumë të mirë ekologjik interpretohen si referenca ndaj potencialit maksimal ekologjik. Vlerat për potencialin maksimal ekologjik për trupin ujor duhet të rishikohen çdo gjashtë vjet</w:t>
      </w:r>
      <w:r w:rsidRPr="00445472">
        <w:rPr>
          <w:rStyle w:val="FootnoteReference"/>
          <w:rFonts w:ascii="Garamond" w:hAnsi="Garamond"/>
          <w:color w:val="auto"/>
        </w:rPr>
        <w:footnoteReference w:id="105"/>
      </w:r>
      <w:r w:rsidRPr="00445472">
        <w:t>. Përveç kësaj, stacionet e referencës, për të cilat ka seri kohore të gjata të të dhënave, të cilat tregojnë status të qëndrueshëm në kushtet aktuale, mund të mos kenë nevojë për frekuencë të lartë të marrjes së mostrave.</w:t>
      </w:r>
    </w:p>
    <w:p w14:paraId="5D906EBF" w14:textId="369D7B83" w:rsidR="00C559D9" w:rsidRPr="00445472" w:rsidRDefault="00F809A6" w:rsidP="00F809A6">
      <w:pPr>
        <w:pStyle w:val="NENTITULL"/>
      </w:pPr>
      <w:bookmarkStart w:id="109" w:name="_Toc11068792"/>
      <w:r w:rsidRPr="00445472">
        <w:t xml:space="preserve">6.2.9 </w:t>
      </w:r>
      <w:r w:rsidR="00C559D9" w:rsidRPr="00445472">
        <w:t>Monitorimi i standardeve/metodave</w:t>
      </w:r>
      <w:bookmarkEnd w:id="109"/>
    </w:p>
    <w:p w14:paraId="08F574A0" w14:textId="0D4976F5" w:rsidR="00C559D9" w:rsidRPr="00445472" w:rsidRDefault="00C559D9" w:rsidP="00C559D9">
      <w:pPr>
        <w:pStyle w:val="TEKSTIIII"/>
      </w:pPr>
      <w:r w:rsidRPr="00445472">
        <w:t xml:space="preserve">Metodat e </w:t>
      </w:r>
      <w:r w:rsidR="00272A3A" w:rsidRPr="00445472">
        <w:t>standardizuara</w:t>
      </w:r>
      <w:r w:rsidRPr="00445472">
        <w:t xml:space="preserve"> për teknikat e marrjes së mostrave, përgatitja e mostrës dhe analiza janë thelbësore për të bërë të dhëna të krahasueshme shkencërisht</w:t>
      </w:r>
      <w:r w:rsidRPr="00445472">
        <w:rPr>
          <w:rStyle w:val="FootnoteReference"/>
          <w:rFonts w:ascii="Garamond" w:hAnsi="Garamond" w:cs="Arial"/>
          <w:color w:val="auto"/>
        </w:rPr>
        <w:footnoteReference w:id="106"/>
      </w:r>
      <w:r w:rsidRPr="00445472">
        <w:rPr>
          <w:rFonts w:cs="Arial"/>
        </w:rPr>
        <w:t>.</w:t>
      </w:r>
      <w:r w:rsidRPr="00445472">
        <w:t xml:space="preserve"> Për këtë arsye, DKU kërkon që shtetet të monitorojnë ujërat sipërfaqësor</w:t>
      </w:r>
      <w:r w:rsidR="00445472">
        <w:t>e</w:t>
      </w:r>
      <w:r w:rsidRPr="00445472">
        <w:t xml:space="preserve"> në mënyrë preferenciale në bazë të metodave të standardizuara siç janë standardet ISO, EN ose kombëtare dhe rekomandon zhvillimin e standardeve të përshtatshme për ato aspekte të monitorimit për të cilat nuk ka standarde ose metoda të pranuara ndërkombëtarisht</w:t>
      </w:r>
      <w:r w:rsidRPr="00445472">
        <w:rPr>
          <w:rStyle w:val="FootnoteReference"/>
          <w:rFonts w:ascii="Garamond" w:hAnsi="Garamond" w:cs="Arial"/>
          <w:bCs/>
          <w:color w:val="auto"/>
        </w:rPr>
        <w:footnoteReference w:id="107"/>
      </w:r>
      <w:r w:rsidRPr="00445472">
        <w:t>.</w:t>
      </w:r>
    </w:p>
    <w:p w14:paraId="4B87CC6E" w14:textId="78C16185" w:rsidR="00C559D9" w:rsidRPr="00445472" w:rsidRDefault="00C559D9" w:rsidP="00C559D9">
      <w:pPr>
        <w:pStyle w:val="TEKSTIIII"/>
      </w:pPr>
      <w:bookmarkStart w:id="110" w:name="_Toc486503405"/>
      <w:bookmarkStart w:id="111" w:name="_Toc11068793"/>
      <w:r w:rsidRPr="00445472">
        <w:t xml:space="preserve">Programi i Monitorimit të Ujit Sipërfaqësor në përputhje me DKU-në për Basenin Ujor </w:t>
      </w:r>
      <w:bookmarkEnd w:id="110"/>
      <w:r w:rsidR="007E76E3" w:rsidRPr="00445472">
        <w:t>Drin–Bunë</w:t>
      </w:r>
      <w:bookmarkEnd w:id="111"/>
    </w:p>
    <w:p w14:paraId="33BA7B8B" w14:textId="52981872" w:rsidR="00C559D9" w:rsidRPr="00445472" w:rsidRDefault="00F809A6" w:rsidP="00F809A6">
      <w:pPr>
        <w:pStyle w:val="NENTITULL"/>
      </w:pPr>
      <w:bookmarkStart w:id="112" w:name="_Toc11068794"/>
      <w:r w:rsidRPr="00445472">
        <w:t xml:space="preserve">6.3.1 </w:t>
      </w:r>
      <w:r w:rsidR="00C559D9" w:rsidRPr="00445472">
        <w:t>Përmbledhje e programit të monitorimit</w:t>
      </w:r>
      <w:bookmarkEnd w:id="112"/>
    </w:p>
    <w:p w14:paraId="14224656" w14:textId="5B7CBFB3" w:rsidR="00C559D9" w:rsidRPr="00445472" w:rsidRDefault="00C559D9" w:rsidP="00C559D9">
      <w:pPr>
        <w:pStyle w:val="TEKSTIIII"/>
        <w:rPr>
          <w:shd w:val="clear" w:color="auto" w:fill="FFFFFF"/>
        </w:rPr>
      </w:pPr>
      <w:r w:rsidRPr="00445472">
        <w:t xml:space="preserve">Udhërrëfyesi i monitorimit është përgatitur për të mbështetur AMBU-në në rrugën drejt monitorimit të ujërave sipërfaqësorë të Basenit </w:t>
      </w:r>
      <w:r w:rsidR="007E76E3" w:rsidRPr="00445472">
        <w:t>Drin–Bunë</w:t>
      </w:r>
      <w:r w:rsidRPr="00445472">
        <w:t xml:space="preserve"> në përputhje me DKU-në</w:t>
      </w:r>
      <w:r w:rsidRPr="00445472">
        <w:rPr>
          <w:shd w:val="clear" w:color="auto" w:fill="FFFFFF"/>
        </w:rPr>
        <w:t xml:space="preserve">. Programi i monitorimit të Basenit Ujor </w:t>
      </w:r>
      <w:r w:rsidR="007E76E3" w:rsidRPr="00445472">
        <w:rPr>
          <w:shd w:val="clear" w:color="auto" w:fill="FFFFFF"/>
        </w:rPr>
        <w:t>Drin–Bunë</w:t>
      </w:r>
      <w:r w:rsidRPr="00445472">
        <w:rPr>
          <w:shd w:val="clear" w:color="auto" w:fill="FFFFFF"/>
        </w:rPr>
        <w:t xml:space="preserve"> është hartuar duke marrë parasysh sa vijon:</w:t>
      </w:r>
    </w:p>
    <w:p w14:paraId="01F1059F" w14:textId="31BE4433" w:rsidR="00C559D9" w:rsidRPr="00445472" w:rsidRDefault="00F809A6" w:rsidP="00C559D9">
      <w:pPr>
        <w:pStyle w:val="TEKSTIIII"/>
      </w:pPr>
      <w:r w:rsidRPr="00445472">
        <w:t>-</w:t>
      </w:r>
      <w:r w:rsidR="00F354CD">
        <w:t xml:space="preserve"> </w:t>
      </w:r>
      <w:r w:rsidR="00C559D9" w:rsidRPr="00445472">
        <w:t>Nevojën për të filluar monitorimin e Basenit Ujor si pjesë e zbatimit të PMBU, përveç Programit Kombëtar të Monitorimit të Ujërave të zbatuar nga AKM;</w:t>
      </w:r>
    </w:p>
    <w:p w14:paraId="167156F7" w14:textId="6B4B31C4" w:rsidR="00C559D9" w:rsidRPr="00445472" w:rsidRDefault="00F809A6" w:rsidP="00C559D9">
      <w:pPr>
        <w:pStyle w:val="TEKSTIIII"/>
      </w:pPr>
      <w:r w:rsidRPr="00445472">
        <w:t>-</w:t>
      </w:r>
      <w:r w:rsidR="00F354CD">
        <w:t xml:space="preserve"> </w:t>
      </w:r>
      <w:r w:rsidR="00C559D9" w:rsidRPr="00445472">
        <w:t>Nevojën për të pasur një sistem efikas që i plotëson kërkesat e DKU për të vendosur statusin e cilësisë së ujit sipërfaqësor, dhe;</w:t>
      </w:r>
    </w:p>
    <w:p w14:paraId="15221009" w14:textId="3EC112DB" w:rsidR="00C559D9" w:rsidRPr="00445472" w:rsidRDefault="00F809A6" w:rsidP="00C559D9">
      <w:pPr>
        <w:pStyle w:val="TEKSTIIII"/>
      </w:pPr>
      <w:r w:rsidRPr="00445472">
        <w:t>-</w:t>
      </w:r>
      <w:r w:rsidR="00F354CD">
        <w:t xml:space="preserve"> </w:t>
      </w:r>
      <w:r w:rsidR="00C559D9" w:rsidRPr="00445472">
        <w:t>Të kuptuarit se Programi do të zbatohet nën kufizimet e burimeve të kufizuara financiare, burimeve njerëzore dhe objekteve të marrjes dhe analizimit të mostrave</w:t>
      </w:r>
      <w:r w:rsidR="00C559D9" w:rsidRPr="00445472">
        <w:rPr>
          <w:shd w:val="clear" w:color="auto" w:fill="FFFFFF"/>
        </w:rPr>
        <w:t xml:space="preserve">. </w:t>
      </w:r>
    </w:p>
    <w:p w14:paraId="56CDECA1" w14:textId="78494B4B" w:rsidR="00C559D9" w:rsidRPr="00445472" w:rsidRDefault="00F809A6" w:rsidP="00F809A6">
      <w:pPr>
        <w:pStyle w:val="NENTITULL"/>
      </w:pPr>
      <w:bookmarkStart w:id="113" w:name="_Toc11068795"/>
      <w:r w:rsidRPr="00445472">
        <w:t xml:space="preserve">6.3.2 </w:t>
      </w:r>
      <w:r w:rsidR="00C559D9" w:rsidRPr="00445472">
        <w:t>Objektivat e programit monitorues</w:t>
      </w:r>
      <w:bookmarkEnd w:id="113"/>
    </w:p>
    <w:p w14:paraId="34FBC1A4" w14:textId="57BD1EB6" w:rsidR="00C559D9" w:rsidRPr="00445472" w:rsidRDefault="00C559D9" w:rsidP="00C559D9">
      <w:pPr>
        <w:pStyle w:val="TEKSTIIII"/>
      </w:pPr>
      <w:r w:rsidRPr="00445472">
        <w:t>Objektivat kryesor</w:t>
      </w:r>
      <w:r w:rsidR="00DA3731" w:rsidRPr="00445472">
        <w:t>ë</w:t>
      </w:r>
      <w:r w:rsidRPr="00445472">
        <w:t xml:space="preserve"> të programit monitorues të Basenit Ujor </w:t>
      </w:r>
      <w:r w:rsidR="007E76E3" w:rsidRPr="00445472">
        <w:t>Drin–Bunë</w:t>
      </w:r>
      <w:r w:rsidRPr="00445472">
        <w:t xml:space="preserve"> janë sa më poshtë:</w:t>
      </w:r>
    </w:p>
    <w:p w14:paraId="394092A9" w14:textId="3868524D" w:rsidR="00C559D9" w:rsidRPr="00445472" w:rsidRDefault="00F8706C" w:rsidP="00C559D9">
      <w:pPr>
        <w:pStyle w:val="TEKSTIIII"/>
      </w:pPr>
      <w:r>
        <w:t xml:space="preserve">- </w:t>
      </w:r>
      <w:r w:rsidR="00C559D9" w:rsidRPr="00445472">
        <w:t>Mbledhja e të dhënave fiziko-kimike, hidromorfologjike dhe biologjike për të përcaktuar statusin e cilësisë së ujit në mënyrë që të vlerësohet shkalla e mbështetjes së jetës ujore;</w:t>
      </w:r>
    </w:p>
    <w:p w14:paraId="7D472E50" w14:textId="152A2E1D" w:rsidR="00C559D9" w:rsidRPr="00445472" w:rsidRDefault="00F8706C" w:rsidP="00C559D9">
      <w:pPr>
        <w:pStyle w:val="TEKSTIIII"/>
      </w:pPr>
      <w:r>
        <w:t xml:space="preserve">- </w:t>
      </w:r>
      <w:r w:rsidR="00C559D9" w:rsidRPr="00445472">
        <w:t>Mbledhja e të dhënave fiziko-kimike, hidromorfologjike dhe biologjike për të mbështetur një analizë dhe zhvillimin e Programit të masave dhe zhvillimin e programit të monitorimit të ujit në vitet në vijim;</w:t>
      </w:r>
    </w:p>
    <w:p w14:paraId="2EC8B9DC" w14:textId="0E37D5B8" w:rsidR="00C559D9" w:rsidRPr="00445472" w:rsidRDefault="00F8706C" w:rsidP="00C559D9">
      <w:pPr>
        <w:pStyle w:val="TEKSTIIII"/>
      </w:pPr>
      <w:r>
        <w:t xml:space="preserve">- </w:t>
      </w:r>
      <w:r w:rsidR="00C559D9" w:rsidRPr="00445472">
        <w:t>Mbledhja e të dhënave fiziko-kimike, hidromorfologjike dhe biologjike në afat të gjatë për të përcaktuar tendencat në cilësinë e ujit që mund të mbështesin gjithashtu programet e masave dhe Programin e Monitorimit;</w:t>
      </w:r>
    </w:p>
    <w:p w14:paraId="658EFE11" w14:textId="0F0EBCC1" w:rsidR="00C559D9" w:rsidRPr="00445472" w:rsidRDefault="00F8706C" w:rsidP="00C559D9">
      <w:pPr>
        <w:pStyle w:val="TEKSTIIII"/>
      </w:pPr>
      <w:r>
        <w:t xml:space="preserve">- </w:t>
      </w:r>
      <w:r w:rsidR="00C559D9" w:rsidRPr="00445472">
        <w:t>Identifikimi i pikës së burimit dhe ndotjes së burimeve jopikësore (të shpërndara) për të mbështetur masat mbrojtëse;</w:t>
      </w:r>
    </w:p>
    <w:p w14:paraId="39B5C784" w14:textId="436BE179" w:rsidR="00C559D9" w:rsidRPr="00445472" w:rsidRDefault="00F8706C" w:rsidP="00C559D9">
      <w:pPr>
        <w:pStyle w:val="TEKSTIIII"/>
      </w:pPr>
      <w:r>
        <w:t xml:space="preserve">- </w:t>
      </w:r>
      <w:r w:rsidR="00C559D9" w:rsidRPr="00445472">
        <w:t>Matjen e efektivitetit të Programit të Masave për të përmirësuar cilësinë e ujit në gjashtë vitet e ardhshme.</w:t>
      </w:r>
    </w:p>
    <w:p w14:paraId="0DB3D7AA" w14:textId="7ACF21EC" w:rsidR="00C559D9" w:rsidRPr="00445472" w:rsidRDefault="00F809A6" w:rsidP="00F809A6">
      <w:pPr>
        <w:pStyle w:val="NENTITULL"/>
        <w:rPr>
          <w:shd w:val="clear" w:color="auto" w:fill="FFFFFF"/>
        </w:rPr>
      </w:pPr>
      <w:bookmarkStart w:id="114" w:name="_Toc11068796"/>
      <w:r w:rsidRPr="00445472">
        <w:rPr>
          <w:shd w:val="clear" w:color="auto" w:fill="FFFFFF"/>
        </w:rPr>
        <w:t xml:space="preserve">6.3.3 </w:t>
      </w:r>
      <w:r w:rsidR="00C559D9" w:rsidRPr="00445472">
        <w:rPr>
          <w:shd w:val="clear" w:color="auto" w:fill="FFFFFF"/>
        </w:rPr>
        <w:t xml:space="preserve">Hartimi i monitorimit </w:t>
      </w:r>
      <w:r w:rsidR="00272A3A" w:rsidRPr="00445472">
        <w:rPr>
          <w:shd w:val="clear" w:color="auto" w:fill="FFFFFF"/>
        </w:rPr>
        <w:t>mbikëqyrës</w:t>
      </w:r>
      <w:r w:rsidR="00C559D9" w:rsidRPr="00445472">
        <w:rPr>
          <w:shd w:val="clear" w:color="auto" w:fill="FFFFFF"/>
        </w:rPr>
        <w:t xml:space="preserve"> të ujërave</w:t>
      </w:r>
      <w:bookmarkEnd w:id="114"/>
    </w:p>
    <w:p w14:paraId="47655DE3" w14:textId="48DC631F" w:rsidR="00C559D9" w:rsidRPr="00445472" w:rsidRDefault="00C559D9" w:rsidP="00C559D9">
      <w:pPr>
        <w:pStyle w:val="TEKSTIIII"/>
        <w:rPr>
          <w:b/>
          <w:shd w:val="clear" w:color="auto" w:fill="FFFFFF"/>
        </w:rPr>
      </w:pPr>
      <w:r w:rsidRPr="00445472">
        <w:rPr>
          <w:shd w:val="clear" w:color="auto" w:fill="FFFFFF"/>
        </w:rPr>
        <w:t xml:space="preserve">Programi i monitorimit të Basenit Ujor </w:t>
      </w:r>
      <w:r w:rsidR="007E76E3" w:rsidRPr="00445472">
        <w:rPr>
          <w:shd w:val="clear" w:color="auto" w:fill="FFFFFF"/>
        </w:rPr>
        <w:t>Drin–Bunë</w:t>
      </w:r>
      <w:r w:rsidRPr="00445472">
        <w:rPr>
          <w:shd w:val="clear" w:color="auto" w:fill="FFFFFF"/>
        </w:rPr>
        <w:t xml:space="preserve"> është zhvilluar për një periudhë gjashtëvjeçare 2017-2023 dhe ka përfituar nga ekspertiza e projektit, mbështetja e AKM-së dhe AMBU-së dhe institucioneve të tjera përkatëse. Projekti gjithashtu ka përfituar nga njohuritë dhe ekspertiza e iniciativ</w:t>
      </w:r>
      <w:r w:rsidRPr="00445472">
        <w:t xml:space="preserve">ës rajonale të GIZ </w:t>
      </w:r>
      <w:r w:rsidRPr="00445472">
        <w:rPr>
          <w:shd w:val="clear" w:color="auto" w:fill="FFFFFF"/>
        </w:rPr>
        <w:t>e projektit KSMMSH</w:t>
      </w:r>
      <w:r w:rsidRPr="00445472">
        <w:rPr>
          <w:rStyle w:val="FootnoteReference"/>
          <w:rFonts w:ascii="Garamond" w:hAnsi="Garamond"/>
          <w:color w:val="auto"/>
          <w:shd w:val="clear" w:color="auto" w:fill="FFFFFF"/>
        </w:rPr>
        <w:footnoteReference w:id="108"/>
      </w:r>
      <w:r w:rsidRPr="00445472">
        <w:rPr>
          <w:shd w:val="clear" w:color="auto" w:fill="FFFFFF"/>
        </w:rPr>
        <w:t>.</w:t>
      </w:r>
    </w:p>
    <w:p w14:paraId="16CFB219" w14:textId="77777777" w:rsidR="00C559D9" w:rsidRPr="00445472" w:rsidRDefault="00C559D9" w:rsidP="00C559D9">
      <w:pPr>
        <w:pStyle w:val="TEKSTIIII"/>
        <w:rPr>
          <w:b/>
          <w:shd w:val="clear" w:color="auto" w:fill="FFFFFF"/>
        </w:rPr>
      </w:pPr>
      <w:r w:rsidRPr="00445472">
        <w:t>Këshillat e Baseneve Ujore do të zbatojnë këtë program monitorimi në bashkëpunim me Zyrat e Administrimit të Baseneve Ujore. Ligji për menaxhimin e burimeve ujore i jep Këshillave të Baseneve Ujore përgjegjësinë kryesore për zbatimin e Programeve të Monitorimit të Ujërave në përputhje me DKU-në</w:t>
      </w:r>
      <w:r w:rsidRPr="00445472">
        <w:rPr>
          <w:rStyle w:val="FootnoteReference"/>
          <w:rFonts w:ascii="Garamond" w:hAnsi="Garamond"/>
          <w:color w:val="auto"/>
        </w:rPr>
        <w:footnoteReference w:id="109"/>
      </w:r>
      <w:r w:rsidRPr="00445472">
        <w:rPr>
          <w:shd w:val="clear" w:color="auto" w:fill="FFFFFF"/>
        </w:rPr>
        <w:t>.</w:t>
      </w:r>
    </w:p>
    <w:p w14:paraId="38F01A63" w14:textId="26A97C43" w:rsidR="00C559D9" w:rsidRPr="00445472" w:rsidRDefault="00C559D9" w:rsidP="00C559D9">
      <w:pPr>
        <w:pStyle w:val="TEKSTIIII"/>
      </w:pPr>
      <w:r w:rsidRPr="00445472">
        <w:t xml:space="preserve">Hartimi i monitorimit </w:t>
      </w:r>
      <w:r w:rsidR="00272A3A" w:rsidRPr="00445472">
        <w:t>mbikëqyrës</w:t>
      </w:r>
      <w:r w:rsidRPr="00445472">
        <w:t xml:space="preserve"> brenda Basenit Ujor </w:t>
      </w:r>
      <w:r w:rsidR="007E76E3" w:rsidRPr="00445472">
        <w:t>Drin–Bunë</w:t>
      </w:r>
      <w:r w:rsidRPr="00445472">
        <w:t xml:space="preserve"> bazohet në Shtojcën V të DKU, 1.3.1. Rrjeti i monitorimit bazohet në rrjetet kombëtare të monitorimit dhe konsiderohet se do të ketë një harmonizim mes monitorimit në nivel kombëtar dhe basenit për të minimizuar përpjekjet dhe për të maksimizuar përfitimet.</w:t>
      </w:r>
    </w:p>
    <w:p w14:paraId="6E310F5E" w14:textId="39FB80BB" w:rsidR="00C559D9" w:rsidRPr="00445472" w:rsidRDefault="00C559D9" w:rsidP="00C559D9">
      <w:pPr>
        <w:pStyle w:val="TEKSTIIII"/>
        <w:rPr>
          <w:b/>
          <w:shd w:val="clear" w:color="auto" w:fill="FFFFFF"/>
        </w:rPr>
      </w:pPr>
      <w:r w:rsidRPr="00445472">
        <w:rPr>
          <w:lang w:eastAsia="en-GB"/>
        </w:rPr>
        <w:t xml:space="preserve">Nëse financat e lejojnë, hartimi i ardhshëm i monitorimit kërkon një rrjet të gjerë të monitorimit të ujit që mbulon të gjitha kullimet e ujit nga zonat nënujëmbledhëse të basenit ujor. Programi i monitorimit propozon një rrjet gjithëpërfshirës të monitorimit të ujërave për Basenin Ujor </w:t>
      </w:r>
      <w:r w:rsidR="007E76E3" w:rsidRPr="00445472">
        <w:rPr>
          <w:lang w:eastAsia="en-GB"/>
        </w:rPr>
        <w:t>Drin–Bunë</w:t>
      </w:r>
      <w:r w:rsidRPr="00445472">
        <w:rPr>
          <w:lang w:eastAsia="en-GB"/>
        </w:rPr>
        <w:t xml:space="preserve"> që përfshin 25 stacione monitorimi për lumenjtë dhe përrenjtë, 12 për liqenet dhe rezervuarët, 3 për lagunat bregdetare dhe 4 për ujërat kalimtare. Pikat e monitorimit mund të monitorohen në skenarin më të mirë financiar për qëllim të monitorimit </w:t>
      </w:r>
      <w:r w:rsidR="00272A3A" w:rsidRPr="00445472">
        <w:rPr>
          <w:lang w:eastAsia="en-GB"/>
        </w:rPr>
        <w:t>mbikëqyrës</w:t>
      </w:r>
      <w:r w:rsidRPr="00445472">
        <w:rPr>
          <w:lang w:eastAsia="en-GB"/>
        </w:rPr>
        <w:t>. Vendndodhjet e stacioneve të monitorimit të sipërfaqes janë paraqitur në figurën 6.1. Detajet rreth stacioneve të monitorimit janë dhënë në Shtojcën 2</w:t>
      </w:r>
      <w:r w:rsidRPr="00445472">
        <w:rPr>
          <w:shd w:val="clear" w:color="auto" w:fill="FFFFFF"/>
        </w:rPr>
        <w:t xml:space="preserve">. </w:t>
      </w:r>
    </w:p>
    <w:p w14:paraId="6B278D52" w14:textId="0CD45489" w:rsidR="00C559D9" w:rsidRPr="00445472" w:rsidRDefault="00C559D9" w:rsidP="00C559D9">
      <w:pPr>
        <w:pStyle w:val="TEKSTIIII"/>
        <w:rPr>
          <w:shd w:val="clear" w:color="auto" w:fill="FFFFFF"/>
        </w:rPr>
      </w:pPr>
      <w:r w:rsidRPr="00445472">
        <w:rPr>
          <w:shd w:val="clear" w:color="auto" w:fill="FFFFFF"/>
        </w:rPr>
        <w:t>Pikat e monitorimit ndahen sipas prioritete (</w:t>
      </w:r>
      <w:r w:rsidR="00700A32" w:rsidRPr="00445472">
        <w:rPr>
          <w:shd w:val="clear" w:color="auto" w:fill="FFFFFF"/>
        </w:rPr>
        <w:t xml:space="preserve">prioritet </w:t>
      </w:r>
      <w:r w:rsidRPr="00445472">
        <w:rPr>
          <w:shd w:val="clear" w:color="auto" w:fill="FFFFFF"/>
        </w:rPr>
        <w:t>1, 2 dhe 3) me qëllim që të lejojnë autoritetin e monitorimit të Basenit Ujor që të përqendrohet kryesisht në zonat ose pjesët e basenit ujor që kanë prioritet primar. Prioritizimi bazohet në kriteret e mëposhtme</w:t>
      </w:r>
      <w:r w:rsidRPr="00445472">
        <w:rPr>
          <w:rStyle w:val="FootnoteReference"/>
          <w:rFonts w:ascii="Garamond" w:hAnsi="Garamond"/>
          <w:color w:val="auto"/>
          <w:shd w:val="clear" w:color="auto" w:fill="FFFFFF"/>
        </w:rPr>
        <w:footnoteReference w:id="110"/>
      </w:r>
      <w:r w:rsidRPr="00445472">
        <w:rPr>
          <w:shd w:val="clear" w:color="auto" w:fill="FFFFFF"/>
        </w:rPr>
        <w:t>:</w:t>
      </w:r>
    </w:p>
    <w:p w14:paraId="67656C83" w14:textId="1CB5C2FD" w:rsidR="00C559D9" w:rsidRPr="00445472" w:rsidRDefault="00F8706C" w:rsidP="00C559D9">
      <w:pPr>
        <w:pStyle w:val="TEKSTIIII"/>
        <w:rPr>
          <w:shd w:val="clear" w:color="auto" w:fill="FFFFFF"/>
        </w:rPr>
      </w:pPr>
      <w:r>
        <w:t xml:space="preserve">- </w:t>
      </w:r>
      <w:r w:rsidR="00C559D9" w:rsidRPr="00445472">
        <w:rPr>
          <w:i/>
        </w:rPr>
        <w:t xml:space="preserve"> Prioritet i lartë</w:t>
      </w:r>
      <w:r w:rsidR="00C559D9" w:rsidRPr="00445472">
        <w:t xml:space="preserve">: Stacionet e </w:t>
      </w:r>
      <w:r w:rsidR="007B58B8" w:rsidRPr="00445472">
        <w:t>p</w:t>
      </w:r>
      <w:r w:rsidR="00C559D9" w:rsidRPr="00445472">
        <w:t>rioritetit 1, duhet të monitorohen për shkak se ato janë stacionet më të rëndësishme. Ato janë kryesisht të vendosura në rrjedhën e poshtme të qendrave të aktivitetit të lartë njerëzor. Shumica e këtyre stacioneve kanë disa vite të njëpasnjëshme të të dhënave. Propozimi i datës së fillimit të monitorimit është 2021;</w:t>
      </w:r>
    </w:p>
    <w:p w14:paraId="3900C2D2" w14:textId="04062A32" w:rsidR="00C559D9" w:rsidRPr="00445472" w:rsidRDefault="00F8706C" w:rsidP="00C559D9">
      <w:pPr>
        <w:pStyle w:val="TEKSTIIII"/>
        <w:rPr>
          <w:shd w:val="clear" w:color="auto" w:fill="FFFFFF"/>
        </w:rPr>
      </w:pPr>
      <w:r>
        <w:t xml:space="preserve">- </w:t>
      </w:r>
      <w:r w:rsidR="00C559D9" w:rsidRPr="00445472">
        <w:rPr>
          <w:i/>
        </w:rPr>
        <w:t xml:space="preserve"> Prioritet i Mesëm</w:t>
      </w:r>
      <w:r w:rsidR="00C559D9" w:rsidRPr="00445472">
        <w:t xml:space="preserve">: Stacionet e </w:t>
      </w:r>
      <w:r w:rsidR="00700A32" w:rsidRPr="00445472">
        <w:t xml:space="preserve">prioritetit </w:t>
      </w:r>
      <w:r w:rsidR="00C559D9" w:rsidRPr="00445472">
        <w:t>2, duhet të shtohen në rrjetin monitorues për të siguruar të dhëna të krahasueshme për të matur vlerësimin e ndikimit të ndotësve;</w:t>
      </w:r>
    </w:p>
    <w:p w14:paraId="6D3EB4F9" w14:textId="7B8D822C" w:rsidR="00C559D9" w:rsidRPr="00445472" w:rsidRDefault="00F8706C" w:rsidP="00C559D9">
      <w:pPr>
        <w:pStyle w:val="TEKSTIIII"/>
        <w:rPr>
          <w:shd w:val="clear" w:color="auto" w:fill="FFFFFF"/>
        </w:rPr>
      </w:pPr>
      <w:r>
        <w:t xml:space="preserve">- </w:t>
      </w:r>
      <w:r w:rsidR="00C559D9" w:rsidRPr="00445472">
        <w:rPr>
          <w:i/>
        </w:rPr>
        <w:t xml:space="preserve">Prioritet i ulët </w:t>
      </w:r>
      <w:r w:rsidR="00C559D9" w:rsidRPr="00445472">
        <w:t>(Kushtet Referencë): Stacionet e Prioritetit 3, janë të përfshira në rrjetin e monitorimit për të identifikuar statusin e përgjithshëm të cilësisë së trupave ujorë dhe përfshijnë ujërat relativisht të paprekura dhe në përputhje me kërkesat e DKU-së.</w:t>
      </w:r>
    </w:p>
    <w:p w14:paraId="19B1A7A0" w14:textId="77777777" w:rsidR="00C559D9" w:rsidRPr="00445472" w:rsidRDefault="00C559D9" w:rsidP="00C559D9">
      <w:pPr>
        <w:pStyle w:val="TEKSTIIII"/>
        <w:rPr>
          <w:shd w:val="clear" w:color="auto" w:fill="FFFFFF"/>
        </w:rPr>
      </w:pPr>
      <w:r w:rsidRPr="00445472">
        <w:rPr>
          <w:shd w:val="clear" w:color="auto" w:fill="FFFFFF"/>
        </w:rPr>
        <w:t xml:space="preserve">Tabela 6.3 më poshtë jep numrin e stacioneve të monitorimit në bazë të prioriteteve për secilin trup ujor sipërfaqësor. Pikat e mostrimit ilustrohen më tej në figurën 6.1. </w:t>
      </w:r>
    </w:p>
    <w:p w14:paraId="4F785FA5" w14:textId="3DA7066D" w:rsidR="00C559D9" w:rsidRPr="00445472" w:rsidRDefault="00C559D9" w:rsidP="00C559D9">
      <w:pPr>
        <w:pStyle w:val="TEKSTIIII"/>
        <w:rPr>
          <w:shd w:val="clear" w:color="auto" w:fill="FFFFFF"/>
        </w:rPr>
      </w:pPr>
      <w:r w:rsidRPr="00445472">
        <w:t xml:space="preserve">Kriteret për përzgjedhjen e pikave të monitorimit janë modifikuar për të plotësuar nevojat e Basenit Ujor </w:t>
      </w:r>
      <w:r w:rsidR="007E76E3" w:rsidRPr="00445472">
        <w:t>Drin–Bunë</w:t>
      </w:r>
      <w:r w:rsidRPr="00445472">
        <w:t>. për të qenë në gjendje të japin një vlerësim të gjendjes së përgjithshme të ujërave sipërfaqësore brenda Qarkut. Janë identifikuar disa kritere që bazohen kryesisht në nevojën për të mbrojtur shëndetin e njeriut dhe mjedisin. Më saktësisht, ata i referohen</w:t>
      </w:r>
      <w:r w:rsidRPr="00445472">
        <w:rPr>
          <w:shd w:val="clear" w:color="auto" w:fill="FFFFFF"/>
        </w:rPr>
        <w:t>:</w:t>
      </w:r>
    </w:p>
    <w:p w14:paraId="57FA1176" w14:textId="350BBD1F" w:rsidR="00C559D9" w:rsidRPr="00445472" w:rsidRDefault="00F809A6" w:rsidP="00C559D9">
      <w:pPr>
        <w:pStyle w:val="TEKSTIIII"/>
        <w:rPr>
          <w:shd w:val="clear" w:color="auto" w:fill="FFFFFF"/>
        </w:rPr>
      </w:pPr>
      <w:r w:rsidRPr="00445472">
        <w:rPr>
          <w:shd w:val="clear" w:color="auto" w:fill="FFFFFF"/>
        </w:rPr>
        <w:t>-</w:t>
      </w:r>
      <w:r w:rsidR="00700A32" w:rsidRPr="00445472">
        <w:rPr>
          <w:shd w:val="clear" w:color="auto" w:fill="FFFFFF"/>
        </w:rPr>
        <w:t xml:space="preserve"> </w:t>
      </w:r>
      <w:r w:rsidR="00C559D9" w:rsidRPr="00445472">
        <w:rPr>
          <w:shd w:val="clear" w:color="auto" w:fill="FFFFFF"/>
        </w:rPr>
        <w:t>Monitorimit në seksione ku uji sipërfaqësor ndërvepron me akuiferet</w:t>
      </w:r>
    </w:p>
    <w:p w14:paraId="2F7CB183" w14:textId="1E631299" w:rsidR="00C559D9" w:rsidRPr="00445472" w:rsidRDefault="00F809A6" w:rsidP="00C559D9">
      <w:pPr>
        <w:pStyle w:val="TEKSTIIII"/>
        <w:rPr>
          <w:shd w:val="clear" w:color="auto" w:fill="FFFFFF"/>
        </w:rPr>
      </w:pPr>
      <w:r w:rsidRPr="00445472">
        <w:rPr>
          <w:shd w:val="clear" w:color="auto" w:fill="FFFFFF"/>
        </w:rPr>
        <w:t>-</w:t>
      </w:r>
      <w:r w:rsidR="00700A32" w:rsidRPr="00445472">
        <w:rPr>
          <w:shd w:val="clear" w:color="auto" w:fill="FFFFFF"/>
        </w:rPr>
        <w:t xml:space="preserve"> </w:t>
      </w:r>
      <w:r w:rsidR="00C559D9" w:rsidRPr="00445472">
        <w:rPr>
          <w:shd w:val="clear" w:color="auto" w:fill="FFFFFF"/>
        </w:rPr>
        <w:t>Përcaktimin e ndikimit antropogjen në Basenin Ujor nëpërmjet monitorimit të synuar</w:t>
      </w:r>
    </w:p>
    <w:p w14:paraId="5DB2B9AB" w14:textId="59CD443C" w:rsidR="00C559D9" w:rsidRPr="00445472" w:rsidRDefault="00F809A6" w:rsidP="00C559D9">
      <w:pPr>
        <w:pStyle w:val="TEKSTIIII"/>
        <w:rPr>
          <w:shd w:val="clear" w:color="auto" w:fill="FFFFFF"/>
        </w:rPr>
      </w:pPr>
      <w:r w:rsidRPr="00445472">
        <w:rPr>
          <w:shd w:val="clear" w:color="auto" w:fill="FFFFFF"/>
        </w:rPr>
        <w:t>-</w:t>
      </w:r>
      <w:r w:rsidR="00700A32" w:rsidRPr="00445472">
        <w:rPr>
          <w:shd w:val="clear" w:color="auto" w:fill="FFFFFF"/>
        </w:rPr>
        <w:t xml:space="preserve"> </w:t>
      </w:r>
      <w:r w:rsidR="00C559D9" w:rsidRPr="00445472">
        <w:rPr>
          <w:shd w:val="clear" w:color="auto" w:fill="FFFFFF"/>
        </w:rPr>
        <w:t>Vendosjes së kushteve referencë</w:t>
      </w:r>
    </w:p>
    <w:p w14:paraId="2C89AF1D" w14:textId="32BF84AB" w:rsidR="00C559D9" w:rsidRPr="00445472" w:rsidRDefault="00F809A6" w:rsidP="00C559D9">
      <w:pPr>
        <w:pStyle w:val="TEKSTIIII"/>
        <w:rPr>
          <w:shd w:val="clear" w:color="auto" w:fill="FFFFFF"/>
        </w:rPr>
      </w:pPr>
      <w:r w:rsidRPr="00445472">
        <w:rPr>
          <w:shd w:val="clear" w:color="auto" w:fill="FFFFFF"/>
        </w:rPr>
        <w:t>-</w:t>
      </w:r>
      <w:r w:rsidR="00700A32" w:rsidRPr="00445472">
        <w:rPr>
          <w:shd w:val="clear" w:color="auto" w:fill="FFFFFF"/>
        </w:rPr>
        <w:t xml:space="preserve"> </w:t>
      </w:r>
      <w:r w:rsidR="00C559D9" w:rsidRPr="00445472">
        <w:rPr>
          <w:shd w:val="clear" w:color="auto" w:fill="FFFFFF"/>
        </w:rPr>
        <w:t>Monitorimit të rezervuarëve</w:t>
      </w:r>
      <w:r w:rsidR="001D340B" w:rsidRPr="00445472">
        <w:rPr>
          <w:shd w:val="clear" w:color="auto" w:fill="FFFFFF"/>
        </w:rPr>
        <w:t>/</w:t>
      </w:r>
      <w:r w:rsidR="00C559D9" w:rsidRPr="00445472">
        <w:rPr>
          <w:shd w:val="clear" w:color="auto" w:fill="FFFFFF"/>
        </w:rPr>
        <w:t>trupave ujorë shumë të modifikuar</w:t>
      </w:r>
    </w:p>
    <w:p w14:paraId="390FA4C8" w14:textId="785169E9" w:rsidR="00C559D9" w:rsidRPr="00445472" w:rsidRDefault="00F809A6" w:rsidP="00C559D9">
      <w:pPr>
        <w:pStyle w:val="TEKSTIIII"/>
        <w:rPr>
          <w:shd w:val="clear" w:color="auto" w:fill="FFFFFF"/>
        </w:rPr>
      </w:pPr>
      <w:r w:rsidRPr="00445472">
        <w:rPr>
          <w:shd w:val="clear" w:color="auto" w:fill="FFFFFF"/>
        </w:rPr>
        <w:t>-</w:t>
      </w:r>
      <w:r w:rsidR="00700A32" w:rsidRPr="00445472">
        <w:rPr>
          <w:shd w:val="clear" w:color="auto" w:fill="FFFFFF"/>
        </w:rPr>
        <w:t xml:space="preserve"> </w:t>
      </w:r>
      <w:r w:rsidR="00C559D9" w:rsidRPr="00445472">
        <w:rPr>
          <w:shd w:val="clear" w:color="auto" w:fill="FFFFFF"/>
        </w:rPr>
        <w:t>Monitorimi i zonave të mbrojtura</w:t>
      </w:r>
    </w:p>
    <w:p w14:paraId="28315DCE" w14:textId="66590F05" w:rsidR="00C559D9" w:rsidRPr="00445472" w:rsidRDefault="00F809A6" w:rsidP="00C559D9">
      <w:pPr>
        <w:pStyle w:val="TEKSTIIII"/>
        <w:rPr>
          <w:shd w:val="clear" w:color="auto" w:fill="FFFFFF"/>
        </w:rPr>
      </w:pPr>
      <w:r w:rsidRPr="00445472">
        <w:rPr>
          <w:shd w:val="clear" w:color="auto" w:fill="FFFFFF"/>
        </w:rPr>
        <w:t>-</w:t>
      </w:r>
      <w:r w:rsidR="00700A32" w:rsidRPr="00445472">
        <w:rPr>
          <w:shd w:val="clear" w:color="auto" w:fill="FFFFFF"/>
        </w:rPr>
        <w:t xml:space="preserve"> </w:t>
      </w:r>
      <w:r w:rsidR="00C559D9" w:rsidRPr="00445472">
        <w:rPr>
          <w:shd w:val="clear" w:color="auto" w:fill="FFFFFF"/>
        </w:rPr>
        <w:t>Monitorimi i ujërave ndërkufitarë</w:t>
      </w:r>
    </w:p>
    <w:p w14:paraId="08E876D0" w14:textId="4943E925" w:rsidR="00C559D9" w:rsidRPr="00445472" w:rsidRDefault="00C559D9" w:rsidP="00C559D9">
      <w:pPr>
        <w:pStyle w:val="TEKSTIIII"/>
        <w:rPr>
          <w:shd w:val="clear" w:color="auto" w:fill="FFFFFF"/>
        </w:rPr>
      </w:pPr>
      <w:r w:rsidRPr="00445472">
        <w:t>Element</w:t>
      </w:r>
      <w:r w:rsidR="00700A32" w:rsidRPr="00445472">
        <w:t>e</w:t>
      </w:r>
      <w:r w:rsidRPr="00445472">
        <w:t>t e cilësisë të propozuar</w:t>
      </w:r>
      <w:r w:rsidRPr="00445472">
        <w:rPr>
          <w:shd w:val="clear" w:color="auto" w:fill="FFFFFF"/>
        </w:rPr>
        <w:t>:</w:t>
      </w:r>
    </w:p>
    <w:p w14:paraId="5922CE45" w14:textId="1D939B8B" w:rsidR="00C559D9" w:rsidRPr="00445472" w:rsidRDefault="00F809A6" w:rsidP="00C559D9">
      <w:pPr>
        <w:pStyle w:val="TEKSTIIII"/>
      </w:pPr>
      <w:r w:rsidRPr="00445472">
        <w:t>-</w:t>
      </w:r>
      <w:r w:rsidR="00700A32" w:rsidRPr="00445472">
        <w:t xml:space="preserve"> </w:t>
      </w:r>
      <w:r w:rsidR="00C559D9" w:rsidRPr="00445472">
        <w:t>Element</w:t>
      </w:r>
      <w:r w:rsidR="00700A32" w:rsidRPr="00445472">
        <w:t>e</w:t>
      </w:r>
      <w:r w:rsidR="00C559D9" w:rsidRPr="00445472">
        <w:t>t fiziko-kimik</w:t>
      </w:r>
      <w:r w:rsidR="00700A32" w:rsidRPr="00445472">
        <w:t>e</w:t>
      </w:r>
    </w:p>
    <w:p w14:paraId="27501C90" w14:textId="4555A675" w:rsidR="00C559D9" w:rsidRPr="00445472" w:rsidRDefault="00F809A6" w:rsidP="00C559D9">
      <w:pPr>
        <w:pStyle w:val="TEKSTIIII"/>
      </w:pPr>
      <w:r w:rsidRPr="00445472">
        <w:t>-</w:t>
      </w:r>
      <w:r w:rsidR="00700A32" w:rsidRPr="00445472">
        <w:t xml:space="preserve"> </w:t>
      </w:r>
      <w:r w:rsidR="00C559D9" w:rsidRPr="00445472">
        <w:t>Elementi biologjik (duke përfshirë analizat mikrobiologjike)</w:t>
      </w:r>
      <w:r w:rsidR="00C559D9" w:rsidRPr="00445472">
        <w:rPr>
          <w:rStyle w:val="FootnoteReference"/>
          <w:rFonts w:ascii="Garamond" w:hAnsi="Garamond"/>
          <w:color w:val="auto"/>
        </w:rPr>
        <w:footnoteReference w:id="111"/>
      </w:r>
    </w:p>
    <w:p w14:paraId="47647E94" w14:textId="01DFA09D" w:rsidR="00C559D9" w:rsidRPr="00445472" w:rsidRDefault="00F809A6" w:rsidP="00C559D9">
      <w:pPr>
        <w:pStyle w:val="TEKSTIIII"/>
      </w:pPr>
      <w:r w:rsidRPr="00445472">
        <w:t>-</w:t>
      </w:r>
      <w:r w:rsidR="00700A32" w:rsidRPr="00445472">
        <w:t xml:space="preserve"> </w:t>
      </w:r>
      <w:r w:rsidR="00C559D9" w:rsidRPr="00445472">
        <w:t>Elementi hidromorfologjik</w:t>
      </w:r>
    </w:p>
    <w:p w14:paraId="7558CB6E" w14:textId="77777777" w:rsidR="00C559D9" w:rsidRPr="00445472" w:rsidRDefault="00C559D9" w:rsidP="00C559D9">
      <w:pPr>
        <w:pStyle w:val="TEKSTIIII"/>
        <w:rPr>
          <w:b/>
          <w:shd w:val="clear" w:color="auto" w:fill="FFFFFF"/>
        </w:rPr>
      </w:pPr>
    </w:p>
    <w:p w14:paraId="6A8128BB" w14:textId="79B6B534" w:rsidR="00C559D9" w:rsidRPr="00445472" w:rsidRDefault="00C559D9" w:rsidP="00F809A6">
      <w:pPr>
        <w:pStyle w:val="NENTITULL"/>
        <w:rPr>
          <w:shd w:val="clear" w:color="auto" w:fill="FFFFFF"/>
        </w:rPr>
      </w:pPr>
      <w:r w:rsidRPr="00445472">
        <w:rPr>
          <w:shd w:val="clear" w:color="auto" w:fill="FFFFFF"/>
        </w:rPr>
        <w:t xml:space="preserve">Tabela 6.3: Përmbledhje e pikave të propozuara të monitorimit në Basenin Ujor </w:t>
      </w:r>
      <w:r w:rsidR="007E76E3" w:rsidRPr="00445472">
        <w:rPr>
          <w:shd w:val="clear" w:color="auto" w:fill="FFFFFF"/>
        </w:rPr>
        <w:t>Drin–Bunë</w:t>
      </w:r>
      <w:r w:rsidRPr="00445472">
        <w:rPr>
          <w:shd w:val="clear" w:color="auto" w:fill="FFFFFF"/>
        </w:rPr>
        <w:t xml:space="preserve"> në bazë të prioritizimit</w:t>
      </w:r>
      <w:r w:rsidRPr="00445472">
        <w:rPr>
          <w:rStyle w:val="FootnoteReference"/>
          <w:rFonts w:ascii="Garamond" w:hAnsi="Garamond"/>
          <w:b w:val="0"/>
          <w:color w:val="auto"/>
          <w:shd w:val="clear" w:color="auto" w:fill="FFFFFF"/>
        </w:rPr>
        <w:footnoteReference w:id="112"/>
      </w:r>
    </w:p>
    <w:tbl>
      <w:tblPr>
        <w:tblStyle w:val="TableGrid"/>
        <w:tblW w:w="0" w:type="auto"/>
        <w:tblLook w:val="04A0" w:firstRow="1" w:lastRow="0" w:firstColumn="1" w:lastColumn="0" w:noHBand="0" w:noVBand="1"/>
      </w:tblPr>
      <w:tblGrid>
        <w:gridCol w:w="1857"/>
        <w:gridCol w:w="1857"/>
        <w:gridCol w:w="1857"/>
        <w:gridCol w:w="1858"/>
        <w:gridCol w:w="1858"/>
      </w:tblGrid>
      <w:tr w:rsidR="001D61E8" w:rsidRPr="00445472" w14:paraId="3E56C551" w14:textId="77777777" w:rsidTr="001D61E8">
        <w:trPr>
          <w:trHeight w:val="338"/>
        </w:trPr>
        <w:tc>
          <w:tcPr>
            <w:tcW w:w="1857" w:type="dxa"/>
            <w:vMerge w:val="restart"/>
          </w:tcPr>
          <w:p w14:paraId="050C3AEB" w14:textId="0D6AFC76" w:rsidR="001D61E8" w:rsidRPr="00445472" w:rsidRDefault="001D61E8" w:rsidP="00671B18">
            <w:pPr>
              <w:pStyle w:val="TABELA"/>
              <w:spacing w:before="0"/>
              <w:ind w:right="0"/>
              <w:jc w:val="center"/>
              <w:rPr>
                <w:shd w:val="clear" w:color="auto" w:fill="FFFFFF"/>
                <w:lang w:val="sq-AL"/>
              </w:rPr>
            </w:pPr>
            <w:r w:rsidRPr="00445472">
              <w:rPr>
                <w:b/>
                <w:sz w:val="18"/>
                <w:szCs w:val="18"/>
                <w:lang w:val="sq-AL"/>
              </w:rPr>
              <w:t>Prioriteti</w:t>
            </w:r>
          </w:p>
        </w:tc>
        <w:tc>
          <w:tcPr>
            <w:tcW w:w="1857" w:type="dxa"/>
            <w:vMerge w:val="restart"/>
          </w:tcPr>
          <w:p w14:paraId="413CF401" w14:textId="08949589" w:rsidR="001D61E8" w:rsidRPr="00445472" w:rsidRDefault="001D61E8" w:rsidP="00671B18">
            <w:pPr>
              <w:pStyle w:val="TABELA"/>
              <w:spacing w:before="0"/>
              <w:ind w:right="0"/>
              <w:jc w:val="center"/>
              <w:rPr>
                <w:shd w:val="clear" w:color="auto" w:fill="FFFFFF"/>
                <w:lang w:val="sq-AL"/>
              </w:rPr>
            </w:pPr>
            <w:r w:rsidRPr="00445472">
              <w:rPr>
                <w:b/>
                <w:sz w:val="18"/>
                <w:szCs w:val="18"/>
                <w:lang w:val="sq-AL"/>
              </w:rPr>
              <w:t xml:space="preserve">Numri i </w:t>
            </w:r>
            <w:r w:rsidR="007B58B8" w:rsidRPr="00445472">
              <w:rPr>
                <w:b/>
                <w:sz w:val="18"/>
                <w:szCs w:val="18"/>
                <w:lang w:val="sq-AL"/>
              </w:rPr>
              <w:t>stacioneve të lumenjve dhe burimeve</w:t>
            </w:r>
          </w:p>
        </w:tc>
        <w:tc>
          <w:tcPr>
            <w:tcW w:w="1857" w:type="dxa"/>
          </w:tcPr>
          <w:p w14:paraId="5A69B1C3" w14:textId="3A6F0C51" w:rsidR="001D61E8" w:rsidRPr="00445472" w:rsidRDefault="001D61E8" w:rsidP="00671B18">
            <w:pPr>
              <w:pStyle w:val="TABELA"/>
              <w:spacing w:before="0"/>
              <w:ind w:right="0"/>
              <w:jc w:val="center"/>
              <w:rPr>
                <w:shd w:val="clear" w:color="auto" w:fill="FFFFFF"/>
                <w:lang w:val="sq-AL"/>
              </w:rPr>
            </w:pPr>
            <w:r w:rsidRPr="00445472">
              <w:rPr>
                <w:b/>
                <w:sz w:val="18"/>
                <w:szCs w:val="18"/>
                <w:lang w:val="sq-AL"/>
              </w:rPr>
              <w:t xml:space="preserve">Numri i </w:t>
            </w:r>
            <w:r w:rsidR="007B58B8" w:rsidRPr="00445472">
              <w:rPr>
                <w:b/>
                <w:sz w:val="18"/>
                <w:szCs w:val="18"/>
                <w:lang w:val="sq-AL"/>
              </w:rPr>
              <w:t>stacioneve të liqeneve dhe rezervuarëve</w:t>
            </w:r>
          </w:p>
        </w:tc>
        <w:tc>
          <w:tcPr>
            <w:tcW w:w="1858" w:type="dxa"/>
            <w:vMerge w:val="restart"/>
          </w:tcPr>
          <w:p w14:paraId="23D57928" w14:textId="6E44E8CF" w:rsidR="001D61E8" w:rsidRPr="00445472" w:rsidRDefault="001D61E8" w:rsidP="00671B18">
            <w:pPr>
              <w:pStyle w:val="TABELA"/>
              <w:spacing w:before="0"/>
              <w:ind w:right="0"/>
              <w:jc w:val="center"/>
              <w:rPr>
                <w:shd w:val="clear" w:color="auto" w:fill="FFFFFF"/>
                <w:lang w:val="sq-AL"/>
              </w:rPr>
            </w:pPr>
            <w:r w:rsidRPr="00445472">
              <w:rPr>
                <w:b/>
                <w:sz w:val="18"/>
                <w:szCs w:val="18"/>
                <w:lang w:val="sq-AL"/>
              </w:rPr>
              <w:t xml:space="preserve">Numri i </w:t>
            </w:r>
            <w:r w:rsidR="007B58B8" w:rsidRPr="00445472">
              <w:rPr>
                <w:b/>
                <w:sz w:val="18"/>
                <w:szCs w:val="18"/>
                <w:lang w:val="sq-AL"/>
              </w:rPr>
              <w:t>stacioneve të lagunave bregdetare</w:t>
            </w:r>
          </w:p>
        </w:tc>
        <w:tc>
          <w:tcPr>
            <w:tcW w:w="1858" w:type="dxa"/>
            <w:vMerge w:val="restart"/>
          </w:tcPr>
          <w:p w14:paraId="4F95BBE9" w14:textId="6CC73906" w:rsidR="001D61E8" w:rsidRPr="00445472" w:rsidRDefault="001D61E8" w:rsidP="00671B18">
            <w:pPr>
              <w:pStyle w:val="TABELA"/>
              <w:spacing w:before="0"/>
              <w:ind w:right="0"/>
              <w:jc w:val="center"/>
              <w:rPr>
                <w:shd w:val="clear" w:color="auto" w:fill="FFFFFF"/>
                <w:lang w:val="sq-AL"/>
              </w:rPr>
            </w:pPr>
            <w:r w:rsidRPr="00445472">
              <w:rPr>
                <w:b/>
                <w:sz w:val="18"/>
                <w:szCs w:val="18"/>
                <w:lang w:val="sq-AL"/>
              </w:rPr>
              <w:t xml:space="preserve">Numri i </w:t>
            </w:r>
            <w:r w:rsidR="007B58B8" w:rsidRPr="00445472">
              <w:rPr>
                <w:b/>
                <w:sz w:val="18"/>
                <w:szCs w:val="18"/>
                <w:lang w:val="sq-AL"/>
              </w:rPr>
              <w:t>stacioneve kalimtare dhe bregdetare</w:t>
            </w:r>
          </w:p>
        </w:tc>
      </w:tr>
      <w:tr w:rsidR="001D61E8" w:rsidRPr="00445472" w14:paraId="735E2CD6" w14:textId="77777777" w:rsidTr="001D61E8">
        <w:trPr>
          <w:trHeight w:val="263"/>
        </w:trPr>
        <w:tc>
          <w:tcPr>
            <w:tcW w:w="1857" w:type="dxa"/>
            <w:vMerge/>
          </w:tcPr>
          <w:p w14:paraId="70529FB8" w14:textId="77777777" w:rsidR="001D61E8" w:rsidRPr="00445472" w:rsidRDefault="001D61E8" w:rsidP="001D61E8">
            <w:pPr>
              <w:pStyle w:val="TABELA"/>
              <w:spacing w:before="0"/>
              <w:ind w:right="0"/>
              <w:rPr>
                <w:b/>
                <w:sz w:val="18"/>
                <w:szCs w:val="18"/>
                <w:lang w:val="sq-AL"/>
              </w:rPr>
            </w:pPr>
          </w:p>
        </w:tc>
        <w:tc>
          <w:tcPr>
            <w:tcW w:w="1857" w:type="dxa"/>
            <w:vMerge/>
          </w:tcPr>
          <w:p w14:paraId="2CC65A8B" w14:textId="77777777" w:rsidR="001D61E8" w:rsidRPr="00445472" w:rsidRDefault="001D61E8" w:rsidP="001D61E8">
            <w:pPr>
              <w:pStyle w:val="TABELA"/>
              <w:spacing w:before="0"/>
              <w:ind w:right="0"/>
              <w:rPr>
                <w:b/>
                <w:sz w:val="18"/>
                <w:szCs w:val="18"/>
                <w:lang w:val="sq-AL"/>
              </w:rPr>
            </w:pPr>
          </w:p>
        </w:tc>
        <w:tc>
          <w:tcPr>
            <w:tcW w:w="1857" w:type="dxa"/>
          </w:tcPr>
          <w:p w14:paraId="508C5459" w14:textId="46CAEA3B" w:rsidR="001D61E8" w:rsidRPr="00445472" w:rsidRDefault="001D61E8" w:rsidP="00671B18">
            <w:pPr>
              <w:pStyle w:val="TableTextCentre"/>
              <w:spacing w:before="0" w:after="0"/>
              <w:ind w:right="0"/>
              <w:rPr>
                <w:rFonts w:ascii="Garamond" w:eastAsia="Calibri" w:hAnsi="Garamond"/>
                <w:b/>
                <w:sz w:val="18"/>
                <w:szCs w:val="18"/>
                <w:lang w:val="sq-AL"/>
              </w:rPr>
            </w:pPr>
            <w:r w:rsidRPr="00445472">
              <w:rPr>
                <w:rFonts w:ascii="Garamond" w:eastAsia="Calibri" w:hAnsi="Garamond"/>
                <w:b/>
                <w:sz w:val="18"/>
                <w:szCs w:val="18"/>
                <w:lang w:val="sq-AL"/>
              </w:rPr>
              <w:t>(TAU &amp; TUTM)</w:t>
            </w:r>
          </w:p>
        </w:tc>
        <w:tc>
          <w:tcPr>
            <w:tcW w:w="1858" w:type="dxa"/>
            <w:vMerge/>
          </w:tcPr>
          <w:p w14:paraId="328CA99B" w14:textId="77777777" w:rsidR="001D61E8" w:rsidRPr="00445472" w:rsidRDefault="001D61E8" w:rsidP="001D61E8">
            <w:pPr>
              <w:pStyle w:val="TABELA"/>
              <w:spacing w:before="0"/>
              <w:ind w:right="0"/>
              <w:rPr>
                <w:shd w:val="clear" w:color="auto" w:fill="FFFFFF"/>
                <w:lang w:val="sq-AL"/>
              </w:rPr>
            </w:pPr>
          </w:p>
        </w:tc>
        <w:tc>
          <w:tcPr>
            <w:tcW w:w="1858" w:type="dxa"/>
            <w:vMerge/>
          </w:tcPr>
          <w:p w14:paraId="59537FE4" w14:textId="77777777" w:rsidR="001D61E8" w:rsidRPr="00445472" w:rsidRDefault="001D61E8" w:rsidP="001D61E8">
            <w:pPr>
              <w:pStyle w:val="TABELA"/>
              <w:spacing w:before="0"/>
              <w:ind w:right="0"/>
              <w:rPr>
                <w:shd w:val="clear" w:color="auto" w:fill="FFFFFF"/>
                <w:lang w:val="sq-AL"/>
              </w:rPr>
            </w:pPr>
          </w:p>
        </w:tc>
      </w:tr>
      <w:tr w:rsidR="001D61E8" w:rsidRPr="00445472" w14:paraId="30D5F41E" w14:textId="77777777" w:rsidTr="00B15A6B">
        <w:tc>
          <w:tcPr>
            <w:tcW w:w="1857" w:type="dxa"/>
            <w:vAlign w:val="center"/>
          </w:tcPr>
          <w:p w14:paraId="21DC8EF1" w14:textId="4509F5B3" w:rsidR="001D61E8" w:rsidRPr="00445472" w:rsidRDefault="001D61E8" w:rsidP="001D61E8">
            <w:pPr>
              <w:pStyle w:val="TABELA"/>
              <w:spacing w:before="0"/>
              <w:ind w:right="0"/>
              <w:rPr>
                <w:shd w:val="clear" w:color="auto" w:fill="FFFFFF"/>
                <w:lang w:val="sq-AL"/>
              </w:rPr>
            </w:pPr>
            <w:r w:rsidRPr="00445472">
              <w:rPr>
                <w:sz w:val="18"/>
                <w:szCs w:val="18"/>
                <w:lang w:val="sq-AL"/>
              </w:rPr>
              <w:t>Prioriteti 1</w:t>
            </w:r>
          </w:p>
        </w:tc>
        <w:tc>
          <w:tcPr>
            <w:tcW w:w="1857" w:type="dxa"/>
            <w:vAlign w:val="center"/>
          </w:tcPr>
          <w:p w14:paraId="25647737" w14:textId="0BC64B69"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7</w:t>
            </w:r>
          </w:p>
        </w:tc>
        <w:tc>
          <w:tcPr>
            <w:tcW w:w="1857" w:type="dxa"/>
            <w:vAlign w:val="center"/>
          </w:tcPr>
          <w:p w14:paraId="1A3E2D48" w14:textId="4E922A03"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12</w:t>
            </w:r>
          </w:p>
        </w:tc>
        <w:tc>
          <w:tcPr>
            <w:tcW w:w="1858" w:type="dxa"/>
          </w:tcPr>
          <w:p w14:paraId="5E5BF4C0" w14:textId="77777777" w:rsidR="001D61E8" w:rsidRPr="00445472" w:rsidRDefault="001D61E8" w:rsidP="00700A32">
            <w:pPr>
              <w:pStyle w:val="TABELA"/>
              <w:spacing w:before="0"/>
              <w:ind w:right="0"/>
              <w:jc w:val="center"/>
              <w:rPr>
                <w:shd w:val="clear" w:color="auto" w:fill="FFFFFF"/>
                <w:lang w:val="sq-AL"/>
              </w:rPr>
            </w:pPr>
          </w:p>
        </w:tc>
        <w:tc>
          <w:tcPr>
            <w:tcW w:w="1858" w:type="dxa"/>
            <w:vAlign w:val="center"/>
          </w:tcPr>
          <w:p w14:paraId="08C9628A" w14:textId="11E76D92"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4</w:t>
            </w:r>
          </w:p>
        </w:tc>
      </w:tr>
      <w:tr w:rsidR="001D61E8" w:rsidRPr="00445472" w14:paraId="41184B09" w14:textId="77777777" w:rsidTr="00B15A6B">
        <w:tc>
          <w:tcPr>
            <w:tcW w:w="1857" w:type="dxa"/>
            <w:vAlign w:val="center"/>
          </w:tcPr>
          <w:p w14:paraId="1B02EE47" w14:textId="2A239E22" w:rsidR="001D61E8" w:rsidRPr="00445472" w:rsidRDefault="001D61E8" w:rsidP="001D61E8">
            <w:pPr>
              <w:pStyle w:val="TABELA"/>
              <w:spacing w:before="0"/>
              <w:ind w:right="0"/>
              <w:rPr>
                <w:shd w:val="clear" w:color="auto" w:fill="FFFFFF"/>
                <w:lang w:val="sq-AL"/>
              </w:rPr>
            </w:pPr>
            <w:r w:rsidRPr="00445472">
              <w:rPr>
                <w:sz w:val="18"/>
                <w:szCs w:val="18"/>
                <w:lang w:val="sq-AL"/>
              </w:rPr>
              <w:t>Prioriteti 2</w:t>
            </w:r>
          </w:p>
        </w:tc>
        <w:tc>
          <w:tcPr>
            <w:tcW w:w="1857" w:type="dxa"/>
            <w:vAlign w:val="center"/>
          </w:tcPr>
          <w:p w14:paraId="5A7BE94A" w14:textId="5147B6F0"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4</w:t>
            </w:r>
          </w:p>
        </w:tc>
        <w:tc>
          <w:tcPr>
            <w:tcW w:w="1857" w:type="dxa"/>
            <w:vAlign w:val="center"/>
          </w:tcPr>
          <w:p w14:paraId="5EB1B15E" w14:textId="586286FC"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0</w:t>
            </w:r>
          </w:p>
        </w:tc>
        <w:tc>
          <w:tcPr>
            <w:tcW w:w="1858" w:type="dxa"/>
            <w:vAlign w:val="center"/>
          </w:tcPr>
          <w:p w14:paraId="61EE5C28" w14:textId="38F69E19"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1</w:t>
            </w:r>
          </w:p>
        </w:tc>
        <w:tc>
          <w:tcPr>
            <w:tcW w:w="1858" w:type="dxa"/>
            <w:vAlign w:val="center"/>
          </w:tcPr>
          <w:p w14:paraId="105251C9" w14:textId="42C2E80E" w:rsidR="001D61E8" w:rsidRPr="00445472" w:rsidRDefault="001D61E8" w:rsidP="00700A32">
            <w:pPr>
              <w:pStyle w:val="TABELA"/>
              <w:spacing w:before="0"/>
              <w:ind w:right="0"/>
              <w:jc w:val="center"/>
              <w:rPr>
                <w:shd w:val="clear" w:color="auto" w:fill="FFFFFF"/>
                <w:lang w:val="sq-AL"/>
              </w:rPr>
            </w:pPr>
          </w:p>
        </w:tc>
      </w:tr>
      <w:tr w:rsidR="001D61E8" w:rsidRPr="00445472" w14:paraId="763F036E" w14:textId="77777777" w:rsidTr="00B15A6B">
        <w:tc>
          <w:tcPr>
            <w:tcW w:w="1857" w:type="dxa"/>
            <w:vAlign w:val="center"/>
          </w:tcPr>
          <w:p w14:paraId="5C0368E4" w14:textId="33764A7B" w:rsidR="001D61E8" w:rsidRPr="00445472" w:rsidRDefault="001D61E8" w:rsidP="001D61E8">
            <w:pPr>
              <w:pStyle w:val="TABELA"/>
              <w:spacing w:before="0"/>
              <w:ind w:right="0"/>
              <w:rPr>
                <w:shd w:val="clear" w:color="auto" w:fill="FFFFFF"/>
                <w:lang w:val="sq-AL"/>
              </w:rPr>
            </w:pPr>
            <w:r w:rsidRPr="00445472">
              <w:rPr>
                <w:sz w:val="18"/>
                <w:szCs w:val="18"/>
                <w:lang w:val="sq-AL"/>
              </w:rPr>
              <w:t>Prioriteti 3</w:t>
            </w:r>
          </w:p>
        </w:tc>
        <w:tc>
          <w:tcPr>
            <w:tcW w:w="1857" w:type="dxa"/>
            <w:vAlign w:val="center"/>
          </w:tcPr>
          <w:p w14:paraId="09DBDDC1" w14:textId="4741ED14"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11</w:t>
            </w:r>
          </w:p>
        </w:tc>
        <w:tc>
          <w:tcPr>
            <w:tcW w:w="1857" w:type="dxa"/>
            <w:vAlign w:val="center"/>
          </w:tcPr>
          <w:p w14:paraId="52D6F04E" w14:textId="56E15FD7"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3</w:t>
            </w:r>
          </w:p>
        </w:tc>
        <w:tc>
          <w:tcPr>
            <w:tcW w:w="1858" w:type="dxa"/>
            <w:vAlign w:val="center"/>
          </w:tcPr>
          <w:p w14:paraId="1ACDCD36" w14:textId="681BF614" w:rsidR="001D61E8" w:rsidRPr="00445472" w:rsidRDefault="001D61E8" w:rsidP="00700A32">
            <w:pPr>
              <w:pStyle w:val="TABELA"/>
              <w:spacing w:before="0"/>
              <w:ind w:right="0"/>
              <w:jc w:val="center"/>
              <w:rPr>
                <w:shd w:val="clear" w:color="auto" w:fill="FFFFFF"/>
                <w:lang w:val="sq-AL"/>
              </w:rPr>
            </w:pPr>
            <w:r w:rsidRPr="00445472">
              <w:rPr>
                <w:rFonts w:eastAsia="Calibri"/>
                <w:sz w:val="18"/>
                <w:szCs w:val="18"/>
                <w:lang w:val="sq-AL"/>
              </w:rPr>
              <w:t>2</w:t>
            </w:r>
          </w:p>
        </w:tc>
        <w:tc>
          <w:tcPr>
            <w:tcW w:w="1858" w:type="dxa"/>
            <w:vAlign w:val="center"/>
          </w:tcPr>
          <w:p w14:paraId="6446412B" w14:textId="4A4D42A4" w:rsidR="001D61E8" w:rsidRPr="00445472" w:rsidRDefault="001D61E8" w:rsidP="00700A32">
            <w:pPr>
              <w:pStyle w:val="TABELA"/>
              <w:spacing w:before="0"/>
              <w:ind w:right="0"/>
              <w:jc w:val="center"/>
              <w:rPr>
                <w:shd w:val="clear" w:color="auto" w:fill="FFFFFF"/>
                <w:lang w:val="sq-AL"/>
              </w:rPr>
            </w:pPr>
          </w:p>
        </w:tc>
      </w:tr>
      <w:tr w:rsidR="001D61E8" w:rsidRPr="00445472" w14:paraId="212255E6" w14:textId="77777777" w:rsidTr="00B15A6B">
        <w:tc>
          <w:tcPr>
            <w:tcW w:w="1857" w:type="dxa"/>
            <w:vAlign w:val="center"/>
          </w:tcPr>
          <w:p w14:paraId="6A7399FB" w14:textId="605D4BF1" w:rsidR="001D61E8" w:rsidRPr="00445472" w:rsidRDefault="001D61E8" w:rsidP="001D61E8">
            <w:pPr>
              <w:pStyle w:val="TABELA"/>
              <w:spacing w:before="0"/>
              <w:ind w:right="0"/>
              <w:rPr>
                <w:shd w:val="clear" w:color="auto" w:fill="FFFFFF"/>
                <w:lang w:val="sq-AL"/>
              </w:rPr>
            </w:pPr>
            <w:r w:rsidRPr="00445472">
              <w:rPr>
                <w:b/>
                <w:sz w:val="18"/>
                <w:szCs w:val="18"/>
                <w:lang w:val="sq-AL"/>
              </w:rPr>
              <w:t>Totali</w:t>
            </w:r>
          </w:p>
        </w:tc>
        <w:tc>
          <w:tcPr>
            <w:tcW w:w="1857" w:type="dxa"/>
            <w:vAlign w:val="center"/>
          </w:tcPr>
          <w:p w14:paraId="6FE7184F" w14:textId="76374286" w:rsidR="001D61E8" w:rsidRPr="00445472" w:rsidRDefault="001D61E8" w:rsidP="00700A32">
            <w:pPr>
              <w:pStyle w:val="TABELA"/>
              <w:spacing w:before="0"/>
              <w:ind w:right="0"/>
              <w:jc w:val="center"/>
              <w:rPr>
                <w:shd w:val="clear" w:color="auto" w:fill="FFFFFF"/>
                <w:lang w:val="sq-AL"/>
              </w:rPr>
            </w:pPr>
            <w:r w:rsidRPr="00445472">
              <w:rPr>
                <w:rFonts w:eastAsia="Calibri"/>
                <w:b/>
                <w:sz w:val="18"/>
                <w:szCs w:val="18"/>
                <w:lang w:val="sq-AL"/>
              </w:rPr>
              <w:t>22</w:t>
            </w:r>
          </w:p>
        </w:tc>
        <w:tc>
          <w:tcPr>
            <w:tcW w:w="1857" w:type="dxa"/>
            <w:vAlign w:val="center"/>
          </w:tcPr>
          <w:p w14:paraId="0F9C7EA5" w14:textId="4100170D" w:rsidR="001D61E8" w:rsidRPr="00445472" w:rsidRDefault="001D61E8" w:rsidP="00700A32">
            <w:pPr>
              <w:pStyle w:val="TABELA"/>
              <w:spacing w:before="0"/>
              <w:ind w:right="0"/>
              <w:jc w:val="center"/>
              <w:rPr>
                <w:shd w:val="clear" w:color="auto" w:fill="FFFFFF"/>
                <w:lang w:val="sq-AL"/>
              </w:rPr>
            </w:pPr>
            <w:r w:rsidRPr="00445472">
              <w:rPr>
                <w:rFonts w:eastAsia="Calibri"/>
                <w:b/>
                <w:sz w:val="18"/>
                <w:szCs w:val="18"/>
                <w:lang w:val="sq-AL"/>
              </w:rPr>
              <w:t>15</w:t>
            </w:r>
          </w:p>
        </w:tc>
        <w:tc>
          <w:tcPr>
            <w:tcW w:w="1858" w:type="dxa"/>
            <w:vAlign w:val="center"/>
          </w:tcPr>
          <w:p w14:paraId="01B341CF" w14:textId="13BC44AB" w:rsidR="001D61E8" w:rsidRPr="00445472" w:rsidRDefault="001D61E8" w:rsidP="00700A32">
            <w:pPr>
              <w:pStyle w:val="TABELA"/>
              <w:spacing w:before="0"/>
              <w:ind w:right="0"/>
              <w:jc w:val="center"/>
              <w:rPr>
                <w:shd w:val="clear" w:color="auto" w:fill="FFFFFF"/>
                <w:lang w:val="sq-AL"/>
              </w:rPr>
            </w:pPr>
            <w:r w:rsidRPr="00445472">
              <w:rPr>
                <w:rFonts w:eastAsia="Calibri"/>
                <w:b/>
                <w:sz w:val="18"/>
                <w:szCs w:val="18"/>
                <w:lang w:val="sq-AL"/>
              </w:rPr>
              <w:t>3</w:t>
            </w:r>
          </w:p>
        </w:tc>
        <w:tc>
          <w:tcPr>
            <w:tcW w:w="1858" w:type="dxa"/>
            <w:vAlign w:val="center"/>
          </w:tcPr>
          <w:p w14:paraId="54F048B6" w14:textId="7D617B2D" w:rsidR="001D61E8" w:rsidRPr="00445472" w:rsidRDefault="001D61E8" w:rsidP="00700A32">
            <w:pPr>
              <w:pStyle w:val="TABELA"/>
              <w:spacing w:before="0"/>
              <w:ind w:right="0"/>
              <w:jc w:val="center"/>
              <w:rPr>
                <w:shd w:val="clear" w:color="auto" w:fill="FFFFFF"/>
                <w:lang w:val="sq-AL"/>
              </w:rPr>
            </w:pPr>
            <w:r w:rsidRPr="00445472">
              <w:rPr>
                <w:rFonts w:eastAsia="Calibri"/>
                <w:b/>
                <w:sz w:val="18"/>
                <w:szCs w:val="18"/>
                <w:lang w:val="sq-AL"/>
              </w:rPr>
              <w:t>4</w:t>
            </w:r>
          </w:p>
        </w:tc>
      </w:tr>
    </w:tbl>
    <w:p w14:paraId="1560E49F" w14:textId="77777777" w:rsidR="001D61E8" w:rsidRPr="00445472" w:rsidRDefault="001D61E8" w:rsidP="00F809A6">
      <w:pPr>
        <w:pStyle w:val="NENTITULL"/>
        <w:rPr>
          <w:shd w:val="clear" w:color="auto" w:fill="FFFFFF"/>
        </w:rPr>
      </w:pPr>
    </w:p>
    <w:p w14:paraId="412F632E" w14:textId="77777777" w:rsidR="001D61E8" w:rsidRPr="00445472" w:rsidRDefault="001D61E8" w:rsidP="00F809A6">
      <w:pPr>
        <w:pStyle w:val="NENTITULL"/>
        <w:rPr>
          <w:shd w:val="clear" w:color="auto" w:fill="FFFFFF"/>
        </w:rPr>
      </w:pPr>
    </w:p>
    <w:p w14:paraId="51FCB71F" w14:textId="77777777" w:rsidR="001D61E8" w:rsidRPr="00445472" w:rsidRDefault="001D61E8" w:rsidP="00F809A6">
      <w:pPr>
        <w:pStyle w:val="NENTITULL"/>
        <w:rPr>
          <w:shd w:val="clear" w:color="auto" w:fill="FFFFFF"/>
        </w:rPr>
      </w:pPr>
    </w:p>
    <w:p w14:paraId="670A112D" w14:textId="2475C4AA" w:rsidR="001D61E8" w:rsidRPr="00445472" w:rsidRDefault="001C1019" w:rsidP="001C1019">
      <w:pPr>
        <w:pStyle w:val="NENTITULL"/>
        <w:ind w:firstLine="0"/>
        <w:jc w:val="center"/>
        <w:rPr>
          <w:shd w:val="clear" w:color="auto" w:fill="FFFFFF"/>
        </w:rPr>
      </w:pPr>
      <w:r w:rsidRPr="00445472">
        <w:rPr>
          <w:noProof/>
          <w:lang w:val="en-US"/>
        </w:rPr>
        <w:drawing>
          <wp:inline distT="0" distB="0" distL="0" distR="0" wp14:anchorId="55067277" wp14:editId="541BFC84">
            <wp:extent cx="5390985" cy="3435087"/>
            <wp:effectExtent l="0" t="0" r="635" b="0"/>
            <wp:docPr id="125" name="Picture 26" descr="Macintosh HD:Users:patrickreynolds:Desktop:ENG_Drin_Proposed_Monitoring_St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patrickreynolds:Desktop:ENG_Drin_Proposed_Monitoring_Stations.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97930" cy="3439512"/>
                    </a:xfrm>
                    <a:prstGeom prst="rect">
                      <a:avLst/>
                    </a:prstGeom>
                    <a:noFill/>
                    <a:ln>
                      <a:noFill/>
                    </a:ln>
                  </pic:spPr>
                </pic:pic>
              </a:graphicData>
            </a:graphic>
          </wp:inline>
        </w:drawing>
      </w:r>
    </w:p>
    <w:p w14:paraId="3079972E" w14:textId="240D95D6" w:rsidR="00B94D2C" w:rsidRPr="00445472" w:rsidRDefault="00B94D2C" w:rsidP="0059625C">
      <w:pPr>
        <w:pStyle w:val="TEKSTIIII"/>
      </w:pPr>
    </w:p>
    <w:p w14:paraId="0CDE749F" w14:textId="05C152E2" w:rsidR="00AC2A47" w:rsidRPr="00445472" w:rsidRDefault="00AC2A47" w:rsidP="00AC2A47">
      <w:pPr>
        <w:pStyle w:val="NENTITULL"/>
        <w:jc w:val="center"/>
      </w:pPr>
      <w:r w:rsidRPr="00445472">
        <w:t xml:space="preserve">Figura 6.1: Vende të propozuara të monitorimit të ujërave sipërfaqësorë në Basenin Ujor </w:t>
      </w:r>
      <w:r w:rsidR="007E76E3" w:rsidRPr="00445472">
        <w:t>Drin–Bunë</w:t>
      </w:r>
    </w:p>
    <w:p w14:paraId="4D2CA492" w14:textId="77777777" w:rsidR="00AC2A47" w:rsidRPr="00445472" w:rsidRDefault="00AC2A47" w:rsidP="00AC2A47">
      <w:pPr>
        <w:pStyle w:val="TEKSTIIII"/>
      </w:pPr>
    </w:p>
    <w:p w14:paraId="44B24058" w14:textId="427EEE41" w:rsidR="00AC2A47" w:rsidRPr="00445472" w:rsidRDefault="00AC2A47" w:rsidP="00AC2A47">
      <w:pPr>
        <w:pStyle w:val="NENTITULL"/>
      </w:pPr>
      <w:bookmarkStart w:id="115" w:name="_Toc486503406"/>
      <w:bookmarkStart w:id="116" w:name="_Toc11068797"/>
      <w:r w:rsidRPr="00445472">
        <w:t>6.4.1 Kërkesat e Monitorimit të Ujërave nëntokësorë për DKU-në</w:t>
      </w:r>
      <w:bookmarkEnd w:id="115"/>
      <w:bookmarkEnd w:id="116"/>
    </w:p>
    <w:p w14:paraId="055B3881" w14:textId="77777777" w:rsidR="00AC2A47" w:rsidRPr="00445472" w:rsidRDefault="00AC2A47" w:rsidP="00AC2A47">
      <w:pPr>
        <w:pStyle w:val="TEKSTIIII"/>
      </w:pPr>
      <w:r w:rsidRPr="00445472">
        <w:t xml:space="preserve">Objektivi kryesor i DKU-së është mbrojtja e trupave ujorë si burimi kryesor i ujit për konsum njerëzor. Për këtë arsye, vëmendje e veçantë i kushtohet Trupave Ujorë nëntokësorë (TUNT) të përdorura për nxjerrjen e ujit në një Qark të Basenit Ujor. Këto përfshijnë: </w:t>
      </w:r>
    </w:p>
    <w:p w14:paraId="179359C0" w14:textId="7EC7D328" w:rsidR="00AC2A47" w:rsidRPr="00445472" w:rsidRDefault="00F8706C" w:rsidP="00AC2A47">
      <w:pPr>
        <w:pStyle w:val="TEKSTIIII"/>
      </w:pPr>
      <w:r>
        <w:t xml:space="preserve">- </w:t>
      </w:r>
      <w:r w:rsidR="00AC2A47" w:rsidRPr="00445472">
        <w:t>Trupat ujorë që përdoren për nxjerrjen e ujit të destinuar për konsum njerëzor duke siguruar më shumë se 10</w:t>
      </w:r>
      <w:r w:rsidR="007B58B8" w:rsidRPr="00445472">
        <w:t xml:space="preserve"> </w:t>
      </w:r>
      <w:r w:rsidR="00AC2A47" w:rsidRPr="00445472">
        <w:t>m</w:t>
      </w:r>
      <w:r w:rsidR="00AC2A47" w:rsidRPr="00445472">
        <w:rPr>
          <w:vertAlign w:val="superscript"/>
        </w:rPr>
        <w:t>3</w:t>
      </w:r>
      <w:r w:rsidR="00AC2A47" w:rsidRPr="00445472">
        <w:t xml:space="preserve"> në ditë si një mesatare ose duke shërbyer më shumë se 50 persona, dhe</w:t>
      </w:r>
    </w:p>
    <w:p w14:paraId="0AE6C6A9" w14:textId="14BCC90C" w:rsidR="00AC2A47" w:rsidRPr="00445472" w:rsidRDefault="00F8706C" w:rsidP="00AC2A47">
      <w:pPr>
        <w:pStyle w:val="TEKSTIIII"/>
        <w:rPr>
          <w:bCs/>
        </w:rPr>
      </w:pPr>
      <w:r>
        <w:t xml:space="preserve">- </w:t>
      </w:r>
      <w:r>
        <w:t xml:space="preserve"> </w:t>
      </w:r>
      <w:r w:rsidR="00AC2A47" w:rsidRPr="00445472">
        <w:t>Trupat ujorë të destinuar për përdorim të tillë të ardhshëm</w:t>
      </w:r>
      <w:r w:rsidR="00AC2A47" w:rsidRPr="00445472">
        <w:rPr>
          <w:rStyle w:val="FootnoteReference"/>
          <w:rFonts w:ascii="Garamond" w:hAnsi="Garamond"/>
          <w:color w:val="auto"/>
        </w:rPr>
        <w:footnoteReference w:id="113"/>
      </w:r>
      <w:r w:rsidR="00AC2A47" w:rsidRPr="00445472">
        <w:t>.</w:t>
      </w:r>
    </w:p>
    <w:p w14:paraId="526005CE" w14:textId="0871D326" w:rsidR="00AC2A47" w:rsidRPr="00445472" w:rsidRDefault="00AC2A47" w:rsidP="00AC2A47">
      <w:pPr>
        <w:pStyle w:val="TEKSTIIII"/>
        <w:rPr>
          <w:bCs/>
        </w:rPr>
      </w:pPr>
      <w:r w:rsidRPr="00445472">
        <w:t>DKU kërkon që shtetet të krijojnë një program monitorimi për ujërat nëntokësor</w:t>
      </w:r>
      <w:r w:rsidR="00445472">
        <w:t>e</w:t>
      </w:r>
      <w:r w:rsidRPr="00445472">
        <w:t xml:space="preserve"> që ofron një pasqyrë koherente dhe gjithëpërfshirëse të statusit të ujit (Neni 8 i Direktivës). Në praktikë, monitorimi i ujërave nëntokësorë synon marrjen e të dhënave që mbështesin ngritjen e statusit të ujit të TUNT në një basen ujor nëpërmjet monitorimit të gjendjes sasiore dhe kimike</w:t>
      </w:r>
      <w:r w:rsidRPr="00445472">
        <w:rPr>
          <w:bCs/>
        </w:rPr>
        <w:t xml:space="preserve">. </w:t>
      </w:r>
    </w:p>
    <w:p w14:paraId="2D64BE1F" w14:textId="77777777" w:rsidR="00AC2A47" w:rsidRPr="00445472" w:rsidRDefault="00AC2A47" w:rsidP="0059625C">
      <w:pPr>
        <w:pStyle w:val="TEKSTIIII"/>
      </w:pPr>
    </w:p>
    <w:p w14:paraId="169D316E" w14:textId="77777777" w:rsidR="0049241F" w:rsidRPr="00445472" w:rsidRDefault="0049241F" w:rsidP="0049241F">
      <w:pPr>
        <w:pStyle w:val="NENTITULL"/>
      </w:pPr>
      <w:r w:rsidRPr="00445472">
        <w:t>Tabela 6.4:  Përmbledhje e qëllimeve dhe kërkesave të programeve të monitorimit të ujërave nëntokësorë të specifikuara në Shtojcën V të Direktivës</w:t>
      </w:r>
      <w:r w:rsidRPr="00445472">
        <w:rPr>
          <w:rStyle w:val="FootnoteReference"/>
          <w:rFonts w:ascii="Garamond" w:hAnsi="Garamond"/>
          <w:b w:val="0"/>
          <w:color w:val="auto"/>
        </w:rPr>
        <w:footnoteReference w:id="114"/>
      </w:r>
    </w:p>
    <w:p w14:paraId="08DCB876" w14:textId="3B824346" w:rsidR="0049241F" w:rsidRPr="00445472" w:rsidRDefault="0049241F" w:rsidP="0049241F">
      <w:pPr>
        <w:pStyle w:val="TEKSTIIII"/>
        <w:ind w:firstLine="0"/>
        <w:jc w:val="center"/>
      </w:pPr>
      <w:r w:rsidRPr="00445472">
        <w:rPr>
          <w:noProof/>
          <w:lang w:val="en-US"/>
        </w:rPr>
        <w:drawing>
          <wp:inline distT="0" distB="0" distL="0" distR="0" wp14:anchorId="0F5BA847" wp14:editId="41280E5E">
            <wp:extent cx="5760085" cy="3777336"/>
            <wp:effectExtent l="19050" t="19050" r="12065" b="13970"/>
            <wp:docPr id="1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085" cy="3777336"/>
                    </a:xfrm>
                    <a:prstGeom prst="rect">
                      <a:avLst/>
                    </a:prstGeom>
                    <a:noFill/>
                    <a:ln w="6350" cmpd="sng">
                      <a:solidFill>
                        <a:srgbClr val="002060"/>
                      </a:solidFill>
                      <a:miter lim="800000"/>
                      <a:headEnd/>
                      <a:tailEnd/>
                    </a:ln>
                    <a:effectLst/>
                  </pic:spPr>
                </pic:pic>
              </a:graphicData>
            </a:graphic>
          </wp:inline>
        </w:drawing>
      </w:r>
    </w:p>
    <w:p w14:paraId="7DC07DC6" w14:textId="77777777" w:rsidR="008E5C66" w:rsidRPr="00445472" w:rsidRDefault="008E5C66" w:rsidP="0049241F">
      <w:pPr>
        <w:pStyle w:val="TEKSTIIII"/>
        <w:ind w:firstLine="0"/>
        <w:jc w:val="center"/>
      </w:pPr>
    </w:p>
    <w:p w14:paraId="6C853413" w14:textId="77777777" w:rsidR="008E5C66" w:rsidRPr="00445472" w:rsidRDefault="008E5C66" w:rsidP="008E5C66">
      <w:pPr>
        <w:pStyle w:val="TEKSTIIII"/>
      </w:pPr>
      <w:r w:rsidRPr="00445472">
        <w:t xml:space="preserve">Një Plan i Monitorimit të Baseneve Ujore bazohet në një kuptim të thellë të sistemit të ujërave nëntokësore, prandaj, para se të hartohet një program monitorimi, DKU kërkon që shtetet të karakterizojnë ujërat për të mbështetur një program monitorimi efektiv, efikas dhe të përballueshëm të ujërave nëntokësore. </w:t>
      </w:r>
    </w:p>
    <w:p w14:paraId="4D2BBEFA" w14:textId="028DBEA2" w:rsidR="008E5C66" w:rsidRPr="00445472" w:rsidRDefault="008E5C66" w:rsidP="008E5C66">
      <w:pPr>
        <w:pStyle w:val="TEKSTIIII"/>
      </w:pPr>
      <w:r w:rsidRPr="00445472">
        <w:t xml:space="preserve">Objektivi primar i programit të monitorimit sipas Shtojcës V të DKU është </w:t>
      </w:r>
      <w:r w:rsidRPr="00445472">
        <w:rPr>
          <w:i/>
        </w:rPr>
        <w:t>trupa ujorë që ofrojnë më shumë se 100</w:t>
      </w:r>
      <w:r w:rsidR="007B58B8" w:rsidRPr="00445472">
        <w:rPr>
          <w:i/>
        </w:rPr>
        <w:t xml:space="preserve"> </w:t>
      </w:r>
      <w:r w:rsidRPr="00445472">
        <w:rPr>
          <w:i/>
        </w:rPr>
        <w:t>m</w:t>
      </w:r>
      <w:r w:rsidRPr="00445472">
        <w:rPr>
          <w:i/>
          <w:vertAlign w:val="superscript"/>
        </w:rPr>
        <w:t>3</w:t>
      </w:r>
      <w:r w:rsidRPr="00445472">
        <w:rPr>
          <w:i/>
        </w:rPr>
        <w:t xml:space="preserve"> në ditë mesatarisht.</w:t>
      </w:r>
      <w:r w:rsidRPr="00445472">
        <w:t xml:space="preserve"> Siç u tha më parë, programit i kërkohet të përfshijë monitorimin e elementeve sasiore dhe cilësore (kimike) për trupat ujorë nëntokësorë. </w:t>
      </w:r>
    </w:p>
    <w:p w14:paraId="224A6340" w14:textId="67F5D4D5" w:rsidR="008E5C66" w:rsidRPr="00445472" w:rsidRDefault="008E5C66" w:rsidP="008E5C66">
      <w:pPr>
        <w:pStyle w:val="NENTITULL"/>
      </w:pPr>
      <w:bookmarkStart w:id="117" w:name="_Toc11068798"/>
      <w:r w:rsidRPr="00445472">
        <w:t>6.4.1 Monitorimi sasior i ujërave nëntokësorë</w:t>
      </w:r>
      <w:bookmarkEnd w:id="117"/>
    </w:p>
    <w:p w14:paraId="1ACE4D58" w14:textId="77777777" w:rsidR="008E5C66" w:rsidRPr="00445472" w:rsidRDefault="008E5C66" w:rsidP="008E5C66">
      <w:pPr>
        <w:pStyle w:val="TEKSTIIII"/>
      </w:pPr>
      <w:r w:rsidRPr="00445472">
        <w:t xml:space="preserve">Kjo konsiston në monitorimin e nivelit të ujërave nëntokësorë (nenet 7 dhe 8). Qëllimi i tij është vlerësimi i bilancit të ujit për secilin trup ujor. Të dhënat mbi regjimin e nivelit të ujërave nëntokësore mbështesin kryesisht ngritjen e gjendjes sasiore të trupave nëntokësorë, ndikimin antropogjen dhe natyror në BU në afat të shkurtër dhe afatgjatë, siç është nxjerrja e ujit dhe shkalla e arritjes së objektivave mjedisore të specifikuara në Nenin 4 për ujërat sipërfaqësore të lidhura ose zvogëlim tjetër të rëndësishëm në statusin e këtyre ujërave. Ai gjithashtu mbështet karakterizimin e trupave ujorë sipas Shtojcës II. </w:t>
      </w:r>
    </w:p>
    <w:p w14:paraId="7779DA32" w14:textId="401F5D26" w:rsidR="008E5C66" w:rsidRPr="00445472" w:rsidRDefault="008E5C66" w:rsidP="008E5C66">
      <w:pPr>
        <w:pStyle w:val="TEKSTIIII"/>
      </w:pPr>
      <w:r w:rsidRPr="00445472">
        <w:rPr>
          <w:i/>
        </w:rPr>
        <w:t xml:space="preserve">Pikat e monitorimit: </w:t>
      </w:r>
      <w:r w:rsidRPr="00445472">
        <w:t>Direktiva kërkon që programi i monitorimit të jetë në gjendje të vlerësojë nivelin e ujit për secilin TUNT ose grup të BU. Kështu, ajo kërkon një rrjet të gjerë të puseve monitoruese përfaqësuese që marrin parasysh variacionet afatshkurtra dhe afatgjata të rimbushjes</w:t>
      </w:r>
      <w:r w:rsidR="001D340B" w:rsidRPr="00445472">
        <w:t>/</w:t>
      </w:r>
      <w:r w:rsidRPr="00445472">
        <w:t>shkarkimit dhe në veçanti fokusohet në:</w:t>
      </w:r>
    </w:p>
    <w:p w14:paraId="18B496F8" w14:textId="340FC6B7" w:rsidR="008E5C66" w:rsidRPr="00445472" w:rsidRDefault="008E5C66" w:rsidP="008E5C66">
      <w:pPr>
        <w:pStyle w:val="TEKSTIIII"/>
      </w:pPr>
      <w:r w:rsidRPr="00445472">
        <w:t>-</w:t>
      </w:r>
      <w:r w:rsidR="00700A32" w:rsidRPr="00445472">
        <w:t xml:space="preserve"> </w:t>
      </w:r>
      <w:r w:rsidRPr="00445472">
        <w:t xml:space="preserve">Trupat ujorë nëntokësorë të identifikuar si të rrezikuar për mos arritjen e objektivave mjedisore sipas </w:t>
      </w:r>
      <w:r w:rsidR="00700A32" w:rsidRPr="00445472">
        <w:t xml:space="preserve">nenit </w:t>
      </w:r>
      <w:r w:rsidRPr="00445472">
        <w:t>4</w:t>
      </w:r>
      <w:r w:rsidR="00700A32" w:rsidRPr="00445472">
        <w:t>;</w:t>
      </w:r>
    </w:p>
    <w:p w14:paraId="631063A9" w14:textId="450C1F42" w:rsidR="008E5C66" w:rsidRPr="00445472" w:rsidRDefault="008E5C66" w:rsidP="008E5C66">
      <w:pPr>
        <w:pStyle w:val="TEKSTIIII"/>
      </w:pPr>
      <w:r w:rsidRPr="00445472">
        <w:t>-</w:t>
      </w:r>
      <w:r w:rsidR="00700A32" w:rsidRPr="00445472">
        <w:t xml:space="preserve"> </w:t>
      </w:r>
      <w:r w:rsidRPr="00445472">
        <w:t>Trupat ujore nëntokësorë brenda të cilave ujërat nëntokësor</w:t>
      </w:r>
      <w:r w:rsidR="00445472">
        <w:t>e</w:t>
      </w:r>
      <w:r w:rsidRPr="00445472">
        <w:t xml:space="preserve"> rrjedhin përtej </w:t>
      </w:r>
      <w:r w:rsidR="007B58B8" w:rsidRPr="00445472">
        <w:t>kufijve</w:t>
      </w:r>
      <w:r w:rsidRPr="00445472">
        <w:t xml:space="preserve"> të një Shteti Anëtar</w:t>
      </w:r>
      <w:r w:rsidR="00700A32" w:rsidRPr="00445472">
        <w:t>.</w:t>
      </w:r>
    </w:p>
    <w:p w14:paraId="62E9E8B2" w14:textId="77777777" w:rsidR="008E5C66" w:rsidRPr="00445472" w:rsidRDefault="008E5C66" w:rsidP="008E5C66">
      <w:pPr>
        <w:pStyle w:val="TEKSTIIII"/>
      </w:pPr>
      <w:r w:rsidRPr="00445472">
        <w:t>Në të dyja këto raste, Direktiva kërkon pika të mjaftueshme monitorimi për të vlerësuar ndikimin e nxjerrjeve dhe shkarkimeve në TUNT në rrezik dhe drejtimin dhe shkallën e rrjedhjes së ujërave nëntokësore përgjatë kufirit të Shtetit Anëtar në rastin e TUNT ndërkufitare.</w:t>
      </w:r>
    </w:p>
    <w:p w14:paraId="4290EB5A" w14:textId="77777777" w:rsidR="008E5C66" w:rsidRPr="00445472" w:rsidRDefault="008E5C66" w:rsidP="008E5C66">
      <w:pPr>
        <w:pStyle w:val="TEKSTIIII"/>
      </w:pPr>
      <w:r w:rsidRPr="00445472">
        <w:rPr>
          <w:i/>
        </w:rPr>
        <w:t>Frekuencat e monitorimit:</w:t>
      </w:r>
      <w:r w:rsidRPr="00445472">
        <w:t xml:space="preserve"> DKU kërkon monitorim në frekuenca që sigurojnë kapjen e variacioneve të nivelit të ujit në afat të shkurtër dhe afatgjatë. </w:t>
      </w:r>
    </w:p>
    <w:p w14:paraId="4CA1AABF" w14:textId="2BA8801B" w:rsidR="008E5C66" w:rsidRPr="00445472" w:rsidRDefault="008E5C66" w:rsidP="008E5C66">
      <w:pPr>
        <w:pStyle w:val="TEKSTIIII"/>
      </w:pPr>
      <w:r w:rsidRPr="00445472">
        <w:rPr>
          <w:i/>
        </w:rPr>
        <w:t>Monitorimi cilësor i ujërave nëntokësore (statusi kimik)</w:t>
      </w:r>
      <w:r w:rsidRPr="00445472">
        <w:t xml:space="preserve"> ka për qëllim përcaktimin e gjendjes kimike të ujit të TUNT në një basen ujor dhe zbulimin e pranisë së tendencave afatgjata në ndotjen e shkaktuar nga aktivitetet antropogjene. Të dhënat janë të dobishme për të mbështetur gjithashtu karakterizimin dhe vlerësimin e ndikimit të TUNT për të përmbushur kërkesat e Nenit 7 dhe 8. Për këtë qëllim, direktiva kërkon që shtetet të kryejnë </w:t>
      </w:r>
      <w:r w:rsidR="007B58B8" w:rsidRPr="00445472">
        <w:t>mbikëqyrje</w:t>
      </w:r>
      <w:r w:rsidRPr="00445472">
        <w:t xml:space="preserve"> dhe monitorim operacional. Në përgjithësi, gjendja kimike e një TUNT konsiderohet e mirë kur rezultatet e marra nga monitorimi i aspekteve të përgjithshme të shpjeguara më poshtë dhe ato të përçueshmërisë përmbushin kërkesat e Direktivës.</w:t>
      </w:r>
    </w:p>
    <w:p w14:paraId="71202D10" w14:textId="77777777" w:rsidR="008E5C66" w:rsidRPr="00445472" w:rsidRDefault="008E5C66" w:rsidP="008E5C66">
      <w:pPr>
        <w:pStyle w:val="TEKSTIIII"/>
      </w:pPr>
      <w:r w:rsidRPr="00445472">
        <w:rPr>
          <w:i/>
        </w:rPr>
        <w:t>Monitorimi mbikëqyrës</w:t>
      </w:r>
      <w:r w:rsidRPr="00445472">
        <w:t xml:space="preserve"> është i nevojshëm për secilën periudhë në të cilën zbatohet plani i menaxhimit të basenit ujor. Rezultatet e këtij lloji monitorimit përdoren për të zhvilluar monitorimin operacional. Rrjeti i monitorimit duhet të përfshijë pika të mjaftueshme monitorimi, veçanërisht kur është rasti i monitorimit të:  </w:t>
      </w:r>
    </w:p>
    <w:p w14:paraId="7A6DAA2E" w14:textId="553DDD84" w:rsidR="008E5C66" w:rsidRPr="00445472" w:rsidRDefault="00424ECA" w:rsidP="008E5C66">
      <w:pPr>
        <w:pStyle w:val="TEKSTIIII"/>
      </w:pPr>
      <w:r>
        <w:t xml:space="preserve">- </w:t>
      </w:r>
      <w:r w:rsidR="008E5C66" w:rsidRPr="00445472">
        <w:t>TUNT në rrezik që vijon me qëllim të karakterizimit të ndërmarrë në përputhje me Shtojcën II;</w:t>
      </w:r>
    </w:p>
    <w:p w14:paraId="5C26B227" w14:textId="4167EB9E" w:rsidR="008E5C66" w:rsidRPr="00445472" w:rsidRDefault="00424ECA" w:rsidP="008E5C66">
      <w:pPr>
        <w:pStyle w:val="TEKSTIIII"/>
      </w:pPr>
      <w:r>
        <w:t xml:space="preserve">- </w:t>
      </w:r>
      <w:r w:rsidR="008E5C66" w:rsidRPr="00445472">
        <w:t>Trupat e rëndësishme të ujit kalojnë një kufi të Shtetit Anëtar</w:t>
      </w:r>
    </w:p>
    <w:p w14:paraId="538D5D5B" w14:textId="77777777" w:rsidR="008E5C66" w:rsidRPr="00445472" w:rsidRDefault="008E5C66" w:rsidP="008E5C66">
      <w:pPr>
        <w:pStyle w:val="TEKSTIIII"/>
      </w:pPr>
      <w:r w:rsidRPr="00445472">
        <w:t>Sa i përket elementeve kimike, DKU kërkon të monitorohet përmbajtja</w:t>
      </w:r>
      <w:r w:rsidRPr="00445472">
        <w:rPr>
          <w:i/>
        </w:rPr>
        <w:t xml:space="preserve"> e oksigjenit, vlera e pH, përçueshmëria, nitratet dhe amoniaku </w:t>
      </w:r>
      <w:r w:rsidRPr="00445472">
        <w:t>dhe ato parametra që tregojnë ndikimet e presioneve të identifikuara në trupin ujor (përqendrimi i ndotësve).</w:t>
      </w:r>
    </w:p>
    <w:p w14:paraId="71434811" w14:textId="33C8DB23" w:rsidR="008E5C66" w:rsidRPr="00445472" w:rsidRDefault="008E5C66" w:rsidP="008E5C66">
      <w:pPr>
        <w:pStyle w:val="TEKSTIIII"/>
      </w:pPr>
      <w:r w:rsidRPr="00445472">
        <w:rPr>
          <w:i/>
        </w:rPr>
        <w:t>Monitorimi operacional</w:t>
      </w:r>
      <w:r w:rsidRPr="00445472">
        <w:t xml:space="preserve"> është subjekt i monitorimit mbikëqyrës. Ngjashëm me monitorimin e ujit sipërfaqësor, monitorimi operacional fokusohet në trupat ujorë që rrezikojnë të mos arrijnë </w:t>
      </w:r>
      <w:r w:rsidR="00DA3731" w:rsidRPr="00445472">
        <w:t>objektivat mjedisorë</w:t>
      </w:r>
      <w:r w:rsidRPr="00445472">
        <w:t xml:space="preserve"> të identifikuar nga monitorimi mbikëqyrës. Direktiva kërkon që monitorimi operacional të kryhet në periudhat ndërmjet programeve </w:t>
      </w:r>
      <w:r w:rsidR="007B58B8" w:rsidRPr="00445472">
        <w:t>mbikëqyrëse</w:t>
      </w:r>
      <w:r w:rsidRPr="00445472">
        <w:t>, në periudhën e mbetur të Planit të Menaxhimit të Baseneve Ujore, në një frekuencë të mjaftueshme për të zbuluar ndikimet e presioneve përkatëse, por së paku një herë në vit.</w:t>
      </w:r>
    </w:p>
    <w:p w14:paraId="3D30B67A" w14:textId="77777777" w:rsidR="008E5C66" w:rsidRPr="00445472" w:rsidRDefault="008E5C66" w:rsidP="008E5C66">
      <w:pPr>
        <w:pStyle w:val="TEKSTIIII"/>
      </w:pPr>
      <w:r w:rsidRPr="00445472">
        <w:t>Ky lloj i të dhënave të monitorimit mbështet caktimin e gjendjes kimike të të gjitha trupave ujorë nëntokësorë ose grupeve të trupave të përcaktuar si të rrezikuara, praninë e çdo prirjeje rritëse antropogjene afatgjatë në përqendrimin e çdo ndotësi.</w:t>
      </w:r>
    </w:p>
    <w:p w14:paraId="10D53B5E" w14:textId="77777777" w:rsidR="008E5C66" w:rsidRPr="00445472" w:rsidRDefault="008E5C66" w:rsidP="008E5C66">
      <w:pPr>
        <w:pStyle w:val="TEKSTIIII"/>
      </w:pPr>
      <w:r w:rsidRPr="00445472">
        <w:t xml:space="preserve">Direktiva e Ujit dhe Direktiva e Ujit të Pijshëm kanë theksuar gjithashtu nevojën që shtetet të sigurojnë që laboratorët që janë kontraktuar për të analizuar mostrat e ujit të kenë një sistem të kontrollit të cilësisë analitike që herë pas here është subjekt i kontrollit </w:t>
      </w:r>
      <w:r w:rsidRPr="00445472">
        <w:rPr>
          <w:i/>
        </w:rPr>
        <w:t xml:space="preserve">nga një person që nuk është nën kontrollin </w:t>
      </w:r>
      <w:r w:rsidRPr="00445472">
        <w:t xml:space="preserve">e laboratorit dhe i cili është miratuar nga institucionet përgjegjëse për këtë qëllim. </w:t>
      </w:r>
    </w:p>
    <w:p w14:paraId="5F533ED7" w14:textId="53AFEE5D" w:rsidR="008E5C66" w:rsidRPr="00445472" w:rsidRDefault="008E5C66" w:rsidP="008E5C66">
      <w:pPr>
        <w:pStyle w:val="NENTITULL"/>
      </w:pPr>
      <w:bookmarkStart w:id="118" w:name="_Toc486503407"/>
      <w:bookmarkStart w:id="119" w:name="_Toc11068799"/>
      <w:r w:rsidRPr="00445472">
        <w:t xml:space="preserve">6.5 Programi i monitorimit të ujërave nëntokësorë në përputhje me DKU-në për Basenin Ujor </w:t>
      </w:r>
      <w:bookmarkEnd w:id="118"/>
      <w:r w:rsidR="007E76E3" w:rsidRPr="00445472">
        <w:t>Drin–Bunë</w:t>
      </w:r>
      <w:bookmarkEnd w:id="119"/>
    </w:p>
    <w:p w14:paraId="179EB911" w14:textId="25CE77FB" w:rsidR="008E5C66" w:rsidRPr="00445472" w:rsidRDefault="008E5C66" w:rsidP="008E5C66">
      <w:pPr>
        <w:pStyle w:val="TEKSTIIII"/>
      </w:pPr>
      <w:bookmarkStart w:id="120" w:name="_Toc11068800"/>
      <w:r w:rsidRPr="00445472">
        <w:t xml:space="preserve">Monitorimi aktual i ujërave nëntokësore në Basenin Ujor </w:t>
      </w:r>
      <w:r w:rsidR="007E76E3" w:rsidRPr="00445472">
        <w:t>Drin–Bunë</w:t>
      </w:r>
      <w:bookmarkEnd w:id="120"/>
    </w:p>
    <w:p w14:paraId="3F2E776D" w14:textId="2FF17565" w:rsidR="008E5C66" w:rsidRPr="00445472" w:rsidRDefault="008E5C66" w:rsidP="008E5C66">
      <w:pPr>
        <w:pStyle w:val="TEKSTIIII"/>
      </w:pPr>
      <w:r w:rsidRPr="00445472">
        <w:t xml:space="preserve">Monitorimi i ujërave nëntokësore në Basenin Ujor </w:t>
      </w:r>
      <w:r w:rsidR="007E76E3" w:rsidRPr="00445472">
        <w:t>Drin–Bunë</w:t>
      </w:r>
      <w:r w:rsidRPr="00445472">
        <w:t xml:space="preserve"> bazohet në rrjetin kombëtar të monitorimit. Kjo shërben si bazë për monitorimin e ardhshëm të TUNT në Basenin Ujor, megjithëse kërkon rregullime për të përmbushur kërkesat e DKU-së. </w:t>
      </w:r>
    </w:p>
    <w:p w14:paraId="74A8578D" w14:textId="1B18C1F3" w:rsidR="008E5C66" w:rsidRPr="00445472" w:rsidRDefault="008E5C66" w:rsidP="008E5C66">
      <w:pPr>
        <w:pStyle w:val="TEKSTIIII"/>
      </w:pPr>
      <w:r w:rsidRPr="00445472">
        <w:t xml:space="preserve">Si pjesë e Programit Kombëtar të Monitorimit, monitorimi i ujërave nëntokësore në Basenin Ujor të </w:t>
      </w:r>
      <w:r w:rsidR="007E76E3" w:rsidRPr="00445472">
        <w:t>Drin–Bunë</w:t>
      </w:r>
      <w:r w:rsidRPr="00445472">
        <w:t>s përfshin 8 stacione monitorimi për parametrat fiziko-kimikë të paraqitura në Tabelën 6.5. dhe 5 stacione monitorimi për parametrat hidrodinamikë (</w:t>
      </w:r>
      <w:r w:rsidR="007B58B8" w:rsidRPr="00445472">
        <w:t xml:space="preserve">tabela </w:t>
      </w:r>
      <w:r w:rsidRPr="00445472">
        <w:t>6.6).</w:t>
      </w:r>
    </w:p>
    <w:p w14:paraId="7933BCF2" w14:textId="77777777" w:rsidR="008E5C66" w:rsidRPr="00445472" w:rsidRDefault="008E5C66" w:rsidP="008E5C66">
      <w:pPr>
        <w:pStyle w:val="TEKSTIIII"/>
      </w:pPr>
    </w:p>
    <w:p w14:paraId="45BBD2B7" w14:textId="77777777" w:rsidR="008E5C66" w:rsidRPr="00445472" w:rsidRDefault="008E5C66" w:rsidP="008E5C66">
      <w:pPr>
        <w:pStyle w:val="TEKSTIIII"/>
      </w:pPr>
    </w:p>
    <w:p w14:paraId="518F9A95" w14:textId="77777777" w:rsidR="008E5C66" w:rsidRPr="00445472" w:rsidRDefault="008E5C66" w:rsidP="008E5C66">
      <w:pPr>
        <w:pStyle w:val="TEKSTIIII"/>
      </w:pPr>
    </w:p>
    <w:p w14:paraId="50E49283" w14:textId="77777777" w:rsidR="008E5C66" w:rsidRPr="00445472" w:rsidRDefault="008E5C66" w:rsidP="008E5C66">
      <w:pPr>
        <w:pStyle w:val="TEKSTIIII"/>
      </w:pPr>
    </w:p>
    <w:p w14:paraId="6BD59C81" w14:textId="2C9B3F76" w:rsidR="008E5C66" w:rsidRPr="00445472" w:rsidRDefault="008E5C66" w:rsidP="008E5C66">
      <w:pPr>
        <w:pStyle w:val="NENTITULL"/>
      </w:pPr>
      <w:r w:rsidRPr="00445472">
        <w:t xml:space="preserve">Tabela 6.5: Stacionet monitoruese për parametrat fiziko-kimikë në Basenin </w:t>
      </w:r>
      <w:r w:rsidR="007E76E3" w:rsidRPr="00445472">
        <w:t>Drin–Bunë</w:t>
      </w:r>
      <w:r w:rsidRPr="00445472">
        <w:rPr>
          <w:rStyle w:val="FootnoteReference"/>
          <w:rFonts w:ascii="Garamond" w:hAnsi="Garamond"/>
          <w:b w:val="0"/>
          <w:color w:val="auto"/>
        </w:rPr>
        <w:footnoteReference w:id="115"/>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970"/>
        <w:gridCol w:w="5221"/>
        <w:gridCol w:w="3096"/>
      </w:tblGrid>
      <w:tr w:rsidR="008E5C66" w:rsidRPr="00445472" w14:paraId="1D2850CF" w14:textId="77777777" w:rsidTr="008E5C66">
        <w:trPr>
          <w:trHeight w:val="300"/>
          <w:tblHeader/>
        </w:trPr>
        <w:tc>
          <w:tcPr>
            <w:tcW w:w="522" w:type="pct"/>
            <w:tcBorders>
              <w:bottom w:val="single" w:sz="8" w:space="0" w:color="27B1B0"/>
            </w:tcBorders>
            <w:vAlign w:val="center"/>
            <w:hideMark/>
          </w:tcPr>
          <w:p w14:paraId="7CE1F6CC" w14:textId="77777777" w:rsidR="008E5C66" w:rsidRPr="00445472" w:rsidRDefault="008E5C66" w:rsidP="008E5C66">
            <w:pPr>
              <w:pStyle w:val="TABELA"/>
              <w:rPr>
                <w:lang w:val="sq-AL"/>
              </w:rPr>
            </w:pPr>
            <w:r w:rsidRPr="00445472">
              <w:rPr>
                <w:lang w:val="sq-AL"/>
              </w:rPr>
              <w:t>Nr.</w:t>
            </w:r>
          </w:p>
        </w:tc>
        <w:tc>
          <w:tcPr>
            <w:tcW w:w="2811" w:type="pct"/>
            <w:tcBorders>
              <w:bottom w:val="single" w:sz="8" w:space="0" w:color="27B1B0"/>
            </w:tcBorders>
            <w:vAlign w:val="center"/>
            <w:hideMark/>
          </w:tcPr>
          <w:p w14:paraId="03C5ECB8" w14:textId="77777777" w:rsidR="008E5C66" w:rsidRPr="00445472" w:rsidRDefault="008E5C66" w:rsidP="008E5C66">
            <w:pPr>
              <w:pStyle w:val="TABELA"/>
              <w:rPr>
                <w:lang w:val="sq-AL"/>
              </w:rPr>
            </w:pPr>
            <w:r w:rsidRPr="00445472">
              <w:rPr>
                <w:lang w:val="sq-AL"/>
              </w:rPr>
              <w:t>Stacioni i Monitorimit</w:t>
            </w:r>
          </w:p>
        </w:tc>
        <w:tc>
          <w:tcPr>
            <w:tcW w:w="1667" w:type="pct"/>
            <w:tcBorders>
              <w:bottom w:val="single" w:sz="8" w:space="0" w:color="27B1B0"/>
            </w:tcBorders>
            <w:vAlign w:val="center"/>
            <w:hideMark/>
          </w:tcPr>
          <w:p w14:paraId="5B170504" w14:textId="77777777" w:rsidR="008E5C66" w:rsidRPr="00445472" w:rsidRDefault="008E5C66" w:rsidP="008E5C66">
            <w:pPr>
              <w:pStyle w:val="TABELA"/>
              <w:rPr>
                <w:lang w:val="sq-AL"/>
              </w:rPr>
            </w:pPr>
            <w:r w:rsidRPr="00445472">
              <w:rPr>
                <w:lang w:val="sq-AL"/>
              </w:rPr>
              <w:t>Qyteti</w:t>
            </w:r>
          </w:p>
        </w:tc>
      </w:tr>
      <w:tr w:rsidR="008E5C66" w:rsidRPr="00445472" w14:paraId="2B7ABB8D" w14:textId="77777777" w:rsidTr="008E5C66">
        <w:trPr>
          <w:trHeight w:val="525"/>
        </w:trPr>
        <w:tc>
          <w:tcPr>
            <w:tcW w:w="522" w:type="pct"/>
            <w:shd w:val="clear" w:color="auto" w:fill="D4D4D4"/>
            <w:vAlign w:val="center"/>
            <w:hideMark/>
          </w:tcPr>
          <w:p w14:paraId="2EB0CD52" w14:textId="77777777" w:rsidR="008E5C66" w:rsidRPr="00445472" w:rsidRDefault="008E5C66" w:rsidP="008E5C66">
            <w:pPr>
              <w:pStyle w:val="TABELA"/>
              <w:rPr>
                <w:lang w:val="sq-AL"/>
              </w:rPr>
            </w:pPr>
            <w:r w:rsidRPr="00445472">
              <w:rPr>
                <w:lang w:val="sq-AL"/>
              </w:rPr>
              <w:t>1</w:t>
            </w:r>
          </w:p>
        </w:tc>
        <w:tc>
          <w:tcPr>
            <w:tcW w:w="2811" w:type="pct"/>
            <w:shd w:val="clear" w:color="auto" w:fill="D4D4D4"/>
            <w:vAlign w:val="center"/>
            <w:hideMark/>
          </w:tcPr>
          <w:p w14:paraId="4FC19E80" w14:textId="3BFDAA67" w:rsidR="008E5C66" w:rsidRPr="00445472" w:rsidRDefault="008E5C66" w:rsidP="008E5C66">
            <w:pPr>
              <w:pStyle w:val="TABELA"/>
              <w:rPr>
                <w:lang w:val="sq-AL"/>
              </w:rPr>
            </w:pPr>
            <w:r w:rsidRPr="00445472">
              <w:rPr>
                <w:lang w:val="sq-AL"/>
              </w:rPr>
              <w:t xml:space="preserve">Pusi </w:t>
            </w:r>
            <w:r w:rsidR="007B58B8" w:rsidRPr="00445472">
              <w:rPr>
                <w:lang w:val="sq-AL"/>
              </w:rPr>
              <w:t>n</w:t>
            </w:r>
            <w:r w:rsidRPr="00445472">
              <w:rPr>
                <w:lang w:val="sq-AL"/>
              </w:rPr>
              <w:t>r. 1, Dobraç, Shkodër</w:t>
            </w:r>
          </w:p>
        </w:tc>
        <w:tc>
          <w:tcPr>
            <w:tcW w:w="1667" w:type="pct"/>
            <w:shd w:val="clear" w:color="auto" w:fill="D4D4D4"/>
            <w:vAlign w:val="center"/>
            <w:hideMark/>
          </w:tcPr>
          <w:p w14:paraId="51EA7AED" w14:textId="77777777" w:rsidR="008E5C66" w:rsidRPr="00445472" w:rsidRDefault="008E5C66" w:rsidP="008E5C66">
            <w:pPr>
              <w:pStyle w:val="TABELA"/>
              <w:rPr>
                <w:lang w:val="sq-AL"/>
              </w:rPr>
            </w:pPr>
            <w:r w:rsidRPr="00445472">
              <w:rPr>
                <w:lang w:val="sq-AL"/>
              </w:rPr>
              <w:t>Shkodër</w:t>
            </w:r>
          </w:p>
        </w:tc>
      </w:tr>
      <w:tr w:rsidR="008E5C66" w:rsidRPr="00445472" w14:paraId="75A9E7D4" w14:textId="77777777" w:rsidTr="008E5C66">
        <w:trPr>
          <w:trHeight w:val="525"/>
        </w:trPr>
        <w:tc>
          <w:tcPr>
            <w:tcW w:w="522" w:type="pct"/>
            <w:tcBorders>
              <w:bottom w:val="single" w:sz="8" w:space="0" w:color="27B1B0"/>
            </w:tcBorders>
            <w:vAlign w:val="center"/>
            <w:hideMark/>
          </w:tcPr>
          <w:p w14:paraId="1E79E7D1" w14:textId="77777777" w:rsidR="008E5C66" w:rsidRPr="00445472" w:rsidRDefault="008E5C66" w:rsidP="008E5C66">
            <w:pPr>
              <w:pStyle w:val="TABELA"/>
              <w:rPr>
                <w:lang w:val="sq-AL"/>
              </w:rPr>
            </w:pPr>
            <w:r w:rsidRPr="00445472">
              <w:rPr>
                <w:lang w:val="sq-AL"/>
              </w:rPr>
              <w:t>2</w:t>
            </w:r>
          </w:p>
        </w:tc>
        <w:tc>
          <w:tcPr>
            <w:tcW w:w="2811" w:type="pct"/>
            <w:tcBorders>
              <w:bottom w:val="single" w:sz="8" w:space="0" w:color="27B1B0"/>
            </w:tcBorders>
            <w:vAlign w:val="center"/>
            <w:hideMark/>
          </w:tcPr>
          <w:p w14:paraId="45BEFD5D" w14:textId="355CC492" w:rsidR="008E5C66" w:rsidRPr="00445472" w:rsidRDefault="008E5C66" w:rsidP="008E5C66">
            <w:pPr>
              <w:pStyle w:val="TABELA"/>
              <w:rPr>
                <w:lang w:val="sq-AL"/>
              </w:rPr>
            </w:pPr>
            <w:r w:rsidRPr="00445472">
              <w:rPr>
                <w:lang w:val="sq-AL"/>
              </w:rPr>
              <w:t xml:space="preserve">Pusi </w:t>
            </w:r>
            <w:r w:rsidR="007B58B8" w:rsidRPr="00445472">
              <w:rPr>
                <w:lang w:val="sq-AL"/>
              </w:rPr>
              <w:t>n</w:t>
            </w:r>
            <w:r w:rsidRPr="00445472">
              <w:rPr>
                <w:lang w:val="sq-AL"/>
              </w:rPr>
              <w:t>r.</w:t>
            </w:r>
            <w:r w:rsidR="007B58B8" w:rsidRPr="00445472">
              <w:rPr>
                <w:lang w:val="sq-AL"/>
              </w:rPr>
              <w:t xml:space="preserve"> </w:t>
            </w:r>
            <w:r w:rsidRPr="00445472">
              <w:rPr>
                <w:lang w:val="sq-AL"/>
              </w:rPr>
              <w:t>3 Kisha e Madhe, Shkodër</w:t>
            </w:r>
          </w:p>
        </w:tc>
        <w:tc>
          <w:tcPr>
            <w:tcW w:w="1667" w:type="pct"/>
            <w:tcBorders>
              <w:bottom w:val="single" w:sz="8" w:space="0" w:color="27B1B0"/>
            </w:tcBorders>
            <w:vAlign w:val="center"/>
            <w:hideMark/>
          </w:tcPr>
          <w:p w14:paraId="4B0ABAB7" w14:textId="77777777" w:rsidR="008E5C66" w:rsidRPr="00445472" w:rsidRDefault="008E5C66" w:rsidP="008E5C66">
            <w:pPr>
              <w:pStyle w:val="TABELA"/>
              <w:rPr>
                <w:lang w:val="sq-AL"/>
              </w:rPr>
            </w:pPr>
            <w:r w:rsidRPr="00445472">
              <w:rPr>
                <w:lang w:val="sq-AL"/>
              </w:rPr>
              <w:t>Shkodër</w:t>
            </w:r>
          </w:p>
        </w:tc>
      </w:tr>
      <w:tr w:rsidR="008E5C66" w:rsidRPr="00445472" w14:paraId="339B76EB" w14:textId="77777777" w:rsidTr="008E5C66">
        <w:trPr>
          <w:trHeight w:val="300"/>
        </w:trPr>
        <w:tc>
          <w:tcPr>
            <w:tcW w:w="522" w:type="pct"/>
            <w:shd w:val="clear" w:color="auto" w:fill="D4D4D4"/>
            <w:vAlign w:val="center"/>
            <w:hideMark/>
          </w:tcPr>
          <w:p w14:paraId="122F98B2" w14:textId="77777777" w:rsidR="008E5C66" w:rsidRPr="00445472" w:rsidRDefault="008E5C66" w:rsidP="008E5C66">
            <w:pPr>
              <w:pStyle w:val="TABELA"/>
              <w:rPr>
                <w:lang w:val="sq-AL"/>
              </w:rPr>
            </w:pPr>
            <w:r w:rsidRPr="00445472">
              <w:rPr>
                <w:lang w:val="sq-AL"/>
              </w:rPr>
              <w:t>3</w:t>
            </w:r>
          </w:p>
        </w:tc>
        <w:tc>
          <w:tcPr>
            <w:tcW w:w="2811" w:type="pct"/>
            <w:shd w:val="clear" w:color="auto" w:fill="D4D4D4"/>
            <w:vAlign w:val="center"/>
            <w:hideMark/>
          </w:tcPr>
          <w:p w14:paraId="47018EB3" w14:textId="77777777" w:rsidR="008E5C66" w:rsidRPr="00445472" w:rsidRDefault="008E5C66" w:rsidP="008E5C66">
            <w:pPr>
              <w:pStyle w:val="TABELA"/>
              <w:rPr>
                <w:lang w:val="sq-AL"/>
              </w:rPr>
            </w:pPr>
            <w:r w:rsidRPr="00445472">
              <w:rPr>
                <w:lang w:val="sq-AL"/>
              </w:rPr>
              <w:t>Hot i Ri</w:t>
            </w:r>
          </w:p>
        </w:tc>
        <w:tc>
          <w:tcPr>
            <w:tcW w:w="1667" w:type="pct"/>
            <w:shd w:val="clear" w:color="auto" w:fill="D4D4D4"/>
            <w:vAlign w:val="center"/>
            <w:hideMark/>
          </w:tcPr>
          <w:p w14:paraId="21CC3F0C" w14:textId="77777777" w:rsidR="008E5C66" w:rsidRPr="00445472" w:rsidRDefault="008E5C66" w:rsidP="008E5C66">
            <w:pPr>
              <w:pStyle w:val="TABELA"/>
              <w:rPr>
                <w:lang w:val="sq-AL"/>
              </w:rPr>
            </w:pPr>
            <w:r w:rsidRPr="00445472">
              <w:rPr>
                <w:lang w:val="sq-AL"/>
              </w:rPr>
              <w:t>Shkodër</w:t>
            </w:r>
          </w:p>
        </w:tc>
      </w:tr>
      <w:tr w:rsidR="008E5C66" w:rsidRPr="00445472" w14:paraId="0D187040" w14:textId="77777777" w:rsidTr="008E5C66">
        <w:trPr>
          <w:trHeight w:val="300"/>
        </w:trPr>
        <w:tc>
          <w:tcPr>
            <w:tcW w:w="522" w:type="pct"/>
            <w:tcBorders>
              <w:bottom w:val="single" w:sz="8" w:space="0" w:color="27B1B0"/>
            </w:tcBorders>
            <w:vAlign w:val="center"/>
            <w:hideMark/>
          </w:tcPr>
          <w:p w14:paraId="6E2DDAC1" w14:textId="77777777" w:rsidR="008E5C66" w:rsidRPr="00445472" w:rsidRDefault="008E5C66" w:rsidP="008E5C66">
            <w:pPr>
              <w:pStyle w:val="TABELA"/>
              <w:rPr>
                <w:lang w:val="sq-AL"/>
              </w:rPr>
            </w:pPr>
            <w:r w:rsidRPr="00445472">
              <w:rPr>
                <w:lang w:val="sq-AL"/>
              </w:rPr>
              <w:t>4</w:t>
            </w:r>
          </w:p>
        </w:tc>
        <w:tc>
          <w:tcPr>
            <w:tcW w:w="2811" w:type="pct"/>
            <w:tcBorders>
              <w:bottom w:val="single" w:sz="8" w:space="0" w:color="27B1B0"/>
            </w:tcBorders>
            <w:vAlign w:val="center"/>
            <w:hideMark/>
          </w:tcPr>
          <w:p w14:paraId="702DFF98" w14:textId="77777777" w:rsidR="008E5C66" w:rsidRPr="00445472" w:rsidRDefault="008E5C66" w:rsidP="008E5C66">
            <w:pPr>
              <w:pStyle w:val="TABELA"/>
              <w:rPr>
                <w:lang w:val="sq-AL"/>
              </w:rPr>
            </w:pPr>
            <w:r w:rsidRPr="00445472">
              <w:rPr>
                <w:lang w:val="sq-AL"/>
              </w:rPr>
              <w:t>Stacioni Velipojë</w:t>
            </w:r>
          </w:p>
        </w:tc>
        <w:tc>
          <w:tcPr>
            <w:tcW w:w="1667" w:type="pct"/>
            <w:tcBorders>
              <w:bottom w:val="single" w:sz="8" w:space="0" w:color="27B1B0"/>
            </w:tcBorders>
            <w:vAlign w:val="center"/>
            <w:hideMark/>
          </w:tcPr>
          <w:p w14:paraId="2FB35033" w14:textId="77777777" w:rsidR="008E5C66" w:rsidRPr="00445472" w:rsidRDefault="008E5C66" w:rsidP="008E5C66">
            <w:pPr>
              <w:pStyle w:val="TABELA"/>
              <w:rPr>
                <w:lang w:val="sq-AL"/>
              </w:rPr>
            </w:pPr>
            <w:r w:rsidRPr="00445472">
              <w:rPr>
                <w:lang w:val="sq-AL"/>
              </w:rPr>
              <w:t>Velipojë</w:t>
            </w:r>
          </w:p>
        </w:tc>
      </w:tr>
      <w:tr w:rsidR="008E5C66" w:rsidRPr="00445472" w14:paraId="14D908FA" w14:textId="77777777" w:rsidTr="008E5C66">
        <w:trPr>
          <w:trHeight w:val="525"/>
        </w:trPr>
        <w:tc>
          <w:tcPr>
            <w:tcW w:w="522" w:type="pct"/>
            <w:shd w:val="clear" w:color="auto" w:fill="D4D4D4"/>
            <w:vAlign w:val="center"/>
            <w:hideMark/>
          </w:tcPr>
          <w:p w14:paraId="7D96F1CE" w14:textId="77777777" w:rsidR="008E5C66" w:rsidRPr="00445472" w:rsidRDefault="008E5C66" w:rsidP="008E5C66">
            <w:pPr>
              <w:pStyle w:val="TABELA"/>
              <w:rPr>
                <w:lang w:val="sq-AL"/>
              </w:rPr>
            </w:pPr>
            <w:r w:rsidRPr="00445472">
              <w:rPr>
                <w:lang w:val="sq-AL"/>
              </w:rPr>
              <w:t>5</w:t>
            </w:r>
          </w:p>
        </w:tc>
        <w:tc>
          <w:tcPr>
            <w:tcW w:w="2811" w:type="pct"/>
            <w:shd w:val="clear" w:color="auto" w:fill="D4D4D4"/>
            <w:vAlign w:val="center"/>
            <w:hideMark/>
          </w:tcPr>
          <w:p w14:paraId="22C772A2" w14:textId="77777777" w:rsidR="008E5C66" w:rsidRPr="00445472" w:rsidRDefault="008E5C66" w:rsidP="008E5C66">
            <w:pPr>
              <w:pStyle w:val="TABELA"/>
              <w:rPr>
                <w:lang w:val="sq-AL"/>
              </w:rPr>
            </w:pPr>
            <w:r w:rsidRPr="00445472">
              <w:rPr>
                <w:lang w:val="sq-AL"/>
              </w:rPr>
              <w:t>Syri i Sheganit, Malësi e Madhe</w:t>
            </w:r>
          </w:p>
        </w:tc>
        <w:tc>
          <w:tcPr>
            <w:tcW w:w="1667" w:type="pct"/>
            <w:shd w:val="clear" w:color="auto" w:fill="D4D4D4"/>
            <w:vAlign w:val="center"/>
            <w:hideMark/>
          </w:tcPr>
          <w:p w14:paraId="588581FF" w14:textId="77777777" w:rsidR="008E5C66" w:rsidRPr="00445472" w:rsidRDefault="008E5C66" w:rsidP="008E5C66">
            <w:pPr>
              <w:pStyle w:val="TABELA"/>
              <w:rPr>
                <w:lang w:val="sq-AL"/>
              </w:rPr>
            </w:pPr>
            <w:r w:rsidRPr="00445472">
              <w:rPr>
                <w:lang w:val="sq-AL"/>
              </w:rPr>
              <w:t>Koplik</w:t>
            </w:r>
          </w:p>
        </w:tc>
      </w:tr>
      <w:tr w:rsidR="008E5C66" w:rsidRPr="00445472" w14:paraId="49CF05B9" w14:textId="77777777" w:rsidTr="008E5C66">
        <w:trPr>
          <w:trHeight w:val="525"/>
        </w:trPr>
        <w:tc>
          <w:tcPr>
            <w:tcW w:w="522" w:type="pct"/>
            <w:tcBorders>
              <w:bottom w:val="single" w:sz="8" w:space="0" w:color="27B1B0"/>
            </w:tcBorders>
            <w:vAlign w:val="center"/>
            <w:hideMark/>
          </w:tcPr>
          <w:p w14:paraId="653A2387" w14:textId="77777777" w:rsidR="008E5C66" w:rsidRPr="00445472" w:rsidRDefault="008E5C66" w:rsidP="008E5C66">
            <w:pPr>
              <w:pStyle w:val="TABELA"/>
              <w:rPr>
                <w:lang w:val="sq-AL"/>
              </w:rPr>
            </w:pPr>
            <w:r w:rsidRPr="00445472">
              <w:rPr>
                <w:lang w:val="sq-AL"/>
              </w:rPr>
              <w:t>6</w:t>
            </w:r>
          </w:p>
        </w:tc>
        <w:tc>
          <w:tcPr>
            <w:tcW w:w="2811" w:type="pct"/>
            <w:tcBorders>
              <w:bottom w:val="single" w:sz="8" w:space="0" w:color="27B1B0"/>
            </w:tcBorders>
            <w:vAlign w:val="center"/>
            <w:hideMark/>
          </w:tcPr>
          <w:p w14:paraId="0271E18A" w14:textId="77777777" w:rsidR="008E5C66" w:rsidRPr="00445472" w:rsidRDefault="008E5C66" w:rsidP="008E5C66">
            <w:pPr>
              <w:pStyle w:val="TABELA"/>
              <w:rPr>
                <w:lang w:val="sq-AL"/>
              </w:rPr>
            </w:pPr>
            <w:r w:rsidRPr="00445472">
              <w:rPr>
                <w:lang w:val="sq-AL"/>
              </w:rPr>
              <w:t>Burimi i Tushemishtit, Pogradec</w:t>
            </w:r>
          </w:p>
        </w:tc>
        <w:tc>
          <w:tcPr>
            <w:tcW w:w="1667" w:type="pct"/>
            <w:tcBorders>
              <w:bottom w:val="single" w:sz="8" w:space="0" w:color="27B1B0"/>
            </w:tcBorders>
            <w:vAlign w:val="center"/>
            <w:hideMark/>
          </w:tcPr>
          <w:p w14:paraId="65E62965" w14:textId="77777777" w:rsidR="008E5C66" w:rsidRPr="00445472" w:rsidRDefault="008E5C66" w:rsidP="008E5C66">
            <w:pPr>
              <w:pStyle w:val="TABELA"/>
              <w:rPr>
                <w:lang w:val="sq-AL"/>
              </w:rPr>
            </w:pPr>
            <w:r w:rsidRPr="00445472">
              <w:rPr>
                <w:lang w:val="sq-AL"/>
              </w:rPr>
              <w:t>Pogradec</w:t>
            </w:r>
          </w:p>
        </w:tc>
      </w:tr>
      <w:tr w:rsidR="008E5C66" w:rsidRPr="00445472" w14:paraId="49F2AC34" w14:textId="77777777" w:rsidTr="008E5C66">
        <w:trPr>
          <w:trHeight w:val="300"/>
        </w:trPr>
        <w:tc>
          <w:tcPr>
            <w:tcW w:w="522" w:type="pct"/>
            <w:shd w:val="clear" w:color="auto" w:fill="D4D4D4"/>
            <w:vAlign w:val="center"/>
            <w:hideMark/>
          </w:tcPr>
          <w:p w14:paraId="261B689E" w14:textId="77777777" w:rsidR="008E5C66" w:rsidRPr="00445472" w:rsidRDefault="008E5C66" w:rsidP="008E5C66">
            <w:pPr>
              <w:pStyle w:val="TABELA"/>
              <w:rPr>
                <w:lang w:val="sq-AL"/>
              </w:rPr>
            </w:pPr>
            <w:r w:rsidRPr="00445472">
              <w:rPr>
                <w:lang w:val="sq-AL"/>
              </w:rPr>
              <w:t>7</w:t>
            </w:r>
          </w:p>
        </w:tc>
        <w:tc>
          <w:tcPr>
            <w:tcW w:w="2811" w:type="pct"/>
            <w:shd w:val="clear" w:color="auto" w:fill="D4D4D4"/>
            <w:vAlign w:val="center"/>
            <w:hideMark/>
          </w:tcPr>
          <w:p w14:paraId="04894A25" w14:textId="77777777" w:rsidR="008E5C66" w:rsidRPr="00445472" w:rsidRDefault="008E5C66" w:rsidP="008E5C66">
            <w:pPr>
              <w:pStyle w:val="TABELA"/>
              <w:rPr>
                <w:lang w:val="sq-AL"/>
              </w:rPr>
            </w:pPr>
            <w:r w:rsidRPr="00445472">
              <w:rPr>
                <w:lang w:val="sq-AL"/>
              </w:rPr>
              <w:t>Burimi i Linit</w:t>
            </w:r>
          </w:p>
        </w:tc>
        <w:tc>
          <w:tcPr>
            <w:tcW w:w="1667" w:type="pct"/>
            <w:shd w:val="clear" w:color="auto" w:fill="D4D4D4"/>
            <w:vAlign w:val="center"/>
            <w:hideMark/>
          </w:tcPr>
          <w:p w14:paraId="21EE31A1" w14:textId="77777777" w:rsidR="008E5C66" w:rsidRPr="00445472" w:rsidRDefault="008E5C66" w:rsidP="008E5C66">
            <w:pPr>
              <w:pStyle w:val="TABELA"/>
              <w:rPr>
                <w:lang w:val="sq-AL"/>
              </w:rPr>
            </w:pPr>
            <w:r w:rsidRPr="00445472">
              <w:rPr>
                <w:lang w:val="sq-AL"/>
              </w:rPr>
              <w:t>Pogradec</w:t>
            </w:r>
          </w:p>
        </w:tc>
      </w:tr>
      <w:tr w:rsidR="008E5C66" w:rsidRPr="00445472" w14:paraId="42CE2A92" w14:textId="77777777" w:rsidTr="008E5C66">
        <w:trPr>
          <w:trHeight w:val="525"/>
        </w:trPr>
        <w:tc>
          <w:tcPr>
            <w:tcW w:w="522" w:type="pct"/>
            <w:vAlign w:val="center"/>
            <w:hideMark/>
          </w:tcPr>
          <w:p w14:paraId="7DC52200" w14:textId="77777777" w:rsidR="008E5C66" w:rsidRPr="00445472" w:rsidRDefault="008E5C66" w:rsidP="008E5C66">
            <w:pPr>
              <w:pStyle w:val="TABELA"/>
              <w:rPr>
                <w:lang w:val="sq-AL"/>
              </w:rPr>
            </w:pPr>
            <w:r w:rsidRPr="00445472">
              <w:rPr>
                <w:lang w:val="sq-AL"/>
              </w:rPr>
              <w:t>8</w:t>
            </w:r>
          </w:p>
        </w:tc>
        <w:tc>
          <w:tcPr>
            <w:tcW w:w="2811" w:type="pct"/>
            <w:vAlign w:val="center"/>
            <w:hideMark/>
          </w:tcPr>
          <w:p w14:paraId="0EB65569" w14:textId="77777777" w:rsidR="008E5C66" w:rsidRPr="00445472" w:rsidRDefault="008E5C66" w:rsidP="008E5C66">
            <w:pPr>
              <w:pStyle w:val="TABELA"/>
              <w:rPr>
                <w:lang w:val="sq-AL"/>
              </w:rPr>
            </w:pPr>
            <w:r w:rsidRPr="00445472">
              <w:rPr>
                <w:lang w:val="sq-AL"/>
              </w:rPr>
              <w:t>Burimi i Kolesjanit, Kukës</w:t>
            </w:r>
          </w:p>
        </w:tc>
        <w:tc>
          <w:tcPr>
            <w:tcW w:w="1667" w:type="pct"/>
            <w:vAlign w:val="center"/>
            <w:hideMark/>
          </w:tcPr>
          <w:p w14:paraId="03F756EB" w14:textId="77777777" w:rsidR="008E5C66" w:rsidRPr="00445472" w:rsidRDefault="008E5C66" w:rsidP="008E5C66">
            <w:pPr>
              <w:pStyle w:val="TABELA"/>
              <w:rPr>
                <w:lang w:val="sq-AL"/>
              </w:rPr>
            </w:pPr>
            <w:r w:rsidRPr="00445472">
              <w:rPr>
                <w:lang w:val="sq-AL"/>
              </w:rPr>
              <w:t>Kukës</w:t>
            </w:r>
          </w:p>
        </w:tc>
      </w:tr>
    </w:tbl>
    <w:p w14:paraId="7A43FB87" w14:textId="77777777" w:rsidR="008E5C66" w:rsidRPr="00445472" w:rsidRDefault="008E5C66" w:rsidP="008E5C66">
      <w:pPr>
        <w:pStyle w:val="TEKSTIIII"/>
        <w:rPr>
          <w:b/>
          <w:bCs/>
        </w:rPr>
      </w:pPr>
    </w:p>
    <w:p w14:paraId="1D1557BE" w14:textId="05C5A168" w:rsidR="008E5C66" w:rsidRPr="00445472" w:rsidRDefault="008E5C66" w:rsidP="008E5C66">
      <w:pPr>
        <w:pStyle w:val="TEKSTIIII"/>
        <w:rPr>
          <w:b/>
        </w:rPr>
      </w:pPr>
      <w:r w:rsidRPr="00445472">
        <w:rPr>
          <w:b/>
        </w:rPr>
        <w:t>Tabela 6.6: Stacionet m</w:t>
      </w:r>
      <w:r w:rsidR="000B43DB">
        <w:rPr>
          <w:b/>
        </w:rPr>
        <w:t>onitoruese për parametrat hidro</w:t>
      </w:r>
      <w:r w:rsidRPr="00445472">
        <w:rPr>
          <w:b/>
        </w:rPr>
        <w:t xml:space="preserve">dinamikë në Basenin </w:t>
      </w:r>
      <w:r w:rsidR="007E76E3" w:rsidRPr="00445472">
        <w:rPr>
          <w:b/>
        </w:rPr>
        <w:t>Drin–Bunë</w:t>
      </w:r>
      <w:r w:rsidRPr="00445472">
        <w:rPr>
          <w:rStyle w:val="FootnoteReference"/>
          <w:rFonts w:ascii="Garamond" w:hAnsi="Garamond"/>
          <w:b/>
          <w:color w:val="auto"/>
        </w:rPr>
        <w:footnoteReference w:id="116"/>
      </w:r>
    </w:p>
    <w:tbl>
      <w:tblPr>
        <w:tblW w:w="5245" w:type="dxa"/>
        <w:tblInd w:w="250" w:type="dxa"/>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622"/>
        <w:gridCol w:w="4623"/>
      </w:tblGrid>
      <w:tr w:rsidR="008E5C66" w:rsidRPr="00445472" w14:paraId="79E524BE" w14:textId="77777777" w:rsidTr="00B15A6B">
        <w:trPr>
          <w:trHeight w:val="315"/>
        </w:trPr>
        <w:tc>
          <w:tcPr>
            <w:tcW w:w="622" w:type="dxa"/>
            <w:tcBorders>
              <w:bottom w:val="single" w:sz="8" w:space="0" w:color="27B1B0"/>
            </w:tcBorders>
            <w:noWrap/>
            <w:vAlign w:val="center"/>
            <w:hideMark/>
          </w:tcPr>
          <w:p w14:paraId="56D3C480" w14:textId="77777777" w:rsidR="008E5C66" w:rsidRPr="00445472" w:rsidRDefault="008E5C66" w:rsidP="008E5C66">
            <w:pPr>
              <w:pStyle w:val="TABELA"/>
              <w:rPr>
                <w:lang w:val="sq-AL"/>
              </w:rPr>
            </w:pPr>
            <w:r w:rsidRPr="00445472">
              <w:rPr>
                <w:lang w:val="sq-AL"/>
              </w:rPr>
              <w:t>Nr.</w:t>
            </w:r>
          </w:p>
        </w:tc>
        <w:tc>
          <w:tcPr>
            <w:tcW w:w="4623" w:type="dxa"/>
            <w:tcBorders>
              <w:bottom w:val="single" w:sz="8" w:space="0" w:color="27B1B0"/>
            </w:tcBorders>
            <w:noWrap/>
            <w:vAlign w:val="center"/>
            <w:hideMark/>
          </w:tcPr>
          <w:p w14:paraId="15265059" w14:textId="77777777" w:rsidR="008E5C66" w:rsidRPr="00445472" w:rsidRDefault="008E5C66" w:rsidP="008E5C66">
            <w:pPr>
              <w:pStyle w:val="TABELA"/>
              <w:rPr>
                <w:lang w:val="sq-AL"/>
              </w:rPr>
            </w:pPr>
            <w:r w:rsidRPr="00445472">
              <w:rPr>
                <w:lang w:val="sq-AL"/>
              </w:rPr>
              <w:t>Vendndodhja</w:t>
            </w:r>
          </w:p>
        </w:tc>
      </w:tr>
      <w:tr w:rsidR="008E5C66" w:rsidRPr="00445472" w14:paraId="0EF33240" w14:textId="77777777" w:rsidTr="00B15A6B">
        <w:trPr>
          <w:trHeight w:val="405"/>
        </w:trPr>
        <w:tc>
          <w:tcPr>
            <w:tcW w:w="622" w:type="dxa"/>
            <w:shd w:val="clear" w:color="auto" w:fill="D4D4D4"/>
            <w:noWrap/>
            <w:vAlign w:val="center"/>
            <w:hideMark/>
          </w:tcPr>
          <w:p w14:paraId="66BF98FD" w14:textId="77777777" w:rsidR="008E5C66" w:rsidRPr="00445472" w:rsidRDefault="008E5C66" w:rsidP="008E5C66">
            <w:pPr>
              <w:pStyle w:val="TABELA"/>
              <w:rPr>
                <w:lang w:val="sq-AL"/>
              </w:rPr>
            </w:pPr>
            <w:r w:rsidRPr="00445472">
              <w:rPr>
                <w:lang w:val="sq-AL"/>
              </w:rPr>
              <w:t>1</w:t>
            </w:r>
          </w:p>
        </w:tc>
        <w:tc>
          <w:tcPr>
            <w:tcW w:w="4623" w:type="dxa"/>
            <w:shd w:val="clear" w:color="auto" w:fill="D4D4D4"/>
            <w:noWrap/>
            <w:vAlign w:val="center"/>
            <w:hideMark/>
          </w:tcPr>
          <w:p w14:paraId="5F5D0770" w14:textId="77777777" w:rsidR="008E5C66" w:rsidRPr="00445472" w:rsidRDefault="008E5C66" w:rsidP="008E5C66">
            <w:pPr>
              <w:pStyle w:val="TABELA"/>
              <w:rPr>
                <w:lang w:val="sq-AL"/>
              </w:rPr>
            </w:pPr>
            <w:r w:rsidRPr="00445472">
              <w:rPr>
                <w:lang w:val="sq-AL"/>
              </w:rPr>
              <w:t>Pusi në Grudë-Fushë-M. Madhe (Brajen Bar)</w:t>
            </w:r>
          </w:p>
        </w:tc>
      </w:tr>
      <w:tr w:rsidR="008E5C66" w:rsidRPr="00445472" w14:paraId="468B5403" w14:textId="77777777" w:rsidTr="00B15A6B">
        <w:trPr>
          <w:trHeight w:val="430"/>
        </w:trPr>
        <w:tc>
          <w:tcPr>
            <w:tcW w:w="622" w:type="dxa"/>
            <w:tcBorders>
              <w:bottom w:val="single" w:sz="8" w:space="0" w:color="27B1B0"/>
            </w:tcBorders>
            <w:noWrap/>
            <w:vAlign w:val="center"/>
            <w:hideMark/>
          </w:tcPr>
          <w:p w14:paraId="22DB7D92" w14:textId="77777777" w:rsidR="008E5C66" w:rsidRPr="00445472" w:rsidRDefault="008E5C66" w:rsidP="008E5C66">
            <w:pPr>
              <w:pStyle w:val="TABELA"/>
              <w:rPr>
                <w:lang w:val="sq-AL"/>
              </w:rPr>
            </w:pPr>
            <w:r w:rsidRPr="00445472">
              <w:rPr>
                <w:lang w:val="sq-AL"/>
              </w:rPr>
              <w:t>2</w:t>
            </w:r>
          </w:p>
        </w:tc>
        <w:tc>
          <w:tcPr>
            <w:tcW w:w="4623" w:type="dxa"/>
            <w:tcBorders>
              <w:bottom w:val="single" w:sz="8" w:space="0" w:color="27B1B0"/>
            </w:tcBorders>
            <w:noWrap/>
            <w:vAlign w:val="center"/>
            <w:hideMark/>
          </w:tcPr>
          <w:p w14:paraId="596D05FB" w14:textId="77777777" w:rsidR="008E5C66" w:rsidRPr="00445472" w:rsidRDefault="008E5C66" w:rsidP="008E5C66">
            <w:pPr>
              <w:pStyle w:val="TABELA"/>
              <w:rPr>
                <w:lang w:val="sq-AL"/>
              </w:rPr>
            </w:pPr>
            <w:r w:rsidRPr="00445472">
              <w:rPr>
                <w:lang w:val="sq-AL"/>
              </w:rPr>
              <w:t>Pusi i Shtojit të Vjetër, Shkodër</w:t>
            </w:r>
          </w:p>
        </w:tc>
      </w:tr>
      <w:tr w:rsidR="008E5C66" w:rsidRPr="00445472" w14:paraId="3BCE7429" w14:textId="77777777" w:rsidTr="00B15A6B">
        <w:trPr>
          <w:trHeight w:val="430"/>
        </w:trPr>
        <w:tc>
          <w:tcPr>
            <w:tcW w:w="622" w:type="dxa"/>
            <w:shd w:val="clear" w:color="auto" w:fill="D4D4D4"/>
            <w:noWrap/>
            <w:vAlign w:val="center"/>
            <w:hideMark/>
          </w:tcPr>
          <w:p w14:paraId="6A22CB28" w14:textId="77777777" w:rsidR="008E5C66" w:rsidRPr="00445472" w:rsidRDefault="008E5C66" w:rsidP="008E5C66">
            <w:pPr>
              <w:pStyle w:val="TABELA"/>
              <w:rPr>
                <w:lang w:val="sq-AL"/>
              </w:rPr>
            </w:pPr>
            <w:r w:rsidRPr="00445472">
              <w:rPr>
                <w:lang w:val="sq-AL"/>
              </w:rPr>
              <w:t>3</w:t>
            </w:r>
          </w:p>
        </w:tc>
        <w:tc>
          <w:tcPr>
            <w:tcW w:w="4623" w:type="dxa"/>
            <w:shd w:val="clear" w:color="auto" w:fill="D4D4D4"/>
            <w:noWrap/>
            <w:vAlign w:val="center"/>
            <w:hideMark/>
          </w:tcPr>
          <w:p w14:paraId="53D8B617" w14:textId="77777777" w:rsidR="008E5C66" w:rsidRPr="00445472" w:rsidRDefault="008E5C66" w:rsidP="008E5C66">
            <w:pPr>
              <w:pStyle w:val="TABELA"/>
              <w:rPr>
                <w:lang w:val="sq-AL"/>
              </w:rPr>
            </w:pPr>
            <w:r w:rsidRPr="00445472">
              <w:rPr>
                <w:lang w:val="sq-AL"/>
              </w:rPr>
              <w:t>Pusi qendror, Dobraç - Shkodër</w:t>
            </w:r>
          </w:p>
        </w:tc>
      </w:tr>
      <w:tr w:rsidR="008E5C66" w:rsidRPr="00445472" w14:paraId="5A0809B1" w14:textId="77777777" w:rsidTr="00B15A6B">
        <w:trPr>
          <w:trHeight w:val="439"/>
        </w:trPr>
        <w:tc>
          <w:tcPr>
            <w:tcW w:w="622" w:type="dxa"/>
            <w:tcBorders>
              <w:bottom w:val="single" w:sz="8" w:space="0" w:color="27B1B0"/>
            </w:tcBorders>
            <w:noWrap/>
            <w:vAlign w:val="center"/>
            <w:hideMark/>
          </w:tcPr>
          <w:p w14:paraId="7A4B20A2" w14:textId="77777777" w:rsidR="008E5C66" w:rsidRPr="00445472" w:rsidRDefault="008E5C66" w:rsidP="008E5C66">
            <w:pPr>
              <w:pStyle w:val="TABELA"/>
              <w:rPr>
                <w:lang w:val="sq-AL"/>
              </w:rPr>
            </w:pPr>
            <w:r w:rsidRPr="00445472">
              <w:rPr>
                <w:lang w:val="sq-AL"/>
              </w:rPr>
              <w:t>4</w:t>
            </w:r>
          </w:p>
        </w:tc>
        <w:tc>
          <w:tcPr>
            <w:tcW w:w="4623" w:type="dxa"/>
            <w:tcBorders>
              <w:bottom w:val="single" w:sz="8" w:space="0" w:color="27B1B0"/>
            </w:tcBorders>
            <w:noWrap/>
            <w:vAlign w:val="center"/>
            <w:hideMark/>
          </w:tcPr>
          <w:p w14:paraId="2F2FDB97" w14:textId="77777777" w:rsidR="008E5C66" w:rsidRPr="00445472" w:rsidRDefault="008E5C66" w:rsidP="008E5C66">
            <w:pPr>
              <w:pStyle w:val="TABELA"/>
              <w:rPr>
                <w:lang w:val="sq-AL"/>
              </w:rPr>
            </w:pPr>
            <w:r w:rsidRPr="00445472">
              <w:rPr>
                <w:lang w:val="sq-AL"/>
              </w:rPr>
              <w:t>Kisha e Madhe - Shkodër</w:t>
            </w:r>
          </w:p>
        </w:tc>
      </w:tr>
      <w:tr w:rsidR="008E5C66" w:rsidRPr="00445472" w14:paraId="359E7C14" w14:textId="77777777" w:rsidTr="00B15A6B">
        <w:trPr>
          <w:trHeight w:val="315"/>
        </w:trPr>
        <w:tc>
          <w:tcPr>
            <w:tcW w:w="622" w:type="dxa"/>
            <w:shd w:val="clear" w:color="auto" w:fill="D4D4D4"/>
            <w:noWrap/>
            <w:vAlign w:val="center"/>
            <w:hideMark/>
          </w:tcPr>
          <w:p w14:paraId="0168C357" w14:textId="77777777" w:rsidR="008E5C66" w:rsidRPr="00445472" w:rsidRDefault="008E5C66" w:rsidP="008E5C66">
            <w:pPr>
              <w:pStyle w:val="TABELA"/>
              <w:rPr>
                <w:lang w:val="sq-AL"/>
              </w:rPr>
            </w:pPr>
            <w:r w:rsidRPr="00445472">
              <w:rPr>
                <w:lang w:val="sq-AL"/>
              </w:rPr>
              <w:t>5</w:t>
            </w:r>
          </w:p>
        </w:tc>
        <w:tc>
          <w:tcPr>
            <w:tcW w:w="4623" w:type="dxa"/>
            <w:shd w:val="clear" w:color="auto" w:fill="D4D4D4"/>
            <w:noWrap/>
            <w:vAlign w:val="center"/>
            <w:hideMark/>
          </w:tcPr>
          <w:p w14:paraId="2B1A93A2" w14:textId="77777777" w:rsidR="008E5C66" w:rsidRPr="00445472" w:rsidRDefault="008E5C66" w:rsidP="008E5C66">
            <w:pPr>
              <w:pStyle w:val="TABELA"/>
              <w:rPr>
                <w:lang w:val="sq-AL"/>
              </w:rPr>
            </w:pPr>
            <w:r w:rsidRPr="00445472">
              <w:rPr>
                <w:lang w:val="sq-AL"/>
              </w:rPr>
              <w:t>Pusi i Kukësit</w:t>
            </w:r>
          </w:p>
        </w:tc>
      </w:tr>
    </w:tbl>
    <w:p w14:paraId="1C0AE286" w14:textId="77777777" w:rsidR="008E5C66" w:rsidRPr="00445472" w:rsidRDefault="008E5C66" w:rsidP="008E5C66">
      <w:pPr>
        <w:pStyle w:val="TEKSTIIII"/>
        <w:rPr>
          <w:rFonts w:eastAsia="Calibri"/>
          <w:bCs/>
        </w:rPr>
      </w:pPr>
    </w:p>
    <w:p w14:paraId="68A0E2FA" w14:textId="4A3F520F" w:rsidR="008E5C66" w:rsidRPr="00445472" w:rsidRDefault="00424ECA" w:rsidP="008E5C66">
      <w:pPr>
        <w:pStyle w:val="TEKSTIIII"/>
      </w:pPr>
      <w:r>
        <w:t xml:space="preserve">Sa u </w:t>
      </w:r>
      <w:r w:rsidR="008E5C66" w:rsidRPr="00445472">
        <w:t>përket parametrave, AKM monitoron sa vijon:</w:t>
      </w:r>
    </w:p>
    <w:p w14:paraId="7F3088C7" w14:textId="7A3BDBCB" w:rsidR="008E5C66" w:rsidRPr="00445472" w:rsidRDefault="00424ECA" w:rsidP="008E5C66">
      <w:pPr>
        <w:pStyle w:val="TEKSTIIII"/>
      </w:pPr>
      <w:r>
        <w:t xml:space="preserve">- </w:t>
      </w:r>
      <w:r w:rsidR="008E5C66" w:rsidRPr="00445472">
        <w:t>Analiza kimike: Na, K, Mg, Ca, Fe, NH</w:t>
      </w:r>
      <w:r w:rsidR="008E5C66" w:rsidRPr="00445472">
        <w:rPr>
          <w:vertAlign w:val="subscript"/>
        </w:rPr>
        <w:t>4</w:t>
      </w:r>
      <w:r w:rsidR="008E5C66" w:rsidRPr="00445472">
        <w:t>, HCO</w:t>
      </w:r>
      <w:r w:rsidR="008E5C66" w:rsidRPr="00445472">
        <w:rPr>
          <w:vertAlign w:val="subscript"/>
        </w:rPr>
        <w:t>3</w:t>
      </w:r>
      <w:r w:rsidR="008E5C66" w:rsidRPr="00445472">
        <w:t>, CO</w:t>
      </w:r>
      <w:r w:rsidR="008E5C66" w:rsidRPr="00445472">
        <w:rPr>
          <w:vertAlign w:val="subscript"/>
        </w:rPr>
        <w:t>3</w:t>
      </w:r>
      <w:r w:rsidR="008E5C66" w:rsidRPr="00445472">
        <w:t>, Cl, SO</w:t>
      </w:r>
      <w:r w:rsidR="008E5C66" w:rsidRPr="00445472">
        <w:rPr>
          <w:vertAlign w:val="subscript"/>
        </w:rPr>
        <w:t>4</w:t>
      </w:r>
      <w:r w:rsidR="008E5C66" w:rsidRPr="00445472">
        <w:t>, PO</w:t>
      </w:r>
      <w:r w:rsidR="008E5C66" w:rsidRPr="00445472">
        <w:rPr>
          <w:vertAlign w:val="subscript"/>
        </w:rPr>
        <w:t>4</w:t>
      </w:r>
      <w:r w:rsidR="008E5C66" w:rsidRPr="00445472">
        <w:t>, NO</w:t>
      </w:r>
      <w:r w:rsidR="008E5C66" w:rsidRPr="00445472">
        <w:rPr>
          <w:vertAlign w:val="subscript"/>
        </w:rPr>
        <w:t>3</w:t>
      </w:r>
      <w:r w:rsidR="008E5C66" w:rsidRPr="00445472">
        <w:t>, NO</w:t>
      </w:r>
      <w:r w:rsidR="008E5C66" w:rsidRPr="00445472">
        <w:rPr>
          <w:vertAlign w:val="subscript"/>
        </w:rPr>
        <w:t>2</w:t>
      </w:r>
      <w:r w:rsidR="008E5C66" w:rsidRPr="00445472">
        <w:t>, Mp, Fp, pH, O</w:t>
      </w:r>
      <w:r w:rsidR="008E5C66" w:rsidRPr="00445472">
        <w:rPr>
          <w:vertAlign w:val="subscript"/>
        </w:rPr>
        <w:t>2</w:t>
      </w:r>
      <w:r w:rsidR="008E5C66" w:rsidRPr="00445472">
        <w:t>, Temperaturë;</w:t>
      </w:r>
    </w:p>
    <w:p w14:paraId="03FC3315" w14:textId="656BEC7C" w:rsidR="008E5C66" w:rsidRPr="00445472" w:rsidRDefault="00424ECA" w:rsidP="008E5C66">
      <w:pPr>
        <w:pStyle w:val="TEKSTIIII"/>
      </w:pPr>
      <w:r>
        <w:t xml:space="preserve">- </w:t>
      </w:r>
      <w:r w:rsidR="008E5C66" w:rsidRPr="00445472">
        <w:t>Metalet e rënda: Cu, Zn, Pb, Co, Cr, Ni, Mn, Cd</w:t>
      </w:r>
    </w:p>
    <w:p w14:paraId="7D40589C" w14:textId="2CAF5506" w:rsidR="008E5C66" w:rsidRPr="00445472" w:rsidRDefault="008E5C66" w:rsidP="008E5C66">
      <w:pPr>
        <w:pStyle w:val="TEKSTIIII"/>
      </w:pPr>
      <w:r w:rsidRPr="00445472">
        <w:t>Standardet e monitorimit janë Metodat Standarde për Ekzaminimin e Ujit dhe Ujërave të Ndotura dhe Standardi Shqiptar S SH EN ISO</w:t>
      </w:r>
      <w:r w:rsidR="001D340B" w:rsidRPr="00445472">
        <w:t>/</w:t>
      </w:r>
      <w:r w:rsidRPr="00445472">
        <w:t xml:space="preserve">IEC 17025: 2006 bazuar në </w:t>
      </w:r>
      <w:r w:rsidR="00D62EDF" w:rsidRPr="00445472">
        <w:t>“</w:t>
      </w:r>
      <w:r w:rsidRPr="00445472">
        <w:t>Kërkesat e përgjithshme për kompetencën e laboratorëve të testimit dhe kalibrimit</w:t>
      </w:r>
      <w:r w:rsidR="00D62EDF" w:rsidRPr="00445472">
        <w:t>”</w:t>
      </w:r>
    </w:p>
    <w:p w14:paraId="28944A6A" w14:textId="05B14180" w:rsidR="008E5C66" w:rsidRPr="00445472" w:rsidRDefault="004F61CE" w:rsidP="004F61CE">
      <w:pPr>
        <w:pStyle w:val="NENTITULL"/>
      </w:pPr>
      <w:bookmarkStart w:id="121" w:name="_Toc11068801"/>
      <w:r w:rsidRPr="00445472">
        <w:t xml:space="preserve">6.5.2 </w:t>
      </w:r>
      <w:r w:rsidR="008E5C66" w:rsidRPr="00445472">
        <w:t>Mangësitë në monitorimin e ujërave nëntokësorë</w:t>
      </w:r>
      <w:bookmarkEnd w:id="121"/>
    </w:p>
    <w:p w14:paraId="5BF79428" w14:textId="77777777" w:rsidR="008E5C66" w:rsidRPr="00445472" w:rsidRDefault="008E5C66" w:rsidP="008E5C66">
      <w:pPr>
        <w:pStyle w:val="TEKSTIIII"/>
      </w:pPr>
      <w:r w:rsidRPr="00445472">
        <w:t>Bazuar në informacionin e mbledhur dhe në dritën e kërkesave të DKU-së për të monitoruar TUNT, janë identifikuar mangësitë e mëposhtme në nivelin ligjor dhe institucional, në nivelin e rrjetit të monitorimit dhe gjithashtu në lidhje me masat e parametrave dhe frekuencën e matjes.</w:t>
      </w:r>
    </w:p>
    <w:p w14:paraId="04893FC4" w14:textId="7C2A6DE4" w:rsidR="008E5C66" w:rsidRPr="00445472" w:rsidRDefault="004F61CE" w:rsidP="004F61CE">
      <w:pPr>
        <w:pStyle w:val="NENTITULL"/>
      </w:pPr>
      <w:r w:rsidRPr="00445472">
        <w:t xml:space="preserve">6.5.2.1 </w:t>
      </w:r>
      <w:r w:rsidR="008E5C66" w:rsidRPr="00445472">
        <w:t>Niveli ligjor dhe institucional</w:t>
      </w:r>
    </w:p>
    <w:p w14:paraId="1D0D5E20" w14:textId="785C470E" w:rsidR="008E5C66" w:rsidRPr="00445472" w:rsidRDefault="00424ECA" w:rsidP="008E5C66">
      <w:pPr>
        <w:pStyle w:val="TEKSTIIII"/>
      </w:pPr>
      <w:r>
        <w:t xml:space="preserve">- </w:t>
      </w:r>
      <w:r w:rsidR="008E5C66" w:rsidRPr="00445472">
        <w:rPr>
          <w:i/>
        </w:rPr>
        <w:t>Përmbledhja ligjore për të monitoruar ujërat nëntokësore është jo e plotë</w:t>
      </w:r>
      <w:r w:rsidR="008E5C66" w:rsidRPr="00445472">
        <w:t>. Shqipëria nuk ka transpozuar Direktivën e Ujërave nëntokësore të BE-së</w:t>
      </w:r>
      <w:r w:rsidR="008E5C66" w:rsidRPr="00445472">
        <w:rPr>
          <w:rStyle w:val="FootnoteReference"/>
          <w:rFonts w:ascii="Garamond" w:hAnsi="Garamond"/>
          <w:color w:val="auto"/>
        </w:rPr>
        <w:footnoteReference w:id="117"/>
      </w:r>
      <w:r w:rsidR="008E5C66" w:rsidRPr="00445472">
        <w:t>. Rrjedhimisht, Shqipëria nuk e vlerëson gjendjen kimike të ujërave nëntokësore sipas Direktivës. Kjo kërkon përfshirjen e substancave të paraqitura në listën minimale të ndotësve</w:t>
      </w:r>
      <w:r w:rsidR="008E5C66" w:rsidRPr="00445472">
        <w:rPr>
          <w:rStyle w:val="FootnoteReference"/>
          <w:rFonts w:ascii="Garamond" w:hAnsi="Garamond"/>
          <w:color w:val="auto"/>
        </w:rPr>
        <w:footnoteReference w:id="118"/>
      </w:r>
      <w:r w:rsidR="008E5C66" w:rsidRPr="00445472">
        <w:t xml:space="preserve"> në programin e monitorimit dhe vendosjen e vlerave të pragut për këto ndotës sipas procedurave të paraqitura në DKU. Deri më sot, menaxhimi dhe monitorimi i ujërave nëntokësore është disiplinuar nga Ligji për </w:t>
      </w:r>
      <w:r w:rsidR="007B58B8" w:rsidRPr="00445472">
        <w:t>menaxhimin e integruar të burimeve ujore</w:t>
      </w:r>
      <w:r w:rsidR="008E5C66" w:rsidRPr="00445472">
        <w:t xml:space="preserve"> dhe VKM-të për procedurat për monitorimin e mjedisit, i cili krijoi institucionin monitorues dhe parametrat.</w:t>
      </w:r>
    </w:p>
    <w:p w14:paraId="24E0B9EF" w14:textId="071EE784" w:rsidR="008E5C66" w:rsidRPr="00445472" w:rsidRDefault="00424ECA" w:rsidP="008E5C66">
      <w:pPr>
        <w:pStyle w:val="TEKSTIIII"/>
      </w:pPr>
      <w:r>
        <w:t xml:space="preserve">- </w:t>
      </w:r>
      <w:r w:rsidR="008E5C66" w:rsidRPr="00445472">
        <w:rPr>
          <w:i/>
        </w:rPr>
        <w:t xml:space="preserve">Përgjegjësia e monitorimit ndahet midis institucioneve të ndryshme </w:t>
      </w:r>
      <w:r w:rsidR="008E5C66" w:rsidRPr="00445472">
        <w:t>(Ministria përgjegjëse për çështjet e mjedisit përmes AKM-së, e cila siguron shpenzimet e monitorimit operacional dhe Ministria përgjegjëse për energjisë nëpërmjet SHGJSH-së, e cila kryen monitorimin e ujërave nëntokësore);</w:t>
      </w:r>
    </w:p>
    <w:p w14:paraId="5C49C42A" w14:textId="47A45725" w:rsidR="008E5C66" w:rsidRPr="00445472" w:rsidRDefault="00424ECA" w:rsidP="008E5C66">
      <w:pPr>
        <w:pStyle w:val="TEKSTIIII"/>
      </w:pPr>
      <w:r>
        <w:t xml:space="preserve">- </w:t>
      </w:r>
      <w:r w:rsidR="008E5C66" w:rsidRPr="00445472">
        <w:rPr>
          <w:i/>
        </w:rPr>
        <w:t xml:space="preserve">Të dhënat e monitorimit ndahen ndërmjet institucioneve. </w:t>
      </w:r>
      <w:r w:rsidR="008E5C66" w:rsidRPr="00445472">
        <w:t>Sipas Ligjit të Ujit, të dhënat nga SHGJSH-ja janë të disponueshme për të gjitha institucionet që e kërkojnë atë</w:t>
      </w:r>
      <w:r w:rsidR="008E5C66" w:rsidRPr="00445472">
        <w:rPr>
          <w:i/>
        </w:rPr>
        <w:t xml:space="preserve">. </w:t>
      </w:r>
      <w:r w:rsidR="008E5C66" w:rsidRPr="00445472">
        <w:t xml:space="preserve">AKM-ja kontrakton SHGJSH-në për monitorimin e ujërave nëntokësore. Sidoqoftë, SHGJSH-ja, përveç monitorimit për AKM-në, gjithashtu monitoron TUNT si një shërbim që ofron për rajonet. </w:t>
      </w:r>
    </w:p>
    <w:p w14:paraId="14F75DE5" w14:textId="06AFF605" w:rsidR="008E5C66" w:rsidRPr="00445472" w:rsidRDefault="00424ECA" w:rsidP="008E5C66">
      <w:pPr>
        <w:pStyle w:val="TEKSTIIII"/>
      </w:pPr>
      <w:r>
        <w:t xml:space="preserve">- </w:t>
      </w:r>
      <w:r w:rsidR="008E5C66" w:rsidRPr="00445472">
        <w:rPr>
          <w:i/>
        </w:rPr>
        <w:t>Mungesa e mekanizmave institucionalë që nxisin koordinimin ndërmjet institucioneve monitoruese.</w:t>
      </w:r>
      <w:r w:rsidR="008E5C66" w:rsidRPr="00445472">
        <w:t xml:space="preserve"> Rezultatet nga të dhënat e monitorimit të TUNT nuk ndahen me institucione të tjera. Nuk ka mekanizma ligjorë apo institucionalë që i vënë të dhënat e monitorimit të TUNT në dispozicion të Këshillit të Baseneve Ujore (përgjegjëse për zbatimin e planit të monitorimit të Baseneve Ujore), AMBU-së (përgjegjëse për karakterizimin TUNT) dhe AKM-së (përgjegjëse për monitorimin e ujit në nivel kombëtar). </w:t>
      </w:r>
    </w:p>
    <w:p w14:paraId="71126F81" w14:textId="5CD69C7C" w:rsidR="008E5C66" w:rsidRPr="00445472" w:rsidRDefault="004F61CE" w:rsidP="004F61CE">
      <w:pPr>
        <w:pStyle w:val="NENTITULL"/>
      </w:pPr>
      <w:r w:rsidRPr="00445472">
        <w:t xml:space="preserve">6.5.2.2 </w:t>
      </w:r>
      <w:r w:rsidR="008E5C66" w:rsidRPr="00445472">
        <w:t>Monitorimi i nivelit të rrjetit</w:t>
      </w:r>
    </w:p>
    <w:p w14:paraId="72F5D2AB" w14:textId="277DCD8C" w:rsidR="008E5C66" w:rsidRPr="00445472" w:rsidRDefault="00424ECA" w:rsidP="008E5C66">
      <w:pPr>
        <w:pStyle w:val="TEKSTIIII"/>
      </w:pPr>
      <w:r>
        <w:t xml:space="preserve">- </w:t>
      </w:r>
      <w:r w:rsidR="008E5C66" w:rsidRPr="00445472">
        <w:rPr>
          <w:i/>
        </w:rPr>
        <w:t>Identifikimi i trupave ujorë të përdorur për nxjerrjen e ujit kryhet në baza rajonale</w:t>
      </w:r>
      <w:r w:rsidR="008E5C66" w:rsidRPr="00445472">
        <w:t xml:space="preserve">. Identifikimi i TUNT në një basen ujor dhe në nivelin e basenit ndërkufitar mbetet për </w:t>
      </w:r>
      <w:r w:rsidR="00B139CF" w:rsidRPr="00445472">
        <w:t>t’u</w:t>
      </w:r>
      <w:r w:rsidR="008E5C66" w:rsidRPr="00445472">
        <w:t xml:space="preserve"> identifikuar në të ardhmen. Deri më tani, vendi ka identifikuar vetëm vendndodhjen dhe kufijtë e trupave ujorë nëntokësore në nivel rajonal, ka identifikuar karakterin e përgjithshëm të shtresave mbivendosëse në zonën ujëmbledhëse ku uji sipërfaqësor ndërvepron me ujrat nëntokësore (nga ku trupi ujor nëntokësor merr rimbushjen e tij) dhe karakteristikat e përgjithshme të trupave ujorë kryesorë. </w:t>
      </w:r>
    </w:p>
    <w:p w14:paraId="5B9FD0FF" w14:textId="20434263" w:rsidR="008E5C66" w:rsidRPr="00445472" w:rsidRDefault="00424ECA" w:rsidP="008E5C66">
      <w:pPr>
        <w:pStyle w:val="TEKSTIIII"/>
      </w:pPr>
      <w:r>
        <w:t xml:space="preserve">- </w:t>
      </w:r>
      <w:r w:rsidR="008E5C66" w:rsidRPr="00445472">
        <w:rPr>
          <w:i/>
        </w:rPr>
        <w:t>Pikat e monitorimit aktualisht janë të pamjaftueshme</w:t>
      </w:r>
      <w:r w:rsidR="008E5C66" w:rsidRPr="00445472">
        <w:t xml:space="preserve"> dhe nuk mbulojnë të gjitha TUNT-et që përdoren për nxjerrjen e ujit për konsum njerëzor. Pothuajse të gjithë janë të vendosur në rajonin e Shkodrës, me përjashtim të zonës së monitorimit në liqenin e Ohrit. Kështu, monitorimi është i pamjaftueshëm për të përcaktuar statusin kimik dhe sasior të TUNT-eve.</w:t>
      </w:r>
    </w:p>
    <w:p w14:paraId="1D21AF9D" w14:textId="4F56913A" w:rsidR="008E5C66" w:rsidRPr="00445472" w:rsidRDefault="00424ECA" w:rsidP="008E5C66">
      <w:pPr>
        <w:pStyle w:val="TEKSTIIII"/>
      </w:pPr>
      <w:r>
        <w:t xml:space="preserve">- </w:t>
      </w:r>
      <w:r w:rsidR="008E5C66" w:rsidRPr="00445472">
        <w:rPr>
          <w:i/>
        </w:rPr>
        <w:t>Zonat të mëdha të TUNT nuk mbulohe</w:t>
      </w:r>
      <w:r w:rsidR="008E5C66" w:rsidRPr="00445472">
        <w:t xml:space="preserve">n. Programi Kombëtar i Monitorimit vëzhgon vetëm Akuiferët në rajonin e Shkodrës dhe vetëm një burim në Liqenin e Ohrit. </w:t>
      </w:r>
    </w:p>
    <w:p w14:paraId="305ADFDF" w14:textId="470E3FED" w:rsidR="008E5C66" w:rsidRPr="00445472" w:rsidRDefault="00424ECA" w:rsidP="008E5C66">
      <w:pPr>
        <w:pStyle w:val="TEKSTIIII"/>
      </w:pPr>
      <w:r>
        <w:t xml:space="preserve">- </w:t>
      </w:r>
      <w:r w:rsidR="008E5C66" w:rsidRPr="00445472">
        <w:rPr>
          <w:i/>
        </w:rPr>
        <w:t>Burimet janë të përfaqësuara në rrjetin e monitorimit, edhe pse një numër shumë i vogël janë të përfaqësuar</w:t>
      </w:r>
      <w:r w:rsidR="008E5C66" w:rsidRPr="00445472">
        <w:t xml:space="preserve"> krahasuar me numrin e nevojshëm.  </w:t>
      </w:r>
    </w:p>
    <w:p w14:paraId="294B2C94" w14:textId="08B7497B" w:rsidR="008E5C66" w:rsidRPr="00445472" w:rsidRDefault="00424ECA" w:rsidP="008E5C66">
      <w:pPr>
        <w:pStyle w:val="TEKSTIIII"/>
      </w:pPr>
      <w:r>
        <w:t xml:space="preserve">- </w:t>
      </w:r>
      <w:r w:rsidR="008E5C66" w:rsidRPr="00445472">
        <w:rPr>
          <w:i/>
        </w:rPr>
        <w:t>Puset e nxjerrjes janë të përfshira në programin e monitorimit, kjo është realizuar nga SHGJSH-së</w:t>
      </w:r>
      <w:r w:rsidR="008E5C66" w:rsidRPr="00445472">
        <w:t xml:space="preserve">. </w:t>
      </w:r>
    </w:p>
    <w:p w14:paraId="43F9F6F1" w14:textId="7A8ABA1D" w:rsidR="008E5C66" w:rsidRPr="00445472" w:rsidRDefault="00424ECA" w:rsidP="008E5C66">
      <w:pPr>
        <w:pStyle w:val="TEKSTIIII"/>
      </w:pPr>
      <w:r>
        <w:t xml:space="preserve">- </w:t>
      </w:r>
      <w:r w:rsidR="008E5C66" w:rsidRPr="00445472">
        <w:rPr>
          <w:i/>
        </w:rPr>
        <w:t xml:space="preserve">Të dhënat e monitorimit janë vetëm pjesërisht publike. </w:t>
      </w:r>
      <w:r w:rsidR="008E5C66" w:rsidRPr="00445472">
        <w:t>Vetëm monitorimi i të dhënave që AKM-ja merr nga SHGJSH-ja publikohet në baza vjetore</w:t>
      </w:r>
      <w:r w:rsidR="008E5C66" w:rsidRPr="00445472">
        <w:rPr>
          <w:rStyle w:val="FootnoteReference"/>
          <w:rFonts w:ascii="Garamond" w:hAnsi="Garamond"/>
          <w:color w:val="auto"/>
        </w:rPr>
        <w:footnoteReference w:id="119"/>
      </w:r>
      <w:r w:rsidR="008E5C66" w:rsidRPr="00445472">
        <w:t>.</w:t>
      </w:r>
      <w:r w:rsidR="007B58B8" w:rsidRPr="00445472">
        <w:t xml:space="preserve"> </w:t>
      </w:r>
      <w:r w:rsidR="008E5C66" w:rsidRPr="00445472">
        <w:t>SHGJSH-ja nuk i publikon rregullisht të dhënat e monitorimit;</w:t>
      </w:r>
    </w:p>
    <w:p w14:paraId="678358D6" w14:textId="3712E0D9" w:rsidR="008E5C66" w:rsidRPr="00445472" w:rsidRDefault="00424ECA" w:rsidP="008E5C66">
      <w:pPr>
        <w:pStyle w:val="TEKSTIIII"/>
      </w:pPr>
      <w:r>
        <w:t xml:space="preserve">- </w:t>
      </w:r>
      <w:r w:rsidR="008E5C66" w:rsidRPr="00445472">
        <w:rPr>
          <w:i/>
        </w:rPr>
        <w:t>Kushtet referencë për trupat ujorë të pa caktuar.</w:t>
      </w:r>
      <w:r w:rsidR="008E5C66" w:rsidRPr="00445472">
        <w:t xml:space="preserve"> Nuk ka asnjë informacion të kushteve referencë të një niveli TUNT ose të nivelit historik të metaleve të rënda ose komponimeve të tjera që lidhen me vendosjen gjeologjike. </w:t>
      </w:r>
    </w:p>
    <w:p w14:paraId="34F3E90D" w14:textId="6A48B77A" w:rsidR="008E5C66" w:rsidRPr="00445472" w:rsidRDefault="00424ECA" w:rsidP="008E5C66">
      <w:pPr>
        <w:pStyle w:val="TEKSTIIII"/>
      </w:pPr>
      <w:r>
        <w:t xml:space="preserve">- </w:t>
      </w:r>
      <w:r w:rsidR="008E5C66" w:rsidRPr="00445472">
        <w:rPr>
          <w:i/>
        </w:rPr>
        <w:t xml:space="preserve">Presionet nuk janë identifikuar në mënyrë rutinore. </w:t>
      </w:r>
      <w:r w:rsidR="008E5C66" w:rsidRPr="00445472">
        <w:t>SHGJSH-ja zhvilloi një studim në vitin 2014, i cili identifikoi presionet e ujit në një bazë rajonale siç janë mbinxjerrja e ligjshme dhe ilegale, ndotja dhe mungesa e zonave mbrojtëse për të mbrojtur burimet ujore si presionet kryesore në nivel rajonal. Megjithatë, presionet nuk u kuantifikuan dhe ndotja nuk u identifikua nëse ishte lokalizuar në burim apo e shpërndarë. Nevojiten projekte për identifikimin dhe përcaktimin e zonave mbrojtëse, pikat e burimit dhe shpërndarja e ndotjes</w:t>
      </w:r>
      <w:r w:rsidR="008F0A9F" w:rsidRPr="00445472">
        <w:t>, si dhe</w:t>
      </w:r>
      <w:r w:rsidR="008E5C66" w:rsidRPr="00445472">
        <w:t xml:space="preserve"> të përcaktohet sasia dhe vend</w:t>
      </w:r>
      <w:r w:rsidR="007B58B8" w:rsidRPr="00445472">
        <w:t>nd</w:t>
      </w:r>
      <w:r w:rsidR="008E5C66" w:rsidRPr="00445472">
        <w:t>odhja e nxjerrje së vetë ujit.  Nxjerrja e paligjshme e ujit është një sfidë serioze në vend dhe ndikon dukshëm në cilësinë e ujërave nëntokësorë</w:t>
      </w:r>
      <w:r w:rsidR="008E5C66" w:rsidRPr="00445472">
        <w:rPr>
          <w:rStyle w:val="FootnoteReference"/>
          <w:rFonts w:ascii="Garamond" w:hAnsi="Garamond"/>
          <w:color w:val="auto"/>
        </w:rPr>
        <w:footnoteReference w:id="120"/>
      </w:r>
      <w:r w:rsidR="008E5C66" w:rsidRPr="00445472">
        <w:t xml:space="preserve">. </w:t>
      </w:r>
    </w:p>
    <w:p w14:paraId="0C40735D" w14:textId="02B3AA93" w:rsidR="008E5C66" w:rsidRPr="00445472" w:rsidRDefault="00424ECA" w:rsidP="008E5C66">
      <w:pPr>
        <w:pStyle w:val="TEKSTIIII"/>
        <w:rPr>
          <w:b/>
        </w:rPr>
      </w:pPr>
      <w:r>
        <w:t xml:space="preserve">- </w:t>
      </w:r>
      <w:r w:rsidR="008E5C66" w:rsidRPr="00445472">
        <w:rPr>
          <w:i/>
        </w:rPr>
        <w:t>Rrjeti i monitorimit të ujërave nëntokësore sasiore dhe cilësore është i pamjaftueshëm</w:t>
      </w:r>
      <w:r w:rsidR="008E5C66" w:rsidRPr="00445472">
        <w:t xml:space="preserve"> çka e bën të vështirë identifikimin e trupave ujorë nëntokësore </w:t>
      </w:r>
      <w:r w:rsidR="00D62EDF" w:rsidRPr="00445472">
        <w:t>“</w:t>
      </w:r>
      <w:r w:rsidR="008E5C66" w:rsidRPr="00445472">
        <w:t>në rrezik</w:t>
      </w:r>
      <w:r w:rsidR="00D62EDF" w:rsidRPr="00445472">
        <w:t>”</w:t>
      </w:r>
      <w:r w:rsidR="008E5C66" w:rsidRPr="00445472">
        <w:t xml:space="preserve"> ose </w:t>
      </w:r>
      <w:r w:rsidR="00D62EDF" w:rsidRPr="00445472">
        <w:t>“</w:t>
      </w:r>
      <w:r w:rsidR="008E5C66" w:rsidRPr="00445472">
        <w:t>jo në rrezik</w:t>
      </w:r>
      <w:r w:rsidR="00D62EDF" w:rsidRPr="00445472">
        <w:t>”</w:t>
      </w:r>
      <w:r w:rsidR="008E5C66" w:rsidRPr="00445472">
        <w:t>. Kjo gjithashtu krijon vështirësi në identifikimin e ndikimit antropogjen dhe nivelit të ujit në baza vjetore.</w:t>
      </w:r>
    </w:p>
    <w:p w14:paraId="1F966FE2" w14:textId="41A3886B" w:rsidR="008E5C66" w:rsidRPr="00445472" w:rsidRDefault="00424ECA" w:rsidP="008E5C66">
      <w:pPr>
        <w:pStyle w:val="TEKSTIIII"/>
        <w:rPr>
          <w:b/>
        </w:rPr>
      </w:pPr>
      <w:r>
        <w:t xml:space="preserve">- </w:t>
      </w:r>
      <w:r w:rsidR="008E5C66" w:rsidRPr="00445472">
        <w:rPr>
          <w:i/>
        </w:rPr>
        <w:t>Kriteret për vlerësimin e gjendjes kimike të mirë të ujërave nëntokësore</w:t>
      </w:r>
      <w:r w:rsidR="008E5C66" w:rsidRPr="00445472">
        <w:t xml:space="preserve"> në përputhje me Shtojcën V, Seksioni 2 i DKU-së nuk është përcaktuar;</w:t>
      </w:r>
    </w:p>
    <w:p w14:paraId="694EF44F" w14:textId="39B5417F" w:rsidR="008E5C66" w:rsidRPr="00445472" w:rsidRDefault="00424ECA" w:rsidP="008E5C66">
      <w:pPr>
        <w:pStyle w:val="TEKSTIIII"/>
        <w:rPr>
          <w:b/>
        </w:rPr>
      </w:pPr>
      <w:r>
        <w:t xml:space="preserve">- </w:t>
      </w:r>
      <w:r w:rsidR="008E5C66" w:rsidRPr="00445472">
        <w:rPr>
          <w:i/>
        </w:rPr>
        <w:t xml:space="preserve">Kriteret për identifikimin e tendencave të rëndësishme dhe të qëndrueshme rritëse </w:t>
      </w:r>
      <w:r w:rsidR="008E5C66" w:rsidRPr="00445472">
        <w:t>dhe për përcaktimin e pikave fillestare për kthimin e trendeve që do të përdoren në përputhje me Shtojcën V, Seksioni 2 të DKU-së.</w:t>
      </w:r>
    </w:p>
    <w:p w14:paraId="27B6261E" w14:textId="303E169E" w:rsidR="008E5C66" w:rsidRPr="00445472" w:rsidRDefault="004F61CE" w:rsidP="004F61CE">
      <w:pPr>
        <w:pStyle w:val="NENTITULL"/>
      </w:pPr>
      <w:r w:rsidRPr="00445472">
        <w:t xml:space="preserve">6.5.2.3 </w:t>
      </w:r>
      <w:r w:rsidR="008E5C66" w:rsidRPr="00445472">
        <w:t>Parametrat dhe frekuencat</w:t>
      </w:r>
    </w:p>
    <w:p w14:paraId="04252305" w14:textId="6970BEBA" w:rsidR="008E5C66" w:rsidRPr="00445472" w:rsidRDefault="00402C7D" w:rsidP="008E5C66">
      <w:pPr>
        <w:pStyle w:val="TEKSTIIII"/>
      </w:pPr>
      <w:r>
        <w:t xml:space="preserve">- </w:t>
      </w:r>
      <w:r w:rsidR="008E5C66" w:rsidRPr="00445472">
        <w:t>Parametrat dhe frekuencat e monitorimit varen nga burimet financiare të alokuara për monitorim dhe nuk pasqyrojnë kushtet lokale dhe presionet në një trup ujor nëntokësor;</w:t>
      </w:r>
    </w:p>
    <w:p w14:paraId="1FBD2460" w14:textId="2551C5C8" w:rsidR="008E5C66" w:rsidRPr="00445472" w:rsidRDefault="00402C7D" w:rsidP="008E5C66">
      <w:pPr>
        <w:pStyle w:val="TEKSTIIII"/>
      </w:pPr>
      <w:r>
        <w:t xml:space="preserve">- </w:t>
      </w:r>
      <w:r w:rsidR="008E5C66" w:rsidRPr="00445472">
        <w:t>Parametrat dhe frekuencat e monitorimit nuk rishikohen ose rregullohen në nivel lokal ose në bazë të TUNT.</w:t>
      </w:r>
    </w:p>
    <w:p w14:paraId="66CE7365" w14:textId="58F66F82" w:rsidR="008E5C66" w:rsidRPr="00445472" w:rsidRDefault="004F61CE" w:rsidP="004F61CE">
      <w:pPr>
        <w:pStyle w:val="NENTITULL"/>
      </w:pPr>
      <w:bookmarkStart w:id="122" w:name="_Toc11068802"/>
      <w:r w:rsidRPr="00445472">
        <w:t xml:space="preserve">6.5.3 </w:t>
      </w:r>
      <w:r w:rsidR="008E5C66" w:rsidRPr="00445472">
        <w:t>Rekomandim për hartimin e programit të monitorimit të ujërave nëntokësorë</w:t>
      </w:r>
      <w:bookmarkEnd w:id="122"/>
    </w:p>
    <w:p w14:paraId="192DE70D" w14:textId="77777777" w:rsidR="008E5C66" w:rsidRPr="00445472" w:rsidRDefault="008E5C66" w:rsidP="008E5C66">
      <w:pPr>
        <w:pStyle w:val="TEKSTIIII"/>
      </w:pPr>
      <w:r w:rsidRPr="00445472">
        <w:t>Kërkesat për të zhvilluar një program monitorimi të përputhshëm me DKU-në janë të shumta dhe Shqipëria është pikërisht në hapin e parë. Me qëllim zhvillimin e një plani efikas të monitorimit për TUNT në të ardhmen, ekziston nevoja për të parë përfshirjen e qeverisë për të plotësuar vakumin legjislativ në aspektin e menaxhimit dhe monitorimit të ujërave nëntokësore dhe atë të institucionit monitorues. Më poshtë janë identifikuar disa hapa kyç:</w:t>
      </w:r>
    </w:p>
    <w:p w14:paraId="11058CC8" w14:textId="4D1D45D3" w:rsidR="008E5C66" w:rsidRPr="00445472" w:rsidRDefault="00402C7D" w:rsidP="008E5C66">
      <w:pPr>
        <w:pStyle w:val="TEKSTIIII"/>
      </w:pPr>
      <w:r>
        <w:t xml:space="preserve">- </w:t>
      </w:r>
      <w:r w:rsidR="008E5C66" w:rsidRPr="00445472">
        <w:t>Transpozimi i Direktivës së Ujërave Nëntokësore (2006/118</w:t>
      </w:r>
      <w:r w:rsidR="001D340B" w:rsidRPr="00445472">
        <w:t>/</w:t>
      </w:r>
      <w:r w:rsidR="008E5C66" w:rsidRPr="00445472">
        <w:t>KE), e cila jep udhëzime të qarta për monitorimin e ujërave nëntokësore;</w:t>
      </w:r>
    </w:p>
    <w:p w14:paraId="1CF68AD5" w14:textId="770C8405" w:rsidR="008E5C66" w:rsidRPr="00445472" w:rsidRDefault="00402C7D" w:rsidP="008E5C66">
      <w:pPr>
        <w:pStyle w:val="TEKSTIIII"/>
      </w:pPr>
      <w:r>
        <w:t xml:space="preserve">- </w:t>
      </w:r>
      <w:r w:rsidR="008E5C66" w:rsidRPr="00445472">
        <w:t>Caktimi i përgjegjësive dhe detyrave të qarta ndërmjet AMBU-së, Ministrisë përgjegjëse për çështjet mjedisore dhe SHGJSH-së për monitorimin e trupave ujorë nëntokësorë. Deri në ditët e sotme është e paqartë nëse AMBU ose Këshilli i Baseneve Ujore do të duhet të krijojnë një rrjet monitorimi të ujërave nëntokësore për Basenin Ujor përveç Programit Kombëtar të Monitorimit. Zbatimi i përfitimeve të DKU-së në rast se ekziston bashkëpunimi dhe koordinimi i institucioneve monitoruese të ujërave nëntokësore ndërmjet tyre;</w:t>
      </w:r>
    </w:p>
    <w:p w14:paraId="3938CD5E" w14:textId="3631A1E3" w:rsidR="008E5C66" w:rsidRPr="00445472" w:rsidRDefault="00402C7D" w:rsidP="008E5C66">
      <w:pPr>
        <w:pStyle w:val="TEKSTIIII"/>
      </w:pPr>
      <w:r>
        <w:t xml:space="preserve">- </w:t>
      </w:r>
      <w:r w:rsidR="007B58B8" w:rsidRPr="00445472">
        <w:t>Koordinimi,</w:t>
      </w:r>
      <w:r w:rsidR="008E5C66" w:rsidRPr="00445472">
        <w:t xml:space="preserve"> gjithashtu</w:t>
      </w:r>
      <w:r w:rsidR="007B58B8" w:rsidRPr="00445472">
        <w:t>,</w:t>
      </w:r>
      <w:r w:rsidR="008E5C66" w:rsidRPr="00445472">
        <w:t xml:space="preserve"> me institucionet e monitorimit të ujit të pijshëm dhe kompanitë e furnizimit me ujë që janë nën pushtetin vendor.</w:t>
      </w:r>
    </w:p>
    <w:p w14:paraId="532B6DA2" w14:textId="291C54DD" w:rsidR="008E5C66" w:rsidRPr="00445472" w:rsidRDefault="00402C7D" w:rsidP="008E5C66">
      <w:pPr>
        <w:pStyle w:val="TEKSTIIII"/>
      </w:pPr>
      <w:r>
        <w:t xml:space="preserve">- </w:t>
      </w:r>
      <w:r w:rsidR="008E5C66" w:rsidRPr="00445472">
        <w:t>Identifikimi fillestar i TUNT në përputhje me DKU-në përpara zhvillimit të programit të monitorimit të ujërave nëntokësore dhe gjithashtu identifikimin e trupave ujore nëntokësorë për të cilët ekzistojnë ekosisteme ujore sipërfaqësore ose ekosisteme tokësore të varura drejtpërdrejt.</w:t>
      </w:r>
    </w:p>
    <w:p w14:paraId="4419BB90" w14:textId="3EF05C21" w:rsidR="008E5C66" w:rsidRPr="00445472" w:rsidRDefault="00402C7D" w:rsidP="008E5C66">
      <w:pPr>
        <w:pStyle w:val="TEKSTIIII"/>
      </w:pPr>
      <w:r>
        <w:t xml:space="preserve">- </w:t>
      </w:r>
      <w:r w:rsidR="008E5C66" w:rsidRPr="00445472">
        <w:t>Zhvillimi i një programi monitorimi me objektiva të qarta, llojin e monitorimit, pikat, frekuencat dhe parametrat e monitorimit që janë përfaqësues dhe tregues të kushteve lokale.</w:t>
      </w:r>
    </w:p>
    <w:p w14:paraId="110E5D1E" w14:textId="1BCC1E7D" w:rsidR="008E5C66" w:rsidRPr="00445472" w:rsidRDefault="004F61CE" w:rsidP="004F61CE">
      <w:pPr>
        <w:pStyle w:val="NENTITULL"/>
        <w:rPr>
          <w:rStyle w:val="Heading3Char"/>
          <w:rFonts w:ascii="Garamond" w:eastAsia="Calibri" w:hAnsi="Garamond"/>
          <w:color w:val="auto"/>
          <w:lang w:val="sq-AL"/>
        </w:rPr>
      </w:pPr>
      <w:bookmarkStart w:id="123" w:name="_Toc485715730"/>
      <w:bookmarkStart w:id="124" w:name="_TOC_250034"/>
      <w:bookmarkStart w:id="125" w:name="_Toc11068803"/>
      <w:r w:rsidRPr="00445472">
        <w:t xml:space="preserve">6.6 </w:t>
      </w:r>
      <w:r w:rsidR="008E5C66" w:rsidRPr="00445472">
        <w:t xml:space="preserve">Monitorimi i Zonave të Mbrojtura në Basenin Ujor </w:t>
      </w:r>
      <w:r w:rsidR="007E76E3" w:rsidRPr="00445472">
        <w:t>Drin–Bunë</w:t>
      </w:r>
      <w:bookmarkEnd w:id="123"/>
      <w:bookmarkEnd w:id="124"/>
      <w:bookmarkEnd w:id="125"/>
    </w:p>
    <w:p w14:paraId="6F16F920" w14:textId="6FF4F1D8" w:rsidR="008E5C66" w:rsidRPr="00445472" w:rsidRDefault="008E5C66" w:rsidP="008E5C66">
      <w:pPr>
        <w:pStyle w:val="TEKSTIIII"/>
      </w:pPr>
      <w:r w:rsidRPr="00445472">
        <w:t xml:space="preserve">Monitorimi i Zonave të Mbrojtura sipas DKU-së kërkon që AMBU-ja të fillojë me përcaktimin dhe më pas me themelimin e Regjistrit të të gjitha llojeve të Zonave të Mbrojtura në bashkëpunim me qeverinë lokale, Agjencinë Kombëtare të Ujësjellësit dhe Kanalizimeve (Ministria përgjegjëse për infrastrukturën), AKM dhe AKZM (Ministria e Turizmit dhe Mjedisit), Ministrinë përgjegjëse për Zhvillimin Ekonomik, dhe Shërbimin Gjeologjik Shqiptar (Ministria përgjegjëse për energjinë). Deri më sot, nuk ka Regjistër të Zonave të Mbrojtura në Basenin Ujor </w:t>
      </w:r>
      <w:r w:rsidR="007E76E3" w:rsidRPr="00445472">
        <w:t>Drin–Bunë</w:t>
      </w:r>
      <w:r w:rsidRPr="00445472">
        <w:t xml:space="preserve"> dhe shumë zona të mbrojtura nuk kanë një Plan Menaxhimi</w:t>
      </w:r>
      <w:r w:rsidRPr="00445472">
        <w:rPr>
          <w:rStyle w:val="FootnoteReference"/>
          <w:rFonts w:ascii="Garamond" w:hAnsi="Garamond"/>
          <w:color w:val="auto"/>
        </w:rPr>
        <w:footnoteReference w:id="121"/>
      </w:r>
      <w:r w:rsidRPr="00445472">
        <w:t>. Në mesin e të gjitha llojeve të Zonave të Mbrojtura janë caktuar vetëm zonat e mbrojtjes së habitatit dhe specieve përveç një zone të bashkëmenaxhimit për peshkim. AKZM</w:t>
      </w:r>
      <w:r w:rsidRPr="00445472">
        <w:rPr>
          <w:rStyle w:val="FootnoteReference"/>
          <w:rFonts w:ascii="Garamond" w:hAnsi="Garamond"/>
          <w:color w:val="auto"/>
        </w:rPr>
        <w:footnoteReference w:id="122"/>
      </w:r>
      <w:r w:rsidRPr="00445472">
        <w:t xml:space="preserve"> ka përcaktuar qartë zonat e mbrojtjes së habitateve dhe specieve në nivel rajonal dhe kombëtar. Megjithatë, Zonat e mbrojtura që ndodhen në Basenin Ujor </w:t>
      </w:r>
      <w:r w:rsidR="007E76E3" w:rsidRPr="00445472">
        <w:t>Drin–Bunë</w:t>
      </w:r>
      <w:r w:rsidRPr="00445472">
        <w:t xml:space="preserve"> kanë miratuar Planet e Menaxhimit që janë në proces të miratimit në përputhje me </w:t>
      </w:r>
      <w:r w:rsidR="005E3EC9" w:rsidRPr="00445472">
        <w:t xml:space="preserve">ligjin </w:t>
      </w:r>
      <w:r w:rsidRPr="00445472">
        <w:t>nr. 81/2017</w:t>
      </w:r>
      <w:r w:rsidR="00D62EDF" w:rsidRPr="00445472">
        <w:t xml:space="preserve">, “Për </w:t>
      </w:r>
      <w:r w:rsidR="005E3EC9" w:rsidRPr="00445472">
        <w:t>zonat e mbrojtura</w:t>
      </w:r>
      <w:r w:rsidR="00D62EDF" w:rsidRPr="00445472">
        <w:t>”</w:t>
      </w:r>
      <w:r w:rsidRPr="00445472">
        <w:t>.</w:t>
      </w:r>
    </w:p>
    <w:p w14:paraId="5F60276D" w14:textId="0F900AD7" w:rsidR="008E5C66" w:rsidRPr="00445472" w:rsidRDefault="008E5C66" w:rsidP="008E5C66">
      <w:pPr>
        <w:pStyle w:val="TEKSTIIII"/>
      </w:pPr>
      <w:r w:rsidRPr="00445472">
        <w:t xml:space="preserve">Hapat e mëposhtëm për monitorimin e të gjitha Zonave të Mbrojtura në Basenin Ujor </w:t>
      </w:r>
      <w:r w:rsidR="007E76E3" w:rsidRPr="00445472">
        <w:t>Drin–Bunë</w:t>
      </w:r>
      <w:r w:rsidRPr="00445472">
        <w:t>, siç janë përcaktuar në kuadër të DKU-së, janë paraqitur më poshtë.</w:t>
      </w:r>
    </w:p>
    <w:p w14:paraId="4331BE64" w14:textId="1BE9A2FE" w:rsidR="008E5C66" w:rsidRPr="00445472" w:rsidRDefault="004F61CE" w:rsidP="004F61CE">
      <w:pPr>
        <w:pStyle w:val="NENTITULL"/>
      </w:pPr>
      <w:bookmarkStart w:id="126" w:name="_Toc11068804"/>
      <w:r w:rsidRPr="00445472">
        <w:t xml:space="preserve">6.6.1 </w:t>
      </w:r>
      <w:r w:rsidR="008E5C66" w:rsidRPr="00445472">
        <w:t>Zonat e mbrojtjes higjieno-sanitare</w:t>
      </w:r>
      <w:bookmarkEnd w:id="126"/>
    </w:p>
    <w:p w14:paraId="6661EB00" w14:textId="260B4085" w:rsidR="008E5C66" w:rsidRPr="00445472" w:rsidRDefault="00402C7D" w:rsidP="008E5C66">
      <w:pPr>
        <w:pStyle w:val="TEKSTIIII"/>
      </w:pPr>
      <w:r>
        <w:t xml:space="preserve">- </w:t>
      </w:r>
      <w:r w:rsidR="008E5C66" w:rsidRPr="00445472">
        <w:t>Koordinimi me Agjencinë Kombëtare të Ujësjellës-Kanalizimeve dhe kompanitë përkatëse të Furnizimit me Ujë në secilën bashki dhe Ministrinë përgjegjëse për Infrastrukturën për të përcaktuar zonat e mbrojtjes higjieno-sanitare përreth puseve të përdorura për nxjerrjen e ujit për konsum njerëzor;</w:t>
      </w:r>
    </w:p>
    <w:p w14:paraId="558155AF" w14:textId="18B702B0" w:rsidR="008E5C66" w:rsidRPr="00445472" w:rsidRDefault="00402C7D" w:rsidP="008E5C66">
      <w:pPr>
        <w:pStyle w:val="TEKSTIIII"/>
      </w:pPr>
      <w:r>
        <w:t xml:space="preserve">- </w:t>
      </w:r>
      <w:r w:rsidR="008E5C66" w:rsidRPr="00445472">
        <w:t>Krijimi i regjistrit të zonave të mbrojtjes higjieno-sanitare pas përcaktimit të plotë të tyre;</w:t>
      </w:r>
    </w:p>
    <w:p w14:paraId="5DC10FFC" w14:textId="3FEEE1A5" w:rsidR="008E5C66" w:rsidRPr="00445472" w:rsidRDefault="00402C7D" w:rsidP="008E5C66">
      <w:pPr>
        <w:pStyle w:val="TEKSTIIII"/>
      </w:pPr>
      <w:r>
        <w:t xml:space="preserve">- </w:t>
      </w:r>
      <w:r w:rsidR="008E5C66" w:rsidRPr="00445472">
        <w:t>Të caktohen zonat e mbrojtjes higjieno-sanitare rreth puseve individuale dhe industriale të ligjshme dhe të paligjshme në bashkëpunim me Zyrën e Administrimit të Baseneve Ujore dhe përfshirjen e tyre në Regjistrin e Zonave të Mbrojtura;</w:t>
      </w:r>
    </w:p>
    <w:p w14:paraId="528F2896" w14:textId="4A534A43" w:rsidR="008E5C66" w:rsidRPr="00445472" w:rsidRDefault="00402C7D" w:rsidP="008E5C66">
      <w:pPr>
        <w:pStyle w:val="TEKSTIIII"/>
      </w:pPr>
      <w:r>
        <w:t xml:space="preserve">- </w:t>
      </w:r>
      <w:r w:rsidR="008E5C66" w:rsidRPr="00445472">
        <w:t xml:space="preserve">Bashkëpunoni me Kompanitë e Furnizimit me Ujë dhe Kanalizime në secilën </w:t>
      </w:r>
      <w:r w:rsidR="005E3EC9" w:rsidRPr="00445472">
        <w:t>njësi</w:t>
      </w:r>
      <w:r w:rsidR="008E5C66" w:rsidRPr="00445472">
        <w:t xml:space="preserve"> vendore për të mbrojtur Zonat e Mbrojtjes Higjieno-sanitare. Siç është përmendur më parë, Kompanitë e Furnizimit me Ujë janë ligjërisht përgjegjëse për mbrojtjen e këtyre zonave. Sa </w:t>
      </w:r>
      <w:r w:rsidR="00911750">
        <w:t>u</w:t>
      </w:r>
      <w:r w:rsidR="008E5C66" w:rsidRPr="00445472">
        <w:t xml:space="preserve"> përket zonave të mbrojtjes higjieno-sanitare rreth puseve individuale dhe industriale, rekomandohet të bashkëpunohet me Pushtetin Lokal dhe Ministrinë përgjegjëse për mjedisin dhe ministrinë përgjegjëse për shëndetësinë për të krijuar një plan për mbrojtjen e Zonave t</w:t>
      </w:r>
      <w:r w:rsidR="00034FBB">
        <w:t>ë</w:t>
      </w:r>
      <w:r w:rsidR="008E5C66" w:rsidRPr="00445472">
        <w:t xml:space="preserve"> Mbrojtjes Higjieno-sanitare;</w:t>
      </w:r>
    </w:p>
    <w:p w14:paraId="5914EDDD" w14:textId="7854C594" w:rsidR="008E5C66" w:rsidRPr="00445472" w:rsidRDefault="00402C7D" w:rsidP="008E5C66">
      <w:pPr>
        <w:pStyle w:val="TEKSTIIII"/>
      </w:pPr>
      <w:r>
        <w:t xml:space="preserve">- </w:t>
      </w:r>
      <w:r w:rsidR="008E5C66" w:rsidRPr="00445472">
        <w:t>Identifikimi i Zonave të Mbrojtjes Higjieno-sanitare evidenton zonat me ndotje shumë të lartë për shkak të aktiviteteve natyrore dhe</w:t>
      </w:r>
      <w:r w:rsidR="001D340B" w:rsidRPr="00445472">
        <w:t>/</w:t>
      </w:r>
      <w:r w:rsidR="008E5C66" w:rsidRPr="00445472">
        <w:t xml:space="preserve">ose antropogjene dhe përfshijnë këto Zonat e Mbrojtjes Higjieno-sanitare në planin e monitorimit të Basenit Ujor </w:t>
      </w:r>
      <w:r w:rsidR="007E76E3" w:rsidRPr="00445472">
        <w:t>Drin–Bunë</w:t>
      </w:r>
      <w:r w:rsidR="008E5C66" w:rsidRPr="00445472">
        <w:t>.</w:t>
      </w:r>
    </w:p>
    <w:p w14:paraId="06A81708" w14:textId="257E1ABE" w:rsidR="008E5C66" w:rsidRPr="00445472" w:rsidRDefault="00012E89" w:rsidP="00012E89">
      <w:pPr>
        <w:pStyle w:val="NENTITULL"/>
      </w:pPr>
      <w:bookmarkStart w:id="127" w:name="_Toc11068805"/>
      <w:r w:rsidRPr="00445472">
        <w:t xml:space="preserve">6.6.2 </w:t>
      </w:r>
      <w:r w:rsidR="008E5C66" w:rsidRPr="00445472">
        <w:t>Zonat e përcaktuara për mbrojtjen e llojeve të specieve ujore të konsiderueshme ekonomikisht</w:t>
      </w:r>
      <w:bookmarkEnd w:id="127"/>
    </w:p>
    <w:p w14:paraId="798840B4" w14:textId="672CA56A" w:rsidR="008E5C66" w:rsidRPr="00445472" w:rsidRDefault="00402C7D" w:rsidP="008E5C66">
      <w:pPr>
        <w:pStyle w:val="TEKSTIIII"/>
      </w:pPr>
      <w:r>
        <w:t xml:space="preserve">- </w:t>
      </w:r>
      <w:r w:rsidR="008E5C66" w:rsidRPr="00445472">
        <w:t>Përcaktimi i zonave për mbrojtjen e llojeve të specieve ujore të konsiderueshme ekonomikisht;</w:t>
      </w:r>
    </w:p>
    <w:p w14:paraId="7B273F6F" w14:textId="36D2CE04" w:rsidR="008E5C66" w:rsidRPr="00445472" w:rsidRDefault="00402C7D" w:rsidP="008E5C66">
      <w:pPr>
        <w:pStyle w:val="TEKSTIIII"/>
      </w:pPr>
      <w:r>
        <w:t xml:space="preserve">- </w:t>
      </w:r>
      <w:r w:rsidR="008E5C66" w:rsidRPr="00445472">
        <w:t>Krijimi i regjistrit të zonave të kufizuara të peshkimit, zonave të mbrojtura të peshkimit dhe zonave të bashkëmenaxhimit;</w:t>
      </w:r>
    </w:p>
    <w:p w14:paraId="2BB983E1" w14:textId="5036489E" w:rsidR="008E5C66" w:rsidRPr="00445472" w:rsidRDefault="00402C7D" w:rsidP="008E5C66">
      <w:pPr>
        <w:pStyle w:val="TEKSTIIII"/>
      </w:pPr>
      <w:r>
        <w:t xml:space="preserve">- </w:t>
      </w:r>
      <w:r w:rsidR="008E5C66" w:rsidRPr="00445472">
        <w:t xml:space="preserve">Bashkëpunimi me qeverisjen vendore dhe Administratën e Liqenit të Shkodrës - Lumit Bunë dhe Liqenit të Ohrit për monitorimin e ujërave të tyre. Të dyja këto janë zona bashkëmenaxhimi për peshkim, por edhe zona të mbrojtura me interes të </w:t>
      </w:r>
      <w:r w:rsidR="005E3EC9" w:rsidRPr="00445472">
        <w:t>veçantë</w:t>
      </w:r>
      <w:r w:rsidR="008E5C66" w:rsidRPr="00445472">
        <w:t>.</w:t>
      </w:r>
    </w:p>
    <w:p w14:paraId="070520A4" w14:textId="4D8CB515" w:rsidR="008E5C66" w:rsidRPr="00445472" w:rsidRDefault="00402C7D" w:rsidP="008E5C66">
      <w:pPr>
        <w:pStyle w:val="TEKSTIIII"/>
        <w:rPr>
          <w:i/>
        </w:rPr>
      </w:pPr>
      <w:r>
        <w:t xml:space="preserve">- </w:t>
      </w:r>
      <w:r w:rsidR="008E5C66" w:rsidRPr="00445472">
        <w:t>Përfshirja e këtyre Zonave të Mbrojtura në Planin e Monitorimit të Baseneve Ujore</w:t>
      </w:r>
      <w:r w:rsidR="008E5C66" w:rsidRPr="00445472">
        <w:rPr>
          <w:i/>
        </w:rPr>
        <w:t xml:space="preserve">. </w:t>
      </w:r>
    </w:p>
    <w:p w14:paraId="6AC1D525" w14:textId="0704CCD4" w:rsidR="008E5C66" w:rsidRPr="00445472" w:rsidRDefault="00012E89" w:rsidP="00012E89">
      <w:pPr>
        <w:pStyle w:val="NENTITULL"/>
      </w:pPr>
      <w:bookmarkStart w:id="128" w:name="_Toc11068806"/>
      <w:r w:rsidRPr="00445472">
        <w:t xml:space="preserve">6.6.3 </w:t>
      </w:r>
      <w:r w:rsidR="008E5C66" w:rsidRPr="00445472">
        <w:t>Trupat ujore të përcaktuara si ujëra rekreative dhe të larjes</w:t>
      </w:r>
      <w:bookmarkEnd w:id="128"/>
    </w:p>
    <w:p w14:paraId="291AD4AB" w14:textId="2A0BBEBF" w:rsidR="008E5C66" w:rsidRPr="00445472" w:rsidRDefault="00402C7D" w:rsidP="008E5C66">
      <w:pPr>
        <w:pStyle w:val="TEKSTIIII"/>
      </w:pPr>
      <w:r>
        <w:t xml:space="preserve">- </w:t>
      </w:r>
      <w:r w:rsidR="008E5C66" w:rsidRPr="00445472">
        <w:t>Bashkëpunimi me Qeverisjen Vendore, Ministrinë e përgjegjëse për shëndetësisë  (nëpërmjet Inspektoratit Shtetëror Shëndetësor) dhe AKM-së për të krijuar regjistrin e këtyre zonave në basenet ujore;</w:t>
      </w:r>
    </w:p>
    <w:p w14:paraId="055D7100" w14:textId="1FA1703E" w:rsidR="008E5C66" w:rsidRPr="00445472" w:rsidRDefault="00402C7D" w:rsidP="008E5C66">
      <w:pPr>
        <w:pStyle w:val="TEKSTIIII"/>
      </w:pPr>
      <w:r>
        <w:t xml:space="preserve">- </w:t>
      </w:r>
      <w:r w:rsidR="008E5C66" w:rsidRPr="00445472">
        <w:t>Bashkëpunimi me institucionet e sipërpërmendura për monitorimin e tyre.</w:t>
      </w:r>
    </w:p>
    <w:p w14:paraId="552F81F0" w14:textId="0ADF6667" w:rsidR="008E5C66" w:rsidRPr="00445472" w:rsidRDefault="00012E89" w:rsidP="00012E89">
      <w:pPr>
        <w:pStyle w:val="NENTITULL"/>
      </w:pPr>
      <w:bookmarkStart w:id="129" w:name="_Toc11068807"/>
      <w:r w:rsidRPr="00445472">
        <w:t xml:space="preserve">6.6.4 </w:t>
      </w:r>
      <w:r w:rsidR="008E5C66" w:rsidRPr="00445472">
        <w:t xml:space="preserve">Zonat me ndjeshmëri ndaj ushqyesve, duke përfshirë zonat e përcaktuara si zona </w:t>
      </w:r>
      <w:r w:rsidR="007E76E3" w:rsidRPr="00445472">
        <w:t>të cenueshme</w:t>
      </w:r>
      <w:bookmarkEnd w:id="129"/>
    </w:p>
    <w:p w14:paraId="1A98AE54" w14:textId="0F5BBF9C" w:rsidR="008E5C66" w:rsidRPr="00445472" w:rsidRDefault="00402C7D" w:rsidP="008E5C66">
      <w:pPr>
        <w:pStyle w:val="TEKSTIIII"/>
      </w:pPr>
      <w:r>
        <w:t xml:space="preserve">- </w:t>
      </w:r>
      <w:r w:rsidR="008E5C66" w:rsidRPr="00445472">
        <w:t>Transpozimi i Direktivës së Nitrateve (91/676</w:t>
      </w:r>
      <w:r w:rsidR="001D340B" w:rsidRPr="00445472">
        <w:t>/</w:t>
      </w:r>
      <w:r w:rsidR="008E5C66" w:rsidRPr="00445472">
        <w:t>KE);</w:t>
      </w:r>
    </w:p>
    <w:p w14:paraId="6E6493B2" w14:textId="4DD28948" w:rsidR="008E5C66" w:rsidRPr="00445472" w:rsidRDefault="00402C7D" w:rsidP="008E5C66">
      <w:pPr>
        <w:pStyle w:val="TEKSTIIII"/>
      </w:pPr>
      <w:r>
        <w:t xml:space="preserve">- </w:t>
      </w:r>
      <w:r w:rsidR="008E5C66" w:rsidRPr="00445472">
        <w:t>Përcaktimi i zonave të ndjeshme ndaj nitrateve;</w:t>
      </w:r>
    </w:p>
    <w:p w14:paraId="238302EF" w14:textId="20E95F2F" w:rsidR="008E5C66" w:rsidRPr="00445472" w:rsidRDefault="00402C7D" w:rsidP="008E5C66">
      <w:pPr>
        <w:pStyle w:val="TEKSTIIII"/>
      </w:pPr>
      <w:r>
        <w:t xml:space="preserve">- </w:t>
      </w:r>
      <w:r w:rsidR="008E5C66" w:rsidRPr="00445472">
        <w:t>Përfshirja e monitorimit të këtyre zonave në Planin e Monitorimit të Baseneve Ujore;</w:t>
      </w:r>
    </w:p>
    <w:p w14:paraId="74145A9F" w14:textId="33F54140" w:rsidR="008E5C66" w:rsidRPr="00445472" w:rsidRDefault="00402C7D" w:rsidP="008E5C66">
      <w:pPr>
        <w:pStyle w:val="TEKSTIIII"/>
      </w:pPr>
      <w:r>
        <w:t xml:space="preserve">- </w:t>
      </w:r>
      <w:r w:rsidR="008E5C66" w:rsidRPr="00445472">
        <w:t>Bashkëpunimi me Ministrinë përgjegjëse për Mjedisin për përcaktimin e zonave të ndjeshme ndaj shkarkimit të ujërave të ndotura dhe përgatitja e listës së trupave ujore të ndjeshme</w:t>
      </w:r>
      <w:r w:rsidR="008E5C66" w:rsidRPr="00445472">
        <w:rPr>
          <w:rStyle w:val="FootnoteReference"/>
          <w:rFonts w:ascii="Garamond" w:hAnsi="Garamond"/>
          <w:color w:val="auto"/>
        </w:rPr>
        <w:footnoteReference w:id="123"/>
      </w:r>
      <w:r w:rsidR="008E5C66" w:rsidRPr="00445472">
        <w:t xml:space="preserve">. </w:t>
      </w:r>
    </w:p>
    <w:p w14:paraId="3C23AB01" w14:textId="137C8B93" w:rsidR="008E5C66" w:rsidRPr="00445472" w:rsidRDefault="00012E89" w:rsidP="00012E89">
      <w:pPr>
        <w:pStyle w:val="NENTITULL"/>
      </w:pPr>
      <w:bookmarkStart w:id="130" w:name="_Toc11068808"/>
      <w:r w:rsidRPr="00445472">
        <w:t xml:space="preserve">6.6.5 </w:t>
      </w:r>
      <w:r w:rsidR="008E5C66" w:rsidRPr="00445472">
        <w:t>Zonat e përcaktuara për mbrojtjen e habitateve ose specieve</w:t>
      </w:r>
      <w:bookmarkEnd w:id="130"/>
    </w:p>
    <w:p w14:paraId="3F6407C0" w14:textId="77777777" w:rsidR="008E5C66" w:rsidRPr="00445472" w:rsidRDefault="008E5C66" w:rsidP="008E5C66">
      <w:pPr>
        <w:pStyle w:val="TEKSTIIII"/>
      </w:pPr>
      <w:r w:rsidRPr="00445472">
        <w:t>Zonat e destinuara për mbrojtjen e habitateve dhe specieve janë të shumta (Shih Seksionin 5.6). Një listë e llojeve të Zonave të Mbrojtura që kanë nevojë për monitorim sipas DKU-së është paraqitur më poshtë (Tabela 6.7). Çdo Zonë e Mbrojtur i jepet një prioritet monitorimi që bazohet në kriteret e mëposhtme:</w:t>
      </w:r>
    </w:p>
    <w:p w14:paraId="7B8A280A" w14:textId="62D51069" w:rsidR="008E5C66" w:rsidRPr="00445472" w:rsidRDefault="00402C7D" w:rsidP="008E5C66">
      <w:pPr>
        <w:pStyle w:val="TEKSTIIII"/>
      </w:pPr>
      <w:r>
        <w:t xml:space="preserve">- </w:t>
      </w:r>
      <w:r w:rsidR="008E5C66" w:rsidRPr="00445472">
        <w:t>prioriteti i 1-rë i monitorimit: Liqenet, lagunat, ujërat e pijsh</w:t>
      </w:r>
      <w:r w:rsidR="00445472">
        <w:t>me</w:t>
      </w:r>
      <w:r w:rsidR="008E5C66" w:rsidRPr="00445472">
        <w:t xml:space="preserve"> dhe trupat e tjerë ujorë që janë Zonë e Mbrojtur me rëndësi të veçantë në nivel kombëtar dhe ndërkombëtar ose të tilla si ujërat karstike që përdoren për konsum njerëzor;</w:t>
      </w:r>
    </w:p>
    <w:p w14:paraId="7E2EF8EC" w14:textId="22E37605" w:rsidR="008E5C66" w:rsidRPr="00445472" w:rsidRDefault="00402C7D" w:rsidP="008E5C66">
      <w:pPr>
        <w:pStyle w:val="TEKSTIIII"/>
      </w:pPr>
      <w:r>
        <w:t xml:space="preserve">- </w:t>
      </w:r>
      <w:r w:rsidR="008E5C66" w:rsidRPr="00445472">
        <w:t xml:space="preserve">prioriteti i 2-të i monitorimit: </w:t>
      </w:r>
      <w:r w:rsidR="005E3EC9" w:rsidRPr="00445472">
        <w:t>Peizazhet</w:t>
      </w:r>
      <w:r w:rsidR="008E5C66" w:rsidRPr="00445472">
        <w:t xml:space="preserve"> me rëndësi të konsiderueshme ekonomike për zhvillimin e zonës rreth Zonës së Mbrojtur dhe rajonit</w:t>
      </w:r>
    </w:p>
    <w:p w14:paraId="6B106826" w14:textId="0B336A8C" w:rsidR="008E5C66" w:rsidRPr="00445472" w:rsidRDefault="00402C7D" w:rsidP="008E5C66">
      <w:pPr>
        <w:pStyle w:val="TEKSTIIII"/>
      </w:pPr>
      <w:r>
        <w:t xml:space="preserve">- </w:t>
      </w:r>
      <w:r w:rsidR="008E5C66" w:rsidRPr="00445472">
        <w:t>prioriteti i 3-të i monitorimit: Monumenteve të Natyrës (burim karstik</w:t>
      </w:r>
      <w:r w:rsidR="00084DB9" w:rsidRPr="00445472">
        <w:t xml:space="preserve"> etj.</w:t>
      </w:r>
      <w:r w:rsidR="008E5C66" w:rsidRPr="00445472">
        <w:t>) i është dhënë prioritet i tretë. Shumë monumente natyrore janë burime karstike. Është i rëndësishëm bashkëpunimi me AKZM-në pasi është institucioni përgjegjës për menaxhimin, monitorimin dhe administrimin e tyre. Shërbimi Gjeologjik është gjithashtu i rëndësishëm për monitorimin e ujërave nëntokësore.</w:t>
      </w:r>
    </w:p>
    <w:p w14:paraId="6F7861BA" w14:textId="5D37AB3A" w:rsidR="008E5C66" w:rsidRPr="00445472" w:rsidRDefault="008E5C66" w:rsidP="008E5C66">
      <w:pPr>
        <w:pStyle w:val="TEKSTIIII"/>
      </w:pPr>
      <w:r w:rsidRPr="00445472">
        <w:t xml:space="preserve">Duhet të theksohet se kjo është një listë e përkohshme. AMBU-ja duhet të bashkëpunojë me AKZM dhe ARZM rajonale në Basenin Ujor </w:t>
      </w:r>
      <w:r w:rsidR="007E76E3" w:rsidRPr="00445472">
        <w:t>Drin–Bunë</w:t>
      </w:r>
      <w:r w:rsidRPr="00445472">
        <w:t xml:space="preserve"> për të pasur një listë të përhershme të Zonave të Mbrojtura në Basenin Ujor </w:t>
      </w:r>
      <w:r w:rsidR="007E76E3" w:rsidRPr="00445472">
        <w:t>Drin–Bunë</w:t>
      </w:r>
      <w:r w:rsidRPr="00445472">
        <w:t xml:space="preserve">.  </w:t>
      </w:r>
    </w:p>
    <w:p w14:paraId="4DE2ADD0" w14:textId="161798A6" w:rsidR="008E5C66" w:rsidRPr="00445472" w:rsidRDefault="00012E89" w:rsidP="00012E89">
      <w:pPr>
        <w:pStyle w:val="NENTITULL"/>
      </w:pPr>
      <w:bookmarkStart w:id="131" w:name="_Toc11068809"/>
      <w:r w:rsidRPr="00445472">
        <w:t xml:space="preserve">6.6.6 </w:t>
      </w:r>
      <w:r w:rsidR="008E5C66" w:rsidRPr="00445472">
        <w:t>Rekomandime për monitorimin e Zonave të Mbrojtura</w:t>
      </w:r>
      <w:bookmarkEnd w:id="131"/>
    </w:p>
    <w:p w14:paraId="0C32F5C8" w14:textId="77777777" w:rsidR="008E5C66" w:rsidRPr="00445472" w:rsidRDefault="008E5C66" w:rsidP="008E5C66">
      <w:pPr>
        <w:pStyle w:val="TEKSTIIII"/>
      </w:pPr>
      <w:r w:rsidRPr="00445472">
        <w:t>Rekomandimet kryesore janë si më poshtë:</w:t>
      </w:r>
    </w:p>
    <w:p w14:paraId="1A0BBEBE" w14:textId="039E5FC0" w:rsidR="008E5C66" w:rsidRPr="00445472" w:rsidRDefault="007E1A10" w:rsidP="008E5C66">
      <w:pPr>
        <w:pStyle w:val="TEKSTIIII"/>
      </w:pPr>
      <w:r>
        <w:t xml:space="preserve">- </w:t>
      </w:r>
      <w:r w:rsidR="008E5C66" w:rsidRPr="00445472">
        <w:t xml:space="preserve">Përfshirja e zonave të prioritetit të parë monitorues sa më shpejt të jetë e mundur. Prioritet i lartë duhet </w:t>
      </w:r>
      <w:r w:rsidR="001F68B2" w:rsidRPr="00445472">
        <w:t>t’i</w:t>
      </w:r>
      <w:r w:rsidR="008E5C66" w:rsidRPr="00445472">
        <w:t xml:space="preserve"> jepet Lumit Gashi, Lumit Valbonë, Lagunës Kune</w:t>
      </w:r>
      <w:r w:rsidR="005E3EC9" w:rsidRPr="00445472">
        <w:t>–</w:t>
      </w:r>
      <w:r w:rsidR="008E5C66" w:rsidRPr="00445472">
        <w:t>Vain</w:t>
      </w:r>
      <w:r w:rsidR="005E3EC9" w:rsidRPr="00445472">
        <w:t>–</w:t>
      </w:r>
      <w:r w:rsidR="008E5C66" w:rsidRPr="00445472">
        <w:t xml:space="preserve">Tale, dhe Deltës së Drinit në Planin e Monitorimit të Ujërave Sipërfaqësorë për Basenin Ujor </w:t>
      </w:r>
      <w:r w:rsidR="007E76E3" w:rsidRPr="00445472">
        <w:t>Drin–Bunë</w:t>
      </w:r>
      <w:r w:rsidR="008E5C66" w:rsidRPr="00445472">
        <w:t xml:space="preserve">. </w:t>
      </w:r>
    </w:p>
    <w:p w14:paraId="4FA144A2" w14:textId="6DCBEC6A" w:rsidR="008E5C66" w:rsidRPr="00445472" w:rsidRDefault="007E1A10" w:rsidP="008E5C66">
      <w:pPr>
        <w:pStyle w:val="TEKSTIIII"/>
      </w:pPr>
      <w:r>
        <w:t xml:space="preserve">- </w:t>
      </w:r>
      <w:r w:rsidR="008E5C66" w:rsidRPr="00445472">
        <w:t>Koordinimi me ARZM të rajoneve përkatëse në bazë Qarku në BU dhe kryesisht me ARZM Shkodër për Liqenin e Shkodrës dhe Lumin Bunë dhe ARZM Kor</w:t>
      </w:r>
      <w:r w:rsidR="005E3EC9" w:rsidRPr="00445472">
        <w:rPr>
          <w:rFonts w:cs="Cambria"/>
        </w:rPr>
        <w:t>ç</w:t>
      </w:r>
      <w:r w:rsidR="008E5C66" w:rsidRPr="00445472">
        <w:rPr>
          <w:rFonts w:cs="Garamond"/>
        </w:rPr>
        <w:t>ë</w:t>
      </w:r>
      <w:r w:rsidR="008E5C66" w:rsidRPr="00445472">
        <w:t xml:space="preserve"> p</w:t>
      </w:r>
      <w:r w:rsidR="008E5C66" w:rsidRPr="00445472">
        <w:rPr>
          <w:rFonts w:cs="Garamond"/>
        </w:rPr>
        <w:t>ë</w:t>
      </w:r>
      <w:r w:rsidR="008E5C66" w:rsidRPr="00445472">
        <w:t>r Liqenin e Ohrit për të identifikuar nevojat monitoruese të trupave ujorë kryesorë nga këndvështrimi i specieve dhe mbrojtjes së habitateve dhe gjithashtu për të koordinuar në drejtim të efikasitetit të monitorimit. Liqeni i Ohrit dhe i Shkodrës tashmë i kanë identifikuar nevojat e tyre të monitorimit në planet e monitorimit përkatëse</w:t>
      </w:r>
      <w:r w:rsidR="008E5C66" w:rsidRPr="00445472">
        <w:rPr>
          <w:rStyle w:val="FootnoteReference"/>
          <w:rFonts w:ascii="Garamond" w:hAnsi="Garamond"/>
          <w:color w:val="auto"/>
        </w:rPr>
        <w:footnoteReference w:id="124"/>
      </w:r>
      <w:r w:rsidR="008E5C66" w:rsidRPr="00445472">
        <w:t>.</w:t>
      </w:r>
    </w:p>
    <w:p w14:paraId="78D2CADF" w14:textId="43398A08" w:rsidR="008E5C66" w:rsidRPr="00445472" w:rsidRDefault="007E1A10" w:rsidP="008E5C66">
      <w:pPr>
        <w:pStyle w:val="TEKSTIIII"/>
      </w:pPr>
      <w:r>
        <w:t xml:space="preserve">- </w:t>
      </w:r>
      <w:r w:rsidR="008E5C66" w:rsidRPr="00445472">
        <w:t>Përfshirja e monitorimit biologjik në planin e monitorimit të basenit ujor sa më parë të jetë e mundur, sidomos për liqenet e Shkodrës dhe Ohrit dhe ujërat e tjer</w:t>
      </w:r>
      <w:r w:rsidR="00445472">
        <w:t>a</w:t>
      </w:r>
      <w:r w:rsidR="008E5C66" w:rsidRPr="00445472">
        <w:t xml:space="preserve"> të palëvizshëm (</w:t>
      </w:r>
      <w:r w:rsidR="005E3EC9" w:rsidRPr="00445472">
        <w:t xml:space="preserve">laguna </w:t>
      </w:r>
      <w:r w:rsidR="008E5C66" w:rsidRPr="00445472">
        <w:t>Kune</w:t>
      </w:r>
      <w:r w:rsidR="005E3EC9" w:rsidRPr="00445472">
        <w:t>–</w:t>
      </w:r>
      <w:r w:rsidR="008E5C66" w:rsidRPr="00445472">
        <w:t>Vain).</w:t>
      </w:r>
    </w:p>
    <w:p w14:paraId="49BDCCEA" w14:textId="624D7715" w:rsidR="008E5C66" w:rsidRPr="00445472" w:rsidRDefault="008E5C66" w:rsidP="008E5C66">
      <w:pPr>
        <w:pStyle w:val="TEKSTIIII"/>
      </w:pPr>
      <w:r w:rsidRPr="00445472">
        <w:t xml:space="preserve">Monitorimi i zonave të mbrojtura në Basenin Ujor </w:t>
      </w:r>
      <w:r w:rsidR="007E76E3" w:rsidRPr="00445472">
        <w:t>Drin–Bunë</w:t>
      </w:r>
      <w:r w:rsidRPr="00445472">
        <w:t xml:space="preserve"> në përputhje me DKU-në përballet me sfida të shumta. Këto përfshijnë mungesën e përcaktimit të Zonës së Mbrojtur dhe mungesën e Regjistrit të zonave të mbrojtura të ujit të pijshëm, zonave të ndjeshme ndaj nitrateve dhe zonave të rrezikuara duke përfshirë zonat e përcaktuara për mbrojtjen e specieve ujore të rëndësishme ekonomikisht, të cilat mbeten sfida të menjëhershme. </w:t>
      </w:r>
    </w:p>
    <w:p w14:paraId="116B093F" w14:textId="50DE39A5" w:rsidR="008E5C66" w:rsidRPr="00445472" w:rsidRDefault="007E1A10" w:rsidP="008E5C66">
      <w:pPr>
        <w:pStyle w:val="TEKSTIIII"/>
      </w:pPr>
      <w:r>
        <w:t xml:space="preserve"> </w:t>
      </w:r>
      <w:r w:rsidR="008E5C66" w:rsidRPr="00445472">
        <w:t xml:space="preserve">Për këtë arsye, për vitet e para të mbuluara nga Plani i Menaxhimit të Baseneve Ujore, autoritetet e Menaxhimit të Baseneve Ujore do të duhet të ndërmarrin përpjekje të koordinuara për të caktuar kryesisht Zonat e Mbrojtura dhe për të krijuar Regjistrin e Zonave të Mbrojtura dhe pastaj </w:t>
      </w:r>
      <w:r w:rsidR="001F68B2" w:rsidRPr="00445472">
        <w:t>t’i</w:t>
      </w:r>
      <w:r w:rsidR="008E5C66" w:rsidRPr="00445472">
        <w:t xml:space="preserve"> përfshijnë ato në Planin e Monitorimit të Baseneve Ujore. </w:t>
      </w:r>
    </w:p>
    <w:p w14:paraId="524E805D" w14:textId="008653B7" w:rsidR="008E5C66" w:rsidRPr="00445472" w:rsidRDefault="008E5C66" w:rsidP="008E5C66">
      <w:pPr>
        <w:pStyle w:val="TEKSTIIII"/>
      </w:pPr>
      <w:r w:rsidRPr="00445472">
        <w:t>Rekomandohet për AMBU-në dhe Zyrën e Administrimit të Basenit Ujor të përfshijnë nënprograme për monitorimin e Zonave të Mbrojtura të përcaktuara nga DKU. Monitorimi duhet të marrë në konsideratë planet e monitorimit për secilën zonë të mbrojtur. Në të njëjtën kohë, është e rëndësishme për autoritetet e menaxhimit të baseneve ujore që të bashkëpunojnë me ARZM rajonale për monitorimin e tyre.</w:t>
      </w:r>
    </w:p>
    <w:p w14:paraId="5CA62278" w14:textId="77777777" w:rsidR="008E5C66" w:rsidRPr="00445472" w:rsidRDefault="008E5C66" w:rsidP="008E5C66">
      <w:pPr>
        <w:pStyle w:val="TEKSTIIII"/>
      </w:pPr>
    </w:p>
    <w:p w14:paraId="2FA7509D" w14:textId="77777777" w:rsidR="007A006B" w:rsidRPr="00445472" w:rsidRDefault="007A006B" w:rsidP="008E5C66">
      <w:pPr>
        <w:pStyle w:val="TEKSTIIII"/>
      </w:pPr>
    </w:p>
    <w:p w14:paraId="40CC67CF" w14:textId="77777777" w:rsidR="007A006B" w:rsidRPr="00445472" w:rsidRDefault="007A006B" w:rsidP="008E5C66">
      <w:pPr>
        <w:pStyle w:val="TEKSTIIII"/>
      </w:pPr>
    </w:p>
    <w:p w14:paraId="7CB74E32" w14:textId="77777777" w:rsidR="007A006B" w:rsidRPr="00445472" w:rsidRDefault="007A006B" w:rsidP="008E5C66">
      <w:pPr>
        <w:pStyle w:val="TEKSTIIII"/>
      </w:pPr>
    </w:p>
    <w:p w14:paraId="1F3FBC2B" w14:textId="77777777" w:rsidR="007A006B" w:rsidRPr="00445472" w:rsidRDefault="007A006B" w:rsidP="008E5C66">
      <w:pPr>
        <w:pStyle w:val="TEKSTIIII"/>
      </w:pPr>
    </w:p>
    <w:p w14:paraId="6B227597" w14:textId="77777777" w:rsidR="007A006B" w:rsidRPr="00445472" w:rsidRDefault="007A006B" w:rsidP="008E5C66">
      <w:pPr>
        <w:pStyle w:val="TEKSTIIII"/>
      </w:pPr>
    </w:p>
    <w:p w14:paraId="7FB884FE" w14:textId="77777777" w:rsidR="007A006B" w:rsidRPr="00445472" w:rsidRDefault="007A006B" w:rsidP="008E5C66">
      <w:pPr>
        <w:pStyle w:val="TEKSTIIII"/>
        <w:sectPr w:rsidR="007A006B" w:rsidRPr="00445472" w:rsidSect="00E879EE">
          <w:pgSz w:w="11907" w:h="16839" w:code="9"/>
          <w:pgMar w:top="1418" w:right="1418" w:bottom="1418" w:left="1418" w:header="1304" w:footer="1134" w:gutter="0"/>
          <w:cols w:space="720"/>
          <w:docGrid w:linePitch="360"/>
        </w:sectPr>
      </w:pPr>
    </w:p>
    <w:p w14:paraId="64D30107" w14:textId="20844733" w:rsidR="007A006B" w:rsidRPr="00445472" w:rsidRDefault="007A006B" w:rsidP="007A006B">
      <w:pPr>
        <w:pStyle w:val="NENTITULL"/>
      </w:pPr>
      <w:r w:rsidRPr="00445472">
        <w:t xml:space="preserve">Tabela 6.7: Zonat e </w:t>
      </w:r>
      <w:r w:rsidR="005E3EC9" w:rsidRPr="00445472">
        <w:t xml:space="preserve">mbrojtura </w:t>
      </w:r>
      <w:r w:rsidRPr="00445472">
        <w:t>të përcaktuara për mbrojtjen e habitateve dhe specieve nën DKU që duhet të monitorohen</w:t>
      </w:r>
      <w:r w:rsidRPr="00445472">
        <w:rPr>
          <w:rStyle w:val="FootnoteReference"/>
          <w:rFonts w:ascii="Garamond" w:hAnsi="Garamond"/>
          <w:b w:val="0"/>
          <w:color w:val="auto"/>
        </w:rPr>
        <w:footnoteReference w:id="125"/>
      </w:r>
    </w:p>
    <w:tbl>
      <w:tblPr>
        <w:tblW w:w="14550" w:type="dxa"/>
        <w:tblInd w:w="94"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93"/>
        <w:gridCol w:w="670"/>
        <w:gridCol w:w="1601"/>
        <w:gridCol w:w="2968"/>
        <w:gridCol w:w="3182"/>
        <w:gridCol w:w="4217"/>
        <w:gridCol w:w="1319"/>
      </w:tblGrid>
      <w:tr w:rsidR="007A006B" w:rsidRPr="00445472" w14:paraId="214FE760" w14:textId="77777777" w:rsidTr="00B15A6B">
        <w:trPr>
          <w:trHeight w:val="480"/>
          <w:tblHeader/>
        </w:trPr>
        <w:tc>
          <w:tcPr>
            <w:tcW w:w="593" w:type="dxa"/>
            <w:shd w:val="clear" w:color="000000" w:fill="FFFFFF"/>
            <w:noWrap/>
            <w:vAlign w:val="center"/>
            <w:hideMark/>
          </w:tcPr>
          <w:p w14:paraId="0DDB5405" w14:textId="77777777" w:rsidR="007A006B" w:rsidRPr="00445472" w:rsidRDefault="007A006B" w:rsidP="007A006B">
            <w:pPr>
              <w:pStyle w:val="TABELA"/>
              <w:jc w:val="center"/>
              <w:rPr>
                <w:b/>
                <w:lang w:val="sq-AL"/>
              </w:rPr>
            </w:pPr>
            <w:r w:rsidRPr="00445472">
              <w:rPr>
                <w:b/>
                <w:lang w:val="sq-AL"/>
              </w:rPr>
              <w:t>Nr.</w:t>
            </w:r>
          </w:p>
        </w:tc>
        <w:tc>
          <w:tcPr>
            <w:tcW w:w="670" w:type="dxa"/>
            <w:shd w:val="clear" w:color="000000" w:fill="FFFFFF"/>
            <w:noWrap/>
            <w:vAlign w:val="center"/>
            <w:hideMark/>
          </w:tcPr>
          <w:p w14:paraId="3232FB90" w14:textId="28EFBC34" w:rsidR="007A006B" w:rsidRPr="00445472" w:rsidRDefault="007A006B" w:rsidP="007A006B">
            <w:pPr>
              <w:pStyle w:val="TABELA"/>
              <w:jc w:val="center"/>
              <w:rPr>
                <w:b/>
                <w:lang w:val="sq-AL"/>
              </w:rPr>
            </w:pPr>
            <w:r w:rsidRPr="00445472">
              <w:rPr>
                <w:b/>
                <w:lang w:val="sq-AL"/>
              </w:rPr>
              <w:t>Kat.</w:t>
            </w:r>
          </w:p>
        </w:tc>
        <w:tc>
          <w:tcPr>
            <w:tcW w:w="1601" w:type="dxa"/>
            <w:shd w:val="clear" w:color="000000" w:fill="FFFFFF"/>
            <w:noWrap/>
            <w:vAlign w:val="center"/>
            <w:hideMark/>
          </w:tcPr>
          <w:p w14:paraId="68E9A28B" w14:textId="58AEB034" w:rsidR="007A006B" w:rsidRPr="00445472" w:rsidRDefault="007A006B" w:rsidP="007A006B">
            <w:pPr>
              <w:pStyle w:val="TABELA"/>
              <w:jc w:val="center"/>
              <w:rPr>
                <w:b/>
                <w:lang w:val="sq-AL"/>
              </w:rPr>
            </w:pPr>
            <w:r w:rsidRPr="00445472">
              <w:rPr>
                <w:b/>
                <w:lang w:val="sq-AL"/>
              </w:rPr>
              <w:t>Rajoni (</w:t>
            </w:r>
            <w:r w:rsidR="005E3EC9" w:rsidRPr="00445472">
              <w:rPr>
                <w:b/>
                <w:lang w:val="sq-AL"/>
              </w:rPr>
              <w:t>qarku</w:t>
            </w:r>
            <w:r w:rsidRPr="00445472">
              <w:rPr>
                <w:b/>
                <w:lang w:val="sq-AL"/>
              </w:rPr>
              <w:t>)</w:t>
            </w:r>
          </w:p>
        </w:tc>
        <w:tc>
          <w:tcPr>
            <w:tcW w:w="2968" w:type="dxa"/>
            <w:shd w:val="clear" w:color="000000" w:fill="FFFFFF"/>
            <w:vAlign w:val="center"/>
            <w:hideMark/>
          </w:tcPr>
          <w:p w14:paraId="660DA987" w14:textId="77777777" w:rsidR="007A006B" w:rsidRPr="00445472" w:rsidRDefault="007A006B" w:rsidP="007A006B">
            <w:pPr>
              <w:pStyle w:val="TABELA"/>
              <w:jc w:val="center"/>
              <w:rPr>
                <w:b/>
                <w:lang w:val="sq-AL"/>
              </w:rPr>
            </w:pPr>
            <w:r w:rsidRPr="00445472">
              <w:rPr>
                <w:b/>
                <w:lang w:val="sq-AL"/>
              </w:rPr>
              <w:t>Rrethi</w:t>
            </w:r>
          </w:p>
        </w:tc>
        <w:tc>
          <w:tcPr>
            <w:tcW w:w="3182" w:type="dxa"/>
            <w:shd w:val="clear" w:color="000000" w:fill="FFFFFF"/>
            <w:vAlign w:val="center"/>
            <w:hideMark/>
          </w:tcPr>
          <w:p w14:paraId="352D83A0" w14:textId="77777777" w:rsidR="007A006B" w:rsidRPr="00445472" w:rsidRDefault="007A006B" w:rsidP="007A006B">
            <w:pPr>
              <w:pStyle w:val="TABELA"/>
              <w:jc w:val="center"/>
              <w:rPr>
                <w:b/>
                <w:lang w:val="sq-AL"/>
              </w:rPr>
            </w:pPr>
            <w:r w:rsidRPr="00445472">
              <w:rPr>
                <w:b/>
                <w:lang w:val="sq-AL"/>
              </w:rPr>
              <w:t>Zona e mbrojtur</w:t>
            </w:r>
          </w:p>
        </w:tc>
        <w:tc>
          <w:tcPr>
            <w:tcW w:w="4217" w:type="dxa"/>
            <w:shd w:val="clear" w:color="000000" w:fill="FFFFFF"/>
            <w:noWrap/>
            <w:vAlign w:val="center"/>
            <w:hideMark/>
          </w:tcPr>
          <w:p w14:paraId="2E1F53F6" w14:textId="58605F25" w:rsidR="007A006B" w:rsidRPr="00445472" w:rsidRDefault="007A006B" w:rsidP="007A006B">
            <w:pPr>
              <w:pStyle w:val="TABELA"/>
              <w:jc w:val="center"/>
              <w:rPr>
                <w:b/>
                <w:lang w:val="sq-AL"/>
              </w:rPr>
            </w:pPr>
            <w:r w:rsidRPr="00445472">
              <w:rPr>
                <w:b/>
                <w:lang w:val="sq-AL"/>
              </w:rPr>
              <w:t>Sipërfaqja (ha)</w:t>
            </w:r>
            <w:r w:rsidR="001D340B" w:rsidRPr="00445472">
              <w:rPr>
                <w:b/>
                <w:lang w:val="sq-AL"/>
              </w:rPr>
              <w:t>/</w:t>
            </w:r>
            <w:r w:rsidR="005E3EC9" w:rsidRPr="00445472">
              <w:rPr>
                <w:b/>
                <w:lang w:val="sq-AL"/>
              </w:rPr>
              <w:t>përshkrimi</w:t>
            </w:r>
          </w:p>
        </w:tc>
        <w:tc>
          <w:tcPr>
            <w:tcW w:w="1319" w:type="dxa"/>
            <w:shd w:val="clear" w:color="auto" w:fill="auto"/>
            <w:vAlign w:val="center"/>
            <w:hideMark/>
          </w:tcPr>
          <w:p w14:paraId="02E4DF1C" w14:textId="77777777" w:rsidR="007A006B" w:rsidRPr="00445472" w:rsidRDefault="007A006B" w:rsidP="007A006B">
            <w:pPr>
              <w:pStyle w:val="TABELA"/>
              <w:jc w:val="center"/>
              <w:rPr>
                <w:b/>
                <w:lang w:val="sq-AL"/>
              </w:rPr>
            </w:pPr>
            <w:r w:rsidRPr="00445472">
              <w:rPr>
                <w:b/>
                <w:lang w:val="sq-AL"/>
              </w:rPr>
              <w:t>Prioriteti i monitorimit</w:t>
            </w:r>
          </w:p>
        </w:tc>
      </w:tr>
      <w:tr w:rsidR="007A006B" w:rsidRPr="00445472" w14:paraId="7B81D411" w14:textId="77777777" w:rsidTr="00B15A6B">
        <w:trPr>
          <w:trHeight w:val="240"/>
        </w:trPr>
        <w:tc>
          <w:tcPr>
            <w:tcW w:w="14550" w:type="dxa"/>
            <w:gridSpan w:val="7"/>
            <w:shd w:val="clear" w:color="auto" w:fill="D4D4D4"/>
            <w:noWrap/>
            <w:vAlign w:val="center"/>
            <w:hideMark/>
          </w:tcPr>
          <w:p w14:paraId="116C1C2E" w14:textId="66769D55" w:rsidR="007A006B" w:rsidRPr="00445472" w:rsidRDefault="007A006B" w:rsidP="007A006B">
            <w:pPr>
              <w:pStyle w:val="TABELA"/>
              <w:rPr>
                <w:lang w:val="sq-AL"/>
              </w:rPr>
            </w:pPr>
            <w:r w:rsidRPr="00445472">
              <w:rPr>
                <w:lang w:val="sq-AL"/>
              </w:rPr>
              <w:t>Rezervat Natyror Strikt (RNS)</w:t>
            </w:r>
            <w:r w:rsidR="001D340B" w:rsidRPr="00445472">
              <w:rPr>
                <w:lang w:val="sq-AL"/>
              </w:rPr>
              <w:t>/</w:t>
            </w:r>
            <w:r w:rsidRPr="00445472">
              <w:rPr>
                <w:lang w:val="sq-AL"/>
              </w:rPr>
              <w:t xml:space="preserve">Rezervat </w:t>
            </w:r>
            <w:r w:rsidR="005E3EC9" w:rsidRPr="00445472">
              <w:rPr>
                <w:lang w:val="sq-AL"/>
              </w:rPr>
              <w:t>shkencor</w:t>
            </w:r>
          </w:p>
        </w:tc>
      </w:tr>
      <w:tr w:rsidR="007A006B" w:rsidRPr="00445472" w14:paraId="3FF77410" w14:textId="77777777" w:rsidTr="00B15A6B">
        <w:trPr>
          <w:trHeight w:val="240"/>
        </w:trPr>
        <w:tc>
          <w:tcPr>
            <w:tcW w:w="593" w:type="dxa"/>
            <w:shd w:val="clear" w:color="000000" w:fill="FFFFFF"/>
            <w:noWrap/>
            <w:vAlign w:val="center"/>
            <w:hideMark/>
          </w:tcPr>
          <w:p w14:paraId="3EB19BB1" w14:textId="77777777" w:rsidR="007A006B" w:rsidRPr="00445472" w:rsidRDefault="007A006B" w:rsidP="007A006B">
            <w:pPr>
              <w:pStyle w:val="TABELA"/>
              <w:rPr>
                <w:lang w:val="sq-AL"/>
              </w:rPr>
            </w:pPr>
            <w:r w:rsidRPr="00445472">
              <w:rPr>
                <w:lang w:val="sq-AL"/>
              </w:rPr>
              <w:t>1</w:t>
            </w:r>
          </w:p>
        </w:tc>
        <w:tc>
          <w:tcPr>
            <w:tcW w:w="670" w:type="dxa"/>
            <w:shd w:val="clear" w:color="000000" w:fill="FFFFFF"/>
            <w:noWrap/>
            <w:vAlign w:val="center"/>
            <w:hideMark/>
          </w:tcPr>
          <w:p w14:paraId="3EAEB788" w14:textId="77777777" w:rsidR="007A006B" w:rsidRPr="00445472" w:rsidRDefault="007A006B" w:rsidP="007A006B">
            <w:pPr>
              <w:pStyle w:val="TABELA"/>
              <w:rPr>
                <w:lang w:val="sq-AL"/>
              </w:rPr>
            </w:pPr>
            <w:r w:rsidRPr="00445472">
              <w:rPr>
                <w:lang w:val="sq-AL"/>
              </w:rPr>
              <w:t>I</w:t>
            </w:r>
          </w:p>
        </w:tc>
        <w:tc>
          <w:tcPr>
            <w:tcW w:w="1601" w:type="dxa"/>
            <w:shd w:val="clear" w:color="000000" w:fill="FFFFFF"/>
            <w:noWrap/>
            <w:vAlign w:val="center"/>
            <w:hideMark/>
          </w:tcPr>
          <w:p w14:paraId="4FC3BB44" w14:textId="77777777" w:rsidR="007A006B" w:rsidRPr="00445472" w:rsidRDefault="007A006B" w:rsidP="007A006B">
            <w:pPr>
              <w:pStyle w:val="TABELA"/>
              <w:rPr>
                <w:lang w:val="sq-AL"/>
              </w:rPr>
            </w:pPr>
            <w:r w:rsidRPr="00445472">
              <w:rPr>
                <w:lang w:val="sq-AL"/>
              </w:rPr>
              <w:t>Kukës</w:t>
            </w:r>
          </w:p>
        </w:tc>
        <w:tc>
          <w:tcPr>
            <w:tcW w:w="2968" w:type="dxa"/>
            <w:shd w:val="clear" w:color="000000" w:fill="FFFFFF"/>
            <w:vAlign w:val="center"/>
            <w:hideMark/>
          </w:tcPr>
          <w:p w14:paraId="22F3F7E5" w14:textId="77777777" w:rsidR="007A006B" w:rsidRPr="00445472" w:rsidRDefault="007A006B" w:rsidP="007A006B">
            <w:pPr>
              <w:pStyle w:val="TABELA"/>
              <w:rPr>
                <w:lang w:val="sq-AL"/>
              </w:rPr>
            </w:pPr>
            <w:r w:rsidRPr="00445472">
              <w:rPr>
                <w:lang w:val="sq-AL"/>
              </w:rPr>
              <w:t>Tropojë</w:t>
            </w:r>
          </w:p>
        </w:tc>
        <w:tc>
          <w:tcPr>
            <w:tcW w:w="3182" w:type="dxa"/>
            <w:shd w:val="clear" w:color="000000" w:fill="FFFFFF"/>
            <w:vAlign w:val="center"/>
            <w:hideMark/>
          </w:tcPr>
          <w:p w14:paraId="0479DE04" w14:textId="77777777" w:rsidR="007A006B" w:rsidRPr="00445472" w:rsidRDefault="007A006B" w:rsidP="007A006B">
            <w:pPr>
              <w:pStyle w:val="TABELA"/>
              <w:rPr>
                <w:lang w:val="sq-AL"/>
              </w:rPr>
            </w:pPr>
            <w:r w:rsidRPr="00445472">
              <w:rPr>
                <w:lang w:val="sq-AL"/>
              </w:rPr>
              <w:t>Lumi i Gashit</w:t>
            </w:r>
          </w:p>
        </w:tc>
        <w:tc>
          <w:tcPr>
            <w:tcW w:w="4217" w:type="dxa"/>
            <w:shd w:val="clear" w:color="000000" w:fill="FFFFFF"/>
            <w:noWrap/>
            <w:vAlign w:val="center"/>
            <w:hideMark/>
          </w:tcPr>
          <w:p w14:paraId="5247006A" w14:textId="77777777" w:rsidR="007A006B" w:rsidRPr="00445472" w:rsidRDefault="007A006B" w:rsidP="007A006B">
            <w:pPr>
              <w:pStyle w:val="TABELA"/>
              <w:rPr>
                <w:lang w:val="sq-AL"/>
              </w:rPr>
            </w:pPr>
            <w:r w:rsidRPr="00445472">
              <w:rPr>
                <w:lang w:val="sq-AL"/>
              </w:rPr>
              <w:t>3,000.00</w:t>
            </w:r>
          </w:p>
        </w:tc>
        <w:tc>
          <w:tcPr>
            <w:tcW w:w="1319" w:type="dxa"/>
            <w:shd w:val="clear" w:color="auto" w:fill="auto"/>
            <w:noWrap/>
            <w:vAlign w:val="center"/>
            <w:hideMark/>
          </w:tcPr>
          <w:p w14:paraId="08E7CEDC" w14:textId="77777777" w:rsidR="007A006B" w:rsidRPr="00445472" w:rsidRDefault="007A006B" w:rsidP="007A006B">
            <w:pPr>
              <w:pStyle w:val="TABELA"/>
              <w:rPr>
                <w:lang w:val="sq-AL"/>
              </w:rPr>
            </w:pPr>
            <w:r w:rsidRPr="00445472">
              <w:rPr>
                <w:lang w:val="sq-AL"/>
              </w:rPr>
              <w:t>1</w:t>
            </w:r>
          </w:p>
        </w:tc>
      </w:tr>
      <w:tr w:rsidR="007A006B" w:rsidRPr="00445472" w14:paraId="25D5D36C" w14:textId="77777777" w:rsidTr="00B15A6B">
        <w:trPr>
          <w:trHeight w:val="240"/>
        </w:trPr>
        <w:tc>
          <w:tcPr>
            <w:tcW w:w="14550" w:type="dxa"/>
            <w:gridSpan w:val="7"/>
            <w:shd w:val="clear" w:color="auto" w:fill="D4D4D4"/>
            <w:noWrap/>
            <w:vAlign w:val="center"/>
            <w:hideMark/>
          </w:tcPr>
          <w:p w14:paraId="132C4EC0" w14:textId="77777777" w:rsidR="007A006B" w:rsidRPr="00445472" w:rsidRDefault="007A006B" w:rsidP="007A006B">
            <w:pPr>
              <w:pStyle w:val="TABELA"/>
              <w:rPr>
                <w:lang w:val="sq-AL"/>
              </w:rPr>
            </w:pPr>
            <w:r w:rsidRPr="00445472">
              <w:rPr>
                <w:lang w:val="sq-AL"/>
              </w:rPr>
              <w:t>Park Kombëtar (PK)</w:t>
            </w:r>
          </w:p>
        </w:tc>
      </w:tr>
      <w:tr w:rsidR="007A006B" w:rsidRPr="00445472" w14:paraId="6264205C" w14:textId="77777777" w:rsidTr="00B15A6B">
        <w:trPr>
          <w:trHeight w:val="240"/>
        </w:trPr>
        <w:tc>
          <w:tcPr>
            <w:tcW w:w="593" w:type="dxa"/>
            <w:shd w:val="clear" w:color="000000" w:fill="FFFFFF"/>
            <w:noWrap/>
            <w:vAlign w:val="center"/>
            <w:hideMark/>
          </w:tcPr>
          <w:p w14:paraId="171CAE81" w14:textId="77777777" w:rsidR="007A006B" w:rsidRPr="00445472" w:rsidRDefault="007A006B" w:rsidP="007A006B">
            <w:pPr>
              <w:pStyle w:val="TABELA"/>
              <w:rPr>
                <w:lang w:val="sq-AL"/>
              </w:rPr>
            </w:pPr>
            <w:r w:rsidRPr="00445472">
              <w:rPr>
                <w:lang w:val="sq-AL"/>
              </w:rPr>
              <w:t>2</w:t>
            </w:r>
          </w:p>
        </w:tc>
        <w:tc>
          <w:tcPr>
            <w:tcW w:w="670" w:type="dxa"/>
            <w:shd w:val="clear" w:color="000000" w:fill="FFFFFF"/>
            <w:noWrap/>
            <w:vAlign w:val="center"/>
            <w:hideMark/>
          </w:tcPr>
          <w:p w14:paraId="425F3D4A" w14:textId="77777777" w:rsidR="007A006B" w:rsidRPr="00445472" w:rsidRDefault="007A006B" w:rsidP="007A006B">
            <w:pPr>
              <w:pStyle w:val="TABELA"/>
              <w:rPr>
                <w:lang w:val="sq-AL"/>
              </w:rPr>
            </w:pPr>
            <w:r w:rsidRPr="00445472">
              <w:rPr>
                <w:lang w:val="sq-AL"/>
              </w:rPr>
              <w:t> </w:t>
            </w:r>
          </w:p>
        </w:tc>
        <w:tc>
          <w:tcPr>
            <w:tcW w:w="1601" w:type="dxa"/>
            <w:shd w:val="clear" w:color="000000" w:fill="FFFFFF"/>
            <w:noWrap/>
            <w:vAlign w:val="center"/>
            <w:hideMark/>
          </w:tcPr>
          <w:p w14:paraId="5ABF2316" w14:textId="77777777" w:rsidR="007A006B" w:rsidRPr="00445472" w:rsidRDefault="007A006B" w:rsidP="007A006B">
            <w:pPr>
              <w:pStyle w:val="TABELA"/>
              <w:rPr>
                <w:lang w:val="sq-AL"/>
              </w:rPr>
            </w:pPr>
            <w:r w:rsidRPr="00445472">
              <w:rPr>
                <w:lang w:val="sq-AL"/>
              </w:rPr>
              <w:t>Shkodër</w:t>
            </w:r>
          </w:p>
        </w:tc>
        <w:tc>
          <w:tcPr>
            <w:tcW w:w="2968" w:type="dxa"/>
            <w:shd w:val="clear" w:color="000000" w:fill="FFFFFF"/>
            <w:vAlign w:val="center"/>
            <w:hideMark/>
          </w:tcPr>
          <w:p w14:paraId="71B1EFB6" w14:textId="77777777" w:rsidR="007A006B" w:rsidRPr="00445472" w:rsidRDefault="007A006B" w:rsidP="007A006B">
            <w:pPr>
              <w:pStyle w:val="TABELA"/>
              <w:rPr>
                <w:lang w:val="sq-AL"/>
              </w:rPr>
            </w:pPr>
            <w:r w:rsidRPr="00445472">
              <w:rPr>
                <w:lang w:val="sq-AL"/>
              </w:rPr>
              <w:t>Shkodra</w:t>
            </w:r>
          </w:p>
        </w:tc>
        <w:tc>
          <w:tcPr>
            <w:tcW w:w="3182" w:type="dxa"/>
            <w:shd w:val="clear" w:color="000000" w:fill="FFFFFF"/>
            <w:vAlign w:val="center"/>
            <w:hideMark/>
          </w:tcPr>
          <w:p w14:paraId="52460876" w14:textId="77777777" w:rsidR="007A006B" w:rsidRPr="00445472" w:rsidRDefault="007A006B" w:rsidP="007A006B">
            <w:pPr>
              <w:pStyle w:val="TABELA"/>
              <w:rPr>
                <w:lang w:val="sq-AL"/>
              </w:rPr>
            </w:pPr>
            <w:r w:rsidRPr="00445472">
              <w:rPr>
                <w:lang w:val="sq-AL"/>
              </w:rPr>
              <w:t>Thethi (përfshirë lumin e Thethit)</w:t>
            </w:r>
          </w:p>
        </w:tc>
        <w:tc>
          <w:tcPr>
            <w:tcW w:w="4217" w:type="dxa"/>
            <w:shd w:val="clear" w:color="000000" w:fill="FFFFFF"/>
            <w:noWrap/>
            <w:vAlign w:val="center"/>
            <w:hideMark/>
          </w:tcPr>
          <w:p w14:paraId="63BF6DB5" w14:textId="77777777" w:rsidR="007A006B" w:rsidRPr="00445472" w:rsidRDefault="007A006B" w:rsidP="007A006B">
            <w:pPr>
              <w:pStyle w:val="TABELA"/>
              <w:rPr>
                <w:lang w:val="sq-AL"/>
              </w:rPr>
            </w:pPr>
            <w:r w:rsidRPr="00445472">
              <w:rPr>
                <w:lang w:val="sq-AL"/>
              </w:rPr>
              <w:t>2,630.00</w:t>
            </w:r>
          </w:p>
        </w:tc>
        <w:tc>
          <w:tcPr>
            <w:tcW w:w="1319" w:type="dxa"/>
            <w:shd w:val="clear" w:color="auto" w:fill="auto"/>
            <w:noWrap/>
            <w:vAlign w:val="center"/>
            <w:hideMark/>
          </w:tcPr>
          <w:p w14:paraId="41E0A699" w14:textId="77777777" w:rsidR="007A006B" w:rsidRPr="00445472" w:rsidRDefault="007A006B" w:rsidP="007A006B">
            <w:pPr>
              <w:pStyle w:val="TABELA"/>
              <w:rPr>
                <w:lang w:val="sq-AL"/>
              </w:rPr>
            </w:pPr>
            <w:r w:rsidRPr="00445472">
              <w:rPr>
                <w:lang w:val="sq-AL"/>
              </w:rPr>
              <w:t>1</w:t>
            </w:r>
          </w:p>
        </w:tc>
      </w:tr>
      <w:tr w:rsidR="007A006B" w:rsidRPr="00445472" w14:paraId="39D81A91" w14:textId="77777777" w:rsidTr="00B15A6B">
        <w:trPr>
          <w:trHeight w:val="240"/>
        </w:trPr>
        <w:tc>
          <w:tcPr>
            <w:tcW w:w="593" w:type="dxa"/>
            <w:shd w:val="clear" w:color="000000" w:fill="FFFFFF"/>
            <w:noWrap/>
            <w:vAlign w:val="center"/>
            <w:hideMark/>
          </w:tcPr>
          <w:p w14:paraId="363A4F07" w14:textId="77777777" w:rsidR="007A006B" w:rsidRPr="00445472" w:rsidRDefault="007A006B" w:rsidP="007A006B">
            <w:pPr>
              <w:pStyle w:val="TABELA"/>
              <w:rPr>
                <w:lang w:val="sq-AL"/>
              </w:rPr>
            </w:pPr>
            <w:r w:rsidRPr="00445472">
              <w:rPr>
                <w:lang w:val="sq-AL"/>
              </w:rPr>
              <w:t>3</w:t>
            </w:r>
          </w:p>
        </w:tc>
        <w:tc>
          <w:tcPr>
            <w:tcW w:w="670" w:type="dxa"/>
            <w:shd w:val="clear" w:color="000000" w:fill="FFFFFF"/>
            <w:noWrap/>
            <w:vAlign w:val="center"/>
            <w:hideMark/>
          </w:tcPr>
          <w:p w14:paraId="75F67EB4" w14:textId="77777777" w:rsidR="007A006B" w:rsidRPr="00445472" w:rsidRDefault="007A006B" w:rsidP="007A006B">
            <w:pPr>
              <w:pStyle w:val="TABELA"/>
              <w:rPr>
                <w:lang w:val="sq-AL"/>
              </w:rPr>
            </w:pPr>
            <w:r w:rsidRPr="00445472">
              <w:rPr>
                <w:lang w:val="sq-AL"/>
              </w:rPr>
              <w:t>II</w:t>
            </w:r>
          </w:p>
        </w:tc>
        <w:tc>
          <w:tcPr>
            <w:tcW w:w="1601" w:type="dxa"/>
            <w:shd w:val="clear" w:color="000000" w:fill="FFFFFF"/>
            <w:noWrap/>
            <w:vAlign w:val="center"/>
            <w:hideMark/>
          </w:tcPr>
          <w:p w14:paraId="0C67C451" w14:textId="77777777" w:rsidR="007A006B" w:rsidRPr="00445472" w:rsidRDefault="007A006B" w:rsidP="007A006B">
            <w:pPr>
              <w:pStyle w:val="TABELA"/>
              <w:rPr>
                <w:lang w:val="sq-AL"/>
              </w:rPr>
            </w:pPr>
            <w:r w:rsidRPr="00445472">
              <w:rPr>
                <w:lang w:val="sq-AL"/>
              </w:rPr>
              <w:t>Dibër</w:t>
            </w:r>
          </w:p>
        </w:tc>
        <w:tc>
          <w:tcPr>
            <w:tcW w:w="2968" w:type="dxa"/>
            <w:shd w:val="clear" w:color="000000" w:fill="FFFFFF"/>
            <w:vAlign w:val="center"/>
            <w:hideMark/>
          </w:tcPr>
          <w:p w14:paraId="03E313E6" w14:textId="77777777" w:rsidR="007A006B" w:rsidRPr="00445472" w:rsidRDefault="007A006B" w:rsidP="007A006B">
            <w:pPr>
              <w:pStyle w:val="TABELA"/>
              <w:rPr>
                <w:lang w:val="sq-AL"/>
              </w:rPr>
            </w:pPr>
            <w:r w:rsidRPr="00445472">
              <w:rPr>
                <w:lang w:val="sq-AL"/>
              </w:rPr>
              <w:t>Dibër</w:t>
            </w:r>
          </w:p>
        </w:tc>
        <w:tc>
          <w:tcPr>
            <w:tcW w:w="3182" w:type="dxa"/>
            <w:shd w:val="clear" w:color="000000" w:fill="FFFFFF"/>
            <w:vAlign w:val="center"/>
            <w:hideMark/>
          </w:tcPr>
          <w:p w14:paraId="397F0212" w14:textId="6D458804" w:rsidR="007A006B" w:rsidRPr="00445472" w:rsidRDefault="007A006B" w:rsidP="005E3EC9">
            <w:pPr>
              <w:pStyle w:val="TABELA"/>
              <w:rPr>
                <w:lang w:val="sq-AL"/>
              </w:rPr>
            </w:pPr>
            <w:r w:rsidRPr="00445472">
              <w:rPr>
                <w:lang w:val="sq-AL"/>
              </w:rPr>
              <w:t>Lura (përfshirë li</w:t>
            </w:r>
            <w:r w:rsidR="005E3EC9" w:rsidRPr="00445472">
              <w:rPr>
                <w:lang w:val="sq-AL"/>
              </w:rPr>
              <w:t>q</w:t>
            </w:r>
            <w:r w:rsidRPr="00445472">
              <w:rPr>
                <w:lang w:val="sq-AL"/>
              </w:rPr>
              <w:t>enet e Lurës)</w:t>
            </w:r>
          </w:p>
        </w:tc>
        <w:tc>
          <w:tcPr>
            <w:tcW w:w="4217" w:type="dxa"/>
            <w:shd w:val="clear" w:color="000000" w:fill="FFFFFF"/>
            <w:noWrap/>
            <w:vAlign w:val="center"/>
            <w:hideMark/>
          </w:tcPr>
          <w:p w14:paraId="587F4A20" w14:textId="77777777" w:rsidR="007A006B" w:rsidRPr="00445472" w:rsidRDefault="007A006B" w:rsidP="007A006B">
            <w:pPr>
              <w:pStyle w:val="TABELA"/>
              <w:rPr>
                <w:lang w:val="sq-AL"/>
              </w:rPr>
            </w:pPr>
            <w:r w:rsidRPr="00445472">
              <w:rPr>
                <w:lang w:val="sq-AL"/>
              </w:rPr>
              <w:t>1,280.00</w:t>
            </w:r>
          </w:p>
        </w:tc>
        <w:tc>
          <w:tcPr>
            <w:tcW w:w="1319" w:type="dxa"/>
            <w:shd w:val="clear" w:color="auto" w:fill="auto"/>
            <w:noWrap/>
            <w:vAlign w:val="center"/>
            <w:hideMark/>
          </w:tcPr>
          <w:p w14:paraId="264B8272" w14:textId="77777777" w:rsidR="007A006B" w:rsidRPr="00445472" w:rsidRDefault="007A006B" w:rsidP="007A006B">
            <w:pPr>
              <w:pStyle w:val="TABELA"/>
              <w:rPr>
                <w:lang w:val="sq-AL"/>
              </w:rPr>
            </w:pPr>
            <w:r w:rsidRPr="00445472">
              <w:rPr>
                <w:lang w:val="sq-AL"/>
              </w:rPr>
              <w:t>2</w:t>
            </w:r>
          </w:p>
        </w:tc>
      </w:tr>
      <w:tr w:rsidR="007A006B" w:rsidRPr="00445472" w14:paraId="41449DEE" w14:textId="77777777" w:rsidTr="00B15A6B">
        <w:trPr>
          <w:trHeight w:val="480"/>
        </w:trPr>
        <w:tc>
          <w:tcPr>
            <w:tcW w:w="593" w:type="dxa"/>
            <w:shd w:val="clear" w:color="000000" w:fill="FFFFFF"/>
            <w:noWrap/>
            <w:vAlign w:val="center"/>
            <w:hideMark/>
          </w:tcPr>
          <w:p w14:paraId="32800DA2" w14:textId="77777777" w:rsidR="007A006B" w:rsidRPr="00445472" w:rsidRDefault="007A006B" w:rsidP="007A006B">
            <w:pPr>
              <w:pStyle w:val="TABELA"/>
              <w:rPr>
                <w:lang w:val="sq-AL"/>
              </w:rPr>
            </w:pPr>
            <w:r w:rsidRPr="00445472">
              <w:rPr>
                <w:lang w:val="sq-AL"/>
              </w:rPr>
              <w:t>4</w:t>
            </w:r>
          </w:p>
        </w:tc>
        <w:tc>
          <w:tcPr>
            <w:tcW w:w="670" w:type="dxa"/>
            <w:shd w:val="clear" w:color="000000" w:fill="FFFFFF"/>
            <w:noWrap/>
            <w:vAlign w:val="center"/>
            <w:hideMark/>
          </w:tcPr>
          <w:p w14:paraId="7597DB56" w14:textId="77777777" w:rsidR="007A006B" w:rsidRPr="00445472" w:rsidRDefault="007A006B" w:rsidP="007A006B">
            <w:pPr>
              <w:pStyle w:val="TABELA"/>
              <w:rPr>
                <w:lang w:val="sq-AL"/>
              </w:rPr>
            </w:pPr>
            <w:r w:rsidRPr="00445472">
              <w:rPr>
                <w:lang w:val="sq-AL"/>
              </w:rPr>
              <w:t>II</w:t>
            </w:r>
          </w:p>
        </w:tc>
        <w:tc>
          <w:tcPr>
            <w:tcW w:w="1601" w:type="dxa"/>
            <w:shd w:val="clear" w:color="000000" w:fill="FFFFFF"/>
            <w:noWrap/>
            <w:vAlign w:val="center"/>
            <w:hideMark/>
          </w:tcPr>
          <w:p w14:paraId="5DC66A20" w14:textId="77777777" w:rsidR="007A006B" w:rsidRPr="00445472" w:rsidRDefault="007A006B" w:rsidP="007A006B">
            <w:pPr>
              <w:pStyle w:val="TABELA"/>
              <w:rPr>
                <w:lang w:val="sq-AL"/>
              </w:rPr>
            </w:pPr>
            <w:r w:rsidRPr="00445472">
              <w:rPr>
                <w:lang w:val="sq-AL"/>
              </w:rPr>
              <w:t>Kukës</w:t>
            </w:r>
          </w:p>
        </w:tc>
        <w:tc>
          <w:tcPr>
            <w:tcW w:w="2968" w:type="dxa"/>
            <w:shd w:val="clear" w:color="000000" w:fill="FFFFFF"/>
            <w:vAlign w:val="center"/>
            <w:hideMark/>
          </w:tcPr>
          <w:p w14:paraId="1FE23F71" w14:textId="77777777" w:rsidR="007A006B" w:rsidRPr="00445472" w:rsidRDefault="007A006B" w:rsidP="007A006B">
            <w:pPr>
              <w:pStyle w:val="TABELA"/>
              <w:rPr>
                <w:lang w:val="sq-AL"/>
              </w:rPr>
            </w:pPr>
            <w:r w:rsidRPr="00445472">
              <w:rPr>
                <w:lang w:val="sq-AL"/>
              </w:rPr>
              <w:t>Tropojë</w:t>
            </w:r>
          </w:p>
        </w:tc>
        <w:tc>
          <w:tcPr>
            <w:tcW w:w="3182" w:type="dxa"/>
            <w:shd w:val="clear" w:color="000000" w:fill="FFFFFF"/>
            <w:vAlign w:val="center"/>
            <w:hideMark/>
          </w:tcPr>
          <w:p w14:paraId="45A8A885" w14:textId="27A5FF82" w:rsidR="007A006B" w:rsidRPr="00445472" w:rsidRDefault="007A006B" w:rsidP="007A006B">
            <w:pPr>
              <w:pStyle w:val="TABELA"/>
              <w:rPr>
                <w:lang w:val="sq-AL"/>
              </w:rPr>
            </w:pPr>
            <w:r w:rsidRPr="00445472">
              <w:rPr>
                <w:lang w:val="sq-AL"/>
              </w:rPr>
              <w:t>Lugina e Valbonës (</w:t>
            </w:r>
            <w:r w:rsidR="005E3EC9" w:rsidRPr="00445472">
              <w:rPr>
                <w:lang w:val="sq-AL"/>
              </w:rPr>
              <w:t xml:space="preserve">përfshirë </w:t>
            </w:r>
            <w:r w:rsidRPr="00445472">
              <w:rPr>
                <w:lang w:val="sq-AL"/>
              </w:rPr>
              <w:t>gjithashtu lumin Valbona)</w:t>
            </w:r>
          </w:p>
        </w:tc>
        <w:tc>
          <w:tcPr>
            <w:tcW w:w="4217" w:type="dxa"/>
            <w:shd w:val="clear" w:color="000000" w:fill="FFFFFF"/>
            <w:noWrap/>
            <w:vAlign w:val="center"/>
            <w:hideMark/>
          </w:tcPr>
          <w:p w14:paraId="7255C151" w14:textId="77777777" w:rsidR="007A006B" w:rsidRPr="00445472" w:rsidRDefault="007A006B" w:rsidP="007A006B">
            <w:pPr>
              <w:pStyle w:val="TABELA"/>
              <w:rPr>
                <w:lang w:val="sq-AL"/>
              </w:rPr>
            </w:pPr>
            <w:r w:rsidRPr="00445472">
              <w:rPr>
                <w:lang w:val="sq-AL"/>
              </w:rPr>
              <w:t>8,000.00</w:t>
            </w:r>
          </w:p>
        </w:tc>
        <w:tc>
          <w:tcPr>
            <w:tcW w:w="1319" w:type="dxa"/>
            <w:shd w:val="clear" w:color="auto" w:fill="auto"/>
            <w:noWrap/>
            <w:vAlign w:val="center"/>
            <w:hideMark/>
          </w:tcPr>
          <w:p w14:paraId="5EE639CF" w14:textId="77777777" w:rsidR="007A006B" w:rsidRPr="00445472" w:rsidRDefault="007A006B" w:rsidP="007A006B">
            <w:pPr>
              <w:pStyle w:val="TABELA"/>
              <w:rPr>
                <w:lang w:val="sq-AL"/>
              </w:rPr>
            </w:pPr>
            <w:r w:rsidRPr="00445472">
              <w:rPr>
                <w:lang w:val="sq-AL"/>
              </w:rPr>
              <w:t>2</w:t>
            </w:r>
          </w:p>
        </w:tc>
      </w:tr>
      <w:tr w:rsidR="007A006B" w:rsidRPr="00445472" w14:paraId="0A95837D" w14:textId="77777777" w:rsidTr="00B15A6B">
        <w:trPr>
          <w:trHeight w:val="480"/>
        </w:trPr>
        <w:tc>
          <w:tcPr>
            <w:tcW w:w="593" w:type="dxa"/>
            <w:shd w:val="clear" w:color="000000" w:fill="FFFFFF"/>
            <w:noWrap/>
            <w:vAlign w:val="center"/>
          </w:tcPr>
          <w:p w14:paraId="006B843D" w14:textId="77777777" w:rsidR="007A006B" w:rsidRPr="00445472" w:rsidRDefault="007A006B" w:rsidP="007A006B">
            <w:pPr>
              <w:pStyle w:val="TABELA"/>
              <w:rPr>
                <w:lang w:val="sq-AL"/>
              </w:rPr>
            </w:pPr>
          </w:p>
        </w:tc>
        <w:tc>
          <w:tcPr>
            <w:tcW w:w="670" w:type="dxa"/>
            <w:shd w:val="clear" w:color="000000" w:fill="FFFFFF"/>
            <w:noWrap/>
            <w:vAlign w:val="center"/>
          </w:tcPr>
          <w:p w14:paraId="37BCC44B" w14:textId="77777777" w:rsidR="007A006B" w:rsidRPr="00445472" w:rsidRDefault="007A006B" w:rsidP="007A006B">
            <w:pPr>
              <w:pStyle w:val="TABELA"/>
              <w:rPr>
                <w:lang w:val="sq-AL"/>
              </w:rPr>
            </w:pPr>
          </w:p>
        </w:tc>
        <w:tc>
          <w:tcPr>
            <w:tcW w:w="1601" w:type="dxa"/>
            <w:shd w:val="clear" w:color="000000" w:fill="FFFFFF"/>
            <w:noWrap/>
            <w:vAlign w:val="center"/>
          </w:tcPr>
          <w:p w14:paraId="5FC34A8F" w14:textId="77777777" w:rsidR="007A006B" w:rsidRPr="00445472" w:rsidRDefault="007A006B" w:rsidP="007A006B">
            <w:pPr>
              <w:pStyle w:val="TABELA"/>
              <w:rPr>
                <w:lang w:val="sq-AL"/>
              </w:rPr>
            </w:pPr>
            <w:r w:rsidRPr="00445472">
              <w:rPr>
                <w:lang w:val="sq-AL"/>
              </w:rPr>
              <w:t>Korçë</w:t>
            </w:r>
          </w:p>
        </w:tc>
        <w:tc>
          <w:tcPr>
            <w:tcW w:w="2968" w:type="dxa"/>
            <w:shd w:val="clear" w:color="000000" w:fill="FFFFFF"/>
            <w:vAlign w:val="center"/>
          </w:tcPr>
          <w:p w14:paraId="62104908" w14:textId="77777777" w:rsidR="007A006B" w:rsidRPr="00445472" w:rsidRDefault="007A006B" w:rsidP="007A006B">
            <w:pPr>
              <w:pStyle w:val="TABELA"/>
              <w:rPr>
                <w:lang w:val="sq-AL"/>
              </w:rPr>
            </w:pPr>
            <w:r w:rsidRPr="00445472">
              <w:rPr>
                <w:lang w:val="sq-AL"/>
              </w:rPr>
              <w:t>Korçë</w:t>
            </w:r>
          </w:p>
        </w:tc>
        <w:tc>
          <w:tcPr>
            <w:tcW w:w="3182" w:type="dxa"/>
            <w:shd w:val="clear" w:color="000000" w:fill="FFFFFF"/>
            <w:vAlign w:val="center"/>
          </w:tcPr>
          <w:p w14:paraId="25CEA621" w14:textId="77777777" w:rsidR="007A006B" w:rsidRPr="00445472" w:rsidRDefault="007A006B" w:rsidP="007A006B">
            <w:pPr>
              <w:pStyle w:val="TABELA"/>
              <w:rPr>
                <w:lang w:val="sq-AL"/>
              </w:rPr>
            </w:pPr>
            <w:r w:rsidRPr="00445472">
              <w:rPr>
                <w:lang w:val="sq-AL"/>
              </w:rPr>
              <w:t>Prespa</w:t>
            </w:r>
          </w:p>
        </w:tc>
        <w:tc>
          <w:tcPr>
            <w:tcW w:w="4217" w:type="dxa"/>
            <w:shd w:val="clear" w:color="000000" w:fill="FFFFFF"/>
            <w:noWrap/>
            <w:vAlign w:val="center"/>
          </w:tcPr>
          <w:p w14:paraId="03C7FAE3" w14:textId="77777777" w:rsidR="007A006B" w:rsidRPr="00445472" w:rsidRDefault="007A006B" w:rsidP="007A006B">
            <w:pPr>
              <w:pStyle w:val="TABELA"/>
              <w:rPr>
                <w:lang w:val="sq-AL"/>
              </w:rPr>
            </w:pPr>
            <w:r w:rsidRPr="00445472">
              <w:rPr>
                <w:lang w:val="sq-AL"/>
              </w:rPr>
              <w:t>27,450.00</w:t>
            </w:r>
          </w:p>
        </w:tc>
        <w:tc>
          <w:tcPr>
            <w:tcW w:w="1319" w:type="dxa"/>
            <w:shd w:val="clear" w:color="auto" w:fill="auto"/>
            <w:noWrap/>
            <w:vAlign w:val="center"/>
          </w:tcPr>
          <w:p w14:paraId="29F0811A" w14:textId="77777777" w:rsidR="007A006B" w:rsidRPr="00445472" w:rsidRDefault="007A006B" w:rsidP="007A006B">
            <w:pPr>
              <w:pStyle w:val="TABELA"/>
              <w:rPr>
                <w:lang w:val="sq-AL"/>
              </w:rPr>
            </w:pPr>
            <w:r w:rsidRPr="00445472">
              <w:rPr>
                <w:lang w:val="sq-AL"/>
              </w:rPr>
              <w:t>1</w:t>
            </w:r>
          </w:p>
        </w:tc>
      </w:tr>
      <w:tr w:rsidR="007A006B" w:rsidRPr="00445472" w14:paraId="0C1A3D62" w14:textId="77777777" w:rsidTr="00B15A6B">
        <w:trPr>
          <w:trHeight w:val="240"/>
        </w:trPr>
        <w:tc>
          <w:tcPr>
            <w:tcW w:w="14550" w:type="dxa"/>
            <w:gridSpan w:val="7"/>
            <w:shd w:val="clear" w:color="auto" w:fill="D4D4D4"/>
            <w:noWrap/>
            <w:vAlign w:val="center"/>
            <w:hideMark/>
          </w:tcPr>
          <w:p w14:paraId="24E1F900" w14:textId="7B37E072" w:rsidR="007A006B" w:rsidRPr="00445472" w:rsidRDefault="007A006B" w:rsidP="007A006B">
            <w:pPr>
              <w:pStyle w:val="TABELA"/>
              <w:rPr>
                <w:lang w:val="sq-AL"/>
              </w:rPr>
            </w:pPr>
            <w:r w:rsidRPr="00445472">
              <w:rPr>
                <w:lang w:val="sq-AL"/>
              </w:rPr>
              <w:t>Rezervat Natyror i Menaxhuar (RNM)</w:t>
            </w:r>
            <w:r w:rsidR="001D340B" w:rsidRPr="00445472">
              <w:rPr>
                <w:lang w:val="sq-AL"/>
              </w:rPr>
              <w:t>/</w:t>
            </w:r>
            <w:r w:rsidRPr="00445472">
              <w:rPr>
                <w:lang w:val="sq-AL"/>
              </w:rPr>
              <w:t>Park Kombëtar i Natyrës</w:t>
            </w:r>
          </w:p>
        </w:tc>
      </w:tr>
      <w:tr w:rsidR="007A006B" w:rsidRPr="00445472" w14:paraId="709404A2" w14:textId="77777777" w:rsidTr="00B15A6B">
        <w:trPr>
          <w:trHeight w:val="240"/>
        </w:trPr>
        <w:tc>
          <w:tcPr>
            <w:tcW w:w="593" w:type="dxa"/>
            <w:shd w:val="clear" w:color="000000" w:fill="FFFFFF"/>
            <w:noWrap/>
            <w:vAlign w:val="center"/>
            <w:hideMark/>
          </w:tcPr>
          <w:p w14:paraId="65B19DE9" w14:textId="77777777" w:rsidR="007A006B" w:rsidRPr="00445472" w:rsidRDefault="007A006B" w:rsidP="007A006B">
            <w:pPr>
              <w:pStyle w:val="TABELA"/>
              <w:rPr>
                <w:lang w:val="sq-AL"/>
              </w:rPr>
            </w:pPr>
            <w:r w:rsidRPr="00445472">
              <w:rPr>
                <w:lang w:val="sq-AL"/>
              </w:rPr>
              <w:t>1</w:t>
            </w:r>
          </w:p>
        </w:tc>
        <w:tc>
          <w:tcPr>
            <w:tcW w:w="670" w:type="dxa"/>
            <w:shd w:val="clear" w:color="000000" w:fill="FFFFFF"/>
            <w:noWrap/>
            <w:vAlign w:val="center"/>
            <w:hideMark/>
          </w:tcPr>
          <w:p w14:paraId="6A03CE28" w14:textId="77777777" w:rsidR="007A006B" w:rsidRPr="00445472" w:rsidRDefault="007A006B" w:rsidP="007A006B">
            <w:pPr>
              <w:pStyle w:val="TABELA"/>
              <w:rPr>
                <w:lang w:val="sq-AL"/>
              </w:rPr>
            </w:pPr>
            <w:r w:rsidRPr="00445472">
              <w:rPr>
                <w:lang w:val="sq-AL"/>
              </w:rPr>
              <w:t>IV</w:t>
            </w:r>
          </w:p>
        </w:tc>
        <w:tc>
          <w:tcPr>
            <w:tcW w:w="1601" w:type="dxa"/>
            <w:shd w:val="clear" w:color="000000" w:fill="FFFFFF"/>
            <w:noWrap/>
            <w:vAlign w:val="center"/>
            <w:hideMark/>
          </w:tcPr>
          <w:p w14:paraId="2F08BE8E" w14:textId="77777777" w:rsidR="007A006B" w:rsidRPr="00445472" w:rsidRDefault="007A006B" w:rsidP="007A006B">
            <w:pPr>
              <w:pStyle w:val="TABELA"/>
              <w:rPr>
                <w:lang w:val="sq-AL"/>
              </w:rPr>
            </w:pPr>
            <w:r w:rsidRPr="00445472">
              <w:rPr>
                <w:lang w:val="sq-AL"/>
              </w:rPr>
              <w:t>Shkodër</w:t>
            </w:r>
          </w:p>
        </w:tc>
        <w:tc>
          <w:tcPr>
            <w:tcW w:w="2968" w:type="dxa"/>
            <w:shd w:val="clear" w:color="000000" w:fill="FFFFFF"/>
            <w:vAlign w:val="center"/>
            <w:hideMark/>
          </w:tcPr>
          <w:p w14:paraId="7D83283F" w14:textId="77777777" w:rsidR="007A006B" w:rsidRPr="00445472" w:rsidRDefault="007A006B" w:rsidP="007A006B">
            <w:pPr>
              <w:pStyle w:val="TABELA"/>
              <w:rPr>
                <w:lang w:val="sq-AL"/>
              </w:rPr>
            </w:pPr>
            <w:r w:rsidRPr="00445472">
              <w:rPr>
                <w:lang w:val="sq-AL"/>
              </w:rPr>
              <w:t>Shkodra</w:t>
            </w:r>
          </w:p>
        </w:tc>
        <w:tc>
          <w:tcPr>
            <w:tcW w:w="3182" w:type="dxa"/>
            <w:shd w:val="clear" w:color="000000" w:fill="FFFFFF"/>
            <w:vAlign w:val="center"/>
            <w:hideMark/>
          </w:tcPr>
          <w:p w14:paraId="2BABF0D9" w14:textId="77777777" w:rsidR="007A006B" w:rsidRPr="00445472" w:rsidRDefault="007A006B" w:rsidP="007A006B">
            <w:pPr>
              <w:pStyle w:val="TABELA"/>
              <w:rPr>
                <w:lang w:val="sq-AL"/>
              </w:rPr>
            </w:pPr>
            <w:r w:rsidRPr="00445472">
              <w:rPr>
                <w:lang w:val="sq-AL"/>
              </w:rPr>
              <w:t>Liqeni i Shkodrës</w:t>
            </w:r>
          </w:p>
        </w:tc>
        <w:tc>
          <w:tcPr>
            <w:tcW w:w="4217" w:type="dxa"/>
            <w:shd w:val="clear" w:color="000000" w:fill="FFFFFF"/>
            <w:noWrap/>
            <w:vAlign w:val="center"/>
            <w:hideMark/>
          </w:tcPr>
          <w:p w14:paraId="7E438753" w14:textId="77777777" w:rsidR="007A006B" w:rsidRPr="00445472" w:rsidRDefault="007A006B" w:rsidP="007A006B">
            <w:pPr>
              <w:pStyle w:val="TABELA"/>
              <w:rPr>
                <w:lang w:val="sq-AL"/>
              </w:rPr>
            </w:pPr>
            <w:r w:rsidRPr="00445472">
              <w:rPr>
                <w:lang w:val="sq-AL"/>
              </w:rPr>
              <w:t>26,535.00</w:t>
            </w:r>
          </w:p>
        </w:tc>
        <w:tc>
          <w:tcPr>
            <w:tcW w:w="1319" w:type="dxa"/>
            <w:shd w:val="clear" w:color="auto" w:fill="auto"/>
            <w:noWrap/>
            <w:vAlign w:val="center"/>
            <w:hideMark/>
          </w:tcPr>
          <w:p w14:paraId="7FAB7AD4" w14:textId="77777777" w:rsidR="007A006B" w:rsidRPr="00445472" w:rsidRDefault="007A006B" w:rsidP="007A006B">
            <w:pPr>
              <w:pStyle w:val="TABELA"/>
              <w:rPr>
                <w:lang w:val="sq-AL"/>
              </w:rPr>
            </w:pPr>
            <w:r w:rsidRPr="00445472">
              <w:rPr>
                <w:lang w:val="sq-AL"/>
              </w:rPr>
              <w:t>1</w:t>
            </w:r>
          </w:p>
        </w:tc>
      </w:tr>
      <w:tr w:rsidR="007A006B" w:rsidRPr="00445472" w14:paraId="7DC8B0C3" w14:textId="77777777" w:rsidTr="00B15A6B">
        <w:trPr>
          <w:trHeight w:val="240"/>
        </w:trPr>
        <w:tc>
          <w:tcPr>
            <w:tcW w:w="593" w:type="dxa"/>
            <w:shd w:val="clear" w:color="000000" w:fill="FFFFFF"/>
            <w:noWrap/>
            <w:vAlign w:val="center"/>
            <w:hideMark/>
          </w:tcPr>
          <w:p w14:paraId="7982B129" w14:textId="77777777" w:rsidR="007A006B" w:rsidRPr="00445472" w:rsidRDefault="007A006B" w:rsidP="007A006B">
            <w:pPr>
              <w:pStyle w:val="TABELA"/>
              <w:rPr>
                <w:lang w:val="sq-AL"/>
              </w:rPr>
            </w:pPr>
            <w:r w:rsidRPr="00445472">
              <w:rPr>
                <w:lang w:val="sq-AL"/>
              </w:rPr>
              <w:t>2</w:t>
            </w:r>
          </w:p>
        </w:tc>
        <w:tc>
          <w:tcPr>
            <w:tcW w:w="670" w:type="dxa"/>
            <w:shd w:val="clear" w:color="000000" w:fill="FFFFFF"/>
            <w:noWrap/>
            <w:vAlign w:val="center"/>
            <w:hideMark/>
          </w:tcPr>
          <w:p w14:paraId="25D36AE8" w14:textId="77777777" w:rsidR="007A006B" w:rsidRPr="00445472" w:rsidRDefault="007A006B" w:rsidP="007A006B">
            <w:pPr>
              <w:pStyle w:val="TABELA"/>
              <w:rPr>
                <w:lang w:val="sq-AL"/>
              </w:rPr>
            </w:pPr>
            <w:r w:rsidRPr="00445472">
              <w:rPr>
                <w:lang w:val="sq-AL"/>
              </w:rPr>
              <w:t>IV</w:t>
            </w:r>
          </w:p>
        </w:tc>
        <w:tc>
          <w:tcPr>
            <w:tcW w:w="1601" w:type="dxa"/>
            <w:shd w:val="clear" w:color="000000" w:fill="FFFFFF"/>
            <w:noWrap/>
            <w:vAlign w:val="center"/>
            <w:hideMark/>
          </w:tcPr>
          <w:p w14:paraId="3AB9073F" w14:textId="77777777" w:rsidR="007A006B" w:rsidRPr="00445472" w:rsidRDefault="007A006B" w:rsidP="007A006B">
            <w:pPr>
              <w:pStyle w:val="TABELA"/>
              <w:rPr>
                <w:lang w:val="sq-AL"/>
              </w:rPr>
            </w:pPr>
            <w:r w:rsidRPr="00445472">
              <w:rPr>
                <w:lang w:val="sq-AL"/>
              </w:rPr>
              <w:t>Lezhë</w:t>
            </w:r>
          </w:p>
        </w:tc>
        <w:tc>
          <w:tcPr>
            <w:tcW w:w="2968" w:type="dxa"/>
            <w:shd w:val="clear" w:color="000000" w:fill="FFFFFF"/>
            <w:vAlign w:val="center"/>
            <w:hideMark/>
          </w:tcPr>
          <w:p w14:paraId="6757C1DE" w14:textId="77777777" w:rsidR="007A006B" w:rsidRPr="00445472" w:rsidRDefault="007A006B" w:rsidP="007A006B">
            <w:pPr>
              <w:pStyle w:val="TABELA"/>
              <w:rPr>
                <w:lang w:val="sq-AL"/>
              </w:rPr>
            </w:pPr>
            <w:r w:rsidRPr="00445472">
              <w:rPr>
                <w:lang w:val="sq-AL"/>
              </w:rPr>
              <w:t>Lezhë</w:t>
            </w:r>
          </w:p>
        </w:tc>
        <w:tc>
          <w:tcPr>
            <w:tcW w:w="3182" w:type="dxa"/>
            <w:shd w:val="clear" w:color="000000" w:fill="FFFFFF"/>
            <w:vAlign w:val="center"/>
            <w:hideMark/>
          </w:tcPr>
          <w:p w14:paraId="2CB55484" w14:textId="77777777" w:rsidR="007A006B" w:rsidRPr="00445472" w:rsidRDefault="007A006B" w:rsidP="007A006B">
            <w:pPr>
              <w:pStyle w:val="TABELA"/>
              <w:rPr>
                <w:lang w:val="sq-AL"/>
              </w:rPr>
            </w:pPr>
            <w:r w:rsidRPr="00445472">
              <w:rPr>
                <w:lang w:val="sq-AL"/>
              </w:rPr>
              <w:t>Kune-Vain-Tale</w:t>
            </w:r>
          </w:p>
        </w:tc>
        <w:tc>
          <w:tcPr>
            <w:tcW w:w="4217" w:type="dxa"/>
            <w:shd w:val="clear" w:color="000000" w:fill="FFFFFF"/>
            <w:noWrap/>
            <w:vAlign w:val="center"/>
            <w:hideMark/>
          </w:tcPr>
          <w:p w14:paraId="437810E3" w14:textId="77777777" w:rsidR="007A006B" w:rsidRPr="00445472" w:rsidRDefault="007A006B" w:rsidP="007A006B">
            <w:pPr>
              <w:pStyle w:val="TABELA"/>
              <w:rPr>
                <w:lang w:val="sq-AL"/>
              </w:rPr>
            </w:pPr>
            <w:r w:rsidRPr="00445472">
              <w:rPr>
                <w:lang w:val="sq-AL"/>
              </w:rPr>
              <w:t>4,393.20</w:t>
            </w:r>
          </w:p>
        </w:tc>
        <w:tc>
          <w:tcPr>
            <w:tcW w:w="1319" w:type="dxa"/>
            <w:shd w:val="clear" w:color="auto" w:fill="auto"/>
            <w:noWrap/>
            <w:vAlign w:val="center"/>
            <w:hideMark/>
          </w:tcPr>
          <w:p w14:paraId="702CB27F" w14:textId="77777777" w:rsidR="007A006B" w:rsidRPr="00445472" w:rsidRDefault="007A006B" w:rsidP="007A006B">
            <w:pPr>
              <w:pStyle w:val="TABELA"/>
              <w:rPr>
                <w:lang w:val="sq-AL"/>
              </w:rPr>
            </w:pPr>
            <w:r w:rsidRPr="00445472">
              <w:rPr>
                <w:lang w:val="sq-AL"/>
              </w:rPr>
              <w:t>1</w:t>
            </w:r>
          </w:p>
        </w:tc>
      </w:tr>
      <w:tr w:rsidR="007A006B" w:rsidRPr="00445472" w14:paraId="7A3ADE4B" w14:textId="77777777" w:rsidTr="00B15A6B">
        <w:trPr>
          <w:trHeight w:val="240"/>
        </w:trPr>
        <w:tc>
          <w:tcPr>
            <w:tcW w:w="14550" w:type="dxa"/>
            <w:gridSpan w:val="7"/>
            <w:shd w:val="clear" w:color="auto" w:fill="D4D4D4"/>
            <w:noWrap/>
            <w:vAlign w:val="center"/>
            <w:hideMark/>
          </w:tcPr>
          <w:p w14:paraId="17322825" w14:textId="77777777" w:rsidR="007A006B" w:rsidRPr="00445472" w:rsidRDefault="007A006B" w:rsidP="007A006B">
            <w:pPr>
              <w:pStyle w:val="TABELA"/>
              <w:rPr>
                <w:lang w:val="sq-AL"/>
              </w:rPr>
            </w:pPr>
            <w:r w:rsidRPr="00445472">
              <w:rPr>
                <w:lang w:val="sq-AL"/>
              </w:rPr>
              <w:t>Peisazh i Mbrojtur (PM)</w:t>
            </w:r>
          </w:p>
        </w:tc>
      </w:tr>
      <w:tr w:rsidR="007A006B" w:rsidRPr="00445472" w14:paraId="28ECB773" w14:textId="77777777" w:rsidTr="00B15A6B">
        <w:trPr>
          <w:trHeight w:val="240"/>
        </w:trPr>
        <w:tc>
          <w:tcPr>
            <w:tcW w:w="593" w:type="dxa"/>
            <w:shd w:val="clear" w:color="000000" w:fill="FFFFFF"/>
            <w:noWrap/>
            <w:vAlign w:val="center"/>
            <w:hideMark/>
          </w:tcPr>
          <w:p w14:paraId="3F6ECEB2" w14:textId="77777777" w:rsidR="007A006B" w:rsidRPr="00445472" w:rsidRDefault="007A006B" w:rsidP="007A006B">
            <w:pPr>
              <w:pStyle w:val="TABELA"/>
              <w:rPr>
                <w:lang w:val="sq-AL"/>
              </w:rPr>
            </w:pPr>
            <w:r w:rsidRPr="00445472">
              <w:rPr>
                <w:lang w:val="sq-AL"/>
              </w:rPr>
              <w:t>1</w:t>
            </w:r>
          </w:p>
        </w:tc>
        <w:tc>
          <w:tcPr>
            <w:tcW w:w="670" w:type="dxa"/>
            <w:shd w:val="clear" w:color="000000" w:fill="FFFFFF"/>
            <w:noWrap/>
            <w:vAlign w:val="center"/>
            <w:hideMark/>
          </w:tcPr>
          <w:p w14:paraId="18FC486D" w14:textId="77777777" w:rsidR="007A006B" w:rsidRPr="00445472" w:rsidRDefault="007A006B" w:rsidP="007A006B">
            <w:pPr>
              <w:pStyle w:val="TABELA"/>
              <w:rPr>
                <w:lang w:val="sq-AL"/>
              </w:rPr>
            </w:pPr>
            <w:r w:rsidRPr="00445472">
              <w:rPr>
                <w:lang w:val="sq-AL"/>
              </w:rPr>
              <w:t>V</w:t>
            </w:r>
          </w:p>
        </w:tc>
        <w:tc>
          <w:tcPr>
            <w:tcW w:w="1601" w:type="dxa"/>
            <w:shd w:val="clear" w:color="000000" w:fill="FFFFFF"/>
            <w:noWrap/>
            <w:vAlign w:val="center"/>
            <w:hideMark/>
          </w:tcPr>
          <w:p w14:paraId="21733532" w14:textId="77777777" w:rsidR="007A006B" w:rsidRPr="00445472" w:rsidRDefault="007A006B" w:rsidP="007A006B">
            <w:pPr>
              <w:pStyle w:val="TABELA"/>
              <w:rPr>
                <w:lang w:val="sq-AL"/>
              </w:rPr>
            </w:pPr>
            <w:r w:rsidRPr="00445472">
              <w:rPr>
                <w:lang w:val="sq-AL"/>
              </w:rPr>
              <w:t>Korçë</w:t>
            </w:r>
          </w:p>
        </w:tc>
        <w:tc>
          <w:tcPr>
            <w:tcW w:w="2968" w:type="dxa"/>
            <w:shd w:val="clear" w:color="000000" w:fill="FFFFFF"/>
            <w:vAlign w:val="center"/>
            <w:hideMark/>
          </w:tcPr>
          <w:p w14:paraId="5BCC9076" w14:textId="77777777" w:rsidR="007A006B" w:rsidRPr="00445472" w:rsidRDefault="007A006B" w:rsidP="007A006B">
            <w:pPr>
              <w:pStyle w:val="TABELA"/>
              <w:rPr>
                <w:lang w:val="sq-AL"/>
              </w:rPr>
            </w:pPr>
            <w:r w:rsidRPr="00445472">
              <w:rPr>
                <w:lang w:val="sq-AL"/>
              </w:rPr>
              <w:t>Pogradec</w:t>
            </w:r>
          </w:p>
        </w:tc>
        <w:tc>
          <w:tcPr>
            <w:tcW w:w="3182" w:type="dxa"/>
            <w:shd w:val="clear" w:color="000000" w:fill="FFFFFF"/>
            <w:vAlign w:val="center"/>
            <w:hideMark/>
          </w:tcPr>
          <w:p w14:paraId="51CEDBC7" w14:textId="77777777" w:rsidR="007A006B" w:rsidRPr="00445472" w:rsidRDefault="007A006B" w:rsidP="007A006B">
            <w:pPr>
              <w:pStyle w:val="TABELA"/>
              <w:rPr>
                <w:lang w:val="sq-AL"/>
              </w:rPr>
            </w:pPr>
            <w:r w:rsidRPr="00445472">
              <w:rPr>
                <w:lang w:val="sq-AL"/>
              </w:rPr>
              <w:t>Pogradec (Liqeni i Ohrit)</w:t>
            </w:r>
          </w:p>
        </w:tc>
        <w:tc>
          <w:tcPr>
            <w:tcW w:w="4217" w:type="dxa"/>
            <w:shd w:val="clear" w:color="000000" w:fill="FFFFFF"/>
            <w:noWrap/>
            <w:vAlign w:val="center"/>
            <w:hideMark/>
          </w:tcPr>
          <w:p w14:paraId="07D24421" w14:textId="77777777" w:rsidR="007A006B" w:rsidRPr="00445472" w:rsidRDefault="007A006B" w:rsidP="007A006B">
            <w:pPr>
              <w:pStyle w:val="TABELA"/>
              <w:rPr>
                <w:lang w:val="sq-AL"/>
              </w:rPr>
            </w:pPr>
            <w:r w:rsidRPr="00445472">
              <w:rPr>
                <w:lang w:val="sq-AL"/>
              </w:rPr>
              <w:t>27,323.00</w:t>
            </w:r>
          </w:p>
        </w:tc>
        <w:tc>
          <w:tcPr>
            <w:tcW w:w="1319" w:type="dxa"/>
            <w:shd w:val="clear" w:color="auto" w:fill="auto"/>
            <w:noWrap/>
            <w:vAlign w:val="center"/>
            <w:hideMark/>
          </w:tcPr>
          <w:p w14:paraId="288C4982" w14:textId="77777777" w:rsidR="007A006B" w:rsidRPr="00445472" w:rsidRDefault="007A006B" w:rsidP="007A006B">
            <w:pPr>
              <w:pStyle w:val="TABELA"/>
              <w:rPr>
                <w:lang w:val="sq-AL"/>
              </w:rPr>
            </w:pPr>
            <w:r w:rsidRPr="00445472">
              <w:rPr>
                <w:lang w:val="sq-AL"/>
              </w:rPr>
              <w:t>1</w:t>
            </w:r>
          </w:p>
        </w:tc>
      </w:tr>
      <w:tr w:rsidR="007A006B" w:rsidRPr="00445472" w14:paraId="6A408A84" w14:textId="77777777" w:rsidTr="00B15A6B">
        <w:trPr>
          <w:trHeight w:val="240"/>
        </w:trPr>
        <w:tc>
          <w:tcPr>
            <w:tcW w:w="593" w:type="dxa"/>
            <w:shd w:val="clear" w:color="000000" w:fill="FFFFFF"/>
            <w:noWrap/>
            <w:vAlign w:val="center"/>
            <w:hideMark/>
          </w:tcPr>
          <w:p w14:paraId="1C468B99" w14:textId="77777777" w:rsidR="007A006B" w:rsidRPr="00445472" w:rsidRDefault="007A006B" w:rsidP="007A006B">
            <w:pPr>
              <w:pStyle w:val="TABELA"/>
              <w:rPr>
                <w:lang w:val="sq-AL"/>
              </w:rPr>
            </w:pPr>
            <w:r w:rsidRPr="00445472">
              <w:rPr>
                <w:lang w:val="sq-AL"/>
              </w:rPr>
              <w:t>2</w:t>
            </w:r>
          </w:p>
        </w:tc>
        <w:tc>
          <w:tcPr>
            <w:tcW w:w="670" w:type="dxa"/>
            <w:shd w:val="clear" w:color="000000" w:fill="FFFFFF"/>
            <w:noWrap/>
            <w:vAlign w:val="center"/>
            <w:hideMark/>
          </w:tcPr>
          <w:p w14:paraId="596637BC" w14:textId="77777777" w:rsidR="007A006B" w:rsidRPr="00445472" w:rsidRDefault="007A006B" w:rsidP="007A006B">
            <w:pPr>
              <w:pStyle w:val="TABELA"/>
              <w:rPr>
                <w:lang w:val="sq-AL"/>
              </w:rPr>
            </w:pPr>
            <w:r w:rsidRPr="00445472">
              <w:rPr>
                <w:lang w:val="sq-AL"/>
              </w:rPr>
              <w:t>V</w:t>
            </w:r>
          </w:p>
        </w:tc>
        <w:tc>
          <w:tcPr>
            <w:tcW w:w="1601" w:type="dxa"/>
            <w:shd w:val="clear" w:color="000000" w:fill="FFFFFF"/>
            <w:noWrap/>
            <w:vAlign w:val="center"/>
            <w:hideMark/>
          </w:tcPr>
          <w:p w14:paraId="41750841" w14:textId="77777777" w:rsidR="007A006B" w:rsidRPr="00445472" w:rsidRDefault="007A006B" w:rsidP="007A006B">
            <w:pPr>
              <w:pStyle w:val="TABELA"/>
              <w:rPr>
                <w:lang w:val="sq-AL"/>
              </w:rPr>
            </w:pPr>
            <w:r w:rsidRPr="00445472">
              <w:rPr>
                <w:lang w:val="sq-AL"/>
              </w:rPr>
              <w:t>Shkodër</w:t>
            </w:r>
          </w:p>
        </w:tc>
        <w:tc>
          <w:tcPr>
            <w:tcW w:w="2968" w:type="dxa"/>
            <w:shd w:val="clear" w:color="000000" w:fill="FFFFFF"/>
            <w:vAlign w:val="center"/>
            <w:hideMark/>
          </w:tcPr>
          <w:p w14:paraId="41CA811A" w14:textId="77777777" w:rsidR="007A006B" w:rsidRPr="00445472" w:rsidRDefault="007A006B" w:rsidP="007A006B">
            <w:pPr>
              <w:pStyle w:val="TABELA"/>
              <w:rPr>
                <w:lang w:val="sq-AL"/>
              </w:rPr>
            </w:pPr>
            <w:r w:rsidRPr="00445472">
              <w:rPr>
                <w:lang w:val="sq-AL"/>
              </w:rPr>
              <w:t>Shkodra</w:t>
            </w:r>
          </w:p>
        </w:tc>
        <w:tc>
          <w:tcPr>
            <w:tcW w:w="3182" w:type="dxa"/>
            <w:shd w:val="clear" w:color="000000" w:fill="FFFFFF"/>
            <w:vAlign w:val="center"/>
            <w:hideMark/>
          </w:tcPr>
          <w:p w14:paraId="10C793F8" w14:textId="77777777" w:rsidR="007A006B" w:rsidRPr="00445472" w:rsidRDefault="007A006B" w:rsidP="007A006B">
            <w:pPr>
              <w:pStyle w:val="TABELA"/>
              <w:rPr>
                <w:lang w:val="sq-AL"/>
              </w:rPr>
            </w:pPr>
            <w:r w:rsidRPr="00445472">
              <w:rPr>
                <w:lang w:val="sq-AL"/>
              </w:rPr>
              <w:t>Lumi Bunë-Velipoja</w:t>
            </w:r>
          </w:p>
        </w:tc>
        <w:tc>
          <w:tcPr>
            <w:tcW w:w="4217" w:type="dxa"/>
            <w:shd w:val="clear" w:color="000000" w:fill="FFFFFF"/>
            <w:noWrap/>
            <w:vAlign w:val="center"/>
            <w:hideMark/>
          </w:tcPr>
          <w:p w14:paraId="53845C8C" w14:textId="77777777" w:rsidR="007A006B" w:rsidRPr="00445472" w:rsidRDefault="007A006B" w:rsidP="007A006B">
            <w:pPr>
              <w:pStyle w:val="TABELA"/>
              <w:rPr>
                <w:lang w:val="sq-AL"/>
              </w:rPr>
            </w:pPr>
            <w:r w:rsidRPr="00445472">
              <w:rPr>
                <w:lang w:val="sq-AL"/>
              </w:rPr>
              <w:t>23,027.00</w:t>
            </w:r>
          </w:p>
        </w:tc>
        <w:tc>
          <w:tcPr>
            <w:tcW w:w="1319" w:type="dxa"/>
            <w:shd w:val="clear" w:color="auto" w:fill="auto"/>
            <w:noWrap/>
            <w:vAlign w:val="center"/>
            <w:hideMark/>
          </w:tcPr>
          <w:p w14:paraId="17DF3D54" w14:textId="77777777" w:rsidR="007A006B" w:rsidRPr="00445472" w:rsidRDefault="007A006B" w:rsidP="007A006B">
            <w:pPr>
              <w:pStyle w:val="TABELA"/>
              <w:rPr>
                <w:lang w:val="sq-AL"/>
              </w:rPr>
            </w:pPr>
            <w:r w:rsidRPr="00445472">
              <w:rPr>
                <w:lang w:val="sq-AL"/>
              </w:rPr>
              <w:t>1</w:t>
            </w:r>
          </w:p>
        </w:tc>
      </w:tr>
      <w:tr w:rsidR="007A006B" w:rsidRPr="00445472" w14:paraId="5B343DF8" w14:textId="77777777" w:rsidTr="00B15A6B">
        <w:trPr>
          <w:trHeight w:val="240"/>
        </w:trPr>
        <w:tc>
          <w:tcPr>
            <w:tcW w:w="14550" w:type="dxa"/>
            <w:gridSpan w:val="7"/>
            <w:shd w:val="clear" w:color="auto" w:fill="D4D4D4"/>
            <w:noWrap/>
            <w:vAlign w:val="center"/>
            <w:hideMark/>
          </w:tcPr>
          <w:p w14:paraId="490EE356" w14:textId="77777777" w:rsidR="007A006B" w:rsidRPr="00445472" w:rsidRDefault="007A006B" w:rsidP="007A006B">
            <w:pPr>
              <w:pStyle w:val="TABELA"/>
              <w:rPr>
                <w:lang w:val="sq-AL"/>
              </w:rPr>
            </w:pPr>
            <w:r w:rsidRPr="00445472">
              <w:rPr>
                <w:lang w:val="sq-AL"/>
              </w:rPr>
              <w:t>Rrjeti EMERALD* (Zonat me Interes Special Konservimi -ZISK)</w:t>
            </w:r>
          </w:p>
        </w:tc>
      </w:tr>
      <w:tr w:rsidR="007A006B" w:rsidRPr="00445472" w14:paraId="546AFDDA" w14:textId="77777777" w:rsidTr="00B15A6B">
        <w:trPr>
          <w:trHeight w:val="480"/>
        </w:trPr>
        <w:tc>
          <w:tcPr>
            <w:tcW w:w="593" w:type="dxa"/>
            <w:shd w:val="clear" w:color="auto" w:fill="auto"/>
            <w:noWrap/>
            <w:vAlign w:val="center"/>
            <w:hideMark/>
          </w:tcPr>
          <w:p w14:paraId="7E3A4A3A" w14:textId="77777777" w:rsidR="007A006B" w:rsidRPr="00445472" w:rsidRDefault="007A006B" w:rsidP="007A006B">
            <w:pPr>
              <w:pStyle w:val="TABELA"/>
              <w:rPr>
                <w:lang w:val="sq-AL"/>
              </w:rPr>
            </w:pPr>
            <w:r w:rsidRPr="00445472">
              <w:rPr>
                <w:lang w:val="sq-AL"/>
              </w:rPr>
              <w:t>1</w:t>
            </w:r>
          </w:p>
        </w:tc>
        <w:tc>
          <w:tcPr>
            <w:tcW w:w="670" w:type="dxa"/>
            <w:shd w:val="clear" w:color="auto" w:fill="auto"/>
            <w:noWrap/>
            <w:vAlign w:val="center"/>
            <w:hideMark/>
          </w:tcPr>
          <w:p w14:paraId="1D3E8BEF" w14:textId="77777777" w:rsidR="007A006B" w:rsidRPr="00445472" w:rsidRDefault="007A006B" w:rsidP="007A006B">
            <w:pPr>
              <w:pStyle w:val="TABELA"/>
              <w:rPr>
                <w:lang w:val="sq-AL"/>
              </w:rPr>
            </w:pPr>
            <w:r w:rsidRPr="00445472">
              <w:rPr>
                <w:lang w:val="sq-AL"/>
              </w:rPr>
              <w:t>IV</w:t>
            </w:r>
          </w:p>
        </w:tc>
        <w:tc>
          <w:tcPr>
            <w:tcW w:w="1601" w:type="dxa"/>
            <w:shd w:val="clear" w:color="000000" w:fill="FFFFFF"/>
            <w:noWrap/>
            <w:vAlign w:val="center"/>
            <w:hideMark/>
          </w:tcPr>
          <w:p w14:paraId="038B02DB"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06F9336D" w14:textId="77777777" w:rsidR="007A006B" w:rsidRPr="00445472" w:rsidRDefault="007A006B" w:rsidP="007A006B">
            <w:pPr>
              <w:pStyle w:val="TABELA"/>
              <w:rPr>
                <w:lang w:val="sq-AL"/>
              </w:rPr>
            </w:pPr>
            <w:r w:rsidRPr="00445472">
              <w:rPr>
                <w:lang w:val="sq-AL"/>
              </w:rPr>
              <w:t> </w:t>
            </w:r>
          </w:p>
        </w:tc>
        <w:tc>
          <w:tcPr>
            <w:tcW w:w="3182" w:type="dxa"/>
            <w:shd w:val="clear" w:color="000000" w:fill="FFFFFF"/>
            <w:vAlign w:val="center"/>
            <w:hideMark/>
          </w:tcPr>
          <w:p w14:paraId="213681FD" w14:textId="77777777" w:rsidR="007A006B" w:rsidRPr="00445472" w:rsidRDefault="007A006B" w:rsidP="007A006B">
            <w:pPr>
              <w:pStyle w:val="TABELA"/>
              <w:rPr>
                <w:lang w:val="sq-AL"/>
              </w:rPr>
            </w:pPr>
            <w:r w:rsidRPr="00445472">
              <w:rPr>
                <w:lang w:val="sq-AL"/>
              </w:rPr>
              <w:t xml:space="preserve">Rezervat i Menaxhuar Natyror i Liqenit të Shkodrës </w:t>
            </w:r>
          </w:p>
        </w:tc>
        <w:tc>
          <w:tcPr>
            <w:tcW w:w="4217" w:type="dxa"/>
            <w:shd w:val="clear" w:color="auto" w:fill="auto"/>
            <w:noWrap/>
            <w:vAlign w:val="center"/>
            <w:hideMark/>
          </w:tcPr>
          <w:p w14:paraId="432592E3" w14:textId="77777777" w:rsidR="007A006B" w:rsidRPr="00445472" w:rsidRDefault="007A006B" w:rsidP="007A006B">
            <w:pPr>
              <w:pStyle w:val="TABELA"/>
              <w:rPr>
                <w:lang w:val="sq-AL"/>
              </w:rPr>
            </w:pPr>
            <w:r w:rsidRPr="00445472">
              <w:rPr>
                <w:lang w:val="sq-AL"/>
              </w:rPr>
              <w:t>26,535</w:t>
            </w:r>
          </w:p>
        </w:tc>
        <w:tc>
          <w:tcPr>
            <w:tcW w:w="1319" w:type="dxa"/>
            <w:shd w:val="clear" w:color="auto" w:fill="auto"/>
            <w:noWrap/>
            <w:vAlign w:val="center"/>
            <w:hideMark/>
          </w:tcPr>
          <w:p w14:paraId="1380EF5A" w14:textId="77777777" w:rsidR="007A006B" w:rsidRPr="00445472" w:rsidRDefault="007A006B" w:rsidP="007A006B">
            <w:pPr>
              <w:pStyle w:val="TABELA"/>
              <w:rPr>
                <w:lang w:val="sq-AL"/>
              </w:rPr>
            </w:pPr>
            <w:r w:rsidRPr="00445472">
              <w:rPr>
                <w:lang w:val="sq-AL"/>
              </w:rPr>
              <w:t>1</w:t>
            </w:r>
          </w:p>
        </w:tc>
      </w:tr>
      <w:tr w:rsidR="007A006B" w:rsidRPr="00445472" w14:paraId="7C8D2786" w14:textId="77777777" w:rsidTr="00B15A6B">
        <w:trPr>
          <w:trHeight w:val="240"/>
        </w:trPr>
        <w:tc>
          <w:tcPr>
            <w:tcW w:w="593" w:type="dxa"/>
            <w:shd w:val="clear" w:color="auto" w:fill="auto"/>
            <w:noWrap/>
            <w:vAlign w:val="center"/>
            <w:hideMark/>
          </w:tcPr>
          <w:p w14:paraId="279969D7" w14:textId="77777777" w:rsidR="007A006B" w:rsidRPr="00445472" w:rsidRDefault="007A006B" w:rsidP="007A006B">
            <w:pPr>
              <w:pStyle w:val="TABELA"/>
              <w:rPr>
                <w:lang w:val="sq-AL"/>
              </w:rPr>
            </w:pPr>
            <w:r w:rsidRPr="00445472">
              <w:rPr>
                <w:lang w:val="sq-AL"/>
              </w:rPr>
              <w:t>2</w:t>
            </w:r>
          </w:p>
        </w:tc>
        <w:tc>
          <w:tcPr>
            <w:tcW w:w="670" w:type="dxa"/>
            <w:shd w:val="clear" w:color="auto" w:fill="auto"/>
            <w:noWrap/>
            <w:vAlign w:val="center"/>
            <w:hideMark/>
          </w:tcPr>
          <w:p w14:paraId="437E282F" w14:textId="77777777" w:rsidR="007A006B" w:rsidRPr="00445472" w:rsidRDefault="007A006B" w:rsidP="007A006B">
            <w:pPr>
              <w:pStyle w:val="TABELA"/>
              <w:rPr>
                <w:lang w:val="sq-AL"/>
              </w:rPr>
            </w:pPr>
            <w:r w:rsidRPr="00445472">
              <w:rPr>
                <w:lang w:val="sq-AL"/>
              </w:rPr>
              <w:t>V</w:t>
            </w:r>
          </w:p>
        </w:tc>
        <w:tc>
          <w:tcPr>
            <w:tcW w:w="1601" w:type="dxa"/>
            <w:shd w:val="clear" w:color="auto" w:fill="auto"/>
            <w:noWrap/>
            <w:vAlign w:val="center"/>
            <w:hideMark/>
          </w:tcPr>
          <w:p w14:paraId="59D86D10" w14:textId="77777777" w:rsidR="007A006B" w:rsidRPr="00445472" w:rsidRDefault="007A006B" w:rsidP="007A006B">
            <w:pPr>
              <w:pStyle w:val="TABELA"/>
              <w:rPr>
                <w:lang w:val="sq-AL"/>
              </w:rPr>
            </w:pPr>
            <w:r w:rsidRPr="00445472">
              <w:rPr>
                <w:lang w:val="sq-AL"/>
              </w:rPr>
              <w:t> </w:t>
            </w:r>
          </w:p>
        </w:tc>
        <w:tc>
          <w:tcPr>
            <w:tcW w:w="2968" w:type="dxa"/>
            <w:shd w:val="clear" w:color="auto" w:fill="auto"/>
            <w:vAlign w:val="center"/>
            <w:hideMark/>
          </w:tcPr>
          <w:p w14:paraId="5EDCDE6B" w14:textId="77777777" w:rsidR="007A006B" w:rsidRPr="00445472" w:rsidRDefault="007A006B" w:rsidP="007A006B">
            <w:pPr>
              <w:pStyle w:val="TABELA"/>
              <w:rPr>
                <w:lang w:val="sq-AL"/>
              </w:rPr>
            </w:pPr>
            <w:r w:rsidRPr="00445472">
              <w:rPr>
                <w:lang w:val="sq-AL"/>
              </w:rPr>
              <w:t>Pogradec</w:t>
            </w:r>
          </w:p>
        </w:tc>
        <w:tc>
          <w:tcPr>
            <w:tcW w:w="3182" w:type="dxa"/>
            <w:shd w:val="clear" w:color="auto" w:fill="auto"/>
            <w:vAlign w:val="center"/>
            <w:hideMark/>
          </w:tcPr>
          <w:p w14:paraId="5A4DA661" w14:textId="2CB4D305" w:rsidR="007A006B" w:rsidRPr="00445472" w:rsidRDefault="005E3EC9" w:rsidP="007A006B">
            <w:pPr>
              <w:pStyle w:val="TABELA"/>
              <w:rPr>
                <w:lang w:val="sq-AL"/>
              </w:rPr>
            </w:pPr>
            <w:r w:rsidRPr="00445472">
              <w:rPr>
                <w:lang w:val="sq-AL"/>
              </w:rPr>
              <w:t>Peizazh</w:t>
            </w:r>
            <w:r w:rsidR="007A006B" w:rsidRPr="00445472">
              <w:rPr>
                <w:lang w:val="sq-AL"/>
              </w:rPr>
              <w:t xml:space="preserve"> i Mbrojtur Pogradec</w:t>
            </w:r>
          </w:p>
        </w:tc>
        <w:tc>
          <w:tcPr>
            <w:tcW w:w="4217" w:type="dxa"/>
            <w:shd w:val="clear" w:color="auto" w:fill="auto"/>
            <w:noWrap/>
            <w:vAlign w:val="center"/>
            <w:hideMark/>
          </w:tcPr>
          <w:p w14:paraId="6FF4CC93" w14:textId="77777777" w:rsidR="007A006B" w:rsidRPr="00445472" w:rsidRDefault="007A006B" w:rsidP="007A006B">
            <w:pPr>
              <w:pStyle w:val="TABELA"/>
              <w:rPr>
                <w:lang w:val="sq-AL"/>
              </w:rPr>
            </w:pPr>
            <w:r w:rsidRPr="00445472">
              <w:rPr>
                <w:lang w:val="sq-AL"/>
              </w:rPr>
              <w:t>24,350</w:t>
            </w:r>
          </w:p>
        </w:tc>
        <w:tc>
          <w:tcPr>
            <w:tcW w:w="1319" w:type="dxa"/>
            <w:shd w:val="clear" w:color="auto" w:fill="auto"/>
            <w:noWrap/>
            <w:vAlign w:val="center"/>
            <w:hideMark/>
          </w:tcPr>
          <w:p w14:paraId="1D590E7A" w14:textId="77777777" w:rsidR="007A006B" w:rsidRPr="00445472" w:rsidRDefault="007A006B" w:rsidP="007A006B">
            <w:pPr>
              <w:pStyle w:val="TABELA"/>
              <w:rPr>
                <w:lang w:val="sq-AL"/>
              </w:rPr>
            </w:pPr>
            <w:r w:rsidRPr="00445472">
              <w:rPr>
                <w:lang w:val="sq-AL"/>
              </w:rPr>
              <w:t>1</w:t>
            </w:r>
          </w:p>
        </w:tc>
      </w:tr>
      <w:tr w:rsidR="007A006B" w:rsidRPr="00445472" w14:paraId="577D6608" w14:textId="77777777" w:rsidTr="00B15A6B">
        <w:trPr>
          <w:trHeight w:val="308"/>
        </w:trPr>
        <w:tc>
          <w:tcPr>
            <w:tcW w:w="593" w:type="dxa"/>
            <w:shd w:val="clear" w:color="auto" w:fill="auto"/>
            <w:noWrap/>
            <w:vAlign w:val="center"/>
            <w:hideMark/>
          </w:tcPr>
          <w:p w14:paraId="4E322B47" w14:textId="77777777" w:rsidR="007A006B" w:rsidRPr="00445472" w:rsidRDefault="007A006B" w:rsidP="007A006B">
            <w:pPr>
              <w:pStyle w:val="TABELA"/>
              <w:rPr>
                <w:lang w:val="sq-AL"/>
              </w:rPr>
            </w:pPr>
            <w:r w:rsidRPr="00445472">
              <w:rPr>
                <w:lang w:val="sq-AL"/>
              </w:rPr>
              <w:t>3</w:t>
            </w:r>
          </w:p>
        </w:tc>
        <w:tc>
          <w:tcPr>
            <w:tcW w:w="670" w:type="dxa"/>
            <w:shd w:val="clear" w:color="auto" w:fill="auto"/>
            <w:noWrap/>
            <w:vAlign w:val="center"/>
            <w:hideMark/>
          </w:tcPr>
          <w:p w14:paraId="75B31656" w14:textId="77777777" w:rsidR="007A006B" w:rsidRPr="00445472" w:rsidRDefault="007A006B" w:rsidP="007A006B">
            <w:pPr>
              <w:pStyle w:val="TABELA"/>
              <w:rPr>
                <w:lang w:val="sq-AL"/>
              </w:rPr>
            </w:pPr>
            <w:r w:rsidRPr="00445472">
              <w:rPr>
                <w:lang w:val="sq-AL"/>
              </w:rPr>
              <w:t>V</w:t>
            </w:r>
          </w:p>
        </w:tc>
        <w:tc>
          <w:tcPr>
            <w:tcW w:w="1601" w:type="dxa"/>
            <w:shd w:val="clear" w:color="auto" w:fill="auto"/>
            <w:noWrap/>
            <w:vAlign w:val="center"/>
            <w:hideMark/>
          </w:tcPr>
          <w:p w14:paraId="726CCF62"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535CE367" w14:textId="77777777" w:rsidR="007A006B" w:rsidRPr="00445472" w:rsidRDefault="007A006B" w:rsidP="007A006B">
            <w:pPr>
              <w:pStyle w:val="TABELA"/>
              <w:rPr>
                <w:lang w:val="sq-AL"/>
              </w:rPr>
            </w:pPr>
            <w:r w:rsidRPr="00445472">
              <w:rPr>
                <w:lang w:val="sq-AL"/>
              </w:rPr>
              <w:t> </w:t>
            </w:r>
          </w:p>
        </w:tc>
        <w:tc>
          <w:tcPr>
            <w:tcW w:w="3182" w:type="dxa"/>
            <w:shd w:val="clear" w:color="auto" w:fill="auto"/>
            <w:vAlign w:val="center"/>
            <w:hideMark/>
          </w:tcPr>
          <w:p w14:paraId="2D8CC98D" w14:textId="29650197" w:rsidR="007A006B" w:rsidRPr="00445472" w:rsidRDefault="005E3EC9" w:rsidP="007A006B">
            <w:pPr>
              <w:pStyle w:val="TABELA"/>
              <w:rPr>
                <w:lang w:val="sq-AL"/>
              </w:rPr>
            </w:pPr>
            <w:r w:rsidRPr="00445472">
              <w:rPr>
                <w:lang w:val="sq-AL"/>
              </w:rPr>
              <w:t>Peizazh</w:t>
            </w:r>
            <w:r w:rsidR="007A006B" w:rsidRPr="00445472">
              <w:rPr>
                <w:lang w:val="sq-AL"/>
              </w:rPr>
              <w:t xml:space="preserve"> i Mbrojtur </w:t>
            </w:r>
            <w:r w:rsidRPr="00445472">
              <w:rPr>
                <w:lang w:val="sq-AL"/>
              </w:rPr>
              <w:t xml:space="preserve">lumi </w:t>
            </w:r>
            <w:r w:rsidR="007A006B" w:rsidRPr="00445472">
              <w:rPr>
                <w:lang w:val="sq-AL"/>
              </w:rPr>
              <w:t xml:space="preserve">Bunë </w:t>
            </w:r>
            <w:r w:rsidRPr="00445472">
              <w:rPr>
                <w:lang w:val="sq-AL"/>
              </w:rPr>
              <w:t>–</w:t>
            </w:r>
            <w:r w:rsidR="007A006B" w:rsidRPr="00445472">
              <w:rPr>
                <w:lang w:val="sq-AL"/>
              </w:rPr>
              <w:t>Velipoja</w:t>
            </w:r>
          </w:p>
        </w:tc>
        <w:tc>
          <w:tcPr>
            <w:tcW w:w="4217" w:type="dxa"/>
            <w:shd w:val="clear" w:color="auto" w:fill="auto"/>
            <w:noWrap/>
            <w:vAlign w:val="center"/>
            <w:hideMark/>
          </w:tcPr>
          <w:p w14:paraId="0D1CE59E" w14:textId="77777777" w:rsidR="007A006B" w:rsidRPr="00445472" w:rsidRDefault="007A006B" w:rsidP="007A006B">
            <w:pPr>
              <w:pStyle w:val="TABELA"/>
              <w:rPr>
                <w:lang w:val="sq-AL"/>
              </w:rPr>
            </w:pPr>
            <w:r w:rsidRPr="00445472">
              <w:rPr>
                <w:lang w:val="sq-AL"/>
              </w:rPr>
              <w:t>22,479</w:t>
            </w:r>
          </w:p>
        </w:tc>
        <w:tc>
          <w:tcPr>
            <w:tcW w:w="1319" w:type="dxa"/>
            <w:shd w:val="clear" w:color="auto" w:fill="auto"/>
            <w:noWrap/>
            <w:vAlign w:val="center"/>
            <w:hideMark/>
          </w:tcPr>
          <w:p w14:paraId="28A18523" w14:textId="77777777" w:rsidR="007A006B" w:rsidRPr="00445472" w:rsidRDefault="007A006B" w:rsidP="007A006B">
            <w:pPr>
              <w:pStyle w:val="TABELA"/>
              <w:rPr>
                <w:lang w:val="sq-AL"/>
              </w:rPr>
            </w:pPr>
            <w:r w:rsidRPr="00445472">
              <w:rPr>
                <w:lang w:val="sq-AL"/>
              </w:rPr>
              <w:t>1</w:t>
            </w:r>
          </w:p>
        </w:tc>
      </w:tr>
      <w:tr w:rsidR="007A006B" w:rsidRPr="00445472" w14:paraId="663ED281" w14:textId="77777777" w:rsidTr="00B15A6B">
        <w:trPr>
          <w:trHeight w:val="240"/>
        </w:trPr>
        <w:tc>
          <w:tcPr>
            <w:tcW w:w="14550" w:type="dxa"/>
            <w:gridSpan w:val="7"/>
            <w:shd w:val="clear" w:color="auto" w:fill="D4D4D4"/>
            <w:noWrap/>
            <w:vAlign w:val="center"/>
            <w:hideMark/>
          </w:tcPr>
          <w:p w14:paraId="00C02457" w14:textId="77777777" w:rsidR="007A006B" w:rsidRPr="00445472" w:rsidRDefault="007A006B" w:rsidP="007A006B">
            <w:pPr>
              <w:pStyle w:val="TABELA"/>
              <w:rPr>
                <w:lang w:val="sq-AL"/>
              </w:rPr>
            </w:pPr>
            <w:r w:rsidRPr="00445472">
              <w:rPr>
                <w:lang w:val="sq-AL"/>
              </w:rPr>
              <w:t>RAMSAR</w:t>
            </w:r>
          </w:p>
        </w:tc>
      </w:tr>
      <w:tr w:rsidR="007A006B" w:rsidRPr="00445472" w14:paraId="47247A63" w14:textId="77777777" w:rsidTr="00B15A6B">
        <w:trPr>
          <w:trHeight w:val="240"/>
        </w:trPr>
        <w:tc>
          <w:tcPr>
            <w:tcW w:w="593" w:type="dxa"/>
            <w:shd w:val="clear" w:color="000000" w:fill="FFFFFF"/>
            <w:noWrap/>
            <w:vAlign w:val="center"/>
            <w:hideMark/>
          </w:tcPr>
          <w:p w14:paraId="131E81D9" w14:textId="77777777" w:rsidR="007A006B" w:rsidRPr="00445472" w:rsidRDefault="007A006B" w:rsidP="007A006B">
            <w:pPr>
              <w:pStyle w:val="TABELA"/>
              <w:rPr>
                <w:lang w:val="sq-AL"/>
              </w:rPr>
            </w:pPr>
            <w:r w:rsidRPr="00445472">
              <w:rPr>
                <w:lang w:val="sq-AL"/>
              </w:rPr>
              <w:t>1</w:t>
            </w:r>
          </w:p>
        </w:tc>
        <w:tc>
          <w:tcPr>
            <w:tcW w:w="670" w:type="dxa"/>
            <w:shd w:val="clear" w:color="000000" w:fill="FFFFFF"/>
            <w:noWrap/>
            <w:vAlign w:val="center"/>
            <w:hideMark/>
          </w:tcPr>
          <w:p w14:paraId="14681EC0" w14:textId="77777777" w:rsidR="007A006B" w:rsidRPr="00445472" w:rsidRDefault="007A006B" w:rsidP="007A006B">
            <w:pPr>
              <w:pStyle w:val="TABELA"/>
              <w:rPr>
                <w:lang w:val="sq-AL"/>
              </w:rPr>
            </w:pPr>
            <w:r w:rsidRPr="00445472">
              <w:rPr>
                <w:lang w:val="sq-AL"/>
              </w:rPr>
              <w:t> </w:t>
            </w:r>
          </w:p>
        </w:tc>
        <w:tc>
          <w:tcPr>
            <w:tcW w:w="1601" w:type="dxa"/>
            <w:shd w:val="clear" w:color="000000" w:fill="FFFFFF"/>
            <w:noWrap/>
            <w:hideMark/>
          </w:tcPr>
          <w:p w14:paraId="79707913" w14:textId="77777777" w:rsidR="007A006B" w:rsidRPr="00445472" w:rsidRDefault="007A006B" w:rsidP="007A006B">
            <w:pPr>
              <w:pStyle w:val="TABELA"/>
              <w:rPr>
                <w:lang w:val="sq-AL"/>
              </w:rPr>
            </w:pPr>
            <w:r w:rsidRPr="00445472">
              <w:rPr>
                <w:lang w:val="sq-AL"/>
              </w:rPr>
              <w:t>Shkodër</w:t>
            </w:r>
          </w:p>
        </w:tc>
        <w:tc>
          <w:tcPr>
            <w:tcW w:w="2968" w:type="dxa"/>
            <w:shd w:val="clear" w:color="000000" w:fill="FFFFFF"/>
            <w:vAlign w:val="center"/>
            <w:hideMark/>
          </w:tcPr>
          <w:p w14:paraId="6AE1B91F" w14:textId="77777777" w:rsidR="007A006B" w:rsidRPr="00445472" w:rsidRDefault="007A006B" w:rsidP="007A006B">
            <w:pPr>
              <w:pStyle w:val="TABELA"/>
              <w:rPr>
                <w:lang w:val="sq-AL"/>
              </w:rPr>
            </w:pPr>
            <w:r w:rsidRPr="00445472">
              <w:rPr>
                <w:lang w:val="sq-AL"/>
              </w:rPr>
              <w:t>Shkodra</w:t>
            </w:r>
          </w:p>
        </w:tc>
        <w:tc>
          <w:tcPr>
            <w:tcW w:w="3182" w:type="dxa"/>
            <w:shd w:val="clear" w:color="000000" w:fill="FFFFFF"/>
            <w:vAlign w:val="center"/>
            <w:hideMark/>
          </w:tcPr>
          <w:p w14:paraId="7087D7C4" w14:textId="77777777" w:rsidR="007A006B" w:rsidRPr="00445472" w:rsidRDefault="007A006B" w:rsidP="007A006B">
            <w:pPr>
              <w:pStyle w:val="TABELA"/>
              <w:rPr>
                <w:lang w:val="sq-AL"/>
              </w:rPr>
            </w:pPr>
            <w:r w:rsidRPr="00445472">
              <w:rPr>
                <w:lang w:val="sq-AL"/>
              </w:rPr>
              <w:t>Liqeni i Shkodrës dhe Lumi Bunë</w:t>
            </w:r>
          </w:p>
        </w:tc>
        <w:tc>
          <w:tcPr>
            <w:tcW w:w="4217" w:type="dxa"/>
            <w:shd w:val="clear" w:color="000000" w:fill="FFFFFF"/>
            <w:noWrap/>
            <w:vAlign w:val="center"/>
            <w:hideMark/>
          </w:tcPr>
          <w:p w14:paraId="266D5DA3" w14:textId="77777777" w:rsidR="007A006B" w:rsidRPr="00445472" w:rsidRDefault="007A006B" w:rsidP="007A006B">
            <w:pPr>
              <w:pStyle w:val="TABELA"/>
              <w:rPr>
                <w:lang w:val="sq-AL"/>
              </w:rPr>
            </w:pPr>
            <w:r w:rsidRPr="00445472">
              <w:rPr>
                <w:lang w:val="sq-AL"/>
              </w:rPr>
              <w:t>49,562.00</w:t>
            </w:r>
          </w:p>
        </w:tc>
        <w:tc>
          <w:tcPr>
            <w:tcW w:w="1319" w:type="dxa"/>
            <w:shd w:val="clear" w:color="auto" w:fill="auto"/>
            <w:noWrap/>
            <w:vAlign w:val="center"/>
            <w:hideMark/>
          </w:tcPr>
          <w:p w14:paraId="4CADEB30" w14:textId="77777777" w:rsidR="007A006B" w:rsidRPr="00445472" w:rsidRDefault="007A006B" w:rsidP="007A006B">
            <w:pPr>
              <w:pStyle w:val="TABELA"/>
              <w:rPr>
                <w:lang w:val="sq-AL"/>
              </w:rPr>
            </w:pPr>
            <w:r w:rsidRPr="00445472">
              <w:rPr>
                <w:lang w:val="sq-AL"/>
              </w:rPr>
              <w:t>1</w:t>
            </w:r>
          </w:p>
        </w:tc>
      </w:tr>
      <w:tr w:rsidR="007A006B" w:rsidRPr="00445472" w14:paraId="5EFE581C" w14:textId="77777777" w:rsidTr="00B15A6B">
        <w:trPr>
          <w:trHeight w:val="240"/>
        </w:trPr>
        <w:tc>
          <w:tcPr>
            <w:tcW w:w="14550" w:type="dxa"/>
            <w:gridSpan w:val="7"/>
            <w:shd w:val="clear" w:color="auto" w:fill="D4D4D4"/>
            <w:noWrap/>
            <w:vAlign w:val="center"/>
            <w:hideMark/>
          </w:tcPr>
          <w:p w14:paraId="5D77FBA9" w14:textId="77777777" w:rsidR="007A006B" w:rsidRPr="00445472" w:rsidRDefault="007A006B" w:rsidP="007A006B">
            <w:pPr>
              <w:pStyle w:val="TABELA"/>
              <w:rPr>
                <w:lang w:val="sq-AL"/>
              </w:rPr>
            </w:pPr>
            <w:r w:rsidRPr="00445472">
              <w:rPr>
                <w:lang w:val="sq-AL"/>
              </w:rPr>
              <w:t>Zonat e rëndësishme të Shpendëve dhe Biodiversitetit (IBAs)</w:t>
            </w:r>
          </w:p>
        </w:tc>
      </w:tr>
      <w:tr w:rsidR="007A006B" w:rsidRPr="00445472" w14:paraId="54271317" w14:textId="77777777" w:rsidTr="00B15A6B">
        <w:trPr>
          <w:trHeight w:val="240"/>
        </w:trPr>
        <w:tc>
          <w:tcPr>
            <w:tcW w:w="593" w:type="dxa"/>
            <w:shd w:val="clear" w:color="auto" w:fill="auto"/>
            <w:noWrap/>
            <w:vAlign w:val="center"/>
            <w:hideMark/>
          </w:tcPr>
          <w:p w14:paraId="5E872295" w14:textId="77777777" w:rsidR="007A006B" w:rsidRPr="00445472" w:rsidRDefault="007A006B" w:rsidP="007A006B">
            <w:pPr>
              <w:pStyle w:val="TABELA"/>
              <w:rPr>
                <w:lang w:val="sq-AL"/>
              </w:rPr>
            </w:pPr>
            <w:r w:rsidRPr="00445472">
              <w:rPr>
                <w:lang w:val="sq-AL"/>
              </w:rPr>
              <w:t> </w:t>
            </w:r>
          </w:p>
        </w:tc>
        <w:tc>
          <w:tcPr>
            <w:tcW w:w="670" w:type="dxa"/>
            <w:shd w:val="clear" w:color="auto" w:fill="auto"/>
            <w:noWrap/>
            <w:vAlign w:val="center"/>
            <w:hideMark/>
          </w:tcPr>
          <w:p w14:paraId="01468400" w14:textId="77777777" w:rsidR="007A006B" w:rsidRPr="00445472" w:rsidRDefault="007A006B" w:rsidP="007A006B">
            <w:pPr>
              <w:pStyle w:val="TABELA"/>
              <w:rPr>
                <w:lang w:val="sq-AL"/>
              </w:rPr>
            </w:pPr>
            <w:r w:rsidRPr="00445472">
              <w:rPr>
                <w:lang w:val="sq-AL"/>
              </w:rPr>
              <w:t> </w:t>
            </w:r>
          </w:p>
        </w:tc>
        <w:tc>
          <w:tcPr>
            <w:tcW w:w="1601" w:type="dxa"/>
            <w:shd w:val="clear" w:color="000000" w:fill="FFFFFF"/>
            <w:noWrap/>
            <w:hideMark/>
          </w:tcPr>
          <w:p w14:paraId="0942ADA0"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5E0B7A63" w14:textId="77777777" w:rsidR="007A006B" w:rsidRPr="00445472" w:rsidRDefault="007A006B" w:rsidP="007A006B">
            <w:pPr>
              <w:pStyle w:val="TABELA"/>
              <w:rPr>
                <w:lang w:val="sq-AL"/>
              </w:rPr>
            </w:pPr>
            <w:r w:rsidRPr="00445472">
              <w:rPr>
                <w:lang w:val="sq-AL"/>
              </w:rPr>
              <w:t> </w:t>
            </w:r>
          </w:p>
        </w:tc>
        <w:tc>
          <w:tcPr>
            <w:tcW w:w="3182" w:type="dxa"/>
            <w:shd w:val="clear" w:color="auto" w:fill="auto"/>
            <w:vAlign w:val="center"/>
            <w:hideMark/>
          </w:tcPr>
          <w:p w14:paraId="79631432" w14:textId="4FC57A25" w:rsidR="007A006B" w:rsidRPr="00445472" w:rsidRDefault="007A006B" w:rsidP="007A006B">
            <w:pPr>
              <w:pStyle w:val="TABELA"/>
              <w:rPr>
                <w:lang w:val="sq-AL"/>
              </w:rPr>
            </w:pPr>
            <w:r w:rsidRPr="00445472">
              <w:rPr>
                <w:lang w:val="sq-AL"/>
              </w:rPr>
              <w:t xml:space="preserve">Liqeni i </w:t>
            </w:r>
            <w:r w:rsidR="005E3EC9" w:rsidRPr="00445472">
              <w:rPr>
                <w:lang w:val="sq-AL"/>
              </w:rPr>
              <w:t>Shkodrës</w:t>
            </w:r>
          </w:p>
        </w:tc>
        <w:tc>
          <w:tcPr>
            <w:tcW w:w="4217" w:type="dxa"/>
            <w:shd w:val="clear" w:color="auto" w:fill="auto"/>
            <w:noWrap/>
            <w:vAlign w:val="center"/>
            <w:hideMark/>
          </w:tcPr>
          <w:p w14:paraId="690ABDCB" w14:textId="77777777" w:rsidR="007A006B" w:rsidRPr="00445472" w:rsidRDefault="007A006B" w:rsidP="007A006B">
            <w:pPr>
              <w:pStyle w:val="TABELA"/>
              <w:rPr>
                <w:lang w:val="sq-AL"/>
              </w:rPr>
            </w:pPr>
            <w:r w:rsidRPr="00445472">
              <w:rPr>
                <w:lang w:val="sq-AL"/>
              </w:rPr>
              <w:t> </w:t>
            </w:r>
          </w:p>
        </w:tc>
        <w:tc>
          <w:tcPr>
            <w:tcW w:w="1319" w:type="dxa"/>
            <w:shd w:val="clear" w:color="auto" w:fill="auto"/>
            <w:noWrap/>
            <w:vAlign w:val="center"/>
            <w:hideMark/>
          </w:tcPr>
          <w:p w14:paraId="5C2009DC" w14:textId="77777777" w:rsidR="007A006B" w:rsidRPr="00445472" w:rsidRDefault="007A006B" w:rsidP="007A006B">
            <w:pPr>
              <w:pStyle w:val="TABELA"/>
              <w:rPr>
                <w:lang w:val="sq-AL"/>
              </w:rPr>
            </w:pPr>
            <w:r w:rsidRPr="00445472">
              <w:rPr>
                <w:lang w:val="sq-AL"/>
              </w:rPr>
              <w:t>1</w:t>
            </w:r>
          </w:p>
        </w:tc>
      </w:tr>
      <w:tr w:rsidR="007A006B" w:rsidRPr="00445472" w14:paraId="39787856" w14:textId="77777777" w:rsidTr="00B15A6B">
        <w:trPr>
          <w:trHeight w:val="240"/>
        </w:trPr>
        <w:tc>
          <w:tcPr>
            <w:tcW w:w="593" w:type="dxa"/>
            <w:shd w:val="clear" w:color="auto" w:fill="auto"/>
            <w:noWrap/>
            <w:vAlign w:val="center"/>
            <w:hideMark/>
          </w:tcPr>
          <w:p w14:paraId="7A142ED8" w14:textId="77777777" w:rsidR="007A006B" w:rsidRPr="00445472" w:rsidRDefault="007A006B" w:rsidP="007A006B">
            <w:pPr>
              <w:pStyle w:val="TABELA"/>
              <w:rPr>
                <w:lang w:val="sq-AL"/>
              </w:rPr>
            </w:pPr>
            <w:r w:rsidRPr="00445472">
              <w:rPr>
                <w:lang w:val="sq-AL"/>
              </w:rPr>
              <w:t> </w:t>
            </w:r>
          </w:p>
        </w:tc>
        <w:tc>
          <w:tcPr>
            <w:tcW w:w="670" w:type="dxa"/>
            <w:shd w:val="clear" w:color="auto" w:fill="auto"/>
            <w:noWrap/>
            <w:vAlign w:val="center"/>
            <w:hideMark/>
          </w:tcPr>
          <w:p w14:paraId="73561E56" w14:textId="77777777" w:rsidR="007A006B" w:rsidRPr="00445472" w:rsidRDefault="007A006B" w:rsidP="007A006B">
            <w:pPr>
              <w:pStyle w:val="TABELA"/>
              <w:rPr>
                <w:lang w:val="sq-AL"/>
              </w:rPr>
            </w:pPr>
            <w:r w:rsidRPr="00445472">
              <w:rPr>
                <w:lang w:val="sq-AL"/>
              </w:rPr>
              <w:t> </w:t>
            </w:r>
          </w:p>
        </w:tc>
        <w:tc>
          <w:tcPr>
            <w:tcW w:w="1601" w:type="dxa"/>
            <w:shd w:val="clear" w:color="auto" w:fill="auto"/>
            <w:noWrap/>
            <w:vAlign w:val="center"/>
            <w:hideMark/>
          </w:tcPr>
          <w:p w14:paraId="49D6AB79" w14:textId="77777777" w:rsidR="007A006B" w:rsidRPr="00445472" w:rsidRDefault="007A006B" w:rsidP="007A006B">
            <w:pPr>
              <w:pStyle w:val="TABELA"/>
              <w:rPr>
                <w:lang w:val="sq-AL"/>
              </w:rPr>
            </w:pPr>
            <w:r w:rsidRPr="00445472">
              <w:rPr>
                <w:lang w:val="sq-AL"/>
              </w:rPr>
              <w:t> </w:t>
            </w:r>
          </w:p>
        </w:tc>
        <w:tc>
          <w:tcPr>
            <w:tcW w:w="2968" w:type="dxa"/>
            <w:shd w:val="clear" w:color="auto" w:fill="auto"/>
            <w:vAlign w:val="center"/>
            <w:hideMark/>
          </w:tcPr>
          <w:p w14:paraId="4B7D1FE4" w14:textId="77777777" w:rsidR="007A006B" w:rsidRPr="00445472" w:rsidRDefault="007A006B" w:rsidP="007A006B">
            <w:pPr>
              <w:pStyle w:val="TABELA"/>
              <w:rPr>
                <w:lang w:val="sq-AL"/>
              </w:rPr>
            </w:pPr>
            <w:r w:rsidRPr="00445472">
              <w:rPr>
                <w:lang w:val="sq-AL"/>
              </w:rPr>
              <w:t> </w:t>
            </w:r>
          </w:p>
        </w:tc>
        <w:tc>
          <w:tcPr>
            <w:tcW w:w="3182" w:type="dxa"/>
            <w:shd w:val="clear" w:color="auto" w:fill="auto"/>
            <w:vAlign w:val="center"/>
            <w:hideMark/>
          </w:tcPr>
          <w:p w14:paraId="1A3D4CFD" w14:textId="77777777" w:rsidR="007A006B" w:rsidRPr="00445472" w:rsidRDefault="007A006B" w:rsidP="007A006B">
            <w:pPr>
              <w:pStyle w:val="TABELA"/>
              <w:rPr>
                <w:lang w:val="sq-AL"/>
              </w:rPr>
            </w:pPr>
            <w:r w:rsidRPr="00445472">
              <w:rPr>
                <w:lang w:val="sq-AL"/>
              </w:rPr>
              <w:t>Liqeni i Ohrit</w:t>
            </w:r>
          </w:p>
        </w:tc>
        <w:tc>
          <w:tcPr>
            <w:tcW w:w="4217" w:type="dxa"/>
            <w:shd w:val="clear" w:color="auto" w:fill="auto"/>
            <w:noWrap/>
            <w:vAlign w:val="center"/>
            <w:hideMark/>
          </w:tcPr>
          <w:p w14:paraId="3CBF539C" w14:textId="77777777" w:rsidR="007A006B" w:rsidRPr="00445472" w:rsidRDefault="007A006B" w:rsidP="007A006B">
            <w:pPr>
              <w:pStyle w:val="TABELA"/>
              <w:rPr>
                <w:lang w:val="sq-AL"/>
              </w:rPr>
            </w:pPr>
            <w:r w:rsidRPr="00445472">
              <w:rPr>
                <w:lang w:val="sq-AL"/>
              </w:rPr>
              <w:t> </w:t>
            </w:r>
          </w:p>
        </w:tc>
        <w:tc>
          <w:tcPr>
            <w:tcW w:w="1319" w:type="dxa"/>
            <w:shd w:val="clear" w:color="auto" w:fill="auto"/>
            <w:noWrap/>
            <w:vAlign w:val="center"/>
            <w:hideMark/>
          </w:tcPr>
          <w:p w14:paraId="12F76F60" w14:textId="77777777" w:rsidR="007A006B" w:rsidRPr="00445472" w:rsidRDefault="007A006B" w:rsidP="007A006B">
            <w:pPr>
              <w:pStyle w:val="TABELA"/>
              <w:rPr>
                <w:lang w:val="sq-AL"/>
              </w:rPr>
            </w:pPr>
            <w:r w:rsidRPr="00445472">
              <w:rPr>
                <w:lang w:val="sq-AL"/>
              </w:rPr>
              <w:t>1</w:t>
            </w:r>
          </w:p>
        </w:tc>
      </w:tr>
      <w:tr w:rsidR="007A006B" w:rsidRPr="00445472" w14:paraId="17135160" w14:textId="77777777" w:rsidTr="00B15A6B">
        <w:trPr>
          <w:trHeight w:val="240"/>
        </w:trPr>
        <w:tc>
          <w:tcPr>
            <w:tcW w:w="593" w:type="dxa"/>
            <w:shd w:val="clear" w:color="auto" w:fill="auto"/>
            <w:noWrap/>
            <w:vAlign w:val="center"/>
            <w:hideMark/>
          </w:tcPr>
          <w:p w14:paraId="5DAD5980" w14:textId="77777777" w:rsidR="007A006B" w:rsidRPr="00445472" w:rsidRDefault="007A006B" w:rsidP="007A006B">
            <w:pPr>
              <w:pStyle w:val="TABELA"/>
              <w:rPr>
                <w:lang w:val="sq-AL"/>
              </w:rPr>
            </w:pPr>
            <w:r w:rsidRPr="00445472">
              <w:rPr>
                <w:lang w:val="sq-AL"/>
              </w:rPr>
              <w:t> </w:t>
            </w:r>
          </w:p>
        </w:tc>
        <w:tc>
          <w:tcPr>
            <w:tcW w:w="670" w:type="dxa"/>
            <w:shd w:val="clear" w:color="auto" w:fill="auto"/>
            <w:noWrap/>
            <w:vAlign w:val="center"/>
            <w:hideMark/>
          </w:tcPr>
          <w:p w14:paraId="5E4F70AB" w14:textId="77777777" w:rsidR="007A006B" w:rsidRPr="00445472" w:rsidRDefault="007A006B" w:rsidP="007A006B">
            <w:pPr>
              <w:pStyle w:val="TABELA"/>
              <w:rPr>
                <w:lang w:val="sq-AL"/>
              </w:rPr>
            </w:pPr>
            <w:r w:rsidRPr="00445472">
              <w:rPr>
                <w:lang w:val="sq-AL"/>
              </w:rPr>
              <w:t> </w:t>
            </w:r>
          </w:p>
        </w:tc>
        <w:tc>
          <w:tcPr>
            <w:tcW w:w="1601" w:type="dxa"/>
            <w:shd w:val="clear" w:color="auto" w:fill="auto"/>
            <w:noWrap/>
            <w:vAlign w:val="center"/>
            <w:hideMark/>
          </w:tcPr>
          <w:p w14:paraId="28A242EA" w14:textId="77777777" w:rsidR="007A006B" w:rsidRPr="00445472" w:rsidRDefault="007A006B" w:rsidP="007A006B">
            <w:pPr>
              <w:pStyle w:val="TABELA"/>
              <w:rPr>
                <w:lang w:val="sq-AL"/>
              </w:rPr>
            </w:pPr>
            <w:r w:rsidRPr="00445472">
              <w:rPr>
                <w:lang w:val="sq-AL"/>
              </w:rPr>
              <w:t> </w:t>
            </w:r>
          </w:p>
        </w:tc>
        <w:tc>
          <w:tcPr>
            <w:tcW w:w="2968" w:type="dxa"/>
            <w:shd w:val="clear" w:color="auto" w:fill="auto"/>
            <w:vAlign w:val="center"/>
            <w:hideMark/>
          </w:tcPr>
          <w:p w14:paraId="73EDC8F8" w14:textId="77777777" w:rsidR="007A006B" w:rsidRPr="00445472" w:rsidRDefault="007A006B" w:rsidP="007A006B">
            <w:pPr>
              <w:pStyle w:val="TABELA"/>
              <w:rPr>
                <w:lang w:val="sq-AL"/>
              </w:rPr>
            </w:pPr>
            <w:r w:rsidRPr="00445472">
              <w:rPr>
                <w:lang w:val="sq-AL"/>
              </w:rPr>
              <w:t> </w:t>
            </w:r>
          </w:p>
        </w:tc>
        <w:tc>
          <w:tcPr>
            <w:tcW w:w="3182" w:type="dxa"/>
            <w:shd w:val="clear" w:color="auto" w:fill="auto"/>
            <w:vAlign w:val="center"/>
            <w:hideMark/>
          </w:tcPr>
          <w:p w14:paraId="0443DA9E" w14:textId="77777777" w:rsidR="007A006B" w:rsidRPr="00445472" w:rsidRDefault="007A006B" w:rsidP="007A006B">
            <w:pPr>
              <w:pStyle w:val="TABELA"/>
              <w:rPr>
                <w:lang w:val="sq-AL"/>
              </w:rPr>
            </w:pPr>
            <w:r w:rsidRPr="00445472">
              <w:rPr>
                <w:lang w:val="sq-AL"/>
              </w:rPr>
              <w:t>Plazhi i Velipojës</w:t>
            </w:r>
          </w:p>
        </w:tc>
        <w:tc>
          <w:tcPr>
            <w:tcW w:w="4217" w:type="dxa"/>
            <w:shd w:val="clear" w:color="auto" w:fill="auto"/>
            <w:noWrap/>
            <w:vAlign w:val="center"/>
            <w:hideMark/>
          </w:tcPr>
          <w:p w14:paraId="3A269114" w14:textId="77777777" w:rsidR="007A006B" w:rsidRPr="00445472" w:rsidRDefault="007A006B" w:rsidP="007A006B">
            <w:pPr>
              <w:pStyle w:val="TABELA"/>
              <w:rPr>
                <w:lang w:val="sq-AL"/>
              </w:rPr>
            </w:pPr>
            <w:r w:rsidRPr="00445472">
              <w:rPr>
                <w:lang w:val="sq-AL"/>
              </w:rPr>
              <w:t> </w:t>
            </w:r>
          </w:p>
        </w:tc>
        <w:tc>
          <w:tcPr>
            <w:tcW w:w="1319" w:type="dxa"/>
            <w:shd w:val="clear" w:color="auto" w:fill="auto"/>
            <w:noWrap/>
            <w:vAlign w:val="center"/>
            <w:hideMark/>
          </w:tcPr>
          <w:p w14:paraId="74987026" w14:textId="77777777" w:rsidR="007A006B" w:rsidRPr="00445472" w:rsidRDefault="007A006B" w:rsidP="007A006B">
            <w:pPr>
              <w:pStyle w:val="TABELA"/>
              <w:rPr>
                <w:lang w:val="sq-AL"/>
              </w:rPr>
            </w:pPr>
            <w:r w:rsidRPr="00445472">
              <w:rPr>
                <w:lang w:val="sq-AL"/>
              </w:rPr>
              <w:t>1</w:t>
            </w:r>
          </w:p>
        </w:tc>
      </w:tr>
      <w:tr w:rsidR="007A006B" w:rsidRPr="00445472" w14:paraId="3565E761" w14:textId="77777777" w:rsidTr="00B15A6B">
        <w:trPr>
          <w:trHeight w:val="240"/>
        </w:trPr>
        <w:tc>
          <w:tcPr>
            <w:tcW w:w="593" w:type="dxa"/>
            <w:shd w:val="clear" w:color="auto" w:fill="auto"/>
            <w:noWrap/>
            <w:vAlign w:val="center"/>
            <w:hideMark/>
          </w:tcPr>
          <w:p w14:paraId="5B25952F" w14:textId="77777777" w:rsidR="007A006B" w:rsidRPr="00445472" w:rsidRDefault="007A006B" w:rsidP="007A006B">
            <w:pPr>
              <w:pStyle w:val="TABELA"/>
              <w:rPr>
                <w:lang w:val="sq-AL"/>
              </w:rPr>
            </w:pPr>
            <w:r w:rsidRPr="00445472">
              <w:rPr>
                <w:lang w:val="sq-AL"/>
              </w:rPr>
              <w:t> </w:t>
            </w:r>
          </w:p>
        </w:tc>
        <w:tc>
          <w:tcPr>
            <w:tcW w:w="670" w:type="dxa"/>
            <w:shd w:val="clear" w:color="auto" w:fill="auto"/>
            <w:noWrap/>
            <w:vAlign w:val="center"/>
            <w:hideMark/>
          </w:tcPr>
          <w:p w14:paraId="4BD90696" w14:textId="77777777" w:rsidR="007A006B" w:rsidRPr="00445472" w:rsidRDefault="007A006B" w:rsidP="007A006B">
            <w:pPr>
              <w:pStyle w:val="TABELA"/>
              <w:rPr>
                <w:lang w:val="sq-AL"/>
              </w:rPr>
            </w:pPr>
            <w:r w:rsidRPr="00445472">
              <w:rPr>
                <w:lang w:val="sq-AL"/>
              </w:rPr>
              <w:t> </w:t>
            </w:r>
          </w:p>
        </w:tc>
        <w:tc>
          <w:tcPr>
            <w:tcW w:w="1601" w:type="dxa"/>
            <w:shd w:val="clear" w:color="auto" w:fill="auto"/>
            <w:noWrap/>
            <w:vAlign w:val="center"/>
            <w:hideMark/>
          </w:tcPr>
          <w:p w14:paraId="5FDE9284" w14:textId="77777777" w:rsidR="007A006B" w:rsidRPr="00445472" w:rsidRDefault="007A006B" w:rsidP="007A006B">
            <w:pPr>
              <w:pStyle w:val="TABELA"/>
              <w:rPr>
                <w:lang w:val="sq-AL"/>
              </w:rPr>
            </w:pPr>
            <w:r w:rsidRPr="00445472">
              <w:rPr>
                <w:lang w:val="sq-AL"/>
              </w:rPr>
              <w:t> </w:t>
            </w:r>
          </w:p>
        </w:tc>
        <w:tc>
          <w:tcPr>
            <w:tcW w:w="2968" w:type="dxa"/>
            <w:shd w:val="clear" w:color="auto" w:fill="auto"/>
            <w:vAlign w:val="center"/>
            <w:hideMark/>
          </w:tcPr>
          <w:p w14:paraId="78A7AC9D" w14:textId="77777777" w:rsidR="007A006B" w:rsidRPr="00445472" w:rsidRDefault="007A006B" w:rsidP="007A006B">
            <w:pPr>
              <w:pStyle w:val="TABELA"/>
              <w:rPr>
                <w:lang w:val="sq-AL"/>
              </w:rPr>
            </w:pPr>
            <w:r w:rsidRPr="00445472">
              <w:rPr>
                <w:lang w:val="sq-AL"/>
              </w:rPr>
              <w:t>Lezhë</w:t>
            </w:r>
          </w:p>
        </w:tc>
        <w:tc>
          <w:tcPr>
            <w:tcW w:w="3182" w:type="dxa"/>
            <w:shd w:val="clear" w:color="auto" w:fill="auto"/>
            <w:vAlign w:val="center"/>
            <w:hideMark/>
          </w:tcPr>
          <w:p w14:paraId="5395FAFF" w14:textId="5AFD576C" w:rsidR="007A006B" w:rsidRPr="00445472" w:rsidRDefault="007A006B" w:rsidP="007A006B">
            <w:pPr>
              <w:pStyle w:val="TABELA"/>
              <w:rPr>
                <w:lang w:val="sq-AL"/>
              </w:rPr>
            </w:pPr>
            <w:r w:rsidRPr="00445472">
              <w:rPr>
                <w:lang w:val="sq-AL"/>
              </w:rPr>
              <w:t>Kune</w:t>
            </w:r>
            <w:r w:rsidR="005E3EC9" w:rsidRPr="00445472">
              <w:rPr>
                <w:lang w:val="sq-AL"/>
              </w:rPr>
              <w:t>–</w:t>
            </w:r>
            <w:r w:rsidRPr="00445472">
              <w:rPr>
                <w:lang w:val="sq-AL"/>
              </w:rPr>
              <w:t xml:space="preserve">Vain </w:t>
            </w:r>
          </w:p>
        </w:tc>
        <w:tc>
          <w:tcPr>
            <w:tcW w:w="4217" w:type="dxa"/>
            <w:shd w:val="clear" w:color="auto" w:fill="auto"/>
            <w:noWrap/>
            <w:vAlign w:val="center"/>
            <w:hideMark/>
          </w:tcPr>
          <w:p w14:paraId="3BCADB22" w14:textId="77777777" w:rsidR="007A006B" w:rsidRPr="00445472" w:rsidRDefault="007A006B" w:rsidP="007A006B">
            <w:pPr>
              <w:pStyle w:val="TABELA"/>
              <w:rPr>
                <w:lang w:val="sq-AL"/>
              </w:rPr>
            </w:pPr>
            <w:r w:rsidRPr="00445472">
              <w:rPr>
                <w:lang w:val="sq-AL"/>
              </w:rPr>
              <w:t> </w:t>
            </w:r>
          </w:p>
        </w:tc>
        <w:tc>
          <w:tcPr>
            <w:tcW w:w="1319" w:type="dxa"/>
            <w:shd w:val="clear" w:color="auto" w:fill="auto"/>
            <w:noWrap/>
            <w:vAlign w:val="center"/>
            <w:hideMark/>
          </w:tcPr>
          <w:p w14:paraId="704580AA" w14:textId="77777777" w:rsidR="007A006B" w:rsidRPr="00445472" w:rsidRDefault="007A006B" w:rsidP="007A006B">
            <w:pPr>
              <w:pStyle w:val="TABELA"/>
              <w:rPr>
                <w:lang w:val="sq-AL"/>
              </w:rPr>
            </w:pPr>
            <w:r w:rsidRPr="00445472">
              <w:rPr>
                <w:lang w:val="sq-AL"/>
              </w:rPr>
              <w:t>1</w:t>
            </w:r>
          </w:p>
        </w:tc>
      </w:tr>
      <w:tr w:rsidR="007A006B" w:rsidRPr="00445472" w14:paraId="04C6B803" w14:textId="77777777" w:rsidTr="00B15A6B">
        <w:trPr>
          <w:trHeight w:val="240"/>
        </w:trPr>
        <w:tc>
          <w:tcPr>
            <w:tcW w:w="14550" w:type="dxa"/>
            <w:gridSpan w:val="7"/>
            <w:shd w:val="clear" w:color="auto" w:fill="D4D4D4"/>
            <w:noWrap/>
            <w:vAlign w:val="center"/>
            <w:hideMark/>
          </w:tcPr>
          <w:p w14:paraId="216A4430" w14:textId="77777777" w:rsidR="007A006B" w:rsidRPr="00445472" w:rsidRDefault="007A006B" w:rsidP="007A006B">
            <w:pPr>
              <w:pStyle w:val="TABELA"/>
              <w:rPr>
                <w:lang w:val="sq-AL"/>
              </w:rPr>
            </w:pPr>
            <w:r w:rsidRPr="00445472">
              <w:rPr>
                <w:lang w:val="sq-AL"/>
              </w:rPr>
              <w:t>Monument Natyre (MN)</w:t>
            </w:r>
          </w:p>
        </w:tc>
      </w:tr>
      <w:tr w:rsidR="007A006B" w:rsidRPr="00445472" w14:paraId="0481862C" w14:textId="77777777" w:rsidTr="00B15A6B">
        <w:trPr>
          <w:trHeight w:val="629"/>
        </w:trPr>
        <w:tc>
          <w:tcPr>
            <w:tcW w:w="593" w:type="dxa"/>
            <w:shd w:val="clear" w:color="auto" w:fill="auto"/>
            <w:vAlign w:val="center"/>
            <w:hideMark/>
          </w:tcPr>
          <w:p w14:paraId="568E0502" w14:textId="77777777" w:rsidR="007A006B" w:rsidRPr="00445472" w:rsidRDefault="007A006B" w:rsidP="007A006B">
            <w:pPr>
              <w:pStyle w:val="TABELA"/>
              <w:rPr>
                <w:lang w:val="sq-AL"/>
              </w:rPr>
            </w:pPr>
            <w:r w:rsidRPr="00445472">
              <w:rPr>
                <w:lang w:val="sq-AL"/>
              </w:rPr>
              <w:t>1</w:t>
            </w:r>
          </w:p>
        </w:tc>
        <w:tc>
          <w:tcPr>
            <w:tcW w:w="670" w:type="dxa"/>
            <w:shd w:val="clear" w:color="auto" w:fill="auto"/>
            <w:noWrap/>
            <w:vAlign w:val="center"/>
            <w:hideMark/>
          </w:tcPr>
          <w:p w14:paraId="2163073A"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hideMark/>
          </w:tcPr>
          <w:p w14:paraId="6F190C51"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2EFA6DDF" w14:textId="77777777" w:rsidR="007A006B" w:rsidRPr="00445472" w:rsidRDefault="007A006B" w:rsidP="007A006B">
            <w:pPr>
              <w:pStyle w:val="TABELA"/>
              <w:rPr>
                <w:lang w:val="sq-AL"/>
              </w:rPr>
            </w:pPr>
            <w:r w:rsidRPr="00445472">
              <w:rPr>
                <w:lang w:val="sq-AL"/>
              </w:rPr>
              <w:t>Kelmend, Qarku Malësi e Madhe</w:t>
            </w:r>
          </w:p>
        </w:tc>
        <w:tc>
          <w:tcPr>
            <w:tcW w:w="3182" w:type="dxa"/>
            <w:shd w:val="clear" w:color="auto" w:fill="auto"/>
            <w:vAlign w:val="center"/>
            <w:hideMark/>
          </w:tcPr>
          <w:p w14:paraId="5855D3F6" w14:textId="77777777" w:rsidR="007A006B" w:rsidRPr="00445472" w:rsidRDefault="007A006B" w:rsidP="007A006B">
            <w:pPr>
              <w:pStyle w:val="TABELA"/>
              <w:rPr>
                <w:lang w:val="sq-AL"/>
              </w:rPr>
            </w:pPr>
            <w:r w:rsidRPr="00445472">
              <w:rPr>
                <w:lang w:val="sq-AL"/>
              </w:rPr>
              <w:t>Burimi i Vuklit</w:t>
            </w:r>
          </w:p>
        </w:tc>
        <w:tc>
          <w:tcPr>
            <w:tcW w:w="4217" w:type="dxa"/>
            <w:shd w:val="clear" w:color="auto" w:fill="auto"/>
            <w:vAlign w:val="center"/>
            <w:hideMark/>
          </w:tcPr>
          <w:p w14:paraId="6FB156F0" w14:textId="77777777" w:rsidR="007A006B" w:rsidRPr="00445472" w:rsidRDefault="007A006B" w:rsidP="007A006B">
            <w:pPr>
              <w:pStyle w:val="TABELA"/>
              <w:rPr>
                <w:lang w:val="sq-AL"/>
              </w:rPr>
            </w:pPr>
            <w:r w:rsidRPr="00445472">
              <w:rPr>
                <w:lang w:val="sq-AL"/>
              </w:rPr>
              <w:t xml:space="preserve">Burimet karstike që ushqejnë lumenjtë Cemi në Vukli. Ujëra të përdorura për pije dhe ujitje.  </w:t>
            </w:r>
          </w:p>
        </w:tc>
        <w:tc>
          <w:tcPr>
            <w:tcW w:w="1319" w:type="dxa"/>
            <w:shd w:val="clear" w:color="auto" w:fill="auto"/>
            <w:noWrap/>
            <w:vAlign w:val="center"/>
            <w:hideMark/>
          </w:tcPr>
          <w:p w14:paraId="01611579" w14:textId="77777777" w:rsidR="007A006B" w:rsidRPr="00445472" w:rsidRDefault="007A006B" w:rsidP="007A006B">
            <w:pPr>
              <w:pStyle w:val="TABELA"/>
              <w:rPr>
                <w:lang w:val="sq-AL"/>
              </w:rPr>
            </w:pPr>
            <w:r w:rsidRPr="00445472">
              <w:rPr>
                <w:lang w:val="sq-AL"/>
              </w:rPr>
              <w:t>1</w:t>
            </w:r>
          </w:p>
        </w:tc>
      </w:tr>
      <w:tr w:rsidR="007A006B" w:rsidRPr="00445472" w14:paraId="341664AA" w14:textId="77777777" w:rsidTr="00B15A6B">
        <w:trPr>
          <w:trHeight w:val="480"/>
        </w:trPr>
        <w:tc>
          <w:tcPr>
            <w:tcW w:w="593" w:type="dxa"/>
            <w:shd w:val="clear" w:color="auto" w:fill="auto"/>
            <w:vAlign w:val="center"/>
            <w:hideMark/>
          </w:tcPr>
          <w:p w14:paraId="7804F6D6" w14:textId="77777777" w:rsidR="007A006B" w:rsidRPr="00445472" w:rsidRDefault="007A006B" w:rsidP="007A006B">
            <w:pPr>
              <w:pStyle w:val="TABELA"/>
              <w:rPr>
                <w:lang w:val="sq-AL"/>
              </w:rPr>
            </w:pPr>
            <w:r w:rsidRPr="00445472">
              <w:rPr>
                <w:lang w:val="sq-AL"/>
              </w:rPr>
              <w:t>2</w:t>
            </w:r>
          </w:p>
        </w:tc>
        <w:tc>
          <w:tcPr>
            <w:tcW w:w="670" w:type="dxa"/>
            <w:shd w:val="clear" w:color="auto" w:fill="auto"/>
            <w:noWrap/>
            <w:vAlign w:val="center"/>
            <w:hideMark/>
          </w:tcPr>
          <w:p w14:paraId="717E658F"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hideMark/>
          </w:tcPr>
          <w:p w14:paraId="190B1C9B"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5A55314F" w14:textId="77777777" w:rsidR="007A006B" w:rsidRPr="00445472" w:rsidRDefault="007A006B" w:rsidP="007A006B">
            <w:pPr>
              <w:pStyle w:val="TABELA"/>
              <w:rPr>
                <w:lang w:val="sq-AL"/>
              </w:rPr>
            </w:pPr>
            <w:r w:rsidRPr="00445472">
              <w:rPr>
                <w:lang w:val="sq-AL"/>
              </w:rPr>
              <w:t>Afër fshatit Theth, Shalë, Qarku Shkodër</w:t>
            </w:r>
          </w:p>
        </w:tc>
        <w:tc>
          <w:tcPr>
            <w:tcW w:w="3182" w:type="dxa"/>
            <w:shd w:val="clear" w:color="auto" w:fill="auto"/>
            <w:vAlign w:val="center"/>
            <w:hideMark/>
          </w:tcPr>
          <w:p w14:paraId="11519D16" w14:textId="77777777" w:rsidR="007A006B" w:rsidRPr="00445472" w:rsidRDefault="007A006B" w:rsidP="007A006B">
            <w:pPr>
              <w:pStyle w:val="TABELA"/>
              <w:rPr>
                <w:lang w:val="sq-AL"/>
              </w:rPr>
            </w:pPr>
            <w:r w:rsidRPr="00445472">
              <w:rPr>
                <w:lang w:val="sq-AL"/>
              </w:rPr>
              <w:t>Burimi i Shtrazës</w:t>
            </w:r>
          </w:p>
        </w:tc>
        <w:tc>
          <w:tcPr>
            <w:tcW w:w="4217" w:type="dxa"/>
            <w:shd w:val="clear" w:color="auto" w:fill="auto"/>
            <w:vAlign w:val="center"/>
            <w:hideMark/>
          </w:tcPr>
          <w:p w14:paraId="0304125D"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4E412432" w14:textId="77777777" w:rsidR="007A006B" w:rsidRPr="00445472" w:rsidRDefault="007A006B" w:rsidP="007A006B">
            <w:pPr>
              <w:pStyle w:val="TABELA"/>
              <w:rPr>
                <w:lang w:val="sq-AL"/>
              </w:rPr>
            </w:pPr>
            <w:r w:rsidRPr="00445472">
              <w:rPr>
                <w:lang w:val="sq-AL"/>
              </w:rPr>
              <w:t>3</w:t>
            </w:r>
          </w:p>
        </w:tc>
      </w:tr>
      <w:tr w:rsidR="007A006B" w:rsidRPr="00445472" w14:paraId="76E0AFFF" w14:textId="77777777" w:rsidTr="00B15A6B">
        <w:trPr>
          <w:trHeight w:val="480"/>
        </w:trPr>
        <w:tc>
          <w:tcPr>
            <w:tcW w:w="593" w:type="dxa"/>
            <w:shd w:val="clear" w:color="auto" w:fill="auto"/>
            <w:vAlign w:val="center"/>
            <w:hideMark/>
          </w:tcPr>
          <w:p w14:paraId="5A2097B6" w14:textId="77777777" w:rsidR="007A006B" w:rsidRPr="00445472" w:rsidRDefault="007A006B" w:rsidP="007A006B">
            <w:pPr>
              <w:pStyle w:val="TABELA"/>
              <w:rPr>
                <w:lang w:val="sq-AL"/>
              </w:rPr>
            </w:pPr>
            <w:r w:rsidRPr="00445472">
              <w:rPr>
                <w:lang w:val="sq-AL"/>
              </w:rPr>
              <w:t>3</w:t>
            </w:r>
          </w:p>
        </w:tc>
        <w:tc>
          <w:tcPr>
            <w:tcW w:w="670" w:type="dxa"/>
            <w:shd w:val="clear" w:color="auto" w:fill="auto"/>
            <w:noWrap/>
            <w:vAlign w:val="center"/>
            <w:hideMark/>
          </w:tcPr>
          <w:p w14:paraId="2F6905AC"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vAlign w:val="center"/>
            <w:hideMark/>
          </w:tcPr>
          <w:p w14:paraId="6B0B682E"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2FA89E9A" w14:textId="77777777" w:rsidR="007A006B" w:rsidRPr="00445472" w:rsidRDefault="007A006B" w:rsidP="007A006B">
            <w:pPr>
              <w:pStyle w:val="TABELA"/>
              <w:rPr>
                <w:lang w:val="sq-AL"/>
              </w:rPr>
            </w:pPr>
            <w:r w:rsidRPr="00445472">
              <w:rPr>
                <w:lang w:val="sq-AL"/>
              </w:rPr>
              <w:t>Në afërsi të fshat fshati Bellova, Melan, Qarku Dibër</w:t>
            </w:r>
          </w:p>
        </w:tc>
        <w:tc>
          <w:tcPr>
            <w:tcW w:w="3182" w:type="dxa"/>
            <w:shd w:val="clear" w:color="auto" w:fill="auto"/>
            <w:vAlign w:val="center"/>
            <w:hideMark/>
          </w:tcPr>
          <w:p w14:paraId="72D95761" w14:textId="77777777" w:rsidR="007A006B" w:rsidRPr="00445472" w:rsidRDefault="007A006B" w:rsidP="007A006B">
            <w:pPr>
              <w:pStyle w:val="TABELA"/>
              <w:rPr>
                <w:lang w:val="sq-AL"/>
              </w:rPr>
            </w:pPr>
            <w:r w:rsidRPr="00445472">
              <w:rPr>
                <w:lang w:val="sq-AL"/>
              </w:rPr>
              <w:t>Burimi i Bellovës</w:t>
            </w:r>
          </w:p>
        </w:tc>
        <w:tc>
          <w:tcPr>
            <w:tcW w:w="4217" w:type="dxa"/>
            <w:shd w:val="clear" w:color="auto" w:fill="auto"/>
            <w:vAlign w:val="center"/>
            <w:hideMark/>
          </w:tcPr>
          <w:p w14:paraId="16FA117D"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127D9598" w14:textId="77777777" w:rsidR="007A006B" w:rsidRPr="00445472" w:rsidRDefault="007A006B" w:rsidP="007A006B">
            <w:pPr>
              <w:pStyle w:val="TABELA"/>
              <w:rPr>
                <w:lang w:val="sq-AL"/>
              </w:rPr>
            </w:pPr>
            <w:r w:rsidRPr="00445472">
              <w:rPr>
                <w:lang w:val="sq-AL"/>
              </w:rPr>
              <w:t>3</w:t>
            </w:r>
          </w:p>
        </w:tc>
      </w:tr>
      <w:tr w:rsidR="007A006B" w:rsidRPr="00445472" w14:paraId="0585B685" w14:textId="77777777" w:rsidTr="00B15A6B">
        <w:trPr>
          <w:trHeight w:val="314"/>
        </w:trPr>
        <w:tc>
          <w:tcPr>
            <w:tcW w:w="593" w:type="dxa"/>
            <w:shd w:val="clear" w:color="auto" w:fill="auto"/>
            <w:vAlign w:val="center"/>
            <w:hideMark/>
          </w:tcPr>
          <w:p w14:paraId="24CCCA4A" w14:textId="77777777" w:rsidR="007A006B" w:rsidRPr="00445472" w:rsidRDefault="007A006B" w:rsidP="007A006B">
            <w:pPr>
              <w:pStyle w:val="TABELA"/>
              <w:rPr>
                <w:lang w:val="sq-AL"/>
              </w:rPr>
            </w:pPr>
            <w:r w:rsidRPr="00445472">
              <w:rPr>
                <w:lang w:val="sq-AL"/>
              </w:rPr>
              <w:t>4</w:t>
            </w:r>
          </w:p>
        </w:tc>
        <w:tc>
          <w:tcPr>
            <w:tcW w:w="670" w:type="dxa"/>
            <w:shd w:val="clear" w:color="auto" w:fill="auto"/>
            <w:noWrap/>
            <w:vAlign w:val="center"/>
            <w:hideMark/>
          </w:tcPr>
          <w:p w14:paraId="5F794E13"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vAlign w:val="center"/>
            <w:hideMark/>
          </w:tcPr>
          <w:p w14:paraId="4BB51CE6"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7E226FE7" w14:textId="77777777" w:rsidR="007A006B" w:rsidRPr="00445472" w:rsidRDefault="007A006B" w:rsidP="007A006B">
            <w:pPr>
              <w:pStyle w:val="TABELA"/>
              <w:rPr>
                <w:lang w:val="sq-AL"/>
              </w:rPr>
            </w:pPr>
            <w:r w:rsidRPr="00445472">
              <w:rPr>
                <w:lang w:val="sq-AL"/>
              </w:rPr>
              <w:t>Në afërsi të fshatit Brud</w:t>
            </w:r>
          </w:p>
        </w:tc>
        <w:tc>
          <w:tcPr>
            <w:tcW w:w="3182" w:type="dxa"/>
            <w:shd w:val="clear" w:color="auto" w:fill="auto"/>
            <w:vAlign w:val="center"/>
            <w:hideMark/>
          </w:tcPr>
          <w:p w14:paraId="0A2BF4A5" w14:textId="77777777" w:rsidR="007A006B" w:rsidRPr="00445472" w:rsidRDefault="007A006B" w:rsidP="007A006B">
            <w:pPr>
              <w:pStyle w:val="TABELA"/>
              <w:rPr>
                <w:lang w:val="sq-AL"/>
              </w:rPr>
            </w:pPr>
            <w:r w:rsidRPr="00445472">
              <w:rPr>
                <w:lang w:val="sq-AL"/>
              </w:rPr>
              <w:t>Burimi i Brudit</w:t>
            </w:r>
          </w:p>
        </w:tc>
        <w:tc>
          <w:tcPr>
            <w:tcW w:w="4217" w:type="dxa"/>
            <w:shd w:val="clear" w:color="auto" w:fill="auto"/>
            <w:vAlign w:val="center"/>
            <w:hideMark/>
          </w:tcPr>
          <w:p w14:paraId="53551E01"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036CF1D2" w14:textId="77777777" w:rsidR="007A006B" w:rsidRPr="00445472" w:rsidRDefault="007A006B" w:rsidP="007A006B">
            <w:pPr>
              <w:pStyle w:val="TABELA"/>
              <w:rPr>
                <w:lang w:val="sq-AL"/>
              </w:rPr>
            </w:pPr>
            <w:r w:rsidRPr="00445472">
              <w:rPr>
                <w:lang w:val="sq-AL"/>
              </w:rPr>
              <w:t>3</w:t>
            </w:r>
          </w:p>
        </w:tc>
      </w:tr>
      <w:tr w:rsidR="007A006B" w:rsidRPr="00445472" w14:paraId="3905AA38" w14:textId="77777777" w:rsidTr="00B15A6B">
        <w:trPr>
          <w:trHeight w:val="480"/>
        </w:trPr>
        <w:tc>
          <w:tcPr>
            <w:tcW w:w="593" w:type="dxa"/>
            <w:shd w:val="clear" w:color="auto" w:fill="auto"/>
            <w:vAlign w:val="center"/>
            <w:hideMark/>
          </w:tcPr>
          <w:p w14:paraId="75B7CCC0" w14:textId="77777777" w:rsidR="007A006B" w:rsidRPr="00445472" w:rsidRDefault="007A006B" w:rsidP="007A006B">
            <w:pPr>
              <w:pStyle w:val="TABELA"/>
              <w:rPr>
                <w:lang w:val="sq-AL"/>
              </w:rPr>
            </w:pPr>
            <w:r w:rsidRPr="00445472">
              <w:rPr>
                <w:lang w:val="sq-AL"/>
              </w:rPr>
              <w:t>5</w:t>
            </w:r>
          </w:p>
        </w:tc>
        <w:tc>
          <w:tcPr>
            <w:tcW w:w="670" w:type="dxa"/>
            <w:shd w:val="clear" w:color="auto" w:fill="auto"/>
            <w:noWrap/>
            <w:vAlign w:val="center"/>
            <w:hideMark/>
          </w:tcPr>
          <w:p w14:paraId="2736EA0C"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hideMark/>
          </w:tcPr>
          <w:p w14:paraId="00BD916D"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0380A585" w14:textId="77777777" w:rsidR="007A006B" w:rsidRPr="00445472" w:rsidRDefault="007A006B" w:rsidP="007A006B">
            <w:pPr>
              <w:pStyle w:val="TABELA"/>
              <w:rPr>
                <w:lang w:val="sq-AL"/>
              </w:rPr>
            </w:pPr>
            <w:r w:rsidRPr="00445472">
              <w:rPr>
                <w:lang w:val="sq-AL"/>
              </w:rPr>
              <w:t>Në afërsi të fshatit Kir Village, Pult, Qarku Shkodër</w:t>
            </w:r>
          </w:p>
        </w:tc>
        <w:tc>
          <w:tcPr>
            <w:tcW w:w="3182" w:type="dxa"/>
            <w:shd w:val="clear" w:color="auto" w:fill="auto"/>
            <w:vAlign w:val="center"/>
            <w:hideMark/>
          </w:tcPr>
          <w:p w14:paraId="795A8527" w14:textId="77777777" w:rsidR="007A006B" w:rsidRPr="00445472" w:rsidRDefault="007A006B" w:rsidP="007A006B">
            <w:pPr>
              <w:pStyle w:val="TABELA"/>
              <w:rPr>
                <w:lang w:val="sq-AL"/>
              </w:rPr>
            </w:pPr>
            <w:r w:rsidRPr="00445472">
              <w:rPr>
                <w:lang w:val="sq-AL"/>
              </w:rPr>
              <w:t>Burimi i Kirit</w:t>
            </w:r>
          </w:p>
        </w:tc>
        <w:tc>
          <w:tcPr>
            <w:tcW w:w="4217" w:type="dxa"/>
            <w:shd w:val="clear" w:color="auto" w:fill="auto"/>
            <w:vAlign w:val="center"/>
            <w:hideMark/>
          </w:tcPr>
          <w:p w14:paraId="20B32A74" w14:textId="77777777" w:rsidR="007A006B" w:rsidRPr="00445472" w:rsidRDefault="007A006B" w:rsidP="007A006B">
            <w:pPr>
              <w:pStyle w:val="TABELA"/>
              <w:rPr>
                <w:lang w:val="sq-AL"/>
              </w:rPr>
            </w:pPr>
            <w:r w:rsidRPr="00445472">
              <w:rPr>
                <w:lang w:val="sq-AL"/>
              </w:rPr>
              <w:t>Burim Karstiks që shërbejnë si burim i lumit Kiri</w:t>
            </w:r>
          </w:p>
        </w:tc>
        <w:tc>
          <w:tcPr>
            <w:tcW w:w="1319" w:type="dxa"/>
            <w:shd w:val="clear" w:color="auto" w:fill="auto"/>
            <w:noWrap/>
            <w:vAlign w:val="center"/>
            <w:hideMark/>
          </w:tcPr>
          <w:p w14:paraId="14707358" w14:textId="77777777" w:rsidR="007A006B" w:rsidRPr="00445472" w:rsidRDefault="007A006B" w:rsidP="007A006B">
            <w:pPr>
              <w:pStyle w:val="TABELA"/>
              <w:rPr>
                <w:lang w:val="sq-AL"/>
              </w:rPr>
            </w:pPr>
            <w:r w:rsidRPr="00445472">
              <w:rPr>
                <w:lang w:val="sq-AL"/>
              </w:rPr>
              <w:t>3</w:t>
            </w:r>
          </w:p>
        </w:tc>
      </w:tr>
      <w:tr w:rsidR="007A006B" w:rsidRPr="00445472" w14:paraId="58F674BA" w14:textId="77777777" w:rsidTr="00B15A6B">
        <w:trPr>
          <w:trHeight w:val="720"/>
        </w:trPr>
        <w:tc>
          <w:tcPr>
            <w:tcW w:w="593" w:type="dxa"/>
            <w:shd w:val="clear" w:color="auto" w:fill="auto"/>
            <w:vAlign w:val="center"/>
            <w:hideMark/>
          </w:tcPr>
          <w:p w14:paraId="2960097A" w14:textId="77777777" w:rsidR="007A006B" w:rsidRPr="00445472" w:rsidRDefault="007A006B" w:rsidP="007A006B">
            <w:pPr>
              <w:pStyle w:val="TABELA"/>
              <w:rPr>
                <w:lang w:val="sq-AL"/>
              </w:rPr>
            </w:pPr>
            <w:r w:rsidRPr="00445472">
              <w:rPr>
                <w:lang w:val="sq-AL"/>
              </w:rPr>
              <w:t>6</w:t>
            </w:r>
          </w:p>
        </w:tc>
        <w:tc>
          <w:tcPr>
            <w:tcW w:w="670" w:type="dxa"/>
            <w:shd w:val="clear" w:color="auto" w:fill="auto"/>
            <w:noWrap/>
            <w:vAlign w:val="center"/>
            <w:hideMark/>
          </w:tcPr>
          <w:p w14:paraId="64584CB5"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hideMark/>
          </w:tcPr>
          <w:p w14:paraId="2A83AF38"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18E5CDAA" w14:textId="77777777" w:rsidR="007A006B" w:rsidRPr="00445472" w:rsidRDefault="007A006B" w:rsidP="007A006B">
            <w:pPr>
              <w:pStyle w:val="TABELA"/>
              <w:rPr>
                <w:lang w:val="sq-AL"/>
              </w:rPr>
            </w:pPr>
            <w:r w:rsidRPr="00445472">
              <w:rPr>
                <w:lang w:val="sq-AL"/>
              </w:rPr>
              <w:t xml:space="preserve">Në afërsi të fshatit Selcë Village, Kelmend, Qarku Malësi e Madhe </w:t>
            </w:r>
          </w:p>
        </w:tc>
        <w:tc>
          <w:tcPr>
            <w:tcW w:w="3182" w:type="dxa"/>
            <w:shd w:val="clear" w:color="auto" w:fill="auto"/>
            <w:vAlign w:val="center"/>
            <w:hideMark/>
          </w:tcPr>
          <w:p w14:paraId="430FAFD3" w14:textId="77777777" w:rsidR="007A006B" w:rsidRPr="00445472" w:rsidRDefault="007A006B" w:rsidP="007A006B">
            <w:pPr>
              <w:pStyle w:val="TABELA"/>
              <w:rPr>
                <w:lang w:val="sq-AL"/>
              </w:rPr>
            </w:pPr>
            <w:r w:rsidRPr="00445472">
              <w:rPr>
                <w:lang w:val="sq-AL"/>
              </w:rPr>
              <w:t>Burimi i Koprishtit</w:t>
            </w:r>
          </w:p>
        </w:tc>
        <w:tc>
          <w:tcPr>
            <w:tcW w:w="4217" w:type="dxa"/>
            <w:shd w:val="clear" w:color="auto" w:fill="auto"/>
            <w:vAlign w:val="center"/>
            <w:hideMark/>
          </w:tcPr>
          <w:p w14:paraId="4BD90CEA" w14:textId="77777777" w:rsidR="007A006B" w:rsidRPr="00445472" w:rsidRDefault="007A006B" w:rsidP="007A006B">
            <w:pPr>
              <w:pStyle w:val="TABELA"/>
              <w:rPr>
                <w:lang w:val="sq-AL"/>
              </w:rPr>
            </w:pPr>
            <w:r w:rsidRPr="00445472">
              <w:rPr>
                <w:lang w:val="sq-AL"/>
              </w:rPr>
              <w:t>Burim Karstik që shërbejnë si burim i lumit Cemi</w:t>
            </w:r>
          </w:p>
        </w:tc>
        <w:tc>
          <w:tcPr>
            <w:tcW w:w="1319" w:type="dxa"/>
            <w:shd w:val="clear" w:color="auto" w:fill="auto"/>
            <w:noWrap/>
            <w:vAlign w:val="center"/>
            <w:hideMark/>
          </w:tcPr>
          <w:p w14:paraId="60D14FFD" w14:textId="77777777" w:rsidR="007A006B" w:rsidRPr="00445472" w:rsidRDefault="007A006B" w:rsidP="007A006B">
            <w:pPr>
              <w:pStyle w:val="TABELA"/>
              <w:rPr>
                <w:lang w:val="sq-AL"/>
              </w:rPr>
            </w:pPr>
            <w:r w:rsidRPr="00445472">
              <w:rPr>
                <w:lang w:val="sq-AL"/>
              </w:rPr>
              <w:t>3</w:t>
            </w:r>
          </w:p>
        </w:tc>
      </w:tr>
      <w:tr w:rsidR="007A006B" w:rsidRPr="00445472" w14:paraId="1BA050B3" w14:textId="77777777" w:rsidTr="00B15A6B">
        <w:trPr>
          <w:trHeight w:val="480"/>
        </w:trPr>
        <w:tc>
          <w:tcPr>
            <w:tcW w:w="593" w:type="dxa"/>
            <w:shd w:val="clear" w:color="auto" w:fill="auto"/>
            <w:vAlign w:val="center"/>
            <w:hideMark/>
          </w:tcPr>
          <w:p w14:paraId="01E8D8EB" w14:textId="77777777" w:rsidR="007A006B" w:rsidRPr="00445472" w:rsidRDefault="007A006B" w:rsidP="007A006B">
            <w:pPr>
              <w:pStyle w:val="TABELA"/>
              <w:rPr>
                <w:lang w:val="sq-AL"/>
              </w:rPr>
            </w:pPr>
            <w:r w:rsidRPr="00445472">
              <w:rPr>
                <w:lang w:val="sq-AL"/>
              </w:rPr>
              <w:t>7</w:t>
            </w:r>
          </w:p>
        </w:tc>
        <w:tc>
          <w:tcPr>
            <w:tcW w:w="670" w:type="dxa"/>
            <w:shd w:val="clear" w:color="auto" w:fill="auto"/>
            <w:noWrap/>
            <w:vAlign w:val="center"/>
            <w:hideMark/>
          </w:tcPr>
          <w:p w14:paraId="5CD65E93"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hideMark/>
          </w:tcPr>
          <w:p w14:paraId="26F717E1"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705BE17C" w14:textId="77777777" w:rsidR="007A006B" w:rsidRPr="00445472" w:rsidRDefault="007A006B" w:rsidP="007A006B">
            <w:pPr>
              <w:pStyle w:val="TABELA"/>
              <w:rPr>
                <w:lang w:val="sq-AL"/>
              </w:rPr>
            </w:pPr>
            <w:r w:rsidRPr="00445472">
              <w:rPr>
                <w:lang w:val="sq-AL"/>
              </w:rPr>
              <w:t>Theth (Nikgjonaj), Shalë, Qarku Shkodër</w:t>
            </w:r>
          </w:p>
        </w:tc>
        <w:tc>
          <w:tcPr>
            <w:tcW w:w="3182" w:type="dxa"/>
            <w:shd w:val="clear" w:color="auto" w:fill="auto"/>
            <w:vAlign w:val="center"/>
            <w:hideMark/>
          </w:tcPr>
          <w:p w14:paraId="0FE64E95" w14:textId="77777777" w:rsidR="007A006B" w:rsidRPr="00445472" w:rsidRDefault="007A006B" w:rsidP="007A006B">
            <w:pPr>
              <w:pStyle w:val="TABELA"/>
              <w:rPr>
                <w:lang w:val="sq-AL"/>
              </w:rPr>
            </w:pPr>
            <w:r w:rsidRPr="00445472">
              <w:rPr>
                <w:lang w:val="sq-AL"/>
              </w:rPr>
              <w:t>Burimet e Okolit</w:t>
            </w:r>
          </w:p>
        </w:tc>
        <w:tc>
          <w:tcPr>
            <w:tcW w:w="4217" w:type="dxa"/>
            <w:shd w:val="clear" w:color="auto" w:fill="auto"/>
            <w:vAlign w:val="center"/>
            <w:hideMark/>
          </w:tcPr>
          <w:p w14:paraId="11615969"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5EAFDC39" w14:textId="77777777" w:rsidR="007A006B" w:rsidRPr="00445472" w:rsidRDefault="007A006B" w:rsidP="007A006B">
            <w:pPr>
              <w:pStyle w:val="TABELA"/>
              <w:rPr>
                <w:lang w:val="sq-AL"/>
              </w:rPr>
            </w:pPr>
            <w:r w:rsidRPr="00445472">
              <w:rPr>
                <w:lang w:val="sq-AL"/>
              </w:rPr>
              <w:t>3</w:t>
            </w:r>
          </w:p>
        </w:tc>
      </w:tr>
      <w:tr w:rsidR="007A006B" w:rsidRPr="00445472" w14:paraId="7F9F9AF9" w14:textId="77777777" w:rsidTr="00B15A6B">
        <w:trPr>
          <w:trHeight w:val="540"/>
        </w:trPr>
        <w:tc>
          <w:tcPr>
            <w:tcW w:w="593" w:type="dxa"/>
            <w:shd w:val="clear" w:color="auto" w:fill="auto"/>
            <w:vAlign w:val="center"/>
            <w:hideMark/>
          </w:tcPr>
          <w:p w14:paraId="70449C45" w14:textId="77777777" w:rsidR="007A006B" w:rsidRPr="00445472" w:rsidRDefault="007A006B" w:rsidP="007A006B">
            <w:pPr>
              <w:pStyle w:val="TABELA"/>
              <w:rPr>
                <w:lang w:val="sq-AL"/>
              </w:rPr>
            </w:pPr>
            <w:r w:rsidRPr="00445472">
              <w:rPr>
                <w:lang w:val="sq-AL"/>
              </w:rPr>
              <w:t>8</w:t>
            </w:r>
          </w:p>
        </w:tc>
        <w:tc>
          <w:tcPr>
            <w:tcW w:w="670" w:type="dxa"/>
            <w:shd w:val="clear" w:color="auto" w:fill="auto"/>
            <w:noWrap/>
            <w:vAlign w:val="center"/>
            <w:hideMark/>
          </w:tcPr>
          <w:p w14:paraId="132BFA95"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938CED1"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3362F39B" w14:textId="77777777" w:rsidR="007A006B" w:rsidRPr="00445472" w:rsidRDefault="007A006B" w:rsidP="007A006B">
            <w:pPr>
              <w:pStyle w:val="TABELA"/>
              <w:rPr>
                <w:lang w:val="sq-AL"/>
              </w:rPr>
            </w:pPr>
            <w:r w:rsidRPr="00445472">
              <w:rPr>
                <w:lang w:val="sq-AL"/>
              </w:rPr>
              <w:t>Në afërsi të fshatit Valbonë, Margegaj LGU, Qarku Tropojë</w:t>
            </w:r>
          </w:p>
        </w:tc>
        <w:tc>
          <w:tcPr>
            <w:tcW w:w="3182" w:type="dxa"/>
            <w:shd w:val="clear" w:color="auto" w:fill="auto"/>
            <w:vAlign w:val="center"/>
            <w:hideMark/>
          </w:tcPr>
          <w:p w14:paraId="76284651" w14:textId="77777777" w:rsidR="007A006B" w:rsidRPr="00445472" w:rsidRDefault="007A006B" w:rsidP="007A006B">
            <w:pPr>
              <w:pStyle w:val="TABELA"/>
              <w:rPr>
                <w:lang w:val="sq-AL"/>
              </w:rPr>
            </w:pPr>
            <w:r w:rsidRPr="00445472">
              <w:rPr>
                <w:lang w:val="sq-AL"/>
              </w:rPr>
              <w:t>Burimet e Valbonës</w:t>
            </w:r>
          </w:p>
        </w:tc>
        <w:tc>
          <w:tcPr>
            <w:tcW w:w="4217" w:type="dxa"/>
            <w:shd w:val="clear" w:color="auto" w:fill="auto"/>
            <w:vAlign w:val="center"/>
            <w:hideMark/>
          </w:tcPr>
          <w:p w14:paraId="021E766F"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65B22E1A" w14:textId="77777777" w:rsidR="007A006B" w:rsidRPr="00445472" w:rsidRDefault="007A006B" w:rsidP="007A006B">
            <w:pPr>
              <w:pStyle w:val="TABELA"/>
              <w:rPr>
                <w:lang w:val="sq-AL"/>
              </w:rPr>
            </w:pPr>
            <w:r w:rsidRPr="00445472">
              <w:rPr>
                <w:lang w:val="sq-AL"/>
              </w:rPr>
              <w:t>3</w:t>
            </w:r>
          </w:p>
        </w:tc>
      </w:tr>
      <w:tr w:rsidR="007A006B" w:rsidRPr="00445472" w14:paraId="3BFE032F" w14:textId="77777777" w:rsidTr="00B15A6B">
        <w:trPr>
          <w:trHeight w:val="480"/>
        </w:trPr>
        <w:tc>
          <w:tcPr>
            <w:tcW w:w="593" w:type="dxa"/>
            <w:shd w:val="clear" w:color="auto" w:fill="auto"/>
            <w:vAlign w:val="center"/>
            <w:hideMark/>
          </w:tcPr>
          <w:p w14:paraId="29093925" w14:textId="77777777" w:rsidR="007A006B" w:rsidRPr="00445472" w:rsidRDefault="007A006B" w:rsidP="007A006B">
            <w:pPr>
              <w:pStyle w:val="TABELA"/>
              <w:rPr>
                <w:lang w:val="sq-AL"/>
              </w:rPr>
            </w:pPr>
            <w:r w:rsidRPr="00445472">
              <w:rPr>
                <w:lang w:val="sq-AL"/>
              </w:rPr>
              <w:t>9</w:t>
            </w:r>
          </w:p>
        </w:tc>
        <w:tc>
          <w:tcPr>
            <w:tcW w:w="670" w:type="dxa"/>
            <w:shd w:val="clear" w:color="auto" w:fill="auto"/>
            <w:noWrap/>
            <w:vAlign w:val="center"/>
            <w:hideMark/>
          </w:tcPr>
          <w:p w14:paraId="61E20F7D"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vAlign w:val="center"/>
            <w:hideMark/>
          </w:tcPr>
          <w:p w14:paraId="38792074"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19DEC727" w14:textId="77777777" w:rsidR="007A006B" w:rsidRPr="00445472" w:rsidRDefault="007A006B" w:rsidP="007A006B">
            <w:pPr>
              <w:pStyle w:val="TABELA"/>
              <w:rPr>
                <w:lang w:val="sq-AL"/>
              </w:rPr>
            </w:pPr>
            <w:r w:rsidRPr="00445472">
              <w:rPr>
                <w:lang w:val="sq-AL"/>
              </w:rPr>
              <w:t xml:space="preserve">Në afërsi të fshatit Fushë Çidhnë </w:t>
            </w:r>
          </w:p>
        </w:tc>
        <w:tc>
          <w:tcPr>
            <w:tcW w:w="3182" w:type="dxa"/>
            <w:shd w:val="clear" w:color="auto" w:fill="auto"/>
            <w:vAlign w:val="center"/>
            <w:hideMark/>
          </w:tcPr>
          <w:p w14:paraId="128AE1D0" w14:textId="77777777" w:rsidR="007A006B" w:rsidRPr="00445472" w:rsidRDefault="007A006B" w:rsidP="007A006B">
            <w:pPr>
              <w:pStyle w:val="TABELA"/>
              <w:rPr>
                <w:lang w:val="sq-AL"/>
              </w:rPr>
            </w:pPr>
            <w:r w:rsidRPr="00445472">
              <w:rPr>
                <w:lang w:val="sq-AL"/>
              </w:rPr>
              <w:t>Burimi dhe Shpella e Sopanikës</w:t>
            </w:r>
          </w:p>
        </w:tc>
        <w:tc>
          <w:tcPr>
            <w:tcW w:w="4217" w:type="dxa"/>
            <w:shd w:val="clear" w:color="auto" w:fill="auto"/>
            <w:vAlign w:val="center"/>
            <w:hideMark/>
          </w:tcPr>
          <w:p w14:paraId="75059657"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72658721" w14:textId="77777777" w:rsidR="007A006B" w:rsidRPr="00445472" w:rsidRDefault="007A006B" w:rsidP="007A006B">
            <w:pPr>
              <w:pStyle w:val="TABELA"/>
              <w:rPr>
                <w:lang w:val="sq-AL"/>
              </w:rPr>
            </w:pPr>
            <w:r w:rsidRPr="00445472">
              <w:rPr>
                <w:lang w:val="sq-AL"/>
              </w:rPr>
              <w:t>3</w:t>
            </w:r>
          </w:p>
        </w:tc>
      </w:tr>
      <w:tr w:rsidR="007A006B" w:rsidRPr="00445472" w14:paraId="5388D4FD" w14:textId="77777777" w:rsidTr="00B15A6B">
        <w:trPr>
          <w:trHeight w:val="720"/>
        </w:trPr>
        <w:tc>
          <w:tcPr>
            <w:tcW w:w="593" w:type="dxa"/>
            <w:shd w:val="clear" w:color="auto" w:fill="auto"/>
            <w:vAlign w:val="center"/>
            <w:hideMark/>
          </w:tcPr>
          <w:p w14:paraId="1ACD0834" w14:textId="77777777" w:rsidR="007A006B" w:rsidRPr="00445472" w:rsidRDefault="007A006B" w:rsidP="007A006B">
            <w:pPr>
              <w:pStyle w:val="TABELA"/>
              <w:rPr>
                <w:lang w:val="sq-AL"/>
              </w:rPr>
            </w:pPr>
            <w:r w:rsidRPr="00445472">
              <w:rPr>
                <w:lang w:val="sq-AL"/>
              </w:rPr>
              <w:t>10</w:t>
            </w:r>
          </w:p>
        </w:tc>
        <w:tc>
          <w:tcPr>
            <w:tcW w:w="670" w:type="dxa"/>
            <w:shd w:val="clear" w:color="auto" w:fill="auto"/>
            <w:noWrap/>
            <w:vAlign w:val="center"/>
            <w:hideMark/>
          </w:tcPr>
          <w:p w14:paraId="46C07C78"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6173EFAB" w14:textId="77777777" w:rsidR="007A006B" w:rsidRPr="00445472" w:rsidRDefault="007A006B" w:rsidP="007A006B">
            <w:pPr>
              <w:pStyle w:val="TABELA"/>
              <w:rPr>
                <w:lang w:val="sq-AL"/>
              </w:rPr>
            </w:pPr>
            <w:r w:rsidRPr="00445472">
              <w:rPr>
                <w:lang w:val="sq-AL"/>
              </w:rPr>
              <w:t>Korçë</w:t>
            </w:r>
          </w:p>
        </w:tc>
        <w:tc>
          <w:tcPr>
            <w:tcW w:w="2968" w:type="dxa"/>
            <w:shd w:val="clear" w:color="auto" w:fill="auto"/>
            <w:vAlign w:val="center"/>
            <w:hideMark/>
          </w:tcPr>
          <w:p w14:paraId="37BE586D" w14:textId="6BB14072" w:rsidR="007A006B" w:rsidRPr="00445472" w:rsidRDefault="007A006B" w:rsidP="00034FBB">
            <w:pPr>
              <w:pStyle w:val="TABELA"/>
              <w:rPr>
                <w:lang w:val="sq-AL"/>
              </w:rPr>
            </w:pPr>
            <w:r w:rsidRPr="00445472">
              <w:rPr>
                <w:lang w:val="sq-AL"/>
              </w:rPr>
              <w:t xml:space="preserve">Në afërsi të fshatit Tushemisht Village, Qarku Pogradec, Juglindje e liqenit </w:t>
            </w:r>
            <w:r w:rsidR="00034FBB">
              <w:rPr>
                <w:lang w:val="sq-AL"/>
              </w:rPr>
              <w:t>të</w:t>
            </w:r>
            <w:r w:rsidRPr="00445472">
              <w:rPr>
                <w:lang w:val="sq-AL"/>
              </w:rPr>
              <w:t xml:space="preserve"> Ohrit</w:t>
            </w:r>
          </w:p>
        </w:tc>
        <w:tc>
          <w:tcPr>
            <w:tcW w:w="3182" w:type="dxa"/>
            <w:shd w:val="clear" w:color="auto" w:fill="auto"/>
            <w:vAlign w:val="center"/>
            <w:hideMark/>
          </w:tcPr>
          <w:p w14:paraId="1C531741" w14:textId="77777777" w:rsidR="007A006B" w:rsidRPr="00445472" w:rsidRDefault="007A006B" w:rsidP="007A006B">
            <w:pPr>
              <w:pStyle w:val="TABELA"/>
              <w:rPr>
                <w:lang w:val="sq-AL"/>
              </w:rPr>
            </w:pPr>
            <w:r w:rsidRPr="00445472">
              <w:rPr>
                <w:lang w:val="sq-AL"/>
              </w:rPr>
              <w:t>Burimi i Drilonit</w:t>
            </w:r>
          </w:p>
        </w:tc>
        <w:tc>
          <w:tcPr>
            <w:tcW w:w="4217" w:type="dxa"/>
            <w:shd w:val="clear" w:color="auto" w:fill="auto"/>
            <w:vAlign w:val="center"/>
            <w:hideMark/>
          </w:tcPr>
          <w:p w14:paraId="3AAFE14B" w14:textId="77777777" w:rsidR="007A006B" w:rsidRPr="00445472" w:rsidRDefault="007A006B" w:rsidP="007A006B">
            <w:pPr>
              <w:pStyle w:val="TABELA"/>
              <w:rPr>
                <w:lang w:val="sq-AL"/>
              </w:rPr>
            </w:pPr>
            <w:r w:rsidRPr="00445472">
              <w:rPr>
                <w:lang w:val="sq-AL"/>
              </w:rPr>
              <w:t>Burimi ushqehet nga liqeni i Prespës dhe nga Mali i thatë. Burimi është e rrethuar nga ekosisteme të pasura ujore</w:t>
            </w:r>
          </w:p>
        </w:tc>
        <w:tc>
          <w:tcPr>
            <w:tcW w:w="1319" w:type="dxa"/>
            <w:shd w:val="clear" w:color="auto" w:fill="auto"/>
            <w:noWrap/>
            <w:vAlign w:val="center"/>
            <w:hideMark/>
          </w:tcPr>
          <w:p w14:paraId="0862DB6F" w14:textId="77777777" w:rsidR="007A006B" w:rsidRPr="00445472" w:rsidRDefault="007A006B" w:rsidP="007A006B">
            <w:pPr>
              <w:pStyle w:val="TABELA"/>
              <w:rPr>
                <w:lang w:val="sq-AL"/>
              </w:rPr>
            </w:pPr>
            <w:r w:rsidRPr="00445472">
              <w:rPr>
                <w:lang w:val="sq-AL"/>
              </w:rPr>
              <w:t>1</w:t>
            </w:r>
          </w:p>
        </w:tc>
      </w:tr>
      <w:tr w:rsidR="007A006B" w:rsidRPr="00445472" w14:paraId="41E33A02" w14:textId="77777777" w:rsidTr="00B15A6B">
        <w:trPr>
          <w:trHeight w:val="480"/>
        </w:trPr>
        <w:tc>
          <w:tcPr>
            <w:tcW w:w="593" w:type="dxa"/>
            <w:shd w:val="clear" w:color="auto" w:fill="auto"/>
            <w:vAlign w:val="center"/>
            <w:hideMark/>
          </w:tcPr>
          <w:p w14:paraId="435FD96F" w14:textId="77777777" w:rsidR="007A006B" w:rsidRPr="00445472" w:rsidRDefault="007A006B" w:rsidP="007A006B">
            <w:pPr>
              <w:pStyle w:val="TABELA"/>
              <w:rPr>
                <w:lang w:val="sq-AL"/>
              </w:rPr>
            </w:pPr>
            <w:r w:rsidRPr="00445472">
              <w:rPr>
                <w:lang w:val="sq-AL"/>
              </w:rPr>
              <w:t>11</w:t>
            </w:r>
          </w:p>
        </w:tc>
        <w:tc>
          <w:tcPr>
            <w:tcW w:w="670" w:type="dxa"/>
            <w:shd w:val="clear" w:color="auto" w:fill="auto"/>
            <w:noWrap/>
            <w:vAlign w:val="center"/>
            <w:hideMark/>
          </w:tcPr>
          <w:p w14:paraId="4F2543E6" w14:textId="77777777" w:rsidR="007A006B" w:rsidRPr="00445472" w:rsidRDefault="007A006B" w:rsidP="007A006B">
            <w:pPr>
              <w:pStyle w:val="TABELA"/>
              <w:rPr>
                <w:lang w:val="sq-AL"/>
              </w:rPr>
            </w:pPr>
            <w:r w:rsidRPr="00445472">
              <w:rPr>
                <w:lang w:val="sq-AL"/>
              </w:rPr>
              <w:t>III</w:t>
            </w:r>
          </w:p>
        </w:tc>
        <w:tc>
          <w:tcPr>
            <w:tcW w:w="1601" w:type="dxa"/>
            <w:shd w:val="clear" w:color="000000" w:fill="FFFFFF"/>
            <w:noWrap/>
            <w:vAlign w:val="center"/>
            <w:hideMark/>
          </w:tcPr>
          <w:p w14:paraId="63AAC0D2"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28B41234" w14:textId="77777777" w:rsidR="007A006B" w:rsidRPr="00445472" w:rsidRDefault="007A006B" w:rsidP="007A006B">
            <w:pPr>
              <w:pStyle w:val="TABELA"/>
              <w:rPr>
                <w:lang w:val="sq-AL"/>
              </w:rPr>
            </w:pPr>
            <w:r w:rsidRPr="00445472">
              <w:rPr>
                <w:lang w:val="sq-AL"/>
              </w:rPr>
              <w:t>Në Malin e Kërçinit, në afërsi të fshatit Kërçisht</w:t>
            </w:r>
          </w:p>
        </w:tc>
        <w:tc>
          <w:tcPr>
            <w:tcW w:w="3182" w:type="dxa"/>
            <w:shd w:val="clear" w:color="auto" w:fill="auto"/>
            <w:vAlign w:val="center"/>
            <w:hideMark/>
          </w:tcPr>
          <w:p w14:paraId="1F2B2D88" w14:textId="77777777" w:rsidR="007A006B" w:rsidRPr="00445472" w:rsidRDefault="007A006B" w:rsidP="007A006B">
            <w:pPr>
              <w:pStyle w:val="TABELA"/>
              <w:rPr>
                <w:lang w:val="sq-AL"/>
              </w:rPr>
            </w:pPr>
            <w:r w:rsidRPr="00445472">
              <w:rPr>
                <w:lang w:val="sq-AL"/>
              </w:rPr>
              <w:t>Burimi i Kërçinit</w:t>
            </w:r>
          </w:p>
        </w:tc>
        <w:tc>
          <w:tcPr>
            <w:tcW w:w="4217" w:type="dxa"/>
            <w:shd w:val="clear" w:color="auto" w:fill="auto"/>
            <w:vAlign w:val="center"/>
            <w:hideMark/>
          </w:tcPr>
          <w:p w14:paraId="567E8FAC"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505AAE72" w14:textId="77777777" w:rsidR="007A006B" w:rsidRPr="00445472" w:rsidRDefault="007A006B" w:rsidP="007A006B">
            <w:pPr>
              <w:pStyle w:val="TABELA"/>
              <w:rPr>
                <w:lang w:val="sq-AL"/>
              </w:rPr>
            </w:pPr>
            <w:r w:rsidRPr="00445472">
              <w:rPr>
                <w:lang w:val="sq-AL"/>
              </w:rPr>
              <w:t>3</w:t>
            </w:r>
          </w:p>
        </w:tc>
      </w:tr>
      <w:tr w:rsidR="007A006B" w:rsidRPr="00445472" w14:paraId="3471B061" w14:textId="77777777" w:rsidTr="00B15A6B">
        <w:trPr>
          <w:trHeight w:val="720"/>
        </w:trPr>
        <w:tc>
          <w:tcPr>
            <w:tcW w:w="593" w:type="dxa"/>
            <w:shd w:val="clear" w:color="auto" w:fill="auto"/>
            <w:vAlign w:val="center"/>
            <w:hideMark/>
          </w:tcPr>
          <w:p w14:paraId="45353C76" w14:textId="77777777" w:rsidR="007A006B" w:rsidRPr="00445472" w:rsidRDefault="007A006B" w:rsidP="007A006B">
            <w:pPr>
              <w:pStyle w:val="TABELA"/>
              <w:rPr>
                <w:lang w:val="sq-AL"/>
              </w:rPr>
            </w:pPr>
            <w:r w:rsidRPr="00445472">
              <w:rPr>
                <w:lang w:val="sq-AL"/>
              </w:rPr>
              <w:t>12</w:t>
            </w:r>
          </w:p>
        </w:tc>
        <w:tc>
          <w:tcPr>
            <w:tcW w:w="670" w:type="dxa"/>
            <w:shd w:val="clear" w:color="auto" w:fill="auto"/>
            <w:noWrap/>
            <w:vAlign w:val="center"/>
            <w:hideMark/>
          </w:tcPr>
          <w:p w14:paraId="265D5DA0"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66DD8609"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5B6BE8FA" w14:textId="76F809BF" w:rsidR="007A006B" w:rsidRPr="00445472" w:rsidRDefault="007A006B" w:rsidP="007A006B">
            <w:pPr>
              <w:pStyle w:val="TABELA"/>
              <w:rPr>
                <w:lang w:val="sq-AL"/>
              </w:rPr>
            </w:pPr>
            <w:r w:rsidRPr="00445472">
              <w:rPr>
                <w:lang w:val="sq-AL"/>
              </w:rPr>
              <w:t xml:space="preserve">Në afërsi të fshatit Kolosian, </w:t>
            </w:r>
            <w:r w:rsidR="00034FBB">
              <w:rPr>
                <w:lang w:val="sq-AL"/>
              </w:rPr>
              <w:t>NJQV</w:t>
            </w:r>
            <w:r w:rsidRPr="00445472">
              <w:rPr>
                <w:lang w:val="sq-AL"/>
              </w:rPr>
              <w:t xml:space="preserve"> Bicaj, Qarku Kukës</w:t>
            </w:r>
          </w:p>
        </w:tc>
        <w:tc>
          <w:tcPr>
            <w:tcW w:w="3182" w:type="dxa"/>
            <w:shd w:val="clear" w:color="auto" w:fill="auto"/>
            <w:vAlign w:val="center"/>
            <w:hideMark/>
          </w:tcPr>
          <w:p w14:paraId="55D59343" w14:textId="77777777" w:rsidR="007A006B" w:rsidRPr="00445472" w:rsidRDefault="007A006B" w:rsidP="007A006B">
            <w:pPr>
              <w:pStyle w:val="TABELA"/>
              <w:rPr>
                <w:lang w:val="sq-AL"/>
              </w:rPr>
            </w:pPr>
            <w:r w:rsidRPr="00445472">
              <w:rPr>
                <w:lang w:val="sq-AL"/>
              </w:rPr>
              <w:t>Burimi i Kolesianit</w:t>
            </w:r>
          </w:p>
        </w:tc>
        <w:tc>
          <w:tcPr>
            <w:tcW w:w="4217" w:type="dxa"/>
            <w:shd w:val="clear" w:color="auto" w:fill="auto"/>
            <w:vAlign w:val="center"/>
            <w:hideMark/>
          </w:tcPr>
          <w:p w14:paraId="7D7F6660"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1B876671" w14:textId="77777777" w:rsidR="007A006B" w:rsidRPr="00445472" w:rsidRDefault="007A006B" w:rsidP="007A006B">
            <w:pPr>
              <w:pStyle w:val="TABELA"/>
              <w:rPr>
                <w:lang w:val="sq-AL"/>
              </w:rPr>
            </w:pPr>
            <w:r w:rsidRPr="00445472">
              <w:rPr>
                <w:lang w:val="sq-AL"/>
              </w:rPr>
              <w:t>3</w:t>
            </w:r>
          </w:p>
        </w:tc>
      </w:tr>
      <w:tr w:rsidR="007A006B" w:rsidRPr="00445472" w14:paraId="6E3FE4AB" w14:textId="77777777" w:rsidTr="00B15A6B">
        <w:trPr>
          <w:trHeight w:val="422"/>
        </w:trPr>
        <w:tc>
          <w:tcPr>
            <w:tcW w:w="593" w:type="dxa"/>
            <w:shd w:val="clear" w:color="auto" w:fill="auto"/>
            <w:vAlign w:val="center"/>
            <w:hideMark/>
          </w:tcPr>
          <w:p w14:paraId="08883CFA" w14:textId="77777777" w:rsidR="007A006B" w:rsidRPr="00445472" w:rsidRDefault="007A006B" w:rsidP="007A006B">
            <w:pPr>
              <w:pStyle w:val="TABELA"/>
              <w:rPr>
                <w:lang w:val="sq-AL"/>
              </w:rPr>
            </w:pPr>
            <w:r w:rsidRPr="00445472">
              <w:rPr>
                <w:lang w:val="sq-AL"/>
              </w:rPr>
              <w:t>13</w:t>
            </w:r>
          </w:p>
        </w:tc>
        <w:tc>
          <w:tcPr>
            <w:tcW w:w="670" w:type="dxa"/>
            <w:shd w:val="clear" w:color="auto" w:fill="auto"/>
            <w:noWrap/>
            <w:vAlign w:val="center"/>
            <w:hideMark/>
          </w:tcPr>
          <w:p w14:paraId="6D97FE16"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7AFB85D4"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1E4A0F54" w14:textId="77777777" w:rsidR="007A006B" w:rsidRPr="00445472" w:rsidRDefault="007A006B" w:rsidP="007A006B">
            <w:pPr>
              <w:pStyle w:val="TABELA"/>
              <w:rPr>
                <w:lang w:val="sq-AL"/>
              </w:rPr>
            </w:pPr>
            <w:r w:rsidRPr="00445472">
              <w:rPr>
                <w:lang w:val="sq-AL"/>
              </w:rPr>
              <w:t>Anën juglindore të qytetit Krumë</w:t>
            </w:r>
          </w:p>
        </w:tc>
        <w:tc>
          <w:tcPr>
            <w:tcW w:w="3182" w:type="dxa"/>
            <w:shd w:val="clear" w:color="auto" w:fill="auto"/>
            <w:vAlign w:val="center"/>
            <w:hideMark/>
          </w:tcPr>
          <w:p w14:paraId="1A3ABFFE" w14:textId="77777777" w:rsidR="007A006B" w:rsidRPr="00445472" w:rsidRDefault="007A006B" w:rsidP="007A006B">
            <w:pPr>
              <w:pStyle w:val="TABELA"/>
              <w:rPr>
                <w:lang w:val="sq-AL"/>
              </w:rPr>
            </w:pPr>
            <w:r w:rsidRPr="00445472">
              <w:rPr>
                <w:lang w:val="sq-AL"/>
              </w:rPr>
              <w:t>Burimi i Krumës</w:t>
            </w:r>
          </w:p>
        </w:tc>
        <w:tc>
          <w:tcPr>
            <w:tcW w:w="4217" w:type="dxa"/>
            <w:shd w:val="clear" w:color="auto" w:fill="auto"/>
            <w:vAlign w:val="center"/>
            <w:hideMark/>
          </w:tcPr>
          <w:p w14:paraId="5AE428C5"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7DFD01ED" w14:textId="77777777" w:rsidR="007A006B" w:rsidRPr="00445472" w:rsidRDefault="007A006B" w:rsidP="007A006B">
            <w:pPr>
              <w:pStyle w:val="TABELA"/>
              <w:rPr>
                <w:lang w:val="sq-AL"/>
              </w:rPr>
            </w:pPr>
            <w:r w:rsidRPr="00445472">
              <w:rPr>
                <w:lang w:val="sq-AL"/>
              </w:rPr>
              <w:t>3</w:t>
            </w:r>
          </w:p>
        </w:tc>
      </w:tr>
      <w:tr w:rsidR="007A006B" w:rsidRPr="00445472" w14:paraId="147E92E9" w14:textId="77777777" w:rsidTr="00B15A6B">
        <w:trPr>
          <w:trHeight w:val="480"/>
        </w:trPr>
        <w:tc>
          <w:tcPr>
            <w:tcW w:w="593" w:type="dxa"/>
            <w:shd w:val="clear" w:color="auto" w:fill="auto"/>
            <w:vAlign w:val="center"/>
            <w:hideMark/>
          </w:tcPr>
          <w:p w14:paraId="243472D4" w14:textId="77777777" w:rsidR="007A006B" w:rsidRPr="00445472" w:rsidRDefault="007A006B" w:rsidP="007A006B">
            <w:pPr>
              <w:pStyle w:val="TABELA"/>
              <w:rPr>
                <w:lang w:val="sq-AL"/>
              </w:rPr>
            </w:pPr>
            <w:r w:rsidRPr="00445472">
              <w:rPr>
                <w:lang w:val="sq-AL"/>
              </w:rPr>
              <w:t>14</w:t>
            </w:r>
          </w:p>
        </w:tc>
        <w:tc>
          <w:tcPr>
            <w:tcW w:w="670" w:type="dxa"/>
            <w:shd w:val="clear" w:color="auto" w:fill="auto"/>
            <w:noWrap/>
            <w:vAlign w:val="center"/>
            <w:hideMark/>
          </w:tcPr>
          <w:p w14:paraId="0B25E87D"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4854C319"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76CD7F0E" w14:textId="77777777" w:rsidR="007A006B" w:rsidRPr="00445472" w:rsidRDefault="007A006B" w:rsidP="007A006B">
            <w:pPr>
              <w:pStyle w:val="TABELA"/>
              <w:rPr>
                <w:lang w:val="sq-AL"/>
              </w:rPr>
            </w:pPr>
            <w:r w:rsidRPr="00445472">
              <w:rPr>
                <w:lang w:val="sq-AL"/>
              </w:rPr>
              <w:t>Në afërsi të fshatit Valbonë, pranë luginës Rasa e Pecmara</w:t>
            </w:r>
          </w:p>
        </w:tc>
        <w:tc>
          <w:tcPr>
            <w:tcW w:w="3182" w:type="dxa"/>
            <w:shd w:val="clear" w:color="auto" w:fill="auto"/>
            <w:vAlign w:val="center"/>
            <w:hideMark/>
          </w:tcPr>
          <w:p w14:paraId="44902848" w14:textId="77777777" w:rsidR="007A006B" w:rsidRPr="00445472" w:rsidRDefault="007A006B" w:rsidP="007A006B">
            <w:pPr>
              <w:pStyle w:val="TABELA"/>
              <w:rPr>
                <w:lang w:val="sq-AL"/>
              </w:rPr>
            </w:pPr>
            <w:r w:rsidRPr="00445472">
              <w:rPr>
                <w:lang w:val="sq-AL"/>
              </w:rPr>
              <w:t xml:space="preserve">Burimi Quku i Dunishës </w:t>
            </w:r>
          </w:p>
        </w:tc>
        <w:tc>
          <w:tcPr>
            <w:tcW w:w="4217" w:type="dxa"/>
            <w:shd w:val="clear" w:color="auto" w:fill="auto"/>
            <w:vAlign w:val="center"/>
            <w:hideMark/>
          </w:tcPr>
          <w:p w14:paraId="69663715" w14:textId="77777777" w:rsidR="007A006B" w:rsidRPr="00445472" w:rsidRDefault="007A006B" w:rsidP="007A006B">
            <w:pPr>
              <w:pStyle w:val="TABELA"/>
              <w:rPr>
                <w:lang w:val="sq-AL"/>
              </w:rPr>
            </w:pPr>
            <w:r w:rsidRPr="00445472">
              <w:rPr>
                <w:lang w:val="sq-AL"/>
              </w:rPr>
              <w:t>Burim Karstik Që ushqen lumin Valbona. Është e rrethuar me bimësi</w:t>
            </w:r>
          </w:p>
        </w:tc>
        <w:tc>
          <w:tcPr>
            <w:tcW w:w="1319" w:type="dxa"/>
            <w:shd w:val="clear" w:color="auto" w:fill="auto"/>
            <w:noWrap/>
            <w:vAlign w:val="center"/>
            <w:hideMark/>
          </w:tcPr>
          <w:p w14:paraId="115C142C" w14:textId="77777777" w:rsidR="007A006B" w:rsidRPr="00445472" w:rsidRDefault="007A006B" w:rsidP="007A006B">
            <w:pPr>
              <w:pStyle w:val="TABELA"/>
              <w:rPr>
                <w:lang w:val="sq-AL"/>
              </w:rPr>
            </w:pPr>
            <w:r w:rsidRPr="00445472">
              <w:rPr>
                <w:lang w:val="sq-AL"/>
              </w:rPr>
              <w:t>3</w:t>
            </w:r>
          </w:p>
        </w:tc>
      </w:tr>
      <w:tr w:rsidR="007A006B" w:rsidRPr="00445472" w14:paraId="28B2288A" w14:textId="77777777" w:rsidTr="00B15A6B">
        <w:trPr>
          <w:trHeight w:val="735"/>
        </w:trPr>
        <w:tc>
          <w:tcPr>
            <w:tcW w:w="593" w:type="dxa"/>
            <w:shd w:val="clear" w:color="auto" w:fill="auto"/>
            <w:vAlign w:val="center"/>
            <w:hideMark/>
          </w:tcPr>
          <w:p w14:paraId="56D6AD97" w14:textId="77777777" w:rsidR="007A006B" w:rsidRPr="00445472" w:rsidRDefault="007A006B" w:rsidP="007A006B">
            <w:pPr>
              <w:pStyle w:val="TABELA"/>
              <w:rPr>
                <w:lang w:val="sq-AL"/>
              </w:rPr>
            </w:pPr>
            <w:r w:rsidRPr="00445472">
              <w:rPr>
                <w:lang w:val="sq-AL"/>
              </w:rPr>
              <w:t>15</w:t>
            </w:r>
          </w:p>
        </w:tc>
        <w:tc>
          <w:tcPr>
            <w:tcW w:w="670" w:type="dxa"/>
            <w:shd w:val="clear" w:color="auto" w:fill="auto"/>
            <w:noWrap/>
            <w:vAlign w:val="center"/>
            <w:hideMark/>
          </w:tcPr>
          <w:p w14:paraId="04CE557F"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7AB2A23B"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32069B02" w14:textId="630A0027" w:rsidR="007A006B" w:rsidRPr="00445472" w:rsidRDefault="007A006B" w:rsidP="007A006B">
            <w:pPr>
              <w:pStyle w:val="TABELA"/>
              <w:rPr>
                <w:lang w:val="sq-AL"/>
              </w:rPr>
            </w:pPr>
            <w:r w:rsidRPr="00445472">
              <w:rPr>
                <w:lang w:val="sq-AL"/>
              </w:rPr>
              <w:t xml:space="preserve">Në afërsi të fshatit Shoshan Village, </w:t>
            </w:r>
            <w:r w:rsidR="00034FBB">
              <w:rPr>
                <w:lang w:val="sq-AL"/>
              </w:rPr>
              <w:t>NJQV</w:t>
            </w:r>
            <w:r w:rsidRPr="00445472">
              <w:rPr>
                <w:lang w:val="sq-AL"/>
              </w:rPr>
              <w:t xml:space="preserve"> Margegaj, Qarku Tropojë, pranë shtratit të lumit të Valbonës</w:t>
            </w:r>
          </w:p>
        </w:tc>
        <w:tc>
          <w:tcPr>
            <w:tcW w:w="3182" w:type="dxa"/>
            <w:shd w:val="clear" w:color="auto" w:fill="auto"/>
            <w:vAlign w:val="center"/>
            <w:hideMark/>
          </w:tcPr>
          <w:p w14:paraId="42757305" w14:textId="77777777" w:rsidR="007A006B" w:rsidRPr="00445472" w:rsidRDefault="007A006B" w:rsidP="007A006B">
            <w:pPr>
              <w:pStyle w:val="TABELA"/>
              <w:rPr>
                <w:lang w:val="sq-AL"/>
              </w:rPr>
            </w:pPr>
            <w:r w:rsidRPr="00445472">
              <w:rPr>
                <w:lang w:val="sq-AL"/>
              </w:rPr>
              <w:t>Burimi i Shoshanit</w:t>
            </w:r>
          </w:p>
        </w:tc>
        <w:tc>
          <w:tcPr>
            <w:tcW w:w="4217" w:type="dxa"/>
            <w:shd w:val="clear" w:color="auto" w:fill="auto"/>
            <w:vAlign w:val="center"/>
            <w:hideMark/>
          </w:tcPr>
          <w:p w14:paraId="2ECA51BF"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22AED871" w14:textId="77777777" w:rsidR="007A006B" w:rsidRPr="00445472" w:rsidRDefault="007A006B" w:rsidP="007A006B">
            <w:pPr>
              <w:pStyle w:val="TABELA"/>
              <w:rPr>
                <w:lang w:val="sq-AL"/>
              </w:rPr>
            </w:pPr>
            <w:r w:rsidRPr="00445472">
              <w:rPr>
                <w:lang w:val="sq-AL"/>
              </w:rPr>
              <w:t>3</w:t>
            </w:r>
          </w:p>
        </w:tc>
      </w:tr>
      <w:tr w:rsidR="007A006B" w:rsidRPr="00445472" w14:paraId="2A3A3786" w14:textId="77777777" w:rsidTr="00B15A6B">
        <w:trPr>
          <w:trHeight w:val="422"/>
        </w:trPr>
        <w:tc>
          <w:tcPr>
            <w:tcW w:w="593" w:type="dxa"/>
            <w:shd w:val="clear" w:color="auto" w:fill="auto"/>
            <w:vAlign w:val="center"/>
            <w:hideMark/>
          </w:tcPr>
          <w:p w14:paraId="55CA0688" w14:textId="77777777" w:rsidR="007A006B" w:rsidRPr="00445472" w:rsidRDefault="007A006B" w:rsidP="007A006B">
            <w:pPr>
              <w:pStyle w:val="TABELA"/>
              <w:rPr>
                <w:lang w:val="sq-AL"/>
              </w:rPr>
            </w:pPr>
            <w:r w:rsidRPr="00445472">
              <w:rPr>
                <w:lang w:val="sq-AL"/>
              </w:rPr>
              <w:t>16</w:t>
            </w:r>
          </w:p>
        </w:tc>
        <w:tc>
          <w:tcPr>
            <w:tcW w:w="670" w:type="dxa"/>
            <w:shd w:val="clear" w:color="auto" w:fill="auto"/>
            <w:noWrap/>
            <w:vAlign w:val="center"/>
            <w:hideMark/>
          </w:tcPr>
          <w:p w14:paraId="4269656D"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6064CE27"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164599EB" w14:textId="77777777" w:rsidR="007A006B" w:rsidRPr="00445472" w:rsidRDefault="007A006B" w:rsidP="007A006B">
            <w:pPr>
              <w:pStyle w:val="TABELA"/>
              <w:rPr>
                <w:lang w:val="sq-AL"/>
              </w:rPr>
            </w:pPr>
            <w:r w:rsidRPr="00445472">
              <w:rPr>
                <w:lang w:val="sq-AL"/>
              </w:rPr>
              <w:t xml:space="preserve">Në afërsi të fshatit Vleshe </w:t>
            </w:r>
          </w:p>
        </w:tc>
        <w:tc>
          <w:tcPr>
            <w:tcW w:w="3182" w:type="dxa"/>
            <w:shd w:val="clear" w:color="auto" w:fill="auto"/>
            <w:vAlign w:val="center"/>
            <w:hideMark/>
          </w:tcPr>
          <w:p w14:paraId="072E877E" w14:textId="77777777" w:rsidR="007A006B" w:rsidRPr="00445472" w:rsidRDefault="007A006B" w:rsidP="007A006B">
            <w:pPr>
              <w:pStyle w:val="TABELA"/>
              <w:rPr>
                <w:lang w:val="sq-AL"/>
              </w:rPr>
            </w:pPr>
            <w:r w:rsidRPr="00445472">
              <w:rPr>
                <w:lang w:val="sq-AL"/>
              </w:rPr>
              <w:t>Uji i Ftohtë - Vleshë</w:t>
            </w:r>
          </w:p>
        </w:tc>
        <w:tc>
          <w:tcPr>
            <w:tcW w:w="4217" w:type="dxa"/>
            <w:shd w:val="clear" w:color="auto" w:fill="auto"/>
            <w:vAlign w:val="center"/>
            <w:hideMark/>
          </w:tcPr>
          <w:p w14:paraId="1F10AC51"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5DAF5419" w14:textId="77777777" w:rsidR="007A006B" w:rsidRPr="00445472" w:rsidRDefault="007A006B" w:rsidP="007A006B">
            <w:pPr>
              <w:pStyle w:val="TABELA"/>
              <w:rPr>
                <w:lang w:val="sq-AL"/>
              </w:rPr>
            </w:pPr>
            <w:r w:rsidRPr="00445472">
              <w:rPr>
                <w:lang w:val="sq-AL"/>
              </w:rPr>
              <w:t>3</w:t>
            </w:r>
          </w:p>
        </w:tc>
      </w:tr>
      <w:tr w:rsidR="007A006B" w:rsidRPr="00445472" w14:paraId="61420B25" w14:textId="77777777" w:rsidTr="00B15A6B">
        <w:trPr>
          <w:trHeight w:val="720"/>
        </w:trPr>
        <w:tc>
          <w:tcPr>
            <w:tcW w:w="593" w:type="dxa"/>
            <w:shd w:val="clear" w:color="auto" w:fill="auto"/>
            <w:vAlign w:val="center"/>
            <w:hideMark/>
          </w:tcPr>
          <w:p w14:paraId="1670CD80" w14:textId="77777777" w:rsidR="007A006B" w:rsidRPr="00445472" w:rsidRDefault="007A006B" w:rsidP="007A006B">
            <w:pPr>
              <w:pStyle w:val="TABELA"/>
              <w:rPr>
                <w:lang w:val="sq-AL"/>
              </w:rPr>
            </w:pPr>
            <w:r w:rsidRPr="00445472">
              <w:rPr>
                <w:lang w:val="sq-AL"/>
              </w:rPr>
              <w:t>17</w:t>
            </w:r>
          </w:p>
        </w:tc>
        <w:tc>
          <w:tcPr>
            <w:tcW w:w="670" w:type="dxa"/>
            <w:shd w:val="clear" w:color="auto" w:fill="auto"/>
            <w:noWrap/>
            <w:vAlign w:val="center"/>
            <w:hideMark/>
          </w:tcPr>
          <w:p w14:paraId="0088555C"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093F6432"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5FF3875D" w14:textId="77777777" w:rsidR="007A006B" w:rsidRPr="00445472" w:rsidRDefault="007A006B" w:rsidP="007A006B">
            <w:pPr>
              <w:pStyle w:val="TABELA"/>
              <w:rPr>
                <w:lang w:val="sq-AL"/>
              </w:rPr>
            </w:pPr>
            <w:r w:rsidRPr="00445472">
              <w:rPr>
                <w:lang w:val="sq-AL"/>
              </w:rPr>
              <w:t>Në afërsi të Gruemirës, Qarku Shkodër</w:t>
            </w:r>
          </w:p>
        </w:tc>
        <w:tc>
          <w:tcPr>
            <w:tcW w:w="3182" w:type="dxa"/>
            <w:shd w:val="clear" w:color="auto" w:fill="auto"/>
            <w:vAlign w:val="center"/>
            <w:hideMark/>
          </w:tcPr>
          <w:p w14:paraId="1C9CDEC8" w14:textId="77777777" w:rsidR="007A006B" w:rsidRPr="00445472" w:rsidRDefault="007A006B" w:rsidP="007A006B">
            <w:pPr>
              <w:pStyle w:val="TABELA"/>
              <w:rPr>
                <w:lang w:val="sq-AL"/>
              </w:rPr>
            </w:pPr>
            <w:r w:rsidRPr="00445472">
              <w:rPr>
                <w:lang w:val="sq-AL"/>
              </w:rPr>
              <w:t>Burimi i Vrakës</w:t>
            </w:r>
          </w:p>
        </w:tc>
        <w:tc>
          <w:tcPr>
            <w:tcW w:w="4217" w:type="dxa"/>
            <w:shd w:val="clear" w:color="auto" w:fill="auto"/>
            <w:vAlign w:val="center"/>
            <w:hideMark/>
          </w:tcPr>
          <w:p w14:paraId="491B4E4F" w14:textId="77777777" w:rsidR="007A006B" w:rsidRPr="00445472" w:rsidRDefault="007A006B" w:rsidP="007A006B">
            <w:pPr>
              <w:pStyle w:val="TABELA"/>
              <w:rPr>
                <w:lang w:val="sq-AL"/>
              </w:rPr>
            </w:pPr>
            <w:r w:rsidRPr="00445472">
              <w:rPr>
                <w:lang w:val="sq-AL"/>
              </w:rPr>
              <w:t>Burim Karstik që përdoret për ujitje dhe pije për popullatën e fshatrave të afërt</w:t>
            </w:r>
          </w:p>
        </w:tc>
        <w:tc>
          <w:tcPr>
            <w:tcW w:w="1319" w:type="dxa"/>
            <w:shd w:val="clear" w:color="auto" w:fill="auto"/>
            <w:noWrap/>
            <w:vAlign w:val="center"/>
            <w:hideMark/>
          </w:tcPr>
          <w:p w14:paraId="37981A9F" w14:textId="77777777" w:rsidR="007A006B" w:rsidRPr="00445472" w:rsidRDefault="007A006B" w:rsidP="007A006B">
            <w:pPr>
              <w:pStyle w:val="TABELA"/>
              <w:rPr>
                <w:lang w:val="sq-AL"/>
              </w:rPr>
            </w:pPr>
            <w:r w:rsidRPr="00445472">
              <w:rPr>
                <w:lang w:val="sq-AL"/>
              </w:rPr>
              <w:t>1</w:t>
            </w:r>
          </w:p>
        </w:tc>
      </w:tr>
      <w:tr w:rsidR="007A006B" w:rsidRPr="00445472" w14:paraId="7C28D189" w14:textId="77777777" w:rsidTr="00B15A6B">
        <w:trPr>
          <w:trHeight w:val="480"/>
        </w:trPr>
        <w:tc>
          <w:tcPr>
            <w:tcW w:w="593" w:type="dxa"/>
            <w:shd w:val="clear" w:color="auto" w:fill="auto"/>
            <w:vAlign w:val="center"/>
            <w:hideMark/>
          </w:tcPr>
          <w:p w14:paraId="3DB26BEC" w14:textId="77777777" w:rsidR="007A006B" w:rsidRPr="00445472" w:rsidRDefault="007A006B" w:rsidP="007A006B">
            <w:pPr>
              <w:pStyle w:val="TABELA"/>
              <w:rPr>
                <w:lang w:val="sq-AL"/>
              </w:rPr>
            </w:pPr>
            <w:r w:rsidRPr="00445472">
              <w:rPr>
                <w:lang w:val="sq-AL"/>
              </w:rPr>
              <w:t>18</w:t>
            </w:r>
          </w:p>
        </w:tc>
        <w:tc>
          <w:tcPr>
            <w:tcW w:w="670" w:type="dxa"/>
            <w:shd w:val="clear" w:color="auto" w:fill="auto"/>
            <w:noWrap/>
            <w:vAlign w:val="center"/>
            <w:hideMark/>
          </w:tcPr>
          <w:p w14:paraId="00E322A4"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24B4A241"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40C165B1" w14:textId="77777777" w:rsidR="007A006B" w:rsidRPr="00445472" w:rsidRDefault="007A006B" w:rsidP="007A006B">
            <w:pPr>
              <w:pStyle w:val="TABELA"/>
              <w:rPr>
                <w:lang w:val="sq-AL"/>
              </w:rPr>
            </w:pPr>
            <w:r w:rsidRPr="00445472">
              <w:rPr>
                <w:lang w:val="sq-AL"/>
              </w:rPr>
              <w:t>Në luginën e burimit Qirec, Lekbibaj, Qarku Tropojë</w:t>
            </w:r>
          </w:p>
        </w:tc>
        <w:tc>
          <w:tcPr>
            <w:tcW w:w="3182" w:type="dxa"/>
            <w:shd w:val="clear" w:color="auto" w:fill="auto"/>
            <w:vAlign w:val="center"/>
            <w:hideMark/>
          </w:tcPr>
          <w:p w14:paraId="5667009E" w14:textId="77777777" w:rsidR="007A006B" w:rsidRPr="00445472" w:rsidRDefault="007A006B" w:rsidP="007A006B">
            <w:pPr>
              <w:pStyle w:val="TABELA"/>
              <w:rPr>
                <w:lang w:val="sq-AL"/>
              </w:rPr>
            </w:pPr>
            <w:r w:rsidRPr="00445472">
              <w:rPr>
                <w:lang w:val="sq-AL"/>
              </w:rPr>
              <w:t>Burimi Karstik i Qiriecit</w:t>
            </w:r>
          </w:p>
        </w:tc>
        <w:tc>
          <w:tcPr>
            <w:tcW w:w="4217" w:type="dxa"/>
            <w:shd w:val="clear" w:color="auto" w:fill="auto"/>
            <w:vAlign w:val="center"/>
            <w:hideMark/>
          </w:tcPr>
          <w:p w14:paraId="488F904E"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469FD12F" w14:textId="77777777" w:rsidR="007A006B" w:rsidRPr="00445472" w:rsidRDefault="007A006B" w:rsidP="007A006B">
            <w:pPr>
              <w:pStyle w:val="TABELA"/>
              <w:rPr>
                <w:lang w:val="sq-AL"/>
              </w:rPr>
            </w:pPr>
            <w:r w:rsidRPr="00445472">
              <w:rPr>
                <w:lang w:val="sq-AL"/>
              </w:rPr>
              <w:t>1</w:t>
            </w:r>
          </w:p>
        </w:tc>
      </w:tr>
      <w:tr w:rsidR="007A006B" w:rsidRPr="00445472" w14:paraId="46755BA0" w14:textId="77777777" w:rsidTr="00B15A6B">
        <w:trPr>
          <w:trHeight w:val="480"/>
        </w:trPr>
        <w:tc>
          <w:tcPr>
            <w:tcW w:w="593" w:type="dxa"/>
            <w:shd w:val="clear" w:color="auto" w:fill="auto"/>
            <w:vAlign w:val="center"/>
            <w:hideMark/>
          </w:tcPr>
          <w:p w14:paraId="44FB7054" w14:textId="77777777" w:rsidR="007A006B" w:rsidRPr="00445472" w:rsidRDefault="007A006B" w:rsidP="007A006B">
            <w:pPr>
              <w:pStyle w:val="TABELA"/>
              <w:rPr>
                <w:lang w:val="sq-AL"/>
              </w:rPr>
            </w:pPr>
            <w:r w:rsidRPr="00445472">
              <w:rPr>
                <w:lang w:val="sq-AL"/>
              </w:rPr>
              <w:t>19</w:t>
            </w:r>
          </w:p>
        </w:tc>
        <w:tc>
          <w:tcPr>
            <w:tcW w:w="670" w:type="dxa"/>
            <w:shd w:val="clear" w:color="auto" w:fill="auto"/>
            <w:noWrap/>
            <w:vAlign w:val="center"/>
            <w:hideMark/>
          </w:tcPr>
          <w:p w14:paraId="7D110E38"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25B7408"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597F09C8" w14:textId="77777777" w:rsidR="007A006B" w:rsidRPr="00445472" w:rsidRDefault="007A006B" w:rsidP="007A006B">
            <w:pPr>
              <w:pStyle w:val="TABELA"/>
              <w:rPr>
                <w:lang w:val="sq-AL"/>
              </w:rPr>
            </w:pPr>
            <w:r w:rsidRPr="00445472">
              <w:rPr>
                <w:lang w:val="sq-AL"/>
              </w:rPr>
              <w:t>Në lindje të qytetit të Peshkopisë, në të djathë të Banjave Termale (llixha)</w:t>
            </w:r>
          </w:p>
        </w:tc>
        <w:tc>
          <w:tcPr>
            <w:tcW w:w="3182" w:type="dxa"/>
            <w:shd w:val="clear" w:color="auto" w:fill="auto"/>
            <w:vAlign w:val="center"/>
            <w:hideMark/>
          </w:tcPr>
          <w:p w14:paraId="79A7244E" w14:textId="77777777" w:rsidR="007A006B" w:rsidRPr="00445472" w:rsidRDefault="007A006B" w:rsidP="007A006B">
            <w:pPr>
              <w:pStyle w:val="TABELA"/>
              <w:rPr>
                <w:lang w:val="sq-AL"/>
              </w:rPr>
            </w:pPr>
            <w:r w:rsidRPr="00445472">
              <w:rPr>
                <w:lang w:val="sq-AL"/>
              </w:rPr>
              <w:t>Burimet termominerale të Peshkopisë (Llixhat)</w:t>
            </w:r>
          </w:p>
        </w:tc>
        <w:tc>
          <w:tcPr>
            <w:tcW w:w="4217" w:type="dxa"/>
            <w:shd w:val="clear" w:color="auto" w:fill="auto"/>
            <w:vAlign w:val="center"/>
            <w:hideMark/>
          </w:tcPr>
          <w:p w14:paraId="1C28BEB2" w14:textId="77777777" w:rsidR="007A006B" w:rsidRPr="00445472" w:rsidRDefault="007A006B" w:rsidP="007A006B">
            <w:pPr>
              <w:pStyle w:val="TABELA"/>
              <w:rPr>
                <w:lang w:val="sq-AL"/>
              </w:rPr>
            </w:pPr>
            <w:r w:rsidRPr="00445472">
              <w:rPr>
                <w:lang w:val="sq-AL"/>
              </w:rPr>
              <w:t> </w:t>
            </w:r>
          </w:p>
        </w:tc>
        <w:tc>
          <w:tcPr>
            <w:tcW w:w="1319" w:type="dxa"/>
            <w:shd w:val="clear" w:color="auto" w:fill="auto"/>
            <w:noWrap/>
            <w:vAlign w:val="center"/>
            <w:hideMark/>
          </w:tcPr>
          <w:p w14:paraId="62287DF7" w14:textId="77777777" w:rsidR="007A006B" w:rsidRPr="00445472" w:rsidRDefault="007A006B" w:rsidP="007A006B">
            <w:pPr>
              <w:pStyle w:val="TABELA"/>
              <w:rPr>
                <w:lang w:val="sq-AL"/>
              </w:rPr>
            </w:pPr>
            <w:r w:rsidRPr="00445472">
              <w:rPr>
                <w:lang w:val="sq-AL"/>
              </w:rPr>
              <w:t>2</w:t>
            </w:r>
          </w:p>
        </w:tc>
      </w:tr>
      <w:tr w:rsidR="007A006B" w:rsidRPr="00445472" w14:paraId="26119383" w14:textId="77777777" w:rsidTr="00B15A6B">
        <w:trPr>
          <w:trHeight w:val="480"/>
        </w:trPr>
        <w:tc>
          <w:tcPr>
            <w:tcW w:w="593" w:type="dxa"/>
            <w:shd w:val="clear" w:color="auto" w:fill="auto"/>
            <w:vAlign w:val="center"/>
            <w:hideMark/>
          </w:tcPr>
          <w:p w14:paraId="1F48DC5F" w14:textId="77777777" w:rsidR="007A006B" w:rsidRPr="00445472" w:rsidRDefault="007A006B" w:rsidP="007A006B">
            <w:pPr>
              <w:pStyle w:val="TABELA"/>
              <w:rPr>
                <w:lang w:val="sq-AL"/>
              </w:rPr>
            </w:pPr>
            <w:r w:rsidRPr="00445472">
              <w:rPr>
                <w:lang w:val="sq-AL"/>
              </w:rPr>
              <w:t>21</w:t>
            </w:r>
          </w:p>
        </w:tc>
        <w:tc>
          <w:tcPr>
            <w:tcW w:w="670" w:type="dxa"/>
            <w:shd w:val="clear" w:color="auto" w:fill="auto"/>
            <w:noWrap/>
            <w:vAlign w:val="center"/>
            <w:hideMark/>
          </w:tcPr>
          <w:p w14:paraId="493AFAC8"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76B3B56D"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67441094" w14:textId="77777777" w:rsidR="007A006B" w:rsidRPr="00445472" w:rsidRDefault="007A006B" w:rsidP="007A006B">
            <w:pPr>
              <w:pStyle w:val="TABELA"/>
              <w:rPr>
                <w:lang w:val="sq-AL"/>
              </w:rPr>
            </w:pPr>
            <w:r w:rsidRPr="00445472">
              <w:rPr>
                <w:lang w:val="sq-AL"/>
              </w:rPr>
              <w:t>Në afërsi të urës Shëmtira</w:t>
            </w:r>
          </w:p>
        </w:tc>
        <w:tc>
          <w:tcPr>
            <w:tcW w:w="3182" w:type="dxa"/>
            <w:shd w:val="clear" w:color="auto" w:fill="auto"/>
            <w:vAlign w:val="center"/>
            <w:hideMark/>
          </w:tcPr>
          <w:p w14:paraId="393CF2E1" w14:textId="77777777" w:rsidR="007A006B" w:rsidRPr="00445472" w:rsidRDefault="007A006B" w:rsidP="007A006B">
            <w:pPr>
              <w:pStyle w:val="TABELA"/>
              <w:rPr>
                <w:lang w:val="sq-AL"/>
              </w:rPr>
            </w:pPr>
            <w:r w:rsidRPr="00445472">
              <w:rPr>
                <w:lang w:val="sq-AL"/>
              </w:rPr>
              <w:t>Depozitimet akullnajore-lumore të Shëmtirës</w:t>
            </w:r>
          </w:p>
        </w:tc>
        <w:tc>
          <w:tcPr>
            <w:tcW w:w="4217" w:type="dxa"/>
            <w:shd w:val="clear" w:color="auto" w:fill="auto"/>
            <w:vAlign w:val="center"/>
            <w:hideMark/>
          </w:tcPr>
          <w:p w14:paraId="723E77E7" w14:textId="77777777" w:rsidR="007A006B" w:rsidRPr="00445472" w:rsidRDefault="007A006B" w:rsidP="007A006B">
            <w:pPr>
              <w:pStyle w:val="TABELA"/>
              <w:rPr>
                <w:lang w:val="sq-AL"/>
              </w:rPr>
            </w:pPr>
            <w:r w:rsidRPr="00445472">
              <w:rPr>
                <w:lang w:val="sq-AL"/>
              </w:rPr>
              <w:t>Depozitim akullnajor-lumor</w:t>
            </w:r>
          </w:p>
        </w:tc>
        <w:tc>
          <w:tcPr>
            <w:tcW w:w="1319" w:type="dxa"/>
            <w:shd w:val="clear" w:color="auto" w:fill="auto"/>
            <w:noWrap/>
            <w:vAlign w:val="center"/>
            <w:hideMark/>
          </w:tcPr>
          <w:p w14:paraId="618AD4C6" w14:textId="77777777" w:rsidR="007A006B" w:rsidRPr="00445472" w:rsidRDefault="007A006B" w:rsidP="007A006B">
            <w:pPr>
              <w:pStyle w:val="TABELA"/>
              <w:rPr>
                <w:lang w:val="sq-AL"/>
              </w:rPr>
            </w:pPr>
            <w:r w:rsidRPr="00445472">
              <w:rPr>
                <w:lang w:val="sq-AL"/>
              </w:rPr>
              <w:t>3</w:t>
            </w:r>
          </w:p>
        </w:tc>
      </w:tr>
      <w:tr w:rsidR="007A006B" w:rsidRPr="00445472" w14:paraId="4AFA5309" w14:textId="77777777" w:rsidTr="00B15A6B">
        <w:trPr>
          <w:trHeight w:val="720"/>
        </w:trPr>
        <w:tc>
          <w:tcPr>
            <w:tcW w:w="593" w:type="dxa"/>
            <w:shd w:val="clear" w:color="auto" w:fill="auto"/>
            <w:vAlign w:val="center"/>
            <w:hideMark/>
          </w:tcPr>
          <w:p w14:paraId="0B54CB6E" w14:textId="77777777" w:rsidR="007A006B" w:rsidRPr="00445472" w:rsidRDefault="007A006B" w:rsidP="007A006B">
            <w:pPr>
              <w:pStyle w:val="TABELA"/>
              <w:rPr>
                <w:lang w:val="sq-AL"/>
              </w:rPr>
            </w:pPr>
            <w:r w:rsidRPr="00445472">
              <w:rPr>
                <w:lang w:val="sq-AL"/>
              </w:rPr>
              <w:t>21</w:t>
            </w:r>
          </w:p>
        </w:tc>
        <w:tc>
          <w:tcPr>
            <w:tcW w:w="670" w:type="dxa"/>
            <w:shd w:val="clear" w:color="auto" w:fill="auto"/>
            <w:noWrap/>
            <w:vAlign w:val="center"/>
            <w:hideMark/>
          </w:tcPr>
          <w:p w14:paraId="4F0CEF56"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3E468ECF"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33E16980" w14:textId="5F11C662" w:rsidR="007A006B" w:rsidRPr="00445472" w:rsidRDefault="007A006B" w:rsidP="007A006B">
            <w:pPr>
              <w:pStyle w:val="TABELA"/>
              <w:rPr>
                <w:lang w:val="sq-AL"/>
              </w:rPr>
            </w:pPr>
            <w:r w:rsidRPr="00445472">
              <w:rPr>
                <w:lang w:val="sq-AL"/>
              </w:rPr>
              <w:t xml:space="preserve">Në afërsi të urës Shoshan Bridge, </w:t>
            </w:r>
            <w:r w:rsidR="00034FBB">
              <w:rPr>
                <w:lang w:val="sq-AL"/>
              </w:rPr>
              <w:t>NJQV</w:t>
            </w:r>
            <w:r w:rsidRPr="00445472">
              <w:rPr>
                <w:lang w:val="sq-AL"/>
              </w:rPr>
              <w:t xml:space="preserve"> Margegaj, Qarku Tropojë, pranë urës së fshatit Shoshan</w:t>
            </w:r>
          </w:p>
        </w:tc>
        <w:tc>
          <w:tcPr>
            <w:tcW w:w="3182" w:type="dxa"/>
            <w:shd w:val="clear" w:color="auto" w:fill="auto"/>
            <w:vAlign w:val="center"/>
            <w:hideMark/>
          </w:tcPr>
          <w:p w14:paraId="69992638" w14:textId="77777777" w:rsidR="007A006B" w:rsidRPr="00445472" w:rsidRDefault="007A006B" w:rsidP="007A006B">
            <w:pPr>
              <w:pStyle w:val="TABELA"/>
              <w:rPr>
                <w:lang w:val="sq-AL"/>
              </w:rPr>
            </w:pPr>
            <w:r w:rsidRPr="00445472">
              <w:rPr>
                <w:lang w:val="sq-AL"/>
              </w:rPr>
              <w:t>Depozitimet akullnajore-lumore të Shoshajt</w:t>
            </w:r>
          </w:p>
        </w:tc>
        <w:tc>
          <w:tcPr>
            <w:tcW w:w="4217" w:type="dxa"/>
            <w:shd w:val="clear" w:color="auto" w:fill="auto"/>
            <w:vAlign w:val="center"/>
            <w:hideMark/>
          </w:tcPr>
          <w:p w14:paraId="335C2090" w14:textId="77777777" w:rsidR="007A006B" w:rsidRPr="00445472" w:rsidRDefault="007A006B" w:rsidP="007A006B">
            <w:pPr>
              <w:pStyle w:val="TABELA"/>
              <w:rPr>
                <w:lang w:val="sq-AL"/>
              </w:rPr>
            </w:pPr>
            <w:r w:rsidRPr="00445472">
              <w:rPr>
                <w:lang w:val="sq-AL"/>
              </w:rPr>
              <w:t>Depozitim akullnajor-lumor</w:t>
            </w:r>
          </w:p>
        </w:tc>
        <w:tc>
          <w:tcPr>
            <w:tcW w:w="1319" w:type="dxa"/>
            <w:shd w:val="clear" w:color="auto" w:fill="auto"/>
            <w:noWrap/>
            <w:vAlign w:val="center"/>
            <w:hideMark/>
          </w:tcPr>
          <w:p w14:paraId="705A1591" w14:textId="77777777" w:rsidR="007A006B" w:rsidRPr="00445472" w:rsidRDefault="007A006B" w:rsidP="007A006B">
            <w:pPr>
              <w:pStyle w:val="TABELA"/>
              <w:rPr>
                <w:lang w:val="sq-AL"/>
              </w:rPr>
            </w:pPr>
            <w:r w:rsidRPr="00445472">
              <w:rPr>
                <w:lang w:val="sq-AL"/>
              </w:rPr>
              <w:t>1</w:t>
            </w:r>
          </w:p>
        </w:tc>
      </w:tr>
      <w:tr w:rsidR="007A006B" w:rsidRPr="00445472" w14:paraId="0C1CAC8F" w14:textId="77777777" w:rsidTr="00B15A6B">
        <w:trPr>
          <w:trHeight w:val="720"/>
        </w:trPr>
        <w:tc>
          <w:tcPr>
            <w:tcW w:w="593" w:type="dxa"/>
            <w:shd w:val="clear" w:color="auto" w:fill="auto"/>
            <w:vAlign w:val="center"/>
            <w:hideMark/>
          </w:tcPr>
          <w:p w14:paraId="005067C0" w14:textId="77777777" w:rsidR="007A006B" w:rsidRPr="00445472" w:rsidRDefault="007A006B" w:rsidP="007A006B">
            <w:pPr>
              <w:pStyle w:val="TABELA"/>
              <w:rPr>
                <w:lang w:val="sq-AL"/>
              </w:rPr>
            </w:pPr>
            <w:r w:rsidRPr="00445472">
              <w:rPr>
                <w:lang w:val="sq-AL"/>
              </w:rPr>
              <w:t>21</w:t>
            </w:r>
          </w:p>
        </w:tc>
        <w:tc>
          <w:tcPr>
            <w:tcW w:w="670" w:type="dxa"/>
            <w:shd w:val="clear" w:color="auto" w:fill="auto"/>
            <w:noWrap/>
            <w:vAlign w:val="center"/>
            <w:hideMark/>
          </w:tcPr>
          <w:p w14:paraId="27A8DE4F"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146540F7"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0B79F171" w14:textId="17977810" w:rsidR="007A006B" w:rsidRPr="00445472" w:rsidRDefault="007A006B" w:rsidP="007A006B">
            <w:pPr>
              <w:pStyle w:val="TABELA"/>
              <w:rPr>
                <w:lang w:val="sq-AL"/>
              </w:rPr>
            </w:pPr>
            <w:r w:rsidRPr="00445472">
              <w:rPr>
                <w:lang w:val="sq-AL"/>
              </w:rPr>
              <w:t xml:space="preserve">Plazhi i </w:t>
            </w:r>
            <w:r w:rsidR="005E3EC9" w:rsidRPr="00445472">
              <w:rPr>
                <w:lang w:val="sq-AL"/>
              </w:rPr>
              <w:t>Divjakës</w:t>
            </w:r>
          </w:p>
        </w:tc>
        <w:tc>
          <w:tcPr>
            <w:tcW w:w="3182" w:type="dxa"/>
            <w:shd w:val="clear" w:color="auto" w:fill="auto"/>
            <w:vAlign w:val="center"/>
            <w:hideMark/>
          </w:tcPr>
          <w:p w14:paraId="603027E2" w14:textId="77777777" w:rsidR="007A006B" w:rsidRPr="00445472" w:rsidRDefault="007A006B" w:rsidP="007A006B">
            <w:pPr>
              <w:pStyle w:val="TABELA"/>
              <w:rPr>
                <w:lang w:val="sq-AL"/>
              </w:rPr>
            </w:pPr>
            <w:r w:rsidRPr="00445472">
              <w:rPr>
                <w:lang w:val="sq-AL"/>
              </w:rPr>
              <w:t>Dunat e Oazit të Divjakës</w:t>
            </w:r>
          </w:p>
        </w:tc>
        <w:tc>
          <w:tcPr>
            <w:tcW w:w="4217" w:type="dxa"/>
            <w:shd w:val="clear" w:color="auto" w:fill="auto"/>
            <w:vAlign w:val="center"/>
            <w:hideMark/>
          </w:tcPr>
          <w:p w14:paraId="3276ECE8" w14:textId="77777777" w:rsidR="007A006B" w:rsidRPr="00445472" w:rsidRDefault="007A006B" w:rsidP="007A006B">
            <w:pPr>
              <w:pStyle w:val="TABELA"/>
              <w:rPr>
                <w:lang w:val="sq-AL"/>
              </w:rPr>
            </w:pPr>
            <w:r w:rsidRPr="00445472">
              <w:rPr>
                <w:lang w:val="sq-AL"/>
              </w:rPr>
              <w:t>Duna të krijuara nga erozioni i erës</w:t>
            </w:r>
          </w:p>
        </w:tc>
        <w:tc>
          <w:tcPr>
            <w:tcW w:w="1319" w:type="dxa"/>
            <w:shd w:val="clear" w:color="auto" w:fill="auto"/>
            <w:noWrap/>
            <w:vAlign w:val="center"/>
            <w:hideMark/>
          </w:tcPr>
          <w:p w14:paraId="176B5806" w14:textId="77777777" w:rsidR="007A006B" w:rsidRPr="00445472" w:rsidRDefault="007A006B" w:rsidP="007A006B">
            <w:pPr>
              <w:pStyle w:val="TABELA"/>
              <w:rPr>
                <w:lang w:val="sq-AL"/>
              </w:rPr>
            </w:pPr>
            <w:r w:rsidRPr="00445472">
              <w:rPr>
                <w:lang w:val="sq-AL"/>
              </w:rPr>
              <w:t>2</w:t>
            </w:r>
          </w:p>
        </w:tc>
      </w:tr>
      <w:tr w:rsidR="007A006B" w:rsidRPr="00445472" w14:paraId="532F00E8" w14:textId="77777777" w:rsidTr="00B15A6B">
        <w:trPr>
          <w:trHeight w:val="492"/>
        </w:trPr>
        <w:tc>
          <w:tcPr>
            <w:tcW w:w="593" w:type="dxa"/>
            <w:shd w:val="clear" w:color="auto" w:fill="auto"/>
            <w:vAlign w:val="center"/>
            <w:hideMark/>
          </w:tcPr>
          <w:p w14:paraId="43149D46" w14:textId="77777777" w:rsidR="007A006B" w:rsidRPr="00445472" w:rsidRDefault="007A006B" w:rsidP="007A006B">
            <w:pPr>
              <w:pStyle w:val="TABELA"/>
              <w:rPr>
                <w:lang w:val="sq-AL"/>
              </w:rPr>
            </w:pPr>
            <w:r w:rsidRPr="00445472">
              <w:rPr>
                <w:lang w:val="sq-AL"/>
              </w:rPr>
              <w:t>21</w:t>
            </w:r>
          </w:p>
        </w:tc>
        <w:tc>
          <w:tcPr>
            <w:tcW w:w="670" w:type="dxa"/>
            <w:shd w:val="clear" w:color="auto" w:fill="auto"/>
            <w:noWrap/>
            <w:vAlign w:val="center"/>
            <w:hideMark/>
          </w:tcPr>
          <w:p w14:paraId="08E27088"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7203CCAC"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16CFD654" w14:textId="77777777" w:rsidR="007A006B" w:rsidRPr="00445472" w:rsidRDefault="007A006B" w:rsidP="007A006B">
            <w:pPr>
              <w:pStyle w:val="TABELA"/>
              <w:rPr>
                <w:lang w:val="sq-AL"/>
              </w:rPr>
            </w:pPr>
            <w:r w:rsidRPr="00445472">
              <w:rPr>
                <w:lang w:val="sq-AL"/>
              </w:rPr>
              <w:t>Në bregdet, afër fshatit Povelçë</w:t>
            </w:r>
          </w:p>
        </w:tc>
        <w:tc>
          <w:tcPr>
            <w:tcW w:w="3182" w:type="dxa"/>
            <w:shd w:val="clear" w:color="auto" w:fill="auto"/>
            <w:vAlign w:val="center"/>
            <w:hideMark/>
          </w:tcPr>
          <w:p w14:paraId="3E5E0119" w14:textId="77777777" w:rsidR="007A006B" w:rsidRPr="00445472" w:rsidRDefault="007A006B" w:rsidP="007A006B">
            <w:pPr>
              <w:pStyle w:val="TABELA"/>
              <w:rPr>
                <w:lang w:val="sq-AL"/>
              </w:rPr>
            </w:pPr>
            <w:r w:rsidRPr="00445472">
              <w:rPr>
                <w:lang w:val="sq-AL"/>
              </w:rPr>
              <w:t>Dunat e Semanit</w:t>
            </w:r>
          </w:p>
        </w:tc>
        <w:tc>
          <w:tcPr>
            <w:tcW w:w="4217" w:type="dxa"/>
            <w:shd w:val="clear" w:color="auto" w:fill="auto"/>
            <w:vAlign w:val="center"/>
            <w:hideMark/>
          </w:tcPr>
          <w:p w14:paraId="375CF8D8" w14:textId="77777777" w:rsidR="007A006B" w:rsidRPr="00445472" w:rsidRDefault="007A006B" w:rsidP="007A006B">
            <w:pPr>
              <w:pStyle w:val="TABELA"/>
              <w:rPr>
                <w:lang w:val="sq-AL"/>
              </w:rPr>
            </w:pPr>
            <w:r w:rsidRPr="00445472">
              <w:rPr>
                <w:lang w:val="sq-AL"/>
              </w:rPr>
              <w:t>Duna</w:t>
            </w:r>
          </w:p>
        </w:tc>
        <w:tc>
          <w:tcPr>
            <w:tcW w:w="1319" w:type="dxa"/>
            <w:shd w:val="clear" w:color="auto" w:fill="auto"/>
            <w:noWrap/>
            <w:vAlign w:val="center"/>
            <w:hideMark/>
          </w:tcPr>
          <w:p w14:paraId="04C34B5E" w14:textId="77777777" w:rsidR="007A006B" w:rsidRPr="00445472" w:rsidRDefault="007A006B" w:rsidP="007A006B">
            <w:pPr>
              <w:pStyle w:val="TABELA"/>
              <w:rPr>
                <w:lang w:val="sq-AL"/>
              </w:rPr>
            </w:pPr>
            <w:r w:rsidRPr="00445472">
              <w:rPr>
                <w:lang w:val="sq-AL"/>
              </w:rPr>
              <w:t>2</w:t>
            </w:r>
          </w:p>
        </w:tc>
      </w:tr>
      <w:tr w:rsidR="007A006B" w:rsidRPr="00445472" w14:paraId="0025BBF4" w14:textId="77777777" w:rsidTr="00B15A6B">
        <w:trPr>
          <w:trHeight w:val="556"/>
        </w:trPr>
        <w:tc>
          <w:tcPr>
            <w:tcW w:w="593" w:type="dxa"/>
            <w:shd w:val="clear" w:color="auto" w:fill="auto"/>
            <w:vAlign w:val="center"/>
            <w:hideMark/>
          </w:tcPr>
          <w:p w14:paraId="4D42A11E" w14:textId="77777777" w:rsidR="007A006B" w:rsidRPr="00445472" w:rsidRDefault="007A006B" w:rsidP="007A006B">
            <w:pPr>
              <w:pStyle w:val="TABELA"/>
              <w:rPr>
                <w:lang w:val="sq-AL"/>
              </w:rPr>
            </w:pPr>
            <w:r w:rsidRPr="00445472">
              <w:rPr>
                <w:lang w:val="sq-AL"/>
              </w:rPr>
              <w:t>21</w:t>
            </w:r>
          </w:p>
        </w:tc>
        <w:tc>
          <w:tcPr>
            <w:tcW w:w="670" w:type="dxa"/>
            <w:shd w:val="clear" w:color="auto" w:fill="auto"/>
            <w:noWrap/>
            <w:vAlign w:val="center"/>
            <w:hideMark/>
          </w:tcPr>
          <w:p w14:paraId="102BD7C4"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7D0121D6"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2F7C1251" w14:textId="0CD2AAF8" w:rsidR="007A006B" w:rsidRPr="00445472" w:rsidRDefault="007A006B" w:rsidP="007A006B">
            <w:pPr>
              <w:pStyle w:val="TABELA"/>
              <w:rPr>
                <w:lang w:val="sq-AL"/>
              </w:rPr>
            </w:pPr>
            <w:r w:rsidRPr="00445472">
              <w:rPr>
                <w:lang w:val="sq-AL"/>
              </w:rPr>
              <w:t xml:space="preserve">Në afërsi të fshatit Domaj, </w:t>
            </w:r>
            <w:r w:rsidR="00034FBB">
              <w:rPr>
                <w:lang w:val="sq-AL"/>
              </w:rPr>
              <w:t>NJQV</w:t>
            </w:r>
            <w:r w:rsidRPr="00445472">
              <w:rPr>
                <w:lang w:val="sq-AL"/>
              </w:rPr>
              <w:t>-ja Golaj, Qarku Has</w:t>
            </w:r>
          </w:p>
        </w:tc>
        <w:tc>
          <w:tcPr>
            <w:tcW w:w="3182" w:type="dxa"/>
            <w:shd w:val="clear" w:color="auto" w:fill="auto"/>
            <w:vAlign w:val="center"/>
            <w:hideMark/>
          </w:tcPr>
          <w:p w14:paraId="45D785C4" w14:textId="77777777" w:rsidR="007A006B" w:rsidRPr="00445472" w:rsidRDefault="007A006B" w:rsidP="007A006B">
            <w:pPr>
              <w:pStyle w:val="TABELA"/>
              <w:rPr>
                <w:lang w:val="sq-AL"/>
              </w:rPr>
            </w:pPr>
            <w:r w:rsidRPr="00445472">
              <w:rPr>
                <w:lang w:val="sq-AL"/>
              </w:rPr>
              <w:t>Burimi i Domajt</w:t>
            </w:r>
          </w:p>
        </w:tc>
        <w:tc>
          <w:tcPr>
            <w:tcW w:w="4217" w:type="dxa"/>
            <w:shd w:val="clear" w:color="auto" w:fill="auto"/>
            <w:vAlign w:val="center"/>
            <w:hideMark/>
          </w:tcPr>
          <w:p w14:paraId="78338FF5"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6D26AF73" w14:textId="77777777" w:rsidR="007A006B" w:rsidRPr="00445472" w:rsidRDefault="007A006B" w:rsidP="007A006B">
            <w:pPr>
              <w:pStyle w:val="TABELA"/>
              <w:rPr>
                <w:lang w:val="sq-AL"/>
              </w:rPr>
            </w:pPr>
            <w:r w:rsidRPr="00445472">
              <w:rPr>
                <w:lang w:val="sq-AL"/>
              </w:rPr>
              <w:t>2</w:t>
            </w:r>
          </w:p>
        </w:tc>
      </w:tr>
      <w:tr w:rsidR="007A006B" w:rsidRPr="00445472" w14:paraId="324E9298" w14:textId="77777777" w:rsidTr="00B15A6B">
        <w:trPr>
          <w:trHeight w:val="564"/>
        </w:trPr>
        <w:tc>
          <w:tcPr>
            <w:tcW w:w="593" w:type="dxa"/>
            <w:shd w:val="clear" w:color="auto" w:fill="auto"/>
            <w:vAlign w:val="center"/>
            <w:hideMark/>
          </w:tcPr>
          <w:p w14:paraId="42A825C7" w14:textId="77777777" w:rsidR="007A006B" w:rsidRPr="00445472" w:rsidRDefault="007A006B" w:rsidP="007A006B">
            <w:pPr>
              <w:pStyle w:val="TABELA"/>
              <w:rPr>
                <w:lang w:val="sq-AL"/>
              </w:rPr>
            </w:pPr>
            <w:r w:rsidRPr="00445472">
              <w:rPr>
                <w:lang w:val="sq-AL"/>
              </w:rPr>
              <w:t>29</w:t>
            </w:r>
          </w:p>
        </w:tc>
        <w:tc>
          <w:tcPr>
            <w:tcW w:w="670" w:type="dxa"/>
            <w:shd w:val="clear" w:color="auto" w:fill="auto"/>
            <w:noWrap/>
            <w:vAlign w:val="center"/>
            <w:hideMark/>
          </w:tcPr>
          <w:p w14:paraId="47BE2E97"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660E4346"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4C37CE43" w14:textId="54C8F540" w:rsidR="007A006B" w:rsidRPr="00445472" w:rsidRDefault="007A006B" w:rsidP="007A006B">
            <w:pPr>
              <w:pStyle w:val="TABELA"/>
              <w:rPr>
                <w:lang w:val="sq-AL"/>
              </w:rPr>
            </w:pPr>
            <w:r w:rsidRPr="00445472">
              <w:rPr>
                <w:lang w:val="sq-AL"/>
              </w:rPr>
              <w:t xml:space="preserve">Fshati Vranisht, </w:t>
            </w:r>
            <w:r w:rsidR="00034FBB">
              <w:rPr>
                <w:lang w:val="sq-AL"/>
              </w:rPr>
              <w:t>NJQV</w:t>
            </w:r>
            <w:r w:rsidRPr="00445472">
              <w:rPr>
                <w:lang w:val="sq-AL"/>
              </w:rPr>
              <w:t xml:space="preserve"> Fajzë, Qarku Has </w:t>
            </w:r>
          </w:p>
        </w:tc>
        <w:tc>
          <w:tcPr>
            <w:tcW w:w="3182" w:type="dxa"/>
            <w:shd w:val="clear" w:color="auto" w:fill="auto"/>
            <w:vAlign w:val="center"/>
            <w:hideMark/>
          </w:tcPr>
          <w:p w14:paraId="13F0C785" w14:textId="77777777" w:rsidR="007A006B" w:rsidRPr="00445472" w:rsidRDefault="007A006B" w:rsidP="007A006B">
            <w:pPr>
              <w:pStyle w:val="TABELA"/>
              <w:rPr>
                <w:lang w:val="sq-AL"/>
              </w:rPr>
            </w:pPr>
            <w:r w:rsidRPr="00445472">
              <w:rPr>
                <w:lang w:val="sq-AL"/>
              </w:rPr>
              <w:t>Burimi i Vranishtit</w:t>
            </w:r>
          </w:p>
        </w:tc>
        <w:tc>
          <w:tcPr>
            <w:tcW w:w="4217" w:type="dxa"/>
            <w:shd w:val="clear" w:color="auto" w:fill="auto"/>
            <w:vAlign w:val="center"/>
            <w:hideMark/>
          </w:tcPr>
          <w:p w14:paraId="1722F15E" w14:textId="77777777" w:rsidR="007A006B" w:rsidRPr="00445472" w:rsidRDefault="007A006B" w:rsidP="007A006B">
            <w:pPr>
              <w:pStyle w:val="TABELA"/>
              <w:rPr>
                <w:lang w:val="sq-AL"/>
              </w:rPr>
            </w:pPr>
            <w:r w:rsidRPr="00445472">
              <w:rPr>
                <w:lang w:val="sq-AL"/>
              </w:rPr>
              <w:t>Burim Karstik, i cili ushqehet nga ujërat nëntokësore të akuferit karstik të Hasit të Thatë</w:t>
            </w:r>
          </w:p>
        </w:tc>
        <w:tc>
          <w:tcPr>
            <w:tcW w:w="1319" w:type="dxa"/>
            <w:shd w:val="clear" w:color="auto" w:fill="auto"/>
            <w:noWrap/>
            <w:vAlign w:val="center"/>
            <w:hideMark/>
          </w:tcPr>
          <w:p w14:paraId="32925188" w14:textId="77777777" w:rsidR="007A006B" w:rsidRPr="00445472" w:rsidRDefault="007A006B" w:rsidP="007A006B">
            <w:pPr>
              <w:pStyle w:val="TABELA"/>
              <w:rPr>
                <w:lang w:val="sq-AL"/>
              </w:rPr>
            </w:pPr>
            <w:r w:rsidRPr="00445472">
              <w:rPr>
                <w:lang w:val="sq-AL"/>
              </w:rPr>
              <w:t>2</w:t>
            </w:r>
          </w:p>
        </w:tc>
      </w:tr>
      <w:tr w:rsidR="007A006B" w:rsidRPr="00445472" w14:paraId="7BC5BA5C" w14:textId="77777777" w:rsidTr="00B15A6B">
        <w:trPr>
          <w:trHeight w:val="480"/>
        </w:trPr>
        <w:tc>
          <w:tcPr>
            <w:tcW w:w="593" w:type="dxa"/>
            <w:shd w:val="clear" w:color="auto" w:fill="auto"/>
            <w:vAlign w:val="center"/>
            <w:hideMark/>
          </w:tcPr>
          <w:p w14:paraId="0B5A8FF0" w14:textId="77777777" w:rsidR="007A006B" w:rsidRPr="00445472" w:rsidRDefault="007A006B" w:rsidP="007A006B">
            <w:pPr>
              <w:pStyle w:val="TABELA"/>
              <w:rPr>
                <w:lang w:val="sq-AL"/>
              </w:rPr>
            </w:pPr>
            <w:r w:rsidRPr="00445472">
              <w:rPr>
                <w:lang w:val="sq-AL"/>
              </w:rPr>
              <w:t>30</w:t>
            </w:r>
          </w:p>
        </w:tc>
        <w:tc>
          <w:tcPr>
            <w:tcW w:w="670" w:type="dxa"/>
            <w:shd w:val="clear" w:color="auto" w:fill="auto"/>
            <w:noWrap/>
            <w:vAlign w:val="center"/>
            <w:hideMark/>
          </w:tcPr>
          <w:p w14:paraId="2C509EF0"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2BEE323C"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6C09E17D" w14:textId="00CC0C5A" w:rsidR="007A006B" w:rsidRPr="00445472" w:rsidRDefault="007A006B" w:rsidP="007A006B">
            <w:pPr>
              <w:pStyle w:val="TABELA"/>
              <w:rPr>
                <w:lang w:val="sq-AL"/>
              </w:rPr>
            </w:pPr>
            <w:r w:rsidRPr="00445472">
              <w:rPr>
                <w:lang w:val="sq-AL"/>
              </w:rPr>
              <w:t xml:space="preserve">Në afërsi të fshatit Vermosh, </w:t>
            </w:r>
            <w:r w:rsidR="00034FBB">
              <w:rPr>
                <w:lang w:val="sq-AL"/>
              </w:rPr>
              <w:t>NJQV</w:t>
            </w:r>
            <w:r w:rsidRPr="00445472">
              <w:rPr>
                <w:lang w:val="sq-AL"/>
              </w:rPr>
              <w:t xml:space="preserve"> Kelmend, Qarku Malësi e Madhe </w:t>
            </w:r>
          </w:p>
        </w:tc>
        <w:tc>
          <w:tcPr>
            <w:tcW w:w="3182" w:type="dxa"/>
            <w:shd w:val="clear" w:color="auto" w:fill="auto"/>
            <w:vAlign w:val="center"/>
            <w:hideMark/>
          </w:tcPr>
          <w:p w14:paraId="521C735E" w14:textId="77777777" w:rsidR="007A006B" w:rsidRPr="00445472" w:rsidRDefault="007A006B" w:rsidP="007A006B">
            <w:pPr>
              <w:pStyle w:val="TABELA"/>
              <w:rPr>
                <w:lang w:val="sq-AL"/>
              </w:rPr>
            </w:pPr>
            <w:r w:rsidRPr="00445472">
              <w:rPr>
                <w:lang w:val="sq-AL"/>
              </w:rPr>
              <w:t>Kanioni i Bashkimit – Vermosh</w:t>
            </w:r>
          </w:p>
        </w:tc>
        <w:tc>
          <w:tcPr>
            <w:tcW w:w="4217" w:type="dxa"/>
            <w:shd w:val="clear" w:color="auto" w:fill="auto"/>
            <w:vAlign w:val="center"/>
            <w:hideMark/>
          </w:tcPr>
          <w:p w14:paraId="2882B9D6" w14:textId="77777777" w:rsidR="007A006B" w:rsidRPr="00445472" w:rsidRDefault="007A006B" w:rsidP="007A006B">
            <w:pPr>
              <w:pStyle w:val="TABELA"/>
              <w:rPr>
                <w:lang w:val="sq-AL"/>
              </w:rPr>
            </w:pPr>
            <w:r w:rsidRPr="00445472">
              <w:rPr>
                <w:lang w:val="sq-AL"/>
              </w:rPr>
              <w:t>Një kanion që formohet nga aktiviteti gërryes i lumit Vermosh. Një ekosistem karstik</w:t>
            </w:r>
          </w:p>
        </w:tc>
        <w:tc>
          <w:tcPr>
            <w:tcW w:w="1319" w:type="dxa"/>
            <w:shd w:val="clear" w:color="auto" w:fill="auto"/>
            <w:noWrap/>
            <w:vAlign w:val="center"/>
            <w:hideMark/>
          </w:tcPr>
          <w:p w14:paraId="3A2014AB" w14:textId="77777777" w:rsidR="007A006B" w:rsidRPr="00445472" w:rsidRDefault="007A006B" w:rsidP="007A006B">
            <w:pPr>
              <w:pStyle w:val="TABELA"/>
              <w:rPr>
                <w:lang w:val="sq-AL"/>
              </w:rPr>
            </w:pPr>
            <w:r w:rsidRPr="00445472">
              <w:rPr>
                <w:lang w:val="sq-AL"/>
              </w:rPr>
              <w:t>2</w:t>
            </w:r>
          </w:p>
        </w:tc>
      </w:tr>
      <w:tr w:rsidR="007A006B" w:rsidRPr="00445472" w14:paraId="1F59790F" w14:textId="77777777" w:rsidTr="00B15A6B">
        <w:trPr>
          <w:trHeight w:val="621"/>
        </w:trPr>
        <w:tc>
          <w:tcPr>
            <w:tcW w:w="593" w:type="dxa"/>
            <w:shd w:val="clear" w:color="auto" w:fill="auto"/>
            <w:vAlign w:val="center"/>
            <w:hideMark/>
          </w:tcPr>
          <w:p w14:paraId="6B8B5E3F" w14:textId="77777777" w:rsidR="007A006B" w:rsidRPr="00445472" w:rsidRDefault="007A006B" w:rsidP="007A006B">
            <w:pPr>
              <w:pStyle w:val="TABELA"/>
              <w:rPr>
                <w:lang w:val="sq-AL"/>
              </w:rPr>
            </w:pPr>
            <w:r w:rsidRPr="00445472">
              <w:rPr>
                <w:lang w:val="sq-AL"/>
              </w:rPr>
              <w:t>31</w:t>
            </w:r>
          </w:p>
        </w:tc>
        <w:tc>
          <w:tcPr>
            <w:tcW w:w="670" w:type="dxa"/>
            <w:shd w:val="clear" w:color="auto" w:fill="auto"/>
            <w:noWrap/>
            <w:vAlign w:val="center"/>
            <w:hideMark/>
          </w:tcPr>
          <w:p w14:paraId="5CAB766B"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38EAD77D"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2459B07A" w14:textId="77777777" w:rsidR="007A006B" w:rsidRPr="00445472" w:rsidRDefault="007A006B" w:rsidP="007A006B">
            <w:pPr>
              <w:pStyle w:val="TABELA"/>
              <w:rPr>
                <w:lang w:val="sq-AL"/>
              </w:rPr>
            </w:pPr>
            <w:r w:rsidRPr="00445472">
              <w:rPr>
                <w:lang w:val="sq-AL"/>
              </w:rPr>
              <w:t>Fshati Theth, Qarku Shkodër</w:t>
            </w:r>
          </w:p>
        </w:tc>
        <w:tc>
          <w:tcPr>
            <w:tcW w:w="3182" w:type="dxa"/>
            <w:shd w:val="clear" w:color="auto" w:fill="auto"/>
            <w:vAlign w:val="center"/>
            <w:hideMark/>
          </w:tcPr>
          <w:p w14:paraId="1FD3F889" w14:textId="77777777" w:rsidR="007A006B" w:rsidRPr="00445472" w:rsidRDefault="007A006B" w:rsidP="007A006B">
            <w:pPr>
              <w:pStyle w:val="TABELA"/>
              <w:rPr>
                <w:lang w:val="sq-AL"/>
              </w:rPr>
            </w:pPr>
            <w:r w:rsidRPr="00445472">
              <w:rPr>
                <w:lang w:val="sq-AL"/>
              </w:rPr>
              <w:t>Kanioni i Grunas</w:t>
            </w:r>
          </w:p>
        </w:tc>
        <w:tc>
          <w:tcPr>
            <w:tcW w:w="4217" w:type="dxa"/>
            <w:shd w:val="clear" w:color="auto" w:fill="auto"/>
            <w:vAlign w:val="center"/>
            <w:hideMark/>
          </w:tcPr>
          <w:p w14:paraId="21F26CCC" w14:textId="77777777" w:rsidR="007A006B" w:rsidRPr="00445472" w:rsidRDefault="007A006B" w:rsidP="007A006B">
            <w:pPr>
              <w:pStyle w:val="TABELA"/>
              <w:rPr>
                <w:lang w:val="sq-AL"/>
              </w:rPr>
            </w:pPr>
            <w:r w:rsidRPr="00445472">
              <w:rPr>
                <w:lang w:val="sq-AL"/>
              </w:rPr>
              <w:t>Një kanion që formohet nga aktiviteti korroziv i lumit Theth dhe proceset karstike</w:t>
            </w:r>
          </w:p>
        </w:tc>
        <w:tc>
          <w:tcPr>
            <w:tcW w:w="1319" w:type="dxa"/>
            <w:shd w:val="clear" w:color="auto" w:fill="auto"/>
            <w:noWrap/>
            <w:vAlign w:val="center"/>
            <w:hideMark/>
          </w:tcPr>
          <w:p w14:paraId="6C449D75" w14:textId="77777777" w:rsidR="007A006B" w:rsidRPr="00445472" w:rsidRDefault="007A006B" w:rsidP="007A006B">
            <w:pPr>
              <w:pStyle w:val="TABELA"/>
              <w:rPr>
                <w:lang w:val="sq-AL"/>
              </w:rPr>
            </w:pPr>
            <w:r w:rsidRPr="00445472">
              <w:rPr>
                <w:lang w:val="sq-AL"/>
              </w:rPr>
              <w:t>2</w:t>
            </w:r>
          </w:p>
        </w:tc>
      </w:tr>
      <w:tr w:rsidR="007A006B" w:rsidRPr="00445472" w14:paraId="11F9259F" w14:textId="77777777" w:rsidTr="00B15A6B">
        <w:trPr>
          <w:trHeight w:val="720"/>
        </w:trPr>
        <w:tc>
          <w:tcPr>
            <w:tcW w:w="593" w:type="dxa"/>
            <w:shd w:val="clear" w:color="auto" w:fill="auto"/>
            <w:vAlign w:val="center"/>
            <w:hideMark/>
          </w:tcPr>
          <w:p w14:paraId="4685E920" w14:textId="77777777" w:rsidR="007A006B" w:rsidRPr="00445472" w:rsidRDefault="007A006B" w:rsidP="007A006B">
            <w:pPr>
              <w:pStyle w:val="TABELA"/>
              <w:rPr>
                <w:lang w:val="sq-AL"/>
              </w:rPr>
            </w:pPr>
            <w:r w:rsidRPr="00445472">
              <w:rPr>
                <w:lang w:val="sq-AL"/>
              </w:rPr>
              <w:t>32</w:t>
            </w:r>
          </w:p>
        </w:tc>
        <w:tc>
          <w:tcPr>
            <w:tcW w:w="670" w:type="dxa"/>
            <w:shd w:val="clear" w:color="auto" w:fill="auto"/>
            <w:noWrap/>
            <w:vAlign w:val="center"/>
            <w:hideMark/>
          </w:tcPr>
          <w:p w14:paraId="1A4D3EB4"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206B3D35"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4D17EE79" w14:textId="0D6F80B1" w:rsidR="007A006B" w:rsidRPr="00445472" w:rsidRDefault="007A006B" w:rsidP="007A006B">
            <w:pPr>
              <w:pStyle w:val="TABELA"/>
              <w:rPr>
                <w:lang w:val="sq-AL"/>
              </w:rPr>
            </w:pPr>
            <w:r w:rsidRPr="00445472">
              <w:rPr>
                <w:lang w:val="sq-AL"/>
              </w:rPr>
              <w:t xml:space="preserve">Pranë Fshatit të Urës së Shenjtë, </w:t>
            </w:r>
            <w:r w:rsidR="00034FBB">
              <w:rPr>
                <w:lang w:val="sq-AL"/>
              </w:rPr>
              <w:t>NJQV</w:t>
            </w:r>
            <w:r w:rsidRPr="00445472">
              <w:rPr>
                <w:lang w:val="sq-AL"/>
              </w:rPr>
              <w:t xml:space="preserve"> Postribë, </w:t>
            </w:r>
            <w:r w:rsidR="005E3EC9" w:rsidRPr="00445472">
              <w:rPr>
                <w:lang w:val="sq-AL"/>
              </w:rPr>
              <w:t xml:space="preserve">qarku </w:t>
            </w:r>
            <w:r w:rsidRPr="00445472">
              <w:rPr>
                <w:lang w:val="sq-AL"/>
              </w:rPr>
              <w:t>Shkodër</w:t>
            </w:r>
          </w:p>
        </w:tc>
        <w:tc>
          <w:tcPr>
            <w:tcW w:w="3182" w:type="dxa"/>
            <w:shd w:val="clear" w:color="auto" w:fill="auto"/>
            <w:vAlign w:val="center"/>
            <w:hideMark/>
          </w:tcPr>
          <w:p w14:paraId="2A247817" w14:textId="77777777" w:rsidR="007A006B" w:rsidRPr="00445472" w:rsidRDefault="007A006B" w:rsidP="007A006B">
            <w:pPr>
              <w:pStyle w:val="TABELA"/>
              <w:rPr>
                <w:lang w:val="sq-AL"/>
              </w:rPr>
            </w:pPr>
            <w:r w:rsidRPr="00445472">
              <w:rPr>
                <w:lang w:val="sq-AL"/>
              </w:rPr>
              <w:t>Kanioni i Urës së Shenjtë</w:t>
            </w:r>
          </w:p>
        </w:tc>
        <w:tc>
          <w:tcPr>
            <w:tcW w:w="4217" w:type="dxa"/>
            <w:shd w:val="clear" w:color="auto" w:fill="auto"/>
            <w:vAlign w:val="center"/>
            <w:hideMark/>
          </w:tcPr>
          <w:p w14:paraId="541FE5EB" w14:textId="77777777" w:rsidR="007A006B" w:rsidRPr="00445472" w:rsidRDefault="007A006B" w:rsidP="007A006B">
            <w:pPr>
              <w:pStyle w:val="TABELA"/>
              <w:rPr>
                <w:lang w:val="sq-AL"/>
              </w:rPr>
            </w:pPr>
            <w:r w:rsidRPr="00445472">
              <w:rPr>
                <w:lang w:val="sq-AL"/>
              </w:rPr>
              <w:t>Një kanion që formohet nga aktiviteti gërryes i lumit Kir. Një ekosistem karstik. Një urë është ndërtuar në këtë kanion që lidh qytetin e Shkodrës me Fshatin Prekal dhe më tej</w:t>
            </w:r>
          </w:p>
        </w:tc>
        <w:tc>
          <w:tcPr>
            <w:tcW w:w="1319" w:type="dxa"/>
            <w:shd w:val="clear" w:color="auto" w:fill="auto"/>
            <w:noWrap/>
            <w:vAlign w:val="center"/>
            <w:hideMark/>
          </w:tcPr>
          <w:p w14:paraId="66C440DC" w14:textId="77777777" w:rsidR="007A006B" w:rsidRPr="00445472" w:rsidRDefault="007A006B" w:rsidP="007A006B">
            <w:pPr>
              <w:pStyle w:val="TABELA"/>
              <w:rPr>
                <w:lang w:val="sq-AL"/>
              </w:rPr>
            </w:pPr>
            <w:r w:rsidRPr="00445472">
              <w:rPr>
                <w:lang w:val="sq-AL"/>
              </w:rPr>
              <w:t>2</w:t>
            </w:r>
          </w:p>
        </w:tc>
      </w:tr>
      <w:tr w:rsidR="007A006B" w:rsidRPr="00445472" w14:paraId="64A6183A" w14:textId="77777777" w:rsidTr="00B15A6B">
        <w:trPr>
          <w:trHeight w:val="480"/>
        </w:trPr>
        <w:tc>
          <w:tcPr>
            <w:tcW w:w="593" w:type="dxa"/>
            <w:shd w:val="clear" w:color="auto" w:fill="auto"/>
            <w:vAlign w:val="center"/>
            <w:hideMark/>
          </w:tcPr>
          <w:p w14:paraId="1E24F53E" w14:textId="77777777" w:rsidR="007A006B" w:rsidRPr="00445472" w:rsidRDefault="007A006B" w:rsidP="007A006B">
            <w:pPr>
              <w:pStyle w:val="TABELA"/>
              <w:rPr>
                <w:lang w:val="sq-AL"/>
              </w:rPr>
            </w:pPr>
            <w:r w:rsidRPr="00445472">
              <w:rPr>
                <w:lang w:val="sq-AL"/>
              </w:rPr>
              <w:t>33</w:t>
            </w:r>
          </w:p>
        </w:tc>
        <w:tc>
          <w:tcPr>
            <w:tcW w:w="670" w:type="dxa"/>
            <w:shd w:val="clear" w:color="auto" w:fill="auto"/>
            <w:noWrap/>
            <w:vAlign w:val="center"/>
            <w:hideMark/>
          </w:tcPr>
          <w:p w14:paraId="0AE11302"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77A2F224"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413034AE" w14:textId="77777777" w:rsidR="007A006B" w:rsidRPr="00445472" w:rsidRDefault="007A006B" w:rsidP="007A006B">
            <w:pPr>
              <w:pStyle w:val="TABELA"/>
              <w:rPr>
                <w:lang w:val="sq-AL"/>
              </w:rPr>
            </w:pPr>
            <w:r w:rsidRPr="00445472">
              <w:rPr>
                <w:lang w:val="sq-AL"/>
              </w:rPr>
              <w:t>Në jug të plazhit të Shëngjinit</w:t>
            </w:r>
          </w:p>
        </w:tc>
        <w:tc>
          <w:tcPr>
            <w:tcW w:w="3182" w:type="dxa"/>
            <w:shd w:val="clear" w:color="auto" w:fill="auto"/>
            <w:vAlign w:val="center"/>
            <w:hideMark/>
          </w:tcPr>
          <w:p w14:paraId="7161DCBC" w14:textId="77777777" w:rsidR="007A006B" w:rsidRPr="00445472" w:rsidRDefault="007A006B" w:rsidP="007A006B">
            <w:pPr>
              <w:pStyle w:val="TABELA"/>
              <w:rPr>
                <w:lang w:val="sq-AL"/>
              </w:rPr>
            </w:pPr>
            <w:r w:rsidRPr="00445472">
              <w:rPr>
                <w:lang w:val="sq-AL"/>
              </w:rPr>
              <w:t>Ligatina e Kashtës</w:t>
            </w:r>
          </w:p>
        </w:tc>
        <w:tc>
          <w:tcPr>
            <w:tcW w:w="4217" w:type="dxa"/>
            <w:shd w:val="clear" w:color="auto" w:fill="auto"/>
            <w:vAlign w:val="center"/>
            <w:hideMark/>
          </w:tcPr>
          <w:p w14:paraId="525E1D38" w14:textId="77777777" w:rsidR="007A006B" w:rsidRPr="00445472" w:rsidRDefault="007A006B" w:rsidP="007A006B">
            <w:pPr>
              <w:pStyle w:val="TABELA"/>
              <w:rPr>
                <w:lang w:val="sq-AL"/>
              </w:rPr>
            </w:pPr>
            <w:r w:rsidRPr="00445472">
              <w:rPr>
                <w:lang w:val="sq-AL"/>
              </w:rPr>
              <w:t>Një ligatinë që është shumë e pasur me florën dhe faunën</w:t>
            </w:r>
          </w:p>
        </w:tc>
        <w:tc>
          <w:tcPr>
            <w:tcW w:w="1319" w:type="dxa"/>
            <w:shd w:val="clear" w:color="auto" w:fill="auto"/>
            <w:noWrap/>
            <w:vAlign w:val="center"/>
            <w:hideMark/>
          </w:tcPr>
          <w:p w14:paraId="7F93D02C" w14:textId="77777777" w:rsidR="007A006B" w:rsidRPr="00445472" w:rsidRDefault="007A006B" w:rsidP="007A006B">
            <w:pPr>
              <w:pStyle w:val="TABELA"/>
              <w:rPr>
                <w:lang w:val="sq-AL"/>
              </w:rPr>
            </w:pPr>
            <w:r w:rsidRPr="00445472">
              <w:rPr>
                <w:lang w:val="sq-AL"/>
              </w:rPr>
              <w:t>2</w:t>
            </w:r>
          </w:p>
        </w:tc>
      </w:tr>
      <w:tr w:rsidR="007A006B" w:rsidRPr="00445472" w14:paraId="05F6B186" w14:textId="77777777" w:rsidTr="00B15A6B">
        <w:trPr>
          <w:trHeight w:val="809"/>
        </w:trPr>
        <w:tc>
          <w:tcPr>
            <w:tcW w:w="593" w:type="dxa"/>
            <w:shd w:val="clear" w:color="auto" w:fill="auto"/>
            <w:vAlign w:val="center"/>
            <w:hideMark/>
          </w:tcPr>
          <w:p w14:paraId="52FC46CE" w14:textId="77777777" w:rsidR="007A006B" w:rsidRPr="00445472" w:rsidRDefault="007A006B" w:rsidP="007A006B">
            <w:pPr>
              <w:pStyle w:val="TABELA"/>
              <w:rPr>
                <w:lang w:val="sq-AL"/>
              </w:rPr>
            </w:pPr>
            <w:r w:rsidRPr="00445472">
              <w:rPr>
                <w:lang w:val="sq-AL"/>
              </w:rPr>
              <w:t>34</w:t>
            </w:r>
          </w:p>
        </w:tc>
        <w:tc>
          <w:tcPr>
            <w:tcW w:w="670" w:type="dxa"/>
            <w:shd w:val="clear" w:color="auto" w:fill="auto"/>
            <w:noWrap/>
            <w:vAlign w:val="center"/>
            <w:hideMark/>
          </w:tcPr>
          <w:p w14:paraId="33352F98"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A6F9D22"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46EBDCB2" w14:textId="276C1A3B" w:rsidR="007A006B" w:rsidRPr="00445472" w:rsidRDefault="007A006B" w:rsidP="007A006B">
            <w:pPr>
              <w:pStyle w:val="TABELA"/>
              <w:rPr>
                <w:lang w:val="sq-AL"/>
              </w:rPr>
            </w:pPr>
            <w:r w:rsidRPr="00445472">
              <w:rPr>
                <w:lang w:val="sq-AL"/>
              </w:rPr>
              <w:t xml:space="preserve">Në afërsi të Shishtavec, në veri të Majës Tërfojë, 1750 mnd, Fshati Turaj, </w:t>
            </w:r>
            <w:r w:rsidR="00034FBB">
              <w:rPr>
                <w:lang w:val="sq-AL"/>
              </w:rPr>
              <w:t>NJQV</w:t>
            </w:r>
            <w:r w:rsidR="005E3EC9" w:rsidRPr="00445472">
              <w:rPr>
                <w:lang w:val="sq-AL"/>
              </w:rPr>
              <w:t xml:space="preserve"> </w:t>
            </w:r>
            <w:r w:rsidRPr="00445472">
              <w:rPr>
                <w:lang w:val="sq-AL"/>
              </w:rPr>
              <w:t>Topojan, Kukës</w:t>
            </w:r>
          </w:p>
        </w:tc>
        <w:tc>
          <w:tcPr>
            <w:tcW w:w="3182" w:type="dxa"/>
            <w:shd w:val="clear" w:color="auto" w:fill="auto"/>
            <w:vAlign w:val="center"/>
            <w:hideMark/>
          </w:tcPr>
          <w:p w14:paraId="617E6D1B" w14:textId="77777777" w:rsidR="007A006B" w:rsidRPr="00445472" w:rsidRDefault="007A006B" w:rsidP="007A006B">
            <w:pPr>
              <w:pStyle w:val="TABELA"/>
              <w:rPr>
                <w:lang w:val="sq-AL"/>
              </w:rPr>
            </w:pPr>
            <w:r w:rsidRPr="00445472">
              <w:rPr>
                <w:lang w:val="sq-AL"/>
              </w:rPr>
              <w:t>Përroi i Bardhë</w:t>
            </w:r>
          </w:p>
        </w:tc>
        <w:tc>
          <w:tcPr>
            <w:tcW w:w="4217" w:type="dxa"/>
            <w:shd w:val="clear" w:color="auto" w:fill="auto"/>
            <w:vAlign w:val="center"/>
            <w:hideMark/>
          </w:tcPr>
          <w:p w14:paraId="4A2C99D9"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2C16E908" w14:textId="77777777" w:rsidR="007A006B" w:rsidRPr="00445472" w:rsidRDefault="007A006B" w:rsidP="007A006B">
            <w:pPr>
              <w:pStyle w:val="TABELA"/>
              <w:rPr>
                <w:lang w:val="sq-AL"/>
              </w:rPr>
            </w:pPr>
            <w:r w:rsidRPr="00445472">
              <w:rPr>
                <w:lang w:val="sq-AL"/>
              </w:rPr>
              <w:t>3</w:t>
            </w:r>
          </w:p>
        </w:tc>
      </w:tr>
      <w:tr w:rsidR="007A006B" w:rsidRPr="00445472" w14:paraId="777A1B27" w14:textId="77777777" w:rsidTr="00B15A6B">
        <w:trPr>
          <w:trHeight w:val="766"/>
        </w:trPr>
        <w:tc>
          <w:tcPr>
            <w:tcW w:w="593" w:type="dxa"/>
            <w:shd w:val="clear" w:color="auto" w:fill="auto"/>
            <w:vAlign w:val="center"/>
            <w:hideMark/>
          </w:tcPr>
          <w:p w14:paraId="64051E72" w14:textId="77777777" w:rsidR="007A006B" w:rsidRPr="00445472" w:rsidRDefault="007A006B" w:rsidP="007A006B">
            <w:pPr>
              <w:pStyle w:val="TABELA"/>
              <w:rPr>
                <w:lang w:val="sq-AL"/>
              </w:rPr>
            </w:pPr>
            <w:r w:rsidRPr="00445472">
              <w:rPr>
                <w:lang w:val="sq-AL"/>
              </w:rPr>
              <w:t>35</w:t>
            </w:r>
          </w:p>
        </w:tc>
        <w:tc>
          <w:tcPr>
            <w:tcW w:w="670" w:type="dxa"/>
            <w:shd w:val="clear" w:color="auto" w:fill="auto"/>
            <w:noWrap/>
            <w:vAlign w:val="center"/>
            <w:hideMark/>
          </w:tcPr>
          <w:p w14:paraId="336DE12B"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963FBBA"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2BBCBE87" w14:textId="5255816B" w:rsidR="007A006B" w:rsidRPr="00445472" w:rsidRDefault="007A006B" w:rsidP="007A006B">
            <w:pPr>
              <w:pStyle w:val="TABELA"/>
              <w:rPr>
                <w:lang w:val="sq-AL"/>
              </w:rPr>
            </w:pPr>
            <w:r w:rsidRPr="00445472">
              <w:rPr>
                <w:lang w:val="sq-AL"/>
              </w:rPr>
              <w:t xml:space="preserve">Në afërsi të Shishtavec, në veri të Malit Gjalicë, Dërshanë, </w:t>
            </w:r>
            <w:r w:rsidR="00034FBB">
              <w:rPr>
                <w:lang w:val="sq-AL"/>
              </w:rPr>
              <w:t>NJQV</w:t>
            </w:r>
            <w:r w:rsidRPr="00445472">
              <w:rPr>
                <w:lang w:val="sq-AL"/>
              </w:rPr>
              <w:t xml:space="preserve"> Topojan, </w:t>
            </w:r>
            <w:r w:rsidR="005E3EC9" w:rsidRPr="00445472">
              <w:rPr>
                <w:lang w:val="sq-AL"/>
              </w:rPr>
              <w:t xml:space="preserve">qarku </w:t>
            </w:r>
            <w:r w:rsidRPr="00445472">
              <w:rPr>
                <w:lang w:val="sq-AL"/>
              </w:rPr>
              <w:t>Kukës</w:t>
            </w:r>
          </w:p>
        </w:tc>
        <w:tc>
          <w:tcPr>
            <w:tcW w:w="3182" w:type="dxa"/>
            <w:shd w:val="clear" w:color="auto" w:fill="auto"/>
            <w:vAlign w:val="center"/>
            <w:hideMark/>
          </w:tcPr>
          <w:p w14:paraId="02E5FE1D" w14:textId="77777777" w:rsidR="007A006B" w:rsidRPr="00445472" w:rsidRDefault="007A006B" w:rsidP="007A006B">
            <w:pPr>
              <w:pStyle w:val="TABELA"/>
              <w:rPr>
                <w:lang w:val="sq-AL"/>
              </w:rPr>
            </w:pPr>
            <w:r w:rsidRPr="00445472">
              <w:rPr>
                <w:lang w:val="sq-AL"/>
              </w:rPr>
              <w:t>Përroi i kuq - Gjallicë</w:t>
            </w:r>
          </w:p>
        </w:tc>
        <w:tc>
          <w:tcPr>
            <w:tcW w:w="4217" w:type="dxa"/>
            <w:shd w:val="clear" w:color="auto" w:fill="auto"/>
            <w:vAlign w:val="center"/>
            <w:hideMark/>
          </w:tcPr>
          <w:p w14:paraId="4C52536F" w14:textId="77777777" w:rsidR="007A006B" w:rsidRPr="00445472" w:rsidRDefault="007A006B" w:rsidP="007A006B">
            <w:pPr>
              <w:pStyle w:val="TABELA"/>
              <w:rPr>
                <w:lang w:val="sq-AL"/>
              </w:rPr>
            </w:pPr>
            <w:r w:rsidRPr="00445472">
              <w:rPr>
                <w:lang w:val="sq-AL"/>
              </w:rPr>
              <w:t>Burim Karstiks</w:t>
            </w:r>
          </w:p>
        </w:tc>
        <w:tc>
          <w:tcPr>
            <w:tcW w:w="1319" w:type="dxa"/>
            <w:shd w:val="clear" w:color="auto" w:fill="auto"/>
            <w:noWrap/>
            <w:vAlign w:val="center"/>
            <w:hideMark/>
          </w:tcPr>
          <w:p w14:paraId="0D57AC4F" w14:textId="77777777" w:rsidR="007A006B" w:rsidRPr="00445472" w:rsidRDefault="007A006B" w:rsidP="007A006B">
            <w:pPr>
              <w:pStyle w:val="TABELA"/>
              <w:rPr>
                <w:lang w:val="sq-AL"/>
              </w:rPr>
            </w:pPr>
            <w:r w:rsidRPr="00445472">
              <w:rPr>
                <w:lang w:val="sq-AL"/>
              </w:rPr>
              <w:t>3</w:t>
            </w:r>
          </w:p>
        </w:tc>
      </w:tr>
      <w:tr w:rsidR="007A006B" w:rsidRPr="00445472" w14:paraId="3B6B564C" w14:textId="77777777" w:rsidTr="00B15A6B">
        <w:trPr>
          <w:trHeight w:val="240"/>
        </w:trPr>
        <w:tc>
          <w:tcPr>
            <w:tcW w:w="593" w:type="dxa"/>
            <w:shd w:val="clear" w:color="auto" w:fill="auto"/>
            <w:vAlign w:val="center"/>
            <w:hideMark/>
          </w:tcPr>
          <w:p w14:paraId="227099CF" w14:textId="77777777" w:rsidR="007A006B" w:rsidRPr="00445472" w:rsidRDefault="007A006B" w:rsidP="007A006B">
            <w:pPr>
              <w:pStyle w:val="TABELA"/>
              <w:rPr>
                <w:lang w:val="sq-AL"/>
              </w:rPr>
            </w:pPr>
            <w:r w:rsidRPr="00445472">
              <w:rPr>
                <w:lang w:val="sq-AL"/>
              </w:rPr>
              <w:t>36</w:t>
            </w:r>
          </w:p>
        </w:tc>
        <w:tc>
          <w:tcPr>
            <w:tcW w:w="670" w:type="dxa"/>
            <w:shd w:val="clear" w:color="auto" w:fill="auto"/>
            <w:noWrap/>
            <w:vAlign w:val="center"/>
            <w:hideMark/>
          </w:tcPr>
          <w:p w14:paraId="54C970BE"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4EF6FAFF"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7407D789" w14:textId="77777777" w:rsidR="007A006B" w:rsidRPr="00445472" w:rsidRDefault="007A006B" w:rsidP="007A006B">
            <w:pPr>
              <w:pStyle w:val="TABELA"/>
              <w:rPr>
                <w:lang w:val="sq-AL"/>
              </w:rPr>
            </w:pPr>
            <w:r w:rsidRPr="00445472">
              <w:rPr>
                <w:lang w:val="sq-AL"/>
              </w:rPr>
              <w:t>Afër fshatit Dobërdol</w:t>
            </w:r>
          </w:p>
        </w:tc>
        <w:tc>
          <w:tcPr>
            <w:tcW w:w="3182" w:type="dxa"/>
            <w:shd w:val="clear" w:color="auto" w:fill="auto"/>
            <w:vAlign w:val="center"/>
            <w:hideMark/>
          </w:tcPr>
          <w:p w14:paraId="6BE486DF" w14:textId="77777777" w:rsidR="007A006B" w:rsidRPr="00445472" w:rsidRDefault="007A006B" w:rsidP="007A006B">
            <w:pPr>
              <w:pStyle w:val="TABELA"/>
              <w:rPr>
                <w:lang w:val="sq-AL"/>
              </w:rPr>
            </w:pPr>
            <w:r w:rsidRPr="00445472">
              <w:rPr>
                <w:lang w:val="sq-AL"/>
              </w:rPr>
              <w:t>Përroi i Mbretit – Serakol</w:t>
            </w:r>
          </w:p>
        </w:tc>
        <w:tc>
          <w:tcPr>
            <w:tcW w:w="4217" w:type="dxa"/>
            <w:shd w:val="clear" w:color="auto" w:fill="auto"/>
            <w:vAlign w:val="center"/>
            <w:hideMark/>
          </w:tcPr>
          <w:p w14:paraId="39170CA0"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444C3A74" w14:textId="77777777" w:rsidR="007A006B" w:rsidRPr="00445472" w:rsidRDefault="007A006B" w:rsidP="007A006B">
            <w:pPr>
              <w:pStyle w:val="TABELA"/>
              <w:rPr>
                <w:lang w:val="sq-AL"/>
              </w:rPr>
            </w:pPr>
            <w:r w:rsidRPr="00445472">
              <w:rPr>
                <w:lang w:val="sq-AL"/>
              </w:rPr>
              <w:t>3</w:t>
            </w:r>
          </w:p>
        </w:tc>
      </w:tr>
      <w:tr w:rsidR="007A006B" w:rsidRPr="00445472" w14:paraId="5623A4BA" w14:textId="77777777" w:rsidTr="00B15A6B">
        <w:trPr>
          <w:trHeight w:val="480"/>
        </w:trPr>
        <w:tc>
          <w:tcPr>
            <w:tcW w:w="593" w:type="dxa"/>
            <w:shd w:val="clear" w:color="auto" w:fill="auto"/>
            <w:vAlign w:val="center"/>
            <w:hideMark/>
          </w:tcPr>
          <w:p w14:paraId="1FDA7981" w14:textId="77777777" w:rsidR="007A006B" w:rsidRPr="00445472" w:rsidRDefault="007A006B" w:rsidP="007A006B">
            <w:pPr>
              <w:pStyle w:val="TABELA"/>
              <w:rPr>
                <w:lang w:val="sq-AL"/>
              </w:rPr>
            </w:pPr>
            <w:r w:rsidRPr="00445472">
              <w:rPr>
                <w:lang w:val="sq-AL"/>
              </w:rPr>
              <w:t>37</w:t>
            </w:r>
          </w:p>
        </w:tc>
        <w:tc>
          <w:tcPr>
            <w:tcW w:w="670" w:type="dxa"/>
            <w:shd w:val="clear" w:color="auto" w:fill="auto"/>
            <w:noWrap/>
            <w:vAlign w:val="center"/>
            <w:hideMark/>
          </w:tcPr>
          <w:p w14:paraId="1B73FFD0"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4C29A002"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73EC5792" w14:textId="41F08208" w:rsidR="007A006B" w:rsidRPr="00445472" w:rsidRDefault="007A006B" w:rsidP="007A006B">
            <w:pPr>
              <w:pStyle w:val="TABELA"/>
              <w:rPr>
                <w:lang w:val="sq-AL"/>
              </w:rPr>
            </w:pPr>
            <w:r w:rsidRPr="00445472">
              <w:rPr>
                <w:lang w:val="sq-AL"/>
              </w:rPr>
              <w:t xml:space="preserve">Çerem Fshati Çerem, Margegaj </w:t>
            </w:r>
            <w:r w:rsidR="00034FBB">
              <w:rPr>
                <w:lang w:val="sq-AL"/>
              </w:rPr>
              <w:t>NJQV</w:t>
            </w:r>
            <w:r w:rsidRPr="00445472">
              <w:rPr>
                <w:lang w:val="sq-AL"/>
              </w:rPr>
              <w:t xml:space="preserve"> Margegaj, Qarku Tropojë</w:t>
            </w:r>
          </w:p>
        </w:tc>
        <w:tc>
          <w:tcPr>
            <w:tcW w:w="3182" w:type="dxa"/>
            <w:shd w:val="clear" w:color="auto" w:fill="auto"/>
            <w:vAlign w:val="center"/>
            <w:hideMark/>
          </w:tcPr>
          <w:p w14:paraId="4CE87CFD" w14:textId="77777777" w:rsidR="007A006B" w:rsidRPr="00445472" w:rsidRDefault="007A006B" w:rsidP="007A006B">
            <w:pPr>
              <w:pStyle w:val="TABELA"/>
              <w:rPr>
                <w:lang w:val="sq-AL"/>
              </w:rPr>
            </w:pPr>
            <w:r w:rsidRPr="00445472">
              <w:rPr>
                <w:lang w:val="sq-AL"/>
              </w:rPr>
              <w:t>Liqenet glaciale të Dobërdollit</w:t>
            </w:r>
          </w:p>
        </w:tc>
        <w:tc>
          <w:tcPr>
            <w:tcW w:w="4217" w:type="dxa"/>
            <w:shd w:val="clear" w:color="auto" w:fill="auto"/>
            <w:vAlign w:val="center"/>
            <w:hideMark/>
          </w:tcPr>
          <w:p w14:paraId="0E0FE6FB"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131CE255" w14:textId="77777777" w:rsidR="007A006B" w:rsidRPr="00445472" w:rsidRDefault="007A006B" w:rsidP="007A006B">
            <w:pPr>
              <w:pStyle w:val="TABELA"/>
              <w:rPr>
                <w:lang w:val="sq-AL"/>
              </w:rPr>
            </w:pPr>
            <w:r w:rsidRPr="00445472">
              <w:rPr>
                <w:lang w:val="sq-AL"/>
              </w:rPr>
              <w:t>3</w:t>
            </w:r>
          </w:p>
        </w:tc>
      </w:tr>
      <w:tr w:rsidR="007A006B" w:rsidRPr="00445472" w14:paraId="3580887E" w14:textId="77777777" w:rsidTr="00B15A6B">
        <w:trPr>
          <w:trHeight w:val="480"/>
        </w:trPr>
        <w:tc>
          <w:tcPr>
            <w:tcW w:w="593" w:type="dxa"/>
            <w:shd w:val="clear" w:color="auto" w:fill="auto"/>
            <w:vAlign w:val="center"/>
            <w:hideMark/>
          </w:tcPr>
          <w:p w14:paraId="30736936" w14:textId="77777777" w:rsidR="007A006B" w:rsidRPr="00445472" w:rsidRDefault="007A006B" w:rsidP="007A006B">
            <w:pPr>
              <w:pStyle w:val="TABELA"/>
              <w:rPr>
                <w:lang w:val="sq-AL"/>
              </w:rPr>
            </w:pPr>
            <w:r w:rsidRPr="00445472">
              <w:rPr>
                <w:lang w:val="sq-AL"/>
              </w:rPr>
              <w:t>38</w:t>
            </w:r>
          </w:p>
        </w:tc>
        <w:tc>
          <w:tcPr>
            <w:tcW w:w="670" w:type="dxa"/>
            <w:shd w:val="clear" w:color="auto" w:fill="auto"/>
            <w:noWrap/>
            <w:vAlign w:val="center"/>
            <w:hideMark/>
          </w:tcPr>
          <w:p w14:paraId="5697F6D6"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EE54EC1"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5E0B01E0" w14:textId="77777777" w:rsidR="007A006B" w:rsidRPr="00445472" w:rsidRDefault="007A006B" w:rsidP="007A006B">
            <w:pPr>
              <w:pStyle w:val="TABELA"/>
              <w:rPr>
                <w:lang w:val="sq-AL"/>
              </w:rPr>
            </w:pPr>
            <w:r w:rsidRPr="00445472">
              <w:rPr>
                <w:lang w:val="sq-AL"/>
              </w:rPr>
              <w:t xml:space="preserve">Në luginën akullnajore të zonës malore Gash </w:t>
            </w:r>
          </w:p>
        </w:tc>
        <w:tc>
          <w:tcPr>
            <w:tcW w:w="3182" w:type="dxa"/>
            <w:shd w:val="clear" w:color="auto" w:fill="auto"/>
            <w:vAlign w:val="center"/>
            <w:hideMark/>
          </w:tcPr>
          <w:p w14:paraId="6753DE51" w14:textId="77777777" w:rsidR="007A006B" w:rsidRPr="00445472" w:rsidRDefault="007A006B" w:rsidP="007A006B">
            <w:pPr>
              <w:pStyle w:val="TABELA"/>
              <w:rPr>
                <w:lang w:val="sq-AL"/>
              </w:rPr>
            </w:pPr>
            <w:r w:rsidRPr="00445472">
              <w:rPr>
                <w:lang w:val="sq-AL"/>
              </w:rPr>
              <w:t>Liqenet glaciale të Sylbicës</w:t>
            </w:r>
          </w:p>
        </w:tc>
        <w:tc>
          <w:tcPr>
            <w:tcW w:w="4217" w:type="dxa"/>
            <w:shd w:val="clear" w:color="auto" w:fill="auto"/>
            <w:vAlign w:val="center"/>
            <w:hideMark/>
          </w:tcPr>
          <w:p w14:paraId="1784B181"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589A60CD" w14:textId="77777777" w:rsidR="007A006B" w:rsidRPr="00445472" w:rsidRDefault="007A006B" w:rsidP="007A006B">
            <w:pPr>
              <w:pStyle w:val="TABELA"/>
              <w:rPr>
                <w:lang w:val="sq-AL"/>
              </w:rPr>
            </w:pPr>
            <w:r w:rsidRPr="00445472">
              <w:rPr>
                <w:lang w:val="sq-AL"/>
              </w:rPr>
              <w:t>3</w:t>
            </w:r>
          </w:p>
        </w:tc>
      </w:tr>
      <w:tr w:rsidR="007A006B" w:rsidRPr="00445472" w14:paraId="4BF0D954" w14:textId="77777777" w:rsidTr="00B15A6B">
        <w:trPr>
          <w:trHeight w:val="720"/>
        </w:trPr>
        <w:tc>
          <w:tcPr>
            <w:tcW w:w="593" w:type="dxa"/>
            <w:shd w:val="clear" w:color="auto" w:fill="auto"/>
            <w:vAlign w:val="center"/>
            <w:hideMark/>
          </w:tcPr>
          <w:p w14:paraId="1F011275" w14:textId="77777777" w:rsidR="007A006B" w:rsidRPr="00445472" w:rsidRDefault="007A006B" w:rsidP="007A006B">
            <w:pPr>
              <w:pStyle w:val="TABELA"/>
              <w:rPr>
                <w:lang w:val="sq-AL"/>
              </w:rPr>
            </w:pPr>
            <w:r w:rsidRPr="00445472">
              <w:rPr>
                <w:lang w:val="sq-AL"/>
              </w:rPr>
              <w:t>39</w:t>
            </w:r>
          </w:p>
        </w:tc>
        <w:tc>
          <w:tcPr>
            <w:tcW w:w="670" w:type="dxa"/>
            <w:shd w:val="clear" w:color="auto" w:fill="auto"/>
            <w:noWrap/>
            <w:vAlign w:val="center"/>
            <w:hideMark/>
          </w:tcPr>
          <w:p w14:paraId="072DCD54"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032AB32F"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1828D73C" w14:textId="77777777" w:rsidR="007A006B" w:rsidRPr="00445472" w:rsidRDefault="007A006B" w:rsidP="007A006B">
            <w:pPr>
              <w:pStyle w:val="TABELA"/>
              <w:rPr>
                <w:lang w:val="sq-AL"/>
              </w:rPr>
            </w:pPr>
            <w:r w:rsidRPr="00445472">
              <w:rPr>
                <w:lang w:val="sq-AL"/>
              </w:rPr>
              <w:t>Lindja e Malit Balgjaj, (Allamanit), në jug të fshatit Kacni, Qarku Dibër</w:t>
            </w:r>
          </w:p>
        </w:tc>
        <w:tc>
          <w:tcPr>
            <w:tcW w:w="3182" w:type="dxa"/>
            <w:shd w:val="clear" w:color="auto" w:fill="auto"/>
            <w:vAlign w:val="center"/>
            <w:hideMark/>
          </w:tcPr>
          <w:p w14:paraId="71D5E560" w14:textId="77777777" w:rsidR="007A006B" w:rsidRPr="00445472" w:rsidRDefault="007A006B" w:rsidP="007A006B">
            <w:pPr>
              <w:pStyle w:val="TABELA"/>
              <w:rPr>
                <w:lang w:val="sq-AL"/>
              </w:rPr>
            </w:pPr>
            <w:r w:rsidRPr="00445472">
              <w:rPr>
                <w:lang w:val="sq-AL"/>
              </w:rPr>
              <w:t>Liqene e Kacnisës</w:t>
            </w:r>
          </w:p>
        </w:tc>
        <w:tc>
          <w:tcPr>
            <w:tcW w:w="4217" w:type="dxa"/>
            <w:shd w:val="clear" w:color="auto" w:fill="auto"/>
            <w:vAlign w:val="center"/>
            <w:hideMark/>
          </w:tcPr>
          <w:p w14:paraId="35CD76C8"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2652A781" w14:textId="77777777" w:rsidR="007A006B" w:rsidRPr="00445472" w:rsidRDefault="007A006B" w:rsidP="007A006B">
            <w:pPr>
              <w:pStyle w:val="TABELA"/>
              <w:rPr>
                <w:lang w:val="sq-AL"/>
              </w:rPr>
            </w:pPr>
            <w:r w:rsidRPr="00445472">
              <w:rPr>
                <w:lang w:val="sq-AL"/>
              </w:rPr>
              <w:t>3</w:t>
            </w:r>
          </w:p>
        </w:tc>
      </w:tr>
      <w:tr w:rsidR="007A006B" w:rsidRPr="00445472" w14:paraId="69F711A3" w14:textId="77777777" w:rsidTr="00B15A6B">
        <w:trPr>
          <w:trHeight w:val="480"/>
        </w:trPr>
        <w:tc>
          <w:tcPr>
            <w:tcW w:w="593" w:type="dxa"/>
            <w:shd w:val="clear" w:color="auto" w:fill="auto"/>
            <w:vAlign w:val="center"/>
            <w:hideMark/>
          </w:tcPr>
          <w:p w14:paraId="71CE40B5" w14:textId="77777777" w:rsidR="007A006B" w:rsidRPr="00445472" w:rsidRDefault="007A006B" w:rsidP="007A006B">
            <w:pPr>
              <w:pStyle w:val="TABELA"/>
              <w:rPr>
                <w:lang w:val="sq-AL"/>
              </w:rPr>
            </w:pPr>
            <w:r w:rsidRPr="00445472">
              <w:rPr>
                <w:lang w:val="sq-AL"/>
              </w:rPr>
              <w:t>40</w:t>
            </w:r>
          </w:p>
        </w:tc>
        <w:tc>
          <w:tcPr>
            <w:tcW w:w="670" w:type="dxa"/>
            <w:shd w:val="clear" w:color="auto" w:fill="auto"/>
            <w:noWrap/>
            <w:vAlign w:val="center"/>
            <w:hideMark/>
          </w:tcPr>
          <w:p w14:paraId="10954DC0"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4AD48B1A"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56E941CE" w14:textId="77777777" w:rsidR="007A006B" w:rsidRPr="00445472" w:rsidRDefault="007A006B" w:rsidP="007A006B">
            <w:pPr>
              <w:pStyle w:val="TABELA"/>
              <w:rPr>
                <w:lang w:val="sq-AL"/>
              </w:rPr>
            </w:pPr>
            <w:r w:rsidRPr="00445472">
              <w:rPr>
                <w:lang w:val="sq-AL"/>
              </w:rPr>
              <w:t>Në Parkun Kombëtar të Lurës, 1600m</w:t>
            </w:r>
          </w:p>
        </w:tc>
        <w:tc>
          <w:tcPr>
            <w:tcW w:w="3182" w:type="dxa"/>
            <w:shd w:val="clear" w:color="auto" w:fill="auto"/>
            <w:vAlign w:val="center"/>
            <w:hideMark/>
          </w:tcPr>
          <w:p w14:paraId="4D8E621D" w14:textId="77777777" w:rsidR="007A006B" w:rsidRPr="00445472" w:rsidRDefault="007A006B" w:rsidP="007A006B">
            <w:pPr>
              <w:pStyle w:val="TABELA"/>
              <w:rPr>
                <w:lang w:val="sq-AL"/>
              </w:rPr>
            </w:pPr>
            <w:r w:rsidRPr="00445472">
              <w:rPr>
                <w:lang w:val="sq-AL"/>
              </w:rPr>
              <w:t>Liqeni i Luleve (Lurë)</w:t>
            </w:r>
          </w:p>
        </w:tc>
        <w:tc>
          <w:tcPr>
            <w:tcW w:w="4217" w:type="dxa"/>
            <w:shd w:val="clear" w:color="auto" w:fill="auto"/>
            <w:vAlign w:val="center"/>
            <w:hideMark/>
          </w:tcPr>
          <w:p w14:paraId="6A56CA0D"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1E92348F" w14:textId="77777777" w:rsidR="007A006B" w:rsidRPr="00445472" w:rsidRDefault="007A006B" w:rsidP="007A006B">
            <w:pPr>
              <w:pStyle w:val="TABELA"/>
              <w:rPr>
                <w:lang w:val="sq-AL"/>
              </w:rPr>
            </w:pPr>
            <w:r w:rsidRPr="00445472">
              <w:rPr>
                <w:lang w:val="sq-AL"/>
              </w:rPr>
              <w:t>3</w:t>
            </w:r>
          </w:p>
        </w:tc>
      </w:tr>
      <w:tr w:rsidR="007A006B" w:rsidRPr="00445472" w14:paraId="18047706" w14:textId="77777777" w:rsidTr="00B15A6B">
        <w:trPr>
          <w:trHeight w:val="480"/>
        </w:trPr>
        <w:tc>
          <w:tcPr>
            <w:tcW w:w="593" w:type="dxa"/>
            <w:shd w:val="clear" w:color="auto" w:fill="auto"/>
            <w:vAlign w:val="center"/>
            <w:hideMark/>
          </w:tcPr>
          <w:p w14:paraId="466C8330" w14:textId="77777777" w:rsidR="007A006B" w:rsidRPr="00445472" w:rsidRDefault="007A006B" w:rsidP="007A006B">
            <w:pPr>
              <w:pStyle w:val="TABELA"/>
              <w:rPr>
                <w:lang w:val="sq-AL"/>
              </w:rPr>
            </w:pPr>
            <w:r w:rsidRPr="00445472">
              <w:rPr>
                <w:lang w:val="sq-AL"/>
              </w:rPr>
              <w:t>41</w:t>
            </w:r>
          </w:p>
        </w:tc>
        <w:tc>
          <w:tcPr>
            <w:tcW w:w="670" w:type="dxa"/>
            <w:shd w:val="clear" w:color="auto" w:fill="auto"/>
            <w:noWrap/>
            <w:vAlign w:val="center"/>
            <w:hideMark/>
          </w:tcPr>
          <w:p w14:paraId="4BF1B4A2"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2AB8FC8"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5AB7B8D5" w14:textId="77777777" w:rsidR="007A006B" w:rsidRPr="00445472" w:rsidRDefault="007A006B" w:rsidP="007A006B">
            <w:pPr>
              <w:pStyle w:val="TABELA"/>
              <w:rPr>
                <w:lang w:val="sq-AL"/>
              </w:rPr>
            </w:pPr>
            <w:r w:rsidRPr="00445472">
              <w:rPr>
                <w:lang w:val="sq-AL"/>
              </w:rPr>
              <w:t>Mali Jezerca</w:t>
            </w:r>
          </w:p>
        </w:tc>
        <w:tc>
          <w:tcPr>
            <w:tcW w:w="3182" w:type="dxa"/>
            <w:shd w:val="clear" w:color="auto" w:fill="auto"/>
            <w:vAlign w:val="center"/>
            <w:hideMark/>
          </w:tcPr>
          <w:p w14:paraId="553AA0AA" w14:textId="77777777" w:rsidR="007A006B" w:rsidRPr="00445472" w:rsidRDefault="007A006B" w:rsidP="007A006B">
            <w:pPr>
              <w:pStyle w:val="TABELA"/>
              <w:rPr>
                <w:lang w:val="sq-AL"/>
              </w:rPr>
            </w:pPr>
            <w:r w:rsidRPr="00445472">
              <w:rPr>
                <w:lang w:val="sq-AL"/>
              </w:rPr>
              <w:t xml:space="preserve">Liqeni Jezerca </w:t>
            </w:r>
          </w:p>
        </w:tc>
        <w:tc>
          <w:tcPr>
            <w:tcW w:w="4217" w:type="dxa"/>
            <w:shd w:val="clear" w:color="auto" w:fill="auto"/>
            <w:vAlign w:val="center"/>
            <w:hideMark/>
          </w:tcPr>
          <w:p w14:paraId="45327911"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3C5B5CD0" w14:textId="77777777" w:rsidR="007A006B" w:rsidRPr="00445472" w:rsidRDefault="007A006B" w:rsidP="007A006B">
            <w:pPr>
              <w:pStyle w:val="TABELA"/>
              <w:rPr>
                <w:lang w:val="sq-AL"/>
              </w:rPr>
            </w:pPr>
            <w:r w:rsidRPr="00445472">
              <w:rPr>
                <w:lang w:val="sq-AL"/>
              </w:rPr>
              <w:t>3</w:t>
            </w:r>
          </w:p>
        </w:tc>
      </w:tr>
      <w:tr w:rsidR="007A006B" w:rsidRPr="00445472" w14:paraId="3FD1BAEE" w14:textId="77777777" w:rsidTr="00B15A6B">
        <w:trPr>
          <w:trHeight w:val="480"/>
        </w:trPr>
        <w:tc>
          <w:tcPr>
            <w:tcW w:w="593" w:type="dxa"/>
            <w:shd w:val="clear" w:color="auto" w:fill="auto"/>
            <w:vAlign w:val="center"/>
            <w:hideMark/>
          </w:tcPr>
          <w:p w14:paraId="7E56E463" w14:textId="77777777" w:rsidR="007A006B" w:rsidRPr="00445472" w:rsidRDefault="007A006B" w:rsidP="007A006B">
            <w:pPr>
              <w:pStyle w:val="TABELA"/>
              <w:rPr>
                <w:lang w:val="sq-AL"/>
              </w:rPr>
            </w:pPr>
            <w:r w:rsidRPr="00445472">
              <w:rPr>
                <w:lang w:val="sq-AL"/>
              </w:rPr>
              <w:t>42</w:t>
            </w:r>
          </w:p>
        </w:tc>
        <w:tc>
          <w:tcPr>
            <w:tcW w:w="670" w:type="dxa"/>
            <w:shd w:val="clear" w:color="auto" w:fill="auto"/>
            <w:noWrap/>
            <w:vAlign w:val="center"/>
            <w:hideMark/>
          </w:tcPr>
          <w:p w14:paraId="6684A78B"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0A1C69D3"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7F146D75" w14:textId="77777777" w:rsidR="007A006B" w:rsidRPr="00445472" w:rsidRDefault="007A006B" w:rsidP="007A006B">
            <w:pPr>
              <w:pStyle w:val="TABELA"/>
              <w:rPr>
                <w:lang w:val="sq-AL"/>
              </w:rPr>
            </w:pPr>
            <w:r w:rsidRPr="00445472">
              <w:rPr>
                <w:lang w:val="sq-AL"/>
              </w:rPr>
              <w:t>Në Parkun Kombëtar të Lurës</w:t>
            </w:r>
          </w:p>
        </w:tc>
        <w:tc>
          <w:tcPr>
            <w:tcW w:w="3182" w:type="dxa"/>
            <w:shd w:val="clear" w:color="auto" w:fill="auto"/>
            <w:vAlign w:val="center"/>
            <w:hideMark/>
          </w:tcPr>
          <w:p w14:paraId="4DB82F58" w14:textId="77777777" w:rsidR="007A006B" w:rsidRPr="00445472" w:rsidRDefault="007A006B" w:rsidP="007A006B">
            <w:pPr>
              <w:pStyle w:val="TABELA"/>
              <w:rPr>
                <w:lang w:val="sq-AL"/>
              </w:rPr>
            </w:pPr>
            <w:r w:rsidRPr="00445472">
              <w:rPr>
                <w:lang w:val="sq-AL"/>
              </w:rPr>
              <w:t>Liqeni i Madh (Lurë)</w:t>
            </w:r>
          </w:p>
        </w:tc>
        <w:tc>
          <w:tcPr>
            <w:tcW w:w="4217" w:type="dxa"/>
            <w:shd w:val="clear" w:color="auto" w:fill="auto"/>
            <w:vAlign w:val="center"/>
            <w:hideMark/>
          </w:tcPr>
          <w:p w14:paraId="2DFD16F7"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6166CCF5" w14:textId="77777777" w:rsidR="007A006B" w:rsidRPr="00445472" w:rsidRDefault="007A006B" w:rsidP="007A006B">
            <w:pPr>
              <w:pStyle w:val="TABELA"/>
              <w:rPr>
                <w:lang w:val="sq-AL"/>
              </w:rPr>
            </w:pPr>
            <w:r w:rsidRPr="00445472">
              <w:rPr>
                <w:lang w:val="sq-AL"/>
              </w:rPr>
              <w:t>3</w:t>
            </w:r>
          </w:p>
        </w:tc>
      </w:tr>
      <w:tr w:rsidR="007A006B" w:rsidRPr="00445472" w14:paraId="6675BD2A" w14:textId="77777777" w:rsidTr="00B15A6B">
        <w:trPr>
          <w:trHeight w:val="240"/>
        </w:trPr>
        <w:tc>
          <w:tcPr>
            <w:tcW w:w="593" w:type="dxa"/>
            <w:shd w:val="clear" w:color="auto" w:fill="auto"/>
            <w:vAlign w:val="center"/>
            <w:hideMark/>
          </w:tcPr>
          <w:p w14:paraId="6BFD13D3" w14:textId="77777777" w:rsidR="007A006B" w:rsidRPr="00445472" w:rsidRDefault="007A006B" w:rsidP="007A006B">
            <w:pPr>
              <w:pStyle w:val="TABELA"/>
              <w:rPr>
                <w:lang w:val="sq-AL"/>
              </w:rPr>
            </w:pPr>
            <w:r w:rsidRPr="00445472">
              <w:rPr>
                <w:lang w:val="sq-AL"/>
              </w:rPr>
              <w:t>43</w:t>
            </w:r>
          </w:p>
        </w:tc>
        <w:tc>
          <w:tcPr>
            <w:tcW w:w="670" w:type="dxa"/>
            <w:shd w:val="clear" w:color="auto" w:fill="auto"/>
            <w:noWrap/>
            <w:vAlign w:val="center"/>
            <w:hideMark/>
          </w:tcPr>
          <w:p w14:paraId="66EE7DE9"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66614203"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3C2E5C49" w14:textId="77777777" w:rsidR="007A006B" w:rsidRPr="00445472" w:rsidRDefault="007A006B" w:rsidP="007A006B">
            <w:pPr>
              <w:pStyle w:val="TABELA"/>
              <w:rPr>
                <w:lang w:val="sq-AL"/>
              </w:rPr>
            </w:pPr>
            <w:r w:rsidRPr="00445472">
              <w:rPr>
                <w:lang w:val="sq-AL"/>
              </w:rPr>
              <w:t>Pranë Pejës</w:t>
            </w:r>
          </w:p>
        </w:tc>
        <w:tc>
          <w:tcPr>
            <w:tcW w:w="3182" w:type="dxa"/>
            <w:shd w:val="clear" w:color="auto" w:fill="auto"/>
            <w:vAlign w:val="center"/>
            <w:hideMark/>
          </w:tcPr>
          <w:p w14:paraId="59972546" w14:textId="77777777" w:rsidR="007A006B" w:rsidRPr="00445472" w:rsidRDefault="007A006B" w:rsidP="007A006B">
            <w:pPr>
              <w:pStyle w:val="TABELA"/>
              <w:rPr>
                <w:lang w:val="sq-AL"/>
              </w:rPr>
            </w:pPr>
            <w:r w:rsidRPr="00445472">
              <w:rPr>
                <w:lang w:val="sq-AL"/>
              </w:rPr>
              <w:t>Liqeni i Madh (Lurë)</w:t>
            </w:r>
          </w:p>
        </w:tc>
        <w:tc>
          <w:tcPr>
            <w:tcW w:w="4217" w:type="dxa"/>
            <w:shd w:val="clear" w:color="auto" w:fill="auto"/>
            <w:vAlign w:val="center"/>
            <w:hideMark/>
          </w:tcPr>
          <w:p w14:paraId="167DD695" w14:textId="77777777" w:rsidR="007A006B" w:rsidRPr="00445472" w:rsidRDefault="007A006B" w:rsidP="007A006B">
            <w:pPr>
              <w:pStyle w:val="TABELA"/>
              <w:rPr>
                <w:lang w:val="sq-AL"/>
              </w:rPr>
            </w:pPr>
            <w:r w:rsidRPr="00445472">
              <w:rPr>
                <w:lang w:val="sq-AL"/>
              </w:rPr>
              <w:t>Një liqen akullnajor. Është i pasur me faunë</w:t>
            </w:r>
          </w:p>
        </w:tc>
        <w:tc>
          <w:tcPr>
            <w:tcW w:w="1319" w:type="dxa"/>
            <w:shd w:val="clear" w:color="auto" w:fill="auto"/>
            <w:noWrap/>
            <w:vAlign w:val="center"/>
            <w:hideMark/>
          </w:tcPr>
          <w:p w14:paraId="749DD809" w14:textId="77777777" w:rsidR="007A006B" w:rsidRPr="00445472" w:rsidRDefault="007A006B" w:rsidP="007A006B">
            <w:pPr>
              <w:pStyle w:val="TABELA"/>
              <w:rPr>
                <w:lang w:val="sq-AL"/>
              </w:rPr>
            </w:pPr>
            <w:r w:rsidRPr="00445472">
              <w:rPr>
                <w:lang w:val="sq-AL"/>
              </w:rPr>
              <w:t>3</w:t>
            </w:r>
          </w:p>
        </w:tc>
      </w:tr>
      <w:tr w:rsidR="007A006B" w:rsidRPr="00445472" w14:paraId="64E1C033" w14:textId="77777777" w:rsidTr="00B15A6B">
        <w:trPr>
          <w:trHeight w:val="720"/>
        </w:trPr>
        <w:tc>
          <w:tcPr>
            <w:tcW w:w="593" w:type="dxa"/>
            <w:shd w:val="clear" w:color="auto" w:fill="auto"/>
            <w:vAlign w:val="center"/>
            <w:hideMark/>
          </w:tcPr>
          <w:p w14:paraId="4DE6E3AD" w14:textId="77777777" w:rsidR="007A006B" w:rsidRPr="00445472" w:rsidRDefault="007A006B" w:rsidP="007A006B">
            <w:pPr>
              <w:pStyle w:val="TABELA"/>
              <w:rPr>
                <w:lang w:val="sq-AL"/>
              </w:rPr>
            </w:pPr>
            <w:r w:rsidRPr="00445472">
              <w:rPr>
                <w:lang w:val="sq-AL"/>
              </w:rPr>
              <w:t>44</w:t>
            </w:r>
          </w:p>
        </w:tc>
        <w:tc>
          <w:tcPr>
            <w:tcW w:w="670" w:type="dxa"/>
            <w:shd w:val="clear" w:color="auto" w:fill="auto"/>
            <w:noWrap/>
            <w:vAlign w:val="center"/>
            <w:hideMark/>
          </w:tcPr>
          <w:p w14:paraId="2DB94182"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3712F404"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6D28047C" w14:textId="6E82C4F8" w:rsidR="007A006B" w:rsidRPr="00445472" w:rsidRDefault="007A006B" w:rsidP="005E3EC9">
            <w:pPr>
              <w:pStyle w:val="TABELA"/>
              <w:rPr>
                <w:lang w:val="sq-AL"/>
              </w:rPr>
            </w:pPr>
            <w:r w:rsidRPr="00445472">
              <w:rPr>
                <w:lang w:val="sq-AL"/>
              </w:rPr>
              <w:t xml:space="preserve">Në Majën e Hekurt në Alpet Lindore, Shoshan Fshati, LGU Margegaj, </w:t>
            </w:r>
            <w:r w:rsidR="005E3EC9" w:rsidRPr="00445472">
              <w:rPr>
                <w:lang w:val="sq-AL"/>
              </w:rPr>
              <w:t xml:space="preserve">qarku </w:t>
            </w:r>
            <w:r w:rsidRPr="00445472">
              <w:rPr>
                <w:lang w:val="sq-AL"/>
              </w:rPr>
              <w:t>Tropoj</w:t>
            </w:r>
            <w:r w:rsidR="005E3EC9" w:rsidRPr="00445472">
              <w:rPr>
                <w:lang w:val="sq-AL"/>
              </w:rPr>
              <w:t>ë</w:t>
            </w:r>
          </w:p>
        </w:tc>
        <w:tc>
          <w:tcPr>
            <w:tcW w:w="3182" w:type="dxa"/>
            <w:shd w:val="clear" w:color="auto" w:fill="auto"/>
            <w:vAlign w:val="center"/>
            <w:hideMark/>
          </w:tcPr>
          <w:p w14:paraId="3340EA61" w14:textId="77777777" w:rsidR="007A006B" w:rsidRPr="00445472" w:rsidRDefault="007A006B" w:rsidP="007A006B">
            <w:pPr>
              <w:pStyle w:val="TABELA"/>
              <w:rPr>
                <w:lang w:val="sq-AL"/>
              </w:rPr>
            </w:pPr>
            <w:r w:rsidRPr="00445472">
              <w:rPr>
                <w:lang w:val="sq-AL"/>
              </w:rPr>
              <w:t>Liqeni i Ponarës Liqeni i Markajs)</w:t>
            </w:r>
          </w:p>
        </w:tc>
        <w:tc>
          <w:tcPr>
            <w:tcW w:w="4217" w:type="dxa"/>
            <w:shd w:val="clear" w:color="auto" w:fill="auto"/>
            <w:vAlign w:val="center"/>
            <w:hideMark/>
          </w:tcPr>
          <w:p w14:paraId="5C6C6347" w14:textId="77777777" w:rsidR="007A006B" w:rsidRPr="00445472" w:rsidRDefault="007A006B" w:rsidP="007A006B">
            <w:pPr>
              <w:pStyle w:val="TABELA"/>
              <w:rPr>
                <w:lang w:val="sq-AL"/>
              </w:rPr>
            </w:pPr>
            <w:r w:rsidRPr="00445472">
              <w:rPr>
                <w:lang w:val="sq-AL"/>
              </w:rPr>
              <w:t>Liqen akullnajor karstik</w:t>
            </w:r>
          </w:p>
        </w:tc>
        <w:tc>
          <w:tcPr>
            <w:tcW w:w="1319" w:type="dxa"/>
            <w:shd w:val="clear" w:color="auto" w:fill="auto"/>
            <w:noWrap/>
            <w:vAlign w:val="center"/>
            <w:hideMark/>
          </w:tcPr>
          <w:p w14:paraId="4529850B" w14:textId="77777777" w:rsidR="007A006B" w:rsidRPr="00445472" w:rsidRDefault="007A006B" w:rsidP="007A006B">
            <w:pPr>
              <w:pStyle w:val="TABELA"/>
              <w:rPr>
                <w:lang w:val="sq-AL"/>
              </w:rPr>
            </w:pPr>
            <w:r w:rsidRPr="00445472">
              <w:rPr>
                <w:lang w:val="sq-AL"/>
              </w:rPr>
              <w:t>3</w:t>
            </w:r>
          </w:p>
        </w:tc>
      </w:tr>
      <w:tr w:rsidR="007A006B" w:rsidRPr="00445472" w14:paraId="4C1A63E4" w14:textId="77777777" w:rsidTr="00B15A6B">
        <w:trPr>
          <w:trHeight w:val="480"/>
        </w:trPr>
        <w:tc>
          <w:tcPr>
            <w:tcW w:w="593" w:type="dxa"/>
            <w:shd w:val="clear" w:color="auto" w:fill="auto"/>
            <w:vAlign w:val="center"/>
            <w:hideMark/>
          </w:tcPr>
          <w:p w14:paraId="43975020" w14:textId="77777777" w:rsidR="007A006B" w:rsidRPr="00445472" w:rsidRDefault="007A006B" w:rsidP="007A006B">
            <w:pPr>
              <w:pStyle w:val="TABELA"/>
              <w:rPr>
                <w:lang w:val="sq-AL"/>
              </w:rPr>
            </w:pPr>
            <w:r w:rsidRPr="00445472">
              <w:rPr>
                <w:lang w:val="sq-AL"/>
              </w:rPr>
              <w:t>45</w:t>
            </w:r>
          </w:p>
        </w:tc>
        <w:tc>
          <w:tcPr>
            <w:tcW w:w="670" w:type="dxa"/>
            <w:shd w:val="clear" w:color="auto" w:fill="auto"/>
            <w:noWrap/>
            <w:vAlign w:val="center"/>
            <w:hideMark/>
          </w:tcPr>
          <w:p w14:paraId="1EE9AF2C"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05F1F2C5"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2DFB237E" w14:textId="77777777" w:rsidR="007A006B" w:rsidRPr="00445472" w:rsidRDefault="007A006B" w:rsidP="007A006B">
            <w:pPr>
              <w:pStyle w:val="TABELA"/>
              <w:rPr>
                <w:lang w:val="sq-AL"/>
              </w:rPr>
            </w:pPr>
            <w:r w:rsidRPr="00445472">
              <w:rPr>
                <w:lang w:val="sq-AL"/>
              </w:rPr>
              <w:t>Në Parkun Kombëtar të Lurës</w:t>
            </w:r>
          </w:p>
        </w:tc>
        <w:tc>
          <w:tcPr>
            <w:tcW w:w="3182" w:type="dxa"/>
            <w:shd w:val="clear" w:color="auto" w:fill="auto"/>
            <w:vAlign w:val="center"/>
            <w:hideMark/>
          </w:tcPr>
          <w:p w14:paraId="168D6DE5" w14:textId="77777777" w:rsidR="007A006B" w:rsidRPr="00445472" w:rsidRDefault="007A006B" w:rsidP="007A006B">
            <w:pPr>
              <w:pStyle w:val="TABELA"/>
              <w:rPr>
                <w:lang w:val="sq-AL"/>
              </w:rPr>
            </w:pPr>
            <w:r w:rsidRPr="00445472">
              <w:rPr>
                <w:lang w:val="sq-AL"/>
              </w:rPr>
              <w:t>Liqeni i Zi (Lurë)</w:t>
            </w:r>
          </w:p>
        </w:tc>
        <w:tc>
          <w:tcPr>
            <w:tcW w:w="4217" w:type="dxa"/>
            <w:shd w:val="clear" w:color="auto" w:fill="auto"/>
            <w:vAlign w:val="center"/>
            <w:hideMark/>
          </w:tcPr>
          <w:p w14:paraId="4ABDAADB" w14:textId="77777777" w:rsidR="007A006B" w:rsidRPr="00445472" w:rsidRDefault="007A006B" w:rsidP="007A006B">
            <w:pPr>
              <w:pStyle w:val="TABELA"/>
              <w:rPr>
                <w:lang w:val="sq-AL"/>
              </w:rPr>
            </w:pPr>
            <w:r w:rsidRPr="00445472">
              <w:rPr>
                <w:lang w:val="sq-AL"/>
              </w:rPr>
              <w:t>Një liqen akullnajor. Është i pasur me faunë, tipike për liqenet alpine</w:t>
            </w:r>
          </w:p>
        </w:tc>
        <w:tc>
          <w:tcPr>
            <w:tcW w:w="1319" w:type="dxa"/>
            <w:shd w:val="clear" w:color="auto" w:fill="auto"/>
            <w:noWrap/>
            <w:vAlign w:val="center"/>
            <w:hideMark/>
          </w:tcPr>
          <w:p w14:paraId="69506408" w14:textId="77777777" w:rsidR="007A006B" w:rsidRPr="00445472" w:rsidRDefault="007A006B" w:rsidP="007A006B">
            <w:pPr>
              <w:pStyle w:val="TABELA"/>
              <w:rPr>
                <w:lang w:val="sq-AL"/>
              </w:rPr>
            </w:pPr>
            <w:r w:rsidRPr="00445472">
              <w:rPr>
                <w:lang w:val="sq-AL"/>
              </w:rPr>
              <w:t>3</w:t>
            </w:r>
          </w:p>
        </w:tc>
      </w:tr>
      <w:tr w:rsidR="007A006B" w:rsidRPr="00445472" w14:paraId="4EE7780E" w14:textId="77777777" w:rsidTr="00B15A6B">
        <w:trPr>
          <w:trHeight w:val="480"/>
        </w:trPr>
        <w:tc>
          <w:tcPr>
            <w:tcW w:w="593" w:type="dxa"/>
            <w:shd w:val="clear" w:color="auto" w:fill="auto"/>
            <w:vAlign w:val="center"/>
            <w:hideMark/>
          </w:tcPr>
          <w:p w14:paraId="2B770BA1" w14:textId="77777777" w:rsidR="007A006B" w:rsidRPr="00445472" w:rsidRDefault="007A006B" w:rsidP="007A006B">
            <w:pPr>
              <w:pStyle w:val="TABELA"/>
              <w:rPr>
                <w:lang w:val="sq-AL"/>
              </w:rPr>
            </w:pPr>
            <w:r w:rsidRPr="00445472">
              <w:rPr>
                <w:lang w:val="sq-AL"/>
              </w:rPr>
              <w:t>46</w:t>
            </w:r>
          </w:p>
        </w:tc>
        <w:tc>
          <w:tcPr>
            <w:tcW w:w="670" w:type="dxa"/>
            <w:shd w:val="clear" w:color="auto" w:fill="auto"/>
            <w:noWrap/>
            <w:vAlign w:val="center"/>
            <w:hideMark/>
          </w:tcPr>
          <w:p w14:paraId="1105E540"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2A387FD9"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548D7921" w14:textId="77777777" w:rsidR="007A006B" w:rsidRPr="00445472" w:rsidRDefault="007A006B" w:rsidP="007A006B">
            <w:pPr>
              <w:pStyle w:val="TABELA"/>
              <w:rPr>
                <w:lang w:val="sq-AL"/>
              </w:rPr>
            </w:pPr>
            <w:r w:rsidRPr="00445472">
              <w:rPr>
                <w:lang w:val="sq-AL"/>
              </w:rPr>
              <w:t>Në Malin e Korabit, në afërsi të fshatit Radomirë</w:t>
            </w:r>
          </w:p>
        </w:tc>
        <w:tc>
          <w:tcPr>
            <w:tcW w:w="3182" w:type="dxa"/>
            <w:shd w:val="clear" w:color="auto" w:fill="auto"/>
            <w:vAlign w:val="center"/>
            <w:hideMark/>
          </w:tcPr>
          <w:p w14:paraId="526CC3E6" w14:textId="77777777" w:rsidR="007A006B" w:rsidRPr="00445472" w:rsidRDefault="007A006B" w:rsidP="007A006B">
            <w:pPr>
              <w:pStyle w:val="TABELA"/>
              <w:rPr>
                <w:lang w:val="sq-AL"/>
              </w:rPr>
            </w:pPr>
            <w:r w:rsidRPr="00445472">
              <w:rPr>
                <w:lang w:val="sq-AL"/>
              </w:rPr>
              <w:t>Liqeni i Zi (mbi Radomirë)</w:t>
            </w:r>
          </w:p>
        </w:tc>
        <w:tc>
          <w:tcPr>
            <w:tcW w:w="4217" w:type="dxa"/>
            <w:shd w:val="clear" w:color="auto" w:fill="auto"/>
            <w:vAlign w:val="center"/>
            <w:hideMark/>
          </w:tcPr>
          <w:p w14:paraId="31A43163" w14:textId="77777777" w:rsidR="007A006B" w:rsidRPr="00445472" w:rsidRDefault="007A006B" w:rsidP="007A006B">
            <w:pPr>
              <w:pStyle w:val="TABELA"/>
              <w:rPr>
                <w:lang w:val="sq-AL"/>
              </w:rPr>
            </w:pPr>
            <w:r w:rsidRPr="00445472">
              <w:rPr>
                <w:lang w:val="sq-AL"/>
              </w:rPr>
              <w:t>A Një liqen akullnajor. Është i pasur me faunë, tipike për këtë tip liqenesh</w:t>
            </w:r>
          </w:p>
        </w:tc>
        <w:tc>
          <w:tcPr>
            <w:tcW w:w="1319" w:type="dxa"/>
            <w:shd w:val="clear" w:color="auto" w:fill="auto"/>
            <w:noWrap/>
            <w:vAlign w:val="center"/>
            <w:hideMark/>
          </w:tcPr>
          <w:p w14:paraId="03076CD9" w14:textId="77777777" w:rsidR="007A006B" w:rsidRPr="00445472" w:rsidRDefault="007A006B" w:rsidP="007A006B">
            <w:pPr>
              <w:pStyle w:val="TABELA"/>
              <w:rPr>
                <w:lang w:val="sq-AL"/>
              </w:rPr>
            </w:pPr>
            <w:r w:rsidRPr="00445472">
              <w:rPr>
                <w:lang w:val="sq-AL"/>
              </w:rPr>
              <w:t>3</w:t>
            </w:r>
          </w:p>
        </w:tc>
      </w:tr>
      <w:tr w:rsidR="007A006B" w:rsidRPr="00445472" w14:paraId="343BE36B" w14:textId="77777777" w:rsidTr="00B15A6B">
        <w:trPr>
          <w:trHeight w:val="960"/>
        </w:trPr>
        <w:tc>
          <w:tcPr>
            <w:tcW w:w="593" w:type="dxa"/>
            <w:shd w:val="clear" w:color="auto" w:fill="auto"/>
            <w:vAlign w:val="center"/>
            <w:hideMark/>
          </w:tcPr>
          <w:p w14:paraId="20F585E9" w14:textId="77777777" w:rsidR="007A006B" w:rsidRPr="00445472" w:rsidRDefault="007A006B" w:rsidP="007A006B">
            <w:pPr>
              <w:pStyle w:val="TABELA"/>
              <w:rPr>
                <w:lang w:val="sq-AL"/>
              </w:rPr>
            </w:pPr>
            <w:r w:rsidRPr="00445472">
              <w:rPr>
                <w:lang w:val="sq-AL"/>
              </w:rPr>
              <w:t>47</w:t>
            </w:r>
          </w:p>
        </w:tc>
        <w:tc>
          <w:tcPr>
            <w:tcW w:w="670" w:type="dxa"/>
            <w:shd w:val="clear" w:color="auto" w:fill="auto"/>
            <w:noWrap/>
            <w:vAlign w:val="center"/>
            <w:hideMark/>
          </w:tcPr>
          <w:p w14:paraId="061EF771"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6D075B93"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4E511914" w14:textId="58E19ECC" w:rsidR="007A006B" w:rsidRPr="00445472" w:rsidRDefault="007A006B" w:rsidP="007A006B">
            <w:pPr>
              <w:pStyle w:val="TABELA"/>
              <w:rPr>
                <w:lang w:val="sq-AL"/>
              </w:rPr>
            </w:pPr>
            <w:r w:rsidRPr="00445472">
              <w:rPr>
                <w:lang w:val="sq-AL"/>
              </w:rPr>
              <w:t xml:space="preserve">Alpet Lindore, në afërsi të Fshatit Dragobi, </w:t>
            </w:r>
            <w:r w:rsidR="00034FBB">
              <w:rPr>
                <w:lang w:val="sq-AL"/>
              </w:rPr>
              <w:t>NJQV</w:t>
            </w:r>
            <w:r w:rsidRPr="00445472">
              <w:rPr>
                <w:lang w:val="sq-AL"/>
              </w:rPr>
              <w:t xml:space="preserve"> Margegaj, Qarku Tropojë, Maja e Hekurit dhe Lugina e Hapur</w:t>
            </w:r>
          </w:p>
        </w:tc>
        <w:tc>
          <w:tcPr>
            <w:tcW w:w="3182" w:type="dxa"/>
            <w:shd w:val="clear" w:color="auto" w:fill="auto"/>
            <w:vAlign w:val="center"/>
            <w:hideMark/>
          </w:tcPr>
          <w:p w14:paraId="183BE5B7" w14:textId="77777777" w:rsidR="007A006B" w:rsidRPr="00445472" w:rsidRDefault="007A006B" w:rsidP="007A006B">
            <w:pPr>
              <w:pStyle w:val="TABELA"/>
              <w:rPr>
                <w:lang w:val="sq-AL"/>
              </w:rPr>
            </w:pPr>
            <w:r w:rsidRPr="00445472">
              <w:rPr>
                <w:lang w:val="sq-AL"/>
              </w:rPr>
              <w:t>Lugina akullnajore e Motinës (Valbonë)</w:t>
            </w:r>
          </w:p>
        </w:tc>
        <w:tc>
          <w:tcPr>
            <w:tcW w:w="4217" w:type="dxa"/>
            <w:shd w:val="clear" w:color="auto" w:fill="auto"/>
            <w:vAlign w:val="center"/>
            <w:hideMark/>
          </w:tcPr>
          <w:p w14:paraId="4CE861F7" w14:textId="77777777" w:rsidR="007A006B" w:rsidRPr="00445472" w:rsidRDefault="007A006B" w:rsidP="007A006B">
            <w:pPr>
              <w:pStyle w:val="TABELA"/>
              <w:rPr>
                <w:lang w:val="sq-AL"/>
              </w:rPr>
            </w:pPr>
            <w:r w:rsidRPr="00445472">
              <w:rPr>
                <w:lang w:val="sq-AL"/>
              </w:rPr>
              <w:t>Luginë akullnajore-karstike</w:t>
            </w:r>
          </w:p>
        </w:tc>
        <w:tc>
          <w:tcPr>
            <w:tcW w:w="1319" w:type="dxa"/>
            <w:shd w:val="clear" w:color="auto" w:fill="auto"/>
            <w:noWrap/>
            <w:vAlign w:val="center"/>
            <w:hideMark/>
          </w:tcPr>
          <w:p w14:paraId="0A031B53" w14:textId="77777777" w:rsidR="007A006B" w:rsidRPr="00445472" w:rsidRDefault="007A006B" w:rsidP="007A006B">
            <w:pPr>
              <w:pStyle w:val="TABELA"/>
              <w:rPr>
                <w:lang w:val="sq-AL"/>
              </w:rPr>
            </w:pPr>
            <w:r w:rsidRPr="00445472">
              <w:rPr>
                <w:lang w:val="sq-AL"/>
              </w:rPr>
              <w:t>2</w:t>
            </w:r>
          </w:p>
        </w:tc>
      </w:tr>
      <w:tr w:rsidR="007A006B" w:rsidRPr="00445472" w14:paraId="74918087" w14:textId="77777777" w:rsidTr="00B15A6B">
        <w:trPr>
          <w:trHeight w:val="570"/>
        </w:trPr>
        <w:tc>
          <w:tcPr>
            <w:tcW w:w="593" w:type="dxa"/>
            <w:shd w:val="clear" w:color="auto" w:fill="auto"/>
            <w:vAlign w:val="center"/>
            <w:hideMark/>
          </w:tcPr>
          <w:p w14:paraId="78905669" w14:textId="77777777" w:rsidR="007A006B" w:rsidRPr="00445472" w:rsidRDefault="007A006B" w:rsidP="007A006B">
            <w:pPr>
              <w:pStyle w:val="TABELA"/>
              <w:rPr>
                <w:lang w:val="sq-AL"/>
              </w:rPr>
            </w:pPr>
            <w:r w:rsidRPr="00445472">
              <w:rPr>
                <w:lang w:val="sq-AL"/>
              </w:rPr>
              <w:t>48</w:t>
            </w:r>
          </w:p>
        </w:tc>
        <w:tc>
          <w:tcPr>
            <w:tcW w:w="670" w:type="dxa"/>
            <w:shd w:val="clear" w:color="auto" w:fill="auto"/>
            <w:noWrap/>
            <w:vAlign w:val="center"/>
            <w:hideMark/>
          </w:tcPr>
          <w:p w14:paraId="544FF27A"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A1627BC"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5EFF22F9" w14:textId="2D1675BD" w:rsidR="007A006B" w:rsidRPr="00445472" w:rsidRDefault="007A006B" w:rsidP="007A006B">
            <w:pPr>
              <w:pStyle w:val="TABELA"/>
              <w:rPr>
                <w:lang w:val="sq-AL"/>
              </w:rPr>
            </w:pPr>
            <w:r w:rsidRPr="00445472">
              <w:rPr>
                <w:lang w:val="sq-AL"/>
              </w:rPr>
              <w:t xml:space="preserve">Në afërsi të fshatit Ragam, </w:t>
            </w:r>
            <w:r w:rsidR="00034FBB">
              <w:rPr>
                <w:lang w:val="sq-AL"/>
              </w:rPr>
              <w:t>NJQV</w:t>
            </w:r>
            <w:r w:rsidRPr="00445472">
              <w:rPr>
                <w:lang w:val="sq-AL"/>
              </w:rPr>
              <w:t xml:space="preserve"> Margegaj, Qarku Tropojë</w:t>
            </w:r>
          </w:p>
        </w:tc>
        <w:tc>
          <w:tcPr>
            <w:tcW w:w="3182" w:type="dxa"/>
            <w:shd w:val="clear" w:color="auto" w:fill="auto"/>
            <w:vAlign w:val="center"/>
            <w:hideMark/>
          </w:tcPr>
          <w:p w14:paraId="7CED95D3" w14:textId="77777777" w:rsidR="007A006B" w:rsidRPr="00445472" w:rsidRDefault="007A006B" w:rsidP="007A006B">
            <w:pPr>
              <w:pStyle w:val="TABELA"/>
              <w:rPr>
                <w:lang w:val="sq-AL"/>
              </w:rPr>
            </w:pPr>
            <w:r w:rsidRPr="00445472">
              <w:rPr>
                <w:lang w:val="sq-AL"/>
              </w:rPr>
              <w:t>Lugina akullnajore e Kukajt</w:t>
            </w:r>
          </w:p>
        </w:tc>
        <w:tc>
          <w:tcPr>
            <w:tcW w:w="4217" w:type="dxa"/>
            <w:shd w:val="clear" w:color="auto" w:fill="auto"/>
            <w:vAlign w:val="center"/>
            <w:hideMark/>
          </w:tcPr>
          <w:p w14:paraId="4199CB05" w14:textId="77777777" w:rsidR="007A006B" w:rsidRPr="00445472" w:rsidRDefault="007A006B" w:rsidP="007A006B">
            <w:pPr>
              <w:pStyle w:val="TABELA"/>
              <w:rPr>
                <w:lang w:val="sq-AL"/>
              </w:rPr>
            </w:pPr>
            <w:r w:rsidRPr="00445472">
              <w:rPr>
                <w:lang w:val="sq-AL"/>
              </w:rPr>
              <w:t>Luginë akullnajore-karstike</w:t>
            </w:r>
          </w:p>
        </w:tc>
        <w:tc>
          <w:tcPr>
            <w:tcW w:w="1319" w:type="dxa"/>
            <w:shd w:val="clear" w:color="auto" w:fill="auto"/>
            <w:noWrap/>
            <w:vAlign w:val="center"/>
            <w:hideMark/>
          </w:tcPr>
          <w:p w14:paraId="440E52F6" w14:textId="77777777" w:rsidR="007A006B" w:rsidRPr="00445472" w:rsidRDefault="007A006B" w:rsidP="007A006B">
            <w:pPr>
              <w:pStyle w:val="TABELA"/>
              <w:rPr>
                <w:lang w:val="sq-AL"/>
              </w:rPr>
            </w:pPr>
            <w:r w:rsidRPr="00445472">
              <w:rPr>
                <w:lang w:val="sq-AL"/>
              </w:rPr>
              <w:t>2</w:t>
            </w:r>
          </w:p>
        </w:tc>
      </w:tr>
      <w:tr w:rsidR="007A006B" w:rsidRPr="00445472" w14:paraId="78CF6ABA" w14:textId="77777777" w:rsidTr="00B15A6B">
        <w:trPr>
          <w:trHeight w:val="720"/>
        </w:trPr>
        <w:tc>
          <w:tcPr>
            <w:tcW w:w="593" w:type="dxa"/>
            <w:shd w:val="clear" w:color="auto" w:fill="auto"/>
            <w:vAlign w:val="center"/>
            <w:hideMark/>
          </w:tcPr>
          <w:p w14:paraId="0CFCC118" w14:textId="77777777" w:rsidR="007A006B" w:rsidRPr="00445472" w:rsidRDefault="007A006B" w:rsidP="007A006B">
            <w:pPr>
              <w:pStyle w:val="TABELA"/>
              <w:rPr>
                <w:lang w:val="sq-AL"/>
              </w:rPr>
            </w:pPr>
            <w:r w:rsidRPr="00445472">
              <w:rPr>
                <w:lang w:val="sq-AL"/>
              </w:rPr>
              <w:t>49</w:t>
            </w:r>
          </w:p>
        </w:tc>
        <w:tc>
          <w:tcPr>
            <w:tcW w:w="670" w:type="dxa"/>
            <w:shd w:val="clear" w:color="auto" w:fill="auto"/>
            <w:noWrap/>
            <w:vAlign w:val="center"/>
            <w:hideMark/>
          </w:tcPr>
          <w:p w14:paraId="5788678C"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26F937AF"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41D9F58A" w14:textId="77777777" w:rsidR="007A006B" w:rsidRPr="00445472" w:rsidRDefault="007A006B" w:rsidP="007A006B">
            <w:pPr>
              <w:pStyle w:val="TABELA"/>
              <w:rPr>
                <w:lang w:val="sq-AL"/>
              </w:rPr>
            </w:pPr>
            <w:r w:rsidRPr="00445472">
              <w:rPr>
                <w:lang w:val="sq-AL"/>
              </w:rPr>
              <w:t>Fshati Breglumë, Shalë LGU, Qarku Shkodër</w:t>
            </w:r>
          </w:p>
        </w:tc>
        <w:tc>
          <w:tcPr>
            <w:tcW w:w="3182" w:type="dxa"/>
            <w:shd w:val="clear" w:color="auto" w:fill="auto"/>
            <w:vAlign w:val="center"/>
            <w:hideMark/>
          </w:tcPr>
          <w:p w14:paraId="61AD751D" w14:textId="77777777" w:rsidR="007A006B" w:rsidRPr="00445472" w:rsidRDefault="007A006B" w:rsidP="007A006B">
            <w:pPr>
              <w:pStyle w:val="TABELA"/>
              <w:rPr>
                <w:lang w:val="sq-AL"/>
              </w:rPr>
            </w:pPr>
            <w:r w:rsidRPr="00445472">
              <w:rPr>
                <w:lang w:val="sq-AL"/>
              </w:rPr>
              <w:t>Dyert e Shalës</w:t>
            </w:r>
          </w:p>
        </w:tc>
        <w:tc>
          <w:tcPr>
            <w:tcW w:w="4217" w:type="dxa"/>
            <w:shd w:val="clear" w:color="auto" w:fill="auto"/>
            <w:vAlign w:val="center"/>
            <w:hideMark/>
          </w:tcPr>
          <w:p w14:paraId="5672CC66" w14:textId="77777777" w:rsidR="007A006B" w:rsidRPr="00445472" w:rsidRDefault="007A006B" w:rsidP="007A006B">
            <w:pPr>
              <w:pStyle w:val="TABELA"/>
              <w:rPr>
                <w:lang w:val="sq-AL"/>
              </w:rPr>
            </w:pPr>
            <w:r w:rsidRPr="00445472">
              <w:rPr>
                <w:lang w:val="sq-AL"/>
              </w:rPr>
              <w:t>Një formë e ngjashme me kanionin që është formuar nga aktiviteti korroziv i lumenjve të Shalës në shkëmbinjtë kalçistikë</w:t>
            </w:r>
          </w:p>
        </w:tc>
        <w:tc>
          <w:tcPr>
            <w:tcW w:w="1319" w:type="dxa"/>
            <w:shd w:val="clear" w:color="auto" w:fill="auto"/>
            <w:noWrap/>
            <w:vAlign w:val="center"/>
            <w:hideMark/>
          </w:tcPr>
          <w:p w14:paraId="0D18505B" w14:textId="77777777" w:rsidR="007A006B" w:rsidRPr="00445472" w:rsidRDefault="007A006B" w:rsidP="007A006B">
            <w:pPr>
              <w:pStyle w:val="TABELA"/>
              <w:rPr>
                <w:lang w:val="sq-AL"/>
              </w:rPr>
            </w:pPr>
            <w:r w:rsidRPr="00445472">
              <w:rPr>
                <w:lang w:val="sq-AL"/>
              </w:rPr>
              <w:t>3</w:t>
            </w:r>
          </w:p>
        </w:tc>
      </w:tr>
      <w:tr w:rsidR="007A006B" w:rsidRPr="00445472" w14:paraId="6E1A9D92" w14:textId="77777777" w:rsidTr="00B15A6B">
        <w:trPr>
          <w:trHeight w:val="480"/>
        </w:trPr>
        <w:tc>
          <w:tcPr>
            <w:tcW w:w="593" w:type="dxa"/>
            <w:shd w:val="clear" w:color="auto" w:fill="auto"/>
            <w:vAlign w:val="center"/>
            <w:hideMark/>
          </w:tcPr>
          <w:p w14:paraId="483E6033" w14:textId="77777777" w:rsidR="007A006B" w:rsidRPr="00445472" w:rsidRDefault="007A006B" w:rsidP="007A006B">
            <w:pPr>
              <w:pStyle w:val="TABELA"/>
              <w:rPr>
                <w:lang w:val="sq-AL"/>
              </w:rPr>
            </w:pPr>
            <w:r w:rsidRPr="00445472">
              <w:rPr>
                <w:lang w:val="sq-AL"/>
              </w:rPr>
              <w:t>50</w:t>
            </w:r>
          </w:p>
        </w:tc>
        <w:tc>
          <w:tcPr>
            <w:tcW w:w="670" w:type="dxa"/>
            <w:shd w:val="clear" w:color="auto" w:fill="auto"/>
            <w:noWrap/>
            <w:vAlign w:val="center"/>
            <w:hideMark/>
          </w:tcPr>
          <w:p w14:paraId="1BFD5D78"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61F78F5F"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714413FD" w14:textId="77777777" w:rsidR="007A006B" w:rsidRPr="00445472" w:rsidRDefault="007A006B" w:rsidP="007A006B">
            <w:pPr>
              <w:pStyle w:val="TABELA"/>
              <w:rPr>
                <w:lang w:val="sq-AL"/>
              </w:rPr>
            </w:pPr>
            <w:r w:rsidRPr="00445472">
              <w:rPr>
                <w:lang w:val="sq-AL"/>
              </w:rPr>
              <w:t>Delta e Bunës, në veriperëndim të fshatit Velipojë, Shkodër</w:t>
            </w:r>
          </w:p>
        </w:tc>
        <w:tc>
          <w:tcPr>
            <w:tcW w:w="3182" w:type="dxa"/>
            <w:shd w:val="clear" w:color="auto" w:fill="auto"/>
            <w:vAlign w:val="center"/>
            <w:hideMark/>
          </w:tcPr>
          <w:p w14:paraId="5BBFC100" w14:textId="77777777" w:rsidR="007A006B" w:rsidRPr="00445472" w:rsidRDefault="007A006B" w:rsidP="007A006B">
            <w:pPr>
              <w:pStyle w:val="TABELA"/>
              <w:rPr>
                <w:lang w:val="sq-AL"/>
              </w:rPr>
            </w:pPr>
            <w:r w:rsidRPr="00445472">
              <w:rPr>
                <w:lang w:val="sq-AL"/>
              </w:rPr>
              <w:t>Pyll i ishullit Franc Jozef (ujërat bregdetare)</w:t>
            </w:r>
          </w:p>
        </w:tc>
        <w:tc>
          <w:tcPr>
            <w:tcW w:w="4217" w:type="dxa"/>
            <w:shd w:val="clear" w:color="auto" w:fill="auto"/>
            <w:vAlign w:val="center"/>
            <w:hideMark/>
          </w:tcPr>
          <w:p w14:paraId="665C1303" w14:textId="77777777" w:rsidR="007A006B" w:rsidRPr="00445472" w:rsidRDefault="007A006B" w:rsidP="007A006B">
            <w:pPr>
              <w:pStyle w:val="TABELA"/>
              <w:rPr>
                <w:lang w:val="sq-AL"/>
              </w:rPr>
            </w:pPr>
            <w:r w:rsidRPr="00445472">
              <w:rPr>
                <w:lang w:val="sq-AL"/>
              </w:rPr>
              <w:t>Të pasura në bimësinë e ligatinave. Është gjithashtu një habitat i rëndësishëm për fole</w:t>
            </w:r>
          </w:p>
        </w:tc>
        <w:tc>
          <w:tcPr>
            <w:tcW w:w="1319" w:type="dxa"/>
            <w:shd w:val="clear" w:color="auto" w:fill="auto"/>
            <w:noWrap/>
            <w:vAlign w:val="center"/>
            <w:hideMark/>
          </w:tcPr>
          <w:p w14:paraId="75523726" w14:textId="77777777" w:rsidR="007A006B" w:rsidRPr="00445472" w:rsidRDefault="007A006B" w:rsidP="007A006B">
            <w:pPr>
              <w:pStyle w:val="TABELA"/>
              <w:rPr>
                <w:lang w:val="sq-AL"/>
              </w:rPr>
            </w:pPr>
            <w:r w:rsidRPr="00445472">
              <w:rPr>
                <w:lang w:val="sq-AL"/>
              </w:rPr>
              <w:t>1</w:t>
            </w:r>
          </w:p>
        </w:tc>
      </w:tr>
      <w:tr w:rsidR="007A006B" w:rsidRPr="00445472" w14:paraId="3DE0C568" w14:textId="77777777" w:rsidTr="00B15A6B">
        <w:trPr>
          <w:trHeight w:val="480"/>
        </w:trPr>
        <w:tc>
          <w:tcPr>
            <w:tcW w:w="593" w:type="dxa"/>
            <w:shd w:val="clear" w:color="auto" w:fill="auto"/>
            <w:vAlign w:val="center"/>
            <w:hideMark/>
          </w:tcPr>
          <w:p w14:paraId="0E1BD21E" w14:textId="77777777" w:rsidR="007A006B" w:rsidRPr="00445472" w:rsidRDefault="007A006B" w:rsidP="007A006B">
            <w:pPr>
              <w:pStyle w:val="TABELA"/>
              <w:rPr>
                <w:lang w:val="sq-AL"/>
              </w:rPr>
            </w:pPr>
            <w:r w:rsidRPr="00445472">
              <w:rPr>
                <w:lang w:val="sq-AL"/>
              </w:rPr>
              <w:t>51</w:t>
            </w:r>
          </w:p>
        </w:tc>
        <w:tc>
          <w:tcPr>
            <w:tcW w:w="670" w:type="dxa"/>
            <w:shd w:val="clear" w:color="auto" w:fill="auto"/>
            <w:noWrap/>
            <w:vAlign w:val="center"/>
            <w:hideMark/>
          </w:tcPr>
          <w:p w14:paraId="5C5887E9"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hideMark/>
          </w:tcPr>
          <w:p w14:paraId="4B62ECA1"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2D1CC76A" w14:textId="77777777" w:rsidR="007A006B" w:rsidRPr="00445472" w:rsidRDefault="007A006B" w:rsidP="007A006B">
            <w:pPr>
              <w:pStyle w:val="TABELA"/>
              <w:rPr>
                <w:lang w:val="sq-AL"/>
              </w:rPr>
            </w:pPr>
            <w:r w:rsidRPr="00445472">
              <w:rPr>
                <w:lang w:val="sq-AL"/>
              </w:rPr>
              <w:t>Në afërsi të ishullit Shëngjin</w:t>
            </w:r>
          </w:p>
        </w:tc>
        <w:tc>
          <w:tcPr>
            <w:tcW w:w="3182" w:type="dxa"/>
            <w:shd w:val="clear" w:color="auto" w:fill="auto"/>
            <w:vAlign w:val="center"/>
            <w:hideMark/>
          </w:tcPr>
          <w:p w14:paraId="441AE8B4" w14:textId="77777777" w:rsidR="007A006B" w:rsidRPr="00445472" w:rsidRDefault="007A006B" w:rsidP="007A006B">
            <w:pPr>
              <w:pStyle w:val="TABELA"/>
              <w:rPr>
                <w:lang w:val="sq-AL"/>
              </w:rPr>
            </w:pPr>
            <w:r w:rsidRPr="00445472">
              <w:rPr>
                <w:lang w:val="sq-AL"/>
              </w:rPr>
              <w:t>Delta e Drinit (pranë liqenit të Kashta, në të majtë)</w:t>
            </w:r>
          </w:p>
        </w:tc>
        <w:tc>
          <w:tcPr>
            <w:tcW w:w="4217" w:type="dxa"/>
            <w:shd w:val="clear" w:color="auto" w:fill="auto"/>
            <w:vAlign w:val="center"/>
            <w:hideMark/>
          </w:tcPr>
          <w:p w14:paraId="575E07E6" w14:textId="77777777" w:rsidR="007A006B" w:rsidRPr="00445472" w:rsidRDefault="007A006B" w:rsidP="007A006B">
            <w:pPr>
              <w:pStyle w:val="TABELA"/>
              <w:rPr>
                <w:lang w:val="sq-AL"/>
              </w:rPr>
            </w:pPr>
            <w:r w:rsidRPr="00445472">
              <w:rPr>
                <w:lang w:val="sq-AL"/>
              </w:rPr>
              <w:t>Habitati ligatinor i pasur me faunë. Zogjtë janë më të zakonshmet që rrezikojnë zhdukjen</w:t>
            </w:r>
          </w:p>
        </w:tc>
        <w:tc>
          <w:tcPr>
            <w:tcW w:w="1319" w:type="dxa"/>
            <w:shd w:val="clear" w:color="auto" w:fill="auto"/>
            <w:noWrap/>
            <w:vAlign w:val="center"/>
            <w:hideMark/>
          </w:tcPr>
          <w:p w14:paraId="4D61D979" w14:textId="77777777" w:rsidR="007A006B" w:rsidRPr="00445472" w:rsidRDefault="007A006B" w:rsidP="007A006B">
            <w:pPr>
              <w:pStyle w:val="TABELA"/>
              <w:rPr>
                <w:lang w:val="sq-AL"/>
              </w:rPr>
            </w:pPr>
            <w:r w:rsidRPr="00445472">
              <w:rPr>
                <w:lang w:val="sq-AL"/>
              </w:rPr>
              <w:t>2</w:t>
            </w:r>
          </w:p>
        </w:tc>
      </w:tr>
      <w:tr w:rsidR="007A006B" w:rsidRPr="00445472" w14:paraId="24C4065C" w14:textId="77777777" w:rsidTr="00B15A6B">
        <w:trPr>
          <w:trHeight w:val="720"/>
        </w:trPr>
        <w:tc>
          <w:tcPr>
            <w:tcW w:w="593" w:type="dxa"/>
            <w:shd w:val="clear" w:color="auto" w:fill="auto"/>
            <w:vAlign w:val="center"/>
            <w:hideMark/>
          </w:tcPr>
          <w:p w14:paraId="73020770" w14:textId="77777777" w:rsidR="007A006B" w:rsidRPr="00445472" w:rsidRDefault="007A006B" w:rsidP="007A006B">
            <w:pPr>
              <w:pStyle w:val="TABELA"/>
              <w:rPr>
                <w:lang w:val="sq-AL"/>
              </w:rPr>
            </w:pPr>
            <w:r w:rsidRPr="00445472">
              <w:rPr>
                <w:lang w:val="sq-AL"/>
              </w:rPr>
              <w:t>53</w:t>
            </w:r>
          </w:p>
        </w:tc>
        <w:tc>
          <w:tcPr>
            <w:tcW w:w="670" w:type="dxa"/>
            <w:shd w:val="clear" w:color="auto" w:fill="auto"/>
            <w:noWrap/>
            <w:vAlign w:val="center"/>
            <w:hideMark/>
          </w:tcPr>
          <w:p w14:paraId="2FE439AB"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618510D6" w14:textId="77777777" w:rsidR="007A006B" w:rsidRPr="00445472" w:rsidRDefault="007A006B" w:rsidP="007A006B">
            <w:pPr>
              <w:pStyle w:val="TABELA"/>
              <w:rPr>
                <w:lang w:val="sq-AL"/>
              </w:rPr>
            </w:pPr>
            <w:r w:rsidRPr="00445472">
              <w:rPr>
                <w:lang w:val="sq-AL"/>
              </w:rPr>
              <w:t>Dibër</w:t>
            </w:r>
          </w:p>
        </w:tc>
        <w:tc>
          <w:tcPr>
            <w:tcW w:w="2968" w:type="dxa"/>
            <w:shd w:val="clear" w:color="auto" w:fill="auto"/>
            <w:vAlign w:val="center"/>
            <w:hideMark/>
          </w:tcPr>
          <w:p w14:paraId="48E3D907" w14:textId="77777777" w:rsidR="007A006B" w:rsidRPr="00445472" w:rsidRDefault="007A006B" w:rsidP="007A006B">
            <w:pPr>
              <w:pStyle w:val="TABELA"/>
              <w:rPr>
                <w:lang w:val="sq-AL"/>
              </w:rPr>
            </w:pPr>
            <w:r w:rsidRPr="00445472">
              <w:rPr>
                <w:lang w:val="sq-AL"/>
              </w:rPr>
              <w:t>Në afërsi të fshatit Grudë-Fushë Village, Gruemirë, Malësi e Madhe</w:t>
            </w:r>
          </w:p>
        </w:tc>
        <w:tc>
          <w:tcPr>
            <w:tcW w:w="3182" w:type="dxa"/>
            <w:shd w:val="clear" w:color="auto" w:fill="auto"/>
            <w:vAlign w:val="center"/>
            <w:hideMark/>
          </w:tcPr>
          <w:p w14:paraId="6809C1F9" w14:textId="77777777" w:rsidR="007A006B" w:rsidRPr="00445472" w:rsidRDefault="007A006B" w:rsidP="007A006B">
            <w:pPr>
              <w:pStyle w:val="TABELA"/>
              <w:rPr>
                <w:lang w:val="sq-AL"/>
              </w:rPr>
            </w:pPr>
            <w:r w:rsidRPr="00445472">
              <w:rPr>
                <w:lang w:val="sq-AL"/>
              </w:rPr>
              <w:t>Burimi (syri)  i Gjonit</w:t>
            </w:r>
          </w:p>
        </w:tc>
        <w:tc>
          <w:tcPr>
            <w:tcW w:w="4217" w:type="dxa"/>
            <w:shd w:val="clear" w:color="auto" w:fill="auto"/>
            <w:vAlign w:val="center"/>
            <w:hideMark/>
          </w:tcPr>
          <w:p w14:paraId="596364E4" w14:textId="77777777" w:rsidR="007A006B" w:rsidRPr="00445472" w:rsidRDefault="007A006B" w:rsidP="007A006B">
            <w:pPr>
              <w:pStyle w:val="TABELA"/>
              <w:rPr>
                <w:lang w:val="sq-AL"/>
              </w:rPr>
            </w:pPr>
            <w:r w:rsidRPr="00445472">
              <w:rPr>
                <w:lang w:val="sq-AL"/>
              </w:rPr>
              <w:t>Burim Karstik. Përdoret për të pirë ujë dhe për ujitje. I pasur në florën ujore në sipërfaqe</w:t>
            </w:r>
          </w:p>
        </w:tc>
        <w:tc>
          <w:tcPr>
            <w:tcW w:w="1319" w:type="dxa"/>
            <w:shd w:val="clear" w:color="auto" w:fill="auto"/>
            <w:noWrap/>
            <w:vAlign w:val="center"/>
            <w:hideMark/>
          </w:tcPr>
          <w:p w14:paraId="55226D32" w14:textId="77777777" w:rsidR="007A006B" w:rsidRPr="00445472" w:rsidRDefault="007A006B" w:rsidP="007A006B">
            <w:pPr>
              <w:pStyle w:val="TABELA"/>
              <w:rPr>
                <w:lang w:val="sq-AL"/>
              </w:rPr>
            </w:pPr>
            <w:r w:rsidRPr="00445472">
              <w:rPr>
                <w:lang w:val="sq-AL"/>
              </w:rPr>
              <w:t>1</w:t>
            </w:r>
          </w:p>
        </w:tc>
      </w:tr>
      <w:tr w:rsidR="007A006B" w:rsidRPr="00445472" w14:paraId="72502A14" w14:textId="77777777" w:rsidTr="00B15A6B">
        <w:trPr>
          <w:trHeight w:val="720"/>
        </w:trPr>
        <w:tc>
          <w:tcPr>
            <w:tcW w:w="593" w:type="dxa"/>
            <w:shd w:val="clear" w:color="auto" w:fill="auto"/>
            <w:vAlign w:val="center"/>
            <w:hideMark/>
          </w:tcPr>
          <w:p w14:paraId="0F34C02E" w14:textId="77777777" w:rsidR="007A006B" w:rsidRPr="00445472" w:rsidRDefault="007A006B" w:rsidP="007A006B">
            <w:pPr>
              <w:pStyle w:val="TABELA"/>
              <w:rPr>
                <w:lang w:val="sq-AL"/>
              </w:rPr>
            </w:pPr>
            <w:r w:rsidRPr="00445472">
              <w:rPr>
                <w:lang w:val="sq-AL"/>
              </w:rPr>
              <w:t>54</w:t>
            </w:r>
          </w:p>
        </w:tc>
        <w:tc>
          <w:tcPr>
            <w:tcW w:w="670" w:type="dxa"/>
            <w:shd w:val="clear" w:color="auto" w:fill="auto"/>
            <w:noWrap/>
            <w:vAlign w:val="center"/>
            <w:hideMark/>
          </w:tcPr>
          <w:p w14:paraId="75BD667F"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7E120268"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13F33BC2" w14:textId="58753DA4" w:rsidR="007A006B" w:rsidRPr="00445472" w:rsidRDefault="007A006B" w:rsidP="007A006B">
            <w:pPr>
              <w:pStyle w:val="TABELA"/>
              <w:rPr>
                <w:lang w:val="sq-AL"/>
              </w:rPr>
            </w:pPr>
            <w:r w:rsidRPr="00445472">
              <w:rPr>
                <w:lang w:val="sq-AL"/>
              </w:rPr>
              <w:t xml:space="preserve">Në afërsi të fshatit Kosan, </w:t>
            </w:r>
            <w:r w:rsidR="00034FBB">
              <w:rPr>
                <w:lang w:val="sq-AL"/>
              </w:rPr>
              <w:t>NJQV</w:t>
            </w:r>
            <w:r w:rsidRPr="00445472">
              <w:rPr>
                <w:lang w:val="sq-AL"/>
              </w:rPr>
              <w:t xml:space="preserve"> Bajzë, Qarku Malësi e Madhe, pranë Liqenit të Shkodrës</w:t>
            </w:r>
          </w:p>
        </w:tc>
        <w:tc>
          <w:tcPr>
            <w:tcW w:w="3182" w:type="dxa"/>
            <w:shd w:val="clear" w:color="auto" w:fill="auto"/>
            <w:vAlign w:val="center"/>
            <w:hideMark/>
          </w:tcPr>
          <w:p w14:paraId="75482B35" w14:textId="77777777" w:rsidR="007A006B" w:rsidRPr="00445472" w:rsidRDefault="007A006B" w:rsidP="007A006B">
            <w:pPr>
              <w:pStyle w:val="TABELA"/>
              <w:rPr>
                <w:lang w:val="sq-AL"/>
              </w:rPr>
            </w:pPr>
            <w:r w:rsidRPr="00445472">
              <w:rPr>
                <w:lang w:val="sq-AL"/>
              </w:rPr>
              <w:t>Syri i Sheganit (Sifoni i Virit)</w:t>
            </w:r>
          </w:p>
        </w:tc>
        <w:tc>
          <w:tcPr>
            <w:tcW w:w="4217" w:type="dxa"/>
            <w:shd w:val="clear" w:color="auto" w:fill="auto"/>
            <w:vAlign w:val="center"/>
            <w:hideMark/>
          </w:tcPr>
          <w:p w14:paraId="6CAE971F" w14:textId="77777777" w:rsidR="007A006B" w:rsidRPr="00445472" w:rsidRDefault="007A006B" w:rsidP="007A006B">
            <w:pPr>
              <w:pStyle w:val="TABELA"/>
              <w:rPr>
                <w:lang w:val="sq-AL"/>
              </w:rPr>
            </w:pPr>
            <w:r w:rsidRPr="00445472">
              <w:rPr>
                <w:lang w:val="sq-AL"/>
              </w:rPr>
              <w:t>Burim Karstik. Ka lloje të peshqve dhe specie të tjera në ujërat e burimit</w:t>
            </w:r>
          </w:p>
        </w:tc>
        <w:tc>
          <w:tcPr>
            <w:tcW w:w="1319" w:type="dxa"/>
            <w:shd w:val="clear" w:color="auto" w:fill="auto"/>
            <w:noWrap/>
            <w:vAlign w:val="center"/>
            <w:hideMark/>
          </w:tcPr>
          <w:p w14:paraId="00E87EAC" w14:textId="77777777" w:rsidR="007A006B" w:rsidRPr="00445472" w:rsidRDefault="007A006B" w:rsidP="007A006B">
            <w:pPr>
              <w:pStyle w:val="TABELA"/>
              <w:rPr>
                <w:lang w:val="sq-AL"/>
              </w:rPr>
            </w:pPr>
            <w:r w:rsidRPr="00445472">
              <w:rPr>
                <w:lang w:val="sq-AL"/>
              </w:rPr>
              <w:t>2</w:t>
            </w:r>
          </w:p>
        </w:tc>
      </w:tr>
      <w:tr w:rsidR="007A006B" w:rsidRPr="00445472" w14:paraId="4F88E8D3" w14:textId="77777777" w:rsidTr="00B15A6B">
        <w:trPr>
          <w:trHeight w:val="720"/>
        </w:trPr>
        <w:tc>
          <w:tcPr>
            <w:tcW w:w="593" w:type="dxa"/>
            <w:shd w:val="clear" w:color="auto" w:fill="auto"/>
            <w:vAlign w:val="center"/>
            <w:hideMark/>
          </w:tcPr>
          <w:p w14:paraId="086B37CF" w14:textId="77777777" w:rsidR="007A006B" w:rsidRPr="00445472" w:rsidRDefault="007A006B" w:rsidP="007A006B">
            <w:pPr>
              <w:pStyle w:val="TABELA"/>
              <w:rPr>
                <w:lang w:val="sq-AL"/>
              </w:rPr>
            </w:pPr>
            <w:r w:rsidRPr="00445472">
              <w:rPr>
                <w:lang w:val="sq-AL"/>
              </w:rPr>
              <w:t>55</w:t>
            </w:r>
          </w:p>
        </w:tc>
        <w:tc>
          <w:tcPr>
            <w:tcW w:w="670" w:type="dxa"/>
            <w:shd w:val="clear" w:color="auto" w:fill="auto"/>
            <w:noWrap/>
            <w:vAlign w:val="center"/>
            <w:hideMark/>
          </w:tcPr>
          <w:p w14:paraId="1448A67E"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4227DC48" w14:textId="77777777" w:rsidR="007A006B" w:rsidRPr="00445472" w:rsidRDefault="007A006B" w:rsidP="007A006B">
            <w:pPr>
              <w:pStyle w:val="TABELA"/>
              <w:rPr>
                <w:lang w:val="sq-AL"/>
              </w:rPr>
            </w:pPr>
            <w:r w:rsidRPr="00445472">
              <w:rPr>
                <w:lang w:val="sq-AL"/>
              </w:rPr>
              <w:t>Kukës</w:t>
            </w:r>
          </w:p>
        </w:tc>
        <w:tc>
          <w:tcPr>
            <w:tcW w:w="2968" w:type="dxa"/>
            <w:shd w:val="clear" w:color="auto" w:fill="auto"/>
            <w:vAlign w:val="center"/>
            <w:hideMark/>
          </w:tcPr>
          <w:p w14:paraId="0E3A8BF4" w14:textId="7ED9C1A1" w:rsidR="007A006B" w:rsidRPr="00445472" w:rsidRDefault="007A006B" w:rsidP="00E14B89">
            <w:pPr>
              <w:pStyle w:val="TABELA"/>
              <w:rPr>
                <w:lang w:val="sq-AL"/>
              </w:rPr>
            </w:pPr>
            <w:r w:rsidRPr="00445472">
              <w:rPr>
                <w:lang w:val="sq-AL"/>
              </w:rPr>
              <w:t>Afër qendrës së fshatit Kryezi, Qafë</w:t>
            </w:r>
            <w:r w:rsidR="00E14B89">
              <w:rPr>
                <w:lang w:val="sq-AL"/>
              </w:rPr>
              <w:t>m</w:t>
            </w:r>
            <w:r w:rsidRPr="00445472">
              <w:rPr>
                <w:lang w:val="sq-AL"/>
              </w:rPr>
              <w:t xml:space="preserve">ali </w:t>
            </w:r>
            <w:r w:rsidR="00034FBB">
              <w:rPr>
                <w:lang w:val="sq-AL"/>
              </w:rPr>
              <w:t>NJQV</w:t>
            </w:r>
            <w:r w:rsidRPr="00445472">
              <w:rPr>
                <w:lang w:val="sq-AL"/>
              </w:rPr>
              <w:t>, Qarku Pukë</w:t>
            </w:r>
          </w:p>
        </w:tc>
        <w:tc>
          <w:tcPr>
            <w:tcW w:w="3182" w:type="dxa"/>
            <w:shd w:val="clear" w:color="auto" w:fill="auto"/>
            <w:vAlign w:val="center"/>
            <w:hideMark/>
          </w:tcPr>
          <w:p w14:paraId="7717C24A" w14:textId="77777777" w:rsidR="007A006B" w:rsidRPr="00445472" w:rsidRDefault="007A006B" w:rsidP="007A006B">
            <w:pPr>
              <w:pStyle w:val="TABELA"/>
              <w:rPr>
                <w:lang w:val="sq-AL"/>
              </w:rPr>
            </w:pPr>
            <w:r w:rsidRPr="00445472">
              <w:rPr>
                <w:lang w:val="sq-AL"/>
              </w:rPr>
              <w:t>Ujëvara e Kryeziut</w:t>
            </w:r>
          </w:p>
        </w:tc>
        <w:tc>
          <w:tcPr>
            <w:tcW w:w="4217" w:type="dxa"/>
            <w:shd w:val="clear" w:color="auto" w:fill="auto"/>
            <w:vAlign w:val="center"/>
            <w:hideMark/>
          </w:tcPr>
          <w:p w14:paraId="658588FE" w14:textId="77777777" w:rsidR="007A006B" w:rsidRPr="00445472" w:rsidRDefault="007A006B" w:rsidP="007A006B">
            <w:pPr>
              <w:pStyle w:val="TABELA"/>
              <w:rPr>
                <w:lang w:val="sq-AL"/>
              </w:rPr>
            </w:pPr>
            <w:r w:rsidRPr="00445472">
              <w:rPr>
                <w:lang w:val="sq-AL"/>
              </w:rPr>
              <w:t>Ujëvara e formuar nga ujërat e burimit të Oroshit në shkëmbinjtë magmatikë</w:t>
            </w:r>
          </w:p>
        </w:tc>
        <w:tc>
          <w:tcPr>
            <w:tcW w:w="1319" w:type="dxa"/>
            <w:shd w:val="clear" w:color="auto" w:fill="auto"/>
            <w:noWrap/>
            <w:vAlign w:val="center"/>
            <w:hideMark/>
          </w:tcPr>
          <w:p w14:paraId="4EE558B5" w14:textId="77777777" w:rsidR="007A006B" w:rsidRPr="00445472" w:rsidRDefault="007A006B" w:rsidP="007A006B">
            <w:pPr>
              <w:pStyle w:val="TABELA"/>
              <w:rPr>
                <w:lang w:val="sq-AL"/>
              </w:rPr>
            </w:pPr>
            <w:r w:rsidRPr="00445472">
              <w:rPr>
                <w:lang w:val="sq-AL"/>
              </w:rPr>
              <w:t>2</w:t>
            </w:r>
          </w:p>
        </w:tc>
      </w:tr>
      <w:tr w:rsidR="007A006B" w:rsidRPr="00445472" w14:paraId="4265EEAC" w14:textId="77777777" w:rsidTr="00B15A6B">
        <w:trPr>
          <w:trHeight w:val="480"/>
        </w:trPr>
        <w:tc>
          <w:tcPr>
            <w:tcW w:w="593" w:type="dxa"/>
            <w:shd w:val="clear" w:color="auto" w:fill="auto"/>
            <w:vAlign w:val="center"/>
            <w:hideMark/>
          </w:tcPr>
          <w:p w14:paraId="5258D505" w14:textId="77777777" w:rsidR="007A006B" w:rsidRPr="00445472" w:rsidRDefault="007A006B" w:rsidP="007A006B">
            <w:pPr>
              <w:pStyle w:val="TABELA"/>
              <w:rPr>
                <w:lang w:val="sq-AL"/>
              </w:rPr>
            </w:pPr>
            <w:r w:rsidRPr="00445472">
              <w:rPr>
                <w:lang w:val="sq-AL"/>
              </w:rPr>
              <w:t>57</w:t>
            </w:r>
          </w:p>
        </w:tc>
        <w:tc>
          <w:tcPr>
            <w:tcW w:w="670" w:type="dxa"/>
            <w:shd w:val="clear" w:color="auto" w:fill="auto"/>
            <w:noWrap/>
            <w:vAlign w:val="center"/>
            <w:hideMark/>
          </w:tcPr>
          <w:p w14:paraId="34F11003" w14:textId="77777777" w:rsidR="007A006B" w:rsidRPr="00445472" w:rsidRDefault="007A006B" w:rsidP="007A006B">
            <w:pPr>
              <w:pStyle w:val="TABELA"/>
              <w:rPr>
                <w:lang w:val="sq-AL"/>
              </w:rPr>
            </w:pPr>
            <w:r w:rsidRPr="00445472">
              <w:rPr>
                <w:lang w:val="sq-AL"/>
              </w:rPr>
              <w:t>III</w:t>
            </w:r>
          </w:p>
        </w:tc>
        <w:tc>
          <w:tcPr>
            <w:tcW w:w="1601" w:type="dxa"/>
            <w:shd w:val="clear" w:color="auto" w:fill="auto"/>
            <w:noWrap/>
            <w:vAlign w:val="center"/>
            <w:hideMark/>
          </w:tcPr>
          <w:p w14:paraId="1F000BD9" w14:textId="77777777" w:rsidR="007A006B" w:rsidRPr="00445472" w:rsidRDefault="007A006B" w:rsidP="007A006B">
            <w:pPr>
              <w:pStyle w:val="TABELA"/>
              <w:rPr>
                <w:lang w:val="sq-AL"/>
              </w:rPr>
            </w:pPr>
            <w:r w:rsidRPr="00445472">
              <w:rPr>
                <w:lang w:val="sq-AL"/>
              </w:rPr>
              <w:t>Shkodër</w:t>
            </w:r>
          </w:p>
        </w:tc>
        <w:tc>
          <w:tcPr>
            <w:tcW w:w="2968" w:type="dxa"/>
            <w:shd w:val="clear" w:color="auto" w:fill="auto"/>
            <w:vAlign w:val="center"/>
            <w:hideMark/>
          </w:tcPr>
          <w:p w14:paraId="5FD3459E" w14:textId="2CC3E0E4" w:rsidR="007A006B" w:rsidRPr="00445472" w:rsidRDefault="007A006B" w:rsidP="007A006B">
            <w:pPr>
              <w:pStyle w:val="TABELA"/>
              <w:rPr>
                <w:lang w:val="sq-AL"/>
              </w:rPr>
            </w:pPr>
            <w:r w:rsidRPr="00445472">
              <w:rPr>
                <w:lang w:val="sq-AL"/>
              </w:rPr>
              <w:t xml:space="preserve">Në afërsi të fshatit Theth Village, </w:t>
            </w:r>
            <w:r w:rsidR="00034FBB">
              <w:rPr>
                <w:lang w:val="sq-AL"/>
              </w:rPr>
              <w:t>NJQV</w:t>
            </w:r>
            <w:r w:rsidRPr="00445472">
              <w:rPr>
                <w:lang w:val="sq-AL"/>
              </w:rPr>
              <w:t xml:space="preserve"> Shalë, Qarku Shkodër</w:t>
            </w:r>
          </w:p>
        </w:tc>
        <w:tc>
          <w:tcPr>
            <w:tcW w:w="3182" w:type="dxa"/>
            <w:shd w:val="clear" w:color="auto" w:fill="auto"/>
            <w:vAlign w:val="center"/>
            <w:hideMark/>
          </w:tcPr>
          <w:p w14:paraId="4722AAAB" w14:textId="77777777" w:rsidR="007A006B" w:rsidRPr="00445472" w:rsidRDefault="007A006B" w:rsidP="007A006B">
            <w:pPr>
              <w:pStyle w:val="TABELA"/>
              <w:rPr>
                <w:lang w:val="sq-AL"/>
              </w:rPr>
            </w:pPr>
            <w:r w:rsidRPr="00445472">
              <w:rPr>
                <w:lang w:val="sq-AL"/>
              </w:rPr>
              <w:t>Ujëvara e Thethit</w:t>
            </w:r>
          </w:p>
        </w:tc>
        <w:tc>
          <w:tcPr>
            <w:tcW w:w="4217" w:type="dxa"/>
            <w:shd w:val="clear" w:color="auto" w:fill="auto"/>
            <w:vAlign w:val="center"/>
            <w:hideMark/>
          </w:tcPr>
          <w:p w14:paraId="17FA4E05" w14:textId="77777777" w:rsidR="007A006B" w:rsidRPr="00445472" w:rsidRDefault="007A006B" w:rsidP="007A006B">
            <w:pPr>
              <w:pStyle w:val="TABELA"/>
              <w:rPr>
                <w:lang w:val="sq-AL"/>
              </w:rPr>
            </w:pPr>
            <w:r w:rsidRPr="00445472">
              <w:rPr>
                <w:lang w:val="sq-AL"/>
              </w:rPr>
              <w:t>Burim Karstik</w:t>
            </w:r>
          </w:p>
        </w:tc>
        <w:tc>
          <w:tcPr>
            <w:tcW w:w="1319" w:type="dxa"/>
            <w:shd w:val="clear" w:color="auto" w:fill="auto"/>
            <w:noWrap/>
            <w:vAlign w:val="center"/>
            <w:hideMark/>
          </w:tcPr>
          <w:p w14:paraId="788FDEDE" w14:textId="77777777" w:rsidR="007A006B" w:rsidRPr="00445472" w:rsidRDefault="007A006B" w:rsidP="007A006B">
            <w:pPr>
              <w:pStyle w:val="TABELA"/>
              <w:rPr>
                <w:lang w:val="sq-AL"/>
              </w:rPr>
            </w:pPr>
            <w:r w:rsidRPr="00445472">
              <w:rPr>
                <w:lang w:val="sq-AL"/>
              </w:rPr>
              <w:t>2</w:t>
            </w:r>
          </w:p>
        </w:tc>
      </w:tr>
    </w:tbl>
    <w:p w14:paraId="240615FF" w14:textId="1886A018" w:rsidR="007A006B" w:rsidRPr="00445472" w:rsidRDefault="007A006B" w:rsidP="008E5C66">
      <w:pPr>
        <w:pStyle w:val="TEKSTIIII"/>
      </w:pPr>
    </w:p>
    <w:p w14:paraId="25DA1D2D" w14:textId="77777777" w:rsidR="009D7681" w:rsidRPr="00445472" w:rsidRDefault="009D7681" w:rsidP="008E5C66">
      <w:pPr>
        <w:pStyle w:val="TEKSTIIII"/>
        <w:sectPr w:rsidR="009D7681" w:rsidRPr="00445472" w:rsidSect="007A006B">
          <w:pgSz w:w="16839" w:h="11907" w:orient="landscape" w:code="9"/>
          <w:pgMar w:top="1418" w:right="1418" w:bottom="1418" w:left="1418" w:header="1304" w:footer="1134" w:gutter="0"/>
          <w:cols w:space="720"/>
          <w:docGrid w:linePitch="360"/>
        </w:sectPr>
      </w:pPr>
    </w:p>
    <w:p w14:paraId="3B9E04CA" w14:textId="2B23B30A" w:rsidR="009D7681" w:rsidRPr="00445472" w:rsidRDefault="009D7681" w:rsidP="009D7681">
      <w:pPr>
        <w:pStyle w:val="TEKSTIIII"/>
        <w:rPr>
          <w:b/>
        </w:rPr>
      </w:pPr>
      <w:bookmarkStart w:id="132" w:name="_Toc11068810"/>
      <w:r w:rsidRPr="00445472">
        <w:rPr>
          <w:b/>
        </w:rPr>
        <w:t xml:space="preserve">7. Statusi i </w:t>
      </w:r>
      <w:r w:rsidR="005E3EC9" w:rsidRPr="00445472">
        <w:rPr>
          <w:b/>
        </w:rPr>
        <w:t>ujit</w:t>
      </w:r>
      <w:bookmarkEnd w:id="132"/>
    </w:p>
    <w:p w14:paraId="382A9120" w14:textId="34DFCA5B" w:rsidR="009D7681" w:rsidRPr="00445472" w:rsidRDefault="009D7681" w:rsidP="009D7681">
      <w:pPr>
        <w:pStyle w:val="TEKSTIIII"/>
        <w:rPr>
          <w:b/>
        </w:rPr>
      </w:pPr>
      <w:bookmarkStart w:id="133" w:name="_Toc485715732"/>
      <w:bookmarkStart w:id="134" w:name="_TOC_250032"/>
      <w:bookmarkStart w:id="135" w:name="_Toc11068811"/>
      <w:r w:rsidRPr="00445472">
        <w:rPr>
          <w:b/>
        </w:rPr>
        <w:t xml:space="preserve">7.1 Monitorimi i </w:t>
      </w:r>
      <w:r w:rsidR="005E3EC9" w:rsidRPr="00445472">
        <w:rPr>
          <w:b/>
        </w:rPr>
        <w:t>cilësisë së ujit sipërfaqësor</w:t>
      </w:r>
      <w:bookmarkEnd w:id="133"/>
      <w:bookmarkEnd w:id="134"/>
      <w:bookmarkEnd w:id="135"/>
    </w:p>
    <w:p w14:paraId="540E4700" w14:textId="2A0B97D8" w:rsidR="009D7681" w:rsidRPr="00445472" w:rsidRDefault="009D7681" w:rsidP="009D7681">
      <w:pPr>
        <w:pStyle w:val="TEKSTIIII"/>
      </w:pPr>
      <w:bookmarkStart w:id="136" w:name="_Toc11068812"/>
      <w:r w:rsidRPr="00445472">
        <w:t xml:space="preserve">7.1.1 Përmbledhje e cilësisë së ujërave sipërfaqësorë të lumenjve në Basenin Ujor </w:t>
      </w:r>
      <w:r w:rsidR="007E76E3" w:rsidRPr="00445472">
        <w:t>Drin–Bunë</w:t>
      </w:r>
      <w:r w:rsidRPr="00445472">
        <w:t xml:space="preserve"> në vitin 2015</w:t>
      </w:r>
      <w:bookmarkEnd w:id="136"/>
    </w:p>
    <w:p w14:paraId="42C6A4B0" w14:textId="4C073CE8" w:rsidR="009D7681" w:rsidRPr="00445472" w:rsidRDefault="009D7681" w:rsidP="009D7681">
      <w:pPr>
        <w:pStyle w:val="TEKSTIIII"/>
      </w:pPr>
      <w:r w:rsidRPr="00445472">
        <w:t>Vlerësimi i cilësisë së ujit në sipërfaqe bazohet në analizën e bazës së të dhënave të cilësisë së ujit ekzistuese. Kjo përfshin identifikimin e shkaqeve të problemeve të cilësisë së ujit, duke përfshirë çështjet e ndotjes industriale dhe bujqësore</w:t>
      </w:r>
      <w:r w:rsidR="008F0A9F" w:rsidRPr="00445472">
        <w:t>, si dhe</w:t>
      </w:r>
      <w:r w:rsidRPr="00445472">
        <w:t xml:space="preserve"> degradimin e ujërave të sipërm si burime të ngarkesës së sedimenteve në basen.</w:t>
      </w:r>
    </w:p>
    <w:p w14:paraId="59A8DE09" w14:textId="639C0C26" w:rsidR="009D7681" w:rsidRPr="00445472" w:rsidRDefault="009D7681" w:rsidP="009D7681">
      <w:pPr>
        <w:pStyle w:val="TEKSTIIII"/>
      </w:pPr>
      <w:r w:rsidRPr="00445472">
        <w:t xml:space="preserve">Rezultatet e monitorimit për vitin 2015 për Basenin Ujor </w:t>
      </w:r>
      <w:r w:rsidR="007E76E3" w:rsidRPr="00445472">
        <w:t>Drin–Bunë</w:t>
      </w:r>
      <w:r w:rsidRPr="00445472">
        <w:t xml:space="preserve"> janë paraqitur në </w:t>
      </w:r>
      <w:r w:rsidR="005E3EC9" w:rsidRPr="00445472">
        <w:t xml:space="preserve">tabelën </w:t>
      </w:r>
      <w:r w:rsidRPr="00445472">
        <w:t>7.1.</w:t>
      </w:r>
    </w:p>
    <w:p w14:paraId="3E5AE0E7" w14:textId="77777777" w:rsidR="009D7681" w:rsidRPr="00445472" w:rsidRDefault="009D7681" w:rsidP="009D7681">
      <w:pPr>
        <w:pStyle w:val="TEKSTIIII"/>
        <w:rPr>
          <w:b/>
        </w:rPr>
      </w:pPr>
    </w:p>
    <w:p w14:paraId="3F72CB65" w14:textId="07069E9E" w:rsidR="009D7681" w:rsidRPr="00445472" w:rsidRDefault="009D7681" w:rsidP="009D7681">
      <w:pPr>
        <w:pStyle w:val="TEKSTIIII"/>
        <w:rPr>
          <w:b/>
          <w:sz w:val="13"/>
        </w:rPr>
      </w:pPr>
      <w:r w:rsidRPr="00445472">
        <w:rPr>
          <w:b/>
        </w:rPr>
        <w:t xml:space="preserve">Tabela 7.1: Rezultatet e monitorimit të sipërfaqes për Basenin Ujor </w:t>
      </w:r>
      <w:r w:rsidR="007E76E3" w:rsidRPr="00445472">
        <w:rPr>
          <w:b/>
        </w:rPr>
        <w:t>Drin–Bunë</w:t>
      </w:r>
      <w:r w:rsidRPr="00445472">
        <w:rPr>
          <w:b/>
        </w:rPr>
        <w:t xml:space="preserve"> në 2015 (të gjitha njësitë si mg/l)</w:t>
      </w:r>
      <w:r w:rsidRPr="00445472">
        <w:rPr>
          <w:rStyle w:val="FootnoteReference"/>
          <w:rFonts w:ascii="Garamond" w:hAnsi="Garamond"/>
          <w:b/>
          <w:color w:val="auto"/>
        </w:rPr>
        <w:footnoteReference w:id="126"/>
      </w:r>
    </w:p>
    <w:tbl>
      <w:tblPr>
        <w:tblW w:w="0" w:type="auto"/>
        <w:jc w:val="center"/>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1276"/>
        <w:gridCol w:w="709"/>
        <w:gridCol w:w="2429"/>
        <w:gridCol w:w="494"/>
        <w:gridCol w:w="773"/>
        <w:gridCol w:w="715"/>
        <w:gridCol w:w="725"/>
        <w:gridCol w:w="589"/>
        <w:gridCol w:w="840"/>
        <w:gridCol w:w="749"/>
      </w:tblGrid>
      <w:tr w:rsidR="009D7681" w:rsidRPr="00445472" w14:paraId="79B09F0A" w14:textId="77777777" w:rsidTr="00B15A6B">
        <w:trPr>
          <w:trHeight w:val="520"/>
          <w:jc w:val="center"/>
        </w:trPr>
        <w:tc>
          <w:tcPr>
            <w:tcW w:w="1276" w:type="dxa"/>
            <w:vMerge w:val="restart"/>
            <w:vAlign w:val="center"/>
          </w:tcPr>
          <w:p w14:paraId="31F1B47D" w14:textId="24B7257B" w:rsidR="009D7681" w:rsidRPr="00445472" w:rsidRDefault="009D7681" w:rsidP="009D7681">
            <w:pPr>
              <w:pStyle w:val="TABELA"/>
              <w:rPr>
                <w:b/>
                <w:sz w:val="18"/>
                <w:szCs w:val="18"/>
                <w:lang w:val="sq-AL"/>
              </w:rPr>
            </w:pPr>
            <w:r w:rsidRPr="00445472">
              <w:rPr>
                <w:b/>
                <w:sz w:val="18"/>
                <w:szCs w:val="18"/>
                <w:lang w:val="sq-AL"/>
              </w:rPr>
              <w:t xml:space="preserve">Baseni Ujor  </w:t>
            </w:r>
            <w:r w:rsidR="007E76E3" w:rsidRPr="00445472">
              <w:rPr>
                <w:b/>
                <w:sz w:val="18"/>
                <w:szCs w:val="18"/>
                <w:lang w:val="sq-AL"/>
              </w:rPr>
              <w:t>Drin–Bunë</w:t>
            </w:r>
            <w:r w:rsidRPr="00445472">
              <w:rPr>
                <w:b/>
                <w:sz w:val="18"/>
                <w:szCs w:val="18"/>
                <w:lang w:val="sq-AL"/>
              </w:rPr>
              <w:t xml:space="preserve"> </w:t>
            </w:r>
          </w:p>
        </w:tc>
        <w:tc>
          <w:tcPr>
            <w:tcW w:w="709" w:type="dxa"/>
            <w:vAlign w:val="center"/>
          </w:tcPr>
          <w:p w14:paraId="20A5EE3D" w14:textId="77777777" w:rsidR="009D7681" w:rsidRPr="00445472" w:rsidRDefault="009D7681" w:rsidP="009D7681">
            <w:pPr>
              <w:pStyle w:val="TABELA"/>
              <w:rPr>
                <w:b/>
                <w:sz w:val="18"/>
                <w:szCs w:val="18"/>
                <w:lang w:val="sq-AL"/>
              </w:rPr>
            </w:pPr>
            <w:r w:rsidRPr="00445472">
              <w:rPr>
                <w:b/>
                <w:sz w:val="18"/>
                <w:szCs w:val="18"/>
                <w:lang w:val="sq-AL"/>
              </w:rPr>
              <w:t>Kodi</w:t>
            </w:r>
          </w:p>
        </w:tc>
        <w:tc>
          <w:tcPr>
            <w:tcW w:w="2429" w:type="dxa"/>
            <w:vAlign w:val="center"/>
          </w:tcPr>
          <w:p w14:paraId="18B150EF" w14:textId="77777777" w:rsidR="009D7681" w:rsidRPr="00445472" w:rsidRDefault="009D7681" w:rsidP="009D7681">
            <w:pPr>
              <w:pStyle w:val="TABELA"/>
              <w:rPr>
                <w:b/>
                <w:sz w:val="18"/>
                <w:szCs w:val="18"/>
                <w:lang w:val="sq-AL"/>
              </w:rPr>
            </w:pPr>
            <w:r w:rsidRPr="00445472">
              <w:rPr>
                <w:b/>
                <w:sz w:val="18"/>
                <w:szCs w:val="18"/>
                <w:lang w:val="sq-AL"/>
              </w:rPr>
              <w:t>Stacionet</w:t>
            </w:r>
          </w:p>
        </w:tc>
        <w:tc>
          <w:tcPr>
            <w:tcW w:w="494" w:type="dxa"/>
            <w:vAlign w:val="center"/>
          </w:tcPr>
          <w:p w14:paraId="657AB232" w14:textId="77777777" w:rsidR="009D7681" w:rsidRPr="00445472" w:rsidRDefault="009D7681" w:rsidP="009D7681">
            <w:pPr>
              <w:pStyle w:val="TABELA"/>
              <w:rPr>
                <w:b/>
                <w:sz w:val="18"/>
                <w:szCs w:val="18"/>
                <w:lang w:val="sq-AL"/>
              </w:rPr>
            </w:pPr>
            <w:r w:rsidRPr="00445472">
              <w:rPr>
                <w:b/>
                <w:position w:val="2"/>
                <w:sz w:val="18"/>
                <w:szCs w:val="18"/>
                <w:lang w:val="sq-AL"/>
              </w:rPr>
              <w:t>O</w:t>
            </w:r>
            <w:r w:rsidRPr="00445472">
              <w:rPr>
                <w:b/>
                <w:sz w:val="18"/>
                <w:szCs w:val="18"/>
                <w:vertAlign w:val="subscript"/>
                <w:lang w:val="sq-AL"/>
              </w:rPr>
              <w:t>2</w:t>
            </w:r>
          </w:p>
        </w:tc>
        <w:tc>
          <w:tcPr>
            <w:tcW w:w="773" w:type="dxa"/>
            <w:vAlign w:val="center"/>
          </w:tcPr>
          <w:p w14:paraId="2F130C0B" w14:textId="77777777" w:rsidR="009D7681" w:rsidRPr="00445472" w:rsidRDefault="009D7681" w:rsidP="009D7681">
            <w:pPr>
              <w:pStyle w:val="TABELA"/>
              <w:rPr>
                <w:b/>
                <w:sz w:val="18"/>
                <w:szCs w:val="18"/>
                <w:lang w:val="sq-AL"/>
              </w:rPr>
            </w:pPr>
            <w:r w:rsidRPr="00445472">
              <w:rPr>
                <w:b/>
                <w:sz w:val="18"/>
                <w:szCs w:val="18"/>
                <w:lang w:val="sq-AL"/>
              </w:rPr>
              <w:t>KBO</w:t>
            </w:r>
            <w:r w:rsidRPr="00445472">
              <w:rPr>
                <w:b/>
                <w:sz w:val="18"/>
                <w:szCs w:val="18"/>
                <w:vertAlign w:val="subscript"/>
                <w:lang w:val="sq-AL"/>
              </w:rPr>
              <w:t>5</w:t>
            </w:r>
          </w:p>
        </w:tc>
        <w:tc>
          <w:tcPr>
            <w:tcW w:w="715" w:type="dxa"/>
            <w:vAlign w:val="center"/>
          </w:tcPr>
          <w:p w14:paraId="08C1E0B6" w14:textId="77777777" w:rsidR="009D7681" w:rsidRPr="00445472" w:rsidRDefault="009D7681" w:rsidP="009D7681">
            <w:pPr>
              <w:pStyle w:val="TABELA"/>
              <w:rPr>
                <w:b/>
                <w:sz w:val="18"/>
                <w:szCs w:val="18"/>
                <w:lang w:val="sq-AL"/>
              </w:rPr>
            </w:pPr>
            <w:r w:rsidRPr="00445472">
              <w:rPr>
                <w:b/>
                <w:position w:val="2"/>
                <w:sz w:val="18"/>
                <w:szCs w:val="18"/>
                <w:lang w:val="sq-AL"/>
              </w:rPr>
              <w:t>NH</w:t>
            </w:r>
            <w:r w:rsidRPr="00445472">
              <w:rPr>
                <w:b/>
                <w:sz w:val="18"/>
                <w:szCs w:val="18"/>
                <w:vertAlign w:val="subscript"/>
                <w:lang w:val="sq-AL"/>
              </w:rPr>
              <w:t>4</w:t>
            </w:r>
          </w:p>
        </w:tc>
        <w:tc>
          <w:tcPr>
            <w:tcW w:w="725" w:type="dxa"/>
            <w:vAlign w:val="center"/>
          </w:tcPr>
          <w:p w14:paraId="10D64A03" w14:textId="77777777" w:rsidR="009D7681" w:rsidRPr="00445472" w:rsidRDefault="009D7681" w:rsidP="009D7681">
            <w:pPr>
              <w:pStyle w:val="TABELA"/>
              <w:rPr>
                <w:b/>
                <w:sz w:val="18"/>
                <w:szCs w:val="18"/>
                <w:lang w:val="sq-AL"/>
              </w:rPr>
            </w:pPr>
            <w:r w:rsidRPr="00445472">
              <w:rPr>
                <w:b/>
                <w:position w:val="2"/>
                <w:sz w:val="18"/>
                <w:szCs w:val="18"/>
                <w:lang w:val="sq-AL"/>
              </w:rPr>
              <w:t>NO</w:t>
            </w:r>
            <w:r w:rsidRPr="00445472">
              <w:rPr>
                <w:b/>
                <w:sz w:val="18"/>
                <w:szCs w:val="18"/>
                <w:vertAlign w:val="subscript"/>
                <w:lang w:val="sq-AL"/>
              </w:rPr>
              <w:t>2</w:t>
            </w:r>
          </w:p>
        </w:tc>
        <w:tc>
          <w:tcPr>
            <w:tcW w:w="589" w:type="dxa"/>
            <w:vAlign w:val="center"/>
          </w:tcPr>
          <w:p w14:paraId="07E208CB" w14:textId="77777777" w:rsidR="009D7681" w:rsidRPr="00445472" w:rsidRDefault="009D7681" w:rsidP="009D7681">
            <w:pPr>
              <w:pStyle w:val="TABELA"/>
              <w:rPr>
                <w:b/>
                <w:sz w:val="18"/>
                <w:szCs w:val="18"/>
                <w:lang w:val="sq-AL"/>
              </w:rPr>
            </w:pPr>
            <w:r w:rsidRPr="00445472">
              <w:rPr>
                <w:b/>
                <w:position w:val="2"/>
                <w:sz w:val="18"/>
                <w:szCs w:val="18"/>
                <w:lang w:val="sq-AL"/>
              </w:rPr>
              <w:t>NO</w:t>
            </w:r>
            <w:r w:rsidRPr="00445472">
              <w:rPr>
                <w:b/>
                <w:sz w:val="18"/>
                <w:szCs w:val="18"/>
                <w:vertAlign w:val="subscript"/>
                <w:lang w:val="sq-AL"/>
              </w:rPr>
              <w:t>3</w:t>
            </w:r>
          </w:p>
        </w:tc>
        <w:tc>
          <w:tcPr>
            <w:tcW w:w="840" w:type="dxa"/>
            <w:vAlign w:val="center"/>
          </w:tcPr>
          <w:p w14:paraId="057813F7" w14:textId="77777777" w:rsidR="009D7681" w:rsidRPr="00445472" w:rsidRDefault="009D7681" w:rsidP="009D7681">
            <w:pPr>
              <w:pStyle w:val="TABELA"/>
              <w:rPr>
                <w:b/>
                <w:sz w:val="18"/>
                <w:szCs w:val="18"/>
                <w:lang w:val="sq-AL"/>
              </w:rPr>
            </w:pPr>
            <w:r w:rsidRPr="00445472">
              <w:rPr>
                <w:b/>
                <w:sz w:val="18"/>
                <w:szCs w:val="18"/>
                <w:lang w:val="sq-AL"/>
              </w:rPr>
              <w:t>P-Total</w:t>
            </w:r>
          </w:p>
        </w:tc>
        <w:tc>
          <w:tcPr>
            <w:tcW w:w="749" w:type="dxa"/>
            <w:vAlign w:val="center"/>
          </w:tcPr>
          <w:p w14:paraId="6AA29164" w14:textId="77777777" w:rsidR="009D7681" w:rsidRPr="00445472" w:rsidRDefault="009D7681" w:rsidP="009D7681">
            <w:pPr>
              <w:pStyle w:val="TABELA"/>
              <w:rPr>
                <w:b/>
                <w:sz w:val="18"/>
                <w:szCs w:val="18"/>
                <w:lang w:val="sq-AL"/>
              </w:rPr>
            </w:pPr>
            <w:r w:rsidRPr="00445472">
              <w:rPr>
                <w:b/>
                <w:sz w:val="18"/>
                <w:szCs w:val="18"/>
                <w:lang w:val="sq-AL"/>
              </w:rPr>
              <w:t>Class</w:t>
            </w:r>
          </w:p>
        </w:tc>
      </w:tr>
      <w:tr w:rsidR="009D7681" w:rsidRPr="00445472" w14:paraId="3DBCE3E9" w14:textId="77777777" w:rsidTr="005E3EC9">
        <w:trPr>
          <w:trHeight w:val="520"/>
          <w:jc w:val="center"/>
        </w:trPr>
        <w:tc>
          <w:tcPr>
            <w:tcW w:w="1276" w:type="dxa"/>
            <w:vMerge/>
            <w:tcBorders>
              <w:top w:val="nil"/>
            </w:tcBorders>
            <w:vAlign w:val="center"/>
          </w:tcPr>
          <w:p w14:paraId="07D22A30" w14:textId="77777777" w:rsidR="009D7681" w:rsidRPr="00445472" w:rsidRDefault="009D7681" w:rsidP="009D7681">
            <w:pPr>
              <w:pStyle w:val="TABELA"/>
              <w:rPr>
                <w:sz w:val="18"/>
                <w:szCs w:val="18"/>
                <w:lang w:val="sq-AL"/>
              </w:rPr>
            </w:pPr>
          </w:p>
        </w:tc>
        <w:tc>
          <w:tcPr>
            <w:tcW w:w="709" w:type="dxa"/>
            <w:vAlign w:val="center"/>
          </w:tcPr>
          <w:p w14:paraId="24A9281D" w14:textId="77777777" w:rsidR="009D7681" w:rsidRPr="00445472" w:rsidRDefault="009D7681" w:rsidP="009D7681">
            <w:pPr>
              <w:pStyle w:val="TABELA"/>
              <w:rPr>
                <w:sz w:val="18"/>
                <w:szCs w:val="18"/>
                <w:lang w:val="sq-AL"/>
              </w:rPr>
            </w:pPr>
            <w:r w:rsidRPr="00445472">
              <w:rPr>
                <w:sz w:val="18"/>
                <w:szCs w:val="18"/>
                <w:lang w:val="sq-AL"/>
              </w:rPr>
              <w:t>D1</w:t>
            </w:r>
          </w:p>
        </w:tc>
        <w:tc>
          <w:tcPr>
            <w:tcW w:w="2429" w:type="dxa"/>
            <w:vAlign w:val="center"/>
          </w:tcPr>
          <w:p w14:paraId="0874AE9D" w14:textId="77777777" w:rsidR="009D7681" w:rsidRPr="00445472" w:rsidRDefault="009D7681" w:rsidP="009D7681">
            <w:pPr>
              <w:pStyle w:val="TABELA"/>
              <w:rPr>
                <w:sz w:val="18"/>
                <w:szCs w:val="18"/>
                <w:lang w:val="sq-AL"/>
              </w:rPr>
            </w:pPr>
            <w:r w:rsidRPr="00445472">
              <w:rPr>
                <w:sz w:val="18"/>
                <w:szCs w:val="18"/>
                <w:lang w:val="sq-AL"/>
              </w:rPr>
              <w:t>Topojan</w:t>
            </w:r>
          </w:p>
        </w:tc>
        <w:tc>
          <w:tcPr>
            <w:tcW w:w="494" w:type="dxa"/>
            <w:vAlign w:val="center"/>
          </w:tcPr>
          <w:p w14:paraId="7F5B7AD9" w14:textId="77777777" w:rsidR="009D7681" w:rsidRPr="00445472" w:rsidRDefault="009D7681" w:rsidP="005E3EC9">
            <w:pPr>
              <w:pStyle w:val="TABELA"/>
              <w:jc w:val="center"/>
              <w:rPr>
                <w:sz w:val="18"/>
                <w:szCs w:val="18"/>
                <w:lang w:val="sq-AL"/>
              </w:rPr>
            </w:pPr>
            <w:r w:rsidRPr="00445472">
              <w:rPr>
                <w:sz w:val="18"/>
                <w:szCs w:val="18"/>
                <w:lang w:val="sq-AL"/>
              </w:rPr>
              <w:t>9.4</w:t>
            </w:r>
          </w:p>
        </w:tc>
        <w:tc>
          <w:tcPr>
            <w:tcW w:w="773" w:type="dxa"/>
            <w:vAlign w:val="center"/>
          </w:tcPr>
          <w:p w14:paraId="7384D169" w14:textId="77777777" w:rsidR="009D7681" w:rsidRPr="00445472" w:rsidRDefault="009D7681" w:rsidP="005E3EC9">
            <w:pPr>
              <w:pStyle w:val="TABELA"/>
              <w:jc w:val="center"/>
              <w:rPr>
                <w:sz w:val="18"/>
                <w:szCs w:val="18"/>
                <w:lang w:val="sq-AL"/>
              </w:rPr>
            </w:pPr>
            <w:r w:rsidRPr="00445472">
              <w:rPr>
                <w:w w:val="99"/>
                <w:sz w:val="18"/>
                <w:szCs w:val="18"/>
                <w:lang w:val="sq-AL"/>
              </w:rPr>
              <w:t>4</w:t>
            </w:r>
          </w:p>
        </w:tc>
        <w:tc>
          <w:tcPr>
            <w:tcW w:w="715" w:type="dxa"/>
            <w:vAlign w:val="center"/>
          </w:tcPr>
          <w:p w14:paraId="4962AFA4" w14:textId="77777777" w:rsidR="009D7681" w:rsidRPr="00445472" w:rsidRDefault="009D7681" w:rsidP="005E3EC9">
            <w:pPr>
              <w:pStyle w:val="TABELA"/>
              <w:jc w:val="center"/>
              <w:rPr>
                <w:sz w:val="18"/>
                <w:szCs w:val="18"/>
                <w:lang w:val="sq-AL"/>
              </w:rPr>
            </w:pPr>
            <w:r w:rsidRPr="00445472">
              <w:rPr>
                <w:sz w:val="18"/>
                <w:szCs w:val="18"/>
                <w:lang w:val="sq-AL"/>
              </w:rPr>
              <w:t>0.018</w:t>
            </w:r>
          </w:p>
        </w:tc>
        <w:tc>
          <w:tcPr>
            <w:tcW w:w="725" w:type="dxa"/>
            <w:vAlign w:val="center"/>
          </w:tcPr>
          <w:p w14:paraId="69F90237" w14:textId="77777777" w:rsidR="009D7681" w:rsidRPr="00445472" w:rsidRDefault="009D7681" w:rsidP="005E3EC9">
            <w:pPr>
              <w:pStyle w:val="TABELA"/>
              <w:jc w:val="center"/>
              <w:rPr>
                <w:sz w:val="18"/>
                <w:szCs w:val="18"/>
                <w:lang w:val="sq-AL"/>
              </w:rPr>
            </w:pPr>
            <w:r w:rsidRPr="00445472">
              <w:rPr>
                <w:sz w:val="18"/>
                <w:szCs w:val="18"/>
                <w:lang w:val="sq-AL"/>
              </w:rPr>
              <w:t>0.003</w:t>
            </w:r>
          </w:p>
        </w:tc>
        <w:tc>
          <w:tcPr>
            <w:tcW w:w="589" w:type="dxa"/>
            <w:vAlign w:val="center"/>
          </w:tcPr>
          <w:p w14:paraId="10D6D771" w14:textId="77777777" w:rsidR="009D7681" w:rsidRPr="00445472" w:rsidRDefault="009D7681" w:rsidP="005E3EC9">
            <w:pPr>
              <w:pStyle w:val="TABELA"/>
              <w:jc w:val="center"/>
              <w:rPr>
                <w:sz w:val="18"/>
                <w:szCs w:val="18"/>
                <w:lang w:val="sq-AL"/>
              </w:rPr>
            </w:pPr>
            <w:r w:rsidRPr="00445472">
              <w:rPr>
                <w:sz w:val="18"/>
                <w:szCs w:val="18"/>
                <w:lang w:val="sq-AL"/>
              </w:rPr>
              <w:t>0.3</w:t>
            </w:r>
          </w:p>
        </w:tc>
        <w:tc>
          <w:tcPr>
            <w:tcW w:w="840" w:type="dxa"/>
            <w:vAlign w:val="center"/>
          </w:tcPr>
          <w:p w14:paraId="1D13CD44" w14:textId="77777777" w:rsidR="009D7681" w:rsidRPr="00445472" w:rsidRDefault="009D7681" w:rsidP="005E3EC9">
            <w:pPr>
              <w:pStyle w:val="TABELA"/>
              <w:jc w:val="center"/>
              <w:rPr>
                <w:sz w:val="18"/>
                <w:szCs w:val="18"/>
                <w:lang w:val="sq-AL"/>
              </w:rPr>
            </w:pPr>
            <w:r w:rsidRPr="00445472">
              <w:rPr>
                <w:sz w:val="18"/>
                <w:szCs w:val="18"/>
                <w:lang w:val="sq-AL"/>
              </w:rPr>
              <w:t>0.04</w:t>
            </w:r>
          </w:p>
        </w:tc>
        <w:tc>
          <w:tcPr>
            <w:tcW w:w="749" w:type="dxa"/>
            <w:vAlign w:val="center"/>
          </w:tcPr>
          <w:p w14:paraId="1BB65A8F" w14:textId="77777777" w:rsidR="009D7681" w:rsidRPr="00445472" w:rsidRDefault="009D7681" w:rsidP="005E3EC9">
            <w:pPr>
              <w:pStyle w:val="TABELA"/>
              <w:jc w:val="center"/>
              <w:rPr>
                <w:sz w:val="18"/>
                <w:szCs w:val="18"/>
                <w:lang w:val="sq-AL"/>
              </w:rPr>
            </w:pPr>
            <w:r w:rsidRPr="00445472">
              <w:rPr>
                <w:sz w:val="18"/>
                <w:szCs w:val="18"/>
                <w:lang w:val="sq-AL"/>
              </w:rPr>
              <w:t>III</w:t>
            </w:r>
          </w:p>
        </w:tc>
      </w:tr>
      <w:tr w:rsidR="009D7681" w:rsidRPr="00445472" w14:paraId="60728AE7" w14:textId="77777777" w:rsidTr="005E3EC9">
        <w:trPr>
          <w:trHeight w:val="520"/>
          <w:jc w:val="center"/>
        </w:trPr>
        <w:tc>
          <w:tcPr>
            <w:tcW w:w="1276" w:type="dxa"/>
            <w:vMerge/>
            <w:tcBorders>
              <w:top w:val="nil"/>
            </w:tcBorders>
            <w:vAlign w:val="center"/>
          </w:tcPr>
          <w:p w14:paraId="128031D2" w14:textId="77777777" w:rsidR="009D7681" w:rsidRPr="00445472" w:rsidRDefault="009D7681" w:rsidP="009D7681">
            <w:pPr>
              <w:pStyle w:val="TABELA"/>
              <w:rPr>
                <w:sz w:val="18"/>
                <w:szCs w:val="18"/>
                <w:lang w:val="sq-AL"/>
              </w:rPr>
            </w:pPr>
          </w:p>
        </w:tc>
        <w:tc>
          <w:tcPr>
            <w:tcW w:w="709" w:type="dxa"/>
            <w:shd w:val="clear" w:color="auto" w:fill="E6E6E6"/>
            <w:vAlign w:val="center"/>
          </w:tcPr>
          <w:p w14:paraId="5B040667" w14:textId="77777777" w:rsidR="009D7681" w:rsidRPr="00445472" w:rsidRDefault="009D7681" w:rsidP="009D7681">
            <w:pPr>
              <w:pStyle w:val="TABELA"/>
              <w:rPr>
                <w:sz w:val="18"/>
                <w:szCs w:val="18"/>
                <w:lang w:val="sq-AL"/>
              </w:rPr>
            </w:pPr>
            <w:r w:rsidRPr="00445472">
              <w:rPr>
                <w:sz w:val="18"/>
                <w:szCs w:val="18"/>
                <w:lang w:val="sq-AL"/>
              </w:rPr>
              <w:t>D2</w:t>
            </w:r>
          </w:p>
        </w:tc>
        <w:tc>
          <w:tcPr>
            <w:tcW w:w="2429" w:type="dxa"/>
            <w:shd w:val="clear" w:color="auto" w:fill="E6E6E6"/>
            <w:vAlign w:val="center"/>
          </w:tcPr>
          <w:p w14:paraId="44767156" w14:textId="113BE045" w:rsidR="009D7681" w:rsidRPr="00445472" w:rsidRDefault="009D7681" w:rsidP="009D7681">
            <w:pPr>
              <w:pStyle w:val="TABELA"/>
              <w:rPr>
                <w:sz w:val="18"/>
                <w:szCs w:val="18"/>
                <w:lang w:val="sq-AL"/>
              </w:rPr>
            </w:pPr>
            <w:r w:rsidRPr="00445472">
              <w:rPr>
                <w:sz w:val="18"/>
                <w:szCs w:val="18"/>
                <w:lang w:val="sq-AL"/>
              </w:rPr>
              <w:t>Bah</w:t>
            </w:r>
            <w:r w:rsidR="005E3EC9" w:rsidRPr="00445472">
              <w:rPr>
                <w:rFonts w:cs="Cambria"/>
                <w:sz w:val="18"/>
                <w:szCs w:val="18"/>
                <w:lang w:val="sq-AL"/>
              </w:rPr>
              <w:t>ç</w:t>
            </w:r>
            <w:r w:rsidRPr="00445472">
              <w:rPr>
                <w:sz w:val="18"/>
                <w:szCs w:val="18"/>
                <w:lang w:val="sq-AL"/>
              </w:rPr>
              <w:t>all</w:t>
            </w:r>
            <w:r w:rsidRPr="00445472">
              <w:rPr>
                <w:rFonts w:cs="Garamond"/>
                <w:sz w:val="18"/>
                <w:szCs w:val="18"/>
                <w:lang w:val="sq-AL"/>
              </w:rPr>
              <w:t>ë</w:t>
            </w:r>
            <w:r w:rsidRPr="00445472">
              <w:rPr>
                <w:sz w:val="18"/>
                <w:szCs w:val="18"/>
                <w:lang w:val="sq-AL"/>
              </w:rPr>
              <w:t>k</w:t>
            </w:r>
          </w:p>
        </w:tc>
        <w:tc>
          <w:tcPr>
            <w:tcW w:w="494" w:type="dxa"/>
            <w:shd w:val="clear" w:color="auto" w:fill="E6E6E6"/>
            <w:vAlign w:val="center"/>
          </w:tcPr>
          <w:p w14:paraId="0EE6DADE" w14:textId="77777777" w:rsidR="009D7681" w:rsidRPr="00445472" w:rsidRDefault="009D7681" w:rsidP="005E3EC9">
            <w:pPr>
              <w:pStyle w:val="TABELA"/>
              <w:jc w:val="center"/>
              <w:rPr>
                <w:sz w:val="18"/>
                <w:szCs w:val="18"/>
                <w:lang w:val="sq-AL"/>
              </w:rPr>
            </w:pPr>
            <w:r w:rsidRPr="00445472">
              <w:rPr>
                <w:sz w:val="18"/>
                <w:szCs w:val="18"/>
                <w:lang w:val="sq-AL"/>
              </w:rPr>
              <w:t>9.3</w:t>
            </w:r>
          </w:p>
        </w:tc>
        <w:tc>
          <w:tcPr>
            <w:tcW w:w="773" w:type="dxa"/>
            <w:shd w:val="clear" w:color="auto" w:fill="E6E6E6"/>
            <w:vAlign w:val="center"/>
          </w:tcPr>
          <w:p w14:paraId="49673C55" w14:textId="77777777" w:rsidR="009D7681" w:rsidRPr="00445472" w:rsidRDefault="009D7681" w:rsidP="005E3EC9">
            <w:pPr>
              <w:pStyle w:val="TABELA"/>
              <w:jc w:val="center"/>
              <w:rPr>
                <w:sz w:val="18"/>
                <w:szCs w:val="18"/>
                <w:lang w:val="sq-AL"/>
              </w:rPr>
            </w:pPr>
            <w:r w:rsidRPr="00445472">
              <w:rPr>
                <w:sz w:val="18"/>
                <w:szCs w:val="18"/>
                <w:lang w:val="sq-AL"/>
              </w:rPr>
              <w:t>2.3</w:t>
            </w:r>
          </w:p>
        </w:tc>
        <w:tc>
          <w:tcPr>
            <w:tcW w:w="715" w:type="dxa"/>
            <w:shd w:val="clear" w:color="auto" w:fill="E6E6E6"/>
            <w:vAlign w:val="center"/>
          </w:tcPr>
          <w:p w14:paraId="18825FE0" w14:textId="77777777" w:rsidR="009D7681" w:rsidRPr="00445472" w:rsidRDefault="009D7681" w:rsidP="005E3EC9">
            <w:pPr>
              <w:pStyle w:val="TABELA"/>
              <w:jc w:val="center"/>
              <w:rPr>
                <w:sz w:val="18"/>
                <w:szCs w:val="18"/>
                <w:lang w:val="sq-AL"/>
              </w:rPr>
            </w:pPr>
            <w:r w:rsidRPr="00445472">
              <w:rPr>
                <w:sz w:val="18"/>
                <w:szCs w:val="18"/>
                <w:lang w:val="sq-AL"/>
              </w:rPr>
              <w:t>0.025</w:t>
            </w:r>
          </w:p>
        </w:tc>
        <w:tc>
          <w:tcPr>
            <w:tcW w:w="725" w:type="dxa"/>
            <w:shd w:val="clear" w:color="auto" w:fill="E6E6E6"/>
            <w:vAlign w:val="center"/>
          </w:tcPr>
          <w:p w14:paraId="5CA4C36E" w14:textId="77777777" w:rsidR="009D7681" w:rsidRPr="00445472" w:rsidRDefault="009D7681" w:rsidP="005E3EC9">
            <w:pPr>
              <w:pStyle w:val="TABELA"/>
              <w:jc w:val="center"/>
              <w:rPr>
                <w:sz w:val="18"/>
                <w:szCs w:val="18"/>
                <w:lang w:val="sq-AL"/>
              </w:rPr>
            </w:pPr>
            <w:r w:rsidRPr="00445472">
              <w:rPr>
                <w:sz w:val="18"/>
                <w:szCs w:val="18"/>
                <w:lang w:val="sq-AL"/>
              </w:rPr>
              <w:t>0.001</w:t>
            </w:r>
          </w:p>
        </w:tc>
        <w:tc>
          <w:tcPr>
            <w:tcW w:w="589" w:type="dxa"/>
            <w:shd w:val="clear" w:color="auto" w:fill="E6E6E6"/>
            <w:vAlign w:val="center"/>
          </w:tcPr>
          <w:p w14:paraId="37EA2F80" w14:textId="77777777" w:rsidR="009D7681" w:rsidRPr="00445472" w:rsidRDefault="009D7681" w:rsidP="005E3EC9">
            <w:pPr>
              <w:pStyle w:val="TABELA"/>
              <w:jc w:val="center"/>
              <w:rPr>
                <w:sz w:val="18"/>
                <w:szCs w:val="18"/>
                <w:lang w:val="sq-AL"/>
              </w:rPr>
            </w:pPr>
            <w:r w:rsidRPr="00445472">
              <w:rPr>
                <w:sz w:val="18"/>
                <w:szCs w:val="18"/>
                <w:lang w:val="sq-AL"/>
              </w:rPr>
              <w:t>0.6</w:t>
            </w:r>
          </w:p>
        </w:tc>
        <w:tc>
          <w:tcPr>
            <w:tcW w:w="840" w:type="dxa"/>
            <w:shd w:val="clear" w:color="auto" w:fill="E6E6E6"/>
            <w:vAlign w:val="center"/>
          </w:tcPr>
          <w:p w14:paraId="2E2D017D" w14:textId="77777777" w:rsidR="009D7681" w:rsidRPr="00445472" w:rsidRDefault="009D7681" w:rsidP="005E3EC9">
            <w:pPr>
              <w:pStyle w:val="TABELA"/>
              <w:jc w:val="center"/>
              <w:rPr>
                <w:sz w:val="18"/>
                <w:szCs w:val="18"/>
                <w:lang w:val="sq-AL"/>
              </w:rPr>
            </w:pPr>
            <w:r w:rsidRPr="00445472">
              <w:rPr>
                <w:sz w:val="18"/>
                <w:szCs w:val="18"/>
                <w:lang w:val="sq-AL"/>
              </w:rPr>
              <w:t>0.03</w:t>
            </w:r>
          </w:p>
        </w:tc>
        <w:tc>
          <w:tcPr>
            <w:tcW w:w="749" w:type="dxa"/>
            <w:shd w:val="clear" w:color="auto" w:fill="E6E6E6"/>
            <w:vAlign w:val="center"/>
          </w:tcPr>
          <w:p w14:paraId="0F9EF6E6" w14:textId="77777777" w:rsidR="009D7681" w:rsidRPr="00445472" w:rsidRDefault="009D7681" w:rsidP="005E3EC9">
            <w:pPr>
              <w:pStyle w:val="TABELA"/>
              <w:jc w:val="center"/>
              <w:rPr>
                <w:sz w:val="18"/>
                <w:szCs w:val="18"/>
                <w:lang w:val="sq-AL"/>
              </w:rPr>
            </w:pPr>
            <w:r w:rsidRPr="00445472">
              <w:rPr>
                <w:sz w:val="18"/>
                <w:szCs w:val="18"/>
                <w:lang w:val="sq-AL"/>
              </w:rPr>
              <w:t>II</w:t>
            </w:r>
          </w:p>
        </w:tc>
      </w:tr>
      <w:tr w:rsidR="009D7681" w:rsidRPr="00445472" w14:paraId="11D91C5F" w14:textId="77777777" w:rsidTr="005E3EC9">
        <w:trPr>
          <w:trHeight w:val="520"/>
          <w:jc w:val="center"/>
        </w:trPr>
        <w:tc>
          <w:tcPr>
            <w:tcW w:w="1276" w:type="dxa"/>
            <w:vMerge/>
            <w:tcBorders>
              <w:top w:val="nil"/>
            </w:tcBorders>
            <w:vAlign w:val="center"/>
          </w:tcPr>
          <w:p w14:paraId="2547A659" w14:textId="77777777" w:rsidR="009D7681" w:rsidRPr="00445472" w:rsidRDefault="009D7681" w:rsidP="009D7681">
            <w:pPr>
              <w:pStyle w:val="TABELA"/>
              <w:rPr>
                <w:sz w:val="18"/>
                <w:szCs w:val="18"/>
                <w:lang w:val="sq-AL"/>
              </w:rPr>
            </w:pPr>
          </w:p>
        </w:tc>
        <w:tc>
          <w:tcPr>
            <w:tcW w:w="709" w:type="dxa"/>
            <w:vAlign w:val="center"/>
          </w:tcPr>
          <w:p w14:paraId="48C5636C" w14:textId="77777777" w:rsidR="009D7681" w:rsidRPr="00445472" w:rsidRDefault="009D7681" w:rsidP="009D7681">
            <w:pPr>
              <w:pStyle w:val="TABELA"/>
              <w:rPr>
                <w:sz w:val="18"/>
                <w:szCs w:val="18"/>
                <w:lang w:val="sq-AL"/>
              </w:rPr>
            </w:pPr>
            <w:r w:rsidRPr="00445472">
              <w:rPr>
                <w:sz w:val="18"/>
                <w:szCs w:val="18"/>
                <w:lang w:val="sq-AL"/>
              </w:rPr>
              <w:t>Bu 2</w:t>
            </w:r>
          </w:p>
        </w:tc>
        <w:tc>
          <w:tcPr>
            <w:tcW w:w="2429" w:type="dxa"/>
            <w:vAlign w:val="center"/>
          </w:tcPr>
          <w:p w14:paraId="5783FDD3" w14:textId="77777777" w:rsidR="009D7681" w:rsidRPr="00445472" w:rsidRDefault="009D7681" w:rsidP="009D7681">
            <w:pPr>
              <w:pStyle w:val="TABELA"/>
              <w:rPr>
                <w:sz w:val="18"/>
                <w:szCs w:val="18"/>
                <w:lang w:val="sq-AL"/>
              </w:rPr>
            </w:pPr>
            <w:r w:rsidRPr="00445472">
              <w:rPr>
                <w:sz w:val="18"/>
                <w:szCs w:val="18"/>
                <w:lang w:val="sq-AL"/>
              </w:rPr>
              <w:t>Ura Shkodër</w:t>
            </w:r>
          </w:p>
        </w:tc>
        <w:tc>
          <w:tcPr>
            <w:tcW w:w="494" w:type="dxa"/>
            <w:vAlign w:val="center"/>
          </w:tcPr>
          <w:p w14:paraId="7DAD6E73" w14:textId="77777777" w:rsidR="009D7681" w:rsidRPr="00445472" w:rsidRDefault="009D7681" w:rsidP="005E3EC9">
            <w:pPr>
              <w:pStyle w:val="TABELA"/>
              <w:jc w:val="center"/>
              <w:rPr>
                <w:sz w:val="18"/>
                <w:szCs w:val="18"/>
                <w:lang w:val="sq-AL"/>
              </w:rPr>
            </w:pPr>
            <w:r w:rsidRPr="00445472">
              <w:rPr>
                <w:sz w:val="18"/>
                <w:szCs w:val="18"/>
                <w:lang w:val="sq-AL"/>
              </w:rPr>
              <w:t>9.1</w:t>
            </w:r>
          </w:p>
        </w:tc>
        <w:tc>
          <w:tcPr>
            <w:tcW w:w="773" w:type="dxa"/>
            <w:vAlign w:val="center"/>
          </w:tcPr>
          <w:p w14:paraId="01733A13" w14:textId="77777777" w:rsidR="009D7681" w:rsidRPr="00445472" w:rsidRDefault="009D7681" w:rsidP="005E3EC9">
            <w:pPr>
              <w:pStyle w:val="TABELA"/>
              <w:jc w:val="center"/>
              <w:rPr>
                <w:sz w:val="18"/>
                <w:szCs w:val="18"/>
                <w:lang w:val="sq-AL"/>
              </w:rPr>
            </w:pPr>
            <w:r w:rsidRPr="00445472">
              <w:rPr>
                <w:sz w:val="18"/>
                <w:szCs w:val="18"/>
                <w:lang w:val="sq-AL"/>
              </w:rPr>
              <w:t>2.7</w:t>
            </w:r>
          </w:p>
        </w:tc>
        <w:tc>
          <w:tcPr>
            <w:tcW w:w="715" w:type="dxa"/>
            <w:vAlign w:val="center"/>
          </w:tcPr>
          <w:p w14:paraId="3C87ADF7" w14:textId="77777777" w:rsidR="009D7681" w:rsidRPr="00445472" w:rsidRDefault="009D7681" w:rsidP="005E3EC9">
            <w:pPr>
              <w:pStyle w:val="TABELA"/>
              <w:jc w:val="center"/>
              <w:rPr>
                <w:sz w:val="18"/>
                <w:szCs w:val="18"/>
                <w:lang w:val="sq-AL"/>
              </w:rPr>
            </w:pPr>
            <w:r w:rsidRPr="00445472">
              <w:rPr>
                <w:sz w:val="18"/>
                <w:szCs w:val="18"/>
                <w:lang w:val="sq-AL"/>
              </w:rPr>
              <w:t>0.087</w:t>
            </w:r>
          </w:p>
        </w:tc>
        <w:tc>
          <w:tcPr>
            <w:tcW w:w="725" w:type="dxa"/>
            <w:vAlign w:val="center"/>
          </w:tcPr>
          <w:p w14:paraId="3C29A603" w14:textId="77777777" w:rsidR="009D7681" w:rsidRPr="00445472" w:rsidRDefault="009D7681" w:rsidP="005E3EC9">
            <w:pPr>
              <w:pStyle w:val="TABELA"/>
              <w:jc w:val="center"/>
              <w:rPr>
                <w:sz w:val="18"/>
                <w:szCs w:val="18"/>
                <w:lang w:val="sq-AL"/>
              </w:rPr>
            </w:pPr>
            <w:r w:rsidRPr="00445472">
              <w:rPr>
                <w:sz w:val="18"/>
                <w:szCs w:val="18"/>
                <w:lang w:val="sq-AL"/>
              </w:rPr>
              <w:t>0.006</w:t>
            </w:r>
          </w:p>
        </w:tc>
        <w:tc>
          <w:tcPr>
            <w:tcW w:w="589" w:type="dxa"/>
            <w:vAlign w:val="center"/>
          </w:tcPr>
          <w:p w14:paraId="24D298C2" w14:textId="77777777" w:rsidR="009D7681" w:rsidRPr="00445472" w:rsidRDefault="009D7681" w:rsidP="005E3EC9">
            <w:pPr>
              <w:pStyle w:val="TABELA"/>
              <w:jc w:val="center"/>
              <w:rPr>
                <w:sz w:val="18"/>
                <w:szCs w:val="18"/>
                <w:lang w:val="sq-AL"/>
              </w:rPr>
            </w:pPr>
            <w:r w:rsidRPr="00445472">
              <w:rPr>
                <w:sz w:val="18"/>
                <w:szCs w:val="18"/>
                <w:lang w:val="sq-AL"/>
              </w:rPr>
              <w:t>0.1</w:t>
            </w:r>
          </w:p>
        </w:tc>
        <w:tc>
          <w:tcPr>
            <w:tcW w:w="840" w:type="dxa"/>
            <w:vAlign w:val="center"/>
          </w:tcPr>
          <w:p w14:paraId="3E3B11E2" w14:textId="77777777" w:rsidR="009D7681" w:rsidRPr="00445472" w:rsidRDefault="009D7681" w:rsidP="005E3EC9">
            <w:pPr>
              <w:pStyle w:val="TABELA"/>
              <w:jc w:val="center"/>
              <w:rPr>
                <w:sz w:val="18"/>
                <w:szCs w:val="18"/>
                <w:lang w:val="sq-AL"/>
              </w:rPr>
            </w:pPr>
            <w:r w:rsidRPr="00445472">
              <w:rPr>
                <w:sz w:val="18"/>
                <w:szCs w:val="18"/>
                <w:lang w:val="sq-AL"/>
              </w:rPr>
              <w:t>0.03</w:t>
            </w:r>
          </w:p>
        </w:tc>
        <w:tc>
          <w:tcPr>
            <w:tcW w:w="749" w:type="dxa"/>
            <w:vAlign w:val="center"/>
          </w:tcPr>
          <w:p w14:paraId="7B29E8E9" w14:textId="77777777" w:rsidR="009D7681" w:rsidRPr="00445472" w:rsidRDefault="009D7681" w:rsidP="005E3EC9">
            <w:pPr>
              <w:pStyle w:val="TABELA"/>
              <w:jc w:val="center"/>
              <w:rPr>
                <w:sz w:val="18"/>
                <w:szCs w:val="18"/>
                <w:lang w:val="sq-AL"/>
              </w:rPr>
            </w:pPr>
            <w:r w:rsidRPr="00445472">
              <w:rPr>
                <w:sz w:val="18"/>
                <w:szCs w:val="18"/>
                <w:lang w:val="sq-AL"/>
              </w:rPr>
              <w:t>II</w:t>
            </w:r>
          </w:p>
        </w:tc>
      </w:tr>
      <w:tr w:rsidR="009D7681" w:rsidRPr="00445472" w14:paraId="0C4D0873" w14:textId="77777777" w:rsidTr="005E3EC9">
        <w:trPr>
          <w:trHeight w:val="520"/>
          <w:jc w:val="center"/>
        </w:trPr>
        <w:tc>
          <w:tcPr>
            <w:tcW w:w="1276" w:type="dxa"/>
            <w:vMerge/>
            <w:tcBorders>
              <w:top w:val="nil"/>
            </w:tcBorders>
            <w:vAlign w:val="center"/>
          </w:tcPr>
          <w:p w14:paraId="51222760" w14:textId="77777777" w:rsidR="009D7681" w:rsidRPr="00445472" w:rsidRDefault="009D7681" w:rsidP="009D7681">
            <w:pPr>
              <w:pStyle w:val="TABELA"/>
              <w:rPr>
                <w:sz w:val="18"/>
                <w:szCs w:val="18"/>
                <w:lang w:val="sq-AL"/>
              </w:rPr>
            </w:pPr>
          </w:p>
        </w:tc>
        <w:tc>
          <w:tcPr>
            <w:tcW w:w="709" w:type="dxa"/>
            <w:shd w:val="clear" w:color="auto" w:fill="E6E6E6"/>
            <w:vAlign w:val="center"/>
          </w:tcPr>
          <w:p w14:paraId="264D76ED" w14:textId="77777777" w:rsidR="009D7681" w:rsidRPr="00445472" w:rsidRDefault="009D7681" w:rsidP="009D7681">
            <w:pPr>
              <w:pStyle w:val="TABELA"/>
              <w:rPr>
                <w:sz w:val="18"/>
                <w:szCs w:val="18"/>
                <w:lang w:val="sq-AL"/>
              </w:rPr>
            </w:pPr>
            <w:r w:rsidRPr="00445472">
              <w:rPr>
                <w:sz w:val="18"/>
                <w:szCs w:val="18"/>
                <w:lang w:val="sq-AL"/>
              </w:rPr>
              <w:t>Bu 1</w:t>
            </w:r>
          </w:p>
        </w:tc>
        <w:tc>
          <w:tcPr>
            <w:tcW w:w="2429" w:type="dxa"/>
            <w:shd w:val="clear" w:color="auto" w:fill="E6E6E6"/>
            <w:vAlign w:val="center"/>
          </w:tcPr>
          <w:p w14:paraId="04D82EE7" w14:textId="77777777" w:rsidR="009D7681" w:rsidRPr="00445472" w:rsidRDefault="009D7681" w:rsidP="009D7681">
            <w:pPr>
              <w:pStyle w:val="TABELA"/>
              <w:rPr>
                <w:sz w:val="18"/>
                <w:szCs w:val="18"/>
                <w:lang w:val="sq-AL"/>
              </w:rPr>
            </w:pPr>
            <w:r w:rsidRPr="00445472">
              <w:rPr>
                <w:sz w:val="18"/>
                <w:szCs w:val="18"/>
                <w:lang w:val="sq-AL"/>
              </w:rPr>
              <w:t>Muriqan</w:t>
            </w:r>
          </w:p>
        </w:tc>
        <w:tc>
          <w:tcPr>
            <w:tcW w:w="494" w:type="dxa"/>
            <w:shd w:val="clear" w:color="auto" w:fill="E6E6E6"/>
            <w:vAlign w:val="center"/>
          </w:tcPr>
          <w:p w14:paraId="748C0E5C" w14:textId="77777777" w:rsidR="009D7681" w:rsidRPr="00445472" w:rsidRDefault="009D7681" w:rsidP="005E3EC9">
            <w:pPr>
              <w:pStyle w:val="TABELA"/>
              <w:jc w:val="center"/>
              <w:rPr>
                <w:sz w:val="18"/>
                <w:szCs w:val="18"/>
                <w:lang w:val="sq-AL"/>
              </w:rPr>
            </w:pPr>
            <w:r w:rsidRPr="00445472">
              <w:rPr>
                <w:sz w:val="18"/>
                <w:szCs w:val="18"/>
                <w:lang w:val="sq-AL"/>
              </w:rPr>
              <w:t>8.8</w:t>
            </w:r>
          </w:p>
        </w:tc>
        <w:tc>
          <w:tcPr>
            <w:tcW w:w="773" w:type="dxa"/>
            <w:shd w:val="clear" w:color="auto" w:fill="E6E6E6"/>
            <w:vAlign w:val="center"/>
          </w:tcPr>
          <w:p w14:paraId="3C0FD356" w14:textId="77777777" w:rsidR="009D7681" w:rsidRPr="00445472" w:rsidRDefault="009D7681" w:rsidP="005E3EC9">
            <w:pPr>
              <w:pStyle w:val="TABELA"/>
              <w:jc w:val="center"/>
              <w:rPr>
                <w:sz w:val="18"/>
                <w:szCs w:val="18"/>
                <w:lang w:val="sq-AL"/>
              </w:rPr>
            </w:pPr>
            <w:r w:rsidRPr="00445472">
              <w:rPr>
                <w:w w:val="99"/>
                <w:sz w:val="18"/>
                <w:szCs w:val="18"/>
                <w:lang w:val="sq-AL"/>
              </w:rPr>
              <w:t>2</w:t>
            </w:r>
          </w:p>
        </w:tc>
        <w:tc>
          <w:tcPr>
            <w:tcW w:w="715" w:type="dxa"/>
            <w:shd w:val="clear" w:color="auto" w:fill="E6E6E6"/>
            <w:vAlign w:val="center"/>
          </w:tcPr>
          <w:p w14:paraId="462B6415" w14:textId="77777777" w:rsidR="009D7681" w:rsidRPr="00445472" w:rsidRDefault="009D7681" w:rsidP="005E3EC9">
            <w:pPr>
              <w:pStyle w:val="TABELA"/>
              <w:jc w:val="center"/>
              <w:rPr>
                <w:sz w:val="18"/>
                <w:szCs w:val="18"/>
                <w:lang w:val="sq-AL"/>
              </w:rPr>
            </w:pPr>
            <w:r w:rsidRPr="00445472">
              <w:rPr>
                <w:sz w:val="18"/>
                <w:szCs w:val="18"/>
                <w:lang w:val="sq-AL"/>
              </w:rPr>
              <w:t>0.035</w:t>
            </w:r>
          </w:p>
        </w:tc>
        <w:tc>
          <w:tcPr>
            <w:tcW w:w="725" w:type="dxa"/>
            <w:shd w:val="clear" w:color="auto" w:fill="E6E6E6"/>
            <w:vAlign w:val="center"/>
          </w:tcPr>
          <w:p w14:paraId="09AB4B4E" w14:textId="77777777" w:rsidR="009D7681" w:rsidRPr="00445472" w:rsidRDefault="009D7681" w:rsidP="005E3EC9">
            <w:pPr>
              <w:pStyle w:val="TABELA"/>
              <w:jc w:val="center"/>
              <w:rPr>
                <w:sz w:val="18"/>
                <w:szCs w:val="18"/>
                <w:lang w:val="sq-AL"/>
              </w:rPr>
            </w:pPr>
            <w:r w:rsidRPr="00445472">
              <w:rPr>
                <w:sz w:val="18"/>
                <w:szCs w:val="18"/>
                <w:lang w:val="sq-AL"/>
              </w:rPr>
              <w:t>0.002</w:t>
            </w:r>
          </w:p>
        </w:tc>
        <w:tc>
          <w:tcPr>
            <w:tcW w:w="589" w:type="dxa"/>
            <w:shd w:val="clear" w:color="auto" w:fill="E6E6E6"/>
            <w:vAlign w:val="center"/>
          </w:tcPr>
          <w:p w14:paraId="0B74A25E" w14:textId="77777777" w:rsidR="009D7681" w:rsidRPr="00445472" w:rsidRDefault="009D7681" w:rsidP="005E3EC9">
            <w:pPr>
              <w:pStyle w:val="TABELA"/>
              <w:jc w:val="center"/>
              <w:rPr>
                <w:sz w:val="18"/>
                <w:szCs w:val="18"/>
                <w:lang w:val="sq-AL"/>
              </w:rPr>
            </w:pPr>
            <w:r w:rsidRPr="00445472">
              <w:rPr>
                <w:sz w:val="18"/>
                <w:szCs w:val="18"/>
                <w:lang w:val="sq-AL"/>
              </w:rPr>
              <w:t>0.3</w:t>
            </w:r>
          </w:p>
        </w:tc>
        <w:tc>
          <w:tcPr>
            <w:tcW w:w="840" w:type="dxa"/>
            <w:shd w:val="clear" w:color="auto" w:fill="E6E6E6"/>
            <w:vAlign w:val="center"/>
          </w:tcPr>
          <w:p w14:paraId="14859803" w14:textId="77777777" w:rsidR="009D7681" w:rsidRPr="00445472" w:rsidRDefault="009D7681" w:rsidP="005E3EC9">
            <w:pPr>
              <w:pStyle w:val="TABELA"/>
              <w:jc w:val="center"/>
              <w:rPr>
                <w:sz w:val="18"/>
                <w:szCs w:val="18"/>
                <w:lang w:val="sq-AL"/>
              </w:rPr>
            </w:pPr>
            <w:r w:rsidRPr="00445472">
              <w:rPr>
                <w:sz w:val="18"/>
                <w:szCs w:val="18"/>
                <w:lang w:val="sq-AL"/>
              </w:rPr>
              <w:t>0.021</w:t>
            </w:r>
          </w:p>
        </w:tc>
        <w:tc>
          <w:tcPr>
            <w:tcW w:w="749" w:type="dxa"/>
            <w:shd w:val="clear" w:color="auto" w:fill="E6E6E6"/>
            <w:vAlign w:val="center"/>
          </w:tcPr>
          <w:p w14:paraId="642576D7" w14:textId="77777777" w:rsidR="009D7681" w:rsidRPr="00445472" w:rsidRDefault="009D7681" w:rsidP="005E3EC9">
            <w:pPr>
              <w:pStyle w:val="TABELA"/>
              <w:jc w:val="center"/>
              <w:rPr>
                <w:sz w:val="18"/>
                <w:szCs w:val="18"/>
                <w:lang w:val="sq-AL"/>
              </w:rPr>
            </w:pPr>
            <w:r w:rsidRPr="00445472">
              <w:rPr>
                <w:sz w:val="18"/>
                <w:szCs w:val="18"/>
                <w:lang w:val="sq-AL"/>
              </w:rPr>
              <w:t>II</w:t>
            </w:r>
          </w:p>
        </w:tc>
      </w:tr>
      <w:tr w:rsidR="009D7681" w:rsidRPr="00445472" w14:paraId="652091BE" w14:textId="77777777" w:rsidTr="005E3EC9">
        <w:trPr>
          <w:trHeight w:val="520"/>
          <w:jc w:val="center"/>
        </w:trPr>
        <w:tc>
          <w:tcPr>
            <w:tcW w:w="1276" w:type="dxa"/>
            <w:vMerge/>
            <w:tcBorders>
              <w:top w:val="nil"/>
              <w:bottom w:val="single" w:sz="4" w:space="0" w:color="27B0AF"/>
            </w:tcBorders>
            <w:vAlign w:val="center"/>
          </w:tcPr>
          <w:p w14:paraId="0249DE4D" w14:textId="77777777" w:rsidR="009D7681" w:rsidRPr="00445472" w:rsidRDefault="009D7681" w:rsidP="009D7681">
            <w:pPr>
              <w:pStyle w:val="TABELA"/>
              <w:rPr>
                <w:sz w:val="18"/>
                <w:szCs w:val="18"/>
                <w:lang w:val="sq-AL"/>
              </w:rPr>
            </w:pPr>
          </w:p>
        </w:tc>
        <w:tc>
          <w:tcPr>
            <w:tcW w:w="709" w:type="dxa"/>
            <w:tcBorders>
              <w:bottom w:val="single" w:sz="4" w:space="0" w:color="27B0AF"/>
            </w:tcBorders>
            <w:vAlign w:val="center"/>
          </w:tcPr>
          <w:p w14:paraId="66E1DE20" w14:textId="77777777" w:rsidR="009D7681" w:rsidRPr="00445472" w:rsidRDefault="009D7681" w:rsidP="009D7681">
            <w:pPr>
              <w:pStyle w:val="TABELA"/>
              <w:rPr>
                <w:sz w:val="18"/>
                <w:szCs w:val="18"/>
                <w:lang w:val="sq-AL"/>
              </w:rPr>
            </w:pPr>
            <w:r w:rsidRPr="00445472">
              <w:rPr>
                <w:sz w:val="18"/>
                <w:szCs w:val="18"/>
                <w:lang w:val="sq-AL"/>
              </w:rPr>
              <w:t>DLe</w:t>
            </w:r>
          </w:p>
        </w:tc>
        <w:tc>
          <w:tcPr>
            <w:tcW w:w="2429" w:type="dxa"/>
            <w:tcBorders>
              <w:bottom w:val="single" w:sz="4" w:space="0" w:color="27B0AF"/>
            </w:tcBorders>
            <w:vAlign w:val="center"/>
          </w:tcPr>
          <w:p w14:paraId="02136DA3" w14:textId="77777777" w:rsidR="009D7681" w:rsidRPr="00445472" w:rsidRDefault="009D7681" w:rsidP="009D7681">
            <w:pPr>
              <w:pStyle w:val="TABELA"/>
              <w:rPr>
                <w:sz w:val="18"/>
                <w:szCs w:val="18"/>
                <w:lang w:val="sq-AL"/>
              </w:rPr>
            </w:pPr>
            <w:r w:rsidRPr="00445472">
              <w:rPr>
                <w:sz w:val="18"/>
                <w:szCs w:val="18"/>
                <w:lang w:val="sq-AL"/>
              </w:rPr>
              <w:t>Drini Lezhë</w:t>
            </w:r>
          </w:p>
        </w:tc>
        <w:tc>
          <w:tcPr>
            <w:tcW w:w="494" w:type="dxa"/>
            <w:tcBorders>
              <w:bottom w:val="single" w:sz="4" w:space="0" w:color="27B0AF"/>
            </w:tcBorders>
            <w:vAlign w:val="center"/>
          </w:tcPr>
          <w:p w14:paraId="3E61C1EF" w14:textId="77777777" w:rsidR="009D7681" w:rsidRPr="00445472" w:rsidRDefault="009D7681" w:rsidP="005E3EC9">
            <w:pPr>
              <w:pStyle w:val="TABELA"/>
              <w:jc w:val="center"/>
              <w:rPr>
                <w:sz w:val="18"/>
                <w:szCs w:val="18"/>
                <w:lang w:val="sq-AL"/>
              </w:rPr>
            </w:pPr>
            <w:r w:rsidRPr="00445472">
              <w:rPr>
                <w:sz w:val="18"/>
                <w:szCs w:val="18"/>
                <w:lang w:val="sq-AL"/>
              </w:rPr>
              <w:t>7.4</w:t>
            </w:r>
          </w:p>
        </w:tc>
        <w:tc>
          <w:tcPr>
            <w:tcW w:w="773" w:type="dxa"/>
            <w:tcBorders>
              <w:bottom w:val="single" w:sz="4" w:space="0" w:color="27B0AF"/>
            </w:tcBorders>
            <w:vAlign w:val="center"/>
          </w:tcPr>
          <w:p w14:paraId="4759BEC0" w14:textId="77777777" w:rsidR="009D7681" w:rsidRPr="00445472" w:rsidRDefault="009D7681" w:rsidP="005E3EC9">
            <w:pPr>
              <w:pStyle w:val="TABELA"/>
              <w:jc w:val="center"/>
              <w:rPr>
                <w:sz w:val="18"/>
                <w:szCs w:val="18"/>
                <w:lang w:val="sq-AL"/>
              </w:rPr>
            </w:pPr>
            <w:r w:rsidRPr="00445472">
              <w:rPr>
                <w:sz w:val="18"/>
                <w:szCs w:val="18"/>
                <w:lang w:val="sq-AL"/>
              </w:rPr>
              <w:t>25.7</w:t>
            </w:r>
          </w:p>
        </w:tc>
        <w:tc>
          <w:tcPr>
            <w:tcW w:w="715" w:type="dxa"/>
            <w:tcBorders>
              <w:bottom w:val="single" w:sz="4" w:space="0" w:color="27B0AF"/>
            </w:tcBorders>
            <w:vAlign w:val="center"/>
          </w:tcPr>
          <w:p w14:paraId="58F79CD2" w14:textId="77777777" w:rsidR="009D7681" w:rsidRPr="00445472" w:rsidRDefault="009D7681" w:rsidP="005E3EC9">
            <w:pPr>
              <w:pStyle w:val="TABELA"/>
              <w:jc w:val="center"/>
              <w:rPr>
                <w:sz w:val="18"/>
                <w:szCs w:val="18"/>
                <w:lang w:val="sq-AL"/>
              </w:rPr>
            </w:pPr>
            <w:r w:rsidRPr="00445472">
              <w:rPr>
                <w:sz w:val="18"/>
                <w:szCs w:val="18"/>
                <w:lang w:val="sq-AL"/>
              </w:rPr>
              <w:t>0.256</w:t>
            </w:r>
          </w:p>
        </w:tc>
        <w:tc>
          <w:tcPr>
            <w:tcW w:w="725" w:type="dxa"/>
            <w:tcBorders>
              <w:bottom w:val="single" w:sz="4" w:space="0" w:color="27B0AF"/>
            </w:tcBorders>
            <w:vAlign w:val="center"/>
          </w:tcPr>
          <w:p w14:paraId="2E4812A9" w14:textId="77777777" w:rsidR="009D7681" w:rsidRPr="00445472" w:rsidRDefault="009D7681" w:rsidP="005E3EC9">
            <w:pPr>
              <w:pStyle w:val="TABELA"/>
              <w:jc w:val="center"/>
              <w:rPr>
                <w:sz w:val="18"/>
                <w:szCs w:val="18"/>
                <w:lang w:val="sq-AL"/>
              </w:rPr>
            </w:pPr>
            <w:r w:rsidRPr="00445472">
              <w:rPr>
                <w:sz w:val="18"/>
                <w:szCs w:val="18"/>
                <w:lang w:val="sq-AL"/>
              </w:rPr>
              <w:t>0.003</w:t>
            </w:r>
          </w:p>
        </w:tc>
        <w:tc>
          <w:tcPr>
            <w:tcW w:w="589" w:type="dxa"/>
            <w:tcBorders>
              <w:bottom w:val="single" w:sz="4" w:space="0" w:color="27B0AF"/>
            </w:tcBorders>
            <w:vAlign w:val="center"/>
          </w:tcPr>
          <w:p w14:paraId="1E00A63A" w14:textId="77777777" w:rsidR="009D7681" w:rsidRPr="00445472" w:rsidRDefault="009D7681" w:rsidP="005E3EC9">
            <w:pPr>
              <w:pStyle w:val="TABELA"/>
              <w:jc w:val="center"/>
              <w:rPr>
                <w:sz w:val="18"/>
                <w:szCs w:val="18"/>
                <w:lang w:val="sq-AL"/>
              </w:rPr>
            </w:pPr>
            <w:r w:rsidRPr="00445472">
              <w:rPr>
                <w:sz w:val="18"/>
                <w:szCs w:val="18"/>
                <w:lang w:val="sq-AL"/>
              </w:rPr>
              <w:t>0.7</w:t>
            </w:r>
          </w:p>
        </w:tc>
        <w:tc>
          <w:tcPr>
            <w:tcW w:w="840" w:type="dxa"/>
            <w:tcBorders>
              <w:bottom w:val="single" w:sz="4" w:space="0" w:color="27B0AF"/>
            </w:tcBorders>
            <w:vAlign w:val="center"/>
          </w:tcPr>
          <w:p w14:paraId="19F5C7D4" w14:textId="77777777" w:rsidR="009D7681" w:rsidRPr="00445472" w:rsidRDefault="009D7681" w:rsidP="005E3EC9">
            <w:pPr>
              <w:pStyle w:val="TABELA"/>
              <w:jc w:val="center"/>
              <w:rPr>
                <w:sz w:val="18"/>
                <w:szCs w:val="18"/>
                <w:lang w:val="sq-AL"/>
              </w:rPr>
            </w:pPr>
            <w:r w:rsidRPr="00445472">
              <w:rPr>
                <w:sz w:val="18"/>
                <w:szCs w:val="18"/>
                <w:lang w:val="sq-AL"/>
              </w:rPr>
              <w:t>0.037</w:t>
            </w:r>
          </w:p>
        </w:tc>
        <w:tc>
          <w:tcPr>
            <w:tcW w:w="749" w:type="dxa"/>
            <w:tcBorders>
              <w:bottom w:val="single" w:sz="4" w:space="0" w:color="27B0AF"/>
            </w:tcBorders>
            <w:vAlign w:val="center"/>
          </w:tcPr>
          <w:p w14:paraId="04FFD1CE" w14:textId="77777777" w:rsidR="009D7681" w:rsidRPr="00445472" w:rsidRDefault="009D7681" w:rsidP="005E3EC9">
            <w:pPr>
              <w:pStyle w:val="TABELA"/>
              <w:jc w:val="center"/>
              <w:rPr>
                <w:sz w:val="18"/>
                <w:szCs w:val="18"/>
                <w:lang w:val="sq-AL"/>
              </w:rPr>
            </w:pPr>
            <w:r w:rsidRPr="00445472">
              <w:rPr>
                <w:w w:val="99"/>
                <w:sz w:val="18"/>
                <w:szCs w:val="18"/>
                <w:lang w:val="sq-AL"/>
              </w:rPr>
              <w:t>V</w:t>
            </w:r>
          </w:p>
        </w:tc>
      </w:tr>
      <w:tr w:rsidR="009D7681" w:rsidRPr="00445472" w14:paraId="2134CDF7" w14:textId="77777777" w:rsidTr="005E3EC9">
        <w:trPr>
          <w:trHeight w:val="520"/>
          <w:jc w:val="center"/>
        </w:trPr>
        <w:tc>
          <w:tcPr>
            <w:tcW w:w="1985" w:type="dxa"/>
            <w:gridSpan w:val="2"/>
            <w:vMerge w:val="restart"/>
            <w:shd w:val="clear" w:color="auto" w:fill="D4D4D4"/>
            <w:vAlign w:val="center"/>
          </w:tcPr>
          <w:p w14:paraId="2D8411EC" w14:textId="77777777" w:rsidR="009D7681" w:rsidRPr="00445472" w:rsidRDefault="009D7681" w:rsidP="009D7681">
            <w:pPr>
              <w:pStyle w:val="TABELA"/>
              <w:rPr>
                <w:sz w:val="18"/>
                <w:szCs w:val="18"/>
                <w:lang w:val="sq-AL"/>
              </w:rPr>
            </w:pPr>
          </w:p>
          <w:p w14:paraId="3EB053CA" w14:textId="77777777" w:rsidR="009D7681" w:rsidRPr="00445472" w:rsidRDefault="009D7681" w:rsidP="009D7681">
            <w:pPr>
              <w:pStyle w:val="TABELA"/>
              <w:rPr>
                <w:sz w:val="18"/>
                <w:szCs w:val="18"/>
                <w:lang w:val="sq-AL"/>
              </w:rPr>
            </w:pPr>
            <w:r w:rsidRPr="00445472">
              <w:rPr>
                <w:sz w:val="18"/>
                <w:szCs w:val="18"/>
                <w:lang w:val="sq-AL"/>
              </w:rPr>
              <w:t>SCM</w:t>
            </w:r>
            <w:r w:rsidRPr="00445472">
              <w:rPr>
                <w:rStyle w:val="FootnoteReference"/>
                <w:rFonts w:ascii="Garamond" w:hAnsi="Garamond" w:cs="Arial"/>
                <w:b/>
                <w:color w:val="auto"/>
                <w:sz w:val="18"/>
                <w:szCs w:val="18"/>
                <w:lang w:val="sq-AL"/>
              </w:rPr>
              <w:footnoteReference w:id="127"/>
            </w:r>
          </w:p>
        </w:tc>
        <w:tc>
          <w:tcPr>
            <w:tcW w:w="2429" w:type="dxa"/>
            <w:shd w:val="clear" w:color="auto" w:fill="D4D4D4"/>
            <w:vAlign w:val="center"/>
          </w:tcPr>
          <w:p w14:paraId="0D8B4A0C" w14:textId="4264AC7E" w:rsidR="009D7681" w:rsidRPr="00445472" w:rsidRDefault="009D7681" w:rsidP="009D7681">
            <w:pPr>
              <w:pStyle w:val="TABELA"/>
              <w:rPr>
                <w:sz w:val="18"/>
                <w:szCs w:val="18"/>
                <w:lang w:val="sq-AL"/>
              </w:rPr>
            </w:pPr>
            <w:r w:rsidRPr="00445472">
              <w:rPr>
                <w:sz w:val="18"/>
                <w:szCs w:val="18"/>
                <w:lang w:val="sq-AL"/>
              </w:rPr>
              <w:t>Klasa III (</w:t>
            </w:r>
            <w:r w:rsidR="005E3EC9" w:rsidRPr="00445472">
              <w:rPr>
                <w:sz w:val="18"/>
                <w:szCs w:val="18"/>
                <w:lang w:val="sq-AL"/>
              </w:rPr>
              <w:t>moderuar</w:t>
            </w:r>
            <w:r w:rsidRPr="00445472">
              <w:rPr>
                <w:sz w:val="18"/>
                <w:szCs w:val="18"/>
                <w:lang w:val="sq-AL"/>
              </w:rPr>
              <w:t>)</w:t>
            </w:r>
          </w:p>
        </w:tc>
        <w:tc>
          <w:tcPr>
            <w:tcW w:w="494" w:type="dxa"/>
            <w:shd w:val="clear" w:color="auto" w:fill="D4D4D4"/>
            <w:vAlign w:val="center"/>
          </w:tcPr>
          <w:p w14:paraId="33A463C9" w14:textId="77777777" w:rsidR="009D7681" w:rsidRPr="00445472" w:rsidRDefault="009D7681" w:rsidP="005E3EC9">
            <w:pPr>
              <w:pStyle w:val="TABELA"/>
              <w:jc w:val="center"/>
              <w:rPr>
                <w:sz w:val="18"/>
                <w:szCs w:val="18"/>
                <w:lang w:val="sq-AL"/>
              </w:rPr>
            </w:pPr>
            <w:r w:rsidRPr="00445472">
              <w:rPr>
                <w:sz w:val="18"/>
                <w:szCs w:val="18"/>
                <w:lang w:val="sq-AL"/>
              </w:rPr>
              <w:t>&gt;5</w:t>
            </w:r>
          </w:p>
        </w:tc>
        <w:tc>
          <w:tcPr>
            <w:tcW w:w="773" w:type="dxa"/>
            <w:shd w:val="clear" w:color="auto" w:fill="D4D4D4"/>
            <w:vAlign w:val="center"/>
          </w:tcPr>
          <w:p w14:paraId="4494DD0D" w14:textId="77777777" w:rsidR="009D7681" w:rsidRPr="00445472" w:rsidRDefault="009D7681" w:rsidP="005E3EC9">
            <w:pPr>
              <w:pStyle w:val="TABELA"/>
              <w:jc w:val="center"/>
              <w:rPr>
                <w:sz w:val="18"/>
                <w:szCs w:val="18"/>
                <w:lang w:val="sq-AL"/>
              </w:rPr>
            </w:pPr>
            <w:r w:rsidRPr="00445472">
              <w:rPr>
                <w:sz w:val="18"/>
                <w:szCs w:val="18"/>
                <w:lang w:val="sq-AL"/>
              </w:rPr>
              <w:t>&lt;7</w:t>
            </w:r>
          </w:p>
        </w:tc>
        <w:tc>
          <w:tcPr>
            <w:tcW w:w="715" w:type="dxa"/>
            <w:shd w:val="clear" w:color="auto" w:fill="D4D4D4"/>
            <w:vAlign w:val="center"/>
          </w:tcPr>
          <w:p w14:paraId="1DF11D0F" w14:textId="77777777" w:rsidR="009D7681" w:rsidRPr="00445472" w:rsidRDefault="009D7681" w:rsidP="005E3EC9">
            <w:pPr>
              <w:pStyle w:val="TABELA"/>
              <w:jc w:val="center"/>
              <w:rPr>
                <w:sz w:val="18"/>
                <w:szCs w:val="18"/>
                <w:lang w:val="sq-AL"/>
              </w:rPr>
            </w:pPr>
            <w:r w:rsidRPr="00445472">
              <w:rPr>
                <w:sz w:val="18"/>
                <w:szCs w:val="18"/>
                <w:lang w:val="sq-AL"/>
              </w:rPr>
              <w:t>&lt;0.6</w:t>
            </w:r>
          </w:p>
        </w:tc>
        <w:tc>
          <w:tcPr>
            <w:tcW w:w="725" w:type="dxa"/>
            <w:shd w:val="clear" w:color="auto" w:fill="D4D4D4"/>
            <w:vAlign w:val="center"/>
          </w:tcPr>
          <w:p w14:paraId="45F47A0D" w14:textId="77777777" w:rsidR="009D7681" w:rsidRPr="00445472" w:rsidRDefault="009D7681" w:rsidP="005E3EC9">
            <w:pPr>
              <w:pStyle w:val="TABELA"/>
              <w:jc w:val="center"/>
              <w:rPr>
                <w:sz w:val="18"/>
                <w:szCs w:val="18"/>
                <w:lang w:val="sq-AL"/>
              </w:rPr>
            </w:pPr>
            <w:r w:rsidRPr="00445472">
              <w:rPr>
                <w:sz w:val="18"/>
                <w:szCs w:val="18"/>
                <w:lang w:val="sq-AL"/>
              </w:rPr>
              <w:t>&lt;0.12</w:t>
            </w:r>
          </w:p>
        </w:tc>
        <w:tc>
          <w:tcPr>
            <w:tcW w:w="589" w:type="dxa"/>
            <w:shd w:val="clear" w:color="auto" w:fill="D4D4D4"/>
            <w:vAlign w:val="center"/>
          </w:tcPr>
          <w:p w14:paraId="4EFB2801" w14:textId="77777777" w:rsidR="009D7681" w:rsidRPr="00445472" w:rsidRDefault="009D7681" w:rsidP="005E3EC9">
            <w:pPr>
              <w:pStyle w:val="TABELA"/>
              <w:jc w:val="center"/>
              <w:rPr>
                <w:sz w:val="18"/>
                <w:szCs w:val="18"/>
                <w:lang w:val="sq-AL"/>
              </w:rPr>
            </w:pPr>
            <w:r w:rsidRPr="00445472">
              <w:rPr>
                <w:sz w:val="18"/>
                <w:szCs w:val="18"/>
                <w:lang w:val="sq-AL"/>
              </w:rPr>
              <w:t>&lt;4</w:t>
            </w:r>
          </w:p>
        </w:tc>
        <w:tc>
          <w:tcPr>
            <w:tcW w:w="840" w:type="dxa"/>
            <w:shd w:val="clear" w:color="auto" w:fill="D4D4D4"/>
            <w:vAlign w:val="center"/>
          </w:tcPr>
          <w:p w14:paraId="143A7BB1" w14:textId="77777777" w:rsidR="009D7681" w:rsidRPr="00445472" w:rsidRDefault="009D7681" w:rsidP="005E3EC9">
            <w:pPr>
              <w:pStyle w:val="TABELA"/>
              <w:jc w:val="center"/>
              <w:rPr>
                <w:sz w:val="18"/>
                <w:szCs w:val="18"/>
                <w:lang w:val="sq-AL"/>
              </w:rPr>
            </w:pPr>
            <w:r w:rsidRPr="00445472">
              <w:rPr>
                <w:sz w:val="18"/>
                <w:szCs w:val="18"/>
                <w:lang w:val="sq-AL"/>
              </w:rPr>
              <w:t>&lt;0.2</w:t>
            </w:r>
          </w:p>
        </w:tc>
        <w:tc>
          <w:tcPr>
            <w:tcW w:w="749" w:type="dxa"/>
            <w:shd w:val="clear" w:color="auto" w:fill="D4D4D4"/>
            <w:vAlign w:val="center"/>
          </w:tcPr>
          <w:p w14:paraId="22A7FA29" w14:textId="77777777" w:rsidR="009D7681" w:rsidRPr="00445472" w:rsidRDefault="009D7681" w:rsidP="005E3EC9">
            <w:pPr>
              <w:pStyle w:val="TABELA"/>
              <w:jc w:val="center"/>
              <w:rPr>
                <w:sz w:val="18"/>
                <w:szCs w:val="18"/>
                <w:lang w:val="sq-AL"/>
              </w:rPr>
            </w:pPr>
          </w:p>
        </w:tc>
      </w:tr>
      <w:tr w:rsidR="009D7681" w:rsidRPr="00445472" w14:paraId="6088CE02" w14:textId="77777777" w:rsidTr="005E3EC9">
        <w:trPr>
          <w:trHeight w:val="520"/>
          <w:jc w:val="center"/>
        </w:trPr>
        <w:tc>
          <w:tcPr>
            <w:tcW w:w="1985" w:type="dxa"/>
            <w:gridSpan w:val="2"/>
            <w:vMerge/>
            <w:tcBorders>
              <w:top w:val="single" w:sz="4" w:space="0" w:color="27B0AF"/>
            </w:tcBorders>
            <w:shd w:val="clear" w:color="auto" w:fill="D4D4D4"/>
            <w:vAlign w:val="center"/>
          </w:tcPr>
          <w:p w14:paraId="01CE32C2" w14:textId="77777777" w:rsidR="009D7681" w:rsidRPr="00445472" w:rsidRDefault="009D7681" w:rsidP="009D7681">
            <w:pPr>
              <w:pStyle w:val="TABELA"/>
              <w:rPr>
                <w:sz w:val="18"/>
                <w:szCs w:val="18"/>
                <w:lang w:val="sq-AL"/>
              </w:rPr>
            </w:pPr>
          </w:p>
        </w:tc>
        <w:tc>
          <w:tcPr>
            <w:tcW w:w="2429" w:type="dxa"/>
            <w:tcBorders>
              <w:top w:val="single" w:sz="4" w:space="0" w:color="27B0AF"/>
            </w:tcBorders>
            <w:shd w:val="clear" w:color="auto" w:fill="D4D4D4"/>
            <w:vAlign w:val="center"/>
          </w:tcPr>
          <w:p w14:paraId="5E7DEE87" w14:textId="194FB94F" w:rsidR="009D7681" w:rsidRPr="00445472" w:rsidRDefault="009D7681" w:rsidP="009D7681">
            <w:pPr>
              <w:pStyle w:val="TABELA"/>
              <w:rPr>
                <w:sz w:val="18"/>
                <w:szCs w:val="18"/>
                <w:lang w:val="sq-AL"/>
              </w:rPr>
            </w:pPr>
            <w:r w:rsidRPr="00445472">
              <w:rPr>
                <w:sz w:val="18"/>
                <w:szCs w:val="18"/>
                <w:lang w:val="sq-AL"/>
              </w:rPr>
              <w:t>Klasa II (</w:t>
            </w:r>
            <w:r w:rsidR="005E3EC9" w:rsidRPr="00445472">
              <w:rPr>
                <w:sz w:val="18"/>
                <w:szCs w:val="18"/>
                <w:lang w:val="sq-AL"/>
              </w:rPr>
              <w:t>mirë</w:t>
            </w:r>
            <w:r w:rsidRPr="00445472">
              <w:rPr>
                <w:sz w:val="18"/>
                <w:szCs w:val="18"/>
                <w:lang w:val="sq-AL"/>
              </w:rPr>
              <w:t>)</w:t>
            </w:r>
          </w:p>
        </w:tc>
        <w:tc>
          <w:tcPr>
            <w:tcW w:w="494" w:type="dxa"/>
            <w:tcBorders>
              <w:top w:val="single" w:sz="4" w:space="0" w:color="27B0AF"/>
            </w:tcBorders>
            <w:shd w:val="clear" w:color="auto" w:fill="D4D4D4"/>
            <w:vAlign w:val="center"/>
          </w:tcPr>
          <w:p w14:paraId="203497C6" w14:textId="77777777" w:rsidR="009D7681" w:rsidRPr="00445472" w:rsidRDefault="009D7681" w:rsidP="005E3EC9">
            <w:pPr>
              <w:pStyle w:val="TABELA"/>
              <w:jc w:val="center"/>
              <w:rPr>
                <w:sz w:val="18"/>
                <w:szCs w:val="18"/>
                <w:lang w:val="sq-AL"/>
              </w:rPr>
            </w:pPr>
            <w:r w:rsidRPr="00445472">
              <w:rPr>
                <w:sz w:val="18"/>
                <w:szCs w:val="18"/>
                <w:lang w:val="sq-AL"/>
              </w:rPr>
              <w:t>&gt;6</w:t>
            </w:r>
          </w:p>
        </w:tc>
        <w:tc>
          <w:tcPr>
            <w:tcW w:w="773" w:type="dxa"/>
            <w:tcBorders>
              <w:top w:val="single" w:sz="4" w:space="0" w:color="27B0AF"/>
            </w:tcBorders>
            <w:shd w:val="clear" w:color="auto" w:fill="D4D4D4"/>
            <w:vAlign w:val="center"/>
          </w:tcPr>
          <w:p w14:paraId="1CAF5289" w14:textId="77777777" w:rsidR="009D7681" w:rsidRPr="00445472" w:rsidRDefault="009D7681" w:rsidP="005E3EC9">
            <w:pPr>
              <w:pStyle w:val="TABELA"/>
              <w:jc w:val="center"/>
              <w:rPr>
                <w:sz w:val="18"/>
                <w:szCs w:val="18"/>
                <w:lang w:val="sq-AL"/>
              </w:rPr>
            </w:pPr>
            <w:r w:rsidRPr="00445472">
              <w:rPr>
                <w:sz w:val="18"/>
                <w:szCs w:val="18"/>
                <w:lang w:val="sq-AL"/>
              </w:rPr>
              <w:t>&lt;3.5</w:t>
            </w:r>
          </w:p>
        </w:tc>
        <w:tc>
          <w:tcPr>
            <w:tcW w:w="715" w:type="dxa"/>
            <w:tcBorders>
              <w:top w:val="single" w:sz="4" w:space="0" w:color="27B0AF"/>
            </w:tcBorders>
            <w:shd w:val="clear" w:color="auto" w:fill="D4D4D4"/>
            <w:vAlign w:val="center"/>
          </w:tcPr>
          <w:p w14:paraId="0CFE0FD0" w14:textId="77777777" w:rsidR="009D7681" w:rsidRPr="00445472" w:rsidRDefault="009D7681" w:rsidP="005E3EC9">
            <w:pPr>
              <w:pStyle w:val="TABELA"/>
              <w:jc w:val="center"/>
              <w:rPr>
                <w:sz w:val="18"/>
                <w:szCs w:val="18"/>
                <w:lang w:val="sq-AL"/>
              </w:rPr>
            </w:pPr>
            <w:r w:rsidRPr="00445472">
              <w:rPr>
                <w:sz w:val="18"/>
                <w:szCs w:val="18"/>
                <w:lang w:val="sq-AL"/>
              </w:rPr>
              <w:t>&lt;0.3</w:t>
            </w:r>
          </w:p>
        </w:tc>
        <w:tc>
          <w:tcPr>
            <w:tcW w:w="725" w:type="dxa"/>
            <w:tcBorders>
              <w:top w:val="single" w:sz="4" w:space="0" w:color="27B0AF"/>
            </w:tcBorders>
            <w:shd w:val="clear" w:color="auto" w:fill="D4D4D4"/>
            <w:vAlign w:val="center"/>
          </w:tcPr>
          <w:p w14:paraId="09B16154" w14:textId="77777777" w:rsidR="009D7681" w:rsidRPr="00445472" w:rsidRDefault="009D7681" w:rsidP="005E3EC9">
            <w:pPr>
              <w:pStyle w:val="TABELA"/>
              <w:jc w:val="center"/>
              <w:rPr>
                <w:sz w:val="18"/>
                <w:szCs w:val="18"/>
                <w:lang w:val="sq-AL"/>
              </w:rPr>
            </w:pPr>
            <w:r w:rsidRPr="00445472">
              <w:rPr>
                <w:sz w:val="18"/>
                <w:szCs w:val="18"/>
                <w:lang w:val="sq-AL"/>
              </w:rPr>
              <w:t>&lt;0.06</w:t>
            </w:r>
          </w:p>
        </w:tc>
        <w:tc>
          <w:tcPr>
            <w:tcW w:w="589" w:type="dxa"/>
            <w:tcBorders>
              <w:top w:val="single" w:sz="4" w:space="0" w:color="27B0AF"/>
            </w:tcBorders>
            <w:shd w:val="clear" w:color="auto" w:fill="D4D4D4"/>
            <w:vAlign w:val="center"/>
          </w:tcPr>
          <w:p w14:paraId="74EF80EB" w14:textId="77777777" w:rsidR="009D7681" w:rsidRPr="00445472" w:rsidRDefault="009D7681" w:rsidP="005E3EC9">
            <w:pPr>
              <w:pStyle w:val="TABELA"/>
              <w:jc w:val="center"/>
              <w:rPr>
                <w:sz w:val="18"/>
                <w:szCs w:val="18"/>
                <w:lang w:val="sq-AL"/>
              </w:rPr>
            </w:pPr>
            <w:r w:rsidRPr="00445472">
              <w:rPr>
                <w:sz w:val="18"/>
                <w:szCs w:val="18"/>
                <w:lang w:val="sq-AL"/>
              </w:rPr>
              <w:t>&lt;2</w:t>
            </w:r>
          </w:p>
        </w:tc>
        <w:tc>
          <w:tcPr>
            <w:tcW w:w="840" w:type="dxa"/>
            <w:tcBorders>
              <w:top w:val="single" w:sz="4" w:space="0" w:color="27B0AF"/>
            </w:tcBorders>
            <w:shd w:val="clear" w:color="auto" w:fill="D4D4D4"/>
            <w:vAlign w:val="center"/>
          </w:tcPr>
          <w:p w14:paraId="2331BA6C" w14:textId="77777777" w:rsidR="009D7681" w:rsidRPr="00445472" w:rsidRDefault="009D7681" w:rsidP="005E3EC9">
            <w:pPr>
              <w:pStyle w:val="TABELA"/>
              <w:jc w:val="center"/>
              <w:rPr>
                <w:sz w:val="18"/>
                <w:szCs w:val="18"/>
                <w:lang w:val="sq-AL"/>
              </w:rPr>
            </w:pPr>
            <w:r w:rsidRPr="00445472">
              <w:rPr>
                <w:sz w:val="18"/>
                <w:szCs w:val="18"/>
                <w:lang w:val="sq-AL"/>
              </w:rPr>
              <w:t>&lt;0.1</w:t>
            </w:r>
          </w:p>
        </w:tc>
        <w:tc>
          <w:tcPr>
            <w:tcW w:w="749" w:type="dxa"/>
            <w:tcBorders>
              <w:top w:val="single" w:sz="4" w:space="0" w:color="27B0AF"/>
            </w:tcBorders>
            <w:shd w:val="clear" w:color="auto" w:fill="D4D4D4"/>
            <w:vAlign w:val="center"/>
          </w:tcPr>
          <w:p w14:paraId="45C98F3C" w14:textId="77777777" w:rsidR="009D7681" w:rsidRPr="00445472" w:rsidRDefault="009D7681" w:rsidP="005E3EC9">
            <w:pPr>
              <w:pStyle w:val="TABELA"/>
              <w:jc w:val="center"/>
              <w:rPr>
                <w:sz w:val="18"/>
                <w:szCs w:val="18"/>
                <w:lang w:val="sq-AL"/>
              </w:rPr>
            </w:pPr>
          </w:p>
        </w:tc>
      </w:tr>
    </w:tbl>
    <w:p w14:paraId="7B53FB10" w14:textId="77777777" w:rsidR="009D7681" w:rsidRPr="00445472" w:rsidRDefault="009D7681" w:rsidP="009D7681">
      <w:pPr>
        <w:pStyle w:val="TEKSTIIII"/>
        <w:rPr>
          <w:b/>
          <w:sz w:val="26"/>
        </w:rPr>
      </w:pPr>
    </w:p>
    <w:p w14:paraId="5FD39AEF" w14:textId="2B3A415B" w:rsidR="009D7681" w:rsidRPr="00445472" w:rsidRDefault="009D7681" w:rsidP="009D7681">
      <w:pPr>
        <w:pStyle w:val="TEKSTIIII"/>
      </w:pPr>
      <w:r w:rsidRPr="00445472">
        <w:t xml:space="preserve">Bazuar në rezultatet e monitorimit të AKM-së në vitin 2015, në lidhje me oksigjenin e tretur, ujërat e Basenit Ujor </w:t>
      </w:r>
      <w:r w:rsidR="007E76E3" w:rsidRPr="00445472">
        <w:t>Drin–Bunë</w:t>
      </w:r>
      <w:r w:rsidRPr="00445472">
        <w:t xml:space="preserve"> në pesë stacione janë të cilësisë së mirë (Klasa II). Ka oksigjen të mjaftueshëm të tretur për të mbështetur jetën ujore (mbi 5 mg/l) në ujërat e basenit </w:t>
      </w:r>
      <w:r w:rsidR="007E76E3" w:rsidRPr="00445472">
        <w:t>Drin–Bunë</w:t>
      </w:r>
      <w:r w:rsidRPr="00445472">
        <w:t xml:space="preserve"> nga Topojani në Drinin e Zi, dhe në Bunë, Drin-Lezhë dhe Drin në Shkodër. Përqendrimi më i lartë i OT është matur në Topojan me 9.4</w:t>
      </w:r>
      <w:r w:rsidR="005E3EC9" w:rsidRPr="00445472">
        <w:t xml:space="preserve"> </w:t>
      </w:r>
      <w:r w:rsidRPr="00445472">
        <w:t>mg/l. Një rënie graduale në OT vërehet nga Topojani në Drinin e Lezhës. Ky i fundit ka përqendrimin më të ulët, edhe pse brenda SCM.</w:t>
      </w:r>
    </w:p>
    <w:p w14:paraId="53EBA20F" w14:textId="3C1F93FE" w:rsidR="009D7681" w:rsidRPr="00445472" w:rsidRDefault="009D7681" w:rsidP="009D7681">
      <w:pPr>
        <w:pStyle w:val="TEKSTIIII"/>
      </w:pPr>
      <w:r w:rsidRPr="00445472">
        <w:t>KBO</w:t>
      </w:r>
      <w:r w:rsidRPr="00445472">
        <w:rPr>
          <w:vertAlign w:val="subscript"/>
        </w:rPr>
        <w:t>5</w:t>
      </w:r>
      <w:r w:rsidRPr="00445472">
        <w:t>, NH</w:t>
      </w:r>
      <w:r w:rsidRPr="00445472">
        <w:rPr>
          <w:vertAlign w:val="subscript"/>
        </w:rPr>
        <w:t>4</w:t>
      </w:r>
      <w:r w:rsidRPr="00445472">
        <w:t>, NO</w:t>
      </w:r>
      <w:r w:rsidRPr="00445472">
        <w:rPr>
          <w:vertAlign w:val="subscript"/>
        </w:rPr>
        <w:t>3</w:t>
      </w:r>
      <w:r w:rsidRPr="00445472">
        <w:t>, NO</w:t>
      </w:r>
      <w:r w:rsidRPr="00445472">
        <w:rPr>
          <w:vertAlign w:val="subscript"/>
        </w:rPr>
        <w:t>2</w:t>
      </w:r>
      <w:r w:rsidRPr="00445472">
        <w:t xml:space="preserve"> dhe P-total të matur në basenin ujor janë brenda SCM-ve që tregojnë se uji është i kualitetit të mirë. Një përjashtim është niveli i KBO</w:t>
      </w:r>
      <w:r w:rsidRPr="00445472">
        <w:rPr>
          <w:vertAlign w:val="subscript"/>
        </w:rPr>
        <w:t>5</w:t>
      </w:r>
      <w:r w:rsidRPr="00445472">
        <w:t xml:space="preserve"> në Topojan (Klasa III) që tregon ujërat e cilësisë së moderuar dhe niveli i KBO</w:t>
      </w:r>
      <w:r w:rsidRPr="00445472">
        <w:rPr>
          <w:vertAlign w:val="subscript"/>
        </w:rPr>
        <w:t>5</w:t>
      </w:r>
      <w:r w:rsidRPr="00445472">
        <w:t xml:space="preserve"> në Drini-Lezhë që tejkalojnë SCM me 27%. Megjithatë, në pjesën tjetër të stacioneve, nivelet e përqendrimit KBO</w:t>
      </w:r>
      <w:r w:rsidRPr="00445472">
        <w:rPr>
          <w:vertAlign w:val="subscript"/>
        </w:rPr>
        <w:t>5</w:t>
      </w:r>
      <w:r w:rsidRPr="00445472">
        <w:t xml:space="preserve"> në lumin Drin zvogëlohen gradualisht nga Bah</w:t>
      </w:r>
      <w:r w:rsidR="005E3EC9" w:rsidRPr="00445472">
        <w:rPr>
          <w:rFonts w:cs="Cambria"/>
        </w:rPr>
        <w:t>ç</w:t>
      </w:r>
      <w:r w:rsidRPr="00445472">
        <w:t>all</w:t>
      </w:r>
      <w:r w:rsidRPr="00445472">
        <w:rPr>
          <w:rFonts w:cs="Garamond"/>
        </w:rPr>
        <w:t>ë</w:t>
      </w:r>
      <w:r w:rsidRPr="00445472">
        <w:t>ku n</w:t>
      </w:r>
      <w:r w:rsidRPr="00445472">
        <w:rPr>
          <w:rFonts w:cs="Garamond"/>
        </w:rPr>
        <w:t>ë</w:t>
      </w:r>
      <w:r w:rsidRPr="00445472">
        <w:t xml:space="preserve"> Muriqan dhe pastaj rriten ndjesh</w:t>
      </w:r>
      <w:r w:rsidRPr="00445472">
        <w:rPr>
          <w:rFonts w:cs="Garamond"/>
        </w:rPr>
        <w:t>ë</w:t>
      </w:r>
      <w:r w:rsidRPr="00445472">
        <w:t>m në Drini-Lezhë. Përqendrimi i KBO</w:t>
      </w:r>
      <w:r w:rsidRPr="00445472">
        <w:rPr>
          <w:vertAlign w:val="subscript"/>
        </w:rPr>
        <w:t>5</w:t>
      </w:r>
      <w:r w:rsidRPr="00445472">
        <w:t xml:space="preserve"> në Topojan dhe Drini-Lezhë tregon qartë një cilësi të dobët kimike dhe biologjike të lumit që mund </w:t>
      </w:r>
      <w:r w:rsidR="001F68B2" w:rsidRPr="00445472">
        <w:t>t’i</w:t>
      </w:r>
      <w:r w:rsidRPr="00445472">
        <w:t xml:space="preserve"> atribuohet shkarkimeve nga ujërat e ndotura, rrjedhjet industriale dhe shkarkimet bujqësore.</w:t>
      </w:r>
    </w:p>
    <w:p w14:paraId="11B4EE1F" w14:textId="3DF0C7F2" w:rsidR="009D7681" w:rsidRPr="00445472" w:rsidRDefault="009D7681" w:rsidP="009D7681">
      <w:pPr>
        <w:pStyle w:val="TEKSTIIII"/>
      </w:pPr>
      <w:r w:rsidRPr="00445472">
        <w:t>Përqendrimi i NH</w:t>
      </w:r>
      <w:r w:rsidRPr="00445472">
        <w:rPr>
          <w:vertAlign w:val="subscript"/>
        </w:rPr>
        <w:t>4</w:t>
      </w:r>
      <w:r w:rsidRPr="00445472">
        <w:t xml:space="preserve"> arrin nivelet më të larta në Urën e Shkodrës dhe Drini-Lezhë, edhe pse të gjitha rezultatet janë brenda SCM-së. Përqendrimi i NH</w:t>
      </w:r>
      <w:r w:rsidRPr="00445472">
        <w:rPr>
          <w:vertAlign w:val="subscript"/>
        </w:rPr>
        <w:t>4</w:t>
      </w:r>
      <w:r w:rsidRPr="00445472">
        <w:t xml:space="preserve"> në Drini-Lezhë është afër kufijve të cilësisë së ujit të moderuar. Sa për NO</w:t>
      </w:r>
      <w:r w:rsidRPr="00445472">
        <w:rPr>
          <w:vertAlign w:val="subscript"/>
        </w:rPr>
        <w:t>3</w:t>
      </w:r>
      <w:r w:rsidRPr="00445472">
        <w:t>, megjithëse më e larta në Bah</w:t>
      </w:r>
      <w:r w:rsidR="005E3EC9" w:rsidRPr="00445472">
        <w:rPr>
          <w:rFonts w:cs="Cambria"/>
        </w:rPr>
        <w:t>ç</w:t>
      </w:r>
      <w:r w:rsidRPr="00445472">
        <w:t>all</w:t>
      </w:r>
      <w:r w:rsidRPr="00445472">
        <w:rPr>
          <w:rFonts w:cs="Garamond"/>
        </w:rPr>
        <w:t>ë</w:t>
      </w:r>
      <w:r w:rsidRPr="00445472">
        <w:t>k n</w:t>
      </w:r>
      <w:r w:rsidRPr="00445472">
        <w:rPr>
          <w:rFonts w:cs="Garamond"/>
        </w:rPr>
        <w:t>ë</w:t>
      </w:r>
      <w:r w:rsidRPr="00445472">
        <w:t xml:space="preserve"> krahasim me stacionet e tjera, t</w:t>
      </w:r>
      <w:r w:rsidRPr="00445472">
        <w:rPr>
          <w:rFonts w:cs="Garamond"/>
        </w:rPr>
        <w:t>ë</w:t>
      </w:r>
      <w:r w:rsidRPr="00445472">
        <w:t xml:space="preserve"> gjitha vendet e kampionimit tregojn</w:t>
      </w:r>
      <w:r w:rsidRPr="00445472">
        <w:rPr>
          <w:rFonts w:cs="Garamond"/>
        </w:rPr>
        <w:t>ë</w:t>
      </w:r>
      <w:r w:rsidRPr="00445472">
        <w:t xml:space="preserve"> nj</w:t>
      </w:r>
      <w:r w:rsidRPr="00445472">
        <w:rPr>
          <w:rFonts w:cs="Garamond"/>
        </w:rPr>
        <w:t>ë</w:t>
      </w:r>
      <w:r w:rsidRPr="00445472">
        <w:t xml:space="preserve"> cil</w:t>
      </w:r>
      <w:r w:rsidRPr="00445472">
        <w:rPr>
          <w:rFonts w:cs="Garamond"/>
        </w:rPr>
        <w:t>ë</w:t>
      </w:r>
      <w:r w:rsidRPr="00445472">
        <w:t>si t</w:t>
      </w:r>
      <w:r w:rsidRPr="00445472">
        <w:rPr>
          <w:rFonts w:cs="Garamond"/>
        </w:rPr>
        <w:t>ë</w:t>
      </w:r>
      <w:r w:rsidRPr="00445472">
        <w:t xml:space="preserve"> mir</w:t>
      </w:r>
      <w:r w:rsidRPr="00445472">
        <w:rPr>
          <w:rFonts w:cs="Garamond"/>
        </w:rPr>
        <w:t>ë</w:t>
      </w:r>
      <w:r w:rsidRPr="00445472">
        <w:t xml:space="preserve"> t</w:t>
      </w:r>
      <w:r w:rsidRPr="00445472">
        <w:rPr>
          <w:rFonts w:cs="Garamond"/>
        </w:rPr>
        <w:t>ë</w:t>
      </w:r>
      <w:r w:rsidRPr="00445472">
        <w:t xml:space="preserve"> ujit.</w:t>
      </w:r>
    </w:p>
    <w:p w14:paraId="651FD87A" w14:textId="317C36E8" w:rsidR="009D7681" w:rsidRPr="00445472" w:rsidRDefault="009D7681" w:rsidP="009D7681">
      <w:pPr>
        <w:pStyle w:val="TEKSTIIII"/>
      </w:pPr>
      <w:r w:rsidRPr="00445472">
        <w:t>Si përfundim, matjet tregojnë një lumë me cilësi të ujit që përgjithësisht është e mirë, me përjashtim të seksionit Drini-Lezhë dhe stacionit Topojan në Drinin e Zi. Në të dy</w:t>
      </w:r>
      <w:r w:rsidR="00554D3B">
        <w:t>ja</w:t>
      </w:r>
      <w:r w:rsidRPr="00445472">
        <w:t xml:space="preserve"> degët, matjet tregojnë </w:t>
      </w:r>
      <w:r w:rsidR="005E3EC9" w:rsidRPr="00445472">
        <w:t>përqendrime</w:t>
      </w:r>
      <w:r w:rsidRPr="00445472">
        <w:t xml:space="preserve"> të larta të KBO</w:t>
      </w:r>
      <w:r w:rsidRPr="00445472">
        <w:rPr>
          <w:vertAlign w:val="subscript"/>
        </w:rPr>
        <w:t>5</w:t>
      </w:r>
      <w:r w:rsidRPr="00445472">
        <w:t>. Megjithëse brenda normave të SCM, stacioni Drini-Lezhë tregon përqendrimin më të lartë të të gjithë parametrave me përjashtim të NO</w:t>
      </w:r>
      <w:r w:rsidRPr="00445472">
        <w:rPr>
          <w:vertAlign w:val="subscript"/>
        </w:rPr>
        <w:t>2</w:t>
      </w:r>
      <w:r w:rsidRPr="00445472">
        <w:t>. Vlerat më të larta të nitriteve u monitoruan në Urën e Shkodrës në 0.06 mg/l. Përqendrimet e O</w:t>
      </w:r>
      <w:r w:rsidRPr="00445472">
        <w:rPr>
          <w:vertAlign w:val="subscript"/>
        </w:rPr>
        <w:t>2</w:t>
      </w:r>
      <w:r w:rsidRPr="00445472">
        <w:t xml:space="preserve"> të matura në lumë tregojnë një mjedis ujor që është në gjendje të mbështesë jetën ujore. Bazuar në rezultatet e mësipërme, gjendja e ujërave të Drinit dhe Bunës mund të klasifikohet në përgjithësi si ujëra të cilësisë së </w:t>
      </w:r>
      <w:r w:rsidR="00D62EDF" w:rsidRPr="00445472">
        <w:t>“</w:t>
      </w:r>
      <w:r w:rsidRPr="00445472">
        <w:t>mirë</w:t>
      </w:r>
      <w:r w:rsidR="00D62EDF" w:rsidRPr="00445472">
        <w:t>”</w:t>
      </w:r>
      <w:r w:rsidRPr="00445472">
        <w:t xml:space="preserve"> dhe të </w:t>
      </w:r>
      <w:r w:rsidR="00D62EDF" w:rsidRPr="00445472">
        <w:t>“</w:t>
      </w:r>
      <w:r w:rsidRPr="00445472">
        <w:t>moderuar</w:t>
      </w:r>
      <w:r w:rsidR="00D62EDF" w:rsidRPr="00445472">
        <w:t>”</w:t>
      </w:r>
      <w:r w:rsidRPr="00445472">
        <w:t xml:space="preserve"> (klasat II deri në III). Rezultatet e monitorimit tregojnë praninë e shkarkimeve të ujërave të ndotura industriale dhe urbane dhe eventualisht derdhjeve bujqësore.</w:t>
      </w:r>
    </w:p>
    <w:p w14:paraId="11C0A986" w14:textId="389DE3EE" w:rsidR="009D7681" w:rsidRPr="007E1A10" w:rsidRDefault="00837425" w:rsidP="009D7681">
      <w:pPr>
        <w:pStyle w:val="TEKSTIIII"/>
        <w:rPr>
          <w:b/>
        </w:rPr>
      </w:pPr>
      <w:bookmarkStart w:id="137" w:name="_bookmark16"/>
      <w:bookmarkStart w:id="138" w:name="_Toc11068813"/>
      <w:bookmarkEnd w:id="137"/>
      <w:r w:rsidRPr="007E1A10">
        <w:rPr>
          <w:b/>
        </w:rPr>
        <w:t xml:space="preserve">7.1.2 </w:t>
      </w:r>
      <w:r w:rsidR="009D7681" w:rsidRPr="007E1A10">
        <w:rPr>
          <w:b/>
        </w:rPr>
        <w:t xml:space="preserve">Trendet e cilësisë së ujit në lumenjtë e Basenit </w:t>
      </w:r>
      <w:r w:rsidR="007E76E3" w:rsidRPr="007E1A10">
        <w:rPr>
          <w:b/>
        </w:rPr>
        <w:t>Drin–Bunë</w:t>
      </w:r>
      <w:bookmarkEnd w:id="138"/>
      <w:r w:rsidR="009D7681" w:rsidRPr="007E1A10">
        <w:rPr>
          <w:b/>
        </w:rPr>
        <w:t xml:space="preserve"> </w:t>
      </w:r>
    </w:p>
    <w:p w14:paraId="27342E0E" w14:textId="04E08317" w:rsidR="009D7681" w:rsidRPr="00445472" w:rsidRDefault="009D7681" w:rsidP="009D7681">
      <w:pPr>
        <w:pStyle w:val="TEKSTIIII"/>
      </w:pPr>
      <w:r w:rsidRPr="00445472">
        <w:t xml:space="preserve">Ujërat sipërfaqësore të Basenit Ujor </w:t>
      </w:r>
      <w:r w:rsidR="007E76E3" w:rsidRPr="00445472">
        <w:t>Drin–Bunë</w:t>
      </w:r>
      <w:r w:rsidRPr="00445472">
        <w:t xml:space="preserve"> janë analizuar për të kuptuar trendet e cilësisë së ujit gjatë pesë viteve të fundit. Rezultatet kryesore janë si në vijim:</w:t>
      </w:r>
    </w:p>
    <w:p w14:paraId="17D7A7A7" w14:textId="2F0C1EB7" w:rsidR="009D7681" w:rsidRPr="00445472" w:rsidRDefault="009D7681" w:rsidP="009D7681">
      <w:pPr>
        <w:pStyle w:val="TEKSTIIII"/>
      </w:pPr>
      <w:r w:rsidRPr="00445472">
        <w:t xml:space="preserve">Ka pasur një rritje të </w:t>
      </w:r>
      <w:r w:rsidR="005E3EC9" w:rsidRPr="00445472">
        <w:t>përqendrimit</w:t>
      </w:r>
      <w:r w:rsidRPr="00445472">
        <w:t xml:space="preserve"> të KBO</w:t>
      </w:r>
      <w:r w:rsidRPr="00445472">
        <w:rPr>
          <w:vertAlign w:val="subscript"/>
        </w:rPr>
        <w:t>5</w:t>
      </w:r>
      <w:r w:rsidRPr="00445472">
        <w:t xml:space="preserve"> në të gjithë lumenjtë për shkak të shkarkimit të ujërave të ndotur urban dhe industrial të pa trajtuar. Drini-Lezhë është më i ndotur se pjesët e tjera të lumit. Megjithatë, meqenëse Drini-Lezhë nuk ishte monitoruar në vitet e mëparshme, kjo e bën të vështirë krahasimin me tendencat e degëve të tjera të Drinit.</w:t>
      </w:r>
    </w:p>
    <w:p w14:paraId="47477FF8" w14:textId="785640AF" w:rsidR="009D7681" w:rsidRPr="00445472" w:rsidRDefault="007E1A10" w:rsidP="009D7681">
      <w:pPr>
        <w:pStyle w:val="TEKSTIIII"/>
      </w:pPr>
      <w:r>
        <w:t xml:space="preserve">- </w:t>
      </w:r>
      <w:r w:rsidR="009D7681" w:rsidRPr="00445472">
        <w:t>Përqendrimi i NH</w:t>
      </w:r>
      <w:r w:rsidR="009D7681" w:rsidRPr="00445472">
        <w:rPr>
          <w:vertAlign w:val="subscript"/>
        </w:rPr>
        <w:t>4</w:t>
      </w:r>
      <w:r w:rsidR="009D7681" w:rsidRPr="00445472">
        <w:t xml:space="preserve"> mbetet konstant, brenda niveleve të lejuara, edhe pse ka një tendencë të lehtë në rritje. Sa i përket NH</w:t>
      </w:r>
      <w:r w:rsidR="009D7681" w:rsidRPr="00445472">
        <w:rPr>
          <w:vertAlign w:val="subscript"/>
        </w:rPr>
        <w:t>4</w:t>
      </w:r>
      <w:r w:rsidR="009D7681" w:rsidRPr="00445472">
        <w:t xml:space="preserve">, ujërat e basenit Ujor </w:t>
      </w:r>
      <w:r w:rsidR="007E76E3" w:rsidRPr="00445472">
        <w:t>Drin–Bunë</w:t>
      </w:r>
      <w:r w:rsidR="009D7681" w:rsidRPr="00445472">
        <w:t xml:space="preserve"> mund të klasifikoh</w:t>
      </w:r>
      <w:r w:rsidR="00445472">
        <w:t>en gjatë 5 viteve të fundit si “</w:t>
      </w:r>
      <w:r w:rsidR="009D7681" w:rsidRPr="00445472">
        <w:t>të mira</w:t>
      </w:r>
      <w:r w:rsidR="00445472">
        <w:t>”</w:t>
      </w:r>
      <w:r w:rsidR="009D7681" w:rsidRPr="00445472">
        <w:t xml:space="preserve"> ose </w:t>
      </w:r>
      <w:r w:rsidR="00445472">
        <w:t>“</w:t>
      </w:r>
      <w:r w:rsidR="009D7681" w:rsidRPr="00445472">
        <w:t>shumë të mira</w:t>
      </w:r>
      <w:r w:rsidR="00445472">
        <w:t>”</w:t>
      </w:r>
      <w:r w:rsidR="009D7681" w:rsidRPr="00445472">
        <w:t>.</w:t>
      </w:r>
    </w:p>
    <w:p w14:paraId="1D051FD1" w14:textId="1FFC804C" w:rsidR="009D7681" w:rsidRPr="00445472" w:rsidRDefault="007E1A10" w:rsidP="009D7681">
      <w:pPr>
        <w:pStyle w:val="TEKSTIIII"/>
      </w:pPr>
      <w:r>
        <w:t xml:space="preserve">- </w:t>
      </w:r>
      <w:r w:rsidR="009D7681" w:rsidRPr="00445472">
        <w:rPr>
          <w:position w:val="1"/>
        </w:rPr>
        <w:t>Përqendrimi i NO</w:t>
      </w:r>
      <w:r w:rsidR="009D7681" w:rsidRPr="00445472">
        <w:rPr>
          <w:position w:val="1"/>
          <w:vertAlign w:val="subscript"/>
        </w:rPr>
        <w:t>3</w:t>
      </w:r>
      <w:r w:rsidR="009D7681" w:rsidRPr="00445472">
        <w:rPr>
          <w:position w:val="1"/>
        </w:rPr>
        <w:t xml:space="preserve"> ndryshon midis stacioneve edhe pse përqendrimi mbetet brenda vlerave të lejuara. Përdorimi i inputeve bujqësore në tokë bujqësore pranë ose në zonat buferike përgjatë lumit mund të shkaktojë ndotjen e nitrateve, përveç shkarkimeve industriale dhe bujqësore të ujërave të ndotura.</w:t>
      </w:r>
    </w:p>
    <w:p w14:paraId="68A25CC8" w14:textId="34D2ADDD" w:rsidR="009D7681" w:rsidRPr="00445472" w:rsidRDefault="007E1A10" w:rsidP="009D7681">
      <w:pPr>
        <w:pStyle w:val="TEKSTIIII"/>
      </w:pPr>
      <w:r>
        <w:t xml:space="preserve">- </w:t>
      </w:r>
      <w:r w:rsidR="009D7681" w:rsidRPr="00445472">
        <w:rPr>
          <w:position w:val="1"/>
        </w:rPr>
        <w:t>Përqendrimet e NO</w:t>
      </w:r>
      <w:r w:rsidR="009D7681" w:rsidRPr="00445472">
        <w:rPr>
          <w:position w:val="1"/>
          <w:vertAlign w:val="subscript"/>
        </w:rPr>
        <w:t>2</w:t>
      </w:r>
      <w:r w:rsidR="009D7681" w:rsidRPr="00445472">
        <w:rPr>
          <w:position w:val="1"/>
        </w:rPr>
        <w:t xml:space="preserve"> janë brenda normës së SCM, me vlera që mbeten konstante gjatë viteve. Statusi i ujit është klasifikuar si 'i mirë' në lidhje me nitritet.</w:t>
      </w:r>
    </w:p>
    <w:p w14:paraId="37CE45EA" w14:textId="1164D15A" w:rsidR="009D7681" w:rsidRPr="00445472" w:rsidRDefault="007E1A10" w:rsidP="009D7681">
      <w:pPr>
        <w:pStyle w:val="TEKSTIIII"/>
      </w:pPr>
      <w:r>
        <w:t xml:space="preserve">- </w:t>
      </w:r>
      <w:r w:rsidR="009D7681" w:rsidRPr="00445472">
        <w:t xml:space="preserve">Në përgjithësi, ujërat e basenit ujor mund të klasifikohen gjatë 5 viteve të fundit me një status të </w:t>
      </w:r>
      <w:r w:rsidR="00D62EDF" w:rsidRPr="00445472">
        <w:t>“</w:t>
      </w:r>
      <w:r w:rsidR="009D7681" w:rsidRPr="00445472">
        <w:t>mirë</w:t>
      </w:r>
      <w:r w:rsidR="00D62EDF" w:rsidRPr="00445472">
        <w:t>”</w:t>
      </w:r>
      <w:r w:rsidR="009D7681" w:rsidRPr="00445472">
        <w:t xml:space="preserve"> dhe të </w:t>
      </w:r>
      <w:r w:rsidR="00D62EDF" w:rsidRPr="00445472">
        <w:t>“</w:t>
      </w:r>
      <w:r w:rsidR="009D7681" w:rsidRPr="00445472">
        <w:t>moderuar</w:t>
      </w:r>
      <w:r w:rsidR="00D62EDF" w:rsidRPr="00445472">
        <w:t>”</w:t>
      </w:r>
      <w:r w:rsidR="009D7681" w:rsidRPr="00445472">
        <w:t>.</w:t>
      </w:r>
    </w:p>
    <w:p w14:paraId="7F5CF300" w14:textId="415C734D" w:rsidR="009D7681" w:rsidRPr="007E1A10" w:rsidRDefault="00837425" w:rsidP="009D7681">
      <w:pPr>
        <w:pStyle w:val="TEKSTIIII"/>
        <w:rPr>
          <w:b/>
        </w:rPr>
      </w:pPr>
      <w:bookmarkStart w:id="139" w:name="_bookmark17"/>
      <w:bookmarkStart w:id="140" w:name="_Toc11068814"/>
      <w:bookmarkEnd w:id="139"/>
      <w:r w:rsidRPr="007E1A10">
        <w:rPr>
          <w:b/>
        </w:rPr>
        <w:t xml:space="preserve">7.1.3 </w:t>
      </w:r>
      <w:r w:rsidR="009D7681" w:rsidRPr="007E1A10">
        <w:rPr>
          <w:b/>
        </w:rPr>
        <w:t xml:space="preserve">Monitorimi i liqeneve të basenit ujor </w:t>
      </w:r>
      <w:r w:rsidR="007E76E3" w:rsidRPr="007E1A10">
        <w:rPr>
          <w:b/>
        </w:rPr>
        <w:t>Drin–Bunë</w:t>
      </w:r>
      <w:bookmarkEnd w:id="140"/>
    </w:p>
    <w:p w14:paraId="2BE354C4" w14:textId="050040FB" w:rsidR="009D7681" w:rsidRPr="00445472" w:rsidRDefault="009D7681" w:rsidP="009D7681">
      <w:pPr>
        <w:pStyle w:val="TEKSTIIII"/>
      </w:pPr>
      <w:r w:rsidRPr="00445472">
        <w:t>Liqeni i Shkodrës dhe Liqeni i Ohrit janë dy nga tr</w:t>
      </w:r>
      <w:r w:rsidR="00905530">
        <w:t>i</w:t>
      </w:r>
      <w:r w:rsidRPr="00445472">
        <w:t xml:space="preserve"> liqenet që monitorohen në baza vjetore në Shqipëri. Tabela 7.2 paraqet një përshkrim të stacionit kombëtar të monitorimit të dy liqeneve. </w:t>
      </w:r>
    </w:p>
    <w:p w14:paraId="4B37B027" w14:textId="538854FE" w:rsidR="009D7681" w:rsidRPr="00445472" w:rsidRDefault="009D7681" w:rsidP="009D7681">
      <w:pPr>
        <w:pStyle w:val="TEKSTIIII"/>
      </w:pPr>
      <w:r w:rsidRPr="00445472">
        <w:t xml:space="preserve">Iniciativa e vazhdueshme e GIZ-it për të karakterizuar Liqenin e Prespës, Ohrit dhe Shkodrës u realizua për të informuar institucionet përgjegjëse, </w:t>
      </w:r>
      <w:r w:rsidR="005E3EC9" w:rsidRPr="00445472">
        <w:t>vendimmarrësit</w:t>
      </w:r>
      <w:r w:rsidRPr="00445472">
        <w:t>, përdoruesit, ekspertët në menaxhimin e burimeve ujore rreth karakteristikave biologjike dhe fiziko – kimike të këtyre tr</w:t>
      </w:r>
      <w:r w:rsidR="00905530">
        <w:t>i</w:t>
      </w:r>
      <w:r w:rsidRPr="00445472">
        <w:t xml:space="preserve"> liqeneve. Studimi i GIZ-it i ka mundësuar tashmë grupeve të interesit të ndërmarrin vendime proaktive për të përmirësuar monitorimin dhe </w:t>
      </w:r>
      <w:r w:rsidR="005E3EC9" w:rsidRPr="00445472">
        <w:t>menaxhimin</w:t>
      </w:r>
      <w:r w:rsidRPr="00445472">
        <w:t xml:space="preserve"> e liqeneve, që është shumë e rëndësishme duke </w:t>
      </w:r>
      <w:r w:rsidR="005E3EC9" w:rsidRPr="00445472">
        <w:t>qenë</w:t>
      </w:r>
      <w:r w:rsidRPr="00445472">
        <w:t xml:space="preserve"> se zhvillime në vazhdimësi apo të reja të tilla si ndërhyrjet urbane mund të kenë efekte negative në statusin ekologjik të liqenit</w:t>
      </w:r>
      <w:r w:rsidR="001D340B" w:rsidRPr="00445472">
        <w:t>/</w:t>
      </w:r>
      <w:r w:rsidRPr="00445472">
        <w:t>liqeneve.</w:t>
      </w:r>
    </w:p>
    <w:p w14:paraId="360EF451" w14:textId="37011733" w:rsidR="009D7681" w:rsidRPr="00445472" w:rsidRDefault="009D7681" w:rsidP="009D7681">
      <w:pPr>
        <w:pStyle w:val="TEKSTIIII"/>
        <w:rPr>
          <w:b/>
        </w:rPr>
      </w:pPr>
    </w:p>
    <w:p w14:paraId="76BFA1F0" w14:textId="77777777" w:rsidR="009D7681" w:rsidRPr="00445472" w:rsidRDefault="009D7681" w:rsidP="009D7681">
      <w:pPr>
        <w:pStyle w:val="TEKSTIIII"/>
        <w:rPr>
          <w:b/>
        </w:rPr>
      </w:pPr>
      <w:r w:rsidRPr="00445472">
        <w:rPr>
          <w:b/>
        </w:rPr>
        <w:t>Tabela 7.2: Stacionet kombëtare të monitorimit të Liqenit të Shkodrës dhe liqenit të Ohrit</w:t>
      </w:r>
      <w:r w:rsidRPr="00445472">
        <w:rPr>
          <w:rStyle w:val="FootnoteReference"/>
          <w:rFonts w:ascii="Garamond" w:hAnsi="Garamond"/>
          <w:b/>
          <w:color w:val="auto"/>
        </w:rPr>
        <w:footnoteReference w:id="128"/>
      </w:r>
    </w:p>
    <w:tbl>
      <w:tblPr>
        <w:tblW w:w="9393" w:type="dxa"/>
        <w:jc w:val="center"/>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540"/>
        <w:gridCol w:w="1402"/>
        <w:gridCol w:w="7451"/>
      </w:tblGrid>
      <w:tr w:rsidR="009D7681" w:rsidRPr="00445472" w14:paraId="01174F6E" w14:textId="77777777" w:rsidTr="00B15A6B">
        <w:trPr>
          <w:trHeight w:val="378"/>
          <w:jc w:val="center"/>
        </w:trPr>
        <w:tc>
          <w:tcPr>
            <w:tcW w:w="540" w:type="dxa"/>
            <w:tcBorders>
              <w:bottom w:val="single" w:sz="4" w:space="0" w:color="27B0AF"/>
            </w:tcBorders>
            <w:vAlign w:val="center"/>
          </w:tcPr>
          <w:p w14:paraId="30B45E36" w14:textId="77777777" w:rsidR="009D7681" w:rsidRPr="00445472" w:rsidRDefault="009D7681" w:rsidP="00837425">
            <w:pPr>
              <w:pStyle w:val="TABELA"/>
              <w:rPr>
                <w:b/>
                <w:lang w:val="sq-AL"/>
              </w:rPr>
            </w:pPr>
            <w:r w:rsidRPr="00445472">
              <w:rPr>
                <w:b/>
                <w:lang w:val="sq-AL"/>
              </w:rPr>
              <w:t>Nr.</w:t>
            </w:r>
          </w:p>
        </w:tc>
        <w:tc>
          <w:tcPr>
            <w:tcW w:w="1402" w:type="dxa"/>
            <w:vAlign w:val="center"/>
          </w:tcPr>
          <w:p w14:paraId="128F185C" w14:textId="77777777" w:rsidR="009D7681" w:rsidRPr="00445472" w:rsidRDefault="009D7681" w:rsidP="00837425">
            <w:pPr>
              <w:pStyle w:val="TABELA"/>
              <w:rPr>
                <w:b/>
                <w:lang w:val="sq-AL"/>
              </w:rPr>
            </w:pPr>
            <w:r w:rsidRPr="00445472">
              <w:rPr>
                <w:b/>
                <w:lang w:val="sq-AL"/>
              </w:rPr>
              <w:t>Liqenet</w:t>
            </w:r>
          </w:p>
        </w:tc>
        <w:tc>
          <w:tcPr>
            <w:tcW w:w="7451" w:type="dxa"/>
            <w:tcBorders>
              <w:bottom w:val="single" w:sz="4" w:space="0" w:color="27B0AF"/>
            </w:tcBorders>
            <w:vAlign w:val="center"/>
          </w:tcPr>
          <w:p w14:paraId="16A633A0" w14:textId="77777777" w:rsidR="009D7681" w:rsidRPr="00445472" w:rsidRDefault="009D7681" w:rsidP="00837425">
            <w:pPr>
              <w:pStyle w:val="TABELA"/>
              <w:rPr>
                <w:b/>
                <w:lang w:val="sq-AL"/>
              </w:rPr>
            </w:pPr>
            <w:r w:rsidRPr="00445472">
              <w:rPr>
                <w:b/>
                <w:lang w:val="sq-AL"/>
              </w:rPr>
              <w:t>Stacionet</w:t>
            </w:r>
          </w:p>
        </w:tc>
      </w:tr>
      <w:tr w:rsidR="009D7681" w:rsidRPr="00445472" w14:paraId="715AF07A" w14:textId="77777777" w:rsidTr="00B15A6B">
        <w:trPr>
          <w:trHeight w:val="520"/>
          <w:jc w:val="center"/>
        </w:trPr>
        <w:tc>
          <w:tcPr>
            <w:tcW w:w="540" w:type="dxa"/>
            <w:shd w:val="clear" w:color="auto" w:fill="D4D4D4"/>
            <w:vAlign w:val="center"/>
          </w:tcPr>
          <w:p w14:paraId="764EDB51" w14:textId="77777777" w:rsidR="009D7681" w:rsidRPr="00445472" w:rsidRDefault="009D7681" w:rsidP="0016070B">
            <w:pPr>
              <w:pStyle w:val="TABELA"/>
              <w:jc w:val="center"/>
              <w:rPr>
                <w:b/>
                <w:lang w:val="sq-AL"/>
              </w:rPr>
            </w:pPr>
            <w:r w:rsidRPr="00445472">
              <w:rPr>
                <w:b/>
                <w:w w:val="99"/>
                <w:lang w:val="sq-AL"/>
              </w:rPr>
              <w:t>1</w:t>
            </w:r>
          </w:p>
        </w:tc>
        <w:tc>
          <w:tcPr>
            <w:tcW w:w="1402" w:type="dxa"/>
            <w:vMerge w:val="restart"/>
            <w:vAlign w:val="center"/>
          </w:tcPr>
          <w:p w14:paraId="4A40A0A5" w14:textId="77777777" w:rsidR="009D7681" w:rsidRPr="00445472" w:rsidRDefault="009D7681" w:rsidP="00837425">
            <w:pPr>
              <w:pStyle w:val="TABELA"/>
              <w:rPr>
                <w:lang w:val="sq-AL"/>
              </w:rPr>
            </w:pPr>
            <w:r w:rsidRPr="00445472">
              <w:rPr>
                <w:lang w:val="sq-AL"/>
              </w:rPr>
              <w:t>Liqeni i Shkodrës</w:t>
            </w:r>
          </w:p>
        </w:tc>
        <w:tc>
          <w:tcPr>
            <w:tcW w:w="7451" w:type="dxa"/>
            <w:shd w:val="clear" w:color="auto" w:fill="D4D4D4"/>
            <w:vAlign w:val="center"/>
          </w:tcPr>
          <w:p w14:paraId="2C5FC6D0" w14:textId="77777777" w:rsidR="009D7681" w:rsidRPr="00445472" w:rsidRDefault="009D7681" w:rsidP="00837425">
            <w:pPr>
              <w:pStyle w:val="TABELA"/>
              <w:rPr>
                <w:lang w:val="sq-AL"/>
              </w:rPr>
            </w:pPr>
            <w:r w:rsidRPr="00445472">
              <w:rPr>
                <w:lang w:val="sq-AL"/>
              </w:rPr>
              <w:t>Koplik (Sterbec), në afërsi të fshatit Kalldrun (Kopliku); bregore, rreth 200 m nga bregu i liqenit</w:t>
            </w:r>
          </w:p>
        </w:tc>
      </w:tr>
      <w:tr w:rsidR="009D7681" w:rsidRPr="00445472" w14:paraId="77A91149" w14:textId="77777777" w:rsidTr="00B15A6B">
        <w:trPr>
          <w:trHeight w:val="520"/>
          <w:jc w:val="center"/>
        </w:trPr>
        <w:tc>
          <w:tcPr>
            <w:tcW w:w="540" w:type="dxa"/>
            <w:tcBorders>
              <w:bottom w:val="single" w:sz="4" w:space="0" w:color="27B0AF"/>
            </w:tcBorders>
            <w:vAlign w:val="center"/>
          </w:tcPr>
          <w:p w14:paraId="48C86D22" w14:textId="77777777" w:rsidR="009D7681" w:rsidRPr="00445472" w:rsidRDefault="009D7681" w:rsidP="0016070B">
            <w:pPr>
              <w:pStyle w:val="TABELA"/>
              <w:jc w:val="center"/>
              <w:rPr>
                <w:b/>
                <w:lang w:val="sq-AL"/>
              </w:rPr>
            </w:pPr>
            <w:r w:rsidRPr="00445472">
              <w:rPr>
                <w:b/>
                <w:w w:val="99"/>
                <w:lang w:val="sq-AL"/>
              </w:rPr>
              <w:t>2</w:t>
            </w:r>
          </w:p>
        </w:tc>
        <w:tc>
          <w:tcPr>
            <w:tcW w:w="1402" w:type="dxa"/>
            <w:vMerge/>
            <w:tcBorders>
              <w:top w:val="nil"/>
            </w:tcBorders>
            <w:vAlign w:val="center"/>
          </w:tcPr>
          <w:p w14:paraId="4C0F9215" w14:textId="77777777" w:rsidR="009D7681" w:rsidRPr="00445472" w:rsidRDefault="009D7681" w:rsidP="00837425">
            <w:pPr>
              <w:pStyle w:val="TABELA"/>
              <w:rPr>
                <w:lang w:val="sq-AL"/>
              </w:rPr>
            </w:pPr>
          </w:p>
        </w:tc>
        <w:tc>
          <w:tcPr>
            <w:tcW w:w="7451" w:type="dxa"/>
            <w:tcBorders>
              <w:bottom w:val="single" w:sz="4" w:space="0" w:color="27B0AF"/>
            </w:tcBorders>
            <w:vAlign w:val="center"/>
          </w:tcPr>
          <w:p w14:paraId="0C641C94" w14:textId="77777777" w:rsidR="009D7681" w:rsidRPr="00445472" w:rsidRDefault="009D7681" w:rsidP="00837425">
            <w:pPr>
              <w:pStyle w:val="TABELA"/>
              <w:rPr>
                <w:lang w:val="sq-AL"/>
              </w:rPr>
            </w:pPr>
            <w:r w:rsidRPr="00445472">
              <w:rPr>
                <w:lang w:val="sq-AL"/>
              </w:rPr>
              <w:t>Zogaj (Shkodër); bregore, ngjitur me Zogaj, rreth 200 m nga bregu i liqenit</w:t>
            </w:r>
          </w:p>
        </w:tc>
      </w:tr>
      <w:tr w:rsidR="009D7681" w:rsidRPr="00445472" w14:paraId="52597E64" w14:textId="77777777" w:rsidTr="00B15A6B">
        <w:trPr>
          <w:trHeight w:val="484"/>
          <w:jc w:val="center"/>
        </w:trPr>
        <w:tc>
          <w:tcPr>
            <w:tcW w:w="540" w:type="dxa"/>
            <w:shd w:val="clear" w:color="auto" w:fill="D4D4D4"/>
            <w:vAlign w:val="center"/>
          </w:tcPr>
          <w:p w14:paraId="2C090E37" w14:textId="77777777" w:rsidR="009D7681" w:rsidRPr="00445472" w:rsidRDefault="009D7681" w:rsidP="0016070B">
            <w:pPr>
              <w:pStyle w:val="TABELA"/>
              <w:jc w:val="center"/>
              <w:rPr>
                <w:b/>
                <w:lang w:val="sq-AL"/>
              </w:rPr>
            </w:pPr>
            <w:r w:rsidRPr="00445472">
              <w:rPr>
                <w:b/>
                <w:w w:val="99"/>
                <w:lang w:val="sq-AL"/>
              </w:rPr>
              <w:t>3</w:t>
            </w:r>
          </w:p>
        </w:tc>
        <w:tc>
          <w:tcPr>
            <w:tcW w:w="1402" w:type="dxa"/>
            <w:vMerge/>
            <w:tcBorders>
              <w:top w:val="nil"/>
            </w:tcBorders>
            <w:vAlign w:val="center"/>
          </w:tcPr>
          <w:p w14:paraId="72730EA6" w14:textId="77777777" w:rsidR="009D7681" w:rsidRPr="00445472" w:rsidRDefault="009D7681" w:rsidP="00837425">
            <w:pPr>
              <w:pStyle w:val="TABELA"/>
              <w:rPr>
                <w:lang w:val="sq-AL"/>
              </w:rPr>
            </w:pPr>
          </w:p>
        </w:tc>
        <w:tc>
          <w:tcPr>
            <w:tcW w:w="7451" w:type="dxa"/>
            <w:shd w:val="clear" w:color="auto" w:fill="D4D4D4"/>
            <w:vAlign w:val="center"/>
          </w:tcPr>
          <w:p w14:paraId="4305D8C3" w14:textId="77777777" w:rsidR="009D7681" w:rsidRPr="00445472" w:rsidRDefault="009D7681" w:rsidP="00837425">
            <w:pPr>
              <w:pStyle w:val="TABELA"/>
              <w:rPr>
                <w:lang w:val="sq-AL"/>
              </w:rPr>
            </w:pPr>
            <w:r w:rsidRPr="00445472">
              <w:rPr>
                <w:lang w:val="sq-AL"/>
              </w:rPr>
              <w:t>Shiroke, (Shkodër); littoral në afërsi të Shirokës, rreth 200 m nga bregu i liqenit</w:t>
            </w:r>
          </w:p>
        </w:tc>
      </w:tr>
      <w:tr w:rsidR="009D7681" w:rsidRPr="00445472" w14:paraId="1FF0903D" w14:textId="77777777" w:rsidTr="00B15A6B">
        <w:trPr>
          <w:trHeight w:val="520"/>
          <w:jc w:val="center"/>
        </w:trPr>
        <w:tc>
          <w:tcPr>
            <w:tcW w:w="540" w:type="dxa"/>
            <w:tcBorders>
              <w:bottom w:val="single" w:sz="4" w:space="0" w:color="27B0AF"/>
            </w:tcBorders>
            <w:vAlign w:val="center"/>
          </w:tcPr>
          <w:p w14:paraId="4E529C17" w14:textId="77777777" w:rsidR="009D7681" w:rsidRPr="00445472" w:rsidRDefault="009D7681" w:rsidP="0016070B">
            <w:pPr>
              <w:pStyle w:val="TABELA"/>
              <w:jc w:val="center"/>
              <w:rPr>
                <w:b/>
                <w:lang w:val="sq-AL"/>
              </w:rPr>
            </w:pPr>
            <w:r w:rsidRPr="00445472">
              <w:rPr>
                <w:b/>
                <w:w w:val="99"/>
                <w:lang w:val="sq-AL"/>
              </w:rPr>
              <w:t>1</w:t>
            </w:r>
          </w:p>
        </w:tc>
        <w:tc>
          <w:tcPr>
            <w:tcW w:w="1402" w:type="dxa"/>
            <w:vMerge w:val="restart"/>
            <w:vAlign w:val="center"/>
          </w:tcPr>
          <w:p w14:paraId="523B0F6C" w14:textId="77777777" w:rsidR="009D7681" w:rsidRPr="00445472" w:rsidRDefault="009D7681" w:rsidP="00837425">
            <w:pPr>
              <w:pStyle w:val="TABELA"/>
              <w:rPr>
                <w:lang w:val="sq-AL"/>
              </w:rPr>
            </w:pPr>
            <w:r w:rsidRPr="00445472">
              <w:rPr>
                <w:lang w:val="sq-AL"/>
              </w:rPr>
              <w:t>Liqeni i Ohrit</w:t>
            </w:r>
          </w:p>
        </w:tc>
        <w:tc>
          <w:tcPr>
            <w:tcW w:w="7451" w:type="dxa"/>
            <w:tcBorders>
              <w:bottom w:val="single" w:sz="4" w:space="0" w:color="27B0AF"/>
            </w:tcBorders>
            <w:vAlign w:val="center"/>
          </w:tcPr>
          <w:p w14:paraId="3ECB7FBF" w14:textId="77777777" w:rsidR="009D7681" w:rsidRPr="00445472" w:rsidRDefault="009D7681" w:rsidP="00837425">
            <w:pPr>
              <w:pStyle w:val="TABELA"/>
              <w:rPr>
                <w:lang w:val="sq-AL"/>
              </w:rPr>
            </w:pPr>
            <w:r w:rsidRPr="00445472">
              <w:rPr>
                <w:lang w:val="sq-AL"/>
              </w:rPr>
              <w:t>Ohri 1, (Pogradec); rreth 200 m nga bregu i liqenit dhe deri në 150 metra thellësi (0, 20, 40, 60, 80, 100, 120, 150 m)</w:t>
            </w:r>
          </w:p>
        </w:tc>
      </w:tr>
      <w:tr w:rsidR="009D7681" w:rsidRPr="00445472" w14:paraId="725B74E1" w14:textId="77777777" w:rsidTr="00B15A6B">
        <w:trPr>
          <w:trHeight w:val="432"/>
          <w:jc w:val="center"/>
        </w:trPr>
        <w:tc>
          <w:tcPr>
            <w:tcW w:w="540" w:type="dxa"/>
            <w:shd w:val="clear" w:color="auto" w:fill="D4D4D4"/>
            <w:vAlign w:val="center"/>
          </w:tcPr>
          <w:p w14:paraId="6ADA436F" w14:textId="77777777" w:rsidR="009D7681" w:rsidRPr="00445472" w:rsidRDefault="009D7681" w:rsidP="0016070B">
            <w:pPr>
              <w:pStyle w:val="TABELA"/>
              <w:jc w:val="center"/>
              <w:rPr>
                <w:b/>
                <w:lang w:val="sq-AL"/>
              </w:rPr>
            </w:pPr>
            <w:r w:rsidRPr="00445472">
              <w:rPr>
                <w:b/>
                <w:w w:val="99"/>
                <w:lang w:val="sq-AL"/>
              </w:rPr>
              <w:t>2</w:t>
            </w:r>
          </w:p>
        </w:tc>
        <w:tc>
          <w:tcPr>
            <w:tcW w:w="1402" w:type="dxa"/>
            <w:vMerge/>
            <w:vAlign w:val="center"/>
          </w:tcPr>
          <w:p w14:paraId="5259D9E8" w14:textId="77777777" w:rsidR="009D7681" w:rsidRPr="00445472" w:rsidRDefault="009D7681" w:rsidP="00837425">
            <w:pPr>
              <w:pStyle w:val="TABELA"/>
              <w:rPr>
                <w:lang w:val="sq-AL"/>
              </w:rPr>
            </w:pPr>
          </w:p>
        </w:tc>
        <w:tc>
          <w:tcPr>
            <w:tcW w:w="7451" w:type="dxa"/>
            <w:shd w:val="clear" w:color="auto" w:fill="D4D4D4"/>
            <w:vAlign w:val="center"/>
          </w:tcPr>
          <w:p w14:paraId="5C09785D" w14:textId="16496C13" w:rsidR="009D7681" w:rsidRPr="00445472" w:rsidRDefault="009D7681" w:rsidP="00837425">
            <w:pPr>
              <w:pStyle w:val="TABELA"/>
              <w:rPr>
                <w:lang w:val="sq-AL"/>
              </w:rPr>
            </w:pPr>
            <w:r w:rsidRPr="00445472">
              <w:rPr>
                <w:lang w:val="sq-AL"/>
              </w:rPr>
              <w:t>Ohri 2, Guri i Kuq (Pogradec); 8</w:t>
            </w:r>
            <w:r w:rsidR="005E3EC9" w:rsidRPr="00445472">
              <w:rPr>
                <w:lang w:val="sq-AL"/>
              </w:rPr>
              <w:t xml:space="preserve"> </w:t>
            </w:r>
            <w:r w:rsidRPr="00445472">
              <w:rPr>
                <w:lang w:val="sq-AL"/>
              </w:rPr>
              <w:t>m thellësi, (vetëm mostra sipërfaqësore)</w:t>
            </w:r>
          </w:p>
        </w:tc>
      </w:tr>
    </w:tbl>
    <w:p w14:paraId="399FC790" w14:textId="77777777" w:rsidR="009D7681" w:rsidRPr="00445472" w:rsidRDefault="009D7681" w:rsidP="009D7681">
      <w:pPr>
        <w:pStyle w:val="TEKSTIIII"/>
        <w:rPr>
          <w:b/>
        </w:rPr>
      </w:pPr>
    </w:p>
    <w:p w14:paraId="41B7A179" w14:textId="3FE3C4C3" w:rsidR="009D7681" w:rsidRPr="00445472" w:rsidRDefault="00837425" w:rsidP="00837425">
      <w:pPr>
        <w:pStyle w:val="NENTITULL"/>
      </w:pPr>
      <w:r w:rsidRPr="00445472">
        <w:t xml:space="preserve">7.1.3.1 </w:t>
      </w:r>
      <w:r w:rsidR="009D7681" w:rsidRPr="00445472">
        <w:t>Liqeni i Shkodrës</w:t>
      </w:r>
    </w:p>
    <w:p w14:paraId="3CBA87B5" w14:textId="0DC56576" w:rsidR="009D7681" w:rsidRPr="00445472" w:rsidRDefault="009D7681" w:rsidP="009D7681">
      <w:pPr>
        <w:pStyle w:val="TEKSTIIII"/>
      </w:pPr>
      <w:r w:rsidRPr="00445472">
        <w:t xml:space="preserve">Të dhënat për këtë liqen ishin të shpërndara dhe të paverifikuara sidomos për pjesën shqiptare të liqenit. Një program monitorimi për cilësinë e ujërave financuar përgjatë 2007 - 2009 nga Këshilli Norvegjez i Kërkimit gjeti </w:t>
      </w:r>
      <w:r w:rsidR="005E3EC9" w:rsidRPr="00445472">
        <w:t>përqendrim</w:t>
      </w:r>
      <w:r w:rsidRPr="00445472">
        <w:t xml:space="preserve"> fosfori në një total prej 1–35 µg TP.l-1 dhe </w:t>
      </w:r>
      <w:r w:rsidR="005E3EC9" w:rsidRPr="00445472">
        <w:t>përqendrim</w:t>
      </w:r>
      <w:r w:rsidRPr="00445472">
        <w:t xml:space="preserve"> azoti prej 200–600 µg TN.l-1. Ky studim arriti në përfundimin se liqeni është në kushte mezotrofike pavarësisht inputeve të larta ushqyese.</w:t>
      </w:r>
    </w:p>
    <w:p w14:paraId="5AF5020B" w14:textId="2C1C80C9" w:rsidR="009D7681" w:rsidRPr="00445472" w:rsidRDefault="009D7681" w:rsidP="009D7681">
      <w:pPr>
        <w:pStyle w:val="TEKSTIIII"/>
      </w:pPr>
      <w:r w:rsidRPr="00445472">
        <w:t xml:space="preserve">Përgjatë 2013 – 2014 </w:t>
      </w:r>
      <w:r w:rsidR="00905530">
        <w:t>GIZ-i ndërmori monitorimin e tri</w:t>
      </w:r>
      <w:r w:rsidRPr="00445472">
        <w:t xml:space="preserve"> stacioneve, të cilat janë të lokalizuara në një trup të vetëm ujor (Koplik, Zogaj dhe Shirokë). Monitorimi i element</w:t>
      </w:r>
      <w:r w:rsidR="00E929FD">
        <w:t>e</w:t>
      </w:r>
      <w:r w:rsidRPr="00445472">
        <w:t>ve biologjik</w:t>
      </w:r>
      <w:r w:rsidR="00BA6493">
        <w:t>e</w:t>
      </w:r>
      <w:r w:rsidRPr="00445472">
        <w:t xml:space="preserve"> së bashku me një vlerësim fiziko – kimik të kushteve u </w:t>
      </w:r>
      <w:r w:rsidR="005E3EC9" w:rsidRPr="00445472">
        <w:t>ndërmor</w:t>
      </w:r>
      <w:r w:rsidRPr="00445472">
        <w:t xml:space="preserve"> gjatë muajve prill, tetor dhe shkurt, aty ku ishte e mundur në përputhje me udhëzimet e DKU-së.</w:t>
      </w:r>
    </w:p>
    <w:p w14:paraId="045C514B" w14:textId="4975F2B0" w:rsidR="009D7681" w:rsidRPr="00445472" w:rsidRDefault="009D7681" w:rsidP="009D7681">
      <w:pPr>
        <w:pStyle w:val="TEKSTIIII"/>
      </w:pPr>
      <w:r w:rsidRPr="00445472">
        <w:t>Bazuar në rezultatet e marra</w:t>
      </w:r>
      <w:r w:rsidR="00034FBB">
        <w:t xml:space="preserve"> nga GIZ-i si edhe së fundmi te</w:t>
      </w:r>
      <w:r w:rsidRPr="00445472">
        <w:t xml:space="preserve"> programi kombëtar i monitorimit</w:t>
      </w:r>
      <w:r w:rsidRPr="00445472">
        <w:rPr>
          <w:rStyle w:val="FootnoteReference"/>
          <w:rFonts w:ascii="Garamond" w:hAnsi="Garamond"/>
          <w:color w:val="auto"/>
        </w:rPr>
        <w:footnoteReference w:id="129"/>
      </w:r>
      <w:r w:rsidRPr="00445472">
        <w:t xml:space="preserve"> për Liqenin e Shkodrës, mund të bëhen komentet e mëposhtme:</w:t>
      </w:r>
    </w:p>
    <w:p w14:paraId="64A74FEF" w14:textId="7682D527" w:rsidR="009D7681" w:rsidRPr="00445472" w:rsidRDefault="00EE680D" w:rsidP="009D7681">
      <w:pPr>
        <w:pStyle w:val="TEKSTIIII"/>
      </w:pPr>
      <w:r>
        <w:t xml:space="preserve">- </w:t>
      </w:r>
      <w:r w:rsidR="009D7681" w:rsidRPr="00445472">
        <w:t xml:space="preserve">Popullsia e fitoplanktonit, </w:t>
      </w:r>
      <w:r w:rsidR="008E14CA" w:rsidRPr="00445472">
        <w:t>përqendrim</w:t>
      </w:r>
      <w:r w:rsidR="009D7681" w:rsidRPr="00445472">
        <w:t xml:space="preserve">i i klorofilës dhe rezultatet e Indeksit të Gjendjes Trofike (IGjT) </w:t>
      </w:r>
      <w:r w:rsidR="005E3EC9" w:rsidRPr="00445472">
        <w:t>sugjerojnë</w:t>
      </w:r>
      <w:r w:rsidR="009D7681" w:rsidRPr="00445472">
        <w:t xml:space="preserve"> kushte mezotrofike, megjithatë shumë kujdes duhet treguar kur nxirret ky konkluzion, sepse kemi të bëjmë me sasi të vogël të të dhënave dhe kohëzgjatje të limituar në të cilën këto të dhëna janë mbledhur. Rezultatet e makrofiteve ujore, megjithatë tregojnë, një nivel më të lartë të eutrofikimit. Rezultatet e makrointervebrorëve gjithashtu sugjero</w:t>
      </w:r>
      <w:r w:rsidR="005E3EC9" w:rsidRPr="00445472">
        <w:t>j</w:t>
      </w:r>
      <w:r w:rsidR="009D7681" w:rsidRPr="00445472">
        <w:t xml:space="preserve">në një nivel relativisht të lartë të pasurimit organik në të gjitha </w:t>
      </w:r>
      <w:r w:rsidR="008E14CA" w:rsidRPr="00445472">
        <w:t>vendndodhje</w:t>
      </w:r>
      <w:r w:rsidR="009D7681" w:rsidRPr="00445472">
        <w:t>t</w:t>
      </w:r>
      <w:r w:rsidR="009D7681" w:rsidRPr="00445472">
        <w:rPr>
          <w:rStyle w:val="FootnoteReference"/>
          <w:rFonts w:ascii="Garamond" w:hAnsi="Garamond"/>
          <w:color w:val="auto"/>
        </w:rPr>
        <w:footnoteReference w:id="130"/>
      </w:r>
      <w:r w:rsidR="009D7681" w:rsidRPr="00445472">
        <w:t>.</w:t>
      </w:r>
    </w:p>
    <w:p w14:paraId="01B26BAE" w14:textId="143835C7" w:rsidR="009D7681" w:rsidRPr="00445472" w:rsidRDefault="00EE680D" w:rsidP="009D7681">
      <w:pPr>
        <w:pStyle w:val="TEKSTIIII"/>
      </w:pPr>
      <w:r>
        <w:t xml:space="preserve">- </w:t>
      </w:r>
      <w:r w:rsidR="009D7681" w:rsidRPr="00445472">
        <w:t xml:space="preserve">Edhe pse kushtet referuese specifikeve sipas llojeve mbetet për </w:t>
      </w:r>
      <w:r w:rsidR="00B139CF" w:rsidRPr="00445472">
        <w:t>t’u</w:t>
      </w:r>
      <w:r w:rsidR="009D7681" w:rsidRPr="00445472">
        <w:t xml:space="preserve"> përcaktuar, është e qartë se kompozimi dhe abondanca e fitoplanktonit dhe komuniteteve makrofite ndryshojnë ndjeshëm nga kushtet e patrazuara dhe se pjesa shqiptare e liqenit të Shkodrës ka shumë mundësi të dështojë në arritjen e objektivave mjedisore për të arritur statusin e mirë ekologjik.</w:t>
      </w:r>
    </w:p>
    <w:p w14:paraId="34D99C3F" w14:textId="4B73C977" w:rsidR="009D7681" w:rsidRPr="00445472" w:rsidRDefault="00EE680D" w:rsidP="009D7681">
      <w:pPr>
        <w:pStyle w:val="TEKSTIIII"/>
      </w:pPr>
      <w:r>
        <w:t xml:space="preserve">- </w:t>
      </w:r>
      <w:r w:rsidR="009D7681" w:rsidRPr="00445472">
        <w:t>Për sa i përket rrezikut të dështimit në arritjen e statusit të mirë ekologjik, SCM-të janë si më poshtë: Fitiplanktoni – me shumë mundësi në rrezik, makrofitet - në rrezik. Makroinvertebrorët nuk janë vlerësuar dhe peshqit janë me shumë mundësi element i pasigurt biologjik për të vlerësuar cilësinë e liqenit dhe nuk është bërë asnjë përpjekje akoma për të prodhuar një skemë klasifikimi të bazuar në rezultatet e vëzhgimeve. Megjithatë, peshqit janë përjashtuar nga vlerësimi ekologjik i statusit.</w:t>
      </w:r>
    </w:p>
    <w:p w14:paraId="1B4BF2E9" w14:textId="3404C095" w:rsidR="009D7681" w:rsidRPr="00445472" w:rsidRDefault="00EE680D" w:rsidP="009D7681">
      <w:pPr>
        <w:pStyle w:val="TEKSTIIII"/>
      </w:pPr>
      <w:r>
        <w:t xml:space="preserve">- </w:t>
      </w:r>
      <w:r w:rsidR="009D7681" w:rsidRPr="00445472">
        <w:t>Qartësia e ujit ndryshon midis stacioneve, duke filluar nga 3.0-3.7</w:t>
      </w:r>
      <w:r w:rsidR="008E14CA" w:rsidRPr="00445472">
        <w:t xml:space="preserve"> </w:t>
      </w:r>
      <w:r w:rsidR="009D7681" w:rsidRPr="00445472">
        <w:t>m. Kopliku ka vlerat më të larta të qartësisë së ujit. Vlerat e matura të përçueshmërisë klasifikojnë ujërat e liqenit si mezotrofike.</w:t>
      </w:r>
    </w:p>
    <w:p w14:paraId="4BB28CD7" w14:textId="355CF29D" w:rsidR="009D7681" w:rsidRPr="00445472" w:rsidRDefault="00EE680D" w:rsidP="009D7681">
      <w:pPr>
        <w:pStyle w:val="TEKSTIIII"/>
      </w:pPr>
      <w:r>
        <w:t xml:space="preserve">- </w:t>
      </w:r>
      <w:r w:rsidR="009D7681" w:rsidRPr="00445472">
        <w:t>Uji është pak alkalinë me pH i cili varion nga 8.12-8.4; Për</w:t>
      </w:r>
      <w:r w:rsidR="009D7681" w:rsidRPr="00445472">
        <w:rPr>
          <w:rFonts w:cs="Arial"/>
        </w:rPr>
        <w:t>ç</w:t>
      </w:r>
      <w:r w:rsidR="009D7681" w:rsidRPr="00445472">
        <w:t>ueshmëria varion nga 219</w:t>
      </w:r>
      <w:r w:rsidR="00E929FD">
        <w:t>–</w:t>
      </w:r>
      <w:r w:rsidR="009D7681" w:rsidRPr="00445472">
        <w:t>225 μS/cm; Alkaliniteti varion nga 193</w:t>
      </w:r>
      <w:r w:rsidR="00E929FD">
        <w:t>–</w:t>
      </w:r>
      <w:r w:rsidR="009D7681" w:rsidRPr="00445472">
        <w:t>225 mg/l.</w:t>
      </w:r>
    </w:p>
    <w:p w14:paraId="1BD1F6CA" w14:textId="49D44CBF" w:rsidR="009D7681" w:rsidRPr="00445472" w:rsidRDefault="00EE680D" w:rsidP="009D7681">
      <w:pPr>
        <w:pStyle w:val="TEKSTIIII"/>
      </w:pPr>
      <w:r>
        <w:t xml:space="preserve">- </w:t>
      </w:r>
      <w:r w:rsidR="009D7681" w:rsidRPr="00445472">
        <w:t>Ujërat e liqenit janë të pasura me oksigjen, që tregon aftësinë e liqenit për të mbështetur florën dhe faunën (7.8-8.8 mg/l). Që nga monitorimi i parë, nivelet e oksigjenit në liqen u zvogëluan për shkak të rritjes së vegjetacionit në fund të liqenit.</w:t>
      </w:r>
    </w:p>
    <w:p w14:paraId="60F55F53" w14:textId="709121D0" w:rsidR="009D7681" w:rsidRPr="00445472" w:rsidRDefault="00EE680D" w:rsidP="009D7681">
      <w:pPr>
        <w:pStyle w:val="TEKSTIIII"/>
      </w:pPr>
      <w:r>
        <w:t xml:space="preserve">- </w:t>
      </w:r>
      <w:r w:rsidR="008E14CA" w:rsidRPr="00445472">
        <w:t>Përqendrimi</w:t>
      </w:r>
      <w:r w:rsidR="009D7681" w:rsidRPr="00445472">
        <w:t xml:space="preserve"> i përgjithshëm P-total në liqen varion nga 0.001 në 0.04 mg/l me </w:t>
      </w:r>
      <w:r w:rsidR="008E14CA" w:rsidRPr="00445472">
        <w:t>përqendrime</w:t>
      </w:r>
      <w:r w:rsidR="009D7681" w:rsidRPr="00445472">
        <w:t xml:space="preserve"> më të larta që rezultojnë në stacionin Shirokë dhe Koplik në një thellësi prej 5m. </w:t>
      </w:r>
      <w:r w:rsidR="008E14CA" w:rsidRPr="00445472">
        <w:t>Përqendrimet</w:t>
      </w:r>
      <w:r w:rsidR="009D7681" w:rsidRPr="00445472">
        <w:t xml:space="preserve"> P-total në liqen tregojnë statusin mezotrofik të liqenit (i cili është mbi nivelet oligotrofike). Ekziston rreziku që rritja e mëtejshme e niveleve të P mund të shkaktojë eutrofikimin e liqenit.</w:t>
      </w:r>
    </w:p>
    <w:p w14:paraId="4056D8FB" w14:textId="0ACB0E05" w:rsidR="009D7681" w:rsidRPr="00445472" w:rsidRDefault="00EE680D" w:rsidP="009D7681">
      <w:pPr>
        <w:pStyle w:val="TEKSTIIII"/>
      </w:pPr>
      <w:r>
        <w:t xml:space="preserve">- </w:t>
      </w:r>
      <w:r w:rsidR="009D7681" w:rsidRPr="00445472">
        <w:t>Përqendrimi i joneve të amonit ndryshon nga 0.01</w:t>
      </w:r>
      <w:r w:rsidR="005C5BDA" w:rsidRPr="00445472">
        <w:t>–</w:t>
      </w:r>
      <w:r w:rsidR="009D7681" w:rsidRPr="00445472">
        <w:t>0.04 mg/l. Përqendrimet më të larta maten në sipërfaqen e liqenit në Shirokë dhe Zogaj, në një thellësi prej 5m. Përqendrimet janë ende nën normën SCM (0.2 mg/l).</w:t>
      </w:r>
    </w:p>
    <w:p w14:paraId="5ECEE940" w14:textId="2AE58732" w:rsidR="009D7681" w:rsidRPr="00445472" w:rsidRDefault="00EE680D" w:rsidP="009D7681">
      <w:pPr>
        <w:pStyle w:val="TEKSTIIII"/>
      </w:pPr>
      <w:r>
        <w:t xml:space="preserve">- </w:t>
      </w:r>
      <w:r w:rsidR="009D7681" w:rsidRPr="00445472">
        <w:t>Nitratet variojnë nga 0.14</w:t>
      </w:r>
      <w:r w:rsidR="002E6C44">
        <w:t>–</w:t>
      </w:r>
      <w:r w:rsidR="009D7681" w:rsidRPr="00445472">
        <w:t>0.17 mg/l, një nivel që mund të klasifikojë liqenin si oligotrofik (&lt;1mg/l), që sugjeron një liqen me prodhim të ulët algash.</w:t>
      </w:r>
    </w:p>
    <w:p w14:paraId="42D734CF" w14:textId="4280578A" w:rsidR="009D7681" w:rsidRPr="00445472" w:rsidRDefault="00EE680D" w:rsidP="009D7681">
      <w:pPr>
        <w:pStyle w:val="TEKSTIIII"/>
      </w:pPr>
      <w:r>
        <w:t xml:space="preserve">- </w:t>
      </w:r>
      <w:r w:rsidR="009D7681" w:rsidRPr="00445472">
        <w:t>Vlerat e COD janë të larta në tr</w:t>
      </w:r>
      <w:r w:rsidR="00905530">
        <w:t>i</w:t>
      </w:r>
      <w:r w:rsidR="009D7681" w:rsidRPr="00445472">
        <w:t xml:space="preserve"> stacione të monitoruara me ndryshim në fund të liqenit ku COD ka vlerat më të larta. Vlerat e COD janë një tregues i gjendjes mezotrofike të liqenit (8-9mg/l).</w:t>
      </w:r>
    </w:p>
    <w:p w14:paraId="5511CD01" w14:textId="50AB22D2" w:rsidR="009D7681" w:rsidRPr="00445472" w:rsidRDefault="00EE680D" w:rsidP="009D7681">
      <w:pPr>
        <w:pStyle w:val="TEKSTIIII"/>
      </w:pPr>
      <w:r>
        <w:t xml:space="preserve">- </w:t>
      </w:r>
      <w:r w:rsidR="009D7681" w:rsidRPr="00445472">
        <w:t>Sa i përket klorofilit a, përqendrimi maksimal u gjet në shtator, ndërsa stacioni me përqendrim më të lartë ishte në Zogaj.</w:t>
      </w:r>
    </w:p>
    <w:p w14:paraId="26F2771B" w14:textId="2D5E35E2" w:rsidR="009D7681" w:rsidRPr="00445472" w:rsidRDefault="009D7681" w:rsidP="009D7681">
      <w:pPr>
        <w:pStyle w:val="TEKSTIIII"/>
      </w:pPr>
      <w:r w:rsidRPr="00445472">
        <w:t xml:space="preserve">Si përfundim, rezultatet e monitorimit deri tani tregojnë statusin e një liqeni oligotrofik me prirje për </w:t>
      </w:r>
      <w:r w:rsidR="00B139CF" w:rsidRPr="00445472">
        <w:t>t’u</w:t>
      </w:r>
      <w:r w:rsidRPr="00445472">
        <w:t xml:space="preserve"> bërë mezotrofik në fund të verës dhe në vjeshtë, një periudhë e vitit që korrespondon me rritjen e numrit të turistëve në zonë dhe, rrjedhimisht, me një nivel më të lartë të ndotjes</w:t>
      </w:r>
      <w:r w:rsidRPr="00445472">
        <w:rPr>
          <w:rStyle w:val="FootnoteReference"/>
          <w:rFonts w:ascii="Garamond" w:hAnsi="Garamond"/>
          <w:color w:val="auto"/>
        </w:rPr>
        <w:footnoteReference w:id="131"/>
      </w:r>
      <w:r w:rsidRPr="00445472">
        <w:t>. Përveç kësaj, monitorimi i ujit të liqenit tregon shenja të shkarkimit të ujërave të ndotura urbane dhe industriale, duke përfshirë edhe inputet bujqësore. Kjo mund të lidhet me zhvillimin e disa aktiviteteve ekonomike në zonën përreth liqenit. Kopliku ka zhvilluar aktivitetin e peshkimit dhe fermat e kafshëve, ndërsa Zogaj është pranë fushave bujqësore dhe turizmit. Shiroka kryesisht merret me aktivitetin e peshkimit.</w:t>
      </w:r>
    </w:p>
    <w:p w14:paraId="3ED0152F" w14:textId="2F0FC3F5" w:rsidR="009D7681" w:rsidRPr="00445472" w:rsidRDefault="0019553A" w:rsidP="0019553A">
      <w:pPr>
        <w:pStyle w:val="NENTITULL"/>
      </w:pPr>
      <w:r w:rsidRPr="00445472">
        <w:t xml:space="preserve">7.1.3.2 </w:t>
      </w:r>
      <w:r w:rsidR="009D7681" w:rsidRPr="00445472">
        <w:t>Liqeni i Ohrit</w:t>
      </w:r>
    </w:p>
    <w:p w14:paraId="4FC985C3" w14:textId="089BF2B7" w:rsidR="009D7681" w:rsidRPr="00445472" w:rsidRDefault="009D7681" w:rsidP="009D7681">
      <w:pPr>
        <w:pStyle w:val="TEKSTIIII"/>
      </w:pPr>
      <w:r w:rsidRPr="00445472">
        <w:t>Liqeni i Ohrit është monitoruar në nivel kombëtar nga dy stacione, në sipërfaqe edhe në thellësi prej 150m. GIZ-i gjithashtu ka kontribuar pozitivisht për përcaktimin e cilësisë së ujit të liqenit. Përgjatë 2013 – 2014 GIZ-i ka ndërmarrë monitorimin e tr</w:t>
      </w:r>
      <w:r w:rsidR="00905530">
        <w:t>i</w:t>
      </w:r>
      <w:r w:rsidRPr="00445472">
        <w:t xml:space="preserve"> stacioneve, të cilat janë të gjitha të lokalizuara të gjitha në një trup të vetëm ujor (Lin, Memlisht dhe Pogradec). Monitorimi i element</w:t>
      </w:r>
      <w:r w:rsidR="00E929FD">
        <w:t>e</w:t>
      </w:r>
      <w:r w:rsidRPr="00445472">
        <w:t>ve biologjik</w:t>
      </w:r>
      <w:r w:rsidR="00E929FD">
        <w:t>e</w:t>
      </w:r>
      <w:r w:rsidRPr="00445472">
        <w:t xml:space="preserve"> së bashku me një vlerësim të kushteve fiziko</w:t>
      </w:r>
      <w:r w:rsidR="00E929FD">
        <w:t>-</w:t>
      </w:r>
      <w:r w:rsidRPr="00445472">
        <w:t xml:space="preserve">kimike u ndërmor përgjatë muajve prill, korrik, tetor dhe shkurt, aty ku ishte e mundur në përputhje me udhëzimet e DKU-së. </w:t>
      </w:r>
    </w:p>
    <w:p w14:paraId="011D73F1" w14:textId="77777777" w:rsidR="009D7681" w:rsidRPr="00445472" w:rsidRDefault="009D7681" w:rsidP="009D7681">
      <w:pPr>
        <w:pStyle w:val="TEKSTIIII"/>
      </w:pPr>
      <w:r w:rsidRPr="00445472">
        <w:t>Rezultatet e monitorimit kombëtar dhe të dhënat e studimit të GIZ-it rezultuan si më poshtë:</w:t>
      </w:r>
    </w:p>
    <w:p w14:paraId="61F59FD1" w14:textId="5063BC63" w:rsidR="009D7681" w:rsidRPr="00445472" w:rsidRDefault="00EE680D" w:rsidP="009D7681">
      <w:pPr>
        <w:pStyle w:val="TEKSTIIII"/>
      </w:pPr>
      <w:r>
        <w:t xml:space="preserve">- </w:t>
      </w:r>
      <w:r w:rsidR="009D7681" w:rsidRPr="00445472">
        <w:t>Referenca e kushteve specifikeve sipas llojeve për liqenin janë të përfaqësuara si më poshtë: ujërat janë të mirë oksigjenuara (DO &gt;7mg.l1), me karakter alkalin (pH &gt;7), dhe transparencë të lartë (thellësia Secchi &gt;10m). Liqeni ka prani të kufizuar të fosforit (N:P ratio &gt;25:1) dhe natyralisht oligotrofik (fosfori total = 4.0</w:t>
      </w:r>
      <w:r w:rsidR="00C83744">
        <w:t>–</w:t>
      </w:r>
      <w:r w:rsidR="009D7681" w:rsidRPr="00445472">
        <w:t>4.5µg.l-1). Rrjedhimisht, përmbajtja në fitoplankton është e ulët (</w:t>
      </w:r>
      <w:r w:rsidR="008E14CA" w:rsidRPr="00445472">
        <w:t>përqendrimi</w:t>
      </w:r>
      <w:r w:rsidR="009D7681" w:rsidRPr="00445472">
        <w:t xml:space="preserve"> i klorofilit &lt;3μg.l−1). Përbërja e komunitetit të filoplanktonit është tipik për liqenet oligotrofike, me Klorofitet, Krizofitet dhe Pirrofitet të cilat dominojnë në 10m të kolonës ujore dhe forma të vogla të Cianofiteve midis 10 dhe 30 m. Megjithatë, liqeni strehon format shumë të specializuara të diatomeve pelagjike të cilat ndodhen midis 20 dhe 50 m thellësi dhe bëhen dominante midis 40 dhe 150m. Rangu tjetër i thellësisë do të konsiderohej të ishte poshtë zonës eufotike.</w:t>
      </w:r>
    </w:p>
    <w:p w14:paraId="270108C5" w14:textId="136BE685" w:rsidR="009D7681" w:rsidRPr="00445472" w:rsidRDefault="009D7681" w:rsidP="009D7681">
      <w:pPr>
        <w:pStyle w:val="TEKSTIIII"/>
      </w:pPr>
      <w:r w:rsidRPr="00445472">
        <w:t>Liqeni është i përbërë nga tr</w:t>
      </w:r>
      <w:r w:rsidR="00905530">
        <w:t>i</w:t>
      </w:r>
      <w:r w:rsidRPr="00445472">
        <w:t xml:space="preserve"> shtresa kur është fjala për temperaturën. Në sipërfaqe, temperatura ishte 19</w:t>
      </w:r>
      <w:r w:rsidRPr="00445472">
        <w:rPr>
          <w:vertAlign w:val="superscript"/>
        </w:rPr>
        <w:t>o</w:t>
      </w:r>
      <w:r w:rsidRPr="00445472">
        <w:t>C, e ngjashme me temperaturën e ajrit. Një ndryshim i rëndësishëm në temperaturë vërehet në thellësi prej 60</w:t>
      </w:r>
      <w:r w:rsidR="008E14CA" w:rsidRPr="00445472">
        <w:t xml:space="preserve"> </w:t>
      </w:r>
      <w:r w:rsidRPr="00445472">
        <w:t>m dhe në 100</w:t>
      </w:r>
      <w:r w:rsidR="008E14CA" w:rsidRPr="00445472">
        <w:t xml:space="preserve"> </w:t>
      </w:r>
      <w:r w:rsidRPr="00445472">
        <w:t>m. Ndërsa temperatura zvogëlohet me rritjen e thellësisë, përqendrimi i oksigjenit rritet. Nga sipërfaqja në një thellësi prej 40</w:t>
      </w:r>
      <w:r w:rsidR="008E14CA" w:rsidRPr="00445472">
        <w:t xml:space="preserve"> </w:t>
      </w:r>
      <w:r w:rsidRPr="00445472">
        <w:t>m, përqendrimi i oksigjenit të tretur është 8.9-10 mg/l, ndërsa përqendrimi mbetet konstant në një thellësi prej 60</w:t>
      </w:r>
      <w:r w:rsidR="008E14CA" w:rsidRPr="00445472">
        <w:t>–</w:t>
      </w:r>
      <w:r w:rsidRPr="00445472">
        <w:t>100</w:t>
      </w:r>
      <w:r w:rsidR="008E14CA" w:rsidRPr="00445472">
        <w:t xml:space="preserve"> </w:t>
      </w:r>
      <w:r w:rsidRPr="00445472">
        <w:t>m (9.1-9.4 mg/l). Në shtresën e tretë (100-150</w:t>
      </w:r>
      <w:r w:rsidR="008E14CA" w:rsidRPr="00445472">
        <w:t xml:space="preserve"> </w:t>
      </w:r>
      <w:r w:rsidRPr="00445472">
        <w:t>m), përqendrimi i O</w:t>
      </w:r>
      <w:r w:rsidRPr="00445472">
        <w:rPr>
          <w:vertAlign w:val="subscript"/>
        </w:rPr>
        <w:t>2</w:t>
      </w:r>
      <w:r w:rsidRPr="00445472">
        <w:t xml:space="preserve"> ndryshon ndërmjet 8.6-9.1 mg/l. Nivelet e O</w:t>
      </w:r>
      <w:r w:rsidRPr="00445472">
        <w:rPr>
          <w:vertAlign w:val="subscript"/>
        </w:rPr>
        <w:t>2</w:t>
      </w:r>
      <w:r w:rsidRPr="00445472">
        <w:t xml:space="preserve"> në ujë janë më të larta se norma SCM për ujë të freskët (7</w:t>
      </w:r>
      <w:r w:rsidR="008E14CA" w:rsidRPr="00445472">
        <w:t xml:space="preserve"> </w:t>
      </w:r>
      <w:r w:rsidRPr="00445472">
        <w:t>mg/l) në të gjitha shtresat.</w:t>
      </w:r>
    </w:p>
    <w:p w14:paraId="6DBA2576" w14:textId="1D3F0399" w:rsidR="009D7681" w:rsidRPr="00445472" w:rsidRDefault="00EE680D" w:rsidP="009D7681">
      <w:pPr>
        <w:pStyle w:val="TEKSTIIII"/>
      </w:pPr>
      <w:r>
        <w:t xml:space="preserve">- </w:t>
      </w:r>
      <w:r w:rsidR="009D7681" w:rsidRPr="00445472">
        <w:t xml:space="preserve">GIZ-i evidentoi  përmbajtje të metaleve të rënda në sediment dhe ujë, të cilat u analizuan sipas strukturës së Projektit të Ruajtjes së Liqenit të Ohrit. Niveli i ndotjes është  i rëndë në Hudenisht. </w:t>
      </w:r>
      <w:r w:rsidR="008E14CA" w:rsidRPr="00445472">
        <w:t>Përqendrim</w:t>
      </w:r>
      <w:r w:rsidR="009D7681" w:rsidRPr="00445472">
        <w:t xml:space="preserve">i i Fe në mostrat e ujit varion nga 9.3 deri 54.6 μg.l-1 dhe </w:t>
      </w:r>
      <w:r w:rsidR="008E14CA" w:rsidRPr="00445472">
        <w:t>përqendrim</w:t>
      </w:r>
      <w:r w:rsidR="009D7681" w:rsidRPr="00445472">
        <w:t xml:space="preserve">i i Cr nga 1.0 në 17.9 μg.l-1. </w:t>
      </w:r>
      <w:r w:rsidR="008E14CA" w:rsidRPr="00445472">
        <w:t>Përqendrim</w:t>
      </w:r>
      <w:r w:rsidR="009D7681" w:rsidRPr="00445472">
        <w:t xml:space="preserve">i i Ni renditet nga 4.9 në 12.3 μg.l-1, i cili është më pak se maksimumi i lejuar i </w:t>
      </w:r>
      <w:r w:rsidR="008E14CA" w:rsidRPr="00445472">
        <w:t>përqendrim</w:t>
      </w:r>
      <w:r w:rsidR="009D7681" w:rsidRPr="00445472">
        <w:t xml:space="preserve">it (MAC)-SCM i vendosur nga direktiva 2013/39/EU (34 μg.l-1) por më i lartë se </w:t>
      </w:r>
      <w:r w:rsidR="00E14B89" w:rsidRPr="00445472">
        <w:t>mesatarja v</w:t>
      </w:r>
      <w:r w:rsidR="009D7681" w:rsidRPr="00445472">
        <w:t>jetore (AA)-SCM prej 4 μg.l-1.</w:t>
      </w:r>
    </w:p>
    <w:p w14:paraId="193C0D0A" w14:textId="1579D210" w:rsidR="009D7681" w:rsidRPr="00445472" w:rsidRDefault="00EE680D" w:rsidP="009D7681">
      <w:pPr>
        <w:pStyle w:val="TEKSTIIII"/>
      </w:pPr>
      <w:r>
        <w:t xml:space="preserve">- </w:t>
      </w:r>
      <w:r w:rsidR="008E14CA" w:rsidRPr="00445472">
        <w:t>Përqendrim</w:t>
      </w:r>
      <w:r w:rsidR="009D7681" w:rsidRPr="00445472">
        <w:t>i i klorofilit varion midis 0.48 µg.l</w:t>
      </w:r>
      <w:r w:rsidR="002E6C44">
        <w:t>–</w:t>
      </w:r>
      <w:r w:rsidR="009D7681" w:rsidRPr="00445472">
        <w:t>1 në Pogradec dhe 1.91 µg.l</w:t>
      </w:r>
      <w:r w:rsidR="002E6C44">
        <w:t>–</w:t>
      </w:r>
      <w:r w:rsidR="009D7681" w:rsidRPr="00445472">
        <w:t>1 në Lin. Rezultatet e Indeksit të Gjendjes Trofike (RIGjT) për shumicën e kampioneve të stacioneve edhe sezoneve ishin ≤ 30, tregues për kushte oligotrofike.</w:t>
      </w:r>
    </w:p>
    <w:p w14:paraId="2FCD0523" w14:textId="7D7C5C3E" w:rsidR="009D7681" w:rsidRPr="00445472" w:rsidRDefault="00EE680D" w:rsidP="009D7681">
      <w:pPr>
        <w:pStyle w:val="TEKSTIIII"/>
      </w:pPr>
      <w:r>
        <w:t xml:space="preserve">- </w:t>
      </w:r>
      <w:r w:rsidR="009D7681" w:rsidRPr="00445472">
        <w:t>Pjesa më e madhe e kampioneve të stacioneve t</w:t>
      </w:r>
      <w:r w:rsidR="00034FBB">
        <w:t>ë</w:t>
      </w:r>
      <w:r w:rsidR="009D7681" w:rsidRPr="00445472">
        <w:t xml:space="preserve"> bregut të liqenit nga pjesa shqiptare të ndërmarra nga GIZ-i treguan status ekologjik të keq ose shumë të keq.</w:t>
      </w:r>
    </w:p>
    <w:p w14:paraId="674AD4A6" w14:textId="26EBABB7" w:rsidR="009D7681" w:rsidRPr="00445472" w:rsidRDefault="00EE680D" w:rsidP="009D7681">
      <w:pPr>
        <w:pStyle w:val="TEKSTIIII"/>
      </w:pPr>
      <w:r>
        <w:t xml:space="preserve">- </w:t>
      </w:r>
      <w:r w:rsidR="009D7681" w:rsidRPr="00445472">
        <w:t>Treguesit makrofitë të gjeturanë bregun perëndimor të liqenit tregojnë ku</w:t>
      </w:r>
      <w:r w:rsidR="008E14CA" w:rsidRPr="00445472">
        <w:t>shte oligotrifike deri në oligo</w:t>
      </w:r>
      <w:r w:rsidR="009D7681" w:rsidRPr="00445472">
        <w:t xml:space="preserve">mezotrofike me përjashtim të një </w:t>
      </w:r>
      <w:r w:rsidR="008E14CA" w:rsidRPr="00445472">
        <w:t>vendndodhje</w:t>
      </w:r>
      <w:r w:rsidR="009D7681" w:rsidRPr="00445472">
        <w:t xml:space="preserve"> afër fshatit gadishullor të Linit, në të cilin kushtet ishin mezotrofike. Gjendja trofike ishte edhe më e lartë (mezotrofike deri mezo – eutrofike) përgjatë bregut më të urbanizuar jugor të liqenit.   </w:t>
      </w:r>
    </w:p>
    <w:p w14:paraId="3CCCC257" w14:textId="3A274241" w:rsidR="009D7681" w:rsidRPr="00445472" w:rsidRDefault="00EE680D" w:rsidP="009D7681">
      <w:pPr>
        <w:pStyle w:val="TEKSTIIII"/>
      </w:pPr>
      <w:r>
        <w:t xml:space="preserve">- </w:t>
      </w:r>
      <w:r w:rsidR="009D7681" w:rsidRPr="00445472">
        <w:t xml:space="preserve">Në terma të rrezikut të dështimit për të arritur statusin e mirë ekologjik, bazuar në studimet e GIZ-it, SCM-të  ishin si më poshtë: Fitoplanktoni – jo në rrezik, flora ujore, fauna bentike dhe fauna e peshqve, të gjitha shikohen si </w:t>
      </w:r>
      <w:r w:rsidR="00D62EDF" w:rsidRPr="00445472">
        <w:t>“</w:t>
      </w:r>
      <w:r w:rsidR="009D7681" w:rsidRPr="00445472">
        <w:t>potencialisht të rrezikuara</w:t>
      </w:r>
      <w:r w:rsidR="00D62EDF" w:rsidRPr="00445472">
        <w:t>”</w:t>
      </w:r>
      <w:r w:rsidR="009D7681" w:rsidRPr="00445472">
        <w:t>. Liqeni karakterizohet gjithashtu nga transparenca e lartë (9.7m), që tregon një status oligotrofik.</w:t>
      </w:r>
    </w:p>
    <w:p w14:paraId="16485BE0" w14:textId="0F2588FD" w:rsidR="009D7681" w:rsidRPr="00445472" w:rsidRDefault="00EE680D" w:rsidP="009D7681">
      <w:pPr>
        <w:pStyle w:val="TEKSTIIII"/>
      </w:pPr>
      <w:r>
        <w:t xml:space="preserve">- </w:t>
      </w:r>
      <w:r w:rsidR="009D7681" w:rsidRPr="00445472">
        <w:t>Sa për P-total, përqendrimi rritet proporcionalisht me thellësinë. Vlerat më të larta maten në një thellësi prej 120m, duke treguar një status mezotrofik të liqenit (0.027</w:t>
      </w:r>
      <w:r w:rsidR="008E14CA" w:rsidRPr="00445472">
        <w:t xml:space="preserve"> </w:t>
      </w:r>
      <w:r w:rsidR="009D7681" w:rsidRPr="00445472">
        <w:t>mg/l). Një tendencë e ngjashme vërehet edhe me nitratet dhe amonin. Përqendrimi rritet me thellësinë me vlerat më të larta të matura në 100-150m. Megjithatë, ndryshe nga P-total, nitratet tregojnë një gjendje oligotrofike të liqenit.</w:t>
      </w:r>
    </w:p>
    <w:p w14:paraId="70F952CD" w14:textId="2E050F6D" w:rsidR="009D7681" w:rsidRPr="00445472" w:rsidRDefault="00EE680D" w:rsidP="009D7681">
      <w:pPr>
        <w:pStyle w:val="TEKSTIIII"/>
      </w:pPr>
      <w:r>
        <w:t xml:space="preserve">- </w:t>
      </w:r>
      <w:r w:rsidR="009D7681" w:rsidRPr="00445472">
        <w:t>Vlerat COD janë të larta në sipërfaqe. Megjithatë, vlerat e përgjithshme tregojnë gjithashtu një gjendje oligotrofike të liqenit.</w:t>
      </w:r>
    </w:p>
    <w:p w14:paraId="27EA65AE" w14:textId="132DA74F" w:rsidR="009D7681" w:rsidRPr="00445472" w:rsidRDefault="00EE680D" w:rsidP="009D7681">
      <w:pPr>
        <w:pStyle w:val="TEKSTIIII"/>
      </w:pPr>
      <w:r>
        <w:t xml:space="preserve">- </w:t>
      </w:r>
      <w:r w:rsidR="009D7681" w:rsidRPr="00445472">
        <w:t>Në të dy</w:t>
      </w:r>
      <w:r w:rsidR="00554D3B">
        <w:t>ja</w:t>
      </w:r>
      <w:r w:rsidR="009D7681" w:rsidRPr="00445472">
        <w:t xml:space="preserve"> stacionet, përqendrimet maksimale të klorofilit a u matën në pranverë, ndërsa në pjesën tjetër të stinëve përqendrimi ulet gradualisht.</w:t>
      </w:r>
      <w:r w:rsidR="008E14CA" w:rsidRPr="00445472">
        <w:t xml:space="preserve"> </w:t>
      </w:r>
      <w:r w:rsidR="009D7681" w:rsidRPr="00445472">
        <w:t>Bazuar në rezultatet e monitorimit, liqeni i Ohrit mund të klasifikohet si një liqen oligotrofik me tendencë për mezotrofozim. Liqeni është i ndjeshëm ndaj aktiviteteve njerëzore, t</w:t>
      </w:r>
      <w:r w:rsidR="00034FBB">
        <w:t>ë</w:t>
      </w:r>
      <w:r w:rsidR="009D7681" w:rsidRPr="00445472">
        <w:t xml:space="preserve"> cilat ndikojnë në gjendjen e tij.</w:t>
      </w:r>
    </w:p>
    <w:p w14:paraId="664B8A91" w14:textId="77777777" w:rsidR="009D7681" w:rsidRPr="00445472" w:rsidRDefault="009D7681" w:rsidP="009D7681">
      <w:pPr>
        <w:pStyle w:val="TEKSTIIII"/>
      </w:pPr>
      <w:r w:rsidRPr="00445472">
        <w:t>Sipas monitorimit dhe të dhënave të studimit të mbledhura deri më sot tregojnë së cilësia e ujit të liqenit të Ohrit është e prekur nga bujqësia dhe aktivitetet industriale, ve</w:t>
      </w:r>
      <w:r w:rsidRPr="00445472">
        <w:rPr>
          <w:rFonts w:cs="Arial"/>
        </w:rPr>
        <w:t>ç</w:t>
      </w:r>
      <w:r w:rsidRPr="00445472">
        <w:t xml:space="preserve">anërisht ato metalurgjike, kimike dhe industritë e minierave. Disa miniera janë të lokalizuara afër liqenit (2.5 km), ku katër miniera të tjera qymyri (Alarup, Petrush, Vërdovë dhe Dardhas) mund të gjenden në një distancë prej 10 km nga bregu i liqenit. Faktorë të tjerë kërcënues për cilësinë e ujit janë minierat e kromit si edhe krijimi natyror i tokës serpentine rreth Pojskës (Pogradec).  Kjo e fundit është rrezik potencial për faktin se përbëhet nga metale të rënda dhe disponueshmëri të lartë nikeli.  </w:t>
      </w:r>
    </w:p>
    <w:p w14:paraId="7B0FCC04" w14:textId="15F65505" w:rsidR="009D7681" w:rsidRPr="00445472" w:rsidRDefault="009D7681" w:rsidP="009D7681">
      <w:pPr>
        <w:pStyle w:val="TEKSTIIII"/>
      </w:pPr>
      <w:r w:rsidRPr="00445472">
        <w:t xml:space="preserve">Si pasojë e ndërtimeve të paplanifikuara, të cilat janë të shpërndara përgjatë bregut, sidomos ndërtesat turistike (hotelet dhe restorantet), rreth 10% e ujërave të zeza shkarkohen në liqen pa u trajtuar. Në fshatrat përgjatë bregut të liqenit nuk ka sistem kanalizimesh </w:t>
      </w:r>
      <w:r w:rsidR="008E14CA" w:rsidRPr="00445472">
        <w:t>përveç</w:t>
      </w:r>
      <w:r w:rsidR="008E14CA" w:rsidRPr="00445472">
        <w:rPr>
          <w:rFonts w:cs="Arial"/>
        </w:rPr>
        <w:t xml:space="preserve"> </w:t>
      </w:r>
      <w:r w:rsidRPr="00445472">
        <w:t>se në fshatin Lin, i cili i shkarkon ujërat e zeza në një ligatinë të lokalizuar në pjesën veriore të tij. Më tej, landfille ilegale dhe grumbullime mbetjesh urbane janë burime potenciale për përhapjen e ndotjes. Ve</w:t>
      </w:r>
      <w:r w:rsidRPr="00445472">
        <w:rPr>
          <w:rFonts w:cs="Arial"/>
        </w:rPr>
        <w:t>ç</w:t>
      </w:r>
      <w:r w:rsidRPr="00445472">
        <w:t>anërisht landfilli i Çerravës përbën potencial të lartë rreziku.</w:t>
      </w:r>
    </w:p>
    <w:p w14:paraId="2812B283" w14:textId="0F6C6F49" w:rsidR="009D7681" w:rsidRPr="00445472" w:rsidRDefault="008958D5" w:rsidP="008958D5">
      <w:pPr>
        <w:pStyle w:val="NENTITULL"/>
      </w:pPr>
      <w:r w:rsidRPr="00445472">
        <w:t xml:space="preserve">7.1.3.3 </w:t>
      </w:r>
      <w:r w:rsidR="009D7681" w:rsidRPr="00445472">
        <w:t>Liqeni i Prespës</w:t>
      </w:r>
    </w:p>
    <w:p w14:paraId="70570535" w14:textId="344746DD" w:rsidR="009D7681" w:rsidRPr="00445472" w:rsidRDefault="009D7681" w:rsidP="009D7681">
      <w:pPr>
        <w:pStyle w:val="TEKSTIIII"/>
      </w:pPr>
      <w:r w:rsidRPr="00445472">
        <w:t>Bashkëpunimi Ndërkombëtar Gjerman (GIZ) ka kontribuar në përcaktimin e statusit të cilësisë së ujit. Gjatë 2013-2014 Giz-i</w:t>
      </w:r>
      <w:r w:rsidRPr="00445472">
        <w:rPr>
          <w:vertAlign w:val="superscript"/>
        </w:rPr>
        <w:footnoteReference w:id="132"/>
      </w:r>
      <w:r w:rsidRPr="00445472">
        <w:t xml:space="preserve"> bëri monitorimet në dy stacione të pozicionuara në të vetmin trup ujor të identifikuar (Gollomboc dhe Pustec (Liqenas). Monitorimi i element</w:t>
      </w:r>
      <w:r w:rsidR="00E929FD">
        <w:t>e</w:t>
      </w:r>
      <w:r w:rsidRPr="00445472">
        <w:t>ve biologjik</w:t>
      </w:r>
      <w:r w:rsidR="00E929FD">
        <w:t>e</w:t>
      </w:r>
      <w:r w:rsidRPr="00445472">
        <w:t xml:space="preserve"> bashkë me një vlerësim të kushteve fiziko-kimike u zhvillua gjatë muajve prill, korrik, tetor dhe shkurt, ku ishte e mundur në përputhje me udhëzimet e DKU-së.</w:t>
      </w:r>
    </w:p>
    <w:p w14:paraId="556FB63E" w14:textId="77777777" w:rsidR="009D7681" w:rsidRPr="00445472" w:rsidRDefault="009D7681" w:rsidP="009D7681">
      <w:pPr>
        <w:pStyle w:val="TEKSTIIII"/>
      </w:pPr>
      <w:r w:rsidRPr="00445472">
        <w:t>Të dhënat nga studimi i GIZ-it tregojnë se:</w:t>
      </w:r>
    </w:p>
    <w:p w14:paraId="39AF4942" w14:textId="72174F1C" w:rsidR="009D7681" w:rsidRPr="00445472" w:rsidRDefault="009D7681" w:rsidP="009D7681">
      <w:pPr>
        <w:pStyle w:val="TEKSTIIII"/>
      </w:pPr>
      <w:r w:rsidRPr="00445472">
        <w:t>Kushtet referencë specifike sipas llojit, për liqenin, jepen si në vijim: ujërat janë relativishit të oksigjenuara mirë (6-7 mg/l-1), ka karakter alkalin (ph &gt;7), mjaft transparent (thellësia Secchi &gt;5m), me nivele mesatare të lëndëve ushqyese (fosfori total = 15-25 μg/l-1; azoti total = &lt;3 mg/l-1), sasi mesatare deri n</w:t>
      </w:r>
      <w:r w:rsidR="00FE0B87">
        <w:t>ë</w:t>
      </w:r>
      <w:r w:rsidRPr="00445472">
        <w:t xml:space="preserve"> sasi të lartë të fitoplanktoneve, (klorofil a =&gt;3.8 μg/l-1). Fitoplanktoni është tipi më karakteristik në ujë të hapur, ndërsa makrofitet janë karakteristike të zonave bregliqenore.</w:t>
      </w:r>
    </w:p>
    <w:p w14:paraId="149A2F90" w14:textId="77777777" w:rsidR="009D7681" w:rsidRPr="00445472" w:rsidRDefault="009D7681" w:rsidP="009D7681">
      <w:pPr>
        <w:pStyle w:val="TEKSTIIII"/>
      </w:pPr>
      <w:r w:rsidRPr="00445472">
        <w:t xml:space="preserve">Fitoplanktoni (Diatometë) është i unifikuar dhe shumë i pasur në njësi taksonomike. Speciet që mbizotërojnë janë </w:t>
      </w:r>
      <w:r w:rsidRPr="00445472">
        <w:rPr>
          <w:i/>
        </w:rPr>
        <w:t>Cyclotella ocellata</w:t>
      </w:r>
      <w:r w:rsidRPr="00445472">
        <w:t xml:space="preserve">, </w:t>
      </w:r>
      <w:r w:rsidRPr="00445472">
        <w:rPr>
          <w:i/>
        </w:rPr>
        <w:t>Stephanodiscus rotula</w:t>
      </w:r>
      <w:r w:rsidRPr="00445472">
        <w:t xml:space="preserve">, </w:t>
      </w:r>
      <w:r w:rsidRPr="00445472">
        <w:rPr>
          <w:i/>
        </w:rPr>
        <w:t>Diploneis maule</w:t>
      </w:r>
      <w:r w:rsidRPr="00445472">
        <w:t xml:space="preserve">, </w:t>
      </w:r>
      <w:r w:rsidRPr="00445472">
        <w:rPr>
          <w:i/>
        </w:rPr>
        <w:t>Camplylodiscus noricus</w:t>
      </w:r>
      <w:r w:rsidRPr="00445472">
        <w:t>. Megjithatë, ashtu si në pjesën më të madhe të liqeneve, përbërja e përgjithshme e komunitetit të fitoplanktonit ndryshon sipas sezonit. Gjatë verës, në sipërfaqen e ujit ka densitet të lartë të mikroalgave të mëdha dhe fijëzore (Anabaena, Microcystis), që tregon se ekosistemi është i pasuruar me lëndë ushqyese.</w:t>
      </w:r>
    </w:p>
    <w:p w14:paraId="7A1F5ED5" w14:textId="77777777" w:rsidR="009D7681" w:rsidRPr="00445472" w:rsidRDefault="009D7681" w:rsidP="009D7681">
      <w:pPr>
        <w:pStyle w:val="TEKSTIIII"/>
      </w:pPr>
      <w:r w:rsidRPr="00445472">
        <w:t xml:space="preserve">Deri në pranverën e vitit 2014, diatometë ishin grupi më i pasur dhe me shumëllojshmëri speciesh, që përbënin 57% të të gjithë qelizave algale dhe 60% të të gjitha specieve të identifikuara. Dinofitet (dinoflagjellatë) dhe krizofitet ishin përkatësisht grupi i dytë dhe i tretë më i pasur. </w:t>
      </w:r>
      <w:r w:rsidRPr="00445472">
        <w:rPr>
          <w:i/>
        </w:rPr>
        <w:t>Cyclotella ocellata</w:t>
      </w:r>
      <w:r w:rsidRPr="00445472">
        <w:t xml:space="preserve"> dhe </w:t>
      </w:r>
      <w:r w:rsidRPr="00445472">
        <w:rPr>
          <w:i/>
        </w:rPr>
        <w:t>Gymnodinium mirabile</w:t>
      </w:r>
      <w:r w:rsidRPr="00445472">
        <w:t xml:space="preserve"> janë specie më të shpeshta, duke përbërë 80% të totalit. Megjithatë, vlera e përgjithshme ishte e ulët, që varionte nga 2.3 x 104 deri në 2.7 x 104 qeliza/l-1 përkatësisht në Gollomboc dhe Pustec.  </w:t>
      </w:r>
    </w:p>
    <w:p w14:paraId="20860213" w14:textId="62E05DD5" w:rsidR="009D7681" w:rsidRPr="00445472" w:rsidRDefault="009D7681" w:rsidP="009D7681">
      <w:pPr>
        <w:pStyle w:val="TEKSTIIII"/>
      </w:pPr>
      <w:r w:rsidRPr="00445472">
        <w:t>Indeksi trofik (bazuar në klorofil-a) tregonte për gjendje oligotrofike deri në mezotrofike në Gollomboc dhe kryesisht mezotrofike në Pustec. Në të dy</w:t>
      </w:r>
      <w:r w:rsidR="00554D3B">
        <w:t>ja</w:t>
      </w:r>
      <w:r w:rsidRPr="00445472">
        <w:t xml:space="preserve"> stacionet e marrjes së mostrave, vlerat e indeksit trofik ishin më të lartat në vjeshtë, p.sh., pas kulmit të sezonit të shtimit, dhe më e ulëta në pranverë. Mbizotërimi i gjendjes mezotrofike gjithashtu mbështetej nga vlerat e transparencës prej &gt;40.</w:t>
      </w:r>
    </w:p>
    <w:p w14:paraId="500A4D92" w14:textId="547C9AF4" w:rsidR="009D7681" w:rsidRPr="00445472" w:rsidRDefault="009D7681" w:rsidP="009D7681">
      <w:pPr>
        <w:pStyle w:val="TEKSTIIII"/>
      </w:pPr>
      <w:r w:rsidRPr="00445472">
        <w:t>Indeksi mikrofit (mesatarja e të gjithë shtresës së thellësisë) ishte 3.85 në Gollomboc dhe 3.90 në Pustec, që tregon pasurim të lartë dhe shumë të lartë të lëndëve ushqyese dhe gjendje eutrofike në të dy</w:t>
      </w:r>
      <w:r w:rsidR="00554D3B">
        <w:t>ja</w:t>
      </w:r>
      <w:r w:rsidRPr="00445472">
        <w:t xml:space="preserve"> vendndodhjet.</w:t>
      </w:r>
    </w:p>
    <w:p w14:paraId="364EBC7F" w14:textId="4B517608" w:rsidR="009D7681" w:rsidRPr="00445472" w:rsidRDefault="009D7681" w:rsidP="009D7681">
      <w:pPr>
        <w:pStyle w:val="TEKSTIIII"/>
      </w:pPr>
      <w:r w:rsidRPr="00445472">
        <w:t>Gjatë vjeshtës së vitit 2013, të dy</w:t>
      </w:r>
      <w:r w:rsidR="00554D3B">
        <w:t>ja</w:t>
      </w:r>
      <w:r w:rsidRPr="00445472">
        <w:t xml:space="preserve"> vendndodhjet bregliqenore shqiptare shfaqën një gjendje të keqe ekologjike. Rezultati mesatar për njësi taksonomike arrinte </w:t>
      </w:r>
      <w:r w:rsidR="008E14CA" w:rsidRPr="00445472">
        <w:t>vlerën</w:t>
      </w:r>
      <w:r w:rsidRPr="00445472">
        <w:t xml:space="preserve"> 3.6 dhe 3.4, përkatësisht për Gollomboc dhe Pustec. Gjithashtu sasia e specieve ishte e ulët, duke pasqyruar kështu një gjendje shqetësuese. Rezultatet tregojnë se në liqenin e Prespës, makrozoobentosi ndikohet negativisht nga gjendja anoksike që vjen si pasojë e eutrofikimit. Rezultatet paraprake të mostrave të marra në pranverë 2014 shfaqin një përmirësim të lehtë gjatë dimrit. Megjithatë, gjendja e përgjithshme mbetet e keqe ose shumë e keqe, në varësi të thellësisë së ujit.</w:t>
      </w:r>
    </w:p>
    <w:p w14:paraId="05A2218B" w14:textId="73795B90" w:rsidR="009D7681" w:rsidRPr="00445472" w:rsidRDefault="009D7681" w:rsidP="009D7681">
      <w:pPr>
        <w:pStyle w:val="TEKSTIIII"/>
      </w:pPr>
      <w:r w:rsidRPr="00445472">
        <w:t xml:space="preserve">Për sa </w:t>
      </w:r>
      <w:r w:rsidR="00911750">
        <w:t>u</w:t>
      </w:r>
      <w:r w:rsidRPr="00445472">
        <w:t xml:space="preserve"> përket kushteve fiziko-kimike, studimi i GIZ-it arriti në përfundimin se </w:t>
      </w:r>
      <w:r w:rsidR="008E14CA" w:rsidRPr="00445472">
        <w:t>përqendrim</w:t>
      </w:r>
      <w:r w:rsidRPr="00445472">
        <w:t>i në nivele më të larta të lëndëve ushqyese, NBO</w:t>
      </w:r>
      <w:r w:rsidRPr="00445472">
        <w:rPr>
          <w:vertAlign w:val="subscript"/>
        </w:rPr>
        <w:t>5</w:t>
      </w:r>
      <w:r w:rsidRPr="00445472">
        <w:t xml:space="preserve"> dhe COD, mendohet se vjen kryesisht si pasojë e shkarkimit në liqen të mbetjeve ujore të patrajtuara ose të patrajtuara mjaftueshëm. Një shtim më i madh i lëndëve ushqyese/organike në zonat bregliqenore se sa në zonën më të thellë qendrore të liqenit është zakonisht një tregues i ndotjes që vjen nga burime më të lokalizuara.</w:t>
      </w:r>
    </w:p>
    <w:p w14:paraId="37ED76F6" w14:textId="0F29E042" w:rsidR="009D7681" w:rsidRPr="00445472" w:rsidRDefault="009D7681" w:rsidP="009D7681">
      <w:pPr>
        <w:pStyle w:val="TEKSTIIII"/>
      </w:pPr>
      <w:r w:rsidRPr="00445472">
        <w:t>Të dhënat e GIZ-it mbi komunitetin e fitoplanktoneve sugjerojnë për gjendje oligotrofike në mezotrofike. Kjo mund të mos jetë shumë ndryshe nga gjendja referencë. Megjithatë, nga prania e fitoplanktoneve të mëdha dhe fijëzore dhe gjithashtu vlera e lartë e indeksit makrofit nuk ka vend për dyshim se eutrofikimi ka ndodhur më së shumti përtej nivelit natyror në sajë të shkarkimeve antropogjene të lëndëve organike dhe ushqyese. Statusi i ulët i makroinvertebrorëve bentikë në zonën bregliqenore, që ndikohet negativisht nga niveli i ulët i oksigjenit në verë, tregon se përmbushja e objektivit për një status të mirë ekologjik ka gjasa të mos arrihet as për këtë element cilësie. Ky përfundim u konfirmua më tej edhe nga rezultatet e elementit monitorues biologjik në peshq, gjë që tregoi sasinë dhe mbizotërimin e specieve jo vendase (aliene) në të dy</w:t>
      </w:r>
      <w:r w:rsidR="00554D3B">
        <w:t>ja</w:t>
      </w:r>
      <w:r w:rsidRPr="00445472">
        <w:t xml:space="preserve"> shtetet.</w:t>
      </w:r>
    </w:p>
    <w:p w14:paraId="1FD56FD3" w14:textId="07041AE8" w:rsidR="009D7681" w:rsidRPr="00445472" w:rsidRDefault="008958D5" w:rsidP="008958D5">
      <w:pPr>
        <w:pStyle w:val="NENTITULL"/>
      </w:pPr>
      <w:bookmarkStart w:id="141" w:name="_Toc530562529"/>
      <w:bookmarkStart w:id="142" w:name="_Toc531002811"/>
      <w:bookmarkStart w:id="143" w:name="_Toc11068815"/>
      <w:bookmarkEnd w:id="141"/>
      <w:bookmarkEnd w:id="142"/>
      <w:r w:rsidRPr="00445472">
        <w:t xml:space="preserve">7.1.4 </w:t>
      </w:r>
      <w:r w:rsidR="009D7681" w:rsidRPr="00445472">
        <w:t>Monitorimi i ujërave detar</w:t>
      </w:r>
      <w:bookmarkEnd w:id="143"/>
      <w:r w:rsidR="00445472">
        <w:t>e</w:t>
      </w:r>
    </w:p>
    <w:p w14:paraId="5A2FC68B" w14:textId="69E0AEC1" w:rsidR="009D7681" w:rsidRPr="00445472" w:rsidRDefault="009D7681" w:rsidP="009D7681">
      <w:pPr>
        <w:pStyle w:val="TEKSTIIII"/>
      </w:pPr>
      <w:r w:rsidRPr="00445472">
        <w:t>Ujërat detar</w:t>
      </w:r>
      <w:r w:rsidR="00445472">
        <w:t>e</w:t>
      </w:r>
      <w:r w:rsidRPr="00445472">
        <w:t xml:space="preserve"> dhe bregdetarë u monitoruan në plazhet Velipojë dhe Shëngjin, ujërat detar</w:t>
      </w:r>
      <w:r w:rsidR="00445472">
        <w:t>e</w:t>
      </w:r>
      <w:r w:rsidRPr="00445472">
        <w:t xml:space="preserve"> dhe bregdetarë u monitoruan për </w:t>
      </w:r>
      <w:r w:rsidRPr="00445472">
        <w:rPr>
          <w:i/>
        </w:rPr>
        <w:t>Escherichia coli</w:t>
      </w:r>
      <w:r w:rsidRPr="00445472">
        <w:t xml:space="preserve"> dhe </w:t>
      </w:r>
      <w:r w:rsidRPr="00445472">
        <w:rPr>
          <w:i/>
        </w:rPr>
        <w:t>Enterococcus intestinalis</w:t>
      </w:r>
      <w:r w:rsidRPr="00445472">
        <w:t>. Të dy</w:t>
      </w:r>
      <w:r w:rsidR="00905530">
        <w:t>ja</w:t>
      </w:r>
      <w:r w:rsidRPr="00445472">
        <w:t xml:space="preserve"> plazhet treguan një status të cilësisë shumë të mirë të ujit siç tregohet në </w:t>
      </w:r>
      <w:r w:rsidR="00905530" w:rsidRPr="00445472">
        <w:t xml:space="preserve">tabelat </w:t>
      </w:r>
      <w:r w:rsidRPr="00445472">
        <w:t>7.3 dhe 7.4.</w:t>
      </w:r>
    </w:p>
    <w:p w14:paraId="45847C15" w14:textId="71C652A6" w:rsidR="009D7681" w:rsidRPr="00445472" w:rsidRDefault="009D7681" w:rsidP="009D7681">
      <w:pPr>
        <w:pStyle w:val="TEKSTIIII"/>
        <w:rPr>
          <w:b/>
        </w:rPr>
      </w:pPr>
    </w:p>
    <w:p w14:paraId="06990AB9" w14:textId="77777777" w:rsidR="009D7681" w:rsidRPr="00445472" w:rsidRDefault="009D7681" w:rsidP="009D7681">
      <w:pPr>
        <w:pStyle w:val="TEKSTIIII"/>
        <w:rPr>
          <w:b/>
        </w:rPr>
      </w:pPr>
      <w:r w:rsidRPr="00445472">
        <w:rPr>
          <w:b/>
        </w:rPr>
        <w:t>Tabela 7.3:  Monitorimi mikrobiologjik në plazhin e Velipojës</w:t>
      </w:r>
      <w:r w:rsidRPr="00445472">
        <w:rPr>
          <w:rStyle w:val="FootnoteReference"/>
          <w:rFonts w:ascii="Garamond" w:hAnsi="Garamond"/>
          <w:b/>
          <w:color w:val="auto"/>
        </w:rPr>
        <w:footnoteReference w:id="133"/>
      </w:r>
    </w:p>
    <w:tbl>
      <w:tblPr>
        <w:tblW w:w="9823" w:type="dxa"/>
        <w:tblInd w:w="-147" w:type="dxa"/>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538"/>
        <w:gridCol w:w="2264"/>
        <w:gridCol w:w="883"/>
        <w:gridCol w:w="871"/>
        <w:gridCol w:w="884"/>
        <w:gridCol w:w="871"/>
        <w:gridCol w:w="883"/>
        <w:gridCol w:w="874"/>
        <w:gridCol w:w="881"/>
        <w:gridCol w:w="874"/>
      </w:tblGrid>
      <w:tr w:rsidR="009D7681" w:rsidRPr="00445472" w14:paraId="27DD002E" w14:textId="77777777" w:rsidTr="00B15A6B">
        <w:trPr>
          <w:trHeight w:val="340"/>
          <w:tblHeader/>
        </w:trPr>
        <w:tc>
          <w:tcPr>
            <w:tcW w:w="538" w:type="dxa"/>
            <w:vMerge w:val="restart"/>
            <w:shd w:val="clear" w:color="auto" w:fill="D4D4D4"/>
            <w:vAlign w:val="center"/>
          </w:tcPr>
          <w:p w14:paraId="193E0330" w14:textId="77777777" w:rsidR="009D7681" w:rsidRPr="00445472" w:rsidRDefault="009D7681" w:rsidP="008958D5">
            <w:pPr>
              <w:pStyle w:val="TABELA"/>
              <w:jc w:val="center"/>
              <w:rPr>
                <w:b/>
                <w:lang w:val="sq-AL"/>
              </w:rPr>
            </w:pPr>
          </w:p>
          <w:p w14:paraId="7B0D12EA" w14:textId="77777777" w:rsidR="009D7681" w:rsidRPr="00445472" w:rsidRDefault="009D7681" w:rsidP="008958D5">
            <w:pPr>
              <w:pStyle w:val="TABELA"/>
              <w:jc w:val="center"/>
              <w:rPr>
                <w:b/>
                <w:lang w:val="sq-AL"/>
              </w:rPr>
            </w:pPr>
          </w:p>
          <w:p w14:paraId="3F9B89FA" w14:textId="77777777" w:rsidR="009D7681" w:rsidRPr="00445472" w:rsidRDefault="009D7681" w:rsidP="008958D5">
            <w:pPr>
              <w:pStyle w:val="TABELA"/>
              <w:jc w:val="center"/>
              <w:rPr>
                <w:b/>
                <w:lang w:val="sq-AL"/>
              </w:rPr>
            </w:pPr>
            <w:r w:rsidRPr="00445472">
              <w:rPr>
                <w:b/>
                <w:lang w:val="sq-AL"/>
              </w:rPr>
              <w:t>Nr.</w:t>
            </w:r>
          </w:p>
        </w:tc>
        <w:tc>
          <w:tcPr>
            <w:tcW w:w="2264" w:type="dxa"/>
            <w:vMerge w:val="restart"/>
            <w:shd w:val="clear" w:color="auto" w:fill="D4D4D4"/>
            <w:vAlign w:val="center"/>
          </w:tcPr>
          <w:p w14:paraId="4D09161C" w14:textId="77777777" w:rsidR="009D7681" w:rsidRPr="00445472" w:rsidRDefault="009D7681" w:rsidP="008958D5">
            <w:pPr>
              <w:pStyle w:val="TABELA"/>
              <w:jc w:val="center"/>
              <w:rPr>
                <w:b/>
                <w:lang w:val="sq-AL"/>
              </w:rPr>
            </w:pPr>
          </w:p>
          <w:p w14:paraId="70A2054A" w14:textId="77777777" w:rsidR="009D7681" w:rsidRPr="00445472" w:rsidRDefault="009D7681" w:rsidP="008958D5">
            <w:pPr>
              <w:pStyle w:val="TABELA"/>
              <w:jc w:val="center"/>
              <w:rPr>
                <w:b/>
                <w:lang w:val="sq-AL"/>
              </w:rPr>
            </w:pPr>
          </w:p>
          <w:p w14:paraId="12B1CEEA" w14:textId="77777777" w:rsidR="009D7681" w:rsidRPr="00445472" w:rsidRDefault="009D7681" w:rsidP="008958D5">
            <w:pPr>
              <w:pStyle w:val="TABELA"/>
              <w:jc w:val="center"/>
              <w:rPr>
                <w:b/>
                <w:lang w:val="sq-AL"/>
              </w:rPr>
            </w:pPr>
            <w:r w:rsidRPr="00445472">
              <w:rPr>
                <w:b/>
                <w:lang w:val="sq-AL"/>
              </w:rPr>
              <w:t>Plazhet</w:t>
            </w:r>
          </w:p>
        </w:tc>
        <w:tc>
          <w:tcPr>
            <w:tcW w:w="1754" w:type="dxa"/>
            <w:gridSpan w:val="2"/>
            <w:shd w:val="clear" w:color="auto" w:fill="D4D4D4"/>
            <w:vAlign w:val="center"/>
          </w:tcPr>
          <w:p w14:paraId="4A5B9131" w14:textId="77777777" w:rsidR="009D7681" w:rsidRPr="00445472" w:rsidRDefault="009D7681" w:rsidP="008958D5">
            <w:pPr>
              <w:pStyle w:val="TABELA"/>
              <w:jc w:val="center"/>
              <w:rPr>
                <w:b/>
                <w:lang w:val="sq-AL"/>
              </w:rPr>
            </w:pPr>
            <w:r w:rsidRPr="00445472">
              <w:rPr>
                <w:b/>
                <w:lang w:val="sq-AL"/>
              </w:rPr>
              <w:t>2012</w:t>
            </w:r>
          </w:p>
        </w:tc>
        <w:tc>
          <w:tcPr>
            <w:tcW w:w="1755" w:type="dxa"/>
            <w:gridSpan w:val="2"/>
            <w:shd w:val="clear" w:color="auto" w:fill="D4D4D4"/>
            <w:vAlign w:val="center"/>
          </w:tcPr>
          <w:p w14:paraId="35DDE8C2" w14:textId="77777777" w:rsidR="009D7681" w:rsidRPr="00445472" w:rsidRDefault="009D7681" w:rsidP="008958D5">
            <w:pPr>
              <w:pStyle w:val="TABELA"/>
              <w:jc w:val="center"/>
              <w:rPr>
                <w:b/>
                <w:lang w:val="sq-AL"/>
              </w:rPr>
            </w:pPr>
            <w:r w:rsidRPr="00445472">
              <w:rPr>
                <w:b/>
                <w:lang w:val="sq-AL"/>
              </w:rPr>
              <w:t>2013</w:t>
            </w:r>
          </w:p>
        </w:tc>
        <w:tc>
          <w:tcPr>
            <w:tcW w:w="1757" w:type="dxa"/>
            <w:gridSpan w:val="2"/>
            <w:shd w:val="clear" w:color="auto" w:fill="D4D4D4"/>
            <w:vAlign w:val="center"/>
          </w:tcPr>
          <w:p w14:paraId="1D3719CB" w14:textId="77777777" w:rsidR="009D7681" w:rsidRPr="00445472" w:rsidRDefault="009D7681" w:rsidP="008958D5">
            <w:pPr>
              <w:pStyle w:val="TABELA"/>
              <w:jc w:val="center"/>
              <w:rPr>
                <w:b/>
                <w:lang w:val="sq-AL"/>
              </w:rPr>
            </w:pPr>
            <w:r w:rsidRPr="00445472">
              <w:rPr>
                <w:b/>
                <w:lang w:val="sq-AL"/>
              </w:rPr>
              <w:t>2014</w:t>
            </w:r>
          </w:p>
        </w:tc>
        <w:tc>
          <w:tcPr>
            <w:tcW w:w="1755" w:type="dxa"/>
            <w:gridSpan w:val="2"/>
            <w:shd w:val="clear" w:color="auto" w:fill="D4D4D4"/>
            <w:vAlign w:val="center"/>
          </w:tcPr>
          <w:p w14:paraId="65E546E1" w14:textId="77777777" w:rsidR="009D7681" w:rsidRPr="00445472" w:rsidRDefault="009D7681" w:rsidP="008958D5">
            <w:pPr>
              <w:pStyle w:val="TABELA"/>
              <w:jc w:val="center"/>
              <w:rPr>
                <w:b/>
                <w:lang w:val="sq-AL"/>
              </w:rPr>
            </w:pPr>
            <w:r w:rsidRPr="00445472">
              <w:rPr>
                <w:b/>
                <w:lang w:val="sq-AL"/>
              </w:rPr>
              <w:t>2015</w:t>
            </w:r>
          </w:p>
        </w:tc>
      </w:tr>
      <w:tr w:rsidR="009D7681" w:rsidRPr="00445472" w14:paraId="681C3D7A" w14:textId="77777777" w:rsidTr="00B15A6B">
        <w:trPr>
          <w:trHeight w:val="340"/>
          <w:tblHeader/>
        </w:trPr>
        <w:tc>
          <w:tcPr>
            <w:tcW w:w="538" w:type="dxa"/>
            <w:vMerge/>
            <w:tcBorders>
              <w:top w:val="single" w:sz="4" w:space="0" w:color="27B0AF"/>
            </w:tcBorders>
            <w:shd w:val="clear" w:color="auto" w:fill="D4D4D4"/>
            <w:vAlign w:val="center"/>
          </w:tcPr>
          <w:p w14:paraId="645CA167" w14:textId="77777777" w:rsidR="009D7681" w:rsidRPr="00445472" w:rsidRDefault="009D7681" w:rsidP="008958D5">
            <w:pPr>
              <w:pStyle w:val="TABELA"/>
              <w:jc w:val="center"/>
              <w:rPr>
                <w:b/>
                <w:lang w:val="sq-AL"/>
              </w:rPr>
            </w:pPr>
          </w:p>
        </w:tc>
        <w:tc>
          <w:tcPr>
            <w:tcW w:w="2264" w:type="dxa"/>
            <w:vMerge/>
            <w:tcBorders>
              <w:top w:val="single" w:sz="4" w:space="0" w:color="27B0AF"/>
            </w:tcBorders>
            <w:shd w:val="clear" w:color="auto" w:fill="D4D4D4"/>
            <w:vAlign w:val="center"/>
          </w:tcPr>
          <w:p w14:paraId="50A8CB34" w14:textId="77777777" w:rsidR="009D7681" w:rsidRPr="00445472" w:rsidRDefault="009D7681" w:rsidP="008958D5">
            <w:pPr>
              <w:pStyle w:val="TABELA"/>
              <w:jc w:val="center"/>
              <w:rPr>
                <w:b/>
                <w:lang w:val="sq-AL"/>
              </w:rPr>
            </w:pPr>
          </w:p>
        </w:tc>
        <w:tc>
          <w:tcPr>
            <w:tcW w:w="7021" w:type="dxa"/>
            <w:gridSpan w:val="8"/>
            <w:tcBorders>
              <w:top w:val="single" w:sz="4" w:space="0" w:color="27B0AF"/>
            </w:tcBorders>
            <w:shd w:val="clear" w:color="auto" w:fill="D4D4D4"/>
            <w:vAlign w:val="center"/>
          </w:tcPr>
          <w:p w14:paraId="76885B1C" w14:textId="77777777" w:rsidR="009D7681" w:rsidRPr="00445472" w:rsidRDefault="009D7681" w:rsidP="008958D5">
            <w:pPr>
              <w:pStyle w:val="TABELA"/>
              <w:jc w:val="center"/>
              <w:rPr>
                <w:b/>
                <w:lang w:val="sq-AL"/>
              </w:rPr>
            </w:pPr>
            <w:r w:rsidRPr="00445472">
              <w:rPr>
                <w:b/>
                <w:lang w:val="sq-AL"/>
              </w:rPr>
              <w:t>Përqendrimi (për 100 ml)</w:t>
            </w:r>
          </w:p>
        </w:tc>
      </w:tr>
      <w:tr w:rsidR="009D7681" w:rsidRPr="00445472" w14:paraId="5F491A9A" w14:textId="77777777" w:rsidTr="00B15A6B">
        <w:trPr>
          <w:trHeight w:val="340"/>
          <w:tblHeader/>
        </w:trPr>
        <w:tc>
          <w:tcPr>
            <w:tcW w:w="538" w:type="dxa"/>
            <w:vMerge/>
            <w:tcBorders>
              <w:top w:val="single" w:sz="4" w:space="0" w:color="27B0AF"/>
            </w:tcBorders>
            <w:shd w:val="clear" w:color="auto" w:fill="D4D4D4"/>
            <w:vAlign w:val="center"/>
          </w:tcPr>
          <w:p w14:paraId="1E6F5859" w14:textId="77777777" w:rsidR="009D7681" w:rsidRPr="00445472" w:rsidRDefault="009D7681" w:rsidP="008958D5">
            <w:pPr>
              <w:pStyle w:val="TABELA"/>
              <w:jc w:val="center"/>
              <w:rPr>
                <w:b/>
                <w:lang w:val="sq-AL"/>
              </w:rPr>
            </w:pPr>
          </w:p>
        </w:tc>
        <w:tc>
          <w:tcPr>
            <w:tcW w:w="2264" w:type="dxa"/>
            <w:vMerge/>
            <w:tcBorders>
              <w:top w:val="single" w:sz="4" w:space="0" w:color="27B0AF"/>
            </w:tcBorders>
            <w:shd w:val="clear" w:color="auto" w:fill="D4D4D4"/>
            <w:vAlign w:val="center"/>
          </w:tcPr>
          <w:p w14:paraId="309D1ECE" w14:textId="77777777" w:rsidR="009D7681" w:rsidRPr="00445472" w:rsidRDefault="009D7681" w:rsidP="008958D5">
            <w:pPr>
              <w:pStyle w:val="TABELA"/>
              <w:jc w:val="center"/>
              <w:rPr>
                <w:b/>
                <w:lang w:val="sq-AL"/>
              </w:rPr>
            </w:pPr>
          </w:p>
        </w:tc>
        <w:tc>
          <w:tcPr>
            <w:tcW w:w="883" w:type="dxa"/>
            <w:tcBorders>
              <w:top w:val="single" w:sz="4" w:space="0" w:color="27B0AF"/>
            </w:tcBorders>
            <w:shd w:val="clear" w:color="auto" w:fill="D4D4D4"/>
            <w:vAlign w:val="center"/>
          </w:tcPr>
          <w:p w14:paraId="16B3A1D3" w14:textId="77777777" w:rsidR="009D7681" w:rsidRPr="00445472" w:rsidRDefault="009D7681" w:rsidP="008958D5">
            <w:pPr>
              <w:pStyle w:val="TABELA"/>
              <w:jc w:val="center"/>
              <w:rPr>
                <w:b/>
                <w:lang w:val="sq-AL"/>
              </w:rPr>
            </w:pPr>
            <w:r w:rsidRPr="00445472">
              <w:rPr>
                <w:b/>
                <w:lang w:val="sq-AL"/>
              </w:rPr>
              <w:t>IC-90%</w:t>
            </w:r>
          </w:p>
        </w:tc>
        <w:tc>
          <w:tcPr>
            <w:tcW w:w="871" w:type="dxa"/>
            <w:tcBorders>
              <w:top w:val="single" w:sz="4" w:space="0" w:color="27B0AF"/>
            </w:tcBorders>
            <w:shd w:val="clear" w:color="auto" w:fill="D4D4D4"/>
            <w:vAlign w:val="center"/>
          </w:tcPr>
          <w:p w14:paraId="0453DF17" w14:textId="77777777" w:rsidR="009D7681" w:rsidRPr="00445472" w:rsidRDefault="009D7681" w:rsidP="008958D5">
            <w:pPr>
              <w:pStyle w:val="TABELA"/>
              <w:jc w:val="center"/>
              <w:rPr>
                <w:b/>
                <w:lang w:val="sq-AL"/>
              </w:rPr>
            </w:pPr>
            <w:r w:rsidRPr="00445472">
              <w:rPr>
                <w:b/>
                <w:lang w:val="sq-AL"/>
              </w:rPr>
              <w:t>EI-95%</w:t>
            </w:r>
          </w:p>
        </w:tc>
        <w:tc>
          <w:tcPr>
            <w:tcW w:w="884" w:type="dxa"/>
            <w:tcBorders>
              <w:top w:val="single" w:sz="4" w:space="0" w:color="27B0AF"/>
            </w:tcBorders>
            <w:shd w:val="clear" w:color="auto" w:fill="D4D4D4"/>
            <w:vAlign w:val="center"/>
          </w:tcPr>
          <w:p w14:paraId="20A23B1E" w14:textId="77777777" w:rsidR="009D7681" w:rsidRPr="00445472" w:rsidRDefault="009D7681" w:rsidP="008958D5">
            <w:pPr>
              <w:pStyle w:val="TABELA"/>
              <w:jc w:val="center"/>
              <w:rPr>
                <w:b/>
                <w:lang w:val="sq-AL"/>
              </w:rPr>
            </w:pPr>
            <w:r w:rsidRPr="00445472">
              <w:rPr>
                <w:b/>
                <w:lang w:val="sq-AL"/>
              </w:rPr>
              <w:t>IC-90%</w:t>
            </w:r>
          </w:p>
        </w:tc>
        <w:tc>
          <w:tcPr>
            <w:tcW w:w="871" w:type="dxa"/>
            <w:tcBorders>
              <w:top w:val="single" w:sz="4" w:space="0" w:color="27B0AF"/>
            </w:tcBorders>
            <w:shd w:val="clear" w:color="auto" w:fill="D4D4D4"/>
            <w:vAlign w:val="center"/>
          </w:tcPr>
          <w:p w14:paraId="0AC2A580" w14:textId="77777777" w:rsidR="009D7681" w:rsidRPr="00445472" w:rsidRDefault="009D7681" w:rsidP="008958D5">
            <w:pPr>
              <w:pStyle w:val="TABELA"/>
              <w:jc w:val="center"/>
              <w:rPr>
                <w:b/>
                <w:lang w:val="sq-AL"/>
              </w:rPr>
            </w:pPr>
            <w:r w:rsidRPr="00445472">
              <w:rPr>
                <w:b/>
                <w:lang w:val="sq-AL"/>
              </w:rPr>
              <w:t>EI-95%</w:t>
            </w:r>
          </w:p>
        </w:tc>
        <w:tc>
          <w:tcPr>
            <w:tcW w:w="883" w:type="dxa"/>
            <w:tcBorders>
              <w:top w:val="single" w:sz="4" w:space="0" w:color="27B0AF"/>
            </w:tcBorders>
            <w:shd w:val="clear" w:color="auto" w:fill="D4D4D4"/>
            <w:vAlign w:val="center"/>
          </w:tcPr>
          <w:p w14:paraId="6853CA6F" w14:textId="77777777" w:rsidR="009D7681" w:rsidRPr="00445472" w:rsidRDefault="009D7681" w:rsidP="008958D5">
            <w:pPr>
              <w:pStyle w:val="TABELA"/>
              <w:jc w:val="center"/>
              <w:rPr>
                <w:b/>
                <w:lang w:val="sq-AL"/>
              </w:rPr>
            </w:pPr>
            <w:r w:rsidRPr="00445472">
              <w:rPr>
                <w:b/>
                <w:lang w:val="sq-AL"/>
              </w:rPr>
              <w:t>IC-90%</w:t>
            </w:r>
          </w:p>
        </w:tc>
        <w:tc>
          <w:tcPr>
            <w:tcW w:w="874" w:type="dxa"/>
            <w:tcBorders>
              <w:top w:val="single" w:sz="4" w:space="0" w:color="27B0AF"/>
            </w:tcBorders>
            <w:shd w:val="clear" w:color="auto" w:fill="D4D4D4"/>
            <w:vAlign w:val="center"/>
          </w:tcPr>
          <w:p w14:paraId="7189E13C" w14:textId="77777777" w:rsidR="009D7681" w:rsidRPr="00445472" w:rsidRDefault="009D7681" w:rsidP="008958D5">
            <w:pPr>
              <w:pStyle w:val="TABELA"/>
              <w:jc w:val="center"/>
              <w:rPr>
                <w:b/>
                <w:lang w:val="sq-AL"/>
              </w:rPr>
            </w:pPr>
            <w:r w:rsidRPr="00445472">
              <w:rPr>
                <w:b/>
                <w:lang w:val="sq-AL"/>
              </w:rPr>
              <w:t>EI-95%</w:t>
            </w:r>
          </w:p>
        </w:tc>
        <w:tc>
          <w:tcPr>
            <w:tcW w:w="881" w:type="dxa"/>
            <w:tcBorders>
              <w:top w:val="single" w:sz="4" w:space="0" w:color="27B0AF"/>
            </w:tcBorders>
            <w:shd w:val="clear" w:color="auto" w:fill="D4D4D4"/>
            <w:vAlign w:val="center"/>
          </w:tcPr>
          <w:p w14:paraId="51929DA0" w14:textId="77777777" w:rsidR="009D7681" w:rsidRPr="00445472" w:rsidRDefault="009D7681" w:rsidP="008958D5">
            <w:pPr>
              <w:pStyle w:val="TABELA"/>
              <w:jc w:val="center"/>
              <w:rPr>
                <w:b/>
                <w:lang w:val="sq-AL"/>
              </w:rPr>
            </w:pPr>
            <w:r w:rsidRPr="00445472">
              <w:rPr>
                <w:b/>
                <w:lang w:val="sq-AL"/>
              </w:rPr>
              <w:t>IC-90%</w:t>
            </w:r>
          </w:p>
        </w:tc>
        <w:tc>
          <w:tcPr>
            <w:tcW w:w="874" w:type="dxa"/>
            <w:tcBorders>
              <w:top w:val="single" w:sz="4" w:space="0" w:color="27B0AF"/>
            </w:tcBorders>
            <w:shd w:val="clear" w:color="auto" w:fill="D4D4D4"/>
            <w:vAlign w:val="center"/>
          </w:tcPr>
          <w:p w14:paraId="00B5F372" w14:textId="77777777" w:rsidR="009D7681" w:rsidRPr="00445472" w:rsidRDefault="009D7681" w:rsidP="008958D5">
            <w:pPr>
              <w:pStyle w:val="TABELA"/>
              <w:jc w:val="center"/>
              <w:rPr>
                <w:b/>
                <w:lang w:val="sq-AL"/>
              </w:rPr>
            </w:pPr>
            <w:r w:rsidRPr="00445472">
              <w:rPr>
                <w:b/>
                <w:lang w:val="sq-AL"/>
              </w:rPr>
              <w:t>EI-95%</w:t>
            </w:r>
          </w:p>
        </w:tc>
      </w:tr>
      <w:tr w:rsidR="009D7681" w:rsidRPr="00445472" w14:paraId="52E32C69" w14:textId="77777777" w:rsidTr="00B15A6B">
        <w:trPr>
          <w:trHeight w:val="340"/>
        </w:trPr>
        <w:tc>
          <w:tcPr>
            <w:tcW w:w="538" w:type="dxa"/>
            <w:vAlign w:val="center"/>
          </w:tcPr>
          <w:p w14:paraId="128E7D03" w14:textId="77777777" w:rsidR="009D7681" w:rsidRPr="00445472" w:rsidRDefault="009D7681" w:rsidP="005C5BDA">
            <w:pPr>
              <w:pStyle w:val="TABELA"/>
              <w:jc w:val="center"/>
              <w:rPr>
                <w:lang w:val="sq-AL"/>
              </w:rPr>
            </w:pPr>
            <w:r w:rsidRPr="00445472">
              <w:rPr>
                <w:w w:val="99"/>
                <w:lang w:val="sq-AL"/>
              </w:rPr>
              <w:t>1</w:t>
            </w:r>
          </w:p>
        </w:tc>
        <w:tc>
          <w:tcPr>
            <w:tcW w:w="2264" w:type="dxa"/>
            <w:vAlign w:val="center"/>
          </w:tcPr>
          <w:p w14:paraId="7F5E8CB7" w14:textId="77777777" w:rsidR="009D7681" w:rsidRPr="00445472" w:rsidRDefault="009D7681" w:rsidP="008958D5">
            <w:pPr>
              <w:pStyle w:val="TABELA"/>
              <w:rPr>
                <w:lang w:val="sq-AL"/>
              </w:rPr>
            </w:pPr>
            <w:r w:rsidRPr="00445472">
              <w:rPr>
                <w:lang w:val="sq-AL"/>
              </w:rPr>
              <w:t>Belavista</w:t>
            </w:r>
          </w:p>
        </w:tc>
        <w:tc>
          <w:tcPr>
            <w:tcW w:w="883" w:type="dxa"/>
            <w:vAlign w:val="center"/>
          </w:tcPr>
          <w:p w14:paraId="69494443" w14:textId="77777777" w:rsidR="009D7681" w:rsidRPr="00445472" w:rsidRDefault="009D7681" w:rsidP="005C5BDA">
            <w:pPr>
              <w:pStyle w:val="TABELA"/>
              <w:jc w:val="right"/>
              <w:rPr>
                <w:lang w:val="sq-AL"/>
              </w:rPr>
            </w:pPr>
            <w:r w:rsidRPr="00445472">
              <w:rPr>
                <w:lang w:val="sq-AL"/>
              </w:rPr>
              <w:t>24</w:t>
            </w:r>
          </w:p>
        </w:tc>
        <w:tc>
          <w:tcPr>
            <w:tcW w:w="871" w:type="dxa"/>
            <w:vAlign w:val="center"/>
          </w:tcPr>
          <w:p w14:paraId="3ACC9AE0" w14:textId="77777777" w:rsidR="009D7681" w:rsidRPr="00445472" w:rsidRDefault="009D7681" w:rsidP="005C5BDA">
            <w:pPr>
              <w:pStyle w:val="TABELA"/>
              <w:jc w:val="right"/>
              <w:rPr>
                <w:lang w:val="sq-AL"/>
              </w:rPr>
            </w:pPr>
            <w:r w:rsidRPr="00445472">
              <w:rPr>
                <w:w w:val="99"/>
                <w:lang w:val="sq-AL"/>
              </w:rPr>
              <w:t>8</w:t>
            </w:r>
          </w:p>
        </w:tc>
        <w:tc>
          <w:tcPr>
            <w:tcW w:w="884" w:type="dxa"/>
            <w:vAlign w:val="center"/>
          </w:tcPr>
          <w:p w14:paraId="565E69BA" w14:textId="77777777" w:rsidR="009D7681" w:rsidRPr="00445472" w:rsidRDefault="009D7681" w:rsidP="005C5BDA">
            <w:pPr>
              <w:pStyle w:val="TABELA"/>
              <w:jc w:val="right"/>
              <w:rPr>
                <w:lang w:val="sq-AL"/>
              </w:rPr>
            </w:pPr>
            <w:r w:rsidRPr="00445472">
              <w:rPr>
                <w:lang w:val="sq-AL"/>
              </w:rPr>
              <w:t>76</w:t>
            </w:r>
          </w:p>
        </w:tc>
        <w:tc>
          <w:tcPr>
            <w:tcW w:w="871" w:type="dxa"/>
            <w:vAlign w:val="center"/>
          </w:tcPr>
          <w:p w14:paraId="7F0AE30D" w14:textId="77777777" w:rsidR="009D7681" w:rsidRPr="00445472" w:rsidRDefault="009D7681" w:rsidP="005C5BDA">
            <w:pPr>
              <w:pStyle w:val="TABELA"/>
              <w:jc w:val="right"/>
              <w:rPr>
                <w:lang w:val="sq-AL"/>
              </w:rPr>
            </w:pPr>
            <w:r w:rsidRPr="00445472">
              <w:rPr>
                <w:lang w:val="sq-AL"/>
              </w:rPr>
              <w:t>40</w:t>
            </w:r>
          </w:p>
        </w:tc>
        <w:tc>
          <w:tcPr>
            <w:tcW w:w="883" w:type="dxa"/>
            <w:vAlign w:val="center"/>
          </w:tcPr>
          <w:p w14:paraId="5FB56BCC" w14:textId="77777777" w:rsidR="009D7681" w:rsidRPr="00445472" w:rsidRDefault="009D7681" w:rsidP="005C5BDA">
            <w:pPr>
              <w:pStyle w:val="TABELA"/>
              <w:jc w:val="right"/>
              <w:rPr>
                <w:lang w:val="sq-AL"/>
              </w:rPr>
            </w:pPr>
            <w:r w:rsidRPr="00445472">
              <w:rPr>
                <w:lang w:val="sq-AL"/>
              </w:rPr>
              <w:t>58</w:t>
            </w:r>
          </w:p>
        </w:tc>
        <w:tc>
          <w:tcPr>
            <w:tcW w:w="874" w:type="dxa"/>
            <w:vAlign w:val="center"/>
          </w:tcPr>
          <w:p w14:paraId="4DF55789" w14:textId="77777777" w:rsidR="009D7681" w:rsidRPr="00445472" w:rsidRDefault="009D7681" w:rsidP="005C5BDA">
            <w:pPr>
              <w:pStyle w:val="TABELA"/>
              <w:jc w:val="right"/>
              <w:rPr>
                <w:lang w:val="sq-AL"/>
              </w:rPr>
            </w:pPr>
            <w:r w:rsidRPr="00445472">
              <w:rPr>
                <w:lang w:val="sq-AL"/>
              </w:rPr>
              <w:t>50</w:t>
            </w:r>
          </w:p>
        </w:tc>
        <w:tc>
          <w:tcPr>
            <w:tcW w:w="881" w:type="dxa"/>
            <w:vAlign w:val="center"/>
          </w:tcPr>
          <w:p w14:paraId="582C0839" w14:textId="77777777" w:rsidR="009D7681" w:rsidRPr="00445472" w:rsidRDefault="009D7681" w:rsidP="005C5BDA">
            <w:pPr>
              <w:pStyle w:val="TABELA"/>
              <w:jc w:val="right"/>
              <w:rPr>
                <w:lang w:val="sq-AL"/>
              </w:rPr>
            </w:pPr>
            <w:r w:rsidRPr="00445472">
              <w:rPr>
                <w:w w:val="99"/>
                <w:lang w:val="sq-AL"/>
              </w:rPr>
              <w:t>5</w:t>
            </w:r>
          </w:p>
        </w:tc>
        <w:tc>
          <w:tcPr>
            <w:tcW w:w="874" w:type="dxa"/>
            <w:vAlign w:val="center"/>
          </w:tcPr>
          <w:p w14:paraId="2C444A4D" w14:textId="77777777" w:rsidR="009D7681" w:rsidRPr="00445472" w:rsidRDefault="009D7681" w:rsidP="005C5BDA">
            <w:pPr>
              <w:pStyle w:val="TABELA"/>
              <w:jc w:val="right"/>
              <w:rPr>
                <w:lang w:val="sq-AL"/>
              </w:rPr>
            </w:pPr>
            <w:r w:rsidRPr="00445472">
              <w:rPr>
                <w:w w:val="99"/>
                <w:lang w:val="sq-AL"/>
              </w:rPr>
              <w:t>8</w:t>
            </w:r>
          </w:p>
        </w:tc>
      </w:tr>
      <w:tr w:rsidR="009D7681" w:rsidRPr="00445472" w14:paraId="3F8D87F8" w14:textId="77777777" w:rsidTr="00B15A6B">
        <w:trPr>
          <w:trHeight w:val="340"/>
        </w:trPr>
        <w:tc>
          <w:tcPr>
            <w:tcW w:w="538" w:type="dxa"/>
            <w:shd w:val="clear" w:color="auto" w:fill="E6E6E6"/>
            <w:vAlign w:val="center"/>
          </w:tcPr>
          <w:p w14:paraId="702B9A13" w14:textId="77777777" w:rsidR="009D7681" w:rsidRPr="00445472" w:rsidRDefault="009D7681" w:rsidP="005C5BDA">
            <w:pPr>
              <w:pStyle w:val="TABELA"/>
              <w:jc w:val="center"/>
              <w:rPr>
                <w:lang w:val="sq-AL"/>
              </w:rPr>
            </w:pPr>
            <w:r w:rsidRPr="00445472">
              <w:rPr>
                <w:w w:val="99"/>
                <w:lang w:val="sq-AL"/>
              </w:rPr>
              <w:t>2</w:t>
            </w:r>
          </w:p>
        </w:tc>
        <w:tc>
          <w:tcPr>
            <w:tcW w:w="2264" w:type="dxa"/>
            <w:shd w:val="clear" w:color="auto" w:fill="E6E6E6"/>
            <w:vAlign w:val="center"/>
          </w:tcPr>
          <w:p w14:paraId="53C2B440" w14:textId="77777777" w:rsidR="009D7681" w:rsidRPr="00445472" w:rsidRDefault="009D7681" w:rsidP="008958D5">
            <w:pPr>
              <w:pStyle w:val="TABELA"/>
              <w:rPr>
                <w:lang w:val="sq-AL"/>
              </w:rPr>
            </w:pPr>
            <w:r w:rsidRPr="00445472">
              <w:rPr>
                <w:lang w:val="sq-AL"/>
              </w:rPr>
              <w:t>Hotel Adriatiku</w:t>
            </w:r>
          </w:p>
        </w:tc>
        <w:tc>
          <w:tcPr>
            <w:tcW w:w="883" w:type="dxa"/>
            <w:shd w:val="clear" w:color="auto" w:fill="E6E6E6"/>
            <w:vAlign w:val="center"/>
          </w:tcPr>
          <w:p w14:paraId="6F89E412" w14:textId="77777777" w:rsidR="009D7681" w:rsidRPr="00445472" w:rsidRDefault="009D7681" w:rsidP="005C5BDA">
            <w:pPr>
              <w:pStyle w:val="TABELA"/>
              <w:jc w:val="right"/>
              <w:rPr>
                <w:lang w:val="sq-AL"/>
              </w:rPr>
            </w:pPr>
            <w:r w:rsidRPr="00445472">
              <w:rPr>
                <w:lang w:val="sq-AL"/>
              </w:rPr>
              <w:t>104</w:t>
            </w:r>
          </w:p>
        </w:tc>
        <w:tc>
          <w:tcPr>
            <w:tcW w:w="871" w:type="dxa"/>
            <w:shd w:val="clear" w:color="auto" w:fill="E6E6E6"/>
            <w:vAlign w:val="center"/>
          </w:tcPr>
          <w:p w14:paraId="17FF8B2A" w14:textId="77777777" w:rsidR="009D7681" w:rsidRPr="00445472" w:rsidRDefault="009D7681" w:rsidP="005C5BDA">
            <w:pPr>
              <w:pStyle w:val="TABELA"/>
              <w:jc w:val="right"/>
              <w:rPr>
                <w:lang w:val="sq-AL"/>
              </w:rPr>
            </w:pPr>
            <w:r w:rsidRPr="00445472">
              <w:rPr>
                <w:lang w:val="sq-AL"/>
              </w:rPr>
              <w:t>11</w:t>
            </w:r>
          </w:p>
        </w:tc>
        <w:tc>
          <w:tcPr>
            <w:tcW w:w="884" w:type="dxa"/>
            <w:shd w:val="clear" w:color="auto" w:fill="E6E6E6"/>
            <w:vAlign w:val="center"/>
          </w:tcPr>
          <w:p w14:paraId="418A9137" w14:textId="77777777" w:rsidR="009D7681" w:rsidRPr="00445472" w:rsidRDefault="009D7681" w:rsidP="005C5BDA">
            <w:pPr>
              <w:pStyle w:val="TABELA"/>
              <w:jc w:val="right"/>
              <w:rPr>
                <w:lang w:val="sq-AL"/>
              </w:rPr>
            </w:pPr>
            <w:r w:rsidRPr="00445472">
              <w:rPr>
                <w:lang w:val="sq-AL"/>
              </w:rPr>
              <w:t>76</w:t>
            </w:r>
          </w:p>
        </w:tc>
        <w:tc>
          <w:tcPr>
            <w:tcW w:w="871" w:type="dxa"/>
            <w:shd w:val="clear" w:color="auto" w:fill="E6E6E6"/>
            <w:vAlign w:val="center"/>
          </w:tcPr>
          <w:p w14:paraId="7BF1C557" w14:textId="77777777" w:rsidR="009D7681" w:rsidRPr="00445472" w:rsidRDefault="009D7681" w:rsidP="005C5BDA">
            <w:pPr>
              <w:pStyle w:val="TABELA"/>
              <w:jc w:val="right"/>
              <w:rPr>
                <w:lang w:val="sq-AL"/>
              </w:rPr>
            </w:pPr>
            <w:r w:rsidRPr="00445472">
              <w:rPr>
                <w:lang w:val="sq-AL"/>
              </w:rPr>
              <w:t>45</w:t>
            </w:r>
          </w:p>
        </w:tc>
        <w:tc>
          <w:tcPr>
            <w:tcW w:w="883" w:type="dxa"/>
            <w:shd w:val="clear" w:color="auto" w:fill="E6E6E6"/>
            <w:vAlign w:val="center"/>
          </w:tcPr>
          <w:p w14:paraId="052C9D0F" w14:textId="77777777" w:rsidR="009D7681" w:rsidRPr="00445472" w:rsidRDefault="009D7681" w:rsidP="005C5BDA">
            <w:pPr>
              <w:pStyle w:val="TABELA"/>
              <w:jc w:val="right"/>
              <w:rPr>
                <w:lang w:val="sq-AL"/>
              </w:rPr>
            </w:pPr>
            <w:r w:rsidRPr="00445472">
              <w:rPr>
                <w:lang w:val="sq-AL"/>
              </w:rPr>
              <w:t>85</w:t>
            </w:r>
          </w:p>
        </w:tc>
        <w:tc>
          <w:tcPr>
            <w:tcW w:w="874" w:type="dxa"/>
            <w:shd w:val="clear" w:color="auto" w:fill="E6E6E6"/>
            <w:vAlign w:val="center"/>
          </w:tcPr>
          <w:p w14:paraId="1B920512" w14:textId="77777777" w:rsidR="009D7681" w:rsidRPr="00445472" w:rsidRDefault="009D7681" w:rsidP="005C5BDA">
            <w:pPr>
              <w:pStyle w:val="TABELA"/>
              <w:jc w:val="right"/>
              <w:rPr>
                <w:lang w:val="sq-AL"/>
              </w:rPr>
            </w:pPr>
            <w:r w:rsidRPr="00445472">
              <w:rPr>
                <w:lang w:val="sq-AL"/>
              </w:rPr>
              <w:t>41</w:t>
            </w:r>
          </w:p>
        </w:tc>
        <w:tc>
          <w:tcPr>
            <w:tcW w:w="881" w:type="dxa"/>
            <w:shd w:val="clear" w:color="auto" w:fill="E6E6E6"/>
            <w:vAlign w:val="center"/>
          </w:tcPr>
          <w:p w14:paraId="4BD934FE" w14:textId="77777777" w:rsidR="009D7681" w:rsidRPr="00445472" w:rsidRDefault="009D7681" w:rsidP="005C5BDA">
            <w:pPr>
              <w:pStyle w:val="TABELA"/>
              <w:jc w:val="right"/>
              <w:rPr>
                <w:lang w:val="sq-AL"/>
              </w:rPr>
            </w:pPr>
            <w:r w:rsidRPr="00445472">
              <w:rPr>
                <w:w w:val="99"/>
                <w:lang w:val="sq-AL"/>
              </w:rPr>
              <w:t>4</w:t>
            </w:r>
          </w:p>
        </w:tc>
        <w:tc>
          <w:tcPr>
            <w:tcW w:w="874" w:type="dxa"/>
            <w:shd w:val="clear" w:color="auto" w:fill="E6E6E6"/>
            <w:vAlign w:val="center"/>
          </w:tcPr>
          <w:p w14:paraId="66D2C99D" w14:textId="77777777" w:rsidR="009D7681" w:rsidRPr="00445472" w:rsidRDefault="009D7681" w:rsidP="005C5BDA">
            <w:pPr>
              <w:pStyle w:val="TABELA"/>
              <w:jc w:val="right"/>
              <w:rPr>
                <w:lang w:val="sq-AL"/>
              </w:rPr>
            </w:pPr>
            <w:r w:rsidRPr="00445472">
              <w:rPr>
                <w:lang w:val="sq-AL"/>
              </w:rPr>
              <w:t>11</w:t>
            </w:r>
          </w:p>
        </w:tc>
      </w:tr>
      <w:tr w:rsidR="009D7681" w:rsidRPr="00445472" w14:paraId="0A104BB8" w14:textId="77777777" w:rsidTr="00B15A6B">
        <w:trPr>
          <w:trHeight w:val="340"/>
        </w:trPr>
        <w:tc>
          <w:tcPr>
            <w:tcW w:w="538" w:type="dxa"/>
            <w:vAlign w:val="center"/>
          </w:tcPr>
          <w:p w14:paraId="33A5F934" w14:textId="77777777" w:rsidR="009D7681" w:rsidRPr="00445472" w:rsidRDefault="009D7681" w:rsidP="005C5BDA">
            <w:pPr>
              <w:pStyle w:val="TABELA"/>
              <w:jc w:val="center"/>
              <w:rPr>
                <w:lang w:val="sq-AL"/>
              </w:rPr>
            </w:pPr>
            <w:r w:rsidRPr="00445472">
              <w:rPr>
                <w:w w:val="99"/>
                <w:lang w:val="sq-AL"/>
              </w:rPr>
              <w:t>3</w:t>
            </w:r>
          </w:p>
        </w:tc>
        <w:tc>
          <w:tcPr>
            <w:tcW w:w="2264" w:type="dxa"/>
            <w:vAlign w:val="center"/>
          </w:tcPr>
          <w:p w14:paraId="01561E01" w14:textId="77777777" w:rsidR="009D7681" w:rsidRPr="00445472" w:rsidRDefault="009D7681" w:rsidP="008958D5">
            <w:pPr>
              <w:pStyle w:val="TABELA"/>
              <w:rPr>
                <w:lang w:val="sq-AL"/>
              </w:rPr>
            </w:pPr>
            <w:r w:rsidRPr="00445472">
              <w:rPr>
                <w:lang w:val="sq-AL"/>
              </w:rPr>
              <w:t>B.R.Fantazia</w:t>
            </w:r>
          </w:p>
        </w:tc>
        <w:tc>
          <w:tcPr>
            <w:tcW w:w="883" w:type="dxa"/>
            <w:vAlign w:val="center"/>
          </w:tcPr>
          <w:p w14:paraId="5FC9C53B" w14:textId="77777777" w:rsidR="009D7681" w:rsidRPr="00445472" w:rsidRDefault="009D7681" w:rsidP="005C5BDA">
            <w:pPr>
              <w:pStyle w:val="TABELA"/>
              <w:jc w:val="right"/>
              <w:rPr>
                <w:lang w:val="sq-AL"/>
              </w:rPr>
            </w:pPr>
            <w:r w:rsidRPr="00445472">
              <w:rPr>
                <w:lang w:val="sq-AL"/>
              </w:rPr>
              <w:t>148</w:t>
            </w:r>
          </w:p>
        </w:tc>
        <w:tc>
          <w:tcPr>
            <w:tcW w:w="871" w:type="dxa"/>
            <w:vAlign w:val="center"/>
          </w:tcPr>
          <w:p w14:paraId="5AA06377" w14:textId="77777777" w:rsidR="009D7681" w:rsidRPr="00445472" w:rsidRDefault="009D7681" w:rsidP="005C5BDA">
            <w:pPr>
              <w:pStyle w:val="TABELA"/>
              <w:jc w:val="right"/>
              <w:rPr>
                <w:lang w:val="sq-AL"/>
              </w:rPr>
            </w:pPr>
            <w:r w:rsidRPr="00445472">
              <w:rPr>
                <w:lang w:val="sq-AL"/>
              </w:rPr>
              <w:t>33</w:t>
            </w:r>
          </w:p>
        </w:tc>
        <w:tc>
          <w:tcPr>
            <w:tcW w:w="884" w:type="dxa"/>
            <w:vAlign w:val="center"/>
          </w:tcPr>
          <w:p w14:paraId="5614BB46" w14:textId="77777777" w:rsidR="009D7681" w:rsidRPr="00445472" w:rsidRDefault="009D7681" w:rsidP="005C5BDA">
            <w:pPr>
              <w:pStyle w:val="TABELA"/>
              <w:jc w:val="right"/>
              <w:rPr>
                <w:lang w:val="sq-AL"/>
              </w:rPr>
            </w:pPr>
            <w:r w:rsidRPr="00445472">
              <w:rPr>
                <w:lang w:val="sq-AL"/>
              </w:rPr>
              <w:t>127</w:t>
            </w:r>
          </w:p>
        </w:tc>
        <w:tc>
          <w:tcPr>
            <w:tcW w:w="871" w:type="dxa"/>
            <w:vAlign w:val="center"/>
          </w:tcPr>
          <w:p w14:paraId="74614D9C" w14:textId="77777777" w:rsidR="009D7681" w:rsidRPr="00445472" w:rsidRDefault="009D7681" w:rsidP="005C5BDA">
            <w:pPr>
              <w:pStyle w:val="TABELA"/>
              <w:jc w:val="right"/>
              <w:rPr>
                <w:lang w:val="sq-AL"/>
              </w:rPr>
            </w:pPr>
            <w:r w:rsidRPr="00445472">
              <w:rPr>
                <w:lang w:val="sq-AL"/>
              </w:rPr>
              <w:t>40</w:t>
            </w:r>
          </w:p>
        </w:tc>
        <w:tc>
          <w:tcPr>
            <w:tcW w:w="883" w:type="dxa"/>
            <w:vAlign w:val="center"/>
          </w:tcPr>
          <w:p w14:paraId="53EB4A10" w14:textId="77777777" w:rsidR="009D7681" w:rsidRPr="00445472" w:rsidRDefault="009D7681" w:rsidP="005C5BDA">
            <w:pPr>
              <w:pStyle w:val="TABELA"/>
              <w:jc w:val="right"/>
              <w:rPr>
                <w:lang w:val="sq-AL"/>
              </w:rPr>
            </w:pPr>
            <w:r w:rsidRPr="00445472">
              <w:rPr>
                <w:lang w:val="sq-AL"/>
              </w:rPr>
              <w:t>186</w:t>
            </w:r>
          </w:p>
        </w:tc>
        <w:tc>
          <w:tcPr>
            <w:tcW w:w="874" w:type="dxa"/>
            <w:vAlign w:val="center"/>
          </w:tcPr>
          <w:p w14:paraId="04853357" w14:textId="77777777" w:rsidR="009D7681" w:rsidRPr="00445472" w:rsidRDefault="009D7681" w:rsidP="005C5BDA">
            <w:pPr>
              <w:pStyle w:val="TABELA"/>
              <w:jc w:val="right"/>
              <w:rPr>
                <w:lang w:val="sq-AL"/>
              </w:rPr>
            </w:pPr>
            <w:r w:rsidRPr="00445472">
              <w:rPr>
                <w:lang w:val="sq-AL"/>
              </w:rPr>
              <w:t>207</w:t>
            </w:r>
          </w:p>
        </w:tc>
        <w:tc>
          <w:tcPr>
            <w:tcW w:w="881" w:type="dxa"/>
            <w:vAlign w:val="center"/>
          </w:tcPr>
          <w:p w14:paraId="050F36D3" w14:textId="77777777" w:rsidR="009D7681" w:rsidRPr="00445472" w:rsidRDefault="009D7681" w:rsidP="005C5BDA">
            <w:pPr>
              <w:pStyle w:val="TABELA"/>
              <w:jc w:val="right"/>
              <w:rPr>
                <w:lang w:val="sq-AL"/>
              </w:rPr>
            </w:pPr>
            <w:r w:rsidRPr="00445472">
              <w:rPr>
                <w:w w:val="99"/>
                <w:lang w:val="sq-AL"/>
              </w:rPr>
              <w:t>6</w:t>
            </w:r>
          </w:p>
        </w:tc>
        <w:tc>
          <w:tcPr>
            <w:tcW w:w="874" w:type="dxa"/>
            <w:vAlign w:val="center"/>
          </w:tcPr>
          <w:p w14:paraId="33B6E231" w14:textId="77777777" w:rsidR="009D7681" w:rsidRPr="00445472" w:rsidRDefault="009D7681" w:rsidP="005C5BDA">
            <w:pPr>
              <w:pStyle w:val="TABELA"/>
              <w:jc w:val="right"/>
              <w:rPr>
                <w:lang w:val="sq-AL"/>
              </w:rPr>
            </w:pPr>
            <w:r w:rsidRPr="00445472">
              <w:rPr>
                <w:lang w:val="sq-AL"/>
              </w:rPr>
              <w:t>29</w:t>
            </w:r>
          </w:p>
        </w:tc>
      </w:tr>
      <w:tr w:rsidR="009D7681" w:rsidRPr="00445472" w14:paraId="7EDFEE1B" w14:textId="77777777" w:rsidTr="00B15A6B">
        <w:trPr>
          <w:trHeight w:val="340"/>
        </w:trPr>
        <w:tc>
          <w:tcPr>
            <w:tcW w:w="538" w:type="dxa"/>
            <w:shd w:val="clear" w:color="auto" w:fill="E6E6E6"/>
            <w:vAlign w:val="center"/>
          </w:tcPr>
          <w:p w14:paraId="2E35841F" w14:textId="77777777" w:rsidR="009D7681" w:rsidRPr="00445472" w:rsidRDefault="009D7681" w:rsidP="005C5BDA">
            <w:pPr>
              <w:pStyle w:val="TABELA"/>
              <w:jc w:val="center"/>
              <w:rPr>
                <w:lang w:val="sq-AL"/>
              </w:rPr>
            </w:pPr>
            <w:r w:rsidRPr="00445472">
              <w:rPr>
                <w:w w:val="99"/>
                <w:lang w:val="sq-AL"/>
              </w:rPr>
              <w:t>4</w:t>
            </w:r>
          </w:p>
        </w:tc>
        <w:tc>
          <w:tcPr>
            <w:tcW w:w="2264" w:type="dxa"/>
            <w:shd w:val="clear" w:color="auto" w:fill="E6E6E6"/>
            <w:vAlign w:val="center"/>
          </w:tcPr>
          <w:p w14:paraId="561A6E87" w14:textId="77777777" w:rsidR="009D7681" w:rsidRPr="00445472" w:rsidRDefault="009D7681" w:rsidP="008958D5">
            <w:pPr>
              <w:pStyle w:val="TABELA"/>
              <w:rPr>
                <w:lang w:val="sq-AL"/>
              </w:rPr>
            </w:pPr>
            <w:r w:rsidRPr="00445472">
              <w:rPr>
                <w:lang w:val="sq-AL"/>
              </w:rPr>
              <w:t>Hyrja në plazh</w:t>
            </w:r>
          </w:p>
        </w:tc>
        <w:tc>
          <w:tcPr>
            <w:tcW w:w="883" w:type="dxa"/>
            <w:shd w:val="clear" w:color="auto" w:fill="E6E6E6"/>
            <w:vAlign w:val="center"/>
          </w:tcPr>
          <w:p w14:paraId="4F0F2601" w14:textId="77777777" w:rsidR="009D7681" w:rsidRPr="00445472" w:rsidRDefault="009D7681" w:rsidP="005C5BDA">
            <w:pPr>
              <w:pStyle w:val="TABELA"/>
              <w:jc w:val="right"/>
              <w:rPr>
                <w:lang w:val="sq-AL"/>
              </w:rPr>
            </w:pPr>
            <w:r w:rsidRPr="00445472">
              <w:rPr>
                <w:lang w:val="sq-AL"/>
              </w:rPr>
              <w:t>347</w:t>
            </w:r>
          </w:p>
        </w:tc>
        <w:tc>
          <w:tcPr>
            <w:tcW w:w="871" w:type="dxa"/>
            <w:shd w:val="clear" w:color="auto" w:fill="E6E6E6"/>
            <w:vAlign w:val="center"/>
          </w:tcPr>
          <w:p w14:paraId="1331E2F6" w14:textId="77777777" w:rsidR="009D7681" w:rsidRPr="00445472" w:rsidRDefault="009D7681" w:rsidP="005C5BDA">
            <w:pPr>
              <w:pStyle w:val="TABELA"/>
              <w:jc w:val="right"/>
              <w:rPr>
                <w:lang w:val="sq-AL"/>
              </w:rPr>
            </w:pPr>
            <w:r w:rsidRPr="00445472">
              <w:rPr>
                <w:lang w:val="sq-AL"/>
              </w:rPr>
              <w:t>474</w:t>
            </w:r>
          </w:p>
        </w:tc>
        <w:tc>
          <w:tcPr>
            <w:tcW w:w="884" w:type="dxa"/>
            <w:shd w:val="clear" w:color="auto" w:fill="E6E6E6"/>
            <w:vAlign w:val="center"/>
          </w:tcPr>
          <w:p w14:paraId="7BDCAEBC" w14:textId="77777777" w:rsidR="009D7681" w:rsidRPr="00445472" w:rsidRDefault="009D7681" w:rsidP="005C5BDA">
            <w:pPr>
              <w:pStyle w:val="TABELA"/>
              <w:jc w:val="right"/>
              <w:rPr>
                <w:lang w:val="sq-AL"/>
              </w:rPr>
            </w:pPr>
            <w:r w:rsidRPr="00445472">
              <w:rPr>
                <w:lang w:val="sq-AL"/>
              </w:rPr>
              <w:t>66</w:t>
            </w:r>
          </w:p>
        </w:tc>
        <w:tc>
          <w:tcPr>
            <w:tcW w:w="871" w:type="dxa"/>
            <w:shd w:val="clear" w:color="auto" w:fill="E6E6E6"/>
            <w:vAlign w:val="center"/>
          </w:tcPr>
          <w:p w14:paraId="5C286B6A" w14:textId="77777777" w:rsidR="009D7681" w:rsidRPr="00445472" w:rsidRDefault="009D7681" w:rsidP="005C5BDA">
            <w:pPr>
              <w:pStyle w:val="TABELA"/>
              <w:jc w:val="right"/>
              <w:rPr>
                <w:lang w:val="sq-AL"/>
              </w:rPr>
            </w:pPr>
            <w:r w:rsidRPr="00445472">
              <w:rPr>
                <w:lang w:val="sq-AL"/>
              </w:rPr>
              <w:t>93</w:t>
            </w:r>
          </w:p>
        </w:tc>
        <w:tc>
          <w:tcPr>
            <w:tcW w:w="883" w:type="dxa"/>
            <w:shd w:val="clear" w:color="auto" w:fill="E6E6E6"/>
            <w:vAlign w:val="center"/>
          </w:tcPr>
          <w:p w14:paraId="15ADAAEF" w14:textId="77777777" w:rsidR="009D7681" w:rsidRPr="00445472" w:rsidRDefault="009D7681" w:rsidP="005C5BDA">
            <w:pPr>
              <w:pStyle w:val="TABELA"/>
              <w:jc w:val="right"/>
              <w:rPr>
                <w:lang w:val="sq-AL"/>
              </w:rPr>
            </w:pPr>
            <w:r w:rsidRPr="00445472">
              <w:rPr>
                <w:lang w:val="sq-AL"/>
              </w:rPr>
              <w:t>204</w:t>
            </w:r>
          </w:p>
        </w:tc>
        <w:tc>
          <w:tcPr>
            <w:tcW w:w="874" w:type="dxa"/>
            <w:shd w:val="clear" w:color="auto" w:fill="E6E6E6"/>
            <w:vAlign w:val="center"/>
          </w:tcPr>
          <w:p w14:paraId="42835C1B" w14:textId="77777777" w:rsidR="009D7681" w:rsidRPr="00445472" w:rsidRDefault="009D7681" w:rsidP="005C5BDA">
            <w:pPr>
              <w:pStyle w:val="TABELA"/>
              <w:jc w:val="right"/>
              <w:rPr>
                <w:lang w:val="sq-AL"/>
              </w:rPr>
            </w:pPr>
            <w:r w:rsidRPr="00445472">
              <w:rPr>
                <w:lang w:val="sq-AL"/>
              </w:rPr>
              <w:t>207</w:t>
            </w:r>
          </w:p>
        </w:tc>
        <w:tc>
          <w:tcPr>
            <w:tcW w:w="881" w:type="dxa"/>
            <w:shd w:val="clear" w:color="auto" w:fill="E6E6E6"/>
            <w:vAlign w:val="center"/>
          </w:tcPr>
          <w:p w14:paraId="44714403" w14:textId="77777777" w:rsidR="009D7681" w:rsidRPr="00445472" w:rsidRDefault="009D7681" w:rsidP="005C5BDA">
            <w:pPr>
              <w:pStyle w:val="TABELA"/>
              <w:jc w:val="right"/>
              <w:rPr>
                <w:lang w:val="sq-AL"/>
              </w:rPr>
            </w:pPr>
            <w:r w:rsidRPr="00445472">
              <w:rPr>
                <w:lang w:val="sq-AL"/>
              </w:rPr>
              <w:t>13</w:t>
            </w:r>
          </w:p>
        </w:tc>
        <w:tc>
          <w:tcPr>
            <w:tcW w:w="874" w:type="dxa"/>
            <w:shd w:val="clear" w:color="auto" w:fill="E6E6E6"/>
            <w:vAlign w:val="center"/>
          </w:tcPr>
          <w:p w14:paraId="484AF683" w14:textId="77777777" w:rsidR="009D7681" w:rsidRPr="00445472" w:rsidRDefault="009D7681" w:rsidP="005C5BDA">
            <w:pPr>
              <w:pStyle w:val="TABELA"/>
              <w:jc w:val="right"/>
              <w:rPr>
                <w:lang w:val="sq-AL"/>
              </w:rPr>
            </w:pPr>
            <w:r w:rsidRPr="00445472">
              <w:rPr>
                <w:lang w:val="sq-AL"/>
              </w:rPr>
              <w:t>29</w:t>
            </w:r>
          </w:p>
        </w:tc>
      </w:tr>
      <w:tr w:rsidR="009D7681" w:rsidRPr="00445472" w14:paraId="594FBEAB" w14:textId="77777777" w:rsidTr="00B15A6B">
        <w:trPr>
          <w:trHeight w:val="340"/>
        </w:trPr>
        <w:tc>
          <w:tcPr>
            <w:tcW w:w="538" w:type="dxa"/>
            <w:vAlign w:val="center"/>
          </w:tcPr>
          <w:p w14:paraId="6FBE7EF0" w14:textId="77777777" w:rsidR="009D7681" w:rsidRPr="00445472" w:rsidRDefault="009D7681" w:rsidP="005C5BDA">
            <w:pPr>
              <w:pStyle w:val="TABELA"/>
              <w:jc w:val="center"/>
              <w:rPr>
                <w:lang w:val="sq-AL"/>
              </w:rPr>
            </w:pPr>
            <w:r w:rsidRPr="00445472">
              <w:rPr>
                <w:w w:val="99"/>
                <w:lang w:val="sq-AL"/>
              </w:rPr>
              <w:t>5</w:t>
            </w:r>
          </w:p>
        </w:tc>
        <w:tc>
          <w:tcPr>
            <w:tcW w:w="2264" w:type="dxa"/>
            <w:vAlign w:val="center"/>
          </w:tcPr>
          <w:p w14:paraId="7A18A436" w14:textId="77777777" w:rsidR="009D7681" w:rsidRPr="00445472" w:rsidRDefault="009D7681" w:rsidP="008958D5">
            <w:pPr>
              <w:pStyle w:val="TABELA"/>
              <w:rPr>
                <w:lang w:val="sq-AL"/>
              </w:rPr>
            </w:pPr>
            <w:r w:rsidRPr="00445472">
              <w:rPr>
                <w:lang w:val="sq-AL"/>
              </w:rPr>
              <w:t>Pallatet e reja</w:t>
            </w:r>
          </w:p>
        </w:tc>
        <w:tc>
          <w:tcPr>
            <w:tcW w:w="883" w:type="dxa"/>
            <w:vAlign w:val="center"/>
          </w:tcPr>
          <w:p w14:paraId="1E60A288" w14:textId="77777777" w:rsidR="009D7681" w:rsidRPr="00445472" w:rsidRDefault="009D7681" w:rsidP="005C5BDA">
            <w:pPr>
              <w:pStyle w:val="TABELA"/>
              <w:jc w:val="right"/>
              <w:rPr>
                <w:lang w:val="sq-AL"/>
              </w:rPr>
            </w:pPr>
            <w:r w:rsidRPr="00445472">
              <w:rPr>
                <w:lang w:val="sq-AL"/>
              </w:rPr>
              <w:t>130</w:t>
            </w:r>
          </w:p>
        </w:tc>
        <w:tc>
          <w:tcPr>
            <w:tcW w:w="871" w:type="dxa"/>
            <w:vAlign w:val="center"/>
          </w:tcPr>
          <w:p w14:paraId="7C47F912" w14:textId="77777777" w:rsidR="009D7681" w:rsidRPr="00445472" w:rsidRDefault="009D7681" w:rsidP="005C5BDA">
            <w:pPr>
              <w:pStyle w:val="TABELA"/>
              <w:jc w:val="right"/>
              <w:rPr>
                <w:lang w:val="sq-AL"/>
              </w:rPr>
            </w:pPr>
            <w:r w:rsidRPr="00445472">
              <w:rPr>
                <w:lang w:val="sq-AL"/>
              </w:rPr>
              <w:t>49</w:t>
            </w:r>
          </w:p>
        </w:tc>
        <w:tc>
          <w:tcPr>
            <w:tcW w:w="884" w:type="dxa"/>
            <w:vAlign w:val="center"/>
          </w:tcPr>
          <w:p w14:paraId="702B142F" w14:textId="77777777" w:rsidR="009D7681" w:rsidRPr="00445472" w:rsidRDefault="009D7681" w:rsidP="005C5BDA">
            <w:pPr>
              <w:pStyle w:val="TABELA"/>
              <w:jc w:val="right"/>
              <w:rPr>
                <w:lang w:val="sq-AL"/>
              </w:rPr>
            </w:pPr>
            <w:r w:rsidRPr="00445472">
              <w:rPr>
                <w:lang w:val="sq-AL"/>
              </w:rPr>
              <w:t>68</w:t>
            </w:r>
          </w:p>
        </w:tc>
        <w:tc>
          <w:tcPr>
            <w:tcW w:w="871" w:type="dxa"/>
            <w:vAlign w:val="center"/>
          </w:tcPr>
          <w:p w14:paraId="3FB23799" w14:textId="77777777" w:rsidR="009D7681" w:rsidRPr="00445472" w:rsidRDefault="009D7681" w:rsidP="005C5BDA">
            <w:pPr>
              <w:pStyle w:val="TABELA"/>
              <w:jc w:val="right"/>
              <w:rPr>
                <w:lang w:val="sq-AL"/>
              </w:rPr>
            </w:pPr>
            <w:r w:rsidRPr="00445472">
              <w:rPr>
                <w:lang w:val="sq-AL"/>
              </w:rPr>
              <w:t>57</w:t>
            </w:r>
          </w:p>
        </w:tc>
        <w:tc>
          <w:tcPr>
            <w:tcW w:w="883" w:type="dxa"/>
            <w:vAlign w:val="center"/>
          </w:tcPr>
          <w:p w14:paraId="330BD168" w14:textId="77777777" w:rsidR="009D7681" w:rsidRPr="00445472" w:rsidRDefault="009D7681" w:rsidP="005C5BDA">
            <w:pPr>
              <w:pStyle w:val="TABELA"/>
              <w:jc w:val="right"/>
              <w:rPr>
                <w:lang w:val="sq-AL"/>
              </w:rPr>
            </w:pPr>
            <w:r w:rsidRPr="00445472">
              <w:rPr>
                <w:lang w:val="sq-AL"/>
              </w:rPr>
              <w:t>100</w:t>
            </w:r>
          </w:p>
        </w:tc>
        <w:tc>
          <w:tcPr>
            <w:tcW w:w="874" w:type="dxa"/>
            <w:vAlign w:val="center"/>
          </w:tcPr>
          <w:p w14:paraId="676D610A" w14:textId="77777777" w:rsidR="009D7681" w:rsidRPr="00445472" w:rsidRDefault="009D7681" w:rsidP="005C5BDA">
            <w:pPr>
              <w:pStyle w:val="TABELA"/>
              <w:jc w:val="right"/>
              <w:rPr>
                <w:lang w:val="sq-AL"/>
              </w:rPr>
            </w:pPr>
            <w:r w:rsidRPr="00445472">
              <w:rPr>
                <w:lang w:val="sq-AL"/>
              </w:rPr>
              <w:t>91</w:t>
            </w:r>
          </w:p>
        </w:tc>
        <w:tc>
          <w:tcPr>
            <w:tcW w:w="881" w:type="dxa"/>
            <w:vAlign w:val="center"/>
          </w:tcPr>
          <w:p w14:paraId="6A30A9CD" w14:textId="77777777" w:rsidR="009D7681" w:rsidRPr="00445472" w:rsidRDefault="009D7681" w:rsidP="005C5BDA">
            <w:pPr>
              <w:pStyle w:val="TABELA"/>
              <w:jc w:val="right"/>
              <w:rPr>
                <w:lang w:val="sq-AL"/>
              </w:rPr>
            </w:pPr>
            <w:r w:rsidRPr="00445472">
              <w:rPr>
                <w:lang w:val="sq-AL"/>
              </w:rPr>
              <w:t>12</w:t>
            </w:r>
          </w:p>
        </w:tc>
        <w:tc>
          <w:tcPr>
            <w:tcW w:w="874" w:type="dxa"/>
            <w:vAlign w:val="center"/>
          </w:tcPr>
          <w:p w14:paraId="67EF1043" w14:textId="77777777" w:rsidR="009D7681" w:rsidRPr="00445472" w:rsidRDefault="009D7681" w:rsidP="005C5BDA">
            <w:pPr>
              <w:pStyle w:val="TABELA"/>
              <w:jc w:val="right"/>
              <w:rPr>
                <w:lang w:val="sq-AL"/>
              </w:rPr>
            </w:pPr>
            <w:r w:rsidRPr="00445472">
              <w:rPr>
                <w:lang w:val="sq-AL"/>
              </w:rPr>
              <w:t>16</w:t>
            </w:r>
          </w:p>
        </w:tc>
      </w:tr>
      <w:tr w:rsidR="009D7681" w:rsidRPr="00445472" w14:paraId="3C43E06B" w14:textId="77777777" w:rsidTr="00B15A6B">
        <w:trPr>
          <w:trHeight w:val="340"/>
        </w:trPr>
        <w:tc>
          <w:tcPr>
            <w:tcW w:w="538" w:type="dxa"/>
            <w:shd w:val="clear" w:color="auto" w:fill="E6E6E6"/>
            <w:vAlign w:val="center"/>
          </w:tcPr>
          <w:p w14:paraId="63528846" w14:textId="77777777" w:rsidR="009D7681" w:rsidRPr="00445472" w:rsidRDefault="009D7681" w:rsidP="005C5BDA">
            <w:pPr>
              <w:pStyle w:val="TABELA"/>
              <w:jc w:val="center"/>
              <w:rPr>
                <w:lang w:val="sq-AL"/>
              </w:rPr>
            </w:pPr>
            <w:r w:rsidRPr="00445472">
              <w:rPr>
                <w:w w:val="99"/>
                <w:lang w:val="sq-AL"/>
              </w:rPr>
              <w:t>6</w:t>
            </w:r>
          </w:p>
        </w:tc>
        <w:tc>
          <w:tcPr>
            <w:tcW w:w="2264" w:type="dxa"/>
            <w:shd w:val="clear" w:color="auto" w:fill="E6E6E6"/>
            <w:vAlign w:val="center"/>
          </w:tcPr>
          <w:p w14:paraId="7042E3AE" w14:textId="77777777" w:rsidR="009D7681" w:rsidRPr="00445472" w:rsidRDefault="009D7681" w:rsidP="008958D5">
            <w:pPr>
              <w:pStyle w:val="TABELA"/>
              <w:rPr>
                <w:lang w:val="sq-AL"/>
              </w:rPr>
            </w:pPr>
            <w:r w:rsidRPr="00445472">
              <w:rPr>
                <w:lang w:val="sq-AL"/>
              </w:rPr>
              <w:t>Lokali Dolce Vita</w:t>
            </w:r>
          </w:p>
        </w:tc>
        <w:tc>
          <w:tcPr>
            <w:tcW w:w="883" w:type="dxa"/>
            <w:shd w:val="clear" w:color="auto" w:fill="E6E6E6"/>
            <w:vAlign w:val="center"/>
          </w:tcPr>
          <w:p w14:paraId="51258CE3" w14:textId="77777777" w:rsidR="009D7681" w:rsidRPr="00445472" w:rsidRDefault="009D7681" w:rsidP="005C5BDA">
            <w:pPr>
              <w:pStyle w:val="TABELA"/>
              <w:jc w:val="right"/>
              <w:rPr>
                <w:lang w:val="sq-AL"/>
              </w:rPr>
            </w:pPr>
            <w:r w:rsidRPr="00445472">
              <w:rPr>
                <w:lang w:val="sq-AL"/>
              </w:rPr>
              <w:t>87</w:t>
            </w:r>
          </w:p>
        </w:tc>
        <w:tc>
          <w:tcPr>
            <w:tcW w:w="871" w:type="dxa"/>
            <w:shd w:val="clear" w:color="auto" w:fill="E6E6E6"/>
            <w:vAlign w:val="center"/>
          </w:tcPr>
          <w:p w14:paraId="289AB1EA" w14:textId="77777777" w:rsidR="009D7681" w:rsidRPr="00445472" w:rsidRDefault="009D7681" w:rsidP="005C5BDA">
            <w:pPr>
              <w:pStyle w:val="TABELA"/>
              <w:jc w:val="right"/>
              <w:rPr>
                <w:lang w:val="sq-AL"/>
              </w:rPr>
            </w:pPr>
            <w:r w:rsidRPr="00445472">
              <w:rPr>
                <w:lang w:val="sq-AL"/>
              </w:rPr>
              <w:t>53</w:t>
            </w:r>
          </w:p>
        </w:tc>
        <w:tc>
          <w:tcPr>
            <w:tcW w:w="884" w:type="dxa"/>
            <w:shd w:val="clear" w:color="auto" w:fill="E6E6E6"/>
            <w:vAlign w:val="center"/>
          </w:tcPr>
          <w:p w14:paraId="51A8227E" w14:textId="77777777" w:rsidR="009D7681" w:rsidRPr="00445472" w:rsidRDefault="009D7681" w:rsidP="005C5BDA">
            <w:pPr>
              <w:pStyle w:val="TABELA"/>
              <w:jc w:val="right"/>
              <w:rPr>
                <w:lang w:val="sq-AL"/>
              </w:rPr>
            </w:pPr>
            <w:r w:rsidRPr="00445472">
              <w:rPr>
                <w:lang w:val="sq-AL"/>
              </w:rPr>
              <w:t>38</w:t>
            </w:r>
          </w:p>
        </w:tc>
        <w:tc>
          <w:tcPr>
            <w:tcW w:w="871" w:type="dxa"/>
            <w:shd w:val="clear" w:color="auto" w:fill="E6E6E6"/>
            <w:vAlign w:val="center"/>
          </w:tcPr>
          <w:p w14:paraId="3A40165D" w14:textId="77777777" w:rsidR="009D7681" w:rsidRPr="00445472" w:rsidRDefault="009D7681" w:rsidP="005C5BDA">
            <w:pPr>
              <w:pStyle w:val="TABELA"/>
              <w:jc w:val="right"/>
              <w:rPr>
                <w:lang w:val="sq-AL"/>
              </w:rPr>
            </w:pPr>
            <w:r w:rsidRPr="00445472">
              <w:rPr>
                <w:lang w:val="sq-AL"/>
              </w:rPr>
              <w:t>16</w:t>
            </w:r>
          </w:p>
        </w:tc>
        <w:tc>
          <w:tcPr>
            <w:tcW w:w="883" w:type="dxa"/>
            <w:shd w:val="clear" w:color="auto" w:fill="E6E6E6"/>
            <w:vAlign w:val="center"/>
          </w:tcPr>
          <w:p w14:paraId="47A6B86A" w14:textId="77777777" w:rsidR="009D7681" w:rsidRPr="00445472" w:rsidRDefault="009D7681" w:rsidP="005C5BDA">
            <w:pPr>
              <w:pStyle w:val="TABELA"/>
              <w:jc w:val="right"/>
              <w:rPr>
                <w:lang w:val="sq-AL"/>
              </w:rPr>
            </w:pPr>
            <w:r w:rsidRPr="00445472">
              <w:rPr>
                <w:lang w:val="sq-AL"/>
              </w:rPr>
              <w:t>166</w:t>
            </w:r>
          </w:p>
        </w:tc>
        <w:tc>
          <w:tcPr>
            <w:tcW w:w="874" w:type="dxa"/>
            <w:shd w:val="clear" w:color="auto" w:fill="E6E6E6"/>
            <w:vAlign w:val="center"/>
          </w:tcPr>
          <w:p w14:paraId="61FD910C" w14:textId="77777777" w:rsidR="009D7681" w:rsidRPr="00445472" w:rsidRDefault="009D7681" w:rsidP="005C5BDA">
            <w:pPr>
              <w:pStyle w:val="TABELA"/>
              <w:jc w:val="right"/>
              <w:rPr>
                <w:lang w:val="sq-AL"/>
              </w:rPr>
            </w:pPr>
            <w:r w:rsidRPr="00445472">
              <w:rPr>
                <w:lang w:val="sq-AL"/>
              </w:rPr>
              <w:t>159</w:t>
            </w:r>
          </w:p>
        </w:tc>
        <w:tc>
          <w:tcPr>
            <w:tcW w:w="881" w:type="dxa"/>
            <w:shd w:val="clear" w:color="auto" w:fill="E6E6E6"/>
            <w:vAlign w:val="center"/>
          </w:tcPr>
          <w:p w14:paraId="57B271B1" w14:textId="77777777" w:rsidR="009D7681" w:rsidRPr="00445472" w:rsidRDefault="009D7681" w:rsidP="005C5BDA">
            <w:pPr>
              <w:pStyle w:val="TABELA"/>
              <w:jc w:val="right"/>
              <w:rPr>
                <w:lang w:val="sq-AL"/>
              </w:rPr>
            </w:pPr>
            <w:r w:rsidRPr="00445472">
              <w:rPr>
                <w:lang w:val="sq-AL"/>
              </w:rPr>
              <w:t>13</w:t>
            </w:r>
          </w:p>
        </w:tc>
        <w:tc>
          <w:tcPr>
            <w:tcW w:w="874" w:type="dxa"/>
            <w:shd w:val="clear" w:color="auto" w:fill="E6E6E6"/>
            <w:vAlign w:val="center"/>
          </w:tcPr>
          <w:p w14:paraId="73C08890" w14:textId="77777777" w:rsidR="009D7681" w:rsidRPr="00445472" w:rsidRDefault="009D7681" w:rsidP="005C5BDA">
            <w:pPr>
              <w:pStyle w:val="TABELA"/>
              <w:jc w:val="right"/>
              <w:rPr>
                <w:lang w:val="sq-AL"/>
              </w:rPr>
            </w:pPr>
            <w:r w:rsidRPr="00445472">
              <w:rPr>
                <w:lang w:val="sq-AL"/>
              </w:rPr>
              <w:t>25</w:t>
            </w:r>
          </w:p>
        </w:tc>
      </w:tr>
      <w:tr w:rsidR="009D7681" w:rsidRPr="00445472" w14:paraId="247C0075" w14:textId="77777777" w:rsidTr="00B15A6B">
        <w:trPr>
          <w:trHeight w:val="340"/>
        </w:trPr>
        <w:tc>
          <w:tcPr>
            <w:tcW w:w="538" w:type="dxa"/>
            <w:vAlign w:val="center"/>
          </w:tcPr>
          <w:p w14:paraId="13053620" w14:textId="77777777" w:rsidR="009D7681" w:rsidRPr="00445472" w:rsidRDefault="009D7681" w:rsidP="005C5BDA">
            <w:pPr>
              <w:pStyle w:val="TABELA"/>
              <w:jc w:val="center"/>
              <w:rPr>
                <w:lang w:val="sq-AL"/>
              </w:rPr>
            </w:pPr>
            <w:r w:rsidRPr="00445472">
              <w:rPr>
                <w:w w:val="99"/>
                <w:lang w:val="sq-AL"/>
              </w:rPr>
              <w:t>7</w:t>
            </w:r>
          </w:p>
        </w:tc>
        <w:tc>
          <w:tcPr>
            <w:tcW w:w="2264" w:type="dxa"/>
            <w:vAlign w:val="center"/>
          </w:tcPr>
          <w:p w14:paraId="49FA2784" w14:textId="77777777" w:rsidR="009D7681" w:rsidRPr="00445472" w:rsidRDefault="009D7681" w:rsidP="008958D5">
            <w:pPr>
              <w:pStyle w:val="TABELA"/>
              <w:rPr>
                <w:lang w:val="sq-AL"/>
              </w:rPr>
            </w:pPr>
            <w:r w:rsidRPr="00445472">
              <w:rPr>
                <w:lang w:val="sq-AL"/>
              </w:rPr>
              <w:t>Para lagunës së Vilunit</w:t>
            </w:r>
          </w:p>
        </w:tc>
        <w:tc>
          <w:tcPr>
            <w:tcW w:w="883" w:type="dxa"/>
            <w:vAlign w:val="center"/>
          </w:tcPr>
          <w:p w14:paraId="1CCACE25" w14:textId="77777777" w:rsidR="009D7681" w:rsidRPr="00445472" w:rsidRDefault="009D7681" w:rsidP="005C5BDA">
            <w:pPr>
              <w:pStyle w:val="TABELA"/>
              <w:jc w:val="right"/>
              <w:rPr>
                <w:lang w:val="sq-AL"/>
              </w:rPr>
            </w:pPr>
            <w:r w:rsidRPr="00445472">
              <w:rPr>
                <w:lang w:val="sq-AL"/>
              </w:rPr>
              <w:t>49</w:t>
            </w:r>
          </w:p>
        </w:tc>
        <w:tc>
          <w:tcPr>
            <w:tcW w:w="871" w:type="dxa"/>
            <w:vAlign w:val="center"/>
          </w:tcPr>
          <w:p w14:paraId="2B531717" w14:textId="77777777" w:rsidR="009D7681" w:rsidRPr="00445472" w:rsidRDefault="009D7681" w:rsidP="005C5BDA">
            <w:pPr>
              <w:pStyle w:val="TABELA"/>
              <w:jc w:val="right"/>
              <w:rPr>
                <w:lang w:val="sq-AL"/>
              </w:rPr>
            </w:pPr>
            <w:r w:rsidRPr="00445472">
              <w:rPr>
                <w:w w:val="99"/>
                <w:lang w:val="sq-AL"/>
              </w:rPr>
              <w:t>7</w:t>
            </w:r>
          </w:p>
        </w:tc>
        <w:tc>
          <w:tcPr>
            <w:tcW w:w="884" w:type="dxa"/>
            <w:vAlign w:val="center"/>
          </w:tcPr>
          <w:p w14:paraId="2DA9A94B" w14:textId="77777777" w:rsidR="009D7681" w:rsidRPr="00445472" w:rsidRDefault="009D7681" w:rsidP="005C5BDA">
            <w:pPr>
              <w:pStyle w:val="TABELA"/>
              <w:jc w:val="right"/>
              <w:rPr>
                <w:lang w:val="sq-AL"/>
              </w:rPr>
            </w:pPr>
            <w:r w:rsidRPr="00445472">
              <w:rPr>
                <w:lang w:val="sq-AL"/>
              </w:rPr>
              <w:t>16</w:t>
            </w:r>
          </w:p>
        </w:tc>
        <w:tc>
          <w:tcPr>
            <w:tcW w:w="871" w:type="dxa"/>
            <w:vAlign w:val="center"/>
          </w:tcPr>
          <w:p w14:paraId="60D07737" w14:textId="77777777" w:rsidR="009D7681" w:rsidRPr="00445472" w:rsidRDefault="009D7681" w:rsidP="005C5BDA">
            <w:pPr>
              <w:pStyle w:val="TABELA"/>
              <w:jc w:val="right"/>
              <w:rPr>
                <w:lang w:val="sq-AL"/>
              </w:rPr>
            </w:pPr>
            <w:r w:rsidRPr="00445472">
              <w:rPr>
                <w:lang w:val="sq-AL"/>
              </w:rPr>
              <w:t>40</w:t>
            </w:r>
          </w:p>
        </w:tc>
        <w:tc>
          <w:tcPr>
            <w:tcW w:w="883" w:type="dxa"/>
            <w:vAlign w:val="center"/>
          </w:tcPr>
          <w:p w14:paraId="387A5212" w14:textId="77777777" w:rsidR="009D7681" w:rsidRPr="00445472" w:rsidRDefault="009D7681" w:rsidP="005C5BDA">
            <w:pPr>
              <w:pStyle w:val="TABELA"/>
              <w:jc w:val="right"/>
              <w:rPr>
                <w:lang w:val="sq-AL"/>
              </w:rPr>
            </w:pPr>
            <w:r w:rsidRPr="00445472">
              <w:rPr>
                <w:lang w:val="sq-AL"/>
              </w:rPr>
              <w:t>59</w:t>
            </w:r>
          </w:p>
        </w:tc>
        <w:tc>
          <w:tcPr>
            <w:tcW w:w="874" w:type="dxa"/>
            <w:vAlign w:val="center"/>
          </w:tcPr>
          <w:p w14:paraId="47AB5541" w14:textId="77777777" w:rsidR="009D7681" w:rsidRPr="00445472" w:rsidRDefault="009D7681" w:rsidP="005C5BDA">
            <w:pPr>
              <w:pStyle w:val="TABELA"/>
              <w:jc w:val="right"/>
              <w:rPr>
                <w:lang w:val="sq-AL"/>
              </w:rPr>
            </w:pPr>
            <w:r w:rsidRPr="00445472">
              <w:rPr>
                <w:lang w:val="sq-AL"/>
              </w:rPr>
              <w:t>54</w:t>
            </w:r>
          </w:p>
        </w:tc>
        <w:tc>
          <w:tcPr>
            <w:tcW w:w="881" w:type="dxa"/>
            <w:vAlign w:val="center"/>
          </w:tcPr>
          <w:p w14:paraId="12F27ADA" w14:textId="77777777" w:rsidR="009D7681" w:rsidRPr="00445472" w:rsidRDefault="009D7681" w:rsidP="005C5BDA">
            <w:pPr>
              <w:pStyle w:val="TABELA"/>
              <w:jc w:val="right"/>
              <w:rPr>
                <w:lang w:val="sq-AL"/>
              </w:rPr>
            </w:pPr>
            <w:r w:rsidRPr="00445472">
              <w:rPr>
                <w:w w:val="99"/>
                <w:lang w:val="sq-AL"/>
              </w:rPr>
              <w:t>4</w:t>
            </w:r>
          </w:p>
        </w:tc>
        <w:tc>
          <w:tcPr>
            <w:tcW w:w="874" w:type="dxa"/>
            <w:vAlign w:val="center"/>
          </w:tcPr>
          <w:p w14:paraId="7B5FC7AC" w14:textId="77777777" w:rsidR="009D7681" w:rsidRPr="00445472" w:rsidRDefault="009D7681" w:rsidP="005C5BDA">
            <w:pPr>
              <w:pStyle w:val="TABELA"/>
              <w:jc w:val="right"/>
              <w:rPr>
                <w:lang w:val="sq-AL"/>
              </w:rPr>
            </w:pPr>
            <w:r w:rsidRPr="00445472">
              <w:rPr>
                <w:lang w:val="sq-AL"/>
              </w:rPr>
              <w:t>15</w:t>
            </w:r>
          </w:p>
        </w:tc>
      </w:tr>
    </w:tbl>
    <w:p w14:paraId="442A3C6E" w14:textId="77777777" w:rsidR="009D7681" w:rsidRPr="00445472" w:rsidRDefault="009D7681" w:rsidP="009D7681">
      <w:pPr>
        <w:pStyle w:val="TEKSTIIII"/>
      </w:pPr>
    </w:p>
    <w:p w14:paraId="235D1D15" w14:textId="77777777" w:rsidR="009D7681" w:rsidRPr="00445472" w:rsidRDefault="009D7681" w:rsidP="008958D5">
      <w:pPr>
        <w:pStyle w:val="NENTITULL"/>
      </w:pPr>
      <w:r w:rsidRPr="00445472">
        <w:t>Tabela 7.4:  Monitorimi mikrobiologjik në plazhin e Shëngjin</w:t>
      </w:r>
      <w:r w:rsidRPr="00445472">
        <w:rPr>
          <w:rStyle w:val="FootnoteReference"/>
          <w:rFonts w:ascii="Garamond" w:hAnsi="Garamond"/>
          <w:b w:val="0"/>
          <w:color w:val="auto"/>
        </w:rPr>
        <w:footnoteReference w:id="134"/>
      </w:r>
    </w:p>
    <w:tbl>
      <w:tblPr>
        <w:tblpPr w:leftFromText="180" w:rightFromText="180" w:vertAnchor="text" w:horzAnchor="page" w:tblpXSpec="center" w:tblpY="257"/>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511"/>
        <w:gridCol w:w="1908"/>
        <w:gridCol w:w="837"/>
        <w:gridCol w:w="828"/>
        <w:gridCol w:w="839"/>
        <w:gridCol w:w="826"/>
        <w:gridCol w:w="837"/>
        <w:gridCol w:w="830"/>
        <w:gridCol w:w="835"/>
        <w:gridCol w:w="830"/>
      </w:tblGrid>
      <w:tr w:rsidR="009D7681" w:rsidRPr="00445472" w14:paraId="4D7DC712" w14:textId="77777777" w:rsidTr="008958D5">
        <w:trPr>
          <w:trHeight w:val="340"/>
        </w:trPr>
        <w:tc>
          <w:tcPr>
            <w:tcW w:w="281" w:type="pct"/>
            <w:vMerge w:val="restart"/>
            <w:shd w:val="clear" w:color="auto" w:fill="D4D4D4"/>
            <w:vAlign w:val="center"/>
          </w:tcPr>
          <w:p w14:paraId="46316F4B" w14:textId="77777777" w:rsidR="009D7681" w:rsidRPr="00445472" w:rsidRDefault="009D7681" w:rsidP="008958D5">
            <w:pPr>
              <w:pStyle w:val="TABELA"/>
              <w:jc w:val="center"/>
              <w:rPr>
                <w:b/>
                <w:lang w:val="sq-AL"/>
              </w:rPr>
            </w:pPr>
          </w:p>
          <w:p w14:paraId="718760B7" w14:textId="77777777" w:rsidR="009D7681" w:rsidRPr="00445472" w:rsidRDefault="009D7681" w:rsidP="008958D5">
            <w:pPr>
              <w:pStyle w:val="TABELA"/>
              <w:jc w:val="center"/>
              <w:rPr>
                <w:b/>
                <w:lang w:val="sq-AL"/>
              </w:rPr>
            </w:pPr>
          </w:p>
          <w:p w14:paraId="71964FD4" w14:textId="77777777" w:rsidR="009D7681" w:rsidRPr="00445472" w:rsidRDefault="009D7681" w:rsidP="008958D5">
            <w:pPr>
              <w:pStyle w:val="TABELA"/>
              <w:jc w:val="center"/>
              <w:rPr>
                <w:b/>
                <w:lang w:val="sq-AL"/>
              </w:rPr>
            </w:pPr>
            <w:r w:rsidRPr="00445472">
              <w:rPr>
                <w:b/>
                <w:lang w:val="sq-AL"/>
              </w:rPr>
              <w:t>Nr.</w:t>
            </w:r>
          </w:p>
        </w:tc>
        <w:tc>
          <w:tcPr>
            <w:tcW w:w="1050" w:type="pct"/>
            <w:vMerge w:val="restart"/>
            <w:shd w:val="clear" w:color="auto" w:fill="D4D4D4"/>
            <w:vAlign w:val="center"/>
          </w:tcPr>
          <w:p w14:paraId="2E8161E4" w14:textId="77777777" w:rsidR="009D7681" w:rsidRPr="00445472" w:rsidRDefault="009D7681" w:rsidP="008958D5">
            <w:pPr>
              <w:pStyle w:val="TABELA"/>
              <w:jc w:val="center"/>
              <w:rPr>
                <w:b/>
                <w:lang w:val="sq-AL"/>
              </w:rPr>
            </w:pPr>
          </w:p>
          <w:p w14:paraId="349534A1" w14:textId="77777777" w:rsidR="009D7681" w:rsidRPr="00445472" w:rsidRDefault="009D7681" w:rsidP="008958D5">
            <w:pPr>
              <w:pStyle w:val="TABELA"/>
              <w:jc w:val="center"/>
              <w:rPr>
                <w:b/>
                <w:lang w:val="sq-AL"/>
              </w:rPr>
            </w:pPr>
          </w:p>
          <w:p w14:paraId="5B10E54B" w14:textId="77777777" w:rsidR="009D7681" w:rsidRPr="00445472" w:rsidRDefault="009D7681" w:rsidP="008958D5">
            <w:pPr>
              <w:pStyle w:val="TABELA"/>
              <w:jc w:val="center"/>
              <w:rPr>
                <w:b/>
                <w:lang w:val="sq-AL"/>
              </w:rPr>
            </w:pPr>
            <w:r w:rsidRPr="00445472">
              <w:rPr>
                <w:b/>
                <w:lang w:val="sq-AL"/>
              </w:rPr>
              <w:t>Plazhet</w:t>
            </w:r>
          </w:p>
        </w:tc>
        <w:tc>
          <w:tcPr>
            <w:tcW w:w="917" w:type="pct"/>
            <w:gridSpan w:val="2"/>
            <w:shd w:val="clear" w:color="auto" w:fill="D4D4D4"/>
            <w:vAlign w:val="center"/>
          </w:tcPr>
          <w:p w14:paraId="32396229" w14:textId="77777777" w:rsidR="009D7681" w:rsidRPr="00445472" w:rsidRDefault="009D7681" w:rsidP="008958D5">
            <w:pPr>
              <w:pStyle w:val="TABELA"/>
              <w:jc w:val="center"/>
              <w:rPr>
                <w:b/>
                <w:lang w:val="sq-AL"/>
              </w:rPr>
            </w:pPr>
            <w:r w:rsidRPr="00445472">
              <w:rPr>
                <w:b/>
                <w:lang w:val="sq-AL"/>
              </w:rPr>
              <w:t>2012</w:t>
            </w:r>
          </w:p>
        </w:tc>
        <w:tc>
          <w:tcPr>
            <w:tcW w:w="917" w:type="pct"/>
            <w:gridSpan w:val="2"/>
            <w:shd w:val="clear" w:color="auto" w:fill="D4D4D4"/>
            <w:vAlign w:val="center"/>
          </w:tcPr>
          <w:p w14:paraId="5E7798A8" w14:textId="77777777" w:rsidR="009D7681" w:rsidRPr="00445472" w:rsidRDefault="009D7681" w:rsidP="008958D5">
            <w:pPr>
              <w:pStyle w:val="TABELA"/>
              <w:jc w:val="center"/>
              <w:rPr>
                <w:b/>
                <w:lang w:val="sq-AL"/>
              </w:rPr>
            </w:pPr>
            <w:r w:rsidRPr="00445472">
              <w:rPr>
                <w:b/>
                <w:lang w:val="sq-AL"/>
              </w:rPr>
              <w:t>2013</w:t>
            </w:r>
          </w:p>
        </w:tc>
        <w:tc>
          <w:tcPr>
            <w:tcW w:w="918" w:type="pct"/>
            <w:gridSpan w:val="2"/>
            <w:shd w:val="clear" w:color="auto" w:fill="D4D4D4"/>
            <w:vAlign w:val="center"/>
          </w:tcPr>
          <w:p w14:paraId="2D285619" w14:textId="77777777" w:rsidR="009D7681" w:rsidRPr="00445472" w:rsidRDefault="009D7681" w:rsidP="008958D5">
            <w:pPr>
              <w:pStyle w:val="TABELA"/>
              <w:jc w:val="center"/>
              <w:rPr>
                <w:b/>
                <w:lang w:val="sq-AL"/>
              </w:rPr>
            </w:pPr>
            <w:r w:rsidRPr="00445472">
              <w:rPr>
                <w:b/>
                <w:lang w:val="sq-AL"/>
              </w:rPr>
              <w:t>2014</w:t>
            </w:r>
          </w:p>
        </w:tc>
        <w:tc>
          <w:tcPr>
            <w:tcW w:w="917" w:type="pct"/>
            <w:gridSpan w:val="2"/>
            <w:shd w:val="clear" w:color="auto" w:fill="D4D4D4"/>
            <w:vAlign w:val="center"/>
          </w:tcPr>
          <w:p w14:paraId="7F7BDA97" w14:textId="77777777" w:rsidR="009D7681" w:rsidRPr="00445472" w:rsidRDefault="009D7681" w:rsidP="008958D5">
            <w:pPr>
              <w:pStyle w:val="TABELA"/>
              <w:jc w:val="center"/>
              <w:rPr>
                <w:b/>
                <w:lang w:val="sq-AL"/>
              </w:rPr>
            </w:pPr>
            <w:r w:rsidRPr="00445472">
              <w:rPr>
                <w:b/>
                <w:lang w:val="sq-AL"/>
              </w:rPr>
              <w:t>2015</w:t>
            </w:r>
          </w:p>
        </w:tc>
      </w:tr>
      <w:tr w:rsidR="009D7681" w:rsidRPr="00445472" w14:paraId="34241BDA" w14:textId="77777777" w:rsidTr="008958D5">
        <w:trPr>
          <w:trHeight w:val="340"/>
        </w:trPr>
        <w:tc>
          <w:tcPr>
            <w:tcW w:w="281" w:type="pct"/>
            <w:vMerge/>
            <w:tcBorders>
              <w:top w:val="single" w:sz="4" w:space="0" w:color="27B0AF"/>
            </w:tcBorders>
            <w:shd w:val="clear" w:color="auto" w:fill="D4D4D4"/>
            <w:vAlign w:val="center"/>
          </w:tcPr>
          <w:p w14:paraId="6D4ACCE3" w14:textId="77777777" w:rsidR="009D7681" w:rsidRPr="00445472" w:rsidRDefault="009D7681" w:rsidP="008958D5">
            <w:pPr>
              <w:pStyle w:val="TABELA"/>
              <w:jc w:val="center"/>
              <w:rPr>
                <w:b/>
                <w:lang w:val="sq-AL"/>
              </w:rPr>
            </w:pPr>
          </w:p>
        </w:tc>
        <w:tc>
          <w:tcPr>
            <w:tcW w:w="1050" w:type="pct"/>
            <w:vMerge/>
            <w:tcBorders>
              <w:top w:val="single" w:sz="4" w:space="0" w:color="27B0AF"/>
            </w:tcBorders>
            <w:shd w:val="clear" w:color="auto" w:fill="D4D4D4"/>
            <w:vAlign w:val="center"/>
          </w:tcPr>
          <w:p w14:paraId="69A30803" w14:textId="77777777" w:rsidR="009D7681" w:rsidRPr="00445472" w:rsidRDefault="009D7681" w:rsidP="008958D5">
            <w:pPr>
              <w:pStyle w:val="TABELA"/>
              <w:jc w:val="center"/>
              <w:rPr>
                <w:b/>
                <w:lang w:val="sq-AL"/>
              </w:rPr>
            </w:pPr>
          </w:p>
        </w:tc>
        <w:tc>
          <w:tcPr>
            <w:tcW w:w="3669" w:type="pct"/>
            <w:gridSpan w:val="8"/>
            <w:tcBorders>
              <w:top w:val="single" w:sz="4" w:space="0" w:color="27B0AF"/>
            </w:tcBorders>
            <w:shd w:val="clear" w:color="auto" w:fill="D4D4D4"/>
            <w:vAlign w:val="center"/>
          </w:tcPr>
          <w:p w14:paraId="2E775C7E" w14:textId="77777777" w:rsidR="009D7681" w:rsidRPr="00445472" w:rsidRDefault="009D7681" w:rsidP="008958D5">
            <w:pPr>
              <w:pStyle w:val="TABELA"/>
              <w:jc w:val="center"/>
              <w:rPr>
                <w:b/>
                <w:lang w:val="sq-AL"/>
              </w:rPr>
            </w:pPr>
            <w:r w:rsidRPr="00445472">
              <w:rPr>
                <w:b/>
                <w:lang w:val="sq-AL"/>
              </w:rPr>
              <w:t>Përqendrimi (për 100 ml)</w:t>
            </w:r>
          </w:p>
        </w:tc>
      </w:tr>
      <w:tr w:rsidR="009D7681" w:rsidRPr="00445472" w14:paraId="6582F227" w14:textId="77777777" w:rsidTr="008958D5">
        <w:trPr>
          <w:trHeight w:val="340"/>
        </w:trPr>
        <w:tc>
          <w:tcPr>
            <w:tcW w:w="281" w:type="pct"/>
            <w:vMerge/>
            <w:tcBorders>
              <w:top w:val="single" w:sz="4" w:space="0" w:color="27B0AF"/>
              <w:bottom w:val="single" w:sz="4" w:space="0" w:color="27B0AF"/>
            </w:tcBorders>
            <w:shd w:val="clear" w:color="auto" w:fill="D4D4D4"/>
            <w:vAlign w:val="center"/>
          </w:tcPr>
          <w:p w14:paraId="684D3802" w14:textId="77777777" w:rsidR="009D7681" w:rsidRPr="00445472" w:rsidRDefault="009D7681" w:rsidP="008958D5">
            <w:pPr>
              <w:pStyle w:val="TABELA"/>
              <w:jc w:val="center"/>
              <w:rPr>
                <w:b/>
                <w:lang w:val="sq-AL"/>
              </w:rPr>
            </w:pPr>
          </w:p>
        </w:tc>
        <w:tc>
          <w:tcPr>
            <w:tcW w:w="1050" w:type="pct"/>
            <w:vMerge/>
            <w:tcBorders>
              <w:top w:val="single" w:sz="4" w:space="0" w:color="27B0AF"/>
              <w:bottom w:val="single" w:sz="4" w:space="0" w:color="27B0AF"/>
            </w:tcBorders>
            <w:shd w:val="clear" w:color="auto" w:fill="D4D4D4"/>
            <w:vAlign w:val="center"/>
          </w:tcPr>
          <w:p w14:paraId="756A9F4E" w14:textId="77777777" w:rsidR="009D7681" w:rsidRPr="00445472" w:rsidRDefault="009D7681" w:rsidP="008958D5">
            <w:pPr>
              <w:pStyle w:val="TABELA"/>
              <w:jc w:val="center"/>
              <w:rPr>
                <w:b/>
                <w:lang w:val="sq-AL"/>
              </w:rPr>
            </w:pPr>
          </w:p>
        </w:tc>
        <w:tc>
          <w:tcPr>
            <w:tcW w:w="461" w:type="pct"/>
            <w:tcBorders>
              <w:top w:val="single" w:sz="4" w:space="0" w:color="27B0AF"/>
              <w:bottom w:val="single" w:sz="4" w:space="0" w:color="27B0AF"/>
            </w:tcBorders>
            <w:shd w:val="clear" w:color="auto" w:fill="D4D4D4"/>
            <w:vAlign w:val="center"/>
          </w:tcPr>
          <w:p w14:paraId="166E79D6" w14:textId="77777777" w:rsidR="009D7681" w:rsidRPr="00445472" w:rsidRDefault="009D7681" w:rsidP="008958D5">
            <w:pPr>
              <w:pStyle w:val="TABELA"/>
              <w:jc w:val="center"/>
              <w:rPr>
                <w:b/>
                <w:lang w:val="sq-AL"/>
              </w:rPr>
            </w:pPr>
            <w:r w:rsidRPr="00445472">
              <w:rPr>
                <w:b/>
                <w:lang w:val="sq-AL"/>
              </w:rPr>
              <w:t>IC-90%</w:t>
            </w:r>
          </w:p>
        </w:tc>
        <w:tc>
          <w:tcPr>
            <w:tcW w:w="455" w:type="pct"/>
            <w:tcBorders>
              <w:top w:val="single" w:sz="4" w:space="0" w:color="27B0AF"/>
              <w:bottom w:val="single" w:sz="4" w:space="0" w:color="27B0AF"/>
            </w:tcBorders>
            <w:shd w:val="clear" w:color="auto" w:fill="D4D4D4"/>
            <w:vAlign w:val="center"/>
          </w:tcPr>
          <w:p w14:paraId="2744BC05" w14:textId="77777777" w:rsidR="009D7681" w:rsidRPr="00445472" w:rsidRDefault="009D7681" w:rsidP="008958D5">
            <w:pPr>
              <w:pStyle w:val="TABELA"/>
              <w:jc w:val="center"/>
              <w:rPr>
                <w:b/>
                <w:lang w:val="sq-AL"/>
              </w:rPr>
            </w:pPr>
            <w:r w:rsidRPr="00445472">
              <w:rPr>
                <w:b/>
                <w:lang w:val="sq-AL"/>
              </w:rPr>
              <w:t>EI-95%</w:t>
            </w:r>
          </w:p>
        </w:tc>
        <w:tc>
          <w:tcPr>
            <w:tcW w:w="462" w:type="pct"/>
            <w:tcBorders>
              <w:top w:val="single" w:sz="4" w:space="0" w:color="27B0AF"/>
              <w:bottom w:val="single" w:sz="4" w:space="0" w:color="27B0AF"/>
            </w:tcBorders>
            <w:shd w:val="clear" w:color="auto" w:fill="D4D4D4"/>
            <w:vAlign w:val="center"/>
          </w:tcPr>
          <w:p w14:paraId="12EDC4EA" w14:textId="77777777" w:rsidR="009D7681" w:rsidRPr="00445472" w:rsidRDefault="009D7681" w:rsidP="008958D5">
            <w:pPr>
              <w:pStyle w:val="TABELA"/>
              <w:jc w:val="center"/>
              <w:rPr>
                <w:b/>
                <w:lang w:val="sq-AL"/>
              </w:rPr>
            </w:pPr>
            <w:r w:rsidRPr="00445472">
              <w:rPr>
                <w:b/>
                <w:lang w:val="sq-AL"/>
              </w:rPr>
              <w:t>IC-90%</w:t>
            </w:r>
          </w:p>
        </w:tc>
        <w:tc>
          <w:tcPr>
            <w:tcW w:w="455" w:type="pct"/>
            <w:tcBorders>
              <w:top w:val="single" w:sz="4" w:space="0" w:color="27B0AF"/>
              <w:bottom w:val="single" w:sz="4" w:space="0" w:color="27B0AF"/>
            </w:tcBorders>
            <w:shd w:val="clear" w:color="auto" w:fill="D4D4D4"/>
            <w:vAlign w:val="center"/>
          </w:tcPr>
          <w:p w14:paraId="46A80838" w14:textId="77777777" w:rsidR="009D7681" w:rsidRPr="00445472" w:rsidRDefault="009D7681" w:rsidP="008958D5">
            <w:pPr>
              <w:pStyle w:val="TABELA"/>
              <w:jc w:val="center"/>
              <w:rPr>
                <w:b/>
                <w:lang w:val="sq-AL"/>
              </w:rPr>
            </w:pPr>
            <w:r w:rsidRPr="00445472">
              <w:rPr>
                <w:b/>
                <w:lang w:val="sq-AL"/>
              </w:rPr>
              <w:t>EI-95%</w:t>
            </w:r>
          </w:p>
        </w:tc>
        <w:tc>
          <w:tcPr>
            <w:tcW w:w="461" w:type="pct"/>
            <w:tcBorders>
              <w:top w:val="single" w:sz="4" w:space="0" w:color="27B0AF"/>
              <w:bottom w:val="single" w:sz="4" w:space="0" w:color="27B0AF"/>
            </w:tcBorders>
            <w:shd w:val="clear" w:color="auto" w:fill="D4D4D4"/>
            <w:vAlign w:val="center"/>
          </w:tcPr>
          <w:p w14:paraId="37502390" w14:textId="77777777" w:rsidR="009D7681" w:rsidRPr="00445472" w:rsidRDefault="009D7681" w:rsidP="008958D5">
            <w:pPr>
              <w:pStyle w:val="TABELA"/>
              <w:jc w:val="center"/>
              <w:rPr>
                <w:b/>
                <w:lang w:val="sq-AL"/>
              </w:rPr>
            </w:pPr>
            <w:r w:rsidRPr="00445472">
              <w:rPr>
                <w:b/>
                <w:lang w:val="sq-AL"/>
              </w:rPr>
              <w:t>IC-90%</w:t>
            </w:r>
          </w:p>
        </w:tc>
        <w:tc>
          <w:tcPr>
            <w:tcW w:w="457" w:type="pct"/>
            <w:tcBorders>
              <w:top w:val="single" w:sz="4" w:space="0" w:color="27B0AF"/>
              <w:bottom w:val="single" w:sz="4" w:space="0" w:color="27B0AF"/>
            </w:tcBorders>
            <w:shd w:val="clear" w:color="auto" w:fill="D4D4D4"/>
            <w:vAlign w:val="center"/>
          </w:tcPr>
          <w:p w14:paraId="18710F46" w14:textId="77777777" w:rsidR="009D7681" w:rsidRPr="00445472" w:rsidRDefault="009D7681" w:rsidP="008958D5">
            <w:pPr>
              <w:pStyle w:val="TABELA"/>
              <w:jc w:val="center"/>
              <w:rPr>
                <w:b/>
                <w:lang w:val="sq-AL"/>
              </w:rPr>
            </w:pPr>
            <w:r w:rsidRPr="00445472">
              <w:rPr>
                <w:b/>
                <w:lang w:val="sq-AL"/>
              </w:rPr>
              <w:t>EI-95%</w:t>
            </w:r>
          </w:p>
        </w:tc>
        <w:tc>
          <w:tcPr>
            <w:tcW w:w="460" w:type="pct"/>
            <w:tcBorders>
              <w:top w:val="single" w:sz="4" w:space="0" w:color="27B0AF"/>
              <w:bottom w:val="single" w:sz="4" w:space="0" w:color="27B0AF"/>
            </w:tcBorders>
            <w:shd w:val="clear" w:color="auto" w:fill="D4D4D4"/>
            <w:vAlign w:val="center"/>
          </w:tcPr>
          <w:p w14:paraId="4463C09A" w14:textId="77777777" w:rsidR="009D7681" w:rsidRPr="00445472" w:rsidRDefault="009D7681" w:rsidP="008958D5">
            <w:pPr>
              <w:pStyle w:val="TABELA"/>
              <w:jc w:val="center"/>
              <w:rPr>
                <w:b/>
                <w:lang w:val="sq-AL"/>
              </w:rPr>
            </w:pPr>
            <w:r w:rsidRPr="00445472">
              <w:rPr>
                <w:b/>
                <w:lang w:val="sq-AL"/>
              </w:rPr>
              <w:t>IC-90%</w:t>
            </w:r>
          </w:p>
        </w:tc>
        <w:tc>
          <w:tcPr>
            <w:tcW w:w="457" w:type="pct"/>
            <w:tcBorders>
              <w:top w:val="single" w:sz="4" w:space="0" w:color="27B0AF"/>
              <w:bottom w:val="single" w:sz="4" w:space="0" w:color="27B0AF"/>
            </w:tcBorders>
            <w:shd w:val="clear" w:color="auto" w:fill="D4D4D4"/>
            <w:vAlign w:val="center"/>
          </w:tcPr>
          <w:p w14:paraId="41E0BB6C" w14:textId="77777777" w:rsidR="009D7681" w:rsidRPr="00445472" w:rsidRDefault="009D7681" w:rsidP="008958D5">
            <w:pPr>
              <w:pStyle w:val="TABELA"/>
              <w:jc w:val="center"/>
              <w:rPr>
                <w:b/>
                <w:lang w:val="sq-AL"/>
              </w:rPr>
            </w:pPr>
            <w:r w:rsidRPr="00445472">
              <w:rPr>
                <w:b/>
                <w:lang w:val="sq-AL"/>
              </w:rPr>
              <w:t>EI-95%</w:t>
            </w:r>
          </w:p>
        </w:tc>
      </w:tr>
      <w:tr w:rsidR="009D7681" w:rsidRPr="00445472" w14:paraId="6D9E48FE" w14:textId="77777777" w:rsidTr="008958D5">
        <w:trPr>
          <w:trHeight w:val="340"/>
        </w:trPr>
        <w:tc>
          <w:tcPr>
            <w:tcW w:w="281" w:type="pct"/>
            <w:tcBorders>
              <w:bottom w:val="single" w:sz="4" w:space="0" w:color="27B0AF"/>
            </w:tcBorders>
            <w:shd w:val="clear" w:color="auto" w:fill="auto"/>
            <w:vAlign w:val="center"/>
          </w:tcPr>
          <w:p w14:paraId="6B90ACCA" w14:textId="77777777" w:rsidR="009D7681" w:rsidRPr="00445472" w:rsidRDefault="009D7681" w:rsidP="005C5BDA">
            <w:pPr>
              <w:pStyle w:val="TABELA"/>
              <w:jc w:val="center"/>
              <w:rPr>
                <w:lang w:val="sq-AL"/>
              </w:rPr>
            </w:pPr>
            <w:r w:rsidRPr="00445472">
              <w:rPr>
                <w:w w:val="99"/>
                <w:lang w:val="sq-AL"/>
              </w:rPr>
              <w:t>1</w:t>
            </w:r>
          </w:p>
        </w:tc>
        <w:tc>
          <w:tcPr>
            <w:tcW w:w="1050" w:type="pct"/>
            <w:tcBorders>
              <w:bottom w:val="single" w:sz="4" w:space="0" w:color="27B0AF"/>
            </w:tcBorders>
            <w:shd w:val="clear" w:color="auto" w:fill="auto"/>
            <w:vAlign w:val="center"/>
          </w:tcPr>
          <w:p w14:paraId="2841AD6E" w14:textId="77777777" w:rsidR="009D7681" w:rsidRPr="00445472" w:rsidRDefault="009D7681" w:rsidP="008958D5">
            <w:pPr>
              <w:pStyle w:val="TABELA"/>
              <w:rPr>
                <w:lang w:val="sq-AL"/>
              </w:rPr>
            </w:pPr>
            <w:r w:rsidRPr="00445472">
              <w:rPr>
                <w:lang w:val="sq-AL"/>
              </w:rPr>
              <w:t>Kabinat e vjetra</w:t>
            </w:r>
          </w:p>
        </w:tc>
        <w:tc>
          <w:tcPr>
            <w:tcW w:w="461" w:type="pct"/>
            <w:tcBorders>
              <w:bottom w:val="single" w:sz="4" w:space="0" w:color="27B0AF"/>
            </w:tcBorders>
            <w:shd w:val="clear" w:color="auto" w:fill="auto"/>
            <w:vAlign w:val="center"/>
          </w:tcPr>
          <w:p w14:paraId="7AA72C19" w14:textId="77777777" w:rsidR="009D7681" w:rsidRPr="00445472" w:rsidRDefault="009D7681" w:rsidP="005C5BDA">
            <w:pPr>
              <w:pStyle w:val="TABELA"/>
              <w:jc w:val="right"/>
              <w:rPr>
                <w:lang w:val="sq-AL"/>
              </w:rPr>
            </w:pPr>
            <w:r w:rsidRPr="00445472">
              <w:rPr>
                <w:lang w:val="sq-AL"/>
              </w:rPr>
              <w:t>34</w:t>
            </w:r>
          </w:p>
        </w:tc>
        <w:tc>
          <w:tcPr>
            <w:tcW w:w="455" w:type="pct"/>
            <w:tcBorders>
              <w:bottom w:val="single" w:sz="4" w:space="0" w:color="27B0AF"/>
            </w:tcBorders>
            <w:shd w:val="clear" w:color="auto" w:fill="auto"/>
            <w:vAlign w:val="center"/>
          </w:tcPr>
          <w:p w14:paraId="7A53C4CC" w14:textId="77777777" w:rsidR="009D7681" w:rsidRPr="00445472" w:rsidRDefault="009D7681" w:rsidP="005C5BDA">
            <w:pPr>
              <w:pStyle w:val="TABELA"/>
              <w:jc w:val="right"/>
              <w:rPr>
                <w:lang w:val="sq-AL"/>
              </w:rPr>
            </w:pPr>
            <w:r w:rsidRPr="00445472">
              <w:rPr>
                <w:lang w:val="sq-AL"/>
              </w:rPr>
              <w:t>20</w:t>
            </w:r>
          </w:p>
        </w:tc>
        <w:tc>
          <w:tcPr>
            <w:tcW w:w="462" w:type="pct"/>
            <w:tcBorders>
              <w:bottom w:val="single" w:sz="4" w:space="0" w:color="27B0AF"/>
            </w:tcBorders>
            <w:shd w:val="clear" w:color="auto" w:fill="auto"/>
            <w:vAlign w:val="center"/>
          </w:tcPr>
          <w:p w14:paraId="7AB1C0EA" w14:textId="77777777" w:rsidR="009D7681" w:rsidRPr="00445472" w:rsidRDefault="009D7681" w:rsidP="005C5BDA">
            <w:pPr>
              <w:pStyle w:val="TABELA"/>
              <w:jc w:val="right"/>
              <w:rPr>
                <w:lang w:val="sq-AL"/>
              </w:rPr>
            </w:pPr>
            <w:r w:rsidRPr="00445472">
              <w:rPr>
                <w:lang w:val="sq-AL"/>
              </w:rPr>
              <w:t>44</w:t>
            </w:r>
          </w:p>
        </w:tc>
        <w:tc>
          <w:tcPr>
            <w:tcW w:w="455" w:type="pct"/>
            <w:tcBorders>
              <w:bottom w:val="single" w:sz="4" w:space="0" w:color="27B0AF"/>
            </w:tcBorders>
            <w:shd w:val="clear" w:color="auto" w:fill="auto"/>
            <w:vAlign w:val="center"/>
          </w:tcPr>
          <w:p w14:paraId="1042C620" w14:textId="77777777" w:rsidR="009D7681" w:rsidRPr="00445472" w:rsidRDefault="009D7681" w:rsidP="005C5BDA">
            <w:pPr>
              <w:pStyle w:val="TABELA"/>
              <w:jc w:val="right"/>
              <w:rPr>
                <w:lang w:val="sq-AL"/>
              </w:rPr>
            </w:pPr>
            <w:r w:rsidRPr="00445472">
              <w:rPr>
                <w:lang w:val="sq-AL"/>
              </w:rPr>
              <w:t>28</w:t>
            </w:r>
          </w:p>
        </w:tc>
        <w:tc>
          <w:tcPr>
            <w:tcW w:w="461" w:type="pct"/>
            <w:tcBorders>
              <w:bottom w:val="single" w:sz="4" w:space="0" w:color="27B0AF"/>
            </w:tcBorders>
            <w:shd w:val="clear" w:color="auto" w:fill="auto"/>
            <w:vAlign w:val="center"/>
          </w:tcPr>
          <w:p w14:paraId="6CB76980" w14:textId="77777777" w:rsidR="009D7681" w:rsidRPr="00445472" w:rsidRDefault="009D7681" w:rsidP="005C5BDA">
            <w:pPr>
              <w:pStyle w:val="TABELA"/>
              <w:jc w:val="right"/>
              <w:rPr>
                <w:lang w:val="sq-AL"/>
              </w:rPr>
            </w:pPr>
            <w:r w:rsidRPr="00445472">
              <w:rPr>
                <w:lang w:val="sq-AL"/>
              </w:rPr>
              <w:t>91</w:t>
            </w:r>
          </w:p>
        </w:tc>
        <w:tc>
          <w:tcPr>
            <w:tcW w:w="457" w:type="pct"/>
            <w:tcBorders>
              <w:bottom w:val="single" w:sz="4" w:space="0" w:color="27B0AF"/>
            </w:tcBorders>
            <w:shd w:val="clear" w:color="auto" w:fill="auto"/>
            <w:vAlign w:val="center"/>
          </w:tcPr>
          <w:p w14:paraId="53575653" w14:textId="77777777" w:rsidR="009D7681" w:rsidRPr="00445472" w:rsidRDefault="009D7681" w:rsidP="005C5BDA">
            <w:pPr>
              <w:pStyle w:val="TABELA"/>
              <w:jc w:val="right"/>
              <w:rPr>
                <w:lang w:val="sq-AL"/>
              </w:rPr>
            </w:pPr>
            <w:r w:rsidRPr="00445472">
              <w:rPr>
                <w:lang w:val="sq-AL"/>
              </w:rPr>
              <w:t>83</w:t>
            </w:r>
          </w:p>
        </w:tc>
        <w:tc>
          <w:tcPr>
            <w:tcW w:w="460" w:type="pct"/>
            <w:tcBorders>
              <w:bottom w:val="single" w:sz="4" w:space="0" w:color="27B0AF"/>
            </w:tcBorders>
            <w:shd w:val="clear" w:color="auto" w:fill="auto"/>
            <w:vAlign w:val="center"/>
          </w:tcPr>
          <w:p w14:paraId="58978DAF" w14:textId="77777777" w:rsidR="009D7681" w:rsidRPr="00445472" w:rsidRDefault="009D7681" w:rsidP="005C5BDA">
            <w:pPr>
              <w:pStyle w:val="TABELA"/>
              <w:jc w:val="right"/>
              <w:rPr>
                <w:lang w:val="sq-AL"/>
              </w:rPr>
            </w:pPr>
            <w:r w:rsidRPr="00445472">
              <w:rPr>
                <w:lang w:val="sq-AL"/>
              </w:rPr>
              <w:t>28</w:t>
            </w:r>
          </w:p>
        </w:tc>
        <w:tc>
          <w:tcPr>
            <w:tcW w:w="457" w:type="pct"/>
            <w:tcBorders>
              <w:bottom w:val="single" w:sz="4" w:space="0" w:color="27B0AF"/>
            </w:tcBorders>
            <w:shd w:val="clear" w:color="auto" w:fill="auto"/>
            <w:vAlign w:val="center"/>
          </w:tcPr>
          <w:p w14:paraId="4923631E" w14:textId="77777777" w:rsidR="009D7681" w:rsidRPr="00445472" w:rsidRDefault="009D7681" w:rsidP="005C5BDA">
            <w:pPr>
              <w:pStyle w:val="TABELA"/>
              <w:jc w:val="right"/>
              <w:rPr>
                <w:lang w:val="sq-AL"/>
              </w:rPr>
            </w:pPr>
            <w:r w:rsidRPr="00445472">
              <w:rPr>
                <w:lang w:val="sq-AL"/>
              </w:rPr>
              <w:t>35</w:t>
            </w:r>
          </w:p>
        </w:tc>
      </w:tr>
      <w:tr w:rsidR="009D7681" w:rsidRPr="00445472" w14:paraId="40BA33B1" w14:textId="77777777" w:rsidTr="008958D5">
        <w:trPr>
          <w:trHeight w:val="340"/>
        </w:trPr>
        <w:tc>
          <w:tcPr>
            <w:tcW w:w="281" w:type="pct"/>
            <w:tcBorders>
              <w:bottom w:val="single" w:sz="4" w:space="0" w:color="27B0AF"/>
            </w:tcBorders>
            <w:shd w:val="clear" w:color="auto" w:fill="D4D4D4"/>
            <w:vAlign w:val="center"/>
          </w:tcPr>
          <w:p w14:paraId="6C6322F8" w14:textId="77777777" w:rsidR="009D7681" w:rsidRPr="00445472" w:rsidRDefault="009D7681" w:rsidP="005C5BDA">
            <w:pPr>
              <w:pStyle w:val="TABELA"/>
              <w:jc w:val="center"/>
              <w:rPr>
                <w:lang w:val="sq-AL"/>
              </w:rPr>
            </w:pPr>
            <w:r w:rsidRPr="00445472">
              <w:rPr>
                <w:w w:val="99"/>
                <w:lang w:val="sq-AL"/>
              </w:rPr>
              <w:t>2</w:t>
            </w:r>
          </w:p>
        </w:tc>
        <w:tc>
          <w:tcPr>
            <w:tcW w:w="1050" w:type="pct"/>
            <w:tcBorders>
              <w:bottom w:val="single" w:sz="4" w:space="0" w:color="27B0AF"/>
            </w:tcBorders>
            <w:shd w:val="clear" w:color="auto" w:fill="D4D4D4"/>
            <w:vAlign w:val="center"/>
          </w:tcPr>
          <w:p w14:paraId="3241771C" w14:textId="77777777" w:rsidR="009D7681" w:rsidRPr="00445472" w:rsidRDefault="009D7681" w:rsidP="008958D5">
            <w:pPr>
              <w:pStyle w:val="TABELA"/>
              <w:rPr>
                <w:lang w:val="sq-AL"/>
              </w:rPr>
            </w:pPr>
            <w:r w:rsidRPr="00445472">
              <w:rPr>
                <w:lang w:val="sq-AL"/>
              </w:rPr>
              <w:t>Hotel Dora</w:t>
            </w:r>
          </w:p>
        </w:tc>
        <w:tc>
          <w:tcPr>
            <w:tcW w:w="461" w:type="pct"/>
            <w:tcBorders>
              <w:bottom w:val="single" w:sz="4" w:space="0" w:color="27B0AF"/>
            </w:tcBorders>
            <w:shd w:val="clear" w:color="auto" w:fill="D4D4D4"/>
            <w:vAlign w:val="center"/>
          </w:tcPr>
          <w:p w14:paraId="1483401F" w14:textId="77777777" w:rsidR="009D7681" w:rsidRPr="00445472" w:rsidRDefault="009D7681" w:rsidP="005C5BDA">
            <w:pPr>
              <w:pStyle w:val="TABELA"/>
              <w:jc w:val="right"/>
              <w:rPr>
                <w:lang w:val="sq-AL"/>
              </w:rPr>
            </w:pPr>
            <w:r w:rsidRPr="00445472">
              <w:rPr>
                <w:lang w:val="sq-AL"/>
              </w:rPr>
              <w:t>28</w:t>
            </w:r>
          </w:p>
        </w:tc>
        <w:tc>
          <w:tcPr>
            <w:tcW w:w="455" w:type="pct"/>
            <w:tcBorders>
              <w:bottom w:val="single" w:sz="4" w:space="0" w:color="27B0AF"/>
            </w:tcBorders>
            <w:shd w:val="clear" w:color="auto" w:fill="D4D4D4"/>
            <w:vAlign w:val="center"/>
          </w:tcPr>
          <w:p w14:paraId="0A3F9BAA" w14:textId="77777777" w:rsidR="009D7681" w:rsidRPr="00445472" w:rsidRDefault="009D7681" w:rsidP="005C5BDA">
            <w:pPr>
              <w:pStyle w:val="TABELA"/>
              <w:jc w:val="right"/>
              <w:rPr>
                <w:lang w:val="sq-AL"/>
              </w:rPr>
            </w:pPr>
            <w:r w:rsidRPr="00445472">
              <w:rPr>
                <w:lang w:val="sq-AL"/>
              </w:rPr>
              <w:t>16</w:t>
            </w:r>
          </w:p>
        </w:tc>
        <w:tc>
          <w:tcPr>
            <w:tcW w:w="462" w:type="pct"/>
            <w:tcBorders>
              <w:bottom w:val="single" w:sz="4" w:space="0" w:color="27B0AF"/>
            </w:tcBorders>
            <w:shd w:val="clear" w:color="auto" w:fill="D4D4D4"/>
            <w:vAlign w:val="center"/>
          </w:tcPr>
          <w:p w14:paraId="4543774A" w14:textId="77777777" w:rsidR="009D7681" w:rsidRPr="00445472" w:rsidRDefault="009D7681" w:rsidP="005C5BDA">
            <w:pPr>
              <w:pStyle w:val="TABELA"/>
              <w:jc w:val="right"/>
              <w:rPr>
                <w:lang w:val="sq-AL"/>
              </w:rPr>
            </w:pPr>
            <w:r w:rsidRPr="00445472">
              <w:rPr>
                <w:lang w:val="sq-AL"/>
              </w:rPr>
              <w:t>84</w:t>
            </w:r>
          </w:p>
        </w:tc>
        <w:tc>
          <w:tcPr>
            <w:tcW w:w="455" w:type="pct"/>
            <w:tcBorders>
              <w:bottom w:val="single" w:sz="4" w:space="0" w:color="27B0AF"/>
            </w:tcBorders>
            <w:shd w:val="clear" w:color="auto" w:fill="D4D4D4"/>
            <w:vAlign w:val="center"/>
          </w:tcPr>
          <w:p w14:paraId="48442401" w14:textId="77777777" w:rsidR="009D7681" w:rsidRPr="00445472" w:rsidRDefault="009D7681" w:rsidP="005C5BDA">
            <w:pPr>
              <w:pStyle w:val="TABELA"/>
              <w:jc w:val="right"/>
              <w:rPr>
                <w:lang w:val="sq-AL"/>
              </w:rPr>
            </w:pPr>
            <w:r w:rsidRPr="00445472">
              <w:rPr>
                <w:lang w:val="sq-AL"/>
              </w:rPr>
              <w:t>30</w:t>
            </w:r>
          </w:p>
        </w:tc>
        <w:tc>
          <w:tcPr>
            <w:tcW w:w="461" w:type="pct"/>
            <w:tcBorders>
              <w:bottom w:val="single" w:sz="4" w:space="0" w:color="27B0AF"/>
            </w:tcBorders>
            <w:shd w:val="clear" w:color="auto" w:fill="D4D4D4"/>
            <w:vAlign w:val="center"/>
          </w:tcPr>
          <w:p w14:paraId="79261732" w14:textId="77777777" w:rsidR="009D7681" w:rsidRPr="00445472" w:rsidRDefault="009D7681" w:rsidP="005C5BDA">
            <w:pPr>
              <w:pStyle w:val="TABELA"/>
              <w:jc w:val="right"/>
              <w:rPr>
                <w:lang w:val="sq-AL"/>
              </w:rPr>
            </w:pPr>
            <w:r w:rsidRPr="00445472">
              <w:rPr>
                <w:lang w:val="sq-AL"/>
              </w:rPr>
              <w:t>84</w:t>
            </w:r>
          </w:p>
        </w:tc>
        <w:tc>
          <w:tcPr>
            <w:tcW w:w="457" w:type="pct"/>
            <w:tcBorders>
              <w:bottom w:val="single" w:sz="4" w:space="0" w:color="27B0AF"/>
            </w:tcBorders>
            <w:shd w:val="clear" w:color="auto" w:fill="D4D4D4"/>
            <w:vAlign w:val="center"/>
          </w:tcPr>
          <w:p w14:paraId="4554DB64" w14:textId="77777777" w:rsidR="009D7681" w:rsidRPr="00445472" w:rsidRDefault="009D7681" w:rsidP="005C5BDA">
            <w:pPr>
              <w:pStyle w:val="TABELA"/>
              <w:jc w:val="right"/>
              <w:rPr>
                <w:lang w:val="sq-AL"/>
              </w:rPr>
            </w:pPr>
            <w:r w:rsidRPr="00445472">
              <w:rPr>
                <w:lang w:val="sq-AL"/>
              </w:rPr>
              <w:t>81</w:t>
            </w:r>
          </w:p>
        </w:tc>
        <w:tc>
          <w:tcPr>
            <w:tcW w:w="460" w:type="pct"/>
            <w:tcBorders>
              <w:bottom w:val="single" w:sz="4" w:space="0" w:color="27B0AF"/>
            </w:tcBorders>
            <w:shd w:val="clear" w:color="auto" w:fill="D4D4D4"/>
            <w:vAlign w:val="center"/>
          </w:tcPr>
          <w:p w14:paraId="6371597A" w14:textId="77777777" w:rsidR="009D7681" w:rsidRPr="00445472" w:rsidRDefault="009D7681" w:rsidP="005C5BDA">
            <w:pPr>
              <w:pStyle w:val="TABELA"/>
              <w:jc w:val="right"/>
              <w:rPr>
                <w:lang w:val="sq-AL"/>
              </w:rPr>
            </w:pPr>
            <w:r w:rsidRPr="00445472">
              <w:rPr>
                <w:lang w:val="sq-AL"/>
              </w:rPr>
              <w:t>31</w:t>
            </w:r>
          </w:p>
        </w:tc>
        <w:tc>
          <w:tcPr>
            <w:tcW w:w="457" w:type="pct"/>
            <w:tcBorders>
              <w:bottom w:val="single" w:sz="4" w:space="0" w:color="27B0AF"/>
            </w:tcBorders>
            <w:shd w:val="clear" w:color="auto" w:fill="D4D4D4"/>
            <w:vAlign w:val="center"/>
          </w:tcPr>
          <w:p w14:paraId="0E828879" w14:textId="77777777" w:rsidR="009D7681" w:rsidRPr="00445472" w:rsidRDefault="009D7681" w:rsidP="005C5BDA">
            <w:pPr>
              <w:pStyle w:val="TABELA"/>
              <w:jc w:val="right"/>
              <w:rPr>
                <w:lang w:val="sq-AL"/>
              </w:rPr>
            </w:pPr>
            <w:r w:rsidRPr="00445472">
              <w:rPr>
                <w:lang w:val="sq-AL"/>
              </w:rPr>
              <w:t>43</w:t>
            </w:r>
          </w:p>
        </w:tc>
      </w:tr>
      <w:tr w:rsidR="009D7681" w:rsidRPr="00445472" w14:paraId="553AAE72" w14:textId="77777777" w:rsidTr="008958D5">
        <w:trPr>
          <w:trHeight w:val="340"/>
        </w:trPr>
        <w:tc>
          <w:tcPr>
            <w:tcW w:w="281" w:type="pct"/>
            <w:tcBorders>
              <w:bottom w:val="single" w:sz="4" w:space="0" w:color="27B0AF"/>
            </w:tcBorders>
            <w:shd w:val="clear" w:color="auto" w:fill="auto"/>
            <w:vAlign w:val="center"/>
          </w:tcPr>
          <w:p w14:paraId="425DEDCF" w14:textId="77777777" w:rsidR="009D7681" w:rsidRPr="00445472" w:rsidRDefault="009D7681" w:rsidP="005C5BDA">
            <w:pPr>
              <w:pStyle w:val="TABELA"/>
              <w:jc w:val="center"/>
              <w:rPr>
                <w:lang w:val="sq-AL"/>
              </w:rPr>
            </w:pPr>
            <w:r w:rsidRPr="00445472">
              <w:rPr>
                <w:w w:val="99"/>
                <w:lang w:val="sq-AL"/>
              </w:rPr>
              <w:t>3</w:t>
            </w:r>
          </w:p>
        </w:tc>
        <w:tc>
          <w:tcPr>
            <w:tcW w:w="1050" w:type="pct"/>
            <w:tcBorders>
              <w:bottom w:val="single" w:sz="4" w:space="0" w:color="27B0AF"/>
            </w:tcBorders>
            <w:shd w:val="clear" w:color="auto" w:fill="auto"/>
            <w:vAlign w:val="center"/>
          </w:tcPr>
          <w:p w14:paraId="2878F63E" w14:textId="77777777" w:rsidR="009D7681" w:rsidRPr="00445472" w:rsidRDefault="009D7681" w:rsidP="008958D5">
            <w:pPr>
              <w:pStyle w:val="TABELA"/>
              <w:rPr>
                <w:lang w:val="sq-AL"/>
              </w:rPr>
            </w:pPr>
            <w:r w:rsidRPr="00445472">
              <w:rPr>
                <w:lang w:val="sq-AL"/>
              </w:rPr>
              <w:t>Hotel Kristian</w:t>
            </w:r>
          </w:p>
        </w:tc>
        <w:tc>
          <w:tcPr>
            <w:tcW w:w="461" w:type="pct"/>
            <w:tcBorders>
              <w:bottom w:val="single" w:sz="4" w:space="0" w:color="27B0AF"/>
            </w:tcBorders>
            <w:shd w:val="clear" w:color="auto" w:fill="auto"/>
            <w:vAlign w:val="center"/>
          </w:tcPr>
          <w:p w14:paraId="438B6C69" w14:textId="77777777" w:rsidR="009D7681" w:rsidRPr="00445472" w:rsidRDefault="009D7681" w:rsidP="005C5BDA">
            <w:pPr>
              <w:pStyle w:val="TABELA"/>
              <w:jc w:val="right"/>
              <w:rPr>
                <w:lang w:val="sq-AL"/>
              </w:rPr>
            </w:pPr>
            <w:r w:rsidRPr="00445472">
              <w:rPr>
                <w:lang w:val="sq-AL"/>
              </w:rPr>
              <w:t>22</w:t>
            </w:r>
          </w:p>
        </w:tc>
        <w:tc>
          <w:tcPr>
            <w:tcW w:w="455" w:type="pct"/>
            <w:tcBorders>
              <w:bottom w:val="single" w:sz="4" w:space="0" w:color="27B0AF"/>
            </w:tcBorders>
            <w:shd w:val="clear" w:color="auto" w:fill="auto"/>
            <w:vAlign w:val="center"/>
          </w:tcPr>
          <w:p w14:paraId="56CAC159" w14:textId="77777777" w:rsidR="009D7681" w:rsidRPr="00445472" w:rsidRDefault="009D7681" w:rsidP="005C5BDA">
            <w:pPr>
              <w:pStyle w:val="TABELA"/>
              <w:jc w:val="right"/>
              <w:rPr>
                <w:lang w:val="sq-AL"/>
              </w:rPr>
            </w:pPr>
            <w:r w:rsidRPr="00445472">
              <w:rPr>
                <w:lang w:val="sq-AL"/>
              </w:rPr>
              <w:t>13</w:t>
            </w:r>
          </w:p>
        </w:tc>
        <w:tc>
          <w:tcPr>
            <w:tcW w:w="462" w:type="pct"/>
            <w:tcBorders>
              <w:bottom w:val="single" w:sz="4" w:space="0" w:color="27B0AF"/>
            </w:tcBorders>
            <w:shd w:val="clear" w:color="auto" w:fill="auto"/>
            <w:vAlign w:val="center"/>
          </w:tcPr>
          <w:p w14:paraId="3B685EEE" w14:textId="77777777" w:rsidR="009D7681" w:rsidRPr="00445472" w:rsidRDefault="009D7681" w:rsidP="005C5BDA">
            <w:pPr>
              <w:pStyle w:val="TABELA"/>
              <w:jc w:val="right"/>
              <w:rPr>
                <w:lang w:val="sq-AL"/>
              </w:rPr>
            </w:pPr>
            <w:r w:rsidRPr="00445472">
              <w:rPr>
                <w:lang w:val="sq-AL"/>
              </w:rPr>
              <w:t>33</w:t>
            </w:r>
          </w:p>
        </w:tc>
        <w:tc>
          <w:tcPr>
            <w:tcW w:w="455" w:type="pct"/>
            <w:tcBorders>
              <w:bottom w:val="single" w:sz="4" w:space="0" w:color="27B0AF"/>
            </w:tcBorders>
            <w:shd w:val="clear" w:color="auto" w:fill="auto"/>
            <w:vAlign w:val="center"/>
          </w:tcPr>
          <w:p w14:paraId="2E0EA402" w14:textId="77777777" w:rsidR="009D7681" w:rsidRPr="00445472" w:rsidRDefault="009D7681" w:rsidP="005C5BDA">
            <w:pPr>
              <w:pStyle w:val="TABELA"/>
              <w:jc w:val="right"/>
              <w:rPr>
                <w:lang w:val="sq-AL"/>
              </w:rPr>
            </w:pPr>
            <w:r w:rsidRPr="00445472">
              <w:rPr>
                <w:lang w:val="sq-AL"/>
              </w:rPr>
              <w:t>15</w:t>
            </w:r>
          </w:p>
        </w:tc>
        <w:tc>
          <w:tcPr>
            <w:tcW w:w="461" w:type="pct"/>
            <w:tcBorders>
              <w:bottom w:val="single" w:sz="4" w:space="0" w:color="27B0AF"/>
            </w:tcBorders>
            <w:shd w:val="clear" w:color="auto" w:fill="auto"/>
            <w:vAlign w:val="center"/>
          </w:tcPr>
          <w:p w14:paraId="02B6A883" w14:textId="77777777" w:rsidR="009D7681" w:rsidRPr="00445472" w:rsidRDefault="009D7681" w:rsidP="005C5BDA">
            <w:pPr>
              <w:pStyle w:val="TABELA"/>
              <w:jc w:val="right"/>
              <w:rPr>
                <w:lang w:val="sq-AL"/>
              </w:rPr>
            </w:pPr>
            <w:r w:rsidRPr="00445472">
              <w:rPr>
                <w:lang w:val="sq-AL"/>
              </w:rPr>
              <w:t>63</w:t>
            </w:r>
          </w:p>
        </w:tc>
        <w:tc>
          <w:tcPr>
            <w:tcW w:w="457" w:type="pct"/>
            <w:tcBorders>
              <w:bottom w:val="single" w:sz="4" w:space="0" w:color="27B0AF"/>
            </w:tcBorders>
            <w:shd w:val="clear" w:color="auto" w:fill="auto"/>
            <w:vAlign w:val="center"/>
          </w:tcPr>
          <w:p w14:paraId="346B5D84" w14:textId="77777777" w:rsidR="009D7681" w:rsidRPr="00445472" w:rsidRDefault="009D7681" w:rsidP="005C5BDA">
            <w:pPr>
              <w:pStyle w:val="TABELA"/>
              <w:jc w:val="right"/>
              <w:rPr>
                <w:lang w:val="sq-AL"/>
              </w:rPr>
            </w:pPr>
            <w:r w:rsidRPr="00445472">
              <w:rPr>
                <w:lang w:val="sq-AL"/>
              </w:rPr>
              <w:t>62</w:t>
            </w:r>
          </w:p>
        </w:tc>
        <w:tc>
          <w:tcPr>
            <w:tcW w:w="460" w:type="pct"/>
            <w:tcBorders>
              <w:bottom w:val="single" w:sz="4" w:space="0" w:color="27B0AF"/>
            </w:tcBorders>
            <w:shd w:val="clear" w:color="auto" w:fill="auto"/>
            <w:vAlign w:val="center"/>
          </w:tcPr>
          <w:p w14:paraId="15EF6614" w14:textId="77777777" w:rsidR="009D7681" w:rsidRPr="00445472" w:rsidRDefault="009D7681" w:rsidP="005C5BDA">
            <w:pPr>
              <w:pStyle w:val="TABELA"/>
              <w:jc w:val="right"/>
              <w:rPr>
                <w:lang w:val="sq-AL"/>
              </w:rPr>
            </w:pPr>
            <w:r w:rsidRPr="00445472">
              <w:rPr>
                <w:lang w:val="sq-AL"/>
              </w:rPr>
              <w:t>20</w:t>
            </w:r>
          </w:p>
        </w:tc>
        <w:tc>
          <w:tcPr>
            <w:tcW w:w="457" w:type="pct"/>
            <w:tcBorders>
              <w:bottom w:val="single" w:sz="4" w:space="0" w:color="27B0AF"/>
            </w:tcBorders>
            <w:shd w:val="clear" w:color="auto" w:fill="auto"/>
            <w:vAlign w:val="center"/>
          </w:tcPr>
          <w:p w14:paraId="1C2BBE92" w14:textId="77777777" w:rsidR="009D7681" w:rsidRPr="00445472" w:rsidRDefault="009D7681" w:rsidP="005C5BDA">
            <w:pPr>
              <w:pStyle w:val="TABELA"/>
              <w:jc w:val="right"/>
              <w:rPr>
                <w:lang w:val="sq-AL"/>
              </w:rPr>
            </w:pPr>
            <w:r w:rsidRPr="00445472">
              <w:rPr>
                <w:lang w:val="sq-AL"/>
              </w:rPr>
              <w:t>34</w:t>
            </w:r>
          </w:p>
        </w:tc>
      </w:tr>
      <w:tr w:rsidR="009D7681" w:rsidRPr="00445472" w14:paraId="1CE30CAC" w14:textId="77777777" w:rsidTr="008958D5">
        <w:trPr>
          <w:trHeight w:val="340"/>
        </w:trPr>
        <w:tc>
          <w:tcPr>
            <w:tcW w:w="281" w:type="pct"/>
            <w:tcBorders>
              <w:bottom w:val="single" w:sz="4" w:space="0" w:color="27B0AF"/>
            </w:tcBorders>
            <w:shd w:val="clear" w:color="auto" w:fill="D4D4D4"/>
            <w:vAlign w:val="center"/>
          </w:tcPr>
          <w:p w14:paraId="47432939" w14:textId="77777777" w:rsidR="009D7681" w:rsidRPr="00445472" w:rsidRDefault="009D7681" w:rsidP="005C5BDA">
            <w:pPr>
              <w:pStyle w:val="TABELA"/>
              <w:jc w:val="center"/>
              <w:rPr>
                <w:lang w:val="sq-AL"/>
              </w:rPr>
            </w:pPr>
            <w:r w:rsidRPr="00445472">
              <w:rPr>
                <w:w w:val="99"/>
                <w:lang w:val="sq-AL"/>
              </w:rPr>
              <w:t>4</w:t>
            </w:r>
          </w:p>
        </w:tc>
        <w:tc>
          <w:tcPr>
            <w:tcW w:w="1050" w:type="pct"/>
            <w:tcBorders>
              <w:bottom w:val="single" w:sz="4" w:space="0" w:color="27B0AF"/>
            </w:tcBorders>
            <w:shd w:val="clear" w:color="auto" w:fill="D4D4D4"/>
            <w:vAlign w:val="center"/>
          </w:tcPr>
          <w:p w14:paraId="7691596E" w14:textId="77777777" w:rsidR="009D7681" w:rsidRPr="00445472" w:rsidRDefault="009D7681" w:rsidP="008958D5">
            <w:pPr>
              <w:pStyle w:val="TABELA"/>
              <w:rPr>
                <w:lang w:val="sq-AL"/>
              </w:rPr>
            </w:pPr>
            <w:r w:rsidRPr="00445472">
              <w:rPr>
                <w:lang w:val="sq-AL"/>
              </w:rPr>
              <w:t>B.R Gjahtari</w:t>
            </w:r>
          </w:p>
        </w:tc>
        <w:tc>
          <w:tcPr>
            <w:tcW w:w="461" w:type="pct"/>
            <w:tcBorders>
              <w:bottom w:val="single" w:sz="4" w:space="0" w:color="27B0AF"/>
            </w:tcBorders>
            <w:shd w:val="clear" w:color="auto" w:fill="D4D4D4"/>
            <w:vAlign w:val="center"/>
          </w:tcPr>
          <w:p w14:paraId="4120B61D" w14:textId="77777777" w:rsidR="009D7681" w:rsidRPr="00445472" w:rsidRDefault="009D7681" w:rsidP="005C5BDA">
            <w:pPr>
              <w:pStyle w:val="TABELA"/>
              <w:jc w:val="right"/>
              <w:rPr>
                <w:lang w:val="sq-AL"/>
              </w:rPr>
            </w:pPr>
            <w:r w:rsidRPr="00445472">
              <w:rPr>
                <w:lang w:val="sq-AL"/>
              </w:rPr>
              <w:t>16</w:t>
            </w:r>
          </w:p>
        </w:tc>
        <w:tc>
          <w:tcPr>
            <w:tcW w:w="455" w:type="pct"/>
            <w:tcBorders>
              <w:bottom w:val="single" w:sz="4" w:space="0" w:color="27B0AF"/>
            </w:tcBorders>
            <w:shd w:val="clear" w:color="auto" w:fill="D4D4D4"/>
            <w:vAlign w:val="center"/>
          </w:tcPr>
          <w:p w14:paraId="1EF758C5" w14:textId="77777777" w:rsidR="009D7681" w:rsidRPr="00445472" w:rsidRDefault="009D7681" w:rsidP="005C5BDA">
            <w:pPr>
              <w:pStyle w:val="TABELA"/>
              <w:jc w:val="right"/>
              <w:rPr>
                <w:lang w:val="sq-AL"/>
              </w:rPr>
            </w:pPr>
            <w:r w:rsidRPr="00445472">
              <w:rPr>
                <w:w w:val="99"/>
                <w:lang w:val="sq-AL"/>
              </w:rPr>
              <w:t>5</w:t>
            </w:r>
          </w:p>
        </w:tc>
        <w:tc>
          <w:tcPr>
            <w:tcW w:w="462" w:type="pct"/>
            <w:tcBorders>
              <w:bottom w:val="single" w:sz="4" w:space="0" w:color="27B0AF"/>
            </w:tcBorders>
            <w:shd w:val="clear" w:color="auto" w:fill="D4D4D4"/>
            <w:vAlign w:val="center"/>
          </w:tcPr>
          <w:p w14:paraId="12153611" w14:textId="77777777" w:rsidR="009D7681" w:rsidRPr="00445472" w:rsidRDefault="009D7681" w:rsidP="005C5BDA">
            <w:pPr>
              <w:pStyle w:val="TABELA"/>
              <w:jc w:val="right"/>
              <w:rPr>
                <w:lang w:val="sq-AL"/>
              </w:rPr>
            </w:pPr>
            <w:r w:rsidRPr="00445472">
              <w:rPr>
                <w:lang w:val="sq-AL"/>
              </w:rPr>
              <w:t>27</w:t>
            </w:r>
          </w:p>
        </w:tc>
        <w:tc>
          <w:tcPr>
            <w:tcW w:w="455" w:type="pct"/>
            <w:tcBorders>
              <w:bottom w:val="single" w:sz="4" w:space="0" w:color="27B0AF"/>
            </w:tcBorders>
            <w:shd w:val="clear" w:color="auto" w:fill="D4D4D4"/>
            <w:vAlign w:val="center"/>
          </w:tcPr>
          <w:p w14:paraId="52C7DC01" w14:textId="77777777" w:rsidR="009D7681" w:rsidRPr="00445472" w:rsidRDefault="009D7681" w:rsidP="005C5BDA">
            <w:pPr>
              <w:pStyle w:val="TABELA"/>
              <w:jc w:val="right"/>
              <w:rPr>
                <w:lang w:val="sq-AL"/>
              </w:rPr>
            </w:pPr>
            <w:r w:rsidRPr="00445472">
              <w:rPr>
                <w:lang w:val="sq-AL"/>
              </w:rPr>
              <w:t>11</w:t>
            </w:r>
          </w:p>
        </w:tc>
        <w:tc>
          <w:tcPr>
            <w:tcW w:w="461" w:type="pct"/>
            <w:tcBorders>
              <w:bottom w:val="single" w:sz="4" w:space="0" w:color="27B0AF"/>
            </w:tcBorders>
            <w:shd w:val="clear" w:color="auto" w:fill="D4D4D4"/>
            <w:vAlign w:val="center"/>
          </w:tcPr>
          <w:p w14:paraId="584FE42F" w14:textId="77777777" w:rsidR="009D7681" w:rsidRPr="00445472" w:rsidRDefault="009D7681" w:rsidP="005C5BDA">
            <w:pPr>
              <w:pStyle w:val="TABELA"/>
              <w:jc w:val="right"/>
              <w:rPr>
                <w:lang w:val="sq-AL"/>
              </w:rPr>
            </w:pPr>
            <w:r w:rsidRPr="00445472">
              <w:rPr>
                <w:lang w:val="sq-AL"/>
              </w:rPr>
              <w:t>204</w:t>
            </w:r>
          </w:p>
        </w:tc>
        <w:tc>
          <w:tcPr>
            <w:tcW w:w="457" w:type="pct"/>
            <w:tcBorders>
              <w:bottom w:val="single" w:sz="4" w:space="0" w:color="27B0AF"/>
            </w:tcBorders>
            <w:shd w:val="clear" w:color="auto" w:fill="D4D4D4"/>
            <w:vAlign w:val="center"/>
          </w:tcPr>
          <w:p w14:paraId="0BF1C667" w14:textId="77777777" w:rsidR="009D7681" w:rsidRPr="00445472" w:rsidRDefault="009D7681" w:rsidP="005C5BDA">
            <w:pPr>
              <w:pStyle w:val="TABELA"/>
              <w:jc w:val="right"/>
              <w:rPr>
                <w:lang w:val="sq-AL"/>
              </w:rPr>
            </w:pPr>
            <w:r w:rsidRPr="00445472">
              <w:rPr>
                <w:lang w:val="sq-AL"/>
              </w:rPr>
              <w:t>375</w:t>
            </w:r>
          </w:p>
        </w:tc>
        <w:tc>
          <w:tcPr>
            <w:tcW w:w="460" w:type="pct"/>
            <w:tcBorders>
              <w:bottom w:val="single" w:sz="4" w:space="0" w:color="27B0AF"/>
            </w:tcBorders>
            <w:shd w:val="clear" w:color="auto" w:fill="D4D4D4"/>
            <w:vAlign w:val="center"/>
          </w:tcPr>
          <w:p w14:paraId="55552366" w14:textId="77777777" w:rsidR="009D7681" w:rsidRPr="00445472" w:rsidRDefault="009D7681" w:rsidP="005C5BDA">
            <w:pPr>
              <w:pStyle w:val="TABELA"/>
              <w:jc w:val="right"/>
              <w:rPr>
                <w:lang w:val="sq-AL"/>
              </w:rPr>
            </w:pPr>
            <w:r w:rsidRPr="00445472">
              <w:rPr>
                <w:lang w:val="sq-AL"/>
              </w:rPr>
              <w:t>52</w:t>
            </w:r>
          </w:p>
        </w:tc>
        <w:tc>
          <w:tcPr>
            <w:tcW w:w="457" w:type="pct"/>
            <w:tcBorders>
              <w:bottom w:val="single" w:sz="4" w:space="0" w:color="27B0AF"/>
            </w:tcBorders>
            <w:shd w:val="clear" w:color="auto" w:fill="D4D4D4"/>
            <w:vAlign w:val="center"/>
          </w:tcPr>
          <w:p w14:paraId="3E3BF2EC" w14:textId="77777777" w:rsidR="009D7681" w:rsidRPr="00445472" w:rsidRDefault="009D7681" w:rsidP="005C5BDA">
            <w:pPr>
              <w:pStyle w:val="TABELA"/>
              <w:jc w:val="right"/>
              <w:rPr>
                <w:lang w:val="sq-AL"/>
              </w:rPr>
            </w:pPr>
            <w:r w:rsidRPr="00445472">
              <w:rPr>
                <w:lang w:val="sq-AL"/>
              </w:rPr>
              <w:t>72</w:t>
            </w:r>
          </w:p>
        </w:tc>
      </w:tr>
      <w:tr w:rsidR="009D7681" w:rsidRPr="00445472" w14:paraId="557FB400" w14:textId="77777777" w:rsidTr="008958D5">
        <w:trPr>
          <w:trHeight w:val="340"/>
        </w:trPr>
        <w:tc>
          <w:tcPr>
            <w:tcW w:w="281" w:type="pct"/>
            <w:tcBorders>
              <w:bottom w:val="single" w:sz="4" w:space="0" w:color="27B0AF"/>
            </w:tcBorders>
            <w:shd w:val="clear" w:color="auto" w:fill="auto"/>
            <w:vAlign w:val="center"/>
          </w:tcPr>
          <w:p w14:paraId="4D69DA28" w14:textId="77777777" w:rsidR="009D7681" w:rsidRPr="00445472" w:rsidRDefault="009D7681" w:rsidP="005C5BDA">
            <w:pPr>
              <w:pStyle w:val="TABELA"/>
              <w:jc w:val="center"/>
              <w:rPr>
                <w:lang w:val="sq-AL"/>
              </w:rPr>
            </w:pPr>
            <w:r w:rsidRPr="00445472">
              <w:rPr>
                <w:w w:val="99"/>
                <w:lang w:val="sq-AL"/>
              </w:rPr>
              <w:t>5</w:t>
            </w:r>
          </w:p>
        </w:tc>
        <w:tc>
          <w:tcPr>
            <w:tcW w:w="1050" w:type="pct"/>
            <w:tcBorders>
              <w:bottom w:val="single" w:sz="4" w:space="0" w:color="27B0AF"/>
            </w:tcBorders>
            <w:shd w:val="clear" w:color="auto" w:fill="auto"/>
            <w:vAlign w:val="center"/>
          </w:tcPr>
          <w:p w14:paraId="70E308CB" w14:textId="77777777" w:rsidR="009D7681" w:rsidRPr="00445472" w:rsidRDefault="009D7681" w:rsidP="008958D5">
            <w:pPr>
              <w:pStyle w:val="TABELA"/>
              <w:rPr>
                <w:lang w:val="sq-AL"/>
              </w:rPr>
            </w:pPr>
            <w:r w:rsidRPr="00445472">
              <w:rPr>
                <w:lang w:val="sq-AL"/>
              </w:rPr>
              <w:t>Kune</w:t>
            </w:r>
          </w:p>
        </w:tc>
        <w:tc>
          <w:tcPr>
            <w:tcW w:w="461" w:type="pct"/>
            <w:tcBorders>
              <w:bottom w:val="single" w:sz="4" w:space="0" w:color="27B0AF"/>
            </w:tcBorders>
            <w:shd w:val="clear" w:color="auto" w:fill="auto"/>
            <w:vAlign w:val="center"/>
          </w:tcPr>
          <w:p w14:paraId="50D552E6" w14:textId="77777777" w:rsidR="009D7681" w:rsidRPr="00445472" w:rsidRDefault="009D7681" w:rsidP="005C5BDA">
            <w:pPr>
              <w:pStyle w:val="TABELA"/>
              <w:jc w:val="right"/>
              <w:rPr>
                <w:lang w:val="sq-AL"/>
              </w:rPr>
            </w:pPr>
            <w:r w:rsidRPr="00445472">
              <w:rPr>
                <w:lang w:val="sq-AL"/>
              </w:rPr>
              <w:t>12</w:t>
            </w:r>
          </w:p>
        </w:tc>
        <w:tc>
          <w:tcPr>
            <w:tcW w:w="455" w:type="pct"/>
            <w:tcBorders>
              <w:bottom w:val="single" w:sz="4" w:space="0" w:color="27B0AF"/>
            </w:tcBorders>
            <w:shd w:val="clear" w:color="auto" w:fill="auto"/>
            <w:vAlign w:val="center"/>
          </w:tcPr>
          <w:p w14:paraId="22DA24D6" w14:textId="77777777" w:rsidR="009D7681" w:rsidRPr="00445472" w:rsidRDefault="009D7681" w:rsidP="005C5BDA">
            <w:pPr>
              <w:pStyle w:val="TABELA"/>
              <w:jc w:val="right"/>
              <w:rPr>
                <w:lang w:val="sq-AL"/>
              </w:rPr>
            </w:pPr>
            <w:r w:rsidRPr="00445472">
              <w:rPr>
                <w:w w:val="99"/>
                <w:lang w:val="sq-AL"/>
              </w:rPr>
              <w:t>9</w:t>
            </w:r>
          </w:p>
        </w:tc>
        <w:tc>
          <w:tcPr>
            <w:tcW w:w="462" w:type="pct"/>
            <w:tcBorders>
              <w:bottom w:val="single" w:sz="4" w:space="0" w:color="27B0AF"/>
            </w:tcBorders>
            <w:shd w:val="clear" w:color="auto" w:fill="auto"/>
            <w:vAlign w:val="center"/>
          </w:tcPr>
          <w:p w14:paraId="25C3F312" w14:textId="77777777" w:rsidR="009D7681" w:rsidRPr="00445472" w:rsidRDefault="009D7681" w:rsidP="005C5BDA">
            <w:pPr>
              <w:pStyle w:val="TABELA"/>
              <w:jc w:val="right"/>
              <w:rPr>
                <w:lang w:val="sq-AL"/>
              </w:rPr>
            </w:pPr>
            <w:r w:rsidRPr="00445472">
              <w:rPr>
                <w:lang w:val="sq-AL"/>
              </w:rPr>
              <w:t>20</w:t>
            </w:r>
          </w:p>
        </w:tc>
        <w:tc>
          <w:tcPr>
            <w:tcW w:w="455" w:type="pct"/>
            <w:tcBorders>
              <w:bottom w:val="single" w:sz="4" w:space="0" w:color="27B0AF"/>
            </w:tcBorders>
            <w:shd w:val="clear" w:color="auto" w:fill="auto"/>
            <w:vAlign w:val="center"/>
          </w:tcPr>
          <w:p w14:paraId="6950BE65" w14:textId="77777777" w:rsidR="009D7681" w:rsidRPr="00445472" w:rsidRDefault="009D7681" w:rsidP="005C5BDA">
            <w:pPr>
              <w:pStyle w:val="TABELA"/>
              <w:jc w:val="right"/>
              <w:rPr>
                <w:lang w:val="sq-AL"/>
              </w:rPr>
            </w:pPr>
            <w:r w:rsidRPr="00445472">
              <w:rPr>
                <w:lang w:val="sq-AL"/>
              </w:rPr>
              <w:t>10</w:t>
            </w:r>
          </w:p>
        </w:tc>
        <w:tc>
          <w:tcPr>
            <w:tcW w:w="461" w:type="pct"/>
            <w:tcBorders>
              <w:bottom w:val="single" w:sz="4" w:space="0" w:color="27B0AF"/>
            </w:tcBorders>
            <w:shd w:val="clear" w:color="auto" w:fill="auto"/>
            <w:vAlign w:val="center"/>
          </w:tcPr>
          <w:p w14:paraId="59A5261F" w14:textId="77777777" w:rsidR="009D7681" w:rsidRPr="00445472" w:rsidRDefault="009D7681" w:rsidP="005C5BDA">
            <w:pPr>
              <w:pStyle w:val="TABELA"/>
              <w:jc w:val="right"/>
              <w:rPr>
                <w:lang w:val="sq-AL"/>
              </w:rPr>
            </w:pPr>
            <w:r w:rsidRPr="00445472">
              <w:rPr>
                <w:lang w:val="sq-AL"/>
              </w:rPr>
              <w:t>195</w:t>
            </w:r>
          </w:p>
        </w:tc>
        <w:tc>
          <w:tcPr>
            <w:tcW w:w="457" w:type="pct"/>
            <w:tcBorders>
              <w:bottom w:val="single" w:sz="4" w:space="0" w:color="27B0AF"/>
            </w:tcBorders>
            <w:shd w:val="clear" w:color="auto" w:fill="auto"/>
            <w:vAlign w:val="center"/>
          </w:tcPr>
          <w:p w14:paraId="2FB44FA6" w14:textId="77777777" w:rsidR="009D7681" w:rsidRPr="00445472" w:rsidRDefault="009D7681" w:rsidP="005C5BDA">
            <w:pPr>
              <w:pStyle w:val="TABELA"/>
              <w:jc w:val="right"/>
              <w:rPr>
                <w:lang w:val="sq-AL"/>
              </w:rPr>
            </w:pPr>
            <w:r w:rsidRPr="00445472">
              <w:rPr>
                <w:lang w:val="sq-AL"/>
              </w:rPr>
              <w:t>365</w:t>
            </w:r>
          </w:p>
        </w:tc>
        <w:tc>
          <w:tcPr>
            <w:tcW w:w="460" w:type="pct"/>
            <w:tcBorders>
              <w:bottom w:val="single" w:sz="4" w:space="0" w:color="27B0AF"/>
            </w:tcBorders>
            <w:shd w:val="clear" w:color="auto" w:fill="auto"/>
            <w:vAlign w:val="center"/>
          </w:tcPr>
          <w:p w14:paraId="33606BB9" w14:textId="77777777" w:rsidR="009D7681" w:rsidRPr="00445472" w:rsidRDefault="009D7681" w:rsidP="005C5BDA">
            <w:pPr>
              <w:pStyle w:val="TABELA"/>
              <w:jc w:val="right"/>
              <w:rPr>
                <w:lang w:val="sq-AL"/>
              </w:rPr>
            </w:pPr>
            <w:r w:rsidRPr="00445472">
              <w:rPr>
                <w:lang w:val="sq-AL"/>
              </w:rPr>
              <w:t>23</w:t>
            </w:r>
          </w:p>
        </w:tc>
        <w:tc>
          <w:tcPr>
            <w:tcW w:w="457" w:type="pct"/>
            <w:tcBorders>
              <w:bottom w:val="single" w:sz="4" w:space="0" w:color="27B0AF"/>
            </w:tcBorders>
            <w:shd w:val="clear" w:color="auto" w:fill="auto"/>
            <w:vAlign w:val="center"/>
          </w:tcPr>
          <w:p w14:paraId="15115893" w14:textId="77777777" w:rsidR="009D7681" w:rsidRPr="00445472" w:rsidRDefault="009D7681" w:rsidP="005C5BDA">
            <w:pPr>
              <w:pStyle w:val="TABELA"/>
              <w:jc w:val="right"/>
              <w:rPr>
                <w:lang w:val="sq-AL"/>
              </w:rPr>
            </w:pPr>
            <w:r w:rsidRPr="00445472">
              <w:rPr>
                <w:lang w:val="sq-AL"/>
              </w:rPr>
              <w:t>37</w:t>
            </w:r>
          </w:p>
        </w:tc>
      </w:tr>
      <w:tr w:rsidR="009D7681" w:rsidRPr="00445472" w14:paraId="49572127" w14:textId="77777777" w:rsidTr="008958D5">
        <w:trPr>
          <w:trHeight w:val="340"/>
        </w:trPr>
        <w:tc>
          <w:tcPr>
            <w:tcW w:w="281" w:type="pct"/>
            <w:shd w:val="clear" w:color="auto" w:fill="D4D4D4"/>
            <w:vAlign w:val="center"/>
          </w:tcPr>
          <w:p w14:paraId="1F295179" w14:textId="77777777" w:rsidR="009D7681" w:rsidRPr="00445472" w:rsidRDefault="009D7681" w:rsidP="005C5BDA">
            <w:pPr>
              <w:pStyle w:val="TABELA"/>
              <w:jc w:val="center"/>
              <w:rPr>
                <w:lang w:val="sq-AL"/>
              </w:rPr>
            </w:pPr>
          </w:p>
        </w:tc>
        <w:tc>
          <w:tcPr>
            <w:tcW w:w="1050" w:type="pct"/>
            <w:shd w:val="clear" w:color="auto" w:fill="D4D4D4"/>
            <w:vAlign w:val="center"/>
          </w:tcPr>
          <w:p w14:paraId="0F2750E6" w14:textId="77777777" w:rsidR="009D7681" w:rsidRPr="00445472" w:rsidRDefault="009D7681" w:rsidP="008958D5">
            <w:pPr>
              <w:pStyle w:val="TABELA"/>
              <w:rPr>
                <w:lang w:val="sq-AL"/>
              </w:rPr>
            </w:pPr>
            <w:r w:rsidRPr="00445472">
              <w:rPr>
                <w:lang w:val="sq-AL"/>
              </w:rPr>
              <w:t>SCM/100 ml</w:t>
            </w:r>
          </w:p>
        </w:tc>
        <w:tc>
          <w:tcPr>
            <w:tcW w:w="461" w:type="pct"/>
            <w:shd w:val="clear" w:color="auto" w:fill="D4D4D4"/>
            <w:vAlign w:val="center"/>
          </w:tcPr>
          <w:p w14:paraId="72573509" w14:textId="77777777" w:rsidR="009D7681" w:rsidRPr="00445472" w:rsidRDefault="009D7681" w:rsidP="005C5BDA">
            <w:pPr>
              <w:pStyle w:val="TABELA"/>
              <w:jc w:val="right"/>
              <w:rPr>
                <w:lang w:val="sq-AL"/>
              </w:rPr>
            </w:pPr>
            <w:r w:rsidRPr="00445472">
              <w:rPr>
                <w:lang w:val="sq-AL"/>
              </w:rPr>
              <w:t>250</w:t>
            </w:r>
          </w:p>
        </w:tc>
        <w:tc>
          <w:tcPr>
            <w:tcW w:w="455" w:type="pct"/>
            <w:shd w:val="clear" w:color="auto" w:fill="D4D4D4"/>
            <w:vAlign w:val="center"/>
          </w:tcPr>
          <w:p w14:paraId="169A7DED" w14:textId="77777777" w:rsidR="009D7681" w:rsidRPr="00445472" w:rsidRDefault="009D7681" w:rsidP="005C5BDA">
            <w:pPr>
              <w:pStyle w:val="TABELA"/>
              <w:jc w:val="right"/>
              <w:rPr>
                <w:lang w:val="sq-AL"/>
              </w:rPr>
            </w:pPr>
            <w:r w:rsidRPr="00445472">
              <w:rPr>
                <w:lang w:val="sq-AL"/>
              </w:rPr>
              <w:t>100</w:t>
            </w:r>
          </w:p>
        </w:tc>
        <w:tc>
          <w:tcPr>
            <w:tcW w:w="462" w:type="pct"/>
            <w:shd w:val="clear" w:color="auto" w:fill="D4D4D4"/>
            <w:vAlign w:val="center"/>
          </w:tcPr>
          <w:p w14:paraId="3FDDB70D" w14:textId="77777777" w:rsidR="009D7681" w:rsidRPr="00445472" w:rsidRDefault="009D7681" w:rsidP="005C5BDA">
            <w:pPr>
              <w:pStyle w:val="TABELA"/>
              <w:jc w:val="right"/>
              <w:rPr>
                <w:lang w:val="sq-AL"/>
              </w:rPr>
            </w:pPr>
            <w:r w:rsidRPr="00445472">
              <w:rPr>
                <w:lang w:val="sq-AL"/>
              </w:rPr>
              <w:t>250</w:t>
            </w:r>
          </w:p>
        </w:tc>
        <w:tc>
          <w:tcPr>
            <w:tcW w:w="455" w:type="pct"/>
            <w:shd w:val="clear" w:color="auto" w:fill="D4D4D4"/>
            <w:vAlign w:val="center"/>
          </w:tcPr>
          <w:p w14:paraId="37C45247" w14:textId="77777777" w:rsidR="009D7681" w:rsidRPr="00445472" w:rsidRDefault="009D7681" w:rsidP="005C5BDA">
            <w:pPr>
              <w:pStyle w:val="TABELA"/>
              <w:jc w:val="right"/>
              <w:rPr>
                <w:lang w:val="sq-AL"/>
              </w:rPr>
            </w:pPr>
            <w:r w:rsidRPr="00445472">
              <w:rPr>
                <w:lang w:val="sq-AL"/>
              </w:rPr>
              <w:t>100</w:t>
            </w:r>
          </w:p>
        </w:tc>
        <w:tc>
          <w:tcPr>
            <w:tcW w:w="461" w:type="pct"/>
            <w:shd w:val="clear" w:color="auto" w:fill="D4D4D4"/>
            <w:vAlign w:val="center"/>
          </w:tcPr>
          <w:p w14:paraId="01953E7F" w14:textId="77777777" w:rsidR="009D7681" w:rsidRPr="00445472" w:rsidRDefault="009D7681" w:rsidP="005C5BDA">
            <w:pPr>
              <w:pStyle w:val="TABELA"/>
              <w:jc w:val="right"/>
              <w:rPr>
                <w:lang w:val="sq-AL"/>
              </w:rPr>
            </w:pPr>
            <w:r w:rsidRPr="00445472">
              <w:rPr>
                <w:lang w:val="sq-AL"/>
              </w:rPr>
              <w:t>250</w:t>
            </w:r>
          </w:p>
        </w:tc>
        <w:tc>
          <w:tcPr>
            <w:tcW w:w="457" w:type="pct"/>
            <w:shd w:val="clear" w:color="auto" w:fill="D4D4D4"/>
            <w:vAlign w:val="center"/>
          </w:tcPr>
          <w:p w14:paraId="558B334D" w14:textId="77777777" w:rsidR="009D7681" w:rsidRPr="00445472" w:rsidRDefault="009D7681" w:rsidP="005C5BDA">
            <w:pPr>
              <w:pStyle w:val="TABELA"/>
              <w:jc w:val="right"/>
              <w:rPr>
                <w:lang w:val="sq-AL"/>
              </w:rPr>
            </w:pPr>
            <w:r w:rsidRPr="00445472">
              <w:rPr>
                <w:lang w:val="sq-AL"/>
              </w:rPr>
              <w:t>100</w:t>
            </w:r>
          </w:p>
        </w:tc>
        <w:tc>
          <w:tcPr>
            <w:tcW w:w="460" w:type="pct"/>
            <w:shd w:val="clear" w:color="auto" w:fill="D4D4D4"/>
            <w:vAlign w:val="center"/>
          </w:tcPr>
          <w:p w14:paraId="583BEE69" w14:textId="77777777" w:rsidR="009D7681" w:rsidRPr="00445472" w:rsidRDefault="009D7681" w:rsidP="005C5BDA">
            <w:pPr>
              <w:pStyle w:val="TABELA"/>
              <w:jc w:val="right"/>
              <w:rPr>
                <w:lang w:val="sq-AL"/>
              </w:rPr>
            </w:pPr>
            <w:r w:rsidRPr="00445472">
              <w:rPr>
                <w:lang w:val="sq-AL"/>
              </w:rPr>
              <w:t>250</w:t>
            </w:r>
          </w:p>
        </w:tc>
        <w:tc>
          <w:tcPr>
            <w:tcW w:w="457" w:type="pct"/>
            <w:shd w:val="clear" w:color="auto" w:fill="D4D4D4"/>
            <w:vAlign w:val="center"/>
          </w:tcPr>
          <w:p w14:paraId="0E36047E" w14:textId="77777777" w:rsidR="009D7681" w:rsidRPr="00445472" w:rsidRDefault="009D7681" w:rsidP="005C5BDA">
            <w:pPr>
              <w:pStyle w:val="TABELA"/>
              <w:jc w:val="right"/>
              <w:rPr>
                <w:lang w:val="sq-AL"/>
              </w:rPr>
            </w:pPr>
            <w:r w:rsidRPr="00445472">
              <w:rPr>
                <w:lang w:val="sq-AL"/>
              </w:rPr>
              <w:t>100</w:t>
            </w:r>
          </w:p>
        </w:tc>
      </w:tr>
    </w:tbl>
    <w:p w14:paraId="026EE57B" w14:textId="77777777" w:rsidR="008958D5" w:rsidRPr="00445472" w:rsidRDefault="008958D5" w:rsidP="008958D5">
      <w:pPr>
        <w:pStyle w:val="TEKSTIIII"/>
        <w:ind w:firstLine="0"/>
      </w:pPr>
    </w:p>
    <w:p w14:paraId="3D7D033F" w14:textId="68E152A1" w:rsidR="009D7681" w:rsidRPr="00445472" w:rsidRDefault="009D7681" w:rsidP="009D7681">
      <w:pPr>
        <w:pStyle w:val="TEKSTIIII"/>
      </w:pPr>
      <w:r w:rsidRPr="00445472">
        <w:t>Në vitin 2015, si në Velipojë</w:t>
      </w:r>
      <w:r w:rsidR="008E14CA" w:rsidRPr="00445472">
        <w:t>,</w:t>
      </w:r>
      <w:r w:rsidRPr="00445472">
        <w:t xml:space="preserve"> ashtu edhe në Shëngjin, ka pasur një rritje të plazheve me cilësi shumë të mirë të ujit. Për vitin 2015, Velipoja dhe Shëngjini janë klasifikuar si plazhet me ujin më të pastër në Shqipëri (Klasa A) </w:t>
      </w:r>
      <w:r w:rsidRPr="00445472">
        <w:rPr>
          <w:vertAlign w:val="superscript"/>
        </w:rPr>
        <w:footnoteReference w:id="135"/>
      </w:r>
      <w:r w:rsidRPr="00445472">
        <w:t>.</w:t>
      </w:r>
    </w:p>
    <w:p w14:paraId="7FF25A87" w14:textId="2059D1AB" w:rsidR="009D7681" w:rsidRPr="00445472" w:rsidRDefault="008958D5" w:rsidP="0029118F">
      <w:pPr>
        <w:pStyle w:val="NENTITULL"/>
      </w:pPr>
      <w:bookmarkStart w:id="144" w:name="_Toc486503409"/>
      <w:bookmarkStart w:id="145" w:name="_Toc11068816"/>
      <w:r w:rsidRPr="00445472">
        <w:t xml:space="preserve">7.2 </w:t>
      </w:r>
      <w:r w:rsidR="009D7681" w:rsidRPr="00445472">
        <w:t xml:space="preserve">Vlerësimi i </w:t>
      </w:r>
      <w:r w:rsidR="008E14CA" w:rsidRPr="00445472">
        <w:t xml:space="preserve">shpejtë biologjik </w:t>
      </w:r>
      <w:r w:rsidR="009D7681" w:rsidRPr="00445472">
        <w:t>(</w:t>
      </w:r>
      <w:r w:rsidR="00316F21">
        <w:t>VSHB</w:t>
      </w:r>
      <w:r w:rsidR="009D7681" w:rsidRPr="00445472">
        <w:t xml:space="preserve">) në Basenin Ujor </w:t>
      </w:r>
      <w:bookmarkEnd w:id="144"/>
      <w:r w:rsidR="007E76E3" w:rsidRPr="00445472">
        <w:t>Drin–Bunë</w:t>
      </w:r>
      <w:bookmarkEnd w:id="145"/>
    </w:p>
    <w:p w14:paraId="0F87FAA9" w14:textId="50B7B6C6" w:rsidR="009D7681" w:rsidRPr="00445472" w:rsidRDefault="009D7681" w:rsidP="009D7681">
      <w:pPr>
        <w:pStyle w:val="TEKSTIIII"/>
      </w:pPr>
      <w:r w:rsidRPr="00445472">
        <w:t>Një program i kampionimit në terren i cili ka pasur në fo</w:t>
      </w:r>
      <w:r w:rsidR="008E14CA" w:rsidRPr="00445472">
        <w:t>k</w:t>
      </w:r>
      <w:r w:rsidRPr="00445472">
        <w:t xml:space="preserve">us makroinvertebrorët ujorë është kryer në basenin ujor </w:t>
      </w:r>
      <w:r w:rsidR="007E76E3" w:rsidRPr="00445472">
        <w:t>Drin–Bunë</w:t>
      </w:r>
      <w:r w:rsidRPr="00445472">
        <w:t xml:space="preserve"> gjatë 23-27 nëntorit 2016. Rezultatet e përgjithshme, emrat dhe gjeo-koordinatat e lokaliteteve të lumenjve dhe liqeneve të hulumtuara janë paraqitur në Tabelën 7.5. Detajet e qasjes ndaj mostrimit të </w:t>
      </w:r>
      <w:r w:rsidR="00316F21">
        <w:t>VSHB</w:t>
      </w:r>
      <w:r w:rsidRPr="00445472">
        <w:t xml:space="preserve"> janë dhënë në Shtojcën 2.</w:t>
      </w:r>
    </w:p>
    <w:p w14:paraId="6EA7E48E" w14:textId="77777777" w:rsidR="009D7681" w:rsidRPr="00445472" w:rsidRDefault="009D7681" w:rsidP="009D7681">
      <w:pPr>
        <w:pStyle w:val="TEKSTIIII"/>
      </w:pPr>
      <w:r w:rsidRPr="00445472">
        <w:t>Një mësim i përgjithshëm i nxjerrë gjatë programit të marrjes së mostrave ishte se niveli i lartë i ujit dhe shkarkimi rezultuan në vështirësinë e marrjes së mostrave bregore në të dy lumenjtë dhe në seksionet e rezervuarit. Përveç kësaj vështirësie, duhet të kihet parasysh se komunitetet e qëndrueshme të makroinvertebrorëve nuk mund të zhvillohen në zonën bregore të ujërave të rrjedhshëm (sidomos në rastet e seksioneve të rezervuarëve) gjatë kohëzgjatjes së kufizuar të periudhave që niveli i ujit rritet.</w:t>
      </w:r>
    </w:p>
    <w:p w14:paraId="1F5E68F0" w14:textId="03EC9343" w:rsidR="009D7681" w:rsidRPr="00445472" w:rsidRDefault="009D7681" w:rsidP="008E5C66">
      <w:pPr>
        <w:pStyle w:val="TEKSTIIII"/>
      </w:pPr>
    </w:p>
    <w:p w14:paraId="438F68C4" w14:textId="1710160F" w:rsidR="0029118F" w:rsidRPr="00445472" w:rsidRDefault="0029118F" w:rsidP="0029118F">
      <w:pPr>
        <w:pStyle w:val="NENTITULL"/>
        <w:rPr>
          <w:sz w:val="13"/>
        </w:rPr>
      </w:pPr>
      <w:r w:rsidRPr="00445472">
        <w:t xml:space="preserve">Tabela 7.5: Vendndodhjet e mostrave dhe rezultatet e </w:t>
      </w:r>
      <w:r w:rsidR="00316F21">
        <w:t>VSHB</w:t>
      </w:r>
      <w:r w:rsidR="008E14CA" w:rsidRPr="00445472">
        <w:t xml:space="preserve"> </w:t>
      </w:r>
      <w:r w:rsidRPr="00445472">
        <w:t xml:space="preserve">në Basenin Ujor </w:t>
      </w:r>
      <w:r w:rsidR="007E76E3" w:rsidRPr="00445472">
        <w:t>Drin–Bunë</w:t>
      </w:r>
      <w:r w:rsidRPr="00445472">
        <w:rPr>
          <w:rStyle w:val="FootnoteReference"/>
          <w:rFonts w:ascii="Garamond" w:hAnsi="Garamond"/>
          <w:b w:val="0"/>
          <w:color w:val="auto"/>
        </w:rPr>
        <w:footnoteReference w:id="136"/>
      </w:r>
    </w:p>
    <w:tbl>
      <w:tblPr>
        <w:tblW w:w="9801"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ayout w:type="fixed"/>
        <w:tblCellMar>
          <w:left w:w="0" w:type="dxa"/>
          <w:right w:w="0" w:type="dxa"/>
        </w:tblCellMar>
        <w:tblLook w:val="01E0" w:firstRow="1" w:lastRow="1" w:firstColumn="1" w:lastColumn="1" w:noHBand="0" w:noVBand="0"/>
      </w:tblPr>
      <w:tblGrid>
        <w:gridCol w:w="2823"/>
        <w:gridCol w:w="1051"/>
        <w:gridCol w:w="1181"/>
        <w:gridCol w:w="1477"/>
        <w:gridCol w:w="3269"/>
      </w:tblGrid>
      <w:tr w:rsidR="0029118F" w:rsidRPr="00445472" w14:paraId="53273CB0" w14:textId="77777777" w:rsidTr="0029118F">
        <w:trPr>
          <w:trHeight w:val="360"/>
          <w:tblHeader/>
          <w:jc w:val="center"/>
        </w:trPr>
        <w:tc>
          <w:tcPr>
            <w:tcW w:w="2823" w:type="dxa"/>
            <w:vMerge w:val="restart"/>
            <w:shd w:val="clear" w:color="auto" w:fill="D4D4D4"/>
            <w:vAlign w:val="center"/>
          </w:tcPr>
          <w:p w14:paraId="6FB2EE62" w14:textId="77777777" w:rsidR="0029118F" w:rsidRPr="00445472" w:rsidRDefault="0029118F" w:rsidP="0029118F">
            <w:pPr>
              <w:pStyle w:val="TABELA"/>
              <w:spacing w:before="0"/>
              <w:ind w:right="0"/>
              <w:jc w:val="center"/>
              <w:rPr>
                <w:b/>
                <w:lang w:val="sq-AL"/>
              </w:rPr>
            </w:pPr>
            <w:r w:rsidRPr="00445472">
              <w:rPr>
                <w:b/>
                <w:lang w:val="sq-AL"/>
              </w:rPr>
              <w:t>Vendndodhjet</w:t>
            </w:r>
          </w:p>
        </w:tc>
        <w:tc>
          <w:tcPr>
            <w:tcW w:w="2232" w:type="dxa"/>
            <w:gridSpan w:val="2"/>
            <w:tcBorders>
              <w:bottom w:val="single" w:sz="4" w:space="0" w:color="27B1B0"/>
            </w:tcBorders>
            <w:shd w:val="clear" w:color="auto" w:fill="D4D4D4"/>
            <w:vAlign w:val="center"/>
          </w:tcPr>
          <w:p w14:paraId="3E7014DF" w14:textId="77777777" w:rsidR="0029118F" w:rsidRPr="00445472" w:rsidRDefault="0029118F" w:rsidP="0029118F">
            <w:pPr>
              <w:pStyle w:val="TABELA"/>
              <w:spacing w:before="0"/>
              <w:ind w:right="0"/>
              <w:jc w:val="center"/>
              <w:rPr>
                <w:b/>
                <w:lang w:val="sq-AL"/>
              </w:rPr>
            </w:pPr>
            <w:r w:rsidRPr="00445472">
              <w:rPr>
                <w:b/>
                <w:lang w:val="sq-AL"/>
              </w:rPr>
              <w:t>Koordinatat</w:t>
            </w:r>
          </w:p>
        </w:tc>
        <w:tc>
          <w:tcPr>
            <w:tcW w:w="1477" w:type="dxa"/>
            <w:vMerge w:val="restart"/>
            <w:shd w:val="clear" w:color="auto" w:fill="D4D4D4"/>
            <w:vAlign w:val="center"/>
          </w:tcPr>
          <w:p w14:paraId="6CDD7ECF" w14:textId="0CD6EC5E" w:rsidR="0029118F" w:rsidRPr="00445472" w:rsidRDefault="0029118F" w:rsidP="0029118F">
            <w:pPr>
              <w:pStyle w:val="TABELA"/>
              <w:spacing w:before="0"/>
              <w:ind w:right="0"/>
              <w:jc w:val="center"/>
              <w:rPr>
                <w:b/>
                <w:lang w:val="sq-AL"/>
              </w:rPr>
            </w:pPr>
            <w:r w:rsidRPr="00445472">
              <w:rPr>
                <w:b/>
                <w:lang w:val="sq-AL"/>
              </w:rPr>
              <w:t xml:space="preserve">Vlerësimi </w:t>
            </w:r>
            <w:r w:rsidR="00316F21">
              <w:rPr>
                <w:b/>
                <w:lang w:val="sq-AL"/>
              </w:rPr>
              <w:t>VSHB</w:t>
            </w:r>
          </w:p>
          <w:p w14:paraId="0856B633" w14:textId="77777777" w:rsidR="0029118F" w:rsidRPr="00445472" w:rsidRDefault="0029118F" w:rsidP="0029118F">
            <w:pPr>
              <w:pStyle w:val="TABELA"/>
              <w:spacing w:before="0"/>
              <w:ind w:right="0"/>
              <w:jc w:val="center"/>
              <w:rPr>
                <w:b/>
                <w:lang w:val="sq-AL"/>
              </w:rPr>
            </w:pPr>
            <w:r w:rsidRPr="00445472">
              <w:rPr>
                <w:b/>
                <w:lang w:val="sq-AL"/>
              </w:rPr>
              <w:t>(%)</w:t>
            </w:r>
            <w:r w:rsidRPr="00445472">
              <w:rPr>
                <w:rStyle w:val="FootnoteReference"/>
                <w:rFonts w:ascii="Garamond" w:hAnsi="Garamond" w:cs="Arial"/>
                <w:b/>
                <w:color w:val="auto"/>
                <w:szCs w:val="18"/>
                <w:lang w:val="sq-AL"/>
              </w:rPr>
              <w:footnoteReference w:id="137"/>
            </w:r>
          </w:p>
        </w:tc>
        <w:tc>
          <w:tcPr>
            <w:tcW w:w="3269" w:type="dxa"/>
            <w:vMerge w:val="restart"/>
            <w:shd w:val="clear" w:color="auto" w:fill="D4D4D4"/>
            <w:vAlign w:val="center"/>
          </w:tcPr>
          <w:p w14:paraId="019884B1" w14:textId="70EDFEE1" w:rsidR="0029118F" w:rsidRPr="00445472" w:rsidRDefault="0029118F" w:rsidP="0029118F">
            <w:pPr>
              <w:pStyle w:val="TABELA"/>
              <w:spacing w:before="0"/>
              <w:ind w:right="0"/>
              <w:jc w:val="center"/>
              <w:rPr>
                <w:b/>
                <w:lang w:val="sq-AL"/>
              </w:rPr>
            </w:pPr>
            <w:r w:rsidRPr="00445472">
              <w:rPr>
                <w:b/>
                <w:lang w:val="sq-AL"/>
              </w:rPr>
              <w:t xml:space="preserve">Komentet mbi </w:t>
            </w:r>
            <w:r w:rsidR="008E14CA" w:rsidRPr="00445472">
              <w:rPr>
                <w:b/>
                <w:lang w:val="sq-AL"/>
              </w:rPr>
              <w:t>statusin ekologjik</w:t>
            </w:r>
          </w:p>
        </w:tc>
      </w:tr>
      <w:tr w:rsidR="0029118F" w:rsidRPr="00445472" w14:paraId="1F7D46E0" w14:textId="77777777" w:rsidTr="0029118F">
        <w:trPr>
          <w:trHeight w:val="480"/>
          <w:tblHeader/>
          <w:jc w:val="center"/>
        </w:trPr>
        <w:tc>
          <w:tcPr>
            <w:tcW w:w="2823" w:type="dxa"/>
            <w:vMerge/>
            <w:vAlign w:val="center"/>
          </w:tcPr>
          <w:p w14:paraId="2350033B" w14:textId="77777777" w:rsidR="0029118F" w:rsidRPr="00445472" w:rsidRDefault="0029118F" w:rsidP="0029118F">
            <w:pPr>
              <w:pStyle w:val="TABELA"/>
              <w:spacing w:before="0"/>
              <w:ind w:right="0"/>
              <w:rPr>
                <w:sz w:val="18"/>
                <w:lang w:val="sq-AL"/>
              </w:rPr>
            </w:pPr>
          </w:p>
        </w:tc>
        <w:tc>
          <w:tcPr>
            <w:tcW w:w="1051" w:type="dxa"/>
            <w:shd w:val="clear" w:color="auto" w:fill="D4D4D4"/>
            <w:vAlign w:val="center"/>
          </w:tcPr>
          <w:p w14:paraId="4F98C4D3" w14:textId="6B206850" w:rsidR="0029118F" w:rsidRPr="00445472" w:rsidRDefault="008E14CA" w:rsidP="0029118F">
            <w:pPr>
              <w:pStyle w:val="TABELA"/>
              <w:spacing w:before="0"/>
              <w:ind w:right="0"/>
              <w:rPr>
                <w:b/>
                <w:sz w:val="18"/>
                <w:lang w:val="sq-AL"/>
              </w:rPr>
            </w:pPr>
            <w:r w:rsidRPr="00445472">
              <w:rPr>
                <w:b/>
                <w:sz w:val="18"/>
                <w:lang w:val="sq-AL"/>
              </w:rPr>
              <w:t>Gjerësia</w:t>
            </w:r>
          </w:p>
        </w:tc>
        <w:tc>
          <w:tcPr>
            <w:tcW w:w="1181" w:type="dxa"/>
            <w:shd w:val="clear" w:color="auto" w:fill="D4D4D4"/>
            <w:vAlign w:val="center"/>
          </w:tcPr>
          <w:p w14:paraId="32C3BD0D" w14:textId="77777777" w:rsidR="0029118F" w:rsidRPr="00445472" w:rsidRDefault="0029118F" w:rsidP="0029118F">
            <w:pPr>
              <w:pStyle w:val="TABELA"/>
              <w:spacing w:before="0"/>
              <w:ind w:right="0"/>
              <w:rPr>
                <w:b/>
                <w:sz w:val="18"/>
                <w:lang w:val="sq-AL"/>
              </w:rPr>
            </w:pPr>
            <w:r w:rsidRPr="00445472">
              <w:rPr>
                <w:b/>
                <w:sz w:val="18"/>
                <w:lang w:val="sq-AL"/>
              </w:rPr>
              <w:t>Gjatësia</w:t>
            </w:r>
          </w:p>
        </w:tc>
        <w:tc>
          <w:tcPr>
            <w:tcW w:w="1477" w:type="dxa"/>
            <w:vMerge/>
            <w:vAlign w:val="center"/>
          </w:tcPr>
          <w:p w14:paraId="1A3872DE" w14:textId="77777777" w:rsidR="0029118F" w:rsidRPr="00445472" w:rsidRDefault="0029118F" w:rsidP="0029118F">
            <w:pPr>
              <w:pStyle w:val="TABELA"/>
              <w:spacing w:before="0"/>
              <w:ind w:right="0"/>
              <w:rPr>
                <w:sz w:val="18"/>
                <w:lang w:val="sq-AL"/>
              </w:rPr>
            </w:pPr>
          </w:p>
        </w:tc>
        <w:tc>
          <w:tcPr>
            <w:tcW w:w="3269" w:type="dxa"/>
            <w:vMerge/>
            <w:vAlign w:val="center"/>
          </w:tcPr>
          <w:p w14:paraId="029B6BA5" w14:textId="77777777" w:rsidR="0029118F" w:rsidRPr="00445472" w:rsidRDefault="0029118F" w:rsidP="0029118F">
            <w:pPr>
              <w:pStyle w:val="TABELA"/>
              <w:spacing w:before="0"/>
              <w:ind w:right="0"/>
              <w:rPr>
                <w:sz w:val="18"/>
                <w:lang w:val="sq-AL"/>
              </w:rPr>
            </w:pPr>
          </w:p>
        </w:tc>
      </w:tr>
      <w:tr w:rsidR="0029118F" w:rsidRPr="00445472" w14:paraId="66E79AFB" w14:textId="77777777" w:rsidTr="0029118F">
        <w:trPr>
          <w:trHeight w:val="360"/>
          <w:jc w:val="center"/>
        </w:trPr>
        <w:tc>
          <w:tcPr>
            <w:tcW w:w="6532" w:type="dxa"/>
            <w:gridSpan w:val="4"/>
            <w:vAlign w:val="center"/>
          </w:tcPr>
          <w:p w14:paraId="2414C01E" w14:textId="77777777" w:rsidR="0029118F" w:rsidRPr="00EE680D" w:rsidRDefault="0029118F" w:rsidP="0029118F">
            <w:pPr>
              <w:pStyle w:val="TABELA"/>
              <w:spacing w:before="0"/>
              <w:ind w:right="0"/>
              <w:rPr>
                <w:b/>
                <w:lang w:val="sq-AL"/>
              </w:rPr>
            </w:pPr>
            <w:r w:rsidRPr="00445472">
              <w:rPr>
                <w:lang w:val="sq-AL"/>
              </w:rPr>
              <w:t xml:space="preserve">  </w:t>
            </w:r>
            <w:r w:rsidRPr="00EE680D">
              <w:rPr>
                <w:b/>
                <w:lang w:val="sq-AL"/>
              </w:rPr>
              <w:t xml:space="preserve"> Lumenjtë</w:t>
            </w:r>
          </w:p>
        </w:tc>
        <w:tc>
          <w:tcPr>
            <w:tcW w:w="3269" w:type="dxa"/>
            <w:vAlign w:val="center"/>
          </w:tcPr>
          <w:p w14:paraId="4B1B06FB" w14:textId="77777777" w:rsidR="0029118F" w:rsidRPr="00445472" w:rsidRDefault="0029118F" w:rsidP="0029118F">
            <w:pPr>
              <w:pStyle w:val="TABELA"/>
              <w:spacing w:before="0"/>
              <w:ind w:right="0"/>
              <w:rPr>
                <w:sz w:val="18"/>
                <w:lang w:val="sq-AL"/>
              </w:rPr>
            </w:pPr>
          </w:p>
        </w:tc>
      </w:tr>
      <w:tr w:rsidR="0029118F" w:rsidRPr="00445472" w14:paraId="05C87123" w14:textId="77777777" w:rsidTr="008E14CA">
        <w:trPr>
          <w:trHeight w:val="620"/>
          <w:jc w:val="center"/>
        </w:trPr>
        <w:tc>
          <w:tcPr>
            <w:tcW w:w="2823" w:type="dxa"/>
            <w:vAlign w:val="center"/>
          </w:tcPr>
          <w:p w14:paraId="5E317A2E" w14:textId="77777777" w:rsidR="0029118F" w:rsidRPr="00445472" w:rsidRDefault="0029118F" w:rsidP="0029118F">
            <w:pPr>
              <w:pStyle w:val="TABELA"/>
              <w:spacing w:before="0"/>
              <w:ind w:right="0"/>
              <w:rPr>
                <w:lang w:val="sq-AL"/>
              </w:rPr>
            </w:pPr>
            <w:r w:rsidRPr="00445472">
              <w:rPr>
                <w:lang w:val="sq-AL"/>
              </w:rPr>
              <w:t>Drini i Bardhë, Kukës</w:t>
            </w:r>
          </w:p>
        </w:tc>
        <w:tc>
          <w:tcPr>
            <w:tcW w:w="1051" w:type="dxa"/>
            <w:vAlign w:val="center"/>
          </w:tcPr>
          <w:p w14:paraId="2B291F3D" w14:textId="77777777" w:rsidR="0029118F" w:rsidRPr="00445472" w:rsidRDefault="0029118F" w:rsidP="008E14CA">
            <w:pPr>
              <w:pStyle w:val="TABELA"/>
              <w:spacing w:before="0"/>
              <w:ind w:right="0"/>
              <w:jc w:val="center"/>
              <w:rPr>
                <w:lang w:val="sq-AL"/>
              </w:rPr>
            </w:pPr>
            <w:r w:rsidRPr="00445472">
              <w:rPr>
                <w:lang w:val="sq-AL"/>
              </w:rPr>
              <w:t>42.10007</w:t>
            </w:r>
          </w:p>
        </w:tc>
        <w:tc>
          <w:tcPr>
            <w:tcW w:w="1181" w:type="dxa"/>
            <w:vAlign w:val="center"/>
          </w:tcPr>
          <w:p w14:paraId="63A0298B" w14:textId="77777777" w:rsidR="0029118F" w:rsidRPr="00445472" w:rsidRDefault="0029118F" w:rsidP="008E14CA">
            <w:pPr>
              <w:pStyle w:val="TABELA"/>
              <w:spacing w:before="0"/>
              <w:ind w:right="0"/>
              <w:jc w:val="center"/>
              <w:rPr>
                <w:lang w:val="sq-AL"/>
              </w:rPr>
            </w:pPr>
            <w:r w:rsidRPr="00445472">
              <w:rPr>
                <w:lang w:val="sq-AL"/>
              </w:rPr>
              <w:t>20.41805</w:t>
            </w:r>
          </w:p>
        </w:tc>
        <w:tc>
          <w:tcPr>
            <w:tcW w:w="1477" w:type="dxa"/>
            <w:vAlign w:val="center"/>
          </w:tcPr>
          <w:p w14:paraId="1266B727" w14:textId="77777777" w:rsidR="0029118F" w:rsidRPr="00445472" w:rsidRDefault="0029118F" w:rsidP="008E14CA">
            <w:pPr>
              <w:pStyle w:val="TABELA"/>
              <w:spacing w:before="0"/>
              <w:ind w:right="0"/>
              <w:jc w:val="center"/>
              <w:rPr>
                <w:lang w:val="sq-AL"/>
              </w:rPr>
            </w:pPr>
            <w:r w:rsidRPr="00445472">
              <w:rPr>
                <w:lang w:val="sq-AL"/>
              </w:rPr>
              <w:t>N/A</w:t>
            </w:r>
          </w:p>
        </w:tc>
        <w:tc>
          <w:tcPr>
            <w:tcW w:w="3269" w:type="dxa"/>
            <w:vAlign w:val="center"/>
          </w:tcPr>
          <w:p w14:paraId="098D1E1A" w14:textId="2D45AEC6" w:rsidR="0029118F" w:rsidRPr="00445472" w:rsidRDefault="0029118F" w:rsidP="00034FBB">
            <w:pPr>
              <w:pStyle w:val="TABELA"/>
              <w:spacing w:before="0"/>
              <w:ind w:right="0"/>
              <w:rPr>
                <w:lang w:val="sq-AL"/>
              </w:rPr>
            </w:pPr>
            <w:r w:rsidRPr="00445472">
              <w:rPr>
                <w:lang w:val="sq-AL"/>
              </w:rPr>
              <w:t>Pjesa tipike e ujërave t</w:t>
            </w:r>
            <w:r w:rsidR="00034FBB">
              <w:rPr>
                <w:lang w:val="sq-AL"/>
              </w:rPr>
              <w:t>ë</w:t>
            </w:r>
            <w:r w:rsidRPr="00445472">
              <w:rPr>
                <w:lang w:val="sq-AL"/>
              </w:rPr>
              <w:t xml:space="preserve"> larta të liqenit, ku </w:t>
            </w:r>
            <w:r w:rsidR="00316F21">
              <w:rPr>
                <w:lang w:val="sq-AL"/>
              </w:rPr>
              <w:t>VSHB</w:t>
            </w:r>
            <w:r w:rsidR="008E14CA" w:rsidRPr="00445472">
              <w:rPr>
                <w:lang w:val="sq-AL"/>
              </w:rPr>
              <w:t xml:space="preserve"> </w:t>
            </w:r>
            <w:r w:rsidRPr="00445472">
              <w:rPr>
                <w:lang w:val="sq-AL"/>
              </w:rPr>
              <w:t>nuk është e aplikueshme.</w:t>
            </w:r>
          </w:p>
        </w:tc>
      </w:tr>
      <w:tr w:rsidR="0029118F" w:rsidRPr="00445472" w14:paraId="1ECBCAF8" w14:textId="77777777" w:rsidTr="008E14CA">
        <w:trPr>
          <w:trHeight w:val="860"/>
          <w:jc w:val="center"/>
        </w:trPr>
        <w:tc>
          <w:tcPr>
            <w:tcW w:w="2823" w:type="dxa"/>
            <w:vAlign w:val="center"/>
          </w:tcPr>
          <w:p w14:paraId="75A90D33" w14:textId="77777777" w:rsidR="0029118F" w:rsidRPr="00445472" w:rsidRDefault="0029118F" w:rsidP="0029118F">
            <w:pPr>
              <w:pStyle w:val="TABELA"/>
              <w:spacing w:before="0"/>
              <w:ind w:right="0"/>
              <w:rPr>
                <w:lang w:val="sq-AL"/>
              </w:rPr>
            </w:pPr>
            <w:r w:rsidRPr="00445472">
              <w:rPr>
                <w:lang w:val="sq-AL"/>
              </w:rPr>
              <w:t>Drini i Zi, Ura Topojan</w:t>
            </w:r>
          </w:p>
        </w:tc>
        <w:tc>
          <w:tcPr>
            <w:tcW w:w="1051" w:type="dxa"/>
            <w:vAlign w:val="center"/>
          </w:tcPr>
          <w:p w14:paraId="716C5449" w14:textId="77777777" w:rsidR="0029118F" w:rsidRPr="00445472" w:rsidRDefault="0029118F" w:rsidP="008E14CA">
            <w:pPr>
              <w:pStyle w:val="TABELA"/>
              <w:spacing w:before="0"/>
              <w:ind w:right="0"/>
              <w:jc w:val="center"/>
              <w:rPr>
                <w:lang w:val="sq-AL"/>
              </w:rPr>
            </w:pPr>
            <w:r w:rsidRPr="00445472">
              <w:rPr>
                <w:lang w:val="sq-AL"/>
              </w:rPr>
              <w:t>41.57905</w:t>
            </w:r>
          </w:p>
        </w:tc>
        <w:tc>
          <w:tcPr>
            <w:tcW w:w="1181" w:type="dxa"/>
            <w:vAlign w:val="center"/>
          </w:tcPr>
          <w:p w14:paraId="63EA70F9" w14:textId="77777777" w:rsidR="0029118F" w:rsidRPr="00445472" w:rsidRDefault="0029118F" w:rsidP="008E14CA">
            <w:pPr>
              <w:pStyle w:val="TABELA"/>
              <w:spacing w:before="0"/>
              <w:ind w:right="0"/>
              <w:jc w:val="center"/>
              <w:rPr>
                <w:lang w:val="sq-AL"/>
              </w:rPr>
            </w:pPr>
            <w:r w:rsidRPr="00445472">
              <w:rPr>
                <w:lang w:val="sq-AL"/>
              </w:rPr>
              <w:t>20.43555</w:t>
            </w:r>
          </w:p>
        </w:tc>
        <w:tc>
          <w:tcPr>
            <w:tcW w:w="1477" w:type="dxa"/>
            <w:shd w:val="clear" w:color="auto" w:fill="00FFFF"/>
            <w:vAlign w:val="center"/>
          </w:tcPr>
          <w:p w14:paraId="33FCF56C" w14:textId="77777777" w:rsidR="0029118F" w:rsidRPr="00445472" w:rsidRDefault="0029118F" w:rsidP="008E14CA">
            <w:pPr>
              <w:pStyle w:val="TABELA"/>
              <w:spacing w:before="0"/>
              <w:ind w:right="0"/>
              <w:jc w:val="center"/>
              <w:rPr>
                <w:lang w:val="sq-AL"/>
              </w:rPr>
            </w:pPr>
            <w:r w:rsidRPr="00445472">
              <w:rPr>
                <w:lang w:val="sq-AL"/>
              </w:rPr>
              <w:t>95</w:t>
            </w:r>
          </w:p>
        </w:tc>
        <w:tc>
          <w:tcPr>
            <w:tcW w:w="3269" w:type="dxa"/>
            <w:vAlign w:val="center"/>
          </w:tcPr>
          <w:p w14:paraId="0A5FF878" w14:textId="4BD9C6A5" w:rsidR="0029118F" w:rsidRPr="00445472" w:rsidRDefault="0029118F" w:rsidP="0029118F">
            <w:pPr>
              <w:pStyle w:val="TABELA"/>
              <w:spacing w:before="0"/>
              <w:ind w:right="0"/>
              <w:rPr>
                <w:lang w:val="sq-AL"/>
              </w:rPr>
            </w:pPr>
            <w:r w:rsidRPr="00445472">
              <w:rPr>
                <w:lang w:val="sq-AL"/>
              </w:rPr>
              <w:t xml:space="preserve">Statusi shumë i mirë ekologjik dhe kushtet potenciale biologjike specifike të tipit të </w:t>
            </w:r>
            <w:r w:rsidR="008E14CA" w:rsidRPr="00445472">
              <w:rPr>
                <w:lang w:val="sq-AL"/>
              </w:rPr>
              <w:t>referencës</w:t>
            </w:r>
          </w:p>
        </w:tc>
      </w:tr>
      <w:tr w:rsidR="0029118F" w:rsidRPr="00445472" w14:paraId="0409210A" w14:textId="77777777" w:rsidTr="008E14CA">
        <w:trPr>
          <w:trHeight w:val="860"/>
          <w:jc w:val="center"/>
        </w:trPr>
        <w:tc>
          <w:tcPr>
            <w:tcW w:w="2823" w:type="dxa"/>
            <w:vAlign w:val="center"/>
          </w:tcPr>
          <w:p w14:paraId="0B36487D" w14:textId="77777777" w:rsidR="0029118F" w:rsidRPr="00445472" w:rsidRDefault="0029118F" w:rsidP="0029118F">
            <w:pPr>
              <w:pStyle w:val="TABELA"/>
              <w:spacing w:before="0"/>
              <w:ind w:right="0"/>
              <w:rPr>
                <w:lang w:val="sq-AL"/>
              </w:rPr>
            </w:pPr>
            <w:r w:rsidRPr="00445472">
              <w:rPr>
                <w:lang w:val="sq-AL"/>
              </w:rPr>
              <w:t>Drini i Zi, u/s Resk</w:t>
            </w:r>
          </w:p>
        </w:tc>
        <w:tc>
          <w:tcPr>
            <w:tcW w:w="1051" w:type="dxa"/>
            <w:vAlign w:val="center"/>
          </w:tcPr>
          <w:p w14:paraId="3C87A652" w14:textId="77777777" w:rsidR="0029118F" w:rsidRPr="00445472" w:rsidRDefault="0029118F" w:rsidP="008E14CA">
            <w:pPr>
              <w:pStyle w:val="TABELA"/>
              <w:spacing w:before="0"/>
              <w:ind w:right="0"/>
              <w:jc w:val="center"/>
              <w:rPr>
                <w:lang w:val="sq-AL"/>
              </w:rPr>
            </w:pPr>
            <w:r w:rsidRPr="00445472">
              <w:rPr>
                <w:lang w:val="sq-AL"/>
              </w:rPr>
              <w:t>41.93505</w:t>
            </w:r>
          </w:p>
        </w:tc>
        <w:tc>
          <w:tcPr>
            <w:tcW w:w="1181" w:type="dxa"/>
            <w:vAlign w:val="center"/>
          </w:tcPr>
          <w:p w14:paraId="3B04797F" w14:textId="77777777" w:rsidR="0029118F" w:rsidRPr="00445472" w:rsidRDefault="0029118F" w:rsidP="008E14CA">
            <w:pPr>
              <w:pStyle w:val="TABELA"/>
              <w:spacing w:before="0"/>
              <w:ind w:right="0"/>
              <w:jc w:val="center"/>
              <w:rPr>
                <w:lang w:val="sq-AL"/>
              </w:rPr>
            </w:pPr>
            <w:r w:rsidRPr="00445472">
              <w:rPr>
                <w:lang w:val="sq-AL"/>
              </w:rPr>
              <w:t>20.34257</w:t>
            </w:r>
          </w:p>
        </w:tc>
        <w:tc>
          <w:tcPr>
            <w:tcW w:w="1477" w:type="dxa"/>
            <w:shd w:val="clear" w:color="auto" w:fill="00FFFF"/>
            <w:vAlign w:val="center"/>
          </w:tcPr>
          <w:p w14:paraId="35B5D195" w14:textId="77777777" w:rsidR="0029118F" w:rsidRPr="00445472" w:rsidRDefault="0029118F" w:rsidP="008E14CA">
            <w:pPr>
              <w:pStyle w:val="TABELA"/>
              <w:spacing w:before="0"/>
              <w:ind w:right="0"/>
              <w:jc w:val="center"/>
              <w:rPr>
                <w:lang w:val="sq-AL"/>
              </w:rPr>
            </w:pPr>
            <w:r w:rsidRPr="00445472">
              <w:rPr>
                <w:lang w:val="sq-AL"/>
              </w:rPr>
              <w:t>95</w:t>
            </w:r>
          </w:p>
        </w:tc>
        <w:tc>
          <w:tcPr>
            <w:tcW w:w="3269" w:type="dxa"/>
            <w:vAlign w:val="center"/>
          </w:tcPr>
          <w:p w14:paraId="1B360FCE" w14:textId="194C78A9" w:rsidR="0029118F" w:rsidRPr="00445472" w:rsidRDefault="0029118F" w:rsidP="0029118F">
            <w:pPr>
              <w:pStyle w:val="TABELA"/>
              <w:spacing w:before="0"/>
              <w:ind w:right="0"/>
              <w:rPr>
                <w:lang w:val="sq-AL"/>
              </w:rPr>
            </w:pPr>
            <w:r w:rsidRPr="00445472">
              <w:rPr>
                <w:lang w:val="sq-AL"/>
              </w:rPr>
              <w:t xml:space="preserve">Statusi shumë i mirë ekologjik dhe kushtet potenciale biologjike specifike të tipit të </w:t>
            </w:r>
            <w:r w:rsidR="008E14CA" w:rsidRPr="00445472">
              <w:rPr>
                <w:lang w:val="sq-AL"/>
              </w:rPr>
              <w:t>referencës</w:t>
            </w:r>
          </w:p>
        </w:tc>
      </w:tr>
      <w:tr w:rsidR="0029118F" w:rsidRPr="00445472" w14:paraId="4EDF967C" w14:textId="77777777" w:rsidTr="008E14CA">
        <w:trPr>
          <w:trHeight w:val="374"/>
          <w:jc w:val="center"/>
        </w:trPr>
        <w:tc>
          <w:tcPr>
            <w:tcW w:w="2823" w:type="dxa"/>
            <w:vAlign w:val="center"/>
          </w:tcPr>
          <w:p w14:paraId="6D452FE2" w14:textId="1BA64E7F" w:rsidR="0029118F" w:rsidRPr="00445472" w:rsidRDefault="0029118F" w:rsidP="0029118F">
            <w:pPr>
              <w:pStyle w:val="TABELA"/>
              <w:spacing w:before="0"/>
              <w:ind w:right="0"/>
              <w:rPr>
                <w:lang w:val="sq-AL"/>
              </w:rPr>
            </w:pPr>
            <w:r w:rsidRPr="00445472">
              <w:rPr>
                <w:lang w:val="sq-AL"/>
              </w:rPr>
              <w:t xml:space="preserve">Drini i Zi dhe </w:t>
            </w:r>
            <w:r w:rsidR="008E14CA" w:rsidRPr="00445472">
              <w:rPr>
                <w:lang w:val="sq-AL"/>
              </w:rPr>
              <w:t>konfigurimi i degëve</w:t>
            </w:r>
          </w:p>
        </w:tc>
        <w:tc>
          <w:tcPr>
            <w:tcW w:w="1051" w:type="dxa"/>
            <w:vAlign w:val="center"/>
          </w:tcPr>
          <w:p w14:paraId="124AD43C" w14:textId="77777777" w:rsidR="0029118F" w:rsidRPr="00445472" w:rsidRDefault="0029118F" w:rsidP="008E14CA">
            <w:pPr>
              <w:pStyle w:val="TABELA"/>
              <w:spacing w:before="0"/>
              <w:ind w:right="0"/>
              <w:jc w:val="center"/>
              <w:rPr>
                <w:lang w:val="sq-AL"/>
              </w:rPr>
            </w:pPr>
          </w:p>
        </w:tc>
        <w:tc>
          <w:tcPr>
            <w:tcW w:w="1181" w:type="dxa"/>
            <w:vAlign w:val="center"/>
          </w:tcPr>
          <w:p w14:paraId="5BBCC143" w14:textId="77777777" w:rsidR="0029118F" w:rsidRPr="00445472" w:rsidRDefault="0029118F" w:rsidP="008E14CA">
            <w:pPr>
              <w:pStyle w:val="TABELA"/>
              <w:spacing w:before="0"/>
              <w:ind w:right="0"/>
              <w:jc w:val="center"/>
              <w:rPr>
                <w:lang w:val="sq-AL"/>
              </w:rPr>
            </w:pPr>
          </w:p>
        </w:tc>
        <w:tc>
          <w:tcPr>
            <w:tcW w:w="1477" w:type="dxa"/>
            <w:shd w:val="clear" w:color="auto" w:fill="00FF00"/>
            <w:vAlign w:val="center"/>
          </w:tcPr>
          <w:p w14:paraId="734EFB68" w14:textId="77777777" w:rsidR="0029118F" w:rsidRPr="00445472" w:rsidRDefault="0029118F" w:rsidP="008E14CA">
            <w:pPr>
              <w:pStyle w:val="TABELA"/>
              <w:spacing w:before="0"/>
              <w:ind w:right="0"/>
              <w:jc w:val="center"/>
              <w:rPr>
                <w:lang w:val="sq-AL"/>
              </w:rPr>
            </w:pPr>
            <w:r w:rsidRPr="00445472">
              <w:rPr>
                <w:lang w:val="sq-AL"/>
              </w:rPr>
              <w:t>75</w:t>
            </w:r>
          </w:p>
        </w:tc>
        <w:tc>
          <w:tcPr>
            <w:tcW w:w="3269" w:type="dxa"/>
            <w:vAlign w:val="center"/>
          </w:tcPr>
          <w:p w14:paraId="380FBD57" w14:textId="77777777" w:rsidR="0029118F" w:rsidRPr="00445472" w:rsidRDefault="0029118F" w:rsidP="0029118F">
            <w:pPr>
              <w:pStyle w:val="TABELA"/>
              <w:spacing w:before="0"/>
              <w:ind w:right="0"/>
              <w:rPr>
                <w:lang w:val="sq-AL"/>
              </w:rPr>
            </w:pPr>
            <w:r w:rsidRPr="00445472">
              <w:rPr>
                <w:lang w:val="sq-AL"/>
              </w:rPr>
              <w:t>Status i mirë ekologjik</w:t>
            </w:r>
          </w:p>
        </w:tc>
      </w:tr>
      <w:tr w:rsidR="0029118F" w:rsidRPr="00445472" w14:paraId="41274447" w14:textId="77777777" w:rsidTr="008E14CA">
        <w:trPr>
          <w:trHeight w:val="360"/>
          <w:jc w:val="center"/>
        </w:trPr>
        <w:tc>
          <w:tcPr>
            <w:tcW w:w="2823" w:type="dxa"/>
            <w:vAlign w:val="center"/>
          </w:tcPr>
          <w:p w14:paraId="729CF1C1" w14:textId="77777777" w:rsidR="0029118F" w:rsidRPr="00445472" w:rsidRDefault="0029118F" w:rsidP="0029118F">
            <w:pPr>
              <w:pStyle w:val="TABELA"/>
              <w:spacing w:before="0"/>
              <w:ind w:right="0"/>
              <w:rPr>
                <w:lang w:val="sq-AL"/>
              </w:rPr>
            </w:pPr>
            <w:r w:rsidRPr="00445472">
              <w:rPr>
                <w:lang w:val="sq-AL"/>
              </w:rPr>
              <w:t>Dege e Drinit të Zi</w:t>
            </w:r>
          </w:p>
        </w:tc>
        <w:tc>
          <w:tcPr>
            <w:tcW w:w="1051" w:type="dxa"/>
            <w:vAlign w:val="center"/>
          </w:tcPr>
          <w:p w14:paraId="09F369BC" w14:textId="77777777" w:rsidR="0029118F" w:rsidRPr="00445472" w:rsidRDefault="0029118F" w:rsidP="008E14CA">
            <w:pPr>
              <w:pStyle w:val="TABELA"/>
              <w:spacing w:before="0"/>
              <w:ind w:right="0"/>
              <w:jc w:val="center"/>
              <w:rPr>
                <w:lang w:val="sq-AL"/>
              </w:rPr>
            </w:pPr>
          </w:p>
        </w:tc>
        <w:tc>
          <w:tcPr>
            <w:tcW w:w="1181" w:type="dxa"/>
            <w:vAlign w:val="center"/>
          </w:tcPr>
          <w:p w14:paraId="5A2C0512" w14:textId="77777777" w:rsidR="0029118F" w:rsidRPr="00445472" w:rsidRDefault="0029118F" w:rsidP="008E14CA">
            <w:pPr>
              <w:pStyle w:val="TABELA"/>
              <w:spacing w:before="0"/>
              <w:ind w:right="0"/>
              <w:jc w:val="center"/>
              <w:rPr>
                <w:lang w:val="sq-AL"/>
              </w:rPr>
            </w:pPr>
          </w:p>
        </w:tc>
        <w:tc>
          <w:tcPr>
            <w:tcW w:w="1477" w:type="dxa"/>
            <w:shd w:val="clear" w:color="auto" w:fill="00FF00"/>
            <w:vAlign w:val="center"/>
          </w:tcPr>
          <w:p w14:paraId="65CB7115" w14:textId="77777777" w:rsidR="0029118F" w:rsidRPr="00445472" w:rsidRDefault="0029118F" w:rsidP="008E14CA">
            <w:pPr>
              <w:pStyle w:val="TABELA"/>
              <w:spacing w:before="0"/>
              <w:ind w:right="0"/>
              <w:jc w:val="center"/>
              <w:rPr>
                <w:lang w:val="sq-AL"/>
              </w:rPr>
            </w:pPr>
            <w:r w:rsidRPr="00445472">
              <w:rPr>
                <w:lang w:val="sq-AL"/>
              </w:rPr>
              <w:t>80</w:t>
            </w:r>
          </w:p>
        </w:tc>
        <w:tc>
          <w:tcPr>
            <w:tcW w:w="3269" w:type="dxa"/>
            <w:vAlign w:val="center"/>
          </w:tcPr>
          <w:p w14:paraId="48BE21E6" w14:textId="77777777" w:rsidR="0029118F" w:rsidRPr="00445472" w:rsidRDefault="0029118F" w:rsidP="0029118F">
            <w:pPr>
              <w:pStyle w:val="TABELA"/>
              <w:spacing w:before="0"/>
              <w:ind w:right="0"/>
              <w:rPr>
                <w:lang w:val="sq-AL"/>
              </w:rPr>
            </w:pPr>
            <w:r w:rsidRPr="00445472">
              <w:rPr>
                <w:lang w:val="sq-AL"/>
              </w:rPr>
              <w:t>Status i mirë ekologjik</w:t>
            </w:r>
          </w:p>
        </w:tc>
      </w:tr>
      <w:tr w:rsidR="0029118F" w:rsidRPr="00445472" w14:paraId="46E36B42" w14:textId="77777777" w:rsidTr="008E14CA">
        <w:trPr>
          <w:trHeight w:val="387"/>
          <w:jc w:val="center"/>
        </w:trPr>
        <w:tc>
          <w:tcPr>
            <w:tcW w:w="2823" w:type="dxa"/>
            <w:vAlign w:val="center"/>
          </w:tcPr>
          <w:p w14:paraId="1A733BD3" w14:textId="2915D915" w:rsidR="0029118F" w:rsidRPr="00445472" w:rsidRDefault="0029118F" w:rsidP="008E14CA">
            <w:pPr>
              <w:pStyle w:val="TABELA"/>
              <w:spacing w:before="0"/>
              <w:ind w:right="0"/>
              <w:rPr>
                <w:lang w:val="sq-AL"/>
              </w:rPr>
            </w:pPr>
            <w:r w:rsidRPr="00445472">
              <w:rPr>
                <w:lang w:val="sq-AL"/>
              </w:rPr>
              <w:t>Lumi i Gjadrit, pas Vau</w:t>
            </w:r>
            <w:r w:rsidR="008E14CA" w:rsidRPr="00445472">
              <w:rPr>
                <w:lang w:val="sq-AL"/>
              </w:rPr>
              <w:t>t</w:t>
            </w:r>
            <w:r w:rsidRPr="00445472">
              <w:rPr>
                <w:lang w:val="sq-AL"/>
              </w:rPr>
              <w:t xml:space="preserve"> </w:t>
            </w:r>
            <w:r w:rsidR="008E14CA" w:rsidRPr="00445472">
              <w:rPr>
                <w:lang w:val="sq-AL"/>
              </w:rPr>
              <w:t>të</w:t>
            </w:r>
            <w:r w:rsidRPr="00445472">
              <w:rPr>
                <w:lang w:val="sq-AL"/>
              </w:rPr>
              <w:t xml:space="preserve"> Dejës</w:t>
            </w:r>
          </w:p>
        </w:tc>
        <w:tc>
          <w:tcPr>
            <w:tcW w:w="1051" w:type="dxa"/>
            <w:vAlign w:val="center"/>
          </w:tcPr>
          <w:p w14:paraId="51CAD3EF" w14:textId="77777777" w:rsidR="0029118F" w:rsidRPr="00445472" w:rsidRDefault="0029118F" w:rsidP="008E14CA">
            <w:pPr>
              <w:pStyle w:val="TABELA"/>
              <w:spacing w:before="0"/>
              <w:ind w:right="0"/>
              <w:jc w:val="center"/>
              <w:rPr>
                <w:lang w:val="sq-AL"/>
              </w:rPr>
            </w:pPr>
            <w:r w:rsidRPr="00445472">
              <w:rPr>
                <w:lang w:val="sq-AL"/>
              </w:rPr>
              <w:t>42.00183</w:t>
            </w:r>
          </w:p>
        </w:tc>
        <w:tc>
          <w:tcPr>
            <w:tcW w:w="1181" w:type="dxa"/>
            <w:vAlign w:val="center"/>
          </w:tcPr>
          <w:p w14:paraId="6D316032" w14:textId="77777777" w:rsidR="0029118F" w:rsidRPr="00445472" w:rsidRDefault="0029118F" w:rsidP="008E14CA">
            <w:pPr>
              <w:pStyle w:val="TABELA"/>
              <w:spacing w:before="0"/>
              <w:ind w:right="0"/>
              <w:jc w:val="center"/>
              <w:rPr>
                <w:lang w:val="sq-AL"/>
              </w:rPr>
            </w:pPr>
            <w:r w:rsidRPr="00445472">
              <w:rPr>
                <w:lang w:val="sq-AL"/>
              </w:rPr>
              <w:t>19.63435</w:t>
            </w:r>
          </w:p>
        </w:tc>
        <w:tc>
          <w:tcPr>
            <w:tcW w:w="1477" w:type="dxa"/>
            <w:shd w:val="clear" w:color="auto" w:fill="00FF00"/>
            <w:vAlign w:val="center"/>
          </w:tcPr>
          <w:p w14:paraId="1A445F58" w14:textId="77777777" w:rsidR="0029118F" w:rsidRPr="00445472" w:rsidRDefault="0029118F" w:rsidP="008E14CA">
            <w:pPr>
              <w:pStyle w:val="TABELA"/>
              <w:spacing w:before="0"/>
              <w:ind w:right="0"/>
              <w:jc w:val="center"/>
              <w:rPr>
                <w:lang w:val="sq-AL"/>
              </w:rPr>
            </w:pPr>
            <w:r w:rsidRPr="00445472">
              <w:rPr>
                <w:lang w:val="sq-AL"/>
              </w:rPr>
              <w:t>80</w:t>
            </w:r>
          </w:p>
        </w:tc>
        <w:tc>
          <w:tcPr>
            <w:tcW w:w="3269" w:type="dxa"/>
            <w:vAlign w:val="center"/>
          </w:tcPr>
          <w:p w14:paraId="4C0A6C23" w14:textId="77777777" w:rsidR="0029118F" w:rsidRPr="00445472" w:rsidRDefault="0029118F" w:rsidP="0029118F">
            <w:pPr>
              <w:pStyle w:val="TABELA"/>
              <w:spacing w:before="0"/>
              <w:ind w:right="0"/>
              <w:rPr>
                <w:lang w:val="sq-AL"/>
              </w:rPr>
            </w:pPr>
            <w:r w:rsidRPr="00445472">
              <w:rPr>
                <w:lang w:val="sq-AL"/>
              </w:rPr>
              <w:t>Statusi i mirë ekologjik, pjesa e ujërave të larta të rezervuarit të vogël</w:t>
            </w:r>
          </w:p>
        </w:tc>
      </w:tr>
      <w:tr w:rsidR="0029118F" w:rsidRPr="00445472" w14:paraId="100F18FE" w14:textId="77777777" w:rsidTr="008E14CA">
        <w:trPr>
          <w:trHeight w:val="866"/>
          <w:jc w:val="center"/>
        </w:trPr>
        <w:tc>
          <w:tcPr>
            <w:tcW w:w="2823" w:type="dxa"/>
            <w:vAlign w:val="center"/>
          </w:tcPr>
          <w:p w14:paraId="1D969613" w14:textId="561E1821" w:rsidR="0029118F" w:rsidRPr="00445472" w:rsidRDefault="0029118F" w:rsidP="0029118F">
            <w:pPr>
              <w:pStyle w:val="TABELA"/>
              <w:spacing w:before="0"/>
              <w:ind w:right="0"/>
              <w:rPr>
                <w:lang w:val="sq-AL"/>
              </w:rPr>
            </w:pPr>
            <w:r w:rsidRPr="00445472">
              <w:rPr>
                <w:lang w:val="sq-AL"/>
              </w:rPr>
              <w:t>Lumi Kir,</w:t>
            </w:r>
            <w:r w:rsidR="008E14CA" w:rsidRPr="00445472">
              <w:rPr>
                <w:lang w:val="sq-AL"/>
              </w:rPr>
              <w:t xml:space="preserve"> </w:t>
            </w:r>
            <w:r w:rsidRPr="00445472">
              <w:rPr>
                <w:lang w:val="sq-AL"/>
              </w:rPr>
              <w:t xml:space="preserve">konfigurimi u/s </w:t>
            </w:r>
            <w:r w:rsidRPr="00445472">
              <w:rPr>
                <w:w w:val="95"/>
                <w:lang w:val="sq-AL"/>
              </w:rPr>
              <w:t>n</w:t>
            </w:r>
            <w:r w:rsidRPr="00445472">
              <w:rPr>
                <w:lang w:val="sq-AL"/>
              </w:rPr>
              <w:t>ë</w:t>
            </w:r>
            <w:r w:rsidRPr="00445472">
              <w:rPr>
                <w:w w:val="95"/>
                <w:lang w:val="sq-AL"/>
              </w:rPr>
              <w:t xml:space="preserve"> Lumin Drin </w:t>
            </w:r>
          </w:p>
        </w:tc>
        <w:tc>
          <w:tcPr>
            <w:tcW w:w="1051" w:type="dxa"/>
            <w:vAlign w:val="center"/>
          </w:tcPr>
          <w:p w14:paraId="35081B3D" w14:textId="77777777" w:rsidR="0029118F" w:rsidRPr="00445472" w:rsidRDefault="0029118F" w:rsidP="008E14CA">
            <w:pPr>
              <w:pStyle w:val="TABELA"/>
              <w:spacing w:before="0"/>
              <w:ind w:right="0"/>
              <w:jc w:val="center"/>
              <w:rPr>
                <w:lang w:val="sq-AL"/>
              </w:rPr>
            </w:pPr>
            <w:r w:rsidRPr="00445472">
              <w:rPr>
                <w:lang w:val="sq-AL"/>
              </w:rPr>
              <w:t>42.09415</w:t>
            </w:r>
          </w:p>
        </w:tc>
        <w:tc>
          <w:tcPr>
            <w:tcW w:w="1181" w:type="dxa"/>
            <w:vAlign w:val="center"/>
          </w:tcPr>
          <w:p w14:paraId="1309BFD1" w14:textId="77777777" w:rsidR="0029118F" w:rsidRPr="00445472" w:rsidRDefault="0029118F" w:rsidP="008E14CA">
            <w:pPr>
              <w:pStyle w:val="TABELA"/>
              <w:spacing w:before="0"/>
              <w:ind w:right="0"/>
              <w:jc w:val="center"/>
              <w:rPr>
                <w:lang w:val="sq-AL"/>
              </w:rPr>
            </w:pPr>
            <w:r w:rsidRPr="00445472">
              <w:rPr>
                <w:lang w:val="sq-AL"/>
              </w:rPr>
              <w:t>19.54151</w:t>
            </w:r>
          </w:p>
        </w:tc>
        <w:tc>
          <w:tcPr>
            <w:tcW w:w="1477" w:type="dxa"/>
            <w:shd w:val="clear" w:color="auto" w:fill="00FFFF"/>
            <w:vAlign w:val="center"/>
          </w:tcPr>
          <w:p w14:paraId="7810616E" w14:textId="77777777" w:rsidR="0029118F" w:rsidRPr="00445472" w:rsidRDefault="0029118F" w:rsidP="008E14CA">
            <w:pPr>
              <w:pStyle w:val="TABELA"/>
              <w:spacing w:before="0"/>
              <w:ind w:right="0"/>
              <w:jc w:val="center"/>
              <w:rPr>
                <w:lang w:val="sq-AL"/>
              </w:rPr>
            </w:pPr>
            <w:r w:rsidRPr="00445472">
              <w:rPr>
                <w:lang w:val="sq-AL"/>
              </w:rPr>
              <w:t>95</w:t>
            </w:r>
          </w:p>
        </w:tc>
        <w:tc>
          <w:tcPr>
            <w:tcW w:w="3269" w:type="dxa"/>
            <w:vAlign w:val="center"/>
          </w:tcPr>
          <w:p w14:paraId="2776B51E" w14:textId="77777777" w:rsidR="0029118F" w:rsidRPr="00445472" w:rsidRDefault="0029118F" w:rsidP="0029118F">
            <w:pPr>
              <w:pStyle w:val="TABELA"/>
              <w:spacing w:before="0"/>
              <w:ind w:right="0"/>
              <w:rPr>
                <w:lang w:val="sq-AL"/>
              </w:rPr>
            </w:pPr>
            <w:r w:rsidRPr="00445472">
              <w:rPr>
                <w:lang w:val="sq-AL"/>
              </w:rPr>
              <w:t>Lloji specifik i lumenjve të përmbytshëm (të përkohshme), me kanale lumorë. Statusi shumë i mirë ekologjik</w:t>
            </w:r>
          </w:p>
        </w:tc>
      </w:tr>
      <w:tr w:rsidR="0029118F" w:rsidRPr="00445472" w14:paraId="2E979A29" w14:textId="77777777" w:rsidTr="008E14CA">
        <w:trPr>
          <w:trHeight w:val="301"/>
          <w:jc w:val="center"/>
        </w:trPr>
        <w:tc>
          <w:tcPr>
            <w:tcW w:w="2823" w:type="dxa"/>
            <w:vAlign w:val="center"/>
          </w:tcPr>
          <w:p w14:paraId="2E3E7AA0" w14:textId="77777777" w:rsidR="0029118F" w:rsidRPr="00445472" w:rsidRDefault="0029118F" w:rsidP="0029118F">
            <w:pPr>
              <w:pStyle w:val="TABELA"/>
              <w:spacing w:before="0"/>
              <w:ind w:right="0"/>
              <w:rPr>
                <w:lang w:val="sq-AL"/>
              </w:rPr>
            </w:pPr>
            <w:r w:rsidRPr="00445472">
              <w:rPr>
                <w:lang w:val="sq-AL"/>
              </w:rPr>
              <w:t>Lumi Drini, Lezhë</w:t>
            </w:r>
          </w:p>
        </w:tc>
        <w:tc>
          <w:tcPr>
            <w:tcW w:w="1051" w:type="dxa"/>
            <w:vAlign w:val="center"/>
          </w:tcPr>
          <w:p w14:paraId="2DF3285D" w14:textId="77777777" w:rsidR="0029118F" w:rsidRPr="00445472" w:rsidRDefault="0029118F" w:rsidP="008E14CA">
            <w:pPr>
              <w:pStyle w:val="TABELA"/>
              <w:spacing w:before="0"/>
              <w:ind w:right="0"/>
              <w:jc w:val="center"/>
              <w:rPr>
                <w:lang w:val="sq-AL"/>
              </w:rPr>
            </w:pPr>
            <w:r w:rsidRPr="00445472">
              <w:rPr>
                <w:lang w:val="sq-AL"/>
              </w:rPr>
              <w:t>41.76558</w:t>
            </w:r>
          </w:p>
        </w:tc>
        <w:tc>
          <w:tcPr>
            <w:tcW w:w="1181" w:type="dxa"/>
            <w:vAlign w:val="center"/>
          </w:tcPr>
          <w:p w14:paraId="64604243" w14:textId="77777777" w:rsidR="0029118F" w:rsidRPr="00445472" w:rsidRDefault="0029118F" w:rsidP="008E14CA">
            <w:pPr>
              <w:pStyle w:val="TABELA"/>
              <w:spacing w:before="0"/>
              <w:ind w:right="0"/>
              <w:jc w:val="center"/>
              <w:rPr>
                <w:lang w:val="sq-AL"/>
              </w:rPr>
            </w:pPr>
            <w:r w:rsidRPr="00445472">
              <w:rPr>
                <w:lang w:val="sq-AL"/>
              </w:rPr>
              <w:t>19.63309</w:t>
            </w:r>
          </w:p>
        </w:tc>
        <w:tc>
          <w:tcPr>
            <w:tcW w:w="1477" w:type="dxa"/>
            <w:shd w:val="clear" w:color="auto" w:fill="FFFF00"/>
            <w:vAlign w:val="center"/>
          </w:tcPr>
          <w:p w14:paraId="5BDAF34F" w14:textId="77777777" w:rsidR="0029118F" w:rsidRPr="00445472" w:rsidRDefault="0029118F" w:rsidP="008E14CA">
            <w:pPr>
              <w:pStyle w:val="TABELA"/>
              <w:spacing w:before="0"/>
              <w:ind w:right="0"/>
              <w:jc w:val="center"/>
              <w:rPr>
                <w:lang w:val="sq-AL"/>
              </w:rPr>
            </w:pPr>
            <w:r w:rsidRPr="00445472">
              <w:rPr>
                <w:lang w:val="sq-AL"/>
              </w:rPr>
              <w:t>55</w:t>
            </w:r>
          </w:p>
        </w:tc>
        <w:tc>
          <w:tcPr>
            <w:tcW w:w="3269" w:type="dxa"/>
            <w:vAlign w:val="center"/>
          </w:tcPr>
          <w:p w14:paraId="79B4F7E9" w14:textId="77777777" w:rsidR="0029118F" w:rsidRPr="00445472" w:rsidRDefault="0029118F" w:rsidP="0029118F">
            <w:pPr>
              <w:pStyle w:val="TABELA"/>
              <w:spacing w:before="0"/>
              <w:ind w:right="0"/>
              <w:rPr>
                <w:lang w:val="sq-AL"/>
              </w:rPr>
            </w:pPr>
            <w:r w:rsidRPr="00445472">
              <w:rPr>
                <w:lang w:val="sq-AL"/>
              </w:rPr>
              <w:t>Statusi i moderuar i ndotjes me toksicitet në sedimentet</w:t>
            </w:r>
          </w:p>
        </w:tc>
      </w:tr>
      <w:tr w:rsidR="0029118F" w:rsidRPr="00445472" w14:paraId="4CE0CC40" w14:textId="77777777" w:rsidTr="008E14CA">
        <w:trPr>
          <w:trHeight w:val="620"/>
          <w:jc w:val="center"/>
        </w:trPr>
        <w:tc>
          <w:tcPr>
            <w:tcW w:w="2823" w:type="dxa"/>
            <w:vAlign w:val="center"/>
          </w:tcPr>
          <w:p w14:paraId="0901DBC2" w14:textId="77777777" w:rsidR="0029118F" w:rsidRPr="00445472" w:rsidRDefault="0029118F" w:rsidP="0029118F">
            <w:pPr>
              <w:pStyle w:val="TABELA"/>
              <w:spacing w:before="0"/>
              <w:ind w:right="0"/>
              <w:rPr>
                <w:lang w:val="sq-AL"/>
              </w:rPr>
            </w:pPr>
            <w:r w:rsidRPr="00445472">
              <w:rPr>
                <w:lang w:val="sq-AL"/>
              </w:rPr>
              <w:t>Lumi Bunë, liqeni i Shkodrës d/s, afër urës së vjetër</w:t>
            </w:r>
          </w:p>
        </w:tc>
        <w:tc>
          <w:tcPr>
            <w:tcW w:w="1051" w:type="dxa"/>
            <w:vAlign w:val="center"/>
          </w:tcPr>
          <w:p w14:paraId="2758522F" w14:textId="77777777" w:rsidR="0029118F" w:rsidRPr="00445472" w:rsidRDefault="0029118F" w:rsidP="008E14CA">
            <w:pPr>
              <w:pStyle w:val="TABELA"/>
              <w:spacing w:before="0"/>
              <w:ind w:right="0"/>
              <w:jc w:val="center"/>
              <w:rPr>
                <w:lang w:val="sq-AL"/>
              </w:rPr>
            </w:pPr>
            <w:r w:rsidRPr="00445472">
              <w:rPr>
                <w:lang w:val="sq-AL"/>
              </w:rPr>
              <w:t>42,04455</w:t>
            </w:r>
          </w:p>
        </w:tc>
        <w:tc>
          <w:tcPr>
            <w:tcW w:w="1181" w:type="dxa"/>
            <w:vAlign w:val="center"/>
          </w:tcPr>
          <w:p w14:paraId="02558B1A" w14:textId="77777777" w:rsidR="0029118F" w:rsidRPr="00445472" w:rsidRDefault="0029118F" w:rsidP="008E14CA">
            <w:pPr>
              <w:pStyle w:val="TABELA"/>
              <w:spacing w:before="0"/>
              <w:ind w:right="0"/>
              <w:jc w:val="center"/>
              <w:rPr>
                <w:lang w:val="sq-AL"/>
              </w:rPr>
            </w:pPr>
            <w:r w:rsidRPr="00445472">
              <w:rPr>
                <w:lang w:val="sq-AL"/>
              </w:rPr>
              <w:t>19,48473</w:t>
            </w:r>
          </w:p>
        </w:tc>
        <w:tc>
          <w:tcPr>
            <w:tcW w:w="1477" w:type="dxa"/>
            <w:shd w:val="clear" w:color="auto" w:fill="FFFF00"/>
            <w:vAlign w:val="center"/>
          </w:tcPr>
          <w:p w14:paraId="26C61680" w14:textId="77777777" w:rsidR="0029118F" w:rsidRPr="00445472" w:rsidRDefault="0029118F" w:rsidP="008E14CA">
            <w:pPr>
              <w:pStyle w:val="TABELA"/>
              <w:spacing w:before="0"/>
              <w:ind w:right="0"/>
              <w:jc w:val="center"/>
              <w:rPr>
                <w:lang w:val="sq-AL"/>
              </w:rPr>
            </w:pPr>
            <w:r w:rsidRPr="00445472">
              <w:rPr>
                <w:lang w:val="sq-AL"/>
              </w:rPr>
              <w:t>55</w:t>
            </w:r>
          </w:p>
        </w:tc>
        <w:tc>
          <w:tcPr>
            <w:tcW w:w="3269" w:type="dxa"/>
            <w:vAlign w:val="center"/>
          </w:tcPr>
          <w:p w14:paraId="1859ECDE" w14:textId="77777777" w:rsidR="0029118F" w:rsidRPr="00445472" w:rsidRDefault="0029118F" w:rsidP="0029118F">
            <w:pPr>
              <w:pStyle w:val="TABELA"/>
              <w:spacing w:before="0"/>
              <w:ind w:right="0"/>
              <w:rPr>
                <w:lang w:val="sq-AL"/>
              </w:rPr>
            </w:pPr>
            <w:r w:rsidRPr="00445472">
              <w:rPr>
                <w:lang w:val="sq-AL"/>
              </w:rPr>
              <w:t>Status i moderuar i ndotjes</w:t>
            </w:r>
          </w:p>
        </w:tc>
      </w:tr>
      <w:tr w:rsidR="0029118F" w:rsidRPr="00445472" w14:paraId="24DB30FA" w14:textId="77777777" w:rsidTr="008E14CA">
        <w:trPr>
          <w:trHeight w:val="360"/>
          <w:jc w:val="center"/>
        </w:trPr>
        <w:tc>
          <w:tcPr>
            <w:tcW w:w="2823" w:type="dxa"/>
            <w:vAlign w:val="center"/>
          </w:tcPr>
          <w:p w14:paraId="670897A7" w14:textId="77777777" w:rsidR="0029118F" w:rsidRPr="00445472" w:rsidRDefault="0029118F" w:rsidP="0029118F">
            <w:pPr>
              <w:pStyle w:val="TABELA"/>
              <w:spacing w:before="0"/>
              <w:ind w:right="0"/>
              <w:rPr>
                <w:lang w:val="sq-AL"/>
              </w:rPr>
            </w:pPr>
            <w:r w:rsidRPr="00445472">
              <w:rPr>
                <w:lang w:val="sq-AL"/>
              </w:rPr>
              <w:t>Lumi Bunë, Seksioni i Poshtëm</w:t>
            </w:r>
          </w:p>
        </w:tc>
        <w:tc>
          <w:tcPr>
            <w:tcW w:w="1051" w:type="dxa"/>
            <w:vAlign w:val="center"/>
          </w:tcPr>
          <w:p w14:paraId="4FAECACB" w14:textId="77777777" w:rsidR="0029118F" w:rsidRPr="00445472" w:rsidRDefault="0029118F" w:rsidP="008E14CA">
            <w:pPr>
              <w:pStyle w:val="TABELA"/>
              <w:spacing w:before="0"/>
              <w:ind w:right="0"/>
              <w:jc w:val="center"/>
              <w:rPr>
                <w:lang w:val="sq-AL"/>
              </w:rPr>
            </w:pPr>
            <w:r w:rsidRPr="00445472">
              <w:rPr>
                <w:lang w:val="sq-AL"/>
              </w:rPr>
              <w:t>41,99305</w:t>
            </w:r>
          </w:p>
        </w:tc>
        <w:tc>
          <w:tcPr>
            <w:tcW w:w="1181" w:type="dxa"/>
            <w:vAlign w:val="center"/>
          </w:tcPr>
          <w:p w14:paraId="7FA6A183" w14:textId="77777777" w:rsidR="0029118F" w:rsidRPr="00445472" w:rsidRDefault="0029118F" w:rsidP="008E14CA">
            <w:pPr>
              <w:pStyle w:val="TABELA"/>
              <w:spacing w:before="0"/>
              <w:ind w:right="0"/>
              <w:jc w:val="center"/>
              <w:rPr>
                <w:lang w:val="sq-AL"/>
              </w:rPr>
            </w:pPr>
            <w:r w:rsidRPr="00445472">
              <w:rPr>
                <w:lang w:val="sq-AL"/>
              </w:rPr>
              <w:t>19,43809</w:t>
            </w:r>
          </w:p>
        </w:tc>
        <w:tc>
          <w:tcPr>
            <w:tcW w:w="1477" w:type="dxa"/>
            <w:shd w:val="clear" w:color="auto" w:fill="FFFF00"/>
            <w:vAlign w:val="center"/>
          </w:tcPr>
          <w:p w14:paraId="368F21A4" w14:textId="77777777" w:rsidR="0029118F" w:rsidRPr="00445472" w:rsidRDefault="0029118F" w:rsidP="008E14CA">
            <w:pPr>
              <w:pStyle w:val="TABELA"/>
              <w:spacing w:before="0"/>
              <w:ind w:right="0"/>
              <w:jc w:val="center"/>
              <w:rPr>
                <w:lang w:val="sq-AL"/>
              </w:rPr>
            </w:pPr>
            <w:r w:rsidRPr="00445472">
              <w:rPr>
                <w:lang w:val="sq-AL"/>
              </w:rPr>
              <w:t>50</w:t>
            </w:r>
          </w:p>
        </w:tc>
        <w:tc>
          <w:tcPr>
            <w:tcW w:w="3269" w:type="dxa"/>
            <w:vAlign w:val="center"/>
          </w:tcPr>
          <w:p w14:paraId="2C0A5E94" w14:textId="77777777" w:rsidR="0029118F" w:rsidRPr="00445472" w:rsidRDefault="0029118F" w:rsidP="0029118F">
            <w:pPr>
              <w:pStyle w:val="TABELA"/>
              <w:spacing w:before="0"/>
              <w:ind w:right="0"/>
              <w:rPr>
                <w:lang w:val="sq-AL"/>
              </w:rPr>
            </w:pPr>
            <w:r w:rsidRPr="00445472">
              <w:rPr>
                <w:lang w:val="sq-AL"/>
              </w:rPr>
              <w:t>Status i moderuar ekologjik</w:t>
            </w:r>
          </w:p>
        </w:tc>
      </w:tr>
      <w:tr w:rsidR="0029118F" w:rsidRPr="00445472" w14:paraId="069C67A8" w14:textId="77777777" w:rsidTr="0029118F">
        <w:trPr>
          <w:trHeight w:val="157"/>
          <w:jc w:val="center"/>
        </w:trPr>
        <w:tc>
          <w:tcPr>
            <w:tcW w:w="9801" w:type="dxa"/>
            <w:gridSpan w:val="5"/>
            <w:vAlign w:val="center"/>
          </w:tcPr>
          <w:p w14:paraId="07F2BF2A" w14:textId="558246A1" w:rsidR="0029118F" w:rsidRPr="00EE680D" w:rsidRDefault="008E14CA" w:rsidP="0029118F">
            <w:pPr>
              <w:pStyle w:val="TABELA"/>
              <w:spacing w:before="0"/>
              <w:ind w:right="0"/>
              <w:rPr>
                <w:b/>
                <w:lang w:val="sq-AL"/>
              </w:rPr>
            </w:pPr>
            <w:r w:rsidRPr="00EE680D">
              <w:rPr>
                <w:b/>
                <w:lang w:val="sq-AL"/>
              </w:rPr>
              <w:t xml:space="preserve"> </w:t>
            </w:r>
            <w:r w:rsidR="0029118F" w:rsidRPr="00EE680D">
              <w:rPr>
                <w:b/>
                <w:lang w:val="sq-AL"/>
              </w:rPr>
              <w:t>Liqenet</w:t>
            </w:r>
          </w:p>
        </w:tc>
      </w:tr>
      <w:tr w:rsidR="0029118F" w:rsidRPr="00445472" w14:paraId="72949FCE" w14:textId="77777777" w:rsidTr="008E14CA">
        <w:trPr>
          <w:trHeight w:val="360"/>
          <w:jc w:val="center"/>
        </w:trPr>
        <w:tc>
          <w:tcPr>
            <w:tcW w:w="2823" w:type="dxa"/>
            <w:vAlign w:val="center"/>
          </w:tcPr>
          <w:p w14:paraId="394150C1" w14:textId="01DC7D50" w:rsidR="0029118F" w:rsidRPr="00445472" w:rsidRDefault="0029118F" w:rsidP="0029118F">
            <w:pPr>
              <w:pStyle w:val="TABELA"/>
              <w:spacing w:before="0"/>
              <w:ind w:right="0"/>
              <w:rPr>
                <w:lang w:val="sq-AL"/>
              </w:rPr>
            </w:pPr>
            <w:r w:rsidRPr="00445472">
              <w:rPr>
                <w:lang w:val="sq-AL"/>
              </w:rPr>
              <w:t>Liqeni i Shkodrës,</w:t>
            </w:r>
            <w:r w:rsidR="008E14CA" w:rsidRPr="00445472">
              <w:rPr>
                <w:lang w:val="sq-AL"/>
              </w:rPr>
              <w:t xml:space="preserve"> </w:t>
            </w:r>
            <w:r w:rsidRPr="00445472">
              <w:rPr>
                <w:lang w:val="sq-AL"/>
              </w:rPr>
              <w:t>në Shirokë</w:t>
            </w:r>
          </w:p>
        </w:tc>
        <w:tc>
          <w:tcPr>
            <w:tcW w:w="1051" w:type="dxa"/>
            <w:vAlign w:val="center"/>
          </w:tcPr>
          <w:p w14:paraId="19C3C2D9" w14:textId="77777777" w:rsidR="0029118F" w:rsidRPr="00445472" w:rsidRDefault="0029118F" w:rsidP="008E14CA">
            <w:pPr>
              <w:pStyle w:val="TABELA"/>
              <w:spacing w:before="0"/>
              <w:ind w:right="0"/>
              <w:jc w:val="center"/>
              <w:rPr>
                <w:lang w:val="sq-AL"/>
              </w:rPr>
            </w:pPr>
            <w:r w:rsidRPr="00445472">
              <w:rPr>
                <w:lang w:val="sq-AL"/>
              </w:rPr>
              <w:t>42,05845</w:t>
            </w:r>
          </w:p>
        </w:tc>
        <w:tc>
          <w:tcPr>
            <w:tcW w:w="1181" w:type="dxa"/>
            <w:vAlign w:val="center"/>
          </w:tcPr>
          <w:p w14:paraId="0616C44B" w14:textId="77777777" w:rsidR="0029118F" w:rsidRPr="00445472" w:rsidRDefault="0029118F" w:rsidP="008E14CA">
            <w:pPr>
              <w:pStyle w:val="TABELA"/>
              <w:spacing w:before="0"/>
              <w:ind w:right="0"/>
              <w:jc w:val="center"/>
              <w:rPr>
                <w:lang w:val="sq-AL"/>
              </w:rPr>
            </w:pPr>
            <w:r w:rsidRPr="00445472">
              <w:rPr>
                <w:lang w:val="sq-AL"/>
              </w:rPr>
              <w:t>19,45979</w:t>
            </w:r>
          </w:p>
        </w:tc>
        <w:tc>
          <w:tcPr>
            <w:tcW w:w="1477" w:type="dxa"/>
            <w:shd w:val="clear" w:color="auto" w:fill="auto"/>
            <w:vAlign w:val="center"/>
          </w:tcPr>
          <w:p w14:paraId="32753356" w14:textId="77777777" w:rsidR="0029118F" w:rsidRPr="00445472" w:rsidRDefault="0029118F" w:rsidP="008E14CA">
            <w:pPr>
              <w:pStyle w:val="TABELA"/>
              <w:spacing w:before="0"/>
              <w:ind w:right="0"/>
              <w:jc w:val="center"/>
              <w:rPr>
                <w:lang w:val="sq-AL"/>
              </w:rPr>
            </w:pPr>
            <w:r w:rsidRPr="00445472">
              <w:rPr>
                <w:lang w:val="sq-AL"/>
              </w:rPr>
              <w:t>N/A</w:t>
            </w:r>
          </w:p>
        </w:tc>
        <w:tc>
          <w:tcPr>
            <w:tcW w:w="3269" w:type="dxa"/>
            <w:vAlign w:val="center"/>
          </w:tcPr>
          <w:p w14:paraId="553F25A9" w14:textId="77777777" w:rsidR="0029118F" w:rsidRPr="00445472" w:rsidRDefault="0029118F" w:rsidP="0029118F">
            <w:pPr>
              <w:pStyle w:val="TABELA"/>
              <w:spacing w:before="0"/>
              <w:ind w:right="0"/>
              <w:rPr>
                <w:lang w:val="sq-AL"/>
              </w:rPr>
            </w:pPr>
            <w:r w:rsidRPr="00445472">
              <w:rPr>
                <w:lang w:val="sq-AL"/>
              </w:rPr>
              <w:t>Vlerësimi biologjik i ekspertëve: statusi i mirë ekologjik për këtë ekosistem specifik të liqenit</w:t>
            </w:r>
          </w:p>
        </w:tc>
      </w:tr>
    </w:tbl>
    <w:p w14:paraId="4AC392C1" w14:textId="77777777" w:rsidR="0029118F" w:rsidRPr="00445472" w:rsidRDefault="0029118F" w:rsidP="0029118F">
      <w:pPr>
        <w:rPr>
          <w:rFonts w:ascii="Garamond" w:hAnsi="Garamond"/>
          <w:sz w:val="18"/>
        </w:rPr>
      </w:pPr>
    </w:p>
    <w:p w14:paraId="4BE1C5C3" w14:textId="04B72301" w:rsidR="0029118F" w:rsidRPr="00445472" w:rsidRDefault="001726A6" w:rsidP="0029118F">
      <w:pPr>
        <w:pStyle w:val="NENTITULL"/>
        <w:rPr>
          <w:sz w:val="21"/>
        </w:rPr>
      </w:pPr>
      <w:bookmarkStart w:id="146" w:name="_Toc11068817"/>
      <w:r w:rsidRPr="00445472">
        <w:t xml:space="preserve">7.2.1 </w:t>
      </w:r>
      <w:r w:rsidR="0029118F" w:rsidRPr="00445472">
        <w:t xml:space="preserve">Karakterizimi i Basenit Ujor </w:t>
      </w:r>
      <w:r w:rsidR="007E76E3" w:rsidRPr="00445472">
        <w:t>Drin–Bunë</w:t>
      </w:r>
      <w:bookmarkEnd w:id="146"/>
    </w:p>
    <w:p w14:paraId="2F6CA6E7" w14:textId="4D7E61B3" w:rsidR="0029118F" w:rsidRPr="00445472" w:rsidRDefault="001726A6" w:rsidP="0029118F">
      <w:pPr>
        <w:pStyle w:val="NENTITULL"/>
      </w:pPr>
      <w:r w:rsidRPr="00445472">
        <w:t xml:space="preserve">7.2.1.1 </w:t>
      </w:r>
      <w:r w:rsidR="0029118F" w:rsidRPr="00445472">
        <w:t>Drini i Bardhë (Kukës)</w:t>
      </w:r>
    </w:p>
    <w:p w14:paraId="764BB652" w14:textId="02C1B831" w:rsidR="0029118F" w:rsidRPr="00445472" w:rsidRDefault="0029118F" w:rsidP="0029118F">
      <w:pPr>
        <w:pStyle w:val="TEKSTIIII"/>
      </w:pPr>
      <w:r w:rsidRPr="00445472">
        <w:t xml:space="preserve">Ky nuk është një lumë tipik, sepse seksioni i investiguar është një seksion burimor që ndodhet në një lartësi prej përafërsisht 300 m. Karakterizohet nga shkarkim i madh i ujit dhe luhatjet e nivelit të ujit. Një komunitet i qëndrueshëm bregor nuk mund të zhvillohet për shkak të ndryshimeve në nivelin e ujit. Elementi dominues i faunës është zooplanktoni me artropodët bentikë (Hydracarina). </w:t>
      </w:r>
      <w:r w:rsidR="00316F21">
        <w:t>VSHB</w:t>
      </w:r>
      <w:r w:rsidR="008E14CA" w:rsidRPr="00445472">
        <w:t xml:space="preserve"> </w:t>
      </w:r>
      <w:r w:rsidRPr="00445472">
        <w:t>nuk është i aplikueshëm në kushte të tilla.</w:t>
      </w:r>
    </w:p>
    <w:p w14:paraId="4167D6B8" w14:textId="77777777" w:rsidR="0029118F" w:rsidRPr="00445472" w:rsidRDefault="0029118F" w:rsidP="001726A6">
      <w:pPr>
        <w:pStyle w:val="TEKSTIIII"/>
      </w:pPr>
    </w:p>
    <w:p w14:paraId="47A51E9F" w14:textId="77777777" w:rsidR="0029118F" w:rsidRPr="00445472" w:rsidRDefault="0029118F" w:rsidP="001726A6">
      <w:pPr>
        <w:pStyle w:val="TEKSTIIII"/>
        <w:rPr>
          <w:sz w:val="12"/>
        </w:rPr>
      </w:pPr>
      <w:r w:rsidRPr="00445472">
        <w:rPr>
          <w:noProof/>
          <w:lang w:val="en-US"/>
        </w:rPr>
        <w:drawing>
          <wp:anchor distT="0" distB="0" distL="0" distR="0" simplePos="0" relativeHeight="251616768" behindDoc="0" locked="0" layoutInCell="1" allowOverlap="1" wp14:anchorId="16B87517" wp14:editId="3D70ABF7">
            <wp:simplePos x="0" y="0"/>
            <wp:positionH relativeFrom="page">
              <wp:posOffset>2050126</wp:posOffset>
            </wp:positionH>
            <wp:positionV relativeFrom="paragraph">
              <wp:posOffset>371</wp:posOffset>
            </wp:positionV>
            <wp:extent cx="3206750" cy="2405380"/>
            <wp:effectExtent l="0" t="0" r="0" b="0"/>
            <wp:wrapTopAndBottom/>
            <wp:docPr id="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06750" cy="2405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48212" w14:textId="77777777" w:rsidR="0029118F" w:rsidRPr="00445472" w:rsidRDefault="0029118F" w:rsidP="001726A6">
      <w:pPr>
        <w:pStyle w:val="NENTITULL"/>
        <w:jc w:val="center"/>
      </w:pPr>
      <w:r w:rsidRPr="00445472">
        <w:t>Figura 7.1: Bimë Tokësore në Bregun e Sektorit të Rezervuarit të Drinit të Bardhë në Kukës</w:t>
      </w:r>
    </w:p>
    <w:p w14:paraId="704EAAE0" w14:textId="77777777" w:rsidR="0029118F" w:rsidRPr="00445472" w:rsidRDefault="0029118F" w:rsidP="001726A6">
      <w:pPr>
        <w:pStyle w:val="TEKSTIIII"/>
      </w:pPr>
    </w:p>
    <w:p w14:paraId="14FE5860" w14:textId="61E270B7" w:rsidR="0029118F" w:rsidRPr="00445472" w:rsidRDefault="001726A6" w:rsidP="001726A6">
      <w:pPr>
        <w:pStyle w:val="NENTITULL"/>
      </w:pPr>
      <w:r w:rsidRPr="00445472">
        <w:t xml:space="preserve">7.2.1.2 </w:t>
      </w:r>
      <w:r w:rsidR="0029118F" w:rsidRPr="00445472">
        <w:t>Drini i Zi (Rrjedha e sipërme e Urës së Topojanit)</w:t>
      </w:r>
    </w:p>
    <w:p w14:paraId="7C911E3B" w14:textId="77777777" w:rsidR="0029118F" w:rsidRPr="00445472" w:rsidRDefault="0029118F" w:rsidP="001726A6">
      <w:pPr>
        <w:pStyle w:val="TEKSTIIII"/>
      </w:pPr>
      <w:r w:rsidRPr="00445472">
        <w:t>Vendndodhja e marrjes së mostrave të lumit në këtë seksion me rrjedhë të shpejtë është mbi 400 m mbi nivelin e detit ku gurët e mëdhenj, zhavorri dhe zalli janë përbërësit kryesorë të shtresës së lumit. Pjesa e lumit këtu është përgjithësisht e natyrshme; ngjyra e ujit është në gri për shkak të lëndëve të ngurta pezull që vijnë nga erozioni.</w:t>
      </w:r>
    </w:p>
    <w:p w14:paraId="6641C8F3" w14:textId="602FA0C5" w:rsidR="0029118F" w:rsidRPr="00445472" w:rsidRDefault="0029118F" w:rsidP="001726A6">
      <w:pPr>
        <w:pStyle w:val="TEKSTIIII"/>
      </w:pPr>
      <w:r w:rsidRPr="00445472">
        <w:t xml:space="preserve">Lumi Drin i Zi në rrjedhën e sipërme pranë Urës së Topojanit siguroi një </w:t>
      </w:r>
      <w:r w:rsidR="00316F21">
        <w:t>VSHB</w:t>
      </w:r>
      <w:r w:rsidRPr="00445472">
        <w:t xml:space="preserve"> afër </w:t>
      </w:r>
      <w:r w:rsidR="00D62EDF" w:rsidRPr="00445472">
        <w:t>“</w:t>
      </w:r>
      <w:r w:rsidRPr="00445472">
        <w:t>kushteve referencë</w:t>
      </w:r>
      <w:r w:rsidR="00D62EDF" w:rsidRPr="00445472">
        <w:t>”</w:t>
      </w:r>
      <w:r w:rsidRPr="00445472">
        <w:t xml:space="preserve"> në kushtet e presionit të ndotjes. Makroinvertebrorët janë tregues shumë të ndjeshëm të ngarkesës organike ose ndotjes së përzier (edhe pse jo aq efektive për ndryshimet hidromorfologjike). Ky vend i kampionimit mund të përdoret si një ekosistem lumor përfaqësues për kushtet gjysmëmalore.</w:t>
      </w:r>
    </w:p>
    <w:p w14:paraId="04C6F483" w14:textId="77777777" w:rsidR="0029118F" w:rsidRPr="00445472" w:rsidRDefault="0029118F" w:rsidP="001726A6">
      <w:pPr>
        <w:pStyle w:val="TEKSTIIII"/>
        <w:jc w:val="center"/>
        <w:rPr>
          <w:b/>
        </w:rPr>
      </w:pPr>
      <w:r w:rsidRPr="00445472">
        <w:rPr>
          <w:noProof/>
          <w:spacing w:val="-25"/>
          <w:lang w:val="en-US"/>
        </w:rPr>
        <w:drawing>
          <wp:inline distT="0" distB="0" distL="0" distR="0" wp14:anchorId="2681F232" wp14:editId="623520A9">
            <wp:extent cx="3078480" cy="2200910"/>
            <wp:effectExtent l="0" t="0" r="0" b="0"/>
            <wp:docPr id="16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78480" cy="2200910"/>
                    </a:xfrm>
                    <a:prstGeom prst="rect">
                      <a:avLst/>
                    </a:prstGeom>
                    <a:noFill/>
                    <a:ln>
                      <a:noFill/>
                    </a:ln>
                  </pic:spPr>
                </pic:pic>
              </a:graphicData>
            </a:graphic>
          </wp:inline>
        </w:drawing>
      </w:r>
    </w:p>
    <w:p w14:paraId="5F9EFE16" w14:textId="77777777" w:rsidR="0029118F" w:rsidRPr="00445472" w:rsidRDefault="0029118F" w:rsidP="001726A6">
      <w:pPr>
        <w:pStyle w:val="TEKSTIIII"/>
        <w:jc w:val="center"/>
        <w:rPr>
          <w:b/>
        </w:rPr>
      </w:pPr>
      <w:r w:rsidRPr="00445472">
        <w:rPr>
          <w:b/>
        </w:rPr>
        <w:t>Figura 7.2: Struktura e bregut të Drinit të Zi tek Ura e Topojanit</w:t>
      </w:r>
    </w:p>
    <w:p w14:paraId="73F9D07C" w14:textId="77777777" w:rsidR="008E14CA" w:rsidRPr="00445472" w:rsidRDefault="008E14CA" w:rsidP="001726A6">
      <w:pPr>
        <w:pStyle w:val="NENTITULL"/>
      </w:pPr>
    </w:p>
    <w:p w14:paraId="4CA45EE5" w14:textId="5BC471AA" w:rsidR="0029118F" w:rsidRPr="00445472" w:rsidRDefault="001726A6" w:rsidP="001726A6">
      <w:pPr>
        <w:pStyle w:val="NENTITULL"/>
      </w:pPr>
      <w:r w:rsidRPr="00445472">
        <w:t xml:space="preserve">7.2.1.3 </w:t>
      </w:r>
      <w:r w:rsidR="0029118F" w:rsidRPr="00445472">
        <w:t>Drini i zi (</w:t>
      </w:r>
      <w:r w:rsidR="008E14CA" w:rsidRPr="00445472">
        <w:t xml:space="preserve">rrjedha </w:t>
      </w:r>
      <w:r w:rsidR="0029118F" w:rsidRPr="00445472">
        <w:t>e sipërme e Resk</w:t>
      </w:r>
      <w:r w:rsidR="008E14CA" w:rsidRPr="00445472">
        <w:t>ut</w:t>
      </w:r>
      <w:r w:rsidR="0029118F" w:rsidRPr="00445472">
        <w:t>)</w:t>
      </w:r>
    </w:p>
    <w:p w14:paraId="58D95E84" w14:textId="54BA6C73" w:rsidR="0029118F" w:rsidRPr="00445472" w:rsidRDefault="0029118F" w:rsidP="001726A6">
      <w:pPr>
        <w:pStyle w:val="TEKSTIIII"/>
      </w:pPr>
      <w:r w:rsidRPr="00445472">
        <w:t xml:space="preserve">Kjo shtrirje e lumit Drini Zi është në kushte natyrore. Lumi rrjedh nëpër një rajon malor, me nënshtresën e poshtme të përbërë nga materiale gurore (nga gurët e mëdhenj deri te fraksionet e guralecave) dhe disa shtrirje të gjera me depozitim të rëndë të rërës që tregon një presion të fortë të erozionit. Lumi Drini i Zi ka rrjedhë shumë të madhe të ujit pas një përmbytjeje. Kjo shtrirje e lumit është e pandotur me një </w:t>
      </w:r>
      <w:r w:rsidR="00316F21">
        <w:t>VSHB</w:t>
      </w:r>
      <w:r w:rsidR="008E14CA" w:rsidRPr="00445472">
        <w:t xml:space="preserve"> </w:t>
      </w:r>
      <w:r w:rsidRPr="00445472">
        <w:t>prej 95% (= status shumë i mirë ekologjik) dhe përcakton kushtet specifike për makroinvertebrorët dhe peshqit.</w:t>
      </w:r>
    </w:p>
    <w:p w14:paraId="260BDA4D" w14:textId="77777777" w:rsidR="0029118F" w:rsidRPr="00445472" w:rsidRDefault="0029118F" w:rsidP="001726A6">
      <w:pPr>
        <w:pStyle w:val="TEKSTIIII"/>
        <w:rPr>
          <w:b/>
          <w:bCs/>
          <w:sz w:val="22"/>
        </w:rPr>
      </w:pPr>
    </w:p>
    <w:p w14:paraId="2FC2887A" w14:textId="77777777" w:rsidR="0029118F" w:rsidRPr="00445472" w:rsidRDefault="0029118F" w:rsidP="001726A6">
      <w:pPr>
        <w:pStyle w:val="TEKSTIIII"/>
        <w:rPr>
          <w:b/>
          <w:sz w:val="13"/>
        </w:rPr>
      </w:pPr>
      <w:r w:rsidRPr="00445472">
        <w:rPr>
          <w:noProof/>
          <w:lang w:val="en-US"/>
        </w:rPr>
        <w:drawing>
          <wp:anchor distT="0" distB="0" distL="0" distR="0" simplePos="0" relativeHeight="251628032" behindDoc="0" locked="0" layoutInCell="1" allowOverlap="1" wp14:anchorId="2B32CB96" wp14:editId="56B90B50">
            <wp:simplePos x="0" y="0"/>
            <wp:positionH relativeFrom="page">
              <wp:posOffset>2069177</wp:posOffset>
            </wp:positionH>
            <wp:positionV relativeFrom="paragraph">
              <wp:posOffset>36887</wp:posOffset>
            </wp:positionV>
            <wp:extent cx="3609975" cy="2030095"/>
            <wp:effectExtent l="0" t="0" r="0" b="0"/>
            <wp:wrapTopAndBottom/>
            <wp:docPr id="15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09975" cy="2030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FA7541" w14:textId="77777777" w:rsidR="0029118F" w:rsidRPr="00445472" w:rsidRDefault="0029118F" w:rsidP="001726A6">
      <w:pPr>
        <w:pStyle w:val="TEKSTIIII"/>
        <w:jc w:val="center"/>
        <w:rPr>
          <w:b/>
        </w:rPr>
      </w:pPr>
      <w:r w:rsidRPr="00445472">
        <w:rPr>
          <w:b/>
        </w:rPr>
        <w:t>Figura 7.3:  Drini i zi dhe një degëzim i vogël pranë fshatit Resk</w:t>
      </w:r>
    </w:p>
    <w:p w14:paraId="27711CA6" w14:textId="77777777" w:rsidR="0029118F" w:rsidRPr="00445472" w:rsidRDefault="0029118F" w:rsidP="001726A6">
      <w:pPr>
        <w:pStyle w:val="TEKSTIIII"/>
        <w:rPr>
          <w:b/>
          <w:sz w:val="26"/>
        </w:rPr>
      </w:pPr>
    </w:p>
    <w:p w14:paraId="3964E492" w14:textId="37C68B33" w:rsidR="0029118F" w:rsidRPr="00445472" w:rsidRDefault="001726A6" w:rsidP="001726A6">
      <w:pPr>
        <w:pStyle w:val="NENTITULL"/>
      </w:pPr>
      <w:r w:rsidRPr="00445472">
        <w:t xml:space="preserve">7.2.1.4 </w:t>
      </w:r>
      <w:r w:rsidR="0029118F" w:rsidRPr="00445472">
        <w:t>Lumi i Gjadrit (Pas Vaut të Dejës, Sektori i Rezervuarve)</w:t>
      </w:r>
    </w:p>
    <w:p w14:paraId="6EA18DD4" w14:textId="3C46356C" w:rsidR="0029118F" w:rsidRPr="00445472" w:rsidRDefault="0029118F" w:rsidP="001726A6">
      <w:pPr>
        <w:pStyle w:val="TEKSTIIII"/>
      </w:pPr>
      <w:r w:rsidRPr="00445472">
        <w:t xml:space="preserve">Ky stacion kampionimi është një lumë i ultësirës me nënshtresa të mira dhe shpejtësi shumë të ngadalshme (pjesa e ujërave të ndotura të rezervuarit të Mjedenit pas rezervuarit të madh të Vaut të Dejës). Indeksi </w:t>
      </w:r>
      <w:r w:rsidR="00316F21">
        <w:t>VSHB</w:t>
      </w:r>
      <w:r w:rsidR="008E14CA" w:rsidRPr="00445472">
        <w:t xml:space="preserve"> </w:t>
      </w:r>
      <w:r w:rsidRPr="00445472">
        <w:t>tregon status të mirë me disa ndikime lokale (</w:t>
      </w:r>
      <w:r w:rsidR="00316F21">
        <w:t>VSHB</w:t>
      </w:r>
      <w:r w:rsidR="008E14CA" w:rsidRPr="00445472">
        <w:t xml:space="preserve"> </w:t>
      </w:r>
      <w:r w:rsidRPr="00445472">
        <w:t>= 80%). Duhet të theksohet se të dhënat shtesë janë të nevojshme për vlerësimin e këtij statusi.</w:t>
      </w:r>
    </w:p>
    <w:p w14:paraId="46CAE138" w14:textId="6062753C" w:rsidR="0029118F" w:rsidRPr="00445472" w:rsidRDefault="001726A6" w:rsidP="001726A6">
      <w:pPr>
        <w:pStyle w:val="TEKSTIIII"/>
      </w:pPr>
      <w:r w:rsidRPr="00445472">
        <w:rPr>
          <w:noProof/>
          <w:lang w:val="en-US"/>
        </w:rPr>
        <mc:AlternateContent>
          <mc:Choice Requires="wpg">
            <w:drawing>
              <wp:anchor distT="0" distB="0" distL="0" distR="0" simplePos="0" relativeHeight="251639296" behindDoc="0" locked="0" layoutInCell="1" allowOverlap="1" wp14:anchorId="13F3E364" wp14:editId="3C3873C3">
                <wp:simplePos x="0" y="0"/>
                <wp:positionH relativeFrom="page">
                  <wp:posOffset>942340</wp:posOffset>
                </wp:positionH>
                <wp:positionV relativeFrom="paragraph">
                  <wp:posOffset>290830</wp:posOffset>
                </wp:positionV>
                <wp:extent cx="5528945" cy="2059940"/>
                <wp:effectExtent l="0" t="0" r="0" b="0"/>
                <wp:wrapTopAndBottom/>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8945" cy="2059940"/>
                          <a:chOff x="1134" y="188"/>
                          <a:chExt cx="8707" cy="3244"/>
                        </a:xfrm>
                      </wpg:grpSpPr>
                      <pic:pic xmlns:pic="http://schemas.openxmlformats.org/drawingml/2006/picture">
                        <pic:nvPicPr>
                          <pic:cNvPr id="396" name="Picture 3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134" y="1020"/>
                            <a:ext cx="4326" cy="2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7" name="Picture 30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5515" y="188"/>
                            <a:ext cx="4326" cy="3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97D8852" id="Group 395" o:spid="_x0000_s1026" style="position:absolute;margin-left:74.2pt;margin-top:22.9pt;width:435.35pt;height:162.2pt;z-index:251639296;mso-wrap-distance-left:0;mso-wrap-distance-right:0;mso-position-horizontal-relative:page" coordorigin="1134,188" coordsize="8707,32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1" o:spid="_x0000_s1027" type="#_x0000_t75" style="position:absolute;left:1134;top:1020;width:4326;height:2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gX4TGAAAA3AAAAA8AAABkcnMvZG93bnJldi54bWxEj0FrwkAUhO8F/8PyBC9FN7Y0mNRVtKjk&#10;0EM1PfT4yL4mwezbkF2T9N+7hUKPw8x8w6y3o2lET52rLStYLiIQxIXVNZcKPvPjfAXCeWSNjWVS&#10;8EMOtpvJwxpTbQc+U3/xpQgQdikqqLxvUyldUZFBt7AtcfC+bWfQB9mVUnc4BLhp5FMUxdJgzWGh&#10;wpbeKiqul5tRkLt4tX88JCXK3Us27L/M+4c7KTWbjrtXEJ5G/x/+a2dawXMSw++ZcATk5g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SBfhMYAAADcAAAADwAAAAAAAAAAAAAA&#10;AACfAgAAZHJzL2Rvd25yZXYueG1sUEsFBgAAAAAEAAQA9wAAAJIDAAAAAA==&#10;">
                  <v:imagedata r:id="rId44" o:title=""/>
                </v:shape>
                <v:shape id="Picture 300" o:spid="_x0000_s1028" type="#_x0000_t75" style="position:absolute;left:5515;top:188;width:4326;height:32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IR8DEAAAA3AAAAA8AAABkcnMvZG93bnJldi54bWxEj91qwkAUhO8LvsNyBO/qRtPaGl2lTREE&#10;QTDtAxyyxySYPRuymx/f3i0UejnMzDfMdj+aWvTUusqygsU8AkGcW11xoeDn+/D8DsJ5ZI21ZVJw&#10;Jwf73eRpi4m2A1+oz3whAoRdggpK75tESpeXZNDNbUMcvKttDfog20LqFocAN7VcRtFKGqw4LJTY&#10;UFpSfss6EyjDMZXdSp5uxcsie6WYvj7NWanZdPzYgPA0+v/wX/uoFcTrN/g9E46A3D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BIR8DEAAAA3AAAAA8AAAAAAAAAAAAAAAAA&#10;nwIAAGRycy9kb3ducmV2LnhtbFBLBQYAAAAABAAEAPcAAACQAwAAAAA=&#10;">
                  <v:imagedata r:id="rId45" o:title=""/>
                </v:shape>
                <w10:wrap type="topAndBottom" anchorx="page"/>
              </v:group>
            </w:pict>
          </mc:Fallback>
        </mc:AlternateContent>
      </w:r>
    </w:p>
    <w:p w14:paraId="5CBDC812" w14:textId="77777777" w:rsidR="001726A6" w:rsidRPr="00445472" w:rsidRDefault="001726A6" w:rsidP="001726A6">
      <w:pPr>
        <w:pStyle w:val="NENTITULL"/>
      </w:pPr>
    </w:p>
    <w:p w14:paraId="583B6B28" w14:textId="47033058" w:rsidR="0029118F" w:rsidRPr="00445472" w:rsidRDefault="0029118F" w:rsidP="001726A6">
      <w:pPr>
        <w:pStyle w:val="NENTITULL"/>
        <w:jc w:val="center"/>
      </w:pPr>
      <w:r w:rsidRPr="00445472">
        <w:t>Figura 7.4: Lumi Drin në Vaun e Dejës me argjinaturë të përmbytur</w:t>
      </w:r>
    </w:p>
    <w:p w14:paraId="7A8AB45F" w14:textId="77777777" w:rsidR="0029118F" w:rsidRPr="00445472" w:rsidRDefault="0029118F" w:rsidP="00026793">
      <w:pPr>
        <w:pStyle w:val="TEKSTIIII"/>
      </w:pPr>
    </w:p>
    <w:p w14:paraId="36368E5C" w14:textId="60D9F805" w:rsidR="0029118F" w:rsidRPr="00445472" w:rsidRDefault="00026793" w:rsidP="00026793">
      <w:pPr>
        <w:pStyle w:val="NENTITULL"/>
      </w:pPr>
      <w:r w:rsidRPr="00445472">
        <w:t xml:space="preserve">7.2.1.5 </w:t>
      </w:r>
      <w:r w:rsidR="0029118F" w:rsidRPr="00445472">
        <w:t>Lumi Kir (</w:t>
      </w:r>
      <w:r w:rsidR="008E14CA" w:rsidRPr="00445472">
        <w:t xml:space="preserve">rrjedha </w:t>
      </w:r>
      <w:r w:rsidR="0029118F" w:rsidRPr="00445472">
        <w:t xml:space="preserve">e sipërme e bashkimit me lumin Drin) </w:t>
      </w:r>
    </w:p>
    <w:p w14:paraId="66001DFC" w14:textId="5B3068E5" w:rsidR="0029118F" w:rsidRPr="00445472" w:rsidRDefault="0029118F" w:rsidP="00026793">
      <w:pPr>
        <w:pStyle w:val="TEKSTIIII"/>
      </w:pPr>
      <w:r w:rsidRPr="00445472">
        <w:t>Rrjedha e poshtme e lumit Kir është një lumë i përkohshëm gëlqeror me një shtrat lumi të ndryshueshëm dhe nënshtresë zhavorri</w:t>
      </w:r>
      <w:r w:rsidR="001D340B" w:rsidRPr="00445472">
        <w:t>/</w:t>
      </w:r>
      <w:r w:rsidRPr="00445472">
        <w:t>zalli (migrimi i kanaleve të lumenjve). Ky tip lumi është specifik për Shqipërinë dhe ka nevojë për përpjekje të veçanta për identifikimin e kushteve të referencës biologjike</w:t>
      </w:r>
      <w:r w:rsidR="008F0A9F" w:rsidRPr="00445472">
        <w:t>, si dhe</w:t>
      </w:r>
      <w:r w:rsidRPr="00445472">
        <w:t xml:space="preserve"> për kalibrimin e metodave të vlerësimit biologjik. Rrjedha e poshtme e lumit Kir është një lumë gjarpërues dhe i gërshetuar me një rrezik serioz nga përmbytjet.</w:t>
      </w:r>
    </w:p>
    <w:p w14:paraId="2D8B4016" w14:textId="4FF7952F" w:rsidR="0029118F" w:rsidRPr="00445472" w:rsidRDefault="0029118F" w:rsidP="00026793">
      <w:pPr>
        <w:pStyle w:val="TEKSTIIII"/>
      </w:pPr>
      <w:r w:rsidRPr="00445472">
        <w:t xml:space="preserve">Më shumë të dhëna në terren janë të nevojshme për të vërtetuar rezultatin e </w:t>
      </w:r>
      <w:r w:rsidR="00316F21">
        <w:t>VSHB</w:t>
      </w:r>
      <w:r w:rsidR="008E14CA" w:rsidRPr="00445472">
        <w:t xml:space="preserve"> </w:t>
      </w:r>
      <w:r w:rsidRPr="00445472">
        <w:t>për shkak të mungesës së kampionimit përfaqësues të makroinvertebrorëve. Kushtet e mundshme biologjike janë afër kushteve të referencës, pra pa presion ndotjeje. Komunitetet bentike makroinvertebrore zakonisht dëmtohen nga rrjedha vjetore e kanaleve të lumenjve, thatësirat dhe proceset e sedimentimit</w:t>
      </w:r>
      <w:r w:rsidR="001D340B" w:rsidRPr="00445472">
        <w:t>/</w:t>
      </w:r>
      <w:r w:rsidRPr="00445472">
        <w:t xml:space="preserve">erozionit. Indeksi </w:t>
      </w:r>
      <w:r w:rsidR="00316F21">
        <w:t>VSHB</w:t>
      </w:r>
      <w:r w:rsidRPr="00445472">
        <w:t xml:space="preserve"> tregon një status shumë të mirë (të dhëna shtesë janë të nevojshme për validimin e këtij statusi) dhe ndoshta është afër kushteve të referencës në këtë rast specifik.</w:t>
      </w:r>
    </w:p>
    <w:p w14:paraId="52266947" w14:textId="77777777" w:rsidR="0029118F" w:rsidRPr="00445472" w:rsidRDefault="0029118F" w:rsidP="00026793">
      <w:pPr>
        <w:pStyle w:val="TEKSTIIII"/>
      </w:pPr>
    </w:p>
    <w:p w14:paraId="26A1A81B" w14:textId="77777777" w:rsidR="0029118F" w:rsidRPr="00445472" w:rsidRDefault="0029118F" w:rsidP="00026793">
      <w:pPr>
        <w:pStyle w:val="TEKSTIIII"/>
        <w:rPr>
          <w:b/>
          <w:sz w:val="12"/>
        </w:rPr>
      </w:pPr>
      <w:r w:rsidRPr="00445472">
        <w:rPr>
          <w:noProof/>
          <w:lang w:val="en-US"/>
        </w:rPr>
        <w:drawing>
          <wp:anchor distT="0" distB="0" distL="0" distR="0" simplePos="0" relativeHeight="251650560" behindDoc="0" locked="0" layoutInCell="1" allowOverlap="1" wp14:anchorId="290E7E91" wp14:editId="2C1A459D">
            <wp:simplePos x="0" y="0"/>
            <wp:positionH relativeFrom="page">
              <wp:posOffset>1546662</wp:posOffset>
            </wp:positionH>
            <wp:positionV relativeFrom="paragraph">
              <wp:posOffset>118745</wp:posOffset>
            </wp:positionV>
            <wp:extent cx="1974850" cy="1481455"/>
            <wp:effectExtent l="0" t="0" r="0" b="0"/>
            <wp:wrapTopAndBottom/>
            <wp:docPr id="15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74850" cy="1481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472">
        <w:rPr>
          <w:noProof/>
          <w:lang w:val="en-US"/>
        </w:rPr>
        <w:drawing>
          <wp:anchor distT="0" distB="0" distL="0" distR="0" simplePos="0" relativeHeight="251661824" behindDoc="0" locked="0" layoutInCell="1" allowOverlap="1" wp14:anchorId="06ED4FB6" wp14:editId="5917AB05">
            <wp:simplePos x="0" y="0"/>
            <wp:positionH relativeFrom="page">
              <wp:posOffset>3925520</wp:posOffset>
            </wp:positionH>
            <wp:positionV relativeFrom="paragraph">
              <wp:posOffset>120650</wp:posOffset>
            </wp:positionV>
            <wp:extent cx="2625725" cy="1477010"/>
            <wp:effectExtent l="0" t="0" r="0" b="0"/>
            <wp:wrapTopAndBottom/>
            <wp:docPr id="14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25725" cy="1477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BAC916" w14:textId="77777777" w:rsidR="0029118F" w:rsidRPr="00445472" w:rsidRDefault="0029118F" w:rsidP="00026793">
      <w:pPr>
        <w:pStyle w:val="TEKSTIIII"/>
        <w:jc w:val="center"/>
        <w:rPr>
          <w:b/>
        </w:rPr>
      </w:pPr>
      <w:r w:rsidRPr="00445472">
        <w:rPr>
          <w:b/>
        </w:rPr>
        <w:t>Figura 7.5: Marrja e mostrave në një degë të lumit Kir</w:t>
      </w:r>
    </w:p>
    <w:p w14:paraId="72C10A16" w14:textId="77777777" w:rsidR="0029118F" w:rsidRPr="00445472" w:rsidRDefault="0029118F" w:rsidP="00026793">
      <w:pPr>
        <w:pStyle w:val="TEKSTIIII"/>
        <w:rPr>
          <w:b/>
          <w:sz w:val="27"/>
        </w:rPr>
      </w:pPr>
    </w:p>
    <w:p w14:paraId="72ACD790" w14:textId="5B60FE34" w:rsidR="0029118F" w:rsidRPr="00445472" w:rsidRDefault="00026793" w:rsidP="00026793">
      <w:pPr>
        <w:pStyle w:val="NENTITULL"/>
      </w:pPr>
      <w:r w:rsidRPr="00445472">
        <w:t xml:space="preserve">7.2.1.6 </w:t>
      </w:r>
      <w:r w:rsidR="0029118F" w:rsidRPr="00445472">
        <w:t>Lumi Drin (Lezhë)</w:t>
      </w:r>
    </w:p>
    <w:p w14:paraId="6BD6ACF7" w14:textId="77777777" w:rsidR="0029118F" w:rsidRPr="00445472" w:rsidRDefault="0029118F" w:rsidP="00026793">
      <w:pPr>
        <w:pStyle w:val="TEKSTIIII"/>
      </w:pPr>
      <w:r w:rsidRPr="00445472">
        <w:t>Rrjedha e poshtme e lumit Drin (para grykëderdhjes) është një lum tipik 'i madh fushor' me nënshtresa të imta (baltë, llucë, rërë). Kushtet e veçanta të standardeve janë paraqitur për status të moderuar me disa ndikime toksike. Shpejtësia është shumë e ngadaltë në këtë shtrirje të shtratit lumor. Ky është krahu më i gjatë (dhe më i vogël) i Drinit (pas bashkimit në ultësirën e Shkodrës).</w:t>
      </w:r>
    </w:p>
    <w:p w14:paraId="25B67119" w14:textId="25FC6D46" w:rsidR="0029118F" w:rsidRPr="00445472" w:rsidRDefault="0029118F" w:rsidP="00026793">
      <w:pPr>
        <w:pStyle w:val="TEKSTIIII"/>
      </w:pPr>
      <w:r w:rsidRPr="00445472">
        <w:t xml:space="preserve">Vlera e Indeksit të </w:t>
      </w:r>
      <w:r w:rsidR="00316F21">
        <w:t>VSHB</w:t>
      </w:r>
      <w:r w:rsidR="008E14CA" w:rsidRPr="00445472">
        <w:t xml:space="preserve"> </w:t>
      </w:r>
      <w:r w:rsidRPr="00445472">
        <w:t>është 55%, e cila barazohet me cilësinë e moderuar me ndikim potencial toksik në sediment.</w:t>
      </w:r>
    </w:p>
    <w:p w14:paraId="3304F12D" w14:textId="77777777" w:rsidR="00026793" w:rsidRPr="00445472" w:rsidRDefault="00026793" w:rsidP="005C2B0F">
      <w:pPr>
        <w:pStyle w:val="TEKSTIII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026793" w:rsidRPr="00445472" w14:paraId="084BCCD9" w14:textId="77777777" w:rsidTr="005C2B0F">
        <w:tc>
          <w:tcPr>
            <w:tcW w:w="4643" w:type="dxa"/>
          </w:tcPr>
          <w:p w14:paraId="19685ECC" w14:textId="269DFD16" w:rsidR="00026793" w:rsidRPr="00445472" w:rsidRDefault="00026793" w:rsidP="005C2B0F">
            <w:pPr>
              <w:pStyle w:val="TEKSTIIII"/>
            </w:pPr>
            <w:r w:rsidRPr="00445472">
              <w:rPr>
                <w:noProof/>
                <w:lang w:val="en-US"/>
              </w:rPr>
              <w:drawing>
                <wp:anchor distT="0" distB="0" distL="0" distR="0" simplePos="0" relativeHeight="251673088" behindDoc="0" locked="0" layoutInCell="1" allowOverlap="1" wp14:anchorId="7C08B79A" wp14:editId="7D79383C">
                  <wp:simplePos x="0" y="0"/>
                  <wp:positionH relativeFrom="page">
                    <wp:posOffset>273050</wp:posOffset>
                  </wp:positionH>
                  <wp:positionV relativeFrom="paragraph">
                    <wp:posOffset>26035</wp:posOffset>
                  </wp:positionV>
                  <wp:extent cx="2385060" cy="1788795"/>
                  <wp:effectExtent l="0" t="0" r="0" b="1905"/>
                  <wp:wrapTopAndBottom/>
                  <wp:docPr id="14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85060" cy="17887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tcPr>
          <w:p w14:paraId="54096A9C" w14:textId="3F6DB365" w:rsidR="00026793" w:rsidRPr="00445472" w:rsidRDefault="00026793" w:rsidP="005C2B0F">
            <w:pPr>
              <w:pStyle w:val="TEKSTIIII"/>
              <w:ind w:firstLine="0"/>
            </w:pPr>
            <w:r w:rsidRPr="00445472">
              <w:rPr>
                <w:noProof/>
                <w:lang w:val="en-US"/>
              </w:rPr>
              <w:drawing>
                <wp:anchor distT="0" distB="0" distL="0" distR="0" simplePos="0" relativeHeight="251684352" behindDoc="0" locked="0" layoutInCell="1" allowOverlap="1" wp14:anchorId="2E7FC650" wp14:editId="247FECD6">
                  <wp:simplePos x="0" y="0"/>
                  <wp:positionH relativeFrom="page">
                    <wp:posOffset>306705</wp:posOffset>
                  </wp:positionH>
                  <wp:positionV relativeFrom="paragraph">
                    <wp:posOffset>26035</wp:posOffset>
                  </wp:positionV>
                  <wp:extent cx="2385695" cy="1788795"/>
                  <wp:effectExtent l="0" t="0" r="0" b="1905"/>
                  <wp:wrapTopAndBottom/>
                  <wp:docPr id="14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85695" cy="17887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2706C0D" w14:textId="50FA5A8A" w:rsidR="0029118F" w:rsidRPr="00445472" w:rsidRDefault="0029118F" w:rsidP="005C2B0F">
      <w:pPr>
        <w:pStyle w:val="TEKSTIIII"/>
        <w:jc w:val="center"/>
        <w:rPr>
          <w:b/>
        </w:rPr>
      </w:pPr>
      <w:r w:rsidRPr="00445472">
        <w:rPr>
          <w:b/>
        </w:rPr>
        <w:t>Figura 7.6: Lumi Drin në Lezhë (5.5 km para grykëderdhjes në detin Adriatik)</w:t>
      </w:r>
    </w:p>
    <w:p w14:paraId="1AD0A298" w14:textId="77777777" w:rsidR="005C2B0F" w:rsidRPr="00445472" w:rsidRDefault="005C2B0F" w:rsidP="00026793">
      <w:pPr>
        <w:pStyle w:val="TEKSTIIII"/>
      </w:pPr>
    </w:p>
    <w:p w14:paraId="2DEDD503" w14:textId="22376FB9" w:rsidR="0029118F" w:rsidRPr="00445472" w:rsidRDefault="005C2B0F" w:rsidP="005C2B0F">
      <w:pPr>
        <w:pStyle w:val="NENTITULL"/>
      </w:pPr>
      <w:r w:rsidRPr="00445472">
        <w:t xml:space="preserve">7.2.1.7 </w:t>
      </w:r>
      <w:r w:rsidR="0029118F" w:rsidRPr="00445472">
        <w:t>Lumi Bunë (në rrjedhën e poshtm</w:t>
      </w:r>
      <w:r w:rsidR="008E14CA" w:rsidRPr="00445472">
        <w:t>e</w:t>
      </w:r>
      <w:r w:rsidR="0029118F" w:rsidRPr="00445472">
        <w:t xml:space="preserve"> të Liqenit të Shkodrës, Pranë Urës së Vjetër)</w:t>
      </w:r>
    </w:p>
    <w:p w14:paraId="1811A6F7" w14:textId="6BCFE5D9" w:rsidR="0029118F" w:rsidRPr="00445472" w:rsidRDefault="0029118F" w:rsidP="00026793">
      <w:pPr>
        <w:pStyle w:val="TEKSTIIII"/>
      </w:pPr>
      <w:r w:rsidRPr="00445472">
        <w:t xml:space="preserve">Lumi Bunë (pas Liqenit të Shkodrës) është një rast specifik i një 'lumi të madh fushor'. Vlera </w:t>
      </w:r>
      <w:r w:rsidR="00316F21">
        <w:t>VSHB</w:t>
      </w:r>
      <w:r w:rsidR="008E14CA" w:rsidRPr="00445472">
        <w:t xml:space="preserve"> </w:t>
      </w:r>
      <w:r w:rsidRPr="00445472">
        <w:t xml:space="preserve">mund të rritet nëse marrja e mostrave është më e mirë (niveli më i ulët i ujit), por nevojiten më shumë të dhëna në terren. Vlera e indeksit </w:t>
      </w:r>
      <w:r w:rsidR="00316F21">
        <w:t>VSHB</w:t>
      </w:r>
      <w:r w:rsidR="008E14CA" w:rsidRPr="00445472">
        <w:t xml:space="preserve"> </w:t>
      </w:r>
      <w:r w:rsidRPr="00445472">
        <w:t>është 55%, e cila paraqet një status të moderuar.</w:t>
      </w:r>
    </w:p>
    <w:p w14:paraId="783F1829" w14:textId="77777777" w:rsidR="0029118F" w:rsidRPr="00445472" w:rsidRDefault="0029118F" w:rsidP="0029118F">
      <w:pPr>
        <w:rPr>
          <w:rFonts w:ascii="Garamond" w:hAnsi="Garamond"/>
          <w:b/>
        </w:rPr>
      </w:pPr>
    </w:p>
    <w:p w14:paraId="06AEEDF8" w14:textId="77777777" w:rsidR="0029118F" w:rsidRPr="00445472" w:rsidRDefault="0029118F" w:rsidP="005C2B0F">
      <w:pPr>
        <w:pStyle w:val="NENTITULL"/>
      </w:pPr>
      <w:r w:rsidRPr="00445472">
        <w:rPr>
          <w:noProof/>
          <w:lang w:val="en-US"/>
        </w:rPr>
        <w:drawing>
          <wp:anchor distT="0" distB="0" distL="0" distR="0" simplePos="0" relativeHeight="251706880" behindDoc="0" locked="0" layoutInCell="1" allowOverlap="1" wp14:anchorId="31F5C08F" wp14:editId="3BE909E3">
            <wp:simplePos x="0" y="0"/>
            <wp:positionH relativeFrom="page">
              <wp:posOffset>4086802</wp:posOffset>
            </wp:positionH>
            <wp:positionV relativeFrom="paragraph">
              <wp:posOffset>159295</wp:posOffset>
            </wp:positionV>
            <wp:extent cx="2393950" cy="1564005"/>
            <wp:effectExtent l="0" t="0" r="0" b="0"/>
            <wp:wrapTopAndBottom/>
            <wp:docPr id="14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93950" cy="1564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472">
        <w:rPr>
          <w:noProof/>
          <w:lang w:val="en-US"/>
        </w:rPr>
        <w:drawing>
          <wp:anchor distT="0" distB="0" distL="0" distR="0" simplePos="0" relativeHeight="251695616" behindDoc="0" locked="0" layoutInCell="1" allowOverlap="1" wp14:anchorId="762D1E6E" wp14:editId="3BF5616A">
            <wp:simplePos x="0" y="0"/>
            <wp:positionH relativeFrom="page">
              <wp:posOffset>1106805</wp:posOffset>
            </wp:positionH>
            <wp:positionV relativeFrom="paragraph">
              <wp:posOffset>167970</wp:posOffset>
            </wp:positionV>
            <wp:extent cx="2784475" cy="1566545"/>
            <wp:effectExtent l="0" t="0" r="0" b="0"/>
            <wp:wrapTopAndBottom/>
            <wp:docPr id="14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84475" cy="1566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7DBD6" w14:textId="77777777" w:rsidR="0029118F" w:rsidRPr="00445472" w:rsidRDefault="0029118F" w:rsidP="005C2B0F">
      <w:pPr>
        <w:pStyle w:val="NENTITULL"/>
        <w:jc w:val="center"/>
      </w:pPr>
      <w:r w:rsidRPr="00445472">
        <w:t>Figura 7.7: Lumi Bunë pranë liqenit të Shkodrës</w:t>
      </w:r>
    </w:p>
    <w:p w14:paraId="40695CE9" w14:textId="77777777" w:rsidR="0029118F" w:rsidRPr="00445472" w:rsidRDefault="0029118F" w:rsidP="005C2B0F">
      <w:pPr>
        <w:pStyle w:val="TEKSTIIII"/>
      </w:pPr>
    </w:p>
    <w:p w14:paraId="251E2B04" w14:textId="1D1A2A08" w:rsidR="0029118F" w:rsidRPr="00445472" w:rsidRDefault="001F7C2A" w:rsidP="001F7C2A">
      <w:pPr>
        <w:pStyle w:val="NENTITULL"/>
      </w:pPr>
      <w:r w:rsidRPr="00445472">
        <w:t xml:space="preserve">7.2.1.8 </w:t>
      </w:r>
      <w:r w:rsidR="0029118F" w:rsidRPr="00445472">
        <w:t>Lumi Bunë (seksioni i poshtëm)</w:t>
      </w:r>
    </w:p>
    <w:p w14:paraId="6AC3F836" w14:textId="0F5D46AF" w:rsidR="0029118F" w:rsidRPr="00445472" w:rsidRDefault="0029118F" w:rsidP="00D43633">
      <w:pPr>
        <w:pStyle w:val="TEKSTIIII"/>
      </w:pPr>
      <w:r w:rsidRPr="00445472">
        <w:t xml:space="preserve">Ky lum fushor (specifik për lumin Bunë), identifikohet si lumë me nënshtresa zhavorri dhe ranore. Vlera e </w:t>
      </w:r>
      <w:r w:rsidR="00316F21">
        <w:t>VSHB</w:t>
      </w:r>
      <w:r w:rsidR="008E14CA" w:rsidRPr="00445472">
        <w:t xml:space="preserve"> </w:t>
      </w:r>
      <w:r w:rsidRPr="00445472">
        <w:t xml:space="preserve">mund të rritet nëse marrja e mostrave kryhet gjatë një niveli më të ulët të ujit. Më shumë të dhëna në terren janë të nevojshme për të vërtetuar rezultatin e </w:t>
      </w:r>
      <w:r w:rsidR="00316F21">
        <w:t>VSHB</w:t>
      </w:r>
      <w:r w:rsidRPr="00445472">
        <w:t xml:space="preserve">. Indeksi </w:t>
      </w:r>
      <w:r w:rsidR="00316F21">
        <w:t>VSHB</w:t>
      </w:r>
      <w:r w:rsidR="008E14CA" w:rsidRPr="00445472">
        <w:t xml:space="preserve"> </w:t>
      </w:r>
      <w:r w:rsidRPr="00445472">
        <w:t>tregon një status të moderuar (50%).</w:t>
      </w:r>
    </w:p>
    <w:p w14:paraId="7B162F37" w14:textId="59FD1856" w:rsidR="0029118F" w:rsidRPr="00445472" w:rsidRDefault="005C2B0F" w:rsidP="005C2B0F">
      <w:pPr>
        <w:pStyle w:val="TEKSTIIII"/>
      </w:pPr>
      <w:r w:rsidRPr="00445472">
        <w:rPr>
          <w:noProof/>
          <w:lang w:val="en-US"/>
        </w:rPr>
        <w:drawing>
          <wp:anchor distT="0" distB="0" distL="0" distR="0" simplePos="0" relativeHeight="251729408" behindDoc="0" locked="0" layoutInCell="1" allowOverlap="1" wp14:anchorId="4FA6F84C" wp14:editId="435B803E">
            <wp:simplePos x="0" y="0"/>
            <wp:positionH relativeFrom="page">
              <wp:posOffset>3712845</wp:posOffset>
            </wp:positionH>
            <wp:positionV relativeFrom="paragraph">
              <wp:posOffset>220345</wp:posOffset>
            </wp:positionV>
            <wp:extent cx="2265680" cy="1530985"/>
            <wp:effectExtent l="0" t="0" r="1270" b="0"/>
            <wp:wrapTopAndBottom/>
            <wp:docPr id="14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65680" cy="153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472">
        <w:rPr>
          <w:noProof/>
          <w:lang w:val="en-US"/>
        </w:rPr>
        <w:drawing>
          <wp:anchor distT="0" distB="0" distL="0" distR="0" simplePos="0" relativeHeight="251718144" behindDoc="0" locked="0" layoutInCell="1" allowOverlap="1" wp14:anchorId="64923E48" wp14:editId="5D9B84E4">
            <wp:simplePos x="0" y="0"/>
            <wp:positionH relativeFrom="page">
              <wp:posOffset>977900</wp:posOffset>
            </wp:positionH>
            <wp:positionV relativeFrom="paragraph">
              <wp:posOffset>220345</wp:posOffset>
            </wp:positionV>
            <wp:extent cx="2671445" cy="1502410"/>
            <wp:effectExtent l="0" t="0" r="0" b="2540"/>
            <wp:wrapTopAndBottom/>
            <wp:docPr id="1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71445" cy="1502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513265" w14:textId="77777777" w:rsidR="005C2B0F" w:rsidRPr="00445472" w:rsidRDefault="005C2B0F" w:rsidP="005C2B0F">
      <w:pPr>
        <w:pStyle w:val="TEKSTIIII"/>
        <w:jc w:val="center"/>
        <w:rPr>
          <w:b/>
        </w:rPr>
      </w:pPr>
    </w:p>
    <w:p w14:paraId="1D1E5DFF" w14:textId="12B5FA54" w:rsidR="0029118F" w:rsidRPr="00445472" w:rsidRDefault="0029118F" w:rsidP="005C2B0F">
      <w:pPr>
        <w:pStyle w:val="TEKSTIIII"/>
        <w:jc w:val="center"/>
      </w:pPr>
      <w:r w:rsidRPr="00445472">
        <w:rPr>
          <w:b/>
        </w:rPr>
        <w:t>Figura 7.8: Rrjedha e poshtme e lumit Bunë</w:t>
      </w:r>
    </w:p>
    <w:p w14:paraId="51BB1F8B" w14:textId="77777777" w:rsidR="005C2B0F" w:rsidRPr="00445472" w:rsidRDefault="005C2B0F" w:rsidP="005C2B0F">
      <w:pPr>
        <w:pStyle w:val="TEKSTIIII"/>
      </w:pPr>
    </w:p>
    <w:p w14:paraId="3108D3C8" w14:textId="00910100" w:rsidR="0029118F" w:rsidRPr="00445472" w:rsidRDefault="001F7C2A" w:rsidP="001F7C2A">
      <w:pPr>
        <w:pStyle w:val="NENTITULL"/>
      </w:pPr>
      <w:r w:rsidRPr="00445472">
        <w:t xml:space="preserve">7.2.1.9 </w:t>
      </w:r>
      <w:r w:rsidR="0029118F" w:rsidRPr="00445472">
        <w:t>Liqeni i Shkodrës (në Shirokë, në afërsi të derdhjes së liqenit)</w:t>
      </w:r>
    </w:p>
    <w:p w14:paraId="3AB178D2" w14:textId="239AC221" w:rsidR="0029118F" w:rsidRPr="00445472" w:rsidRDefault="0029118F" w:rsidP="005C2B0F">
      <w:pPr>
        <w:pStyle w:val="TEKSTIIII"/>
      </w:pPr>
      <w:r w:rsidRPr="00445472">
        <w:t xml:space="preserve">Vlerësimi biologjik mund të identifikohet si status i mirë ekologjik për këtë ekosistem specifik të liqenit sipas një qasjeje të gjykimit të ekspertëve. Vlerësimi </w:t>
      </w:r>
      <w:r w:rsidR="00316F21">
        <w:t>VSHB</w:t>
      </w:r>
      <w:r w:rsidR="008E14CA" w:rsidRPr="00445472">
        <w:t xml:space="preserve"> </w:t>
      </w:r>
      <w:r w:rsidRPr="00445472">
        <w:t xml:space="preserve">nuk është përshtatur ende me kushtet e liqenit dhe prandaj nuk është i aplikueshëm. Është një liqen shumë i madh fushor (lloj specifik për Liqenin e Shkodrës). Një sistem i veçantë </w:t>
      </w:r>
      <w:r w:rsidR="00316F21">
        <w:t>VSHB</w:t>
      </w:r>
      <w:r w:rsidR="008E14CA" w:rsidRPr="00445472">
        <w:t xml:space="preserve"> </w:t>
      </w:r>
      <w:r w:rsidRPr="00445472">
        <w:t>për liqenet duhet të përshtatet për kushtet e liqenit të Shkodrës në të ardhmen.</w:t>
      </w:r>
    </w:p>
    <w:p w14:paraId="4574EFF9" w14:textId="77777777" w:rsidR="0029118F" w:rsidRPr="00445472" w:rsidRDefault="0029118F" w:rsidP="005C2B0F">
      <w:pPr>
        <w:pStyle w:val="TEKSTIIII"/>
      </w:pPr>
      <w:bookmarkStart w:id="147" w:name="_bookmark38"/>
      <w:bookmarkEnd w:id="147"/>
    </w:p>
    <w:p w14:paraId="3226FB93" w14:textId="4EEFBBDF" w:rsidR="0029118F" w:rsidRPr="00445472" w:rsidRDefault="001F7C2A" w:rsidP="001F7C2A">
      <w:pPr>
        <w:pStyle w:val="NENTITULL"/>
      </w:pPr>
      <w:bookmarkStart w:id="148" w:name="_Toc486503410"/>
      <w:bookmarkStart w:id="149" w:name="_Toc11068818"/>
      <w:r w:rsidRPr="00445472">
        <w:t xml:space="preserve">7.3 </w:t>
      </w:r>
      <w:r w:rsidR="0029118F" w:rsidRPr="00445472">
        <w:t xml:space="preserve">Përfundimet në lidhje me statusin e cilësisë së ujit sipërfaqësor në Basenin Ujor </w:t>
      </w:r>
      <w:bookmarkEnd w:id="148"/>
      <w:r w:rsidR="007E76E3" w:rsidRPr="00445472">
        <w:t>Drin–Bunë</w:t>
      </w:r>
      <w:bookmarkEnd w:id="149"/>
    </w:p>
    <w:p w14:paraId="1C8E0142" w14:textId="77777777" w:rsidR="0029118F" w:rsidRPr="00445472" w:rsidRDefault="0029118F" w:rsidP="005C2B0F">
      <w:pPr>
        <w:pStyle w:val="TEKSTIIII"/>
      </w:pPr>
      <w:r w:rsidRPr="00445472">
        <w:t>Rezultatet e përgjithshme të monitorimit NEPA dhe analizimi në terren i kryer në kuadër të Projektit tregojnë si në vijim:</w:t>
      </w:r>
    </w:p>
    <w:p w14:paraId="0ED30610" w14:textId="48BC135E" w:rsidR="0029118F" w:rsidRPr="00445472" w:rsidRDefault="00C43176" w:rsidP="005C2B0F">
      <w:pPr>
        <w:pStyle w:val="TEKSTIIII"/>
      </w:pPr>
      <w:r>
        <w:t xml:space="preserve">- </w:t>
      </w:r>
      <w:r w:rsidR="0029118F" w:rsidRPr="00445472">
        <w:t xml:space="preserve">Cilësia e përgjithshme e ujit në Basenin Ujor </w:t>
      </w:r>
      <w:r w:rsidR="007E76E3" w:rsidRPr="00445472">
        <w:t>Drin–Bunë</w:t>
      </w:r>
      <w:r w:rsidR="0029118F" w:rsidRPr="00445472">
        <w:t xml:space="preserve"> tregon se ka një tendencë në rritje për shkarkimin e ujërave të ndotura urbane, industriale dhe inputeve bujqësore në sistemin e lumenjve, duke përfshirë liqenet.</w:t>
      </w:r>
    </w:p>
    <w:p w14:paraId="509C596C" w14:textId="723FDD34" w:rsidR="0029118F" w:rsidRPr="00445472" w:rsidRDefault="00C43176" w:rsidP="005C2B0F">
      <w:pPr>
        <w:pStyle w:val="TEKSTIIII"/>
      </w:pPr>
      <w:r>
        <w:t xml:space="preserve">- </w:t>
      </w:r>
      <w:r w:rsidR="0029118F" w:rsidRPr="00445472">
        <w:t xml:space="preserve">Ndikimi më i lartë i ndotjes vërehet në degëzimin Drini-Lezhë, në seksionin e Drinit në Shkodër, dhe gjithashtu në Topojan, të cilat janë zonat më të populluara. Drini-Lezha mbetet pjesa më e ndotur e Basenit Ujor </w:t>
      </w:r>
      <w:r w:rsidR="007E76E3" w:rsidRPr="00445472">
        <w:t>Drin–Bunë</w:t>
      </w:r>
      <w:r w:rsidR="0029118F" w:rsidRPr="00445472">
        <w:t>.</w:t>
      </w:r>
    </w:p>
    <w:p w14:paraId="191F5443" w14:textId="17160EDA" w:rsidR="0029118F" w:rsidRPr="00445472" w:rsidRDefault="00C43176" w:rsidP="005C2B0F">
      <w:pPr>
        <w:pStyle w:val="TEKSTIIII"/>
      </w:pPr>
      <w:r>
        <w:t xml:space="preserve">- </w:t>
      </w:r>
      <w:r w:rsidR="0029118F" w:rsidRPr="00445472">
        <w:t>Ndikimi i ndotjes është gjithashtu i lartë në liqenin e Prespës, Ohrit dhe Liqenin e Shkodrës, por ky ndikim mbetet sezonal. Muajt e verës ku numri i turistëve arriti kulmin në të tr</w:t>
      </w:r>
      <w:r w:rsidR="00905530">
        <w:t>ia</w:t>
      </w:r>
      <w:r w:rsidR="0029118F" w:rsidRPr="00445472">
        <w:t xml:space="preserve"> liqenet rezulton në rritje të shtimit të algave, që është një tregues i mbingarkesës së lëndëve </w:t>
      </w:r>
      <w:r w:rsidR="008E14CA" w:rsidRPr="00445472">
        <w:t>ushqyese</w:t>
      </w:r>
      <w:r w:rsidR="0029118F" w:rsidRPr="00445472">
        <w:t xml:space="preserve"> në liqen për shkak të shkarkimit të ujërave të ndotura.</w:t>
      </w:r>
    </w:p>
    <w:p w14:paraId="590E411D" w14:textId="57E597C9" w:rsidR="0029118F" w:rsidRPr="00445472" w:rsidRDefault="001F7C2A" w:rsidP="001F7C2A">
      <w:pPr>
        <w:pStyle w:val="NENTITULL"/>
      </w:pPr>
      <w:bookmarkStart w:id="150" w:name="_bookmark18"/>
      <w:bookmarkStart w:id="151" w:name="_Toc11068819"/>
      <w:bookmarkEnd w:id="150"/>
      <w:r w:rsidRPr="00445472">
        <w:t xml:space="preserve">7.4 </w:t>
      </w:r>
      <w:r w:rsidR="0029118F" w:rsidRPr="00445472">
        <w:t>Vlerësimi i cilësisë së ujërave nëntokësore</w:t>
      </w:r>
      <w:bookmarkEnd w:id="151"/>
    </w:p>
    <w:p w14:paraId="12E4DF69" w14:textId="584AD45F" w:rsidR="0029118F" w:rsidRPr="00445472" w:rsidRDefault="0029118F" w:rsidP="005C2B0F">
      <w:pPr>
        <w:pStyle w:val="TEKSTIIII"/>
      </w:pPr>
      <w:r w:rsidRPr="00445472">
        <w:t xml:space="preserve">Baseni Ujor </w:t>
      </w:r>
      <w:r w:rsidR="007E76E3" w:rsidRPr="00445472">
        <w:t>Drin–Bunë</w:t>
      </w:r>
      <w:r w:rsidR="00905530">
        <w:t xml:space="preserve"> karakterizohet nga tri</w:t>
      </w:r>
      <w:r w:rsidRPr="00445472">
        <w:t xml:space="preserve"> lloje kryesore të akuifereve: Kuaternar, Karbonatik dhe Magmatik. Një hartë e hollësishme e akuiferëve kryesorë në Basenin Ujor </w:t>
      </w:r>
      <w:r w:rsidR="007E76E3" w:rsidRPr="00445472">
        <w:t>Drin–Bunë</w:t>
      </w:r>
      <w:r w:rsidRPr="00445472">
        <w:t xml:space="preserve"> tregohet në Seksionin 3.6, Figura 3.8. Një vlerësim sasior i ujërave nëntokësore është dhënë gjithashtu në Seksionin 3.6.</w:t>
      </w:r>
    </w:p>
    <w:p w14:paraId="715B8BDE" w14:textId="44447785" w:rsidR="0029118F" w:rsidRPr="00C43176" w:rsidRDefault="00C43176" w:rsidP="005C2B0F">
      <w:pPr>
        <w:pStyle w:val="TEKSTIIII"/>
        <w:rPr>
          <w:b/>
        </w:rPr>
      </w:pPr>
      <w:bookmarkStart w:id="152" w:name="_bookmark19"/>
      <w:bookmarkStart w:id="153" w:name="_Toc11068820"/>
      <w:bookmarkEnd w:id="152"/>
      <w:r w:rsidRPr="00C43176">
        <w:rPr>
          <w:b/>
        </w:rPr>
        <w:t>7.4.1</w:t>
      </w:r>
      <w:r w:rsidR="0029118F" w:rsidRPr="00C43176">
        <w:rPr>
          <w:b/>
        </w:rPr>
        <w:t>Akuiferi kuaternar i Shkodrës</w:t>
      </w:r>
      <w:bookmarkEnd w:id="153"/>
    </w:p>
    <w:p w14:paraId="6011C3D9" w14:textId="77777777" w:rsidR="0029118F" w:rsidRPr="00445472" w:rsidRDefault="0029118F" w:rsidP="005C2B0F">
      <w:pPr>
        <w:pStyle w:val="TEKSTIIII"/>
      </w:pPr>
      <w:r w:rsidRPr="00445472">
        <w:t>Akuiferi Kuaternar i Shkodrës monitorohet në Dobraç, Grudë-Fushë, Shtoj Vjetër dhe Kishën e Madhe (Shkodër) (Tabela 7.6).</w:t>
      </w:r>
    </w:p>
    <w:p w14:paraId="249353F2" w14:textId="77777777" w:rsidR="0029118F" w:rsidRPr="00445472" w:rsidRDefault="0029118F" w:rsidP="001F7C2A">
      <w:pPr>
        <w:pStyle w:val="NENTITULL"/>
      </w:pPr>
    </w:p>
    <w:p w14:paraId="430824E9" w14:textId="25415BAC" w:rsidR="0029118F" w:rsidRPr="00445472" w:rsidRDefault="0029118F" w:rsidP="001F7C2A">
      <w:pPr>
        <w:pStyle w:val="NENTITULL"/>
      </w:pPr>
      <w:r w:rsidRPr="00445472">
        <w:t>Tabela 7.6:  Stacionet</w:t>
      </w:r>
      <w:r w:rsidR="001D340B" w:rsidRPr="00445472">
        <w:t>/</w:t>
      </w:r>
      <w:r w:rsidRPr="00445472">
        <w:t xml:space="preserve">puset e monitorimit të ujërave nëntokësorë në akuiferin kuaternar të Basenit Ujor </w:t>
      </w:r>
      <w:r w:rsidR="007E76E3" w:rsidRPr="00445472">
        <w:t>Drin–Bunë</w:t>
      </w:r>
      <w:r w:rsidRPr="00445472">
        <w:rPr>
          <w:rStyle w:val="FootnoteReference"/>
          <w:rFonts w:ascii="Garamond" w:hAnsi="Garamond"/>
          <w:b w:val="0"/>
          <w:color w:val="auto"/>
        </w:rPr>
        <w:footnoteReference w:id="138"/>
      </w:r>
    </w:p>
    <w:tbl>
      <w:tblPr>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1039"/>
        <w:gridCol w:w="8042"/>
      </w:tblGrid>
      <w:tr w:rsidR="0029118F" w:rsidRPr="00445472" w14:paraId="586F3531" w14:textId="77777777" w:rsidTr="001F7C2A">
        <w:trPr>
          <w:trHeight w:val="280"/>
        </w:trPr>
        <w:tc>
          <w:tcPr>
            <w:tcW w:w="572" w:type="pct"/>
            <w:vAlign w:val="center"/>
          </w:tcPr>
          <w:p w14:paraId="2A7CC8C0" w14:textId="77777777" w:rsidR="0029118F" w:rsidRPr="00445472" w:rsidRDefault="0029118F" w:rsidP="00246405">
            <w:pPr>
              <w:pStyle w:val="TABELA"/>
              <w:jc w:val="center"/>
              <w:rPr>
                <w:b/>
                <w:lang w:val="sq-AL"/>
              </w:rPr>
            </w:pPr>
            <w:r w:rsidRPr="00445472">
              <w:rPr>
                <w:b/>
                <w:lang w:val="sq-AL"/>
              </w:rPr>
              <w:t>Nr.</w:t>
            </w:r>
          </w:p>
        </w:tc>
        <w:tc>
          <w:tcPr>
            <w:tcW w:w="4428" w:type="pct"/>
            <w:vAlign w:val="center"/>
          </w:tcPr>
          <w:p w14:paraId="102E39E1" w14:textId="4BBB1795" w:rsidR="0029118F" w:rsidRPr="00445472" w:rsidRDefault="0029118F" w:rsidP="00246405">
            <w:pPr>
              <w:pStyle w:val="TABELA"/>
              <w:jc w:val="center"/>
              <w:rPr>
                <w:b/>
                <w:lang w:val="sq-AL"/>
              </w:rPr>
            </w:pPr>
            <w:r w:rsidRPr="00445472">
              <w:rPr>
                <w:b/>
                <w:lang w:val="sq-AL"/>
              </w:rPr>
              <w:t>Stacioni</w:t>
            </w:r>
            <w:r w:rsidR="001D340B" w:rsidRPr="00445472">
              <w:rPr>
                <w:b/>
                <w:lang w:val="sq-AL"/>
              </w:rPr>
              <w:t>/</w:t>
            </w:r>
            <w:r w:rsidR="008E14CA" w:rsidRPr="00445472">
              <w:rPr>
                <w:b/>
                <w:lang w:val="sq-AL"/>
              </w:rPr>
              <w:t xml:space="preserve">puset </w:t>
            </w:r>
            <w:r w:rsidRPr="00445472">
              <w:rPr>
                <w:b/>
                <w:lang w:val="sq-AL"/>
              </w:rPr>
              <w:t>e monitorimit të ujërave nëntokësore</w:t>
            </w:r>
          </w:p>
        </w:tc>
      </w:tr>
      <w:tr w:rsidR="0029118F" w:rsidRPr="00445472" w14:paraId="1E508D74" w14:textId="77777777" w:rsidTr="001F7C2A">
        <w:trPr>
          <w:trHeight w:val="300"/>
        </w:trPr>
        <w:tc>
          <w:tcPr>
            <w:tcW w:w="572" w:type="pct"/>
            <w:vAlign w:val="center"/>
          </w:tcPr>
          <w:p w14:paraId="3D588B71" w14:textId="77777777" w:rsidR="0029118F" w:rsidRPr="00445472" w:rsidRDefault="0029118F" w:rsidP="008E14CA">
            <w:pPr>
              <w:pStyle w:val="TABELA"/>
              <w:jc w:val="center"/>
              <w:rPr>
                <w:lang w:val="sq-AL"/>
              </w:rPr>
            </w:pPr>
            <w:r w:rsidRPr="00445472">
              <w:rPr>
                <w:w w:val="99"/>
                <w:lang w:val="sq-AL"/>
              </w:rPr>
              <w:t>1</w:t>
            </w:r>
          </w:p>
        </w:tc>
        <w:tc>
          <w:tcPr>
            <w:tcW w:w="4428" w:type="pct"/>
            <w:vAlign w:val="center"/>
          </w:tcPr>
          <w:p w14:paraId="08EA4472" w14:textId="77777777" w:rsidR="0029118F" w:rsidRPr="00445472" w:rsidRDefault="0029118F" w:rsidP="001F7C2A">
            <w:pPr>
              <w:pStyle w:val="TABELA"/>
              <w:rPr>
                <w:lang w:val="sq-AL"/>
              </w:rPr>
            </w:pPr>
            <w:r w:rsidRPr="00445472">
              <w:rPr>
                <w:lang w:val="sq-AL"/>
              </w:rPr>
              <w:t>Shkodër - Dobraç</w:t>
            </w:r>
          </w:p>
        </w:tc>
      </w:tr>
      <w:tr w:rsidR="0029118F" w:rsidRPr="00445472" w14:paraId="481F08DD" w14:textId="77777777" w:rsidTr="001F7C2A">
        <w:trPr>
          <w:trHeight w:val="280"/>
        </w:trPr>
        <w:tc>
          <w:tcPr>
            <w:tcW w:w="572" w:type="pct"/>
            <w:shd w:val="clear" w:color="auto" w:fill="E6E6E6"/>
            <w:vAlign w:val="center"/>
          </w:tcPr>
          <w:p w14:paraId="134F4BEC" w14:textId="77777777" w:rsidR="0029118F" w:rsidRPr="00445472" w:rsidRDefault="0029118F" w:rsidP="008E14CA">
            <w:pPr>
              <w:pStyle w:val="TABELA"/>
              <w:jc w:val="center"/>
              <w:rPr>
                <w:lang w:val="sq-AL"/>
              </w:rPr>
            </w:pPr>
            <w:r w:rsidRPr="00445472">
              <w:rPr>
                <w:w w:val="99"/>
                <w:lang w:val="sq-AL"/>
              </w:rPr>
              <w:t>2</w:t>
            </w:r>
          </w:p>
        </w:tc>
        <w:tc>
          <w:tcPr>
            <w:tcW w:w="4428" w:type="pct"/>
            <w:shd w:val="clear" w:color="auto" w:fill="E6E6E6"/>
            <w:vAlign w:val="center"/>
          </w:tcPr>
          <w:p w14:paraId="642059B9" w14:textId="77777777" w:rsidR="0029118F" w:rsidRPr="00445472" w:rsidRDefault="0029118F" w:rsidP="001F7C2A">
            <w:pPr>
              <w:pStyle w:val="TABELA"/>
              <w:rPr>
                <w:lang w:val="sq-AL"/>
              </w:rPr>
            </w:pPr>
            <w:r w:rsidRPr="00445472">
              <w:rPr>
                <w:lang w:val="sq-AL"/>
              </w:rPr>
              <w:t>Grudë, Fushë</w:t>
            </w:r>
          </w:p>
        </w:tc>
      </w:tr>
      <w:tr w:rsidR="0029118F" w:rsidRPr="00445472" w14:paraId="5A865CA5" w14:textId="77777777" w:rsidTr="001F7C2A">
        <w:trPr>
          <w:trHeight w:val="280"/>
        </w:trPr>
        <w:tc>
          <w:tcPr>
            <w:tcW w:w="572" w:type="pct"/>
            <w:vAlign w:val="center"/>
          </w:tcPr>
          <w:p w14:paraId="69A3ED62" w14:textId="77777777" w:rsidR="0029118F" w:rsidRPr="00445472" w:rsidRDefault="0029118F" w:rsidP="008E14CA">
            <w:pPr>
              <w:pStyle w:val="TABELA"/>
              <w:jc w:val="center"/>
              <w:rPr>
                <w:lang w:val="sq-AL"/>
              </w:rPr>
            </w:pPr>
            <w:r w:rsidRPr="00445472">
              <w:rPr>
                <w:w w:val="99"/>
                <w:lang w:val="sq-AL"/>
              </w:rPr>
              <w:t>3</w:t>
            </w:r>
          </w:p>
        </w:tc>
        <w:tc>
          <w:tcPr>
            <w:tcW w:w="4428" w:type="pct"/>
            <w:vAlign w:val="center"/>
          </w:tcPr>
          <w:p w14:paraId="50D6C668" w14:textId="77777777" w:rsidR="0029118F" w:rsidRPr="00445472" w:rsidRDefault="0029118F" w:rsidP="001F7C2A">
            <w:pPr>
              <w:pStyle w:val="TABELA"/>
              <w:rPr>
                <w:lang w:val="sq-AL"/>
              </w:rPr>
            </w:pPr>
            <w:r w:rsidRPr="00445472">
              <w:rPr>
                <w:lang w:val="sq-AL"/>
              </w:rPr>
              <w:t>Shtoj i Vjetër</w:t>
            </w:r>
          </w:p>
        </w:tc>
      </w:tr>
      <w:tr w:rsidR="0029118F" w:rsidRPr="00445472" w14:paraId="071E3513" w14:textId="77777777" w:rsidTr="001F7C2A">
        <w:trPr>
          <w:trHeight w:val="280"/>
        </w:trPr>
        <w:tc>
          <w:tcPr>
            <w:tcW w:w="572" w:type="pct"/>
            <w:shd w:val="clear" w:color="auto" w:fill="E6E6E6"/>
            <w:vAlign w:val="center"/>
          </w:tcPr>
          <w:p w14:paraId="6F9D101D" w14:textId="77777777" w:rsidR="0029118F" w:rsidRPr="00445472" w:rsidRDefault="0029118F" w:rsidP="008E14CA">
            <w:pPr>
              <w:pStyle w:val="TABELA"/>
              <w:jc w:val="center"/>
              <w:rPr>
                <w:lang w:val="sq-AL"/>
              </w:rPr>
            </w:pPr>
            <w:r w:rsidRPr="00445472">
              <w:rPr>
                <w:w w:val="99"/>
                <w:lang w:val="sq-AL"/>
              </w:rPr>
              <w:t>4</w:t>
            </w:r>
          </w:p>
        </w:tc>
        <w:tc>
          <w:tcPr>
            <w:tcW w:w="4428" w:type="pct"/>
            <w:shd w:val="clear" w:color="auto" w:fill="E6E6E6"/>
            <w:vAlign w:val="center"/>
          </w:tcPr>
          <w:p w14:paraId="77801122" w14:textId="77777777" w:rsidR="0029118F" w:rsidRPr="00445472" w:rsidRDefault="0029118F" w:rsidP="001F7C2A">
            <w:pPr>
              <w:pStyle w:val="TABELA"/>
              <w:rPr>
                <w:lang w:val="sq-AL"/>
              </w:rPr>
            </w:pPr>
            <w:r w:rsidRPr="00445472">
              <w:rPr>
                <w:lang w:val="sq-AL"/>
              </w:rPr>
              <w:t>Kisha e Madhe, Shkodër</w:t>
            </w:r>
          </w:p>
        </w:tc>
      </w:tr>
    </w:tbl>
    <w:p w14:paraId="2CE6C6C9" w14:textId="77777777" w:rsidR="0029118F" w:rsidRPr="00445472" w:rsidRDefault="0029118F" w:rsidP="001F7C2A">
      <w:pPr>
        <w:pStyle w:val="TEKSTIIII"/>
      </w:pPr>
    </w:p>
    <w:p w14:paraId="2C64DF4B" w14:textId="77777777" w:rsidR="0029118F" w:rsidRPr="00445472" w:rsidRDefault="0029118F" w:rsidP="001F7C2A">
      <w:pPr>
        <w:pStyle w:val="TEKSTIIII"/>
      </w:pPr>
      <w:r w:rsidRPr="00445472">
        <w:t>Stacionet monitorojnë parametra të ndryshëm që përfshijnë nivelin dhe prurjen e ujit, pH-in, temperaturën, ashpërsinë totale, Na, lëndën e thatë, Ca, Mg, Fe, NH</w:t>
      </w:r>
      <w:r w:rsidRPr="00445472">
        <w:rPr>
          <w:vertAlign w:val="subscript"/>
        </w:rPr>
        <w:t>4</w:t>
      </w:r>
      <w:r w:rsidRPr="00445472">
        <w:t>, Cl, SO</w:t>
      </w:r>
      <w:r w:rsidRPr="00445472">
        <w:rPr>
          <w:vertAlign w:val="subscript"/>
        </w:rPr>
        <w:t>4</w:t>
      </w:r>
      <w:r w:rsidRPr="00445472">
        <w:t>, NO</w:t>
      </w:r>
      <w:r w:rsidRPr="00445472">
        <w:rPr>
          <w:vertAlign w:val="subscript"/>
        </w:rPr>
        <w:t>3</w:t>
      </w:r>
      <w:r w:rsidRPr="00445472">
        <w:t>, NO</w:t>
      </w:r>
      <w:r w:rsidRPr="00445472">
        <w:rPr>
          <w:vertAlign w:val="subscript"/>
        </w:rPr>
        <w:t>2</w:t>
      </w:r>
      <w:r w:rsidRPr="00445472">
        <w:t xml:space="preserve"> dhe O</w:t>
      </w:r>
      <w:r w:rsidRPr="00445472">
        <w:rPr>
          <w:vertAlign w:val="subscript"/>
        </w:rPr>
        <w:t>2</w:t>
      </w:r>
      <w:r w:rsidRPr="00445472">
        <w:t>. Mikroelementet (nikel, magnez, mangan, zink, plumb, bakër, kobalt, krom dhe kadmium) monitorohen vetëm në Dobraç në Pusin 1. Çdo stacion monitorohet dy herë në vit (maj dhe tetor).</w:t>
      </w:r>
    </w:p>
    <w:p w14:paraId="34D704A8" w14:textId="77777777" w:rsidR="0029118F" w:rsidRPr="00445472" w:rsidRDefault="0029118F" w:rsidP="001F7C2A">
      <w:pPr>
        <w:pStyle w:val="TEKSTIIII"/>
      </w:pPr>
      <w:r w:rsidRPr="00445472">
        <w:t>Cilësia e ujit të nxjerrë nga akuiferi kuaternar mund të përmblidhet si vijon:</w:t>
      </w:r>
    </w:p>
    <w:p w14:paraId="37DA74A7" w14:textId="7DFC1C3C" w:rsidR="0029118F" w:rsidRPr="00445472" w:rsidRDefault="0087497D" w:rsidP="001F7C2A">
      <w:pPr>
        <w:pStyle w:val="TEKSTIIII"/>
      </w:pPr>
      <w:r>
        <w:t xml:space="preserve">- </w:t>
      </w:r>
      <w:r w:rsidR="0029118F" w:rsidRPr="00445472">
        <w:t>pH i ujërave nëntokësore është dobësisht alkalin, vario</w:t>
      </w:r>
      <w:r w:rsidR="008E14CA" w:rsidRPr="00445472">
        <w:t>n</w:t>
      </w:r>
      <w:r w:rsidR="0029118F" w:rsidRPr="00445472">
        <w:t xml:space="preserve"> nga 7.28–8.03.</w:t>
      </w:r>
    </w:p>
    <w:p w14:paraId="52B9F96B" w14:textId="4BD41372" w:rsidR="0029118F" w:rsidRPr="00445472" w:rsidRDefault="0087497D" w:rsidP="001F7C2A">
      <w:pPr>
        <w:pStyle w:val="TEKSTIIII"/>
      </w:pPr>
      <w:r>
        <w:t xml:space="preserve">- </w:t>
      </w:r>
      <w:r w:rsidR="0029118F" w:rsidRPr="00445472">
        <w:t>Mineralizimi total në akuifer varion nga 140-326 mg/l. Ujërat mund të klasifikohen si ujëra të ëmbla. Në Dobraç, i cili furnizon Shkodrën, vlerat për mineralizimin total variojnë nga 296-360 mg/l. Mineralizimi i përgjithshëm në të gjithë monitorimin e rrjetit është brenda normës standarde të Shqipërisë.</w:t>
      </w:r>
    </w:p>
    <w:p w14:paraId="43A2540A" w14:textId="21FADAC0" w:rsidR="0029118F" w:rsidRPr="00445472" w:rsidRDefault="0087497D" w:rsidP="001F7C2A">
      <w:pPr>
        <w:pStyle w:val="TEKSTIIII"/>
      </w:pPr>
      <w:r>
        <w:t xml:space="preserve">- </w:t>
      </w:r>
      <w:r w:rsidR="0029118F" w:rsidRPr="00445472">
        <w:t>Për</w:t>
      </w:r>
      <w:r w:rsidR="008E14CA" w:rsidRPr="00445472">
        <w:t xml:space="preserve"> </w:t>
      </w:r>
      <w:r w:rsidR="0029118F" w:rsidRPr="00445472">
        <w:t>sa i përket ashpërsisë së përgjithshme, ky akuifer klasifikohet me ashpërsi mesatare për ujërat me ashpërsi të butë. Ashpërsia totale varion nga 4.42 - 11.42 Fp.</w:t>
      </w:r>
      <w:r w:rsidR="002E6C44">
        <w:t>°</w:t>
      </w:r>
      <w:r w:rsidR="0029118F" w:rsidRPr="00445472">
        <w:t>gj.</w:t>
      </w:r>
    </w:p>
    <w:p w14:paraId="457ED920" w14:textId="2FA6C587" w:rsidR="0029118F" w:rsidRPr="00445472" w:rsidRDefault="0087497D" w:rsidP="001F7C2A">
      <w:pPr>
        <w:pStyle w:val="TEKSTIIII"/>
      </w:pPr>
      <w:r>
        <w:t xml:space="preserve">- </w:t>
      </w:r>
      <w:r w:rsidR="0029118F" w:rsidRPr="00445472">
        <w:t>Përmbajtja e hekurit varion në vlerë prej 0.01</w:t>
      </w:r>
      <w:r w:rsidR="002E6C44">
        <w:t>–</w:t>
      </w:r>
      <w:r w:rsidR="0029118F" w:rsidRPr="00445472">
        <w:t>0.17 mg/l. Përmbajtja gjatë viteve nuk ka tendencë të rritet ndjeshëm.</w:t>
      </w:r>
    </w:p>
    <w:p w14:paraId="2E5C8422" w14:textId="2BF4945A" w:rsidR="0029118F" w:rsidRPr="00445472" w:rsidRDefault="0087497D" w:rsidP="001F7C2A">
      <w:pPr>
        <w:pStyle w:val="TEKSTIIII"/>
      </w:pPr>
      <w:r>
        <w:t xml:space="preserve">- </w:t>
      </w:r>
      <w:r w:rsidR="0029118F" w:rsidRPr="00445472">
        <w:t>Përmbajtja e NH</w:t>
      </w:r>
      <w:r w:rsidR="0029118F" w:rsidRPr="00445472">
        <w:rPr>
          <w:vertAlign w:val="subscript"/>
        </w:rPr>
        <w:t>4</w:t>
      </w:r>
      <w:r w:rsidR="0029118F" w:rsidRPr="00445472">
        <w:t xml:space="preserve"> e akuiferit varion nga 0.01</w:t>
      </w:r>
      <w:r w:rsidR="002E6C44">
        <w:t>–</w:t>
      </w:r>
      <w:r w:rsidR="0029118F" w:rsidRPr="00445472">
        <w:t>0.11 mg/l. Përmbajtja e amoniakut në shumicën e analizave nuk është e pranishme.</w:t>
      </w:r>
    </w:p>
    <w:p w14:paraId="2E45C838" w14:textId="60EBFF09" w:rsidR="0029118F" w:rsidRPr="00445472" w:rsidRDefault="0087497D" w:rsidP="001F7C2A">
      <w:pPr>
        <w:pStyle w:val="TEKSTIIII"/>
      </w:pPr>
      <w:r>
        <w:t xml:space="preserve">- </w:t>
      </w:r>
      <w:r w:rsidR="0029118F" w:rsidRPr="00445472">
        <w:rPr>
          <w:position w:val="1"/>
        </w:rPr>
        <w:t>Përmbajtja mesatare e NO</w:t>
      </w:r>
      <w:r w:rsidR="0029118F" w:rsidRPr="00445472">
        <w:rPr>
          <w:position w:val="1"/>
          <w:vertAlign w:val="subscript"/>
        </w:rPr>
        <w:t>3</w:t>
      </w:r>
      <w:r w:rsidR="0029118F" w:rsidRPr="00445472">
        <w:rPr>
          <w:position w:val="1"/>
        </w:rPr>
        <w:t xml:space="preserve"> varion nga 0.72</w:t>
      </w:r>
      <w:r w:rsidR="002E6C44">
        <w:t>–</w:t>
      </w:r>
      <w:r w:rsidR="0029118F" w:rsidRPr="00445472">
        <w:rPr>
          <w:position w:val="1"/>
        </w:rPr>
        <w:t>8.33 mg/l.</w:t>
      </w:r>
    </w:p>
    <w:p w14:paraId="461EEB34" w14:textId="58A3DAE7" w:rsidR="0029118F" w:rsidRPr="00445472" w:rsidRDefault="0087497D" w:rsidP="001F7C2A">
      <w:pPr>
        <w:pStyle w:val="TEKSTIIII"/>
      </w:pPr>
      <w:r>
        <w:t xml:space="preserve">- </w:t>
      </w:r>
      <w:r w:rsidR="0029118F" w:rsidRPr="00445472">
        <w:t>Përqindja mesatare e NO</w:t>
      </w:r>
      <w:r w:rsidR="0029118F" w:rsidRPr="00445472">
        <w:rPr>
          <w:vertAlign w:val="subscript"/>
        </w:rPr>
        <w:t>2</w:t>
      </w:r>
      <w:r w:rsidR="0029118F" w:rsidRPr="00445472">
        <w:t xml:space="preserve"> ndryshon 0.002</w:t>
      </w:r>
      <w:r w:rsidR="002E6C44">
        <w:t>–</w:t>
      </w:r>
      <w:r w:rsidR="0029118F" w:rsidRPr="00445472">
        <w:t>3.6 mg/l. Përmbajtja e nitrit ndryshon në mënyrë sporadike rreth vlerave 0.05 mg/l dhe shpesh mbi standardet e rekomanduara.</w:t>
      </w:r>
    </w:p>
    <w:p w14:paraId="2B320215" w14:textId="2111B992" w:rsidR="0029118F" w:rsidRPr="00445472" w:rsidRDefault="0087497D" w:rsidP="001F7C2A">
      <w:pPr>
        <w:pStyle w:val="TEKSTIIII"/>
      </w:pPr>
      <w:r>
        <w:t xml:space="preserve">- </w:t>
      </w:r>
      <w:r w:rsidR="0029118F" w:rsidRPr="00445472">
        <w:t xml:space="preserve">Cilësia e ujit të akuiferit mund të klasifikohet si </w:t>
      </w:r>
      <w:r w:rsidR="00D62EDF" w:rsidRPr="00445472">
        <w:t>“</w:t>
      </w:r>
      <w:r w:rsidR="0029118F" w:rsidRPr="00445472">
        <w:t>e mirë</w:t>
      </w:r>
      <w:r w:rsidR="00D62EDF" w:rsidRPr="00445472">
        <w:t>”</w:t>
      </w:r>
      <w:r w:rsidR="0029118F" w:rsidRPr="00445472">
        <w:t>.</w:t>
      </w:r>
    </w:p>
    <w:p w14:paraId="3886B174" w14:textId="77777777" w:rsidR="0029118F" w:rsidRPr="00445472" w:rsidRDefault="0029118F" w:rsidP="001F7C2A">
      <w:pPr>
        <w:pStyle w:val="TEKSTIIII"/>
      </w:pPr>
    </w:p>
    <w:p w14:paraId="2252701B" w14:textId="77777777" w:rsidR="0029118F" w:rsidRPr="00445472" w:rsidRDefault="0029118F" w:rsidP="00246405">
      <w:pPr>
        <w:pStyle w:val="NENTITULL"/>
      </w:pPr>
    </w:p>
    <w:p w14:paraId="62DAF433" w14:textId="77777777" w:rsidR="00246405" w:rsidRPr="00445472" w:rsidRDefault="00246405" w:rsidP="00246405">
      <w:pPr>
        <w:pStyle w:val="NENTITULL"/>
      </w:pPr>
    </w:p>
    <w:p w14:paraId="04D737A6" w14:textId="77777777" w:rsidR="00246405" w:rsidRPr="00445472" w:rsidRDefault="00246405" w:rsidP="00246405">
      <w:pPr>
        <w:pStyle w:val="NENTITULL"/>
      </w:pPr>
    </w:p>
    <w:p w14:paraId="4F7E9D17" w14:textId="77777777" w:rsidR="00246405" w:rsidRPr="00445472" w:rsidRDefault="00246405" w:rsidP="00246405">
      <w:pPr>
        <w:pStyle w:val="NENTITULL"/>
      </w:pPr>
    </w:p>
    <w:p w14:paraId="475D67A0" w14:textId="77777777" w:rsidR="00246405" w:rsidRPr="00445472" w:rsidRDefault="00246405" w:rsidP="00246405">
      <w:pPr>
        <w:pStyle w:val="NENTITULL"/>
      </w:pPr>
    </w:p>
    <w:p w14:paraId="6433B0AA" w14:textId="77777777" w:rsidR="008E14CA" w:rsidRPr="00445472" w:rsidRDefault="008E14CA" w:rsidP="00246405">
      <w:pPr>
        <w:pStyle w:val="NENTITULL"/>
      </w:pPr>
    </w:p>
    <w:p w14:paraId="4EB7153F" w14:textId="51930BF7" w:rsidR="0029118F" w:rsidRPr="00445472" w:rsidRDefault="0029118F" w:rsidP="00246405">
      <w:pPr>
        <w:pStyle w:val="NENTITULL"/>
      </w:pPr>
      <w:r w:rsidRPr="00445472">
        <w:t>Tabela 7.7: Parametrat e monitoruar në ujërat nëntokësore</w:t>
      </w:r>
    </w:p>
    <w:tbl>
      <w:tblPr>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739"/>
        <w:gridCol w:w="5038"/>
        <w:gridCol w:w="1651"/>
        <w:gridCol w:w="1653"/>
      </w:tblGrid>
      <w:tr w:rsidR="0029118F" w:rsidRPr="00445472" w14:paraId="134FAD67" w14:textId="77777777" w:rsidTr="00246405">
        <w:trPr>
          <w:trHeight w:val="680"/>
        </w:trPr>
        <w:tc>
          <w:tcPr>
            <w:tcW w:w="407" w:type="pct"/>
            <w:shd w:val="clear" w:color="auto" w:fill="D4D4D4"/>
            <w:vAlign w:val="center"/>
          </w:tcPr>
          <w:p w14:paraId="60B6FD2F" w14:textId="77777777" w:rsidR="0029118F" w:rsidRPr="00445472" w:rsidRDefault="0029118F" w:rsidP="008E14CA">
            <w:pPr>
              <w:pStyle w:val="TABELA"/>
              <w:jc w:val="center"/>
              <w:rPr>
                <w:b/>
                <w:lang w:val="sq-AL"/>
              </w:rPr>
            </w:pPr>
          </w:p>
          <w:p w14:paraId="671BD21B" w14:textId="77777777" w:rsidR="0029118F" w:rsidRPr="00445472" w:rsidRDefault="0029118F" w:rsidP="008E14CA">
            <w:pPr>
              <w:pStyle w:val="TABELA"/>
              <w:jc w:val="center"/>
              <w:rPr>
                <w:b/>
                <w:lang w:val="sq-AL"/>
              </w:rPr>
            </w:pPr>
            <w:r w:rsidRPr="00445472">
              <w:rPr>
                <w:b/>
                <w:lang w:val="sq-AL"/>
              </w:rPr>
              <w:t>Nr.</w:t>
            </w:r>
          </w:p>
        </w:tc>
        <w:tc>
          <w:tcPr>
            <w:tcW w:w="2774" w:type="pct"/>
            <w:shd w:val="clear" w:color="auto" w:fill="D4D4D4"/>
            <w:vAlign w:val="center"/>
          </w:tcPr>
          <w:p w14:paraId="31585470" w14:textId="0220F1FE" w:rsidR="0029118F" w:rsidRPr="00445472" w:rsidRDefault="0029118F" w:rsidP="00445472">
            <w:pPr>
              <w:pStyle w:val="TABELA"/>
              <w:jc w:val="center"/>
              <w:rPr>
                <w:b/>
                <w:lang w:val="sq-AL"/>
              </w:rPr>
            </w:pPr>
            <w:r w:rsidRPr="00445472">
              <w:rPr>
                <w:b/>
                <w:lang w:val="sq-AL"/>
              </w:rPr>
              <w:t>Parametrat e monitoruar në ujërat nëntokësor</w:t>
            </w:r>
            <w:r w:rsidR="00445472">
              <w:rPr>
                <w:b/>
                <w:lang w:val="sq-AL"/>
              </w:rPr>
              <w:t>e</w:t>
            </w:r>
            <w:r w:rsidRPr="00445472">
              <w:rPr>
                <w:b/>
                <w:lang w:val="sq-AL"/>
              </w:rPr>
              <w:t xml:space="preserve"> (mg/l përveç nëse thuhet ndryshe)</w:t>
            </w:r>
          </w:p>
        </w:tc>
        <w:tc>
          <w:tcPr>
            <w:tcW w:w="909" w:type="pct"/>
            <w:shd w:val="clear" w:color="auto" w:fill="D4D4D4"/>
            <w:vAlign w:val="center"/>
          </w:tcPr>
          <w:p w14:paraId="24AC257B" w14:textId="77777777" w:rsidR="0029118F" w:rsidRPr="00445472" w:rsidRDefault="0029118F" w:rsidP="00246405">
            <w:pPr>
              <w:pStyle w:val="TABELA"/>
              <w:jc w:val="center"/>
              <w:rPr>
                <w:b/>
                <w:lang w:val="sq-AL"/>
              </w:rPr>
            </w:pPr>
            <w:r w:rsidRPr="00445472">
              <w:rPr>
                <w:b/>
                <w:lang w:val="sq-AL"/>
              </w:rPr>
              <w:t>Parametrat e legjislacionit shqiptar</w:t>
            </w:r>
          </w:p>
        </w:tc>
        <w:tc>
          <w:tcPr>
            <w:tcW w:w="910" w:type="pct"/>
            <w:shd w:val="clear" w:color="auto" w:fill="D4D4D4"/>
            <w:vAlign w:val="center"/>
          </w:tcPr>
          <w:p w14:paraId="7B269C86" w14:textId="77777777" w:rsidR="0029118F" w:rsidRPr="00445472" w:rsidRDefault="0029118F" w:rsidP="00246405">
            <w:pPr>
              <w:pStyle w:val="TABELA"/>
              <w:jc w:val="center"/>
              <w:rPr>
                <w:b/>
                <w:lang w:val="sq-AL"/>
              </w:rPr>
            </w:pPr>
            <w:r w:rsidRPr="00445472">
              <w:rPr>
                <w:b/>
                <w:lang w:val="sq-AL"/>
              </w:rPr>
              <w:t>Parametrat e legjislacionit të BE-së</w:t>
            </w:r>
            <w:r w:rsidRPr="00445472">
              <w:rPr>
                <w:rStyle w:val="FootnoteReference"/>
                <w:rFonts w:ascii="Garamond" w:hAnsi="Garamond" w:cs="Arial"/>
                <w:b/>
                <w:color w:val="auto"/>
                <w:sz w:val="18"/>
                <w:szCs w:val="18"/>
                <w:lang w:val="sq-AL"/>
              </w:rPr>
              <w:footnoteReference w:id="139"/>
            </w:r>
          </w:p>
        </w:tc>
      </w:tr>
      <w:tr w:rsidR="0029118F" w:rsidRPr="00445472" w14:paraId="26C535B5" w14:textId="77777777" w:rsidTr="00246405">
        <w:trPr>
          <w:trHeight w:val="280"/>
        </w:trPr>
        <w:tc>
          <w:tcPr>
            <w:tcW w:w="407" w:type="pct"/>
            <w:vAlign w:val="center"/>
          </w:tcPr>
          <w:p w14:paraId="72BC1178" w14:textId="77777777" w:rsidR="0029118F" w:rsidRPr="00445472" w:rsidRDefault="0029118F" w:rsidP="008E14CA">
            <w:pPr>
              <w:pStyle w:val="TABELA"/>
              <w:jc w:val="center"/>
              <w:rPr>
                <w:lang w:val="sq-AL"/>
              </w:rPr>
            </w:pPr>
            <w:r w:rsidRPr="00445472">
              <w:rPr>
                <w:w w:val="99"/>
                <w:lang w:val="sq-AL"/>
              </w:rPr>
              <w:t>1</w:t>
            </w:r>
          </w:p>
        </w:tc>
        <w:tc>
          <w:tcPr>
            <w:tcW w:w="2774" w:type="pct"/>
            <w:vAlign w:val="center"/>
          </w:tcPr>
          <w:p w14:paraId="33F72C9E" w14:textId="77777777" w:rsidR="0029118F" w:rsidRPr="00445472" w:rsidRDefault="0029118F" w:rsidP="00246405">
            <w:pPr>
              <w:pStyle w:val="TABELA"/>
              <w:rPr>
                <w:lang w:val="sq-AL"/>
              </w:rPr>
            </w:pPr>
            <w:r w:rsidRPr="00445472">
              <w:rPr>
                <w:lang w:val="sq-AL"/>
              </w:rPr>
              <w:t>Matja e prurjeve (l/s)</w:t>
            </w:r>
          </w:p>
        </w:tc>
        <w:tc>
          <w:tcPr>
            <w:tcW w:w="909" w:type="pct"/>
            <w:vAlign w:val="center"/>
          </w:tcPr>
          <w:p w14:paraId="2C778556" w14:textId="77777777" w:rsidR="0029118F" w:rsidRPr="00445472" w:rsidRDefault="0029118F" w:rsidP="00246405">
            <w:pPr>
              <w:pStyle w:val="TABELA"/>
              <w:rPr>
                <w:lang w:val="sq-AL"/>
              </w:rPr>
            </w:pPr>
          </w:p>
        </w:tc>
        <w:tc>
          <w:tcPr>
            <w:tcW w:w="910" w:type="pct"/>
            <w:vAlign w:val="center"/>
          </w:tcPr>
          <w:p w14:paraId="00430937" w14:textId="77777777" w:rsidR="0029118F" w:rsidRPr="00445472" w:rsidRDefault="0029118F" w:rsidP="00246405">
            <w:pPr>
              <w:pStyle w:val="TABELA"/>
              <w:rPr>
                <w:lang w:val="sq-AL"/>
              </w:rPr>
            </w:pPr>
          </w:p>
        </w:tc>
      </w:tr>
      <w:tr w:rsidR="0029118F" w:rsidRPr="00445472" w14:paraId="61FA1EF3" w14:textId="77777777" w:rsidTr="00246405">
        <w:trPr>
          <w:trHeight w:val="280"/>
        </w:trPr>
        <w:tc>
          <w:tcPr>
            <w:tcW w:w="407" w:type="pct"/>
            <w:shd w:val="clear" w:color="auto" w:fill="E6E6E6"/>
            <w:vAlign w:val="center"/>
          </w:tcPr>
          <w:p w14:paraId="76AA3978" w14:textId="77777777" w:rsidR="0029118F" w:rsidRPr="00445472" w:rsidRDefault="0029118F" w:rsidP="008E14CA">
            <w:pPr>
              <w:pStyle w:val="TABELA"/>
              <w:jc w:val="center"/>
              <w:rPr>
                <w:lang w:val="sq-AL"/>
              </w:rPr>
            </w:pPr>
            <w:r w:rsidRPr="00445472">
              <w:rPr>
                <w:w w:val="99"/>
                <w:lang w:val="sq-AL"/>
              </w:rPr>
              <w:t>2</w:t>
            </w:r>
          </w:p>
        </w:tc>
        <w:tc>
          <w:tcPr>
            <w:tcW w:w="2774" w:type="pct"/>
            <w:shd w:val="clear" w:color="auto" w:fill="E6E6E6"/>
            <w:vAlign w:val="center"/>
          </w:tcPr>
          <w:p w14:paraId="7B6B9B37" w14:textId="77777777" w:rsidR="0029118F" w:rsidRPr="00445472" w:rsidRDefault="0029118F" w:rsidP="00246405">
            <w:pPr>
              <w:pStyle w:val="TABELA"/>
              <w:rPr>
                <w:lang w:val="sq-AL"/>
              </w:rPr>
            </w:pPr>
            <w:r w:rsidRPr="00445472">
              <w:rPr>
                <w:lang w:val="sq-AL"/>
              </w:rPr>
              <w:t>Ion hidrogjen (njësi pH)</w:t>
            </w:r>
          </w:p>
        </w:tc>
        <w:tc>
          <w:tcPr>
            <w:tcW w:w="909" w:type="pct"/>
            <w:shd w:val="clear" w:color="auto" w:fill="E6E6E6"/>
            <w:vAlign w:val="center"/>
          </w:tcPr>
          <w:p w14:paraId="6A2E791A" w14:textId="77777777" w:rsidR="0029118F" w:rsidRPr="00445472" w:rsidRDefault="0029118F" w:rsidP="008E14CA">
            <w:pPr>
              <w:pStyle w:val="TABELA"/>
              <w:jc w:val="center"/>
              <w:rPr>
                <w:lang w:val="sq-AL"/>
              </w:rPr>
            </w:pPr>
            <w:r w:rsidRPr="00445472">
              <w:rPr>
                <w:lang w:val="sq-AL"/>
              </w:rPr>
              <w:t>6.5-9.5</w:t>
            </w:r>
          </w:p>
        </w:tc>
        <w:tc>
          <w:tcPr>
            <w:tcW w:w="910" w:type="pct"/>
            <w:shd w:val="clear" w:color="auto" w:fill="E6E6E6"/>
            <w:vAlign w:val="center"/>
          </w:tcPr>
          <w:p w14:paraId="13E8B87C" w14:textId="77777777" w:rsidR="0029118F" w:rsidRPr="00445472" w:rsidRDefault="0029118F" w:rsidP="008E14CA">
            <w:pPr>
              <w:pStyle w:val="TABELA"/>
              <w:jc w:val="center"/>
              <w:rPr>
                <w:lang w:val="sq-AL"/>
              </w:rPr>
            </w:pPr>
            <w:r w:rsidRPr="00445472">
              <w:rPr>
                <w:lang w:val="sq-AL"/>
              </w:rPr>
              <w:t>6.5-8.5</w:t>
            </w:r>
          </w:p>
        </w:tc>
      </w:tr>
      <w:tr w:rsidR="0029118F" w:rsidRPr="00445472" w14:paraId="727EFC2C" w14:textId="77777777" w:rsidTr="00246405">
        <w:trPr>
          <w:trHeight w:val="300"/>
        </w:trPr>
        <w:tc>
          <w:tcPr>
            <w:tcW w:w="407" w:type="pct"/>
            <w:vAlign w:val="center"/>
          </w:tcPr>
          <w:p w14:paraId="53822911" w14:textId="77777777" w:rsidR="0029118F" w:rsidRPr="00445472" w:rsidRDefault="0029118F" w:rsidP="008E14CA">
            <w:pPr>
              <w:pStyle w:val="TABELA"/>
              <w:jc w:val="center"/>
              <w:rPr>
                <w:lang w:val="sq-AL"/>
              </w:rPr>
            </w:pPr>
            <w:r w:rsidRPr="00445472">
              <w:rPr>
                <w:w w:val="99"/>
                <w:lang w:val="sq-AL"/>
              </w:rPr>
              <w:t>3</w:t>
            </w:r>
          </w:p>
        </w:tc>
        <w:tc>
          <w:tcPr>
            <w:tcW w:w="2774" w:type="pct"/>
            <w:vAlign w:val="center"/>
          </w:tcPr>
          <w:p w14:paraId="436E5462" w14:textId="77777777" w:rsidR="0029118F" w:rsidRPr="00445472" w:rsidRDefault="0029118F" w:rsidP="00246405">
            <w:pPr>
              <w:pStyle w:val="TABELA"/>
              <w:rPr>
                <w:lang w:val="sq-AL"/>
              </w:rPr>
            </w:pPr>
            <w:r w:rsidRPr="00445472">
              <w:rPr>
                <w:lang w:val="sq-AL"/>
              </w:rPr>
              <w:t>Temperatura (</w:t>
            </w:r>
            <w:r w:rsidRPr="00445472">
              <w:rPr>
                <w:position w:val="6"/>
                <w:lang w:val="sq-AL"/>
              </w:rPr>
              <w:t>o</w:t>
            </w:r>
            <w:r w:rsidRPr="00445472">
              <w:rPr>
                <w:lang w:val="sq-AL"/>
              </w:rPr>
              <w:t>C)</w:t>
            </w:r>
          </w:p>
        </w:tc>
        <w:tc>
          <w:tcPr>
            <w:tcW w:w="909" w:type="pct"/>
            <w:vAlign w:val="center"/>
          </w:tcPr>
          <w:p w14:paraId="7AA7F9F5" w14:textId="77777777" w:rsidR="0029118F" w:rsidRPr="00445472" w:rsidRDefault="0029118F" w:rsidP="008E14CA">
            <w:pPr>
              <w:pStyle w:val="TABELA"/>
              <w:jc w:val="center"/>
              <w:rPr>
                <w:lang w:val="sq-AL"/>
              </w:rPr>
            </w:pPr>
            <w:r w:rsidRPr="00445472">
              <w:rPr>
                <w:lang w:val="sq-AL"/>
              </w:rPr>
              <w:t>8-20</w:t>
            </w:r>
          </w:p>
        </w:tc>
        <w:tc>
          <w:tcPr>
            <w:tcW w:w="910" w:type="pct"/>
            <w:vAlign w:val="center"/>
          </w:tcPr>
          <w:p w14:paraId="192D1B5A" w14:textId="77777777" w:rsidR="0029118F" w:rsidRPr="00445472" w:rsidRDefault="0029118F" w:rsidP="008E14CA">
            <w:pPr>
              <w:pStyle w:val="TABELA"/>
              <w:jc w:val="center"/>
              <w:rPr>
                <w:lang w:val="sq-AL"/>
              </w:rPr>
            </w:pPr>
            <w:r w:rsidRPr="00445472">
              <w:rPr>
                <w:lang w:val="sq-AL"/>
              </w:rPr>
              <w:t>12-25</w:t>
            </w:r>
          </w:p>
        </w:tc>
      </w:tr>
      <w:tr w:rsidR="0029118F" w:rsidRPr="00445472" w14:paraId="72D8B863" w14:textId="77777777" w:rsidTr="00246405">
        <w:trPr>
          <w:trHeight w:val="300"/>
        </w:trPr>
        <w:tc>
          <w:tcPr>
            <w:tcW w:w="407" w:type="pct"/>
            <w:shd w:val="clear" w:color="auto" w:fill="E6E6E6"/>
            <w:vAlign w:val="center"/>
          </w:tcPr>
          <w:p w14:paraId="0C9D11D5" w14:textId="77777777" w:rsidR="0029118F" w:rsidRPr="00445472" w:rsidRDefault="0029118F" w:rsidP="008E14CA">
            <w:pPr>
              <w:pStyle w:val="TABELA"/>
              <w:jc w:val="center"/>
              <w:rPr>
                <w:lang w:val="sq-AL"/>
              </w:rPr>
            </w:pPr>
            <w:r w:rsidRPr="00445472">
              <w:rPr>
                <w:w w:val="99"/>
                <w:lang w:val="sq-AL"/>
              </w:rPr>
              <w:t>4</w:t>
            </w:r>
          </w:p>
        </w:tc>
        <w:tc>
          <w:tcPr>
            <w:tcW w:w="2774" w:type="pct"/>
            <w:shd w:val="clear" w:color="auto" w:fill="E6E6E6"/>
            <w:vAlign w:val="center"/>
          </w:tcPr>
          <w:p w14:paraId="00C1D6F3" w14:textId="77777777" w:rsidR="0029118F" w:rsidRPr="00445472" w:rsidRDefault="0029118F" w:rsidP="00246405">
            <w:pPr>
              <w:pStyle w:val="TABELA"/>
              <w:rPr>
                <w:lang w:val="sq-AL"/>
              </w:rPr>
            </w:pPr>
            <w:r w:rsidRPr="00445472">
              <w:rPr>
                <w:lang w:val="sq-AL"/>
              </w:rPr>
              <w:t>Ashpërsia totale (Fp.° gj)</w:t>
            </w:r>
          </w:p>
        </w:tc>
        <w:tc>
          <w:tcPr>
            <w:tcW w:w="909" w:type="pct"/>
            <w:shd w:val="clear" w:color="auto" w:fill="E6E6E6"/>
            <w:vAlign w:val="center"/>
          </w:tcPr>
          <w:p w14:paraId="275FCF18" w14:textId="77777777" w:rsidR="0029118F" w:rsidRPr="00445472" w:rsidRDefault="0029118F" w:rsidP="008E14CA">
            <w:pPr>
              <w:pStyle w:val="TABELA"/>
              <w:jc w:val="center"/>
              <w:rPr>
                <w:lang w:val="sq-AL"/>
              </w:rPr>
            </w:pPr>
            <w:r w:rsidRPr="00445472">
              <w:rPr>
                <w:lang w:val="sq-AL"/>
              </w:rPr>
              <w:t>10-25</w:t>
            </w:r>
          </w:p>
        </w:tc>
        <w:tc>
          <w:tcPr>
            <w:tcW w:w="910" w:type="pct"/>
            <w:shd w:val="clear" w:color="auto" w:fill="E6E6E6"/>
            <w:vAlign w:val="center"/>
          </w:tcPr>
          <w:p w14:paraId="219882A5" w14:textId="77777777" w:rsidR="0029118F" w:rsidRPr="00445472" w:rsidRDefault="0029118F" w:rsidP="008E14CA">
            <w:pPr>
              <w:pStyle w:val="TABELA"/>
              <w:jc w:val="center"/>
              <w:rPr>
                <w:lang w:val="sq-AL"/>
              </w:rPr>
            </w:pPr>
            <w:r w:rsidRPr="00445472">
              <w:rPr>
                <w:lang w:val="sq-AL"/>
              </w:rPr>
              <w:t>&gt;60</w:t>
            </w:r>
          </w:p>
        </w:tc>
      </w:tr>
      <w:tr w:rsidR="0029118F" w:rsidRPr="00445472" w14:paraId="024E9B92" w14:textId="77777777" w:rsidTr="00246405">
        <w:trPr>
          <w:trHeight w:val="280"/>
        </w:trPr>
        <w:tc>
          <w:tcPr>
            <w:tcW w:w="407" w:type="pct"/>
            <w:vAlign w:val="center"/>
          </w:tcPr>
          <w:p w14:paraId="7F26983F" w14:textId="77777777" w:rsidR="0029118F" w:rsidRPr="00445472" w:rsidRDefault="0029118F" w:rsidP="008E14CA">
            <w:pPr>
              <w:pStyle w:val="TABELA"/>
              <w:jc w:val="center"/>
              <w:rPr>
                <w:lang w:val="sq-AL"/>
              </w:rPr>
            </w:pPr>
            <w:r w:rsidRPr="00445472">
              <w:rPr>
                <w:w w:val="99"/>
                <w:lang w:val="sq-AL"/>
              </w:rPr>
              <w:t>5</w:t>
            </w:r>
          </w:p>
        </w:tc>
        <w:tc>
          <w:tcPr>
            <w:tcW w:w="2774" w:type="pct"/>
            <w:vAlign w:val="center"/>
          </w:tcPr>
          <w:p w14:paraId="06ABAF3D" w14:textId="77777777" w:rsidR="0029118F" w:rsidRPr="00445472" w:rsidRDefault="0029118F" w:rsidP="00246405">
            <w:pPr>
              <w:pStyle w:val="TABELA"/>
              <w:rPr>
                <w:lang w:val="sq-AL"/>
              </w:rPr>
            </w:pPr>
            <w:r w:rsidRPr="00445472">
              <w:rPr>
                <w:lang w:val="sq-AL"/>
              </w:rPr>
              <w:t>Mineralizimi</w:t>
            </w:r>
          </w:p>
        </w:tc>
        <w:tc>
          <w:tcPr>
            <w:tcW w:w="909" w:type="pct"/>
            <w:vAlign w:val="center"/>
          </w:tcPr>
          <w:p w14:paraId="036E5E80" w14:textId="77777777" w:rsidR="0029118F" w:rsidRPr="00445472" w:rsidRDefault="0029118F" w:rsidP="008E14CA">
            <w:pPr>
              <w:pStyle w:val="TABELA"/>
              <w:jc w:val="center"/>
              <w:rPr>
                <w:lang w:val="sq-AL"/>
              </w:rPr>
            </w:pPr>
            <w:r w:rsidRPr="00445472">
              <w:rPr>
                <w:lang w:val="sq-AL"/>
              </w:rPr>
              <w:t>1,200</w:t>
            </w:r>
          </w:p>
        </w:tc>
        <w:tc>
          <w:tcPr>
            <w:tcW w:w="910" w:type="pct"/>
            <w:vAlign w:val="center"/>
          </w:tcPr>
          <w:p w14:paraId="3C2C15D7" w14:textId="77777777" w:rsidR="0029118F" w:rsidRPr="00445472" w:rsidRDefault="0029118F" w:rsidP="008E14CA">
            <w:pPr>
              <w:pStyle w:val="TABELA"/>
              <w:jc w:val="center"/>
              <w:rPr>
                <w:lang w:val="sq-AL"/>
              </w:rPr>
            </w:pPr>
          </w:p>
        </w:tc>
      </w:tr>
      <w:tr w:rsidR="0029118F" w:rsidRPr="00445472" w14:paraId="5FECC8AB" w14:textId="77777777" w:rsidTr="00246405">
        <w:trPr>
          <w:trHeight w:val="340"/>
        </w:trPr>
        <w:tc>
          <w:tcPr>
            <w:tcW w:w="407" w:type="pct"/>
            <w:shd w:val="clear" w:color="auto" w:fill="E6E6E6"/>
            <w:vAlign w:val="center"/>
          </w:tcPr>
          <w:p w14:paraId="1CB2E7F0" w14:textId="77777777" w:rsidR="0029118F" w:rsidRPr="00445472" w:rsidRDefault="0029118F" w:rsidP="008E14CA">
            <w:pPr>
              <w:pStyle w:val="TABELA"/>
              <w:jc w:val="center"/>
              <w:rPr>
                <w:lang w:val="sq-AL"/>
              </w:rPr>
            </w:pPr>
            <w:r w:rsidRPr="00445472">
              <w:rPr>
                <w:w w:val="99"/>
                <w:lang w:val="sq-AL"/>
              </w:rPr>
              <w:t>6</w:t>
            </w:r>
          </w:p>
        </w:tc>
        <w:tc>
          <w:tcPr>
            <w:tcW w:w="2774" w:type="pct"/>
            <w:shd w:val="clear" w:color="auto" w:fill="E6E6E6"/>
            <w:vAlign w:val="center"/>
          </w:tcPr>
          <w:p w14:paraId="1678A900" w14:textId="77777777" w:rsidR="0029118F" w:rsidRPr="00445472" w:rsidRDefault="0029118F" w:rsidP="00246405">
            <w:pPr>
              <w:pStyle w:val="TABELA"/>
              <w:rPr>
                <w:lang w:val="sq-AL"/>
              </w:rPr>
            </w:pPr>
            <w:r w:rsidRPr="00445472">
              <w:rPr>
                <w:lang w:val="sq-AL"/>
              </w:rPr>
              <w:t>Natrium (Na)</w:t>
            </w:r>
          </w:p>
        </w:tc>
        <w:tc>
          <w:tcPr>
            <w:tcW w:w="909" w:type="pct"/>
            <w:shd w:val="clear" w:color="auto" w:fill="E6E6E6"/>
            <w:vAlign w:val="center"/>
          </w:tcPr>
          <w:p w14:paraId="2DF82211" w14:textId="77777777" w:rsidR="0029118F" w:rsidRPr="00445472" w:rsidRDefault="0029118F" w:rsidP="008E14CA">
            <w:pPr>
              <w:pStyle w:val="TABELA"/>
              <w:jc w:val="center"/>
              <w:rPr>
                <w:lang w:val="sq-AL"/>
              </w:rPr>
            </w:pPr>
            <w:r w:rsidRPr="00445472">
              <w:rPr>
                <w:lang w:val="sq-AL"/>
              </w:rPr>
              <w:t>20-200</w:t>
            </w:r>
          </w:p>
        </w:tc>
        <w:tc>
          <w:tcPr>
            <w:tcW w:w="910" w:type="pct"/>
            <w:shd w:val="clear" w:color="auto" w:fill="E6E6E6"/>
            <w:vAlign w:val="center"/>
          </w:tcPr>
          <w:p w14:paraId="233FC171" w14:textId="77777777" w:rsidR="0029118F" w:rsidRPr="00445472" w:rsidRDefault="0029118F" w:rsidP="008E14CA">
            <w:pPr>
              <w:pStyle w:val="TABELA"/>
              <w:jc w:val="center"/>
              <w:rPr>
                <w:lang w:val="sq-AL"/>
              </w:rPr>
            </w:pPr>
            <w:r w:rsidRPr="00445472">
              <w:rPr>
                <w:lang w:val="sq-AL"/>
              </w:rPr>
              <w:t>20-150</w:t>
            </w:r>
          </w:p>
        </w:tc>
      </w:tr>
      <w:tr w:rsidR="0029118F" w:rsidRPr="00445472" w14:paraId="7DAE4BA4" w14:textId="77777777" w:rsidTr="00246405">
        <w:trPr>
          <w:trHeight w:val="320"/>
        </w:trPr>
        <w:tc>
          <w:tcPr>
            <w:tcW w:w="407" w:type="pct"/>
            <w:vAlign w:val="center"/>
          </w:tcPr>
          <w:p w14:paraId="19DB1FF1" w14:textId="77777777" w:rsidR="0029118F" w:rsidRPr="00445472" w:rsidRDefault="0029118F" w:rsidP="008E14CA">
            <w:pPr>
              <w:pStyle w:val="TABELA"/>
              <w:jc w:val="center"/>
              <w:rPr>
                <w:lang w:val="sq-AL"/>
              </w:rPr>
            </w:pPr>
            <w:r w:rsidRPr="00445472">
              <w:rPr>
                <w:w w:val="99"/>
                <w:lang w:val="sq-AL"/>
              </w:rPr>
              <w:t>7</w:t>
            </w:r>
          </w:p>
        </w:tc>
        <w:tc>
          <w:tcPr>
            <w:tcW w:w="2774" w:type="pct"/>
            <w:vAlign w:val="center"/>
          </w:tcPr>
          <w:p w14:paraId="06650F89" w14:textId="77777777" w:rsidR="0029118F" w:rsidRPr="00445472" w:rsidRDefault="0029118F" w:rsidP="00246405">
            <w:pPr>
              <w:pStyle w:val="TABELA"/>
              <w:rPr>
                <w:lang w:val="sq-AL"/>
              </w:rPr>
            </w:pPr>
            <w:r w:rsidRPr="00445472">
              <w:rPr>
                <w:lang w:val="sq-AL"/>
              </w:rPr>
              <w:t>Kalium (K)</w:t>
            </w:r>
          </w:p>
        </w:tc>
        <w:tc>
          <w:tcPr>
            <w:tcW w:w="909" w:type="pct"/>
            <w:vAlign w:val="center"/>
          </w:tcPr>
          <w:p w14:paraId="6E11A9F9" w14:textId="77777777" w:rsidR="0029118F" w:rsidRPr="00445472" w:rsidRDefault="0029118F" w:rsidP="008E14CA">
            <w:pPr>
              <w:pStyle w:val="TABELA"/>
              <w:jc w:val="center"/>
              <w:rPr>
                <w:lang w:val="sq-AL"/>
              </w:rPr>
            </w:pPr>
            <w:r w:rsidRPr="00445472">
              <w:rPr>
                <w:lang w:val="sq-AL"/>
              </w:rPr>
              <w:t>10-12.0</w:t>
            </w:r>
          </w:p>
        </w:tc>
        <w:tc>
          <w:tcPr>
            <w:tcW w:w="910" w:type="pct"/>
            <w:vAlign w:val="center"/>
          </w:tcPr>
          <w:p w14:paraId="36B29FEE" w14:textId="77777777" w:rsidR="0029118F" w:rsidRPr="00445472" w:rsidRDefault="0029118F" w:rsidP="008E14CA">
            <w:pPr>
              <w:pStyle w:val="TABELA"/>
              <w:jc w:val="center"/>
              <w:rPr>
                <w:lang w:val="sq-AL"/>
              </w:rPr>
            </w:pPr>
          </w:p>
        </w:tc>
      </w:tr>
      <w:tr w:rsidR="0029118F" w:rsidRPr="00445472" w14:paraId="1E91ABDE" w14:textId="77777777" w:rsidTr="00246405">
        <w:trPr>
          <w:trHeight w:val="340"/>
        </w:trPr>
        <w:tc>
          <w:tcPr>
            <w:tcW w:w="407" w:type="pct"/>
            <w:shd w:val="clear" w:color="auto" w:fill="E6E6E6"/>
            <w:vAlign w:val="center"/>
          </w:tcPr>
          <w:p w14:paraId="2298DF25" w14:textId="77777777" w:rsidR="0029118F" w:rsidRPr="00445472" w:rsidRDefault="0029118F" w:rsidP="008E14CA">
            <w:pPr>
              <w:pStyle w:val="TABELA"/>
              <w:jc w:val="center"/>
              <w:rPr>
                <w:lang w:val="sq-AL"/>
              </w:rPr>
            </w:pPr>
            <w:r w:rsidRPr="00445472">
              <w:rPr>
                <w:w w:val="99"/>
                <w:lang w:val="sq-AL"/>
              </w:rPr>
              <w:t>8</w:t>
            </w:r>
          </w:p>
        </w:tc>
        <w:tc>
          <w:tcPr>
            <w:tcW w:w="2774" w:type="pct"/>
            <w:shd w:val="clear" w:color="auto" w:fill="E6E6E6"/>
            <w:vAlign w:val="center"/>
          </w:tcPr>
          <w:p w14:paraId="5DB55EFD" w14:textId="77777777" w:rsidR="0029118F" w:rsidRPr="00445472" w:rsidRDefault="0029118F" w:rsidP="00246405">
            <w:pPr>
              <w:pStyle w:val="TABELA"/>
              <w:rPr>
                <w:lang w:val="sq-AL"/>
              </w:rPr>
            </w:pPr>
            <w:r w:rsidRPr="00445472">
              <w:rPr>
                <w:lang w:val="sq-AL"/>
              </w:rPr>
              <w:t>Kalcium (Ca)</w:t>
            </w:r>
          </w:p>
        </w:tc>
        <w:tc>
          <w:tcPr>
            <w:tcW w:w="909" w:type="pct"/>
            <w:shd w:val="clear" w:color="auto" w:fill="E6E6E6"/>
            <w:vAlign w:val="center"/>
          </w:tcPr>
          <w:p w14:paraId="1209F3DE" w14:textId="77777777" w:rsidR="0029118F" w:rsidRPr="00445472" w:rsidRDefault="0029118F" w:rsidP="008E14CA">
            <w:pPr>
              <w:pStyle w:val="TABELA"/>
              <w:jc w:val="center"/>
              <w:rPr>
                <w:lang w:val="sq-AL"/>
              </w:rPr>
            </w:pPr>
            <w:r w:rsidRPr="00445472">
              <w:rPr>
                <w:lang w:val="sq-AL"/>
              </w:rPr>
              <w:t>75-200</w:t>
            </w:r>
          </w:p>
        </w:tc>
        <w:tc>
          <w:tcPr>
            <w:tcW w:w="910" w:type="pct"/>
            <w:shd w:val="clear" w:color="auto" w:fill="E6E6E6"/>
            <w:vAlign w:val="center"/>
          </w:tcPr>
          <w:p w14:paraId="22DD4AF7" w14:textId="77777777" w:rsidR="0029118F" w:rsidRPr="00445472" w:rsidRDefault="0029118F" w:rsidP="008E14CA">
            <w:pPr>
              <w:pStyle w:val="TABELA"/>
              <w:jc w:val="center"/>
              <w:rPr>
                <w:lang w:val="sq-AL"/>
              </w:rPr>
            </w:pPr>
            <w:r w:rsidRPr="00445472">
              <w:rPr>
                <w:lang w:val="sq-AL"/>
              </w:rPr>
              <w:t>100</w:t>
            </w:r>
          </w:p>
        </w:tc>
      </w:tr>
      <w:tr w:rsidR="0029118F" w:rsidRPr="00445472" w14:paraId="1929AAA6" w14:textId="77777777" w:rsidTr="00246405">
        <w:trPr>
          <w:trHeight w:val="340"/>
        </w:trPr>
        <w:tc>
          <w:tcPr>
            <w:tcW w:w="407" w:type="pct"/>
            <w:vAlign w:val="center"/>
          </w:tcPr>
          <w:p w14:paraId="557B17B9" w14:textId="77777777" w:rsidR="0029118F" w:rsidRPr="00445472" w:rsidRDefault="0029118F" w:rsidP="008E14CA">
            <w:pPr>
              <w:pStyle w:val="TABELA"/>
              <w:jc w:val="center"/>
              <w:rPr>
                <w:lang w:val="sq-AL"/>
              </w:rPr>
            </w:pPr>
            <w:r w:rsidRPr="00445472">
              <w:rPr>
                <w:w w:val="99"/>
                <w:lang w:val="sq-AL"/>
              </w:rPr>
              <w:t>9</w:t>
            </w:r>
          </w:p>
        </w:tc>
        <w:tc>
          <w:tcPr>
            <w:tcW w:w="2774" w:type="pct"/>
            <w:vAlign w:val="center"/>
          </w:tcPr>
          <w:p w14:paraId="6E49F742" w14:textId="77777777" w:rsidR="0029118F" w:rsidRPr="00445472" w:rsidRDefault="0029118F" w:rsidP="00246405">
            <w:pPr>
              <w:pStyle w:val="TABELA"/>
              <w:rPr>
                <w:lang w:val="sq-AL"/>
              </w:rPr>
            </w:pPr>
            <w:r w:rsidRPr="00445472">
              <w:rPr>
                <w:lang w:val="sq-AL"/>
              </w:rPr>
              <w:t>Magnez (Mg)</w:t>
            </w:r>
          </w:p>
        </w:tc>
        <w:tc>
          <w:tcPr>
            <w:tcW w:w="909" w:type="pct"/>
            <w:vAlign w:val="center"/>
          </w:tcPr>
          <w:p w14:paraId="269FA420" w14:textId="77777777" w:rsidR="0029118F" w:rsidRPr="00445472" w:rsidRDefault="0029118F" w:rsidP="008E14CA">
            <w:pPr>
              <w:pStyle w:val="TABELA"/>
              <w:jc w:val="center"/>
              <w:rPr>
                <w:lang w:val="sq-AL"/>
              </w:rPr>
            </w:pPr>
            <w:r w:rsidRPr="00445472">
              <w:rPr>
                <w:lang w:val="sq-AL"/>
              </w:rPr>
              <w:t>20-50</w:t>
            </w:r>
          </w:p>
        </w:tc>
        <w:tc>
          <w:tcPr>
            <w:tcW w:w="910" w:type="pct"/>
            <w:vAlign w:val="center"/>
          </w:tcPr>
          <w:p w14:paraId="556830EC" w14:textId="77777777" w:rsidR="0029118F" w:rsidRPr="00445472" w:rsidRDefault="0029118F" w:rsidP="008E14CA">
            <w:pPr>
              <w:pStyle w:val="TABELA"/>
              <w:jc w:val="center"/>
              <w:rPr>
                <w:lang w:val="sq-AL"/>
              </w:rPr>
            </w:pPr>
            <w:r w:rsidRPr="00445472">
              <w:rPr>
                <w:lang w:val="sq-AL"/>
              </w:rPr>
              <w:t>30-50</w:t>
            </w:r>
          </w:p>
        </w:tc>
      </w:tr>
      <w:tr w:rsidR="0029118F" w:rsidRPr="00445472" w14:paraId="6DD3970A" w14:textId="77777777" w:rsidTr="00246405">
        <w:trPr>
          <w:trHeight w:val="340"/>
        </w:trPr>
        <w:tc>
          <w:tcPr>
            <w:tcW w:w="407" w:type="pct"/>
            <w:shd w:val="clear" w:color="auto" w:fill="E6E6E6"/>
            <w:vAlign w:val="center"/>
          </w:tcPr>
          <w:p w14:paraId="6E845EC5" w14:textId="77777777" w:rsidR="0029118F" w:rsidRPr="00445472" w:rsidRDefault="0029118F" w:rsidP="008E14CA">
            <w:pPr>
              <w:pStyle w:val="TABELA"/>
              <w:jc w:val="center"/>
              <w:rPr>
                <w:lang w:val="sq-AL"/>
              </w:rPr>
            </w:pPr>
            <w:r w:rsidRPr="00445472">
              <w:rPr>
                <w:lang w:val="sq-AL"/>
              </w:rPr>
              <w:t>10</w:t>
            </w:r>
          </w:p>
        </w:tc>
        <w:tc>
          <w:tcPr>
            <w:tcW w:w="2774" w:type="pct"/>
            <w:shd w:val="clear" w:color="auto" w:fill="E6E6E6"/>
            <w:vAlign w:val="center"/>
          </w:tcPr>
          <w:p w14:paraId="67349BCF" w14:textId="77777777" w:rsidR="0029118F" w:rsidRPr="00445472" w:rsidRDefault="0029118F" w:rsidP="00246405">
            <w:pPr>
              <w:pStyle w:val="TABELA"/>
              <w:rPr>
                <w:lang w:val="sq-AL"/>
              </w:rPr>
            </w:pPr>
            <w:r w:rsidRPr="00445472">
              <w:rPr>
                <w:lang w:val="sq-AL"/>
              </w:rPr>
              <w:t>Hekur (Fe)</w:t>
            </w:r>
          </w:p>
        </w:tc>
        <w:tc>
          <w:tcPr>
            <w:tcW w:w="909" w:type="pct"/>
            <w:shd w:val="clear" w:color="auto" w:fill="E6E6E6"/>
            <w:vAlign w:val="center"/>
          </w:tcPr>
          <w:p w14:paraId="684A31EF" w14:textId="77777777" w:rsidR="0029118F" w:rsidRPr="00445472" w:rsidRDefault="0029118F" w:rsidP="008E14CA">
            <w:pPr>
              <w:pStyle w:val="TABELA"/>
              <w:jc w:val="center"/>
              <w:rPr>
                <w:lang w:val="sq-AL"/>
              </w:rPr>
            </w:pPr>
            <w:r w:rsidRPr="00445472">
              <w:rPr>
                <w:lang w:val="sq-AL"/>
              </w:rPr>
              <w:t>0.2-0.3</w:t>
            </w:r>
          </w:p>
        </w:tc>
        <w:tc>
          <w:tcPr>
            <w:tcW w:w="910" w:type="pct"/>
            <w:shd w:val="clear" w:color="auto" w:fill="E6E6E6"/>
            <w:vAlign w:val="center"/>
          </w:tcPr>
          <w:p w14:paraId="016A8095" w14:textId="77777777" w:rsidR="0029118F" w:rsidRPr="00445472" w:rsidRDefault="0029118F" w:rsidP="008E14CA">
            <w:pPr>
              <w:pStyle w:val="TABELA"/>
              <w:jc w:val="center"/>
              <w:rPr>
                <w:lang w:val="sq-AL"/>
              </w:rPr>
            </w:pPr>
            <w:r w:rsidRPr="00445472">
              <w:rPr>
                <w:lang w:val="sq-AL"/>
              </w:rPr>
              <w:t>0.05-0.2</w:t>
            </w:r>
          </w:p>
        </w:tc>
      </w:tr>
      <w:tr w:rsidR="0029118F" w:rsidRPr="00445472" w14:paraId="26526988" w14:textId="77777777" w:rsidTr="00246405">
        <w:trPr>
          <w:trHeight w:val="380"/>
        </w:trPr>
        <w:tc>
          <w:tcPr>
            <w:tcW w:w="407" w:type="pct"/>
            <w:vAlign w:val="center"/>
          </w:tcPr>
          <w:p w14:paraId="69563C57" w14:textId="77777777" w:rsidR="0029118F" w:rsidRPr="00445472" w:rsidRDefault="0029118F" w:rsidP="008E14CA">
            <w:pPr>
              <w:pStyle w:val="TABELA"/>
              <w:jc w:val="center"/>
              <w:rPr>
                <w:lang w:val="sq-AL"/>
              </w:rPr>
            </w:pPr>
            <w:r w:rsidRPr="00445472">
              <w:rPr>
                <w:lang w:val="sq-AL"/>
              </w:rPr>
              <w:t>11</w:t>
            </w:r>
          </w:p>
        </w:tc>
        <w:tc>
          <w:tcPr>
            <w:tcW w:w="2774" w:type="pct"/>
            <w:vAlign w:val="center"/>
          </w:tcPr>
          <w:p w14:paraId="2C55B597" w14:textId="77777777" w:rsidR="0029118F" w:rsidRPr="00445472" w:rsidRDefault="0029118F" w:rsidP="00246405">
            <w:pPr>
              <w:pStyle w:val="TABELA"/>
              <w:rPr>
                <w:lang w:val="sq-AL"/>
              </w:rPr>
            </w:pPr>
            <w:r w:rsidRPr="00445472">
              <w:rPr>
                <w:position w:val="1"/>
                <w:lang w:val="sq-AL"/>
              </w:rPr>
              <w:t>Amon (NH</w:t>
            </w:r>
            <w:r w:rsidRPr="00445472">
              <w:rPr>
                <w:vertAlign w:val="subscript"/>
                <w:lang w:val="sq-AL"/>
              </w:rPr>
              <w:t>4</w:t>
            </w:r>
            <w:r w:rsidRPr="00445472">
              <w:rPr>
                <w:position w:val="1"/>
                <w:lang w:val="sq-AL"/>
              </w:rPr>
              <w:t>)</w:t>
            </w:r>
          </w:p>
        </w:tc>
        <w:tc>
          <w:tcPr>
            <w:tcW w:w="909" w:type="pct"/>
            <w:vAlign w:val="center"/>
          </w:tcPr>
          <w:p w14:paraId="6F242F7B" w14:textId="77777777" w:rsidR="0029118F" w:rsidRPr="00445472" w:rsidRDefault="0029118F" w:rsidP="008E14CA">
            <w:pPr>
              <w:pStyle w:val="TABELA"/>
              <w:jc w:val="center"/>
              <w:rPr>
                <w:lang w:val="sq-AL"/>
              </w:rPr>
            </w:pPr>
            <w:r w:rsidRPr="00445472">
              <w:rPr>
                <w:lang w:val="sq-AL"/>
              </w:rPr>
              <w:t>0.05-0.5</w:t>
            </w:r>
          </w:p>
        </w:tc>
        <w:tc>
          <w:tcPr>
            <w:tcW w:w="910" w:type="pct"/>
            <w:vAlign w:val="center"/>
          </w:tcPr>
          <w:p w14:paraId="5A3E626A" w14:textId="77777777" w:rsidR="0029118F" w:rsidRPr="00445472" w:rsidRDefault="0029118F" w:rsidP="008E14CA">
            <w:pPr>
              <w:pStyle w:val="TABELA"/>
              <w:jc w:val="center"/>
              <w:rPr>
                <w:lang w:val="sq-AL"/>
              </w:rPr>
            </w:pPr>
            <w:r w:rsidRPr="00445472">
              <w:rPr>
                <w:lang w:val="sq-AL"/>
              </w:rPr>
              <w:t>0.05-0.5</w:t>
            </w:r>
          </w:p>
        </w:tc>
      </w:tr>
      <w:tr w:rsidR="0029118F" w:rsidRPr="00445472" w14:paraId="7EC02972" w14:textId="77777777" w:rsidTr="00246405">
        <w:trPr>
          <w:trHeight w:val="320"/>
        </w:trPr>
        <w:tc>
          <w:tcPr>
            <w:tcW w:w="407" w:type="pct"/>
            <w:shd w:val="clear" w:color="auto" w:fill="E6E6E6"/>
            <w:vAlign w:val="center"/>
          </w:tcPr>
          <w:p w14:paraId="42A744E6" w14:textId="77777777" w:rsidR="0029118F" w:rsidRPr="00445472" w:rsidRDefault="0029118F" w:rsidP="008E14CA">
            <w:pPr>
              <w:pStyle w:val="TABELA"/>
              <w:jc w:val="center"/>
              <w:rPr>
                <w:lang w:val="sq-AL"/>
              </w:rPr>
            </w:pPr>
            <w:r w:rsidRPr="00445472">
              <w:rPr>
                <w:lang w:val="sq-AL"/>
              </w:rPr>
              <w:t>12</w:t>
            </w:r>
          </w:p>
        </w:tc>
        <w:tc>
          <w:tcPr>
            <w:tcW w:w="2774" w:type="pct"/>
            <w:shd w:val="clear" w:color="auto" w:fill="E6E6E6"/>
            <w:vAlign w:val="center"/>
          </w:tcPr>
          <w:p w14:paraId="260AF1C4" w14:textId="77777777" w:rsidR="0029118F" w:rsidRPr="00445472" w:rsidRDefault="0029118F" w:rsidP="00246405">
            <w:pPr>
              <w:pStyle w:val="TABELA"/>
              <w:rPr>
                <w:lang w:val="sq-AL"/>
              </w:rPr>
            </w:pPr>
            <w:r w:rsidRPr="00445472">
              <w:rPr>
                <w:lang w:val="sq-AL"/>
              </w:rPr>
              <w:t>Klor (Cl)</w:t>
            </w:r>
          </w:p>
        </w:tc>
        <w:tc>
          <w:tcPr>
            <w:tcW w:w="909" w:type="pct"/>
            <w:shd w:val="clear" w:color="auto" w:fill="E6E6E6"/>
            <w:vAlign w:val="center"/>
          </w:tcPr>
          <w:p w14:paraId="0CE9A740" w14:textId="77777777" w:rsidR="0029118F" w:rsidRPr="00445472" w:rsidRDefault="0029118F" w:rsidP="008E14CA">
            <w:pPr>
              <w:pStyle w:val="TABELA"/>
              <w:jc w:val="center"/>
              <w:rPr>
                <w:lang w:val="sq-AL"/>
              </w:rPr>
            </w:pPr>
          </w:p>
        </w:tc>
        <w:tc>
          <w:tcPr>
            <w:tcW w:w="910" w:type="pct"/>
            <w:shd w:val="clear" w:color="auto" w:fill="E6E6E6"/>
            <w:vAlign w:val="center"/>
          </w:tcPr>
          <w:p w14:paraId="7AC1FAD1" w14:textId="77777777" w:rsidR="0029118F" w:rsidRPr="00445472" w:rsidRDefault="0029118F" w:rsidP="008E14CA">
            <w:pPr>
              <w:pStyle w:val="TABELA"/>
              <w:jc w:val="center"/>
              <w:rPr>
                <w:lang w:val="sq-AL"/>
              </w:rPr>
            </w:pPr>
            <w:r w:rsidRPr="00445472">
              <w:rPr>
                <w:lang w:val="sq-AL"/>
              </w:rPr>
              <w:t>25</w:t>
            </w:r>
          </w:p>
        </w:tc>
      </w:tr>
      <w:tr w:rsidR="0029118F" w:rsidRPr="00445472" w14:paraId="641E30DA" w14:textId="77777777" w:rsidTr="00246405">
        <w:trPr>
          <w:trHeight w:val="340"/>
        </w:trPr>
        <w:tc>
          <w:tcPr>
            <w:tcW w:w="407" w:type="pct"/>
            <w:vAlign w:val="center"/>
          </w:tcPr>
          <w:p w14:paraId="2D02EEA1" w14:textId="77777777" w:rsidR="0029118F" w:rsidRPr="00445472" w:rsidRDefault="0029118F" w:rsidP="008E14CA">
            <w:pPr>
              <w:pStyle w:val="TABELA"/>
              <w:jc w:val="center"/>
              <w:rPr>
                <w:lang w:val="sq-AL"/>
              </w:rPr>
            </w:pPr>
            <w:r w:rsidRPr="00445472">
              <w:rPr>
                <w:lang w:val="sq-AL"/>
              </w:rPr>
              <w:t>13</w:t>
            </w:r>
          </w:p>
        </w:tc>
        <w:tc>
          <w:tcPr>
            <w:tcW w:w="2774" w:type="pct"/>
            <w:vAlign w:val="center"/>
          </w:tcPr>
          <w:p w14:paraId="648965D6" w14:textId="77777777" w:rsidR="0029118F" w:rsidRPr="00445472" w:rsidRDefault="0029118F" w:rsidP="00246405">
            <w:pPr>
              <w:pStyle w:val="TABELA"/>
              <w:rPr>
                <w:lang w:val="sq-AL"/>
              </w:rPr>
            </w:pPr>
            <w:r w:rsidRPr="00445472">
              <w:rPr>
                <w:position w:val="1"/>
                <w:lang w:val="sq-AL"/>
              </w:rPr>
              <w:t>Sulfat (SO</w:t>
            </w:r>
            <w:r w:rsidRPr="00445472">
              <w:rPr>
                <w:vertAlign w:val="subscript"/>
                <w:lang w:val="sq-AL"/>
              </w:rPr>
              <w:t>4</w:t>
            </w:r>
            <w:r w:rsidRPr="00445472">
              <w:rPr>
                <w:position w:val="1"/>
                <w:lang w:val="sq-AL"/>
              </w:rPr>
              <w:t>)</w:t>
            </w:r>
          </w:p>
        </w:tc>
        <w:tc>
          <w:tcPr>
            <w:tcW w:w="909" w:type="pct"/>
            <w:vAlign w:val="center"/>
          </w:tcPr>
          <w:p w14:paraId="0614AA4C" w14:textId="77777777" w:rsidR="0029118F" w:rsidRPr="00445472" w:rsidRDefault="0029118F" w:rsidP="008E14CA">
            <w:pPr>
              <w:pStyle w:val="TABELA"/>
              <w:jc w:val="center"/>
              <w:rPr>
                <w:lang w:val="sq-AL"/>
              </w:rPr>
            </w:pPr>
          </w:p>
        </w:tc>
        <w:tc>
          <w:tcPr>
            <w:tcW w:w="910" w:type="pct"/>
            <w:vAlign w:val="center"/>
          </w:tcPr>
          <w:p w14:paraId="61D5DA22" w14:textId="77777777" w:rsidR="0029118F" w:rsidRPr="00445472" w:rsidRDefault="0029118F" w:rsidP="008E14CA">
            <w:pPr>
              <w:pStyle w:val="TABELA"/>
              <w:jc w:val="center"/>
              <w:rPr>
                <w:lang w:val="sq-AL"/>
              </w:rPr>
            </w:pPr>
            <w:r w:rsidRPr="00445472">
              <w:rPr>
                <w:lang w:val="sq-AL"/>
              </w:rPr>
              <w:t>25-250</w:t>
            </w:r>
          </w:p>
        </w:tc>
      </w:tr>
      <w:tr w:rsidR="0029118F" w:rsidRPr="00445472" w14:paraId="62375135" w14:textId="77777777" w:rsidTr="00246405">
        <w:trPr>
          <w:trHeight w:val="320"/>
        </w:trPr>
        <w:tc>
          <w:tcPr>
            <w:tcW w:w="407" w:type="pct"/>
            <w:shd w:val="clear" w:color="auto" w:fill="E6E6E6"/>
            <w:vAlign w:val="center"/>
          </w:tcPr>
          <w:p w14:paraId="7545079D" w14:textId="77777777" w:rsidR="0029118F" w:rsidRPr="00445472" w:rsidRDefault="0029118F" w:rsidP="008E14CA">
            <w:pPr>
              <w:pStyle w:val="TABELA"/>
              <w:jc w:val="center"/>
              <w:rPr>
                <w:lang w:val="sq-AL"/>
              </w:rPr>
            </w:pPr>
            <w:r w:rsidRPr="00445472">
              <w:rPr>
                <w:lang w:val="sq-AL"/>
              </w:rPr>
              <w:t>14</w:t>
            </w:r>
          </w:p>
        </w:tc>
        <w:tc>
          <w:tcPr>
            <w:tcW w:w="2774" w:type="pct"/>
            <w:shd w:val="clear" w:color="auto" w:fill="E6E6E6"/>
            <w:vAlign w:val="center"/>
          </w:tcPr>
          <w:p w14:paraId="74420BDE" w14:textId="77777777" w:rsidR="0029118F" w:rsidRPr="00445472" w:rsidRDefault="0029118F" w:rsidP="00246405">
            <w:pPr>
              <w:pStyle w:val="TABELA"/>
              <w:rPr>
                <w:lang w:val="sq-AL"/>
              </w:rPr>
            </w:pPr>
            <w:r w:rsidRPr="00445472">
              <w:rPr>
                <w:position w:val="1"/>
                <w:lang w:val="sq-AL"/>
              </w:rPr>
              <w:t>Nitrat (NO</w:t>
            </w:r>
            <w:r w:rsidRPr="00445472">
              <w:rPr>
                <w:vertAlign w:val="subscript"/>
                <w:lang w:val="sq-AL"/>
              </w:rPr>
              <w:t>3</w:t>
            </w:r>
            <w:r w:rsidRPr="00445472">
              <w:rPr>
                <w:position w:val="1"/>
                <w:lang w:val="sq-AL"/>
              </w:rPr>
              <w:t>)</w:t>
            </w:r>
          </w:p>
        </w:tc>
        <w:tc>
          <w:tcPr>
            <w:tcW w:w="909" w:type="pct"/>
            <w:shd w:val="clear" w:color="auto" w:fill="E6E6E6"/>
            <w:vAlign w:val="center"/>
          </w:tcPr>
          <w:p w14:paraId="24CE2AFA" w14:textId="77777777" w:rsidR="0029118F" w:rsidRPr="00445472" w:rsidRDefault="0029118F" w:rsidP="008E14CA">
            <w:pPr>
              <w:pStyle w:val="TABELA"/>
              <w:jc w:val="center"/>
              <w:rPr>
                <w:lang w:val="sq-AL"/>
              </w:rPr>
            </w:pPr>
            <w:r w:rsidRPr="00445472">
              <w:rPr>
                <w:lang w:val="sq-AL"/>
              </w:rPr>
              <w:t>25-50</w:t>
            </w:r>
          </w:p>
        </w:tc>
        <w:tc>
          <w:tcPr>
            <w:tcW w:w="910" w:type="pct"/>
            <w:shd w:val="clear" w:color="auto" w:fill="E6E6E6"/>
            <w:vAlign w:val="center"/>
          </w:tcPr>
          <w:p w14:paraId="14537EE2" w14:textId="77777777" w:rsidR="0029118F" w:rsidRPr="00445472" w:rsidRDefault="0029118F" w:rsidP="008E14CA">
            <w:pPr>
              <w:pStyle w:val="TABELA"/>
              <w:jc w:val="center"/>
              <w:rPr>
                <w:lang w:val="sq-AL"/>
              </w:rPr>
            </w:pPr>
            <w:r w:rsidRPr="00445472">
              <w:rPr>
                <w:lang w:val="sq-AL"/>
              </w:rPr>
              <w:t>25-50</w:t>
            </w:r>
          </w:p>
        </w:tc>
      </w:tr>
      <w:tr w:rsidR="0029118F" w:rsidRPr="00445472" w14:paraId="7F8F61D7" w14:textId="77777777" w:rsidTr="00246405">
        <w:trPr>
          <w:trHeight w:val="340"/>
        </w:trPr>
        <w:tc>
          <w:tcPr>
            <w:tcW w:w="407" w:type="pct"/>
            <w:vAlign w:val="center"/>
          </w:tcPr>
          <w:p w14:paraId="7F33456D" w14:textId="77777777" w:rsidR="0029118F" w:rsidRPr="00445472" w:rsidRDefault="0029118F" w:rsidP="008E14CA">
            <w:pPr>
              <w:pStyle w:val="TABELA"/>
              <w:jc w:val="center"/>
              <w:rPr>
                <w:lang w:val="sq-AL"/>
              </w:rPr>
            </w:pPr>
            <w:r w:rsidRPr="00445472">
              <w:rPr>
                <w:lang w:val="sq-AL"/>
              </w:rPr>
              <w:t>15</w:t>
            </w:r>
          </w:p>
        </w:tc>
        <w:tc>
          <w:tcPr>
            <w:tcW w:w="2774" w:type="pct"/>
            <w:vAlign w:val="center"/>
          </w:tcPr>
          <w:p w14:paraId="6CFB6B5E" w14:textId="77777777" w:rsidR="0029118F" w:rsidRPr="00445472" w:rsidRDefault="0029118F" w:rsidP="00246405">
            <w:pPr>
              <w:pStyle w:val="TABELA"/>
              <w:rPr>
                <w:lang w:val="sq-AL"/>
              </w:rPr>
            </w:pPr>
            <w:r w:rsidRPr="00445472">
              <w:rPr>
                <w:position w:val="1"/>
                <w:lang w:val="sq-AL"/>
              </w:rPr>
              <w:t>Nitrit (NO</w:t>
            </w:r>
            <w:r w:rsidRPr="00445472">
              <w:rPr>
                <w:vertAlign w:val="subscript"/>
                <w:lang w:val="sq-AL"/>
              </w:rPr>
              <w:t>2</w:t>
            </w:r>
            <w:r w:rsidRPr="00445472">
              <w:rPr>
                <w:position w:val="1"/>
                <w:lang w:val="sq-AL"/>
              </w:rPr>
              <w:t>)</w:t>
            </w:r>
          </w:p>
        </w:tc>
        <w:tc>
          <w:tcPr>
            <w:tcW w:w="909" w:type="pct"/>
            <w:vAlign w:val="center"/>
          </w:tcPr>
          <w:p w14:paraId="0452F042" w14:textId="77777777" w:rsidR="0029118F" w:rsidRPr="00445472" w:rsidRDefault="0029118F" w:rsidP="008E14CA">
            <w:pPr>
              <w:pStyle w:val="TABELA"/>
              <w:jc w:val="center"/>
              <w:rPr>
                <w:lang w:val="sq-AL"/>
              </w:rPr>
            </w:pPr>
            <w:r w:rsidRPr="00445472">
              <w:rPr>
                <w:lang w:val="sq-AL"/>
              </w:rPr>
              <w:t>0.5</w:t>
            </w:r>
          </w:p>
        </w:tc>
        <w:tc>
          <w:tcPr>
            <w:tcW w:w="910" w:type="pct"/>
            <w:vAlign w:val="center"/>
          </w:tcPr>
          <w:p w14:paraId="7CD7D83C" w14:textId="77777777" w:rsidR="0029118F" w:rsidRPr="00445472" w:rsidRDefault="0029118F" w:rsidP="008E14CA">
            <w:pPr>
              <w:pStyle w:val="TABELA"/>
              <w:jc w:val="center"/>
              <w:rPr>
                <w:lang w:val="sq-AL"/>
              </w:rPr>
            </w:pPr>
            <w:r w:rsidRPr="00445472">
              <w:rPr>
                <w:lang w:val="sq-AL"/>
              </w:rPr>
              <w:t>&lt;0.1</w:t>
            </w:r>
          </w:p>
        </w:tc>
      </w:tr>
      <w:tr w:rsidR="0029118F" w:rsidRPr="00445472" w14:paraId="00EDE41E" w14:textId="77777777" w:rsidTr="00246405">
        <w:trPr>
          <w:trHeight w:val="300"/>
        </w:trPr>
        <w:tc>
          <w:tcPr>
            <w:tcW w:w="407" w:type="pct"/>
            <w:shd w:val="clear" w:color="auto" w:fill="E6E6E6"/>
            <w:vAlign w:val="center"/>
          </w:tcPr>
          <w:p w14:paraId="3AA9729C" w14:textId="77777777" w:rsidR="0029118F" w:rsidRPr="00445472" w:rsidRDefault="0029118F" w:rsidP="008E14CA">
            <w:pPr>
              <w:pStyle w:val="TABELA"/>
              <w:jc w:val="center"/>
              <w:rPr>
                <w:lang w:val="sq-AL"/>
              </w:rPr>
            </w:pPr>
            <w:r w:rsidRPr="00445472">
              <w:rPr>
                <w:lang w:val="sq-AL"/>
              </w:rPr>
              <w:t>16</w:t>
            </w:r>
          </w:p>
        </w:tc>
        <w:tc>
          <w:tcPr>
            <w:tcW w:w="2774" w:type="pct"/>
            <w:shd w:val="clear" w:color="auto" w:fill="E6E6E6"/>
            <w:vAlign w:val="center"/>
          </w:tcPr>
          <w:p w14:paraId="119EAE1B" w14:textId="77777777" w:rsidR="0029118F" w:rsidRPr="00445472" w:rsidRDefault="0029118F" w:rsidP="00246405">
            <w:pPr>
              <w:pStyle w:val="TABELA"/>
              <w:rPr>
                <w:lang w:val="sq-AL"/>
              </w:rPr>
            </w:pPr>
            <w:r w:rsidRPr="00445472">
              <w:rPr>
                <w:lang w:val="sq-AL"/>
              </w:rPr>
              <w:t xml:space="preserve">Niveli i oksigjenit </w:t>
            </w:r>
            <w:r w:rsidRPr="00445472">
              <w:rPr>
                <w:position w:val="1"/>
                <w:lang w:val="sq-AL"/>
              </w:rPr>
              <w:t>(O</w:t>
            </w:r>
            <w:r w:rsidRPr="00445472">
              <w:rPr>
                <w:vertAlign w:val="subscript"/>
                <w:lang w:val="sq-AL"/>
              </w:rPr>
              <w:t>2</w:t>
            </w:r>
            <w:r w:rsidRPr="00445472">
              <w:rPr>
                <w:position w:val="1"/>
                <w:lang w:val="sq-AL"/>
              </w:rPr>
              <w:t>)</w:t>
            </w:r>
          </w:p>
        </w:tc>
        <w:tc>
          <w:tcPr>
            <w:tcW w:w="909" w:type="pct"/>
            <w:shd w:val="clear" w:color="auto" w:fill="E6E6E6"/>
            <w:vAlign w:val="center"/>
          </w:tcPr>
          <w:p w14:paraId="0F89F6B6" w14:textId="77777777" w:rsidR="0029118F" w:rsidRPr="00445472" w:rsidRDefault="0029118F" w:rsidP="008E14CA">
            <w:pPr>
              <w:pStyle w:val="TABELA"/>
              <w:jc w:val="center"/>
              <w:rPr>
                <w:lang w:val="sq-AL"/>
              </w:rPr>
            </w:pPr>
          </w:p>
        </w:tc>
        <w:tc>
          <w:tcPr>
            <w:tcW w:w="910" w:type="pct"/>
            <w:shd w:val="clear" w:color="auto" w:fill="E6E6E6"/>
            <w:vAlign w:val="center"/>
          </w:tcPr>
          <w:p w14:paraId="3ACA60BC" w14:textId="77777777" w:rsidR="0029118F" w:rsidRPr="00445472" w:rsidRDefault="0029118F" w:rsidP="008E14CA">
            <w:pPr>
              <w:pStyle w:val="TABELA"/>
              <w:jc w:val="center"/>
              <w:rPr>
                <w:lang w:val="sq-AL"/>
              </w:rPr>
            </w:pPr>
          </w:p>
        </w:tc>
      </w:tr>
      <w:tr w:rsidR="0029118F" w:rsidRPr="00445472" w14:paraId="02B7B1F3" w14:textId="77777777" w:rsidTr="00246405">
        <w:trPr>
          <w:trHeight w:val="317"/>
        </w:trPr>
        <w:tc>
          <w:tcPr>
            <w:tcW w:w="407" w:type="pct"/>
            <w:vAlign w:val="center"/>
          </w:tcPr>
          <w:p w14:paraId="415501E1" w14:textId="77777777" w:rsidR="0029118F" w:rsidRPr="00445472" w:rsidRDefault="0029118F" w:rsidP="008E14CA">
            <w:pPr>
              <w:pStyle w:val="TABELA"/>
              <w:jc w:val="center"/>
              <w:rPr>
                <w:lang w:val="sq-AL"/>
              </w:rPr>
            </w:pPr>
            <w:r w:rsidRPr="00445472">
              <w:rPr>
                <w:lang w:val="sq-AL"/>
              </w:rPr>
              <w:t>17</w:t>
            </w:r>
          </w:p>
        </w:tc>
        <w:tc>
          <w:tcPr>
            <w:tcW w:w="2774" w:type="pct"/>
            <w:vAlign w:val="center"/>
          </w:tcPr>
          <w:p w14:paraId="7535EA4E" w14:textId="77777777" w:rsidR="0029118F" w:rsidRPr="00445472" w:rsidRDefault="0029118F" w:rsidP="00246405">
            <w:pPr>
              <w:pStyle w:val="TABELA"/>
              <w:rPr>
                <w:lang w:val="sq-AL"/>
              </w:rPr>
            </w:pPr>
            <w:r w:rsidRPr="00445472">
              <w:rPr>
                <w:lang w:val="sq-AL"/>
              </w:rPr>
              <w:t>Metale të rënda (Ni, Mn, Zn, Pb, Cu, Co, Cr, Cd)</w:t>
            </w:r>
          </w:p>
        </w:tc>
        <w:tc>
          <w:tcPr>
            <w:tcW w:w="909" w:type="pct"/>
            <w:vAlign w:val="center"/>
          </w:tcPr>
          <w:p w14:paraId="306AA846" w14:textId="77777777" w:rsidR="0029118F" w:rsidRPr="00445472" w:rsidRDefault="0029118F" w:rsidP="008E14CA">
            <w:pPr>
              <w:pStyle w:val="TABELA"/>
              <w:jc w:val="center"/>
              <w:rPr>
                <w:lang w:val="sq-AL"/>
              </w:rPr>
            </w:pPr>
          </w:p>
        </w:tc>
        <w:tc>
          <w:tcPr>
            <w:tcW w:w="910" w:type="pct"/>
            <w:vAlign w:val="center"/>
          </w:tcPr>
          <w:p w14:paraId="06C65BAD" w14:textId="77777777" w:rsidR="0029118F" w:rsidRPr="00445472" w:rsidRDefault="0029118F" w:rsidP="008E14CA">
            <w:pPr>
              <w:pStyle w:val="TABELA"/>
              <w:jc w:val="center"/>
              <w:rPr>
                <w:lang w:val="sq-AL"/>
              </w:rPr>
            </w:pPr>
          </w:p>
        </w:tc>
      </w:tr>
      <w:tr w:rsidR="0029118F" w:rsidRPr="00445472" w14:paraId="28005B01" w14:textId="77777777" w:rsidTr="00246405">
        <w:trPr>
          <w:trHeight w:val="323"/>
        </w:trPr>
        <w:tc>
          <w:tcPr>
            <w:tcW w:w="407" w:type="pct"/>
            <w:shd w:val="clear" w:color="auto" w:fill="E6E6E6"/>
            <w:vAlign w:val="center"/>
          </w:tcPr>
          <w:p w14:paraId="5C32704C" w14:textId="77777777" w:rsidR="0029118F" w:rsidRPr="00445472" w:rsidRDefault="0029118F" w:rsidP="008E14CA">
            <w:pPr>
              <w:pStyle w:val="TABELA"/>
              <w:jc w:val="center"/>
              <w:rPr>
                <w:lang w:val="sq-AL"/>
              </w:rPr>
            </w:pPr>
            <w:r w:rsidRPr="00445472">
              <w:rPr>
                <w:lang w:val="sq-AL"/>
              </w:rPr>
              <w:t>18</w:t>
            </w:r>
          </w:p>
        </w:tc>
        <w:tc>
          <w:tcPr>
            <w:tcW w:w="2774" w:type="pct"/>
            <w:shd w:val="clear" w:color="auto" w:fill="E6E6E6"/>
            <w:vAlign w:val="center"/>
          </w:tcPr>
          <w:p w14:paraId="160AF638" w14:textId="77777777" w:rsidR="0029118F" w:rsidRPr="00445472" w:rsidRDefault="0029118F" w:rsidP="00246405">
            <w:pPr>
              <w:pStyle w:val="TABELA"/>
              <w:rPr>
                <w:lang w:val="sq-AL"/>
              </w:rPr>
            </w:pPr>
            <w:r w:rsidRPr="00445472">
              <w:rPr>
                <w:lang w:val="sq-AL"/>
              </w:rPr>
              <w:t>Mbetje të thata</w:t>
            </w:r>
          </w:p>
        </w:tc>
        <w:tc>
          <w:tcPr>
            <w:tcW w:w="909" w:type="pct"/>
            <w:shd w:val="clear" w:color="auto" w:fill="E6E6E6"/>
            <w:vAlign w:val="center"/>
          </w:tcPr>
          <w:p w14:paraId="3D948E52" w14:textId="77777777" w:rsidR="0029118F" w:rsidRPr="00445472" w:rsidRDefault="0029118F" w:rsidP="008E14CA">
            <w:pPr>
              <w:pStyle w:val="TABELA"/>
              <w:jc w:val="center"/>
              <w:rPr>
                <w:lang w:val="sq-AL"/>
              </w:rPr>
            </w:pPr>
            <w:r w:rsidRPr="00445472">
              <w:rPr>
                <w:lang w:val="sq-AL"/>
              </w:rPr>
              <w:t>500-1000</w:t>
            </w:r>
          </w:p>
        </w:tc>
        <w:tc>
          <w:tcPr>
            <w:tcW w:w="910" w:type="pct"/>
            <w:shd w:val="clear" w:color="auto" w:fill="E6E6E6"/>
            <w:vAlign w:val="center"/>
          </w:tcPr>
          <w:p w14:paraId="0724C0AD" w14:textId="77777777" w:rsidR="0029118F" w:rsidRPr="00445472" w:rsidRDefault="0029118F" w:rsidP="008E14CA">
            <w:pPr>
              <w:pStyle w:val="TABELA"/>
              <w:jc w:val="center"/>
              <w:rPr>
                <w:lang w:val="sq-AL"/>
              </w:rPr>
            </w:pPr>
            <w:r w:rsidRPr="00445472">
              <w:rPr>
                <w:lang w:val="sq-AL"/>
              </w:rPr>
              <w:t>1500</w:t>
            </w:r>
          </w:p>
        </w:tc>
      </w:tr>
    </w:tbl>
    <w:p w14:paraId="30B00B02" w14:textId="77777777" w:rsidR="0029118F" w:rsidRPr="00445472" w:rsidRDefault="0029118F" w:rsidP="0029118F">
      <w:pPr>
        <w:pStyle w:val="BodyText"/>
        <w:rPr>
          <w:rFonts w:ascii="Garamond" w:hAnsi="Garamond"/>
          <w:b/>
          <w:lang w:val="sq-AL"/>
        </w:rPr>
      </w:pPr>
    </w:p>
    <w:p w14:paraId="6CA316CD" w14:textId="730DEF19" w:rsidR="0029118F" w:rsidRPr="00445472" w:rsidRDefault="0029118F" w:rsidP="00246405">
      <w:pPr>
        <w:pStyle w:val="TEKSTIIII"/>
      </w:pPr>
      <w:r w:rsidRPr="00445472">
        <w:t>Akuiferi i Shkodrës u monitorua edhe për metalet e rënda në Dobraç në vitin 2015, siç tregohet në Tabelën 7.8. Rezultatet tregojnë praninë e Zn dhe Pb në akuifer në nivele që tejkalojnë SCM për ujë të pijshëm, duke treguar infiltrimin e mundshëm të ujërave industriale në akuifer ose mbithithjen nga puset e ligjshme dhe ilegale, të cilat gjithashtu mund të çojnë në ndotje. Në fakt, studimet e fundit kanë treguar se akuiferi është i ndjeshëm ndaj ndotjes nga inputet bujqësore të përdorura në zonat aty pranë për shkak të shtresës së hollë të mbrojtjes ndërmjet sipërfaqes dhe akuiferit, veçanërisht në Dobraç. Ndotja e akuiferit gjithashtu mund të shkaktohet nga tërheqja intensive e ujit nga qyteti ose për përdorime të tjera.</w:t>
      </w:r>
    </w:p>
    <w:p w14:paraId="47FA1C3C" w14:textId="77777777" w:rsidR="00246405" w:rsidRPr="00445472" w:rsidRDefault="00246405" w:rsidP="00246405">
      <w:pPr>
        <w:pStyle w:val="TEKSTIIII"/>
      </w:pPr>
    </w:p>
    <w:p w14:paraId="47AEB6D3" w14:textId="77777777" w:rsidR="0029118F" w:rsidRPr="00445472" w:rsidRDefault="0029118F" w:rsidP="00246405">
      <w:pPr>
        <w:pStyle w:val="NENTITULL"/>
      </w:pPr>
      <w:r w:rsidRPr="00445472">
        <w:t>Tabela 7.8: Akuiferi i Shkodrës: rezultatet e monitorimit të metaleve të rënda në Dobraç, 2015</w:t>
      </w:r>
      <w:r w:rsidRPr="00445472">
        <w:rPr>
          <w:rStyle w:val="FootnoteReference"/>
          <w:rFonts w:ascii="Garamond" w:hAnsi="Garamond"/>
          <w:b w:val="0"/>
          <w:color w:val="auto"/>
        </w:rPr>
        <w:footnoteReference w:id="140"/>
      </w:r>
    </w:p>
    <w:tbl>
      <w:tblPr>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2182"/>
        <w:gridCol w:w="5143"/>
        <w:gridCol w:w="1756"/>
      </w:tblGrid>
      <w:tr w:rsidR="0029118F" w:rsidRPr="00445472" w14:paraId="4258A699" w14:textId="77777777" w:rsidTr="00246405">
        <w:trPr>
          <w:trHeight w:val="333"/>
        </w:trPr>
        <w:tc>
          <w:tcPr>
            <w:tcW w:w="1201" w:type="pct"/>
            <w:vAlign w:val="center"/>
          </w:tcPr>
          <w:p w14:paraId="2382675C" w14:textId="32D487E5" w:rsidR="0029118F" w:rsidRPr="00445472" w:rsidRDefault="008E14CA" w:rsidP="003F438D">
            <w:pPr>
              <w:pStyle w:val="TABELA"/>
              <w:jc w:val="center"/>
              <w:rPr>
                <w:b/>
                <w:lang w:val="sq-AL"/>
              </w:rPr>
            </w:pPr>
            <w:r w:rsidRPr="00445472">
              <w:rPr>
                <w:b/>
                <w:lang w:val="sq-AL"/>
              </w:rPr>
              <w:t>Parametri</w:t>
            </w:r>
          </w:p>
        </w:tc>
        <w:tc>
          <w:tcPr>
            <w:tcW w:w="2831" w:type="pct"/>
            <w:vAlign w:val="center"/>
          </w:tcPr>
          <w:p w14:paraId="66250BE0" w14:textId="77777777" w:rsidR="0029118F" w:rsidRPr="00445472" w:rsidRDefault="0029118F" w:rsidP="003F438D">
            <w:pPr>
              <w:pStyle w:val="TABELA"/>
              <w:jc w:val="center"/>
              <w:rPr>
                <w:b/>
                <w:lang w:val="sq-AL"/>
              </w:rPr>
            </w:pPr>
            <w:r w:rsidRPr="00445472">
              <w:rPr>
                <w:b/>
                <w:lang w:val="sq-AL"/>
              </w:rPr>
              <w:t>Përqendrimet e vëzhguara (μ/l)</w:t>
            </w:r>
          </w:p>
        </w:tc>
        <w:tc>
          <w:tcPr>
            <w:tcW w:w="967" w:type="pct"/>
            <w:vAlign w:val="center"/>
          </w:tcPr>
          <w:p w14:paraId="22C0325C" w14:textId="77777777" w:rsidR="0029118F" w:rsidRPr="00445472" w:rsidRDefault="0029118F" w:rsidP="003F438D">
            <w:pPr>
              <w:pStyle w:val="TABELA"/>
              <w:jc w:val="center"/>
              <w:rPr>
                <w:b/>
                <w:lang w:val="sq-AL"/>
              </w:rPr>
            </w:pPr>
            <w:r w:rsidRPr="00445472">
              <w:rPr>
                <w:b/>
                <w:lang w:val="sq-AL"/>
              </w:rPr>
              <w:t>SCM (μ/l)</w:t>
            </w:r>
          </w:p>
        </w:tc>
      </w:tr>
      <w:tr w:rsidR="0029118F" w:rsidRPr="00445472" w14:paraId="3B17BCFF" w14:textId="77777777" w:rsidTr="00246405">
        <w:trPr>
          <w:trHeight w:val="280"/>
        </w:trPr>
        <w:tc>
          <w:tcPr>
            <w:tcW w:w="1201" w:type="pct"/>
            <w:shd w:val="clear" w:color="auto" w:fill="E6E6E6"/>
            <w:vAlign w:val="center"/>
          </w:tcPr>
          <w:p w14:paraId="5DFC17BE" w14:textId="77777777" w:rsidR="0029118F" w:rsidRPr="00445472" w:rsidRDefault="0029118F" w:rsidP="008E14CA">
            <w:pPr>
              <w:pStyle w:val="TABELA"/>
              <w:jc w:val="center"/>
              <w:rPr>
                <w:lang w:val="sq-AL"/>
              </w:rPr>
            </w:pPr>
            <w:r w:rsidRPr="00445472">
              <w:rPr>
                <w:lang w:val="sq-AL"/>
              </w:rPr>
              <w:t>Ni</w:t>
            </w:r>
          </w:p>
        </w:tc>
        <w:tc>
          <w:tcPr>
            <w:tcW w:w="2831" w:type="pct"/>
            <w:shd w:val="clear" w:color="auto" w:fill="E6E6E6"/>
            <w:vAlign w:val="center"/>
          </w:tcPr>
          <w:p w14:paraId="2B27BDE6" w14:textId="77777777" w:rsidR="0029118F" w:rsidRPr="00445472" w:rsidRDefault="0029118F" w:rsidP="008E14CA">
            <w:pPr>
              <w:pStyle w:val="TABELA"/>
              <w:jc w:val="center"/>
              <w:rPr>
                <w:lang w:val="sq-AL"/>
              </w:rPr>
            </w:pPr>
            <w:r w:rsidRPr="00445472">
              <w:rPr>
                <w:w w:val="99"/>
                <w:lang w:val="sq-AL"/>
              </w:rPr>
              <w:t>6</w:t>
            </w:r>
          </w:p>
        </w:tc>
        <w:tc>
          <w:tcPr>
            <w:tcW w:w="967" w:type="pct"/>
            <w:shd w:val="clear" w:color="auto" w:fill="E6E6E6"/>
            <w:vAlign w:val="center"/>
          </w:tcPr>
          <w:p w14:paraId="2EACED48" w14:textId="77777777" w:rsidR="0029118F" w:rsidRPr="00445472" w:rsidRDefault="0029118F" w:rsidP="008E14CA">
            <w:pPr>
              <w:pStyle w:val="TABELA"/>
              <w:jc w:val="center"/>
              <w:rPr>
                <w:lang w:val="sq-AL"/>
              </w:rPr>
            </w:pPr>
            <w:r w:rsidRPr="00445472">
              <w:rPr>
                <w:lang w:val="sq-AL"/>
              </w:rPr>
              <w:t>20</w:t>
            </w:r>
          </w:p>
        </w:tc>
      </w:tr>
      <w:tr w:rsidR="0029118F" w:rsidRPr="00445472" w14:paraId="732033E1" w14:textId="77777777" w:rsidTr="00246405">
        <w:trPr>
          <w:trHeight w:val="300"/>
        </w:trPr>
        <w:tc>
          <w:tcPr>
            <w:tcW w:w="1201" w:type="pct"/>
            <w:vAlign w:val="center"/>
          </w:tcPr>
          <w:p w14:paraId="18BA5450" w14:textId="77777777" w:rsidR="0029118F" w:rsidRPr="00445472" w:rsidRDefault="0029118F" w:rsidP="008E14CA">
            <w:pPr>
              <w:pStyle w:val="TABELA"/>
              <w:jc w:val="center"/>
              <w:rPr>
                <w:lang w:val="sq-AL"/>
              </w:rPr>
            </w:pPr>
            <w:r w:rsidRPr="00445472">
              <w:rPr>
                <w:lang w:val="sq-AL"/>
              </w:rPr>
              <w:t>Mn</w:t>
            </w:r>
          </w:p>
        </w:tc>
        <w:tc>
          <w:tcPr>
            <w:tcW w:w="2831" w:type="pct"/>
            <w:vAlign w:val="center"/>
          </w:tcPr>
          <w:p w14:paraId="3F413417" w14:textId="77777777" w:rsidR="0029118F" w:rsidRPr="00445472" w:rsidRDefault="0029118F" w:rsidP="008E14CA">
            <w:pPr>
              <w:pStyle w:val="TABELA"/>
              <w:jc w:val="center"/>
              <w:rPr>
                <w:lang w:val="sq-AL"/>
              </w:rPr>
            </w:pPr>
            <w:r w:rsidRPr="00445472">
              <w:rPr>
                <w:lang w:val="sq-AL"/>
              </w:rPr>
              <w:t>13</w:t>
            </w:r>
          </w:p>
        </w:tc>
        <w:tc>
          <w:tcPr>
            <w:tcW w:w="967" w:type="pct"/>
            <w:vAlign w:val="center"/>
          </w:tcPr>
          <w:p w14:paraId="43782495" w14:textId="77777777" w:rsidR="0029118F" w:rsidRPr="00445472" w:rsidRDefault="0029118F" w:rsidP="008E14CA">
            <w:pPr>
              <w:pStyle w:val="TABELA"/>
              <w:jc w:val="center"/>
              <w:rPr>
                <w:lang w:val="sq-AL"/>
              </w:rPr>
            </w:pPr>
            <w:r w:rsidRPr="00445472">
              <w:rPr>
                <w:lang w:val="sq-AL"/>
              </w:rPr>
              <w:t>50</w:t>
            </w:r>
          </w:p>
        </w:tc>
      </w:tr>
      <w:tr w:rsidR="0029118F" w:rsidRPr="00445472" w14:paraId="11A39C94" w14:textId="77777777" w:rsidTr="00246405">
        <w:trPr>
          <w:trHeight w:val="280"/>
        </w:trPr>
        <w:tc>
          <w:tcPr>
            <w:tcW w:w="1201" w:type="pct"/>
            <w:shd w:val="clear" w:color="auto" w:fill="E6E6E6"/>
            <w:vAlign w:val="center"/>
          </w:tcPr>
          <w:p w14:paraId="35733114" w14:textId="77777777" w:rsidR="0029118F" w:rsidRPr="00445472" w:rsidRDefault="0029118F" w:rsidP="008E14CA">
            <w:pPr>
              <w:pStyle w:val="TABELA"/>
              <w:jc w:val="center"/>
              <w:rPr>
                <w:lang w:val="sq-AL"/>
              </w:rPr>
            </w:pPr>
            <w:r w:rsidRPr="00445472">
              <w:rPr>
                <w:lang w:val="sq-AL"/>
              </w:rPr>
              <w:t>Zn</w:t>
            </w:r>
          </w:p>
        </w:tc>
        <w:tc>
          <w:tcPr>
            <w:tcW w:w="2831" w:type="pct"/>
            <w:shd w:val="clear" w:color="auto" w:fill="E6E6E6"/>
            <w:vAlign w:val="center"/>
          </w:tcPr>
          <w:p w14:paraId="1F2EAD4D" w14:textId="77777777" w:rsidR="0029118F" w:rsidRPr="00445472" w:rsidRDefault="0029118F" w:rsidP="008E14CA">
            <w:pPr>
              <w:pStyle w:val="TABELA"/>
              <w:jc w:val="center"/>
              <w:rPr>
                <w:lang w:val="sq-AL"/>
              </w:rPr>
            </w:pPr>
            <w:r w:rsidRPr="00445472">
              <w:rPr>
                <w:w w:val="99"/>
                <w:lang w:val="sq-AL"/>
              </w:rPr>
              <w:t>5</w:t>
            </w:r>
          </w:p>
        </w:tc>
        <w:tc>
          <w:tcPr>
            <w:tcW w:w="967" w:type="pct"/>
            <w:shd w:val="clear" w:color="auto" w:fill="E6E6E6"/>
            <w:vAlign w:val="center"/>
          </w:tcPr>
          <w:p w14:paraId="5CBB1F10" w14:textId="77777777" w:rsidR="0029118F" w:rsidRPr="00445472" w:rsidRDefault="0029118F" w:rsidP="008E14CA">
            <w:pPr>
              <w:pStyle w:val="TABELA"/>
              <w:jc w:val="center"/>
              <w:rPr>
                <w:lang w:val="sq-AL"/>
              </w:rPr>
            </w:pPr>
            <w:r w:rsidRPr="00445472">
              <w:rPr>
                <w:w w:val="99"/>
                <w:lang w:val="sq-AL"/>
              </w:rPr>
              <w:t>3</w:t>
            </w:r>
          </w:p>
        </w:tc>
      </w:tr>
      <w:tr w:rsidR="0029118F" w:rsidRPr="00445472" w14:paraId="16263FB7" w14:textId="77777777" w:rsidTr="00246405">
        <w:trPr>
          <w:trHeight w:val="340"/>
        </w:trPr>
        <w:tc>
          <w:tcPr>
            <w:tcW w:w="1201" w:type="pct"/>
            <w:vAlign w:val="center"/>
          </w:tcPr>
          <w:p w14:paraId="4CBAA598" w14:textId="77777777" w:rsidR="0029118F" w:rsidRPr="00445472" w:rsidRDefault="0029118F" w:rsidP="008E14CA">
            <w:pPr>
              <w:pStyle w:val="TABELA"/>
              <w:jc w:val="center"/>
              <w:rPr>
                <w:lang w:val="sq-AL"/>
              </w:rPr>
            </w:pPr>
            <w:r w:rsidRPr="00445472">
              <w:rPr>
                <w:lang w:val="sq-AL"/>
              </w:rPr>
              <w:t>Pb</w:t>
            </w:r>
          </w:p>
        </w:tc>
        <w:tc>
          <w:tcPr>
            <w:tcW w:w="2831" w:type="pct"/>
            <w:vAlign w:val="center"/>
          </w:tcPr>
          <w:p w14:paraId="2F6F8B2A" w14:textId="77777777" w:rsidR="0029118F" w:rsidRPr="00445472" w:rsidRDefault="0029118F" w:rsidP="008E14CA">
            <w:pPr>
              <w:pStyle w:val="TABELA"/>
              <w:jc w:val="center"/>
              <w:rPr>
                <w:lang w:val="sq-AL"/>
              </w:rPr>
            </w:pPr>
            <w:r w:rsidRPr="00445472">
              <w:rPr>
                <w:lang w:val="sq-AL"/>
              </w:rPr>
              <w:t>11</w:t>
            </w:r>
          </w:p>
        </w:tc>
        <w:tc>
          <w:tcPr>
            <w:tcW w:w="967" w:type="pct"/>
            <w:vAlign w:val="center"/>
          </w:tcPr>
          <w:p w14:paraId="653AA704" w14:textId="77777777" w:rsidR="0029118F" w:rsidRPr="00445472" w:rsidRDefault="0029118F" w:rsidP="008E14CA">
            <w:pPr>
              <w:pStyle w:val="TABELA"/>
              <w:jc w:val="center"/>
              <w:rPr>
                <w:lang w:val="sq-AL"/>
              </w:rPr>
            </w:pPr>
            <w:r w:rsidRPr="00445472">
              <w:rPr>
                <w:lang w:val="sq-AL"/>
              </w:rPr>
              <w:t>10</w:t>
            </w:r>
          </w:p>
        </w:tc>
      </w:tr>
      <w:tr w:rsidR="0029118F" w:rsidRPr="00445472" w14:paraId="0EBA6D81" w14:textId="77777777" w:rsidTr="00246405">
        <w:trPr>
          <w:trHeight w:val="360"/>
        </w:trPr>
        <w:tc>
          <w:tcPr>
            <w:tcW w:w="1201" w:type="pct"/>
            <w:shd w:val="clear" w:color="auto" w:fill="E6E6E6"/>
            <w:vAlign w:val="center"/>
          </w:tcPr>
          <w:p w14:paraId="5466FB3D" w14:textId="77777777" w:rsidR="0029118F" w:rsidRPr="00445472" w:rsidRDefault="0029118F" w:rsidP="008E14CA">
            <w:pPr>
              <w:pStyle w:val="TABELA"/>
              <w:jc w:val="center"/>
              <w:rPr>
                <w:lang w:val="sq-AL"/>
              </w:rPr>
            </w:pPr>
            <w:r w:rsidRPr="00445472">
              <w:rPr>
                <w:lang w:val="sq-AL"/>
              </w:rPr>
              <w:t>Cu</w:t>
            </w:r>
          </w:p>
        </w:tc>
        <w:tc>
          <w:tcPr>
            <w:tcW w:w="2831" w:type="pct"/>
            <w:shd w:val="clear" w:color="auto" w:fill="E6E6E6"/>
            <w:vAlign w:val="center"/>
          </w:tcPr>
          <w:p w14:paraId="0DC13000" w14:textId="77777777" w:rsidR="0029118F" w:rsidRPr="00445472" w:rsidRDefault="0029118F" w:rsidP="008E14CA">
            <w:pPr>
              <w:pStyle w:val="TABELA"/>
              <w:jc w:val="center"/>
              <w:rPr>
                <w:lang w:val="sq-AL"/>
              </w:rPr>
            </w:pPr>
            <w:r w:rsidRPr="00445472">
              <w:rPr>
                <w:w w:val="99"/>
                <w:lang w:val="sq-AL"/>
              </w:rPr>
              <w:t>2</w:t>
            </w:r>
          </w:p>
        </w:tc>
        <w:tc>
          <w:tcPr>
            <w:tcW w:w="967" w:type="pct"/>
            <w:shd w:val="clear" w:color="auto" w:fill="E6E6E6"/>
            <w:vAlign w:val="center"/>
          </w:tcPr>
          <w:p w14:paraId="475B2580" w14:textId="77777777" w:rsidR="0029118F" w:rsidRPr="00445472" w:rsidRDefault="0029118F" w:rsidP="008E14CA">
            <w:pPr>
              <w:pStyle w:val="TABELA"/>
              <w:jc w:val="center"/>
              <w:rPr>
                <w:lang w:val="sq-AL"/>
              </w:rPr>
            </w:pPr>
            <w:r w:rsidRPr="00445472">
              <w:rPr>
                <w:lang w:val="sq-AL"/>
              </w:rPr>
              <w:t>50</w:t>
            </w:r>
          </w:p>
        </w:tc>
      </w:tr>
      <w:tr w:rsidR="0029118F" w:rsidRPr="00445472" w14:paraId="147E736D" w14:textId="77777777" w:rsidTr="00246405">
        <w:trPr>
          <w:trHeight w:val="360"/>
        </w:trPr>
        <w:tc>
          <w:tcPr>
            <w:tcW w:w="1201" w:type="pct"/>
            <w:vAlign w:val="center"/>
          </w:tcPr>
          <w:p w14:paraId="2107A4B7" w14:textId="77777777" w:rsidR="0029118F" w:rsidRPr="00445472" w:rsidRDefault="0029118F" w:rsidP="008E14CA">
            <w:pPr>
              <w:pStyle w:val="TABELA"/>
              <w:jc w:val="center"/>
              <w:rPr>
                <w:lang w:val="sq-AL"/>
              </w:rPr>
            </w:pPr>
            <w:r w:rsidRPr="00445472">
              <w:rPr>
                <w:lang w:val="sq-AL"/>
              </w:rPr>
              <w:t>Co</w:t>
            </w:r>
          </w:p>
        </w:tc>
        <w:tc>
          <w:tcPr>
            <w:tcW w:w="2831" w:type="pct"/>
            <w:vAlign w:val="center"/>
          </w:tcPr>
          <w:p w14:paraId="3D46B275" w14:textId="77777777" w:rsidR="0029118F" w:rsidRPr="00445472" w:rsidRDefault="0029118F" w:rsidP="008E14CA">
            <w:pPr>
              <w:pStyle w:val="TABELA"/>
              <w:jc w:val="center"/>
              <w:rPr>
                <w:lang w:val="sq-AL"/>
              </w:rPr>
            </w:pPr>
            <w:r w:rsidRPr="00445472">
              <w:rPr>
                <w:w w:val="99"/>
                <w:lang w:val="sq-AL"/>
              </w:rPr>
              <w:t>8</w:t>
            </w:r>
          </w:p>
        </w:tc>
        <w:tc>
          <w:tcPr>
            <w:tcW w:w="967" w:type="pct"/>
            <w:vAlign w:val="center"/>
          </w:tcPr>
          <w:p w14:paraId="5C391243" w14:textId="77777777" w:rsidR="0029118F" w:rsidRPr="00445472" w:rsidRDefault="0029118F" w:rsidP="008E14CA">
            <w:pPr>
              <w:pStyle w:val="TABELA"/>
              <w:jc w:val="center"/>
              <w:rPr>
                <w:lang w:val="sq-AL"/>
              </w:rPr>
            </w:pPr>
            <w:r w:rsidRPr="00445472">
              <w:rPr>
                <w:w w:val="99"/>
                <w:lang w:val="sq-AL"/>
              </w:rPr>
              <w:t>2</w:t>
            </w:r>
          </w:p>
        </w:tc>
      </w:tr>
      <w:tr w:rsidR="0029118F" w:rsidRPr="00445472" w14:paraId="369BA815" w14:textId="77777777" w:rsidTr="00246405">
        <w:trPr>
          <w:trHeight w:val="300"/>
        </w:trPr>
        <w:tc>
          <w:tcPr>
            <w:tcW w:w="1201" w:type="pct"/>
            <w:shd w:val="clear" w:color="auto" w:fill="E6E6E6"/>
            <w:vAlign w:val="center"/>
          </w:tcPr>
          <w:p w14:paraId="521EE354" w14:textId="77777777" w:rsidR="0029118F" w:rsidRPr="00445472" w:rsidRDefault="0029118F" w:rsidP="008E14CA">
            <w:pPr>
              <w:pStyle w:val="TABELA"/>
              <w:jc w:val="center"/>
              <w:rPr>
                <w:lang w:val="sq-AL"/>
              </w:rPr>
            </w:pPr>
            <w:r w:rsidRPr="00445472">
              <w:rPr>
                <w:lang w:val="sq-AL"/>
              </w:rPr>
              <w:t>Cr</w:t>
            </w:r>
          </w:p>
        </w:tc>
        <w:tc>
          <w:tcPr>
            <w:tcW w:w="2831" w:type="pct"/>
            <w:shd w:val="clear" w:color="auto" w:fill="E6E6E6"/>
            <w:vAlign w:val="center"/>
          </w:tcPr>
          <w:p w14:paraId="0603F957" w14:textId="77777777" w:rsidR="0029118F" w:rsidRPr="00445472" w:rsidRDefault="0029118F" w:rsidP="008E14CA">
            <w:pPr>
              <w:pStyle w:val="TABELA"/>
              <w:jc w:val="center"/>
              <w:rPr>
                <w:lang w:val="sq-AL"/>
              </w:rPr>
            </w:pPr>
            <w:r w:rsidRPr="00445472">
              <w:rPr>
                <w:w w:val="99"/>
                <w:lang w:val="sq-AL"/>
              </w:rPr>
              <w:t>1</w:t>
            </w:r>
          </w:p>
        </w:tc>
        <w:tc>
          <w:tcPr>
            <w:tcW w:w="967" w:type="pct"/>
            <w:shd w:val="clear" w:color="auto" w:fill="E6E6E6"/>
            <w:vAlign w:val="center"/>
          </w:tcPr>
          <w:p w14:paraId="618140B1" w14:textId="77777777" w:rsidR="0029118F" w:rsidRPr="00445472" w:rsidRDefault="0029118F" w:rsidP="008E14CA">
            <w:pPr>
              <w:pStyle w:val="TABELA"/>
              <w:jc w:val="center"/>
              <w:rPr>
                <w:lang w:val="sq-AL"/>
              </w:rPr>
            </w:pPr>
            <w:r w:rsidRPr="00445472">
              <w:rPr>
                <w:lang w:val="sq-AL"/>
              </w:rPr>
              <w:t>50</w:t>
            </w:r>
          </w:p>
        </w:tc>
      </w:tr>
      <w:tr w:rsidR="0029118F" w:rsidRPr="00445472" w14:paraId="07E9B55B" w14:textId="77777777" w:rsidTr="00246405">
        <w:trPr>
          <w:trHeight w:val="300"/>
        </w:trPr>
        <w:tc>
          <w:tcPr>
            <w:tcW w:w="1201" w:type="pct"/>
            <w:vAlign w:val="center"/>
          </w:tcPr>
          <w:p w14:paraId="0C8C090B" w14:textId="77777777" w:rsidR="0029118F" w:rsidRPr="00445472" w:rsidRDefault="0029118F" w:rsidP="008E14CA">
            <w:pPr>
              <w:pStyle w:val="TABELA"/>
              <w:jc w:val="center"/>
              <w:rPr>
                <w:lang w:val="sq-AL"/>
              </w:rPr>
            </w:pPr>
            <w:r w:rsidRPr="00445472">
              <w:rPr>
                <w:lang w:val="sq-AL"/>
              </w:rPr>
              <w:t>Cd</w:t>
            </w:r>
          </w:p>
        </w:tc>
        <w:tc>
          <w:tcPr>
            <w:tcW w:w="2831" w:type="pct"/>
            <w:vAlign w:val="center"/>
          </w:tcPr>
          <w:p w14:paraId="7343B58C" w14:textId="77777777" w:rsidR="0029118F" w:rsidRPr="00445472" w:rsidRDefault="0029118F" w:rsidP="008E14CA">
            <w:pPr>
              <w:pStyle w:val="TABELA"/>
              <w:jc w:val="center"/>
              <w:rPr>
                <w:lang w:val="sq-AL"/>
              </w:rPr>
            </w:pPr>
            <w:r w:rsidRPr="00445472">
              <w:rPr>
                <w:w w:val="99"/>
                <w:lang w:val="sq-AL"/>
              </w:rPr>
              <w:t>1</w:t>
            </w:r>
          </w:p>
        </w:tc>
        <w:tc>
          <w:tcPr>
            <w:tcW w:w="967" w:type="pct"/>
            <w:vAlign w:val="center"/>
          </w:tcPr>
          <w:p w14:paraId="0798B1CD" w14:textId="77777777" w:rsidR="0029118F" w:rsidRPr="00445472" w:rsidRDefault="0029118F" w:rsidP="008E14CA">
            <w:pPr>
              <w:pStyle w:val="TABELA"/>
              <w:jc w:val="center"/>
              <w:rPr>
                <w:lang w:val="sq-AL"/>
              </w:rPr>
            </w:pPr>
            <w:r w:rsidRPr="00445472">
              <w:rPr>
                <w:w w:val="99"/>
                <w:lang w:val="sq-AL"/>
              </w:rPr>
              <w:t>5</w:t>
            </w:r>
          </w:p>
        </w:tc>
      </w:tr>
    </w:tbl>
    <w:p w14:paraId="3A230024" w14:textId="77777777" w:rsidR="003F438D" w:rsidRPr="00445472" w:rsidRDefault="003F438D" w:rsidP="008E14CA">
      <w:pPr>
        <w:pStyle w:val="TEKSTIIII"/>
        <w:jc w:val="center"/>
      </w:pPr>
      <w:bookmarkStart w:id="154" w:name="_bookmark20"/>
      <w:bookmarkStart w:id="155" w:name="_Toc11068821"/>
      <w:bookmarkEnd w:id="154"/>
    </w:p>
    <w:p w14:paraId="2BDF1A29" w14:textId="6BC92F41" w:rsidR="0029118F" w:rsidRPr="00445472" w:rsidRDefault="003F438D" w:rsidP="003F438D">
      <w:pPr>
        <w:pStyle w:val="NENTITULL"/>
      </w:pPr>
      <w:r w:rsidRPr="00445472">
        <w:t xml:space="preserve">7.4.2 </w:t>
      </w:r>
      <w:r w:rsidR="0029118F" w:rsidRPr="00445472">
        <w:t>Akuiferi karbonatik</w:t>
      </w:r>
      <w:bookmarkEnd w:id="155"/>
    </w:p>
    <w:p w14:paraId="28FB4FEB" w14:textId="77777777" w:rsidR="0029118F" w:rsidRPr="00445472" w:rsidRDefault="0029118F" w:rsidP="003F438D">
      <w:pPr>
        <w:pStyle w:val="TEKSTIIII"/>
      </w:pPr>
      <w:r w:rsidRPr="00445472">
        <w:t>Cilësia e ujit të nxjerrë nga akuiferi karbonatik mund të përmblidhet si vijon:</w:t>
      </w:r>
    </w:p>
    <w:p w14:paraId="4C35A69D" w14:textId="6E1F5DB7" w:rsidR="0029118F" w:rsidRPr="00445472" w:rsidRDefault="00617E48" w:rsidP="003F438D">
      <w:pPr>
        <w:pStyle w:val="TEKSTIIII"/>
      </w:pPr>
      <w:r>
        <w:t xml:space="preserve">- </w:t>
      </w:r>
      <w:r w:rsidR="0029118F" w:rsidRPr="00445472">
        <w:t>Mineralizimi total në ujësjellës varion nga 142-280 mg/l. Ujërat e këtij akuiferi janë ujëra të ëmbla.</w:t>
      </w:r>
    </w:p>
    <w:p w14:paraId="4145B05F" w14:textId="445B2E7D" w:rsidR="0029118F" w:rsidRPr="00445472" w:rsidRDefault="00617E48" w:rsidP="003F438D">
      <w:pPr>
        <w:pStyle w:val="TEKSTIIII"/>
      </w:pPr>
      <w:r>
        <w:t xml:space="preserve">- </w:t>
      </w:r>
      <w:r w:rsidR="0029118F" w:rsidRPr="00445472">
        <w:t>Ashpërsia totale varion nga 4.42-10.01 Fp. ° gj në Gurra e Kolesjanit, Kukës, Tushemit, Lin Pogradec, Syri i Sheganit, burimet e Shkodrës. Ashpërsia është brenda standardit shqiptar.</w:t>
      </w:r>
    </w:p>
    <w:p w14:paraId="298C1676" w14:textId="791358BC" w:rsidR="0029118F" w:rsidRPr="00445472" w:rsidRDefault="00617E48" w:rsidP="003F438D">
      <w:pPr>
        <w:pStyle w:val="TEKSTIIII"/>
      </w:pPr>
      <w:r>
        <w:t xml:space="preserve">- </w:t>
      </w:r>
      <w:r w:rsidR="0029118F" w:rsidRPr="00445472">
        <w:t>pH i ujërave nëntokësore është dobësisht alkalin, me një gamë prej 7.4-7.69.</w:t>
      </w:r>
    </w:p>
    <w:p w14:paraId="7E46808F" w14:textId="764010A4" w:rsidR="0029118F" w:rsidRPr="00445472" w:rsidRDefault="00617E48" w:rsidP="003F438D">
      <w:pPr>
        <w:pStyle w:val="TEKSTIIII"/>
      </w:pPr>
      <w:r>
        <w:t xml:space="preserve">- </w:t>
      </w:r>
      <w:r w:rsidR="0029118F" w:rsidRPr="00445472">
        <w:t>Përmbajtja e Ca, Na, K, Mg, Cl, SO</w:t>
      </w:r>
      <w:r w:rsidR="0029118F" w:rsidRPr="00445472">
        <w:rPr>
          <w:vertAlign w:val="subscript"/>
        </w:rPr>
        <w:t>4</w:t>
      </w:r>
      <w:r w:rsidR="0029118F" w:rsidRPr="00445472">
        <w:t xml:space="preserve"> dhe solidet e tretura plotësisht janë të gjitha brenda standardeve shqiptare dhe të BE-së.</w:t>
      </w:r>
    </w:p>
    <w:p w14:paraId="71BEEA07" w14:textId="12CB5699" w:rsidR="0029118F" w:rsidRPr="00445472" w:rsidRDefault="00617E48" w:rsidP="003F438D">
      <w:pPr>
        <w:pStyle w:val="TEKSTIIII"/>
      </w:pPr>
      <w:r>
        <w:t xml:space="preserve">- </w:t>
      </w:r>
      <w:r w:rsidR="0029118F" w:rsidRPr="00445472">
        <w:t>Nivelet e NH</w:t>
      </w:r>
      <w:r w:rsidR="0029118F" w:rsidRPr="00445472">
        <w:rPr>
          <w:vertAlign w:val="subscript"/>
        </w:rPr>
        <w:t>4</w:t>
      </w:r>
      <w:r w:rsidR="0029118F" w:rsidRPr="00445472">
        <w:t>, NO</w:t>
      </w:r>
      <w:r w:rsidR="0029118F" w:rsidRPr="00445472">
        <w:rPr>
          <w:vertAlign w:val="subscript"/>
        </w:rPr>
        <w:t>3</w:t>
      </w:r>
      <w:r w:rsidR="0029118F" w:rsidRPr="00445472">
        <w:t xml:space="preserve"> dhe NO</w:t>
      </w:r>
      <w:r w:rsidR="0029118F" w:rsidRPr="00445472">
        <w:rPr>
          <w:vertAlign w:val="subscript"/>
        </w:rPr>
        <w:t>2</w:t>
      </w:r>
      <w:r w:rsidR="0029118F" w:rsidRPr="00445472">
        <w:t xml:space="preserve"> janë brenda standardeve të kërkuara për ujë të pijshëm.</w:t>
      </w:r>
    </w:p>
    <w:p w14:paraId="442506F4" w14:textId="1DC5D82B" w:rsidR="0029118F" w:rsidRPr="00445472" w:rsidRDefault="00617E48" w:rsidP="003F438D">
      <w:pPr>
        <w:pStyle w:val="TEKSTIIII"/>
      </w:pPr>
      <w:r>
        <w:t xml:space="preserve">- </w:t>
      </w:r>
      <w:r w:rsidR="0029118F" w:rsidRPr="00445472">
        <w:t xml:space="preserve">Cilësia e ujit të akuiferit karbonatik klasifikohet si </w:t>
      </w:r>
      <w:r w:rsidR="00D62EDF" w:rsidRPr="00445472">
        <w:t>“</w:t>
      </w:r>
      <w:r w:rsidR="0029118F" w:rsidRPr="00445472">
        <w:t>shumë i mirë</w:t>
      </w:r>
      <w:r w:rsidR="00D62EDF" w:rsidRPr="00445472">
        <w:t>”</w:t>
      </w:r>
      <w:r w:rsidR="0029118F" w:rsidRPr="00445472">
        <w:t>.</w:t>
      </w:r>
    </w:p>
    <w:p w14:paraId="21B8FF15" w14:textId="0B22FF51" w:rsidR="0029118F" w:rsidRPr="00445472" w:rsidRDefault="003F438D" w:rsidP="003F438D">
      <w:pPr>
        <w:pStyle w:val="NENTITULL"/>
      </w:pPr>
      <w:bookmarkStart w:id="156" w:name="_bookmark21"/>
      <w:bookmarkStart w:id="157" w:name="_Toc11068822"/>
      <w:bookmarkEnd w:id="156"/>
      <w:r w:rsidRPr="00445472">
        <w:t xml:space="preserve">7.4.3 </w:t>
      </w:r>
      <w:r w:rsidR="0029118F" w:rsidRPr="00445472">
        <w:t>Akuiferi magmatik</w:t>
      </w:r>
      <w:bookmarkEnd w:id="157"/>
    </w:p>
    <w:p w14:paraId="511E9222" w14:textId="77777777" w:rsidR="0029118F" w:rsidRPr="00445472" w:rsidRDefault="0029118F" w:rsidP="003F438D">
      <w:pPr>
        <w:pStyle w:val="TEKSTIIII"/>
      </w:pPr>
      <w:r w:rsidRPr="00445472">
        <w:t>Për këtë akuifer, e vetmja zonë me interes për shfrytëzimin e ujërave nëntokësore shtrihet në masivin e Krrabit ku ka burime me një shkarkesë prej 5-25 l/s.</w:t>
      </w:r>
    </w:p>
    <w:p w14:paraId="1CD90376" w14:textId="4A02A005" w:rsidR="0029118F" w:rsidRPr="00445472" w:rsidRDefault="00617E48" w:rsidP="003F438D">
      <w:pPr>
        <w:pStyle w:val="TEKSTIIII"/>
      </w:pPr>
      <w:r>
        <w:t xml:space="preserve">- </w:t>
      </w:r>
      <w:r w:rsidR="0029118F" w:rsidRPr="00445472">
        <w:t>Ujërat klasifikohen si ujëra të ëmbla me një mineralizim prej 250-350 mg/l.</w:t>
      </w:r>
    </w:p>
    <w:p w14:paraId="4C6688ED" w14:textId="61C1B4B5" w:rsidR="0029118F" w:rsidRPr="00445472" w:rsidRDefault="00617E48" w:rsidP="003F438D">
      <w:pPr>
        <w:pStyle w:val="TEKSTIIII"/>
      </w:pPr>
      <w:r>
        <w:t xml:space="preserve">- </w:t>
      </w:r>
      <w:r w:rsidR="0029118F" w:rsidRPr="00445472">
        <w:t>Uji i këtij akuiferi klasifikohet si ujë i butë me një gamë të ashpërsisë totale që varion nga 8-10 Fp ° gj. Ashpërsia është brenda standardit shqiptar.</w:t>
      </w:r>
    </w:p>
    <w:p w14:paraId="149FDBBE" w14:textId="5F3E7C3D" w:rsidR="0029118F" w:rsidRPr="00445472" w:rsidRDefault="00617E48" w:rsidP="003F438D">
      <w:pPr>
        <w:pStyle w:val="TEKSTIIII"/>
      </w:pPr>
      <w:r>
        <w:t xml:space="preserve">- </w:t>
      </w:r>
      <w:r w:rsidR="0029118F" w:rsidRPr="00445472">
        <w:t>pH i ujërave nëntokësore është dobësisht alkalin, me një gamë prej 7.5-8.0.</w:t>
      </w:r>
    </w:p>
    <w:p w14:paraId="53BDD43A" w14:textId="7B310CFE" w:rsidR="0029118F" w:rsidRPr="00445472" w:rsidRDefault="00617E48" w:rsidP="003F438D">
      <w:pPr>
        <w:pStyle w:val="TEKSTIIII"/>
      </w:pPr>
      <w:r>
        <w:t xml:space="preserve">- </w:t>
      </w:r>
      <w:r w:rsidR="0029118F" w:rsidRPr="00445472">
        <w:t>Ujërat nuk përmbajnë NH</w:t>
      </w:r>
      <w:r w:rsidR="0029118F" w:rsidRPr="00445472">
        <w:rPr>
          <w:vertAlign w:val="subscript"/>
        </w:rPr>
        <w:t>4</w:t>
      </w:r>
      <w:r w:rsidR="0029118F" w:rsidRPr="00445472">
        <w:t>, NO</w:t>
      </w:r>
      <w:r w:rsidR="0029118F" w:rsidRPr="00445472">
        <w:rPr>
          <w:vertAlign w:val="subscript"/>
        </w:rPr>
        <w:t>3</w:t>
      </w:r>
      <w:r w:rsidR="0029118F" w:rsidRPr="00445472">
        <w:t xml:space="preserve"> ose NO</w:t>
      </w:r>
      <w:r w:rsidR="0029118F" w:rsidRPr="00445472">
        <w:rPr>
          <w:vertAlign w:val="subscript"/>
        </w:rPr>
        <w:t>2</w:t>
      </w:r>
      <w:r w:rsidR="0029118F" w:rsidRPr="00445472">
        <w:t>.</w:t>
      </w:r>
    </w:p>
    <w:p w14:paraId="3483847F" w14:textId="23CC6E80" w:rsidR="0029118F" w:rsidRPr="00445472" w:rsidRDefault="00617E48" w:rsidP="003F438D">
      <w:pPr>
        <w:pStyle w:val="TEKSTIIII"/>
      </w:pPr>
      <w:r>
        <w:t xml:space="preserve">- </w:t>
      </w:r>
      <w:r w:rsidR="0029118F" w:rsidRPr="00445472">
        <w:t xml:space="preserve">Cilësia e ujit të akuiferit magmatik klasifikohet si </w:t>
      </w:r>
      <w:r w:rsidR="00D62EDF" w:rsidRPr="00445472">
        <w:t>“</w:t>
      </w:r>
      <w:r w:rsidR="0029118F" w:rsidRPr="00445472">
        <w:t>shumë i mirë</w:t>
      </w:r>
      <w:r w:rsidR="00D62EDF" w:rsidRPr="00445472">
        <w:t>”</w:t>
      </w:r>
      <w:r w:rsidR="0029118F" w:rsidRPr="00445472">
        <w:t>.</w:t>
      </w:r>
    </w:p>
    <w:p w14:paraId="7E3D4802" w14:textId="1FADED8F" w:rsidR="0029118F" w:rsidRPr="00445472" w:rsidRDefault="003F438D" w:rsidP="003F438D">
      <w:pPr>
        <w:pStyle w:val="NENTITULL"/>
      </w:pPr>
      <w:bookmarkStart w:id="158" w:name="_Toc11068823"/>
      <w:r w:rsidRPr="00445472">
        <w:t xml:space="preserve">8. </w:t>
      </w:r>
      <w:r w:rsidR="0029118F" w:rsidRPr="00445472">
        <w:t xml:space="preserve">Infrastruktura e </w:t>
      </w:r>
      <w:r w:rsidR="005C5BDA" w:rsidRPr="00445472">
        <w:t>ujit</w:t>
      </w:r>
      <w:bookmarkEnd w:id="158"/>
    </w:p>
    <w:p w14:paraId="100081F8" w14:textId="64FCB167" w:rsidR="0029118F" w:rsidRPr="00445472" w:rsidRDefault="003F438D" w:rsidP="003F438D">
      <w:pPr>
        <w:pStyle w:val="NENTITULL"/>
      </w:pPr>
      <w:bookmarkStart w:id="159" w:name="_Toc486503413"/>
      <w:bookmarkStart w:id="160" w:name="_Toc11068824"/>
      <w:r w:rsidRPr="00445472">
        <w:t xml:space="preserve">8.1 </w:t>
      </w:r>
      <w:r w:rsidR="0029118F" w:rsidRPr="00445472">
        <w:t>Hyrje</w:t>
      </w:r>
      <w:bookmarkEnd w:id="159"/>
      <w:bookmarkEnd w:id="160"/>
    </w:p>
    <w:p w14:paraId="7E86C9B4" w14:textId="7278C6D3" w:rsidR="0029118F" w:rsidRPr="00445472" w:rsidRDefault="0029118F" w:rsidP="003F438D">
      <w:pPr>
        <w:pStyle w:val="TEKSTIIII"/>
      </w:pPr>
      <w:r w:rsidRPr="00445472">
        <w:t>Një çështje kyçe në DKU është futja e një sistemi të planifikimit të menaxhimit të basenit ujor. Ky do të jetë mekanizmi kyç për sigurimin e menaxhimit të integruar të lumenjve, kanaleve, ujërave nëntokësore, trupave ujorë të modifikuar, liqeneve, rezervuarëve</w:t>
      </w:r>
      <w:r w:rsidR="008F0A9F" w:rsidRPr="00445472">
        <w:t>, si dhe</w:t>
      </w:r>
      <w:r w:rsidRPr="00445472">
        <w:t xml:space="preserve"> ujërave tranzitore dhe bregdetare.</w:t>
      </w:r>
    </w:p>
    <w:p w14:paraId="13F4EA97" w14:textId="3DFB4415" w:rsidR="0029118F" w:rsidRPr="00445472" w:rsidRDefault="0029118F" w:rsidP="003F438D">
      <w:pPr>
        <w:pStyle w:val="TEKSTIIII"/>
      </w:pPr>
      <w:r w:rsidRPr="00445472">
        <w:t>Ky seksion jep informacion mbi statusin dhe planifikimin e menaxhimit të ujit dhe infrastrukturës n</w:t>
      </w:r>
      <w:r w:rsidR="00FE0B87">
        <w:t>ë</w:t>
      </w:r>
      <w:r w:rsidRPr="00445472">
        <w:t xml:space="preserve"> Basenin Ujor </w:t>
      </w:r>
      <w:r w:rsidR="007E76E3" w:rsidRPr="00445472">
        <w:t>Drin–Bunë</w:t>
      </w:r>
      <w:r w:rsidRPr="00445472">
        <w:t>, i cili përfshin furnizimin me ujë, trajtimin e ujërave të ndotura, digat e ujitjes dhe hidrocentralet.</w:t>
      </w:r>
    </w:p>
    <w:p w14:paraId="35D8616C" w14:textId="4D2E9668" w:rsidR="0029118F" w:rsidRPr="00445472" w:rsidRDefault="003F438D" w:rsidP="003F438D">
      <w:pPr>
        <w:pStyle w:val="NENTITULL"/>
      </w:pPr>
      <w:bookmarkStart w:id="161" w:name="_Toc486503414"/>
      <w:bookmarkStart w:id="162" w:name="_TOC_250027"/>
      <w:bookmarkStart w:id="163" w:name="_Toc11068825"/>
      <w:r w:rsidRPr="00445472">
        <w:t xml:space="preserve">8.2 </w:t>
      </w:r>
      <w:r w:rsidR="0029118F" w:rsidRPr="00445472">
        <w:t>Furnizimi me Ujë dhe Trajtimi i Ujërave të Ndotura</w:t>
      </w:r>
      <w:bookmarkEnd w:id="161"/>
      <w:bookmarkEnd w:id="162"/>
      <w:bookmarkEnd w:id="163"/>
    </w:p>
    <w:p w14:paraId="491E3969" w14:textId="77777777" w:rsidR="0029118F" w:rsidRPr="00445472" w:rsidRDefault="0029118F" w:rsidP="003F438D">
      <w:pPr>
        <w:pStyle w:val="TEKSTIIII"/>
      </w:pPr>
      <w:r w:rsidRPr="00445472">
        <w:t>Qeveria shqiptare ka ndërmarrë hapa të qarta drejt menaxhimit të integruar të burimeve ujore. Sektori i shërbimeve të furnizimit me ujë, mbledhja e mbetjeve, deponimi dhe trajtimi i ujërave të ndotura është një nga sektorët me rëndësi dhe ndjeshmëri të veçantë, pasi ndikon drejtpërdrejt në cilësinë e jetës së qytetarëve.</w:t>
      </w:r>
    </w:p>
    <w:p w14:paraId="278D4E6F" w14:textId="18E92932" w:rsidR="0029118F" w:rsidRPr="00445472" w:rsidRDefault="0029118F" w:rsidP="003F438D">
      <w:pPr>
        <w:pStyle w:val="TEKSTIIII"/>
      </w:pPr>
      <w:r w:rsidRPr="00445472">
        <w:t>Në vitin 2014, Qeveria Shqiptare filloi të zbatojë një nga reformat më të rëndësishme në administratën lokale për të përmirësuar qeverisjen lokale dhe për të rritur efikasitetin (</w:t>
      </w:r>
      <w:r w:rsidR="008E14CA" w:rsidRPr="00445472">
        <w:t xml:space="preserve">ligji </w:t>
      </w:r>
      <w:r w:rsidRPr="00445472">
        <w:t>nr.</w:t>
      </w:r>
      <w:r w:rsidR="008E14CA" w:rsidRPr="00445472">
        <w:t xml:space="preserve"> </w:t>
      </w:r>
      <w:r w:rsidRPr="00445472">
        <w:t>115</w:t>
      </w:r>
      <w:r w:rsidR="001D340B" w:rsidRPr="00445472">
        <w:t>/</w:t>
      </w:r>
      <w:r w:rsidRPr="00445472">
        <w:t>2014</w:t>
      </w:r>
      <w:r w:rsidR="00D62EDF" w:rsidRPr="00445472">
        <w:t xml:space="preserve">, “Për </w:t>
      </w:r>
      <w:r w:rsidRPr="00445472">
        <w:t>territorin e ri administrativ të autoriteteve vendore në Republikën e Shqipërisë</w:t>
      </w:r>
      <w:r w:rsidR="00D62EDF" w:rsidRPr="00445472">
        <w:t>”</w:t>
      </w:r>
      <w:r w:rsidRPr="00445472">
        <w:t>). Reforma administrative riorganizoi 373 njësitë e qeverisjes vendore (</w:t>
      </w:r>
      <w:r w:rsidR="00034FBB">
        <w:t>NJQV</w:t>
      </w:r>
      <w:r w:rsidRPr="00445472">
        <w:t xml:space="preserve">) në 61 </w:t>
      </w:r>
      <w:r w:rsidR="00034FBB">
        <w:t>NJQV</w:t>
      </w:r>
      <w:r w:rsidRPr="00445472">
        <w:t xml:space="preserve"> (Bashki). Qëllimi kryesor i reformës është rritja e llogaridhënies duke transferuar detyrime</w:t>
      </w:r>
      <w:r w:rsidR="00034FBB">
        <w:t>t dhe të drejtat e shërbimit te</w:t>
      </w:r>
      <w:r w:rsidRPr="00445472">
        <w:t xml:space="preserve"> niveli i qeverisjes vendore. Bashkimi i </w:t>
      </w:r>
      <w:r w:rsidR="00034FBB">
        <w:t>NJQV</w:t>
      </w:r>
      <w:r w:rsidRPr="00445472">
        <w:t>-ve ishte i nevojshëm për të arritur një shkallë të mjaftueshme organizimi, të nevojshme për ofrimin e këtyre shërbimeve.</w:t>
      </w:r>
    </w:p>
    <w:p w14:paraId="7306B144" w14:textId="74CB11BF" w:rsidR="0029118F" w:rsidRPr="00445472" w:rsidRDefault="0029118F" w:rsidP="003F438D">
      <w:pPr>
        <w:pStyle w:val="TEKSTIIII"/>
      </w:pPr>
      <w:r w:rsidRPr="00445472">
        <w:t xml:space="preserve">Qeveria ka propozuar ofrimin e shërbimit të sektorit aktual të ujit nga </w:t>
      </w:r>
      <w:r w:rsidR="00034FBB">
        <w:t>NJQV</w:t>
      </w:r>
      <w:r w:rsidRPr="00445472">
        <w:t xml:space="preserve">-të e sapokrijuara në mënyrë të tillë që një </w:t>
      </w:r>
      <w:r w:rsidR="00034FBB">
        <w:t>NJQV</w:t>
      </w:r>
      <w:r w:rsidRPr="00445472">
        <w:t xml:space="preserve"> t</w:t>
      </w:r>
      <w:r w:rsidR="00034FBB">
        <w:t>ë</w:t>
      </w:r>
      <w:r w:rsidRPr="00445472">
        <w:t xml:space="preserve"> ketë vetëm një ndërmarrje Ujësjellës dhe Kanalizime, e cila është përgjegjëse për shërbimet e ujit dhe kanalizimit në të gjithë territorin e </w:t>
      </w:r>
      <w:r w:rsidR="00034FBB">
        <w:t>NJQV</w:t>
      </w:r>
      <w:r w:rsidRPr="00445472">
        <w:t xml:space="preserve">-së. Kjo kërkon: </w:t>
      </w:r>
    </w:p>
    <w:p w14:paraId="62CB7FB4" w14:textId="5F42644F" w:rsidR="0029118F" w:rsidRPr="00445472" w:rsidRDefault="00913B6C" w:rsidP="003F438D">
      <w:pPr>
        <w:pStyle w:val="TEKSTIIII"/>
      </w:pPr>
      <w:r>
        <w:t xml:space="preserve">- </w:t>
      </w:r>
      <w:r w:rsidR="0029118F" w:rsidRPr="00445472">
        <w:t xml:space="preserve">Një rritje të lehtë në numrin e shërbimeve nga 58 të </w:t>
      </w:r>
      <w:r w:rsidR="008E14CA" w:rsidRPr="00445472">
        <w:t>licencuara</w:t>
      </w:r>
      <w:r w:rsidR="0029118F" w:rsidRPr="00445472">
        <w:t xml:space="preserve"> (që mbulonin 80% të territorit me shërbimin e furnizimit me ujë dhe 45% me shërbimin e kanalizimeve) në 61 në nivel kombëtar (përgjegjës për mbulimin e të gjithë territorit me të dy</w:t>
      </w:r>
      <w:r w:rsidR="00905530">
        <w:t>ja</w:t>
      </w:r>
      <w:r w:rsidR="0029118F" w:rsidRPr="00445472">
        <w:t xml:space="preserve"> shërbimet).</w:t>
      </w:r>
    </w:p>
    <w:p w14:paraId="33EEFBED" w14:textId="110F0943" w:rsidR="0029118F" w:rsidRPr="00445472" w:rsidRDefault="00913B6C" w:rsidP="003F438D">
      <w:pPr>
        <w:pStyle w:val="TEKSTIIII"/>
      </w:pPr>
      <w:r>
        <w:t xml:space="preserve">- </w:t>
      </w:r>
      <w:r w:rsidR="0029118F" w:rsidRPr="00445472">
        <w:t xml:space="preserve">Rishikimi i zonave të shërbimeve do të përputhë atë me kufijtë administrative të </w:t>
      </w:r>
      <w:r w:rsidR="00034FBB">
        <w:t>NJQV</w:t>
      </w:r>
      <w:r w:rsidR="0029118F" w:rsidRPr="00445472">
        <w:t>-ve të krijuara rishtazi. Pra, shërbimi i furnizimit me ujë dhe kanalizime të çdo qyteti mund të ketë më shumë se një rrjet të ujësjellësit dhe kanalizimeve nga organizimi i mëparshme, duke ofruar shërbime në zona të ndryshme të qytetit.</w:t>
      </w:r>
    </w:p>
    <w:p w14:paraId="72437D46" w14:textId="721ADF86" w:rsidR="0029118F" w:rsidRPr="00445472" w:rsidRDefault="0029118F" w:rsidP="003F438D">
      <w:pPr>
        <w:pStyle w:val="TEKSTIIII"/>
      </w:pPr>
      <w:r w:rsidRPr="00445472">
        <w:t xml:space="preserve">Në përgjithësi, ofrimi i mëparshëm i shërbimit të menaxhimit ishte një shërbim i dobët me një kosto të ulët. Në këtë basen vetëm Ndërmarrja e Pogradecit ofron furnizim me ujë afër 24 orë në ditë. Jashtë zonave të mëparshme të shërbimit ekzistuese në të ashtuquajturat </w:t>
      </w:r>
      <w:r w:rsidR="00D62EDF" w:rsidRPr="00445472">
        <w:t>“</w:t>
      </w:r>
      <w:r w:rsidRPr="00445472">
        <w:t xml:space="preserve"> zona jashtë juridiksionit</w:t>
      </w:r>
      <w:r w:rsidR="00D62EDF" w:rsidRPr="00445472">
        <w:t>”</w:t>
      </w:r>
      <w:r w:rsidRPr="00445472">
        <w:t xml:space="preserve">, shërbimi është siguruar nga sistemet komunale dhe ka informacion të kufizuar në dispozicion për cilësinë dhe sasinë e ujit në përdorim. Si pjesë e reformës së qeverisjes vendore këto </w:t>
      </w:r>
      <w:r w:rsidR="00D62EDF" w:rsidRPr="00445472">
        <w:t>“</w:t>
      </w:r>
      <w:r w:rsidR="008E14CA" w:rsidRPr="00445472">
        <w:t>zona jashtë juri</w:t>
      </w:r>
      <w:r w:rsidRPr="00445472">
        <w:t>diksionit</w:t>
      </w:r>
      <w:r w:rsidR="00D62EDF" w:rsidRPr="00445472">
        <w:t>”</w:t>
      </w:r>
      <w:r w:rsidRPr="00445472">
        <w:t xml:space="preserve"> do të bëhen përgjegjësi e Shërbimeve të reja të Njësive të Qeverisjes Vendore.</w:t>
      </w:r>
    </w:p>
    <w:p w14:paraId="2229DFE4" w14:textId="77777777" w:rsidR="0029118F" w:rsidRPr="00445472" w:rsidRDefault="0029118F" w:rsidP="003F438D">
      <w:pPr>
        <w:pStyle w:val="TEKSTIIII"/>
      </w:pPr>
      <w:r w:rsidRPr="00445472">
        <w:t>Figura 8.1 tregon përqindjen e popullsisë së shërbyer me ujësjellës për secilën pjesë të Bashkisë së Basenit Ujor. Një tabelë përmbledhëse e shërbimeve të furnizimit me ujë dhe kanalizime për secilën bashki është dhënë në Ekonominë e Përdorimit të Ujit - Seksioni 11.5, Figura 11.12.</w:t>
      </w:r>
    </w:p>
    <w:p w14:paraId="3A4EC2C5" w14:textId="77777777" w:rsidR="0029118F" w:rsidRPr="00445472" w:rsidRDefault="0029118F" w:rsidP="003F438D">
      <w:pPr>
        <w:pStyle w:val="TEKSTIIII"/>
        <w:rPr>
          <w:b/>
        </w:rPr>
      </w:pPr>
    </w:p>
    <w:p w14:paraId="7A92E311" w14:textId="77777777" w:rsidR="0029118F" w:rsidRPr="00445472" w:rsidRDefault="0029118F" w:rsidP="003F438D">
      <w:pPr>
        <w:jc w:val="center"/>
        <w:rPr>
          <w:rFonts w:ascii="Garamond" w:hAnsi="Garamond"/>
        </w:rPr>
      </w:pPr>
      <w:r w:rsidRPr="00445472">
        <w:rPr>
          <w:rFonts w:ascii="Garamond" w:hAnsi="Garamond"/>
          <w:noProof/>
          <w:lang w:val="en-US"/>
        </w:rPr>
        <w:drawing>
          <wp:inline distT="0" distB="0" distL="0" distR="0" wp14:anchorId="28CCE832" wp14:editId="57F47FB5">
            <wp:extent cx="5925185" cy="4004945"/>
            <wp:effectExtent l="0" t="0" r="0" b="0"/>
            <wp:docPr id="88" name="Chart 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01E0BC4" w14:textId="7D85F664" w:rsidR="0029118F" w:rsidRPr="00445472" w:rsidRDefault="0029118F" w:rsidP="003F438D">
      <w:pPr>
        <w:pStyle w:val="NENTITULL"/>
        <w:jc w:val="center"/>
      </w:pPr>
      <w:r w:rsidRPr="00445472">
        <w:t xml:space="preserve">Figura 8.1: Popullsia e shërbyer me furnizim me ujë për çdo qytet në Basenin Ujor </w:t>
      </w:r>
      <w:r w:rsidR="007E76E3" w:rsidRPr="00445472">
        <w:t>Drin–Bunë</w:t>
      </w:r>
      <w:r w:rsidRPr="00445472">
        <w:rPr>
          <w:rStyle w:val="FootnoteReference"/>
          <w:rFonts w:ascii="Garamond" w:hAnsi="Garamond"/>
          <w:b w:val="0"/>
          <w:color w:val="auto"/>
        </w:rPr>
        <w:footnoteReference w:id="141"/>
      </w:r>
    </w:p>
    <w:p w14:paraId="4BB66380" w14:textId="77777777" w:rsidR="0029118F" w:rsidRPr="00445472" w:rsidRDefault="0029118F" w:rsidP="0029118F">
      <w:pPr>
        <w:rPr>
          <w:rFonts w:ascii="Garamond" w:hAnsi="Garamond"/>
        </w:rPr>
      </w:pPr>
    </w:p>
    <w:p w14:paraId="2F1404BC" w14:textId="08E30BA9" w:rsidR="0029118F" w:rsidRPr="00445472" w:rsidRDefault="00913B6C" w:rsidP="00795B59">
      <w:pPr>
        <w:pStyle w:val="TEKSTIIII"/>
      </w:pPr>
      <w:r>
        <w:t xml:space="preserve">- </w:t>
      </w:r>
      <w:r w:rsidR="0029118F" w:rsidRPr="00445472">
        <w:t>Shkalla e popullsisë së mbuluar me shërbime varion nga 35% për Bashkinë Pukë në 100% për Peshkopinë dhe Kukësin. Por edhe pse shërbimi mund të mbulojë të gjitha zonat, koha ditore e shërbimeve është në shumicën e rasteve më pak se 24 orë. Arsyeja e shërbimeve të kufizuara është e ndryshme nga një qytet në tjetrin, por keqmenaxhimi dhe humbjet e ujit janë faktorët kryesor.</w:t>
      </w:r>
    </w:p>
    <w:p w14:paraId="2E0674F8" w14:textId="09430E57" w:rsidR="0029118F" w:rsidRPr="00445472" w:rsidRDefault="00913B6C" w:rsidP="00795B59">
      <w:pPr>
        <w:pStyle w:val="TEKSTIIII"/>
      </w:pPr>
      <w:r>
        <w:t xml:space="preserve">- </w:t>
      </w:r>
      <w:r w:rsidR="0029118F" w:rsidRPr="00445472">
        <w:t>Me zbatimin së fundmi të Vendimit 342 nga maji i vitit 2016 i Këshillit të Ministrave</w:t>
      </w:r>
      <w:r w:rsidR="0029118F" w:rsidRPr="00445472">
        <w:rPr>
          <w:rStyle w:val="FootnoteReference"/>
          <w:rFonts w:ascii="Garamond" w:hAnsi="Garamond"/>
          <w:color w:val="auto"/>
        </w:rPr>
        <w:footnoteReference w:id="142"/>
      </w:r>
      <w:r w:rsidR="0029118F" w:rsidRPr="00445472">
        <w:t xml:space="preserve">, lidhur me kufijtë e bashkive dhe inventarizimin e infrastrukturës, vendndodhjet e objekteve infrastrukturore në secilin basen ujëmbledhës do të përditësohen në përputhje me to për shpërndarjen e aseteve në secilën bashki. Ky proces duhej të përfundohej më 31 dhjetor 2016. Procesi i transferimit të aseteve tek administrata e re e pushtetit lokal të shërbimeve të </w:t>
      </w:r>
      <w:r w:rsidR="008E14CA" w:rsidRPr="00445472">
        <w:t>licencuara</w:t>
      </w:r>
      <w:r w:rsidR="00034FBB">
        <w:t>, të</w:t>
      </w:r>
      <w:r w:rsidR="0029118F" w:rsidRPr="00445472">
        <w:t xml:space="preserve"> cilat do të jetë përgjegjëse për të gjithë territorin e </w:t>
      </w:r>
      <w:r w:rsidR="00034FBB">
        <w:t>NJQV</w:t>
      </w:r>
      <w:r w:rsidR="0029118F" w:rsidRPr="00445472">
        <w:t>-së, është ende në vazhdim.</w:t>
      </w:r>
    </w:p>
    <w:p w14:paraId="48C20B4F" w14:textId="6C89DF11" w:rsidR="0029118F" w:rsidRPr="00445472" w:rsidRDefault="00913B6C" w:rsidP="00795B59">
      <w:pPr>
        <w:pStyle w:val="TEKSTIIII"/>
      </w:pPr>
      <w:r>
        <w:t xml:space="preserve">- </w:t>
      </w:r>
      <w:r w:rsidR="0029118F" w:rsidRPr="00445472">
        <w:t>Në</w:t>
      </w:r>
      <w:r w:rsidR="00C83744">
        <w:t xml:space="preserve"> zbatim të VKM nr. 63, datë 27.</w:t>
      </w:r>
      <w:r w:rsidR="0029118F" w:rsidRPr="00445472">
        <w:t>1.2016</w:t>
      </w:r>
      <w:r w:rsidR="00D62EDF" w:rsidRPr="00445472">
        <w:t xml:space="preserve">, “Për </w:t>
      </w:r>
      <w:r w:rsidR="0029118F" w:rsidRPr="00445472">
        <w:t xml:space="preserve">riorganizimin e operatorëve që ofrojnë shërbimin e furnizimit me ujë të pijshëm, </w:t>
      </w:r>
      <w:r w:rsidR="008E14CA" w:rsidRPr="00445472">
        <w:t>grumbullimin</w:t>
      </w:r>
      <w:r w:rsidR="0029118F" w:rsidRPr="00445472">
        <w:t>, largimin dhe trajtimin e ujërave të ndotura</w:t>
      </w:r>
      <w:r w:rsidR="00D62EDF" w:rsidRPr="00445472">
        <w:t>”</w:t>
      </w:r>
      <w:r w:rsidR="0029118F" w:rsidRPr="00445472">
        <w:t xml:space="preserve">, çdo </w:t>
      </w:r>
      <w:r w:rsidR="00034FBB">
        <w:t>NJQV</w:t>
      </w:r>
      <w:r w:rsidR="0029118F" w:rsidRPr="00445472">
        <w:t xml:space="preserve"> e sapo formuar duhet të udhëheqë procesin e vlerësimit dhe regjistrimit të sistemit të ujësjellësit dhe kanalizimit në territorin e tyre. Pas vlerësimit dhe regjistrimit, </w:t>
      </w:r>
      <w:r w:rsidR="00034FBB">
        <w:t>NJQV</w:t>
      </w:r>
      <w:r w:rsidR="0029118F" w:rsidRPr="00445472">
        <w:t xml:space="preserve">-ve u kërkohet të transferojnë asetet dhe procesin e administrimit dhe përgjegjësinë për të ofruar shërbimin e furnizimit me ujë dhe kanalizime në </w:t>
      </w:r>
      <w:r w:rsidR="008E14CA" w:rsidRPr="00445472">
        <w:t>ndërmarrjet</w:t>
      </w:r>
      <w:r w:rsidR="0029118F" w:rsidRPr="00445472">
        <w:t xml:space="preserve"> e tyre përkatëse. Pas përfundimit të këtij procesi, ndërmarrja do të duhet të aplikojë për </w:t>
      </w:r>
      <w:r w:rsidR="008E14CA" w:rsidRPr="00445472">
        <w:t>licencë</w:t>
      </w:r>
      <w:r w:rsidR="0029118F" w:rsidRPr="00445472">
        <w:t xml:space="preserve"> të re në mënyrë që të përfshijë të gjithë zonën e shërbimit të zgjeruar. Shërbimet komunale gjithashtu duhet të përgatisin një plan biznesi me qëllim që të harmonizojnë në kohën e duhur standardet e shërbimit dhe tarifat e shërbimeve. </w:t>
      </w:r>
    </w:p>
    <w:p w14:paraId="3700584B" w14:textId="003F899D" w:rsidR="0029118F" w:rsidRPr="00445472" w:rsidRDefault="00913B6C" w:rsidP="00795B59">
      <w:pPr>
        <w:pStyle w:val="TEKSTIIII"/>
      </w:pPr>
      <w:r>
        <w:t xml:space="preserve">- </w:t>
      </w:r>
      <w:r w:rsidR="0029118F" w:rsidRPr="00445472">
        <w:t xml:space="preserve">Sipas informacioneve të marra nga Enti Rregullator i Ujit për vitin 2016, vetëm 8 ndërmarrje kanë marrë </w:t>
      </w:r>
      <w:r w:rsidR="008E14CA" w:rsidRPr="00445472">
        <w:t>licencat</w:t>
      </w:r>
      <w:r w:rsidR="0029118F" w:rsidRPr="00445472">
        <w:t xml:space="preserve"> e tyre për shërbime, siç tregohet dhe pjesa tjetër janë në proces të plotësimit të kërkesave ligjore. </w:t>
      </w:r>
    </w:p>
    <w:p w14:paraId="23480DD0" w14:textId="584BC5D3" w:rsidR="0029118F" w:rsidRPr="00445472" w:rsidRDefault="0029118F" w:rsidP="00795B59">
      <w:pPr>
        <w:pStyle w:val="TEKSTIIII"/>
      </w:pPr>
      <w:r w:rsidRPr="00445472">
        <w:t>Ministria përgjegjëse për Infrastrukturën është përgjegjëse për sektorin e sistemeve të furnizimit me ujë dhe kanalizimeve në planifikimin e fondeve të investimeve nga buxheti i shtetit dhe institucionet financiare ndërkombëtare. Për planifikimin e investimeve në sektorin e furnizimit me ujë dhe kanalizime, u hartua një Master</w:t>
      </w:r>
      <w:r w:rsidR="008E14CA" w:rsidRPr="00445472">
        <w:t>p</w:t>
      </w:r>
      <w:r w:rsidRPr="00445472">
        <w:t>lan Kombëtar (financuar nga KfW) dheu miratua në mbledhjen e Këshillit Kombëtar të Ujit (Dhjetor 2015). Në kuadër të reformave të sektorit të ujit, kryetari i Bashkisë (ose Kryetarët në qoftë se ndërmarrja është në pronësi dhe që i shërben më shumë se një Bashkie) do të ketë autoritet më të madh mbikëqyrës për menaxhimin e ndërmarrjes.</w:t>
      </w:r>
    </w:p>
    <w:p w14:paraId="1E46B2DD" w14:textId="77777777" w:rsidR="0029118F" w:rsidRPr="00445472" w:rsidRDefault="0029118F" w:rsidP="00795B59">
      <w:pPr>
        <w:pStyle w:val="TEKSTIIII"/>
      </w:pPr>
      <w:r w:rsidRPr="00445472">
        <w:t>Plani i tranzicionit për sektorin e shërbimeve të furnizimit me ujë, grumbullimin, deponimin dhe trajtimin e ujërave të ndotura planifikohet të përparojë si vijon:</w:t>
      </w:r>
    </w:p>
    <w:p w14:paraId="19489B02" w14:textId="208EF805" w:rsidR="0029118F" w:rsidRPr="00445472" w:rsidRDefault="00913B6C" w:rsidP="00795B59">
      <w:pPr>
        <w:pStyle w:val="TEKSTIIII"/>
      </w:pPr>
      <w:r>
        <w:t xml:space="preserve">- </w:t>
      </w:r>
      <w:r w:rsidR="0029118F" w:rsidRPr="00445472">
        <w:t>Ofrimi i shërbimeve të furnizimit me ujë dhe kanalizime duhet të përafrohet përgjatë vijave administrative territoriale bazuar në Reformën Administrative të Territorit (RAT).</w:t>
      </w:r>
    </w:p>
    <w:p w14:paraId="116F6396" w14:textId="27CDA333" w:rsidR="0029118F" w:rsidRPr="00445472" w:rsidRDefault="00913B6C" w:rsidP="00795B59">
      <w:pPr>
        <w:pStyle w:val="TEKSTIIII"/>
      </w:pPr>
      <w:r>
        <w:t xml:space="preserve">- </w:t>
      </w:r>
      <w:r w:rsidR="0029118F" w:rsidRPr="00445472">
        <w:t>Të gjitha shërbimet do të sigurohen nga ndërmarrjet e formuara si shoqëri aksionare në pronësi publike, të cilat ofrojnë shërbime të furnizimit me ujë dhe kanalizimeve.</w:t>
      </w:r>
    </w:p>
    <w:p w14:paraId="794C2C62" w14:textId="16FA930D" w:rsidR="0029118F" w:rsidRPr="00445472" w:rsidRDefault="00913B6C" w:rsidP="00795B59">
      <w:pPr>
        <w:pStyle w:val="TEKSTIIII"/>
      </w:pPr>
      <w:r>
        <w:t xml:space="preserve">- </w:t>
      </w:r>
      <w:r w:rsidR="0029118F" w:rsidRPr="00445472">
        <w:t>Drejtori i Përgjithshëm i ndërmarrjes punëson Drejtorin Teknik dhe Drejtorin Tregtar të Ndërmarrjes.</w:t>
      </w:r>
    </w:p>
    <w:p w14:paraId="7A4FA2F6" w14:textId="25E8240E" w:rsidR="0029118F" w:rsidRPr="00445472" w:rsidRDefault="00913B6C" w:rsidP="00795B59">
      <w:pPr>
        <w:pStyle w:val="TEKSTIIII"/>
      </w:pPr>
      <w:r>
        <w:t xml:space="preserve">- </w:t>
      </w:r>
      <w:r w:rsidR="0029118F" w:rsidRPr="00445472">
        <w:t xml:space="preserve">Kryetari shërben si asamble e </w:t>
      </w:r>
      <w:r w:rsidR="008E14CA" w:rsidRPr="00445472">
        <w:t>aksionarëve</w:t>
      </w:r>
      <w:r w:rsidR="0029118F" w:rsidRPr="00445472">
        <w:t xml:space="preserve"> dhe është Kryetari i Asamblesë.</w:t>
      </w:r>
    </w:p>
    <w:p w14:paraId="10799877" w14:textId="0F2AAB86" w:rsidR="0029118F" w:rsidRPr="00445472" w:rsidRDefault="0029118F" w:rsidP="00795B59">
      <w:pPr>
        <w:pStyle w:val="TEKSTIIII"/>
      </w:pPr>
      <w:r w:rsidRPr="00445472">
        <w:t>Në vitin 2016</w:t>
      </w:r>
      <w:r w:rsidR="008E14CA" w:rsidRPr="00445472">
        <w:t>,</w:t>
      </w:r>
      <w:r w:rsidRPr="00445472">
        <w:t xml:space="preserve"> me VKM</w:t>
      </w:r>
      <w:r w:rsidR="008E14CA" w:rsidRPr="00445472">
        <w:t>-në</w:t>
      </w:r>
      <w:r w:rsidRPr="00445472">
        <w:t xml:space="preserve"> nr. 504, datë 6.7.2016</w:t>
      </w:r>
      <w:r w:rsidR="00D62EDF" w:rsidRPr="00445472">
        <w:t xml:space="preserve">, “Për </w:t>
      </w:r>
      <w:r w:rsidRPr="00445472">
        <w:t>krijimin e Agjencisë Kombëtare të Ujësjellës-Kanalizimeve është ngritur Agjencia Kombëtare e Ujësjellës</w:t>
      </w:r>
      <w:r w:rsidR="008E14CA" w:rsidRPr="00445472">
        <w:t>-Kanalizimeve</w:t>
      </w:r>
      <w:r w:rsidRPr="00445472">
        <w:t xml:space="preserve"> (AKUK). Ky institucion është një organ shtetëror i specializuar në fushën e furnizimit me ujë dhe kanalizimeve dhe trajtimit të ujërave të ndotura. Ajo vepron duke i mbështetur teknikisht politikat e Ministrisë përgjegjëse për Infrastrukturën përgjegjëse për infrastrukturën ujore, në përputhje me legjislacionin dhe politikat e përcaktuara në strategjitë sektoriale dhe politikat përkatëse për menaxhimin e ujit dhe mbrojtjen mjedisore të cilësisë së ujit.</w:t>
      </w:r>
    </w:p>
    <w:p w14:paraId="23DAD876" w14:textId="36D5BC3B" w:rsidR="0029118F" w:rsidRPr="00445472" w:rsidRDefault="0029118F" w:rsidP="00795B59">
      <w:pPr>
        <w:pStyle w:val="TEKSTIIII"/>
      </w:pPr>
      <w:r w:rsidRPr="00445472">
        <w:t>AKUK</w:t>
      </w:r>
      <w:r w:rsidR="008E14CA" w:rsidRPr="00445472">
        <w:t>-ja</w:t>
      </w:r>
      <w:r w:rsidRPr="00445472">
        <w:t xml:space="preserve"> përmbush objektivat e saj si pjesë e organizimit të saj brenda strukturës përmes Drejtorisë Teknike, Departamentit të Tregtisë, Departamentit të Projekteve të Huaja, Drejtorisë së Monitorimit dhe tr</w:t>
      </w:r>
      <w:r w:rsidR="00905530">
        <w:t>i</w:t>
      </w:r>
      <w:r w:rsidRPr="00445472">
        <w:t xml:space="preserve"> departamenteve rajonale. Brenda autoritetit të saj ligjor dhe teknik, AKUK</w:t>
      </w:r>
      <w:r w:rsidR="008E14CA" w:rsidRPr="00445472">
        <w:t>-ja</w:t>
      </w:r>
      <w:r w:rsidRPr="00445472">
        <w:t xml:space="preserve"> koordinon dhe monitoron të gjitha aktivitetet sektoriale, duke ofruar shërbime për furnizimin me ujë të pijshëm, kanalizime dhe trajtimin e ujërave të ndotura, në bashkëpunim me të gjitha institucionet në nivel qendror dhe lokal.</w:t>
      </w:r>
    </w:p>
    <w:p w14:paraId="1DAEE86F" w14:textId="608D4538" w:rsidR="0029118F" w:rsidRPr="00445472" w:rsidRDefault="0029118F" w:rsidP="00795B59">
      <w:pPr>
        <w:pStyle w:val="TEKSTIIII"/>
      </w:pPr>
      <w:r w:rsidRPr="00445472">
        <w:t xml:space="preserve">Në Basenin Ujor </w:t>
      </w:r>
      <w:r w:rsidR="007E76E3" w:rsidRPr="00445472">
        <w:t>Drin–Bunë</w:t>
      </w:r>
      <w:r w:rsidRPr="00445472">
        <w:t xml:space="preserve"> historikisht ka pasur 43 shërbime të furnizimit me ujë dhe kanalizime. Megjithatë, pas reformës vetëm 12 shërbime ujësjellës</w:t>
      </w:r>
      <w:r w:rsidR="00E14B89">
        <w:t>-</w:t>
      </w:r>
      <w:r w:rsidRPr="00445472">
        <w:t xml:space="preserve">kanalizime do të </w:t>
      </w:r>
      <w:r w:rsidR="008E14CA" w:rsidRPr="00445472">
        <w:t>licencohen</w:t>
      </w:r>
      <w:r w:rsidRPr="00445472">
        <w:t>, d</w:t>
      </w:r>
      <w:r w:rsidR="008E14CA" w:rsidRPr="00445472">
        <w:t>.</w:t>
      </w:r>
      <w:r w:rsidRPr="00445472">
        <w:t>m</w:t>
      </w:r>
      <w:r w:rsidR="008E14CA" w:rsidRPr="00445472">
        <w:t>.</w:t>
      </w:r>
      <w:r w:rsidRPr="00445472">
        <w:t>th.</w:t>
      </w:r>
      <w:r w:rsidR="008E14CA" w:rsidRPr="00445472">
        <w:t>:</w:t>
      </w:r>
      <w:r w:rsidRPr="00445472">
        <w:t xml:space="preserve"> Shkodër, Malësi e Madhe, Vau i Dejës, Pukë, Kukës, Has, Tropojë, Lezhë, Peshkopi, Bulqizë (pjesërisht), Librazhd (pjesërisht) dhe Pogradec (pjesërisht).</w:t>
      </w:r>
    </w:p>
    <w:p w14:paraId="5A179B53" w14:textId="36CD8D5D" w:rsidR="0029118F" w:rsidRPr="00445472" w:rsidRDefault="0029118F" w:rsidP="00795B59">
      <w:pPr>
        <w:pStyle w:val="TEKSTIIII"/>
      </w:pPr>
      <w:r w:rsidRPr="00445472">
        <w:t xml:space="preserve">Figura 8.2 tregon kapacitetin e burimit  ujor dhe ujit të prodhuar në çdo qytet. Jashtë zonave të mëparshme të shërbimit ekzistues në të ashtuquajturat </w:t>
      </w:r>
      <w:r w:rsidR="00D62EDF" w:rsidRPr="00445472">
        <w:t>“</w:t>
      </w:r>
      <w:r w:rsidRPr="00445472">
        <w:t xml:space="preserve"> zona jashtë juridiksionit</w:t>
      </w:r>
      <w:r w:rsidR="00D62EDF" w:rsidRPr="00445472">
        <w:t>”</w:t>
      </w:r>
      <w:r w:rsidRPr="00445472">
        <w:t>, shërbimi është siguruar nga sistemet komunale dhe ka informacion të kufizuar në dispozicion për cilësinë dhe sasitë e ujit të përdorur.</w:t>
      </w:r>
    </w:p>
    <w:p w14:paraId="56AEB769" w14:textId="71B1A976" w:rsidR="0029118F" w:rsidRPr="00445472" w:rsidRDefault="0029118F" w:rsidP="00795B59">
      <w:pPr>
        <w:pStyle w:val="TEKSTIIII"/>
        <w:rPr>
          <w:b/>
        </w:rPr>
      </w:pPr>
    </w:p>
    <w:p w14:paraId="07BF2571" w14:textId="77777777" w:rsidR="0029118F" w:rsidRPr="00445472" w:rsidRDefault="0029118F" w:rsidP="0029118F">
      <w:pPr>
        <w:rPr>
          <w:rFonts w:ascii="Garamond" w:hAnsi="Garamond"/>
        </w:rPr>
      </w:pPr>
      <w:r w:rsidRPr="00445472">
        <w:rPr>
          <w:rFonts w:ascii="Garamond" w:hAnsi="Garamond"/>
          <w:noProof/>
          <w:lang w:val="en-US"/>
        </w:rPr>
        <w:drawing>
          <wp:inline distT="0" distB="0" distL="0" distR="0" wp14:anchorId="59D42FC6" wp14:editId="3C39A3C9">
            <wp:extent cx="6193790" cy="2792095"/>
            <wp:effectExtent l="0" t="0" r="0" b="0"/>
            <wp:docPr id="8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93790" cy="2792095"/>
                    </a:xfrm>
                    <a:prstGeom prst="rect">
                      <a:avLst/>
                    </a:prstGeom>
                    <a:noFill/>
                    <a:ln>
                      <a:noFill/>
                    </a:ln>
                  </pic:spPr>
                </pic:pic>
              </a:graphicData>
            </a:graphic>
          </wp:inline>
        </w:drawing>
      </w:r>
    </w:p>
    <w:p w14:paraId="4B0C21EA" w14:textId="7A7A6481" w:rsidR="0029118F" w:rsidRPr="00445472" w:rsidRDefault="0029118F" w:rsidP="00795B59">
      <w:pPr>
        <w:pStyle w:val="NENTITULL"/>
        <w:jc w:val="center"/>
      </w:pPr>
      <w:r w:rsidRPr="00445472">
        <w:t xml:space="preserve">Figura 8.2: Kapaciteti i ujit dhe përdorimi i tij në çdo bashki të Basenit Ujor </w:t>
      </w:r>
      <w:r w:rsidR="007E76E3" w:rsidRPr="00445472">
        <w:t>Drin–Bunë</w:t>
      </w:r>
      <w:r w:rsidRPr="00445472">
        <w:rPr>
          <w:rStyle w:val="FootnoteReference"/>
          <w:rFonts w:ascii="Garamond" w:hAnsi="Garamond"/>
          <w:b w:val="0"/>
          <w:color w:val="auto"/>
        </w:rPr>
        <w:footnoteReference w:id="143"/>
      </w:r>
    </w:p>
    <w:p w14:paraId="2B7DDAE3" w14:textId="77777777" w:rsidR="0029118F" w:rsidRPr="00445472" w:rsidRDefault="0029118F" w:rsidP="00795B59">
      <w:pPr>
        <w:pStyle w:val="TEKSTIIII"/>
      </w:pPr>
    </w:p>
    <w:p w14:paraId="1642F7E1" w14:textId="1CE9CCAF" w:rsidR="0029118F" w:rsidRPr="00445472" w:rsidRDefault="0029118F" w:rsidP="00795B59">
      <w:pPr>
        <w:pStyle w:val="TEKSTIIII"/>
      </w:pPr>
      <w:r w:rsidRPr="00445472">
        <w:t xml:space="preserve">Kërkesa </w:t>
      </w:r>
      <w:r w:rsidR="008E14CA" w:rsidRPr="00445472">
        <w:t>për</w:t>
      </w:r>
      <w:r w:rsidRPr="00445472">
        <w:t xml:space="preserve"> uji është llogaritur për popullsinë që jeton në zonën e juridiksionit të kompanive të ujërave bazuar në normën ditore të kërkesës për frymë prej 150 litrash, me një reduktim prej 20% të humbjeve të ujit. Kjo është një konsideratë mesatare edhe pse ekzistojnë dallime mes ndërmarrjeve. Është e rëndësishme të theksohet se aktualisht humbjet e ujit janë shumë të larta në shumicën e ndërmarrjeve.</w:t>
      </w:r>
    </w:p>
    <w:p w14:paraId="222C3C2C" w14:textId="7C705F78" w:rsidR="0029118F" w:rsidRPr="00445472" w:rsidRDefault="0029118F" w:rsidP="00795B59">
      <w:pPr>
        <w:pStyle w:val="TEKSTIIII"/>
      </w:pPr>
      <w:r w:rsidRPr="00445472">
        <w:t xml:space="preserve">Përveç masave të sigurisë të zbatuara në burimet ujore, të gjitha ndërmarrjet e ujit në Basenin Ujor </w:t>
      </w:r>
      <w:r w:rsidR="007E76E3" w:rsidRPr="00445472">
        <w:t>Drin–Bunë</w:t>
      </w:r>
      <w:r w:rsidRPr="00445472">
        <w:t xml:space="preserve"> përdorin trajtimin e klorinimit për të eliminuar kontaminimin nga mikroorganizmat.  Siguria e furnizimit, sipas kërkesave të VKM</w:t>
      </w:r>
      <w:r w:rsidR="008E14CA" w:rsidRPr="00445472">
        <w:t>-së nr. 379, datë 25.</w:t>
      </w:r>
      <w:r w:rsidRPr="00445472">
        <w:t>5.2016, duhet të monitorohet nga një kontroll i brendshëm nga ujësjellësi, dhe kontroll të jashtëm nga ana e strukturave rajonale të shëndetit publik. Ministri përgjegjës për shëndetin përcakton mjetet e domosdoshme dhe frekuencën e kontrolleve nga strukturat rajonale të shëndetit publik dhe gjithashtu metodologjinë e nevojshme dhe frekuencën e inspektimeve nga Inspektorati Shtetëror Shëndetësor. Shumica e testeve bëhen për mbetjet e klorit në pika të ndryshme të përdorimit dhe për bakteret fekale koliforme. Zbatimi i kërkesave ligjore të kësaj rregulloreje kontrollohet nëpërmjet kujdesit të Inspektoratit Shtetëror Shëndetësor.</w:t>
      </w:r>
    </w:p>
    <w:p w14:paraId="160D17C3" w14:textId="77777777" w:rsidR="0029118F" w:rsidRPr="00445472" w:rsidRDefault="0029118F" w:rsidP="00795B59">
      <w:pPr>
        <w:pStyle w:val="TEKSTIIII"/>
      </w:pPr>
      <w:r w:rsidRPr="00445472">
        <w:t>Burimi i ujit për qëllim të ujit të pijshëm merret kryesisht nga ujërat nëntokësore.</w:t>
      </w:r>
    </w:p>
    <w:p w14:paraId="0F555B06" w14:textId="77777777" w:rsidR="0029118F" w:rsidRPr="00445472" w:rsidRDefault="0029118F" w:rsidP="00795B59">
      <w:pPr>
        <w:pStyle w:val="TEKSTIIII"/>
      </w:pPr>
      <w:r w:rsidRPr="00445472">
        <w:t>Në vitin 2015, përqindja e ujit të ofruar për qytetet në Basenin Ujor duke përdorur stacionin e pompimit dhe gravitetin ishte përkatësisht 56% dhe 44%, siç tregohet në Figurën 8.3. Të dhënat tregojnë se ka 6 qytete që përdorin më shumë se 90% ujë të pijshëm nga stacioni i pompimit, pra një tarifë më e lartë e ujit në raport me qytetet e tjera ku përqindja e përdorimit të ujit të pijshëm me gravitet është më e lartë.</w:t>
      </w:r>
    </w:p>
    <w:p w14:paraId="5891BE15" w14:textId="77777777" w:rsidR="0029118F" w:rsidRPr="00445472" w:rsidRDefault="0029118F" w:rsidP="00795B59">
      <w:pPr>
        <w:pStyle w:val="TEKSTIIII"/>
      </w:pPr>
    </w:p>
    <w:p w14:paraId="39B84D83" w14:textId="77777777" w:rsidR="0029118F" w:rsidRPr="00445472" w:rsidRDefault="0029118F" w:rsidP="0029118F">
      <w:pPr>
        <w:rPr>
          <w:rFonts w:ascii="Garamond" w:hAnsi="Garamond"/>
        </w:rPr>
      </w:pPr>
      <w:r w:rsidRPr="00445472">
        <w:rPr>
          <w:rFonts w:ascii="Garamond" w:hAnsi="Garamond"/>
          <w:noProof/>
          <w:lang w:val="en-US"/>
        </w:rPr>
        <w:drawing>
          <wp:inline distT="0" distB="0" distL="0" distR="0" wp14:anchorId="0A4D1C3B" wp14:editId="4B40BE7A">
            <wp:extent cx="5449570" cy="4053840"/>
            <wp:effectExtent l="0" t="0" r="0" b="0"/>
            <wp:docPr id="80"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49570" cy="4053840"/>
                    </a:xfrm>
                    <a:prstGeom prst="rect">
                      <a:avLst/>
                    </a:prstGeom>
                    <a:noFill/>
                    <a:ln>
                      <a:noFill/>
                    </a:ln>
                  </pic:spPr>
                </pic:pic>
              </a:graphicData>
            </a:graphic>
          </wp:inline>
        </w:drawing>
      </w:r>
    </w:p>
    <w:p w14:paraId="6E8260DF" w14:textId="3690F681" w:rsidR="0029118F" w:rsidRPr="00445472" w:rsidRDefault="0029118F" w:rsidP="00795B59">
      <w:pPr>
        <w:pStyle w:val="NENTITULL"/>
        <w:jc w:val="center"/>
      </w:pPr>
      <w:r w:rsidRPr="00445472">
        <w:t xml:space="preserve">Figura 8.3: Përqindja e furnizimit me ujë të siguruar nga stacionet e pompimit dhe graviteti në çdo qytet të Basenit Ujor </w:t>
      </w:r>
      <w:r w:rsidR="007E76E3" w:rsidRPr="00445472">
        <w:t>Drin–Bunë</w:t>
      </w:r>
      <w:r w:rsidRPr="00445472">
        <w:rPr>
          <w:rStyle w:val="FootnoteReference"/>
          <w:rFonts w:ascii="Garamond" w:hAnsi="Garamond"/>
          <w:b w:val="0"/>
          <w:color w:val="auto"/>
        </w:rPr>
        <w:footnoteReference w:id="144"/>
      </w:r>
    </w:p>
    <w:p w14:paraId="1ACB3364" w14:textId="77777777" w:rsidR="0029118F" w:rsidRPr="00445472" w:rsidRDefault="0029118F" w:rsidP="00795B59">
      <w:pPr>
        <w:pStyle w:val="TEKSTIIII"/>
      </w:pPr>
    </w:p>
    <w:p w14:paraId="007F37DB" w14:textId="77777777" w:rsidR="0029118F" w:rsidRPr="00445472" w:rsidRDefault="0029118F" w:rsidP="00795B59">
      <w:pPr>
        <w:pStyle w:val="TEKSTIIII"/>
      </w:pPr>
      <w:r w:rsidRPr="00445472">
        <w:t>Përqindja e lartë e familjeve që përdorin stacionin e pompimit për prodhimin e ujit të pijshëm ndikon drejtpërsëdrejti në kostot e shërbimit të furnizimit me ujë për qytetet përkatëse, duke krijuar vështirësi për të arritur përqindje të arsyeshme në mbledhjen e të ardhurave dhe në të njëjtën kohë kosto shtesë dhe vështirësi në mirëmbajtjen e pajisjeve dhe vetë sistemit.</w:t>
      </w:r>
    </w:p>
    <w:p w14:paraId="2B8E8CB3" w14:textId="73B3D7AE" w:rsidR="0029118F" w:rsidRPr="00445472" w:rsidRDefault="0029118F" w:rsidP="00795B59">
      <w:pPr>
        <w:pStyle w:val="TEKSTIIII"/>
      </w:pPr>
      <w:r w:rsidRPr="00445472">
        <w:t xml:space="preserve">Vendndodhja e pikave kryesore të furnizimit me ujë në Basenin Ujor </w:t>
      </w:r>
      <w:r w:rsidR="007E76E3" w:rsidRPr="00445472">
        <w:t>Drin–Bunë</w:t>
      </w:r>
      <w:r w:rsidRPr="00445472">
        <w:t xml:space="preserve"> është dhënë në </w:t>
      </w:r>
      <w:r w:rsidR="008E14CA" w:rsidRPr="00445472">
        <w:t xml:space="preserve">figurën </w:t>
      </w:r>
      <w:r w:rsidRPr="00445472">
        <w:t xml:space="preserve">8.4. Një inventar i burimeve është paraqitur në </w:t>
      </w:r>
      <w:r w:rsidR="008E14CA" w:rsidRPr="00445472">
        <w:t xml:space="preserve">figurën </w:t>
      </w:r>
      <w:r w:rsidRPr="00445472">
        <w:t>8.5.</w:t>
      </w:r>
    </w:p>
    <w:p w14:paraId="34B29F20" w14:textId="716F0AB4" w:rsidR="0029118F" w:rsidRPr="00445472" w:rsidRDefault="00FC73DF" w:rsidP="00FC73DF">
      <w:pPr>
        <w:pStyle w:val="TEKSTIIII"/>
        <w:jc w:val="center"/>
      </w:pPr>
      <w:r w:rsidRPr="00445472">
        <w:rPr>
          <w:noProof/>
          <w:lang w:val="en-US"/>
        </w:rPr>
        <w:drawing>
          <wp:inline distT="0" distB="0" distL="0" distR="0" wp14:anchorId="4BFA8C75" wp14:editId="50392690">
            <wp:extent cx="5012131" cy="7084613"/>
            <wp:effectExtent l="0" t="0" r="0" b="2540"/>
            <wp:docPr id="7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15039" cy="7088723"/>
                    </a:xfrm>
                    <a:prstGeom prst="rect">
                      <a:avLst/>
                    </a:prstGeom>
                    <a:noFill/>
                    <a:ln>
                      <a:noFill/>
                    </a:ln>
                  </pic:spPr>
                </pic:pic>
              </a:graphicData>
            </a:graphic>
          </wp:inline>
        </w:drawing>
      </w:r>
    </w:p>
    <w:p w14:paraId="0A94C73E" w14:textId="24BD0571" w:rsidR="00FC73DF" w:rsidRPr="00445472" w:rsidRDefault="00FC73DF" w:rsidP="00FC73DF">
      <w:pPr>
        <w:pStyle w:val="NENTITULL"/>
        <w:jc w:val="center"/>
      </w:pPr>
      <w:r w:rsidRPr="00445472">
        <w:t xml:space="preserve">Figura 8.4: Vendndodhja e pikave kryesore të furnizimit me ujë në Basenin Ujor </w:t>
      </w:r>
      <w:r w:rsidR="007E76E3" w:rsidRPr="00445472">
        <w:t>Drin–Bunë</w:t>
      </w:r>
    </w:p>
    <w:p w14:paraId="27B5F56B" w14:textId="77777777" w:rsidR="00FC73DF" w:rsidRPr="00445472" w:rsidRDefault="00FC73DF" w:rsidP="00FC73DF">
      <w:pPr>
        <w:pStyle w:val="NENTITULL"/>
      </w:pPr>
    </w:p>
    <w:p w14:paraId="71401E24" w14:textId="77777777" w:rsidR="007D1BFD" w:rsidRPr="00445472" w:rsidRDefault="007D1BFD" w:rsidP="00FC73DF">
      <w:pPr>
        <w:pStyle w:val="NENTITULL"/>
      </w:pPr>
    </w:p>
    <w:p w14:paraId="43D14596" w14:textId="04DFE414" w:rsidR="007D1BFD" w:rsidRPr="00445472" w:rsidRDefault="007D1BFD" w:rsidP="00FC73DF">
      <w:pPr>
        <w:pStyle w:val="NENTITULL"/>
      </w:pPr>
      <w:r w:rsidRPr="00445472">
        <w:rPr>
          <w:noProof/>
          <w:lang w:val="en-US"/>
        </w:rPr>
        <w:drawing>
          <wp:inline distT="0" distB="0" distL="0" distR="0" wp14:anchorId="1C3D864B" wp14:editId="2AB3B21D">
            <wp:extent cx="5176300" cy="7320501"/>
            <wp:effectExtent l="0" t="0" r="5715" b="0"/>
            <wp:docPr id="7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179303" cy="7324748"/>
                    </a:xfrm>
                    <a:prstGeom prst="rect">
                      <a:avLst/>
                    </a:prstGeom>
                    <a:noFill/>
                    <a:ln>
                      <a:noFill/>
                    </a:ln>
                  </pic:spPr>
                </pic:pic>
              </a:graphicData>
            </a:graphic>
          </wp:inline>
        </w:drawing>
      </w:r>
    </w:p>
    <w:p w14:paraId="25D13933" w14:textId="7B1C12F0" w:rsidR="007D1BFD" w:rsidRPr="00445472" w:rsidRDefault="007D1BFD" w:rsidP="007D1BFD">
      <w:pPr>
        <w:pStyle w:val="NENTITULL"/>
        <w:jc w:val="center"/>
      </w:pPr>
      <w:r w:rsidRPr="00445472">
        <w:t xml:space="preserve">Figura 8.5: Vendndodhja e burimeve të njohura në Basenin Ujor </w:t>
      </w:r>
      <w:r w:rsidR="007E76E3" w:rsidRPr="00445472">
        <w:t>Drin–Bunë</w:t>
      </w:r>
    </w:p>
    <w:p w14:paraId="0D9E3A85" w14:textId="77777777" w:rsidR="007D1BFD" w:rsidRPr="00445472" w:rsidRDefault="007D1BFD" w:rsidP="007D1BFD">
      <w:pPr>
        <w:pStyle w:val="NENTITULL"/>
        <w:jc w:val="center"/>
      </w:pPr>
    </w:p>
    <w:p w14:paraId="3B0D2FB0" w14:textId="0D1DED76" w:rsidR="007D1BFD" w:rsidRPr="00445472" w:rsidRDefault="007D1BFD" w:rsidP="007D1BFD">
      <w:pPr>
        <w:pStyle w:val="TEKSTIIII"/>
      </w:pPr>
      <w:r w:rsidRPr="00445472">
        <w:t xml:space="preserve">Në qytetet Has, Bulqizë, Tropojë dhe Vau i Dejës, rrjeti i ujërave të ndotura mungon plotësisht. Qytetet e tjera janë kryesisht të mbuluara nga rrjeti i kanalizimit, por ende zonat periferike nuk janë mbuluar me këtë shërbim. Në këtë gjendje, përdorimi i gropave septike është zgjidhja më e zakonshme. Figura 8.6 tregon numrin e lidhjeve me rrjetin e ujërave të ndotura në Basenin Ujor </w:t>
      </w:r>
      <w:r w:rsidR="007E76E3" w:rsidRPr="00445472">
        <w:t>Drin–Bunë</w:t>
      </w:r>
      <w:r w:rsidRPr="00445472">
        <w:t xml:space="preserve">. Tabela 8.1 tregon statusin e infrastrukturës së ujërave të ndotura për Bashkitë kryesore në Basen. </w:t>
      </w:r>
    </w:p>
    <w:p w14:paraId="03EB4D3B" w14:textId="77777777" w:rsidR="007D1BFD" w:rsidRPr="00445472" w:rsidRDefault="007D1BFD" w:rsidP="007D1BFD">
      <w:pPr>
        <w:pStyle w:val="TEKSTIIII"/>
        <w:rPr>
          <w:b/>
        </w:rPr>
      </w:pPr>
    </w:p>
    <w:p w14:paraId="74FE7F30" w14:textId="77777777" w:rsidR="007D1BFD" w:rsidRPr="00445472" w:rsidRDefault="007D1BFD" w:rsidP="007D1BFD">
      <w:pPr>
        <w:rPr>
          <w:rFonts w:ascii="Garamond" w:hAnsi="Garamond"/>
        </w:rPr>
      </w:pPr>
      <w:r w:rsidRPr="00445472">
        <w:rPr>
          <w:rFonts w:ascii="Garamond" w:hAnsi="Garamond"/>
          <w:noProof/>
          <w:lang w:val="en-US"/>
        </w:rPr>
        <w:drawing>
          <wp:inline distT="0" distB="0" distL="0" distR="0" wp14:anchorId="2AD43E60" wp14:editId="2B699FA6">
            <wp:extent cx="6071870" cy="2743200"/>
            <wp:effectExtent l="0" t="0" r="0" b="0"/>
            <wp:docPr id="77" name="Chart 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2623B76" w14:textId="2E477ABB" w:rsidR="007D1BFD" w:rsidRPr="00445472" w:rsidRDefault="007D1BFD" w:rsidP="007D1BFD">
      <w:pPr>
        <w:pStyle w:val="NENTITULL"/>
        <w:jc w:val="center"/>
      </w:pPr>
      <w:r w:rsidRPr="00445472">
        <w:t xml:space="preserve">Figura 8.6: Lidhjet me sistemin e grumbullimit të ujërave të ndotura për qytetet në Basenin Ujor </w:t>
      </w:r>
      <w:r w:rsidR="007E76E3" w:rsidRPr="00445472">
        <w:t>Drin–Bunë</w:t>
      </w:r>
      <w:r w:rsidRPr="00445472">
        <w:rPr>
          <w:rStyle w:val="FootnoteReference"/>
          <w:rFonts w:ascii="Garamond" w:hAnsi="Garamond"/>
          <w:b w:val="0"/>
          <w:color w:val="auto"/>
        </w:rPr>
        <w:footnoteReference w:id="145"/>
      </w:r>
    </w:p>
    <w:p w14:paraId="6D9014C7" w14:textId="77777777" w:rsidR="007D1BFD" w:rsidRPr="00445472" w:rsidRDefault="007D1BFD" w:rsidP="007D1BFD">
      <w:pPr>
        <w:rPr>
          <w:rFonts w:ascii="Garamond" w:hAnsi="Garamond"/>
        </w:rPr>
      </w:pPr>
    </w:p>
    <w:p w14:paraId="4B79FA3F" w14:textId="27AAF481" w:rsidR="007D1BFD" w:rsidRPr="00445472" w:rsidRDefault="007D1BFD" w:rsidP="007D1BFD">
      <w:pPr>
        <w:pStyle w:val="NENTITULL"/>
      </w:pPr>
      <w:r w:rsidRPr="00445472">
        <w:t xml:space="preserve">Tabela 8.1: Statusi i infrastrukturës së ujërave të ndotura për bashkitë kryesore në Basenin Ujor </w:t>
      </w:r>
      <w:r w:rsidR="007E76E3" w:rsidRPr="00445472">
        <w:t>Drin–Bunë</w:t>
      </w:r>
      <w:r w:rsidRPr="00445472">
        <w:rPr>
          <w:rStyle w:val="FootnoteReference"/>
          <w:rFonts w:ascii="Garamond" w:hAnsi="Garamond"/>
          <w:b w:val="0"/>
          <w:color w:val="auto"/>
        </w:rPr>
        <w:footnoteReference w:id="146"/>
      </w:r>
    </w:p>
    <w:tbl>
      <w:tblPr>
        <w:tblW w:w="9310" w:type="dxa"/>
        <w:tblInd w:w="250"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2140"/>
        <w:gridCol w:w="2390"/>
        <w:gridCol w:w="2390"/>
        <w:gridCol w:w="2390"/>
      </w:tblGrid>
      <w:tr w:rsidR="007D1BFD" w:rsidRPr="00445472" w14:paraId="5DE33396" w14:textId="77777777" w:rsidTr="00B15A6B">
        <w:tc>
          <w:tcPr>
            <w:tcW w:w="2140" w:type="dxa"/>
            <w:shd w:val="clear" w:color="auto" w:fill="D9D9D9"/>
            <w:vAlign w:val="center"/>
          </w:tcPr>
          <w:p w14:paraId="218228B7" w14:textId="77777777" w:rsidR="007D1BFD" w:rsidRPr="00445472" w:rsidRDefault="007D1BFD" w:rsidP="00B15A6B">
            <w:pPr>
              <w:pStyle w:val="TableTextCentre"/>
              <w:spacing w:before="22" w:after="22"/>
              <w:ind w:right="63"/>
              <w:rPr>
                <w:rFonts w:ascii="Garamond" w:hAnsi="Garamond" w:cs="Arial"/>
                <w:b/>
                <w:sz w:val="20"/>
                <w:szCs w:val="20"/>
                <w:lang w:val="sq-AL"/>
              </w:rPr>
            </w:pPr>
            <w:r w:rsidRPr="00445472">
              <w:rPr>
                <w:rFonts w:ascii="Garamond" w:hAnsi="Garamond" w:cs="Arial"/>
                <w:b/>
                <w:sz w:val="20"/>
                <w:szCs w:val="20"/>
                <w:lang w:val="sq-AL"/>
              </w:rPr>
              <w:t>Qyteti</w:t>
            </w:r>
          </w:p>
        </w:tc>
        <w:tc>
          <w:tcPr>
            <w:tcW w:w="2390" w:type="dxa"/>
            <w:shd w:val="clear" w:color="auto" w:fill="D9D9D9"/>
            <w:vAlign w:val="center"/>
          </w:tcPr>
          <w:p w14:paraId="1960C88D" w14:textId="2B73544C" w:rsidR="007D1BFD" w:rsidRPr="00445472" w:rsidRDefault="007D1BFD" w:rsidP="00034FBB">
            <w:pPr>
              <w:pStyle w:val="TableTextCentre"/>
              <w:spacing w:before="22" w:after="22"/>
              <w:ind w:right="63"/>
              <w:rPr>
                <w:rFonts w:ascii="Garamond" w:hAnsi="Garamond" w:cs="Arial"/>
                <w:b/>
                <w:sz w:val="20"/>
                <w:szCs w:val="20"/>
                <w:lang w:val="sq-AL"/>
              </w:rPr>
            </w:pPr>
            <w:r w:rsidRPr="00445472">
              <w:rPr>
                <w:rFonts w:ascii="Garamond" w:hAnsi="Garamond" w:cs="Arial"/>
                <w:b/>
                <w:sz w:val="20"/>
                <w:szCs w:val="20"/>
                <w:lang w:val="sq-AL"/>
              </w:rPr>
              <w:t>Popullsia me rrjet t</w:t>
            </w:r>
            <w:r w:rsidR="00034FBB">
              <w:rPr>
                <w:rFonts w:ascii="Garamond" w:hAnsi="Garamond" w:cs="Arial"/>
                <w:b/>
                <w:sz w:val="20"/>
                <w:szCs w:val="20"/>
                <w:lang w:val="sq-AL"/>
              </w:rPr>
              <w:t>ë</w:t>
            </w:r>
            <w:r w:rsidRPr="00445472">
              <w:rPr>
                <w:rFonts w:ascii="Garamond" w:hAnsi="Garamond" w:cs="Arial"/>
                <w:b/>
                <w:sz w:val="20"/>
                <w:szCs w:val="20"/>
                <w:lang w:val="sq-AL"/>
              </w:rPr>
              <w:t xml:space="preserve"> ujërave të ndotura në %</w:t>
            </w:r>
          </w:p>
        </w:tc>
        <w:tc>
          <w:tcPr>
            <w:tcW w:w="2390" w:type="dxa"/>
            <w:shd w:val="clear" w:color="auto" w:fill="D9D9D9"/>
            <w:vAlign w:val="center"/>
          </w:tcPr>
          <w:p w14:paraId="30FA9B6C" w14:textId="77777777" w:rsidR="007D1BFD" w:rsidRPr="00445472" w:rsidRDefault="007D1BFD" w:rsidP="00B15A6B">
            <w:pPr>
              <w:pStyle w:val="TableTextCentre"/>
              <w:spacing w:before="22" w:after="22"/>
              <w:ind w:right="63"/>
              <w:rPr>
                <w:rFonts w:ascii="Garamond" w:hAnsi="Garamond" w:cs="Arial"/>
                <w:b/>
                <w:sz w:val="20"/>
                <w:szCs w:val="20"/>
                <w:lang w:val="sq-AL"/>
              </w:rPr>
            </w:pPr>
            <w:r w:rsidRPr="00445472">
              <w:rPr>
                <w:rFonts w:ascii="Garamond" w:hAnsi="Garamond" w:cs="Arial"/>
                <w:b/>
                <w:sz w:val="20"/>
                <w:szCs w:val="20"/>
                <w:lang w:val="sq-AL"/>
              </w:rPr>
              <w:t>Statusi i ITUN</w:t>
            </w:r>
          </w:p>
        </w:tc>
        <w:tc>
          <w:tcPr>
            <w:tcW w:w="2390" w:type="dxa"/>
            <w:shd w:val="clear" w:color="auto" w:fill="D9D9D9"/>
            <w:vAlign w:val="center"/>
          </w:tcPr>
          <w:p w14:paraId="19293BAE" w14:textId="77777777" w:rsidR="007D1BFD" w:rsidRPr="00445472" w:rsidRDefault="007D1BFD" w:rsidP="00B15A6B">
            <w:pPr>
              <w:pStyle w:val="TableTextCentre"/>
              <w:spacing w:before="22" w:after="22"/>
              <w:ind w:right="63"/>
              <w:rPr>
                <w:rFonts w:ascii="Garamond" w:hAnsi="Garamond" w:cs="Arial"/>
                <w:b/>
                <w:sz w:val="20"/>
                <w:szCs w:val="20"/>
                <w:lang w:val="sq-AL"/>
              </w:rPr>
            </w:pPr>
            <w:r w:rsidRPr="00445472">
              <w:rPr>
                <w:rFonts w:ascii="Garamond" w:hAnsi="Garamond" w:cs="Arial"/>
                <w:b/>
                <w:sz w:val="20"/>
                <w:szCs w:val="20"/>
                <w:lang w:val="sq-AL"/>
              </w:rPr>
              <w:t>Popullsia me ITUN në %</w:t>
            </w:r>
          </w:p>
        </w:tc>
      </w:tr>
      <w:tr w:rsidR="007D1BFD" w:rsidRPr="00445472" w14:paraId="54D90174" w14:textId="77777777" w:rsidTr="00B15A6B">
        <w:tc>
          <w:tcPr>
            <w:tcW w:w="2140" w:type="dxa"/>
            <w:shd w:val="clear" w:color="auto" w:fill="auto"/>
            <w:vAlign w:val="center"/>
          </w:tcPr>
          <w:p w14:paraId="703EF63A"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Pogradec</w:t>
            </w:r>
          </w:p>
        </w:tc>
        <w:tc>
          <w:tcPr>
            <w:tcW w:w="2390" w:type="dxa"/>
            <w:shd w:val="clear" w:color="auto" w:fill="auto"/>
            <w:vAlign w:val="center"/>
          </w:tcPr>
          <w:p w14:paraId="3A790F20"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81%</w:t>
            </w:r>
          </w:p>
        </w:tc>
        <w:tc>
          <w:tcPr>
            <w:tcW w:w="2390" w:type="dxa"/>
            <w:shd w:val="clear" w:color="auto" w:fill="auto"/>
            <w:vAlign w:val="center"/>
          </w:tcPr>
          <w:p w14:paraId="5146026F"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Ekzistues</w:t>
            </w:r>
          </w:p>
        </w:tc>
        <w:tc>
          <w:tcPr>
            <w:tcW w:w="2390" w:type="dxa"/>
            <w:shd w:val="clear" w:color="auto" w:fill="auto"/>
            <w:vAlign w:val="center"/>
          </w:tcPr>
          <w:p w14:paraId="05D844EE"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50,000 banorë në zonën e Bashkisë</w:t>
            </w:r>
          </w:p>
        </w:tc>
      </w:tr>
      <w:tr w:rsidR="007D1BFD" w:rsidRPr="00445472" w14:paraId="3CBC50C7" w14:textId="77777777" w:rsidTr="00B15A6B">
        <w:trPr>
          <w:trHeight w:val="211"/>
        </w:trPr>
        <w:tc>
          <w:tcPr>
            <w:tcW w:w="2140" w:type="dxa"/>
            <w:shd w:val="clear" w:color="auto" w:fill="auto"/>
            <w:vAlign w:val="center"/>
          </w:tcPr>
          <w:p w14:paraId="24199250"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Bulqizë</w:t>
            </w:r>
          </w:p>
        </w:tc>
        <w:tc>
          <w:tcPr>
            <w:tcW w:w="2390" w:type="dxa"/>
            <w:shd w:val="clear" w:color="auto" w:fill="auto"/>
            <w:vAlign w:val="center"/>
          </w:tcPr>
          <w:p w14:paraId="040ED25F"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74%</w:t>
            </w:r>
          </w:p>
        </w:tc>
        <w:tc>
          <w:tcPr>
            <w:tcW w:w="2390" w:type="dxa"/>
            <w:shd w:val="clear" w:color="auto" w:fill="auto"/>
            <w:vAlign w:val="center"/>
          </w:tcPr>
          <w:p w14:paraId="47A928AE" w14:textId="77777777" w:rsidR="007D1BFD" w:rsidRPr="00445472" w:rsidRDefault="007D1BFD" w:rsidP="00B15A6B">
            <w:pPr>
              <w:spacing w:before="33" w:after="0"/>
              <w:jc w:val="center"/>
              <w:rPr>
                <w:rFonts w:ascii="Garamond" w:hAnsi="Garamond" w:cs="Arial"/>
                <w:sz w:val="20"/>
                <w:szCs w:val="20"/>
              </w:rPr>
            </w:pPr>
            <w:r w:rsidRPr="00445472">
              <w:rPr>
                <w:rFonts w:ascii="Garamond" w:hAnsi="Garamond" w:cs="Arial"/>
                <w:sz w:val="20"/>
                <w:szCs w:val="20"/>
              </w:rPr>
              <w:t>Nuk ekziston</w:t>
            </w:r>
          </w:p>
        </w:tc>
        <w:tc>
          <w:tcPr>
            <w:tcW w:w="2390" w:type="dxa"/>
            <w:shd w:val="clear" w:color="auto" w:fill="auto"/>
            <w:vAlign w:val="center"/>
          </w:tcPr>
          <w:p w14:paraId="3F8A6E75"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w:t>
            </w:r>
          </w:p>
        </w:tc>
      </w:tr>
      <w:tr w:rsidR="007D1BFD" w:rsidRPr="00445472" w14:paraId="3C11F8EC" w14:textId="77777777" w:rsidTr="00B15A6B">
        <w:tc>
          <w:tcPr>
            <w:tcW w:w="2140" w:type="dxa"/>
            <w:shd w:val="clear" w:color="auto" w:fill="auto"/>
            <w:vAlign w:val="center"/>
          </w:tcPr>
          <w:p w14:paraId="1F73A6B4"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Peshkopi</w:t>
            </w:r>
          </w:p>
        </w:tc>
        <w:tc>
          <w:tcPr>
            <w:tcW w:w="2390" w:type="dxa"/>
            <w:shd w:val="clear" w:color="auto" w:fill="auto"/>
            <w:vAlign w:val="center"/>
          </w:tcPr>
          <w:p w14:paraId="32CF1B03"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93%</w:t>
            </w:r>
          </w:p>
        </w:tc>
        <w:tc>
          <w:tcPr>
            <w:tcW w:w="2390" w:type="dxa"/>
            <w:shd w:val="clear" w:color="auto" w:fill="auto"/>
            <w:vAlign w:val="center"/>
          </w:tcPr>
          <w:p w14:paraId="4E4C10D7" w14:textId="77777777" w:rsidR="007D1BFD" w:rsidRPr="00445472" w:rsidRDefault="007D1BFD" w:rsidP="00B15A6B">
            <w:pPr>
              <w:spacing w:before="33" w:after="0"/>
              <w:jc w:val="center"/>
              <w:rPr>
                <w:rFonts w:ascii="Garamond" w:hAnsi="Garamond" w:cs="Arial"/>
                <w:sz w:val="20"/>
                <w:szCs w:val="20"/>
              </w:rPr>
            </w:pPr>
            <w:r w:rsidRPr="00445472">
              <w:rPr>
                <w:rFonts w:ascii="Garamond" w:hAnsi="Garamond" w:cs="Arial"/>
                <w:sz w:val="20"/>
                <w:szCs w:val="20"/>
              </w:rPr>
              <w:t>Nuk ekziston</w:t>
            </w:r>
          </w:p>
        </w:tc>
        <w:tc>
          <w:tcPr>
            <w:tcW w:w="2390" w:type="dxa"/>
            <w:shd w:val="clear" w:color="auto" w:fill="auto"/>
            <w:vAlign w:val="center"/>
          </w:tcPr>
          <w:p w14:paraId="572EDE46"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w:t>
            </w:r>
          </w:p>
        </w:tc>
      </w:tr>
      <w:tr w:rsidR="007D1BFD" w:rsidRPr="00445472" w14:paraId="72BCF14F" w14:textId="77777777" w:rsidTr="00B15A6B">
        <w:tc>
          <w:tcPr>
            <w:tcW w:w="2140" w:type="dxa"/>
            <w:shd w:val="clear" w:color="auto" w:fill="auto"/>
            <w:vAlign w:val="center"/>
          </w:tcPr>
          <w:p w14:paraId="1887593E"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Kukës</w:t>
            </w:r>
          </w:p>
        </w:tc>
        <w:tc>
          <w:tcPr>
            <w:tcW w:w="2390" w:type="dxa"/>
            <w:shd w:val="clear" w:color="auto" w:fill="auto"/>
            <w:vAlign w:val="center"/>
          </w:tcPr>
          <w:p w14:paraId="1B775B65" w14:textId="7AD7F72E" w:rsidR="007D1BFD" w:rsidRPr="00445472" w:rsidRDefault="003B46EA"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Vetëm</w:t>
            </w:r>
            <w:r w:rsidR="007D1BFD" w:rsidRPr="00445472">
              <w:rPr>
                <w:rFonts w:ascii="Garamond" w:hAnsi="Garamond" w:cs="Arial"/>
                <w:sz w:val="20"/>
                <w:szCs w:val="20"/>
                <w:lang w:val="sq-AL"/>
              </w:rPr>
              <w:t xml:space="preserve"> </w:t>
            </w:r>
            <w:r w:rsidRPr="00445472">
              <w:rPr>
                <w:rFonts w:ascii="Garamond" w:hAnsi="Garamond" w:cs="Arial"/>
                <w:sz w:val="20"/>
                <w:szCs w:val="20"/>
                <w:lang w:val="sq-AL"/>
              </w:rPr>
              <w:t>bashkia</w:t>
            </w:r>
          </w:p>
        </w:tc>
        <w:tc>
          <w:tcPr>
            <w:tcW w:w="2390" w:type="dxa"/>
            <w:shd w:val="clear" w:color="auto" w:fill="auto"/>
            <w:vAlign w:val="center"/>
          </w:tcPr>
          <w:p w14:paraId="4CF9EA30" w14:textId="77777777" w:rsidR="007D1BFD" w:rsidRPr="00445472" w:rsidRDefault="007D1BFD" w:rsidP="00B15A6B">
            <w:pPr>
              <w:pStyle w:val="TableTextCentre"/>
              <w:spacing w:before="33" w:after="0"/>
              <w:ind w:right="63"/>
              <w:rPr>
                <w:rFonts w:ascii="Garamond" w:hAnsi="Garamond" w:cs="Arial"/>
                <w:sz w:val="20"/>
                <w:szCs w:val="20"/>
                <w:lang w:val="sq-AL"/>
              </w:rPr>
            </w:pPr>
          </w:p>
        </w:tc>
        <w:tc>
          <w:tcPr>
            <w:tcW w:w="2390" w:type="dxa"/>
            <w:shd w:val="clear" w:color="auto" w:fill="auto"/>
            <w:vAlign w:val="center"/>
          </w:tcPr>
          <w:p w14:paraId="2A9A0BA1" w14:textId="77777777" w:rsidR="007D1BFD" w:rsidRPr="00445472" w:rsidRDefault="007D1BFD" w:rsidP="00B15A6B">
            <w:pPr>
              <w:pStyle w:val="TableTextCentre"/>
              <w:spacing w:before="33" w:after="0"/>
              <w:ind w:right="63"/>
              <w:rPr>
                <w:rFonts w:ascii="Garamond" w:hAnsi="Garamond" w:cs="Arial"/>
                <w:sz w:val="20"/>
                <w:szCs w:val="20"/>
                <w:lang w:val="sq-AL"/>
              </w:rPr>
            </w:pPr>
          </w:p>
        </w:tc>
      </w:tr>
      <w:tr w:rsidR="007D1BFD" w:rsidRPr="00445472" w14:paraId="690EE7FC" w14:textId="77777777" w:rsidTr="00B15A6B">
        <w:tc>
          <w:tcPr>
            <w:tcW w:w="2140" w:type="dxa"/>
            <w:shd w:val="clear" w:color="auto" w:fill="auto"/>
            <w:vAlign w:val="center"/>
          </w:tcPr>
          <w:p w14:paraId="55824B06"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Tropojë</w:t>
            </w:r>
          </w:p>
        </w:tc>
        <w:tc>
          <w:tcPr>
            <w:tcW w:w="2390" w:type="dxa"/>
            <w:shd w:val="clear" w:color="auto" w:fill="auto"/>
            <w:vAlign w:val="center"/>
          </w:tcPr>
          <w:p w14:paraId="0285119B"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95%</w:t>
            </w:r>
          </w:p>
        </w:tc>
        <w:tc>
          <w:tcPr>
            <w:tcW w:w="2390" w:type="dxa"/>
            <w:shd w:val="clear" w:color="auto" w:fill="auto"/>
            <w:vAlign w:val="center"/>
          </w:tcPr>
          <w:p w14:paraId="4601146A" w14:textId="77777777" w:rsidR="007D1BFD" w:rsidRPr="00445472" w:rsidRDefault="007D1BFD" w:rsidP="00B15A6B">
            <w:pPr>
              <w:pStyle w:val="TableTextCentre"/>
              <w:spacing w:before="33" w:after="0"/>
              <w:ind w:right="63"/>
              <w:rPr>
                <w:rFonts w:ascii="Garamond" w:hAnsi="Garamond" w:cs="Arial"/>
                <w:sz w:val="20"/>
                <w:szCs w:val="20"/>
                <w:lang w:val="sq-AL"/>
              </w:rPr>
            </w:pPr>
          </w:p>
        </w:tc>
        <w:tc>
          <w:tcPr>
            <w:tcW w:w="2390" w:type="dxa"/>
            <w:shd w:val="clear" w:color="auto" w:fill="auto"/>
            <w:vAlign w:val="center"/>
          </w:tcPr>
          <w:p w14:paraId="32790DB0" w14:textId="77777777" w:rsidR="007D1BFD" w:rsidRPr="00445472" w:rsidRDefault="007D1BFD" w:rsidP="00B15A6B">
            <w:pPr>
              <w:pStyle w:val="TableTextCentre"/>
              <w:spacing w:before="33" w:after="0"/>
              <w:ind w:right="63"/>
              <w:rPr>
                <w:rFonts w:ascii="Garamond" w:hAnsi="Garamond" w:cs="Arial"/>
                <w:sz w:val="20"/>
                <w:szCs w:val="20"/>
                <w:lang w:val="sq-AL"/>
              </w:rPr>
            </w:pPr>
          </w:p>
        </w:tc>
      </w:tr>
      <w:tr w:rsidR="007D1BFD" w:rsidRPr="00445472" w14:paraId="597FA299" w14:textId="77777777" w:rsidTr="00B15A6B">
        <w:tc>
          <w:tcPr>
            <w:tcW w:w="2140" w:type="dxa"/>
            <w:shd w:val="clear" w:color="auto" w:fill="auto"/>
            <w:vAlign w:val="center"/>
          </w:tcPr>
          <w:p w14:paraId="7BE6A096" w14:textId="1A1502DF" w:rsidR="007D1BFD" w:rsidRPr="00445472" w:rsidRDefault="007D1BFD" w:rsidP="003B46EA">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Fush</w:t>
            </w:r>
            <w:r w:rsidR="003B46EA" w:rsidRPr="00445472">
              <w:rPr>
                <w:rFonts w:ascii="Garamond" w:hAnsi="Garamond" w:cs="Arial"/>
                <w:sz w:val="20"/>
                <w:szCs w:val="20"/>
                <w:lang w:val="sq-AL"/>
              </w:rPr>
              <w:t>ë-</w:t>
            </w:r>
            <w:r w:rsidRPr="00445472">
              <w:rPr>
                <w:rFonts w:ascii="Garamond" w:hAnsi="Garamond" w:cs="Arial"/>
                <w:sz w:val="20"/>
                <w:szCs w:val="20"/>
                <w:lang w:val="sq-AL"/>
              </w:rPr>
              <w:t>Arrëz</w:t>
            </w:r>
          </w:p>
        </w:tc>
        <w:tc>
          <w:tcPr>
            <w:tcW w:w="2390" w:type="dxa"/>
            <w:shd w:val="clear" w:color="auto" w:fill="auto"/>
            <w:vAlign w:val="center"/>
          </w:tcPr>
          <w:p w14:paraId="59AB85DD"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45%</w:t>
            </w:r>
          </w:p>
        </w:tc>
        <w:tc>
          <w:tcPr>
            <w:tcW w:w="2390" w:type="dxa"/>
            <w:shd w:val="clear" w:color="auto" w:fill="auto"/>
            <w:vAlign w:val="center"/>
          </w:tcPr>
          <w:p w14:paraId="243B545E"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Nuk ekziston</w:t>
            </w:r>
          </w:p>
        </w:tc>
        <w:tc>
          <w:tcPr>
            <w:tcW w:w="2390" w:type="dxa"/>
            <w:shd w:val="clear" w:color="auto" w:fill="auto"/>
            <w:vAlign w:val="center"/>
          </w:tcPr>
          <w:p w14:paraId="13204EE7"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w:t>
            </w:r>
          </w:p>
        </w:tc>
      </w:tr>
      <w:tr w:rsidR="007D1BFD" w:rsidRPr="00445472" w14:paraId="498D5F7F" w14:textId="77777777" w:rsidTr="00B15A6B">
        <w:tc>
          <w:tcPr>
            <w:tcW w:w="2140" w:type="dxa"/>
            <w:shd w:val="clear" w:color="auto" w:fill="auto"/>
            <w:vAlign w:val="center"/>
          </w:tcPr>
          <w:p w14:paraId="108DA7A5"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Has</w:t>
            </w:r>
          </w:p>
        </w:tc>
        <w:tc>
          <w:tcPr>
            <w:tcW w:w="2390" w:type="dxa"/>
            <w:shd w:val="clear" w:color="auto" w:fill="auto"/>
            <w:vAlign w:val="center"/>
          </w:tcPr>
          <w:p w14:paraId="2565132D"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80%</w:t>
            </w:r>
          </w:p>
        </w:tc>
        <w:tc>
          <w:tcPr>
            <w:tcW w:w="2390" w:type="dxa"/>
            <w:shd w:val="clear" w:color="auto" w:fill="auto"/>
            <w:vAlign w:val="center"/>
          </w:tcPr>
          <w:p w14:paraId="319D5B99" w14:textId="77777777" w:rsidR="007D1BFD" w:rsidRPr="00445472" w:rsidRDefault="007D1BFD" w:rsidP="00B15A6B">
            <w:pPr>
              <w:pStyle w:val="TableTextCentre"/>
              <w:spacing w:before="33" w:after="0"/>
              <w:ind w:right="63"/>
              <w:rPr>
                <w:rFonts w:ascii="Garamond" w:hAnsi="Garamond" w:cs="Arial"/>
                <w:sz w:val="20"/>
                <w:szCs w:val="20"/>
                <w:lang w:val="sq-AL"/>
              </w:rPr>
            </w:pPr>
          </w:p>
        </w:tc>
        <w:tc>
          <w:tcPr>
            <w:tcW w:w="2390" w:type="dxa"/>
            <w:shd w:val="clear" w:color="auto" w:fill="auto"/>
            <w:vAlign w:val="center"/>
          </w:tcPr>
          <w:p w14:paraId="7CCFC389" w14:textId="77777777" w:rsidR="007D1BFD" w:rsidRPr="00445472" w:rsidRDefault="007D1BFD" w:rsidP="00B15A6B">
            <w:pPr>
              <w:pStyle w:val="TableTextCentre"/>
              <w:spacing w:before="33" w:after="0"/>
              <w:ind w:right="63"/>
              <w:rPr>
                <w:rFonts w:ascii="Garamond" w:hAnsi="Garamond" w:cs="Arial"/>
                <w:sz w:val="20"/>
                <w:szCs w:val="20"/>
                <w:lang w:val="sq-AL"/>
              </w:rPr>
            </w:pPr>
          </w:p>
        </w:tc>
      </w:tr>
      <w:tr w:rsidR="007D1BFD" w:rsidRPr="00445472" w14:paraId="1547409C" w14:textId="77777777" w:rsidTr="00B15A6B">
        <w:tc>
          <w:tcPr>
            <w:tcW w:w="2140" w:type="dxa"/>
            <w:shd w:val="clear" w:color="auto" w:fill="auto"/>
            <w:vAlign w:val="center"/>
          </w:tcPr>
          <w:p w14:paraId="4F95675F"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Pukë</w:t>
            </w:r>
          </w:p>
        </w:tc>
        <w:tc>
          <w:tcPr>
            <w:tcW w:w="2390" w:type="dxa"/>
            <w:shd w:val="clear" w:color="auto" w:fill="auto"/>
            <w:vAlign w:val="center"/>
          </w:tcPr>
          <w:p w14:paraId="31AB985B"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60% (6% fshat)</w:t>
            </w:r>
          </w:p>
        </w:tc>
        <w:tc>
          <w:tcPr>
            <w:tcW w:w="2390" w:type="dxa"/>
            <w:shd w:val="clear" w:color="auto" w:fill="auto"/>
            <w:vAlign w:val="center"/>
          </w:tcPr>
          <w:p w14:paraId="1F00A3AB" w14:textId="77777777" w:rsidR="007D1BFD" w:rsidRPr="00445472" w:rsidRDefault="007D1BFD" w:rsidP="00B15A6B">
            <w:pPr>
              <w:pStyle w:val="TableTextCentre"/>
              <w:spacing w:before="33" w:after="0"/>
              <w:ind w:right="63"/>
              <w:rPr>
                <w:rFonts w:ascii="Garamond" w:hAnsi="Garamond" w:cs="Arial"/>
                <w:sz w:val="20"/>
                <w:szCs w:val="20"/>
                <w:lang w:val="sq-AL"/>
              </w:rPr>
            </w:pPr>
          </w:p>
        </w:tc>
        <w:tc>
          <w:tcPr>
            <w:tcW w:w="2390" w:type="dxa"/>
            <w:shd w:val="clear" w:color="auto" w:fill="auto"/>
            <w:vAlign w:val="center"/>
          </w:tcPr>
          <w:p w14:paraId="76938AF8" w14:textId="77777777" w:rsidR="007D1BFD" w:rsidRPr="00445472" w:rsidRDefault="007D1BFD" w:rsidP="00B15A6B">
            <w:pPr>
              <w:pStyle w:val="TableTextCentre"/>
              <w:spacing w:before="33" w:after="0"/>
              <w:ind w:right="63"/>
              <w:rPr>
                <w:rFonts w:ascii="Garamond" w:hAnsi="Garamond" w:cs="Arial"/>
                <w:sz w:val="20"/>
                <w:szCs w:val="20"/>
                <w:lang w:val="sq-AL"/>
              </w:rPr>
            </w:pPr>
          </w:p>
        </w:tc>
      </w:tr>
      <w:tr w:rsidR="007D1BFD" w:rsidRPr="00445472" w14:paraId="7C5D7953" w14:textId="77777777" w:rsidTr="00B15A6B">
        <w:tc>
          <w:tcPr>
            <w:tcW w:w="2140" w:type="dxa"/>
            <w:shd w:val="clear" w:color="auto" w:fill="auto"/>
            <w:vAlign w:val="center"/>
          </w:tcPr>
          <w:p w14:paraId="69866587"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Malësi e Madhe</w:t>
            </w:r>
          </w:p>
        </w:tc>
        <w:tc>
          <w:tcPr>
            <w:tcW w:w="2390" w:type="dxa"/>
            <w:shd w:val="clear" w:color="auto" w:fill="auto"/>
            <w:vAlign w:val="center"/>
          </w:tcPr>
          <w:p w14:paraId="63F1E979"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66%</w:t>
            </w:r>
          </w:p>
        </w:tc>
        <w:tc>
          <w:tcPr>
            <w:tcW w:w="2390" w:type="dxa"/>
            <w:shd w:val="clear" w:color="auto" w:fill="auto"/>
            <w:vAlign w:val="center"/>
          </w:tcPr>
          <w:p w14:paraId="5296A358"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Nuk ekziston</w:t>
            </w:r>
          </w:p>
        </w:tc>
        <w:tc>
          <w:tcPr>
            <w:tcW w:w="2390" w:type="dxa"/>
            <w:shd w:val="clear" w:color="auto" w:fill="auto"/>
            <w:vAlign w:val="center"/>
          </w:tcPr>
          <w:p w14:paraId="78053F62" w14:textId="77777777" w:rsidR="007D1BFD" w:rsidRPr="00445472" w:rsidRDefault="007D1BFD" w:rsidP="00B15A6B">
            <w:pPr>
              <w:pStyle w:val="TableTextCentre"/>
              <w:spacing w:before="33" w:after="0"/>
              <w:ind w:right="63"/>
              <w:rPr>
                <w:rFonts w:ascii="Garamond" w:hAnsi="Garamond" w:cs="Arial"/>
                <w:sz w:val="20"/>
                <w:szCs w:val="20"/>
                <w:lang w:val="sq-AL"/>
              </w:rPr>
            </w:pPr>
            <w:r w:rsidRPr="00445472">
              <w:rPr>
                <w:rFonts w:ascii="Garamond" w:hAnsi="Garamond" w:cs="Arial"/>
                <w:sz w:val="20"/>
                <w:szCs w:val="20"/>
                <w:lang w:val="sq-AL"/>
              </w:rPr>
              <w:t>-</w:t>
            </w:r>
          </w:p>
        </w:tc>
      </w:tr>
      <w:tr w:rsidR="007D1BFD" w:rsidRPr="00445472" w14:paraId="2FEC7119" w14:textId="77777777" w:rsidTr="00B15A6B">
        <w:tc>
          <w:tcPr>
            <w:tcW w:w="2140" w:type="dxa"/>
            <w:shd w:val="clear" w:color="auto" w:fill="auto"/>
            <w:vAlign w:val="center"/>
          </w:tcPr>
          <w:p w14:paraId="2904668E"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Shkodër</w:t>
            </w:r>
          </w:p>
        </w:tc>
        <w:tc>
          <w:tcPr>
            <w:tcW w:w="2390" w:type="dxa"/>
            <w:shd w:val="clear" w:color="auto" w:fill="auto"/>
            <w:vAlign w:val="center"/>
          </w:tcPr>
          <w:p w14:paraId="28DF23BD"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100%</w:t>
            </w:r>
          </w:p>
        </w:tc>
        <w:tc>
          <w:tcPr>
            <w:tcW w:w="2390" w:type="dxa"/>
            <w:shd w:val="clear" w:color="auto" w:fill="auto"/>
            <w:vAlign w:val="center"/>
          </w:tcPr>
          <w:p w14:paraId="136ACE73"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Propozuar</w:t>
            </w:r>
          </w:p>
        </w:tc>
        <w:tc>
          <w:tcPr>
            <w:tcW w:w="2390" w:type="dxa"/>
            <w:shd w:val="clear" w:color="auto" w:fill="auto"/>
            <w:vAlign w:val="center"/>
          </w:tcPr>
          <w:p w14:paraId="037EBB84"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w:t>
            </w:r>
          </w:p>
        </w:tc>
      </w:tr>
      <w:tr w:rsidR="007D1BFD" w:rsidRPr="00445472" w14:paraId="49B48783" w14:textId="77777777" w:rsidTr="00B15A6B">
        <w:tc>
          <w:tcPr>
            <w:tcW w:w="2140" w:type="dxa"/>
            <w:shd w:val="clear" w:color="auto" w:fill="auto"/>
            <w:vAlign w:val="center"/>
          </w:tcPr>
          <w:p w14:paraId="1CBBA420"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Lezhë</w:t>
            </w:r>
          </w:p>
        </w:tc>
        <w:tc>
          <w:tcPr>
            <w:tcW w:w="2390" w:type="dxa"/>
            <w:shd w:val="clear" w:color="auto" w:fill="auto"/>
            <w:vAlign w:val="center"/>
          </w:tcPr>
          <w:p w14:paraId="65942382"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49%</w:t>
            </w:r>
          </w:p>
        </w:tc>
        <w:tc>
          <w:tcPr>
            <w:tcW w:w="2390" w:type="dxa"/>
            <w:shd w:val="clear" w:color="auto" w:fill="auto"/>
            <w:vAlign w:val="center"/>
          </w:tcPr>
          <w:p w14:paraId="7F2321CB"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Ekzistues</w:t>
            </w:r>
          </w:p>
        </w:tc>
        <w:tc>
          <w:tcPr>
            <w:tcW w:w="2390" w:type="dxa"/>
            <w:shd w:val="clear" w:color="auto" w:fill="auto"/>
            <w:vAlign w:val="center"/>
          </w:tcPr>
          <w:p w14:paraId="01D45459"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w:t>
            </w:r>
          </w:p>
        </w:tc>
      </w:tr>
      <w:tr w:rsidR="007D1BFD" w:rsidRPr="00445472" w14:paraId="564F7BC0" w14:textId="77777777" w:rsidTr="00B15A6B">
        <w:tc>
          <w:tcPr>
            <w:tcW w:w="2140" w:type="dxa"/>
            <w:shd w:val="clear" w:color="auto" w:fill="auto"/>
            <w:vAlign w:val="center"/>
          </w:tcPr>
          <w:p w14:paraId="2DBF9ABD"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Vau i Dejës</w:t>
            </w:r>
          </w:p>
        </w:tc>
        <w:tc>
          <w:tcPr>
            <w:tcW w:w="2390" w:type="dxa"/>
            <w:shd w:val="clear" w:color="auto" w:fill="auto"/>
            <w:vAlign w:val="center"/>
          </w:tcPr>
          <w:p w14:paraId="2AA00F97" w14:textId="77777777" w:rsidR="007D1BFD" w:rsidRPr="00445472" w:rsidRDefault="007D1BFD" w:rsidP="00B15A6B">
            <w:pPr>
              <w:pStyle w:val="TableTextCentre"/>
              <w:spacing w:before="22" w:after="22"/>
              <w:ind w:right="63"/>
              <w:rPr>
                <w:rFonts w:ascii="Garamond" w:hAnsi="Garamond" w:cs="Arial"/>
                <w:sz w:val="20"/>
                <w:szCs w:val="20"/>
                <w:lang w:val="sq-AL"/>
              </w:rPr>
            </w:pPr>
            <w:r w:rsidRPr="00445472">
              <w:rPr>
                <w:rFonts w:ascii="Garamond" w:hAnsi="Garamond" w:cs="Arial"/>
                <w:sz w:val="20"/>
                <w:szCs w:val="20"/>
                <w:lang w:val="sq-AL"/>
              </w:rPr>
              <w:t>44%</w:t>
            </w:r>
          </w:p>
        </w:tc>
        <w:tc>
          <w:tcPr>
            <w:tcW w:w="2390" w:type="dxa"/>
            <w:shd w:val="clear" w:color="auto" w:fill="auto"/>
            <w:vAlign w:val="center"/>
          </w:tcPr>
          <w:p w14:paraId="5982DFE8" w14:textId="77777777" w:rsidR="007D1BFD" w:rsidRPr="00445472" w:rsidRDefault="007D1BFD" w:rsidP="00B15A6B">
            <w:pPr>
              <w:pStyle w:val="TableTextCentre"/>
              <w:spacing w:before="22" w:after="22"/>
              <w:ind w:right="63"/>
              <w:rPr>
                <w:rFonts w:ascii="Garamond" w:hAnsi="Garamond" w:cs="Arial"/>
                <w:sz w:val="20"/>
                <w:szCs w:val="20"/>
                <w:lang w:val="sq-AL"/>
              </w:rPr>
            </w:pPr>
          </w:p>
        </w:tc>
        <w:tc>
          <w:tcPr>
            <w:tcW w:w="2390" w:type="dxa"/>
            <w:shd w:val="clear" w:color="auto" w:fill="auto"/>
            <w:vAlign w:val="center"/>
          </w:tcPr>
          <w:p w14:paraId="0CD4AF23" w14:textId="77777777" w:rsidR="007D1BFD" w:rsidRPr="00445472" w:rsidRDefault="007D1BFD" w:rsidP="00B15A6B">
            <w:pPr>
              <w:pStyle w:val="TableTextCentre"/>
              <w:spacing w:before="22" w:after="22"/>
              <w:ind w:right="63"/>
              <w:rPr>
                <w:rFonts w:ascii="Garamond" w:hAnsi="Garamond" w:cs="Arial"/>
                <w:sz w:val="20"/>
                <w:szCs w:val="20"/>
                <w:lang w:val="sq-AL"/>
              </w:rPr>
            </w:pPr>
          </w:p>
        </w:tc>
      </w:tr>
    </w:tbl>
    <w:p w14:paraId="424B4AC5" w14:textId="77777777" w:rsidR="007D1BFD" w:rsidRPr="00445472" w:rsidRDefault="007D1BFD" w:rsidP="007D1BFD">
      <w:pPr>
        <w:pStyle w:val="TEKSTIIII"/>
      </w:pPr>
    </w:p>
    <w:p w14:paraId="5D802F1F" w14:textId="6CA3B2E1" w:rsidR="007D1BFD" w:rsidRPr="00445472" w:rsidRDefault="007D1BFD" w:rsidP="007D1BFD">
      <w:pPr>
        <w:pStyle w:val="TEKSTIIII"/>
      </w:pPr>
      <w:r w:rsidRPr="00445472">
        <w:t>Për</w:t>
      </w:r>
      <w:r w:rsidR="003B46EA" w:rsidRPr="00445472">
        <w:t xml:space="preserve"> </w:t>
      </w:r>
      <w:r w:rsidRPr="00445472">
        <w:t xml:space="preserve">sa </w:t>
      </w:r>
      <w:r w:rsidR="003B46EA" w:rsidRPr="00445472">
        <w:t>u</w:t>
      </w:r>
      <w:r w:rsidRPr="00445472">
        <w:t xml:space="preserve"> përket impianteve të trajtimit të ujit (ITU) në Basenin Ujor </w:t>
      </w:r>
      <w:r w:rsidR="007E76E3" w:rsidRPr="00445472">
        <w:t>Drin–Bunë</w:t>
      </w:r>
      <w:r w:rsidRPr="00445472">
        <w:t>, me mbështetjen e donatorëve, janë ndërtuar katër impiante të trajtimit të ujërave të ndotura në Lezhë (Shëngjin), Pogradec, Velipojë dhe Shirokë pranë Liqenit të Shkodrës, me një kapacitet për të mbuluar popullsinë urbane ekzistuese të qytetit. Aktualisht, asnjë nga impiantet nuk është në kapacitet të plotë operimi. Sidoqoftë, është e rëndësishme të theksohet se kostoja e tyre operacionale tejkalon kapacitetin aktual financiar të ndërmarrjeve të ujësjellës</w:t>
      </w:r>
      <w:r w:rsidR="00E14B89">
        <w:t>-</w:t>
      </w:r>
      <w:r w:rsidRPr="00445472">
        <w:t>kanalizimeve, të cilat ishin duke u përballur me një situatë sfiduese financiare, që para ndërtimit të ITU-ve. Këto ITU janë të pajisura me njësi trajtimi paraprake, primare dhe sekondare. Në qytetin e Shkodrës ekziston aktualisht një studim i fizibilitetit që po ndërmerret në lidhje me ndërtimin e një impianti për trajtimin e ujit të pijshëm dhe impiantit të trajtimit të ujërave të ndotura për qytetin e Shkodrës, me një kosto kapitale të vlerësuar prej 25 mln euro</w:t>
      </w:r>
      <w:r w:rsidRPr="00445472">
        <w:rPr>
          <w:rStyle w:val="FootnoteReference"/>
          <w:rFonts w:ascii="Garamond" w:hAnsi="Garamond"/>
          <w:color w:val="auto"/>
        </w:rPr>
        <w:footnoteReference w:id="147"/>
      </w:r>
      <w:r w:rsidRPr="00445472">
        <w:t xml:space="preserve">. </w:t>
      </w:r>
    </w:p>
    <w:p w14:paraId="199CA403" w14:textId="6D335F59" w:rsidR="007D1BFD" w:rsidRPr="00445472" w:rsidRDefault="007D1BFD" w:rsidP="007D1BFD">
      <w:pPr>
        <w:pStyle w:val="TEKSTIIII"/>
      </w:pPr>
      <w:r w:rsidRPr="00445472">
        <w:rPr>
          <w:spacing w:val="-1"/>
        </w:rPr>
        <w:t>Pajtueshmëria me Direktivën e Trajtimit të Ujërave të Ndotura Urbane (TUNU) do të jetë komponenti më i kushtueshëm i PM-it, i cili përfshin masa për të trajtuar ndotjen organike dhe të lëndëve ushqyese</w:t>
      </w:r>
      <w:r w:rsidR="008F0A9F" w:rsidRPr="00445472">
        <w:rPr>
          <w:spacing w:val="-1"/>
        </w:rPr>
        <w:t>, si dhe</w:t>
      </w:r>
      <w:r w:rsidRPr="00445472">
        <w:rPr>
          <w:spacing w:val="-1"/>
        </w:rPr>
        <w:t xml:space="preserve"> substancat e rrezikshme</w:t>
      </w:r>
      <w:r w:rsidRPr="00445472">
        <w:t>.</w:t>
      </w:r>
    </w:p>
    <w:p w14:paraId="294CC236" w14:textId="77777777" w:rsidR="007D1BFD" w:rsidRPr="00445472" w:rsidRDefault="007D1BFD" w:rsidP="007D1BFD">
      <w:pPr>
        <w:pStyle w:val="TEKSTIIII"/>
      </w:pPr>
      <w:r w:rsidRPr="00445472">
        <w:rPr>
          <w:spacing w:val="-1"/>
        </w:rPr>
        <w:t>Zbatimi i direktivës TUNU do të kërkojë ndërtimin e objekteve të grumbullimit dhe trajtimit të ujërave të ndotura në Basenin Ujor për të gjitha aglomerimet mbi 2,000 PE</w:t>
      </w:r>
      <w:r w:rsidRPr="00445472">
        <w:t>.</w:t>
      </w:r>
    </w:p>
    <w:p w14:paraId="00C35129" w14:textId="2F00BF7E" w:rsidR="007D1BFD" w:rsidRPr="00445472" w:rsidRDefault="007D1BFD" w:rsidP="007D1BFD">
      <w:pPr>
        <w:pStyle w:val="TEKSTIIII"/>
      </w:pPr>
      <w:r w:rsidRPr="00445472">
        <w:t>Qeveria ka vënë parimet e legjislacionit evropian të ujit si rikuperimi i kostos, menaxhimi i duhur i ujërave të ndotura dhe përdorimi efikas i burimeve natyrore, në thelb të Strategjisë, e cila synon zhvillimin e politikave të duhura dhe angazhimin e burimeve të mjaftueshme për të përmirësuar furnizimin me shërbime uji dhe kanalizimesh në Shqipëri, dhe lëvizjen vazhdimisht drejt pajtueshmërisë me standardet e BE-së. Një Master</w:t>
      </w:r>
      <w:r w:rsidR="003B46EA" w:rsidRPr="00445472">
        <w:t>p</w:t>
      </w:r>
      <w:r w:rsidRPr="00445472">
        <w:t>lan kombëtar u përgatit me mbështetjen e KfW gjermane, i cili parashtroi dhe i dha përparësi nevojave për investime kapitale deri në vitin 2040 për sektorin që lidhet ngushtë me nivelin e tarifave, faturimin e ujit dhe ekzekutimin e faturave.</w:t>
      </w:r>
    </w:p>
    <w:p w14:paraId="600D4691" w14:textId="77777777" w:rsidR="007D1BFD" w:rsidRPr="00445472" w:rsidRDefault="007D1BFD" w:rsidP="007D1BFD">
      <w:pPr>
        <w:pStyle w:val="TEKSTIIII"/>
      </w:pPr>
      <w:bookmarkStart w:id="164" w:name="_Toc468959017"/>
      <w:r w:rsidRPr="00445472">
        <w:t>Tabela 8.2 më poshtë tregon nivelin e tarifave të ujit, të cilat janë shumë poshtë një niveli efikas dhe të qëndrueshëm. Për të korrigjuar këtë situatë, veprimet e ardhshme përfshijnë një program ambicioz të përmirësimeve të efikasitetit që përbëhen nga efikasiteti i zgjeruar në lidhje me përdorimin e energjisë, stafin dhe efikasitete të tjera operative, efikasitetin e grumbullimit dhe uljen e ujit të pafaturuar. Megjithatë, rekomandohet fuqishëm që tarifat të rriten në atë që është e përballueshme për familjen mesatare. Megjithëse, për të pranuar një rritje të çmimit të një shërbimi, konsumatorët dëshirojnë të përjetojnë një shërbim të përmirësuar, duke pranuar gjithashtu që shërbimi në fjalë të paguhet.</w:t>
      </w:r>
    </w:p>
    <w:p w14:paraId="78591D1D" w14:textId="77777777" w:rsidR="007D1BFD" w:rsidRPr="00445472" w:rsidRDefault="007D1BFD" w:rsidP="007D1BFD">
      <w:pPr>
        <w:pStyle w:val="TEKSTIIII"/>
      </w:pPr>
      <w:r w:rsidRPr="00445472">
        <w:t>Në një nivel të tillë të tarifave, mund të financohet rreth gjysma e investimeve të nevojshme gjatë periudhës 25-vjeçare deri në 2040</w:t>
      </w:r>
      <w:r w:rsidRPr="00445472">
        <w:rPr>
          <w:rStyle w:val="FootnoteReference"/>
          <w:rFonts w:ascii="Garamond" w:hAnsi="Garamond"/>
          <w:color w:val="auto"/>
        </w:rPr>
        <w:footnoteReference w:id="148"/>
      </w:r>
      <w:r w:rsidRPr="00445472">
        <w:t>. 50 përqindëshi i mbetur duhet të financohet me mbështetje në formën e huave dhe granteve për investime kapitale</w:t>
      </w:r>
      <w:r w:rsidRPr="00445472">
        <w:rPr>
          <w:rStyle w:val="FootnoteReference"/>
          <w:rFonts w:ascii="Garamond" w:hAnsi="Garamond"/>
          <w:color w:val="auto"/>
        </w:rPr>
        <w:footnoteReference w:id="149"/>
      </w:r>
      <w:r w:rsidRPr="00445472">
        <w:t>.</w:t>
      </w:r>
    </w:p>
    <w:p w14:paraId="0DBED12F" w14:textId="77777777" w:rsidR="007D1BFD" w:rsidRPr="00445472" w:rsidRDefault="007D1BFD" w:rsidP="007D1BFD">
      <w:pPr>
        <w:pStyle w:val="TEKSTIIII"/>
      </w:pPr>
      <w:r w:rsidRPr="00445472">
        <w:t>Aktualisht, ka shumë pak fonde komerciale në dispozicion për sektorin. Përvoja ndërkombëtare tregon se edhe me një kuadër të përshtatshëm ligjor dhe institucional, financimi komercial i sektorit UK në Shqipëri (qoftë në formë të huave, koncesioneve apo PPP-ve të tjera) do të jetë i mundur vetëm nëse futen rritje të konsiderueshme të tarifave për të gjeneruar para për të mbështetur pagesat e borxheve.</w:t>
      </w:r>
    </w:p>
    <w:p w14:paraId="6C6B9E0F" w14:textId="77777777" w:rsidR="007D1BFD" w:rsidRPr="00445472" w:rsidRDefault="007D1BFD" w:rsidP="007D1BFD">
      <w:pPr>
        <w:pStyle w:val="TEKSTIIII"/>
      </w:pPr>
    </w:p>
    <w:p w14:paraId="29B5E36A" w14:textId="1E6B5CB7" w:rsidR="007D1BFD" w:rsidRPr="00445472" w:rsidRDefault="007D1BFD" w:rsidP="007D1BFD">
      <w:pPr>
        <w:pStyle w:val="NENTITULL"/>
      </w:pPr>
      <w:r w:rsidRPr="00445472">
        <w:t>Tabela 8.2: Tarifat e çmimit të ujit për çdo ujësjellës</w:t>
      </w:r>
      <w:r w:rsidR="003B46EA" w:rsidRPr="00445472">
        <w:t>-</w:t>
      </w:r>
      <w:r w:rsidRPr="00445472">
        <w:t xml:space="preserve">kanalizime në Basenin Ujor </w:t>
      </w:r>
      <w:r w:rsidR="007E76E3" w:rsidRPr="00445472">
        <w:t>Drin–Bunë</w:t>
      </w:r>
      <w:r w:rsidRPr="00445472">
        <w:rPr>
          <w:rStyle w:val="FootnoteReference"/>
          <w:rFonts w:ascii="Garamond" w:hAnsi="Garamond"/>
          <w:b w:val="0"/>
          <w:color w:val="auto"/>
        </w:rPr>
        <w:footnoteReference w:id="150"/>
      </w:r>
    </w:p>
    <w:tbl>
      <w:tblPr>
        <w:tblpPr w:leftFromText="180" w:rightFromText="180" w:vertAnchor="text" w:horzAnchor="page" w:tblpXSpec="center" w:tblpY="312"/>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073"/>
        <w:gridCol w:w="861"/>
        <w:gridCol w:w="1033"/>
        <w:gridCol w:w="777"/>
        <w:gridCol w:w="11"/>
        <w:gridCol w:w="928"/>
        <w:gridCol w:w="1034"/>
        <w:gridCol w:w="820"/>
        <w:gridCol w:w="11"/>
        <w:gridCol w:w="928"/>
        <w:gridCol w:w="1034"/>
        <w:gridCol w:w="777"/>
      </w:tblGrid>
      <w:tr w:rsidR="007D1BFD" w:rsidRPr="00445472" w14:paraId="249D89FF" w14:textId="77777777" w:rsidTr="007D1BFD">
        <w:trPr>
          <w:trHeight w:val="312"/>
          <w:tblHeader/>
        </w:trPr>
        <w:tc>
          <w:tcPr>
            <w:tcW w:w="527" w:type="pct"/>
            <w:vMerge w:val="restart"/>
            <w:shd w:val="clear" w:color="auto" w:fill="auto"/>
            <w:vAlign w:val="center"/>
          </w:tcPr>
          <w:p w14:paraId="41E218AC"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Ndërmarrja</w:t>
            </w:r>
          </w:p>
        </w:tc>
        <w:tc>
          <w:tcPr>
            <w:tcW w:w="1455" w:type="pct"/>
            <w:gridSpan w:val="4"/>
            <w:shd w:val="clear" w:color="auto" w:fill="auto"/>
            <w:vAlign w:val="center"/>
          </w:tcPr>
          <w:p w14:paraId="19D95D0C"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Uji i pijshëm lek/m</w:t>
            </w:r>
            <w:r w:rsidRPr="00445472">
              <w:rPr>
                <w:rFonts w:ascii="Garamond" w:hAnsi="Garamond" w:cs="Arial"/>
                <w:b/>
                <w:vertAlign w:val="superscript"/>
                <w:lang w:val="sq-AL"/>
              </w:rPr>
              <w:t>3</w:t>
            </w:r>
          </w:p>
        </w:tc>
        <w:tc>
          <w:tcPr>
            <w:tcW w:w="1523" w:type="pct"/>
            <w:gridSpan w:val="4"/>
            <w:shd w:val="clear" w:color="auto" w:fill="auto"/>
            <w:vAlign w:val="center"/>
          </w:tcPr>
          <w:p w14:paraId="42D351AD" w14:textId="19A11B41"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Tarifa fikse lek</w:t>
            </w:r>
            <w:r w:rsidR="001D340B" w:rsidRPr="00445472">
              <w:rPr>
                <w:rFonts w:ascii="Garamond" w:hAnsi="Garamond" w:cs="Arial"/>
                <w:b/>
                <w:lang w:val="sq-AL"/>
              </w:rPr>
              <w:t>/</w:t>
            </w:r>
            <w:r w:rsidRPr="00445472">
              <w:rPr>
                <w:rFonts w:ascii="Garamond" w:hAnsi="Garamond" w:cs="Arial"/>
                <w:b/>
                <w:lang w:val="sq-AL"/>
              </w:rPr>
              <w:t>klienti/muaji</w:t>
            </w:r>
          </w:p>
        </w:tc>
        <w:tc>
          <w:tcPr>
            <w:tcW w:w="1494" w:type="pct"/>
            <w:gridSpan w:val="3"/>
            <w:shd w:val="clear" w:color="auto" w:fill="auto"/>
            <w:vAlign w:val="center"/>
          </w:tcPr>
          <w:p w14:paraId="3FF13C27"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Për ujërat e ndotura</w:t>
            </w:r>
          </w:p>
        </w:tc>
      </w:tr>
      <w:tr w:rsidR="007D1BFD" w:rsidRPr="00445472" w14:paraId="27636838" w14:textId="77777777" w:rsidTr="007D1BFD">
        <w:trPr>
          <w:trHeight w:val="327"/>
          <w:tblHeader/>
        </w:trPr>
        <w:tc>
          <w:tcPr>
            <w:tcW w:w="527" w:type="pct"/>
            <w:vMerge/>
            <w:shd w:val="clear" w:color="auto" w:fill="auto"/>
            <w:vAlign w:val="center"/>
          </w:tcPr>
          <w:p w14:paraId="4AC3CFB5" w14:textId="77777777" w:rsidR="007D1BFD" w:rsidRPr="00445472" w:rsidRDefault="007D1BFD" w:rsidP="00B15A6B">
            <w:pPr>
              <w:pStyle w:val="TableTextCentre"/>
              <w:spacing w:before="22" w:after="22"/>
              <w:ind w:right="63"/>
              <w:rPr>
                <w:rFonts w:ascii="Garamond" w:hAnsi="Garamond" w:cs="Arial"/>
                <w:b/>
                <w:lang w:val="sq-AL"/>
              </w:rPr>
            </w:pPr>
          </w:p>
        </w:tc>
        <w:tc>
          <w:tcPr>
            <w:tcW w:w="461" w:type="pct"/>
            <w:shd w:val="clear" w:color="auto" w:fill="auto"/>
            <w:vAlign w:val="center"/>
          </w:tcPr>
          <w:p w14:paraId="550424F3" w14:textId="77777777" w:rsidR="007D1BFD" w:rsidRPr="00445472" w:rsidRDefault="007D1BFD" w:rsidP="00B15A6B">
            <w:pPr>
              <w:pStyle w:val="TableTextCentre"/>
              <w:spacing w:before="22" w:after="22"/>
              <w:ind w:right="0"/>
              <w:rPr>
                <w:rFonts w:ascii="Garamond" w:hAnsi="Garamond" w:cs="Arial"/>
                <w:b/>
                <w:lang w:val="sq-AL"/>
              </w:rPr>
            </w:pPr>
            <w:r w:rsidRPr="00445472">
              <w:rPr>
                <w:rFonts w:ascii="Garamond" w:hAnsi="Garamond" w:cs="Arial"/>
                <w:b/>
                <w:lang w:val="sq-AL"/>
              </w:rPr>
              <w:t>Familjare</w:t>
            </w:r>
          </w:p>
        </w:tc>
        <w:tc>
          <w:tcPr>
            <w:tcW w:w="563" w:type="pct"/>
            <w:shd w:val="clear" w:color="auto" w:fill="auto"/>
            <w:vAlign w:val="center"/>
          </w:tcPr>
          <w:p w14:paraId="1B0A6216"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Shtetërore</w:t>
            </w:r>
          </w:p>
        </w:tc>
        <w:tc>
          <w:tcPr>
            <w:tcW w:w="425" w:type="pct"/>
            <w:shd w:val="clear" w:color="auto" w:fill="auto"/>
            <w:vAlign w:val="center"/>
          </w:tcPr>
          <w:p w14:paraId="7861975E"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Private</w:t>
            </w:r>
          </w:p>
        </w:tc>
        <w:tc>
          <w:tcPr>
            <w:tcW w:w="512" w:type="pct"/>
            <w:gridSpan w:val="2"/>
            <w:shd w:val="clear" w:color="auto" w:fill="auto"/>
            <w:vAlign w:val="center"/>
          </w:tcPr>
          <w:p w14:paraId="52F8E5E3"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Familjare</w:t>
            </w:r>
          </w:p>
        </w:tc>
        <w:tc>
          <w:tcPr>
            <w:tcW w:w="563" w:type="pct"/>
            <w:shd w:val="clear" w:color="auto" w:fill="auto"/>
            <w:vAlign w:val="center"/>
          </w:tcPr>
          <w:p w14:paraId="31980F4E"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Shtetërore</w:t>
            </w:r>
          </w:p>
        </w:tc>
        <w:tc>
          <w:tcPr>
            <w:tcW w:w="448" w:type="pct"/>
            <w:shd w:val="clear" w:color="auto" w:fill="auto"/>
            <w:vAlign w:val="center"/>
          </w:tcPr>
          <w:p w14:paraId="318FF502"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Private</w:t>
            </w:r>
          </w:p>
        </w:tc>
        <w:tc>
          <w:tcPr>
            <w:tcW w:w="512" w:type="pct"/>
            <w:gridSpan w:val="2"/>
            <w:shd w:val="clear" w:color="auto" w:fill="auto"/>
            <w:vAlign w:val="center"/>
          </w:tcPr>
          <w:p w14:paraId="7AB7271D"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Familjare</w:t>
            </w:r>
          </w:p>
        </w:tc>
        <w:tc>
          <w:tcPr>
            <w:tcW w:w="563" w:type="pct"/>
            <w:shd w:val="clear" w:color="auto" w:fill="auto"/>
            <w:vAlign w:val="center"/>
          </w:tcPr>
          <w:p w14:paraId="5F64781F"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Shtetërore</w:t>
            </w:r>
          </w:p>
        </w:tc>
        <w:tc>
          <w:tcPr>
            <w:tcW w:w="425" w:type="pct"/>
            <w:shd w:val="clear" w:color="auto" w:fill="auto"/>
            <w:vAlign w:val="center"/>
          </w:tcPr>
          <w:p w14:paraId="2C612F61" w14:textId="77777777" w:rsidR="007D1BFD" w:rsidRPr="00445472" w:rsidRDefault="007D1BFD" w:rsidP="00B15A6B">
            <w:pPr>
              <w:pStyle w:val="TableTextCentre"/>
              <w:spacing w:before="22" w:after="22"/>
              <w:ind w:right="63"/>
              <w:rPr>
                <w:rFonts w:ascii="Garamond" w:hAnsi="Garamond" w:cs="Arial"/>
                <w:b/>
                <w:lang w:val="sq-AL"/>
              </w:rPr>
            </w:pPr>
            <w:r w:rsidRPr="00445472">
              <w:rPr>
                <w:rFonts w:ascii="Garamond" w:hAnsi="Garamond" w:cs="Arial"/>
                <w:b/>
                <w:lang w:val="sq-AL"/>
              </w:rPr>
              <w:t>Private</w:t>
            </w:r>
          </w:p>
        </w:tc>
      </w:tr>
      <w:tr w:rsidR="007D1BFD" w:rsidRPr="00445472" w14:paraId="1C16C98C" w14:textId="77777777" w:rsidTr="007D1BFD">
        <w:trPr>
          <w:trHeight w:val="384"/>
        </w:trPr>
        <w:tc>
          <w:tcPr>
            <w:tcW w:w="527" w:type="pct"/>
            <w:shd w:val="clear" w:color="auto" w:fill="auto"/>
            <w:noWrap/>
            <w:vAlign w:val="center"/>
            <w:hideMark/>
          </w:tcPr>
          <w:p w14:paraId="2BA1E6D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Bulqizë</w:t>
            </w:r>
          </w:p>
        </w:tc>
        <w:tc>
          <w:tcPr>
            <w:tcW w:w="461" w:type="pct"/>
            <w:shd w:val="clear" w:color="auto" w:fill="auto"/>
            <w:noWrap/>
            <w:vAlign w:val="center"/>
            <w:hideMark/>
          </w:tcPr>
          <w:p w14:paraId="7D2280C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17</w:t>
            </w:r>
          </w:p>
        </w:tc>
        <w:tc>
          <w:tcPr>
            <w:tcW w:w="563" w:type="pct"/>
            <w:shd w:val="clear" w:color="auto" w:fill="auto"/>
            <w:noWrap/>
            <w:vAlign w:val="center"/>
            <w:hideMark/>
          </w:tcPr>
          <w:p w14:paraId="2FB4347B"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55</w:t>
            </w:r>
          </w:p>
        </w:tc>
        <w:tc>
          <w:tcPr>
            <w:tcW w:w="425" w:type="pct"/>
            <w:shd w:val="clear" w:color="auto" w:fill="auto"/>
            <w:noWrap/>
            <w:vAlign w:val="center"/>
            <w:hideMark/>
          </w:tcPr>
          <w:p w14:paraId="2F4E1DD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75</w:t>
            </w:r>
          </w:p>
        </w:tc>
        <w:tc>
          <w:tcPr>
            <w:tcW w:w="512" w:type="pct"/>
            <w:gridSpan w:val="2"/>
            <w:shd w:val="clear" w:color="auto" w:fill="auto"/>
            <w:noWrap/>
            <w:vAlign w:val="center"/>
            <w:hideMark/>
          </w:tcPr>
          <w:p w14:paraId="62DB7BB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563" w:type="pct"/>
            <w:shd w:val="clear" w:color="auto" w:fill="auto"/>
            <w:noWrap/>
            <w:vAlign w:val="center"/>
            <w:hideMark/>
          </w:tcPr>
          <w:p w14:paraId="19255D84"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448" w:type="pct"/>
            <w:shd w:val="clear" w:color="auto" w:fill="auto"/>
            <w:noWrap/>
            <w:vAlign w:val="center"/>
            <w:hideMark/>
          </w:tcPr>
          <w:p w14:paraId="4981627A"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512" w:type="pct"/>
            <w:gridSpan w:val="2"/>
            <w:shd w:val="clear" w:color="auto" w:fill="auto"/>
            <w:noWrap/>
            <w:vAlign w:val="center"/>
            <w:hideMark/>
          </w:tcPr>
          <w:p w14:paraId="03ABADC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6C365B65"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25" w:type="pct"/>
            <w:shd w:val="clear" w:color="auto" w:fill="auto"/>
            <w:noWrap/>
            <w:vAlign w:val="center"/>
            <w:hideMark/>
          </w:tcPr>
          <w:p w14:paraId="7C5D230E"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r>
      <w:tr w:rsidR="007D1BFD" w:rsidRPr="00445472" w14:paraId="23FCEE5F" w14:textId="77777777" w:rsidTr="007D1BFD">
        <w:trPr>
          <w:trHeight w:val="384"/>
        </w:trPr>
        <w:tc>
          <w:tcPr>
            <w:tcW w:w="527" w:type="pct"/>
            <w:shd w:val="clear" w:color="auto" w:fill="auto"/>
            <w:noWrap/>
            <w:vAlign w:val="center"/>
            <w:hideMark/>
          </w:tcPr>
          <w:p w14:paraId="313EC445"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Has</w:t>
            </w:r>
          </w:p>
        </w:tc>
        <w:tc>
          <w:tcPr>
            <w:tcW w:w="461" w:type="pct"/>
            <w:shd w:val="clear" w:color="auto" w:fill="auto"/>
            <w:noWrap/>
            <w:vAlign w:val="center"/>
            <w:hideMark/>
          </w:tcPr>
          <w:p w14:paraId="4FFC5EB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25</w:t>
            </w:r>
          </w:p>
        </w:tc>
        <w:tc>
          <w:tcPr>
            <w:tcW w:w="563" w:type="pct"/>
            <w:shd w:val="clear" w:color="auto" w:fill="auto"/>
            <w:noWrap/>
            <w:vAlign w:val="center"/>
            <w:hideMark/>
          </w:tcPr>
          <w:p w14:paraId="1FC954B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60</w:t>
            </w:r>
          </w:p>
        </w:tc>
        <w:tc>
          <w:tcPr>
            <w:tcW w:w="425" w:type="pct"/>
            <w:shd w:val="clear" w:color="auto" w:fill="auto"/>
            <w:noWrap/>
            <w:vAlign w:val="center"/>
            <w:hideMark/>
          </w:tcPr>
          <w:p w14:paraId="09C2BA1C"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80</w:t>
            </w:r>
          </w:p>
        </w:tc>
        <w:tc>
          <w:tcPr>
            <w:tcW w:w="512" w:type="pct"/>
            <w:gridSpan w:val="2"/>
            <w:shd w:val="clear" w:color="auto" w:fill="auto"/>
            <w:noWrap/>
            <w:vAlign w:val="center"/>
            <w:hideMark/>
          </w:tcPr>
          <w:p w14:paraId="0E6A734E"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24D6347B"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48" w:type="pct"/>
            <w:shd w:val="clear" w:color="auto" w:fill="auto"/>
            <w:noWrap/>
            <w:vAlign w:val="center"/>
            <w:hideMark/>
          </w:tcPr>
          <w:p w14:paraId="48A80E8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12" w:type="pct"/>
            <w:gridSpan w:val="2"/>
            <w:shd w:val="clear" w:color="auto" w:fill="auto"/>
            <w:noWrap/>
            <w:vAlign w:val="center"/>
            <w:hideMark/>
          </w:tcPr>
          <w:p w14:paraId="72431614"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12B2FBD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25" w:type="pct"/>
            <w:shd w:val="clear" w:color="auto" w:fill="auto"/>
            <w:noWrap/>
            <w:vAlign w:val="center"/>
            <w:hideMark/>
          </w:tcPr>
          <w:p w14:paraId="7773792F"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r>
      <w:tr w:rsidR="007D1BFD" w:rsidRPr="00445472" w14:paraId="3AF64AB1" w14:textId="77777777" w:rsidTr="007D1BFD">
        <w:trPr>
          <w:trHeight w:val="384"/>
        </w:trPr>
        <w:tc>
          <w:tcPr>
            <w:tcW w:w="527" w:type="pct"/>
            <w:shd w:val="clear" w:color="auto" w:fill="auto"/>
            <w:noWrap/>
            <w:vAlign w:val="center"/>
            <w:hideMark/>
          </w:tcPr>
          <w:p w14:paraId="3951746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Kukës</w:t>
            </w:r>
          </w:p>
        </w:tc>
        <w:tc>
          <w:tcPr>
            <w:tcW w:w="461" w:type="pct"/>
            <w:shd w:val="clear" w:color="auto" w:fill="auto"/>
            <w:noWrap/>
            <w:vAlign w:val="center"/>
            <w:hideMark/>
          </w:tcPr>
          <w:p w14:paraId="04EA53C1"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25</w:t>
            </w:r>
          </w:p>
        </w:tc>
        <w:tc>
          <w:tcPr>
            <w:tcW w:w="563" w:type="pct"/>
            <w:shd w:val="clear" w:color="auto" w:fill="auto"/>
            <w:noWrap/>
            <w:vAlign w:val="center"/>
            <w:hideMark/>
          </w:tcPr>
          <w:p w14:paraId="2C9BD48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60</w:t>
            </w:r>
          </w:p>
        </w:tc>
        <w:tc>
          <w:tcPr>
            <w:tcW w:w="425" w:type="pct"/>
            <w:shd w:val="clear" w:color="auto" w:fill="auto"/>
            <w:noWrap/>
            <w:vAlign w:val="center"/>
            <w:hideMark/>
          </w:tcPr>
          <w:p w14:paraId="71350878"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80</w:t>
            </w:r>
          </w:p>
        </w:tc>
        <w:tc>
          <w:tcPr>
            <w:tcW w:w="512" w:type="pct"/>
            <w:gridSpan w:val="2"/>
            <w:shd w:val="clear" w:color="auto" w:fill="auto"/>
            <w:noWrap/>
            <w:vAlign w:val="center"/>
            <w:hideMark/>
          </w:tcPr>
          <w:p w14:paraId="1A92E419"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10455A58"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48" w:type="pct"/>
            <w:shd w:val="clear" w:color="auto" w:fill="auto"/>
            <w:noWrap/>
            <w:vAlign w:val="center"/>
            <w:hideMark/>
          </w:tcPr>
          <w:p w14:paraId="4FA78B7A"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12" w:type="pct"/>
            <w:gridSpan w:val="2"/>
            <w:shd w:val="clear" w:color="auto" w:fill="auto"/>
            <w:noWrap/>
            <w:vAlign w:val="center"/>
            <w:hideMark/>
          </w:tcPr>
          <w:p w14:paraId="699EB949"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7</w:t>
            </w:r>
          </w:p>
        </w:tc>
        <w:tc>
          <w:tcPr>
            <w:tcW w:w="563" w:type="pct"/>
            <w:shd w:val="clear" w:color="auto" w:fill="auto"/>
            <w:noWrap/>
            <w:vAlign w:val="center"/>
            <w:hideMark/>
          </w:tcPr>
          <w:p w14:paraId="093709E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15</w:t>
            </w:r>
          </w:p>
        </w:tc>
        <w:tc>
          <w:tcPr>
            <w:tcW w:w="425" w:type="pct"/>
            <w:shd w:val="clear" w:color="auto" w:fill="auto"/>
            <w:noWrap/>
            <w:vAlign w:val="center"/>
            <w:hideMark/>
          </w:tcPr>
          <w:p w14:paraId="1F848BDC"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20</w:t>
            </w:r>
          </w:p>
        </w:tc>
      </w:tr>
      <w:tr w:rsidR="007D1BFD" w:rsidRPr="00445472" w14:paraId="62CE1E09" w14:textId="77777777" w:rsidTr="007D1BFD">
        <w:trPr>
          <w:trHeight w:val="384"/>
        </w:trPr>
        <w:tc>
          <w:tcPr>
            <w:tcW w:w="527" w:type="pct"/>
            <w:shd w:val="clear" w:color="auto" w:fill="auto"/>
            <w:noWrap/>
            <w:vAlign w:val="center"/>
            <w:hideMark/>
          </w:tcPr>
          <w:p w14:paraId="159C44F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Lezhë</w:t>
            </w:r>
          </w:p>
        </w:tc>
        <w:tc>
          <w:tcPr>
            <w:tcW w:w="461" w:type="pct"/>
            <w:shd w:val="clear" w:color="auto" w:fill="auto"/>
            <w:noWrap/>
            <w:vAlign w:val="center"/>
            <w:hideMark/>
          </w:tcPr>
          <w:p w14:paraId="270F6BD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58</w:t>
            </w:r>
          </w:p>
        </w:tc>
        <w:tc>
          <w:tcPr>
            <w:tcW w:w="563" w:type="pct"/>
            <w:shd w:val="clear" w:color="auto" w:fill="auto"/>
            <w:noWrap/>
            <w:vAlign w:val="center"/>
            <w:hideMark/>
          </w:tcPr>
          <w:p w14:paraId="15A8C6F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135</w:t>
            </w:r>
          </w:p>
        </w:tc>
        <w:tc>
          <w:tcPr>
            <w:tcW w:w="425" w:type="pct"/>
            <w:shd w:val="clear" w:color="auto" w:fill="auto"/>
            <w:noWrap/>
            <w:vAlign w:val="center"/>
            <w:hideMark/>
          </w:tcPr>
          <w:p w14:paraId="06E68E0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145</w:t>
            </w:r>
          </w:p>
        </w:tc>
        <w:tc>
          <w:tcPr>
            <w:tcW w:w="512" w:type="pct"/>
            <w:gridSpan w:val="2"/>
            <w:shd w:val="clear" w:color="auto" w:fill="auto"/>
            <w:noWrap/>
            <w:vAlign w:val="center"/>
            <w:hideMark/>
          </w:tcPr>
          <w:p w14:paraId="55E2C21C"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200</w:t>
            </w:r>
          </w:p>
        </w:tc>
        <w:tc>
          <w:tcPr>
            <w:tcW w:w="563" w:type="pct"/>
            <w:shd w:val="clear" w:color="auto" w:fill="auto"/>
            <w:noWrap/>
            <w:vAlign w:val="center"/>
            <w:hideMark/>
          </w:tcPr>
          <w:p w14:paraId="773D8EC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200</w:t>
            </w:r>
          </w:p>
        </w:tc>
        <w:tc>
          <w:tcPr>
            <w:tcW w:w="448" w:type="pct"/>
            <w:shd w:val="clear" w:color="auto" w:fill="auto"/>
            <w:noWrap/>
            <w:vAlign w:val="center"/>
            <w:hideMark/>
          </w:tcPr>
          <w:p w14:paraId="0F9B43A2"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200</w:t>
            </w:r>
          </w:p>
        </w:tc>
        <w:tc>
          <w:tcPr>
            <w:tcW w:w="512" w:type="pct"/>
            <w:gridSpan w:val="2"/>
            <w:shd w:val="clear" w:color="auto" w:fill="auto"/>
            <w:noWrap/>
            <w:vAlign w:val="center"/>
            <w:hideMark/>
          </w:tcPr>
          <w:p w14:paraId="527E618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18</w:t>
            </w:r>
          </w:p>
        </w:tc>
        <w:tc>
          <w:tcPr>
            <w:tcW w:w="563" w:type="pct"/>
            <w:shd w:val="clear" w:color="auto" w:fill="auto"/>
            <w:noWrap/>
            <w:vAlign w:val="center"/>
            <w:hideMark/>
          </w:tcPr>
          <w:p w14:paraId="556FB941"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22</w:t>
            </w:r>
          </w:p>
        </w:tc>
        <w:tc>
          <w:tcPr>
            <w:tcW w:w="425" w:type="pct"/>
            <w:shd w:val="clear" w:color="auto" w:fill="auto"/>
            <w:noWrap/>
            <w:vAlign w:val="center"/>
            <w:hideMark/>
          </w:tcPr>
          <w:p w14:paraId="3A22C43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27</w:t>
            </w:r>
          </w:p>
        </w:tc>
      </w:tr>
      <w:tr w:rsidR="007D1BFD" w:rsidRPr="00445472" w14:paraId="74D3E225" w14:textId="77777777" w:rsidTr="007D1BFD">
        <w:trPr>
          <w:trHeight w:val="384"/>
        </w:trPr>
        <w:tc>
          <w:tcPr>
            <w:tcW w:w="527" w:type="pct"/>
            <w:shd w:val="clear" w:color="auto" w:fill="auto"/>
            <w:noWrap/>
            <w:vAlign w:val="center"/>
            <w:hideMark/>
          </w:tcPr>
          <w:p w14:paraId="186337FB"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Pogradec</w:t>
            </w:r>
          </w:p>
        </w:tc>
        <w:tc>
          <w:tcPr>
            <w:tcW w:w="461" w:type="pct"/>
            <w:shd w:val="clear" w:color="auto" w:fill="auto"/>
            <w:noWrap/>
            <w:vAlign w:val="center"/>
            <w:hideMark/>
          </w:tcPr>
          <w:p w14:paraId="31676390"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22/62</w:t>
            </w:r>
          </w:p>
        </w:tc>
        <w:tc>
          <w:tcPr>
            <w:tcW w:w="563" w:type="pct"/>
            <w:shd w:val="clear" w:color="auto" w:fill="auto"/>
            <w:noWrap/>
            <w:vAlign w:val="center"/>
            <w:hideMark/>
          </w:tcPr>
          <w:p w14:paraId="66635ACF"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 xml:space="preserve">      37/111</w:t>
            </w:r>
          </w:p>
        </w:tc>
        <w:tc>
          <w:tcPr>
            <w:tcW w:w="425" w:type="pct"/>
            <w:shd w:val="clear" w:color="auto" w:fill="auto"/>
            <w:noWrap/>
            <w:vAlign w:val="center"/>
            <w:hideMark/>
          </w:tcPr>
          <w:p w14:paraId="0C9FACB1"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37/111</w:t>
            </w:r>
          </w:p>
        </w:tc>
        <w:tc>
          <w:tcPr>
            <w:tcW w:w="512" w:type="pct"/>
            <w:gridSpan w:val="2"/>
            <w:shd w:val="clear" w:color="auto" w:fill="auto"/>
            <w:noWrap/>
            <w:vAlign w:val="center"/>
            <w:hideMark/>
          </w:tcPr>
          <w:p w14:paraId="64B0AE95"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100/200</w:t>
            </w:r>
          </w:p>
        </w:tc>
        <w:tc>
          <w:tcPr>
            <w:tcW w:w="563" w:type="pct"/>
            <w:shd w:val="clear" w:color="auto" w:fill="auto"/>
            <w:noWrap/>
            <w:vAlign w:val="center"/>
            <w:hideMark/>
          </w:tcPr>
          <w:p w14:paraId="69267161"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400/100</w:t>
            </w:r>
          </w:p>
        </w:tc>
        <w:tc>
          <w:tcPr>
            <w:tcW w:w="448" w:type="pct"/>
            <w:shd w:val="clear" w:color="auto" w:fill="auto"/>
            <w:noWrap/>
            <w:vAlign w:val="center"/>
            <w:hideMark/>
          </w:tcPr>
          <w:p w14:paraId="02D87B9F"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400/150</w:t>
            </w:r>
          </w:p>
        </w:tc>
        <w:tc>
          <w:tcPr>
            <w:tcW w:w="512" w:type="pct"/>
            <w:gridSpan w:val="2"/>
            <w:shd w:val="clear" w:color="auto" w:fill="auto"/>
            <w:noWrap/>
            <w:vAlign w:val="center"/>
            <w:hideMark/>
          </w:tcPr>
          <w:p w14:paraId="460B2D05"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11/33</w:t>
            </w:r>
          </w:p>
        </w:tc>
        <w:tc>
          <w:tcPr>
            <w:tcW w:w="563" w:type="pct"/>
            <w:shd w:val="clear" w:color="auto" w:fill="auto"/>
            <w:noWrap/>
            <w:vAlign w:val="center"/>
            <w:hideMark/>
          </w:tcPr>
          <w:p w14:paraId="35CB03BE"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12/36</w:t>
            </w:r>
          </w:p>
        </w:tc>
        <w:tc>
          <w:tcPr>
            <w:tcW w:w="425" w:type="pct"/>
            <w:shd w:val="clear" w:color="auto" w:fill="auto"/>
            <w:noWrap/>
            <w:vAlign w:val="center"/>
            <w:hideMark/>
          </w:tcPr>
          <w:p w14:paraId="485B6238" w14:textId="77777777" w:rsidR="007D1BFD" w:rsidRPr="00445472" w:rsidRDefault="007D1BFD" w:rsidP="00B15A6B">
            <w:pPr>
              <w:pStyle w:val="TableTextCentre"/>
              <w:spacing w:before="0" w:after="0"/>
              <w:ind w:right="63"/>
              <w:rPr>
                <w:rFonts w:ascii="Garamond" w:hAnsi="Garamond" w:cs="Arial"/>
                <w:lang w:val="sq-AL"/>
              </w:rPr>
            </w:pPr>
            <w:r w:rsidRPr="00445472">
              <w:rPr>
                <w:rFonts w:ascii="Garamond" w:hAnsi="Garamond" w:cs="Arial"/>
                <w:lang w:val="sq-AL"/>
              </w:rPr>
              <w:t>12/36</w:t>
            </w:r>
          </w:p>
        </w:tc>
      </w:tr>
      <w:tr w:rsidR="007D1BFD" w:rsidRPr="00445472" w14:paraId="2EBA3D48" w14:textId="77777777" w:rsidTr="007D1BFD">
        <w:trPr>
          <w:trHeight w:val="384"/>
        </w:trPr>
        <w:tc>
          <w:tcPr>
            <w:tcW w:w="527" w:type="pct"/>
            <w:shd w:val="clear" w:color="auto" w:fill="auto"/>
            <w:noWrap/>
            <w:vAlign w:val="center"/>
            <w:hideMark/>
          </w:tcPr>
          <w:p w14:paraId="7F97A38B"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Peshkopi</w:t>
            </w:r>
          </w:p>
        </w:tc>
        <w:tc>
          <w:tcPr>
            <w:tcW w:w="461" w:type="pct"/>
            <w:shd w:val="clear" w:color="auto" w:fill="auto"/>
            <w:noWrap/>
            <w:vAlign w:val="center"/>
            <w:hideMark/>
          </w:tcPr>
          <w:p w14:paraId="776A004E"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27</w:t>
            </w:r>
          </w:p>
        </w:tc>
        <w:tc>
          <w:tcPr>
            <w:tcW w:w="563" w:type="pct"/>
            <w:shd w:val="clear" w:color="auto" w:fill="auto"/>
            <w:noWrap/>
            <w:vAlign w:val="center"/>
            <w:hideMark/>
          </w:tcPr>
          <w:p w14:paraId="389AB76F"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65</w:t>
            </w:r>
          </w:p>
        </w:tc>
        <w:tc>
          <w:tcPr>
            <w:tcW w:w="425" w:type="pct"/>
            <w:shd w:val="clear" w:color="auto" w:fill="auto"/>
            <w:noWrap/>
            <w:vAlign w:val="center"/>
            <w:hideMark/>
          </w:tcPr>
          <w:p w14:paraId="227BE3FC"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85</w:t>
            </w:r>
          </w:p>
        </w:tc>
        <w:tc>
          <w:tcPr>
            <w:tcW w:w="512" w:type="pct"/>
            <w:gridSpan w:val="2"/>
            <w:shd w:val="clear" w:color="auto" w:fill="auto"/>
            <w:noWrap/>
            <w:vAlign w:val="center"/>
            <w:hideMark/>
          </w:tcPr>
          <w:p w14:paraId="05E5F90A"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628FBAD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48" w:type="pct"/>
            <w:shd w:val="clear" w:color="auto" w:fill="auto"/>
            <w:noWrap/>
            <w:vAlign w:val="center"/>
            <w:hideMark/>
          </w:tcPr>
          <w:p w14:paraId="3EFFAB8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12" w:type="pct"/>
            <w:gridSpan w:val="2"/>
            <w:shd w:val="clear" w:color="auto" w:fill="auto"/>
            <w:noWrap/>
            <w:vAlign w:val="center"/>
            <w:hideMark/>
          </w:tcPr>
          <w:p w14:paraId="71639F85"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w:t>
            </w:r>
          </w:p>
        </w:tc>
        <w:tc>
          <w:tcPr>
            <w:tcW w:w="563" w:type="pct"/>
            <w:shd w:val="clear" w:color="auto" w:fill="auto"/>
            <w:noWrap/>
            <w:vAlign w:val="center"/>
            <w:hideMark/>
          </w:tcPr>
          <w:p w14:paraId="15EBB6D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15</w:t>
            </w:r>
          </w:p>
        </w:tc>
        <w:tc>
          <w:tcPr>
            <w:tcW w:w="425" w:type="pct"/>
            <w:shd w:val="clear" w:color="auto" w:fill="auto"/>
            <w:noWrap/>
            <w:vAlign w:val="center"/>
            <w:hideMark/>
          </w:tcPr>
          <w:p w14:paraId="0ED223F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15</w:t>
            </w:r>
          </w:p>
        </w:tc>
      </w:tr>
      <w:tr w:rsidR="007D1BFD" w:rsidRPr="00445472" w14:paraId="4D65B3D6" w14:textId="77777777" w:rsidTr="007D1BFD">
        <w:trPr>
          <w:trHeight w:val="384"/>
        </w:trPr>
        <w:tc>
          <w:tcPr>
            <w:tcW w:w="527" w:type="pct"/>
            <w:shd w:val="clear" w:color="auto" w:fill="auto"/>
            <w:noWrap/>
            <w:vAlign w:val="center"/>
            <w:hideMark/>
          </w:tcPr>
          <w:p w14:paraId="39CDAD6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Pukë</w:t>
            </w:r>
          </w:p>
        </w:tc>
        <w:tc>
          <w:tcPr>
            <w:tcW w:w="461" w:type="pct"/>
            <w:shd w:val="clear" w:color="auto" w:fill="auto"/>
            <w:noWrap/>
            <w:vAlign w:val="center"/>
            <w:hideMark/>
          </w:tcPr>
          <w:p w14:paraId="22811AE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35</w:t>
            </w:r>
          </w:p>
        </w:tc>
        <w:tc>
          <w:tcPr>
            <w:tcW w:w="563" w:type="pct"/>
            <w:shd w:val="clear" w:color="auto" w:fill="auto"/>
            <w:noWrap/>
            <w:vAlign w:val="center"/>
            <w:hideMark/>
          </w:tcPr>
          <w:p w14:paraId="4DF1363A"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130</w:t>
            </w:r>
          </w:p>
        </w:tc>
        <w:tc>
          <w:tcPr>
            <w:tcW w:w="425" w:type="pct"/>
            <w:shd w:val="clear" w:color="auto" w:fill="auto"/>
            <w:noWrap/>
            <w:vAlign w:val="center"/>
            <w:hideMark/>
          </w:tcPr>
          <w:p w14:paraId="39BA3F04"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140</w:t>
            </w:r>
          </w:p>
        </w:tc>
        <w:tc>
          <w:tcPr>
            <w:tcW w:w="512" w:type="pct"/>
            <w:gridSpan w:val="2"/>
            <w:shd w:val="clear" w:color="auto" w:fill="auto"/>
            <w:noWrap/>
            <w:vAlign w:val="center"/>
            <w:hideMark/>
          </w:tcPr>
          <w:p w14:paraId="39103E2A"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563" w:type="pct"/>
            <w:shd w:val="clear" w:color="auto" w:fill="auto"/>
            <w:noWrap/>
            <w:vAlign w:val="center"/>
            <w:hideMark/>
          </w:tcPr>
          <w:p w14:paraId="3F2DB69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448" w:type="pct"/>
            <w:shd w:val="clear" w:color="auto" w:fill="auto"/>
            <w:noWrap/>
            <w:vAlign w:val="center"/>
            <w:hideMark/>
          </w:tcPr>
          <w:p w14:paraId="57C17BF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512" w:type="pct"/>
            <w:gridSpan w:val="2"/>
            <w:shd w:val="clear" w:color="auto" w:fill="auto"/>
            <w:noWrap/>
            <w:vAlign w:val="center"/>
            <w:hideMark/>
          </w:tcPr>
          <w:p w14:paraId="34BDA1C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8</w:t>
            </w:r>
          </w:p>
        </w:tc>
        <w:tc>
          <w:tcPr>
            <w:tcW w:w="563" w:type="pct"/>
            <w:shd w:val="clear" w:color="auto" w:fill="auto"/>
            <w:noWrap/>
            <w:vAlign w:val="center"/>
            <w:hideMark/>
          </w:tcPr>
          <w:p w14:paraId="69F40A1C"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16</w:t>
            </w:r>
          </w:p>
        </w:tc>
        <w:tc>
          <w:tcPr>
            <w:tcW w:w="425" w:type="pct"/>
            <w:shd w:val="clear" w:color="auto" w:fill="auto"/>
            <w:noWrap/>
            <w:vAlign w:val="center"/>
            <w:hideMark/>
          </w:tcPr>
          <w:p w14:paraId="5234C49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16</w:t>
            </w:r>
          </w:p>
        </w:tc>
      </w:tr>
      <w:tr w:rsidR="007D1BFD" w:rsidRPr="00445472" w14:paraId="39F5DD1D" w14:textId="77777777" w:rsidTr="007D1BFD">
        <w:trPr>
          <w:trHeight w:val="384"/>
        </w:trPr>
        <w:tc>
          <w:tcPr>
            <w:tcW w:w="527" w:type="pct"/>
            <w:shd w:val="clear" w:color="auto" w:fill="auto"/>
            <w:noWrap/>
            <w:vAlign w:val="center"/>
            <w:hideMark/>
          </w:tcPr>
          <w:p w14:paraId="51B0E551"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Shkodër</w:t>
            </w:r>
          </w:p>
        </w:tc>
        <w:tc>
          <w:tcPr>
            <w:tcW w:w="461" w:type="pct"/>
            <w:shd w:val="clear" w:color="auto" w:fill="auto"/>
            <w:noWrap/>
            <w:vAlign w:val="center"/>
            <w:hideMark/>
          </w:tcPr>
          <w:p w14:paraId="0A5A46B2"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40</w:t>
            </w:r>
          </w:p>
        </w:tc>
        <w:tc>
          <w:tcPr>
            <w:tcW w:w="563" w:type="pct"/>
            <w:shd w:val="clear" w:color="auto" w:fill="auto"/>
            <w:noWrap/>
            <w:vAlign w:val="center"/>
            <w:hideMark/>
          </w:tcPr>
          <w:p w14:paraId="4456CE3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110</w:t>
            </w:r>
          </w:p>
        </w:tc>
        <w:tc>
          <w:tcPr>
            <w:tcW w:w="425" w:type="pct"/>
            <w:shd w:val="clear" w:color="auto" w:fill="auto"/>
            <w:noWrap/>
            <w:vAlign w:val="center"/>
            <w:hideMark/>
          </w:tcPr>
          <w:p w14:paraId="5131EC9F"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110</w:t>
            </w:r>
          </w:p>
        </w:tc>
        <w:tc>
          <w:tcPr>
            <w:tcW w:w="512" w:type="pct"/>
            <w:gridSpan w:val="2"/>
            <w:shd w:val="clear" w:color="auto" w:fill="auto"/>
            <w:noWrap/>
            <w:vAlign w:val="center"/>
            <w:hideMark/>
          </w:tcPr>
          <w:p w14:paraId="034F6509"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563" w:type="pct"/>
            <w:shd w:val="clear" w:color="auto" w:fill="auto"/>
            <w:noWrap/>
            <w:vAlign w:val="center"/>
            <w:hideMark/>
          </w:tcPr>
          <w:p w14:paraId="17E3B282"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448" w:type="pct"/>
            <w:shd w:val="clear" w:color="auto" w:fill="auto"/>
            <w:noWrap/>
            <w:vAlign w:val="center"/>
            <w:hideMark/>
          </w:tcPr>
          <w:p w14:paraId="1543ED7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100</w:t>
            </w:r>
          </w:p>
        </w:tc>
        <w:tc>
          <w:tcPr>
            <w:tcW w:w="512" w:type="pct"/>
            <w:gridSpan w:val="2"/>
            <w:shd w:val="clear" w:color="auto" w:fill="auto"/>
            <w:noWrap/>
            <w:vAlign w:val="center"/>
            <w:hideMark/>
          </w:tcPr>
          <w:p w14:paraId="69F9963D"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15</w:t>
            </w:r>
          </w:p>
        </w:tc>
        <w:tc>
          <w:tcPr>
            <w:tcW w:w="563" w:type="pct"/>
            <w:shd w:val="clear" w:color="auto" w:fill="auto"/>
            <w:noWrap/>
            <w:vAlign w:val="center"/>
            <w:hideMark/>
          </w:tcPr>
          <w:p w14:paraId="2705A237"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20</w:t>
            </w:r>
          </w:p>
        </w:tc>
        <w:tc>
          <w:tcPr>
            <w:tcW w:w="425" w:type="pct"/>
            <w:shd w:val="clear" w:color="auto" w:fill="auto"/>
            <w:noWrap/>
            <w:vAlign w:val="center"/>
            <w:hideMark/>
          </w:tcPr>
          <w:p w14:paraId="1E2CDBB8"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20</w:t>
            </w:r>
          </w:p>
        </w:tc>
      </w:tr>
      <w:tr w:rsidR="007D1BFD" w:rsidRPr="00445472" w14:paraId="7A89A745" w14:textId="77777777" w:rsidTr="007D1BFD">
        <w:trPr>
          <w:trHeight w:val="384"/>
        </w:trPr>
        <w:tc>
          <w:tcPr>
            <w:tcW w:w="527" w:type="pct"/>
            <w:shd w:val="clear" w:color="auto" w:fill="auto"/>
            <w:noWrap/>
            <w:vAlign w:val="center"/>
            <w:hideMark/>
          </w:tcPr>
          <w:p w14:paraId="28306F0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Tropojë</w:t>
            </w:r>
          </w:p>
        </w:tc>
        <w:tc>
          <w:tcPr>
            <w:tcW w:w="461" w:type="pct"/>
            <w:shd w:val="clear" w:color="auto" w:fill="auto"/>
            <w:noWrap/>
            <w:vAlign w:val="center"/>
            <w:hideMark/>
          </w:tcPr>
          <w:p w14:paraId="651F98E2"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19</w:t>
            </w:r>
          </w:p>
        </w:tc>
        <w:tc>
          <w:tcPr>
            <w:tcW w:w="563" w:type="pct"/>
            <w:shd w:val="clear" w:color="auto" w:fill="auto"/>
            <w:noWrap/>
            <w:vAlign w:val="center"/>
            <w:hideMark/>
          </w:tcPr>
          <w:p w14:paraId="08390B4B"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60</w:t>
            </w:r>
          </w:p>
        </w:tc>
        <w:tc>
          <w:tcPr>
            <w:tcW w:w="425" w:type="pct"/>
            <w:shd w:val="clear" w:color="auto" w:fill="auto"/>
            <w:noWrap/>
            <w:vAlign w:val="center"/>
            <w:hideMark/>
          </w:tcPr>
          <w:p w14:paraId="0F72F306"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80</w:t>
            </w:r>
          </w:p>
        </w:tc>
        <w:tc>
          <w:tcPr>
            <w:tcW w:w="512" w:type="pct"/>
            <w:gridSpan w:val="2"/>
            <w:shd w:val="clear" w:color="auto" w:fill="auto"/>
            <w:noWrap/>
            <w:vAlign w:val="center"/>
            <w:hideMark/>
          </w:tcPr>
          <w:p w14:paraId="47E1D830"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3E2F8D51"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48" w:type="pct"/>
            <w:shd w:val="clear" w:color="auto" w:fill="auto"/>
            <w:noWrap/>
            <w:vAlign w:val="center"/>
            <w:hideMark/>
          </w:tcPr>
          <w:p w14:paraId="414D3B23"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12" w:type="pct"/>
            <w:gridSpan w:val="2"/>
            <w:shd w:val="clear" w:color="auto" w:fill="auto"/>
            <w:noWrap/>
            <w:vAlign w:val="center"/>
            <w:hideMark/>
          </w:tcPr>
          <w:p w14:paraId="4AE277F8"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563" w:type="pct"/>
            <w:shd w:val="clear" w:color="auto" w:fill="auto"/>
            <w:noWrap/>
            <w:vAlign w:val="center"/>
            <w:hideMark/>
          </w:tcPr>
          <w:p w14:paraId="6D213F28"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c>
          <w:tcPr>
            <w:tcW w:w="425" w:type="pct"/>
            <w:shd w:val="clear" w:color="auto" w:fill="auto"/>
            <w:noWrap/>
            <w:vAlign w:val="center"/>
            <w:hideMark/>
          </w:tcPr>
          <w:p w14:paraId="2F80C81C" w14:textId="77777777" w:rsidR="007D1BFD" w:rsidRPr="00445472" w:rsidRDefault="007D1BFD" w:rsidP="00B15A6B">
            <w:pPr>
              <w:pStyle w:val="TableTextCentre"/>
              <w:spacing w:before="22" w:after="22"/>
              <w:ind w:right="63"/>
              <w:rPr>
                <w:rFonts w:ascii="Garamond" w:hAnsi="Garamond" w:cs="Arial"/>
                <w:lang w:val="sq-AL"/>
              </w:rPr>
            </w:pPr>
            <w:r w:rsidRPr="00445472">
              <w:rPr>
                <w:rFonts w:ascii="Garamond" w:hAnsi="Garamond" w:cs="Arial"/>
                <w:lang w:val="sq-AL"/>
              </w:rPr>
              <w:t> </w:t>
            </w:r>
          </w:p>
        </w:tc>
      </w:tr>
    </w:tbl>
    <w:p w14:paraId="0DE2FEC0" w14:textId="77777777" w:rsidR="007D1BFD" w:rsidRPr="00445472" w:rsidRDefault="007D1BFD" w:rsidP="007D1BFD">
      <w:pPr>
        <w:pStyle w:val="TEKSTIIII"/>
      </w:pPr>
    </w:p>
    <w:p w14:paraId="20260BC6" w14:textId="77777777" w:rsidR="007D1BFD" w:rsidRPr="00445472" w:rsidRDefault="007D1BFD" w:rsidP="007D1BFD">
      <w:pPr>
        <w:pStyle w:val="TEKSTIIII"/>
      </w:pPr>
    </w:p>
    <w:p w14:paraId="5853C8D1" w14:textId="6507F2FF" w:rsidR="007D1BFD" w:rsidRPr="00445472" w:rsidRDefault="007D1BFD" w:rsidP="007D1BFD">
      <w:pPr>
        <w:pStyle w:val="TEKSTIIII"/>
      </w:pPr>
      <w:r w:rsidRPr="00445472">
        <w:t>Objektivat në strategjinë kombëtare vazhdojnë të jenë objektiva zyrtar</w:t>
      </w:r>
      <w:r w:rsidR="00DA3731" w:rsidRPr="00445472">
        <w:t>ë</w:t>
      </w:r>
      <w:r w:rsidRPr="00445472">
        <w:t xml:space="preserve"> për sektorin dhe kanë formuar pikënisjen për përfituesit në formulimin e objektivave për një strategji financimi për sektorin e UK. Master</w:t>
      </w:r>
      <w:r w:rsidR="00AA23D0" w:rsidRPr="00445472">
        <w:t>p</w:t>
      </w:r>
      <w:r w:rsidRPr="00445472">
        <w:t>lani Kombëtar u përgatit me mbështetjen e KfW-së me supozimin se kërkesat e BE-së duhet të përmbushen në lidhje me Direktivën TUNU. Master</w:t>
      </w:r>
      <w:r w:rsidR="00AA23D0" w:rsidRPr="00445472">
        <w:t>p</w:t>
      </w:r>
      <w:r w:rsidRPr="00445472">
        <w:t>lani përcaktoi dhe prioritizoi investimet kapitale deri në vitin 2040 për sektorin</w:t>
      </w:r>
      <w:r w:rsidR="00FB0CE9" w:rsidRPr="00445472">
        <w:t>,</w:t>
      </w:r>
      <w:r w:rsidRPr="00445472">
        <w:t xml:space="preserve"> duke supozuar një lëvizje të qëndrueshme drejt përmbushjes së standardeve të BE-së.</w:t>
      </w:r>
    </w:p>
    <w:p w14:paraId="214BD531" w14:textId="06AE15F7" w:rsidR="007D1BFD" w:rsidRPr="00445472" w:rsidRDefault="007D1BFD" w:rsidP="007D1BFD">
      <w:pPr>
        <w:pStyle w:val="TEKSTIIII"/>
      </w:pPr>
      <w:r w:rsidRPr="00445472">
        <w:t>Projektet u prioritizuan nga KfW duke përdorur një model vendimesh me shumë kritere: i</w:t>
      </w:r>
      <w:r w:rsidR="00FB0CE9" w:rsidRPr="00445472">
        <w:t>.</w:t>
      </w:r>
      <w:r w:rsidRPr="00445472">
        <w:t xml:space="preserve"> </w:t>
      </w:r>
      <w:r w:rsidR="00FB0CE9" w:rsidRPr="00445472">
        <w:t>T</w:t>
      </w:r>
      <w:r w:rsidRPr="00445472">
        <w:t>eknike</w:t>
      </w:r>
      <w:r w:rsidR="00FB0CE9" w:rsidRPr="00445472">
        <w:t xml:space="preserve">; </w:t>
      </w:r>
      <w:r w:rsidRPr="00445472">
        <w:t>ii</w:t>
      </w:r>
      <w:r w:rsidR="00FB0CE9" w:rsidRPr="00445472">
        <w:t>.</w:t>
      </w:r>
      <w:r w:rsidRPr="00445472">
        <w:t xml:space="preserve"> financiare</w:t>
      </w:r>
      <w:r w:rsidR="001D340B" w:rsidRPr="00445472">
        <w:t>/</w:t>
      </w:r>
      <w:r w:rsidRPr="00445472">
        <w:t>ekonomike</w:t>
      </w:r>
      <w:r w:rsidR="00FB0CE9" w:rsidRPr="00445472">
        <w:t xml:space="preserve">; </w:t>
      </w:r>
      <w:r w:rsidRPr="00445472">
        <w:t>iii</w:t>
      </w:r>
      <w:r w:rsidR="00FB0CE9" w:rsidRPr="00445472">
        <w:t>.</w:t>
      </w:r>
      <w:r w:rsidRPr="00445472">
        <w:t xml:space="preserve"> </w:t>
      </w:r>
      <w:r w:rsidR="00FB0CE9" w:rsidRPr="00445472">
        <w:t>M</w:t>
      </w:r>
      <w:r w:rsidRPr="00445472">
        <w:t>jedisore</w:t>
      </w:r>
      <w:r w:rsidR="00FB0CE9" w:rsidRPr="00445472">
        <w:t>;</w:t>
      </w:r>
      <w:r w:rsidRPr="00445472">
        <w:t xml:space="preserve"> iv</w:t>
      </w:r>
      <w:r w:rsidR="00FB0CE9" w:rsidRPr="00445472">
        <w:t>.</w:t>
      </w:r>
      <w:r w:rsidRPr="00445472">
        <w:t xml:space="preserve"> </w:t>
      </w:r>
      <w:r w:rsidR="00FB0CE9" w:rsidRPr="00445472">
        <w:t>S</w:t>
      </w:r>
      <w:r w:rsidRPr="00445472">
        <w:t>ocioekonomike</w:t>
      </w:r>
      <w:r w:rsidR="00FB0CE9" w:rsidRPr="00445472">
        <w:t>;</w:t>
      </w:r>
      <w:r w:rsidRPr="00445472">
        <w:t xml:space="preserve"> dhe v</w:t>
      </w:r>
      <w:r w:rsidR="00FB0CE9" w:rsidRPr="00445472">
        <w:t>.</w:t>
      </w:r>
      <w:r w:rsidRPr="00445472">
        <w:t xml:space="preserve"> kriteret institucionale. Bazuar në prioritetet, u përcaktua një renditje në investimet afatshkurtra, afatmesme dhe afatgjata (plani i investimeve)</w:t>
      </w:r>
      <w:r w:rsidRPr="00445472">
        <w:rPr>
          <w:rStyle w:val="FootnoteReference"/>
          <w:rFonts w:ascii="Garamond" w:hAnsi="Garamond"/>
          <w:color w:val="auto"/>
        </w:rPr>
        <w:footnoteReference w:id="151"/>
      </w:r>
      <w:r w:rsidRPr="00445472">
        <w:t>.</w:t>
      </w:r>
    </w:p>
    <w:p w14:paraId="753E756A" w14:textId="4D91AE83" w:rsidR="007D1BFD" w:rsidRPr="00445472" w:rsidRDefault="007D1BFD" w:rsidP="007D1BFD">
      <w:pPr>
        <w:pStyle w:val="TEKSTIIII"/>
      </w:pPr>
      <w:r w:rsidRPr="00445472">
        <w:t xml:space="preserve">Qeveria e Shqipërisë </w:t>
      </w:r>
      <w:r w:rsidR="00FB0CE9" w:rsidRPr="00445472">
        <w:t>mbështet</w:t>
      </w:r>
      <w:r w:rsidRPr="00445472">
        <w:t xml:space="preserve"> një politikë të </w:t>
      </w:r>
      <w:r w:rsidR="00D62EDF" w:rsidRPr="00445472">
        <w:t>“</w:t>
      </w:r>
      <w:r w:rsidRPr="00445472">
        <w:t>ujit për të gjithë</w:t>
      </w:r>
      <w:r w:rsidR="00D62EDF" w:rsidRPr="00445472">
        <w:t>”</w:t>
      </w:r>
      <w:r w:rsidRPr="00445472">
        <w:t>. Direktivat e BE-së kërkojnë që mjedisi të jetë plotësisht i mbrojtur nga ndotja nga ujërat e ndotura dhe, në veçanti, që ujërat e ndotura nga aglomerate me më shumë se 2.000 ekuivalentë të popullsisë (PE) të mblidhen dhe trajtohen.</w:t>
      </w:r>
    </w:p>
    <w:p w14:paraId="782B61AF" w14:textId="16A76865" w:rsidR="007D1BFD" w:rsidRPr="00445472" w:rsidRDefault="007D1BFD" w:rsidP="007D1BFD">
      <w:pPr>
        <w:pStyle w:val="TEKSTIIII"/>
      </w:pPr>
      <w:r w:rsidRPr="00445472">
        <w:t>Master</w:t>
      </w:r>
      <w:r w:rsidR="00FB0CE9" w:rsidRPr="00445472">
        <w:t>p</w:t>
      </w:r>
      <w:r w:rsidRPr="00445472">
        <w:t>lani i Furnizimit me Ujë dhe Kanalizime është i bazuar në një qasje nga poshtë-lart, ku shërbimet janë kërkuar për nevojat e tyre. Shërbimet komunale kanë llogaritur nevojat e tyre bazuar në supozimin se janë në gjendje të furnizojnë me ujë 24 orë në ditë për klientët e tyre dhe të jenë në gjendje të trajtojnë ujërat e ndotura në përputhje me rregulloret e BE-së.</w:t>
      </w:r>
    </w:p>
    <w:p w14:paraId="334F7248" w14:textId="097AA4A4" w:rsidR="007D1BFD" w:rsidRPr="00445472" w:rsidRDefault="007D1BFD" w:rsidP="007D1BFD">
      <w:pPr>
        <w:pStyle w:val="TEKSTIIII"/>
      </w:pPr>
      <w:r w:rsidRPr="00445472">
        <w:t xml:space="preserve">Gjatë viteve të fundit, investimet në sektorin e ujit janë bazuar kryesisht në investimet e donatorëve. Figura 8.7 tregon nivelin aktual të fondeve të ndara për qytetet në Basenin Ujor </w:t>
      </w:r>
      <w:r w:rsidR="007E76E3" w:rsidRPr="00445472">
        <w:t>Drin–Bunë</w:t>
      </w:r>
      <w:r w:rsidRPr="00445472">
        <w:t xml:space="preserve"> ndërmjet 2012 dhe 2017. Investimet afatshkurtra për tetë projekte të furnizimit me ujë dhe ujërave të ndotura në qytetet kryesore të Basenit Ujor </w:t>
      </w:r>
      <w:r w:rsidR="007E76E3" w:rsidRPr="00445472">
        <w:t>Drin–Bunë</w:t>
      </w:r>
      <w:r w:rsidRPr="00445472">
        <w:t xml:space="preserve">, bazuar në </w:t>
      </w:r>
      <w:r w:rsidR="00FB0CE9" w:rsidRPr="00445472">
        <w:t xml:space="preserve">masterplanin </w:t>
      </w:r>
      <w:r w:rsidRPr="00445472">
        <w:t xml:space="preserve">për Shqipërinë 2013, tregohen respektivisht në figurat 8.8 dhe 8.9. </w:t>
      </w:r>
    </w:p>
    <w:p w14:paraId="09E009CE" w14:textId="77777777" w:rsidR="007D1BFD" w:rsidRPr="00445472" w:rsidRDefault="007D1BFD" w:rsidP="007D1BFD">
      <w:pPr>
        <w:pStyle w:val="TEKSTIIII"/>
      </w:pPr>
    </w:p>
    <w:p w14:paraId="72E4C88C" w14:textId="77777777" w:rsidR="007D1BFD" w:rsidRPr="00445472" w:rsidRDefault="007D1BFD" w:rsidP="007D1BFD">
      <w:pPr>
        <w:pStyle w:val="TEKSTIIII"/>
      </w:pPr>
    </w:p>
    <w:p w14:paraId="4DEEA336" w14:textId="77777777" w:rsidR="007D1BFD" w:rsidRPr="00445472" w:rsidRDefault="007D1BFD" w:rsidP="007D1BFD">
      <w:pPr>
        <w:pStyle w:val="TEKSTIIII"/>
      </w:pPr>
    </w:p>
    <w:p w14:paraId="3E50DDB4" w14:textId="77777777" w:rsidR="007D1BFD" w:rsidRPr="00445472" w:rsidRDefault="007D1BFD" w:rsidP="00A90A14">
      <w:pPr>
        <w:jc w:val="center"/>
        <w:rPr>
          <w:rFonts w:ascii="Garamond" w:hAnsi="Garamond"/>
        </w:rPr>
      </w:pPr>
      <w:r w:rsidRPr="00445472">
        <w:rPr>
          <w:rFonts w:ascii="Garamond" w:hAnsi="Garamond"/>
          <w:noProof/>
          <w:lang w:val="en-US"/>
        </w:rPr>
        <w:drawing>
          <wp:inline distT="0" distB="0" distL="0" distR="0" wp14:anchorId="0E1E74AE" wp14:editId="0AFFB529">
            <wp:extent cx="5375082" cy="3784162"/>
            <wp:effectExtent l="0" t="0" r="0" b="6985"/>
            <wp:docPr id="7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78611" cy="3786647"/>
                    </a:xfrm>
                    <a:prstGeom prst="rect">
                      <a:avLst/>
                    </a:prstGeom>
                    <a:noFill/>
                    <a:ln>
                      <a:noFill/>
                    </a:ln>
                  </pic:spPr>
                </pic:pic>
              </a:graphicData>
            </a:graphic>
          </wp:inline>
        </w:drawing>
      </w:r>
    </w:p>
    <w:p w14:paraId="3F560800" w14:textId="37036C2C" w:rsidR="007D1BFD" w:rsidRPr="00445472" w:rsidRDefault="007D1BFD" w:rsidP="00A90A14">
      <w:pPr>
        <w:pStyle w:val="NENTITULL"/>
      </w:pPr>
      <w:r w:rsidRPr="00445472">
        <w:t xml:space="preserve">Figura 8.7: Fondet e ndara në sektorin e ujit në Basenin Ujor </w:t>
      </w:r>
      <w:r w:rsidR="007E76E3" w:rsidRPr="00445472">
        <w:t>Drin–Bunë</w:t>
      </w:r>
      <w:r w:rsidRPr="00445472">
        <w:t xml:space="preserve"> ndërmjet 2012 dhe 2017</w:t>
      </w:r>
      <w:r w:rsidRPr="00445472">
        <w:rPr>
          <w:rStyle w:val="FootnoteReference"/>
          <w:rFonts w:ascii="Garamond" w:hAnsi="Garamond"/>
          <w:b w:val="0"/>
          <w:color w:val="auto"/>
        </w:rPr>
        <w:footnoteReference w:id="152"/>
      </w:r>
    </w:p>
    <w:p w14:paraId="627DB806" w14:textId="77777777" w:rsidR="007D1BFD" w:rsidRPr="00445472" w:rsidRDefault="007D1BFD" w:rsidP="00A90A14">
      <w:pPr>
        <w:pStyle w:val="TEKSTIIII"/>
      </w:pPr>
    </w:p>
    <w:p w14:paraId="670E4A01" w14:textId="77777777" w:rsidR="007D1BFD" w:rsidRPr="00445472" w:rsidRDefault="007D1BFD" w:rsidP="007D1BFD">
      <w:pPr>
        <w:rPr>
          <w:rFonts w:ascii="Garamond" w:hAnsi="Garamond"/>
        </w:rPr>
      </w:pPr>
      <w:r w:rsidRPr="00445472">
        <w:rPr>
          <w:rFonts w:ascii="Garamond" w:hAnsi="Garamond"/>
          <w:noProof/>
          <w:lang w:val="en-US"/>
        </w:rPr>
        <w:drawing>
          <wp:inline distT="0" distB="0" distL="0" distR="0" wp14:anchorId="58AF6247" wp14:editId="5B5A2E69">
            <wp:extent cx="5535295" cy="2517775"/>
            <wp:effectExtent l="0" t="0" r="0" b="0"/>
            <wp:docPr id="75" name="Chart 6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A39F23D" w14:textId="21F537BD" w:rsidR="007D1BFD" w:rsidRPr="00445472" w:rsidRDefault="007D1BFD" w:rsidP="00A90A14">
      <w:pPr>
        <w:pStyle w:val="NENTITULL"/>
        <w:jc w:val="center"/>
      </w:pPr>
      <w:r w:rsidRPr="00445472">
        <w:t xml:space="preserve">Figura 8.8: Projektet e investimit për furnizimin me ujë në Basenin Ujor </w:t>
      </w:r>
      <w:r w:rsidR="007E76E3" w:rsidRPr="00445472">
        <w:t>Drin–Bunë</w:t>
      </w:r>
      <w:r w:rsidRPr="00445472">
        <w:rPr>
          <w:rStyle w:val="FootnoteReference"/>
          <w:rFonts w:ascii="Garamond" w:hAnsi="Garamond"/>
          <w:b w:val="0"/>
          <w:color w:val="auto"/>
        </w:rPr>
        <w:footnoteReference w:id="153"/>
      </w:r>
    </w:p>
    <w:p w14:paraId="0C0EDAE4" w14:textId="77777777" w:rsidR="007D1BFD" w:rsidRPr="00445472" w:rsidRDefault="007D1BFD" w:rsidP="007D1BFD">
      <w:pPr>
        <w:rPr>
          <w:rFonts w:ascii="Garamond" w:hAnsi="Garamond"/>
        </w:rPr>
      </w:pPr>
    </w:p>
    <w:p w14:paraId="30F0104E" w14:textId="77777777" w:rsidR="007D1BFD" w:rsidRPr="00445472" w:rsidRDefault="007D1BFD" w:rsidP="007D1BFD">
      <w:pPr>
        <w:rPr>
          <w:rFonts w:ascii="Garamond" w:hAnsi="Garamond"/>
        </w:rPr>
      </w:pPr>
    </w:p>
    <w:p w14:paraId="04AE5203" w14:textId="77777777" w:rsidR="007D1BFD" w:rsidRPr="00445472" w:rsidRDefault="007D1BFD" w:rsidP="00191CE3">
      <w:pPr>
        <w:spacing w:after="0" w:line="240" w:lineRule="auto"/>
        <w:jc w:val="center"/>
        <w:rPr>
          <w:rFonts w:ascii="Garamond" w:hAnsi="Garamond"/>
        </w:rPr>
      </w:pPr>
      <w:r w:rsidRPr="00445472">
        <w:rPr>
          <w:rFonts w:ascii="Garamond" w:hAnsi="Garamond"/>
          <w:noProof/>
          <w:lang w:val="en-US"/>
        </w:rPr>
        <w:drawing>
          <wp:inline distT="0" distB="0" distL="0" distR="0" wp14:anchorId="2DB34C36" wp14:editId="7500F598">
            <wp:extent cx="5629524" cy="2576222"/>
            <wp:effectExtent l="0" t="0" r="9525" b="14605"/>
            <wp:docPr id="74" name="Chart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8D8DBFA" w14:textId="77777777" w:rsidR="00191CE3" w:rsidRPr="00445472" w:rsidRDefault="00191CE3" w:rsidP="007D1BFD">
      <w:pPr>
        <w:jc w:val="center"/>
        <w:rPr>
          <w:rFonts w:ascii="Garamond" w:hAnsi="Garamond"/>
          <w:b/>
        </w:rPr>
      </w:pPr>
    </w:p>
    <w:p w14:paraId="2E8CF01E" w14:textId="4E2E144C" w:rsidR="007D1BFD" w:rsidRPr="00445472" w:rsidRDefault="007D1BFD" w:rsidP="00191CE3">
      <w:pPr>
        <w:pStyle w:val="NENTITULL"/>
        <w:jc w:val="center"/>
      </w:pPr>
      <w:r w:rsidRPr="00445472">
        <w:t xml:space="preserve">Figura 8.9: Projektet e ujërave të ndotura në Basenin Ujor </w:t>
      </w:r>
      <w:r w:rsidR="007E76E3" w:rsidRPr="00445472">
        <w:t>Drin–Bunë</w:t>
      </w:r>
      <w:r w:rsidRPr="00445472">
        <w:rPr>
          <w:rStyle w:val="FootnoteReference"/>
          <w:rFonts w:ascii="Garamond" w:hAnsi="Garamond"/>
          <w:b w:val="0"/>
          <w:color w:val="auto"/>
        </w:rPr>
        <w:footnoteReference w:id="154"/>
      </w:r>
    </w:p>
    <w:p w14:paraId="6FE47D1F" w14:textId="77777777" w:rsidR="007D1BFD" w:rsidRPr="00445472" w:rsidRDefault="007D1BFD" w:rsidP="00191CE3">
      <w:pPr>
        <w:pStyle w:val="TEKSTIIII"/>
      </w:pPr>
    </w:p>
    <w:p w14:paraId="2BA10061" w14:textId="25335E61" w:rsidR="007D1BFD" w:rsidRPr="00445472" w:rsidRDefault="00191CE3" w:rsidP="00191CE3">
      <w:pPr>
        <w:pStyle w:val="NENTITULL"/>
      </w:pPr>
      <w:bookmarkStart w:id="165" w:name="_Toc485635122"/>
      <w:bookmarkStart w:id="166" w:name="_Toc486503415"/>
      <w:bookmarkStart w:id="167" w:name="_Toc11068826"/>
      <w:bookmarkEnd w:id="164"/>
      <w:r w:rsidRPr="00445472">
        <w:t xml:space="preserve">8.3 </w:t>
      </w:r>
      <w:r w:rsidR="007D1BFD" w:rsidRPr="00445472">
        <w:t>Sektor</w:t>
      </w:r>
      <w:bookmarkEnd w:id="165"/>
      <w:r w:rsidR="007D1BFD" w:rsidRPr="00445472">
        <w:t>i i ujitjes</w:t>
      </w:r>
      <w:bookmarkEnd w:id="166"/>
      <w:bookmarkEnd w:id="167"/>
    </w:p>
    <w:p w14:paraId="5A98554A" w14:textId="77777777" w:rsidR="007D1BFD" w:rsidRPr="00445472" w:rsidRDefault="007D1BFD" w:rsidP="00191CE3">
      <w:pPr>
        <w:pStyle w:val="TEKSTIIII"/>
      </w:pPr>
      <w:r w:rsidRPr="00445472">
        <w:t>Sipërfaqja e përgjithshme e tokës bujqësore në Shqipëri është 695,000 ha, e cila mbulon 24% të vendit, 80% e të cilave është nën pronësi private dhe 20% është nën pronësi shtetërore</w:t>
      </w:r>
      <w:r w:rsidRPr="00445472">
        <w:rPr>
          <w:vertAlign w:val="superscript"/>
        </w:rPr>
        <w:footnoteReference w:id="155"/>
      </w:r>
      <w:r w:rsidRPr="00445472">
        <w:t xml:space="preserve">. Madhësia e fermës është mesatarisht 1.26 ha e ndarë në rreth 4 parcela bujqësore, që do të thotë se madhësia mesatare e fermës familjare është vetëm 0.27 ha. Kulturat kryesore janë perimet, pemët frutore dhe vreshtat, drithërat dhe ullishtet. </w:t>
      </w:r>
    </w:p>
    <w:p w14:paraId="210CDFBC" w14:textId="567FF0E8" w:rsidR="007D1BFD" w:rsidRPr="00445472" w:rsidRDefault="007D1BFD" w:rsidP="00191CE3">
      <w:pPr>
        <w:pStyle w:val="TEKSTIIII"/>
      </w:pPr>
      <w:r w:rsidRPr="00445472">
        <w:t xml:space="preserve">Bujqësia në Shqipëri kërkon ujë shtesë për ujitje në verë duke qenë se reshjet gjatë këtij sezoni janë vetëm rreth 20% e reshjeve totale vjetore. </w:t>
      </w:r>
      <w:r w:rsidR="00FB0CE9" w:rsidRPr="00445472">
        <w:t>Deficitet</w:t>
      </w:r>
      <w:r w:rsidRPr="00445472">
        <w:t xml:space="preserve"> e ujit ndërmjet Qershorit dhe Gushtit ndryshojnë ndërmjet 400 dhe 500 mm, duke e bërë ujitjen të nevojshme për prodhimin efektiv të bimëve. Nga ana tjetër, kullimi është i rëndësishëm në dimër, për të lehtësuar përmbytjet, erozionin</w:t>
      </w:r>
      <w:r w:rsidR="00084DB9" w:rsidRPr="00445472">
        <w:t xml:space="preserve"> etj.</w:t>
      </w:r>
    </w:p>
    <w:p w14:paraId="05EFFFB3" w14:textId="38F7F02F" w:rsidR="007D1BFD" w:rsidRPr="00445472" w:rsidRDefault="007D1BFD" w:rsidP="00191CE3">
      <w:pPr>
        <w:pStyle w:val="TEKSTIIII"/>
      </w:pPr>
      <w:r w:rsidRPr="00445472">
        <w:t xml:space="preserve">Sistemi i konsiderueshëm i ujitjes dhe kullimit është shpërbërë për shkak të mungesës së investimeve së bashku me buxhetin e pamjaftueshëm për funksionimin dhe mirëmbajtjen. Për më tepër, privatizimi i tokës rezultoi në nivel kombëtar në krijimin e më shumë se 400,000 fermave të vogla (ndërmjet 0,5 dhe 3,0 ha). Këto ferma të vogla private e kanë ndryshuar rrënjësisht karakterin e bujqësisë dhe kanë komplikuar shërbimet bujqësore duke përfshirë procesin e ujitjes. Kjo situatë reflektohet në mënyrë të ngjashme në basenin e lumit </w:t>
      </w:r>
      <w:r w:rsidR="007E76E3" w:rsidRPr="00445472">
        <w:t>Drin–Bunë</w:t>
      </w:r>
      <w:r w:rsidRPr="00445472">
        <w:t xml:space="preserve">. Në përgjigje të kësaj, Qeveria Shqiptare miratoi një politikë për transferimin e përgjegjësive operacionale të kanaleve </w:t>
      </w:r>
      <w:r w:rsidR="00034FBB">
        <w:t>dytësore të ujitjes te</w:t>
      </w:r>
      <w:r w:rsidRPr="00445472">
        <w:t xml:space="preserve"> përdoruesit e ujit, nëpërmjet krijimit të Shoqatave të Përdoruesve të Ujit (SHPU-ve). Operimi dhe mirëmbajtja e kanaleve primare dhe rezervuarëve të ujitjes mbetet përgjegjësi e ndërmarrjeve shtetërore të Ujit.</w:t>
      </w:r>
    </w:p>
    <w:p w14:paraId="633125AE" w14:textId="77777777" w:rsidR="007D1BFD" w:rsidRPr="00445472" w:rsidRDefault="007D1BFD" w:rsidP="00191CE3">
      <w:pPr>
        <w:pStyle w:val="TEKSTIIII"/>
      </w:pPr>
      <w:r w:rsidRPr="00445472">
        <w:t xml:space="preserve">Përpjekjet për rehabilitimin dhe rindërtimin e sistemeve të ujitjes kanë vazhduar që nga mesi i viteve nëntëdhjetë. Megjithatë, SHPU-të nuk funksiononin siç pritej, pasi kapaciteti i tyre për ofrimin e shërbimeve të ujitjes ishte i pamjaftueshëm dhe SHPU-të nuk ishin në gjendje të mbulonin kostot e operimit dhe mirëmbajtjes. Me ristrukturimin e Ndërmarrjes së Ujit janë krijuar 13 Borde Kullimi. </w:t>
      </w:r>
    </w:p>
    <w:p w14:paraId="6F7F7221" w14:textId="213BDA3D" w:rsidR="007D1BFD" w:rsidRPr="00445472" w:rsidRDefault="007D1BFD" w:rsidP="00191CE3">
      <w:pPr>
        <w:pStyle w:val="TEKSTIIII"/>
      </w:pPr>
      <w:r w:rsidRPr="00445472">
        <w:t>Duke qenë se shërbimet e ujitjes dhe kullimit ndjenin ende nevojën për përmirësim, ishte e nevojshme përfshirja e Autoritetit Vendor (Bashkive dhe Komunave) në rolin thelbësor të vendimmarrjes lidhur me sistemet e ujitjes dhe kullimit, d</w:t>
      </w:r>
      <w:r w:rsidR="00FB0CE9" w:rsidRPr="00445472">
        <w:t>.</w:t>
      </w:r>
      <w:r w:rsidRPr="00445472">
        <w:t>m</w:t>
      </w:r>
      <w:r w:rsidR="00FB0CE9" w:rsidRPr="00445472">
        <w:t>.</w:t>
      </w:r>
      <w:r w:rsidRPr="00445472">
        <w:t>th. VKM</w:t>
      </w:r>
      <w:r w:rsidR="00FB0CE9" w:rsidRPr="00445472">
        <w:t>-ja</w:t>
      </w:r>
      <w:r w:rsidRPr="00445472">
        <w:t xml:space="preserve"> </w:t>
      </w:r>
      <w:r w:rsidR="00FB0CE9" w:rsidRPr="00445472">
        <w:t>nr</w:t>
      </w:r>
      <w:r w:rsidRPr="00445472">
        <w:t>. 1108, datë 30.12.2015</w:t>
      </w:r>
      <w:r w:rsidR="00D62EDF" w:rsidRPr="00445472">
        <w:t xml:space="preserve">, “Për </w:t>
      </w:r>
      <w:r w:rsidRPr="00445472">
        <w:t xml:space="preserve">transferimin e infrastrukturës së ujitjes dhe kullimit, personelit dhe aseteve nga Bordet Rajonale të Kullimit. Si e tillë, infrastruktura dytësore e ujitjes u transferua nga Bordet e Kullimit në Bashkitë. U krijuan katër borde të reja dhe të ristrukturuara rajonale të kullimit nga 13 të mëparshme në nivel kombëtar, të cilët, së bashku me MBZHR, administrojnë vetëm infrastrukturën kryesore të ujitjes dhe kullimit, përfshirë digat e ujitjes. Baseni Ujor </w:t>
      </w:r>
      <w:r w:rsidR="007E76E3" w:rsidRPr="00445472">
        <w:t>Drin–Bunë</w:t>
      </w:r>
      <w:r w:rsidRPr="00445472">
        <w:t xml:space="preserve"> mbulohet kryesisht nga Bordi i Kullimit të Lezhës.</w:t>
      </w:r>
    </w:p>
    <w:p w14:paraId="074A47BD" w14:textId="72E4E700" w:rsidR="007D1BFD" w:rsidRPr="00445472" w:rsidRDefault="007D1BFD" w:rsidP="00191CE3">
      <w:pPr>
        <w:pStyle w:val="TEKSTIIII"/>
      </w:pPr>
      <w:r w:rsidRPr="00445472">
        <w:t xml:space="preserve">Kapaciteti i projektuar i rezervuarëve të ujitjes pas më shumë 40 viteve të jetës së tyre është zvogëluar rreth 50%, sipas të dhënave të marra nga Ministria e Bujqësisë, Zhvillimit Rural dhe Administrimit të Ujërave. Ka 115 diga ujitjeje në basenin ujor </w:t>
      </w:r>
      <w:r w:rsidR="007E76E3" w:rsidRPr="00445472">
        <w:t>Drin–Bunë</w:t>
      </w:r>
      <w:r w:rsidRPr="00445472">
        <w:t xml:space="preserve"> (Figura 8.10). Vendndodhja e digave të ujitjes paraqitet në Figurën 8.11. Megjithatë, për shkak të sedimentimit sasia totale e ujit për ujitje është përafërsisht 27.2 milion</w:t>
      </w:r>
      <w:r w:rsidR="00FB0CE9" w:rsidRPr="00445472">
        <w:t>ë</w:t>
      </w:r>
      <w:r w:rsidRPr="00445472">
        <w:t xml:space="preserve"> m</w:t>
      </w:r>
      <w:r w:rsidRPr="00445472">
        <w:rPr>
          <w:vertAlign w:val="superscript"/>
        </w:rPr>
        <w:t>3</w:t>
      </w:r>
      <w:r w:rsidRPr="00445472">
        <w:t xml:space="preserve">, me vëllimin përkatës të disponueshëm të ujit për ujitje siç tregohet në </w:t>
      </w:r>
      <w:r w:rsidR="00FB0CE9" w:rsidRPr="00445472">
        <w:t xml:space="preserve">figurën </w:t>
      </w:r>
      <w:r w:rsidRPr="00445472">
        <w:t xml:space="preserve">8.12. </w:t>
      </w:r>
    </w:p>
    <w:p w14:paraId="47AED8EE" w14:textId="77777777" w:rsidR="007D1BFD" w:rsidRPr="00445472" w:rsidRDefault="007D1BFD" w:rsidP="00191CE3">
      <w:pPr>
        <w:pStyle w:val="TEKSTIIII"/>
        <w:rPr>
          <w:b/>
          <w:bCs/>
        </w:rPr>
      </w:pPr>
    </w:p>
    <w:p w14:paraId="19C4EFF0" w14:textId="77777777" w:rsidR="007D1BFD" w:rsidRPr="00445472" w:rsidRDefault="007D1BFD" w:rsidP="007D1BFD">
      <w:pPr>
        <w:jc w:val="center"/>
        <w:rPr>
          <w:rFonts w:ascii="Garamond" w:hAnsi="Garamond"/>
          <w:b/>
          <w:bCs/>
        </w:rPr>
      </w:pPr>
      <w:r w:rsidRPr="00445472">
        <w:rPr>
          <w:rFonts w:ascii="Garamond" w:hAnsi="Garamond"/>
          <w:b/>
          <w:noProof/>
          <w:lang w:val="en-US"/>
        </w:rPr>
        <w:drawing>
          <wp:inline distT="0" distB="0" distL="0" distR="0" wp14:anchorId="7E8B7F67" wp14:editId="48A38821">
            <wp:extent cx="4316095" cy="2298065"/>
            <wp:effectExtent l="0" t="0" r="0" b="0"/>
            <wp:docPr id="73"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16095" cy="2298065"/>
                    </a:xfrm>
                    <a:prstGeom prst="rect">
                      <a:avLst/>
                    </a:prstGeom>
                    <a:noFill/>
                    <a:ln>
                      <a:noFill/>
                    </a:ln>
                  </pic:spPr>
                </pic:pic>
              </a:graphicData>
            </a:graphic>
          </wp:inline>
        </w:drawing>
      </w:r>
    </w:p>
    <w:p w14:paraId="33359CFC" w14:textId="579D2CAA" w:rsidR="007D1BFD" w:rsidRPr="00445472" w:rsidRDefault="007D1BFD" w:rsidP="0082230C">
      <w:pPr>
        <w:pStyle w:val="NENTITULL"/>
        <w:jc w:val="center"/>
      </w:pPr>
      <w:r w:rsidRPr="00445472">
        <w:t xml:space="preserve">Figura 8.10:  Diga për ujitje për secilën bashki në Basenin Ujor </w:t>
      </w:r>
      <w:r w:rsidR="007E76E3" w:rsidRPr="00445472">
        <w:t>Drin–Bunë</w:t>
      </w:r>
      <w:r w:rsidRPr="00445472">
        <w:rPr>
          <w:rStyle w:val="FootnoteReference"/>
          <w:rFonts w:ascii="Garamond" w:hAnsi="Garamond"/>
          <w:b w:val="0"/>
          <w:bCs/>
          <w:color w:val="auto"/>
        </w:rPr>
        <w:footnoteReference w:id="156"/>
      </w:r>
    </w:p>
    <w:p w14:paraId="1F8754E9" w14:textId="77777777" w:rsidR="007D1BFD" w:rsidRPr="00445472" w:rsidRDefault="007D1BFD" w:rsidP="00FC73DF">
      <w:pPr>
        <w:pStyle w:val="NENTITULL"/>
      </w:pPr>
    </w:p>
    <w:p w14:paraId="6CFF7ED1" w14:textId="77777777" w:rsidR="0021532B" w:rsidRPr="00445472" w:rsidRDefault="0021532B" w:rsidP="00FC73DF">
      <w:pPr>
        <w:pStyle w:val="NENTITULL"/>
      </w:pPr>
    </w:p>
    <w:p w14:paraId="20B0F883" w14:textId="77777777" w:rsidR="0021532B" w:rsidRPr="00445472" w:rsidRDefault="0021532B" w:rsidP="00FC73DF">
      <w:pPr>
        <w:pStyle w:val="NENTITULL"/>
      </w:pPr>
    </w:p>
    <w:p w14:paraId="403A7250" w14:textId="77777777" w:rsidR="0021532B" w:rsidRPr="00445472" w:rsidRDefault="0021532B" w:rsidP="00FC73DF">
      <w:pPr>
        <w:pStyle w:val="NENTITULL"/>
      </w:pPr>
    </w:p>
    <w:p w14:paraId="1D402DCC" w14:textId="77777777" w:rsidR="0021532B" w:rsidRPr="00445472" w:rsidRDefault="0021532B" w:rsidP="00FC73DF">
      <w:pPr>
        <w:pStyle w:val="NENTITULL"/>
      </w:pPr>
    </w:p>
    <w:p w14:paraId="4229B091" w14:textId="4B12458A" w:rsidR="0021532B" w:rsidRPr="00445472" w:rsidRDefault="0021532B" w:rsidP="00FC73DF">
      <w:pPr>
        <w:pStyle w:val="NENTITULL"/>
      </w:pPr>
      <w:r w:rsidRPr="00445472">
        <w:rPr>
          <w:noProof/>
          <w:lang w:val="en-US"/>
        </w:rPr>
        <w:drawing>
          <wp:inline distT="0" distB="0" distL="0" distR="0" wp14:anchorId="0CD5DCAF" wp14:editId="39BAB72E">
            <wp:extent cx="5547360" cy="78333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47360" cy="7833360"/>
                    </a:xfrm>
                    <a:prstGeom prst="rect">
                      <a:avLst/>
                    </a:prstGeom>
                    <a:noFill/>
                  </pic:spPr>
                </pic:pic>
              </a:graphicData>
            </a:graphic>
          </wp:inline>
        </w:drawing>
      </w:r>
    </w:p>
    <w:p w14:paraId="17029335" w14:textId="53534F14" w:rsidR="0021532B" w:rsidRPr="00445472" w:rsidRDefault="0021532B" w:rsidP="0021532B">
      <w:pPr>
        <w:pStyle w:val="NENTITULL"/>
        <w:jc w:val="center"/>
      </w:pPr>
      <w:r w:rsidRPr="00445472">
        <w:t xml:space="preserve">Figura 8.11: Vendndodhja e digave kryesore të ujitjes në basenin e ujit </w:t>
      </w:r>
      <w:r w:rsidR="007E76E3" w:rsidRPr="00445472">
        <w:t>Drin–Bunë</w:t>
      </w:r>
    </w:p>
    <w:p w14:paraId="5F8CFA20" w14:textId="77777777" w:rsidR="00D26EC6" w:rsidRPr="00445472" w:rsidRDefault="00D26EC6" w:rsidP="0021532B">
      <w:pPr>
        <w:pStyle w:val="NENTITULL"/>
        <w:jc w:val="center"/>
      </w:pPr>
    </w:p>
    <w:p w14:paraId="3E649822" w14:textId="77777777" w:rsidR="00D26EC6" w:rsidRPr="00445472" w:rsidRDefault="00D26EC6" w:rsidP="0021532B">
      <w:pPr>
        <w:pStyle w:val="NENTITULL"/>
        <w:jc w:val="center"/>
      </w:pPr>
    </w:p>
    <w:p w14:paraId="7DB018C5" w14:textId="77777777" w:rsidR="00D26EC6" w:rsidRPr="00445472" w:rsidRDefault="00D26EC6" w:rsidP="00D26EC6">
      <w:pPr>
        <w:pStyle w:val="TEKSTIIII"/>
      </w:pPr>
    </w:p>
    <w:p w14:paraId="1FB2E6A3" w14:textId="3DCBC800" w:rsidR="00D26EC6" w:rsidRPr="00445472" w:rsidRDefault="00D26EC6" w:rsidP="00D26EC6">
      <w:pPr>
        <w:pStyle w:val="TEKSTIIII"/>
      </w:pPr>
      <w:r w:rsidRPr="00445472">
        <w:rPr>
          <w:noProof/>
          <w:lang w:val="en-US"/>
        </w:rPr>
        <w:drawing>
          <wp:inline distT="0" distB="0" distL="0" distR="0" wp14:anchorId="7F481334" wp14:editId="5B93525E">
            <wp:extent cx="5524500" cy="3124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24500" cy="3124200"/>
                    </a:xfrm>
                    <a:prstGeom prst="rect">
                      <a:avLst/>
                    </a:prstGeom>
                    <a:noFill/>
                  </pic:spPr>
                </pic:pic>
              </a:graphicData>
            </a:graphic>
          </wp:inline>
        </w:drawing>
      </w:r>
    </w:p>
    <w:p w14:paraId="2D46D129" w14:textId="77777777" w:rsidR="00D26EC6" w:rsidRPr="00445472" w:rsidRDefault="00D26EC6" w:rsidP="00D26EC6">
      <w:pPr>
        <w:pStyle w:val="TEKSTIIII"/>
      </w:pPr>
    </w:p>
    <w:p w14:paraId="67B33599" w14:textId="277188BE" w:rsidR="00D26EC6" w:rsidRPr="00445472" w:rsidRDefault="00D26EC6" w:rsidP="00D26EC6">
      <w:pPr>
        <w:pStyle w:val="NENTITULL"/>
        <w:jc w:val="center"/>
      </w:pPr>
      <w:r w:rsidRPr="00445472">
        <w:t>Figura 8.12: Sasia e ujit për ujitje (milion m</w:t>
      </w:r>
      <w:r w:rsidRPr="00445472">
        <w:rPr>
          <w:vertAlign w:val="superscript"/>
        </w:rPr>
        <w:t>3</w:t>
      </w:r>
      <w:r w:rsidRPr="00445472">
        <w:t xml:space="preserve">) nga digat për secilën bashki në Basenin Ujor </w:t>
      </w:r>
      <w:r w:rsidR="007E76E3" w:rsidRPr="00445472">
        <w:t>Drin–Bunë</w:t>
      </w:r>
      <w:r w:rsidRPr="00445472">
        <w:rPr>
          <w:rStyle w:val="FootnoteReference"/>
          <w:rFonts w:ascii="Garamond" w:hAnsi="Garamond"/>
          <w:b w:val="0"/>
          <w:color w:val="auto"/>
        </w:rPr>
        <w:footnoteReference w:id="157"/>
      </w:r>
    </w:p>
    <w:p w14:paraId="611C2E7C" w14:textId="77777777" w:rsidR="00D26EC6" w:rsidRPr="00445472" w:rsidRDefault="00D26EC6" w:rsidP="00D26EC6">
      <w:pPr>
        <w:pStyle w:val="TEKSTIIII"/>
      </w:pPr>
    </w:p>
    <w:p w14:paraId="11302736" w14:textId="5AFA1833" w:rsidR="00D26EC6" w:rsidRPr="00445472" w:rsidRDefault="00D26EC6" w:rsidP="00D26EC6">
      <w:pPr>
        <w:pStyle w:val="TEKSTIIII"/>
      </w:pPr>
      <w:r w:rsidRPr="00445472">
        <w:t xml:space="preserve">Në shkallën e basenit ujor, rreth 35% e tokës bujqësore është tokë e ujitur. Figura 8.13 më poshtë tregon situatën për secilën bashki në basenin ujor </w:t>
      </w:r>
      <w:r w:rsidR="007E76E3" w:rsidRPr="00445472">
        <w:t>Drin–Bunë</w:t>
      </w:r>
      <w:r w:rsidRPr="00445472">
        <w:t>.</w:t>
      </w:r>
    </w:p>
    <w:p w14:paraId="7F5D0620" w14:textId="77777777" w:rsidR="00D26EC6" w:rsidRPr="00445472" w:rsidRDefault="00D26EC6" w:rsidP="00D26EC6">
      <w:pPr>
        <w:pStyle w:val="TEKSTIIII"/>
        <w:rPr>
          <w:b/>
          <w:bCs/>
        </w:rPr>
      </w:pPr>
    </w:p>
    <w:p w14:paraId="2EC0ECB7" w14:textId="77777777" w:rsidR="00D26EC6" w:rsidRPr="00445472" w:rsidRDefault="00D26EC6" w:rsidP="00D26EC6">
      <w:pPr>
        <w:rPr>
          <w:rFonts w:ascii="Garamond" w:hAnsi="Garamond"/>
        </w:rPr>
      </w:pPr>
      <w:r w:rsidRPr="00445472">
        <w:rPr>
          <w:rFonts w:ascii="Garamond" w:hAnsi="Garamond"/>
          <w:noProof/>
          <w:lang w:val="en-US"/>
        </w:rPr>
        <w:drawing>
          <wp:inline distT="0" distB="0" distL="0" distR="0" wp14:anchorId="461D8FCC" wp14:editId="44BB1B75">
            <wp:extent cx="5709037" cy="2831692"/>
            <wp:effectExtent l="0" t="0" r="6350" b="6985"/>
            <wp:docPr id="2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14480" cy="2834392"/>
                    </a:xfrm>
                    <a:prstGeom prst="rect">
                      <a:avLst/>
                    </a:prstGeom>
                    <a:noFill/>
                    <a:ln>
                      <a:noFill/>
                    </a:ln>
                  </pic:spPr>
                </pic:pic>
              </a:graphicData>
            </a:graphic>
          </wp:inline>
        </w:drawing>
      </w:r>
    </w:p>
    <w:p w14:paraId="3A460252" w14:textId="7901A70A" w:rsidR="00D26EC6" w:rsidRPr="00445472" w:rsidRDefault="00D26EC6" w:rsidP="00D26EC6">
      <w:pPr>
        <w:pStyle w:val="NENTITULL"/>
        <w:rPr>
          <w:vertAlign w:val="superscript"/>
        </w:rPr>
      </w:pPr>
      <w:r w:rsidRPr="00445472">
        <w:t xml:space="preserve">Figura 8.13: Tokë e ujitur dhe totali i tokës së punueshme për secilën bashki në basenin ujor </w:t>
      </w:r>
      <w:r w:rsidR="007E76E3" w:rsidRPr="00445472">
        <w:t>Drin–Bunë</w:t>
      </w:r>
      <w:r w:rsidRPr="00445472">
        <w:rPr>
          <w:vertAlign w:val="superscript"/>
        </w:rPr>
        <w:footnoteReference w:id="158"/>
      </w:r>
    </w:p>
    <w:p w14:paraId="2AD3D576" w14:textId="77777777" w:rsidR="00D26EC6" w:rsidRPr="00445472" w:rsidRDefault="00D26EC6" w:rsidP="00D26EC6">
      <w:pPr>
        <w:jc w:val="both"/>
        <w:rPr>
          <w:rFonts w:ascii="Garamond" w:hAnsi="Garamond"/>
        </w:rPr>
      </w:pPr>
    </w:p>
    <w:p w14:paraId="1BB0E942" w14:textId="27C157EC" w:rsidR="00D26EC6" w:rsidRPr="00445472" w:rsidRDefault="00D26EC6" w:rsidP="00D26EC6">
      <w:pPr>
        <w:pStyle w:val="TEKSTIIII"/>
      </w:pPr>
      <w:r w:rsidRPr="00445472">
        <w:t xml:space="preserve">Për shkak të zhvillimit të shpejtë të infrastrukturës gjatë dekadës së fundit, aktualisht vetëm një pjesë e tokës së punueshme tani mund të ujitet ose përdoret për prodhim bujqësor. Figura 8.13 se përqindja e tokës se ujitur varionte nga 10% </w:t>
      </w:r>
      <w:r w:rsidR="00FB0CE9" w:rsidRPr="00445472">
        <w:t>–</w:t>
      </w:r>
      <w:r w:rsidRPr="00445472">
        <w:t xml:space="preserve">75% në basenin e ujit Drini-Bunë. </w:t>
      </w:r>
    </w:p>
    <w:p w14:paraId="6CF15733" w14:textId="668F4BC4" w:rsidR="00D26EC6" w:rsidRPr="00445472" w:rsidRDefault="00D26EC6" w:rsidP="00D26EC6">
      <w:pPr>
        <w:pStyle w:val="TEKSTIIII"/>
      </w:pPr>
      <w:r w:rsidRPr="00445472">
        <w:t xml:space="preserve">Burimet ujore të ujitjes janë rezervuarët e ujitjes, lumenjtë ose ujërat nëntokësore duke përdorur stacionet e pompimit, siç tregohet në figurën 8.14 më poshtë. Lloji i ujitjes është ose nga graviteti ose nga stacionet e pompimit, ose ndonjëherë kombinimi i të dyjave. Metoda kryesore e ujitjes në vend dhe në basenin ujor </w:t>
      </w:r>
      <w:r w:rsidR="007E76E3" w:rsidRPr="00445472">
        <w:t>Drin–Bunë</w:t>
      </w:r>
      <w:r w:rsidRPr="00445472">
        <w:t xml:space="preserve"> është vaditja me kanale të hapura ose ujitje me brazdë, e cila shpërndan ujë përmes një rrjeti dytësor dhe tretësor.</w:t>
      </w:r>
    </w:p>
    <w:p w14:paraId="1F9C52FF" w14:textId="77777777" w:rsidR="00D26EC6" w:rsidRPr="00445472" w:rsidRDefault="00D26EC6" w:rsidP="00D26EC6">
      <w:pPr>
        <w:rPr>
          <w:rFonts w:ascii="Garamond" w:hAnsi="Garamond"/>
        </w:rPr>
      </w:pPr>
      <w:r w:rsidRPr="00445472">
        <w:rPr>
          <w:rFonts w:ascii="Garamond" w:hAnsi="Garamond"/>
          <w:noProof/>
          <w:lang w:val="en-US"/>
        </w:rPr>
        <w:drawing>
          <wp:inline distT="0" distB="0" distL="0" distR="0" wp14:anchorId="7E844C38" wp14:editId="606F1ED6">
            <wp:extent cx="5588989" cy="2838615"/>
            <wp:effectExtent l="0" t="0" r="0" b="0"/>
            <wp:docPr id="2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88740" cy="2838489"/>
                    </a:xfrm>
                    <a:prstGeom prst="rect">
                      <a:avLst/>
                    </a:prstGeom>
                    <a:noFill/>
                    <a:ln>
                      <a:noFill/>
                    </a:ln>
                  </pic:spPr>
                </pic:pic>
              </a:graphicData>
            </a:graphic>
          </wp:inline>
        </w:drawing>
      </w:r>
    </w:p>
    <w:p w14:paraId="4B28C220" w14:textId="094AEFA8" w:rsidR="00D26EC6" w:rsidRPr="00445472" w:rsidRDefault="00D26EC6" w:rsidP="00D26EC6">
      <w:pPr>
        <w:pStyle w:val="NENTITULL"/>
      </w:pPr>
      <w:r w:rsidRPr="00445472">
        <w:t xml:space="preserve">Figura 8.14: Burimi dhe tipi i ujitjes në secilën bashki në basenin ujor </w:t>
      </w:r>
      <w:r w:rsidR="007E76E3" w:rsidRPr="00445472">
        <w:t>Drin–Bunë</w:t>
      </w:r>
      <w:r w:rsidRPr="00445472">
        <w:rPr>
          <w:rStyle w:val="FootnoteReference"/>
          <w:rFonts w:ascii="Garamond" w:hAnsi="Garamond"/>
          <w:b w:val="0"/>
          <w:color w:val="auto"/>
        </w:rPr>
        <w:footnoteReference w:id="159"/>
      </w:r>
    </w:p>
    <w:p w14:paraId="75AC2D06" w14:textId="77777777" w:rsidR="00D26EC6" w:rsidRPr="00445472" w:rsidRDefault="00D26EC6" w:rsidP="00D26EC6">
      <w:pPr>
        <w:pStyle w:val="TEKSTIIII"/>
      </w:pPr>
    </w:p>
    <w:p w14:paraId="6948327E" w14:textId="052EFB21" w:rsidR="00D26EC6" w:rsidRPr="00445472" w:rsidRDefault="00D26EC6" w:rsidP="00D26EC6">
      <w:pPr>
        <w:pStyle w:val="TEKSTIIII"/>
      </w:pPr>
      <w:r w:rsidRPr="00445472">
        <w:t>Përveç qyteteve të Bulqizës dhe Pukës, të cilat ujiten nga lumenjtë, qytetet e tjera përdorin diga të ujitjes për qëllime bujqësore. Është e nevojshme të theksohet fakti se në të dy</w:t>
      </w:r>
      <w:r w:rsidR="00905530">
        <w:t>ja</w:t>
      </w:r>
      <w:r w:rsidRPr="00445472">
        <w:t xml:space="preserve"> rastet mund të nevojitet përdorimi i stacionit të pompimit, kjo konsiderohet si metodë e kombinuar ose e përzier e ujitjes.</w:t>
      </w:r>
    </w:p>
    <w:p w14:paraId="11C5FA98" w14:textId="42BB77C7" w:rsidR="00D26EC6" w:rsidRPr="00445472" w:rsidRDefault="00D26EC6" w:rsidP="00D26EC6">
      <w:pPr>
        <w:pStyle w:val="TEKSTIIII"/>
      </w:pPr>
      <w:r w:rsidRPr="00445472">
        <w:t>Bazuar në VKM Nr. 1108, më date 30.12.2015</w:t>
      </w:r>
      <w:r w:rsidR="00D62EDF" w:rsidRPr="00445472">
        <w:t xml:space="preserve">, “Për </w:t>
      </w:r>
      <w:r w:rsidRPr="00445472">
        <w:t>transferimin e infrastrukturës së ujitjes dhe kullimit, personelit dhe aseteve nga Bordet Rajonale të Kullimit</w:t>
      </w:r>
      <w:r w:rsidR="00D62EDF" w:rsidRPr="00445472">
        <w:t>”</w:t>
      </w:r>
      <w:r w:rsidRPr="00445472">
        <w:t xml:space="preserve">, rrjeti kryesor i ujitjes dhe kullimit, përfshirë digat e ujitjes, janë nën administrimin e Bordeve Rajonale të Ujitjes dhe Kullimit. Pjesa më e madhe e territorit të </w:t>
      </w:r>
      <w:r w:rsidR="007E76E3" w:rsidRPr="00445472">
        <w:t>Drin–Bunë</w:t>
      </w:r>
      <w:r w:rsidRPr="00445472">
        <w:t xml:space="preserve"> është pjesë e BRK-së së Lezhës, e cila përfshin edhe një pjesë të zonave jashtë basenit Ujor </w:t>
      </w:r>
      <w:r w:rsidR="007E76E3" w:rsidRPr="00445472">
        <w:t>Drin–Bunë</w:t>
      </w:r>
      <w:r w:rsidRPr="00445472">
        <w:t>.</w:t>
      </w:r>
    </w:p>
    <w:p w14:paraId="732B657E" w14:textId="68F6A83E" w:rsidR="00D26EC6" w:rsidRPr="00445472" w:rsidRDefault="00D26EC6" w:rsidP="00D26EC6">
      <w:pPr>
        <w:pStyle w:val="TEKSTIIII"/>
      </w:pPr>
      <w:r w:rsidRPr="00445472">
        <w:t>Stacionet e Pompimit të Kullimit (hidro</w:t>
      </w:r>
      <w:r w:rsidR="00FB0CE9" w:rsidRPr="00445472">
        <w:t>voret) përdoren për qëllime dre</w:t>
      </w:r>
      <w:r w:rsidRPr="00445472">
        <w:t>n</w:t>
      </w:r>
      <w:r w:rsidR="00FB0CE9" w:rsidRPr="00445472">
        <w:t>a</w:t>
      </w:r>
      <w:r w:rsidRPr="00445472">
        <w:t>zhimi, edhe pse shumë prej tyre janë aktualisht jashtë funksionit për shkak të dëmtimit, kostos së lartë të energjisë elektrike dhe mirëmbajtjes së dobët. Është vlerësuar se kanalet dytësore janë të mbushura me baltë dhe për pastrimin e tyre kërkohet mbështetje e konsiderueshme financiare. Kjo situatë krijon mbingopje të parcelave bujqësore dhe mundësi për përmbytje në kushtet atmosferike me reshje. Stacionet e pompimit të kullimit janë të shpërndarë në zonën bregdetare, dhe një pjesë e tyre tashmë janë në fund të jetëgjatësisë së tyre</w:t>
      </w:r>
      <w:r w:rsidRPr="00445472">
        <w:rPr>
          <w:rStyle w:val="FootnoteReference"/>
          <w:rFonts w:ascii="Garamond" w:hAnsi="Garamond"/>
          <w:color w:val="auto"/>
        </w:rPr>
        <w:footnoteReference w:id="160"/>
      </w:r>
      <w:r w:rsidRPr="00445472">
        <w:t xml:space="preserve">. Në basenin ujor  </w:t>
      </w:r>
      <w:r w:rsidR="007E76E3" w:rsidRPr="00445472">
        <w:t>Drin–Bunë</w:t>
      </w:r>
      <w:r w:rsidRPr="00445472">
        <w:t xml:space="preserve"> ka 9 stacione kulluese-pompimi, të shpërndara siç tregohet në figurën 8.15</w:t>
      </w:r>
      <w:r w:rsidRPr="00445472">
        <w:rPr>
          <w:rFonts w:eastAsia="Calibri"/>
        </w:rPr>
        <w:t>.</w:t>
      </w:r>
    </w:p>
    <w:p w14:paraId="62E18F87" w14:textId="16DD9379" w:rsidR="00D26EC6" w:rsidRPr="00445472" w:rsidRDefault="00D26EC6" w:rsidP="00D26EC6">
      <w:pPr>
        <w:pStyle w:val="TEKSTIIII"/>
      </w:pPr>
      <w:r w:rsidRPr="00445472">
        <w:t xml:space="preserve">Një faktor kritik që shkakton problem në sektorin e bujqësisë është teprica e ujit nga përmbytjet, siç është rasti i basenit ujor </w:t>
      </w:r>
      <w:r w:rsidR="007E76E3" w:rsidRPr="00445472">
        <w:t>Drin–Bunë</w:t>
      </w:r>
      <w:r w:rsidRPr="00445472">
        <w:t xml:space="preserve">, ku mangësitë në infrastrukturën e ujitjes dhe kullimit ndikojnë në prodhimin bujqësor duke kufizuar rritjen e kulturave apo shkatërrimin e bimëve. </w:t>
      </w:r>
    </w:p>
    <w:p w14:paraId="024C1885" w14:textId="684A90D3" w:rsidR="00D26EC6" w:rsidRPr="00445472" w:rsidRDefault="00D26EC6" w:rsidP="00D26EC6">
      <w:pPr>
        <w:pStyle w:val="TEKSTIIII"/>
      </w:pPr>
      <w:r w:rsidRPr="00445472">
        <w:t xml:space="preserve">Shërbimi i kullimit mbulon pjesën më të madhe të tokës bujqësore, e ndërtuar kryesisht para viteve 1990. Në basenin ujor </w:t>
      </w:r>
      <w:r w:rsidR="007E76E3" w:rsidRPr="00445472">
        <w:t>Drin–Bunë</w:t>
      </w:r>
      <w:r w:rsidRPr="00445472">
        <w:t xml:space="preserve"> ka rreth 1.400 km kanale kryesore kulluese dhe rreth 60.000 ha me sistemin e rrjetit të kullimit, siç tregohet në </w:t>
      </w:r>
      <w:r w:rsidR="00FB0CE9" w:rsidRPr="00445472">
        <w:t xml:space="preserve">figurën </w:t>
      </w:r>
      <w:r w:rsidRPr="00445472">
        <w:t>8.16 dhe 8.17</w:t>
      </w:r>
      <w:r w:rsidRPr="00445472">
        <w:rPr>
          <w:rFonts w:eastAsia="Calibri"/>
        </w:rPr>
        <w:t>.</w:t>
      </w:r>
    </w:p>
    <w:p w14:paraId="3C555E10" w14:textId="77777777" w:rsidR="00D26EC6" w:rsidRPr="00445472" w:rsidRDefault="00D26EC6" w:rsidP="00D26EC6">
      <w:pPr>
        <w:pStyle w:val="TEKSTIIII"/>
      </w:pPr>
    </w:p>
    <w:p w14:paraId="32066B0D" w14:textId="77777777" w:rsidR="00D26EC6" w:rsidRPr="00445472" w:rsidRDefault="00D26EC6" w:rsidP="00D26EC6">
      <w:pPr>
        <w:jc w:val="center"/>
        <w:rPr>
          <w:rFonts w:ascii="Garamond" w:hAnsi="Garamond"/>
        </w:rPr>
      </w:pPr>
      <w:r w:rsidRPr="00445472">
        <w:rPr>
          <w:rFonts w:ascii="Garamond" w:hAnsi="Garamond"/>
          <w:noProof/>
          <w:lang w:val="en-US"/>
        </w:rPr>
        <w:drawing>
          <wp:inline distT="0" distB="0" distL="0" distR="0" wp14:anchorId="546A503A" wp14:editId="0D94A1BB">
            <wp:extent cx="4937760" cy="2999105"/>
            <wp:effectExtent l="0" t="0" r="0" b="0"/>
            <wp:docPr id="2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37760" cy="2999105"/>
                    </a:xfrm>
                    <a:prstGeom prst="rect">
                      <a:avLst/>
                    </a:prstGeom>
                    <a:noFill/>
                    <a:ln>
                      <a:noFill/>
                    </a:ln>
                  </pic:spPr>
                </pic:pic>
              </a:graphicData>
            </a:graphic>
          </wp:inline>
        </w:drawing>
      </w:r>
    </w:p>
    <w:p w14:paraId="3B459708" w14:textId="4BBAF953" w:rsidR="00D26EC6" w:rsidRPr="00445472" w:rsidRDefault="00D26EC6" w:rsidP="00D26EC6">
      <w:pPr>
        <w:pStyle w:val="NENTITULL"/>
        <w:jc w:val="center"/>
      </w:pPr>
      <w:r w:rsidRPr="00445472">
        <w:t xml:space="preserve">Figura 8.15: Numri i stacioneve të pompimit të kullimit (hidrovor) për qytetet e basenit ujor </w:t>
      </w:r>
      <w:r w:rsidR="007E76E3" w:rsidRPr="00445472">
        <w:t>Drin–Bunë</w:t>
      </w:r>
      <w:r w:rsidRPr="00445472">
        <w:rPr>
          <w:rStyle w:val="FootnoteReference"/>
          <w:rFonts w:ascii="Garamond" w:hAnsi="Garamond"/>
          <w:b w:val="0"/>
          <w:color w:val="auto"/>
        </w:rPr>
        <w:footnoteReference w:id="161"/>
      </w:r>
    </w:p>
    <w:p w14:paraId="77BFE86B" w14:textId="77777777" w:rsidR="00D26EC6" w:rsidRPr="00445472" w:rsidRDefault="00D26EC6" w:rsidP="00D26EC6">
      <w:pPr>
        <w:pStyle w:val="TEKSTIIII"/>
      </w:pPr>
    </w:p>
    <w:p w14:paraId="18443AE6" w14:textId="77777777" w:rsidR="00D26EC6" w:rsidRPr="00445472" w:rsidRDefault="00D26EC6" w:rsidP="00D26EC6">
      <w:pPr>
        <w:jc w:val="center"/>
        <w:rPr>
          <w:rFonts w:ascii="Garamond" w:hAnsi="Garamond"/>
        </w:rPr>
      </w:pPr>
      <w:r w:rsidRPr="00445472">
        <w:rPr>
          <w:rFonts w:ascii="Garamond" w:hAnsi="Garamond"/>
          <w:noProof/>
          <w:lang w:val="en-US"/>
        </w:rPr>
        <w:drawing>
          <wp:inline distT="0" distB="0" distL="0" distR="0" wp14:anchorId="1A0D428D" wp14:editId="22BF2E20">
            <wp:extent cx="4811732" cy="2552369"/>
            <wp:effectExtent l="0" t="0" r="8255" b="635"/>
            <wp:docPr id="2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15840" cy="2554548"/>
                    </a:xfrm>
                    <a:prstGeom prst="rect">
                      <a:avLst/>
                    </a:prstGeom>
                    <a:noFill/>
                    <a:ln>
                      <a:noFill/>
                    </a:ln>
                  </pic:spPr>
                </pic:pic>
              </a:graphicData>
            </a:graphic>
          </wp:inline>
        </w:drawing>
      </w:r>
    </w:p>
    <w:p w14:paraId="0C943DEF" w14:textId="7D9E0821" w:rsidR="00D26EC6" w:rsidRPr="00445472" w:rsidRDefault="00D26EC6" w:rsidP="00D26EC6">
      <w:pPr>
        <w:pStyle w:val="NENTITULL"/>
        <w:jc w:val="center"/>
      </w:pPr>
      <w:r w:rsidRPr="00445472">
        <w:t xml:space="preserve">Figura 8.16: Gjatësia e përgjithshme dhe kanalet kryesore të ujitjes dhe kullimit në basenin ujor </w:t>
      </w:r>
      <w:r w:rsidR="007E76E3" w:rsidRPr="00445472">
        <w:t>Drin–Bunë</w:t>
      </w:r>
      <w:r w:rsidRPr="00445472">
        <w:rPr>
          <w:rStyle w:val="FootnoteReference"/>
          <w:rFonts w:ascii="Garamond" w:hAnsi="Garamond"/>
          <w:b w:val="0"/>
          <w:bCs/>
          <w:color w:val="auto"/>
        </w:rPr>
        <w:footnoteReference w:id="162"/>
      </w:r>
    </w:p>
    <w:p w14:paraId="2E18AC07" w14:textId="77777777" w:rsidR="00D26EC6" w:rsidRPr="00445472" w:rsidRDefault="00D26EC6" w:rsidP="00D26EC6">
      <w:pPr>
        <w:rPr>
          <w:rFonts w:ascii="Garamond" w:hAnsi="Garamond"/>
        </w:rPr>
      </w:pPr>
    </w:p>
    <w:p w14:paraId="038C56D9" w14:textId="77777777" w:rsidR="00D26EC6" w:rsidRPr="00445472" w:rsidRDefault="00D26EC6" w:rsidP="00BB44DB">
      <w:pPr>
        <w:pStyle w:val="NENTITULL"/>
      </w:pPr>
      <w:r w:rsidRPr="00445472">
        <w:rPr>
          <w:noProof/>
          <w:lang w:val="en-US"/>
        </w:rPr>
        <w:drawing>
          <wp:inline distT="0" distB="0" distL="0" distR="0" wp14:anchorId="7945CC99" wp14:editId="05C71481">
            <wp:extent cx="5291455" cy="3108960"/>
            <wp:effectExtent l="0" t="0" r="0" b="0"/>
            <wp:docPr id="2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91455" cy="3108960"/>
                    </a:xfrm>
                    <a:prstGeom prst="rect">
                      <a:avLst/>
                    </a:prstGeom>
                    <a:noFill/>
                    <a:ln>
                      <a:noFill/>
                    </a:ln>
                  </pic:spPr>
                </pic:pic>
              </a:graphicData>
            </a:graphic>
          </wp:inline>
        </w:drawing>
      </w:r>
    </w:p>
    <w:p w14:paraId="49E7DEDF" w14:textId="77777777" w:rsidR="00BB44DB" w:rsidRPr="00445472" w:rsidRDefault="00BB44DB" w:rsidP="00BB44DB">
      <w:pPr>
        <w:pStyle w:val="NENTITULL"/>
      </w:pPr>
    </w:p>
    <w:p w14:paraId="39EC6F31" w14:textId="5CFD7884" w:rsidR="00D26EC6" w:rsidRPr="00445472" w:rsidRDefault="00D26EC6" w:rsidP="00BB44DB">
      <w:pPr>
        <w:pStyle w:val="NENTITULL"/>
        <w:jc w:val="center"/>
        <w:rPr>
          <w:bCs/>
        </w:rPr>
      </w:pPr>
      <w:r w:rsidRPr="00445472">
        <w:t xml:space="preserve">Figura 8.17:  Zona e rrjetit të kullimit në qytetet kryesore të Basenit Ujor </w:t>
      </w:r>
      <w:r w:rsidR="007E76E3" w:rsidRPr="00445472">
        <w:t>Drin–Bunë</w:t>
      </w:r>
      <w:r w:rsidRPr="00445472">
        <w:rPr>
          <w:rStyle w:val="FootnoteReference"/>
          <w:rFonts w:ascii="Garamond" w:hAnsi="Garamond"/>
          <w:b w:val="0"/>
          <w:color w:val="auto"/>
        </w:rPr>
        <w:footnoteReference w:id="163"/>
      </w:r>
    </w:p>
    <w:p w14:paraId="3E7272A8" w14:textId="77777777" w:rsidR="00D26EC6" w:rsidRPr="00445472" w:rsidRDefault="00D26EC6" w:rsidP="00BB44DB">
      <w:pPr>
        <w:pStyle w:val="TEKSTIIII"/>
      </w:pPr>
    </w:p>
    <w:p w14:paraId="47A5784A" w14:textId="293853C6" w:rsidR="00D26EC6" w:rsidRPr="00445472" w:rsidRDefault="00D26EC6" w:rsidP="00BB44DB">
      <w:pPr>
        <w:pStyle w:val="TEKSTIIII"/>
      </w:pPr>
      <w:r w:rsidRPr="00445472">
        <w:t xml:space="preserve">Bazuar në burimet e ujit dhe gjendjen e ujit të llogaritur për basenin ujor </w:t>
      </w:r>
      <w:r w:rsidR="007E76E3" w:rsidRPr="00445472">
        <w:t>Drin–Bunë</w:t>
      </w:r>
      <w:r w:rsidRPr="00445472">
        <w:t xml:space="preserve"> (shihni më sipër seksionin 3.5.4, Tabela 3.4), është llogaritur se disponueshmëria e ujit në basenin ujor </w:t>
      </w:r>
      <w:r w:rsidR="007E76E3" w:rsidRPr="00445472">
        <w:t>Drin–Bunë</w:t>
      </w:r>
      <w:r w:rsidRPr="00445472">
        <w:t xml:space="preserve"> do të jetë më se e mjaftueshme për të përmbushur kërkesat e ujit për bujqësinë deri në vitin 2027.</w:t>
      </w:r>
    </w:p>
    <w:p w14:paraId="32047FE2" w14:textId="26DE0A21" w:rsidR="00D26EC6" w:rsidRPr="00445472" w:rsidRDefault="00D26EC6" w:rsidP="00BB44DB">
      <w:pPr>
        <w:pStyle w:val="TEKSTIIII"/>
      </w:pPr>
      <w:r w:rsidRPr="00445472">
        <w:t xml:space="preserve">Edhe pse disponueshmëria e ujit për prodhimin e ushqimit pritet të mbetet e mjaftueshme, masa duhet të merren në basenin ujor </w:t>
      </w:r>
      <w:r w:rsidR="007E76E3" w:rsidRPr="00445472">
        <w:t>Drin–Bunë</w:t>
      </w:r>
      <w:r w:rsidRPr="00445472">
        <w:t xml:space="preserve"> për të ulur vulnerabilitetin dhe për të rritur fleksibilitetin e bujqësisë. Këto masa kanë të bëjnë kryesisht me modernizimin e bujqësisë (miratimin e praktikave më të mira), përmirësimin e ujitjes dhe infrastrukturës së kullimit dhe futjen e metodave të reja të ujitjes (shihedhës/ujitje me pika).</w:t>
      </w:r>
    </w:p>
    <w:p w14:paraId="71AAC223" w14:textId="7C82EF6D" w:rsidR="00D26EC6" w:rsidRPr="00445472" w:rsidRDefault="00D26EC6" w:rsidP="00BB44DB">
      <w:pPr>
        <w:pStyle w:val="TEKSTIIII"/>
      </w:pPr>
      <w:r w:rsidRPr="00445472">
        <w:t xml:space="preserve">Tabela 8.3 më poshtë tregon vendndodhjen dhe parametrat kryesorë të hidrovoreve në basenin ujor </w:t>
      </w:r>
      <w:r w:rsidR="007E76E3" w:rsidRPr="00445472">
        <w:t>Drin–Bunë</w:t>
      </w:r>
      <w:r w:rsidRPr="00445472">
        <w:t xml:space="preserve">. Në total, ekzistojnë 8 hidrovore, shtatë prej të cilave janë në zonën bregdetare. Duke qenë në pjesën e poshtme të basenit dhe pas hidrocentralit Vau i Dejës, hidrovoret e Lezhës dhe Shkodrës luajnë rol të rëndësishëm në heqjen e ujërave sipërfaqësore, sidomos gjatë shirave intensivë ose pas shkarkimeve të HEC-it Vau i Dejës. </w:t>
      </w:r>
    </w:p>
    <w:p w14:paraId="3262775D" w14:textId="5F5DDD23" w:rsidR="00D26EC6" w:rsidRPr="00445472" w:rsidRDefault="00D26EC6" w:rsidP="00BB44DB">
      <w:pPr>
        <w:pStyle w:val="TEKSTIIII"/>
      </w:pPr>
    </w:p>
    <w:p w14:paraId="0689F711" w14:textId="0C64A13A" w:rsidR="00D26EC6" w:rsidRPr="00445472" w:rsidRDefault="00D26EC6" w:rsidP="00BB44DB">
      <w:pPr>
        <w:pStyle w:val="NENTITULL"/>
      </w:pPr>
      <w:r w:rsidRPr="00445472">
        <w:t xml:space="preserve">Tabela 8.3: Përmbledhje e të dhënave bazë të hidrovoreve në basenin ujor </w:t>
      </w:r>
      <w:r w:rsidR="007E76E3" w:rsidRPr="00445472">
        <w:t>Drin–Bunë</w:t>
      </w:r>
      <w:r w:rsidRPr="00445472">
        <w:rPr>
          <w:rStyle w:val="FootnoteReference"/>
          <w:rFonts w:ascii="Garamond" w:hAnsi="Garamond"/>
          <w:b w:val="0"/>
          <w:color w:val="auto"/>
        </w:rPr>
        <w:footnoteReference w:id="164"/>
      </w:r>
    </w:p>
    <w:tbl>
      <w:tblPr>
        <w:tblW w:w="9476"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400"/>
        <w:gridCol w:w="1572"/>
        <w:gridCol w:w="1421"/>
        <w:gridCol w:w="1391"/>
        <w:gridCol w:w="2124"/>
        <w:gridCol w:w="1568"/>
      </w:tblGrid>
      <w:tr w:rsidR="00D26EC6" w:rsidRPr="00445472" w14:paraId="5BE6FBA7" w14:textId="77777777" w:rsidTr="00B15A6B">
        <w:trPr>
          <w:trHeight w:val="841"/>
          <w:tblHeader/>
          <w:jc w:val="center"/>
        </w:trPr>
        <w:tc>
          <w:tcPr>
            <w:tcW w:w="1400" w:type="dxa"/>
            <w:shd w:val="clear" w:color="auto" w:fill="auto"/>
            <w:vAlign w:val="center"/>
          </w:tcPr>
          <w:p w14:paraId="75D7F734" w14:textId="77777777" w:rsidR="00D26EC6" w:rsidRPr="00445472" w:rsidRDefault="00D26EC6"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Bordi i Ujitjes dhe Kullimit</w:t>
            </w:r>
          </w:p>
        </w:tc>
        <w:tc>
          <w:tcPr>
            <w:tcW w:w="1572" w:type="dxa"/>
            <w:shd w:val="clear" w:color="auto" w:fill="auto"/>
            <w:vAlign w:val="center"/>
          </w:tcPr>
          <w:p w14:paraId="79337049" w14:textId="77777777" w:rsidR="00D26EC6" w:rsidRPr="00445472" w:rsidRDefault="00D26EC6"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Vendndodhja e Hidrovoreve</w:t>
            </w:r>
          </w:p>
        </w:tc>
        <w:tc>
          <w:tcPr>
            <w:tcW w:w="0" w:type="auto"/>
            <w:shd w:val="clear" w:color="auto" w:fill="auto"/>
            <w:vAlign w:val="center"/>
          </w:tcPr>
          <w:p w14:paraId="45679E06" w14:textId="77777777" w:rsidR="00D26EC6" w:rsidRPr="00445472" w:rsidRDefault="00D26EC6"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Zona e kullimit (ha)</w:t>
            </w:r>
          </w:p>
        </w:tc>
        <w:tc>
          <w:tcPr>
            <w:tcW w:w="0" w:type="auto"/>
            <w:shd w:val="clear" w:color="auto" w:fill="auto"/>
            <w:vAlign w:val="center"/>
          </w:tcPr>
          <w:p w14:paraId="33262F9C" w14:textId="77777777" w:rsidR="00D26EC6" w:rsidRPr="00445472" w:rsidRDefault="00D26EC6"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Numri i pompave</w:t>
            </w:r>
          </w:p>
        </w:tc>
        <w:tc>
          <w:tcPr>
            <w:tcW w:w="2124" w:type="dxa"/>
            <w:shd w:val="clear" w:color="auto" w:fill="auto"/>
            <w:vAlign w:val="center"/>
          </w:tcPr>
          <w:p w14:paraId="5AFD4EEF" w14:textId="77777777" w:rsidR="00D26EC6" w:rsidRPr="00445472" w:rsidRDefault="00D26EC6"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Kapaciteti total i projektimit të kullimit PS (m</w:t>
            </w:r>
            <w:r w:rsidRPr="00445472">
              <w:rPr>
                <w:rFonts w:ascii="Garamond" w:eastAsia="MS Mincho" w:hAnsi="Garamond" w:cs="Arial"/>
                <w:b/>
                <w:sz w:val="20"/>
                <w:szCs w:val="20"/>
                <w:vertAlign w:val="superscript"/>
              </w:rPr>
              <w:t>3</w:t>
            </w:r>
            <w:r w:rsidRPr="00445472">
              <w:rPr>
                <w:rFonts w:ascii="Garamond" w:eastAsia="MS Mincho" w:hAnsi="Garamond" w:cs="Arial"/>
                <w:b/>
                <w:sz w:val="20"/>
                <w:szCs w:val="20"/>
              </w:rPr>
              <w:t>/sec)</w:t>
            </w:r>
          </w:p>
        </w:tc>
        <w:tc>
          <w:tcPr>
            <w:tcW w:w="1568" w:type="dxa"/>
            <w:shd w:val="clear" w:color="auto" w:fill="auto"/>
            <w:vAlign w:val="center"/>
          </w:tcPr>
          <w:p w14:paraId="42CA09CE" w14:textId="77777777" w:rsidR="00D26EC6" w:rsidRPr="00445472" w:rsidRDefault="00D26EC6" w:rsidP="00B15A6B">
            <w:pPr>
              <w:spacing w:before="22" w:after="22"/>
              <w:ind w:right="11"/>
              <w:jc w:val="center"/>
              <w:rPr>
                <w:rFonts w:ascii="Garamond" w:eastAsia="MS Mincho" w:hAnsi="Garamond" w:cs="Arial"/>
                <w:b/>
                <w:sz w:val="20"/>
                <w:szCs w:val="20"/>
              </w:rPr>
            </w:pPr>
            <w:r w:rsidRPr="00445472">
              <w:rPr>
                <w:rFonts w:ascii="Garamond" w:eastAsia="MS Mincho" w:hAnsi="Garamond" w:cs="Arial"/>
                <w:b/>
                <w:sz w:val="20"/>
                <w:szCs w:val="20"/>
              </w:rPr>
              <w:t>Energjia elektrike e Instaluar(kW)</w:t>
            </w:r>
          </w:p>
        </w:tc>
      </w:tr>
      <w:tr w:rsidR="00D26EC6" w:rsidRPr="00445472" w14:paraId="4D0422AC" w14:textId="77777777" w:rsidTr="00B15A6B">
        <w:trPr>
          <w:jc w:val="center"/>
        </w:trPr>
        <w:tc>
          <w:tcPr>
            <w:tcW w:w="1400" w:type="dxa"/>
            <w:vMerge w:val="restart"/>
            <w:vAlign w:val="center"/>
          </w:tcPr>
          <w:p w14:paraId="47510B03"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Shkodër</w:t>
            </w:r>
          </w:p>
        </w:tc>
        <w:tc>
          <w:tcPr>
            <w:tcW w:w="1572" w:type="dxa"/>
            <w:tcBorders>
              <w:bottom w:val="single" w:sz="4" w:space="0" w:color="27B1B0"/>
            </w:tcBorders>
            <w:vAlign w:val="center"/>
          </w:tcPr>
          <w:p w14:paraId="0B2047A9"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Velipoj</w:t>
            </w:r>
          </w:p>
        </w:tc>
        <w:tc>
          <w:tcPr>
            <w:tcW w:w="0" w:type="auto"/>
            <w:tcBorders>
              <w:bottom w:val="single" w:sz="4" w:space="0" w:color="27B1B0"/>
            </w:tcBorders>
            <w:vAlign w:val="center"/>
          </w:tcPr>
          <w:p w14:paraId="7069E280"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1,800</w:t>
            </w:r>
          </w:p>
        </w:tc>
        <w:tc>
          <w:tcPr>
            <w:tcW w:w="0" w:type="auto"/>
            <w:tcBorders>
              <w:bottom w:val="single" w:sz="4" w:space="0" w:color="27B1B0"/>
            </w:tcBorders>
            <w:vAlign w:val="center"/>
          </w:tcPr>
          <w:p w14:paraId="29234CFA"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5</w:t>
            </w:r>
          </w:p>
        </w:tc>
        <w:tc>
          <w:tcPr>
            <w:tcW w:w="2124" w:type="dxa"/>
            <w:tcBorders>
              <w:bottom w:val="single" w:sz="4" w:space="0" w:color="27B1B0"/>
            </w:tcBorders>
            <w:vAlign w:val="center"/>
          </w:tcPr>
          <w:p w14:paraId="4A4CCBB1"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14.05</w:t>
            </w:r>
          </w:p>
        </w:tc>
        <w:tc>
          <w:tcPr>
            <w:tcW w:w="1568" w:type="dxa"/>
            <w:tcBorders>
              <w:bottom w:val="single" w:sz="4" w:space="0" w:color="27B1B0"/>
            </w:tcBorders>
            <w:vAlign w:val="center"/>
          </w:tcPr>
          <w:p w14:paraId="7F2F19F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860</w:t>
            </w:r>
          </w:p>
        </w:tc>
      </w:tr>
      <w:tr w:rsidR="00D26EC6" w:rsidRPr="00445472" w14:paraId="46828A2B" w14:textId="77777777" w:rsidTr="00B15A6B">
        <w:trPr>
          <w:jc w:val="center"/>
        </w:trPr>
        <w:tc>
          <w:tcPr>
            <w:tcW w:w="1400" w:type="dxa"/>
            <w:vMerge/>
            <w:vAlign w:val="center"/>
          </w:tcPr>
          <w:p w14:paraId="32B309C2" w14:textId="77777777" w:rsidR="00D26EC6" w:rsidRPr="00445472" w:rsidRDefault="00D26EC6" w:rsidP="00B15A6B">
            <w:pPr>
              <w:spacing w:before="22" w:after="22"/>
              <w:ind w:right="63"/>
              <w:jc w:val="center"/>
              <w:rPr>
                <w:rFonts w:ascii="Garamond" w:eastAsia="MS Mincho" w:hAnsi="Garamond" w:cs="Arial"/>
                <w:sz w:val="20"/>
                <w:szCs w:val="20"/>
              </w:rPr>
            </w:pPr>
          </w:p>
        </w:tc>
        <w:tc>
          <w:tcPr>
            <w:tcW w:w="1572" w:type="dxa"/>
            <w:shd w:val="clear" w:color="auto" w:fill="E6E6E6"/>
            <w:vAlign w:val="center"/>
          </w:tcPr>
          <w:p w14:paraId="198A3930"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Ças</w:t>
            </w:r>
          </w:p>
        </w:tc>
        <w:tc>
          <w:tcPr>
            <w:tcW w:w="0" w:type="auto"/>
            <w:shd w:val="clear" w:color="auto" w:fill="E6E6E6"/>
            <w:vAlign w:val="center"/>
          </w:tcPr>
          <w:p w14:paraId="66C09484"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1,600</w:t>
            </w:r>
          </w:p>
        </w:tc>
        <w:tc>
          <w:tcPr>
            <w:tcW w:w="0" w:type="auto"/>
            <w:shd w:val="clear" w:color="auto" w:fill="E6E6E6"/>
            <w:vAlign w:val="center"/>
          </w:tcPr>
          <w:p w14:paraId="050E80FF"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5</w:t>
            </w:r>
          </w:p>
        </w:tc>
        <w:tc>
          <w:tcPr>
            <w:tcW w:w="2124" w:type="dxa"/>
            <w:shd w:val="clear" w:color="auto" w:fill="E6E6E6"/>
            <w:vAlign w:val="center"/>
          </w:tcPr>
          <w:p w14:paraId="18775F7A"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14.05</w:t>
            </w:r>
          </w:p>
        </w:tc>
        <w:tc>
          <w:tcPr>
            <w:tcW w:w="1568" w:type="dxa"/>
            <w:shd w:val="clear" w:color="auto" w:fill="E6E6E6"/>
            <w:vAlign w:val="center"/>
          </w:tcPr>
          <w:p w14:paraId="36967E92"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860</w:t>
            </w:r>
          </w:p>
        </w:tc>
      </w:tr>
      <w:tr w:rsidR="00D26EC6" w:rsidRPr="00445472" w14:paraId="6E2A2088" w14:textId="77777777" w:rsidTr="00B15A6B">
        <w:trPr>
          <w:jc w:val="center"/>
        </w:trPr>
        <w:tc>
          <w:tcPr>
            <w:tcW w:w="1400" w:type="dxa"/>
            <w:shd w:val="clear" w:color="auto" w:fill="C0C0C0"/>
            <w:vAlign w:val="center"/>
          </w:tcPr>
          <w:p w14:paraId="18FB7960"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Nëntotal</w:t>
            </w:r>
          </w:p>
        </w:tc>
        <w:tc>
          <w:tcPr>
            <w:tcW w:w="1572" w:type="dxa"/>
            <w:shd w:val="clear" w:color="auto" w:fill="C0C0C0"/>
            <w:vAlign w:val="center"/>
          </w:tcPr>
          <w:p w14:paraId="026C24FB" w14:textId="77777777" w:rsidR="00D26EC6" w:rsidRPr="00445472" w:rsidRDefault="00D26EC6" w:rsidP="00B15A6B">
            <w:pPr>
              <w:spacing w:before="22" w:after="22"/>
              <w:ind w:right="63"/>
              <w:jc w:val="center"/>
              <w:rPr>
                <w:rFonts w:ascii="Garamond" w:eastAsia="MS Mincho" w:hAnsi="Garamond" w:cs="Arial"/>
                <w:sz w:val="20"/>
                <w:szCs w:val="20"/>
              </w:rPr>
            </w:pPr>
          </w:p>
        </w:tc>
        <w:tc>
          <w:tcPr>
            <w:tcW w:w="0" w:type="auto"/>
            <w:shd w:val="clear" w:color="auto" w:fill="C0C0C0"/>
            <w:vAlign w:val="center"/>
          </w:tcPr>
          <w:p w14:paraId="09D36124"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3,400</w:t>
            </w:r>
          </w:p>
        </w:tc>
        <w:tc>
          <w:tcPr>
            <w:tcW w:w="0" w:type="auto"/>
            <w:shd w:val="clear" w:color="auto" w:fill="C0C0C0"/>
            <w:vAlign w:val="center"/>
          </w:tcPr>
          <w:p w14:paraId="0D425F2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10</w:t>
            </w:r>
          </w:p>
        </w:tc>
        <w:tc>
          <w:tcPr>
            <w:tcW w:w="2124" w:type="dxa"/>
            <w:shd w:val="clear" w:color="auto" w:fill="C0C0C0"/>
            <w:vAlign w:val="center"/>
          </w:tcPr>
          <w:p w14:paraId="464900B3"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28.10</w:t>
            </w:r>
          </w:p>
        </w:tc>
        <w:tc>
          <w:tcPr>
            <w:tcW w:w="1568" w:type="dxa"/>
            <w:shd w:val="clear" w:color="auto" w:fill="C0C0C0"/>
            <w:vAlign w:val="center"/>
          </w:tcPr>
          <w:p w14:paraId="79AC9DAE"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1,720</w:t>
            </w:r>
          </w:p>
        </w:tc>
      </w:tr>
      <w:tr w:rsidR="00D26EC6" w:rsidRPr="00445472" w14:paraId="70172216" w14:textId="77777777" w:rsidTr="00B15A6B">
        <w:trPr>
          <w:jc w:val="center"/>
        </w:trPr>
        <w:tc>
          <w:tcPr>
            <w:tcW w:w="1400" w:type="dxa"/>
            <w:vMerge w:val="restart"/>
            <w:vAlign w:val="center"/>
          </w:tcPr>
          <w:p w14:paraId="612EF93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Lezhë</w:t>
            </w:r>
          </w:p>
        </w:tc>
        <w:tc>
          <w:tcPr>
            <w:tcW w:w="1572" w:type="dxa"/>
            <w:tcBorders>
              <w:bottom w:val="single" w:sz="4" w:space="0" w:color="27B1B0"/>
            </w:tcBorders>
            <w:vAlign w:val="center"/>
          </w:tcPr>
          <w:p w14:paraId="621B9DE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Balldren</w:t>
            </w:r>
          </w:p>
        </w:tc>
        <w:tc>
          <w:tcPr>
            <w:tcW w:w="0" w:type="auto"/>
            <w:tcBorders>
              <w:bottom w:val="single" w:sz="4" w:space="0" w:color="27B1B0"/>
            </w:tcBorders>
            <w:vAlign w:val="center"/>
          </w:tcPr>
          <w:p w14:paraId="58858879"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2,680</w:t>
            </w:r>
          </w:p>
        </w:tc>
        <w:tc>
          <w:tcPr>
            <w:tcW w:w="0" w:type="auto"/>
            <w:tcBorders>
              <w:bottom w:val="single" w:sz="4" w:space="0" w:color="27B1B0"/>
            </w:tcBorders>
            <w:vAlign w:val="center"/>
          </w:tcPr>
          <w:p w14:paraId="15D176D5"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5</w:t>
            </w:r>
          </w:p>
        </w:tc>
        <w:tc>
          <w:tcPr>
            <w:tcW w:w="2124" w:type="dxa"/>
            <w:tcBorders>
              <w:bottom w:val="single" w:sz="4" w:space="0" w:color="27B1B0"/>
            </w:tcBorders>
            <w:vAlign w:val="center"/>
          </w:tcPr>
          <w:p w14:paraId="1FC879EF"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25.50</w:t>
            </w:r>
          </w:p>
        </w:tc>
        <w:tc>
          <w:tcPr>
            <w:tcW w:w="1568" w:type="dxa"/>
            <w:tcBorders>
              <w:bottom w:val="single" w:sz="4" w:space="0" w:color="27B1B0"/>
            </w:tcBorders>
            <w:vAlign w:val="center"/>
          </w:tcPr>
          <w:p w14:paraId="68FA9446"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1,480</w:t>
            </w:r>
          </w:p>
        </w:tc>
      </w:tr>
      <w:tr w:rsidR="00D26EC6" w:rsidRPr="00445472" w14:paraId="41FED9DE" w14:textId="77777777" w:rsidTr="00B15A6B">
        <w:trPr>
          <w:jc w:val="center"/>
        </w:trPr>
        <w:tc>
          <w:tcPr>
            <w:tcW w:w="1400" w:type="dxa"/>
            <w:vMerge/>
            <w:vAlign w:val="center"/>
          </w:tcPr>
          <w:p w14:paraId="42838BF8" w14:textId="77777777" w:rsidR="00D26EC6" w:rsidRPr="00445472" w:rsidRDefault="00D26EC6" w:rsidP="00B15A6B">
            <w:pPr>
              <w:spacing w:before="22" w:after="22"/>
              <w:ind w:right="63"/>
              <w:jc w:val="center"/>
              <w:rPr>
                <w:rFonts w:ascii="Garamond" w:eastAsia="MS Mincho" w:hAnsi="Garamond" w:cs="Arial"/>
                <w:sz w:val="20"/>
                <w:szCs w:val="20"/>
              </w:rPr>
            </w:pPr>
          </w:p>
        </w:tc>
        <w:tc>
          <w:tcPr>
            <w:tcW w:w="1572" w:type="dxa"/>
            <w:shd w:val="clear" w:color="auto" w:fill="E6E6E6"/>
            <w:vAlign w:val="center"/>
          </w:tcPr>
          <w:p w14:paraId="4B9D8B2D"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Tale</w:t>
            </w:r>
          </w:p>
        </w:tc>
        <w:tc>
          <w:tcPr>
            <w:tcW w:w="0" w:type="auto"/>
            <w:shd w:val="clear" w:color="auto" w:fill="E6E6E6"/>
            <w:vAlign w:val="center"/>
          </w:tcPr>
          <w:p w14:paraId="75F10E44"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4,777</w:t>
            </w:r>
          </w:p>
        </w:tc>
        <w:tc>
          <w:tcPr>
            <w:tcW w:w="0" w:type="auto"/>
            <w:shd w:val="clear" w:color="auto" w:fill="E6E6E6"/>
            <w:vAlign w:val="center"/>
          </w:tcPr>
          <w:p w14:paraId="3BBD4D80"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7</w:t>
            </w:r>
          </w:p>
        </w:tc>
        <w:tc>
          <w:tcPr>
            <w:tcW w:w="2124" w:type="dxa"/>
            <w:shd w:val="clear" w:color="auto" w:fill="E6E6E6"/>
            <w:vAlign w:val="center"/>
          </w:tcPr>
          <w:p w14:paraId="6852F8A5"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22.35</w:t>
            </w:r>
          </w:p>
        </w:tc>
        <w:tc>
          <w:tcPr>
            <w:tcW w:w="1568" w:type="dxa"/>
            <w:shd w:val="clear" w:color="auto" w:fill="E6E6E6"/>
            <w:vAlign w:val="center"/>
          </w:tcPr>
          <w:p w14:paraId="5219C74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1,555</w:t>
            </w:r>
          </w:p>
        </w:tc>
      </w:tr>
      <w:tr w:rsidR="00D26EC6" w:rsidRPr="00445472" w14:paraId="16D5FD03" w14:textId="77777777" w:rsidTr="00B15A6B">
        <w:trPr>
          <w:jc w:val="center"/>
        </w:trPr>
        <w:tc>
          <w:tcPr>
            <w:tcW w:w="1400" w:type="dxa"/>
            <w:vMerge/>
            <w:vAlign w:val="center"/>
          </w:tcPr>
          <w:p w14:paraId="68F8E2C7" w14:textId="77777777" w:rsidR="00D26EC6" w:rsidRPr="00445472" w:rsidRDefault="00D26EC6" w:rsidP="00B15A6B">
            <w:pPr>
              <w:spacing w:before="22" w:after="22"/>
              <w:ind w:right="63"/>
              <w:jc w:val="center"/>
              <w:rPr>
                <w:rFonts w:ascii="Garamond" w:eastAsia="MS Mincho" w:hAnsi="Garamond" w:cs="Arial"/>
                <w:sz w:val="20"/>
                <w:szCs w:val="20"/>
              </w:rPr>
            </w:pPr>
          </w:p>
        </w:tc>
        <w:tc>
          <w:tcPr>
            <w:tcW w:w="1572" w:type="dxa"/>
            <w:tcBorders>
              <w:bottom w:val="single" w:sz="4" w:space="0" w:color="27B1B0"/>
            </w:tcBorders>
            <w:vAlign w:val="center"/>
          </w:tcPr>
          <w:p w14:paraId="2F20D0EC"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Ishull Shëngjin</w:t>
            </w:r>
          </w:p>
        </w:tc>
        <w:tc>
          <w:tcPr>
            <w:tcW w:w="0" w:type="auto"/>
            <w:tcBorders>
              <w:bottom w:val="single" w:sz="4" w:space="0" w:color="27B1B0"/>
            </w:tcBorders>
            <w:vAlign w:val="center"/>
          </w:tcPr>
          <w:p w14:paraId="18FBC56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640</w:t>
            </w:r>
          </w:p>
        </w:tc>
        <w:tc>
          <w:tcPr>
            <w:tcW w:w="0" w:type="auto"/>
            <w:tcBorders>
              <w:bottom w:val="single" w:sz="4" w:space="0" w:color="27B1B0"/>
            </w:tcBorders>
            <w:vAlign w:val="center"/>
          </w:tcPr>
          <w:p w14:paraId="0DD0C7D4"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4</w:t>
            </w:r>
          </w:p>
        </w:tc>
        <w:tc>
          <w:tcPr>
            <w:tcW w:w="2124" w:type="dxa"/>
            <w:tcBorders>
              <w:bottom w:val="single" w:sz="4" w:space="0" w:color="27B1B0"/>
            </w:tcBorders>
            <w:vAlign w:val="center"/>
          </w:tcPr>
          <w:p w14:paraId="1D8EC777"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3.60</w:t>
            </w:r>
          </w:p>
        </w:tc>
        <w:tc>
          <w:tcPr>
            <w:tcW w:w="1568" w:type="dxa"/>
            <w:tcBorders>
              <w:bottom w:val="single" w:sz="4" w:space="0" w:color="27B1B0"/>
            </w:tcBorders>
            <w:vAlign w:val="center"/>
          </w:tcPr>
          <w:p w14:paraId="0986E398"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320</w:t>
            </w:r>
          </w:p>
        </w:tc>
      </w:tr>
      <w:tr w:rsidR="00D26EC6" w:rsidRPr="00445472" w14:paraId="3CDECDA4" w14:textId="77777777" w:rsidTr="00B15A6B">
        <w:trPr>
          <w:jc w:val="center"/>
        </w:trPr>
        <w:tc>
          <w:tcPr>
            <w:tcW w:w="1400" w:type="dxa"/>
            <w:vMerge/>
            <w:vAlign w:val="center"/>
          </w:tcPr>
          <w:p w14:paraId="2A5817CF" w14:textId="77777777" w:rsidR="00D26EC6" w:rsidRPr="00445472" w:rsidRDefault="00D26EC6" w:rsidP="00B15A6B">
            <w:pPr>
              <w:spacing w:before="22" w:after="22"/>
              <w:ind w:right="63"/>
              <w:jc w:val="center"/>
              <w:rPr>
                <w:rFonts w:ascii="Garamond" w:eastAsia="MS Mincho" w:hAnsi="Garamond" w:cs="Arial"/>
                <w:sz w:val="20"/>
                <w:szCs w:val="20"/>
              </w:rPr>
            </w:pPr>
          </w:p>
        </w:tc>
        <w:tc>
          <w:tcPr>
            <w:tcW w:w="1572" w:type="dxa"/>
            <w:tcBorders>
              <w:bottom w:val="single" w:sz="4" w:space="0" w:color="27B1B0"/>
            </w:tcBorders>
            <w:shd w:val="clear" w:color="auto" w:fill="E6E6E6"/>
            <w:vAlign w:val="center"/>
          </w:tcPr>
          <w:p w14:paraId="10963120"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Grykë Zezë</w:t>
            </w:r>
          </w:p>
        </w:tc>
        <w:tc>
          <w:tcPr>
            <w:tcW w:w="0" w:type="auto"/>
            <w:tcBorders>
              <w:bottom w:val="single" w:sz="4" w:space="0" w:color="27B1B0"/>
            </w:tcBorders>
            <w:shd w:val="clear" w:color="auto" w:fill="E6E6E6"/>
            <w:vAlign w:val="center"/>
          </w:tcPr>
          <w:p w14:paraId="6CE752B1"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550</w:t>
            </w:r>
          </w:p>
        </w:tc>
        <w:tc>
          <w:tcPr>
            <w:tcW w:w="0" w:type="auto"/>
            <w:tcBorders>
              <w:bottom w:val="single" w:sz="4" w:space="0" w:color="27B1B0"/>
            </w:tcBorders>
            <w:shd w:val="clear" w:color="auto" w:fill="E6E6E6"/>
            <w:vAlign w:val="center"/>
          </w:tcPr>
          <w:p w14:paraId="015C47BE"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4</w:t>
            </w:r>
          </w:p>
        </w:tc>
        <w:tc>
          <w:tcPr>
            <w:tcW w:w="2124" w:type="dxa"/>
            <w:tcBorders>
              <w:bottom w:val="single" w:sz="4" w:space="0" w:color="27B1B0"/>
            </w:tcBorders>
            <w:shd w:val="clear" w:color="auto" w:fill="E6E6E6"/>
            <w:vAlign w:val="center"/>
          </w:tcPr>
          <w:p w14:paraId="4C38E5D1"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3.90</w:t>
            </w:r>
          </w:p>
        </w:tc>
        <w:tc>
          <w:tcPr>
            <w:tcW w:w="1568" w:type="dxa"/>
            <w:tcBorders>
              <w:bottom w:val="single" w:sz="4" w:space="0" w:color="27B1B0"/>
            </w:tcBorders>
            <w:shd w:val="clear" w:color="auto" w:fill="E6E6E6"/>
            <w:vAlign w:val="center"/>
          </w:tcPr>
          <w:p w14:paraId="3DD559B2"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420</w:t>
            </w:r>
          </w:p>
        </w:tc>
      </w:tr>
      <w:tr w:rsidR="00D26EC6" w:rsidRPr="00445472" w14:paraId="4923E716" w14:textId="77777777" w:rsidTr="00B15A6B">
        <w:trPr>
          <w:jc w:val="center"/>
        </w:trPr>
        <w:tc>
          <w:tcPr>
            <w:tcW w:w="1400" w:type="dxa"/>
            <w:vMerge/>
            <w:tcBorders>
              <w:bottom w:val="single" w:sz="4" w:space="0" w:color="27B1B0"/>
            </w:tcBorders>
            <w:vAlign w:val="center"/>
          </w:tcPr>
          <w:p w14:paraId="4A83ED76" w14:textId="77777777" w:rsidR="00D26EC6" w:rsidRPr="00445472" w:rsidRDefault="00D26EC6" w:rsidP="00B15A6B">
            <w:pPr>
              <w:spacing w:before="22" w:after="22"/>
              <w:ind w:right="63"/>
              <w:jc w:val="center"/>
              <w:rPr>
                <w:rFonts w:ascii="Garamond" w:eastAsia="MS Mincho" w:hAnsi="Garamond" w:cs="Arial"/>
                <w:sz w:val="20"/>
                <w:szCs w:val="20"/>
              </w:rPr>
            </w:pPr>
          </w:p>
        </w:tc>
        <w:tc>
          <w:tcPr>
            <w:tcW w:w="1572" w:type="dxa"/>
            <w:tcBorders>
              <w:bottom w:val="single" w:sz="4" w:space="0" w:color="27B1B0"/>
            </w:tcBorders>
            <w:shd w:val="clear" w:color="auto" w:fill="auto"/>
            <w:vAlign w:val="center"/>
          </w:tcPr>
          <w:p w14:paraId="42399C63"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Gocaj</w:t>
            </w:r>
          </w:p>
        </w:tc>
        <w:tc>
          <w:tcPr>
            <w:tcW w:w="0" w:type="auto"/>
            <w:tcBorders>
              <w:bottom w:val="single" w:sz="4" w:space="0" w:color="27B1B0"/>
            </w:tcBorders>
            <w:shd w:val="clear" w:color="auto" w:fill="auto"/>
            <w:vAlign w:val="center"/>
          </w:tcPr>
          <w:p w14:paraId="3731579C"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220</w:t>
            </w:r>
          </w:p>
        </w:tc>
        <w:tc>
          <w:tcPr>
            <w:tcW w:w="0" w:type="auto"/>
            <w:tcBorders>
              <w:bottom w:val="single" w:sz="4" w:space="0" w:color="27B1B0"/>
            </w:tcBorders>
            <w:shd w:val="clear" w:color="auto" w:fill="auto"/>
            <w:vAlign w:val="center"/>
          </w:tcPr>
          <w:p w14:paraId="7AFAC6BF"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w:t>
            </w:r>
          </w:p>
        </w:tc>
        <w:tc>
          <w:tcPr>
            <w:tcW w:w="2124" w:type="dxa"/>
            <w:tcBorders>
              <w:bottom w:val="single" w:sz="4" w:space="0" w:color="27B1B0"/>
            </w:tcBorders>
            <w:shd w:val="clear" w:color="auto" w:fill="auto"/>
            <w:vAlign w:val="center"/>
          </w:tcPr>
          <w:p w14:paraId="01A78DBE"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1.30</w:t>
            </w:r>
          </w:p>
        </w:tc>
        <w:tc>
          <w:tcPr>
            <w:tcW w:w="1568" w:type="dxa"/>
            <w:tcBorders>
              <w:bottom w:val="single" w:sz="4" w:space="0" w:color="27B1B0"/>
            </w:tcBorders>
            <w:shd w:val="clear" w:color="auto" w:fill="auto"/>
            <w:vAlign w:val="center"/>
          </w:tcPr>
          <w:p w14:paraId="13F56B59"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110</w:t>
            </w:r>
          </w:p>
        </w:tc>
      </w:tr>
      <w:tr w:rsidR="00D26EC6" w:rsidRPr="00445472" w14:paraId="3314D993" w14:textId="77777777" w:rsidTr="00B15A6B">
        <w:trPr>
          <w:jc w:val="center"/>
        </w:trPr>
        <w:tc>
          <w:tcPr>
            <w:tcW w:w="1400" w:type="dxa"/>
            <w:shd w:val="clear" w:color="auto" w:fill="C0C0C0"/>
            <w:vAlign w:val="center"/>
          </w:tcPr>
          <w:p w14:paraId="01650D5A"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 xml:space="preserve">Nëntotal </w:t>
            </w:r>
          </w:p>
        </w:tc>
        <w:tc>
          <w:tcPr>
            <w:tcW w:w="1572" w:type="dxa"/>
            <w:shd w:val="clear" w:color="auto" w:fill="C0C0C0"/>
            <w:vAlign w:val="center"/>
          </w:tcPr>
          <w:p w14:paraId="1CBDE31B" w14:textId="77777777" w:rsidR="00D26EC6" w:rsidRPr="00445472" w:rsidRDefault="00D26EC6" w:rsidP="00B15A6B">
            <w:pPr>
              <w:spacing w:before="22" w:after="22"/>
              <w:ind w:right="63"/>
              <w:jc w:val="center"/>
              <w:rPr>
                <w:rFonts w:ascii="Garamond" w:eastAsia="MS Mincho" w:hAnsi="Garamond" w:cs="Arial"/>
                <w:sz w:val="20"/>
                <w:szCs w:val="20"/>
              </w:rPr>
            </w:pPr>
          </w:p>
        </w:tc>
        <w:tc>
          <w:tcPr>
            <w:tcW w:w="0" w:type="auto"/>
            <w:shd w:val="clear" w:color="auto" w:fill="C0C0C0"/>
            <w:vAlign w:val="center"/>
          </w:tcPr>
          <w:p w14:paraId="3BBE3922"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 xml:space="preserve"> 8,867 </w:t>
            </w:r>
          </w:p>
        </w:tc>
        <w:tc>
          <w:tcPr>
            <w:tcW w:w="0" w:type="auto"/>
            <w:shd w:val="clear" w:color="auto" w:fill="C0C0C0"/>
            <w:vAlign w:val="center"/>
          </w:tcPr>
          <w:p w14:paraId="0BA2A6C8"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 22</w:t>
            </w:r>
          </w:p>
        </w:tc>
        <w:tc>
          <w:tcPr>
            <w:tcW w:w="2124" w:type="dxa"/>
            <w:shd w:val="clear" w:color="auto" w:fill="C0C0C0"/>
            <w:vAlign w:val="center"/>
          </w:tcPr>
          <w:p w14:paraId="79E50525"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 56.65</w:t>
            </w:r>
          </w:p>
        </w:tc>
        <w:tc>
          <w:tcPr>
            <w:tcW w:w="1568" w:type="dxa"/>
            <w:shd w:val="clear" w:color="auto" w:fill="C0C0C0"/>
            <w:vAlign w:val="center"/>
          </w:tcPr>
          <w:p w14:paraId="62034903"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 3,885</w:t>
            </w:r>
          </w:p>
        </w:tc>
      </w:tr>
      <w:tr w:rsidR="00D26EC6" w:rsidRPr="00445472" w14:paraId="74ACBE15" w14:textId="77777777" w:rsidTr="00B15A6B">
        <w:trPr>
          <w:jc w:val="center"/>
        </w:trPr>
        <w:tc>
          <w:tcPr>
            <w:tcW w:w="1400" w:type="dxa"/>
            <w:tcBorders>
              <w:bottom w:val="single" w:sz="4" w:space="0" w:color="27B1B0"/>
            </w:tcBorders>
            <w:vAlign w:val="center"/>
          </w:tcPr>
          <w:p w14:paraId="41EB9BF1"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Korçë (Pogradec)</w:t>
            </w:r>
          </w:p>
        </w:tc>
        <w:tc>
          <w:tcPr>
            <w:tcW w:w="1572" w:type="dxa"/>
            <w:tcBorders>
              <w:bottom w:val="single" w:sz="4" w:space="0" w:color="27B1B0"/>
            </w:tcBorders>
            <w:vAlign w:val="center"/>
          </w:tcPr>
          <w:p w14:paraId="06CA4798"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Tushemisht</w:t>
            </w:r>
          </w:p>
        </w:tc>
        <w:tc>
          <w:tcPr>
            <w:tcW w:w="0" w:type="auto"/>
            <w:tcBorders>
              <w:bottom w:val="single" w:sz="4" w:space="0" w:color="27B1B0"/>
            </w:tcBorders>
            <w:vAlign w:val="center"/>
          </w:tcPr>
          <w:p w14:paraId="192939EF"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300</w:t>
            </w:r>
          </w:p>
        </w:tc>
        <w:tc>
          <w:tcPr>
            <w:tcW w:w="0" w:type="auto"/>
            <w:tcBorders>
              <w:bottom w:val="single" w:sz="4" w:space="0" w:color="27B1B0"/>
            </w:tcBorders>
            <w:vAlign w:val="center"/>
          </w:tcPr>
          <w:p w14:paraId="5DA043A3"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4</w:t>
            </w:r>
          </w:p>
        </w:tc>
        <w:tc>
          <w:tcPr>
            <w:tcW w:w="2124" w:type="dxa"/>
            <w:tcBorders>
              <w:bottom w:val="single" w:sz="4" w:space="0" w:color="27B1B0"/>
            </w:tcBorders>
            <w:vAlign w:val="center"/>
          </w:tcPr>
          <w:p w14:paraId="684FBECC"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2.40</w:t>
            </w:r>
          </w:p>
        </w:tc>
        <w:tc>
          <w:tcPr>
            <w:tcW w:w="1568" w:type="dxa"/>
            <w:tcBorders>
              <w:bottom w:val="single" w:sz="4" w:space="0" w:color="27B1B0"/>
            </w:tcBorders>
            <w:vAlign w:val="center"/>
          </w:tcPr>
          <w:p w14:paraId="5657783E"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350</w:t>
            </w:r>
          </w:p>
        </w:tc>
      </w:tr>
      <w:tr w:rsidR="00D26EC6" w:rsidRPr="00445472" w14:paraId="42D18A10" w14:textId="77777777" w:rsidTr="00B15A6B">
        <w:trPr>
          <w:jc w:val="center"/>
        </w:trPr>
        <w:tc>
          <w:tcPr>
            <w:tcW w:w="1400" w:type="dxa"/>
            <w:shd w:val="clear" w:color="auto" w:fill="C0C0C0"/>
            <w:vAlign w:val="center"/>
          </w:tcPr>
          <w:p w14:paraId="22052A7C"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Total</w:t>
            </w:r>
          </w:p>
        </w:tc>
        <w:tc>
          <w:tcPr>
            <w:tcW w:w="1572" w:type="dxa"/>
            <w:shd w:val="clear" w:color="auto" w:fill="C0C0C0"/>
            <w:vAlign w:val="center"/>
          </w:tcPr>
          <w:p w14:paraId="3B3B9E74" w14:textId="77777777" w:rsidR="00D26EC6" w:rsidRPr="00445472" w:rsidRDefault="00D26EC6" w:rsidP="00B15A6B">
            <w:pPr>
              <w:spacing w:before="22" w:after="22"/>
              <w:ind w:right="63"/>
              <w:jc w:val="center"/>
              <w:rPr>
                <w:rFonts w:ascii="Garamond" w:eastAsia="MS Mincho" w:hAnsi="Garamond" w:cs="Arial"/>
                <w:sz w:val="20"/>
                <w:szCs w:val="20"/>
              </w:rPr>
            </w:pPr>
          </w:p>
        </w:tc>
        <w:tc>
          <w:tcPr>
            <w:tcW w:w="0" w:type="auto"/>
            <w:shd w:val="clear" w:color="auto" w:fill="C0C0C0"/>
            <w:vAlign w:val="center"/>
          </w:tcPr>
          <w:p w14:paraId="793AA5F3"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12,567</w:t>
            </w:r>
          </w:p>
        </w:tc>
        <w:tc>
          <w:tcPr>
            <w:tcW w:w="0" w:type="auto"/>
            <w:shd w:val="clear" w:color="auto" w:fill="C0C0C0"/>
            <w:vAlign w:val="center"/>
          </w:tcPr>
          <w:p w14:paraId="59FD4500"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26</w:t>
            </w:r>
          </w:p>
        </w:tc>
        <w:tc>
          <w:tcPr>
            <w:tcW w:w="2124" w:type="dxa"/>
            <w:shd w:val="clear" w:color="auto" w:fill="C0C0C0"/>
            <w:vAlign w:val="center"/>
          </w:tcPr>
          <w:p w14:paraId="644CF63A"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87.15</w:t>
            </w:r>
          </w:p>
        </w:tc>
        <w:tc>
          <w:tcPr>
            <w:tcW w:w="1568" w:type="dxa"/>
            <w:shd w:val="clear" w:color="auto" w:fill="C0C0C0"/>
            <w:vAlign w:val="center"/>
          </w:tcPr>
          <w:p w14:paraId="778EF81E" w14:textId="77777777" w:rsidR="00D26EC6" w:rsidRPr="00445472" w:rsidRDefault="00D26EC6"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5,955</w:t>
            </w:r>
          </w:p>
        </w:tc>
      </w:tr>
    </w:tbl>
    <w:p w14:paraId="7BAA68B1" w14:textId="77777777" w:rsidR="00D26EC6" w:rsidRPr="00445472" w:rsidRDefault="00D26EC6" w:rsidP="00BB44DB">
      <w:pPr>
        <w:pStyle w:val="TEKSTIIII"/>
      </w:pPr>
    </w:p>
    <w:p w14:paraId="537F492F" w14:textId="417F41F9" w:rsidR="00D26EC6" w:rsidRPr="00445472" w:rsidRDefault="00D26EC6" w:rsidP="00BB44DB">
      <w:pPr>
        <w:pStyle w:val="TEKSTIIII"/>
      </w:pPr>
      <w:r w:rsidRPr="00445472">
        <w:t xml:space="preserve">Siç përmendet më lart, autoritetet lokale do të administrojnë rrjetin sekondar dhe tercial të sistemit të ujitjes dhe kullimit dhe Bordet Rajonale mbeten përgjegjës për digat e ujitjes dhe rrjetin kryesor të ujitjes dhe kullimit. Figura 8.18 më poshtë tregon investimet në rrjetin e ujitjes dhe kullimit në basenin ujor </w:t>
      </w:r>
      <w:r w:rsidR="007E76E3" w:rsidRPr="00445472">
        <w:t>Drin–Bunë</w:t>
      </w:r>
      <w:r w:rsidRPr="00445472">
        <w:t xml:space="preserve"> gjatë 4 viteve të fundit. </w:t>
      </w:r>
    </w:p>
    <w:p w14:paraId="552765B7" w14:textId="77777777" w:rsidR="00D26EC6" w:rsidRPr="00445472" w:rsidRDefault="00D26EC6" w:rsidP="00BB44DB">
      <w:pPr>
        <w:pStyle w:val="TEKSTIIII"/>
        <w:rPr>
          <w:b/>
          <w:bCs/>
        </w:rPr>
      </w:pPr>
    </w:p>
    <w:p w14:paraId="63760EEC" w14:textId="77777777" w:rsidR="00D26EC6" w:rsidRPr="00445472" w:rsidRDefault="00D26EC6" w:rsidP="00D26EC6">
      <w:pPr>
        <w:jc w:val="center"/>
        <w:rPr>
          <w:rFonts w:ascii="Garamond" w:hAnsi="Garamond"/>
        </w:rPr>
      </w:pPr>
      <w:r w:rsidRPr="00445472">
        <w:rPr>
          <w:rFonts w:ascii="Garamond" w:hAnsi="Garamond"/>
          <w:noProof/>
          <w:lang w:val="en-US"/>
        </w:rPr>
        <w:drawing>
          <wp:inline distT="0" distB="0" distL="0" distR="0" wp14:anchorId="416A4359" wp14:editId="24A686CC">
            <wp:extent cx="5504815" cy="2846705"/>
            <wp:effectExtent l="0" t="0" r="0" b="0"/>
            <wp:docPr id="3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504815" cy="2846705"/>
                    </a:xfrm>
                    <a:prstGeom prst="rect">
                      <a:avLst/>
                    </a:prstGeom>
                    <a:noFill/>
                    <a:ln>
                      <a:noFill/>
                    </a:ln>
                  </pic:spPr>
                </pic:pic>
              </a:graphicData>
            </a:graphic>
          </wp:inline>
        </w:drawing>
      </w:r>
    </w:p>
    <w:p w14:paraId="43274DB9" w14:textId="4F20CD03" w:rsidR="00D26EC6" w:rsidRPr="00445472" w:rsidRDefault="00D26EC6" w:rsidP="00BB44DB">
      <w:pPr>
        <w:pStyle w:val="NENTITULL"/>
      </w:pPr>
      <w:r w:rsidRPr="00445472">
        <w:t xml:space="preserve">Figura 8.18:  Investimet e fundit në rrjetin e ujitjes dhe kullimit në basenin ujor </w:t>
      </w:r>
      <w:r w:rsidR="007E76E3" w:rsidRPr="00445472">
        <w:t>Drin–Bunë</w:t>
      </w:r>
      <w:r w:rsidRPr="00445472">
        <w:rPr>
          <w:vertAlign w:val="superscript"/>
        </w:rPr>
        <w:footnoteReference w:id="165"/>
      </w:r>
    </w:p>
    <w:p w14:paraId="55DD91D1" w14:textId="77777777" w:rsidR="00D26EC6" w:rsidRPr="00445472" w:rsidRDefault="00D26EC6" w:rsidP="00BB44DB">
      <w:pPr>
        <w:pStyle w:val="TEKSTIIII"/>
      </w:pPr>
    </w:p>
    <w:p w14:paraId="302FD013" w14:textId="334D2E4C" w:rsidR="00D26EC6" w:rsidRPr="00445472" w:rsidRDefault="00D26EC6" w:rsidP="00BB44DB">
      <w:pPr>
        <w:pStyle w:val="TEKSTIIII"/>
      </w:pPr>
      <w:r w:rsidRPr="00445472">
        <w:t xml:space="preserve">Siç u tha më lart, zona e ulët e lumit </w:t>
      </w:r>
      <w:r w:rsidR="007E76E3" w:rsidRPr="00445472">
        <w:t>Drin–Bunë</w:t>
      </w:r>
      <w:r w:rsidRPr="00445472">
        <w:t xml:space="preserve"> është nën rrezikun e përmbytjeve. Tabela 8.4 më poshtë tregon statusin aktual të argjinaturave në rajonet e Shkodrës dhe Lezhës dhe gjatësinë e argjinaturës në secilën prej tyre, të cilat kërkojnë rehabilitim për mbrojtjen e komunave dhe tokës bujqësore sidomos gjatë situatës së shiut të rëndë.</w:t>
      </w:r>
    </w:p>
    <w:p w14:paraId="354E37E1" w14:textId="77777777" w:rsidR="00D26EC6" w:rsidRPr="00445472" w:rsidRDefault="00D26EC6" w:rsidP="00BB44DB">
      <w:pPr>
        <w:pStyle w:val="TEKSTIIII"/>
      </w:pPr>
    </w:p>
    <w:p w14:paraId="0A3CC6BD" w14:textId="77777777" w:rsidR="00BB44DB" w:rsidRPr="00445472" w:rsidRDefault="00BB44DB" w:rsidP="00BB44DB">
      <w:pPr>
        <w:pStyle w:val="TEKSTIIII"/>
      </w:pPr>
    </w:p>
    <w:p w14:paraId="58A0E693" w14:textId="77777777" w:rsidR="00BB44DB" w:rsidRPr="00445472" w:rsidRDefault="00BB44DB" w:rsidP="00BB44DB">
      <w:pPr>
        <w:pStyle w:val="TEKSTIIII"/>
      </w:pPr>
    </w:p>
    <w:p w14:paraId="2FBA6BCC" w14:textId="77777777" w:rsidR="00BB44DB" w:rsidRPr="00445472" w:rsidRDefault="00BB44DB" w:rsidP="00BB44DB">
      <w:pPr>
        <w:pStyle w:val="TEKSTIIII"/>
      </w:pPr>
    </w:p>
    <w:p w14:paraId="14C27773" w14:textId="2047376D" w:rsidR="00D26EC6" w:rsidRPr="00445472" w:rsidRDefault="00D26EC6" w:rsidP="00BB44DB">
      <w:pPr>
        <w:pStyle w:val="NENTITULL"/>
      </w:pPr>
      <w:r w:rsidRPr="00445472">
        <w:t xml:space="preserve">Tabela 8.4: Argjinaturat për mbrojtjen nga përmbytjet në basenin ujor </w:t>
      </w:r>
      <w:r w:rsidR="007E76E3" w:rsidRPr="00445472">
        <w:t>Drin–Bunë</w:t>
      </w:r>
      <w:r w:rsidRPr="00445472">
        <w:rPr>
          <w:rStyle w:val="FootnoteReference"/>
          <w:rFonts w:ascii="Garamond" w:hAnsi="Garamond"/>
          <w:b w:val="0"/>
          <w:bCs/>
          <w:color w:val="auto"/>
        </w:rPr>
        <w:footnoteReference w:id="166"/>
      </w: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238"/>
        <w:gridCol w:w="2816"/>
        <w:gridCol w:w="5073"/>
      </w:tblGrid>
      <w:tr w:rsidR="00D26EC6" w:rsidRPr="00445472" w14:paraId="490B6178" w14:textId="77777777" w:rsidTr="00B15A6B">
        <w:trPr>
          <w:trHeight w:val="413"/>
          <w:jc w:val="center"/>
        </w:trPr>
        <w:tc>
          <w:tcPr>
            <w:tcW w:w="0" w:type="auto"/>
            <w:tcBorders>
              <w:bottom w:val="single" w:sz="4" w:space="0" w:color="27B1B0"/>
            </w:tcBorders>
            <w:shd w:val="clear" w:color="auto" w:fill="auto"/>
            <w:vAlign w:val="center"/>
          </w:tcPr>
          <w:p w14:paraId="036D3FE9" w14:textId="77777777" w:rsidR="00D26EC6" w:rsidRPr="00445472" w:rsidRDefault="00D26EC6" w:rsidP="00B15A6B">
            <w:pPr>
              <w:spacing w:before="22" w:after="22"/>
              <w:ind w:right="63"/>
              <w:jc w:val="center"/>
              <w:rPr>
                <w:rFonts w:ascii="Garamond" w:eastAsia="MS Mincho" w:hAnsi="Garamond" w:cs="Arial"/>
                <w:b/>
                <w:sz w:val="20"/>
                <w:szCs w:val="18"/>
              </w:rPr>
            </w:pPr>
            <w:r w:rsidRPr="00445472">
              <w:rPr>
                <w:rFonts w:ascii="Garamond" w:eastAsia="MS Mincho" w:hAnsi="Garamond" w:cs="Arial"/>
                <w:b/>
                <w:sz w:val="20"/>
                <w:szCs w:val="18"/>
              </w:rPr>
              <w:t>Argjinaturë</w:t>
            </w:r>
          </w:p>
        </w:tc>
        <w:tc>
          <w:tcPr>
            <w:tcW w:w="2816" w:type="dxa"/>
            <w:tcBorders>
              <w:bottom w:val="single" w:sz="4" w:space="0" w:color="27B1B0"/>
            </w:tcBorders>
            <w:shd w:val="clear" w:color="auto" w:fill="auto"/>
            <w:vAlign w:val="center"/>
          </w:tcPr>
          <w:p w14:paraId="11398BEA" w14:textId="77777777" w:rsidR="00D26EC6" w:rsidRPr="00445472" w:rsidRDefault="00D26EC6" w:rsidP="00B15A6B">
            <w:pPr>
              <w:spacing w:before="22" w:after="22"/>
              <w:ind w:right="63"/>
              <w:jc w:val="center"/>
              <w:rPr>
                <w:rFonts w:ascii="Garamond" w:eastAsia="MS Mincho" w:hAnsi="Garamond" w:cs="Arial"/>
                <w:b/>
                <w:sz w:val="20"/>
                <w:szCs w:val="18"/>
              </w:rPr>
            </w:pPr>
            <w:r w:rsidRPr="00445472">
              <w:rPr>
                <w:rFonts w:ascii="Garamond" w:eastAsia="MS Mincho" w:hAnsi="Garamond" w:cs="Arial"/>
                <w:b/>
                <w:sz w:val="20"/>
                <w:szCs w:val="18"/>
              </w:rPr>
              <w:t>Gjatësia e Argjinaturës (km)</w:t>
            </w:r>
          </w:p>
        </w:tc>
        <w:tc>
          <w:tcPr>
            <w:tcW w:w="0" w:type="auto"/>
            <w:tcBorders>
              <w:bottom w:val="single" w:sz="4" w:space="0" w:color="27B1B0"/>
            </w:tcBorders>
            <w:shd w:val="clear" w:color="auto" w:fill="auto"/>
            <w:vAlign w:val="center"/>
          </w:tcPr>
          <w:p w14:paraId="67B9414F" w14:textId="77777777" w:rsidR="00D26EC6" w:rsidRPr="00445472" w:rsidRDefault="00D26EC6" w:rsidP="00B15A6B">
            <w:pPr>
              <w:spacing w:before="22" w:after="22"/>
              <w:ind w:right="63"/>
              <w:jc w:val="center"/>
              <w:rPr>
                <w:rFonts w:ascii="Garamond" w:eastAsia="MS Mincho" w:hAnsi="Garamond" w:cs="Arial"/>
                <w:b/>
                <w:sz w:val="20"/>
                <w:szCs w:val="18"/>
              </w:rPr>
            </w:pPr>
            <w:r w:rsidRPr="00445472">
              <w:rPr>
                <w:rFonts w:ascii="Garamond" w:eastAsia="MS Mincho" w:hAnsi="Garamond" w:cs="Arial"/>
                <w:b/>
                <w:sz w:val="20"/>
                <w:szCs w:val="18"/>
              </w:rPr>
              <w:t>Gjatësia e Argjinaturës që ka nevojë për rehabilitim (km)</w:t>
            </w:r>
          </w:p>
        </w:tc>
      </w:tr>
      <w:tr w:rsidR="00D26EC6" w:rsidRPr="00445472" w14:paraId="1820EA84" w14:textId="77777777" w:rsidTr="00B15A6B">
        <w:trPr>
          <w:jc w:val="center"/>
        </w:trPr>
        <w:tc>
          <w:tcPr>
            <w:tcW w:w="0" w:type="auto"/>
            <w:shd w:val="clear" w:color="auto" w:fill="E6E6E6"/>
            <w:vAlign w:val="center"/>
          </w:tcPr>
          <w:p w14:paraId="54A71667" w14:textId="77777777" w:rsidR="00D26EC6" w:rsidRPr="00445472" w:rsidRDefault="00D26EC6" w:rsidP="00B15A6B">
            <w:pPr>
              <w:spacing w:before="22" w:after="22"/>
              <w:ind w:right="63"/>
              <w:jc w:val="center"/>
              <w:rPr>
                <w:rFonts w:ascii="Garamond" w:eastAsia="MS Mincho" w:hAnsi="Garamond" w:cs="Arial"/>
                <w:sz w:val="20"/>
                <w:szCs w:val="18"/>
              </w:rPr>
            </w:pPr>
            <w:r w:rsidRPr="00445472">
              <w:rPr>
                <w:rFonts w:ascii="Garamond" w:eastAsia="MS Mincho" w:hAnsi="Garamond" w:cs="Arial"/>
                <w:sz w:val="20"/>
                <w:szCs w:val="18"/>
              </w:rPr>
              <w:t>Shkodër</w:t>
            </w:r>
          </w:p>
        </w:tc>
        <w:tc>
          <w:tcPr>
            <w:tcW w:w="2816" w:type="dxa"/>
            <w:shd w:val="clear" w:color="auto" w:fill="E6E6E6"/>
            <w:vAlign w:val="center"/>
          </w:tcPr>
          <w:p w14:paraId="29135725" w14:textId="77777777" w:rsidR="00D26EC6" w:rsidRPr="00445472" w:rsidRDefault="00D26EC6" w:rsidP="00B15A6B">
            <w:pPr>
              <w:spacing w:before="22" w:after="22"/>
              <w:ind w:right="63"/>
              <w:jc w:val="center"/>
              <w:rPr>
                <w:rFonts w:ascii="Garamond" w:eastAsia="MS Mincho" w:hAnsi="Garamond" w:cs="Arial"/>
                <w:sz w:val="20"/>
                <w:szCs w:val="18"/>
              </w:rPr>
            </w:pPr>
            <w:r w:rsidRPr="00445472">
              <w:rPr>
                <w:rFonts w:ascii="Garamond" w:eastAsia="MS Mincho" w:hAnsi="Garamond" w:cs="Arial"/>
                <w:sz w:val="20"/>
                <w:szCs w:val="18"/>
              </w:rPr>
              <w:t>48</w:t>
            </w:r>
          </w:p>
        </w:tc>
        <w:tc>
          <w:tcPr>
            <w:tcW w:w="0" w:type="auto"/>
            <w:shd w:val="clear" w:color="auto" w:fill="E6E6E6"/>
            <w:vAlign w:val="center"/>
          </w:tcPr>
          <w:p w14:paraId="6602E53B" w14:textId="77777777" w:rsidR="00D26EC6" w:rsidRPr="00445472" w:rsidRDefault="00D26EC6" w:rsidP="00B15A6B">
            <w:pPr>
              <w:spacing w:before="22" w:after="22"/>
              <w:ind w:right="63"/>
              <w:jc w:val="center"/>
              <w:rPr>
                <w:rFonts w:ascii="Garamond" w:eastAsia="MS Mincho" w:hAnsi="Garamond" w:cs="Arial"/>
                <w:sz w:val="20"/>
                <w:szCs w:val="18"/>
              </w:rPr>
            </w:pPr>
            <w:r w:rsidRPr="00445472">
              <w:rPr>
                <w:rFonts w:ascii="Garamond" w:eastAsia="MS Mincho" w:hAnsi="Garamond" w:cs="Arial"/>
                <w:sz w:val="20"/>
                <w:szCs w:val="18"/>
              </w:rPr>
              <w:t xml:space="preserve">  4.3</w:t>
            </w:r>
          </w:p>
        </w:tc>
      </w:tr>
      <w:tr w:rsidR="00D26EC6" w:rsidRPr="00445472" w14:paraId="6313BE6F" w14:textId="77777777" w:rsidTr="00B15A6B">
        <w:trPr>
          <w:jc w:val="center"/>
        </w:trPr>
        <w:tc>
          <w:tcPr>
            <w:tcW w:w="0" w:type="auto"/>
            <w:tcBorders>
              <w:bottom w:val="single" w:sz="4" w:space="0" w:color="27B1B0"/>
            </w:tcBorders>
            <w:vAlign w:val="center"/>
          </w:tcPr>
          <w:p w14:paraId="41D19AE0" w14:textId="77777777" w:rsidR="00D26EC6" w:rsidRPr="00445472" w:rsidRDefault="00D26EC6" w:rsidP="00B15A6B">
            <w:pPr>
              <w:spacing w:before="22" w:after="22"/>
              <w:ind w:right="63"/>
              <w:jc w:val="center"/>
              <w:rPr>
                <w:rFonts w:ascii="Garamond" w:eastAsia="MS Mincho" w:hAnsi="Garamond" w:cs="Arial"/>
                <w:sz w:val="20"/>
                <w:szCs w:val="18"/>
              </w:rPr>
            </w:pPr>
            <w:r w:rsidRPr="00445472">
              <w:rPr>
                <w:rFonts w:ascii="Garamond" w:eastAsia="MS Mincho" w:hAnsi="Garamond" w:cs="Arial"/>
                <w:sz w:val="20"/>
                <w:szCs w:val="18"/>
              </w:rPr>
              <w:t>Lezhë</w:t>
            </w:r>
          </w:p>
        </w:tc>
        <w:tc>
          <w:tcPr>
            <w:tcW w:w="2816" w:type="dxa"/>
            <w:tcBorders>
              <w:bottom w:val="single" w:sz="4" w:space="0" w:color="27B1B0"/>
            </w:tcBorders>
            <w:vAlign w:val="center"/>
          </w:tcPr>
          <w:p w14:paraId="212F63CF" w14:textId="77777777" w:rsidR="00D26EC6" w:rsidRPr="00445472" w:rsidRDefault="00D26EC6" w:rsidP="00B15A6B">
            <w:pPr>
              <w:spacing w:before="22" w:after="22"/>
              <w:ind w:right="63"/>
              <w:jc w:val="center"/>
              <w:rPr>
                <w:rFonts w:ascii="Garamond" w:eastAsia="MS Mincho" w:hAnsi="Garamond" w:cs="Arial"/>
                <w:sz w:val="20"/>
                <w:szCs w:val="18"/>
              </w:rPr>
            </w:pPr>
            <w:r w:rsidRPr="00445472">
              <w:rPr>
                <w:rFonts w:ascii="Garamond" w:eastAsia="MS Mincho" w:hAnsi="Garamond" w:cs="Arial"/>
                <w:sz w:val="20"/>
                <w:szCs w:val="18"/>
              </w:rPr>
              <w:t>112</w:t>
            </w:r>
          </w:p>
        </w:tc>
        <w:tc>
          <w:tcPr>
            <w:tcW w:w="0" w:type="auto"/>
            <w:tcBorders>
              <w:bottom w:val="single" w:sz="4" w:space="0" w:color="27B1B0"/>
            </w:tcBorders>
            <w:vAlign w:val="center"/>
          </w:tcPr>
          <w:p w14:paraId="3214CD46" w14:textId="77777777" w:rsidR="00D26EC6" w:rsidRPr="00445472" w:rsidRDefault="00D26EC6" w:rsidP="00B15A6B">
            <w:pPr>
              <w:spacing w:before="22" w:after="22"/>
              <w:ind w:right="63"/>
              <w:jc w:val="center"/>
              <w:rPr>
                <w:rFonts w:ascii="Garamond" w:eastAsia="MS Mincho" w:hAnsi="Garamond" w:cs="Arial"/>
                <w:sz w:val="20"/>
                <w:szCs w:val="18"/>
              </w:rPr>
            </w:pPr>
            <w:r w:rsidRPr="00445472">
              <w:rPr>
                <w:rFonts w:ascii="Garamond" w:eastAsia="MS Mincho" w:hAnsi="Garamond" w:cs="Arial"/>
                <w:sz w:val="20"/>
                <w:szCs w:val="18"/>
              </w:rPr>
              <w:t>50</w:t>
            </w:r>
          </w:p>
        </w:tc>
      </w:tr>
      <w:tr w:rsidR="00D26EC6" w:rsidRPr="00445472" w14:paraId="75E4E05B" w14:textId="77777777" w:rsidTr="00B15A6B">
        <w:trPr>
          <w:jc w:val="center"/>
        </w:trPr>
        <w:tc>
          <w:tcPr>
            <w:tcW w:w="0" w:type="auto"/>
            <w:shd w:val="clear" w:color="auto" w:fill="C0C0C0"/>
            <w:vAlign w:val="center"/>
          </w:tcPr>
          <w:p w14:paraId="077D9786" w14:textId="77777777" w:rsidR="00D26EC6" w:rsidRPr="00445472" w:rsidRDefault="00D26EC6" w:rsidP="00B15A6B">
            <w:pPr>
              <w:spacing w:before="22" w:after="22"/>
              <w:ind w:right="63"/>
              <w:jc w:val="center"/>
              <w:rPr>
                <w:rFonts w:ascii="Garamond" w:eastAsia="MS Mincho" w:hAnsi="Garamond" w:cs="Arial"/>
                <w:b/>
                <w:sz w:val="20"/>
                <w:szCs w:val="18"/>
              </w:rPr>
            </w:pPr>
            <w:r w:rsidRPr="00445472">
              <w:rPr>
                <w:rFonts w:ascii="Garamond" w:eastAsia="MS Mincho" w:hAnsi="Garamond" w:cs="Arial"/>
                <w:b/>
                <w:sz w:val="20"/>
                <w:szCs w:val="18"/>
              </w:rPr>
              <w:t>Totali</w:t>
            </w:r>
          </w:p>
        </w:tc>
        <w:tc>
          <w:tcPr>
            <w:tcW w:w="2816" w:type="dxa"/>
            <w:shd w:val="clear" w:color="auto" w:fill="C0C0C0"/>
            <w:vAlign w:val="center"/>
          </w:tcPr>
          <w:p w14:paraId="782A9212" w14:textId="77777777" w:rsidR="00D26EC6" w:rsidRPr="00445472" w:rsidRDefault="00D26EC6" w:rsidP="00B15A6B">
            <w:pPr>
              <w:spacing w:before="22" w:after="22"/>
              <w:ind w:right="63"/>
              <w:jc w:val="center"/>
              <w:rPr>
                <w:rFonts w:ascii="Garamond" w:eastAsia="MS Mincho" w:hAnsi="Garamond" w:cs="Arial"/>
                <w:b/>
                <w:sz w:val="20"/>
                <w:szCs w:val="18"/>
              </w:rPr>
            </w:pPr>
            <w:r w:rsidRPr="00445472">
              <w:rPr>
                <w:rFonts w:ascii="Garamond" w:eastAsia="MS Mincho" w:hAnsi="Garamond" w:cs="Arial"/>
                <w:b/>
                <w:sz w:val="20"/>
                <w:szCs w:val="18"/>
              </w:rPr>
              <w:t>160</w:t>
            </w:r>
          </w:p>
        </w:tc>
        <w:tc>
          <w:tcPr>
            <w:tcW w:w="0" w:type="auto"/>
            <w:shd w:val="clear" w:color="auto" w:fill="C0C0C0"/>
            <w:vAlign w:val="center"/>
          </w:tcPr>
          <w:p w14:paraId="1432A4B1" w14:textId="77777777" w:rsidR="00D26EC6" w:rsidRPr="00445472" w:rsidRDefault="00D26EC6" w:rsidP="00B15A6B">
            <w:pPr>
              <w:spacing w:before="22" w:after="22"/>
              <w:ind w:right="63"/>
              <w:jc w:val="center"/>
              <w:rPr>
                <w:rFonts w:ascii="Garamond" w:eastAsia="MS Mincho" w:hAnsi="Garamond" w:cs="Arial"/>
                <w:b/>
                <w:sz w:val="20"/>
                <w:szCs w:val="18"/>
              </w:rPr>
            </w:pPr>
            <w:r w:rsidRPr="00445472">
              <w:rPr>
                <w:rFonts w:ascii="Garamond" w:eastAsia="MS Mincho" w:hAnsi="Garamond" w:cs="Arial"/>
                <w:b/>
                <w:sz w:val="20"/>
                <w:szCs w:val="18"/>
              </w:rPr>
              <w:t>54.3</w:t>
            </w:r>
          </w:p>
        </w:tc>
      </w:tr>
    </w:tbl>
    <w:p w14:paraId="687FFCE4" w14:textId="77777777" w:rsidR="00D26EC6" w:rsidRPr="00445472" w:rsidRDefault="00D26EC6" w:rsidP="00BB44DB">
      <w:pPr>
        <w:pStyle w:val="TEKSTIIII"/>
      </w:pPr>
    </w:p>
    <w:p w14:paraId="11159E28" w14:textId="40245F57" w:rsidR="00D26EC6" w:rsidRPr="00445472" w:rsidRDefault="00BB44DB" w:rsidP="00BB44DB">
      <w:pPr>
        <w:pStyle w:val="NENTITULL"/>
        <w:rPr>
          <w:sz w:val="20"/>
          <w:szCs w:val="20"/>
        </w:rPr>
      </w:pPr>
      <w:bookmarkStart w:id="168" w:name="_Toc486503416"/>
      <w:bookmarkStart w:id="169" w:name="_Toc11068827"/>
      <w:r w:rsidRPr="00445472">
        <w:t xml:space="preserve">8.4 </w:t>
      </w:r>
      <w:r w:rsidR="00D26EC6" w:rsidRPr="00445472">
        <w:t>Hidrocentralet</w:t>
      </w:r>
      <w:bookmarkEnd w:id="168"/>
      <w:bookmarkEnd w:id="169"/>
    </w:p>
    <w:p w14:paraId="05612A85" w14:textId="6FF0908D" w:rsidR="00D26EC6" w:rsidRPr="00445472" w:rsidRDefault="00D26EC6" w:rsidP="00BB44DB">
      <w:pPr>
        <w:pStyle w:val="TEKSTIIII"/>
      </w:pPr>
      <w:r w:rsidRPr="00445472">
        <w:t xml:space="preserve">Hidrocentralet janë burimi kryesor i prodhimit të energjisë elektrike në Shqipëri. Ato ndodhen në të gjitha basenet ujore dhe përbëjnë 97% të prodhimit aktual të energjisë elektrike të vendit. Prodhimi i hidrocentraleve publike përfaqëson 72.1% të prodhimit të përgjithshëm vendas, ndërsa prodhimi i energjisë elektrike nga prodhuesit e pavarur të energjisë elektrike në vitin 2014 ishte 27.9%. KESH </w:t>
      </w:r>
      <w:r w:rsidR="00FB0CE9" w:rsidRPr="00445472">
        <w:t>sh</w:t>
      </w:r>
      <w:r w:rsidRPr="00445472">
        <w:t xml:space="preserve">.a., një kompani shtetërore, kontrollon prodhimin publik të hidrocentraleve. Aktualisht, prodhimi ndryshon ndërmjet afërsisht 2,900 </w:t>
      </w:r>
      <w:r w:rsidR="00FB0CE9" w:rsidRPr="00445472">
        <w:t xml:space="preserve">gwh </w:t>
      </w:r>
      <w:r w:rsidRPr="00445472">
        <w:t xml:space="preserve">në vitet shumë të thata deri në gati 6,000 </w:t>
      </w:r>
      <w:r w:rsidR="00FB0CE9" w:rsidRPr="00445472">
        <w:t xml:space="preserve">gwh </w:t>
      </w:r>
      <w:r w:rsidRPr="00445472">
        <w:t>në vitet me shumë rreshje</w:t>
      </w:r>
      <w:r w:rsidRPr="00445472">
        <w:rPr>
          <w:rStyle w:val="FootnoteReference"/>
          <w:rFonts w:ascii="Garamond" w:hAnsi="Garamond"/>
          <w:color w:val="auto"/>
        </w:rPr>
        <w:footnoteReference w:id="167"/>
      </w:r>
      <w:r w:rsidRPr="00445472">
        <w:t xml:space="preserve">. </w:t>
      </w:r>
    </w:p>
    <w:p w14:paraId="7BA8D674" w14:textId="77777777" w:rsidR="00D26EC6" w:rsidRPr="00445472" w:rsidRDefault="00D26EC6" w:rsidP="00BB44DB">
      <w:pPr>
        <w:pStyle w:val="TEKSTIIII"/>
      </w:pPr>
      <w:r w:rsidRPr="00445472">
        <w:t>Si pjesë e një përpjekjeje për të reformuar sektorin shqiptar të energjisë, ish-Ministria e Ekonomisë, Tregtisë dhe Energjetikës, privatizoi katër hidrocentrale dhe i ka ndarë sistemet e transmetimit dhe shpërndarjes, ka futur një model të ri të tregut dhe ka dhënë koncesione për zhvillimin e hidrocentraleve të reja</w:t>
      </w:r>
      <w:r w:rsidRPr="00445472">
        <w:rPr>
          <w:rStyle w:val="FootnoteReference"/>
          <w:rFonts w:ascii="Garamond" w:hAnsi="Garamond"/>
          <w:color w:val="auto"/>
        </w:rPr>
        <w:footnoteReference w:id="168"/>
      </w:r>
      <w:r w:rsidRPr="00445472">
        <w:t>.</w:t>
      </w:r>
    </w:p>
    <w:p w14:paraId="17380B71" w14:textId="454615D9" w:rsidR="00D26EC6" w:rsidRPr="00445472" w:rsidRDefault="00D26EC6" w:rsidP="00BB44DB">
      <w:pPr>
        <w:pStyle w:val="TEKSTIIII"/>
      </w:pPr>
      <w:r w:rsidRPr="00445472">
        <w:t>Në lumin Drin janë tr</w:t>
      </w:r>
      <w:r w:rsidR="00905530">
        <w:t>i</w:t>
      </w:r>
      <w:r w:rsidRPr="00445472">
        <w:t xml:space="preserve"> hidrocentrale të mëdha funksionale me një kapacitet total të instaluar prej 1350 </w:t>
      </w:r>
      <w:r w:rsidR="00FB0CE9" w:rsidRPr="00445472">
        <w:t>mw</w:t>
      </w:r>
      <w:r w:rsidRPr="00445472">
        <w:t xml:space="preserve">,  HEC </w:t>
      </w:r>
      <w:r w:rsidR="00D62EDF" w:rsidRPr="00445472">
        <w:t>“</w:t>
      </w:r>
      <w:r w:rsidRPr="00445472">
        <w:t>Vau i Dejës</w:t>
      </w:r>
      <w:r w:rsidR="00D62EDF" w:rsidRPr="00445472">
        <w:t>”</w:t>
      </w:r>
      <w:r w:rsidRPr="00445472">
        <w:t xml:space="preserve">, HEC </w:t>
      </w:r>
      <w:r w:rsidR="00D62EDF" w:rsidRPr="00445472">
        <w:t>“</w:t>
      </w:r>
      <w:r w:rsidRPr="00445472">
        <w:t>Fierza</w:t>
      </w:r>
      <w:r w:rsidR="00D62EDF" w:rsidRPr="00445472">
        <w:t>”</w:t>
      </w:r>
      <w:r w:rsidRPr="00445472">
        <w:t xml:space="preserve"> dhe HEC </w:t>
      </w:r>
      <w:r w:rsidR="00D62EDF" w:rsidRPr="00445472">
        <w:t>“</w:t>
      </w:r>
      <w:r w:rsidRPr="00445472">
        <w:t>Koman</w:t>
      </w:r>
      <w:r w:rsidR="00D62EDF" w:rsidRPr="00445472">
        <w:t>”</w:t>
      </w:r>
      <w:r w:rsidRPr="00445472">
        <w:t xml:space="preserve">. Ndërkohë është nënshkruar një kontratë koncesionare për hidrocentralin </w:t>
      </w:r>
      <w:r w:rsidR="00D62EDF" w:rsidRPr="00445472">
        <w:t>“</w:t>
      </w:r>
      <w:r w:rsidRPr="00445472">
        <w:t>Ashta</w:t>
      </w:r>
      <w:r w:rsidR="00D62EDF" w:rsidRPr="00445472">
        <w:t>”</w:t>
      </w:r>
      <w:r w:rsidRPr="00445472">
        <w:t xml:space="preserve"> në lumin Drin midis Ministrisë së Ekonomisë, Tregtisë dhe Energjetikës dhe kompanisë austriake </w:t>
      </w:r>
      <w:r w:rsidR="00D62EDF" w:rsidRPr="00445472">
        <w:t>“</w:t>
      </w:r>
      <w:r w:rsidRPr="00445472">
        <w:t>Österreichische Elektrizitätsëirtschafts - Aktiengesellschaft</w:t>
      </w:r>
      <w:r w:rsidR="00D62EDF" w:rsidRPr="00445472">
        <w:t>”</w:t>
      </w:r>
      <w:r w:rsidRPr="00445472">
        <w:t xml:space="preserve">, me një kapacitet të instaluar prej 48.2 MW (Tabela 8.5). </w:t>
      </w:r>
    </w:p>
    <w:p w14:paraId="5C1BA5B9" w14:textId="77777777" w:rsidR="00D26EC6" w:rsidRPr="00445472" w:rsidRDefault="00D26EC6" w:rsidP="003D30DA">
      <w:pPr>
        <w:pStyle w:val="TEKSTIIII"/>
      </w:pPr>
    </w:p>
    <w:p w14:paraId="2BB18279" w14:textId="3B1AA02F" w:rsidR="00D26EC6" w:rsidRPr="00445472" w:rsidRDefault="00D26EC6" w:rsidP="003D30DA">
      <w:pPr>
        <w:pStyle w:val="NENTITULL"/>
      </w:pPr>
      <w:r w:rsidRPr="00445472">
        <w:t xml:space="preserve">Tabela 8.5: Hidrocentralet më të mëdhenj në basenin ujor </w:t>
      </w:r>
      <w:r w:rsidR="007E76E3" w:rsidRPr="00445472">
        <w:t>Drin–Bunë</w:t>
      </w:r>
      <w:r w:rsidRPr="00445472">
        <w:rPr>
          <w:rStyle w:val="FootnoteReference"/>
          <w:rFonts w:ascii="Garamond" w:hAnsi="Garamond"/>
          <w:b w:val="0"/>
          <w:bCs/>
          <w:color w:val="auto"/>
        </w:rPr>
        <w:footnoteReference w:id="169"/>
      </w:r>
    </w:p>
    <w:tbl>
      <w:tblPr>
        <w:tblW w:w="5000" w:type="pct"/>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3910"/>
        <w:gridCol w:w="2470"/>
        <w:gridCol w:w="2907"/>
      </w:tblGrid>
      <w:tr w:rsidR="00D26EC6" w:rsidRPr="00445472" w14:paraId="54B045BF" w14:textId="77777777" w:rsidTr="003D30DA">
        <w:trPr>
          <w:trHeight w:val="315"/>
          <w:jc w:val="center"/>
        </w:trPr>
        <w:tc>
          <w:tcPr>
            <w:tcW w:w="2105" w:type="pct"/>
            <w:tcBorders>
              <w:top w:val="single" w:sz="8" w:space="0" w:color="009E9A"/>
              <w:bottom w:val="single" w:sz="4" w:space="0" w:color="27B1B0"/>
            </w:tcBorders>
            <w:shd w:val="clear" w:color="auto" w:fill="auto"/>
            <w:noWrap/>
            <w:vAlign w:val="center"/>
            <w:hideMark/>
          </w:tcPr>
          <w:p w14:paraId="53E734BF" w14:textId="77777777" w:rsidR="00D26EC6" w:rsidRPr="00445472" w:rsidRDefault="00D26EC6" w:rsidP="00B15A6B">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HEC</w:t>
            </w:r>
          </w:p>
        </w:tc>
        <w:tc>
          <w:tcPr>
            <w:tcW w:w="1330" w:type="pct"/>
            <w:tcBorders>
              <w:top w:val="single" w:sz="8" w:space="0" w:color="009E9A"/>
              <w:bottom w:val="single" w:sz="4" w:space="0" w:color="27B1B0"/>
            </w:tcBorders>
            <w:shd w:val="clear" w:color="auto" w:fill="auto"/>
            <w:noWrap/>
            <w:vAlign w:val="center"/>
            <w:hideMark/>
          </w:tcPr>
          <w:p w14:paraId="67DF6697" w14:textId="55A82C0C" w:rsidR="00D26EC6" w:rsidRPr="00445472" w:rsidRDefault="00D26EC6" w:rsidP="00B15A6B">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Kapaciteti</w:t>
            </w:r>
            <w:r w:rsidR="00FB0CE9" w:rsidRPr="00445472">
              <w:rPr>
                <w:rFonts w:ascii="Garamond" w:eastAsia="MS Mincho" w:hAnsi="Garamond" w:cs="Arial"/>
                <w:b/>
                <w:sz w:val="18"/>
                <w:szCs w:val="18"/>
                <w:lang w:eastAsia="en-GB"/>
              </w:rPr>
              <w:t xml:space="preserve"> </w:t>
            </w:r>
            <w:r w:rsidRPr="00445472">
              <w:rPr>
                <w:rFonts w:ascii="Garamond" w:eastAsia="MS Mincho" w:hAnsi="Garamond" w:cs="Arial"/>
                <w:b/>
                <w:sz w:val="18"/>
                <w:szCs w:val="18"/>
                <w:lang w:eastAsia="en-GB"/>
              </w:rPr>
              <w:t>(</w:t>
            </w:r>
            <w:r w:rsidR="00FB0CE9" w:rsidRPr="00445472">
              <w:rPr>
                <w:rFonts w:ascii="Garamond" w:eastAsia="MS Mincho" w:hAnsi="Garamond" w:cs="Arial"/>
                <w:b/>
                <w:sz w:val="18"/>
                <w:szCs w:val="18"/>
                <w:lang w:eastAsia="en-GB"/>
              </w:rPr>
              <w:t>mw</w:t>
            </w:r>
            <w:r w:rsidRPr="00445472">
              <w:rPr>
                <w:rFonts w:ascii="Garamond" w:eastAsia="MS Mincho" w:hAnsi="Garamond" w:cs="Arial"/>
                <w:b/>
                <w:sz w:val="18"/>
                <w:szCs w:val="18"/>
                <w:lang w:eastAsia="en-GB"/>
              </w:rPr>
              <w:t>)</w:t>
            </w:r>
          </w:p>
        </w:tc>
        <w:tc>
          <w:tcPr>
            <w:tcW w:w="1565" w:type="pct"/>
            <w:tcBorders>
              <w:top w:val="single" w:sz="8" w:space="0" w:color="009E9A"/>
              <w:bottom w:val="single" w:sz="4" w:space="0" w:color="27B1B0"/>
            </w:tcBorders>
            <w:shd w:val="clear" w:color="auto" w:fill="auto"/>
            <w:noWrap/>
            <w:vAlign w:val="bottom"/>
            <w:hideMark/>
          </w:tcPr>
          <w:p w14:paraId="006F9B95" w14:textId="2991BEDB" w:rsidR="00D26EC6" w:rsidRPr="00445472" w:rsidRDefault="00D26EC6" w:rsidP="00B15A6B">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rPr>
              <w:t>Prodhimi Vjetor</w:t>
            </w:r>
            <w:r w:rsidR="00FB0CE9" w:rsidRPr="00445472">
              <w:rPr>
                <w:rFonts w:ascii="Garamond" w:eastAsia="MS Mincho" w:hAnsi="Garamond" w:cs="Arial"/>
                <w:b/>
                <w:sz w:val="18"/>
                <w:szCs w:val="18"/>
              </w:rPr>
              <w:t xml:space="preserve"> </w:t>
            </w:r>
            <w:r w:rsidRPr="00445472">
              <w:rPr>
                <w:rFonts w:ascii="Garamond" w:eastAsia="MS Mincho" w:hAnsi="Garamond" w:cs="Arial"/>
                <w:b/>
                <w:sz w:val="18"/>
                <w:szCs w:val="18"/>
              </w:rPr>
              <w:t>(</w:t>
            </w:r>
            <w:r w:rsidR="00FB0CE9" w:rsidRPr="00445472">
              <w:rPr>
                <w:rFonts w:ascii="Garamond" w:eastAsia="MS Mincho" w:hAnsi="Garamond" w:cs="Arial"/>
                <w:b/>
                <w:sz w:val="18"/>
                <w:szCs w:val="18"/>
              </w:rPr>
              <w:t>mwh</w:t>
            </w:r>
            <w:r w:rsidRPr="00445472">
              <w:rPr>
                <w:rFonts w:ascii="Garamond" w:eastAsia="MS Mincho" w:hAnsi="Garamond" w:cs="Arial"/>
                <w:b/>
                <w:sz w:val="18"/>
                <w:szCs w:val="18"/>
              </w:rPr>
              <w:t>)</w:t>
            </w:r>
          </w:p>
        </w:tc>
      </w:tr>
      <w:tr w:rsidR="00D26EC6" w:rsidRPr="00445472" w14:paraId="74BB5F7C" w14:textId="77777777" w:rsidTr="003D30DA">
        <w:trPr>
          <w:trHeight w:val="315"/>
          <w:jc w:val="center"/>
        </w:trPr>
        <w:tc>
          <w:tcPr>
            <w:tcW w:w="2105" w:type="pct"/>
            <w:shd w:val="clear" w:color="auto" w:fill="E6E6E6"/>
            <w:noWrap/>
            <w:vAlign w:val="center"/>
          </w:tcPr>
          <w:p w14:paraId="09708715" w14:textId="63D2DEB6" w:rsidR="00D26EC6" w:rsidRPr="00445472" w:rsidRDefault="00D62EDF" w:rsidP="00B15A6B">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KESH</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sha </w:t>
            </w:r>
            <w:r w:rsidR="00FB0CE9" w:rsidRPr="00445472">
              <w:rPr>
                <w:rFonts w:ascii="Garamond" w:eastAsia="MS Mincho" w:hAnsi="Garamond" w:cs="Arial"/>
                <w:sz w:val="18"/>
                <w:szCs w:val="18"/>
                <w:lang w:eastAsia="en-GB"/>
              </w:rPr>
              <w:t xml:space="preserve">HEC </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Fierze</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w:t>
            </w:r>
          </w:p>
        </w:tc>
        <w:tc>
          <w:tcPr>
            <w:tcW w:w="1330" w:type="pct"/>
            <w:shd w:val="clear" w:color="auto" w:fill="E6E6E6"/>
            <w:noWrap/>
            <w:vAlign w:val="bottom"/>
          </w:tcPr>
          <w:p w14:paraId="3CFAF5A3" w14:textId="77777777" w:rsidR="00D26EC6" w:rsidRPr="00445472" w:rsidRDefault="00D26EC6" w:rsidP="00B15A6B">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500</w:t>
            </w:r>
          </w:p>
        </w:tc>
        <w:tc>
          <w:tcPr>
            <w:tcW w:w="1565" w:type="pct"/>
            <w:shd w:val="clear" w:color="auto" w:fill="E6E6E6"/>
            <w:noWrap/>
            <w:vAlign w:val="bottom"/>
          </w:tcPr>
          <w:p w14:paraId="02AE5339" w14:textId="77777777" w:rsidR="00D26EC6" w:rsidRPr="00445472" w:rsidRDefault="00D26EC6" w:rsidP="00B15A6B">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1,636,522</w:t>
            </w:r>
          </w:p>
        </w:tc>
      </w:tr>
      <w:tr w:rsidR="00D26EC6" w:rsidRPr="00445472" w14:paraId="2D5F495A" w14:textId="77777777" w:rsidTr="003D30DA">
        <w:trPr>
          <w:trHeight w:val="315"/>
          <w:jc w:val="center"/>
        </w:trPr>
        <w:tc>
          <w:tcPr>
            <w:tcW w:w="2105" w:type="pct"/>
            <w:tcBorders>
              <w:bottom w:val="single" w:sz="4" w:space="0" w:color="27B1B0"/>
            </w:tcBorders>
            <w:shd w:val="clear" w:color="auto" w:fill="auto"/>
            <w:noWrap/>
            <w:vAlign w:val="center"/>
          </w:tcPr>
          <w:p w14:paraId="534B1794" w14:textId="229DA296" w:rsidR="00D26EC6" w:rsidRPr="00445472" w:rsidRDefault="00D62EDF"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KESH</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sha </w:t>
            </w:r>
            <w:r w:rsidR="00FB0CE9" w:rsidRPr="00445472">
              <w:rPr>
                <w:rFonts w:ascii="Garamond" w:eastAsia="MS Mincho" w:hAnsi="Garamond" w:cs="Arial"/>
                <w:sz w:val="18"/>
                <w:szCs w:val="18"/>
                <w:lang w:eastAsia="en-GB"/>
              </w:rPr>
              <w:t xml:space="preserve">HEC </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Koman</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w:t>
            </w:r>
          </w:p>
        </w:tc>
        <w:tc>
          <w:tcPr>
            <w:tcW w:w="1330" w:type="pct"/>
            <w:tcBorders>
              <w:bottom w:val="single" w:sz="4" w:space="0" w:color="27B1B0"/>
            </w:tcBorders>
            <w:shd w:val="clear" w:color="auto" w:fill="auto"/>
            <w:noWrap/>
            <w:vAlign w:val="bottom"/>
          </w:tcPr>
          <w:p w14:paraId="02D4592B" w14:textId="77777777" w:rsidR="00D26EC6" w:rsidRPr="00445472" w:rsidRDefault="00D26EC6" w:rsidP="00B15A6B">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600</w:t>
            </w:r>
          </w:p>
        </w:tc>
        <w:tc>
          <w:tcPr>
            <w:tcW w:w="1565" w:type="pct"/>
            <w:tcBorders>
              <w:bottom w:val="single" w:sz="4" w:space="0" w:color="27B1B0"/>
            </w:tcBorders>
            <w:shd w:val="clear" w:color="auto" w:fill="auto"/>
            <w:noWrap/>
            <w:vAlign w:val="bottom"/>
          </w:tcPr>
          <w:p w14:paraId="276D7647" w14:textId="77777777" w:rsidR="00D26EC6" w:rsidRPr="00445472" w:rsidRDefault="00D26EC6" w:rsidP="00B15A6B">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1,882,721</w:t>
            </w:r>
          </w:p>
        </w:tc>
      </w:tr>
      <w:tr w:rsidR="00D26EC6" w:rsidRPr="00445472" w14:paraId="2183342C" w14:textId="77777777" w:rsidTr="003D30DA">
        <w:trPr>
          <w:trHeight w:val="315"/>
          <w:jc w:val="center"/>
        </w:trPr>
        <w:tc>
          <w:tcPr>
            <w:tcW w:w="2105" w:type="pct"/>
            <w:tcBorders>
              <w:bottom w:val="single" w:sz="4" w:space="0" w:color="27B1B0"/>
            </w:tcBorders>
            <w:shd w:val="clear" w:color="auto" w:fill="auto"/>
            <w:noWrap/>
            <w:vAlign w:val="center"/>
          </w:tcPr>
          <w:p w14:paraId="3B8DDE15" w14:textId="1D52F7C4" w:rsidR="00D26EC6" w:rsidRPr="00445472" w:rsidRDefault="00D62EDF" w:rsidP="00FB0CE9">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KESH</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sha </w:t>
            </w:r>
            <w:r w:rsidR="00FB0CE9" w:rsidRPr="00445472">
              <w:rPr>
                <w:rFonts w:ascii="Garamond" w:eastAsia="MS Mincho" w:hAnsi="Garamond" w:cs="Arial"/>
                <w:sz w:val="18"/>
                <w:szCs w:val="18"/>
                <w:lang w:eastAsia="en-GB"/>
              </w:rPr>
              <w:t xml:space="preserve">HEC </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V. </w:t>
            </w:r>
            <w:r w:rsidR="00FB0CE9" w:rsidRPr="00445472">
              <w:rPr>
                <w:rFonts w:ascii="Garamond" w:eastAsia="MS Mincho" w:hAnsi="Garamond" w:cs="Arial"/>
                <w:sz w:val="18"/>
                <w:szCs w:val="18"/>
                <w:lang w:eastAsia="en-GB"/>
              </w:rPr>
              <w:t xml:space="preserve">i </w:t>
            </w:r>
            <w:r w:rsidR="00D26EC6" w:rsidRPr="00445472">
              <w:rPr>
                <w:rFonts w:ascii="Garamond" w:eastAsia="MS Mincho" w:hAnsi="Garamond" w:cs="Arial"/>
                <w:sz w:val="18"/>
                <w:szCs w:val="18"/>
                <w:lang w:eastAsia="en-GB"/>
              </w:rPr>
              <w:t>Dejës</w:t>
            </w:r>
            <w:r w:rsidRPr="00445472">
              <w:rPr>
                <w:rFonts w:ascii="Garamond" w:eastAsia="MS Mincho" w:hAnsi="Garamond" w:cs="Arial"/>
                <w:sz w:val="18"/>
                <w:szCs w:val="18"/>
                <w:lang w:eastAsia="en-GB"/>
              </w:rPr>
              <w:t>”</w:t>
            </w:r>
          </w:p>
        </w:tc>
        <w:tc>
          <w:tcPr>
            <w:tcW w:w="1330" w:type="pct"/>
            <w:tcBorders>
              <w:bottom w:val="single" w:sz="4" w:space="0" w:color="27B1B0"/>
            </w:tcBorders>
            <w:shd w:val="clear" w:color="auto" w:fill="auto"/>
            <w:noWrap/>
            <w:vAlign w:val="bottom"/>
          </w:tcPr>
          <w:p w14:paraId="4C8DA40B" w14:textId="77777777" w:rsidR="00D26EC6" w:rsidRPr="00445472" w:rsidRDefault="00D26EC6"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250</w:t>
            </w:r>
          </w:p>
        </w:tc>
        <w:tc>
          <w:tcPr>
            <w:tcW w:w="1565" w:type="pct"/>
            <w:tcBorders>
              <w:bottom w:val="single" w:sz="4" w:space="0" w:color="27B1B0"/>
            </w:tcBorders>
            <w:shd w:val="clear" w:color="auto" w:fill="auto"/>
            <w:noWrap/>
            <w:vAlign w:val="bottom"/>
          </w:tcPr>
          <w:p w14:paraId="70DB20B8" w14:textId="77777777" w:rsidR="00D26EC6" w:rsidRPr="00445472" w:rsidRDefault="00D26EC6"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932,732</w:t>
            </w:r>
          </w:p>
        </w:tc>
      </w:tr>
      <w:tr w:rsidR="00D26EC6" w:rsidRPr="00445472" w14:paraId="37800E70" w14:textId="77777777" w:rsidTr="003D30DA">
        <w:trPr>
          <w:trHeight w:val="315"/>
          <w:jc w:val="center"/>
        </w:trPr>
        <w:tc>
          <w:tcPr>
            <w:tcW w:w="2105" w:type="pct"/>
            <w:tcBorders>
              <w:bottom w:val="single" w:sz="4" w:space="0" w:color="27B1B0"/>
            </w:tcBorders>
            <w:shd w:val="clear" w:color="auto" w:fill="auto"/>
            <w:noWrap/>
            <w:vAlign w:val="center"/>
          </w:tcPr>
          <w:p w14:paraId="4175433E" w14:textId="12F7E1EA" w:rsidR="00D26EC6" w:rsidRPr="00445472" w:rsidRDefault="00D62EDF"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Energji Ashta</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sh.p.k</w:t>
            </w:r>
            <w:r w:rsidR="00FB0CE9"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w:t>
            </w:r>
            <w:r w:rsidR="00FB0CE9" w:rsidRPr="00445472">
              <w:rPr>
                <w:rFonts w:ascii="Garamond" w:eastAsia="MS Mincho" w:hAnsi="Garamond" w:cs="Arial"/>
                <w:sz w:val="18"/>
                <w:szCs w:val="18"/>
                <w:lang w:eastAsia="en-GB"/>
              </w:rPr>
              <w:t xml:space="preserve">HEC </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Ashta</w:t>
            </w:r>
            <w:r w:rsidRPr="00445472">
              <w:rPr>
                <w:rFonts w:ascii="Garamond" w:eastAsia="MS Mincho" w:hAnsi="Garamond" w:cs="Arial"/>
                <w:sz w:val="18"/>
                <w:szCs w:val="18"/>
                <w:lang w:eastAsia="en-GB"/>
              </w:rPr>
              <w:t>”</w:t>
            </w:r>
            <w:r w:rsidR="00D26EC6" w:rsidRPr="00445472">
              <w:rPr>
                <w:rFonts w:ascii="Garamond" w:eastAsia="MS Mincho" w:hAnsi="Garamond" w:cs="Arial"/>
                <w:sz w:val="18"/>
                <w:szCs w:val="18"/>
                <w:lang w:eastAsia="en-GB"/>
              </w:rPr>
              <w:t xml:space="preserve"> </w:t>
            </w:r>
          </w:p>
        </w:tc>
        <w:tc>
          <w:tcPr>
            <w:tcW w:w="1330" w:type="pct"/>
            <w:tcBorders>
              <w:bottom w:val="single" w:sz="4" w:space="0" w:color="27B1B0"/>
            </w:tcBorders>
            <w:shd w:val="clear" w:color="auto" w:fill="auto"/>
            <w:noWrap/>
            <w:vAlign w:val="bottom"/>
          </w:tcPr>
          <w:p w14:paraId="4AA17166" w14:textId="77777777" w:rsidR="00D26EC6" w:rsidRPr="00445472" w:rsidRDefault="00D26EC6"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48.2</w:t>
            </w:r>
          </w:p>
        </w:tc>
        <w:tc>
          <w:tcPr>
            <w:tcW w:w="1565" w:type="pct"/>
            <w:tcBorders>
              <w:bottom w:val="single" w:sz="4" w:space="0" w:color="27B1B0"/>
            </w:tcBorders>
            <w:shd w:val="clear" w:color="auto" w:fill="auto"/>
            <w:noWrap/>
            <w:vAlign w:val="bottom"/>
          </w:tcPr>
          <w:p w14:paraId="2E8821A9" w14:textId="77777777" w:rsidR="00D26EC6" w:rsidRPr="00445472" w:rsidRDefault="00D26EC6"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lang w:eastAsia="en-GB"/>
              </w:rPr>
              <w:t>235,604</w:t>
            </w:r>
          </w:p>
        </w:tc>
      </w:tr>
      <w:tr w:rsidR="00D26EC6" w:rsidRPr="00445472" w14:paraId="6B5CCFC8" w14:textId="77777777" w:rsidTr="003D30DA">
        <w:trPr>
          <w:trHeight w:val="315"/>
          <w:jc w:val="center"/>
        </w:trPr>
        <w:tc>
          <w:tcPr>
            <w:tcW w:w="2105" w:type="pct"/>
            <w:shd w:val="clear" w:color="auto" w:fill="C0C0C0"/>
            <w:noWrap/>
            <w:vAlign w:val="center"/>
          </w:tcPr>
          <w:p w14:paraId="46B6A173" w14:textId="77777777" w:rsidR="00D26EC6" w:rsidRPr="00445472" w:rsidRDefault="00D26EC6" w:rsidP="00B15A6B">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Totali</w:t>
            </w:r>
          </w:p>
        </w:tc>
        <w:tc>
          <w:tcPr>
            <w:tcW w:w="1330" w:type="pct"/>
            <w:shd w:val="clear" w:color="auto" w:fill="C0C0C0"/>
            <w:noWrap/>
            <w:vAlign w:val="bottom"/>
          </w:tcPr>
          <w:p w14:paraId="675C8C8C" w14:textId="77777777" w:rsidR="00D26EC6" w:rsidRPr="00445472" w:rsidRDefault="00D26EC6" w:rsidP="00B15A6B">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1,398.2</w:t>
            </w:r>
          </w:p>
        </w:tc>
        <w:tc>
          <w:tcPr>
            <w:tcW w:w="1565" w:type="pct"/>
            <w:shd w:val="clear" w:color="auto" w:fill="C0C0C0"/>
            <w:noWrap/>
            <w:vAlign w:val="bottom"/>
          </w:tcPr>
          <w:p w14:paraId="6488B38B" w14:textId="77777777" w:rsidR="00D26EC6" w:rsidRPr="00445472" w:rsidRDefault="00D26EC6" w:rsidP="00B15A6B">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4,687,579</w:t>
            </w:r>
          </w:p>
        </w:tc>
      </w:tr>
    </w:tbl>
    <w:p w14:paraId="629C2843" w14:textId="77777777" w:rsidR="00D26EC6" w:rsidRPr="00445472" w:rsidRDefault="00D26EC6" w:rsidP="003D30DA">
      <w:pPr>
        <w:pStyle w:val="TEKSTIIII"/>
      </w:pPr>
    </w:p>
    <w:p w14:paraId="1BC16EE1" w14:textId="3A329C79" w:rsidR="00D26EC6" w:rsidRPr="00445472" w:rsidRDefault="00D26EC6" w:rsidP="003D30DA">
      <w:pPr>
        <w:pStyle w:val="TEKSTIIII"/>
      </w:pPr>
      <w:r w:rsidRPr="00445472">
        <w:t xml:space="preserve">Sipas AKBN-së, në përfundim të tre-mujorit të parë të 2018,  ekzistojnë 47 kontrata koncesioni për ndërtimin e 121 Hidrocentraleve të Vegjël (SHPP) në basenin ujor </w:t>
      </w:r>
      <w:r w:rsidR="007E76E3" w:rsidRPr="00445472">
        <w:t>Drin–Bunë</w:t>
      </w:r>
      <w:r w:rsidRPr="00445472">
        <w:t xml:space="preserve"> me një kapacitet të vlerësuar të instaluar prej përafërsisht 620 </w:t>
      </w:r>
      <w:r w:rsidR="00FB0CE9" w:rsidRPr="00445472">
        <w:t>mw</w:t>
      </w:r>
      <w:r w:rsidRPr="00445472">
        <w:t xml:space="preserve">. 29 SHPP janë në funksionim. </w:t>
      </w:r>
    </w:p>
    <w:p w14:paraId="66C76DBA" w14:textId="1055C784" w:rsidR="00D26EC6" w:rsidRPr="00445472" w:rsidRDefault="00D26EC6" w:rsidP="003D30DA">
      <w:pPr>
        <w:pStyle w:val="TEKSTIIII"/>
      </w:pPr>
      <w:r w:rsidRPr="00445472">
        <w:t xml:space="preserve">Një hartë e hidrocentraleve aktualë operativë (&gt; </w:t>
      </w:r>
      <w:r w:rsidR="00FB0CE9" w:rsidRPr="00445472">
        <w:t>1 mw</w:t>
      </w:r>
      <w:r w:rsidRPr="00445472">
        <w:t>) dhe hidrocentraleve të mëdha (&gt; 250</w:t>
      </w:r>
      <w:r w:rsidR="00FB0CE9" w:rsidRPr="00445472">
        <w:t xml:space="preserve"> mw</w:t>
      </w:r>
      <w:r w:rsidRPr="00445472">
        <w:t xml:space="preserve">) në basenin ujor </w:t>
      </w:r>
      <w:r w:rsidR="007E76E3" w:rsidRPr="00445472">
        <w:t>Drin–Bunë</w:t>
      </w:r>
      <w:r w:rsidRPr="00445472">
        <w:t xml:space="preserve"> jepet në figurën 8.19. </w:t>
      </w:r>
    </w:p>
    <w:p w14:paraId="0BC9570F" w14:textId="77777777" w:rsidR="00D26EC6" w:rsidRPr="00445472" w:rsidRDefault="00D26EC6" w:rsidP="003D30DA">
      <w:pPr>
        <w:pStyle w:val="TEKSTIIII"/>
      </w:pPr>
    </w:p>
    <w:p w14:paraId="342D2984" w14:textId="0CC37D61" w:rsidR="00D26EC6" w:rsidRPr="00445472" w:rsidRDefault="00D26EC6" w:rsidP="00D26EC6">
      <w:pPr>
        <w:pStyle w:val="TEKSTIIII"/>
      </w:pPr>
    </w:p>
    <w:p w14:paraId="42AD9BD3" w14:textId="77777777" w:rsidR="00967C9B" w:rsidRPr="00445472" w:rsidRDefault="00967C9B" w:rsidP="00D26EC6">
      <w:pPr>
        <w:pStyle w:val="TEKSTIIII"/>
      </w:pPr>
    </w:p>
    <w:p w14:paraId="193FC03A" w14:textId="3F76642E" w:rsidR="00967C9B" w:rsidRPr="00445472" w:rsidRDefault="004C3E13" w:rsidP="00D26EC6">
      <w:pPr>
        <w:pStyle w:val="TEKSTIIII"/>
      </w:pPr>
      <w:r w:rsidRPr="00445472">
        <w:rPr>
          <w:noProof/>
          <w:lang w:val="en-US"/>
        </w:rPr>
        <w:drawing>
          <wp:inline distT="0" distB="0" distL="0" distR="0" wp14:anchorId="26496DC9" wp14:editId="3B6226C7">
            <wp:extent cx="5311140" cy="7520940"/>
            <wp:effectExtent l="0" t="0" r="381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11140" cy="7520940"/>
                    </a:xfrm>
                    <a:prstGeom prst="rect">
                      <a:avLst/>
                    </a:prstGeom>
                    <a:noFill/>
                  </pic:spPr>
                </pic:pic>
              </a:graphicData>
            </a:graphic>
          </wp:inline>
        </w:drawing>
      </w:r>
    </w:p>
    <w:p w14:paraId="4E8AA84F" w14:textId="2BE214DB" w:rsidR="004C3E13" w:rsidRPr="00445472" w:rsidRDefault="004C3E13" w:rsidP="004C3E13">
      <w:pPr>
        <w:pStyle w:val="NENTITULL"/>
        <w:jc w:val="center"/>
      </w:pPr>
      <w:r w:rsidRPr="00445472">
        <w:t>Figura 8.19: Vendndodhja e hidrocentraleve të vegjël më të rëndësishëm (&gt; 1</w:t>
      </w:r>
      <w:r w:rsidR="00B139CF" w:rsidRPr="00445472">
        <w:t xml:space="preserve"> mw</w:t>
      </w:r>
      <w:r w:rsidRPr="00445472">
        <w:t>)  dhe të mëdhenj (&gt; 250</w:t>
      </w:r>
      <w:r w:rsidR="00B139CF" w:rsidRPr="00445472">
        <w:t xml:space="preserve"> mw</w:t>
      </w:r>
      <w:r w:rsidRPr="00445472">
        <w:t xml:space="preserve">) në basenin ujor </w:t>
      </w:r>
      <w:r w:rsidR="007E76E3" w:rsidRPr="00445472">
        <w:t>Drin–Bunë</w:t>
      </w:r>
    </w:p>
    <w:p w14:paraId="67CD6AE4" w14:textId="77777777" w:rsidR="004C3E13" w:rsidRPr="00445472" w:rsidRDefault="004C3E13" w:rsidP="004C3E13">
      <w:pPr>
        <w:pStyle w:val="NENTITULL"/>
      </w:pPr>
    </w:p>
    <w:p w14:paraId="457F5642" w14:textId="1B46DCF8" w:rsidR="00B15A6B" w:rsidRPr="00445472" w:rsidRDefault="00B15A6B" w:rsidP="00B15A6B">
      <w:pPr>
        <w:pStyle w:val="TEKSTIIII"/>
      </w:pPr>
      <w:r w:rsidRPr="00445472">
        <w:t>Mbështetja pothuajse ekskluzive në hidrocentrale për furnizimin me energji elektrike e bën vendin shumë të varur nga ndryshueshmëria hidrologjike vjetore. Gjatë sezoneve të thata hidroelektriciteti mund të bjerë me 40% nën mesataren afatgjatë të prodhimit (siç është përjetuar në vitin 2007) ose të rritet 60% mbi mesataren në një periudhë veçanërisht të lagësht (p.sh.</w:t>
      </w:r>
      <w:r w:rsidR="00B139CF" w:rsidRPr="00445472">
        <w:t>,</w:t>
      </w:r>
      <w:r w:rsidRPr="00445472">
        <w:t xml:space="preserve"> 2010). Periudhat e thata kërkojnë import të energjisë elektrike nga vendet fqinje me kosto të lartë për të plotësuar ngarkesën e kërkesës së brendshme. Megjithatë, për shkak të kufizimeve të kapaciteteve të shpërndarjes së energjisë elektrike, importet e energjisë elektrike nuk mund të plotësojnë plotësisht prodhimin vendor dhe operatori i sistemit është i detyruar të përdorë derdhjen e ngarkesës gjatë periudhave të kërkesës maksimale. Përkundrazi, viti jashtëzakonisht i lagësht i 2010 e shndërroi Shqipërinë në një eksportues të energjisë elektrike për herë të parë që nga viti 1997. Ndërlidhjet me sistemet fqinje të energjisë elektrike janë të një rëndësie të veçantë për sigurinë e furnizimit me energji elektrike të Shqipërisë për balancimin e ngarkesës ditore dhe asaj sezonale.</w:t>
      </w:r>
    </w:p>
    <w:p w14:paraId="411D0A34" w14:textId="40C0D633" w:rsidR="00B15A6B" w:rsidRPr="00445472" w:rsidRDefault="00B15A6B" w:rsidP="00B15A6B">
      <w:pPr>
        <w:pStyle w:val="TEKSTIIII"/>
      </w:pPr>
      <w:r w:rsidRPr="00445472">
        <w:t xml:space="preserve">Statusi i HEC-ve në operim, në ndërtim ose kur ndërtimi ende nuk ka filluar është paraqitur në </w:t>
      </w:r>
      <w:r w:rsidR="00B139CF" w:rsidRPr="00445472">
        <w:t xml:space="preserve">figurën </w:t>
      </w:r>
      <w:r w:rsidRPr="00445472">
        <w:t>8.20</w:t>
      </w:r>
      <w:r w:rsidRPr="00445472">
        <w:rPr>
          <w:rFonts w:eastAsia="Calibri"/>
        </w:rPr>
        <w:t>.</w:t>
      </w:r>
    </w:p>
    <w:p w14:paraId="121D39C5" w14:textId="77777777" w:rsidR="00B15A6B" w:rsidRPr="00445472" w:rsidRDefault="00B15A6B" w:rsidP="00B15A6B">
      <w:pPr>
        <w:pStyle w:val="TEKSTIIII"/>
        <w:rPr>
          <w:b/>
          <w:bCs/>
        </w:rPr>
      </w:pPr>
    </w:p>
    <w:p w14:paraId="063DFBFC" w14:textId="77777777" w:rsidR="00B15A6B" w:rsidRPr="00445472" w:rsidRDefault="00B15A6B" w:rsidP="00B15A6B">
      <w:pPr>
        <w:jc w:val="center"/>
        <w:rPr>
          <w:rFonts w:ascii="Garamond" w:hAnsi="Garamond"/>
        </w:rPr>
      </w:pPr>
      <w:r w:rsidRPr="00445472">
        <w:rPr>
          <w:rFonts w:ascii="Garamond" w:hAnsi="Garamond"/>
          <w:noProof/>
          <w:lang w:val="en-US"/>
        </w:rPr>
        <w:drawing>
          <wp:inline distT="0" distB="0" distL="0" distR="0" wp14:anchorId="28A6B301" wp14:editId="1E2DE81C">
            <wp:extent cx="5005705" cy="2743200"/>
            <wp:effectExtent l="0" t="0" r="0" b="0"/>
            <wp:docPr id="32" name="Chart 1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2F8959E" w14:textId="7EEF4DAC" w:rsidR="00B15A6B" w:rsidRPr="00445472" w:rsidRDefault="00B15A6B" w:rsidP="00B15A6B">
      <w:pPr>
        <w:pStyle w:val="NENTITULL"/>
        <w:jc w:val="center"/>
      </w:pPr>
      <w:r w:rsidRPr="00445472">
        <w:t xml:space="preserve">Figura 8.20:  Statusi i hidrocentraleve të vegjël me koncesion në Basenin Ujor </w:t>
      </w:r>
      <w:r w:rsidR="007E76E3" w:rsidRPr="00445472">
        <w:t>Drin–Bunë</w:t>
      </w:r>
      <w:r w:rsidRPr="00445472">
        <w:t xml:space="preserve"> në përfundim të tremujorit të parë të vitit 2018</w:t>
      </w:r>
      <w:r w:rsidRPr="00445472">
        <w:rPr>
          <w:rStyle w:val="FootnoteReference"/>
          <w:rFonts w:ascii="Garamond" w:hAnsi="Garamond"/>
          <w:b w:val="0"/>
          <w:bCs/>
          <w:color w:val="auto"/>
        </w:rPr>
        <w:footnoteReference w:id="170"/>
      </w:r>
    </w:p>
    <w:p w14:paraId="6590822C" w14:textId="77777777" w:rsidR="00B15A6B" w:rsidRPr="00445472" w:rsidRDefault="00B15A6B" w:rsidP="00B15A6B">
      <w:pPr>
        <w:pStyle w:val="TEKSTIIII"/>
      </w:pPr>
    </w:p>
    <w:p w14:paraId="73DEBF87" w14:textId="77777777" w:rsidR="00B15A6B" w:rsidRPr="00445472" w:rsidRDefault="00B15A6B" w:rsidP="00B15A6B">
      <w:pPr>
        <w:pStyle w:val="TEKSTIIII"/>
      </w:pPr>
      <w:r w:rsidRPr="00445472">
        <w:t>Sipas AKBN-së, në fund të tremujorit të parë të vitit 2018, 26 HEC-et të  cilat nuk janë objekt koncesioni nuk ishin akoma në gjendje pune.</w:t>
      </w:r>
    </w:p>
    <w:p w14:paraId="1A81B64A" w14:textId="77777777" w:rsidR="00B15A6B" w:rsidRPr="00445472" w:rsidRDefault="00B15A6B" w:rsidP="00B15A6B">
      <w:pPr>
        <w:pStyle w:val="TEKSTIIII"/>
      </w:pPr>
    </w:p>
    <w:p w14:paraId="7D3B014E" w14:textId="5D867D8B" w:rsidR="00B15A6B" w:rsidRPr="00445472" w:rsidRDefault="00B15A6B" w:rsidP="00B15A6B">
      <w:pPr>
        <w:pStyle w:val="NENTITULL"/>
      </w:pPr>
      <w:bookmarkStart w:id="170" w:name="_Toc11068828"/>
      <w:r w:rsidRPr="00445472">
        <w:t>9. Menaxhimi i Përmbytjeve</w:t>
      </w:r>
      <w:bookmarkEnd w:id="170"/>
    </w:p>
    <w:p w14:paraId="5BAE1807" w14:textId="0B8B366F" w:rsidR="00B15A6B" w:rsidRPr="00445472" w:rsidRDefault="00B15A6B" w:rsidP="00B15A6B">
      <w:pPr>
        <w:pStyle w:val="NENTITULL"/>
        <w:rPr>
          <w:sz w:val="20"/>
          <w:szCs w:val="20"/>
        </w:rPr>
      </w:pPr>
      <w:bookmarkStart w:id="171" w:name="_Toc486503418"/>
      <w:bookmarkStart w:id="172" w:name="_Toc11068829"/>
      <w:r w:rsidRPr="00445472">
        <w:t>9.1 Hyrje</w:t>
      </w:r>
      <w:bookmarkEnd w:id="171"/>
      <w:bookmarkEnd w:id="172"/>
    </w:p>
    <w:p w14:paraId="40DCA6C6" w14:textId="77777777" w:rsidR="00B15A6B" w:rsidRPr="00445472" w:rsidRDefault="00B15A6B" w:rsidP="00B15A6B">
      <w:pPr>
        <w:pStyle w:val="TEKSTIIII"/>
      </w:pPr>
      <w:r w:rsidRPr="00445472">
        <w:t>Përmbytja e tokës është një dukuri e rregullt në Shqipëri. Ekzistojnë dy faktorë kryesorë, të cilët përcaktojnë llojin e përmbytjeve. E para është natyra sezonale e reshjeve. Dimrat kanë reshje të rënda, të cilat në male bien kryesisht si dëborë dhe verat janë shumë të thata. Rreth 80 deri 85% e reshjeve bien në muajt e dimrit. Ndonjëherë ndodhin përmbytje të cilat janë një kombinim i reshjeve të borës dhe shiut intensiv. Tipari i dytë është topografia e vendit. Malet në lindje çojnë në reshje të larta në këtë pjesë të vendit, lumenjtë janë kryesisht të shkurtër, dhe në perëndim pranë bregdetit territori është i sheshtë. Në pjesët e sipërme të baseneve ujore përmbytja është shumë e shpejtë dhe ndodh në një kohë shumë të shkurtër. Në të kundërt, në zonat e sheshta pranë bregut përmbytja mund të zgjasë për disa javë. Rreth gjysma e popullsisë së Shqipërisë vlerësohet të jetojë në zona, të cilat janë të rrezikuara nga përmbytjet.</w:t>
      </w:r>
    </w:p>
    <w:p w14:paraId="6BF6D8C9" w14:textId="015CCF56" w:rsidR="00B15A6B" w:rsidRPr="00445472" w:rsidRDefault="00B15A6B" w:rsidP="00B15A6B">
      <w:pPr>
        <w:pStyle w:val="TEKSTIIII"/>
      </w:pPr>
      <w:r w:rsidRPr="00445472">
        <w:t xml:space="preserve">Në basenin ujor </w:t>
      </w:r>
      <w:r w:rsidR="007E76E3" w:rsidRPr="00445472">
        <w:t>Drin–Bunë</w:t>
      </w:r>
      <w:r w:rsidRPr="00445472">
        <w:t>, janë tr</w:t>
      </w:r>
      <w:r w:rsidR="00905530">
        <w:t>i</w:t>
      </w:r>
      <w:r w:rsidRPr="00445472">
        <w:t xml:space="preserve"> diga të mëdha të ndërtuara kryesisht për hidrocentrale, të cilat kanë ndikim te përmbytjet. Ka gjithashtu 115 diga të vogla në basenin ujor, të ndërtuara për ujitje dhe kontroll të përmbytjeve, megjithatë shumë prej tyre kanë pasur pak mirëmbajtje në vitet e fundit dhe kapaciteti i tyre është zvogëluar nga vlerat e tyre fillestare.</w:t>
      </w:r>
    </w:p>
    <w:p w14:paraId="77E79592" w14:textId="27EFA4B5" w:rsidR="00B15A6B" w:rsidRPr="00445472" w:rsidRDefault="00B15A6B" w:rsidP="00B15A6B">
      <w:pPr>
        <w:pStyle w:val="TEKSTIIII"/>
      </w:pPr>
      <w:r w:rsidRPr="00445472">
        <w:t xml:space="preserve">Në basenin ujor </w:t>
      </w:r>
      <w:r w:rsidR="007E76E3" w:rsidRPr="00445472">
        <w:t>Drin–Bunë</w:t>
      </w:r>
      <w:r w:rsidRPr="00445472">
        <w:t xml:space="preserve"> është vlerësuar se në një përmbytje 1 herë në 100 vjet, do të prekeshin rreth 20,000 ndërtesa dhe 170,000 banorë.</w:t>
      </w:r>
    </w:p>
    <w:p w14:paraId="0A61FA4D" w14:textId="77777777" w:rsidR="00B15A6B" w:rsidRPr="00445472" w:rsidRDefault="00B15A6B" w:rsidP="00B15A6B">
      <w:pPr>
        <w:pStyle w:val="TEKSTIIII"/>
      </w:pPr>
      <w:r w:rsidRPr="00445472">
        <w:t>Disa aktivitete njerëzore e kanë rritur rrezikun e përmbytjeve. Kjo përfshin nxjerrjen e zhavorrit nga lumenjtë dhe shpyllëzimin në zonat malore. Megjithëse të dyja këto aktivitete janë reduktuar vitet e fundit, ato ende kanë ndikim në përmbytjet.</w:t>
      </w:r>
    </w:p>
    <w:p w14:paraId="118D1D04" w14:textId="33BF9200" w:rsidR="00B15A6B" w:rsidRPr="00445472" w:rsidRDefault="00B37193" w:rsidP="00B37193">
      <w:pPr>
        <w:pStyle w:val="NENTITULL"/>
      </w:pPr>
      <w:bookmarkStart w:id="173" w:name="_Toc484948078"/>
      <w:bookmarkStart w:id="174" w:name="_Toc11068830"/>
      <w:r w:rsidRPr="00445472">
        <w:t xml:space="preserve">9.1.1 </w:t>
      </w:r>
      <w:r w:rsidR="00B15A6B" w:rsidRPr="00445472">
        <w:t xml:space="preserve">Raporti </w:t>
      </w:r>
      <w:r w:rsidR="00B139CF" w:rsidRPr="00445472">
        <w:t>fillestar i projektit</w:t>
      </w:r>
      <w:bookmarkEnd w:id="173"/>
      <w:bookmarkEnd w:id="174"/>
    </w:p>
    <w:p w14:paraId="6D9EEB35" w14:textId="058F50DE" w:rsidR="00B15A6B" w:rsidRPr="00445472" w:rsidRDefault="00B15A6B" w:rsidP="00B15A6B">
      <w:pPr>
        <w:pStyle w:val="TEKSTIIII"/>
      </w:pPr>
      <w:r w:rsidRPr="00445472">
        <w:t xml:space="preserve">Pjesa e parë e seksionit të Raportit fillestar që ka të bëjë me përmbytjet është në thelb një përmbledhje e përmbajtjes së Direktivës për Përmbytjet të Bashkimit Evropian. Një përmbledhje më e gjerë e kësaj Direktive jepet në një pjesë të mëvonshme të këtij raporti. Marrëdhënia midis Direktivës për Përmbytjet dhe basenit ujor </w:t>
      </w:r>
      <w:r w:rsidR="007E76E3" w:rsidRPr="00445472">
        <w:t>Drin–Bunë</w:t>
      </w:r>
      <w:r w:rsidRPr="00445472">
        <w:t xml:space="preserve"> jepet në tabelën e riprodhuar më poshtë.</w:t>
      </w:r>
    </w:p>
    <w:p w14:paraId="04B23868" w14:textId="77777777" w:rsidR="00B15A6B" w:rsidRPr="00445472" w:rsidRDefault="00B15A6B" w:rsidP="00B37193">
      <w:pPr>
        <w:pStyle w:val="TEKSTIIII"/>
      </w:pPr>
    </w:p>
    <w:p w14:paraId="442AB3D7" w14:textId="77777777" w:rsidR="00B15A6B" w:rsidRPr="00445472" w:rsidRDefault="00B15A6B" w:rsidP="00B37193">
      <w:pPr>
        <w:pStyle w:val="NENTITULL"/>
      </w:pPr>
      <w:r w:rsidRPr="00445472">
        <w:t>Tabela 9.1 Përmbajtja e pritshme e shpërndarjes siç parashikohet në Raportin Fillestar të Projektit</w:t>
      </w:r>
    </w:p>
    <w:tbl>
      <w:tblPr>
        <w:tblW w:w="0" w:type="auto"/>
        <w:tblInd w:w="250"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4218"/>
        <w:gridCol w:w="1409"/>
        <w:gridCol w:w="3410"/>
      </w:tblGrid>
      <w:tr w:rsidR="00B15A6B" w:rsidRPr="00445472" w14:paraId="472C87E7" w14:textId="77777777" w:rsidTr="00B15A6B">
        <w:trPr>
          <w:tblHeader/>
        </w:trPr>
        <w:tc>
          <w:tcPr>
            <w:tcW w:w="4253" w:type="dxa"/>
            <w:shd w:val="clear" w:color="auto" w:fill="auto"/>
            <w:vAlign w:val="center"/>
          </w:tcPr>
          <w:p w14:paraId="35421294" w14:textId="66801FB1" w:rsidR="00B15A6B" w:rsidRPr="00445472" w:rsidRDefault="00B15A6B"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 xml:space="preserve">Komponenti i </w:t>
            </w:r>
            <w:r w:rsidR="00B139CF" w:rsidRPr="00445472">
              <w:rPr>
                <w:rFonts w:ascii="Garamond" w:eastAsia="MS Mincho" w:hAnsi="Garamond" w:cs="Arial"/>
                <w:b/>
                <w:sz w:val="20"/>
                <w:szCs w:val="20"/>
              </w:rPr>
              <w:t>planit të menaxhimit të rrezikut nga përmbytjet</w:t>
            </w:r>
          </w:p>
        </w:tc>
        <w:tc>
          <w:tcPr>
            <w:tcW w:w="1417" w:type="dxa"/>
            <w:shd w:val="clear" w:color="auto" w:fill="auto"/>
            <w:vAlign w:val="center"/>
          </w:tcPr>
          <w:p w14:paraId="42CF7894" w14:textId="77777777" w:rsidR="00B15A6B" w:rsidRPr="00445472" w:rsidRDefault="00B15A6B"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PMBU</w:t>
            </w:r>
          </w:p>
          <w:p w14:paraId="2C51A42D" w14:textId="26ED0F19" w:rsidR="00B15A6B" w:rsidRPr="00445472" w:rsidRDefault="007E76E3"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Drin–Bunë</w:t>
            </w:r>
          </w:p>
        </w:tc>
        <w:tc>
          <w:tcPr>
            <w:tcW w:w="3436" w:type="dxa"/>
            <w:shd w:val="clear" w:color="auto" w:fill="auto"/>
            <w:vAlign w:val="center"/>
          </w:tcPr>
          <w:p w14:paraId="53142717" w14:textId="5DD49F83" w:rsidR="00B15A6B" w:rsidRPr="00445472" w:rsidRDefault="00B15A6B" w:rsidP="00B15A6B">
            <w:pPr>
              <w:spacing w:before="22" w:after="22"/>
              <w:ind w:right="63"/>
              <w:jc w:val="center"/>
              <w:rPr>
                <w:rFonts w:ascii="Garamond" w:eastAsia="MS Mincho" w:hAnsi="Garamond" w:cs="Arial"/>
                <w:b/>
                <w:sz w:val="20"/>
                <w:szCs w:val="20"/>
              </w:rPr>
            </w:pPr>
            <w:r w:rsidRPr="00445472">
              <w:rPr>
                <w:rFonts w:ascii="Garamond" w:eastAsia="MS Mincho" w:hAnsi="Garamond" w:cs="Arial"/>
                <w:b/>
                <w:sz w:val="20"/>
                <w:szCs w:val="20"/>
              </w:rPr>
              <w:t xml:space="preserve">Dokumente të </w:t>
            </w:r>
            <w:r w:rsidR="00B139CF" w:rsidRPr="00445472">
              <w:rPr>
                <w:rFonts w:ascii="Garamond" w:eastAsia="MS Mincho" w:hAnsi="Garamond" w:cs="Arial"/>
                <w:b/>
                <w:sz w:val="20"/>
                <w:szCs w:val="20"/>
              </w:rPr>
              <w:t>konsultentit</w:t>
            </w:r>
          </w:p>
        </w:tc>
      </w:tr>
      <w:tr w:rsidR="00B15A6B" w:rsidRPr="00445472" w14:paraId="6CDA7CCB" w14:textId="77777777" w:rsidTr="00B15A6B">
        <w:tc>
          <w:tcPr>
            <w:tcW w:w="5670" w:type="dxa"/>
            <w:gridSpan w:val="2"/>
            <w:shd w:val="clear" w:color="auto" w:fill="auto"/>
            <w:vAlign w:val="center"/>
          </w:tcPr>
          <w:p w14:paraId="12668E00"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(1) Vlerësimi i Parakohshëm i Rrezikut nga Përmbytjet</w:t>
            </w:r>
          </w:p>
        </w:tc>
        <w:tc>
          <w:tcPr>
            <w:tcW w:w="3436" w:type="dxa"/>
            <w:shd w:val="clear" w:color="auto" w:fill="auto"/>
            <w:vAlign w:val="center"/>
          </w:tcPr>
          <w:p w14:paraId="03624AC1" w14:textId="77777777" w:rsidR="00B15A6B" w:rsidRPr="00445472" w:rsidRDefault="00B15A6B" w:rsidP="00B15A6B">
            <w:pPr>
              <w:spacing w:before="22" w:after="22"/>
              <w:ind w:right="63"/>
              <w:jc w:val="center"/>
              <w:rPr>
                <w:rFonts w:ascii="Garamond" w:eastAsia="MS Mincho" w:hAnsi="Garamond" w:cs="Arial"/>
                <w:sz w:val="20"/>
                <w:szCs w:val="20"/>
              </w:rPr>
            </w:pPr>
          </w:p>
        </w:tc>
      </w:tr>
      <w:tr w:rsidR="00B15A6B" w:rsidRPr="00445472" w14:paraId="737AB830" w14:textId="77777777" w:rsidTr="00B15A6B">
        <w:tc>
          <w:tcPr>
            <w:tcW w:w="4253" w:type="dxa"/>
            <w:shd w:val="clear" w:color="auto" w:fill="auto"/>
            <w:vAlign w:val="center"/>
          </w:tcPr>
          <w:p w14:paraId="14F257CF"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PMBU do të përmbajë një përshkrim të përmbytjeve historike: lokacionet dhe frekuencën. Lidhja midis shkarkimeve të lumenjve bazuar në modelimin e të dy lumenjve me përmbytjet historike.</w:t>
            </w:r>
          </w:p>
        </w:tc>
        <w:tc>
          <w:tcPr>
            <w:tcW w:w="1417" w:type="dxa"/>
            <w:shd w:val="clear" w:color="auto" w:fill="auto"/>
            <w:vAlign w:val="center"/>
          </w:tcPr>
          <w:p w14:paraId="301F4E95"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sym w:font="Wingdings" w:char="F0FC"/>
            </w:r>
          </w:p>
          <w:p w14:paraId="3C166E50" w14:textId="77777777" w:rsidR="00B15A6B" w:rsidRPr="00445472" w:rsidRDefault="00B15A6B" w:rsidP="00B15A6B">
            <w:pPr>
              <w:spacing w:before="22" w:after="22"/>
              <w:ind w:right="63"/>
              <w:jc w:val="center"/>
              <w:rPr>
                <w:rFonts w:ascii="Garamond" w:eastAsia="MS Mincho" w:hAnsi="Garamond" w:cs="Arial"/>
                <w:sz w:val="20"/>
                <w:szCs w:val="20"/>
              </w:rPr>
            </w:pPr>
          </w:p>
        </w:tc>
        <w:tc>
          <w:tcPr>
            <w:tcW w:w="3436" w:type="dxa"/>
            <w:shd w:val="clear" w:color="auto" w:fill="auto"/>
            <w:vAlign w:val="center"/>
          </w:tcPr>
          <w:p w14:paraId="4392D824"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Modeli i basenit Mike Hydro, të dhënat historike, gjykimi i ekspertëve</w:t>
            </w:r>
          </w:p>
        </w:tc>
      </w:tr>
      <w:tr w:rsidR="00B15A6B" w:rsidRPr="00445472" w14:paraId="352261FE" w14:textId="77777777" w:rsidTr="00B15A6B">
        <w:tc>
          <w:tcPr>
            <w:tcW w:w="4253" w:type="dxa"/>
            <w:shd w:val="clear" w:color="auto" w:fill="auto"/>
            <w:vAlign w:val="center"/>
          </w:tcPr>
          <w:p w14:paraId="45F904D8"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PMBU (zhvillimet e pritura lidhur me ndryshimet klimatike). Parashikimi i përgjithshëm i rritjes së frekuencës së përmbytjeve, bazuar në modelimin e shkarkimeve të lumenjve duke marrë parasysh ndryshimin e klimës.</w:t>
            </w:r>
            <w:r w:rsidRPr="00445472" w:rsidDel="003A2022">
              <w:rPr>
                <w:rFonts w:ascii="Garamond" w:eastAsia="MS Mincho" w:hAnsi="Garamond" w:cs="Arial"/>
                <w:sz w:val="20"/>
                <w:szCs w:val="20"/>
              </w:rPr>
              <w:t xml:space="preserve"> </w:t>
            </w:r>
          </w:p>
        </w:tc>
        <w:tc>
          <w:tcPr>
            <w:tcW w:w="1417" w:type="dxa"/>
            <w:shd w:val="clear" w:color="auto" w:fill="auto"/>
            <w:vAlign w:val="center"/>
          </w:tcPr>
          <w:p w14:paraId="7D3BB299"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sym w:font="Wingdings" w:char="F0FC"/>
            </w:r>
          </w:p>
          <w:p w14:paraId="763F9981" w14:textId="77777777" w:rsidR="00B15A6B" w:rsidRPr="00445472" w:rsidRDefault="00B15A6B" w:rsidP="00B15A6B">
            <w:pPr>
              <w:spacing w:before="22" w:after="22"/>
              <w:ind w:right="63"/>
              <w:jc w:val="center"/>
              <w:rPr>
                <w:rFonts w:ascii="Garamond" w:eastAsia="MS Mincho" w:hAnsi="Garamond" w:cs="Arial"/>
                <w:sz w:val="20"/>
                <w:szCs w:val="20"/>
              </w:rPr>
            </w:pPr>
          </w:p>
        </w:tc>
        <w:tc>
          <w:tcPr>
            <w:tcW w:w="3436" w:type="dxa"/>
            <w:shd w:val="clear" w:color="auto" w:fill="auto"/>
            <w:vAlign w:val="center"/>
          </w:tcPr>
          <w:p w14:paraId="00F0E8DF"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Modelimi i ndryshimeve klimatike, gjykimi i ekspertëve</w:t>
            </w:r>
          </w:p>
        </w:tc>
      </w:tr>
      <w:tr w:rsidR="00B15A6B" w:rsidRPr="00445472" w14:paraId="50C85407" w14:textId="77777777" w:rsidTr="00B15A6B">
        <w:tc>
          <w:tcPr>
            <w:tcW w:w="5670" w:type="dxa"/>
            <w:gridSpan w:val="2"/>
            <w:shd w:val="clear" w:color="auto" w:fill="auto"/>
            <w:vAlign w:val="center"/>
          </w:tcPr>
          <w:p w14:paraId="031622D9"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(2) Hartat e rrezikut nga përmbytjet dhe Hartat e rrezikshmërisë së përmbytjeve</w:t>
            </w:r>
          </w:p>
        </w:tc>
        <w:tc>
          <w:tcPr>
            <w:tcW w:w="3436" w:type="dxa"/>
            <w:shd w:val="clear" w:color="auto" w:fill="auto"/>
            <w:vAlign w:val="center"/>
          </w:tcPr>
          <w:p w14:paraId="03438816" w14:textId="77777777" w:rsidR="00B15A6B" w:rsidRPr="00445472" w:rsidRDefault="00B15A6B" w:rsidP="00B15A6B">
            <w:pPr>
              <w:spacing w:before="22" w:after="22"/>
              <w:ind w:right="63"/>
              <w:jc w:val="center"/>
              <w:rPr>
                <w:rFonts w:ascii="Garamond" w:eastAsia="MS Mincho" w:hAnsi="Garamond" w:cs="Arial"/>
                <w:sz w:val="20"/>
                <w:szCs w:val="20"/>
              </w:rPr>
            </w:pPr>
          </w:p>
        </w:tc>
      </w:tr>
      <w:tr w:rsidR="00B15A6B" w:rsidRPr="00445472" w14:paraId="4E00E111" w14:textId="77777777" w:rsidTr="00B15A6B">
        <w:tc>
          <w:tcPr>
            <w:tcW w:w="4253" w:type="dxa"/>
            <w:shd w:val="clear" w:color="auto" w:fill="auto"/>
            <w:vAlign w:val="center"/>
          </w:tcPr>
          <w:p w14:paraId="304C60D3"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Këto jo domosdoshmërisht duhet të përfshihen në njërën prej PMBU-ve. Për hartat e rrezikut nevojitet një lloj tjetër modelimi (llogaritja e nivelit të ujit në lidhje me shkarkimin e lumit) me të dhënat si një hartë e niveleve</w:t>
            </w:r>
          </w:p>
          <w:p w14:paraId="7D2B55CA"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Për hartat e Rrezikut të Përmbytjes, nevojiten informacionet të tilla si harta të shfrytëzimit të tokës, dhe të zënies. Veprimet e nevojshme, kostot e vlerësuara dhe afatet kohore për zhvillimin përfshirë në Programin e Masave</w:t>
            </w:r>
          </w:p>
        </w:tc>
        <w:tc>
          <w:tcPr>
            <w:tcW w:w="1417" w:type="dxa"/>
            <w:shd w:val="clear" w:color="auto" w:fill="auto"/>
            <w:vAlign w:val="center"/>
          </w:tcPr>
          <w:p w14:paraId="0287301B"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X</w:t>
            </w:r>
          </w:p>
          <w:p w14:paraId="174D29E4" w14:textId="77777777" w:rsidR="00B15A6B" w:rsidRPr="00445472" w:rsidRDefault="00B15A6B" w:rsidP="00B15A6B">
            <w:pPr>
              <w:spacing w:before="22" w:after="22"/>
              <w:ind w:right="63"/>
              <w:jc w:val="center"/>
              <w:rPr>
                <w:rFonts w:ascii="Garamond" w:eastAsia="MS Mincho" w:hAnsi="Garamond" w:cs="Arial"/>
                <w:sz w:val="20"/>
                <w:szCs w:val="20"/>
              </w:rPr>
            </w:pPr>
          </w:p>
        </w:tc>
        <w:tc>
          <w:tcPr>
            <w:tcW w:w="3436" w:type="dxa"/>
            <w:shd w:val="clear" w:color="auto" w:fill="auto"/>
            <w:vAlign w:val="center"/>
          </w:tcPr>
          <w:p w14:paraId="064CDE82"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Rezultatet e projekteve të mëparshme ose në vazhdim</w:t>
            </w:r>
          </w:p>
        </w:tc>
      </w:tr>
      <w:tr w:rsidR="00B15A6B" w:rsidRPr="00445472" w14:paraId="62E9B492" w14:textId="77777777" w:rsidTr="00B15A6B">
        <w:tc>
          <w:tcPr>
            <w:tcW w:w="5670" w:type="dxa"/>
            <w:gridSpan w:val="2"/>
            <w:shd w:val="clear" w:color="auto" w:fill="auto"/>
            <w:vAlign w:val="center"/>
          </w:tcPr>
          <w:p w14:paraId="12C719BA"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Objektivat e Menaxhimit të Rrezikut nga Përmbytjet</w:t>
            </w:r>
          </w:p>
        </w:tc>
        <w:tc>
          <w:tcPr>
            <w:tcW w:w="3436" w:type="dxa"/>
            <w:shd w:val="clear" w:color="auto" w:fill="auto"/>
            <w:vAlign w:val="center"/>
          </w:tcPr>
          <w:p w14:paraId="7B32B228" w14:textId="77777777" w:rsidR="00B15A6B" w:rsidRPr="00445472" w:rsidRDefault="00B15A6B" w:rsidP="00B15A6B">
            <w:pPr>
              <w:spacing w:before="22" w:after="22"/>
              <w:ind w:right="63"/>
              <w:jc w:val="center"/>
              <w:rPr>
                <w:rFonts w:ascii="Garamond" w:eastAsia="MS Mincho" w:hAnsi="Garamond" w:cs="Arial"/>
                <w:sz w:val="20"/>
                <w:szCs w:val="20"/>
              </w:rPr>
            </w:pPr>
          </w:p>
        </w:tc>
      </w:tr>
      <w:tr w:rsidR="00B15A6B" w:rsidRPr="00445472" w14:paraId="669E1DEA" w14:textId="77777777" w:rsidTr="00B15A6B">
        <w:tc>
          <w:tcPr>
            <w:tcW w:w="4253" w:type="dxa"/>
            <w:shd w:val="clear" w:color="auto" w:fill="auto"/>
            <w:vAlign w:val="center"/>
          </w:tcPr>
          <w:p w14:paraId="3AC1319C" w14:textId="432AA124"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 xml:space="preserve">Për </w:t>
            </w:r>
            <w:r w:rsidR="00B139CF" w:rsidRPr="00445472">
              <w:rPr>
                <w:rFonts w:ascii="Garamond" w:eastAsia="MS Mincho" w:hAnsi="Garamond" w:cs="Arial"/>
                <w:sz w:val="20"/>
                <w:szCs w:val="20"/>
              </w:rPr>
              <w:t>t’u</w:t>
            </w:r>
            <w:r w:rsidRPr="00445472">
              <w:rPr>
                <w:rFonts w:ascii="Garamond" w:eastAsia="MS Mincho" w:hAnsi="Garamond" w:cs="Arial"/>
                <w:sz w:val="20"/>
                <w:szCs w:val="20"/>
              </w:rPr>
              <w:t xml:space="preserve"> përfshirë</w:t>
            </w:r>
          </w:p>
        </w:tc>
        <w:tc>
          <w:tcPr>
            <w:tcW w:w="1417" w:type="dxa"/>
            <w:shd w:val="clear" w:color="auto" w:fill="auto"/>
            <w:vAlign w:val="center"/>
          </w:tcPr>
          <w:p w14:paraId="20990F15"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sym w:font="Wingdings" w:char="F0FC"/>
            </w:r>
          </w:p>
          <w:p w14:paraId="2AE45134" w14:textId="77777777" w:rsidR="00B15A6B" w:rsidRPr="00445472" w:rsidRDefault="00B15A6B" w:rsidP="00B15A6B">
            <w:pPr>
              <w:spacing w:before="22" w:after="22"/>
              <w:ind w:right="63"/>
              <w:jc w:val="center"/>
              <w:rPr>
                <w:rFonts w:ascii="Garamond" w:eastAsia="MS Mincho" w:hAnsi="Garamond" w:cs="Arial"/>
                <w:sz w:val="20"/>
                <w:szCs w:val="20"/>
              </w:rPr>
            </w:pPr>
          </w:p>
        </w:tc>
        <w:tc>
          <w:tcPr>
            <w:tcW w:w="3436" w:type="dxa"/>
            <w:shd w:val="clear" w:color="auto" w:fill="auto"/>
            <w:vAlign w:val="center"/>
          </w:tcPr>
          <w:p w14:paraId="140BF0B0"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Analiza e mangësive për menaxhimin e rrezikut nga përmbytjet, strategjitë</w:t>
            </w:r>
          </w:p>
          <w:p w14:paraId="291D5DA4"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ekzistuese, gjykimi i ekspertëve</w:t>
            </w:r>
          </w:p>
        </w:tc>
      </w:tr>
      <w:tr w:rsidR="00B15A6B" w:rsidRPr="00445472" w14:paraId="197E7163" w14:textId="77777777" w:rsidTr="00B15A6B">
        <w:tc>
          <w:tcPr>
            <w:tcW w:w="5670" w:type="dxa"/>
            <w:gridSpan w:val="2"/>
            <w:shd w:val="clear" w:color="auto" w:fill="auto"/>
            <w:vAlign w:val="center"/>
          </w:tcPr>
          <w:p w14:paraId="5AEE82D5" w14:textId="77777777" w:rsidR="00B15A6B" w:rsidRPr="00445472" w:rsidRDefault="00B15A6B" w:rsidP="00B15A6B">
            <w:pPr>
              <w:spacing w:before="63" w:after="89"/>
              <w:ind w:left="140" w:right="-4"/>
              <w:rPr>
                <w:rFonts w:ascii="Garamond" w:hAnsi="Garamond" w:cs="Arial"/>
                <w:sz w:val="20"/>
                <w:szCs w:val="20"/>
              </w:rPr>
            </w:pPr>
            <w:r w:rsidRPr="00445472">
              <w:rPr>
                <w:rFonts w:ascii="Garamond" w:hAnsi="Garamond" w:cs="Arial"/>
                <w:sz w:val="20"/>
                <w:szCs w:val="20"/>
              </w:rPr>
              <w:t>Masat</w:t>
            </w:r>
          </w:p>
        </w:tc>
        <w:tc>
          <w:tcPr>
            <w:tcW w:w="3436" w:type="dxa"/>
            <w:shd w:val="clear" w:color="auto" w:fill="auto"/>
            <w:vAlign w:val="center"/>
          </w:tcPr>
          <w:p w14:paraId="0B1E03A4" w14:textId="77777777" w:rsidR="00B15A6B" w:rsidRPr="00445472" w:rsidRDefault="00B15A6B" w:rsidP="00B15A6B">
            <w:pPr>
              <w:spacing w:before="22" w:after="22"/>
              <w:ind w:right="63"/>
              <w:jc w:val="center"/>
              <w:rPr>
                <w:rFonts w:ascii="Garamond" w:eastAsia="MS Mincho" w:hAnsi="Garamond" w:cs="Arial"/>
                <w:sz w:val="20"/>
                <w:szCs w:val="20"/>
              </w:rPr>
            </w:pPr>
          </w:p>
        </w:tc>
      </w:tr>
      <w:tr w:rsidR="00B15A6B" w:rsidRPr="00445472" w14:paraId="36FEBDD4" w14:textId="77777777" w:rsidTr="00B15A6B">
        <w:tc>
          <w:tcPr>
            <w:tcW w:w="4253" w:type="dxa"/>
            <w:shd w:val="clear" w:color="auto" w:fill="auto"/>
            <w:vAlign w:val="center"/>
          </w:tcPr>
          <w:p w14:paraId="22D0AF65"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PMBU do të përfshijë masa bazuar në vlerësimet paraprake të rrezikut nga përmbytjet duke përfshirë rekomandimin nga projektet e tjera</w:t>
            </w:r>
          </w:p>
        </w:tc>
        <w:tc>
          <w:tcPr>
            <w:tcW w:w="1417" w:type="dxa"/>
            <w:shd w:val="clear" w:color="auto" w:fill="auto"/>
            <w:vAlign w:val="center"/>
          </w:tcPr>
          <w:p w14:paraId="3AE573A8"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sym w:font="Wingdings" w:char="F0FC"/>
            </w:r>
          </w:p>
          <w:p w14:paraId="0F92D631" w14:textId="77777777" w:rsidR="00B15A6B" w:rsidRPr="00445472" w:rsidRDefault="00B15A6B" w:rsidP="00B15A6B">
            <w:pPr>
              <w:spacing w:before="22" w:after="22"/>
              <w:ind w:right="63"/>
              <w:jc w:val="center"/>
              <w:rPr>
                <w:rFonts w:ascii="Garamond" w:eastAsia="MS Mincho" w:hAnsi="Garamond" w:cs="Arial"/>
                <w:sz w:val="20"/>
                <w:szCs w:val="20"/>
              </w:rPr>
            </w:pPr>
          </w:p>
        </w:tc>
        <w:tc>
          <w:tcPr>
            <w:tcW w:w="3436" w:type="dxa"/>
            <w:shd w:val="clear" w:color="auto" w:fill="auto"/>
            <w:vAlign w:val="center"/>
          </w:tcPr>
          <w:p w14:paraId="0F2FC755" w14:textId="23E457D2"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 xml:space="preserve">Vlerësimi paraprak i rrezikut të përmbytjeve dhe rezultatet e modelimit PoM-të ose Planet e </w:t>
            </w:r>
            <w:r w:rsidR="00B139CF" w:rsidRPr="00445472">
              <w:rPr>
                <w:rFonts w:ascii="Garamond" w:eastAsia="MS Mincho" w:hAnsi="Garamond" w:cs="Arial"/>
                <w:sz w:val="20"/>
                <w:szCs w:val="20"/>
              </w:rPr>
              <w:t xml:space="preserve">veprimit </w:t>
            </w:r>
            <w:r w:rsidRPr="00445472">
              <w:rPr>
                <w:rFonts w:ascii="Garamond" w:eastAsia="MS Mincho" w:hAnsi="Garamond" w:cs="Arial"/>
                <w:sz w:val="20"/>
                <w:szCs w:val="20"/>
              </w:rPr>
              <w:t>nga projektet e tjera, gjykimi i ekspertëve</w:t>
            </w:r>
          </w:p>
        </w:tc>
      </w:tr>
      <w:tr w:rsidR="00B15A6B" w:rsidRPr="00445472" w14:paraId="085D5313" w14:textId="77777777" w:rsidTr="00B15A6B">
        <w:tc>
          <w:tcPr>
            <w:tcW w:w="5670" w:type="dxa"/>
            <w:gridSpan w:val="2"/>
            <w:shd w:val="clear" w:color="auto" w:fill="auto"/>
            <w:vAlign w:val="center"/>
          </w:tcPr>
          <w:p w14:paraId="65C53F76"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Metodologjia e Analizës së Kosto-Përfitim për Masat me Efekte Transnacionale</w:t>
            </w:r>
          </w:p>
        </w:tc>
        <w:tc>
          <w:tcPr>
            <w:tcW w:w="3436" w:type="dxa"/>
            <w:shd w:val="clear" w:color="auto" w:fill="auto"/>
            <w:vAlign w:val="center"/>
          </w:tcPr>
          <w:p w14:paraId="5B207CB7" w14:textId="77777777" w:rsidR="00B15A6B" w:rsidRPr="00445472" w:rsidRDefault="00B15A6B" w:rsidP="00B15A6B">
            <w:pPr>
              <w:spacing w:before="22" w:after="22"/>
              <w:ind w:right="63"/>
              <w:jc w:val="center"/>
              <w:rPr>
                <w:rFonts w:ascii="Garamond" w:eastAsia="MS Mincho" w:hAnsi="Garamond" w:cs="Arial"/>
                <w:sz w:val="20"/>
                <w:szCs w:val="20"/>
              </w:rPr>
            </w:pPr>
          </w:p>
        </w:tc>
      </w:tr>
      <w:tr w:rsidR="00B15A6B" w:rsidRPr="00445472" w14:paraId="163CD4BC" w14:textId="77777777" w:rsidTr="00B15A6B">
        <w:tc>
          <w:tcPr>
            <w:tcW w:w="4253" w:type="dxa"/>
            <w:shd w:val="clear" w:color="auto" w:fill="auto"/>
            <w:vAlign w:val="center"/>
          </w:tcPr>
          <w:p w14:paraId="7F48A42A" w14:textId="77777777" w:rsidR="00B15A6B" w:rsidRPr="00445472" w:rsidRDefault="00B15A6B" w:rsidP="00B15A6B">
            <w:pPr>
              <w:spacing w:before="22" w:after="22"/>
              <w:ind w:right="63"/>
              <w:rPr>
                <w:rFonts w:ascii="Garamond" w:eastAsia="MS Mincho" w:hAnsi="Garamond" w:cs="Arial"/>
                <w:sz w:val="20"/>
                <w:szCs w:val="20"/>
              </w:rPr>
            </w:pPr>
            <w:r w:rsidRPr="00445472">
              <w:rPr>
                <w:rFonts w:ascii="Garamond" w:eastAsia="MS Mincho" w:hAnsi="Garamond" w:cs="Arial"/>
                <w:sz w:val="20"/>
                <w:szCs w:val="20"/>
              </w:rPr>
              <w:t>Analiza ekonomike do të përfshihet në PMBU</w:t>
            </w:r>
          </w:p>
        </w:tc>
        <w:tc>
          <w:tcPr>
            <w:tcW w:w="1417" w:type="dxa"/>
            <w:shd w:val="clear" w:color="auto" w:fill="auto"/>
            <w:vAlign w:val="center"/>
          </w:tcPr>
          <w:p w14:paraId="20CEDC2A"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sym w:font="Wingdings" w:char="F0FC"/>
            </w:r>
          </w:p>
          <w:p w14:paraId="3AE1094E" w14:textId="77777777" w:rsidR="00B15A6B" w:rsidRPr="00445472" w:rsidRDefault="00B15A6B" w:rsidP="00B15A6B">
            <w:pPr>
              <w:spacing w:before="22" w:after="22"/>
              <w:ind w:right="63"/>
              <w:jc w:val="center"/>
              <w:rPr>
                <w:rFonts w:ascii="Garamond" w:eastAsia="MS Mincho" w:hAnsi="Garamond" w:cs="Arial"/>
                <w:sz w:val="20"/>
                <w:szCs w:val="20"/>
              </w:rPr>
            </w:pPr>
          </w:p>
        </w:tc>
        <w:tc>
          <w:tcPr>
            <w:tcW w:w="3436" w:type="dxa"/>
            <w:shd w:val="clear" w:color="auto" w:fill="auto"/>
            <w:vAlign w:val="center"/>
          </w:tcPr>
          <w:p w14:paraId="662ECB34"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Praktikat e njohura ndërkombëtarisht për CBA, Projeksionet e Buxhetit Qeveritar</w:t>
            </w:r>
          </w:p>
          <w:p w14:paraId="2C3669E0"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Parashikimet e investimeve të</w:t>
            </w:r>
          </w:p>
          <w:p w14:paraId="3E888400" w14:textId="77777777" w:rsidR="00B15A6B" w:rsidRPr="00445472" w:rsidRDefault="00B15A6B" w:rsidP="00B15A6B">
            <w:pPr>
              <w:spacing w:before="22" w:after="22"/>
              <w:ind w:right="63"/>
              <w:jc w:val="center"/>
              <w:rPr>
                <w:rFonts w:ascii="Garamond" w:eastAsia="MS Mincho" w:hAnsi="Garamond" w:cs="Arial"/>
                <w:sz w:val="20"/>
                <w:szCs w:val="20"/>
              </w:rPr>
            </w:pPr>
            <w:r w:rsidRPr="00445472">
              <w:rPr>
                <w:rFonts w:ascii="Garamond" w:eastAsia="MS Mincho" w:hAnsi="Garamond" w:cs="Arial"/>
                <w:sz w:val="20"/>
                <w:szCs w:val="20"/>
              </w:rPr>
              <w:t>donatorëve, gjykimi i ekspertëve</w:t>
            </w:r>
          </w:p>
        </w:tc>
      </w:tr>
    </w:tbl>
    <w:p w14:paraId="36B9F6E1" w14:textId="77777777" w:rsidR="00B15A6B" w:rsidRPr="00445472" w:rsidRDefault="00B15A6B" w:rsidP="006C4809">
      <w:pPr>
        <w:pStyle w:val="TEKSTIIII"/>
      </w:pPr>
    </w:p>
    <w:p w14:paraId="1740F3A0" w14:textId="77777777" w:rsidR="00B15A6B" w:rsidRPr="00445472" w:rsidRDefault="00B15A6B" w:rsidP="006C4809">
      <w:pPr>
        <w:pStyle w:val="TEKSTIIII"/>
      </w:pPr>
      <w:r w:rsidRPr="00445472">
        <w:t>Dokumentet që do të përdoren si të përmbledhura në tabelën e mësipërme janë si më poshtë:</w:t>
      </w:r>
    </w:p>
    <w:p w14:paraId="31CF0B74" w14:textId="55BBE7C1" w:rsidR="00B15A6B" w:rsidRPr="00445472" w:rsidRDefault="00913B6C" w:rsidP="006C4809">
      <w:pPr>
        <w:pStyle w:val="TEKSTIIII"/>
      </w:pPr>
      <w:r>
        <w:t xml:space="preserve">- </w:t>
      </w:r>
      <w:r w:rsidR="00B15A6B" w:rsidRPr="00445472">
        <w:rPr>
          <w:i/>
        </w:rPr>
        <w:t>Modeli i basenit Mike Hydro, të dhënat historike, gjykimi i ekspertëve.</w:t>
      </w:r>
      <w:r w:rsidR="00B15A6B" w:rsidRPr="00445472">
        <w:t xml:space="preserve"> Modeli i basenit Mike</w:t>
      </w:r>
      <w:r w:rsidR="00B139CF" w:rsidRPr="00445472">
        <w:t xml:space="preserve"> </w:t>
      </w:r>
      <w:r w:rsidR="00B15A6B" w:rsidRPr="00445472">
        <w:t xml:space="preserve">Hydro është një formulë e mirënjohur dhe i mirëllogaritur matematike që simulon hidrologjinë dhe hidraulikën e një baseni ujor. Modeli hidrologjik Mike është kalibruar për basenin ujor </w:t>
      </w:r>
      <w:r w:rsidR="007E76E3" w:rsidRPr="00445472">
        <w:t>Drin–Bunë</w:t>
      </w:r>
      <w:r w:rsidR="00B15A6B" w:rsidRPr="00445472">
        <w:t>. Modeli do të përdorë të dhëna të përditshme të reshjeve dhe kjo do ta mundësojë atë të simulojë përmbytjet. Për fat të keq, nuk ka qenë e mundur gjetja e të dhënave të prurjeve ditore, kështu që kalibrimi është bazuar në të dhënat mujore të prurjeve. Përderisa në këtë fazë nuk është përfunduar kalibrimi, pritet që modeli të japë një përfaqësim të arsyeshëm të flukseve të përmbytjeve. Ka shumë pak të dhëna sasiore mbi flukset e përmbytjeve dhe frekuencën e tyre. Ato që janë, janë  përmbledhur më poshtë. Duke pasur parasysh se ekzistojnë shumë pak të dhëna sasiore, shumë nga konkluzionet do të varen nga gjykimi i ekspertëve.</w:t>
      </w:r>
    </w:p>
    <w:p w14:paraId="6EF7422C" w14:textId="24B6B992" w:rsidR="00B15A6B" w:rsidRPr="00445472" w:rsidRDefault="00913B6C" w:rsidP="006C4809">
      <w:pPr>
        <w:pStyle w:val="TEKSTIIII"/>
      </w:pPr>
      <w:r>
        <w:t xml:space="preserve">- </w:t>
      </w:r>
      <w:r w:rsidR="00B15A6B" w:rsidRPr="00445472">
        <w:rPr>
          <w:i/>
        </w:rPr>
        <w:t>Modelimi i ndryshimeve klimatike, gjykimi i ekspertëve</w:t>
      </w:r>
      <w:r w:rsidR="00B15A6B" w:rsidRPr="00445472">
        <w:t>. Modeli hidrologjik i baseneve ujore do të përdorë të dhënat e vëzhguara meteorologjike (reshjet dhe evapotranspirimin potencial) si e dhënë hyrëse. Për të studiuar ndikimin e mundshëm të ndryshimit të klimës, të dhënat hyrëse do të modifikohen për të përdorur vlerat që priten në të ardhmen. Kjo do të mundësojë shqyrtimin e ndryshimit në rrjedhën e lumit. Një aspekt tjetër që lidhet me këtë, është ndikimi i aktivitetit njerëzor në mënyra të tjera. Një nga efektet e shpyllëzimit është rritja e flukseve të përmbytjeve; Me më pak mbulim gjethesh, me më shumë reshje që bie në tokë dhe pa pemë të rrënjosura thellë, toka ngopet më shpejt.</w:t>
      </w:r>
    </w:p>
    <w:p w14:paraId="1EB27471" w14:textId="10F9E371" w:rsidR="00B15A6B" w:rsidRPr="00445472" w:rsidRDefault="00913B6C" w:rsidP="006C4809">
      <w:pPr>
        <w:pStyle w:val="TEKSTIIII"/>
      </w:pPr>
      <w:r>
        <w:t xml:space="preserve">- </w:t>
      </w:r>
      <w:r w:rsidR="00B15A6B" w:rsidRPr="00445472">
        <w:t>Rezultatet e projekteve të mëparshme ose të vazhdueshme. Analiza e mangësive për menaxhimin e rrezikut nga përmbytjet, strategjitë ekzistuese, gjykimi i ekspertëve. Më poshtë kemi përmbledhur rezultatet e projekteve të tjera, të cilat kanë bërë shqyrtimin e përmbytjeve në Shqipëri. Një aspekt i rëndësishëm i analizës së hendekut është krahasimi mes asaj që njihet aktualisht dhe asaj që duhet të dihet për të zhvilluar plane racionale të menaxhimit të përmbytjeve. Kjo nga ana tjetër do të çojë në rekomandime për përmirësime në monitorimin e rrjedhës, nivelet e ujit, zonat e përmbytura dhe kohën e reagimit të përmbytjeve.</w:t>
      </w:r>
    </w:p>
    <w:p w14:paraId="3F29E09A" w14:textId="5D9731E0" w:rsidR="00B15A6B" w:rsidRPr="00445472" w:rsidRDefault="00913B6C" w:rsidP="006C4809">
      <w:pPr>
        <w:pStyle w:val="TEKSTIIII"/>
      </w:pPr>
      <w:r>
        <w:t xml:space="preserve">- </w:t>
      </w:r>
      <w:r w:rsidR="00B15A6B" w:rsidRPr="00445472">
        <w:t>Vlerësimi paraprak i rrezikut të përmbytjeve dhe rezultatet e modelimit, PM-të ose Planet e Menaxhimit nga projektet e tjera, gjykimi i ekspertëve. Vlerësimi i nivelit aktual të rrezikut nga përmbytjet do të bazohet në raportet e Agjencisë Kombëtare të Mbrojtjes Civile, raportet e projekteve të tjera për përmbytjet dhe raportet e medias mbi shkallën e përmbytjeve dhe dëmeve të shkaktuara. Një rezultat i rëndësishëm i modelimit hidrologjik do të ishte identifikimi më i plotë i natyrës së përmbytjeve që ndodhin. A ndodhin ato kryesisht në dimër apo përmbytjet e mëdha ndodhin si pasojë e reshjeve të stuhive të forta gjatë verës?. A ndikon shkrirja e borës në përmbytjet e mëdha? Programi i masave do të bazohet, pjesërisht, në rekomandimet në raportet e mëparshme, por gjithashtu në vlerësimin e ekipit të projektit për nivelin aktual të rrezikut dhe masave, të cilat mund të ndërmerren për ta minimizuar atë. Gjithashtu do të marrë parasysh punimet e mëparshme të mbrojtjes nga përmbytjet dhe nivelin e tyre të tanishëm të mirëmbajtjes.</w:t>
      </w:r>
    </w:p>
    <w:p w14:paraId="449A4DB6" w14:textId="0C6157B0" w:rsidR="00B15A6B" w:rsidRPr="00445472" w:rsidRDefault="00913B6C" w:rsidP="006C4809">
      <w:pPr>
        <w:pStyle w:val="TEKSTIIII"/>
      </w:pPr>
      <w:r>
        <w:t xml:space="preserve">- </w:t>
      </w:r>
      <w:r w:rsidR="00B15A6B" w:rsidRPr="00445472">
        <w:t>Praktikat e njohura ndërkombëtarisht për analizën kosto-përfitim, parashikimet buxhetore qeveritare, parashikimet e investimeve të donatorëve, gjykimi i ekspertëve. Analiza klasike kosto-përfitim e mbrojtjes nga përmbytjet në mënyrë tipike do të shqyrtojë kostot që lidhen me përmbytjet të cilat statistikisht ka të ngjarë të ndodhin brenda një periudhe të gjatë, për shembull për 100 vjet. Mund të supozohet, në një hamendësim fillestar, një përmbytje 1 her</w:t>
      </w:r>
      <w:r w:rsidR="00FE0B87">
        <w:t>ë</w:t>
      </w:r>
      <w:r w:rsidR="00B15A6B" w:rsidRPr="00445472">
        <w:t xml:space="preserve"> n</w:t>
      </w:r>
      <w:r w:rsidR="00FE0B87">
        <w:t>ë</w:t>
      </w:r>
      <w:r w:rsidR="00B15A6B" w:rsidRPr="00445472">
        <w:t xml:space="preserve"> 100 vjet (1%), 1 here në 50 (2%),  në 1 herë</w:t>
      </w:r>
      <w:r w:rsidR="00FE0B87">
        <w:t xml:space="preserve"> në </w:t>
      </w:r>
      <w:r w:rsidR="00B15A6B" w:rsidRPr="00445472">
        <w:t>20 vjet (5%) dhe 1 herë</w:t>
      </w:r>
      <w:r w:rsidR="00FE0B87">
        <w:t xml:space="preserve"> </w:t>
      </w:r>
      <w:r w:rsidR="00B15A6B" w:rsidRPr="00445472">
        <w:t>në</w:t>
      </w:r>
      <w:r w:rsidR="00FE0B87">
        <w:t xml:space="preserve"> </w:t>
      </w:r>
      <w:r w:rsidR="00B15A6B" w:rsidRPr="00445472">
        <w:t>10 vjet (dhe dhjetë në 1</w:t>
      </w:r>
      <w:r w:rsidR="00FE0B87">
        <w:t xml:space="preserve"> </w:t>
      </w:r>
      <w:r w:rsidR="00B15A6B" w:rsidRPr="00445472">
        <w:t>në</w:t>
      </w:r>
      <w:r w:rsidR="00FE0B87">
        <w:t xml:space="preserve"> </w:t>
      </w:r>
      <w:r w:rsidR="00B15A6B" w:rsidRPr="00445472">
        <w:t>5. Në total kjo do të jepte 20 përmbytje me një periudhë kthimi prej 1 në 5 ose më të lartë). Më pas do të shqyrtojë kostot për të siguruar mbrojtje në nivele të ndryshme të përmbytjeve. Pra, mund të konkludohet, për shembull se ishte e justifikueshme nga ana ekonomike për të mbrojtur një përmbytje një në 50 vjet, por kostoja e mbrojtjes kundër një 1-në-100 vjet ishte e justifikuar. Një analizë e tillë, natyrisht, varet nga disponueshmëria e hartave të hollësishme të përmbytjeve për përmbytjet e një sërë periudhash kthimi. Nëse hartat e tilla nuk do të ishin të disponueshme, rekomandimet do të bazoheshin në gjykimin e ekspertëve anëtarë të ekipit.</w:t>
      </w:r>
    </w:p>
    <w:p w14:paraId="26199ACD" w14:textId="1AC3A3BC" w:rsidR="00B15A6B" w:rsidRPr="00445472" w:rsidRDefault="006C4809" w:rsidP="006C4809">
      <w:pPr>
        <w:pStyle w:val="NENTITULL"/>
      </w:pPr>
      <w:bookmarkStart w:id="175" w:name="_Toc486503419"/>
      <w:bookmarkStart w:id="176" w:name="_TOC_250022"/>
      <w:bookmarkStart w:id="177" w:name="_Toc11068831"/>
      <w:r w:rsidRPr="00445472">
        <w:t xml:space="preserve">9.2 </w:t>
      </w:r>
      <w:r w:rsidR="00B15A6B" w:rsidRPr="00445472">
        <w:t>Gjendja historike dhe aktuale</w:t>
      </w:r>
      <w:bookmarkEnd w:id="175"/>
      <w:bookmarkEnd w:id="176"/>
      <w:bookmarkEnd w:id="177"/>
    </w:p>
    <w:p w14:paraId="3F547853" w14:textId="7664D3B6" w:rsidR="00B15A6B" w:rsidRPr="00445472" w:rsidRDefault="00B15A6B" w:rsidP="006C4809">
      <w:pPr>
        <w:pStyle w:val="TEKSTIIII"/>
      </w:pPr>
      <w:r w:rsidRPr="00445472">
        <w:t xml:space="preserve">Tabelat 9.2 dhe 9.3 më poshtë përmbledhin historinë e përmbytjeve në Shqipëri. Tabela 9.3 përmbledh dëmet sipas qarkut që nga viti 1852 ku të paktën një pjesë e zonës së tyre është në basenin e lumit Drin. Të dyja tabelat bazohen në të dhënat nga faqja e internetit </w:t>
      </w:r>
      <w:hyperlink r:id="rId74" w:history="1">
        <w:r w:rsidRPr="00445472">
          <w:rPr>
            <w:rStyle w:val="Hyperlink"/>
            <w:color w:val="auto"/>
          </w:rPr>
          <w:t>www.desinventar.net/DesInventar/profiletab.jsp.</w:t>
        </w:r>
      </w:hyperlink>
      <w:r w:rsidRPr="00445472">
        <w:t xml:space="preserve"> Tabela 9.2 përfshin vetëm vitet kur ka ndodhur dëmtimi në një nga kolonat e përmendura. Në disa vite, ka</w:t>
      </w:r>
      <w:r w:rsidR="00B139CF" w:rsidRPr="00445472">
        <w:t xml:space="preserve"> </w:t>
      </w:r>
      <w:r w:rsidRPr="00445472">
        <w:t>pasur lloje të tjera, më të lehta dëmesh. Duket se përmbytja është një dukuri e zakonshme në Shqipëri dhe se përmbytja shpesh çon në vdekje. Është gjithashtu e qartë se më shumë informacion disponohet për përmbytjet më të fundit. Përmbytja e vitit 1905 shkaktoi numrin më të madh të vdekjeve dhe të shtëpive të shkatërruara, por ka pak informacion për llojet e tjera të dëmeve. U raportua se përmbytja ndodhi në rajonin e Liqenit të Shkodrës</w:t>
      </w:r>
      <w:r w:rsidRPr="00445472">
        <w:rPr>
          <w:vertAlign w:val="superscript"/>
        </w:rPr>
        <w:footnoteReference w:id="171"/>
      </w:r>
      <w:r w:rsidRPr="00445472">
        <w:t xml:space="preserve">. Po atë vit ka pasur një tërmet me magnitudë 6.6, një nga më të mëdhatë në Evropën Juglindore gjatë 100 viteve të fundit, gjithashtu edhe në rajonin e Shkodrës. Kjo rezultoi në 120 vdekje </w:t>
      </w:r>
      <w:r w:rsidRPr="00445472">
        <w:rPr>
          <w:vertAlign w:val="superscript"/>
        </w:rPr>
        <w:footnoteReference w:id="172"/>
      </w:r>
      <w:r w:rsidRPr="00445472">
        <w:t>. Nuk është e qartë nëse të dy</w:t>
      </w:r>
      <w:r w:rsidR="00905530">
        <w:t>ja</w:t>
      </w:r>
      <w:r w:rsidRPr="00445472">
        <w:t xml:space="preserve"> ngjarjet lidheshin me njëra-tjetrën apo jo.</w:t>
      </w:r>
    </w:p>
    <w:p w14:paraId="508D512E" w14:textId="16343417" w:rsidR="00B15A6B" w:rsidRPr="00445472" w:rsidRDefault="00B15A6B" w:rsidP="006C4809">
      <w:pPr>
        <w:pStyle w:val="TEKSTIIII"/>
        <w:rPr>
          <w:b/>
        </w:rPr>
      </w:pPr>
    </w:p>
    <w:p w14:paraId="587030B8" w14:textId="77777777" w:rsidR="00B15A6B" w:rsidRPr="00445472" w:rsidRDefault="00B15A6B" w:rsidP="006C4809">
      <w:pPr>
        <w:pStyle w:val="NENTITULL"/>
      </w:pPr>
      <w:r w:rsidRPr="00445472">
        <w:t>Tabela 9.2: Dëmet historike të shkaktuara nga përmbytjet në Shqipëri</w:t>
      </w:r>
    </w:p>
    <w:tbl>
      <w:tblPr>
        <w:tblW w:w="4760" w:type="pct"/>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000" w:firstRow="0" w:lastRow="0" w:firstColumn="0" w:lastColumn="0" w:noHBand="0" w:noVBand="0"/>
      </w:tblPr>
      <w:tblGrid>
        <w:gridCol w:w="1099"/>
        <w:gridCol w:w="1328"/>
        <w:gridCol w:w="1328"/>
        <w:gridCol w:w="1328"/>
        <w:gridCol w:w="1328"/>
        <w:gridCol w:w="1328"/>
        <w:gridCol w:w="1102"/>
      </w:tblGrid>
      <w:tr w:rsidR="00B15A6B" w:rsidRPr="00445472" w14:paraId="79641026" w14:textId="77777777" w:rsidTr="006C4809">
        <w:trPr>
          <w:trHeight w:val="257"/>
          <w:tblHeader/>
          <w:jc w:val="center"/>
        </w:trPr>
        <w:tc>
          <w:tcPr>
            <w:tcW w:w="622" w:type="pct"/>
            <w:tcBorders>
              <w:bottom w:val="single" w:sz="4" w:space="0" w:color="27B1B0"/>
            </w:tcBorders>
            <w:shd w:val="clear" w:color="auto" w:fill="D9D9D9"/>
            <w:vAlign w:val="center"/>
          </w:tcPr>
          <w:p w14:paraId="6309E8F8"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Viti</w:t>
            </w:r>
          </w:p>
        </w:tc>
        <w:tc>
          <w:tcPr>
            <w:tcW w:w="751" w:type="pct"/>
            <w:tcBorders>
              <w:bottom w:val="single" w:sz="4" w:space="0" w:color="27B1B0"/>
            </w:tcBorders>
            <w:shd w:val="clear" w:color="auto" w:fill="D9D9D9"/>
            <w:vAlign w:val="center"/>
          </w:tcPr>
          <w:p w14:paraId="0E3B620A"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Vdekje</w:t>
            </w:r>
          </w:p>
        </w:tc>
        <w:tc>
          <w:tcPr>
            <w:tcW w:w="751" w:type="pct"/>
            <w:tcBorders>
              <w:bottom w:val="single" w:sz="4" w:space="0" w:color="27B1B0"/>
            </w:tcBorders>
            <w:shd w:val="clear" w:color="auto" w:fill="D9D9D9"/>
            <w:vAlign w:val="center"/>
          </w:tcPr>
          <w:p w14:paraId="172CDB59"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Shtëpi të shkatërruara</w:t>
            </w:r>
          </w:p>
        </w:tc>
        <w:tc>
          <w:tcPr>
            <w:tcW w:w="751" w:type="pct"/>
            <w:tcBorders>
              <w:bottom w:val="single" w:sz="4" w:space="0" w:color="27B1B0"/>
            </w:tcBorders>
            <w:shd w:val="clear" w:color="auto" w:fill="D9D9D9"/>
            <w:vAlign w:val="center"/>
          </w:tcPr>
          <w:p w14:paraId="2EE7A446"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Viktima</w:t>
            </w:r>
          </w:p>
        </w:tc>
        <w:tc>
          <w:tcPr>
            <w:tcW w:w="751" w:type="pct"/>
            <w:tcBorders>
              <w:bottom w:val="single" w:sz="4" w:space="0" w:color="27B1B0"/>
            </w:tcBorders>
            <w:shd w:val="clear" w:color="auto" w:fill="D9D9D9"/>
            <w:vAlign w:val="center"/>
          </w:tcPr>
          <w:p w14:paraId="0795DB17"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Dëmtimi i kulturave (ha)</w:t>
            </w:r>
          </w:p>
        </w:tc>
        <w:tc>
          <w:tcPr>
            <w:tcW w:w="751" w:type="pct"/>
            <w:tcBorders>
              <w:bottom w:val="single" w:sz="4" w:space="0" w:color="27B1B0"/>
            </w:tcBorders>
            <w:shd w:val="clear" w:color="auto" w:fill="D9D9D9"/>
            <w:vAlign w:val="center"/>
          </w:tcPr>
          <w:p w14:paraId="1B02A3AD"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Kafshë të humbura</w:t>
            </w:r>
          </w:p>
        </w:tc>
        <w:tc>
          <w:tcPr>
            <w:tcW w:w="623" w:type="pct"/>
            <w:tcBorders>
              <w:bottom w:val="single" w:sz="4" w:space="0" w:color="27B1B0"/>
            </w:tcBorders>
            <w:shd w:val="clear" w:color="auto" w:fill="D9D9D9"/>
            <w:vAlign w:val="center"/>
          </w:tcPr>
          <w:p w14:paraId="4F4DDEAA"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Dëmtimi i rrugëve (m)</w:t>
            </w:r>
          </w:p>
        </w:tc>
      </w:tr>
      <w:tr w:rsidR="00B15A6B" w:rsidRPr="00445472" w14:paraId="0E03C6F4" w14:textId="77777777" w:rsidTr="006C4809">
        <w:trPr>
          <w:trHeight w:val="247"/>
          <w:jc w:val="center"/>
        </w:trPr>
        <w:tc>
          <w:tcPr>
            <w:tcW w:w="622" w:type="pct"/>
            <w:tcBorders>
              <w:bottom w:val="single" w:sz="4" w:space="0" w:color="27B0AF"/>
            </w:tcBorders>
            <w:shd w:val="clear" w:color="auto" w:fill="auto"/>
            <w:vAlign w:val="center"/>
          </w:tcPr>
          <w:p w14:paraId="0ECC6D5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1865</w:t>
            </w:r>
          </w:p>
        </w:tc>
        <w:tc>
          <w:tcPr>
            <w:tcW w:w="751" w:type="pct"/>
            <w:tcBorders>
              <w:bottom w:val="single" w:sz="4" w:space="0" w:color="27B0AF"/>
            </w:tcBorders>
            <w:shd w:val="clear" w:color="auto" w:fill="auto"/>
            <w:vAlign w:val="center"/>
          </w:tcPr>
          <w:p w14:paraId="538AFC2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w:t>
            </w:r>
          </w:p>
        </w:tc>
        <w:tc>
          <w:tcPr>
            <w:tcW w:w="751" w:type="pct"/>
            <w:tcBorders>
              <w:bottom w:val="single" w:sz="4" w:space="0" w:color="27B0AF"/>
            </w:tcBorders>
            <w:shd w:val="clear" w:color="auto" w:fill="auto"/>
            <w:vAlign w:val="center"/>
          </w:tcPr>
          <w:p w14:paraId="15F8D07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tcBorders>
              <w:bottom w:val="single" w:sz="4" w:space="0" w:color="27B0AF"/>
            </w:tcBorders>
            <w:shd w:val="clear" w:color="auto" w:fill="auto"/>
            <w:vAlign w:val="center"/>
          </w:tcPr>
          <w:p w14:paraId="0563479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tcBorders>
              <w:bottom w:val="single" w:sz="4" w:space="0" w:color="27B0AF"/>
            </w:tcBorders>
            <w:shd w:val="clear" w:color="auto" w:fill="auto"/>
            <w:vAlign w:val="center"/>
          </w:tcPr>
          <w:p w14:paraId="4CBD5EB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tcBorders>
              <w:bottom w:val="single" w:sz="4" w:space="0" w:color="27B0AF"/>
            </w:tcBorders>
            <w:shd w:val="clear" w:color="auto" w:fill="auto"/>
            <w:vAlign w:val="center"/>
          </w:tcPr>
          <w:p w14:paraId="17E67E0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tcBorders>
              <w:bottom w:val="single" w:sz="4" w:space="0" w:color="27B0AF"/>
            </w:tcBorders>
            <w:shd w:val="clear" w:color="auto" w:fill="auto"/>
            <w:vAlign w:val="center"/>
          </w:tcPr>
          <w:p w14:paraId="007E72B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445F481A" w14:textId="77777777" w:rsidTr="006C4809">
        <w:trPr>
          <w:trHeight w:val="247"/>
          <w:jc w:val="center"/>
        </w:trPr>
        <w:tc>
          <w:tcPr>
            <w:tcW w:w="622" w:type="pct"/>
            <w:tcBorders>
              <w:top w:val="single" w:sz="4" w:space="0" w:color="27B0AF"/>
              <w:left w:val="single" w:sz="4" w:space="0" w:color="27B0AF"/>
              <w:bottom w:val="single" w:sz="4" w:space="0" w:color="27B0AF"/>
              <w:right w:val="single" w:sz="4" w:space="0" w:color="27B0AF"/>
            </w:tcBorders>
            <w:shd w:val="clear" w:color="auto" w:fill="auto"/>
            <w:vAlign w:val="center"/>
          </w:tcPr>
          <w:p w14:paraId="41F4246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1905</w:t>
            </w:r>
          </w:p>
        </w:tc>
        <w:tc>
          <w:tcPr>
            <w:tcW w:w="751" w:type="pct"/>
            <w:tcBorders>
              <w:top w:val="single" w:sz="4" w:space="0" w:color="27B0AF"/>
              <w:left w:val="single" w:sz="4" w:space="0" w:color="27B0AF"/>
              <w:bottom w:val="single" w:sz="4" w:space="0" w:color="27B0AF"/>
              <w:right w:val="single" w:sz="4" w:space="0" w:color="27B0AF"/>
            </w:tcBorders>
            <w:shd w:val="clear" w:color="auto" w:fill="auto"/>
            <w:vAlign w:val="center"/>
          </w:tcPr>
          <w:p w14:paraId="4E257DB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w:t>
            </w:r>
          </w:p>
        </w:tc>
        <w:tc>
          <w:tcPr>
            <w:tcW w:w="751" w:type="pct"/>
            <w:tcBorders>
              <w:top w:val="single" w:sz="4" w:space="0" w:color="27B0AF"/>
              <w:left w:val="single" w:sz="4" w:space="0" w:color="27B0AF"/>
              <w:bottom w:val="single" w:sz="4" w:space="0" w:color="27B0AF"/>
              <w:right w:val="single" w:sz="4" w:space="0" w:color="27B0AF"/>
            </w:tcBorders>
            <w:shd w:val="clear" w:color="auto" w:fill="auto"/>
            <w:vAlign w:val="center"/>
          </w:tcPr>
          <w:p w14:paraId="0F5596A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1,500</w:t>
            </w:r>
          </w:p>
        </w:tc>
        <w:tc>
          <w:tcPr>
            <w:tcW w:w="751" w:type="pct"/>
            <w:tcBorders>
              <w:top w:val="single" w:sz="4" w:space="0" w:color="27B0AF"/>
              <w:left w:val="single" w:sz="4" w:space="0" w:color="27B0AF"/>
              <w:bottom w:val="single" w:sz="4" w:space="0" w:color="27B0AF"/>
              <w:right w:val="single" w:sz="4" w:space="0" w:color="27B0AF"/>
            </w:tcBorders>
            <w:shd w:val="clear" w:color="auto" w:fill="auto"/>
            <w:vAlign w:val="center"/>
          </w:tcPr>
          <w:p w14:paraId="61803F3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tcBorders>
              <w:top w:val="single" w:sz="4" w:space="0" w:color="27B0AF"/>
              <w:left w:val="single" w:sz="4" w:space="0" w:color="27B0AF"/>
              <w:bottom w:val="single" w:sz="4" w:space="0" w:color="27B0AF"/>
              <w:right w:val="single" w:sz="4" w:space="0" w:color="27B0AF"/>
            </w:tcBorders>
            <w:shd w:val="clear" w:color="auto" w:fill="auto"/>
            <w:vAlign w:val="center"/>
          </w:tcPr>
          <w:p w14:paraId="1006A2B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tcBorders>
              <w:top w:val="single" w:sz="4" w:space="0" w:color="27B0AF"/>
              <w:left w:val="single" w:sz="4" w:space="0" w:color="27B0AF"/>
              <w:bottom w:val="single" w:sz="4" w:space="0" w:color="27B0AF"/>
              <w:right w:val="single" w:sz="4" w:space="0" w:color="27B0AF"/>
            </w:tcBorders>
            <w:shd w:val="clear" w:color="auto" w:fill="auto"/>
            <w:vAlign w:val="center"/>
          </w:tcPr>
          <w:p w14:paraId="699DDA2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tcBorders>
              <w:top w:val="single" w:sz="4" w:space="0" w:color="27B0AF"/>
              <w:left w:val="single" w:sz="4" w:space="0" w:color="27B0AF"/>
              <w:bottom w:val="single" w:sz="4" w:space="0" w:color="27B0AF"/>
              <w:right w:val="single" w:sz="4" w:space="0" w:color="27B0AF"/>
            </w:tcBorders>
            <w:shd w:val="clear" w:color="auto" w:fill="auto"/>
            <w:vAlign w:val="center"/>
          </w:tcPr>
          <w:p w14:paraId="67C67AB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3E48192" w14:textId="77777777" w:rsidTr="006C4809">
        <w:trPr>
          <w:trHeight w:val="247"/>
          <w:jc w:val="center"/>
        </w:trPr>
        <w:tc>
          <w:tcPr>
            <w:tcW w:w="622" w:type="pct"/>
            <w:tcBorders>
              <w:top w:val="single" w:sz="4" w:space="0" w:color="27B0AF"/>
            </w:tcBorders>
            <w:shd w:val="clear" w:color="auto" w:fill="auto"/>
            <w:vAlign w:val="center"/>
          </w:tcPr>
          <w:p w14:paraId="165DE41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1946</w:t>
            </w:r>
          </w:p>
        </w:tc>
        <w:tc>
          <w:tcPr>
            <w:tcW w:w="751" w:type="pct"/>
            <w:tcBorders>
              <w:top w:val="single" w:sz="4" w:space="0" w:color="27B0AF"/>
            </w:tcBorders>
            <w:shd w:val="clear" w:color="auto" w:fill="auto"/>
            <w:vAlign w:val="center"/>
          </w:tcPr>
          <w:p w14:paraId="2B0312C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w:t>
            </w:r>
          </w:p>
        </w:tc>
        <w:tc>
          <w:tcPr>
            <w:tcW w:w="751" w:type="pct"/>
            <w:tcBorders>
              <w:top w:val="single" w:sz="4" w:space="0" w:color="27B0AF"/>
            </w:tcBorders>
            <w:shd w:val="clear" w:color="auto" w:fill="auto"/>
            <w:vAlign w:val="center"/>
          </w:tcPr>
          <w:p w14:paraId="2FF340E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124</w:t>
            </w:r>
          </w:p>
        </w:tc>
        <w:tc>
          <w:tcPr>
            <w:tcW w:w="751" w:type="pct"/>
            <w:tcBorders>
              <w:top w:val="single" w:sz="4" w:space="0" w:color="27B0AF"/>
            </w:tcBorders>
            <w:shd w:val="clear" w:color="auto" w:fill="auto"/>
            <w:vAlign w:val="center"/>
          </w:tcPr>
          <w:p w14:paraId="220D4F4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tcBorders>
              <w:top w:val="single" w:sz="4" w:space="0" w:color="27B0AF"/>
            </w:tcBorders>
            <w:shd w:val="clear" w:color="auto" w:fill="auto"/>
            <w:vAlign w:val="center"/>
          </w:tcPr>
          <w:p w14:paraId="73A8536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12,861</w:t>
            </w:r>
          </w:p>
        </w:tc>
        <w:tc>
          <w:tcPr>
            <w:tcW w:w="751" w:type="pct"/>
            <w:tcBorders>
              <w:top w:val="single" w:sz="4" w:space="0" w:color="27B0AF"/>
            </w:tcBorders>
            <w:shd w:val="clear" w:color="auto" w:fill="auto"/>
            <w:vAlign w:val="center"/>
          </w:tcPr>
          <w:p w14:paraId="1B95729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2,873</w:t>
            </w:r>
          </w:p>
        </w:tc>
        <w:tc>
          <w:tcPr>
            <w:tcW w:w="623" w:type="pct"/>
            <w:tcBorders>
              <w:top w:val="single" w:sz="4" w:space="0" w:color="27B0AF"/>
            </w:tcBorders>
            <w:shd w:val="clear" w:color="auto" w:fill="auto"/>
            <w:vAlign w:val="center"/>
          </w:tcPr>
          <w:p w14:paraId="4F5AA7C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205</w:t>
            </w:r>
          </w:p>
        </w:tc>
      </w:tr>
      <w:tr w:rsidR="00B15A6B" w:rsidRPr="00445472" w14:paraId="791BE1B3" w14:textId="77777777" w:rsidTr="006C4809">
        <w:trPr>
          <w:trHeight w:val="247"/>
          <w:jc w:val="center"/>
        </w:trPr>
        <w:tc>
          <w:tcPr>
            <w:tcW w:w="622" w:type="pct"/>
            <w:shd w:val="clear" w:color="auto" w:fill="auto"/>
            <w:vAlign w:val="center"/>
          </w:tcPr>
          <w:p w14:paraId="504BA1E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1947</w:t>
            </w:r>
          </w:p>
        </w:tc>
        <w:tc>
          <w:tcPr>
            <w:tcW w:w="751" w:type="pct"/>
            <w:shd w:val="clear" w:color="auto" w:fill="auto"/>
            <w:vAlign w:val="center"/>
          </w:tcPr>
          <w:p w14:paraId="008F931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F0A56E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w:t>
            </w:r>
          </w:p>
        </w:tc>
        <w:tc>
          <w:tcPr>
            <w:tcW w:w="751" w:type="pct"/>
            <w:shd w:val="clear" w:color="auto" w:fill="auto"/>
            <w:vAlign w:val="center"/>
          </w:tcPr>
          <w:p w14:paraId="6AB3F62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4F79B5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7A0F0DF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2E97301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548AF472" w14:textId="77777777" w:rsidTr="006C4809">
        <w:trPr>
          <w:trHeight w:val="247"/>
          <w:jc w:val="center"/>
        </w:trPr>
        <w:tc>
          <w:tcPr>
            <w:tcW w:w="622" w:type="pct"/>
            <w:shd w:val="clear" w:color="auto" w:fill="auto"/>
            <w:vAlign w:val="center"/>
          </w:tcPr>
          <w:p w14:paraId="3DAE94F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1949</w:t>
            </w:r>
          </w:p>
        </w:tc>
        <w:tc>
          <w:tcPr>
            <w:tcW w:w="751" w:type="pct"/>
            <w:shd w:val="clear" w:color="auto" w:fill="auto"/>
            <w:vAlign w:val="center"/>
          </w:tcPr>
          <w:p w14:paraId="6D95111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ABE290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C39B57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CF32C4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2,642</w:t>
            </w:r>
          </w:p>
        </w:tc>
        <w:tc>
          <w:tcPr>
            <w:tcW w:w="751" w:type="pct"/>
            <w:shd w:val="clear" w:color="auto" w:fill="auto"/>
            <w:vAlign w:val="center"/>
          </w:tcPr>
          <w:p w14:paraId="67F5C94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5B367DF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55417DF8" w14:textId="77777777" w:rsidTr="006C4809">
        <w:trPr>
          <w:trHeight w:val="247"/>
          <w:jc w:val="center"/>
        </w:trPr>
        <w:tc>
          <w:tcPr>
            <w:tcW w:w="622" w:type="pct"/>
            <w:shd w:val="clear" w:color="auto" w:fill="auto"/>
            <w:vAlign w:val="center"/>
          </w:tcPr>
          <w:p w14:paraId="71D0AE7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1953</w:t>
            </w:r>
          </w:p>
        </w:tc>
        <w:tc>
          <w:tcPr>
            <w:tcW w:w="751" w:type="pct"/>
            <w:shd w:val="clear" w:color="auto" w:fill="auto"/>
            <w:vAlign w:val="center"/>
          </w:tcPr>
          <w:p w14:paraId="6DC1675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w:t>
            </w:r>
          </w:p>
        </w:tc>
        <w:tc>
          <w:tcPr>
            <w:tcW w:w="751" w:type="pct"/>
            <w:shd w:val="clear" w:color="auto" w:fill="auto"/>
            <w:vAlign w:val="center"/>
          </w:tcPr>
          <w:p w14:paraId="2FA64E4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751" w:type="pct"/>
            <w:shd w:val="clear" w:color="auto" w:fill="auto"/>
            <w:vAlign w:val="center"/>
          </w:tcPr>
          <w:p w14:paraId="1A167D6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BD65A7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3,778</w:t>
            </w:r>
          </w:p>
        </w:tc>
        <w:tc>
          <w:tcPr>
            <w:tcW w:w="751" w:type="pct"/>
            <w:shd w:val="clear" w:color="auto" w:fill="auto"/>
            <w:vAlign w:val="center"/>
          </w:tcPr>
          <w:p w14:paraId="19599D5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87</w:t>
            </w:r>
          </w:p>
        </w:tc>
        <w:tc>
          <w:tcPr>
            <w:tcW w:w="623" w:type="pct"/>
            <w:shd w:val="clear" w:color="auto" w:fill="auto"/>
            <w:vAlign w:val="center"/>
          </w:tcPr>
          <w:p w14:paraId="1DF4D94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52CAE47" w14:textId="77777777" w:rsidTr="006C4809">
        <w:trPr>
          <w:trHeight w:val="247"/>
          <w:jc w:val="center"/>
        </w:trPr>
        <w:tc>
          <w:tcPr>
            <w:tcW w:w="622" w:type="pct"/>
            <w:shd w:val="clear" w:color="auto" w:fill="auto"/>
            <w:vAlign w:val="center"/>
          </w:tcPr>
          <w:p w14:paraId="4C8A7DD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1955</w:t>
            </w:r>
          </w:p>
        </w:tc>
        <w:tc>
          <w:tcPr>
            <w:tcW w:w="751" w:type="pct"/>
            <w:shd w:val="clear" w:color="auto" w:fill="auto"/>
            <w:vAlign w:val="center"/>
          </w:tcPr>
          <w:p w14:paraId="780B814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C6B02D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057E22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68C682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2,994</w:t>
            </w:r>
          </w:p>
        </w:tc>
        <w:tc>
          <w:tcPr>
            <w:tcW w:w="751" w:type="pct"/>
            <w:shd w:val="clear" w:color="auto" w:fill="auto"/>
            <w:vAlign w:val="center"/>
          </w:tcPr>
          <w:p w14:paraId="7384ACE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43E9389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36ED7788" w14:textId="77777777" w:rsidTr="006C4809">
        <w:trPr>
          <w:trHeight w:val="247"/>
          <w:jc w:val="center"/>
        </w:trPr>
        <w:tc>
          <w:tcPr>
            <w:tcW w:w="622" w:type="pct"/>
            <w:shd w:val="clear" w:color="auto" w:fill="auto"/>
            <w:vAlign w:val="center"/>
          </w:tcPr>
          <w:p w14:paraId="7E26C72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1956</w:t>
            </w:r>
          </w:p>
        </w:tc>
        <w:tc>
          <w:tcPr>
            <w:tcW w:w="751" w:type="pct"/>
            <w:shd w:val="clear" w:color="auto" w:fill="auto"/>
            <w:vAlign w:val="center"/>
          </w:tcPr>
          <w:p w14:paraId="30B45DC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27E269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C9BF28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5B5212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0C5C0C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w:t>
            </w:r>
          </w:p>
        </w:tc>
        <w:tc>
          <w:tcPr>
            <w:tcW w:w="623" w:type="pct"/>
            <w:shd w:val="clear" w:color="auto" w:fill="auto"/>
            <w:vAlign w:val="center"/>
          </w:tcPr>
          <w:p w14:paraId="5D80F2B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2D6C902" w14:textId="77777777" w:rsidTr="006C4809">
        <w:trPr>
          <w:trHeight w:val="247"/>
          <w:jc w:val="center"/>
        </w:trPr>
        <w:tc>
          <w:tcPr>
            <w:tcW w:w="622" w:type="pct"/>
            <w:shd w:val="clear" w:color="auto" w:fill="auto"/>
            <w:vAlign w:val="center"/>
          </w:tcPr>
          <w:p w14:paraId="4F0F76B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1960</w:t>
            </w:r>
          </w:p>
        </w:tc>
        <w:tc>
          <w:tcPr>
            <w:tcW w:w="751" w:type="pct"/>
            <w:shd w:val="clear" w:color="auto" w:fill="auto"/>
            <w:vAlign w:val="center"/>
          </w:tcPr>
          <w:p w14:paraId="1F495FC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w:t>
            </w:r>
          </w:p>
        </w:tc>
        <w:tc>
          <w:tcPr>
            <w:tcW w:w="751" w:type="pct"/>
            <w:shd w:val="clear" w:color="auto" w:fill="auto"/>
            <w:vAlign w:val="center"/>
          </w:tcPr>
          <w:p w14:paraId="5CEC62A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177</w:t>
            </w:r>
          </w:p>
        </w:tc>
        <w:tc>
          <w:tcPr>
            <w:tcW w:w="751" w:type="pct"/>
            <w:shd w:val="clear" w:color="auto" w:fill="auto"/>
            <w:vAlign w:val="center"/>
          </w:tcPr>
          <w:p w14:paraId="7392A40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557</w:t>
            </w:r>
          </w:p>
        </w:tc>
        <w:tc>
          <w:tcPr>
            <w:tcW w:w="751" w:type="pct"/>
            <w:shd w:val="clear" w:color="auto" w:fill="auto"/>
            <w:vAlign w:val="center"/>
          </w:tcPr>
          <w:p w14:paraId="5BAC3D5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569</w:t>
            </w:r>
          </w:p>
        </w:tc>
        <w:tc>
          <w:tcPr>
            <w:tcW w:w="751" w:type="pct"/>
            <w:shd w:val="clear" w:color="auto" w:fill="auto"/>
            <w:vAlign w:val="center"/>
          </w:tcPr>
          <w:p w14:paraId="79BA42D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w:t>
            </w:r>
          </w:p>
        </w:tc>
        <w:tc>
          <w:tcPr>
            <w:tcW w:w="623" w:type="pct"/>
            <w:shd w:val="clear" w:color="auto" w:fill="auto"/>
            <w:vAlign w:val="center"/>
          </w:tcPr>
          <w:p w14:paraId="79A3253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4E419B7" w14:textId="77777777" w:rsidTr="006C4809">
        <w:trPr>
          <w:trHeight w:val="247"/>
          <w:jc w:val="center"/>
        </w:trPr>
        <w:tc>
          <w:tcPr>
            <w:tcW w:w="622" w:type="pct"/>
            <w:shd w:val="clear" w:color="auto" w:fill="auto"/>
            <w:vAlign w:val="center"/>
          </w:tcPr>
          <w:p w14:paraId="04E9FD1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1961</w:t>
            </w:r>
          </w:p>
        </w:tc>
        <w:tc>
          <w:tcPr>
            <w:tcW w:w="751" w:type="pct"/>
            <w:shd w:val="clear" w:color="auto" w:fill="auto"/>
            <w:vAlign w:val="center"/>
          </w:tcPr>
          <w:p w14:paraId="1F9FFB8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781718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BEC3C0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0C8297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w:t>
            </w:r>
          </w:p>
        </w:tc>
        <w:tc>
          <w:tcPr>
            <w:tcW w:w="751" w:type="pct"/>
            <w:shd w:val="clear" w:color="auto" w:fill="auto"/>
            <w:vAlign w:val="center"/>
          </w:tcPr>
          <w:p w14:paraId="29EABDC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2D7F3A1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2D9BEA9" w14:textId="77777777" w:rsidTr="006C4809">
        <w:trPr>
          <w:trHeight w:val="247"/>
          <w:jc w:val="center"/>
        </w:trPr>
        <w:tc>
          <w:tcPr>
            <w:tcW w:w="622" w:type="pct"/>
            <w:shd w:val="clear" w:color="auto" w:fill="auto"/>
            <w:vAlign w:val="center"/>
          </w:tcPr>
          <w:p w14:paraId="3DBB2C0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1962</w:t>
            </w:r>
          </w:p>
        </w:tc>
        <w:tc>
          <w:tcPr>
            <w:tcW w:w="751" w:type="pct"/>
            <w:shd w:val="clear" w:color="auto" w:fill="auto"/>
            <w:vAlign w:val="center"/>
          </w:tcPr>
          <w:p w14:paraId="50955C1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w:t>
            </w:r>
          </w:p>
        </w:tc>
        <w:tc>
          <w:tcPr>
            <w:tcW w:w="751" w:type="pct"/>
            <w:shd w:val="clear" w:color="auto" w:fill="auto"/>
            <w:vAlign w:val="center"/>
          </w:tcPr>
          <w:p w14:paraId="0CF9C94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351</w:t>
            </w:r>
          </w:p>
        </w:tc>
        <w:tc>
          <w:tcPr>
            <w:tcW w:w="751" w:type="pct"/>
            <w:shd w:val="clear" w:color="auto" w:fill="auto"/>
            <w:vAlign w:val="center"/>
          </w:tcPr>
          <w:p w14:paraId="65AA644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3,483</w:t>
            </w:r>
          </w:p>
        </w:tc>
        <w:tc>
          <w:tcPr>
            <w:tcW w:w="751" w:type="pct"/>
            <w:shd w:val="clear" w:color="auto" w:fill="auto"/>
            <w:vAlign w:val="center"/>
          </w:tcPr>
          <w:p w14:paraId="54D500C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24,900</w:t>
            </w:r>
          </w:p>
        </w:tc>
        <w:tc>
          <w:tcPr>
            <w:tcW w:w="751" w:type="pct"/>
            <w:shd w:val="clear" w:color="auto" w:fill="auto"/>
            <w:vAlign w:val="center"/>
          </w:tcPr>
          <w:p w14:paraId="0A8CCDF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7,572</w:t>
            </w:r>
          </w:p>
        </w:tc>
        <w:tc>
          <w:tcPr>
            <w:tcW w:w="623" w:type="pct"/>
            <w:shd w:val="clear" w:color="auto" w:fill="auto"/>
            <w:vAlign w:val="center"/>
          </w:tcPr>
          <w:p w14:paraId="56C5F1C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610</w:t>
            </w:r>
          </w:p>
        </w:tc>
      </w:tr>
      <w:tr w:rsidR="00B15A6B" w:rsidRPr="00445472" w14:paraId="64F83AE3" w14:textId="77777777" w:rsidTr="006C4809">
        <w:trPr>
          <w:trHeight w:val="247"/>
          <w:jc w:val="center"/>
        </w:trPr>
        <w:tc>
          <w:tcPr>
            <w:tcW w:w="622" w:type="pct"/>
            <w:shd w:val="clear" w:color="auto" w:fill="auto"/>
            <w:vAlign w:val="center"/>
          </w:tcPr>
          <w:p w14:paraId="7673F89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1963</w:t>
            </w:r>
          </w:p>
        </w:tc>
        <w:tc>
          <w:tcPr>
            <w:tcW w:w="751" w:type="pct"/>
            <w:shd w:val="clear" w:color="auto" w:fill="auto"/>
            <w:vAlign w:val="center"/>
          </w:tcPr>
          <w:p w14:paraId="5A139BB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D4A499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79</w:t>
            </w:r>
          </w:p>
        </w:tc>
        <w:tc>
          <w:tcPr>
            <w:tcW w:w="751" w:type="pct"/>
            <w:shd w:val="clear" w:color="auto" w:fill="auto"/>
            <w:vAlign w:val="center"/>
          </w:tcPr>
          <w:p w14:paraId="65F6454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w:t>
            </w:r>
          </w:p>
        </w:tc>
        <w:tc>
          <w:tcPr>
            <w:tcW w:w="751" w:type="pct"/>
            <w:shd w:val="clear" w:color="auto" w:fill="auto"/>
            <w:vAlign w:val="center"/>
          </w:tcPr>
          <w:p w14:paraId="33CD893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1,407</w:t>
            </w:r>
          </w:p>
        </w:tc>
        <w:tc>
          <w:tcPr>
            <w:tcW w:w="751" w:type="pct"/>
            <w:shd w:val="clear" w:color="auto" w:fill="auto"/>
            <w:vAlign w:val="center"/>
          </w:tcPr>
          <w:p w14:paraId="6F14FE0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w:t>
            </w:r>
          </w:p>
        </w:tc>
        <w:tc>
          <w:tcPr>
            <w:tcW w:w="623" w:type="pct"/>
            <w:shd w:val="clear" w:color="auto" w:fill="auto"/>
            <w:vAlign w:val="center"/>
          </w:tcPr>
          <w:p w14:paraId="1363567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431A58D4" w14:textId="77777777" w:rsidTr="006C4809">
        <w:trPr>
          <w:trHeight w:val="247"/>
          <w:jc w:val="center"/>
        </w:trPr>
        <w:tc>
          <w:tcPr>
            <w:tcW w:w="622" w:type="pct"/>
            <w:shd w:val="clear" w:color="auto" w:fill="auto"/>
            <w:vAlign w:val="center"/>
          </w:tcPr>
          <w:p w14:paraId="21F810C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1968</w:t>
            </w:r>
          </w:p>
        </w:tc>
        <w:tc>
          <w:tcPr>
            <w:tcW w:w="751" w:type="pct"/>
            <w:shd w:val="clear" w:color="auto" w:fill="auto"/>
            <w:vAlign w:val="center"/>
          </w:tcPr>
          <w:p w14:paraId="44A75A0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334EAC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01F84E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43B272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1,500</w:t>
            </w:r>
          </w:p>
        </w:tc>
        <w:tc>
          <w:tcPr>
            <w:tcW w:w="751" w:type="pct"/>
            <w:shd w:val="clear" w:color="auto" w:fill="auto"/>
            <w:vAlign w:val="center"/>
          </w:tcPr>
          <w:p w14:paraId="7C59DFB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1EE7F12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A4381C0" w14:textId="77777777" w:rsidTr="006C4809">
        <w:trPr>
          <w:trHeight w:val="247"/>
          <w:jc w:val="center"/>
        </w:trPr>
        <w:tc>
          <w:tcPr>
            <w:tcW w:w="622" w:type="pct"/>
            <w:shd w:val="clear" w:color="auto" w:fill="auto"/>
            <w:vAlign w:val="center"/>
          </w:tcPr>
          <w:p w14:paraId="64CE8EA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1970</w:t>
            </w:r>
          </w:p>
        </w:tc>
        <w:tc>
          <w:tcPr>
            <w:tcW w:w="751" w:type="pct"/>
            <w:shd w:val="clear" w:color="auto" w:fill="auto"/>
            <w:vAlign w:val="center"/>
          </w:tcPr>
          <w:p w14:paraId="6344CF5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1D297B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7141FC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A13E14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21,914</w:t>
            </w:r>
          </w:p>
        </w:tc>
        <w:tc>
          <w:tcPr>
            <w:tcW w:w="751" w:type="pct"/>
            <w:shd w:val="clear" w:color="auto" w:fill="auto"/>
            <w:vAlign w:val="center"/>
          </w:tcPr>
          <w:p w14:paraId="37B5F4F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155</w:t>
            </w:r>
          </w:p>
        </w:tc>
        <w:tc>
          <w:tcPr>
            <w:tcW w:w="623" w:type="pct"/>
            <w:shd w:val="clear" w:color="auto" w:fill="auto"/>
            <w:vAlign w:val="center"/>
          </w:tcPr>
          <w:p w14:paraId="5A82E2C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w:t>
            </w:r>
          </w:p>
        </w:tc>
      </w:tr>
      <w:tr w:rsidR="00B15A6B" w:rsidRPr="00445472" w14:paraId="65AFC591" w14:textId="77777777" w:rsidTr="006C4809">
        <w:trPr>
          <w:trHeight w:val="247"/>
          <w:jc w:val="center"/>
        </w:trPr>
        <w:tc>
          <w:tcPr>
            <w:tcW w:w="622" w:type="pct"/>
            <w:shd w:val="clear" w:color="auto" w:fill="auto"/>
            <w:vAlign w:val="center"/>
          </w:tcPr>
          <w:p w14:paraId="3AD5943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1971</w:t>
            </w:r>
          </w:p>
        </w:tc>
        <w:tc>
          <w:tcPr>
            <w:tcW w:w="751" w:type="pct"/>
            <w:shd w:val="clear" w:color="auto" w:fill="auto"/>
            <w:vAlign w:val="center"/>
          </w:tcPr>
          <w:p w14:paraId="2EA2F5C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CBC25F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90A526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C08C83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26,057</w:t>
            </w:r>
          </w:p>
        </w:tc>
        <w:tc>
          <w:tcPr>
            <w:tcW w:w="751" w:type="pct"/>
            <w:shd w:val="clear" w:color="auto" w:fill="auto"/>
            <w:vAlign w:val="center"/>
          </w:tcPr>
          <w:p w14:paraId="37F5845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60E253A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2F13F19" w14:textId="77777777" w:rsidTr="006C4809">
        <w:trPr>
          <w:trHeight w:val="247"/>
          <w:jc w:val="center"/>
        </w:trPr>
        <w:tc>
          <w:tcPr>
            <w:tcW w:w="622" w:type="pct"/>
            <w:shd w:val="clear" w:color="auto" w:fill="auto"/>
            <w:vAlign w:val="center"/>
          </w:tcPr>
          <w:p w14:paraId="233B49B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1972</w:t>
            </w:r>
          </w:p>
        </w:tc>
        <w:tc>
          <w:tcPr>
            <w:tcW w:w="751" w:type="pct"/>
            <w:shd w:val="clear" w:color="auto" w:fill="auto"/>
            <w:vAlign w:val="center"/>
          </w:tcPr>
          <w:p w14:paraId="34876C2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w:t>
            </w:r>
          </w:p>
        </w:tc>
        <w:tc>
          <w:tcPr>
            <w:tcW w:w="751" w:type="pct"/>
            <w:shd w:val="clear" w:color="auto" w:fill="auto"/>
            <w:vAlign w:val="center"/>
          </w:tcPr>
          <w:p w14:paraId="4A4D3EB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06B691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3AC62B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752DC0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10CF7CB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267C876A" w14:textId="77777777" w:rsidTr="006C4809">
        <w:trPr>
          <w:trHeight w:val="247"/>
          <w:jc w:val="center"/>
        </w:trPr>
        <w:tc>
          <w:tcPr>
            <w:tcW w:w="622" w:type="pct"/>
            <w:shd w:val="clear" w:color="auto" w:fill="auto"/>
            <w:vAlign w:val="center"/>
          </w:tcPr>
          <w:p w14:paraId="7C0E4CC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1973</w:t>
            </w:r>
          </w:p>
        </w:tc>
        <w:tc>
          <w:tcPr>
            <w:tcW w:w="751" w:type="pct"/>
            <w:shd w:val="clear" w:color="auto" w:fill="auto"/>
            <w:vAlign w:val="center"/>
          </w:tcPr>
          <w:p w14:paraId="4BA4CFC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CC2FEF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w:t>
            </w:r>
          </w:p>
        </w:tc>
        <w:tc>
          <w:tcPr>
            <w:tcW w:w="751" w:type="pct"/>
            <w:shd w:val="clear" w:color="auto" w:fill="auto"/>
            <w:vAlign w:val="center"/>
          </w:tcPr>
          <w:p w14:paraId="2FBB6FF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4C33FB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835</w:t>
            </w:r>
          </w:p>
        </w:tc>
        <w:tc>
          <w:tcPr>
            <w:tcW w:w="751" w:type="pct"/>
            <w:shd w:val="clear" w:color="auto" w:fill="auto"/>
            <w:vAlign w:val="center"/>
          </w:tcPr>
          <w:p w14:paraId="116FC89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w:t>
            </w:r>
          </w:p>
        </w:tc>
        <w:tc>
          <w:tcPr>
            <w:tcW w:w="623" w:type="pct"/>
            <w:shd w:val="clear" w:color="auto" w:fill="auto"/>
            <w:vAlign w:val="center"/>
          </w:tcPr>
          <w:p w14:paraId="086F076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4,800</w:t>
            </w:r>
          </w:p>
        </w:tc>
      </w:tr>
      <w:tr w:rsidR="00B15A6B" w:rsidRPr="00445472" w14:paraId="719B389D" w14:textId="77777777" w:rsidTr="006C4809">
        <w:trPr>
          <w:trHeight w:val="247"/>
          <w:jc w:val="center"/>
        </w:trPr>
        <w:tc>
          <w:tcPr>
            <w:tcW w:w="622" w:type="pct"/>
            <w:shd w:val="clear" w:color="auto" w:fill="auto"/>
            <w:vAlign w:val="center"/>
          </w:tcPr>
          <w:p w14:paraId="1263A46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1975</w:t>
            </w:r>
          </w:p>
        </w:tc>
        <w:tc>
          <w:tcPr>
            <w:tcW w:w="751" w:type="pct"/>
            <w:shd w:val="clear" w:color="auto" w:fill="auto"/>
            <w:vAlign w:val="center"/>
          </w:tcPr>
          <w:p w14:paraId="13A7EF4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C9305B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F4EA9D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7D6D36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919</w:t>
            </w:r>
          </w:p>
        </w:tc>
        <w:tc>
          <w:tcPr>
            <w:tcW w:w="751" w:type="pct"/>
            <w:shd w:val="clear" w:color="auto" w:fill="auto"/>
            <w:vAlign w:val="center"/>
          </w:tcPr>
          <w:p w14:paraId="777913F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7B0107F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36B1C0FD" w14:textId="77777777" w:rsidTr="006C4809">
        <w:trPr>
          <w:trHeight w:val="247"/>
          <w:jc w:val="center"/>
        </w:trPr>
        <w:tc>
          <w:tcPr>
            <w:tcW w:w="622" w:type="pct"/>
            <w:shd w:val="clear" w:color="auto" w:fill="auto"/>
            <w:vAlign w:val="center"/>
          </w:tcPr>
          <w:p w14:paraId="6AD7CD8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1976</w:t>
            </w:r>
          </w:p>
        </w:tc>
        <w:tc>
          <w:tcPr>
            <w:tcW w:w="751" w:type="pct"/>
            <w:shd w:val="clear" w:color="auto" w:fill="auto"/>
            <w:vAlign w:val="center"/>
          </w:tcPr>
          <w:p w14:paraId="73F5976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751" w:type="pct"/>
            <w:shd w:val="clear" w:color="auto" w:fill="auto"/>
            <w:vAlign w:val="center"/>
          </w:tcPr>
          <w:p w14:paraId="2FBF1E8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20299C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8D2296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13,862</w:t>
            </w:r>
          </w:p>
        </w:tc>
        <w:tc>
          <w:tcPr>
            <w:tcW w:w="751" w:type="pct"/>
            <w:shd w:val="clear" w:color="auto" w:fill="auto"/>
            <w:vAlign w:val="center"/>
          </w:tcPr>
          <w:p w14:paraId="418A500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722CAB3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259935FC" w14:textId="77777777" w:rsidTr="006C4809">
        <w:trPr>
          <w:trHeight w:val="247"/>
          <w:jc w:val="center"/>
        </w:trPr>
        <w:tc>
          <w:tcPr>
            <w:tcW w:w="622" w:type="pct"/>
            <w:shd w:val="clear" w:color="auto" w:fill="auto"/>
            <w:vAlign w:val="center"/>
          </w:tcPr>
          <w:p w14:paraId="5C45798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1978</w:t>
            </w:r>
          </w:p>
        </w:tc>
        <w:tc>
          <w:tcPr>
            <w:tcW w:w="751" w:type="pct"/>
            <w:shd w:val="clear" w:color="auto" w:fill="auto"/>
            <w:vAlign w:val="center"/>
          </w:tcPr>
          <w:p w14:paraId="7055400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1857D7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92C32D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FA7942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8,342</w:t>
            </w:r>
          </w:p>
        </w:tc>
        <w:tc>
          <w:tcPr>
            <w:tcW w:w="751" w:type="pct"/>
            <w:shd w:val="clear" w:color="auto" w:fill="auto"/>
            <w:vAlign w:val="center"/>
          </w:tcPr>
          <w:p w14:paraId="1AEACC5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3CAF213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2C31B809" w14:textId="77777777" w:rsidTr="006C4809">
        <w:trPr>
          <w:trHeight w:val="247"/>
          <w:jc w:val="center"/>
        </w:trPr>
        <w:tc>
          <w:tcPr>
            <w:tcW w:w="622" w:type="pct"/>
            <w:shd w:val="clear" w:color="auto" w:fill="auto"/>
            <w:vAlign w:val="center"/>
          </w:tcPr>
          <w:p w14:paraId="01B8CE9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1979</w:t>
            </w:r>
          </w:p>
        </w:tc>
        <w:tc>
          <w:tcPr>
            <w:tcW w:w="751" w:type="pct"/>
            <w:shd w:val="clear" w:color="auto" w:fill="auto"/>
            <w:vAlign w:val="center"/>
          </w:tcPr>
          <w:p w14:paraId="29D9C8E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w:t>
            </w:r>
          </w:p>
        </w:tc>
        <w:tc>
          <w:tcPr>
            <w:tcW w:w="751" w:type="pct"/>
            <w:shd w:val="clear" w:color="auto" w:fill="auto"/>
            <w:vAlign w:val="center"/>
          </w:tcPr>
          <w:p w14:paraId="22FDF8A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w:t>
            </w:r>
          </w:p>
        </w:tc>
        <w:tc>
          <w:tcPr>
            <w:tcW w:w="751" w:type="pct"/>
            <w:shd w:val="clear" w:color="auto" w:fill="auto"/>
            <w:vAlign w:val="center"/>
          </w:tcPr>
          <w:p w14:paraId="0439E7C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C7CA7F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33,206</w:t>
            </w:r>
          </w:p>
        </w:tc>
        <w:tc>
          <w:tcPr>
            <w:tcW w:w="751" w:type="pct"/>
            <w:shd w:val="clear" w:color="auto" w:fill="auto"/>
            <w:vAlign w:val="center"/>
          </w:tcPr>
          <w:p w14:paraId="154461D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w:t>
            </w:r>
          </w:p>
        </w:tc>
        <w:tc>
          <w:tcPr>
            <w:tcW w:w="623" w:type="pct"/>
            <w:shd w:val="clear" w:color="auto" w:fill="auto"/>
            <w:vAlign w:val="center"/>
          </w:tcPr>
          <w:p w14:paraId="7B69FD9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D5F248B" w14:textId="77777777" w:rsidTr="006C4809">
        <w:trPr>
          <w:trHeight w:val="247"/>
          <w:jc w:val="center"/>
        </w:trPr>
        <w:tc>
          <w:tcPr>
            <w:tcW w:w="622" w:type="pct"/>
            <w:shd w:val="clear" w:color="auto" w:fill="auto"/>
            <w:vAlign w:val="center"/>
          </w:tcPr>
          <w:p w14:paraId="0A6DFDA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1980</w:t>
            </w:r>
          </w:p>
        </w:tc>
        <w:tc>
          <w:tcPr>
            <w:tcW w:w="751" w:type="pct"/>
            <w:shd w:val="clear" w:color="auto" w:fill="auto"/>
            <w:vAlign w:val="center"/>
          </w:tcPr>
          <w:p w14:paraId="38A79A2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0D07D8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96CEEA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30C362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2,163</w:t>
            </w:r>
          </w:p>
        </w:tc>
        <w:tc>
          <w:tcPr>
            <w:tcW w:w="751" w:type="pct"/>
            <w:shd w:val="clear" w:color="auto" w:fill="auto"/>
            <w:vAlign w:val="center"/>
          </w:tcPr>
          <w:p w14:paraId="1685C2C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248DC22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2BE17B83" w14:textId="77777777" w:rsidTr="006C4809">
        <w:trPr>
          <w:trHeight w:val="247"/>
          <w:jc w:val="center"/>
        </w:trPr>
        <w:tc>
          <w:tcPr>
            <w:tcW w:w="622" w:type="pct"/>
            <w:shd w:val="clear" w:color="auto" w:fill="auto"/>
            <w:vAlign w:val="center"/>
          </w:tcPr>
          <w:p w14:paraId="7609CD6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1981</w:t>
            </w:r>
          </w:p>
        </w:tc>
        <w:tc>
          <w:tcPr>
            <w:tcW w:w="751" w:type="pct"/>
            <w:shd w:val="clear" w:color="auto" w:fill="auto"/>
            <w:vAlign w:val="center"/>
          </w:tcPr>
          <w:p w14:paraId="711A9BD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w:t>
            </w:r>
          </w:p>
        </w:tc>
        <w:tc>
          <w:tcPr>
            <w:tcW w:w="751" w:type="pct"/>
            <w:shd w:val="clear" w:color="auto" w:fill="auto"/>
            <w:vAlign w:val="center"/>
          </w:tcPr>
          <w:p w14:paraId="24D9B82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709</w:t>
            </w:r>
          </w:p>
        </w:tc>
        <w:tc>
          <w:tcPr>
            <w:tcW w:w="751" w:type="pct"/>
            <w:shd w:val="clear" w:color="auto" w:fill="auto"/>
            <w:vAlign w:val="center"/>
          </w:tcPr>
          <w:p w14:paraId="4F7ADF2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7CEAD7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24,321</w:t>
            </w:r>
          </w:p>
        </w:tc>
        <w:tc>
          <w:tcPr>
            <w:tcW w:w="751" w:type="pct"/>
            <w:shd w:val="clear" w:color="auto" w:fill="auto"/>
            <w:vAlign w:val="center"/>
          </w:tcPr>
          <w:p w14:paraId="0EE2463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546</w:t>
            </w:r>
          </w:p>
        </w:tc>
        <w:tc>
          <w:tcPr>
            <w:tcW w:w="623" w:type="pct"/>
            <w:shd w:val="clear" w:color="auto" w:fill="auto"/>
            <w:vAlign w:val="center"/>
          </w:tcPr>
          <w:p w14:paraId="19AD63F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570D99CE" w14:textId="77777777" w:rsidTr="006C4809">
        <w:trPr>
          <w:trHeight w:val="247"/>
          <w:jc w:val="center"/>
        </w:trPr>
        <w:tc>
          <w:tcPr>
            <w:tcW w:w="622" w:type="pct"/>
            <w:shd w:val="clear" w:color="auto" w:fill="auto"/>
            <w:vAlign w:val="center"/>
          </w:tcPr>
          <w:p w14:paraId="044C169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1985</w:t>
            </w:r>
          </w:p>
        </w:tc>
        <w:tc>
          <w:tcPr>
            <w:tcW w:w="751" w:type="pct"/>
            <w:shd w:val="clear" w:color="auto" w:fill="auto"/>
            <w:vAlign w:val="center"/>
          </w:tcPr>
          <w:p w14:paraId="760AD1E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823763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37AFA0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900</w:t>
            </w:r>
          </w:p>
        </w:tc>
        <w:tc>
          <w:tcPr>
            <w:tcW w:w="751" w:type="pct"/>
            <w:shd w:val="clear" w:color="auto" w:fill="auto"/>
            <w:vAlign w:val="center"/>
          </w:tcPr>
          <w:p w14:paraId="3FD643B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21,434</w:t>
            </w:r>
          </w:p>
        </w:tc>
        <w:tc>
          <w:tcPr>
            <w:tcW w:w="751" w:type="pct"/>
            <w:shd w:val="clear" w:color="auto" w:fill="auto"/>
            <w:vAlign w:val="center"/>
          </w:tcPr>
          <w:p w14:paraId="19F0C2A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573</w:t>
            </w:r>
          </w:p>
        </w:tc>
        <w:tc>
          <w:tcPr>
            <w:tcW w:w="623" w:type="pct"/>
            <w:shd w:val="clear" w:color="auto" w:fill="auto"/>
            <w:vAlign w:val="center"/>
          </w:tcPr>
          <w:p w14:paraId="4467A40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2E3BCC88" w14:textId="77777777" w:rsidTr="006C4809">
        <w:trPr>
          <w:trHeight w:val="247"/>
          <w:jc w:val="center"/>
        </w:trPr>
        <w:tc>
          <w:tcPr>
            <w:tcW w:w="622" w:type="pct"/>
            <w:shd w:val="clear" w:color="auto" w:fill="auto"/>
            <w:vAlign w:val="center"/>
          </w:tcPr>
          <w:p w14:paraId="3FD2632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1989</w:t>
            </w:r>
          </w:p>
        </w:tc>
        <w:tc>
          <w:tcPr>
            <w:tcW w:w="751" w:type="pct"/>
            <w:shd w:val="clear" w:color="auto" w:fill="auto"/>
            <w:vAlign w:val="center"/>
          </w:tcPr>
          <w:p w14:paraId="0533B26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B4FF95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361CD22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w:t>
            </w:r>
          </w:p>
        </w:tc>
        <w:tc>
          <w:tcPr>
            <w:tcW w:w="751" w:type="pct"/>
            <w:shd w:val="clear" w:color="auto" w:fill="auto"/>
            <w:vAlign w:val="center"/>
          </w:tcPr>
          <w:p w14:paraId="0AB7C6D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753EC5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799D9A7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7C3C9068" w14:textId="77777777" w:rsidTr="006C4809">
        <w:trPr>
          <w:trHeight w:val="247"/>
          <w:jc w:val="center"/>
        </w:trPr>
        <w:tc>
          <w:tcPr>
            <w:tcW w:w="622" w:type="pct"/>
            <w:shd w:val="clear" w:color="auto" w:fill="auto"/>
            <w:vAlign w:val="center"/>
          </w:tcPr>
          <w:p w14:paraId="4722364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1994</w:t>
            </w:r>
          </w:p>
        </w:tc>
        <w:tc>
          <w:tcPr>
            <w:tcW w:w="751" w:type="pct"/>
            <w:shd w:val="clear" w:color="auto" w:fill="auto"/>
            <w:vAlign w:val="center"/>
          </w:tcPr>
          <w:p w14:paraId="0689167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42F907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FC54E9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40</w:t>
            </w:r>
          </w:p>
        </w:tc>
        <w:tc>
          <w:tcPr>
            <w:tcW w:w="751" w:type="pct"/>
            <w:shd w:val="clear" w:color="auto" w:fill="auto"/>
            <w:vAlign w:val="center"/>
          </w:tcPr>
          <w:p w14:paraId="0F65B7C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800</w:t>
            </w:r>
          </w:p>
        </w:tc>
        <w:tc>
          <w:tcPr>
            <w:tcW w:w="751" w:type="pct"/>
            <w:shd w:val="clear" w:color="auto" w:fill="auto"/>
            <w:vAlign w:val="center"/>
          </w:tcPr>
          <w:p w14:paraId="4C47FF7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0121797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3206097A" w14:textId="77777777" w:rsidTr="006C4809">
        <w:trPr>
          <w:trHeight w:val="247"/>
          <w:jc w:val="center"/>
        </w:trPr>
        <w:tc>
          <w:tcPr>
            <w:tcW w:w="622" w:type="pct"/>
            <w:shd w:val="clear" w:color="auto" w:fill="auto"/>
            <w:vAlign w:val="center"/>
          </w:tcPr>
          <w:p w14:paraId="3A7CD40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1995</w:t>
            </w:r>
          </w:p>
        </w:tc>
        <w:tc>
          <w:tcPr>
            <w:tcW w:w="751" w:type="pct"/>
            <w:shd w:val="clear" w:color="auto" w:fill="auto"/>
            <w:vAlign w:val="center"/>
          </w:tcPr>
          <w:p w14:paraId="61DDF0D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1A6E71E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466</w:t>
            </w:r>
          </w:p>
        </w:tc>
        <w:tc>
          <w:tcPr>
            <w:tcW w:w="751" w:type="pct"/>
            <w:shd w:val="clear" w:color="auto" w:fill="auto"/>
            <w:vAlign w:val="center"/>
          </w:tcPr>
          <w:p w14:paraId="1A1585E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2,000</w:t>
            </w:r>
          </w:p>
        </w:tc>
        <w:tc>
          <w:tcPr>
            <w:tcW w:w="751" w:type="pct"/>
            <w:shd w:val="clear" w:color="auto" w:fill="auto"/>
            <w:vAlign w:val="center"/>
          </w:tcPr>
          <w:p w14:paraId="46BF1C4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10,987</w:t>
            </w:r>
          </w:p>
        </w:tc>
        <w:tc>
          <w:tcPr>
            <w:tcW w:w="751" w:type="pct"/>
            <w:shd w:val="clear" w:color="auto" w:fill="auto"/>
            <w:vAlign w:val="center"/>
          </w:tcPr>
          <w:p w14:paraId="2CAD9BF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1B449B4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2,000</w:t>
            </w:r>
          </w:p>
        </w:tc>
      </w:tr>
      <w:tr w:rsidR="00B15A6B" w:rsidRPr="00445472" w14:paraId="45D83865" w14:textId="77777777" w:rsidTr="006C4809">
        <w:trPr>
          <w:trHeight w:val="247"/>
          <w:jc w:val="center"/>
        </w:trPr>
        <w:tc>
          <w:tcPr>
            <w:tcW w:w="622" w:type="pct"/>
            <w:shd w:val="clear" w:color="auto" w:fill="auto"/>
            <w:vAlign w:val="center"/>
          </w:tcPr>
          <w:p w14:paraId="2CA64B8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1996</w:t>
            </w:r>
          </w:p>
        </w:tc>
        <w:tc>
          <w:tcPr>
            <w:tcW w:w="751" w:type="pct"/>
            <w:shd w:val="clear" w:color="auto" w:fill="auto"/>
            <w:vAlign w:val="center"/>
          </w:tcPr>
          <w:p w14:paraId="02ABB14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w:t>
            </w:r>
          </w:p>
        </w:tc>
        <w:tc>
          <w:tcPr>
            <w:tcW w:w="751" w:type="pct"/>
            <w:shd w:val="clear" w:color="auto" w:fill="auto"/>
            <w:vAlign w:val="center"/>
          </w:tcPr>
          <w:p w14:paraId="0FBD2F6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w:t>
            </w:r>
          </w:p>
        </w:tc>
        <w:tc>
          <w:tcPr>
            <w:tcW w:w="751" w:type="pct"/>
            <w:shd w:val="clear" w:color="auto" w:fill="auto"/>
            <w:vAlign w:val="center"/>
          </w:tcPr>
          <w:p w14:paraId="67D0AC9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2,600</w:t>
            </w:r>
          </w:p>
        </w:tc>
        <w:tc>
          <w:tcPr>
            <w:tcW w:w="751" w:type="pct"/>
            <w:shd w:val="clear" w:color="auto" w:fill="auto"/>
            <w:vAlign w:val="center"/>
          </w:tcPr>
          <w:p w14:paraId="4B79AE0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5,544</w:t>
            </w:r>
          </w:p>
        </w:tc>
        <w:tc>
          <w:tcPr>
            <w:tcW w:w="751" w:type="pct"/>
            <w:shd w:val="clear" w:color="auto" w:fill="auto"/>
            <w:vAlign w:val="center"/>
          </w:tcPr>
          <w:p w14:paraId="161599C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623" w:type="pct"/>
            <w:shd w:val="clear" w:color="auto" w:fill="auto"/>
            <w:vAlign w:val="center"/>
          </w:tcPr>
          <w:p w14:paraId="55B96EB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A3AF353" w14:textId="77777777" w:rsidTr="006C4809">
        <w:trPr>
          <w:trHeight w:val="247"/>
          <w:jc w:val="center"/>
        </w:trPr>
        <w:tc>
          <w:tcPr>
            <w:tcW w:w="622" w:type="pct"/>
            <w:shd w:val="clear" w:color="auto" w:fill="auto"/>
            <w:vAlign w:val="center"/>
          </w:tcPr>
          <w:p w14:paraId="12F8481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1997</w:t>
            </w:r>
          </w:p>
        </w:tc>
        <w:tc>
          <w:tcPr>
            <w:tcW w:w="751" w:type="pct"/>
            <w:shd w:val="clear" w:color="auto" w:fill="auto"/>
            <w:vAlign w:val="center"/>
          </w:tcPr>
          <w:p w14:paraId="59F28C8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906A9C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FAD209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68</w:t>
            </w:r>
          </w:p>
        </w:tc>
        <w:tc>
          <w:tcPr>
            <w:tcW w:w="751" w:type="pct"/>
            <w:shd w:val="clear" w:color="auto" w:fill="auto"/>
            <w:vAlign w:val="center"/>
          </w:tcPr>
          <w:p w14:paraId="4FC8627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6,000</w:t>
            </w:r>
          </w:p>
        </w:tc>
        <w:tc>
          <w:tcPr>
            <w:tcW w:w="751" w:type="pct"/>
            <w:shd w:val="clear" w:color="auto" w:fill="auto"/>
            <w:vAlign w:val="center"/>
          </w:tcPr>
          <w:p w14:paraId="5576B47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45F52FE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7444A42" w14:textId="77777777" w:rsidTr="006C4809">
        <w:trPr>
          <w:trHeight w:val="247"/>
          <w:jc w:val="center"/>
        </w:trPr>
        <w:tc>
          <w:tcPr>
            <w:tcW w:w="622" w:type="pct"/>
            <w:shd w:val="clear" w:color="auto" w:fill="auto"/>
            <w:vAlign w:val="center"/>
          </w:tcPr>
          <w:p w14:paraId="7295AB8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1998</w:t>
            </w:r>
          </w:p>
        </w:tc>
        <w:tc>
          <w:tcPr>
            <w:tcW w:w="751" w:type="pct"/>
            <w:shd w:val="clear" w:color="auto" w:fill="auto"/>
            <w:vAlign w:val="center"/>
          </w:tcPr>
          <w:p w14:paraId="72E1C42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A2F579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w:t>
            </w:r>
          </w:p>
        </w:tc>
        <w:tc>
          <w:tcPr>
            <w:tcW w:w="751" w:type="pct"/>
            <w:shd w:val="clear" w:color="auto" w:fill="auto"/>
            <w:vAlign w:val="center"/>
          </w:tcPr>
          <w:p w14:paraId="6540686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w:t>
            </w:r>
          </w:p>
        </w:tc>
        <w:tc>
          <w:tcPr>
            <w:tcW w:w="751" w:type="pct"/>
            <w:shd w:val="clear" w:color="auto" w:fill="auto"/>
            <w:vAlign w:val="center"/>
          </w:tcPr>
          <w:p w14:paraId="72F2908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7,440</w:t>
            </w:r>
          </w:p>
        </w:tc>
        <w:tc>
          <w:tcPr>
            <w:tcW w:w="751" w:type="pct"/>
            <w:shd w:val="clear" w:color="auto" w:fill="auto"/>
            <w:vAlign w:val="center"/>
          </w:tcPr>
          <w:p w14:paraId="5EA0A6E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5430980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34E65268" w14:textId="77777777" w:rsidTr="006C4809">
        <w:trPr>
          <w:trHeight w:val="247"/>
          <w:jc w:val="center"/>
        </w:trPr>
        <w:tc>
          <w:tcPr>
            <w:tcW w:w="622" w:type="pct"/>
            <w:shd w:val="clear" w:color="auto" w:fill="auto"/>
            <w:vAlign w:val="center"/>
          </w:tcPr>
          <w:p w14:paraId="41E1B56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1999</w:t>
            </w:r>
          </w:p>
        </w:tc>
        <w:tc>
          <w:tcPr>
            <w:tcW w:w="751" w:type="pct"/>
            <w:shd w:val="clear" w:color="auto" w:fill="auto"/>
            <w:vAlign w:val="center"/>
          </w:tcPr>
          <w:p w14:paraId="0AF8C15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041E757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w:t>
            </w:r>
          </w:p>
        </w:tc>
        <w:tc>
          <w:tcPr>
            <w:tcW w:w="751" w:type="pct"/>
            <w:shd w:val="clear" w:color="auto" w:fill="auto"/>
            <w:vAlign w:val="center"/>
          </w:tcPr>
          <w:p w14:paraId="1F8DDD1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w:t>
            </w:r>
          </w:p>
        </w:tc>
        <w:tc>
          <w:tcPr>
            <w:tcW w:w="751" w:type="pct"/>
            <w:shd w:val="clear" w:color="auto" w:fill="auto"/>
            <w:vAlign w:val="center"/>
          </w:tcPr>
          <w:p w14:paraId="2067299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7,000</w:t>
            </w:r>
          </w:p>
        </w:tc>
        <w:tc>
          <w:tcPr>
            <w:tcW w:w="751" w:type="pct"/>
            <w:shd w:val="clear" w:color="auto" w:fill="auto"/>
            <w:vAlign w:val="center"/>
          </w:tcPr>
          <w:p w14:paraId="30B3AA8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126</w:t>
            </w:r>
          </w:p>
        </w:tc>
        <w:tc>
          <w:tcPr>
            <w:tcW w:w="623" w:type="pct"/>
            <w:shd w:val="clear" w:color="auto" w:fill="auto"/>
            <w:vAlign w:val="center"/>
          </w:tcPr>
          <w:p w14:paraId="77A2A02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15,000</w:t>
            </w:r>
          </w:p>
        </w:tc>
      </w:tr>
      <w:tr w:rsidR="00B15A6B" w:rsidRPr="00445472" w14:paraId="19502C35" w14:textId="77777777" w:rsidTr="006C4809">
        <w:trPr>
          <w:trHeight w:val="247"/>
          <w:jc w:val="center"/>
        </w:trPr>
        <w:tc>
          <w:tcPr>
            <w:tcW w:w="622" w:type="pct"/>
            <w:shd w:val="clear" w:color="auto" w:fill="auto"/>
            <w:vAlign w:val="center"/>
          </w:tcPr>
          <w:p w14:paraId="02F424A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2000</w:t>
            </w:r>
          </w:p>
        </w:tc>
        <w:tc>
          <w:tcPr>
            <w:tcW w:w="751" w:type="pct"/>
            <w:shd w:val="clear" w:color="auto" w:fill="auto"/>
            <w:vAlign w:val="center"/>
          </w:tcPr>
          <w:p w14:paraId="6B2E7EA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71BD5C5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w:t>
            </w:r>
          </w:p>
        </w:tc>
        <w:tc>
          <w:tcPr>
            <w:tcW w:w="751" w:type="pct"/>
            <w:shd w:val="clear" w:color="auto" w:fill="auto"/>
            <w:vAlign w:val="center"/>
          </w:tcPr>
          <w:p w14:paraId="088BF1F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7BCD3B8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751" w:type="pct"/>
            <w:shd w:val="clear" w:color="auto" w:fill="auto"/>
            <w:vAlign w:val="center"/>
          </w:tcPr>
          <w:p w14:paraId="0B72BFB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4C3145D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7509AC6" w14:textId="77777777" w:rsidTr="006C4809">
        <w:trPr>
          <w:trHeight w:val="247"/>
          <w:jc w:val="center"/>
        </w:trPr>
        <w:tc>
          <w:tcPr>
            <w:tcW w:w="622" w:type="pct"/>
            <w:shd w:val="clear" w:color="auto" w:fill="auto"/>
            <w:vAlign w:val="center"/>
          </w:tcPr>
          <w:p w14:paraId="33BCB97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2001</w:t>
            </w:r>
          </w:p>
        </w:tc>
        <w:tc>
          <w:tcPr>
            <w:tcW w:w="751" w:type="pct"/>
            <w:shd w:val="clear" w:color="auto" w:fill="auto"/>
            <w:vAlign w:val="center"/>
          </w:tcPr>
          <w:p w14:paraId="6A238CE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70E24E9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34EEDA2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589</w:t>
            </w:r>
          </w:p>
        </w:tc>
        <w:tc>
          <w:tcPr>
            <w:tcW w:w="751" w:type="pct"/>
            <w:shd w:val="clear" w:color="auto" w:fill="auto"/>
            <w:vAlign w:val="center"/>
          </w:tcPr>
          <w:p w14:paraId="4A34644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3,000</w:t>
            </w:r>
          </w:p>
        </w:tc>
        <w:tc>
          <w:tcPr>
            <w:tcW w:w="751" w:type="pct"/>
            <w:shd w:val="clear" w:color="auto" w:fill="auto"/>
            <w:vAlign w:val="center"/>
          </w:tcPr>
          <w:p w14:paraId="56F814F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064A314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33C69CCE" w14:textId="77777777" w:rsidTr="006C4809">
        <w:trPr>
          <w:trHeight w:val="247"/>
          <w:jc w:val="center"/>
        </w:trPr>
        <w:tc>
          <w:tcPr>
            <w:tcW w:w="622" w:type="pct"/>
            <w:shd w:val="clear" w:color="auto" w:fill="auto"/>
            <w:vAlign w:val="center"/>
          </w:tcPr>
          <w:p w14:paraId="1A4E8A0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2002</w:t>
            </w:r>
          </w:p>
        </w:tc>
        <w:tc>
          <w:tcPr>
            <w:tcW w:w="751" w:type="pct"/>
            <w:shd w:val="clear" w:color="auto" w:fill="auto"/>
            <w:vAlign w:val="center"/>
          </w:tcPr>
          <w:p w14:paraId="5212F2A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BF4F4D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w:t>
            </w:r>
          </w:p>
        </w:tc>
        <w:tc>
          <w:tcPr>
            <w:tcW w:w="751" w:type="pct"/>
            <w:shd w:val="clear" w:color="auto" w:fill="auto"/>
            <w:vAlign w:val="center"/>
          </w:tcPr>
          <w:p w14:paraId="3F62EBE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w:t>
            </w:r>
          </w:p>
        </w:tc>
        <w:tc>
          <w:tcPr>
            <w:tcW w:w="751" w:type="pct"/>
            <w:shd w:val="clear" w:color="auto" w:fill="auto"/>
            <w:vAlign w:val="center"/>
          </w:tcPr>
          <w:p w14:paraId="51019F9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653478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03ECF02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7B354D8" w14:textId="77777777" w:rsidTr="006C4809">
        <w:trPr>
          <w:trHeight w:val="247"/>
          <w:jc w:val="center"/>
        </w:trPr>
        <w:tc>
          <w:tcPr>
            <w:tcW w:w="622" w:type="pct"/>
            <w:shd w:val="clear" w:color="auto" w:fill="auto"/>
            <w:vAlign w:val="center"/>
          </w:tcPr>
          <w:p w14:paraId="657A55F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2003</w:t>
            </w:r>
          </w:p>
        </w:tc>
        <w:tc>
          <w:tcPr>
            <w:tcW w:w="751" w:type="pct"/>
            <w:shd w:val="clear" w:color="auto" w:fill="auto"/>
            <w:vAlign w:val="center"/>
          </w:tcPr>
          <w:p w14:paraId="2141ABD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F6B3F2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w:t>
            </w:r>
          </w:p>
        </w:tc>
        <w:tc>
          <w:tcPr>
            <w:tcW w:w="751" w:type="pct"/>
            <w:shd w:val="clear" w:color="auto" w:fill="auto"/>
            <w:vAlign w:val="center"/>
          </w:tcPr>
          <w:p w14:paraId="0061F33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w:t>
            </w:r>
          </w:p>
        </w:tc>
        <w:tc>
          <w:tcPr>
            <w:tcW w:w="751" w:type="pct"/>
            <w:shd w:val="clear" w:color="auto" w:fill="auto"/>
            <w:vAlign w:val="center"/>
          </w:tcPr>
          <w:p w14:paraId="48BD369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1,063</w:t>
            </w:r>
          </w:p>
        </w:tc>
        <w:tc>
          <w:tcPr>
            <w:tcW w:w="751" w:type="pct"/>
            <w:shd w:val="clear" w:color="auto" w:fill="auto"/>
            <w:vAlign w:val="center"/>
          </w:tcPr>
          <w:p w14:paraId="1DE4FB8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w:t>
            </w:r>
          </w:p>
        </w:tc>
        <w:tc>
          <w:tcPr>
            <w:tcW w:w="623" w:type="pct"/>
            <w:shd w:val="clear" w:color="auto" w:fill="auto"/>
            <w:vAlign w:val="center"/>
          </w:tcPr>
          <w:p w14:paraId="74915D4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40</w:t>
            </w:r>
          </w:p>
        </w:tc>
      </w:tr>
      <w:tr w:rsidR="00B15A6B" w:rsidRPr="00445472" w14:paraId="73512AB6" w14:textId="77777777" w:rsidTr="006C4809">
        <w:trPr>
          <w:trHeight w:val="247"/>
          <w:jc w:val="center"/>
        </w:trPr>
        <w:tc>
          <w:tcPr>
            <w:tcW w:w="622" w:type="pct"/>
            <w:shd w:val="clear" w:color="auto" w:fill="auto"/>
            <w:vAlign w:val="center"/>
          </w:tcPr>
          <w:p w14:paraId="05CA87D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2004</w:t>
            </w:r>
          </w:p>
        </w:tc>
        <w:tc>
          <w:tcPr>
            <w:tcW w:w="751" w:type="pct"/>
            <w:shd w:val="clear" w:color="auto" w:fill="auto"/>
            <w:vAlign w:val="center"/>
          </w:tcPr>
          <w:p w14:paraId="45CACEE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10702E7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w:t>
            </w:r>
          </w:p>
        </w:tc>
        <w:tc>
          <w:tcPr>
            <w:tcW w:w="751" w:type="pct"/>
            <w:shd w:val="clear" w:color="auto" w:fill="auto"/>
            <w:vAlign w:val="center"/>
          </w:tcPr>
          <w:p w14:paraId="3AB2533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155</w:t>
            </w:r>
          </w:p>
        </w:tc>
        <w:tc>
          <w:tcPr>
            <w:tcW w:w="751" w:type="pct"/>
            <w:shd w:val="clear" w:color="auto" w:fill="auto"/>
            <w:vAlign w:val="center"/>
          </w:tcPr>
          <w:p w14:paraId="662EEDE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3,050</w:t>
            </w:r>
          </w:p>
        </w:tc>
        <w:tc>
          <w:tcPr>
            <w:tcW w:w="751" w:type="pct"/>
            <w:shd w:val="clear" w:color="auto" w:fill="auto"/>
            <w:vAlign w:val="center"/>
          </w:tcPr>
          <w:p w14:paraId="31695BA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31ED2FD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60670F5B" w14:textId="77777777" w:rsidTr="006C4809">
        <w:trPr>
          <w:trHeight w:val="247"/>
          <w:jc w:val="center"/>
        </w:trPr>
        <w:tc>
          <w:tcPr>
            <w:tcW w:w="622" w:type="pct"/>
            <w:shd w:val="clear" w:color="auto" w:fill="auto"/>
            <w:vAlign w:val="center"/>
          </w:tcPr>
          <w:p w14:paraId="0BE07FA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2005</w:t>
            </w:r>
          </w:p>
        </w:tc>
        <w:tc>
          <w:tcPr>
            <w:tcW w:w="751" w:type="pct"/>
            <w:shd w:val="clear" w:color="auto" w:fill="auto"/>
            <w:vAlign w:val="center"/>
          </w:tcPr>
          <w:p w14:paraId="3E8D128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50D03C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w:t>
            </w:r>
          </w:p>
        </w:tc>
        <w:tc>
          <w:tcPr>
            <w:tcW w:w="751" w:type="pct"/>
            <w:shd w:val="clear" w:color="auto" w:fill="auto"/>
            <w:vAlign w:val="center"/>
          </w:tcPr>
          <w:p w14:paraId="1F58079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368</w:t>
            </w:r>
          </w:p>
        </w:tc>
        <w:tc>
          <w:tcPr>
            <w:tcW w:w="751" w:type="pct"/>
            <w:shd w:val="clear" w:color="auto" w:fill="auto"/>
            <w:vAlign w:val="center"/>
          </w:tcPr>
          <w:p w14:paraId="0F27510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7,620.2</w:t>
            </w:r>
          </w:p>
        </w:tc>
        <w:tc>
          <w:tcPr>
            <w:tcW w:w="751" w:type="pct"/>
            <w:shd w:val="clear" w:color="auto" w:fill="auto"/>
            <w:vAlign w:val="center"/>
          </w:tcPr>
          <w:p w14:paraId="725CE72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25</w:t>
            </w:r>
          </w:p>
        </w:tc>
        <w:tc>
          <w:tcPr>
            <w:tcW w:w="623" w:type="pct"/>
            <w:shd w:val="clear" w:color="auto" w:fill="auto"/>
            <w:vAlign w:val="center"/>
          </w:tcPr>
          <w:p w14:paraId="711C293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800</w:t>
            </w:r>
          </w:p>
        </w:tc>
      </w:tr>
      <w:tr w:rsidR="00B15A6B" w:rsidRPr="00445472" w14:paraId="6A3D8C5D" w14:textId="77777777" w:rsidTr="006C4809">
        <w:trPr>
          <w:trHeight w:val="247"/>
          <w:jc w:val="center"/>
        </w:trPr>
        <w:tc>
          <w:tcPr>
            <w:tcW w:w="622" w:type="pct"/>
            <w:shd w:val="clear" w:color="auto" w:fill="auto"/>
            <w:vAlign w:val="center"/>
          </w:tcPr>
          <w:p w14:paraId="6CC4FC2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2006</w:t>
            </w:r>
          </w:p>
        </w:tc>
        <w:tc>
          <w:tcPr>
            <w:tcW w:w="751" w:type="pct"/>
            <w:shd w:val="clear" w:color="auto" w:fill="auto"/>
            <w:vAlign w:val="center"/>
          </w:tcPr>
          <w:p w14:paraId="5C0B870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1478CA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70ECBC1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4F87FC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450</w:t>
            </w:r>
          </w:p>
        </w:tc>
        <w:tc>
          <w:tcPr>
            <w:tcW w:w="751" w:type="pct"/>
            <w:shd w:val="clear" w:color="auto" w:fill="auto"/>
            <w:vAlign w:val="center"/>
          </w:tcPr>
          <w:p w14:paraId="0C4A721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1F06FDA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501B428" w14:textId="77777777" w:rsidTr="006C4809">
        <w:trPr>
          <w:trHeight w:val="247"/>
          <w:jc w:val="center"/>
        </w:trPr>
        <w:tc>
          <w:tcPr>
            <w:tcW w:w="622" w:type="pct"/>
            <w:shd w:val="clear" w:color="auto" w:fill="auto"/>
            <w:vAlign w:val="center"/>
          </w:tcPr>
          <w:p w14:paraId="563EBB6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2008</w:t>
            </w:r>
          </w:p>
        </w:tc>
        <w:tc>
          <w:tcPr>
            <w:tcW w:w="751" w:type="pct"/>
            <w:shd w:val="clear" w:color="auto" w:fill="auto"/>
            <w:vAlign w:val="center"/>
          </w:tcPr>
          <w:p w14:paraId="3FA9372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59B615A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96AA2B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w:t>
            </w:r>
          </w:p>
        </w:tc>
        <w:tc>
          <w:tcPr>
            <w:tcW w:w="751" w:type="pct"/>
            <w:shd w:val="clear" w:color="auto" w:fill="auto"/>
            <w:vAlign w:val="center"/>
          </w:tcPr>
          <w:p w14:paraId="4AF1B6B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410</w:t>
            </w:r>
          </w:p>
        </w:tc>
        <w:tc>
          <w:tcPr>
            <w:tcW w:w="751" w:type="pct"/>
            <w:shd w:val="clear" w:color="auto" w:fill="auto"/>
            <w:vAlign w:val="center"/>
          </w:tcPr>
          <w:p w14:paraId="35FAD7E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7339A1D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24D765E3" w14:textId="77777777" w:rsidTr="006C4809">
        <w:trPr>
          <w:trHeight w:val="247"/>
          <w:jc w:val="center"/>
        </w:trPr>
        <w:tc>
          <w:tcPr>
            <w:tcW w:w="622" w:type="pct"/>
            <w:shd w:val="clear" w:color="auto" w:fill="auto"/>
            <w:vAlign w:val="center"/>
          </w:tcPr>
          <w:p w14:paraId="2D69254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2009</w:t>
            </w:r>
          </w:p>
        </w:tc>
        <w:tc>
          <w:tcPr>
            <w:tcW w:w="751" w:type="pct"/>
            <w:shd w:val="clear" w:color="auto" w:fill="auto"/>
            <w:vAlign w:val="center"/>
          </w:tcPr>
          <w:p w14:paraId="35C8820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6830B02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2EE2230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w:t>
            </w:r>
          </w:p>
        </w:tc>
        <w:tc>
          <w:tcPr>
            <w:tcW w:w="751" w:type="pct"/>
            <w:shd w:val="clear" w:color="auto" w:fill="auto"/>
            <w:vAlign w:val="center"/>
          </w:tcPr>
          <w:p w14:paraId="3465B39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CA81DC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188AEDF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B5B909A" w14:textId="77777777" w:rsidTr="006C4809">
        <w:trPr>
          <w:trHeight w:val="247"/>
          <w:jc w:val="center"/>
        </w:trPr>
        <w:tc>
          <w:tcPr>
            <w:tcW w:w="622" w:type="pct"/>
            <w:shd w:val="clear" w:color="auto" w:fill="auto"/>
            <w:vAlign w:val="center"/>
          </w:tcPr>
          <w:p w14:paraId="766C6A7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2010</w:t>
            </w:r>
          </w:p>
        </w:tc>
        <w:tc>
          <w:tcPr>
            <w:tcW w:w="751" w:type="pct"/>
            <w:shd w:val="clear" w:color="auto" w:fill="auto"/>
            <w:vAlign w:val="center"/>
          </w:tcPr>
          <w:p w14:paraId="383C34A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78BC250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751" w:type="pct"/>
            <w:shd w:val="clear" w:color="auto" w:fill="auto"/>
            <w:vAlign w:val="center"/>
          </w:tcPr>
          <w:p w14:paraId="64E6941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68,649</w:t>
            </w:r>
          </w:p>
        </w:tc>
        <w:tc>
          <w:tcPr>
            <w:tcW w:w="751" w:type="pct"/>
            <w:shd w:val="clear" w:color="auto" w:fill="auto"/>
            <w:vAlign w:val="center"/>
          </w:tcPr>
          <w:p w14:paraId="7CCC99C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19,049</w:t>
            </w:r>
          </w:p>
        </w:tc>
        <w:tc>
          <w:tcPr>
            <w:tcW w:w="751" w:type="pct"/>
            <w:shd w:val="clear" w:color="auto" w:fill="auto"/>
            <w:vAlign w:val="center"/>
          </w:tcPr>
          <w:p w14:paraId="5033B265"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31,622</w:t>
            </w:r>
          </w:p>
        </w:tc>
        <w:tc>
          <w:tcPr>
            <w:tcW w:w="623" w:type="pct"/>
            <w:shd w:val="clear" w:color="auto" w:fill="auto"/>
            <w:vAlign w:val="center"/>
          </w:tcPr>
          <w:p w14:paraId="6A4F9D8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410</w:t>
            </w:r>
          </w:p>
        </w:tc>
      </w:tr>
      <w:tr w:rsidR="00B15A6B" w:rsidRPr="00445472" w14:paraId="68B38C08" w14:textId="77777777" w:rsidTr="006C4809">
        <w:trPr>
          <w:trHeight w:val="247"/>
          <w:jc w:val="center"/>
        </w:trPr>
        <w:tc>
          <w:tcPr>
            <w:tcW w:w="622" w:type="pct"/>
            <w:shd w:val="clear" w:color="auto" w:fill="auto"/>
            <w:vAlign w:val="center"/>
          </w:tcPr>
          <w:p w14:paraId="52C712C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2011</w:t>
            </w:r>
          </w:p>
        </w:tc>
        <w:tc>
          <w:tcPr>
            <w:tcW w:w="751" w:type="pct"/>
            <w:shd w:val="clear" w:color="auto" w:fill="auto"/>
            <w:vAlign w:val="center"/>
          </w:tcPr>
          <w:p w14:paraId="3A2823E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30F7077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751" w:type="pct"/>
            <w:shd w:val="clear" w:color="auto" w:fill="auto"/>
            <w:vAlign w:val="center"/>
          </w:tcPr>
          <w:p w14:paraId="0FE5A42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6,793</w:t>
            </w:r>
          </w:p>
        </w:tc>
        <w:tc>
          <w:tcPr>
            <w:tcW w:w="751" w:type="pct"/>
            <w:shd w:val="clear" w:color="auto" w:fill="auto"/>
            <w:vAlign w:val="center"/>
          </w:tcPr>
          <w:p w14:paraId="77D6B8F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1,092</w:t>
            </w:r>
          </w:p>
        </w:tc>
        <w:tc>
          <w:tcPr>
            <w:tcW w:w="751" w:type="pct"/>
            <w:shd w:val="clear" w:color="auto" w:fill="auto"/>
            <w:vAlign w:val="center"/>
          </w:tcPr>
          <w:p w14:paraId="0383BFC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w:t>
            </w:r>
          </w:p>
        </w:tc>
        <w:tc>
          <w:tcPr>
            <w:tcW w:w="623" w:type="pct"/>
            <w:shd w:val="clear" w:color="auto" w:fill="auto"/>
            <w:vAlign w:val="center"/>
          </w:tcPr>
          <w:p w14:paraId="7061883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3214C234" w14:textId="77777777" w:rsidTr="006C4809">
        <w:trPr>
          <w:trHeight w:val="247"/>
          <w:jc w:val="center"/>
        </w:trPr>
        <w:tc>
          <w:tcPr>
            <w:tcW w:w="622" w:type="pct"/>
            <w:shd w:val="clear" w:color="auto" w:fill="auto"/>
            <w:vAlign w:val="center"/>
          </w:tcPr>
          <w:p w14:paraId="4B0FF80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2012</w:t>
            </w:r>
          </w:p>
        </w:tc>
        <w:tc>
          <w:tcPr>
            <w:tcW w:w="751" w:type="pct"/>
            <w:shd w:val="clear" w:color="auto" w:fill="auto"/>
            <w:vAlign w:val="center"/>
          </w:tcPr>
          <w:p w14:paraId="3EAB1EA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5C4AF8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258EE8B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66</w:t>
            </w:r>
          </w:p>
        </w:tc>
        <w:tc>
          <w:tcPr>
            <w:tcW w:w="751" w:type="pct"/>
            <w:shd w:val="clear" w:color="auto" w:fill="auto"/>
            <w:vAlign w:val="center"/>
          </w:tcPr>
          <w:p w14:paraId="7681CAE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2,001</w:t>
            </w:r>
          </w:p>
        </w:tc>
        <w:tc>
          <w:tcPr>
            <w:tcW w:w="751" w:type="pct"/>
            <w:shd w:val="clear" w:color="auto" w:fill="auto"/>
            <w:vAlign w:val="center"/>
          </w:tcPr>
          <w:p w14:paraId="6C5202B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2140128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17E46E85" w14:textId="77777777" w:rsidTr="006C4809">
        <w:trPr>
          <w:trHeight w:val="247"/>
          <w:jc w:val="center"/>
        </w:trPr>
        <w:tc>
          <w:tcPr>
            <w:tcW w:w="622" w:type="pct"/>
            <w:shd w:val="clear" w:color="auto" w:fill="auto"/>
            <w:vAlign w:val="center"/>
          </w:tcPr>
          <w:p w14:paraId="616B1EF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2013</w:t>
            </w:r>
          </w:p>
        </w:tc>
        <w:tc>
          <w:tcPr>
            <w:tcW w:w="751" w:type="pct"/>
            <w:shd w:val="clear" w:color="auto" w:fill="auto"/>
            <w:vAlign w:val="center"/>
          </w:tcPr>
          <w:p w14:paraId="658F5D3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7F7FA5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751" w:type="pct"/>
            <w:shd w:val="clear" w:color="auto" w:fill="auto"/>
            <w:vAlign w:val="center"/>
          </w:tcPr>
          <w:p w14:paraId="0F4CDDD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1,155</w:t>
            </w:r>
          </w:p>
        </w:tc>
        <w:tc>
          <w:tcPr>
            <w:tcW w:w="751" w:type="pct"/>
            <w:shd w:val="clear" w:color="auto" w:fill="auto"/>
            <w:vAlign w:val="center"/>
          </w:tcPr>
          <w:p w14:paraId="12E8287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9,824</w:t>
            </w:r>
          </w:p>
        </w:tc>
        <w:tc>
          <w:tcPr>
            <w:tcW w:w="751" w:type="pct"/>
            <w:shd w:val="clear" w:color="auto" w:fill="auto"/>
            <w:vAlign w:val="center"/>
          </w:tcPr>
          <w:p w14:paraId="6F6584D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w:t>
            </w:r>
          </w:p>
        </w:tc>
        <w:tc>
          <w:tcPr>
            <w:tcW w:w="623" w:type="pct"/>
            <w:shd w:val="clear" w:color="auto" w:fill="auto"/>
            <w:vAlign w:val="center"/>
          </w:tcPr>
          <w:p w14:paraId="24A638F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300</w:t>
            </w:r>
          </w:p>
        </w:tc>
      </w:tr>
      <w:tr w:rsidR="00B15A6B" w:rsidRPr="00445472" w14:paraId="2352BB8B" w14:textId="77777777" w:rsidTr="006C4809">
        <w:trPr>
          <w:trHeight w:val="247"/>
          <w:jc w:val="center"/>
        </w:trPr>
        <w:tc>
          <w:tcPr>
            <w:tcW w:w="622" w:type="pct"/>
            <w:shd w:val="clear" w:color="auto" w:fill="auto"/>
            <w:vAlign w:val="center"/>
          </w:tcPr>
          <w:p w14:paraId="3170916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2015</w:t>
            </w:r>
          </w:p>
        </w:tc>
        <w:tc>
          <w:tcPr>
            <w:tcW w:w="751" w:type="pct"/>
            <w:shd w:val="clear" w:color="auto" w:fill="auto"/>
            <w:vAlign w:val="center"/>
          </w:tcPr>
          <w:p w14:paraId="4687C36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6160718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51" w:type="pct"/>
            <w:shd w:val="clear" w:color="auto" w:fill="auto"/>
            <w:vAlign w:val="center"/>
          </w:tcPr>
          <w:p w14:paraId="4BF1295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751" w:type="pct"/>
            <w:shd w:val="clear" w:color="auto" w:fill="auto"/>
            <w:vAlign w:val="center"/>
          </w:tcPr>
          <w:p w14:paraId="7DCB660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w:t>
            </w:r>
          </w:p>
        </w:tc>
        <w:tc>
          <w:tcPr>
            <w:tcW w:w="751" w:type="pct"/>
            <w:shd w:val="clear" w:color="auto" w:fill="auto"/>
            <w:vAlign w:val="center"/>
          </w:tcPr>
          <w:p w14:paraId="7F1758E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23" w:type="pct"/>
            <w:shd w:val="clear" w:color="auto" w:fill="auto"/>
            <w:vAlign w:val="center"/>
          </w:tcPr>
          <w:p w14:paraId="3DB9FE0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bl>
    <w:p w14:paraId="37F1800A" w14:textId="77777777" w:rsidR="00B15A6B" w:rsidRPr="00445472" w:rsidRDefault="00B15A6B" w:rsidP="00B15A6B">
      <w:pPr>
        <w:rPr>
          <w:rFonts w:ascii="Garamond" w:hAnsi="Garamond"/>
          <w:b/>
          <w:bCs/>
        </w:rPr>
      </w:pPr>
    </w:p>
    <w:p w14:paraId="46C9D07B" w14:textId="70D8DEC4" w:rsidR="00B15A6B" w:rsidRPr="00445472" w:rsidRDefault="00B15A6B" w:rsidP="006C4809">
      <w:pPr>
        <w:pStyle w:val="NENTITULL"/>
      </w:pPr>
      <w:r w:rsidRPr="00445472">
        <w:t xml:space="preserve">Tabela 9.3: Dëme historike të shkaktuara nga përmbytjet në Rajon në basenin ujor </w:t>
      </w:r>
      <w:r w:rsidR="007E76E3" w:rsidRPr="00445472">
        <w:t>Drin–Bunë</w:t>
      </w:r>
    </w:p>
    <w:p w14:paraId="474FD826" w14:textId="77777777" w:rsidR="00B15A6B" w:rsidRPr="00445472" w:rsidRDefault="00B15A6B" w:rsidP="006C4809">
      <w:pPr>
        <w:pStyle w:val="TEKSTIIII"/>
      </w:pPr>
    </w:p>
    <w:tbl>
      <w:tblPr>
        <w:tblW w:w="4760" w:type="pct"/>
        <w:tblInd w:w="250"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000" w:firstRow="0" w:lastRow="0" w:firstColumn="0" w:lastColumn="0" w:noHBand="0" w:noVBand="0"/>
      </w:tblPr>
      <w:tblGrid>
        <w:gridCol w:w="1118"/>
        <w:gridCol w:w="971"/>
        <w:gridCol w:w="1303"/>
        <w:gridCol w:w="1218"/>
        <w:gridCol w:w="905"/>
        <w:gridCol w:w="1218"/>
        <w:gridCol w:w="992"/>
        <w:gridCol w:w="1116"/>
      </w:tblGrid>
      <w:tr w:rsidR="00B15A6B" w:rsidRPr="00445472" w14:paraId="3DA19FBB" w14:textId="77777777" w:rsidTr="00B15A6B">
        <w:trPr>
          <w:trHeight w:val="257"/>
        </w:trPr>
        <w:tc>
          <w:tcPr>
            <w:tcW w:w="632" w:type="pct"/>
            <w:shd w:val="clear" w:color="auto" w:fill="D9D9D9"/>
            <w:vAlign w:val="center"/>
          </w:tcPr>
          <w:p w14:paraId="5D23FEFF"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Rajon</w:t>
            </w:r>
          </w:p>
        </w:tc>
        <w:tc>
          <w:tcPr>
            <w:tcW w:w="549" w:type="pct"/>
            <w:shd w:val="clear" w:color="auto" w:fill="D9D9D9"/>
            <w:vAlign w:val="center"/>
          </w:tcPr>
          <w:p w14:paraId="48FA6AA2"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Vdekje</w:t>
            </w:r>
          </w:p>
        </w:tc>
        <w:tc>
          <w:tcPr>
            <w:tcW w:w="737" w:type="pct"/>
            <w:shd w:val="clear" w:color="auto" w:fill="D9D9D9"/>
            <w:vAlign w:val="center"/>
          </w:tcPr>
          <w:p w14:paraId="49D99534"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Shtëpi të shkatërruara</w:t>
            </w:r>
          </w:p>
        </w:tc>
        <w:tc>
          <w:tcPr>
            <w:tcW w:w="689" w:type="pct"/>
            <w:shd w:val="clear" w:color="auto" w:fill="D9D9D9"/>
            <w:vAlign w:val="center"/>
          </w:tcPr>
          <w:p w14:paraId="3B3DC940"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Shtëpi të dëmtuara</w:t>
            </w:r>
          </w:p>
        </w:tc>
        <w:tc>
          <w:tcPr>
            <w:tcW w:w="512" w:type="pct"/>
            <w:shd w:val="clear" w:color="auto" w:fill="D9D9D9"/>
            <w:vAlign w:val="center"/>
          </w:tcPr>
          <w:p w14:paraId="4C5E8287"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Viktima</w:t>
            </w:r>
          </w:p>
        </w:tc>
        <w:tc>
          <w:tcPr>
            <w:tcW w:w="689" w:type="pct"/>
            <w:shd w:val="clear" w:color="auto" w:fill="D9D9D9"/>
            <w:vAlign w:val="center"/>
          </w:tcPr>
          <w:p w14:paraId="60C24C8F"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Dëmeve ndaj kulturave (ha)</w:t>
            </w:r>
          </w:p>
        </w:tc>
        <w:tc>
          <w:tcPr>
            <w:tcW w:w="561" w:type="pct"/>
            <w:shd w:val="clear" w:color="auto" w:fill="D9D9D9"/>
            <w:vAlign w:val="center"/>
          </w:tcPr>
          <w:p w14:paraId="18FFE9C9"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Humbje Bagëtie</w:t>
            </w:r>
          </w:p>
        </w:tc>
        <w:tc>
          <w:tcPr>
            <w:tcW w:w="632" w:type="pct"/>
            <w:shd w:val="clear" w:color="auto" w:fill="D9D9D9"/>
            <w:vAlign w:val="center"/>
          </w:tcPr>
          <w:p w14:paraId="2CB883B6"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Dëme në rrugë (m)</w:t>
            </w:r>
          </w:p>
        </w:tc>
      </w:tr>
      <w:tr w:rsidR="00B15A6B" w:rsidRPr="00445472" w14:paraId="7D102E3F" w14:textId="77777777" w:rsidTr="00B15A6B">
        <w:trPr>
          <w:trHeight w:val="247"/>
        </w:trPr>
        <w:tc>
          <w:tcPr>
            <w:tcW w:w="632" w:type="pct"/>
            <w:shd w:val="clear" w:color="auto" w:fill="auto"/>
            <w:vAlign w:val="center"/>
          </w:tcPr>
          <w:p w14:paraId="7C798EC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549" w:type="pct"/>
            <w:shd w:val="clear" w:color="auto" w:fill="auto"/>
            <w:vAlign w:val="center"/>
          </w:tcPr>
          <w:p w14:paraId="5E66DA2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737" w:type="pct"/>
            <w:shd w:val="clear" w:color="auto" w:fill="auto"/>
            <w:vAlign w:val="center"/>
          </w:tcPr>
          <w:p w14:paraId="2ACB179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w:t>
            </w:r>
          </w:p>
        </w:tc>
        <w:tc>
          <w:tcPr>
            <w:tcW w:w="689" w:type="pct"/>
            <w:shd w:val="clear" w:color="auto" w:fill="auto"/>
            <w:vAlign w:val="center"/>
          </w:tcPr>
          <w:p w14:paraId="4C55533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112</w:t>
            </w:r>
          </w:p>
        </w:tc>
        <w:tc>
          <w:tcPr>
            <w:tcW w:w="512" w:type="pct"/>
            <w:shd w:val="clear" w:color="auto" w:fill="auto"/>
            <w:vAlign w:val="center"/>
          </w:tcPr>
          <w:p w14:paraId="0065A6B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79</w:t>
            </w:r>
          </w:p>
        </w:tc>
        <w:tc>
          <w:tcPr>
            <w:tcW w:w="689" w:type="pct"/>
            <w:shd w:val="clear" w:color="auto" w:fill="auto"/>
            <w:vAlign w:val="center"/>
          </w:tcPr>
          <w:p w14:paraId="56B9967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980</w:t>
            </w:r>
          </w:p>
        </w:tc>
        <w:tc>
          <w:tcPr>
            <w:tcW w:w="561" w:type="pct"/>
            <w:shd w:val="clear" w:color="auto" w:fill="auto"/>
            <w:vAlign w:val="center"/>
          </w:tcPr>
          <w:p w14:paraId="28CF3BB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32" w:type="pct"/>
            <w:shd w:val="clear" w:color="auto" w:fill="auto"/>
            <w:vAlign w:val="center"/>
          </w:tcPr>
          <w:p w14:paraId="3132987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w:t>
            </w:r>
          </w:p>
        </w:tc>
      </w:tr>
      <w:tr w:rsidR="00B15A6B" w:rsidRPr="00445472" w14:paraId="7A1B4421" w14:textId="77777777" w:rsidTr="00B15A6B">
        <w:trPr>
          <w:trHeight w:val="247"/>
        </w:trPr>
        <w:tc>
          <w:tcPr>
            <w:tcW w:w="632" w:type="pct"/>
            <w:shd w:val="clear" w:color="auto" w:fill="auto"/>
            <w:vAlign w:val="center"/>
          </w:tcPr>
          <w:p w14:paraId="70CB345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549" w:type="pct"/>
            <w:shd w:val="clear" w:color="auto" w:fill="auto"/>
            <w:vAlign w:val="center"/>
          </w:tcPr>
          <w:p w14:paraId="3EA4382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w:t>
            </w:r>
          </w:p>
        </w:tc>
        <w:tc>
          <w:tcPr>
            <w:tcW w:w="737" w:type="pct"/>
            <w:shd w:val="clear" w:color="auto" w:fill="auto"/>
            <w:vAlign w:val="center"/>
          </w:tcPr>
          <w:p w14:paraId="3D0A6FA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w:t>
            </w:r>
          </w:p>
        </w:tc>
        <w:tc>
          <w:tcPr>
            <w:tcW w:w="689" w:type="pct"/>
            <w:shd w:val="clear" w:color="auto" w:fill="auto"/>
            <w:vAlign w:val="center"/>
          </w:tcPr>
          <w:p w14:paraId="546A4AC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w:t>
            </w:r>
          </w:p>
        </w:tc>
        <w:tc>
          <w:tcPr>
            <w:tcW w:w="512" w:type="pct"/>
            <w:shd w:val="clear" w:color="auto" w:fill="auto"/>
            <w:vAlign w:val="center"/>
          </w:tcPr>
          <w:p w14:paraId="0CC4CBA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89" w:type="pct"/>
            <w:shd w:val="clear" w:color="auto" w:fill="auto"/>
            <w:vAlign w:val="center"/>
          </w:tcPr>
          <w:p w14:paraId="74C69BF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w:t>
            </w:r>
          </w:p>
        </w:tc>
        <w:tc>
          <w:tcPr>
            <w:tcW w:w="561" w:type="pct"/>
            <w:shd w:val="clear" w:color="auto" w:fill="auto"/>
            <w:vAlign w:val="center"/>
          </w:tcPr>
          <w:p w14:paraId="02593C3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c>
          <w:tcPr>
            <w:tcW w:w="632" w:type="pct"/>
            <w:shd w:val="clear" w:color="auto" w:fill="auto"/>
            <w:vAlign w:val="center"/>
          </w:tcPr>
          <w:p w14:paraId="34674DAA"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w:t>
            </w:r>
          </w:p>
        </w:tc>
      </w:tr>
      <w:tr w:rsidR="00B15A6B" w:rsidRPr="00445472" w14:paraId="074521E0" w14:textId="77777777" w:rsidTr="00B15A6B">
        <w:trPr>
          <w:trHeight w:val="247"/>
        </w:trPr>
        <w:tc>
          <w:tcPr>
            <w:tcW w:w="632" w:type="pct"/>
            <w:shd w:val="clear" w:color="auto" w:fill="auto"/>
            <w:vAlign w:val="center"/>
          </w:tcPr>
          <w:p w14:paraId="0311A0E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Shkoder</w:t>
            </w:r>
          </w:p>
        </w:tc>
        <w:tc>
          <w:tcPr>
            <w:tcW w:w="549" w:type="pct"/>
            <w:shd w:val="clear" w:color="auto" w:fill="auto"/>
            <w:vAlign w:val="center"/>
          </w:tcPr>
          <w:p w14:paraId="565560A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206</w:t>
            </w:r>
          </w:p>
        </w:tc>
        <w:tc>
          <w:tcPr>
            <w:tcW w:w="737" w:type="pct"/>
            <w:shd w:val="clear" w:color="auto" w:fill="auto"/>
            <w:vAlign w:val="center"/>
          </w:tcPr>
          <w:p w14:paraId="2469D81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1,972</w:t>
            </w:r>
          </w:p>
        </w:tc>
        <w:tc>
          <w:tcPr>
            <w:tcW w:w="689" w:type="pct"/>
            <w:shd w:val="clear" w:color="auto" w:fill="auto"/>
            <w:vAlign w:val="center"/>
          </w:tcPr>
          <w:p w14:paraId="0B949B2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6,627</w:t>
            </w:r>
          </w:p>
        </w:tc>
        <w:tc>
          <w:tcPr>
            <w:tcW w:w="512" w:type="pct"/>
            <w:shd w:val="clear" w:color="auto" w:fill="auto"/>
            <w:vAlign w:val="center"/>
          </w:tcPr>
          <w:p w14:paraId="5F1170CC"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77,528</w:t>
            </w:r>
          </w:p>
        </w:tc>
        <w:tc>
          <w:tcPr>
            <w:tcW w:w="689" w:type="pct"/>
            <w:shd w:val="clear" w:color="auto" w:fill="auto"/>
            <w:vAlign w:val="center"/>
          </w:tcPr>
          <w:p w14:paraId="3B213A7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51,937</w:t>
            </w:r>
          </w:p>
        </w:tc>
        <w:tc>
          <w:tcPr>
            <w:tcW w:w="561" w:type="pct"/>
            <w:shd w:val="clear" w:color="auto" w:fill="auto"/>
            <w:vAlign w:val="center"/>
          </w:tcPr>
          <w:p w14:paraId="04CBF65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31,721</w:t>
            </w:r>
          </w:p>
        </w:tc>
        <w:tc>
          <w:tcPr>
            <w:tcW w:w="632" w:type="pct"/>
            <w:shd w:val="clear" w:color="auto" w:fill="auto"/>
            <w:vAlign w:val="center"/>
          </w:tcPr>
          <w:p w14:paraId="1FB53F2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4,850</w:t>
            </w:r>
          </w:p>
        </w:tc>
      </w:tr>
    </w:tbl>
    <w:p w14:paraId="02314C45" w14:textId="77777777" w:rsidR="00B15A6B" w:rsidRPr="00445472" w:rsidRDefault="00B15A6B" w:rsidP="006C4809">
      <w:pPr>
        <w:pStyle w:val="TEKSTIIII"/>
      </w:pPr>
    </w:p>
    <w:p w14:paraId="3847A7E4" w14:textId="4E09EAAF" w:rsidR="00B15A6B" w:rsidRPr="00445472" w:rsidRDefault="00B15A6B" w:rsidP="006C4809">
      <w:pPr>
        <w:pStyle w:val="TEKSTIIII"/>
      </w:pPr>
      <w:r w:rsidRPr="00445472">
        <w:t xml:space="preserve">Lista e mëposhtme jep më shumë detaje për përmbytjet e mëdha në mënyrë të kundërt kronologjike. Në tekstin e raportit të versionit anglisht  kemi përdorur fjalën angleze </w:t>
      </w:r>
      <w:r w:rsidR="00B139CF" w:rsidRPr="00445472">
        <w:t>“</w:t>
      </w:r>
      <w:r w:rsidRPr="00445472">
        <w:t>county</w:t>
      </w:r>
      <w:r w:rsidR="00B139CF" w:rsidRPr="00445472">
        <w:t>”</w:t>
      </w:r>
      <w:r w:rsidRPr="00445472">
        <w:t xml:space="preserve"> si përkthim për fjalën në gjuhën shqipe </w:t>
      </w:r>
      <w:r w:rsidR="00B139CF" w:rsidRPr="00445472">
        <w:t>“</w:t>
      </w:r>
      <w:r w:rsidRPr="00445472">
        <w:t>rajon</w:t>
      </w:r>
      <w:r w:rsidR="00B139CF" w:rsidRPr="00445472">
        <w:t>”</w:t>
      </w:r>
      <w:r w:rsidRPr="00445472">
        <w:t>.</w:t>
      </w:r>
    </w:p>
    <w:p w14:paraId="25B3780C" w14:textId="77777777" w:rsidR="00B15A6B" w:rsidRPr="00445472" w:rsidRDefault="00B15A6B" w:rsidP="006C4809">
      <w:pPr>
        <w:pStyle w:val="TEKSTIIII"/>
        <w:rPr>
          <w:rFonts w:cs="Arial"/>
          <w:b/>
        </w:rPr>
      </w:pPr>
      <w:r w:rsidRPr="00445472">
        <w:rPr>
          <w:rFonts w:cs="Arial"/>
          <w:b/>
        </w:rPr>
        <w:t>9 nëntor 2016</w:t>
      </w:r>
    </w:p>
    <w:p w14:paraId="71113042" w14:textId="673B7EAF" w:rsidR="00B15A6B" w:rsidRPr="00445472" w:rsidRDefault="00B15A6B" w:rsidP="006C4809">
      <w:pPr>
        <w:pStyle w:val="TEKSTIIII"/>
      </w:pPr>
      <w:r w:rsidRPr="00445472">
        <w:t xml:space="preserve">Përmbytje të shumta kanë ndodhur në Mal të Zi dhe Shqipëri. Raportet e mbetura të përmbytjeve merren nga faqja e internetit: floodlist.com. Dy raste fataliteti mendohet të kenë ndodhur në Shqipëri. </w:t>
      </w:r>
      <w:bookmarkStart w:id="178" w:name="_Ref478132941"/>
      <w:r w:rsidRPr="00445472">
        <w:t xml:space="preserve">E para ishte në Dibër, në basenin e Drinit ku viktima u përpoq të kalonte një rrugë me makinë; Në fakt, shumë viktima të përmbytjes rezultojnë nga njerëzit që ndërmarrin rreziqe. Gjithashtu në qarkun e Dibrës u evakuan 30 familje duke përfshirë një familje me helikopter. </w:t>
      </w:r>
      <w:r w:rsidR="00B139CF" w:rsidRPr="00445472">
        <w:t>Fatkeqësia</w:t>
      </w:r>
      <w:r w:rsidRPr="00445472">
        <w:t xml:space="preserve"> e dytë ndodhi në Tiranë. Shërbimet emergjente në Shqipëri morën deri në 7,000 thirrje dhe rreth 3,500 policë, ushtarakë, mbrojtës civilë dhe personel të shërbimit të zjarrit për kryerjen e shpëtimit nga përmbytjet dhe evakuimet. Në rrethin e Kukësit në basenin e Drinit, rrëshqitjet e dheut bllokuan rrugët në disa vende dhe u shemb një urë</w:t>
      </w:r>
      <w:bookmarkEnd w:id="178"/>
      <w:r w:rsidRPr="00445472">
        <w:rPr>
          <w:rStyle w:val="FootnoteReference"/>
          <w:rFonts w:ascii="Garamond" w:hAnsi="Garamond"/>
          <w:color w:val="auto"/>
        </w:rPr>
        <w:footnoteReference w:id="173"/>
      </w:r>
      <w:r w:rsidRPr="00445472">
        <w:t>.</w:t>
      </w:r>
    </w:p>
    <w:p w14:paraId="1F2E1A41" w14:textId="77777777" w:rsidR="00B15A6B" w:rsidRPr="00445472" w:rsidRDefault="00B15A6B" w:rsidP="006C4809">
      <w:pPr>
        <w:pStyle w:val="TEKSTIIII"/>
        <w:rPr>
          <w:rFonts w:cs="Arial"/>
          <w:b/>
        </w:rPr>
      </w:pPr>
      <w:r w:rsidRPr="00445472">
        <w:rPr>
          <w:rFonts w:cs="Arial"/>
          <w:b/>
        </w:rPr>
        <w:t>12 tetor 2016</w:t>
      </w:r>
    </w:p>
    <w:p w14:paraId="46B204E2" w14:textId="77777777" w:rsidR="00B15A6B" w:rsidRPr="00445472" w:rsidRDefault="00B15A6B" w:rsidP="006C4809">
      <w:pPr>
        <w:pStyle w:val="TEKSTIIII"/>
      </w:pPr>
      <w:r w:rsidRPr="00445472">
        <w:t>Përmbytje të mëdha ndodhën në Shqipëri, Greqi dhe Rumani. Kishte një viktimë në Lezhë, në kufi me basenin ujor Drin. Shi i dendur u raportua në Qarkun e Dibrës në basenin e Drinit.</w:t>
      </w:r>
    </w:p>
    <w:p w14:paraId="535D619F" w14:textId="77777777" w:rsidR="00B15A6B" w:rsidRPr="00445472" w:rsidRDefault="00B15A6B" w:rsidP="006C4809">
      <w:pPr>
        <w:pStyle w:val="TEKSTIIII"/>
        <w:rPr>
          <w:b/>
        </w:rPr>
      </w:pPr>
      <w:r w:rsidRPr="00445472">
        <w:rPr>
          <w:b/>
        </w:rPr>
        <w:t>7 janar 2016</w:t>
      </w:r>
    </w:p>
    <w:p w14:paraId="4076EE7F" w14:textId="77777777" w:rsidR="00B15A6B" w:rsidRPr="00445472" w:rsidRDefault="00B15A6B" w:rsidP="006C4809">
      <w:pPr>
        <w:pStyle w:val="TEKSTIIII"/>
      </w:pPr>
      <w:r w:rsidRPr="00445472">
        <w:t>Dy ditë shiu të dendur çuan në përmbytje dhe rrëshqitje të dheut në Shkodër dhe në qarkun e Dibrës në basenin e Drinit dhe diku tjetër. Gjithsej 700 persona u evakuan por nuk u raportuan vdekje apo lëndime serioze.</w:t>
      </w:r>
    </w:p>
    <w:p w14:paraId="2F99F41B" w14:textId="77777777" w:rsidR="00B15A6B" w:rsidRPr="00445472" w:rsidRDefault="00B15A6B" w:rsidP="006C4809">
      <w:pPr>
        <w:pStyle w:val="TEKSTIIII"/>
        <w:rPr>
          <w:b/>
        </w:rPr>
      </w:pPr>
      <w:r w:rsidRPr="00445472">
        <w:rPr>
          <w:b/>
        </w:rPr>
        <w:t>23 nëntor 2015</w:t>
      </w:r>
    </w:p>
    <w:p w14:paraId="40366B27" w14:textId="77777777" w:rsidR="00B15A6B" w:rsidRPr="00445472" w:rsidRDefault="00B15A6B" w:rsidP="006C4809">
      <w:pPr>
        <w:pStyle w:val="TEKSTIIII"/>
      </w:pPr>
      <w:r w:rsidRPr="00445472">
        <w:t>Përmbytje të shumta u raportuan në Shqipëri. Një burrë u vra në qarkun e Dibrës. Përmbytjet ndodhën në qarqet e Dibrës dhe Shkodrës brenda basenit ujor Drin dhe gjetkë. Përmbytjet bllokuan rrugët dhe shkaktuan dëme në prona dhe në disa ura në disa qarqe. Shumë banorë mbetën pa energji dhe disa pa ujë të pijshëm.</w:t>
      </w:r>
    </w:p>
    <w:p w14:paraId="232DD4B6" w14:textId="77777777" w:rsidR="00B15A6B" w:rsidRPr="00445472" w:rsidRDefault="00B15A6B" w:rsidP="006C4809">
      <w:pPr>
        <w:pStyle w:val="TEKSTIIII"/>
        <w:rPr>
          <w:b/>
        </w:rPr>
      </w:pPr>
      <w:r w:rsidRPr="00445472">
        <w:rPr>
          <w:b/>
        </w:rPr>
        <w:t>2 shkurt 2015</w:t>
      </w:r>
    </w:p>
    <w:p w14:paraId="30461952" w14:textId="77777777" w:rsidR="00B15A6B" w:rsidRPr="00445472" w:rsidRDefault="00B15A6B" w:rsidP="006C4809">
      <w:pPr>
        <w:pStyle w:val="TEKSTIIII"/>
      </w:pPr>
      <w:r w:rsidRPr="00445472">
        <w:t>Përmbytje të shumta u raportuan në Shqipëri, Greqi dhe Bullgari. Në Shqipëri, shumica e përmbytjeve ndodhën në jug të vendit dhe qindra familje u evakuan. Këto përmbytje krijuan dëme në vlerën mbi 122 milion euro. Më 4 Shkurt situata çoi në shpalljen e gjendjes së emergjencës kombëtare dhe në një kërkesë zyrtare drejtuar Drejtorit të Përgjithshëm ECHO për Mekanizmin Evropian të Mbrojtjes Civile</w:t>
      </w:r>
      <w:r w:rsidRPr="00445472">
        <w:rPr>
          <w:rStyle w:val="FootnoteReference"/>
          <w:rFonts w:ascii="Garamond" w:hAnsi="Garamond"/>
          <w:color w:val="auto"/>
        </w:rPr>
        <w:footnoteReference w:id="174"/>
      </w:r>
      <w:r w:rsidRPr="00445472">
        <w:t>.</w:t>
      </w:r>
    </w:p>
    <w:p w14:paraId="7AA1650F" w14:textId="77777777" w:rsidR="00B15A6B" w:rsidRPr="00445472" w:rsidRDefault="00B15A6B" w:rsidP="006C4809">
      <w:pPr>
        <w:pStyle w:val="TEKSTIIII"/>
        <w:rPr>
          <w:b/>
        </w:rPr>
      </w:pPr>
      <w:r w:rsidRPr="00445472">
        <w:rPr>
          <w:b/>
        </w:rPr>
        <w:t>19 nëntor 2014</w:t>
      </w:r>
    </w:p>
    <w:p w14:paraId="1CAED707" w14:textId="77777777" w:rsidR="00B15A6B" w:rsidRPr="00445472" w:rsidRDefault="00B15A6B" w:rsidP="006C4809">
      <w:pPr>
        <w:pStyle w:val="TEKSTIIII"/>
      </w:pPr>
      <w:r w:rsidRPr="00445472">
        <w:t>Tre persona vdiqën gjatë përmbytjeve në Shqipëri. Dy prej tyre u vranë në Qarkun e Lezhës, në afërsi të basenit të Drinit, pasi makina e tyre u zhduk.  Personi i tretë vdiq kur u shemb një urë në të njëjtin qark.</w:t>
      </w:r>
    </w:p>
    <w:p w14:paraId="00653443" w14:textId="77777777" w:rsidR="00B15A6B" w:rsidRPr="00445472" w:rsidRDefault="00B15A6B" w:rsidP="006C4809">
      <w:pPr>
        <w:pStyle w:val="TEKSTIIII"/>
        <w:rPr>
          <w:b/>
        </w:rPr>
      </w:pPr>
      <w:r w:rsidRPr="00445472">
        <w:rPr>
          <w:b/>
        </w:rPr>
        <w:t>Dhjetor 2009 dhe janar 2010</w:t>
      </w:r>
    </w:p>
    <w:p w14:paraId="4592AB68" w14:textId="77777777" w:rsidR="00B15A6B" w:rsidRPr="00445472" w:rsidRDefault="00B15A6B" w:rsidP="006C4809">
      <w:pPr>
        <w:pStyle w:val="TEKSTIIII"/>
      </w:pPr>
      <w:r w:rsidRPr="00445472">
        <w:t>Reshjet e dendura shkaktuan përmbytje të rënda në shumë pjesë të Shqipërisë. Qarku i Shkodrës dhe i Lezhës, në basenin e Drinit, ishin më të prekurit. Rrethi i Durrësit, gjithashtu pësoi dëmtime. Në total, pothuajse 10,000 ha tokë u përmbyt. Mbi 5,000 vetë u evakuan nga shtëpitë e tyre; Numri do të ishte më i lartë, por shumë njerëz refuzuan të largoheshin nga shtëpitë e tyre. 2.2000 shtëpi u dëmtuan nga përmbytjet.</w:t>
      </w:r>
    </w:p>
    <w:p w14:paraId="2A90E75D" w14:textId="77777777" w:rsidR="00B15A6B" w:rsidRPr="00445472" w:rsidRDefault="00B15A6B" w:rsidP="006C4809">
      <w:pPr>
        <w:pStyle w:val="NENTITULL"/>
      </w:pPr>
      <w:r w:rsidRPr="00445472">
        <w:t>20 nëntor 1992</w:t>
      </w:r>
    </w:p>
    <w:p w14:paraId="1408ADCF" w14:textId="45F3BA54" w:rsidR="00B15A6B" w:rsidRPr="00445472" w:rsidRDefault="00B15A6B" w:rsidP="006C4809">
      <w:pPr>
        <w:pStyle w:val="TEKSTIIII"/>
        <w:rPr>
          <w:vertAlign w:val="superscript"/>
        </w:rPr>
      </w:pPr>
      <w:r w:rsidRPr="00445472">
        <w:t>Shiu</w:t>
      </w:r>
      <w:r w:rsidR="00B139CF" w:rsidRPr="00445472">
        <w:t xml:space="preserve"> i dendur gjatë tr</w:t>
      </w:r>
      <w:r w:rsidR="00905530">
        <w:t>i</w:t>
      </w:r>
      <w:r w:rsidR="00B139CF" w:rsidRPr="00445472">
        <w:t xml:space="preserve"> ditëve me r</w:t>
      </w:r>
      <w:r w:rsidRPr="00445472">
        <w:t xml:space="preserve">adhë rezultoi në përmbytje serioze në Shqipërinë Veriore. Lumenjtë Mat dhe Drini mbushën bregun e tyre dhe përmbytën zona të mëdha deri në një metër uji. Shumica e dëmeve kanë ndodhur në banesa, blegtorinë dhe kulturat </w:t>
      </w:r>
      <w:r w:rsidR="00B139CF" w:rsidRPr="00445472">
        <w:t>bujqësore</w:t>
      </w:r>
      <w:r w:rsidRPr="00445472">
        <w:t>. U raportua dëmtimi i objektit hidroelektrik të Fierzës dhe ndërprerja e energjisë elektrike në disa nga zonat e prekura. Praktikisht, të gjitha sendet e shumë familjeve humbën dhe ushqimi që ruhej për dimrin e ardhshëm u shkatërrua. Përmbytjet gjithashtu shkaktuan dëmtime në rrugët, urat, brigjet e lumenjve dhe rrjetet e ujitjes. 17,000 ha tokë bujqësore u përmbyt. Ka pasur ndërprerje të mëdha të energjisë elektrike</w:t>
      </w:r>
      <w:r w:rsidRPr="00445472">
        <w:rPr>
          <w:rStyle w:val="FootnoteReference"/>
          <w:rFonts w:ascii="Garamond" w:hAnsi="Garamond"/>
          <w:color w:val="auto"/>
        </w:rPr>
        <w:footnoteReference w:id="175"/>
      </w:r>
      <w:r w:rsidRPr="00445472">
        <w:rPr>
          <w:vertAlign w:val="superscript"/>
        </w:rPr>
        <w:t>.</w:t>
      </w:r>
    </w:p>
    <w:p w14:paraId="2E5CDA73" w14:textId="77777777" w:rsidR="00B15A6B" w:rsidRPr="00445472" w:rsidRDefault="00B15A6B" w:rsidP="006C4809">
      <w:pPr>
        <w:pStyle w:val="NENTITULL"/>
      </w:pPr>
      <w:r w:rsidRPr="00445472">
        <w:t>1970-1971</w:t>
      </w:r>
    </w:p>
    <w:p w14:paraId="3B354046" w14:textId="64EC2C19" w:rsidR="00B15A6B" w:rsidRPr="00445472" w:rsidRDefault="00B15A6B" w:rsidP="006C4809">
      <w:pPr>
        <w:pStyle w:val="TEKSTIIII"/>
      </w:pPr>
      <w:bookmarkStart w:id="179" w:name="_Ref481751081"/>
      <w:r w:rsidRPr="00445472">
        <w:t>Këto përmbytje raportohen kryesisht në dëmtime të kufizuar, në sajë të masave mbrojtëse ndaj përmbytjeve të paraqitura pas atyre të viteve 1962-</w:t>
      </w:r>
      <w:bookmarkStart w:id="180" w:name="_bookmark0"/>
      <w:bookmarkEnd w:id="180"/>
      <w:r w:rsidRPr="00445472">
        <w:t>63</w:t>
      </w:r>
      <w:bookmarkEnd w:id="179"/>
      <w:r w:rsidRPr="00445472">
        <w:rPr>
          <w:rStyle w:val="FootnoteReference"/>
          <w:rFonts w:ascii="Garamond" w:hAnsi="Garamond"/>
          <w:color w:val="auto"/>
        </w:rPr>
        <w:footnoteReference w:id="176"/>
      </w:r>
      <w:r w:rsidRPr="00445472">
        <w:t>. Megjithëse një dokument</w:t>
      </w:r>
      <w:r w:rsidRPr="00445472">
        <w:rPr>
          <w:rStyle w:val="FootnoteReference"/>
          <w:rFonts w:ascii="Garamond" w:hAnsi="Garamond"/>
          <w:color w:val="auto"/>
        </w:rPr>
        <w:footnoteReference w:id="177"/>
      </w:r>
      <w:r w:rsidRPr="00445472">
        <w:t xml:space="preserve"> i vitit 2014  deklaroi se </w:t>
      </w:r>
      <w:r w:rsidR="00D62EDF" w:rsidRPr="00445472">
        <w:t>“</w:t>
      </w:r>
      <w:r w:rsidRPr="00445472">
        <w:t>Përmbytjet më të mëdha në Shqipëri ndodhën në periudhën 1970 -1971 duke përmbytur stacionet e pompimit dhe rezervuarët</w:t>
      </w:r>
      <w:r w:rsidR="00D62EDF" w:rsidRPr="00445472">
        <w:t>”</w:t>
      </w:r>
      <w:r w:rsidRPr="00445472">
        <w:t>. Ky dokument gjithashtu thekson:</w:t>
      </w:r>
      <w:r w:rsidR="00D62EDF" w:rsidRPr="00445472">
        <w:t xml:space="preserve">, “Për </w:t>
      </w:r>
      <w:r w:rsidRPr="00445472">
        <w:t>shkak të karakteristikave topografike, këto përmbytje ndodhin shumë shpejt (8 - 10 orë).</w:t>
      </w:r>
      <w:r w:rsidR="00D62EDF" w:rsidRPr="00445472">
        <w:t>”</w:t>
      </w:r>
    </w:p>
    <w:p w14:paraId="7676E4A4" w14:textId="77777777" w:rsidR="00B15A6B" w:rsidRPr="00445472" w:rsidRDefault="00B15A6B" w:rsidP="006C4809">
      <w:pPr>
        <w:pStyle w:val="NENTITULL"/>
      </w:pPr>
      <w:r w:rsidRPr="00445472">
        <w:t>Nëntor 1962 deri në shkurt 1963</w:t>
      </w:r>
    </w:p>
    <w:p w14:paraId="4A2E5DD1" w14:textId="77777777" w:rsidR="00B15A6B" w:rsidRPr="00445472" w:rsidRDefault="00B15A6B" w:rsidP="006C4809">
      <w:pPr>
        <w:pStyle w:val="TEKSTIIII"/>
      </w:pPr>
      <w:bookmarkStart w:id="181" w:name="_Ref478135545"/>
      <w:r w:rsidRPr="00445472">
        <w:t>Përmbytjet më serioze të vëzhguara deri tani në lumenjtë e Shqipërisë ndodhën gjatë dimrit të viteve 1962-1963 në drejtim të zonës së përmbytur, kohëzgjatjes dhe dëmeve të shkaktuara prej tyre</w:t>
      </w:r>
      <w:bookmarkEnd w:id="181"/>
      <w:r w:rsidRPr="00445472">
        <w:rPr>
          <w:rStyle w:val="FootnoteReference"/>
          <w:rFonts w:ascii="Garamond" w:hAnsi="Garamond"/>
          <w:color w:val="auto"/>
        </w:rPr>
        <w:footnoteReference w:id="178"/>
      </w:r>
      <w:r w:rsidRPr="00445472">
        <w:t>. Këto ngjarje ndodhën jo vetëm në Shqipëri por edhe në shumë pjesë të tjera të pellgut të Mesdheut dhe vendeve të tjera të Evropës Perëndimore. Nivele shumë të larta të ujit u vunë re në Liqenet e Ohrit, Prespës dhe Shkodrës. Në disa pjesë në perëndim të vendit nivelet e ujërave nëntokësore u rritën dhe kontribuan në përmbytje sipërfaqësore.</w:t>
      </w:r>
    </w:p>
    <w:p w14:paraId="6FD1E6AD" w14:textId="77777777" w:rsidR="00B15A6B" w:rsidRPr="00445472" w:rsidRDefault="00B15A6B" w:rsidP="006C4809">
      <w:pPr>
        <w:pStyle w:val="TEKSTIIII"/>
      </w:pPr>
    </w:p>
    <w:p w14:paraId="628B6D30" w14:textId="17B0E79B" w:rsidR="00B15A6B" w:rsidRPr="00445472" w:rsidRDefault="00B15A6B" w:rsidP="006C4809">
      <w:pPr>
        <w:pStyle w:val="NENTITULL"/>
      </w:pPr>
      <w:r w:rsidRPr="00445472">
        <w:t xml:space="preserve">Tabela 9.4: Thellësitë e përmbytjeve në basenin ujor </w:t>
      </w:r>
      <w:r w:rsidR="007E76E3" w:rsidRPr="00445472">
        <w:t>Drin–Bunë</w:t>
      </w:r>
      <w:r w:rsidRPr="00445472">
        <w:t xml:space="preserve"> (Nëntor 1962 deri në Shkurt 1963)</w:t>
      </w: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284"/>
        <w:gridCol w:w="1089"/>
        <w:gridCol w:w="2406"/>
        <w:gridCol w:w="2498"/>
        <w:gridCol w:w="1618"/>
      </w:tblGrid>
      <w:tr w:rsidR="00B15A6B" w:rsidRPr="00445472" w14:paraId="07FB45C2" w14:textId="77777777" w:rsidTr="006C4809">
        <w:trPr>
          <w:jc w:val="center"/>
        </w:trPr>
        <w:tc>
          <w:tcPr>
            <w:tcW w:w="0" w:type="auto"/>
            <w:shd w:val="clear" w:color="auto" w:fill="D9D9D9"/>
            <w:vAlign w:val="center"/>
          </w:tcPr>
          <w:p w14:paraId="19E8AB79"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Lumi</w:t>
            </w:r>
          </w:p>
        </w:tc>
        <w:tc>
          <w:tcPr>
            <w:tcW w:w="0" w:type="auto"/>
            <w:shd w:val="clear" w:color="auto" w:fill="D9D9D9"/>
            <w:vAlign w:val="center"/>
          </w:tcPr>
          <w:p w14:paraId="0E06FD0E"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Stacioni</w:t>
            </w:r>
          </w:p>
        </w:tc>
        <w:tc>
          <w:tcPr>
            <w:tcW w:w="0" w:type="auto"/>
            <w:shd w:val="clear" w:color="auto" w:fill="D9D9D9"/>
            <w:vAlign w:val="center"/>
          </w:tcPr>
          <w:p w14:paraId="3D26A920"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Sipërfaqja e basenit A (km</w:t>
            </w:r>
            <w:r w:rsidRPr="00445472">
              <w:rPr>
                <w:rFonts w:ascii="Garamond" w:eastAsia="MS Mincho" w:hAnsi="Garamond" w:cs="Arial"/>
                <w:b/>
                <w:sz w:val="18"/>
                <w:szCs w:val="18"/>
                <w:vertAlign w:val="superscript"/>
              </w:rPr>
              <w:t>2</w:t>
            </w:r>
            <w:r w:rsidRPr="00445472">
              <w:rPr>
                <w:rFonts w:ascii="Garamond" w:eastAsia="MS Mincho" w:hAnsi="Garamond" w:cs="Arial"/>
                <w:b/>
                <w:sz w:val="18"/>
                <w:szCs w:val="18"/>
              </w:rPr>
              <w:t>)</w:t>
            </w:r>
          </w:p>
        </w:tc>
        <w:tc>
          <w:tcPr>
            <w:tcW w:w="0" w:type="auto"/>
            <w:shd w:val="clear" w:color="auto" w:fill="D9D9D9"/>
            <w:vAlign w:val="center"/>
          </w:tcPr>
          <w:p w14:paraId="0F32FC75" w14:textId="5BD76B5F"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Pragu i lumit mbi </w:t>
            </w:r>
            <w:r w:rsidR="00D62EDF" w:rsidRPr="00445472">
              <w:rPr>
                <w:rFonts w:ascii="Garamond" w:eastAsia="MS Mincho" w:hAnsi="Garamond" w:cs="Arial"/>
                <w:b/>
                <w:sz w:val="18"/>
                <w:szCs w:val="18"/>
              </w:rPr>
              <w:t>“</w:t>
            </w:r>
            <w:r w:rsidRPr="00445472">
              <w:rPr>
                <w:rFonts w:ascii="Garamond" w:eastAsia="MS Mincho" w:hAnsi="Garamond" w:cs="Arial"/>
                <w:b/>
                <w:sz w:val="18"/>
                <w:szCs w:val="18"/>
              </w:rPr>
              <w:t>0</w:t>
            </w:r>
            <w:r w:rsidR="00D62EDF" w:rsidRPr="00445472">
              <w:rPr>
                <w:rFonts w:ascii="Garamond" w:eastAsia="MS Mincho" w:hAnsi="Garamond" w:cs="Arial"/>
                <w:b/>
                <w:sz w:val="18"/>
                <w:szCs w:val="18"/>
              </w:rPr>
              <w:t>”</w:t>
            </w:r>
            <w:r w:rsidRPr="00445472">
              <w:rPr>
                <w:rFonts w:ascii="Garamond" w:eastAsia="MS Mincho" w:hAnsi="Garamond" w:cs="Arial"/>
                <w:b/>
                <w:sz w:val="18"/>
                <w:szCs w:val="18"/>
              </w:rPr>
              <w:t>H (cm)</w:t>
            </w:r>
          </w:p>
        </w:tc>
        <w:tc>
          <w:tcPr>
            <w:tcW w:w="0" w:type="auto"/>
            <w:shd w:val="clear" w:color="auto" w:fill="D9D9D9"/>
            <w:vAlign w:val="center"/>
          </w:tcPr>
          <w:p w14:paraId="320BC116"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Shkarkimi (m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/s)</w:t>
            </w:r>
          </w:p>
        </w:tc>
      </w:tr>
      <w:tr w:rsidR="00B15A6B" w:rsidRPr="00445472" w14:paraId="3CC24F1C" w14:textId="77777777" w:rsidTr="006C4809">
        <w:trPr>
          <w:jc w:val="center"/>
        </w:trPr>
        <w:tc>
          <w:tcPr>
            <w:tcW w:w="0" w:type="auto"/>
            <w:shd w:val="clear" w:color="auto" w:fill="auto"/>
            <w:vAlign w:val="center"/>
          </w:tcPr>
          <w:p w14:paraId="4DAFD202"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Bunë</w:t>
            </w:r>
          </w:p>
        </w:tc>
        <w:tc>
          <w:tcPr>
            <w:tcW w:w="0" w:type="auto"/>
            <w:shd w:val="clear" w:color="auto" w:fill="auto"/>
            <w:vAlign w:val="center"/>
          </w:tcPr>
          <w:p w14:paraId="6D1868D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0" w:type="auto"/>
            <w:shd w:val="clear" w:color="auto" w:fill="auto"/>
            <w:vAlign w:val="center"/>
          </w:tcPr>
          <w:p w14:paraId="5C7B29A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4,134</w:t>
            </w:r>
          </w:p>
        </w:tc>
        <w:tc>
          <w:tcPr>
            <w:tcW w:w="0" w:type="auto"/>
            <w:shd w:val="clear" w:color="auto" w:fill="auto"/>
            <w:vAlign w:val="center"/>
          </w:tcPr>
          <w:p w14:paraId="7BFA610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560</w:t>
            </w:r>
          </w:p>
        </w:tc>
        <w:tc>
          <w:tcPr>
            <w:tcW w:w="0" w:type="auto"/>
            <w:shd w:val="clear" w:color="auto" w:fill="auto"/>
            <w:vAlign w:val="center"/>
          </w:tcPr>
          <w:p w14:paraId="4F6A516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2000</w:t>
            </w:r>
          </w:p>
        </w:tc>
      </w:tr>
      <w:tr w:rsidR="00B15A6B" w:rsidRPr="00445472" w14:paraId="147B8FA8" w14:textId="77777777" w:rsidTr="006C4809">
        <w:trPr>
          <w:jc w:val="center"/>
        </w:trPr>
        <w:tc>
          <w:tcPr>
            <w:tcW w:w="0" w:type="auto"/>
            <w:shd w:val="clear" w:color="auto" w:fill="auto"/>
            <w:vAlign w:val="center"/>
          </w:tcPr>
          <w:p w14:paraId="0561CBD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Drin</w:t>
            </w:r>
          </w:p>
        </w:tc>
        <w:tc>
          <w:tcPr>
            <w:tcW w:w="0" w:type="auto"/>
            <w:shd w:val="clear" w:color="auto" w:fill="auto"/>
            <w:vAlign w:val="center"/>
          </w:tcPr>
          <w:p w14:paraId="13D531A6" w14:textId="681C0588"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Vau i Dej</w:t>
            </w:r>
            <w:r w:rsidR="00B139CF" w:rsidRPr="00445472">
              <w:rPr>
                <w:rFonts w:ascii="Garamond" w:eastAsia="MS Mincho" w:hAnsi="Garamond" w:cs="Times New Roman"/>
                <w:sz w:val="18"/>
                <w:szCs w:val="18"/>
              </w:rPr>
              <w:t>ë</w:t>
            </w:r>
            <w:r w:rsidRPr="00445472">
              <w:rPr>
                <w:rFonts w:ascii="Garamond" w:eastAsia="MS Mincho" w:hAnsi="Garamond" w:cs="Arial"/>
                <w:sz w:val="18"/>
                <w:szCs w:val="18"/>
              </w:rPr>
              <w:t>s</w:t>
            </w:r>
          </w:p>
        </w:tc>
        <w:tc>
          <w:tcPr>
            <w:tcW w:w="0" w:type="auto"/>
            <w:shd w:val="clear" w:color="auto" w:fill="auto"/>
            <w:vAlign w:val="center"/>
          </w:tcPr>
          <w:p w14:paraId="74DE7888"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11,500</w:t>
            </w:r>
          </w:p>
        </w:tc>
        <w:tc>
          <w:tcPr>
            <w:tcW w:w="0" w:type="auto"/>
            <w:shd w:val="clear" w:color="auto" w:fill="auto"/>
            <w:vAlign w:val="center"/>
          </w:tcPr>
          <w:p w14:paraId="15C2E15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673</w:t>
            </w:r>
          </w:p>
        </w:tc>
        <w:tc>
          <w:tcPr>
            <w:tcW w:w="0" w:type="auto"/>
            <w:shd w:val="clear" w:color="auto" w:fill="auto"/>
            <w:vAlign w:val="center"/>
          </w:tcPr>
          <w:p w14:paraId="704B515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5180</w:t>
            </w:r>
          </w:p>
        </w:tc>
      </w:tr>
      <w:tr w:rsidR="00B15A6B" w:rsidRPr="00445472" w14:paraId="51CABBC6" w14:textId="77777777" w:rsidTr="006C4809">
        <w:trPr>
          <w:jc w:val="center"/>
        </w:trPr>
        <w:tc>
          <w:tcPr>
            <w:tcW w:w="0" w:type="auto"/>
            <w:shd w:val="clear" w:color="auto" w:fill="auto"/>
            <w:vAlign w:val="center"/>
          </w:tcPr>
          <w:p w14:paraId="6342E3F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Drin</w:t>
            </w:r>
          </w:p>
        </w:tc>
        <w:tc>
          <w:tcPr>
            <w:tcW w:w="0" w:type="auto"/>
            <w:shd w:val="clear" w:color="auto" w:fill="auto"/>
            <w:vAlign w:val="center"/>
          </w:tcPr>
          <w:p w14:paraId="1831577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Bahcellek</w:t>
            </w:r>
          </w:p>
        </w:tc>
        <w:tc>
          <w:tcPr>
            <w:tcW w:w="0" w:type="auto"/>
            <w:shd w:val="clear" w:color="auto" w:fill="auto"/>
            <w:vAlign w:val="center"/>
          </w:tcPr>
          <w:p w14:paraId="37F497E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14,173</w:t>
            </w:r>
          </w:p>
        </w:tc>
        <w:tc>
          <w:tcPr>
            <w:tcW w:w="0" w:type="auto"/>
            <w:shd w:val="clear" w:color="auto" w:fill="auto"/>
            <w:vAlign w:val="center"/>
          </w:tcPr>
          <w:p w14:paraId="3D73D9C0"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564</w:t>
            </w:r>
          </w:p>
        </w:tc>
        <w:tc>
          <w:tcPr>
            <w:tcW w:w="0" w:type="auto"/>
            <w:shd w:val="clear" w:color="auto" w:fill="auto"/>
            <w:vAlign w:val="center"/>
          </w:tcPr>
          <w:p w14:paraId="20755F0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B15A6B" w:rsidRPr="00445472" w14:paraId="4B708CAE" w14:textId="77777777" w:rsidTr="006C4809">
        <w:trPr>
          <w:jc w:val="center"/>
        </w:trPr>
        <w:tc>
          <w:tcPr>
            <w:tcW w:w="0" w:type="auto"/>
            <w:shd w:val="clear" w:color="auto" w:fill="auto"/>
            <w:vAlign w:val="center"/>
          </w:tcPr>
          <w:p w14:paraId="699271E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Drini i Zi</w:t>
            </w:r>
          </w:p>
        </w:tc>
        <w:tc>
          <w:tcPr>
            <w:tcW w:w="0" w:type="auto"/>
            <w:shd w:val="clear" w:color="auto" w:fill="auto"/>
            <w:vAlign w:val="center"/>
          </w:tcPr>
          <w:p w14:paraId="32294027"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0" w:type="auto"/>
            <w:shd w:val="clear" w:color="auto" w:fill="auto"/>
            <w:vAlign w:val="center"/>
          </w:tcPr>
          <w:p w14:paraId="738EF4B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4,413</w:t>
            </w:r>
          </w:p>
        </w:tc>
        <w:tc>
          <w:tcPr>
            <w:tcW w:w="0" w:type="auto"/>
            <w:shd w:val="clear" w:color="auto" w:fill="auto"/>
            <w:vAlign w:val="center"/>
          </w:tcPr>
          <w:p w14:paraId="4E4E83BE"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531</w:t>
            </w:r>
          </w:p>
        </w:tc>
        <w:tc>
          <w:tcPr>
            <w:tcW w:w="0" w:type="auto"/>
            <w:shd w:val="clear" w:color="auto" w:fill="auto"/>
            <w:vAlign w:val="center"/>
          </w:tcPr>
          <w:p w14:paraId="3520EEA9"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1080</w:t>
            </w:r>
          </w:p>
        </w:tc>
      </w:tr>
      <w:tr w:rsidR="00B15A6B" w:rsidRPr="00445472" w14:paraId="7539CA9C" w14:textId="77777777" w:rsidTr="006C4809">
        <w:trPr>
          <w:jc w:val="center"/>
        </w:trPr>
        <w:tc>
          <w:tcPr>
            <w:tcW w:w="0" w:type="auto"/>
            <w:shd w:val="clear" w:color="auto" w:fill="auto"/>
            <w:vAlign w:val="center"/>
          </w:tcPr>
          <w:p w14:paraId="37D1CD6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Drini i Bardhë</w:t>
            </w:r>
          </w:p>
        </w:tc>
        <w:tc>
          <w:tcPr>
            <w:tcW w:w="0" w:type="auto"/>
            <w:shd w:val="clear" w:color="auto" w:fill="auto"/>
            <w:vAlign w:val="center"/>
          </w:tcPr>
          <w:p w14:paraId="06C181E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0" w:type="auto"/>
            <w:shd w:val="clear" w:color="auto" w:fill="auto"/>
            <w:vAlign w:val="center"/>
          </w:tcPr>
          <w:p w14:paraId="48A0FEB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4,314</w:t>
            </w:r>
          </w:p>
        </w:tc>
        <w:tc>
          <w:tcPr>
            <w:tcW w:w="0" w:type="auto"/>
            <w:shd w:val="clear" w:color="auto" w:fill="auto"/>
            <w:vAlign w:val="center"/>
          </w:tcPr>
          <w:p w14:paraId="63597C9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553</w:t>
            </w:r>
          </w:p>
        </w:tc>
        <w:tc>
          <w:tcPr>
            <w:tcW w:w="0" w:type="auto"/>
            <w:shd w:val="clear" w:color="auto" w:fill="auto"/>
            <w:vAlign w:val="center"/>
          </w:tcPr>
          <w:p w14:paraId="7B0E78B6"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1450</w:t>
            </w:r>
          </w:p>
        </w:tc>
      </w:tr>
    </w:tbl>
    <w:p w14:paraId="451EC379" w14:textId="77777777" w:rsidR="00B15A6B" w:rsidRPr="00445472" w:rsidRDefault="00B15A6B" w:rsidP="00B15A6B">
      <w:pPr>
        <w:spacing w:before="1"/>
        <w:ind w:left="112" w:right="110"/>
        <w:jc w:val="both"/>
        <w:rPr>
          <w:rFonts w:ascii="Garamond" w:hAnsi="Garamond" w:cs="Arial"/>
        </w:rPr>
      </w:pPr>
      <w:r w:rsidRPr="00445472">
        <w:rPr>
          <w:rFonts w:ascii="Garamond" w:hAnsi="Garamond" w:cs="Arial"/>
          <w:sz w:val="16"/>
          <w:szCs w:val="16"/>
        </w:rPr>
        <w:t>*</w:t>
      </w:r>
      <w:r w:rsidRPr="00445472">
        <w:rPr>
          <w:rFonts w:ascii="Garamond" w:hAnsi="Garamond" w:cs="Arial"/>
        </w:rPr>
        <w:t xml:space="preserve"> </w:t>
      </w:r>
      <w:r w:rsidRPr="00445472">
        <w:rPr>
          <w:rFonts w:ascii="Garamond" w:hAnsi="Garamond" w:cs="Arial"/>
          <w:sz w:val="16"/>
        </w:rPr>
        <w:t>Prurjet nuk llogariten kur uji ka përmbytur bregun e lumit</w:t>
      </w:r>
    </w:p>
    <w:p w14:paraId="08311DC0" w14:textId="5B65F6B7" w:rsidR="00B15A6B" w:rsidRPr="00445472" w:rsidRDefault="00B15A6B" w:rsidP="006C4809">
      <w:pPr>
        <w:pStyle w:val="NENTITULL"/>
      </w:pPr>
      <w:r w:rsidRPr="00445472">
        <w:t xml:space="preserve">Tabela 9.5: Zonat e përmbytura në basenin ujor </w:t>
      </w:r>
      <w:r w:rsidR="007E76E3" w:rsidRPr="00445472">
        <w:t>Drin–Bunë</w:t>
      </w:r>
      <w:r w:rsidRPr="00445472">
        <w:t xml:space="preserve"> (Nëntor 1962 deri në Shkurt 1963)</w:t>
      </w:r>
    </w:p>
    <w:tbl>
      <w:tblP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3795"/>
        <w:gridCol w:w="2834"/>
        <w:gridCol w:w="2658"/>
      </w:tblGrid>
      <w:tr w:rsidR="00B15A6B" w:rsidRPr="00445472" w14:paraId="49965456" w14:textId="77777777" w:rsidTr="006C4809">
        <w:tc>
          <w:tcPr>
            <w:tcW w:w="2043" w:type="pct"/>
            <w:shd w:val="clear" w:color="auto" w:fill="auto"/>
            <w:vAlign w:val="center"/>
          </w:tcPr>
          <w:p w14:paraId="5F4EF57D"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Zona</w:t>
            </w:r>
          </w:p>
        </w:tc>
        <w:tc>
          <w:tcPr>
            <w:tcW w:w="1526" w:type="pct"/>
            <w:shd w:val="clear" w:color="auto" w:fill="auto"/>
            <w:vAlign w:val="center"/>
          </w:tcPr>
          <w:p w14:paraId="732C92BA"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Sipërfaqja e përmbytur (ha)</w:t>
            </w:r>
          </w:p>
        </w:tc>
        <w:tc>
          <w:tcPr>
            <w:tcW w:w="1431" w:type="pct"/>
            <w:shd w:val="clear" w:color="auto" w:fill="auto"/>
            <w:vAlign w:val="center"/>
          </w:tcPr>
          <w:p w14:paraId="1005CD01" w14:textId="77777777" w:rsidR="00B15A6B" w:rsidRPr="00445472" w:rsidRDefault="00B15A6B" w:rsidP="00B15A6B">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Kohëzgjatja (ditë)</w:t>
            </w:r>
          </w:p>
        </w:tc>
      </w:tr>
      <w:tr w:rsidR="00B15A6B" w:rsidRPr="00445472" w14:paraId="2253449B" w14:textId="77777777" w:rsidTr="006C4809">
        <w:tc>
          <w:tcPr>
            <w:tcW w:w="2043" w:type="pct"/>
            <w:shd w:val="clear" w:color="auto" w:fill="auto"/>
            <w:vAlign w:val="center"/>
          </w:tcPr>
          <w:p w14:paraId="272E5131"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Zadrima e Shkodrës dhe Lezhës, Bregu Bunës</w:t>
            </w:r>
          </w:p>
        </w:tc>
        <w:tc>
          <w:tcPr>
            <w:tcW w:w="1526" w:type="pct"/>
            <w:shd w:val="clear" w:color="auto" w:fill="auto"/>
            <w:vAlign w:val="center"/>
          </w:tcPr>
          <w:p w14:paraId="36ED987F"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18,575</w:t>
            </w:r>
          </w:p>
        </w:tc>
        <w:tc>
          <w:tcPr>
            <w:tcW w:w="1431" w:type="pct"/>
            <w:shd w:val="clear" w:color="auto" w:fill="auto"/>
            <w:vAlign w:val="center"/>
          </w:tcPr>
          <w:p w14:paraId="540015DB"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w:t>
            </w:r>
          </w:p>
        </w:tc>
      </w:tr>
      <w:tr w:rsidR="00B15A6B" w:rsidRPr="00445472" w14:paraId="487E198B" w14:textId="77777777" w:rsidTr="006C4809">
        <w:tc>
          <w:tcPr>
            <w:tcW w:w="2043" w:type="pct"/>
            <w:shd w:val="clear" w:color="auto" w:fill="auto"/>
            <w:vAlign w:val="center"/>
          </w:tcPr>
          <w:p w14:paraId="6F7BC42D"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Fushat ndërmjet Drinit të Lezhës dhe Matit</w:t>
            </w:r>
          </w:p>
        </w:tc>
        <w:tc>
          <w:tcPr>
            <w:tcW w:w="1526" w:type="pct"/>
            <w:shd w:val="clear" w:color="auto" w:fill="auto"/>
            <w:vAlign w:val="center"/>
          </w:tcPr>
          <w:p w14:paraId="7A21D254"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3,122</w:t>
            </w:r>
          </w:p>
        </w:tc>
        <w:tc>
          <w:tcPr>
            <w:tcW w:w="1431" w:type="pct"/>
            <w:shd w:val="clear" w:color="auto" w:fill="auto"/>
            <w:vAlign w:val="center"/>
          </w:tcPr>
          <w:p w14:paraId="7E8ED493" w14:textId="77777777" w:rsidR="00B15A6B" w:rsidRPr="00445472" w:rsidRDefault="00B15A6B" w:rsidP="00B15A6B">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w:t>
            </w:r>
          </w:p>
        </w:tc>
      </w:tr>
    </w:tbl>
    <w:p w14:paraId="5854BA63" w14:textId="77777777" w:rsidR="00B15A6B" w:rsidRPr="00445472" w:rsidRDefault="00B15A6B" w:rsidP="004C3E13">
      <w:pPr>
        <w:pStyle w:val="NENTITULL"/>
      </w:pPr>
    </w:p>
    <w:p w14:paraId="4467BB8D" w14:textId="77777777" w:rsidR="005551C7" w:rsidRPr="00445472" w:rsidRDefault="005551C7" w:rsidP="004C3E13">
      <w:pPr>
        <w:pStyle w:val="NENTITULL"/>
      </w:pPr>
    </w:p>
    <w:p w14:paraId="5A92F1B4" w14:textId="68AB8A0A" w:rsidR="005551C7" w:rsidRPr="00445472" w:rsidRDefault="00926913" w:rsidP="00B139CF">
      <w:pPr>
        <w:pStyle w:val="NENTITULL"/>
        <w:jc w:val="center"/>
      </w:pPr>
      <w:r w:rsidRPr="00445472">
        <w:rPr>
          <w:noProof/>
          <w:lang w:val="en-US"/>
        </w:rPr>
        <w:drawing>
          <wp:inline distT="0" distB="0" distL="0" distR="0" wp14:anchorId="3B82A88E" wp14:editId="347C8828">
            <wp:extent cx="4886227" cy="6909684"/>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85027" cy="6907987"/>
                    </a:xfrm>
                    <a:prstGeom prst="rect">
                      <a:avLst/>
                    </a:prstGeom>
                    <a:noFill/>
                  </pic:spPr>
                </pic:pic>
              </a:graphicData>
            </a:graphic>
          </wp:inline>
        </w:drawing>
      </w:r>
    </w:p>
    <w:p w14:paraId="779F7707" w14:textId="0720EB96" w:rsidR="00211A71" w:rsidRPr="00445472" w:rsidRDefault="00211A71" w:rsidP="00EB774C">
      <w:pPr>
        <w:pStyle w:val="NENTITULL"/>
        <w:jc w:val="center"/>
      </w:pPr>
      <w:r w:rsidRPr="00445472">
        <w:t xml:space="preserve">Figura 9.1: Zona të mëdha përmbytjesh në basenin ujor </w:t>
      </w:r>
      <w:r w:rsidR="007E76E3" w:rsidRPr="00445472">
        <w:t>Drin–Bunë</w:t>
      </w:r>
    </w:p>
    <w:p w14:paraId="161325D7" w14:textId="77777777" w:rsidR="00211A71" w:rsidRPr="00445472" w:rsidRDefault="00211A71" w:rsidP="004C3E13">
      <w:pPr>
        <w:pStyle w:val="NENTITULL"/>
      </w:pPr>
    </w:p>
    <w:p w14:paraId="2C27044F" w14:textId="77777777" w:rsidR="00591820" w:rsidRPr="00445472" w:rsidRDefault="00591820" w:rsidP="004C3E13">
      <w:pPr>
        <w:pStyle w:val="NENTITULL"/>
      </w:pPr>
    </w:p>
    <w:p w14:paraId="73D546D3" w14:textId="77777777" w:rsidR="00591820" w:rsidRPr="00445472" w:rsidRDefault="00591820" w:rsidP="004C3E13">
      <w:pPr>
        <w:pStyle w:val="NENTITULL"/>
      </w:pPr>
    </w:p>
    <w:p w14:paraId="580B1445" w14:textId="77777777" w:rsidR="00591820" w:rsidRPr="00445472" w:rsidRDefault="00591820" w:rsidP="004C3E13">
      <w:pPr>
        <w:pStyle w:val="NENTITULL"/>
      </w:pPr>
    </w:p>
    <w:p w14:paraId="3C159294" w14:textId="77777777" w:rsidR="00591820" w:rsidRPr="00445472" w:rsidRDefault="00591820" w:rsidP="004C3E13">
      <w:pPr>
        <w:pStyle w:val="NENTITULL"/>
      </w:pPr>
    </w:p>
    <w:p w14:paraId="22A506BE" w14:textId="77777777" w:rsidR="00591820" w:rsidRPr="00445472" w:rsidRDefault="00591820" w:rsidP="004C3E13">
      <w:pPr>
        <w:pStyle w:val="NENTITULL"/>
      </w:pPr>
    </w:p>
    <w:p w14:paraId="30006BBC" w14:textId="77777777" w:rsidR="00591820" w:rsidRPr="00445472" w:rsidRDefault="00591820" w:rsidP="004C3E13">
      <w:pPr>
        <w:pStyle w:val="NENTITULL"/>
      </w:pPr>
    </w:p>
    <w:p w14:paraId="1B31D46E" w14:textId="77777777" w:rsidR="00591820" w:rsidRPr="00445472" w:rsidRDefault="00591820" w:rsidP="004C3E13">
      <w:pPr>
        <w:pStyle w:val="NENTITULL"/>
      </w:pPr>
    </w:p>
    <w:p w14:paraId="61AF3E3A" w14:textId="77777777" w:rsidR="00591820" w:rsidRPr="00445472" w:rsidRDefault="00591820" w:rsidP="004C3E13">
      <w:pPr>
        <w:pStyle w:val="NENTITULL"/>
      </w:pPr>
    </w:p>
    <w:p w14:paraId="3E888245" w14:textId="0CE95D7C" w:rsidR="00591820" w:rsidRPr="00445472" w:rsidRDefault="00591820" w:rsidP="00591820">
      <w:pPr>
        <w:pStyle w:val="TEKSTIIII"/>
      </w:pPr>
      <w:r w:rsidRPr="00445472">
        <w:t>M. Bogdani dhe A. Selenica japin gjithashtu disa detaje të përmbytjeve të vitit 1962-</w:t>
      </w:r>
      <w:r w:rsidR="00B139CF" w:rsidRPr="00445472">
        <w:t>‘</w:t>
      </w:r>
      <w:r w:rsidRPr="00445472">
        <w:t>63. Për Drinin vlerat ekuivalente janë një zonë e përmbytur prej 20,000 ha, një kohëzgjatje prej 22 ditësh dhe një shkarkesë maksimale prej 9,500 m</w:t>
      </w:r>
      <w:r w:rsidRPr="00445472">
        <w:rPr>
          <w:vertAlign w:val="superscript"/>
        </w:rPr>
        <w:t>3</w:t>
      </w:r>
      <w:r w:rsidR="001D340B" w:rsidRPr="00445472">
        <w:t>/</w:t>
      </w:r>
      <w:r w:rsidRPr="00445472">
        <w:t>s. Ashtu si me raportet e tjera është e qartë se përmbytja ishte e përhapur.</w:t>
      </w:r>
    </w:p>
    <w:p w14:paraId="15FA7639" w14:textId="77777777" w:rsidR="00591820" w:rsidRPr="00445472" w:rsidRDefault="00591820" w:rsidP="00591820">
      <w:pPr>
        <w:pStyle w:val="TEKSTIIII"/>
      </w:pPr>
      <w:r w:rsidRPr="00445472">
        <w:t>Është raportuar gjithashtu se përmbytjet kanë ndikuar në zonat urbane duke përfshirë edhe qytetin e Shkodrës, Beratit dhe Lezhës. Rrjeti kombëtar i rrugëve u ndërpre në shumë vende. Sistemi i digave mbrojtëse u dëmtua seriozisht dhe në shumë vende madje u shkatërrua</w:t>
      </w:r>
      <w:r w:rsidRPr="00445472">
        <w:rPr>
          <w:vertAlign w:val="superscript"/>
        </w:rPr>
        <w:footnoteReference w:id="179"/>
      </w:r>
      <w:r w:rsidRPr="00445472">
        <w:t xml:space="preserve">. </w:t>
      </w:r>
    </w:p>
    <w:p w14:paraId="4496246D" w14:textId="77777777" w:rsidR="00591820" w:rsidRPr="00445472" w:rsidRDefault="00591820" w:rsidP="00591820">
      <w:pPr>
        <w:pStyle w:val="TEKSTIIII"/>
      </w:pPr>
      <w:r w:rsidRPr="00445472">
        <w:t>Pas përmbytjeve të mëdha të përshkruara më sipër, qeveria shqiptare vendosi të rindërtojë argjinaturat e përmbytjeve, të cilat ishin shkatërruar. Investime të mëdha u kryen për ndërtimin e argjinaturave të pjesëve të lumenjve Drin, Bunë, Mat, Ishëm, Erzen, Shkumbin dhe Vjosë. Këto argjinatura të reja luajtën një rol të madh në uljen e ndikimit të përmbytjeve në dimrin e viteve 1970-71. Është llogaritur se me këto masa përmbytjet me periudhë kthimi prej më pak se 50 vjet nuk shkaktojnë përmbytje në tokat e ulëta në zonën perëndimore të Shqipërisë, me kusht që argjinaturat të mbeten të pa dëmtuara dhe që stacionet e pompimit të funksionojnë normalisht.</w:t>
      </w:r>
    </w:p>
    <w:p w14:paraId="56D1E0C0" w14:textId="6B658FAC" w:rsidR="00591820" w:rsidRPr="00445472" w:rsidRDefault="00D276C9" w:rsidP="00D276C9">
      <w:pPr>
        <w:pStyle w:val="NENTITULL"/>
      </w:pPr>
      <w:bookmarkStart w:id="182" w:name="_Toc11068832"/>
      <w:r w:rsidRPr="00445472">
        <w:t xml:space="preserve">9.2.1 </w:t>
      </w:r>
      <w:r w:rsidR="00591820" w:rsidRPr="00445472">
        <w:t>Përmbytjet e mëparshme</w:t>
      </w:r>
      <w:bookmarkEnd w:id="182"/>
    </w:p>
    <w:p w14:paraId="4CA7F6D2" w14:textId="77777777" w:rsidR="00591820" w:rsidRPr="00445472" w:rsidRDefault="00591820" w:rsidP="00591820">
      <w:pPr>
        <w:pStyle w:val="TEKSTIIII"/>
      </w:pPr>
      <w:r w:rsidRPr="00445472">
        <w:t>I njëjti material cituar më sipër, gjithashtu raporton për përmbytje të mëparshme.</w:t>
      </w:r>
    </w:p>
    <w:p w14:paraId="62B4C4A8" w14:textId="77777777" w:rsidR="00591820" w:rsidRPr="00445472" w:rsidRDefault="00591820" w:rsidP="00591820">
      <w:pPr>
        <w:pStyle w:val="TEKSTIIII"/>
      </w:pPr>
      <w:r w:rsidRPr="00445472">
        <w:t>Burimet arkivore dhe të dhënat e mbledhura nga Instituti i Hidrometeorologjisë së Akademisë së Shkencave tregojnë se përmbytjet e mëdha janë vërejtur edhe në të kaluarën. Nga shekujt e parë para epokës së re, historianët romakë kishin dhënë dëshmi mbi përmbytjen e lumenjve Bunë dhe Drin dhe lëvizjen e drejtimit të rrjedhës së tyre një herë drejt Shkodrës dhe një herë tjetër drejt qytetit të Lezhës.</w:t>
      </w:r>
    </w:p>
    <w:p w14:paraId="4BE95039" w14:textId="237C396C" w:rsidR="00591820" w:rsidRPr="00445472" w:rsidRDefault="00591820" w:rsidP="00591820">
      <w:pPr>
        <w:pStyle w:val="TEKSTIIII"/>
      </w:pPr>
      <w:r w:rsidRPr="00445472">
        <w:t xml:space="preserve">Dëshmi interesante janë dhënë nga kronisti turk M. Sirri për përmbytjet e Shkodrës nga përmbytjet e Drinit, Bunës, Liqenit të Shkodrës dhe Kirit gjatë periudhës 1854 - 1871 (shihni Arkivat Shtetërore, Dokumenti </w:t>
      </w:r>
      <w:r w:rsidR="00B139CF" w:rsidRPr="00445472">
        <w:t>nr</w:t>
      </w:r>
      <w:r w:rsidRPr="00445472">
        <w:t>.</w:t>
      </w:r>
      <w:r w:rsidR="00B139CF" w:rsidRPr="00445472">
        <w:t xml:space="preserve"> </w:t>
      </w:r>
      <w:r w:rsidRPr="00445472">
        <w:t>1</w:t>
      </w:r>
      <w:r w:rsidR="001D340B" w:rsidRPr="00445472">
        <w:t>/</w:t>
      </w:r>
      <w:r w:rsidRPr="00445472">
        <w:t>5605).</w:t>
      </w:r>
    </w:p>
    <w:p w14:paraId="50B789D3" w14:textId="12214C8D" w:rsidR="00591820" w:rsidRPr="00445472" w:rsidRDefault="00591820" w:rsidP="00591820">
      <w:pPr>
        <w:pStyle w:val="TEKSTIIII"/>
      </w:pPr>
      <w:r w:rsidRPr="00445472">
        <w:t xml:space="preserve">Në basenin e lumenjve Bunë dhe Drin përmbytjet e tjera janë vërejtur gjatë viteve 1937, 1952, 1960, por gjithmonë </w:t>
      </w:r>
      <w:r w:rsidRPr="00360C7F">
        <w:t>me pa</w:t>
      </w:r>
      <w:r w:rsidR="00B139CF" w:rsidRPr="00360C7F">
        <w:t xml:space="preserve">bishtajore </w:t>
      </w:r>
      <w:r w:rsidRPr="00360C7F">
        <w:t>m</w:t>
      </w:r>
      <w:r w:rsidR="00B139CF" w:rsidRPr="00360C7F">
        <w:t>ë</w:t>
      </w:r>
      <w:r w:rsidRPr="00360C7F">
        <w:t xml:space="preserve"> t</w:t>
      </w:r>
      <w:r w:rsidR="00B139CF" w:rsidRPr="00360C7F">
        <w:t>ë</w:t>
      </w:r>
      <w:r w:rsidRPr="00360C7F">
        <w:t xml:space="preserve"> vogla</w:t>
      </w:r>
      <w:r w:rsidRPr="00445472">
        <w:t xml:space="preserve"> se</w:t>
      </w:r>
      <w:r w:rsidR="00B139CF" w:rsidRPr="00445472">
        <w:t xml:space="preserve"> </w:t>
      </w:r>
      <w:r w:rsidRPr="00445472">
        <w:t>sa përmbytjet e dimrit 1962-‘63</w:t>
      </w:r>
      <w:r w:rsidRPr="00445472">
        <w:rPr>
          <w:i/>
        </w:rPr>
        <w:t>.</w:t>
      </w:r>
    </w:p>
    <w:p w14:paraId="2C2F4BCE" w14:textId="77777777" w:rsidR="00591820" w:rsidRPr="00445472" w:rsidRDefault="00591820" w:rsidP="00591820">
      <w:pPr>
        <w:pStyle w:val="TEKSTIIII"/>
      </w:pPr>
      <w:r w:rsidRPr="00445472">
        <w:t>Një studim hidrologjik i Drinit të Bardhë në Kosovë</w:t>
      </w:r>
      <w:r w:rsidRPr="00445472">
        <w:rPr>
          <w:vertAlign w:val="superscript"/>
        </w:rPr>
        <w:footnoteReference w:id="180"/>
      </w:r>
      <w:r w:rsidRPr="00445472">
        <w:t xml:space="preserve"> trajtoi kryesisht hidrologjinë dhe klimën. Studimi u bazua kryesisht në të dhënat për periudhën 1952-1986.</w:t>
      </w:r>
    </w:p>
    <w:p w14:paraId="2D7BE3BF" w14:textId="7BAF44D7" w:rsidR="00591820" w:rsidRPr="005646A8" w:rsidRDefault="005646A8" w:rsidP="00591820">
      <w:pPr>
        <w:pStyle w:val="TEKSTIIII"/>
        <w:rPr>
          <w:b/>
        </w:rPr>
      </w:pPr>
      <w:bookmarkStart w:id="183" w:name="_Toc11068833"/>
      <w:r w:rsidRPr="005646A8">
        <w:rPr>
          <w:b/>
        </w:rPr>
        <w:t>9.2.2</w:t>
      </w:r>
      <w:r>
        <w:rPr>
          <w:b/>
        </w:rPr>
        <w:t xml:space="preserve"> </w:t>
      </w:r>
      <w:r w:rsidR="00591820" w:rsidRPr="005646A8">
        <w:rPr>
          <w:b/>
        </w:rPr>
        <w:t>Pasqyrë e përmbytjeve të vëzhguara</w:t>
      </w:r>
      <w:bookmarkEnd w:id="183"/>
    </w:p>
    <w:p w14:paraId="04DCDBED" w14:textId="5E19FE0C" w:rsidR="00591820" w:rsidRPr="00445472" w:rsidRDefault="00591820" w:rsidP="00591820">
      <w:pPr>
        <w:pStyle w:val="TEKSTIIII"/>
      </w:pPr>
      <w:r w:rsidRPr="00445472">
        <w:t>Përmbytj</w:t>
      </w:r>
      <w:r w:rsidR="00905530">
        <w:t>et e vëzhguara tregojnë tri</w:t>
      </w:r>
      <w:r w:rsidRPr="00445472">
        <w:t xml:space="preserve"> karakteristika kryesore; E para është se ka pasur shumë vdekje për shkak të përmbytjeve, ndonëse më rrallë në vitet e fundit sesa në të kaluarën. Ky është reflektim i përpjekjeve të autoriteteve shqiptare. Së dyti, përmbytjet shpesh shkaktojnë ndërpre</w:t>
      </w:r>
      <w:r w:rsidR="00626528" w:rsidRPr="00445472">
        <w:t>r</w:t>
      </w:r>
      <w:r w:rsidRPr="00445472">
        <w:t xml:space="preserve">je në transport me rrëshqitje të dheut, duke përkeqësuar problemet e rrugëve të përmbytura. E treta, dhe nga këndvështrimi ekonomik, ndoshta më e rëndësishmja, është përmbytja e zonave të ulëta të ujitjes afër bregut. Kjo lloj përmbytjeje mund të zgjasë për disa javë dhe ujërat e përmbytjeve mund të evakuohen vetëm nëpërmjet pompimit. </w:t>
      </w:r>
      <w:bookmarkStart w:id="184" w:name="_Toc484948082"/>
    </w:p>
    <w:p w14:paraId="27EDB5CB" w14:textId="4EA69EC3" w:rsidR="00591820" w:rsidRPr="00445472" w:rsidRDefault="00D276C9" w:rsidP="00D276C9">
      <w:pPr>
        <w:pStyle w:val="NENTITULL"/>
        <w:rPr>
          <w:sz w:val="20"/>
          <w:szCs w:val="20"/>
        </w:rPr>
      </w:pPr>
      <w:bookmarkStart w:id="185" w:name="_TOC_250021"/>
      <w:bookmarkStart w:id="186" w:name="_Toc486503420"/>
      <w:bookmarkStart w:id="187" w:name="_Toc11068834"/>
      <w:bookmarkEnd w:id="184"/>
      <w:r w:rsidRPr="00445472">
        <w:t xml:space="preserve">9.3 </w:t>
      </w:r>
      <w:r w:rsidR="00591820" w:rsidRPr="00445472">
        <w:t xml:space="preserve">Depozitimi i </w:t>
      </w:r>
      <w:bookmarkEnd w:id="185"/>
      <w:r w:rsidR="00626528" w:rsidRPr="00445472">
        <w:t>ujit</w:t>
      </w:r>
      <w:bookmarkEnd w:id="186"/>
      <w:bookmarkEnd w:id="187"/>
    </w:p>
    <w:p w14:paraId="6563E40B" w14:textId="31B9C989" w:rsidR="00591820" w:rsidRPr="00445472" w:rsidRDefault="00905530" w:rsidP="00591820">
      <w:pPr>
        <w:pStyle w:val="TEKSTIIII"/>
      </w:pPr>
      <w:bookmarkStart w:id="188" w:name="_Ref483927416"/>
      <w:r>
        <w:t>Në lumin Drin ekzistojnë tri</w:t>
      </w:r>
      <w:r w:rsidR="00591820" w:rsidRPr="00445472">
        <w:t xml:space="preserve"> diga të mëdha të ndërtuara kryesisht për prodhim energjie, por që operohen gjithashtu edhe për të minimizuar efektin në përmbytje. Aktualisht</w:t>
      </w:r>
      <w:r w:rsidR="00626528" w:rsidRPr="00445472">
        <w:t>,</w:t>
      </w:r>
      <w:r w:rsidR="00591820" w:rsidRPr="00445472">
        <w:t xml:space="preserve"> rregullat e veprimit janë ato të hartuara në vitin 1988</w:t>
      </w:r>
      <w:bookmarkEnd w:id="188"/>
      <w:r w:rsidR="00591820" w:rsidRPr="00445472">
        <w:rPr>
          <w:rStyle w:val="FootnoteReference"/>
          <w:rFonts w:ascii="Garamond" w:hAnsi="Garamond"/>
          <w:color w:val="auto"/>
        </w:rPr>
        <w:footnoteReference w:id="181"/>
      </w:r>
      <w:r w:rsidR="00591820" w:rsidRPr="00445472">
        <w:t>. Tiparet kryesore të digave janë dhënë në Tabelën 9.6.</w:t>
      </w:r>
    </w:p>
    <w:p w14:paraId="443055C9" w14:textId="10C66678" w:rsidR="00591820" w:rsidRPr="00445472" w:rsidRDefault="00591820" w:rsidP="00591820">
      <w:pPr>
        <w:pStyle w:val="TEKSTIIII"/>
      </w:pPr>
    </w:p>
    <w:p w14:paraId="7044E631" w14:textId="77777777" w:rsidR="00D276C9" w:rsidRPr="00445472" w:rsidRDefault="00D276C9" w:rsidP="00591820">
      <w:pPr>
        <w:pStyle w:val="TEKSTIIII"/>
      </w:pPr>
    </w:p>
    <w:p w14:paraId="1E3FE375" w14:textId="77777777" w:rsidR="00D276C9" w:rsidRPr="00445472" w:rsidRDefault="00D276C9" w:rsidP="00591820">
      <w:pPr>
        <w:pStyle w:val="TEKSTIIII"/>
      </w:pPr>
    </w:p>
    <w:p w14:paraId="1405CA83" w14:textId="77777777" w:rsidR="00D276C9" w:rsidRPr="00445472" w:rsidRDefault="00D276C9" w:rsidP="00591820">
      <w:pPr>
        <w:pStyle w:val="TEKSTIIII"/>
      </w:pPr>
    </w:p>
    <w:p w14:paraId="0D57C70E" w14:textId="559C2455" w:rsidR="00591820" w:rsidRPr="00445472" w:rsidRDefault="00591820" w:rsidP="00D276C9">
      <w:pPr>
        <w:pStyle w:val="NENTITULL"/>
      </w:pPr>
      <w:r w:rsidRPr="00445472">
        <w:t>Tabela 9.6: Karakteristikat kryesore të tr</w:t>
      </w:r>
      <w:r w:rsidR="00950A66">
        <w:t>i</w:t>
      </w:r>
      <w:r w:rsidRPr="00445472">
        <w:t xml:space="preserve"> digave të mëdha të hidrocentraleve në basenin ujor </w:t>
      </w:r>
      <w:r w:rsidR="007E76E3" w:rsidRPr="00445472">
        <w:t>Drin–Bunë</w:t>
      </w: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367"/>
        <w:gridCol w:w="1586"/>
        <w:gridCol w:w="1586"/>
        <w:gridCol w:w="1585"/>
        <w:gridCol w:w="1565"/>
        <w:gridCol w:w="1598"/>
      </w:tblGrid>
      <w:tr w:rsidR="00591820" w:rsidRPr="00445472" w14:paraId="667A5A14" w14:textId="77777777" w:rsidTr="00D276C9">
        <w:trPr>
          <w:jc w:val="center"/>
        </w:trPr>
        <w:tc>
          <w:tcPr>
            <w:tcW w:w="1404" w:type="dxa"/>
            <w:shd w:val="clear" w:color="auto" w:fill="D9D9D9"/>
            <w:vAlign w:val="center"/>
          </w:tcPr>
          <w:p w14:paraId="7B7C1F0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Emri</w:t>
            </w:r>
          </w:p>
        </w:tc>
        <w:tc>
          <w:tcPr>
            <w:tcW w:w="1624" w:type="dxa"/>
            <w:shd w:val="clear" w:color="auto" w:fill="D9D9D9"/>
            <w:vAlign w:val="center"/>
          </w:tcPr>
          <w:p w14:paraId="63C0340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Kapaciteti total (109 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1624" w:type="dxa"/>
            <w:shd w:val="clear" w:color="auto" w:fill="D9D9D9"/>
            <w:vAlign w:val="center"/>
          </w:tcPr>
          <w:p w14:paraId="5F99BA27"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Kapaciteti operativ</w:t>
            </w:r>
          </w:p>
          <w:p w14:paraId="2787456F"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(109 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1625" w:type="dxa"/>
            <w:shd w:val="clear" w:color="auto" w:fill="D9D9D9"/>
            <w:vAlign w:val="center"/>
          </w:tcPr>
          <w:p w14:paraId="0B7F6FF2"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Niveli maksimal (m)</w:t>
            </w:r>
          </w:p>
        </w:tc>
        <w:tc>
          <w:tcPr>
            <w:tcW w:w="1624" w:type="dxa"/>
            <w:shd w:val="clear" w:color="auto" w:fill="D9D9D9"/>
            <w:vAlign w:val="center"/>
          </w:tcPr>
          <w:p w14:paraId="32F6485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Niveli në dimër (m)</w:t>
            </w:r>
          </w:p>
        </w:tc>
        <w:tc>
          <w:tcPr>
            <w:tcW w:w="1625" w:type="dxa"/>
            <w:shd w:val="clear" w:color="auto" w:fill="D9D9D9"/>
            <w:vAlign w:val="center"/>
          </w:tcPr>
          <w:p w14:paraId="2D43137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Depozitimi I përmbytjeve</w:t>
            </w:r>
          </w:p>
          <w:p w14:paraId="014F9E58"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(109 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r>
      <w:tr w:rsidR="00591820" w:rsidRPr="00445472" w14:paraId="5658535F" w14:textId="77777777" w:rsidTr="00D276C9">
        <w:trPr>
          <w:jc w:val="center"/>
        </w:trPr>
        <w:tc>
          <w:tcPr>
            <w:tcW w:w="1404" w:type="dxa"/>
            <w:shd w:val="clear" w:color="auto" w:fill="auto"/>
            <w:vAlign w:val="center"/>
          </w:tcPr>
          <w:p w14:paraId="7EDE8F6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Fierza</w:t>
            </w:r>
          </w:p>
        </w:tc>
        <w:tc>
          <w:tcPr>
            <w:tcW w:w="1624" w:type="dxa"/>
            <w:shd w:val="clear" w:color="auto" w:fill="auto"/>
            <w:vAlign w:val="center"/>
          </w:tcPr>
          <w:p w14:paraId="3B2F409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2.70</w:t>
            </w:r>
          </w:p>
        </w:tc>
        <w:tc>
          <w:tcPr>
            <w:tcW w:w="1624" w:type="dxa"/>
            <w:shd w:val="clear" w:color="auto" w:fill="auto"/>
            <w:vAlign w:val="center"/>
          </w:tcPr>
          <w:p w14:paraId="1ECD140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2.30</w:t>
            </w:r>
          </w:p>
        </w:tc>
        <w:tc>
          <w:tcPr>
            <w:tcW w:w="1625" w:type="dxa"/>
            <w:shd w:val="clear" w:color="auto" w:fill="auto"/>
            <w:vAlign w:val="center"/>
          </w:tcPr>
          <w:p w14:paraId="3C872FF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295</w:t>
            </w:r>
          </w:p>
        </w:tc>
        <w:tc>
          <w:tcPr>
            <w:tcW w:w="1624" w:type="dxa"/>
            <w:shd w:val="clear" w:color="auto" w:fill="auto"/>
            <w:vAlign w:val="center"/>
          </w:tcPr>
          <w:p w14:paraId="29479FC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289</w:t>
            </w:r>
          </w:p>
        </w:tc>
        <w:tc>
          <w:tcPr>
            <w:tcW w:w="1625" w:type="dxa"/>
            <w:shd w:val="clear" w:color="auto" w:fill="auto"/>
            <w:vAlign w:val="center"/>
          </w:tcPr>
          <w:p w14:paraId="3BCA2E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0.400</w:t>
            </w:r>
          </w:p>
        </w:tc>
      </w:tr>
      <w:tr w:rsidR="00591820" w:rsidRPr="00445472" w14:paraId="534C7379" w14:textId="77777777" w:rsidTr="00D276C9">
        <w:trPr>
          <w:jc w:val="center"/>
        </w:trPr>
        <w:tc>
          <w:tcPr>
            <w:tcW w:w="1404" w:type="dxa"/>
            <w:shd w:val="clear" w:color="auto" w:fill="auto"/>
            <w:vAlign w:val="center"/>
          </w:tcPr>
          <w:p w14:paraId="158343D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Komani</w:t>
            </w:r>
          </w:p>
        </w:tc>
        <w:tc>
          <w:tcPr>
            <w:tcW w:w="1624" w:type="dxa"/>
            <w:shd w:val="clear" w:color="auto" w:fill="auto"/>
            <w:vAlign w:val="center"/>
          </w:tcPr>
          <w:p w14:paraId="67CF8C1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0.50</w:t>
            </w:r>
          </w:p>
        </w:tc>
        <w:tc>
          <w:tcPr>
            <w:tcW w:w="1624" w:type="dxa"/>
            <w:shd w:val="clear" w:color="auto" w:fill="auto"/>
            <w:vAlign w:val="center"/>
          </w:tcPr>
          <w:p w14:paraId="203F270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0.063</w:t>
            </w:r>
          </w:p>
        </w:tc>
        <w:tc>
          <w:tcPr>
            <w:tcW w:w="1625" w:type="dxa"/>
            <w:shd w:val="clear" w:color="auto" w:fill="auto"/>
            <w:vAlign w:val="center"/>
          </w:tcPr>
          <w:p w14:paraId="31C9000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170</w:t>
            </w:r>
          </w:p>
        </w:tc>
        <w:tc>
          <w:tcPr>
            <w:tcW w:w="1624" w:type="dxa"/>
            <w:shd w:val="clear" w:color="auto" w:fill="auto"/>
            <w:vAlign w:val="center"/>
          </w:tcPr>
          <w:p w14:paraId="0711CC4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175</w:t>
            </w:r>
          </w:p>
        </w:tc>
        <w:tc>
          <w:tcPr>
            <w:tcW w:w="1625" w:type="dxa"/>
            <w:shd w:val="clear" w:color="auto" w:fill="auto"/>
            <w:vAlign w:val="center"/>
          </w:tcPr>
          <w:p w14:paraId="50D6962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0.150</w:t>
            </w:r>
          </w:p>
        </w:tc>
      </w:tr>
      <w:tr w:rsidR="00591820" w:rsidRPr="00445472" w14:paraId="7D42C89B" w14:textId="77777777" w:rsidTr="00D276C9">
        <w:trPr>
          <w:jc w:val="center"/>
        </w:trPr>
        <w:tc>
          <w:tcPr>
            <w:tcW w:w="1404" w:type="dxa"/>
            <w:shd w:val="clear" w:color="auto" w:fill="auto"/>
            <w:vAlign w:val="center"/>
          </w:tcPr>
          <w:p w14:paraId="36F6C01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Vau i Dejës</w:t>
            </w:r>
          </w:p>
        </w:tc>
        <w:tc>
          <w:tcPr>
            <w:tcW w:w="1624" w:type="dxa"/>
            <w:shd w:val="clear" w:color="auto" w:fill="auto"/>
            <w:vAlign w:val="center"/>
          </w:tcPr>
          <w:p w14:paraId="3334627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0.580</w:t>
            </w:r>
          </w:p>
        </w:tc>
        <w:tc>
          <w:tcPr>
            <w:tcW w:w="1624" w:type="dxa"/>
            <w:shd w:val="clear" w:color="auto" w:fill="auto"/>
            <w:vAlign w:val="center"/>
          </w:tcPr>
          <w:p w14:paraId="7BB136F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0.044</w:t>
            </w:r>
          </w:p>
        </w:tc>
        <w:tc>
          <w:tcPr>
            <w:tcW w:w="1625" w:type="dxa"/>
            <w:shd w:val="clear" w:color="auto" w:fill="auto"/>
            <w:vAlign w:val="center"/>
          </w:tcPr>
          <w:p w14:paraId="589722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76</w:t>
            </w:r>
          </w:p>
        </w:tc>
        <w:tc>
          <w:tcPr>
            <w:tcW w:w="1624" w:type="dxa"/>
            <w:shd w:val="clear" w:color="auto" w:fill="auto"/>
            <w:vAlign w:val="center"/>
          </w:tcPr>
          <w:p w14:paraId="390B21F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74</w:t>
            </w:r>
          </w:p>
        </w:tc>
        <w:tc>
          <w:tcPr>
            <w:tcW w:w="1625" w:type="dxa"/>
            <w:shd w:val="clear" w:color="auto" w:fill="auto"/>
            <w:vAlign w:val="center"/>
          </w:tcPr>
          <w:p w14:paraId="7B22B33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0.075</w:t>
            </w:r>
          </w:p>
        </w:tc>
      </w:tr>
    </w:tbl>
    <w:p w14:paraId="0616CAFD" w14:textId="77777777" w:rsidR="00591820" w:rsidRPr="00445472" w:rsidRDefault="00591820" w:rsidP="00D276C9">
      <w:pPr>
        <w:pStyle w:val="TEKSTIIII"/>
      </w:pPr>
    </w:p>
    <w:p w14:paraId="3375F5F2" w14:textId="1A03C518" w:rsidR="00591820" w:rsidRPr="00445472" w:rsidRDefault="00591820" w:rsidP="00D276C9">
      <w:pPr>
        <w:pStyle w:val="TEKSTIIII"/>
      </w:pPr>
      <w:r w:rsidRPr="00445472">
        <w:t>Siç mund të shihet, rezervuari i Fierzës ka deri më tani depozitimin më të madh të tr</w:t>
      </w:r>
      <w:r w:rsidR="00950A66">
        <w:t>i</w:t>
      </w:r>
      <w:r w:rsidRPr="00445472">
        <w:t xml:space="preserve"> digave. Niveli i dhënë më lart si </w:t>
      </w:r>
      <w:r w:rsidR="00D62EDF" w:rsidRPr="00445472">
        <w:t>“</w:t>
      </w:r>
      <w:r w:rsidRPr="00445472">
        <w:t>Dimër</w:t>
      </w:r>
      <w:r w:rsidR="00D62EDF" w:rsidRPr="00445472">
        <w:t>”</w:t>
      </w:r>
      <w:r w:rsidRPr="00445472">
        <w:t xml:space="preserve"> është niveli, i cili, për aq sa është e mundur, nuk tejkalohet gjatë periudhës Tetor-Mars, Prilli është një muaj kalimtar dhe gjatë kësaj periudhe niveli lejohet të rritet në nivelin maksimal të funksionimit. Ky rregull është zhvilluar për të siguruar maksimumin e mbrojtjes nga përmbytjet në dimër, kur shumica e përmbytjeve ndodhin, por për të kapur në rezervuar shkarkimet nga muaji i fundit i shkrirjes së dëborës në pranverë dhe për të maksimizuar ruajtjen e disponueshmerise se ujit për stinën e verës.</w:t>
      </w:r>
    </w:p>
    <w:p w14:paraId="4F691AEE" w14:textId="77777777" w:rsidR="00591820" w:rsidRPr="00445472" w:rsidRDefault="00591820" w:rsidP="00D276C9">
      <w:pPr>
        <w:pStyle w:val="TEKSTIIII"/>
      </w:pPr>
      <w:r w:rsidRPr="00445472">
        <w:t>Prurjet e vlerësuara të përmbytjeve për rezervuarët e Fierzës janë: 1 në 100 vjet - 4570 m</w:t>
      </w:r>
      <w:r w:rsidRPr="00445472">
        <w:rPr>
          <w:vertAlign w:val="superscript"/>
        </w:rPr>
        <w:t>3</w:t>
      </w:r>
      <w:r w:rsidRPr="00445472">
        <w:t>/s, 1 në 1000 vjet - 6100 m</w:t>
      </w:r>
      <w:r w:rsidRPr="00445472">
        <w:rPr>
          <w:vertAlign w:val="superscript"/>
        </w:rPr>
        <w:t>3</w:t>
      </w:r>
      <w:r w:rsidRPr="00445472">
        <w:t>/s, 1 në 10000 vjet - 9600 m</w:t>
      </w:r>
      <w:r w:rsidRPr="00445472">
        <w:rPr>
          <w:vertAlign w:val="superscript"/>
        </w:rPr>
        <w:t>3</w:t>
      </w:r>
      <w:r w:rsidRPr="00445472">
        <w:t xml:space="preserve">/s. </w:t>
      </w:r>
    </w:p>
    <w:p w14:paraId="0E3B0A62" w14:textId="75543EA4" w:rsidR="00591820" w:rsidRPr="00445472" w:rsidRDefault="00591820" w:rsidP="00D276C9">
      <w:pPr>
        <w:pStyle w:val="TEKSTIIII"/>
      </w:pPr>
      <w:r w:rsidRPr="00445472">
        <w:t xml:space="preserve">Kolona e treguar si depozitim i përmbytjeve është vëllimi midis nivelit </w:t>
      </w:r>
      <w:r w:rsidR="00D62EDF" w:rsidRPr="00445472">
        <w:t>“</w:t>
      </w:r>
      <w:r w:rsidRPr="00445472">
        <w:t>dimëror</w:t>
      </w:r>
      <w:r w:rsidR="00D62EDF" w:rsidRPr="00445472">
        <w:t>”</w:t>
      </w:r>
      <w:r w:rsidRPr="00445472">
        <w:t xml:space="preserve"> dhe </w:t>
      </w:r>
      <w:r w:rsidR="00D62EDF" w:rsidRPr="00445472">
        <w:t>“</w:t>
      </w:r>
      <w:r w:rsidRPr="00445472">
        <w:t>maksimal</w:t>
      </w:r>
      <w:r w:rsidR="00D62EDF" w:rsidRPr="00445472">
        <w:t>”</w:t>
      </w:r>
      <w:r w:rsidRPr="00445472">
        <w:t>. Ky depozitim i përmbytjeve për Fierzën është ekuivalent me një rrjedhje prej 4,629 m</w:t>
      </w:r>
      <w:r w:rsidRPr="00445472">
        <w:rPr>
          <w:vertAlign w:val="superscript"/>
        </w:rPr>
        <w:t>3</w:t>
      </w:r>
      <w:r w:rsidRPr="00445472">
        <w:t>/s gjatë një periudhe 24-orëshe. Megjithatë, tunelet e shkarkimit në digë mund të shkarkojnë 2,600 m</w:t>
      </w:r>
      <w:r w:rsidRPr="00445472">
        <w:rPr>
          <w:vertAlign w:val="superscript"/>
        </w:rPr>
        <w:t>3</w:t>
      </w:r>
      <w:r w:rsidRPr="00445472">
        <w:t>/s dhe gjithashtu, për përmbytjen më të lartë, nivelet mund të rriten në 306.5 m duke i lejuar një kapacitet magazinues prej përmbytjeve deri në 1.345 109 m</w:t>
      </w:r>
      <w:r w:rsidRPr="00445472">
        <w:rPr>
          <w:vertAlign w:val="superscript"/>
        </w:rPr>
        <w:t>3</w:t>
      </w:r>
      <w:r w:rsidRPr="00445472">
        <w:t xml:space="preserve">. </w:t>
      </w:r>
    </w:p>
    <w:p w14:paraId="0A0A16FD" w14:textId="77777777" w:rsidR="00591820" w:rsidRPr="00445472" w:rsidRDefault="00591820" w:rsidP="00D276C9">
      <w:pPr>
        <w:pStyle w:val="TEKSTIIII"/>
      </w:pPr>
      <w:r w:rsidRPr="00445472">
        <w:t>Për të lejuar ruajtje më të vogla në rezervuarin e Komanit, në raport me Fierzën, në fillim të përmbytjes janë konsideruar një sërë skenarësh me nivele të ndryshme në rezervuarin e Fierzës. Metoda bazë e funksionimit të rezervuarit të Komanit është zvogëlimi i nivelit të rezervuarit të tij poshtë asaj që tregohet më lart, kur Fierza është afër mbingarkesës.</w:t>
      </w:r>
    </w:p>
    <w:p w14:paraId="4020A307" w14:textId="77777777" w:rsidR="00591820" w:rsidRPr="00445472" w:rsidRDefault="00591820" w:rsidP="00D276C9">
      <w:pPr>
        <w:pStyle w:val="TEKSTIIII"/>
      </w:pPr>
      <w:r w:rsidRPr="00445472">
        <w:t>Në rastin e Vau të Dejës, strukturat e shkarkimit në rezervuar janë të afta të shkarkojnë rrjedhën 1-në-10000-vjeçare, pas lejimit të funksionimit të Fierzës.</w:t>
      </w:r>
    </w:p>
    <w:p w14:paraId="3D36B03F" w14:textId="77777777" w:rsidR="00D276C9" w:rsidRPr="00445472" w:rsidRDefault="00D276C9" w:rsidP="00D276C9">
      <w:pPr>
        <w:pStyle w:val="TEKSTIIII"/>
      </w:pPr>
    </w:p>
    <w:p w14:paraId="3F1B2972" w14:textId="77777777" w:rsidR="00591820" w:rsidRPr="00445472" w:rsidRDefault="00591820" w:rsidP="00591820">
      <w:pPr>
        <w:jc w:val="center"/>
        <w:rPr>
          <w:rFonts w:ascii="Garamond" w:hAnsi="Garamond"/>
        </w:rPr>
      </w:pPr>
      <w:r w:rsidRPr="00445472">
        <w:rPr>
          <w:rFonts w:ascii="Garamond" w:hAnsi="Garamond"/>
          <w:noProof/>
          <w:lang w:val="en-US"/>
        </w:rPr>
        <w:drawing>
          <wp:inline distT="0" distB="0" distL="0" distR="0" wp14:anchorId="4C6E88D1" wp14:editId="47838D78">
            <wp:extent cx="5718175" cy="2419985"/>
            <wp:effectExtent l="0" t="0" r="0" b="0"/>
            <wp:docPr id="34" name="Picture 75" descr="C:\Users\PC1\Pictures\2017\2503-Drini\Vau i Dej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PC1\Pictures\2017\2503-Drini\Vau i Dejes.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18175" cy="2419985"/>
                    </a:xfrm>
                    <a:prstGeom prst="rect">
                      <a:avLst/>
                    </a:prstGeom>
                    <a:noFill/>
                    <a:ln>
                      <a:noFill/>
                    </a:ln>
                  </pic:spPr>
                </pic:pic>
              </a:graphicData>
            </a:graphic>
          </wp:inline>
        </w:drawing>
      </w:r>
    </w:p>
    <w:p w14:paraId="1011D575" w14:textId="77777777" w:rsidR="00591820" w:rsidRPr="00445472" w:rsidRDefault="00591820" w:rsidP="00D276C9">
      <w:pPr>
        <w:pStyle w:val="NENTITULL"/>
        <w:jc w:val="center"/>
      </w:pPr>
      <w:r w:rsidRPr="00445472">
        <w:t>Figura 9.2: Diga e Vau të Dejës që tregon stacionin e turbinës dhe nënstacionin elektrik</w:t>
      </w:r>
    </w:p>
    <w:p w14:paraId="17369138" w14:textId="77777777" w:rsidR="00591820" w:rsidRPr="00445472" w:rsidRDefault="00591820" w:rsidP="00D276C9">
      <w:pPr>
        <w:pStyle w:val="TEKSTIIII"/>
      </w:pPr>
      <w:r w:rsidRPr="00445472">
        <w:t xml:space="preserve">Përfundimi është se për të tri digat në Drin dhe për një periudhë kthimi 1 herë në 10,000 vjet, ka kapacitet për të trajtuar përmbytjen. </w:t>
      </w:r>
    </w:p>
    <w:p w14:paraId="236DCF29" w14:textId="77777777" w:rsidR="00591820" w:rsidRPr="00445472" w:rsidRDefault="00591820" w:rsidP="00D276C9">
      <w:pPr>
        <w:pStyle w:val="TEKSTIIII"/>
      </w:pPr>
      <w:r w:rsidRPr="00445472">
        <w:t>Gjatë ndërtimit të digave, konsiderohej mundësia e rrëshqitjes së dheut që çon në përmbytje duke tejkaluar apo dëmtuar digat. Në rastin e Fierzës u shqyrtuan dy plane të mundshme rrëshqitjeje.</w:t>
      </w:r>
    </w:p>
    <w:p w14:paraId="46B12C1D" w14:textId="77777777" w:rsidR="00591820" w:rsidRPr="00445472" w:rsidRDefault="00591820" w:rsidP="00D276C9">
      <w:pPr>
        <w:pStyle w:val="TEKSTIIII"/>
      </w:pPr>
      <w:r w:rsidRPr="00445472">
        <w:t>Kjo mund të çojë në spostim të një vëllimi të madh të ujit, duke mbushur dhe mbingarkuar digën. Rasti tjetër është në afërsi të sallës së turbinave. Ekziston një mundësi e tretë e një rrëshqitjeje menjëherë në rrjedhën e poshtme të Digës së Komanit. Në secilin rast, planet e mundshme të rrëshqitjes dhe nivelet e tokës monitorohen rregullisht dhe për momentin nuk ka arsye për shqetësim.</w:t>
      </w:r>
    </w:p>
    <w:p w14:paraId="15F634AC" w14:textId="21B56DDE" w:rsidR="00591820" w:rsidRPr="00445472" w:rsidRDefault="00591820" w:rsidP="00D276C9">
      <w:pPr>
        <w:pStyle w:val="TEKSTIIII"/>
      </w:pPr>
      <w:r w:rsidRPr="00445472">
        <w:t xml:space="preserve">Përveç digave të sipërpërmendura janë edhe 115 diga të ujitjes në basenin ujor </w:t>
      </w:r>
      <w:r w:rsidR="007E76E3" w:rsidRPr="00445472">
        <w:t>Drin–Bunë</w:t>
      </w:r>
      <w:r w:rsidRPr="00445472">
        <w:t>. Ata janë ndërtuar për mbrojtjen nga përmbytjet dhe ujitjen. Shumë prej tyre kanë një kapacitet të reduktuar për shkak të depozitimit të baltës. Disa prej tyre ishin të di</w:t>
      </w:r>
      <w:r w:rsidR="00626528" w:rsidRPr="00445472">
        <w:t>s</w:t>
      </w:r>
      <w:r w:rsidRPr="00445472">
        <w:t>en</w:t>
      </w:r>
      <w:r w:rsidR="00626528" w:rsidRPr="00445472">
        <w:t>jua</w:t>
      </w:r>
      <w:r w:rsidRPr="00445472">
        <w:t>ra keq dhe tani, për shkaqe sigurie, veprojnë me më pak se kapaciteti i plotë. Kjo zvogëlon efektivitetin e tyre për kontrollin e përmbytjeve dhe gjendja e disa prej tyre është e tillë që paraqesin problem edhe në rast r</w:t>
      </w:r>
      <w:r w:rsidR="00626528" w:rsidRPr="00445472">
        <w:t>r</w:t>
      </w:r>
      <w:r w:rsidRPr="00445472">
        <w:t>eziku nga përmbytjet</w:t>
      </w:r>
      <w:r w:rsidRPr="00445472">
        <w:rPr>
          <w:vertAlign w:val="superscript"/>
        </w:rPr>
        <w:footnoteReference w:id="182"/>
      </w:r>
      <w:r w:rsidRPr="00445472">
        <w:t xml:space="preserve">. </w:t>
      </w:r>
    </w:p>
    <w:p w14:paraId="214F5FB0" w14:textId="7A919F1B" w:rsidR="00591820" w:rsidRPr="00445472" w:rsidRDefault="00D54031" w:rsidP="00D54031">
      <w:pPr>
        <w:pStyle w:val="NENTITULL"/>
      </w:pPr>
      <w:bookmarkStart w:id="189" w:name="_Toc486503421"/>
      <w:bookmarkStart w:id="190" w:name="_Toc11068835"/>
      <w:r w:rsidRPr="00445472">
        <w:t xml:space="preserve">9.4 </w:t>
      </w:r>
      <w:r w:rsidR="00591820" w:rsidRPr="00445472">
        <w:t xml:space="preserve">Kërkesat </w:t>
      </w:r>
      <w:r w:rsidR="00626528" w:rsidRPr="00445472">
        <w:t>ligjore</w:t>
      </w:r>
      <w:bookmarkEnd w:id="189"/>
      <w:bookmarkEnd w:id="190"/>
    </w:p>
    <w:p w14:paraId="7D169510" w14:textId="1051C36D" w:rsidR="00591820" w:rsidRPr="00445472" w:rsidRDefault="00591820" w:rsidP="00D276C9">
      <w:pPr>
        <w:pStyle w:val="TEKSTIIII"/>
      </w:pPr>
      <w:bookmarkStart w:id="191" w:name="_Ref481750646"/>
      <w:r w:rsidRPr="00445472">
        <w:t>Kuadri ligjor dhe politik i Shqipërisë për menaxhimin e ujit dhe përmbytjeve është modifikuar në vitet e fundit për të korresponduar me legjislacionin evropian</w:t>
      </w:r>
      <w:r w:rsidRPr="00445472">
        <w:rPr>
          <w:vertAlign w:val="superscript"/>
        </w:rPr>
        <w:footnoteReference w:id="183"/>
      </w:r>
      <w:bookmarkEnd w:id="191"/>
      <w:r w:rsidRPr="00445472">
        <w:t>. (Përmbledhja e mëposhtme e situatës ligjore lidhur me përmbytjet në Shqipëri bazohet kryesisht në dokumentin i cili u botua në vitin 2016.) Ligji për menaxhimin e integruar të burimeve ujore transpozon direktivën kuadër evropiane të ujit në legjislacionin kombëtar. Kapitulli 10 i këtij ligji paraqet detyrimin për përgatitjen e planeve për menaxhimin e rrezikut nga përmbytjet, por nuk rregullon vlerësimin sistematik të rrezikut të përmbytjes si bazë për zhvillimin e planeve të menaxhimit të rrezikut nga përmbytjet. Në vitin 2015 Këshilli Kombëtar i Ujit miratoi vendimin nr. 4, të datës 17 shkurt 2015, mbi një propozim për miratim nga Këshilli i Ministrave, të projekt-vendimit për përmbajtjen, zhvillimin dhe zbatimin e strategjisë kombëtare të menaxhimit të burimeve ujore, planeve të menaxhimit të baseneve ujore dhe planeve të menaxhimit të rrezikut nga përmbytjet. Këto vendime përfshijnë dispozitat e Direktivës Kuadër të BE-së, veçanërisht aneksimin e tr</w:t>
      </w:r>
      <w:r w:rsidR="00950A66">
        <w:t>i</w:t>
      </w:r>
      <w:r w:rsidRPr="00445472">
        <w:t xml:space="preserve"> proçedurave dhe përmbajtjeve për zhvillimin dhe zbatimin e planeve të menaxhimit të rrezikut nga përmbytjet. Zbatimi i plotë i direktivës kuadër të BE-së pritet të arrihet në Shqipëri deri në vitin 2021.</w:t>
      </w:r>
    </w:p>
    <w:p w14:paraId="66617481" w14:textId="404C4902" w:rsidR="00591820" w:rsidRPr="00445472" w:rsidRDefault="00591820" w:rsidP="00D276C9">
      <w:pPr>
        <w:pStyle w:val="TEKSTIIII"/>
      </w:pPr>
      <w:r w:rsidRPr="00445472">
        <w:t xml:space="preserve">Disa ministri dhe institucione kombëtare janë të përfshira në menaxhimin e përmbytjeve; Ministria e Bujqësisë dhe Zhvillimit Rural, Ministria e Turizmit dhe Mjedisit, Ministria e Arsimit, Ministria e Brendshme, Ministria e Mbrojtjes, Ministria e Drejtësisë, prefekturat dhe qeveria vendore. Roli përcakton mandatin dhe përgjegjësitë e Këshillit Kombëtar të Ujërave, Agjencia e Menaxhimit të Burimeve Ujore, Këshillat e Baseneve Ujore dhe Zyrat e Administrimit të Baseneve Ujore. Këshilli përbëhet nga nëntë ministri, Zv. K/Ministri dhe drejtohet nga K/Ministri. Grupi i menaxhimit të politikës së integruar i themeluar për grupe tematike, të cilat janë: uji për njerëzit, uji për ushqim, uji për industrinë dhe uji për mjedisin. Agjencia e Menaxhimit të Burimeve Ujore është duke përgatitur programin kombëtar të sektorit, i cili do të trajtojë çështjet e ujit. Një nga këto çështje lidhet me përmbytjet. Grupi </w:t>
      </w:r>
      <w:r w:rsidR="00D62EDF" w:rsidRPr="00445472">
        <w:t>“</w:t>
      </w:r>
      <w:r w:rsidRPr="00445472">
        <w:t>ujë për ushqim</w:t>
      </w:r>
      <w:r w:rsidR="00D62EDF" w:rsidRPr="00445472">
        <w:t>”</w:t>
      </w:r>
      <w:r w:rsidRPr="00445472">
        <w:t xml:space="preserve"> ndër të tjera do të merret me përmbytjet dhe do të jetë përgjegjës për përgatitjen e Programit Kombëtar të Përmbytjeve</w:t>
      </w:r>
    </w:p>
    <w:p w14:paraId="43BF7612" w14:textId="388964BF" w:rsidR="00591820" w:rsidRPr="00445472" w:rsidRDefault="00591820" w:rsidP="00D276C9">
      <w:pPr>
        <w:pStyle w:val="TEKSTIIII"/>
      </w:pPr>
      <w:r w:rsidRPr="00445472">
        <w:t xml:space="preserve">Në vendimin numër 5 të Këshillit Kombëtar të Ujit dhe Ligjit për Ujin, Shqipëria ndahet në gjashtë Zyra të Menaxhimit të Baseneve Ujore: </w:t>
      </w:r>
      <w:r w:rsidR="007E76E3" w:rsidRPr="00445472">
        <w:t>Drin–Bunë</w:t>
      </w:r>
      <w:r w:rsidRPr="00445472">
        <w:t>, Mat, Ish</w:t>
      </w:r>
      <w:r w:rsidR="00626528" w:rsidRPr="00445472">
        <w:t>ë</w:t>
      </w:r>
      <w:r w:rsidRPr="00445472">
        <w:t xml:space="preserve">m-Erzen, Shkumbin, </w:t>
      </w:r>
      <w:r w:rsidR="007E76E3" w:rsidRPr="00445472">
        <w:t>Drin–Bunë</w:t>
      </w:r>
      <w:r w:rsidRPr="00445472">
        <w:t xml:space="preserve"> dhe Vjosë. I pari prej tyre është një basen ujor ndërkombëtar. Shqipëria ka nënshkruar marrëveshje me shtetet fqinje bazuar në Konventën e Kombeve të Bashkuara për Ujin. Këto përfshijnë;</w:t>
      </w:r>
    </w:p>
    <w:p w14:paraId="23215806" w14:textId="53F21B24" w:rsidR="00591820" w:rsidRPr="00445472" w:rsidRDefault="00684BB3" w:rsidP="00D276C9">
      <w:pPr>
        <w:pStyle w:val="TEKSTIIII"/>
      </w:pPr>
      <w:r>
        <w:t xml:space="preserve">- </w:t>
      </w:r>
      <w:r w:rsidR="00591820" w:rsidRPr="00445472">
        <w:t>Konventa mbi mbrojtjen dhe përdorimin e ujërave ndërkombëtare dhe liqeneve ndërkombëtare, e cila u ratifikua nga Shqipëria në vitin 1994 dhe nga Greqia në vitin 1996.</w:t>
      </w:r>
    </w:p>
    <w:p w14:paraId="513A9C98" w14:textId="0A0826CC" w:rsidR="00591820" w:rsidRPr="00445472" w:rsidRDefault="00684BB3" w:rsidP="00D276C9">
      <w:pPr>
        <w:pStyle w:val="TEKSTIIII"/>
      </w:pPr>
      <w:r>
        <w:t xml:space="preserve">- </w:t>
      </w:r>
      <w:r w:rsidR="00591820" w:rsidRPr="00445472">
        <w:t xml:space="preserve">Marrëveshja për komitetin e përhershëm Shqipëri-Greqi, lidhur me menaxhimin e ujërave të ëmbla të baseneve ndërkufitare, </w:t>
      </w:r>
      <w:r w:rsidR="00332549" w:rsidRPr="00445472">
        <w:t xml:space="preserve">prill </w:t>
      </w:r>
      <w:r w:rsidR="00591820" w:rsidRPr="00445472">
        <w:t>2003.</w:t>
      </w:r>
    </w:p>
    <w:p w14:paraId="509658D2" w14:textId="75C5171B" w:rsidR="00591820" w:rsidRPr="00445472" w:rsidRDefault="00684BB3" w:rsidP="00D276C9">
      <w:pPr>
        <w:pStyle w:val="TEKSTIIII"/>
      </w:pPr>
      <w:r>
        <w:t xml:space="preserve">- </w:t>
      </w:r>
      <w:r w:rsidR="00591820" w:rsidRPr="00445472">
        <w:t>Shqipëria është gjithashtu nënshkruese e Memorandumit të Mirëkuptimit për menaxhimin e basenit të zgjeruar ndërkufitar Drin, i cili u nënshkrua në Tiranë në nëntor 2011 nga ministrat nga Shqipëria, Maqedoni</w:t>
      </w:r>
      <w:r w:rsidR="00332549" w:rsidRPr="00445472">
        <w:t>a</w:t>
      </w:r>
      <w:r w:rsidR="00591820" w:rsidRPr="00445472">
        <w:t xml:space="preserve"> e Veriut, Greqia, Kosova dhe Mali i Zi. Kjo marrëveshje ka për qëllim përmirësimin e menaxhimit të burimeve ujore në nivel ndërkufitar.</w:t>
      </w:r>
    </w:p>
    <w:p w14:paraId="32DA55D1" w14:textId="25144D16" w:rsidR="00591820" w:rsidRPr="00445472" w:rsidRDefault="00684BB3" w:rsidP="00D276C9">
      <w:pPr>
        <w:pStyle w:val="TEKSTIIII"/>
      </w:pPr>
      <w:r>
        <w:t xml:space="preserve">- </w:t>
      </w:r>
      <w:r w:rsidR="00591820" w:rsidRPr="00445472">
        <w:t xml:space="preserve">Për të përmirësuar gatishmërinë dhe reagimin ndaj përmbytjeve në basenin e Drinit, Shqipëria nënshkroi </w:t>
      </w:r>
      <w:r w:rsidR="00D62EDF" w:rsidRPr="00445472">
        <w:t>“</w:t>
      </w:r>
      <w:r w:rsidR="00591820" w:rsidRPr="00445472">
        <w:t>Përfundimet për Zhvillimin dhe thellimin e Bashkëpunimit Rajonal në fushën e Menaxhimit të Krizave</w:t>
      </w:r>
      <w:r w:rsidR="00D62EDF" w:rsidRPr="00445472">
        <w:t>”</w:t>
      </w:r>
      <w:r w:rsidR="00591820" w:rsidRPr="00445472">
        <w:t xml:space="preserve"> ndërmjet republikave të Shqipërisë, Kosovës dhe Maqedonisë, i cili u nënshkrua në Shkup në maj 2011.</w:t>
      </w:r>
    </w:p>
    <w:p w14:paraId="127AA4BB" w14:textId="77777777" w:rsidR="00591820" w:rsidRPr="00445472" w:rsidRDefault="00591820" w:rsidP="00D276C9">
      <w:pPr>
        <w:pStyle w:val="TEKSTIIII"/>
      </w:pPr>
      <w:r w:rsidRPr="00445472">
        <w:t>Vlerësimi paraprak i rrezikut nga përmbytjet është aktualisht në zhvillim e sipër në Shqipëri. Në veçanti, të dhënat për përmbytjet dhe humbjet e tyre shoqëruese u grumbulluan sistematikisht nga Agjencia Kombëtare e Mbrojtjes Civile e Ministrisë së Mbrojtjes. Për më tepër, në vitin 2012 zonat e prirura nga përmbytjet u hartuan për pjesën e poshtme të lumit Bunë dhe Drin si pjesë e studimit të vlerësimit dhe menaxhimit të rrezikut nga përmbytjet pas katastrofës, mbështetur nga Agjencia Kombëtare e Mbrojtjes Civile, Ministria e Brendshme dhe Banka Botërore.</w:t>
      </w:r>
    </w:p>
    <w:p w14:paraId="060E55F4" w14:textId="697350D0" w:rsidR="00591820" w:rsidRPr="00445472" w:rsidRDefault="00591820" w:rsidP="00D276C9">
      <w:pPr>
        <w:pStyle w:val="TEKSTIIII"/>
      </w:pPr>
      <w:r w:rsidRPr="00445472">
        <w:t>Ligji</w:t>
      </w:r>
      <w:r w:rsidR="00D62EDF" w:rsidRPr="00445472">
        <w:t xml:space="preserve"> “Për </w:t>
      </w:r>
      <w:r w:rsidRPr="00445472">
        <w:t>organizimin dhe funksionimin e qeverisjes vendore</w:t>
      </w:r>
      <w:r w:rsidR="00D62EDF" w:rsidRPr="00445472">
        <w:t>”</w:t>
      </w:r>
      <w:r w:rsidRPr="00445472">
        <w:t xml:space="preserve">, nr. 8265, datë 31 korrik 2000, Neni, paragrafi 1, përcakton që </w:t>
      </w:r>
      <w:r w:rsidR="00D62EDF" w:rsidRPr="00445472">
        <w:t>“</w:t>
      </w:r>
      <w:r w:rsidRPr="00445472">
        <w:t xml:space="preserve">Bashkitë dhe komunat kanë kompetenca të plota administrative, shërbimi, investimi dhe rregullatore për funksionet e tyre ekskluzive të përcaktuara në këtë nen </w:t>
      </w:r>
      <w:r w:rsidR="00D62EDF" w:rsidRPr="00445472">
        <w:t>“</w:t>
      </w:r>
      <w:r w:rsidRPr="00445472">
        <w:t>dhe paragrafi 3 përcakton që</w:t>
      </w:r>
      <w:r w:rsidR="00D62EDF" w:rsidRPr="00445472">
        <w:t>”</w:t>
      </w:r>
      <w:r w:rsidRPr="00445472">
        <w:t xml:space="preserve"> Komunat dhe Bashkitë duhet të marrin përgjegjësi, ndër të tjera, për funksionet e mëposhtme ekskluzive: Infrastruktura dhe shërbimet publike: (A) furnizimi me ujë; (B) sistemi i kanalizimit dhe kullimit dhe kanaleve të mbrojtjes (të përmbytjes) në zonat e banuara.</w:t>
      </w:r>
      <w:r w:rsidR="00D62EDF" w:rsidRPr="00445472">
        <w:t>”</w:t>
      </w:r>
    </w:p>
    <w:p w14:paraId="6F043812" w14:textId="2247340C" w:rsidR="00591820" w:rsidRPr="00445472" w:rsidRDefault="009316B1" w:rsidP="009316B1">
      <w:pPr>
        <w:pStyle w:val="NENTITULL"/>
      </w:pPr>
      <w:bookmarkStart w:id="192" w:name="_Toc11068836"/>
      <w:r w:rsidRPr="00445472">
        <w:t xml:space="preserve">9.4.1 </w:t>
      </w:r>
      <w:r w:rsidR="00591820" w:rsidRPr="00445472">
        <w:t xml:space="preserve">Direktiva për </w:t>
      </w:r>
      <w:r w:rsidR="00C26856" w:rsidRPr="00445472">
        <w:t>përmbytjet</w:t>
      </w:r>
      <w:bookmarkEnd w:id="192"/>
    </w:p>
    <w:p w14:paraId="0FE800DB" w14:textId="11E168FB" w:rsidR="00591820" w:rsidRPr="00445472" w:rsidRDefault="00591820" w:rsidP="00D276C9">
      <w:pPr>
        <w:pStyle w:val="TEKSTIIII"/>
      </w:pPr>
      <w:r w:rsidRPr="00445472">
        <w:t>Direktiva Kuadër Evropiane e Ujit merret kryesisht me menaxhimin e baseneve të lumenjve. Në parathënien e Direktivës së Ujit përmendet se arritja e një statusi të mirë ekologjik do të kontribuojë në lehtësimin e efekteve të përmbytjeve. Gjithashtu theksohet se reduktimi i rrezikut të përmbytjeve nuk është një nga objektivat kryesor</w:t>
      </w:r>
      <w:r w:rsidR="00DA3731" w:rsidRPr="00445472">
        <w:t>ë</w:t>
      </w:r>
      <w:r w:rsidRPr="00445472">
        <w:t xml:space="preserve"> të kësaj Direktive. </w:t>
      </w:r>
    </w:p>
    <w:p w14:paraId="52757DD7" w14:textId="58C9FEEE" w:rsidR="00591820" w:rsidRPr="00445472" w:rsidRDefault="00591820" w:rsidP="00D276C9">
      <w:pPr>
        <w:pStyle w:val="TEKSTIIII"/>
      </w:pPr>
      <w:r w:rsidRPr="00445472">
        <w:t xml:space="preserve">Direktiva e Përmbytjeve (zyrtarisht </w:t>
      </w:r>
      <w:r w:rsidR="00D62EDF" w:rsidRPr="00445472">
        <w:t>“</w:t>
      </w:r>
      <w:r w:rsidRPr="00445472">
        <w:t xml:space="preserve">Direktiva 2007/60/EC e Parlamentit Evropian dhe e Këshillit e 23 tetorit 2007 mbi vlerësimin dhe menaxhimin e rreziqeve nga përmbytjet) është dokumenti kryesor i Bashkimit Evropian në lidhje me përmbytjet: </w:t>
      </w:r>
    </w:p>
    <w:p w14:paraId="0069885C" w14:textId="77777777" w:rsidR="00591820" w:rsidRPr="00445472" w:rsidRDefault="00591820" w:rsidP="00D276C9">
      <w:pPr>
        <w:pStyle w:val="TEKSTIIII"/>
      </w:pPr>
      <w:r w:rsidRPr="00445472">
        <w:t>Tre pikat e para në parathënie janë si më poshtë:</w:t>
      </w:r>
    </w:p>
    <w:p w14:paraId="6BA0F06F" w14:textId="16DE1C96" w:rsidR="00591820" w:rsidRPr="00445472" w:rsidRDefault="00684BB3" w:rsidP="00D276C9">
      <w:pPr>
        <w:pStyle w:val="TEKSTIIII"/>
      </w:pPr>
      <w:r>
        <w:t xml:space="preserve">- </w:t>
      </w:r>
      <w:r w:rsidR="00591820" w:rsidRPr="00445472">
        <w:t>Përmbytjet kanë potencial të shkaktojnë katastrofa, zhvendosje të njerëzve dhe dëmtim të mjedisit, të komprometojnë rëndë zhvillimin ekonomik dhe të minojnë aktivitetet ekonomike të Komunitetit.</w:t>
      </w:r>
    </w:p>
    <w:p w14:paraId="1834C951" w14:textId="61FB66EE" w:rsidR="00591820" w:rsidRPr="00445472" w:rsidRDefault="00684BB3" w:rsidP="00D276C9">
      <w:pPr>
        <w:pStyle w:val="TEKSTIIII"/>
      </w:pPr>
      <w:r>
        <w:t xml:space="preserve">- </w:t>
      </w:r>
      <w:r w:rsidR="00591820" w:rsidRPr="00445472">
        <w:t>Përmbytjet janë dukuri natyrore, të cilat nuk mund të parandalohen. Megjithatë, disa aktivitete njerëzore (si rritja e vendbanimeve njerëzore dhe aseteve ekonomike në zonat e përmbytura dhe reduktimi i mbajtjes së ujit natyror nga përdorimi i tokës) dhe ndryshimet klimatike kontribuojnë në rritjen e gjasave dhe ndikimit negativ të rasteve të përmbytjeve.</w:t>
      </w:r>
    </w:p>
    <w:p w14:paraId="3C1BD502" w14:textId="04A89A65" w:rsidR="00591820" w:rsidRPr="00445472" w:rsidRDefault="00684BB3" w:rsidP="00D276C9">
      <w:pPr>
        <w:pStyle w:val="TEKSTIIII"/>
      </w:pPr>
      <w:r>
        <w:t xml:space="preserve">- </w:t>
      </w:r>
      <w:r w:rsidR="00591820" w:rsidRPr="00445472">
        <w:t>Rreziku i pasojave të dëmshme ka mundësi potenciale p</w:t>
      </w:r>
      <w:r w:rsidR="00C26856" w:rsidRPr="00445472">
        <w:t>ë</w:t>
      </w:r>
      <w:r w:rsidR="00591820" w:rsidRPr="00445472">
        <w:t>r</w:t>
      </w:r>
      <w:r w:rsidR="00C26856" w:rsidRPr="00445472">
        <w:t xml:space="preserve"> t’u zvogëluar</w:t>
      </w:r>
      <w:r w:rsidR="00591820" w:rsidRPr="00445472">
        <w:t>, sidomos për shëndetin dhe jetën e njeriut, mjedisin, trashëgiminë kulturore, aktivitetin ekonomik dhe infrastrukturën e shoqëruar me përmbytjet. Megjithatë, për të qenë efektive, masat për zvogëlimin e këtyre rreziqeve duhet të koordinohen, për aq sa është e mundur, në të gjithë basenin e lumenjve.</w:t>
      </w:r>
    </w:p>
    <w:p w14:paraId="12C78A7E" w14:textId="6B6BA895" w:rsidR="00591820" w:rsidRPr="00445472" w:rsidRDefault="00591820" w:rsidP="00D276C9">
      <w:pPr>
        <w:pStyle w:val="TEKSTIIII"/>
      </w:pPr>
      <w:r w:rsidRPr="00445472">
        <w:t xml:space="preserve">Neni 2 i direktivës jep dy përkufizime shumë të rëndësishme. Kuptimi i parë i fjalës 'përmbytje' është </w:t>
      </w:r>
      <w:r w:rsidR="00D62EDF" w:rsidRPr="00445472">
        <w:t>“</w:t>
      </w:r>
      <w:r w:rsidRPr="00445472">
        <w:t>mbulimi i përkohshëm me ujë i tokës që zakonisht në kushte normale nuk mbulohet nga uji</w:t>
      </w:r>
      <w:r w:rsidR="00D62EDF" w:rsidRPr="00445472">
        <w:t>”</w:t>
      </w:r>
      <w:r w:rsidRPr="00445472">
        <w:t xml:space="preserve">. Kuptimi i dytë është </w:t>
      </w:r>
      <w:r w:rsidR="00C26856" w:rsidRPr="00445472">
        <w:t>“</w:t>
      </w:r>
      <w:r w:rsidRPr="00445472">
        <w:t>rrezik përmbytjeje</w:t>
      </w:r>
      <w:r w:rsidR="00C26856" w:rsidRPr="00445472">
        <w:t>”</w:t>
      </w:r>
      <w:r w:rsidRPr="00445472">
        <w:t xml:space="preserve">, që do të thotë </w:t>
      </w:r>
      <w:r w:rsidR="00D62EDF" w:rsidRPr="00445472">
        <w:t>“</w:t>
      </w:r>
      <w:r w:rsidRPr="00445472">
        <w:t>kombinimi i probabilitetit të një rasti përmbytjeje dhe i pasojave të mundshme negative për shëndetin e njeriut, mjedisin, trashëgiminë kulturore dhe aktivitetin ekonomik  lidhur me rastin e përmbytjes</w:t>
      </w:r>
      <w:r w:rsidR="00D62EDF" w:rsidRPr="00445472">
        <w:t>”</w:t>
      </w:r>
      <w:r w:rsidRPr="00445472">
        <w:t xml:space="preserve">. </w:t>
      </w:r>
    </w:p>
    <w:p w14:paraId="0C18B24F" w14:textId="77777777" w:rsidR="00591820" w:rsidRPr="00445472" w:rsidRDefault="00591820" w:rsidP="00D276C9">
      <w:pPr>
        <w:pStyle w:val="TEKSTIIII"/>
      </w:pPr>
      <w:r w:rsidRPr="00445472">
        <w:t>Ashtu si për Direktivën Kuadër të Ujit, një fazë e rëndësishme e parë është prodhimi i një plani Menaxhimi të Baseneve Ujore, kështu që për Direktivën e Përmbytjeve faza e parë është një vlerësim paraprak i rrezikut të përmbytjes. Kërkesa është që vlerësimi paraprak i rrezikut nga përmbytjet të bazohet në një rreth baseni ujor. Vlerësimi duhet të përfshijë në vijim:</w:t>
      </w:r>
    </w:p>
    <w:p w14:paraId="2A7D2C76" w14:textId="5337D7AD" w:rsidR="00591820" w:rsidRPr="00445472" w:rsidRDefault="00684BB3" w:rsidP="00D276C9">
      <w:pPr>
        <w:pStyle w:val="TEKSTIIII"/>
      </w:pPr>
      <w:r>
        <w:t xml:space="preserve">- </w:t>
      </w:r>
      <w:r w:rsidR="00591820" w:rsidRPr="00445472">
        <w:t>Hartat e qarkut të basenit ujor në shkallën e duhur duke përfshirë kufijtë e baseneve ujor, nënbasenet dhe, aty ku ekzistojnë, zonat bregdetare që tregojnë topografinë dhe përdorimin e tokës;</w:t>
      </w:r>
    </w:p>
    <w:p w14:paraId="1F1F6158" w14:textId="2059F086" w:rsidR="00591820" w:rsidRPr="00445472" w:rsidRDefault="00684BB3" w:rsidP="00D276C9">
      <w:pPr>
        <w:pStyle w:val="TEKSTIIII"/>
      </w:pPr>
      <w:r>
        <w:t xml:space="preserve">- </w:t>
      </w:r>
      <w:r w:rsidR="00591820" w:rsidRPr="00445472">
        <w:t xml:space="preserve">Një përshkrim të përmbytjeve që kanë ndodhur në të kaluarën dhe të cilat kanë ndikime të konsiderueshme negative në shëndetin e njeriut, mjedisin, trashëgiminë kulturore dhe aktivitetin ekonomik dhe për të cilat gjasat për ngjarje të ngjashme të ardhshme janë ende me rëndësie, përfshirë shtrirjen e përmbytjeve dhe </w:t>
      </w:r>
      <w:r w:rsidR="00C26856" w:rsidRPr="00445472">
        <w:t>sigurinë</w:t>
      </w:r>
      <w:r w:rsidR="00591820" w:rsidRPr="00445472">
        <w:t xml:space="preserve"> n</w:t>
      </w:r>
      <w:r w:rsidR="00C26856" w:rsidRPr="00445472">
        <w:t>ë</w:t>
      </w:r>
      <w:r w:rsidR="00591820" w:rsidRPr="00445472">
        <w:t xml:space="preserve"> rrugët e transportit</w:t>
      </w:r>
      <w:r w:rsidR="008F0A9F" w:rsidRPr="00445472">
        <w:t>, si dhe</w:t>
      </w:r>
      <w:r w:rsidR="00591820" w:rsidRPr="00445472">
        <w:t xml:space="preserve"> një vlerësim të ndikimeve negative që ato kanë sjellë.</w:t>
      </w:r>
    </w:p>
    <w:p w14:paraId="11E62278" w14:textId="356D1501" w:rsidR="00591820" w:rsidRPr="00445472" w:rsidRDefault="00684BB3" w:rsidP="00D276C9">
      <w:pPr>
        <w:pStyle w:val="TEKSTIIII"/>
      </w:pPr>
      <w:r>
        <w:t xml:space="preserve">- </w:t>
      </w:r>
      <w:r w:rsidR="00591820" w:rsidRPr="00445472">
        <w:t>Një përshkrim të përmbytjeve të cilat kanë ndodhur në të kaluarën, për të parashikuar efektet negative të ngjarjeve të ngjashme të ardhshme</w:t>
      </w:r>
    </w:p>
    <w:p w14:paraId="59F35B6E" w14:textId="77777777" w:rsidR="00591820" w:rsidRPr="00445472" w:rsidRDefault="00591820" w:rsidP="00D276C9">
      <w:pPr>
        <w:pStyle w:val="TEKSTIIII"/>
      </w:pPr>
      <w:r w:rsidRPr="00445472">
        <w:t>Hapi i ardhshëm është prodhimi i Hartave të Rrezikshmërisë së Përmbytjeve dhe Hartat e Rrezikut nga Përmbytjet. Hartat duhet të përcaktojnë zonat gjeografike, të cilat mund të përmbyten sipas 3 skenarëve të ndryshëm: përmbytjet me probabilitet të ulët, përmbytjet me probabilitet të mesëm dhe përmbytjet me probabilitet të lartë. Për secilin nga tre skenarët hartat duhet të tregojnë shtrirjen e përmbytjes, thellësitë e ujit ose nivelin e ujit, shpejtësinë e rrjedhës ose faktorët e tjerë me rëndësi.</w:t>
      </w:r>
    </w:p>
    <w:p w14:paraId="6807634D" w14:textId="5F7ABCF5" w:rsidR="00591820" w:rsidRPr="00445472" w:rsidRDefault="00591820" w:rsidP="00D276C9">
      <w:pPr>
        <w:pStyle w:val="TEKSTIIII"/>
      </w:pPr>
      <w:r w:rsidRPr="00445472">
        <w:t xml:space="preserve">Hapi tjetër është prodhimi i planeve të menaxhimit të rrezikut nga përmbytjet të cilat duhet të marrin parasysh aspekte të tilla si shpenzimet dhe përfitimet, shtrirjen e përmbytjeve dhe rrugët e bartjes së përmbytjeve dhe zonat të cilat kanë potencial të mbajnë ujërat e përmbytjes si pragje  natyrore. Plani i menaxhimit do të adresojë të gjitha aspektet e menaxhimit të rrezikut nga përmbytjet duke u fokusuar në përgatitjen e mbrojtjes parandaluese duke përfshirë parashikimin e përmbytjeve dhe sistemet e paralajmërimit të hershëm dhe duke marrë parasysh karakteristikat e </w:t>
      </w:r>
      <w:r w:rsidR="00C26856" w:rsidRPr="00445472">
        <w:t>veçanta</w:t>
      </w:r>
      <w:r w:rsidRPr="00445472">
        <w:t xml:space="preserve"> të basenit dhe nënbasenit të lumenjve. Planet e menaxhimit të rrezikut nga përmbytjet mund të përfshijnë gjithashtu promovimin e praktikave të qëndrueshme të përdorimit të tokës, përmirësimin e mbajtjes së ujit</w:t>
      </w:r>
      <w:r w:rsidR="008F0A9F" w:rsidRPr="00445472">
        <w:t>, si dhe</w:t>
      </w:r>
      <w:r w:rsidRPr="00445472">
        <w:t xml:space="preserve"> përmbytjen e kontrolluar të zonave të caktuara në rast të një dukurie përmbytjeje.</w:t>
      </w:r>
    </w:p>
    <w:p w14:paraId="7E7960BA" w14:textId="77777777" w:rsidR="00591820" w:rsidRPr="00445472" w:rsidRDefault="00591820" w:rsidP="00D276C9">
      <w:pPr>
        <w:pStyle w:val="TEKSTIIII"/>
      </w:pPr>
      <w:r w:rsidRPr="00445472">
        <w:t>Direktiva e përmbytjeve përfundon duke përcaktuar një afat kohor për prodhimin e vlerësimeve të rrezikut nga përmbytjet dhe hartat e rrezikut nga përmbytjet.</w:t>
      </w:r>
    </w:p>
    <w:p w14:paraId="1180C505" w14:textId="230EDFF8" w:rsidR="00591820" w:rsidRPr="00445472" w:rsidRDefault="009316B1" w:rsidP="009316B1">
      <w:pPr>
        <w:pStyle w:val="NENTITULL"/>
      </w:pPr>
      <w:bookmarkStart w:id="193" w:name="_Toc11068837"/>
      <w:r w:rsidRPr="00445472">
        <w:t xml:space="preserve">9.4.2 </w:t>
      </w:r>
      <w:r w:rsidR="00591820" w:rsidRPr="00445472">
        <w:t>Udhëzime për raportimin sipas Direktivës së Përmbytjeve</w:t>
      </w:r>
      <w:bookmarkEnd w:id="193"/>
    </w:p>
    <w:p w14:paraId="141317A0" w14:textId="77777777" w:rsidR="00591820" w:rsidRPr="00445472" w:rsidRDefault="00591820" w:rsidP="00D276C9">
      <w:pPr>
        <w:pStyle w:val="TEKSTIIII"/>
      </w:pPr>
      <w:r w:rsidRPr="00445472">
        <w:t>Përveç vetë Direktivës së Përmbytjeve. Shënimi udhëzues 29 jep këshilla dhe sqarime të mëtejshme</w:t>
      </w:r>
      <w:r w:rsidRPr="00445472">
        <w:rPr>
          <w:vertAlign w:val="superscript"/>
        </w:rPr>
        <w:footnoteReference w:id="184"/>
      </w:r>
      <w:r w:rsidRPr="00445472">
        <w:t>.</w:t>
      </w:r>
    </w:p>
    <w:p w14:paraId="3B7E218D" w14:textId="0F752798" w:rsidR="00591820" w:rsidRPr="00445472" w:rsidRDefault="00591820" w:rsidP="00D276C9">
      <w:pPr>
        <w:pStyle w:val="TEKSTIIII"/>
      </w:pPr>
      <w:r w:rsidRPr="00445472">
        <w:t>Qëllimi i deklaruar i këtij dokumenti udhëzues është të ofrojë udhëzime koherente mbi kërkesat e raportimit nga shtetet anëtare lidhur me zbatimin e Direktivës 2007/60</w:t>
      </w:r>
      <w:r w:rsidR="001D340B" w:rsidRPr="00445472">
        <w:t>/</w:t>
      </w:r>
      <w:r w:rsidRPr="00445472">
        <w:t>KE për vlerësimin dhe menaxhimin e rreziqeve nga përmbytjet. Ky dokument udhërrëfyes mund të konsiderohet si plotësues i dokumentit udhëzues 21 të raportimit sipas Direktivës Kuadër të Ujit.</w:t>
      </w:r>
    </w:p>
    <w:p w14:paraId="70DA028D" w14:textId="77777777" w:rsidR="00591820" w:rsidRPr="00445472" w:rsidRDefault="00591820" w:rsidP="00D276C9">
      <w:pPr>
        <w:pStyle w:val="TEKSTIIII"/>
      </w:pPr>
      <w:r w:rsidRPr="00445472">
        <w:t>Neni 16 i Direktivës së përmbytjeve përmban dispozitën për Komisionin Evropian që i nënshtrohet Parlamentit Evropian dhe Këshillit të Ministrave, një raport mbi zbatimin e Direktivës së përmbytjeve deri në vitin 2018, dhe çdo gjashtë vjet pas kësaj. Gjatë hartimit të këtij raporti do të merret parasysh ndikimi i ndryshimeve klimatike. Është parashikuar që raportimi të kryhet në mënyrë elektronike nëpërmjet SIUE (Sistemi Informativ i Ujit për Evropën).</w:t>
      </w:r>
    </w:p>
    <w:p w14:paraId="76A0BD60" w14:textId="34E82065" w:rsidR="00591820" w:rsidRPr="00445472" w:rsidRDefault="00591820" w:rsidP="00D276C9">
      <w:pPr>
        <w:pStyle w:val="TEKSTIIII"/>
      </w:pPr>
      <w:r w:rsidRPr="00445472">
        <w:t>Dokumenti</w:t>
      </w:r>
      <w:r w:rsidR="00C26856" w:rsidRPr="00445472">
        <w:t>,</w:t>
      </w:r>
      <w:r w:rsidRPr="00445472">
        <w:t xml:space="preserve"> gjithashtu</w:t>
      </w:r>
      <w:r w:rsidR="00C26856" w:rsidRPr="00445472">
        <w:t>,</w:t>
      </w:r>
      <w:r w:rsidRPr="00445472">
        <w:t xml:space="preserve"> përcakton skemën e raportimit të detajuar:</w:t>
      </w:r>
    </w:p>
    <w:p w14:paraId="0F8E0A48" w14:textId="34CB966A" w:rsidR="00591820" w:rsidRPr="00445472" w:rsidRDefault="00684BB3" w:rsidP="00D276C9">
      <w:pPr>
        <w:pStyle w:val="TEKSTIIII"/>
      </w:pPr>
      <w:r>
        <w:t xml:space="preserve">- </w:t>
      </w:r>
      <w:r w:rsidR="00591820" w:rsidRPr="00445472">
        <w:t xml:space="preserve">Manuali i </w:t>
      </w:r>
      <w:r w:rsidR="00C26856" w:rsidRPr="00445472">
        <w:t>përdoruesit</w:t>
      </w:r>
      <w:r w:rsidR="00591820" w:rsidRPr="00445472">
        <w:t xml:space="preserve">; </w:t>
      </w:r>
    </w:p>
    <w:p w14:paraId="572D301D" w14:textId="01562C31" w:rsidR="00591820" w:rsidRPr="00445472" w:rsidRDefault="00684BB3" w:rsidP="00D276C9">
      <w:pPr>
        <w:pStyle w:val="TEKSTIIII"/>
      </w:pPr>
      <w:r>
        <w:t xml:space="preserve">- </w:t>
      </w:r>
      <w:r w:rsidR="00591820" w:rsidRPr="00445472">
        <w:t>Udhëzues përdoruesi në skemën e raportimit;</w:t>
      </w:r>
    </w:p>
    <w:p w14:paraId="7B9BBF12" w14:textId="61E9F272" w:rsidR="00591820" w:rsidRPr="00445472" w:rsidRDefault="00684BB3" w:rsidP="00D276C9">
      <w:pPr>
        <w:pStyle w:val="TEKSTIIII"/>
      </w:pPr>
      <w:r>
        <w:t xml:space="preserve">- </w:t>
      </w:r>
      <w:r w:rsidR="00591820" w:rsidRPr="00445472">
        <w:t>Udhëzues përdoruesi për raportimin e të dhënave hapësinore;</w:t>
      </w:r>
    </w:p>
    <w:p w14:paraId="20FDFD04" w14:textId="6706E46B" w:rsidR="00591820" w:rsidRPr="00445472" w:rsidRDefault="00684BB3" w:rsidP="00D276C9">
      <w:pPr>
        <w:pStyle w:val="TEKSTIIII"/>
      </w:pPr>
      <w:r>
        <w:t xml:space="preserve">- </w:t>
      </w:r>
      <w:r w:rsidR="00591820" w:rsidRPr="00445472">
        <w:t xml:space="preserve">Udhëzime mbi </w:t>
      </w:r>
      <w:r w:rsidR="00C26856" w:rsidRPr="00445472">
        <w:t>raportimin e rrezikut nga përmbytjet dhe hartat e rrezikut</w:t>
      </w:r>
      <w:r w:rsidR="00591820" w:rsidRPr="00445472">
        <w:t>.</w:t>
      </w:r>
    </w:p>
    <w:p w14:paraId="4AE05673" w14:textId="77777777" w:rsidR="00591820" w:rsidRPr="00445472" w:rsidRDefault="00591820" w:rsidP="00D276C9">
      <w:pPr>
        <w:pStyle w:val="TEKSTIIII"/>
      </w:pPr>
      <w:r w:rsidRPr="00445472">
        <w:t>Ekziston gjithashtu një kërkesë për koordinim midis zhvillimit të planeve të menaxhimit të basenit ujore sipas Direktivës Kuadër të Ujit dhe planeve të menaxhimit të rrezikut nga përmbytjet sipas Direktivës së Përmbytjeve. Ato konsiderohen elemente të menaxhimit të integruar të baseneve ujore. Koordinimi në veçanti kërkon:</w:t>
      </w:r>
    </w:p>
    <w:p w14:paraId="1B614502" w14:textId="55CC8BD4" w:rsidR="00591820" w:rsidRPr="00445472" w:rsidRDefault="00684BB3" w:rsidP="00D276C9">
      <w:pPr>
        <w:pStyle w:val="TEKSTIIII"/>
      </w:pPr>
      <w:r>
        <w:t xml:space="preserve">- </w:t>
      </w:r>
      <w:r w:rsidR="00591820" w:rsidRPr="00445472">
        <w:t xml:space="preserve">Zhvillimi i hartave të rrezikshmërisë nga përmbytjet dhe hartat e rrezikut nga përmbytjet dhe shqyrtimet pasuese; </w:t>
      </w:r>
    </w:p>
    <w:p w14:paraId="7DA11F49" w14:textId="0E75BC7C" w:rsidR="00591820" w:rsidRPr="00445472" w:rsidRDefault="00684BB3" w:rsidP="00D276C9">
      <w:pPr>
        <w:pStyle w:val="TEKSTIIII"/>
      </w:pPr>
      <w:r>
        <w:t xml:space="preserve">- </w:t>
      </w:r>
      <w:r w:rsidR="00591820" w:rsidRPr="00445472">
        <w:t>Zhvillimi i planeve të menaxhimit të rrezikut nga përmbytjet dhe shqyrtimet pasuese;</w:t>
      </w:r>
    </w:p>
    <w:p w14:paraId="293A3140" w14:textId="231D395B" w:rsidR="00591820" w:rsidRPr="00445472" w:rsidRDefault="00684BB3" w:rsidP="00D276C9">
      <w:pPr>
        <w:pStyle w:val="TEKSTIIII"/>
      </w:pPr>
      <w:r>
        <w:t xml:space="preserve">- </w:t>
      </w:r>
      <w:r w:rsidR="00591820" w:rsidRPr="00445472">
        <w:t xml:space="preserve">Përfshirja aktive e të gjitha palëve të interesuara për </w:t>
      </w:r>
      <w:r w:rsidR="00B139CF" w:rsidRPr="00445472">
        <w:t>t’u</w:t>
      </w:r>
      <w:r w:rsidR="00591820" w:rsidRPr="00445472">
        <w:t xml:space="preserve"> koordinuar, sipas rastit, me përfshirjen aktive të palëve të interesuara sipas Direktivës Kuadër të Ujit.</w:t>
      </w:r>
    </w:p>
    <w:p w14:paraId="3880364C" w14:textId="77777777" w:rsidR="00591820" w:rsidRPr="00445472" w:rsidRDefault="00591820" w:rsidP="00D276C9">
      <w:pPr>
        <w:pStyle w:val="TEKSTIIII"/>
      </w:pPr>
      <w:r w:rsidRPr="00445472">
        <w:t>Raportimi duhet gjithashtu që të marrë parasysh Direktivën INSPIRE 2007/2/KE  (infrastruktura e informacionit hapësinor në komunitetin evropian). Frymëzimi bazohet në një numër parimesh të përbashkëta:</w:t>
      </w:r>
    </w:p>
    <w:p w14:paraId="29AFD77B" w14:textId="332E1CC5" w:rsidR="00591820" w:rsidRPr="00445472" w:rsidRDefault="00684BB3" w:rsidP="00D276C9">
      <w:pPr>
        <w:pStyle w:val="TEKSTIIII"/>
      </w:pPr>
      <w:r>
        <w:t xml:space="preserve">- </w:t>
      </w:r>
      <w:r w:rsidR="00591820" w:rsidRPr="00445472">
        <w:t>Të dhënat duhet të grumbullohen vetëm një herë dhe ruhen aty ku mund të mbahen në mënyrë më efektive;</w:t>
      </w:r>
    </w:p>
    <w:p w14:paraId="59EA434D" w14:textId="0B127AB3" w:rsidR="00591820" w:rsidRPr="00445472" w:rsidRDefault="00684BB3" w:rsidP="00D276C9">
      <w:pPr>
        <w:pStyle w:val="TEKSTIIII"/>
        <w:rPr>
          <w:sz w:val="15"/>
        </w:rPr>
      </w:pPr>
      <w:r>
        <w:t xml:space="preserve">- </w:t>
      </w:r>
      <w:r w:rsidR="00591820" w:rsidRPr="00445472">
        <w:t>Duhet të kombinohen informatat hapësinore nga burime të ndryshme në Evropë dhe të ndahen me shumë përdorues dhe aplikacione;</w:t>
      </w:r>
    </w:p>
    <w:p w14:paraId="0B24D4F7" w14:textId="5EF9E34B" w:rsidR="00591820" w:rsidRPr="00445472" w:rsidRDefault="00684BB3" w:rsidP="00D276C9">
      <w:pPr>
        <w:pStyle w:val="TEKSTIIII"/>
        <w:rPr>
          <w:sz w:val="15"/>
        </w:rPr>
      </w:pPr>
      <w:r>
        <w:t xml:space="preserve">- </w:t>
      </w:r>
      <w:r w:rsidR="00591820" w:rsidRPr="00445472">
        <w:t>Informacioni duhet të ndërrohet në nivele dhe shkallë të ndryshme;</w:t>
      </w:r>
    </w:p>
    <w:p w14:paraId="1F0AC21A" w14:textId="33918BEA" w:rsidR="00591820" w:rsidRPr="00445472" w:rsidRDefault="00684BB3" w:rsidP="00D276C9">
      <w:pPr>
        <w:pStyle w:val="TEKSTIIII"/>
        <w:rPr>
          <w:sz w:val="15"/>
        </w:rPr>
      </w:pPr>
      <w:r>
        <w:t xml:space="preserve">- </w:t>
      </w:r>
      <w:r w:rsidR="00591820" w:rsidRPr="00445472">
        <w:t>Informacioni gjeografik në të gjitha nivelet duhet të jetë i gatshëm dhe transparent;</w:t>
      </w:r>
    </w:p>
    <w:p w14:paraId="7AC52606" w14:textId="71B15769" w:rsidR="00591820" w:rsidRPr="00445472" w:rsidRDefault="00684BB3" w:rsidP="00D276C9">
      <w:pPr>
        <w:pStyle w:val="TEKSTIIII"/>
      </w:pPr>
      <w:r>
        <w:t xml:space="preserve">- </w:t>
      </w:r>
      <w:r w:rsidR="00591820" w:rsidRPr="00445472">
        <w:t>Duhet të jetë e lehtë të gjendet informacioni gjeografik dhe se si ai mund të përdoret.</w:t>
      </w:r>
    </w:p>
    <w:p w14:paraId="7850B86D" w14:textId="1B81A3E8" w:rsidR="00591820" w:rsidRPr="00445472" w:rsidRDefault="00591820" w:rsidP="00D276C9">
      <w:pPr>
        <w:pStyle w:val="TEKSTIIII"/>
      </w:pPr>
      <w:r w:rsidRPr="00445472">
        <w:t xml:space="preserve">Sigurimi i këtyre të dhënave dhe informacionit do </w:t>
      </w:r>
      <w:r w:rsidR="001F68B2" w:rsidRPr="00445472">
        <w:t>t’i</w:t>
      </w:r>
      <w:r w:rsidRPr="00445472">
        <w:t xml:space="preserve"> mundësojë Komisionit Evropian të sigurojë që të gjitha rolet administrative të kërkuara nga Direktiva e përmbytjeve janë përmbushur brenda rrethit të basenit ujor ose njësisë tjetër të menaxhimit Të dhënat që mund të përdoren për prezantim në Komisionin Evropian do të ofrohen për publikun përmes </w:t>
      </w:r>
      <w:r w:rsidRPr="00445472">
        <w:rPr>
          <w:i/>
        </w:rPr>
        <w:t>Wise</w:t>
      </w:r>
      <w:r w:rsidRPr="00445472">
        <w:t>.</w:t>
      </w:r>
    </w:p>
    <w:p w14:paraId="4BC01E5D" w14:textId="0CB2E5AB" w:rsidR="00591820" w:rsidRPr="00445472" w:rsidRDefault="009316B1" w:rsidP="009316B1">
      <w:pPr>
        <w:pStyle w:val="NENTITULL"/>
      </w:pPr>
      <w:bookmarkStart w:id="194" w:name="_Toc486503422"/>
      <w:bookmarkStart w:id="195" w:name="_TOC_250019"/>
      <w:bookmarkStart w:id="196" w:name="_Toc11068838"/>
      <w:r w:rsidRPr="00445472">
        <w:t xml:space="preserve">9.5 </w:t>
      </w:r>
      <w:r w:rsidR="00591820" w:rsidRPr="00445472">
        <w:t>Dokumenti Burimor për Grupin e Punës për Përmbytjet mbi Menaxhimin e riskut të Përmbytjeve</w:t>
      </w:r>
      <w:bookmarkEnd w:id="194"/>
      <w:bookmarkEnd w:id="195"/>
      <w:bookmarkEnd w:id="196"/>
    </w:p>
    <w:p w14:paraId="2459BDDD" w14:textId="77777777" w:rsidR="00591820" w:rsidRPr="00445472" w:rsidRDefault="00591820" w:rsidP="00D276C9">
      <w:pPr>
        <w:pStyle w:val="TEKSTIIII"/>
      </w:pPr>
      <w:r w:rsidRPr="00445472">
        <w:t>Udhëzime të mëtejshme mbi aspektin ekonomik të zbatimit të Direktivës së Përmbytjeve jepen në një raport të Grupit Punues F të Strategjisë së Implementimit të Përbashkët për Direktivën Kuadër të Ujit.</w:t>
      </w:r>
      <w:r w:rsidRPr="00445472">
        <w:rPr>
          <w:rStyle w:val="FootnoteReference"/>
          <w:rFonts w:ascii="Garamond" w:hAnsi="Garamond"/>
          <w:color w:val="auto"/>
        </w:rPr>
        <w:footnoteReference w:id="185"/>
      </w:r>
      <w:r w:rsidRPr="00445472">
        <w:t xml:space="preserve"> Ky raport thekson se Direktiva e Përmbytjeve dhe Direktiva Kuadër e Uji t bëjnë referenca eksplicite dhe të nënkuptuara në vlerësimet ekonomike. Zhvillon konceptin e rrezikut si kombinim i rrezikut nga përmbytjet dhe pasojave të përmbytjeve.</w:t>
      </w:r>
    </w:p>
    <w:p w14:paraId="21D5863A" w14:textId="1C8D710F" w:rsidR="00591820" w:rsidRPr="00445472" w:rsidRDefault="00591820" w:rsidP="00D276C9">
      <w:pPr>
        <w:pStyle w:val="TEKSTIIII"/>
      </w:pPr>
      <w:r w:rsidRPr="00445472">
        <w:t xml:space="preserve">Dokumenti nënvizon nevojën që shtetet anëtare të marrin një qasje të integruar ndaj menaxhimit të përmbytjeve. Vëmendje e veçantë duhet </w:t>
      </w:r>
      <w:r w:rsidR="001F68B2" w:rsidRPr="00445472">
        <w:t>t’i</w:t>
      </w:r>
      <w:r w:rsidRPr="00445472">
        <w:t xml:space="preserve"> kushtohet përdorimit të sistemeve të parashikimit dhe paralajmërimit të përmbytjeve, bashkëpunimit dhe shkëmbimit të informacionit ndërmjet menaxhimit të ujërave dhe menaxhimit të katastrofave, edhe në një kontekst ndërkombëtar, për përdorimin gjithnjë e më të madh të policave të siguracio</w:t>
      </w:r>
      <w:r w:rsidR="00034FBB">
        <w:t>nit  për fatkeqësitë me prime të</w:t>
      </w:r>
      <w:r w:rsidRPr="00445472">
        <w:t xml:space="preserve"> mbështetura në vlerësimin e rrezikut. Një konkluzion i rëndësishëm i raportit ishte se vlerësimet ekonomike mund të ofronin mekanizma për kompensimin e efekteve ndërkufitare në lidhje me principalin e solidaritetit dhe bashkëpunimi ndërkufitar duhet të mbështetet nga fondet e duhura. Ndikimi i ndryshimeve klimatike mbi këto çështje duhet gjithashtu të vlerësohet.</w:t>
      </w:r>
    </w:p>
    <w:p w14:paraId="178B28BA" w14:textId="2DAF2770" w:rsidR="00591820" w:rsidRPr="00445472" w:rsidRDefault="00591820" w:rsidP="00D276C9">
      <w:pPr>
        <w:pStyle w:val="TEKSTIIII"/>
      </w:pPr>
      <w:r w:rsidRPr="00445472">
        <w:t xml:space="preserve">Paragrafi 18 i në parathënien e Direktivës së Përmbytjeve thekson se </w:t>
      </w:r>
      <w:r w:rsidR="00D62EDF" w:rsidRPr="00445472">
        <w:t>“</w:t>
      </w:r>
      <w:r w:rsidRPr="00445472">
        <w:t>Ekziston një sfidë e rëndësishme për të arritur ekuilibrin midis krijimit të metodologjive që lejojnë një vlerësim të fuqishëm të masave alternative, ndërsa në të njëjtën kohë nuk janë tepër të kushtueshme, teknike ose komplekse për palët e interesuara. Kjo nënkupton që kuadri i vendimit për vlerësimin dhe prioritizimin e masave për menaxhimin e rrezikut nga përmbytjet dhe hartimi i planeve të menaxhimit të rrezikut nga përmbytjet duhet të mbahen relativisht të thjeshta edhe pse ende lejojnë një vlerësim të qëndrueshëm.</w:t>
      </w:r>
    </w:p>
    <w:p w14:paraId="50A63040" w14:textId="77777777" w:rsidR="00591820" w:rsidRPr="00445472" w:rsidRDefault="00591820" w:rsidP="00D276C9">
      <w:pPr>
        <w:pStyle w:val="TEKSTIIII"/>
      </w:pPr>
      <w:r w:rsidRPr="00445472">
        <w:t>Raporti identifikon fazat kryesore në vlerësimin ekonomik të masave për zbutjen e përmbytjeve.</w:t>
      </w:r>
    </w:p>
    <w:p w14:paraId="1295E86F" w14:textId="303DE16B" w:rsidR="00591820" w:rsidRPr="00445472" w:rsidRDefault="00393681" w:rsidP="00D276C9">
      <w:pPr>
        <w:pStyle w:val="TEKSTIIII"/>
      </w:pPr>
      <w:r>
        <w:t xml:space="preserve">- </w:t>
      </w:r>
      <w:r w:rsidR="00591820" w:rsidRPr="00445472">
        <w:t>Ndërtimi i një baze të përshtatshme. Kjo është situata aktuale kundër së cilës mund të krahasohen planet e menaxhimit të reduktimit më të madh të përmbytjeve në të ardhmen.</w:t>
      </w:r>
    </w:p>
    <w:p w14:paraId="1C02B45B" w14:textId="50FDA5B4" w:rsidR="00591820" w:rsidRPr="00445472" w:rsidRDefault="00393681" w:rsidP="00D276C9">
      <w:pPr>
        <w:pStyle w:val="TEKSTIIII"/>
      </w:pPr>
      <w:r>
        <w:t xml:space="preserve">- </w:t>
      </w:r>
      <w:r w:rsidR="00591820" w:rsidRPr="00445472">
        <w:t>Numërimi i humbjeve ekonomike. Duhet të bëhet një vlerësim financiar i ndikimeve të masave të reduktimit të rrezikut nga përmbytjet të cilat gjithashtu duhet të marrin parasysh ndikimet e paprekshme.</w:t>
      </w:r>
    </w:p>
    <w:p w14:paraId="2ECDCC38" w14:textId="2DCAD072" w:rsidR="00591820" w:rsidRPr="00445472" w:rsidRDefault="00393681" w:rsidP="00D276C9">
      <w:pPr>
        <w:pStyle w:val="TEKSTIIII"/>
      </w:pPr>
      <w:r>
        <w:t xml:space="preserve">- </w:t>
      </w:r>
      <w:r w:rsidR="00591820" w:rsidRPr="00445472">
        <w:t xml:space="preserve">Analiza e ndjeshmërisë dhe pasigurisë. Kjo duhet të përdoret për të identifikuar parametrat kritikë. Ai është një parametër për të cilin një ndryshim i vogël në vlerën e tij ndikon relativisht në performancën e një mase apo </w:t>
      </w:r>
      <w:r w:rsidR="00554D3B">
        <w:t>në</w:t>
      </w:r>
      <w:r w:rsidR="00591820" w:rsidRPr="00445472">
        <w:t xml:space="preserve"> vet</w:t>
      </w:r>
      <w:r w:rsidR="00554D3B">
        <w:t>ë</w:t>
      </w:r>
      <w:r w:rsidR="00591820" w:rsidRPr="00445472">
        <w:t xml:space="preserve"> planin e menaxhimit të përmbytjeve</w:t>
      </w:r>
    </w:p>
    <w:p w14:paraId="28204CEC" w14:textId="58AB6806" w:rsidR="00591820" w:rsidRPr="00445472" w:rsidRDefault="00393681" w:rsidP="00D276C9">
      <w:pPr>
        <w:pStyle w:val="TEKSTIIII"/>
      </w:pPr>
      <w:r>
        <w:t xml:space="preserve">- </w:t>
      </w:r>
      <w:r w:rsidR="00591820" w:rsidRPr="00445472">
        <w:t>Pasojat e përmbytjeve në klasifikim. Direktiva e përmbytjeve kërkon vlerësimin për llojet e ndryshme të ndikimit: ekonomike, sociale, mjedisore dhe kulturore.</w:t>
      </w:r>
    </w:p>
    <w:p w14:paraId="7A33C5A2" w14:textId="42C29A60" w:rsidR="00591820" w:rsidRPr="00445472" w:rsidRDefault="00393681" w:rsidP="00D276C9">
      <w:pPr>
        <w:pStyle w:val="TEKSTIIII"/>
      </w:pPr>
      <w:r>
        <w:t xml:space="preserve">- </w:t>
      </w:r>
      <w:r w:rsidR="00591820" w:rsidRPr="00445472">
        <w:t>Të dhënat e rrezikut nga përmbytja. Të dhënat e rrezikut nga përmbytjet mund të modelohen me anë të modelimit hidrologjik dhe hidraulik ose mund të bazohen në vëzhgime. Analiza kosto-përfitim është e nevojshme të merren në konsideratë pasojat e një numri të ngjarjeve të përmbytjeve me frekuenca të ndryshme të ndodhjes.</w:t>
      </w:r>
    </w:p>
    <w:p w14:paraId="2F31D821" w14:textId="77777777" w:rsidR="00591820" w:rsidRPr="00445472" w:rsidRDefault="00591820" w:rsidP="00D276C9">
      <w:pPr>
        <w:pStyle w:val="TEKSTIIII"/>
      </w:pPr>
      <w:r w:rsidRPr="00445472">
        <w:t>Masat për reduktimin e rrezikut nga përmbytjet mund të konsiderohen nën titujt vijues:</w:t>
      </w:r>
    </w:p>
    <w:p w14:paraId="263D42A1" w14:textId="3EA939CE" w:rsidR="00591820" w:rsidRPr="00445472" w:rsidRDefault="00393681" w:rsidP="00D276C9">
      <w:pPr>
        <w:pStyle w:val="TEKSTIIII"/>
      </w:pPr>
      <w:r>
        <w:t xml:space="preserve">- </w:t>
      </w:r>
      <w:r w:rsidR="00591820" w:rsidRPr="00445472">
        <w:t>Nuk ka veprim</w:t>
      </w:r>
    </w:p>
    <w:p w14:paraId="1731EFC2" w14:textId="7D1B6102" w:rsidR="00591820" w:rsidRPr="00445472" w:rsidRDefault="00393681" w:rsidP="00D276C9">
      <w:pPr>
        <w:pStyle w:val="TEKSTIIII"/>
      </w:pPr>
      <w:r>
        <w:t xml:space="preserve">- </w:t>
      </w:r>
      <w:r w:rsidR="00591820" w:rsidRPr="00445472">
        <w:t>Parandalimi: Shmangia, largimi ose zhvendosja, reduktimi, parandalimi.</w:t>
      </w:r>
    </w:p>
    <w:p w14:paraId="71C7B413" w14:textId="1E658D61" w:rsidR="00591820" w:rsidRPr="00445472" w:rsidRDefault="00393681" w:rsidP="00D276C9">
      <w:pPr>
        <w:pStyle w:val="TEKSTIIII"/>
      </w:pPr>
      <w:r>
        <w:t xml:space="preserve">- </w:t>
      </w:r>
      <w:r w:rsidR="00591820" w:rsidRPr="00445472">
        <w:t xml:space="preserve">Mbrojtja: Menaxhimi i </w:t>
      </w:r>
      <w:r w:rsidR="00C26856" w:rsidRPr="00445472">
        <w:t>përmbytjeve</w:t>
      </w:r>
      <w:r w:rsidR="00591820" w:rsidRPr="00445472">
        <w:t xml:space="preserve"> natyrore</w:t>
      </w:r>
      <w:r w:rsidR="001D340B" w:rsidRPr="00445472">
        <w:t>/</w:t>
      </w:r>
      <w:r w:rsidR="00C26856" w:rsidRPr="00445472">
        <w:t>menaxhimi</w:t>
      </w:r>
      <w:r w:rsidR="00591820" w:rsidRPr="00445472">
        <w:t xml:space="preserve"> i shkarkimeve dhe ujërave të mbledhura, rregullimi i p</w:t>
      </w:r>
      <w:r w:rsidR="00C26856" w:rsidRPr="00445472">
        <w:t>r</w:t>
      </w:r>
      <w:r w:rsidR="00591820" w:rsidRPr="00445472">
        <w:t>urj</w:t>
      </w:r>
      <w:r w:rsidR="00034FBB">
        <w:t>es së ujit, punime të rrjetit të</w:t>
      </w:r>
      <w:r w:rsidR="00591820" w:rsidRPr="00445472">
        <w:t xml:space="preserve"> kanaleve, bregdetit dhe rrafshit të </w:t>
      </w:r>
      <w:r w:rsidR="00C26856" w:rsidRPr="00445472">
        <w:t>përmbytjes</w:t>
      </w:r>
      <w:r w:rsidR="00591820" w:rsidRPr="00445472">
        <w:t>, menaxhimi i ujërave sipërfaqësorë, mbrojtje të tjera.</w:t>
      </w:r>
    </w:p>
    <w:p w14:paraId="15542B80" w14:textId="38ED7B42" w:rsidR="00591820" w:rsidRPr="00445472" w:rsidRDefault="00393681" w:rsidP="00D276C9">
      <w:pPr>
        <w:pStyle w:val="TEKSTIIII"/>
      </w:pPr>
      <w:r>
        <w:t xml:space="preserve">- </w:t>
      </w:r>
      <w:r w:rsidR="00591820" w:rsidRPr="00445472">
        <w:t>Gatishmëria: Parashikimi dhe paralajmërimi i përmbytjes, Planifikimi i reagimit të ngjarjeve të emergjencës, Planifikimi i emergjencave, Ndërgjegjësimi i publikut dhe gatishmëria, Përgatitjet e tjera.</w:t>
      </w:r>
    </w:p>
    <w:p w14:paraId="591584DF" w14:textId="099E7596" w:rsidR="00591820" w:rsidRPr="00445472" w:rsidRDefault="00393681" w:rsidP="00D276C9">
      <w:pPr>
        <w:pStyle w:val="TEKSTIIII"/>
      </w:pPr>
      <w:r>
        <w:t xml:space="preserve">- </w:t>
      </w:r>
      <w:r w:rsidR="00591820" w:rsidRPr="00445472">
        <w:t>Rikuperimi dhe Rishikimi: Rikuperimi individual dhe shoqëror, Rimëkëmbja e mjedisit, të tjera rikuperime dhe rishikime.</w:t>
      </w:r>
    </w:p>
    <w:p w14:paraId="299741C5" w14:textId="77777777" w:rsidR="00591820" w:rsidRPr="00445472" w:rsidRDefault="00591820" w:rsidP="00D276C9">
      <w:pPr>
        <w:pStyle w:val="TEKSTIIII"/>
      </w:pPr>
      <w:r w:rsidRPr="00445472">
        <w:t>Të gjitha këto duhet të çojnë në analizën kosto-përfitim. Raporti argumenton se analiza kosto përfitim siç përdoret në ekonominë e mirëqenies përshtatet më së miri për të krahasuar alternativa krejtësisht të ndryshme; Kostot dhe përfitimet e shprehura në të njëjtën njësi: paratë. Nisur nga kjo, shpesh ka kundërshtim ndaj përdorimit të analizës kosto-përfitim, duke qenë se është e vështirë të shprehen efekte të caktuara në terma monetarë. Mund të duhet të merret në konsideratë qasje alternative si analiza kosto efektive, analiza me shumë kritere dhe analiza kosto-përfitim e zgjeruar.</w:t>
      </w:r>
    </w:p>
    <w:p w14:paraId="11EA5B08" w14:textId="462189EB" w:rsidR="00591820" w:rsidRPr="00445472" w:rsidRDefault="009316B1" w:rsidP="009316B1">
      <w:pPr>
        <w:pStyle w:val="NENTITULL"/>
      </w:pPr>
      <w:bookmarkStart w:id="197" w:name="_Toc486503423"/>
      <w:bookmarkStart w:id="198" w:name="_TOC_250018"/>
      <w:bookmarkStart w:id="199" w:name="_Toc484948088"/>
      <w:bookmarkStart w:id="200" w:name="_Toc485635130"/>
      <w:bookmarkStart w:id="201" w:name="_Toc11068839"/>
      <w:r w:rsidRPr="00445472">
        <w:t xml:space="preserve">9.6 </w:t>
      </w:r>
      <w:r w:rsidR="00591820" w:rsidRPr="00445472">
        <w:t>Reagimi ndaj emergjencave</w:t>
      </w:r>
      <w:bookmarkEnd w:id="197"/>
      <w:bookmarkEnd w:id="198"/>
      <w:bookmarkEnd w:id="199"/>
      <w:bookmarkEnd w:id="200"/>
      <w:bookmarkEnd w:id="201"/>
    </w:p>
    <w:p w14:paraId="66B2EFFC" w14:textId="56724289" w:rsidR="00591820" w:rsidRPr="00445472" w:rsidRDefault="00591820" w:rsidP="00D276C9">
      <w:pPr>
        <w:pStyle w:val="TEKSTIIII"/>
      </w:pPr>
      <w:r w:rsidRPr="00445472">
        <w:t xml:space="preserve">Një përmbledhje e përgjithshme e situatës së reagimit ndaj emergjencave në Shqipëri jepet nga </w:t>
      </w:r>
      <w:r w:rsidR="00C26856" w:rsidRPr="00445472">
        <w:t>“</w:t>
      </w:r>
      <w:r w:rsidRPr="00445472">
        <w:t>Udhëzuesi – Mbrojtja Civile</w:t>
      </w:r>
      <w:r w:rsidR="00C26856" w:rsidRPr="00445472">
        <w:t>”</w:t>
      </w:r>
      <w:r w:rsidRPr="00445472">
        <w:t xml:space="preserve"> e cila është pjesë e Drejtorisë për </w:t>
      </w:r>
      <w:r w:rsidR="00D62EDF" w:rsidRPr="00445472">
        <w:t>“</w:t>
      </w:r>
      <w:r w:rsidRPr="00445472">
        <w:t>Ndihmën Humanitare dhe Drejtorinë e Mbrojtjes Civile</w:t>
      </w:r>
      <w:r w:rsidR="00D62EDF" w:rsidRPr="00445472">
        <w:t>”</w:t>
      </w:r>
      <w:r w:rsidRPr="00445472">
        <w:t xml:space="preserve"> të Komisionit Evropian</w:t>
      </w:r>
      <w:r w:rsidRPr="00445472">
        <w:rPr>
          <w:vertAlign w:val="superscript"/>
        </w:rPr>
        <w:footnoteReference w:id="186"/>
      </w:r>
      <w:r w:rsidRPr="00445472">
        <w:t xml:space="preserve">. </w:t>
      </w:r>
    </w:p>
    <w:p w14:paraId="79AD8B95" w14:textId="786F6545" w:rsidR="00591820" w:rsidRPr="00445472" w:rsidRDefault="00591820" w:rsidP="00D276C9">
      <w:pPr>
        <w:pStyle w:val="TEKSTIIII"/>
      </w:pPr>
      <w:r w:rsidRPr="00445472">
        <w:t>Agjencia Kombëtare e Mbrojtjes Civile është pjesë e Ministrisë së</w:t>
      </w:r>
      <w:r w:rsidR="00C26856" w:rsidRPr="00445472">
        <w:t xml:space="preserve"> </w:t>
      </w:r>
      <w:r w:rsidRPr="00445472">
        <w:t>Mbrojtjes. U themelua sipas ligjit Shqiptar nr. 45/2019</w:t>
      </w:r>
      <w:r w:rsidR="00D62EDF" w:rsidRPr="00445472">
        <w:t xml:space="preserve">, “Për </w:t>
      </w:r>
      <w:r w:rsidRPr="00445472">
        <w:t>mbrojtjen civile</w:t>
      </w:r>
      <w:r w:rsidR="00D62EDF" w:rsidRPr="00445472">
        <w:t>”</w:t>
      </w:r>
      <w:r w:rsidRPr="00445472">
        <w:t>, dhe udhëhiqet nga Plani Kombëtar i Emergjencave Civile Kombëtare i datës 3 dhjetor 2004. Në përmbledhje, qëllimet e këtij ligji janë:</w:t>
      </w:r>
    </w:p>
    <w:p w14:paraId="11D0C8B2" w14:textId="1F11B078" w:rsidR="00591820" w:rsidRPr="00445472" w:rsidRDefault="00393681" w:rsidP="00D276C9">
      <w:pPr>
        <w:pStyle w:val="TEKSTIIII"/>
      </w:pPr>
      <w:r>
        <w:t xml:space="preserve">- </w:t>
      </w:r>
      <w:r w:rsidR="00591820" w:rsidRPr="00445472">
        <w:t>Parandalimi, zbutja dhe korrigjimi i çdo dëmtimi të shkaktuar ndaj njerëzve, kafshëve, pronës, trashëgimisë kulturore dhe mjedisit nga rastet e emergjencës;</w:t>
      </w:r>
    </w:p>
    <w:p w14:paraId="11B007FE" w14:textId="04ABAF2F" w:rsidR="00591820" w:rsidRPr="00445472" w:rsidRDefault="00393681" w:rsidP="00D276C9">
      <w:pPr>
        <w:pStyle w:val="TEKSTIIII"/>
      </w:pPr>
      <w:r>
        <w:t xml:space="preserve">- </w:t>
      </w:r>
      <w:r w:rsidR="00591820" w:rsidRPr="00445472">
        <w:t>Sigurimi i kushteve për institucionet publike, njësitë ekonomike dhe popullsinë për transferimin nga kushtet e zakonshme të jetesës dhe të punës në një situatë emergjente me humbje më të vogla të mundshme, ruajtjen e rendit, ruajtjen e jetës njerëzore, kafshëve, pasurisë, trashëgimisë kulturore dhe mjedisit kundrejt efekteve të një emergjence;</w:t>
      </w:r>
    </w:p>
    <w:p w14:paraId="292F5F03" w14:textId="496C4B68" w:rsidR="00591820" w:rsidRPr="00445472" w:rsidRDefault="00393681" w:rsidP="00D276C9">
      <w:pPr>
        <w:pStyle w:val="TEKSTIIII"/>
      </w:pPr>
      <w:r>
        <w:t xml:space="preserve">- </w:t>
      </w:r>
      <w:r w:rsidR="00591820" w:rsidRPr="00445472">
        <w:t>Garantimi i përdorimit të burimeve shtetërore të disponueshme për të ruajtur sigurinë publike, për të ruajtur vazhdimësinë e ekonomisë kombëtare, për të lokalizuar zonat e emergjencës dhe për të lehtësuar efektet e tyre.</w:t>
      </w:r>
    </w:p>
    <w:p w14:paraId="195CB15C" w14:textId="01F5FDED" w:rsidR="00591820" w:rsidRPr="00445472" w:rsidRDefault="00D62EDF" w:rsidP="00D276C9">
      <w:pPr>
        <w:pStyle w:val="TEKSTIIII"/>
        <w:rPr>
          <w:i/>
        </w:rPr>
      </w:pPr>
      <w:r w:rsidRPr="00445472">
        <w:rPr>
          <w:i/>
        </w:rPr>
        <w:t>“</w:t>
      </w:r>
      <w:r w:rsidR="00591820" w:rsidRPr="00445472">
        <w:rPr>
          <w:i/>
        </w:rPr>
        <w:t>Në nivelin e tij më të lartë Këshilli i Ministrave udhëheq dhe drejton sistemin nacional të menaxhimit të emergjencave civile në Shqipëri. Ai miraton dhe zbaton strategjitë, politikat dhe programet e duhura që synojnë parandalimin, zbutjen, përgatitjen dhe përballimin e situatave të emergjencave civile. Në përputhje me Kushtetutën e Republikës së Shqipërisë, instrumentet e tjera ligjore, marrëveshjet dhe konventat ndërkombëtare, ai miraton politikat dhe fondet e përshtatshme për forcimin e sistemit të mbrojtjes kundër ngjarjeve që kërcënojnë jetën, pronën, trashëgiminë kulturore dhe mjedisin jetësor.</w:t>
      </w:r>
      <w:r w:rsidRPr="00445472">
        <w:rPr>
          <w:i/>
        </w:rPr>
        <w:t>”</w:t>
      </w:r>
      <w:r w:rsidR="00591820" w:rsidRPr="00445472">
        <w:rPr>
          <w:i/>
        </w:rPr>
        <w:t xml:space="preserve"> </w:t>
      </w:r>
    </w:p>
    <w:p w14:paraId="140CE3E7" w14:textId="77777777" w:rsidR="00591820" w:rsidRPr="00445472" w:rsidRDefault="00591820" w:rsidP="00D276C9">
      <w:pPr>
        <w:pStyle w:val="TEKSTIIII"/>
      </w:pPr>
      <w:r w:rsidRPr="00445472">
        <w:t>Nga ky përshkrim, është e qartë se reagimi ndaj përmbytjeve në një nga llojet e emergjencave civile do të jepet nga Agjencia Kombëtare e Mbrojtjes Civile. Shqipëria është e ekspozuar ndaj një numri të konsiderueshëm të fatkeqësive natyrore dhe atyre të shkaktuara nga njeriu. Rreziku më i madh i fatkeqësive natyrore vjen nga tërmetet, por kohët e fundit, përmbytjet, rrëshqitjet e dheut (shpesh shkaktuar nga shiu i madh që shkakton edhe përmbytje) dhe emergjencat dimërore edhe pse me ndikim më të ulët, kanë qenë më të dukshme. Gjithashtu, është e rëndësishme të merret në konsideratë mbrojtja e burimeve ujore (sipërfaqësore dhe nëntokësore) si rezultat i përmbytjeve në mënyrë që të garantohet cilësia e ujit të pijshëm dhe kështu mbrojtja e shëndetit të popullatave të pambrojtura nga sëmundjet si pasojë e ndotjes së ujit. Faktorë të tillë si situata ekonomike, infrastruktura dhe mjetet e dëmtuara të komunikimit, migrimi masiv, fluksi i madh i ndërtimit dhe faktorë të tjerë që lidhen me keqpërdorimin e pyjeve, burimeve natyrore të ujit dhe ndotjen e mjedisit, rrisin vulnerabilitetin e popullsisë dhe ekonomisë në përgjithësi.</w:t>
      </w:r>
    </w:p>
    <w:p w14:paraId="4D8FC15A" w14:textId="77777777" w:rsidR="00591820" w:rsidRPr="00445472" w:rsidRDefault="00591820" w:rsidP="00D276C9">
      <w:pPr>
        <w:pStyle w:val="TEKSTIIII"/>
      </w:pPr>
      <w:r w:rsidRPr="00445472">
        <w:t>Agjencia Kombëtare e Mbrojtjes Civile është organi më i lartë që trajton emergjencat civile. Përgjegjësitë fillojnë në nivelin lokal ose të Bashkisë. Kryetari i Bashkisë është përgjegjës për planifikimin dhe  përballjen me emergjencat civile në bashkinë përkatëse. Niveli tjetër i lartë është ai i Qarkut (Rajonit); në këtë nivel, Prefekti është përgjegjës për planifikimin dhe përballjen më emergjencat civile në qarkun përkatës. Gjithashtu, Ministritë e linjës planifikojë dhe përballen me emergjencat civile sipas fushave e tyre të përgjegjësisë. Agjencia Kombëtare e Mbrojtjes Civile nëpërmjet Qendrës Kombëtare Operacionale të Emergjencave Civile ka lidhje të drejtpërdrejta me forcat operacionale dhe palët e tjera të interesit duke përfshirë ato të ngritura në nivel qarku.</w:t>
      </w:r>
    </w:p>
    <w:p w14:paraId="1EF96886" w14:textId="60DE8633" w:rsidR="00591820" w:rsidRPr="00445472" w:rsidRDefault="00591820" w:rsidP="00D276C9">
      <w:pPr>
        <w:pStyle w:val="TEKSTIIII"/>
      </w:pPr>
      <w:r w:rsidRPr="00445472">
        <w:t>Nëse përcaktohet se burimet dhe aftësitë kombëtare nuk janë në gjendje të reagojnë plotësisht në një rast emergjence, ekzistojnë procedura të përcaktuara për të kërkuar ndihmë ndërkombëtare. Ndihma mund të marrë formën e kontributeve financiare, donacioneve (ushqim, çadra, batanije, pajisje mjekësore</w:t>
      </w:r>
      <w:r w:rsidR="00084DB9" w:rsidRPr="00445472">
        <w:t xml:space="preserve"> etj.</w:t>
      </w:r>
      <w:r w:rsidRPr="00445472">
        <w:t>), ose shërbime të specializuara (ekipet e kërkim-shpëtimit). Asistim në koordinimin e ndihmës ndërkombëtare mund të kërkohet nga Kombet e Bashkuara, strukturat e BE-së, NATO apo vende të tjera. Në rastin e ndihmës ndërkombëtare emergjente, Drejtoria e Situatave Emergjente punon ngushtë me Doganat, Emigracionin, Karantinën dhe shërbimet kufitare për të lehtësuar hyrjen e personelit, pajisjeve dhe Furnizimeve.</w:t>
      </w:r>
    </w:p>
    <w:p w14:paraId="612B9373" w14:textId="77777777" w:rsidR="00591820" w:rsidRPr="00445472" w:rsidRDefault="00591820" w:rsidP="00D276C9">
      <w:pPr>
        <w:pStyle w:val="TEKSTIIII"/>
      </w:pPr>
      <w:r w:rsidRPr="00445472">
        <w:t>Shqipëria është palë në marrëveshjet ndërkombëtare për gatishmërinë ndaj dhe përballimin e katastrofave.</w:t>
      </w:r>
    </w:p>
    <w:p w14:paraId="5FC49A83" w14:textId="648D10A9" w:rsidR="00591820" w:rsidRPr="00445472" w:rsidRDefault="00591820" w:rsidP="00D276C9">
      <w:pPr>
        <w:pStyle w:val="TEKSTIIII"/>
      </w:pPr>
      <w:r w:rsidRPr="00445472">
        <w:t>Përveç Agjencisë Kombëtare të Mbrojtjes Civile, organizata të tjera me një rol të përcaktuar përfshijnë IGJEUM (Instituti i Gjeologjisë, Energjisë, Ujit dhe Mjedisit), veçanërisht në lidhje me përmbytjet</w:t>
      </w:r>
      <w:r w:rsidR="008F0A9F" w:rsidRPr="00445472">
        <w:t>, si dhe</w:t>
      </w:r>
      <w:r w:rsidRPr="00445472">
        <w:t xml:space="preserve"> Kryqin e Kuq.</w:t>
      </w:r>
    </w:p>
    <w:p w14:paraId="14687779" w14:textId="77777777" w:rsidR="00591820" w:rsidRPr="00445472" w:rsidRDefault="00591820" w:rsidP="00D276C9">
      <w:pPr>
        <w:pStyle w:val="TEKSTIIII"/>
      </w:pPr>
      <w:r w:rsidRPr="00445472">
        <w:t>Forcat kryesore operacionale, të cilat mund të përgjigjen në një rast përmbytjeje (ose lloj tjetër emergjence) përfshijnë:</w:t>
      </w:r>
    </w:p>
    <w:p w14:paraId="06BC154F" w14:textId="5A95AA7F" w:rsidR="00591820" w:rsidRPr="00445472" w:rsidRDefault="00393681" w:rsidP="00D276C9">
      <w:pPr>
        <w:pStyle w:val="TEKSTIIII"/>
      </w:pPr>
      <w:r>
        <w:t xml:space="preserve">- </w:t>
      </w:r>
      <w:r w:rsidR="00591820" w:rsidRPr="00445472">
        <w:t>Forcat e Armatosura;</w:t>
      </w:r>
    </w:p>
    <w:p w14:paraId="788A1B96" w14:textId="3ABAC28C" w:rsidR="00591820" w:rsidRPr="00445472" w:rsidRDefault="00393681" w:rsidP="00D276C9">
      <w:pPr>
        <w:pStyle w:val="TEKSTIIII"/>
      </w:pPr>
      <w:r>
        <w:t xml:space="preserve">- </w:t>
      </w:r>
      <w:r w:rsidR="00591820" w:rsidRPr="00445472">
        <w:t>Drejtoria e Mbrojtjes dhe Shpëtimit nga Zjarri (DMSHZ);</w:t>
      </w:r>
    </w:p>
    <w:p w14:paraId="655149EB" w14:textId="29C64ABB" w:rsidR="00591820" w:rsidRPr="00445472" w:rsidRDefault="00393681" w:rsidP="00D276C9">
      <w:pPr>
        <w:pStyle w:val="TEKSTIIII"/>
      </w:pPr>
      <w:r>
        <w:t xml:space="preserve">- </w:t>
      </w:r>
      <w:r w:rsidR="00591820" w:rsidRPr="00445472">
        <w:t xml:space="preserve">Shërbimi i </w:t>
      </w:r>
      <w:r w:rsidR="00C26856" w:rsidRPr="00445472">
        <w:t>ambulancës</w:t>
      </w:r>
      <w:r w:rsidR="00591820" w:rsidRPr="00445472">
        <w:t>;</w:t>
      </w:r>
    </w:p>
    <w:p w14:paraId="7A8DA318" w14:textId="372DA18E" w:rsidR="00591820" w:rsidRPr="00445472" w:rsidRDefault="00393681" w:rsidP="00D276C9">
      <w:pPr>
        <w:pStyle w:val="TEKSTIIII"/>
      </w:pPr>
      <w:r>
        <w:t xml:space="preserve">- </w:t>
      </w:r>
      <w:r w:rsidR="00591820" w:rsidRPr="00445472">
        <w:t>Policia e Shtetit dhe njësitë e tjera të Policisë;</w:t>
      </w:r>
    </w:p>
    <w:p w14:paraId="26B6D10C" w14:textId="6C9B9236" w:rsidR="00591820" w:rsidRPr="00445472" w:rsidRDefault="00393681" w:rsidP="00D276C9">
      <w:pPr>
        <w:pStyle w:val="TEKSTIIII"/>
      </w:pPr>
      <w:r>
        <w:t xml:space="preserve">- </w:t>
      </w:r>
      <w:r w:rsidR="00591820" w:rsidRPr="00445472">
        <w:t>Drejtoria e Përgjithshme e Rezervave Shtetërore.</w:t>
      </w:r>
    </w:p>
    <w:p w14:paraId="4E7E809E" w14:textId="295F82F9" w:rsidR="00591820" w:rsidRPr="00445472" w:rsidRDefault="00591820" w:rsidP="00D276C9">
      <w:pPr>
        <w:pStyle w:val="TEKSTIIII"/>
      </w:pPr>
      <w:r w:rsidRPr="00445472">
        <w:t xml:space="preserve">Një shembull i kohëve të fundit për zbatimin e përgjigjes së qeverisë ndaj përmbytjeve erdhi pas përmbytjeve të nëntorit 2016, të cilat u shkaktuan nga një kombinim i reshjeve të dendura dhe i dëborës. Një paralajmërim përmbytjesh u lëshua nga IGJEUM. Duke reaguar ndaj paralajmërimit të përmbytjes, Ministria e Brendshme urdhëroi krijimin e disa </w:t>
      </w:r>
      <w:r w:rsidR="00D62EDF" w:rsidRPr="00445472">
        <w:t>“</w:t>
      </w:r>
      <w:r w:rsidRPr="00445472">
        <w:t>selive emergjente</w:t>
      </w:r>
      <w:r w:rsidR="00D62EDF" w:rsidRPr="00445472">
        <w:t>”</w:t>
      </w:r>
      <w:r w:rsidRPr="00445472">
        <w:t xml:space="preserve"> në të gjithë vendin, policia, Kryqi i Kuq dhe ekipet e tjera emergjente u vendosën në gatishmëri dhe kryetarët e komunave u urdhëruan të shmangin rreziqet duke përfshirë mbylljen e shkollave. Përmbytjet prekën 4,500 njerëz, 1,000 hektarë tokë dhe 1,500 ndërtesa. </w:t>
      </w:r>
    </w:p>
    <w:p w14:paraId="6618FD45" w14:textId="25B8FC3E" w:rsidR="00591820" w:rsidRPr="00445472" w:rsidRDefault="009316B1" w:rsidP="009316B1">
      <w:pPr>
        <w:pStyle w:val="NENTITULL"/>
      </w:pPr>
      <w:bookmarkStart w:id="202" w:name="_Toc486503424"/>
      <w:bookmarkStart w:id="203" w:name="_Toc11068840"/>
      <w:r w:rsidRPr="00445472">
        <w:t xml:space="preserve">9.7 </w:t>
      </w:r>
      <w:r w:rsidR="00591820" w:rsidRPr="00445472">
        <w:t>Analiza e mangësive</w:t>
      </w:r>
      <w:bookmarkEnd w:id="202"/>
      <w:bookmarkEnd w:id="203"/>
    </w:p>
    <w:p w14:paraId="67B93208" w14:textId="7692ADD7" w:rsidR="00591820" w:rsidRPr="00445472" w:rsidRDefault="00591820" w:rsidP="00D276C9">
      <w:pPr>
        <w:pStyle w:val="TEKSTIIII"/>
      </w:pPr>
      <w:bookmarkStart w:id="204" w:name="_Ref483844783"/>
      <w:r w:rsidRPr="00445472">
        <w:t>Një studim i botuar në 2</w:t>
      </w:r>
      <w:bookmarkStart w:id="205" w:name="_bookmark2"/>
      <w:bookmarkEnd w:id="205"/>
      <w:r w:rsidRPr="00445472">
        <w:t>014</w:t>
      </w:r>
      <w:r w:rsidRPr="00445472">
        <w:rPr>
          <w:vertAlign w:val="superscript"/>
        </w:rPr>
        <w:footnoteReference w:id="187"/>
      </w:r>
      <w:bookmarkEnd w:id="204"/>
      <w:r w:rsidRPr="00445472">
        <w:t>i menaxhuar nga Banka E</w:t>
      </w:r>
      <w:r w:rsidR="00C26856" w:rsidRPr="00445472">
        <w:t>v</w:t>
      </w:r>
      <w:r w:rsidRPr="00445472">
        <w:t xml:space="preserve">ropiane për Investime, raportoi se </w:t>
      </w:r>
      <w:r w:rsidR="00D62EDF" w:rsidRPr="00445472">
        <w:t>“</w:t>
      </w:r>
      <w:r w:rsidRPr="00445472">
        <w:t>Implementimi i DP</w:t>
      </w:r>
      <w:r w:rsidR="00C26856" w:rsidRPr="00445472">
        <w:t>-së</w:t>
      </w:r>
      <w:r w:rsidRPr="00445472">
        <w:t xml:space="preserve"> mbetet në një fazë të hershme</w:t>
      </w:r>
      <w:r w:rsidR="00D62EDF" w:rsidRPr="00445472">
        <w:t>”</w:t>
      </w:r>
      <w:r w:rsidRPr="00445472">
        <w:t>, dhe se zbatimi i plotë ishte planifikuar për vitin 2020. Raporti përcaktoi hapat kryesorë të ciklit të menaxhimit të përmbytjeve:</w:t>
      </w:r>
    </w:p>
    <w:p w14:paraId="46C1414F" w14:textId="2745025A" w:rsidR="00591820" w:rsidRPr="00445472" w:rsidRDefault="00393681" w:rsidP="00D276C9">
      <w:pPr>
        <w:pStyle w:val="TEKSTIIII"/>
      </w:pPr>
      <w:r>
        <w:t xml:space="preserve">- </w:t>
      </w:r>
      <w:r w:rsidR="00591820" w:rsidRPr="00445472">
        <w:t>Zbutja. Parandalimi i emergjencave të ardhshme ose minimizimi i efekteve të tyre.</w:t>
      </w:r>
    </w:p>
    <w:p w14:paraId="7EF35CD2" w14:textId="1D77FD5B" w:rsidR="00591820" w:rsidRPr="00445472" w:rsidRDefault="00393681" w:rsidP="00D276C9">
      <w:pPr>
        <w:pStyle w:val="TEKSTIIII"/>
      </w:pPr>
      <w:r>
        <w:t xml:space="preserve">- </w:t>
      </w:r>
      <w:r w:rsidR="00591820" w:rsidRPr="00445472">
        <w:t>Përgatitja. Përgatitja për të trajtuar përmbytjet e mundshme.</w:t>
      </w:r>
    </w:p>
    <w:p w14:paraId="593CDE6C" w14:textId="1F3F4A8D" w:rsidR="00591820" w:rsidRPr="00445472" w:rsidRDefault="00393681" w:rsidP="00D276C9">
      <w:pPr>
        <w:pStyle w:val="TEKSTIIII"/>
      </w:pPr>
      <w:r>
        <w:t xml:space="preserve">- </w:t>
      </w:r>
      <w:r w:rsidR="00591820" w:rsidRPr="00445472">
        <w:t xml:space="preserve">Reagimi. Përballimi në mënyrë të sigurt i katastrofave të përmbytjeve. </w:t>
      </w:r>
    </w:p>
    <w:p w14:paraId="0F2DB213" w14:textId="5A1BC96E" w:rsidR="00591820" w:rsidRPr="00445472" w:rsidRDefault="00393681" w:rsidP="00D276C9">
      <w:pPr>
        <w:pStyle w:val="TEKSTIIII"/>
      </w:pPr>
      <w:r>
        <w:t xml:space="preserve">- </w:t>
      </w:r>
      <w:r w:rsidR="00591820" w:rsidRPr="00445472">
        <w:t>Rikuperimi. Rikuperimi pas një emergjence</w:t>
      </w:r>
    </w:p>
    <w:p w14:paraId="67153866" w14:textId="770B625D" w:rsidR="00591820" w:rsidRPr="00445472" w:rsidRDefault="00393681" w:rsidP="00D276C9">
      <w:pPr>
        <w:pStyle w:val="TEKSTIIII"/>
        <w:rPr>
          <w:b/>
        </w:rPr>
      </w:pPr>
      <w:r>
        <w:t xml:space="preserve">- </w:t>
      </w:r>
      <w:r w:rsidR="00591820" w:rsidRPr="00445472">
        <w:t>Gjendja e atëhershme në Shqipëri u përmblodh në Tabelën 9.7 më poshtë.</w:t>
      </w:r>
    </w:p>
    <w:p w14:paraId="44B198FC" w14:textId="77777777" w:rsidR="009316B1" w:rsidRPr="00445472" w:rsidRDefault="009316B1" w:rsidP="009316B1">
      <w:pPr>
        <w:pStyle w:val="TEKSTIIII"/>
      </w:pPr>
    </w:p>
    <w:p w14:paraId="19A59748" w14:textId="77777777" w:rsidR="00591820" w:rsidRPr="00445472" w:rsidRDefault="00591820" w:rsidP="009316B1">
      <w:pPr>
        <w:pStyle w:val="NENTITULL"/>
      </w:pPr>
      <w:r w:rsidRPr="00445472">
        <w:t>Tabela 9.7: Statusi i zbatimit të Direktivës së Përmbytjeve në Shqipëri</w:t>
      </w: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7825"/>
        <w:gridCol w:w="1360"/>
      </w:tblGrid>
      <w:tr w:rsidR="00591820" w:rsidRPr="00445472" w14:paraId="60C90BF8" w14:textId="77777777" w:rsidTr="009316B1">
        <w:trPr>
          <w:jc w:val="center"/>
        </w:trPr>
        <w:tc>
          <w:tcPr>
            <w:tcW w:w="7825" w:type="dxa"/>
            <w:shd w:val="clear" w:color="auto" w:fill="D9D9D9"/>
            <w:vAlign w:val="center"/>
          </w:tcPr>
          <w:p w14:paraId="00A96BE5"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Niveli i Zbatimit</w:t>
            </w:r>
          </w:p>
        </w:tc>
        <w:tc>
          <w:tcPr>
            <w:tcW w:w="1360" w:type="dxa"/>
            <w:shd w:val="clear" w:color="auto" w:fill="D9D9D9"/>
            <w:vAlign w:val="center"/>
          </w:tcPr>
          <w:p w14:paraId="7E9CCF48"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Data e Parashikuar</w:t>
            </w:r>
          </w:p>
        </w:tc>
      </w:tr>
      <w:tr w:rsidR="00591820" w:rsidRPr="00445472" w14:paraId="3C5AD919" w14:textId="77777777" w:rsidTr="009316B1">
        <w:trPr>
          <w:jc w:val="center"/>
        </w:trPr>
        <w:tc>
          <w:tcPr>
            <w:tcW w:w="7825" w:type="dxa"/>
            <w:shd w:val="clear" w:color="auto" w:fill="auto"/>
            <w:vAlign w:val="center"/>
          </w:tcPr>
          <w:p w14:paraId="1BDD166B" w14:textId="3FFC2349" w:rsidR="00591820" w:rsidRPr="00445472" w:rsidRDefault="00591820" w:rsidP="00C26856">
            <w:pPr>
              <w:spacing w:before="22" w:after="22"/>
              <w:ind w:right="63"/>
              <w:rPr>
                <w:rFonts w:ascii="Garamond" w:eastAsia="MS Mincho" w:hAnsi="Garamond" w:cs="Arial"/>
                <w:sz w:val="18"/>
                <w:szCs w:val="18"/>
              </w:rPr>
            </w:pPr>
            <w:r w:rsidRPr="00445472">
              <w:rPr>
                <w:rFonts w:ascii="Garamond" w:eastAsia="MS Mincho" w:hAnsi="Garamond" w:cs="Arial"/>
                <w:sz w:val="18"/>
                <w:szCs w:val="18"/>
              </w:rPr>
              <w:t>Përgatitja e hartave të rrezikshmërisë nga përmbytjet (HRP) dhe hartat e rrezikut (</w:t>
            </w:r>
            <w:r w:rsidR="00C26856" w:rsidRPr="00445472">
              <w:rPr>
                <w:rFonts w:ascii="Garamond" w:eastAsia="MS Mincho" w:hAnsi="Garamond" w:cs="Arial"/>
                <w:sz w:val="18"/>
                <w:szCs w:val="18"/>
              </w:rPr>
              <w:t>neni</w:t>
            </w:r>
            <w:r w:rsidRPr="00445472">
              <w:rPr>
                <w:rFonts w:ascii="Garamond" w:eastAsia="MS Mincho" w:hAnsi="Garamond" w:cs="Arial"/>
                <w:sz w:val="18"/>
                <w:szCs w:val="18"/>
              </w:rPr>
              <w:t xml:space="preserve"> 5) </w:t>
            </w:r>
          </w:p>
        </w:tc>
        <w:tc>
          <w:tcPr>
            <w:tcW w:w="1360" w:type="dxa"/>
            <w:shd w:val="clear" w:color="auto" w:fill="auto"/>
            <w:vAlign w:val="center"/>
          </w:tcPr>
          <w:p w14:paraId="0BB1BAE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2018</w:t>
            </w:r>
          </w:p>
        </w:tc>
      </w:tr>
      <w:tr w:rsidR="00591820" w:rsidRPr="00445472" w14:paraId="2C6D23F1" w14:textId="77777777" w:rsidTr="009316B1">
        <w:trPr>
          <w:jc w:val="center"/>
        </w:trPr>
        <w:tc>
          <w:tcPr>
            <w:tcW w:w="7825" w:type="dxa"/>
            <w:shd w:val="clear" w:color="auto" w:fill="auto"/>
            <w:vAlign w:val="center"/>
          </w:tcPr>
          <w:p w14:paraId="044776FE" w14:textId="02135610" w:rsidR="00591820" w:rsidRPr="00445472" w:rsidRDefault="00591820" w:rsidP="00C26856">
            <w:pPr>
              <w:spacing w:before="22" w:after="22"/>
              <w:ind w:right="63"/>
              <w:rPr>
                <w:rFonts w:ascii="Garamond" w:eastAsia="MS Mincho" w:hAnsi="Garamond" w:cs="Arial"/>
                <w:sz w:val="18"/>
                <w:szCs w:val="18"/>
              </w:rPr>
            </w:pPr>
            <w:r w:rsidRPr="00445472">
              <w:rPr>
                <w:rFonts w:ascii="Garamond" w:eastAsia="MS Mincho" w:hAnsi="Garamond" w:cs="Arial"/>
                <w:sz w:val="18"/>
                <w:szCs w:val="18"/>
              </w:rPr>
              <w:t>Vendosja e objektivave të përshtatshme për menaxhimin e rreziqeve nga përmbytjet (</w:t>
            </w:r>
            <w:r w:rsidR="00C26856" w:rsidRPr="00445472">
              <w:rPr>
                <w:rFonts w:ascii="Garamond" w:eastAsia="MS Mincho" w:hAnsi="Garamond" w:cs="Arial"/>
                <w:sz w:val="18"/>
                <w:szCs w:val="18"/>
              </w:rPr>
              <w:t>neni</w:t>
            </w:r>
            <w:r w:rsidRPr="00445472">
              <w:rPr>
                <w:rFonts w:ascii="Garamond" w:eastAsia="MS Mincho" w:hAnsi="Garamond" w:cs="Arial"/>
                <w:sz w:val="18"/>
                <w:szCs w:val="18"/>
              </w:rPr>
              <w:t xml:space="preserve"> 7) </w:t>
            </w:r>
          </w:p>
        </w:tc>
        <w:tc>
          <w:tcPr>
            <w:tcW w:w="1360" w:type="dxa"/>
            <w:shd w:val="clear" w:color="auto" w:fill="auto"/>
            <w:vAlign w:val="center"/>
          </w:tcPr>
          <w:p w14:paraId="44AC98C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2018</w:t>
            </w:r>
          </w:p>
        </w:tc>
      </w:tr>
      <w:tr w:rsidR="00591820" w:rsidRPr="00445472" w14:paraId="22F3A82C" w14:textId="77777777" w:rsidTr="009316B1">
        <w:trPr>
          <w:jc w:val="center"/>
        </w:trPr>
        <w:tc>
          <w:tcPr>
            <w:tcW w:w="7825" w:type="dxa"/>
            <w:shd w:val="clear" w:color="auto" w:fill="auto"/>
            <w:vAlign w:val="center"/>
          </w:tcPr>
          <w:p w14:paraId="7208A9BE" w14:textId="32945AD5" w:rsidR="00591820" w:rsidRPr="00445472" w:rsidRDefault="00591820" w:rsidP="00C26856">
            <w:pPr>
              <w:spacing w:before="22" w:after="22"/>
              <w:ind w:right="63"/>
              <w:rPr>
                <w:rFonts w:ascii="Garamond" w:eastAsia="MS Mincho" w:hAnsi="Garamond" w:cs="Arial"/>
                <w:sz w:val="18"/>
                <w:szCs w:val="18"/>
              </w:rPr>
            </w:pPr>
            <w:r w:rsidRPr="00445472">
              <w:rPr>
                <w:rFonts w:ascii="Garamond" w:eastAsia="MS Mincho" w:hAnsi="Garamond" w:cs="Arial"/>
                <w:sz w:val="18"/>
                <w:szCs w:val="18"/>
              </w:rPr>
              <w:t>Vendosja e objektivave të përshtatshme për menaxhimin e rreziqeve nga përmbytjet (</w:t>
            </w:r>
            <w:r w:rsidR="00C26856" w:rsidRPr="00445472">
              <w:rPr>
                <w:rFonts w:ascii="Garamond" w:eastAsia="MS Mincho" w:hAnsi="Garamond" w:cs="Arial"/>
                <w:sz w:val="18"/>
                <w:szCs w:val="18"/>
              </w:rPr>
              <w:t>neni</w:t>
            </w:r>
            <w:r w:rsidRPr="00445472">
              <w:rPr>
                <w:rFonts w:ascii="Garamond" w:eastAsia="MS Mincho" w:hAnsi="Garamond" w:cs="Arial"/>
                <w:sz w:val="18"/>
                <w:szCs w:val="18"/>
              </w:rPr>
              <w:t xml:space="preserve"> 7) </w:t>
            </w:r>
          </w:p>
        </w:tc>
        <w:tc>
          <w:tcPr>
            <w:tcW w:w="1360" w:type="dxa"/>
            <w:shd w:val="clear" w:color="auto" w:fill="auto"/>
            <w:vAlign w:val="center"/>
          </w:tcPr>
          <w:p w14:paraId="5164CC0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2015</w:t>
            </w:r>
          </w:p>
        </w:tc>
      </w:tr>
      <w:tr w:rsidR="00591820" w:rsidRPr="00445472" w14:paraId="32AAA376" w14:textId="77777777" w:rsidTr="009316B1">
        <w:trPr>
          <w:jc w:val="center"/>
        </w:trPr>
        <w:tc>
          <w:tcPr>
            <w:tcW w:w="7825" w:type="dxa"/>
            <w:shd w:val="clear" w:color="auto" w:fill="auto"/>
            <w:vAlign w:val="center"/>
          </w:tcPr>
          <w:p w14:paraId="788756FB" w14:textId="7A83B859" w:rsidR="00591820" w:rsidRPr="00445472" w:rsidRDefault="00591820" w:rsidP="00C26856">
            <w:pPr>
              <w:spacing w:before="22" w:after="22"/>
              <w:ind w:right="63"/>
              <w:rPr>
                <w:rFonts w:ascii="Garamond" w:eastAsia="MS Mincho" w:hAnsi="Garamond" w:cs="Arial"/>
                <w:sz w:val="18"/>
                <w:szCs w:val="18"/>
              </w:rPr>
            </w:pPr>
            <w:r w:rsidRPr="00445472">
              <w:rPr>
                <w:rFonts w:ascii="Garamond" w:eastAsia="MS Mincho" w:hAnsi="Garamond" w:cs="Arial"/>
                <w:sz w:val="18"/>
                <w:szCs w:val="18"/>
              </w:rPr>
              <w:t>Krijimi i hapave të përshtatshëm për koordinimin e zbatimit të Direktivës 2007/60/KE dhe Direktiva 2000/60/EG (Nen</w:t>
            </w:r>
            <w:r w:rsidR="00C26856" w:rsidRPr="00445472">
              <w:rPr>
                <w:rFonts w:ascii="Garamond" w:eastAsia="MS Mincho" w:hAnsi="Garamond" w:cs="Arial"/>
                <w:sz w:val="18"/>
                <w:szCs w:val="18"/>
              </w:rPr>
              <w:t>i</w:t>
            </w:r>
            <w:r w:rsidRPr="00445472">
              <w:rPr>
                <w:rFonts w:ascii="Garamond" w:eastAsia="MS Mincho" w:hAnsi="Garamond" w:cs="Arial"/>
                <w:sz w:val="18"/>
                <w:szCs w:val="18"/>
              </w:rPr>
              <w:t xml:space="preserve"> 9) </w:t>
            </w:r>
          </w:p>
        </w:tc>
        <w:tc>
          <w:tcPr>
            <w:tcW w:w="1360" w:type="dxa"/>
            <w:shd w:val="clear" w:color="auto" w:fill="auto"/>
            <w:vAlign w:val="center"/>
          </w:tcPr>
          <w:p w14:paraId="7B20C17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2014</w:t>
            </w:r>
          </w:p>
        </w:tc>
      </w:tr>
      <w:tr w:rsidR="00591820" w:rsidRPr="00445472" w14:paraId="407BE3F1" w14:textId="77777777" w:rsidTr="009316B1">
        <w:trPr>
          <w:jc w:val="center"/>
        </w:trPr>
        <w:tc>
          <w:tcPr>
            <w:tcW w:w="7825" w:type="dxa"/>
            <w:shd w:val="clear" w:color="auto" w:fill="auto"/>
            <w:vAlign w:val="center"/>
          </w:tcPr>
          <w:p w14:paraId="574DA661" w14:textId="705A5D71"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Publikimi i PRA-së, HRP-së, planet e FRM-së që i vënë ato në dispozicion të Institucioneve (</w:t>
            </w:r>
            <w:r w:rsidR="00C26856" w:rsidRPr="00445472">
              <w:rPr>
                <w:rFonts w:ascii="Garamond" w:eastAsia="MS Mincho" w:hAnsi="Garamond" w:cs="Arial"/>
                <w:sz w:val="18"/>
                <w:szCs w:val="18"/>
              </w:rPr>
              <w:t xml:space="preserve">neni </w:t>
            </w:r>
            <w:r w:rsidRPr="00445472">
              <w:rPr>
                <w:rFonts w:ascii="Garamond" w:eastAsia="MS Mincho" w:hAnsi="Garamond" w:cs="Arial"/>
                <w:sz w:val="18"/>
                <w:szCs w:val="18"/>
              </w:rPr>
              <w:t xml:space="preserve">10) </w:t>
            </w:r>
          </w:p>
        </w:tc>
        <w:tc>
          <w:tcPr>
            <w:tcW w:w="1360" w:type="dxa"/>
            <w:shd w:val="clear" w:color="auto" w:fill="auto"/>
            <w:vAlign w:val="center"/>
          </w:tcPr>
          <w:p w14:paraId="58F4C02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2020</w:t>
            </w:r>
          </w:p>
        </w:tc>
      </w:tr>
      <w:tr w:rsidR="00591820" w:rsidRPr="00445472" w14:paraId="74210544" w14:textId="77777777" w:rsidTr="009316B1">
        <w:trPr>
          <w:jc w:val="center"/>
        </w:trPr>
        <w:tc>
          <w:tcPr>
            <w:tcW w:w="7825" w:type="dxa"/>
            <w:shd w:val="clear" w:color="auto" w:fill="auto"/>
            <w:vAlign w:val="center"/>
          </w:tcPr>
          <w:p w14:paraId="6BE47D99"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Zbatimi i plotë</w:t>
            </w:r>
          </w:p>
        </w:tc>
        <w:tc>
          <w:tcPr>
            <w:tcW w:w="1360" w:type="dxa"/>
            <w:shd w:val="clear" w:color="auto" w:fill="auto"/>
            <w:vAlign w:val="center"/>
          </w:tcPr>
          <w:p w14:paraId="37B349B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2021</w:t>
            </w:r>
          </w:p>
        </w:tc>
      </w:tr>
    </w:tbl>
    <w:p w14:paraId="31D3FC96" w14:textId="77777777" w:rsidR="00591820" w:rsidRPr="00445472" w:rsidRDefault="00591820" w:rsidP="009316B1">
      <w:pPr>
        <w:pStyle w:val="TEKSTIIII"/>
      </w:pPr>
    </w:p>
    <w:p w14:paraId="2C8DDC23" w14:textId="77777777" w:rsidR="00591820" w:rsidRPr="00445472" w:rsidRDefault="00591820" w:rsidP="009316B1">
      <w:pPr>
        <w:pStyle w:val="TEKSTIIII"/>
      </w:pPr>
      <w:r w:rsidRPr="00445472">
        <w:t>Një analizë e ndryshimeve për vendet e Ballkanit Perëndimor, gjithashtu brenda kuadrit të investimeve për Ballkanin Perëndimor, u botua në vitin 2015.</w:t>
      </w:r>
      <w:r w:rsidRPr="00445472">
        <w:rPr>
          <w:rStyle w:val="FootnoteReference"/>
          <w:rFonts w:ascii="Garamond" w:hAnsi="Garamond"/>
          <w:color w:val="auto"/>
        </w:rPr>
        <w:footnoteReference w:id="188"/>
      </w:r>
      <w:r w:rsidRPr="00445472">
        <w:t xml:space="preserve">  Raporti njeh topografinë specifike të rajonit, e cila:</w:t>
      </w:r>
    </w:p>
    <w:p w14:paraId="5942F5CB" w14:textId="4EC5010D" w:rsidR="00591820" w:rsidRPr="00445472" w:rsidRDefault="00D62EDF" w:rsidP="009316B1">
      <w:pPr>
        <w:pStyle w:val="TEKSTIIII"/>
      </w:pPr>
      <w:r w:rsidRPr="00445472">
        <w:rPr>
          <w:i/>
        </w:rPr>
        <w:t>“</w:t>
      </w:r>
      <w:r w:rsidR="00591820" w:rsidRPr="00445472">
        <w:rPr>
          <w:i/>
        </w:rPr>
        <w:t>shpesh karakterizohet nga shpate të pjerrëta me vegjetacion të ulët, herë pas here me shtretër të ngushtë të lumenjve dhe basene relativisht të mëdhenj. Brezi jugor i bregut të Adriatikut (zakonisht në Shqipëri) përbëhet nga ultësira fluviale. Sipërfaqet e mëdha dhe variacionet ekstreme në terren dhe në rrjetin</w:t>
      </w:r>
      <w:r w:rsidR="00034FBB">
        <w:rPr>
          <w:i/>
        </w:rPr>
        <w:t xml:space="preserve"> e lumit, nënkuptojnë që zona të</w:t>
      </w:r>
      <w:r w:rsidR="00591820" w:rsidRPr="00445472">
        <w:rPr>
          <w:i/>
        </w:rPr>
        <w:t xml:space="preserve"> mëdha në rajon, në një shkallë të ndryshme, janë të prirura për përmbytje</w:t>
      </w:r>
      <w:r w:rsidR="00591820" w:rsidRPr="00445472">
        <w:t>.</w:t>
      </w:r>
      <w:r w:rsidRPr="00445472">
        <w:t>”</w:t>
      </w:r>
    </w:p>
    <w:p w14:paraId="78DC46BB" w14:textId="77777777" w:rsidR="00591820" w:rsidRPr="00445472" w:rsidRDefault="00591820" w:rsidP="009316B1">
      <w:pPr>
        <w:pStyle w:val="TEKSTIIII"/>
      </w:pPr>
      <w:r w:rsidRPr="00445472">
        <w:t xml:space="preserve">Referuar historikut Organizativ, ato deklarojnë: </w:t>
      </w:r>
    </w:p>
    <w:p w14:paraId="359279E8" w14:textId="7DFF833C" w:rsidR="00591820" w:rsidRPr="00445472" w:rsidRDefault="00D62EDF" w:rsidP="009316B1">
      <w:pPr>
        <w:pStyle w:val="TEKSTIIII"/>
        <w:rPr>
          <w:i/>
        </w:rPr>
      </w:pPr>
      <w:r w:rsidRPr="00445472">
        <w:rPr>
          <w:i/>
        </w:rPr>
        <w:t>“</w:t>
      </w:r>
      <w:r w:rsidR="00591820" w:rsidRPr="00445472">
        <w:rPr>
          <w:i/>
        </w:rPr>
        <w:t>Historiku Organizativ i menaxhimit të përmbytjeve në Shqipëri dhe struktura pasqyron kërkesat e DKU-së dhe DP-së. Megjithatë, funksionimi i organizatës është problematik për shkak të disa mbivendosjeve në përgjegjësitë. Për shembull, planifikimi i përdorimit të tokës është shqetësim i ministrive: Ministria e Bujqësisë Zhvillimit Rural dhe Administrimit të Ujërave (MBZHRAU), Ministria e Mjedisit (MM) Ministria e Zhvillimit Urban, Agjencia Kombëtare e Planifikimit të Territorit, Ministria e Brendshme (MB)</w:t>
      </w:r>
      <w:r w:rsidR="008F0A9F" w:rsidRPr="00445472">
        <w:rPr>
          <w:i/>
        </w:rPr>
        <w:t>, si dhe</w:t>
      </w:r>
      <w:r w:rsidR="00591820" w:rsidRPr="00445472">
        <w:rPr>
          <w:i/>
        </w:rPr>
        <w:t xml:space="preserve"> prefekturat dhe komunat (nën MB). Instituti Hidrometeorologjik është i lidhur me Ministrinë e Arsimit dhe funksionimi i digave është nën përgjegjësinë e Ministrisë së Ekonomisë, Tregtisë dhe Energjisë. Fragmentimi i përgjegjësive çon në përdorim joefikas të burimeve dhe rënien e efikasitetit të përgjithshëm të sistemit të menaxhimit të përmbytjeve.</w:t>
      </w:r>
      <w:r w:rsidRPr="00445472">
        <w:rPr>
          <w:i/>
        </w:rPr>
        <w:t>”</w:t>
      </w:r>
    </w:p>
    <w:p w14:paraId="4F5B8A6E" w14:textId="77777777" w:rsidR="00591820" w:rsidRPr="00445472" w:rsidRDefault="00591820" w:rsidP="009316B1">
      <w:pPr>
        <w:pStyle w:val="TEKSTIIII"/>
      </w:pPr>
      <w:r w:rsidRPr="00445472">
        <w:t>Raporti përcaktoi një plan udhërrëfyes për zbatimin e DKU-së për vendet e Ballkanit Perëndimor, përfshirë Shqipërinë. Pesë hapat e tij janë:</w:t>
      </w:r>
    </w:p>
    <w:p w14:paraId="05DA6CF0" w14:textId="0AC98F16" w:rsidR="00591820" w:rsidRPr="00445472" w:rsidRDefault="00393681" w:rsidP="009316B1">
      <w:pPr>
        <w:pStyle w:val="TEKSTIIII"/>
      </w:pPr>
      <w:r>
        <w:t xml:space="preserve">- </w:t>
      </w:r>
      <w:r w:rsidR="00591820" w:rsidRPr="00445472">
        <w:t>Vendet duhet të zhvillojnë dhe miratojnë planin dhe programin e zbatimit të DP-së.</w:t>
      </w:r>
    </w:p>
    <w:p w14:paraId="2791F7E6" w14:textId="7182F7DC" w:rsidR="00591820" w:rsidRPr="00445472" w:rsidRDefault="00393681" w:rsidP="009316B1">
      <w:pPr>
        <w:pStyle w:val="TEKSTIIII"/>
      </w:pPr>
      <w:r>
        <w:t xml:space="preserve">- </w:t>
      </w:r>
      <w:r w:rsidR="00591820" w:rsidRPr="00445472">
        <w:t>Vendet duhet të përshpejtojnë transpozimin e legjislacionit të BE-së Përveç transpozimit të plotë të DP dhe DKU, duhet të zhvillohen akte nënligjore dhe dekrete të detajuara, aneksuar me planifikim të rinovuar, standarde të projektimit dhe ndërtimit. Këto duhet të jenë në përputhje me parametrat institucional</w:t>
      </w:r>
      <w:r w:rsidR="00973771">
        <w:t>ë</w:t>
      </w:r>
      <w:r w:rsidR="00591820" w:rsidRPr="00445472">
        <w:t xml:space="preserve"> specifik</w:t>
      </w:r>
      <w:r w:rsidR="00973771">
        <w:t>ë</w:t>
      </w:r>
      <w:r w:rsidR="00591820" w:rsidRPr="00445472">
        <w:t xml:space="preserve"> për vendin dhe kuadrin e përgjithshëm të menaxhimit të rrezikut nga fatkeqësitë dhe duhet të marrin në konsideratë ndikimet e parashikueshme të ndryshimeve klimatike.</w:t>
      </w:r>
    </w:p>
    <w:p w14:paraId="25DFFBB0" w14:textId="486BADF4" w:rsidR="00591820" w:rsidRPr="00445472" w:rsidRDefault="00393681" w:rsidP="009316B1">
      <w:pPr>
        <w:pStyle w:val="TEKSTIIII"/>
      </w:pPr>
      <w:r>
        <w:t xml:space="preserve">- </w:t>
      </w:r>
      <w:r w:rsidR="00591820" w:rsidRPr="00445472">
        <w:t xml:space="preserve">Vendet duhet të ndërmarrin hapa për të përfshirë çështjet e menaxhimit të përmbytjeve në të gjitha procedurat e tjera sektoriale, siç janë urbanizimi, strehimi urban dhe rural, bujqësia ose menaxhimi i digave. Theks i veçantë duhet </w:t>
      </w:r>
      <w:r w:rsidR="001F68B2" w:rsidRPr="00445472">
        <w:t>t’i</w:t>
      </w:r>
      <w:r w:rsidR="00591820" w:rsidRPr="00445472">
        <w:t xml:space="preserve"> kushtohet përdorimit të tokës në zonat e përmbytjeve, menaxhimit të ujërave të ndotura</w:t>
      </w:r>
      <w:r w:rsidR="00A434CA" w:rsidRPr="00445472">
        <w:t xml:space="preserve"> </w:t>
      </w:r>
      <w:r w:rsidR="00591820" w:rsidRPr="00445472">
        <w:t>dhe mbeturinave</w:t>
      </w:r>
      <w:r w:rsidR="008F0A9F" w:rsidRPr="00445472">
        <w:t>, si dhe</w:t>
      </w:r>
      <w:r w:rsidR="00591820" w:rsidRPr="00445472">
        <w:t xml:space="preserve"> ndryshimeve klimatike. Forcimi i zbatimit të legjislacionit është një çështje kyçe në përgjithësi, por edhe sa i përket përdorimit të tokës dhe çështjeve pronësore.</w:t>
      </w:r>
    </w:p>
    <w:p w14:paraId="1CC74D35" w14:textId="65FD4D5E" w:rsidR="00591820" w:rsidRPr="00445472" w:rsidRDefault="00393681" w:rsidP="009316B1">
      <w:pPr>
        <w:pStyle w:val="TEKSTIIII"/>
      </w:pPr>
      <w:r>
        <w:t xml:space="preserve">- </w:t>
      </w:r>
      <w:r w:rsidR="00591820" w:rsidRPr="00445472">
        <w:t>Direktiva e përmbytjeve është një direktivë e butë dhe për këtë arsye është e domosdoshme që aktivitetet institucionale dhe të planifikimit të jenë në vend para zbatimit të saj. Zbatimi i Direktivës duhet të përshpejtohet dhe strukturat organizative duhet të rehabilitohen dhe të rafinohen dhe organizatat ekzistuese të menaxhimit duhet të përgatiten për zbatimin e Direktivës. Forcimi i strukturave organizative duhet të kryhet sa më shpejtë jetë e mundur.</w:t>
      </w:r>
    </w:p>
    <w:p w14:paraId="24E99B8F" w14:textId="418E0649" w:rsidR="00591820" w:rsidRPr="00445472" w:rsidRDefault="00393681" w:rsidP="009316B1">
      <w:pPr>
        <w:pStyle w:val="TEKSTIIII"/>
      </w:pPr>
      <w:r>
        <w:t xml:space="preserve">- </w:t>
      </w:r>
      <w:r w:rsidR="00591820" w:rsidRPr="00445472">
        <w:t>Përgatitja e vlerësimit të rrezikut nga përmbytjet, vlerësimi i rrezikut nga përmbytjet dhe planet e menaxhimit të përmbytjeve janë pikat kryesore të DP.</w:t>
      </w:r>
    </w:p>
    <w:p w14:paraId="223F74DF" w14:textId="61C890B8" w:rsidR="00591820" w:rsidRPr="00445472" w:rsidRDefault="00591820" w:rsidP="009316B1">
      <w:pPr>
        <w:pStyle w:val="TEKSTIIII"/>
      </w:pPr>
      <w:r w:rsidRPr="00445472">
        <w:t xml:space="preserve">Raporti veçon një numër projektesh të lidhura me përmbytjet për Shqipërinë. Këto përfshijnë mbrojtjen nga përmbytjet në basenin ujor </w:t>
      </w:r>
      <w:r w:rsidR="007E76E3" w:rsidRPr="00445472">
        <w:t>Drin–Bunë</w:t>
      </w:r>
      <w:r w:rsidRPr="00445472">
        <w:t xml:space="preserve"> në zonën e Shkodrës, që llogaritet të kushtojë €63,000,000. </w:t>
      </w:r>
    </w:p>
    <w:p w14:paraId="7773525F" w14:textId="10207F20" w:rsidR="00591820" w:rsidRPr="00445472" w:rsidRDefault="00591820" w:rsidP="009316B1">
      <w:pPr>
        <w:pStyle w:val="TEKSTIIII"/>
      </w:pPr>
      <w:r w:rsidRPr="00445472">
        <w:t xml:space="preserve">Sa i përket </w:t>
      </w:r>
      <w:r w:rsidR="00911750" w:rsidRPr="00445472">
        <w:t xml:space="preserve">strategjisë </w:t>
      </w:r>
      <w:r w:rsidRPr="00445472">
        <w:t xml:space="preserve">dhe </w:t>
      </w:r>
      <w:r w:rsidR="00911750" w:rsidRPr="00445472">
        <w:t xml:space="preserve">institucioneve </w:t>
      </w:r>
      <w:r w:rsidRPr="00445472">
        <w:t>që kanë të bëjnë me menaxhimin e përmbytjeve, vlerësimi i tyre i përgjithshëm është që kërkesat themelore janë përmbushur por nevojitet detajimi i mëtejshëm i detyrave. Ata komentojnë se është ngritur kuadri institucional, me një bashkërendim të fuqishëm qendror nën zyrën e Kryeministrit. Ekziston një strategji kombëtare për menaxhimin e ujërave me kapitujt për menaxhimin e përmbytjeve.</w:t>
      </w:r>
    </w:p>
    <w:p w14:paraId="1E2BEBAB" w14:textId="77777777" w:rsidR="00591820" w:rsidRPr="00445472" w:rsidRDefault="00591820" w:rsidP="009316B1">
      <w:pPr>
        <w:pStyle w:val="TEKSTIIII"/>
      </w:pPr>
      <w:r w:rsidRPr="00445472">
        <w:t>Në kohën e shkrimit të raportit ata vlerësuan se kalimi në kuadrin ligjor në përputhje me Direktivën e Përmbytjeve zbatohet ose është në përgatitje e sipër. Ligji për Ujin ka kapituj mbi Menaxhimin e Përmbytjeve, por legjislacioni tjetër lidhur me përmbytjet është më pak i zhvilluar. Tabela e mëposhtme përmbledh statusin e zbatimit.</w:t>
      </w:r>
    </w:p>
    <w:p w14:paraId="15FCBAFE" w14:textId="77777777" w:rsidR="00591820" w:rsidRPr="00445472" w:rsidRDefault="00591820" w:rsidP="009316B1">
      <w:pPr>
        <w:pStyle w:val="NENTITULL"/>
      </w:pPr>
    </w:p>
    <w:p w14:paraId="1B9E5AC6" w14:textId="77777777" w:rsidR="00591820" w:rsidRPr="00445472" w:rsidRDefault="00591820" w:rsidP="009316B1">
      <w:pPr>
        <w:pStyle w:val="NENTITULL"/>
        <w:rPr>
          <w:bCs/>
        </w:rPr>
      </w:pPr>
      <w:r w:rsidRPr="00445472">
        <w:rPr>
          <w:bCs/>
        </w:rPr>
        <w:t>Tabela 9.8: Statusi i zbatimit të historikut institucional në lidhje me Direktivën e Përmbytjeve në Shqipëri</w:t>
      </w:r>
    </w:p>
    <w:tbl>
      <w:tblPr>
        <w:tblW w:w="4287" w:type="pct"/>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4933"/>
        <w:gridCol w:w="1624"/>
        <w:gridCol w:w="1406"/>
      </w:tblGrid>
      <w:tr w:rsidR="00591820" w:rsidRPr="00445472" w14:paraId="3530EE2C" w14:textId="77777777" w:rsidTr="009316B1">
        <w:trPr>
          <w:jc w:val="center"/>
        </w:trPr>
        <w:tc>
          <w:tcPr>
            <w:tcW w:w="3097" w:type="pct"/>
            <w:shd w:val="clear" w:color="auto" w:fill="D9D9D9"/>
            <w:vAlign w:val="center"/>
          </w:tcPr>
          <w:p w14:paraId="250D0FC2"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Hapat kryesorë në procesin e zbatimit</w:t>
            </w:r>
          </w:p>
        </w:tc>
        <w:tc>
          <w:tcPr>
            <w:tcW w:w="1020" w:type="pct"/>
            <w:shd w:val="clear" w:color="auto" w:fill="D9D9D9"/>
            <w:vAlign w:val="center"/>
          </w:tcPr>
          <w:p w14:paraId="0122574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Në progres</w:t>
            </w:r>
          </w:p>
        </w:tc>
        <w:tc>
          <w:tcPr>
            <w:tcW w:w="883" w:type="pct"/>
            <w:shd w:val="clear" w:color="auto" w:fill="D9D9D9"/>
            <w:vAlign w:val="center"/>
          </w:tcPr>
          <w:p w14:paraId="1D7BE5F0"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Të zhvillohen</w:t>
            </w:r>
          </w:p>
        </w:tc>
      </w:tr>
      <w:tr w:rsidR="00591820" w:rsidRPr="00445472" w14:paraId="0F4AEDCB" w14:textId="77777777" w:rsidTr="009316B1">
        <w:trPr>
          <w:jc w:val="center"/>
        </w:trPr>
        <w:tc>
          <w:tcPr>
            <w:tcW w:w="3097" w:type="pct"/>
            <w:shd w:val="clear" w:color="auto" w:fill="auto"/>
            <w:vAlign w:val="center"/>
          </w:tcPr>
          <w:p w14:paraId="312DE5FD" w14:textId="77777777" w:rsidR="00591820" w:rsidRPr="00445472" w:rsidRDefault="00591820" w:rsidP="002A1F08">
            <w:pPr>
              <w:spacing w:before="14" w:after="89"/>
              <w:ind w:left="19"/>
              <w:rPr>
                <w:rFonts w:ascii="Garamond" w:hAnsi="Garamond" w:cs="Arial"/>
                <w:sz w:val="18"/>
                <w:szCs w:val="18"/>
              </w:rPr>
            </w:pPr>
            <w:r w:rsidRPr="00445472">
              <w:rPr>
                <w:rFonts w:ascii="Garamond" w:eastAsia="MS Mincho" w:hAnsi="Garamond" w:cs="Arial"/>
                <w:sz w:val="18"/>
                <w:szCs w:val="18"/>
              </w:rPr>
              <w:t>Kuadri ligjor</w:t>
            </w:r>
          </w:p>
        </w:tc>
        <w:tc>
          <w:tcPr>
            <w:tcW w:w="1020" w:type="pct"/>
            <w:shd w:val="clear" w:color="auto" w:fill="auto"/>
            <w:vAlign w:val="center"/>
          </w:tcPr>
          <w:p w14:paraId="48DCEE7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c>
          <w:tcPr>
            <w:tcW w:w="883" w:type="pct"/>
            <w:shd w:val="clear" w:color="auto" w:fill="auto"/>
            <w:vAlign w:val="center"/>
          </w:tcPr>
          <w:p w14:paraId="5EB63638"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560EADC8" w14:textId="77777777" w:rsidTr="009316B1">
        <w:trPr>
          <w:jc w:val="center"/>
        </w:trPr>
        <w:tc>
          <w:tcPr>
            <w:tcW w:w="3097" w:type="pct"/>
            <w:shd w:val="clear" w:color="auto" w:fill="auto"/>
            <w:vAlign w:val="center"/>
          </w:tcPr>
          <w:p w14:paraId="48914A5B"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Kuadri organizativ i efektshëm</w:t>
            </w:r>
          </w:p>
        </w:tc>
        <w:tc>
          <w:tcPr>
            <w:tcW w:w="1020" w:type="pct"/>
            <w:shd w:val="clear" w:color="auto" w:fill="auto"/>
            <w:vAlign w:val="center"/>
          </w:tcPr>
          <w:p w14:paraId="08DE551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c>
          <w:tcPr>
            <w:tcW w:w="883" w:type="pct"/>
            <w:shd w:val="clear" w:color="auto" w:fill="auto"/>
            <w:vAlign w:val="center"/>
          </w:tcPr>
          <w:p w14:paraId="5472E02B"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5084D879" w14:textId="77777777" w:rsidTr="009316B1">
        <w:trPr>
          <w:jc w:val="center"/>
        </w:trPr>
        <w:tc>
          <w:tcPr>
            <w:tcW w:w="3097" w:type="pct"/>
            <w:shd w:val="clear" w:color="auto" w:fill="auto"/>
            <w:vAlign w:val="center"/>
          </w:tcPr>
          <w:p w14:paraId="0C2DBB89"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Sistemi i mjaftueshëm paralajmërues i hershëm</w:t>
            </w:r>
          </w:p>
        </w:tc>
        <w:tc>
          <w:tcPr>
            <w:tcW w:w="1020" w:type="pct"/>
            <w:shd w:val="clear" w:color="auto" w:fill="auto"/>
            <w:vAlign w:val="center"/>
          </w:tcPr>
          <w:p w14:paraId="51801D22"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83" w:type="pct"/>
            <w:shd w:val="clear" w:color="auto" w:fill="auto"/>
            <w:vAlign w:val="center"/>
          </w:tcPr>
          <w:p w14:paraId="3AEA7B3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591820" w:rsidRPr="00445472" w14:paraId="4735FD5F" w14:textId="77777777" w:rsidTr="009316B1">
        <w:trPr>
          <w:jc w:val="center"/>
        </w:trPr>
        <w:tc>
          <w:tcPr>
            <w:tcW w:w="3097" w:type="pct"/>
            <w:shd w:val="clear" w:color="auto" w:fill="auto"/>
            <w:vAlign w:val="center"/>
          </w:tcPr>
          <w:p w14:paraId="13717359"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Sistemi i mjaftueshëm i monitorimit</w:t>
            </w:r>
          </w:p>
        </w:tc>
        <w:tc>
          <w:tcPr>
            <w:tcW w:w="1020" w:type="pct"/>
            <w:shd w:val="clear" w:color="auto" w:fill="auto"/>
            <w:vAlign w:val="center"/>
          </w:tcPr>
          <w:p w14:paraId="0262EB90"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83" w:type="pct"/>
            <w:shd w:val="clear" w:color="auto" w:fill="auto"/>
            <w:vAlign w:val="center"/>
          </w:tcPr>
          <w:p w14:paraId="27F398B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591820" w:rsidRPr="00445472" w14:paraId="3923A1B9" w14:textId="77777777" w:rsidTr="009316B1">
        <w:trPr>
          <w:jc w:val="center"/>
        </w:trPr>
        <w:tc>
          <w:tcPr>
            <w:tcW w:w="3097" w:type="pct"/>
            <w:shd w:val="clear" w:color="auto" w:fill="auto"/>
            <w:vAlign w:val="center"/>
          </w:tcPr>
          <w:p w14:paraId="7D45F708"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Vlerësimi i Parakohshëm i Rrezikut nga përmbytjet</w:t>
            </w:r>
          </w:p>
        </w:tc>
        <w:tc>
          <w:tcPr>
            <w:tcW w:w="1020" w:type="pct"/>
            <w:shd w:val="clear" w:color="auto" w:fill="auto"/>
            <w:vAlign w:val="center"/>
          </w:tcPr>
          <w:p w14:paraId="0022DFBA"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83" w:type="pct"/>
            <w:shd w:val="clear" w:color="auto" w:fill="auto"/>
            <w:vAlign w:val="center"/>
          </w:tcPr>
          <w:p w14:paraId="54ED92C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591820" w:rsidRPr="00445472" w14:paraId="0751552A" w14:textId="77777777" w:rsidTr="009316B1">
        <w:trPr>
          <w:jc w:val="center"/>
        </w:trPr>
        <w:tc>
          <w:tcPr>
            <w:tcW w:w="3097" w:type="pct"/>
            <w:shd w:val="clear" w:color="auto" w:fill="auto"/>
            <w:vAlign w:val="center"/>
          </w:tcPr>
          <w:p w14:paraId="2700137F"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Hartat e Rrezikshmërisë nga Përmbytjet</w:t>
            </w:r>
          </w:p>
        </w:tc>
        <w:tc>
          <w:tcPr>
            <w:tcW w:w="1020" w:type="pct"/>
            <w:shd w:val="clear" w:color="auto" w:fill="auto"/>
            <w:vAlign w:val="center"/>
          </w:tcPr>
          <w:p w14:paraId="48F8A815"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83" w:type="pct"/>
            <w:shd w:val="clear" w:color="auto" w:fill="auto"/>
            <w:vAlign w:val="center"/>
          </w:tcPr>
          <w:p w14:paraId="0655094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591820" w:rsidRPr="00445472" w14:paraId="00B644EF" w14:textId="77777777" w:rsidTr="009316B1">
        <w:trPr>
          <w:jc w:val="center"/>
        </w:trPr>
        <w:tc>
          <w:tcPr>
            <w:tcW w:w="3097" w:type="pct"/>
            <w:shd w:val="clear" w:color="auto" w:fill="auto"/>
            <w:vAlign w:val="center"/>
          </w:tcPr>
          <w:p w14:paraId="563CEF78"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Hartat e Rrezikut nga Përmbytjet</w:t>
            </w:r>
          </w:p>
        </w:tc>
        <w:tc>
          <w:tcPr>
            <w:tcW w:w="1020" w:type="pct"/>
            <w:shd w:val="clear" w:color="auto" w:fill="auto"/>
            <w:vAlign w:val="center"/>
          </w:tcPr>
          <w:p w14:paraId="7ABBA5CF"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83" w:type="pct"/>
            <w:shd w:val="clear" w:color="auto" w:fill="auto"/>
            <w:vAlign w:val="center"/>
          </w:tcPr>
          <w:p w14:paraId="0BD4E08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591820" w:rsidRPr="00445472" w14:paraId="4B33C901" w14:textId="77777777" w:rsidTr="009316B1">
        <w:trPr>
          <w:jc w:val="center"/>
        </w:trPr>
        <w:tc>
          <w:tcPr>
            <w:tcW w:w="3097" w:type="pct"/>
            <w:shd w:val="clear" w:color="auto" w:fill="auto"/>
            <w:vAlign w:val="center"/>
          </w:tcPr>
          <w:p w14:paraId="6B7F268A"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Planet e Menaxhimit të Përmbytjeve</w:t>
            </w:r>
          </w:p>
        </w:tc>
        <w:tc>
          <w:tcPr>
            <w:tcW w:w="1020" w:type="pct"/>
            <w:shd w:val="clear" w:color="auto" w:fill="auto"/>
            <w:vAlign w:val="center"/>
          </w:tcPr>
          <w:p w14:paraId="07F6724D"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83" w:type="pct"/>
            <w:shd w:val="clear" w:color="auto" w:fill="auto"/>
            <w:vAlign w:val="center"/>
          </w:tcPr>
          <w:p w14:paraId="148B9DD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bl>
    <w:p w14:paraId="1CB2FB2A" w14:textId="77777777" w:rsidR="00591820" w:rsidRPr="00445472" w:rsidRDefault="00591820" w:rsidP="009316B1">
      <w:pPr>
        <w:pStyle w:val="TEKSTIIII"/>
      </w:pPr>
    </w:p>
    <w:p w14:paraId="195A3EE5" w14:textId="77777777" w:rsidR="00591820" w:rsidRPr="00445472" w:rsidRDefault="00591820" w:rsidP="009316B1">
      <w:pPr>
        <w:pStyle w:val="TEKSTIIII"/>
      </w:pPr>
      <w:r w:rsidRPr="00445472">
        <w:t>Studimi më i fundit i publikuar i Statusit të Direktivës së Përmbytjeve ishte ai i referuar më lart</w:t>
      </w:r>
      <w:hyperlink w:anchor="_bookmark1" w:history="1">
        <w:r w:rsidRPr="00445472">
          <w:t>.</w:t>
        </w:r>
      </w:hyperlink>
      <w:r w:rsidRPr="00445472">
        <w:t xml:space="preserve"> Ndërsa, në mënyrë specifike një analizë e mangësive tregoi se situata siç përshkruhet në raportet e mëparshme nuk ka përparuar dukshëm. </w:t>
      </w:r>
    </w:p>
    <w:p w14:paraId="362B995B" w14:textId="32A14AE0" w:rsidR="00591820" w:rsidRPr="00445472" w:rsidRDefault="009316B1" w:rsidP="009316B1">
      <w:pPr>
        <w:pStyle w:val="NENTITULL"/>
      </w:pPr>
      <w:bookmarkStart w:id="206" w:name="_Toc486503425"/>
      <w:bookmarkStart w:id="207" w:name="_Toc11068841"/>
      <w:r w:rsidRPr="00445472">
        <w:t xml:space="preserve">9.8 </w:t>
      </w:r>
      <w:r w:rsidR="00591820" w:rsidRPr="00445472">
        <w:t>Ndryshimet klimatike</w:t>
      </w:r>
      <w:bookmarkEnd w:id="206"/>
      <w:bookmarkEnd w:id="207"/>
    </w:p>
    <w:p w14:paraId="41A6FA72" w14:textId="585E5152" w:rsidR="00591820" w:rsidRPr="00445472" w:rsidRDefault="00591820" w:rsidP="009316B1">
      <w:pPr>
        <w:pStyle w:val="TEKSTIIII"/>
      </w:pPr>
      <w:r w:rsidRPr="00445472">
        <w:t xml:space="preserve">Ekzistojnë dy organe kryesore ndërkombëtare të lidhura me ndryshimet klimatike. Konventa Kuadër e Kombeve të Bashkuara mbi Ndryshimet Klimatike (UNFCCC); ky organ u krijua në vitin 1992 në kuadër të Kombeve të Bashkuara. Organi i dytë është Paneli Ndërqeveritar për Ndryshimet Klimatike (PNNK), i themeluar në vitin 1988 nga dy Organizata të Kombeve të Bashkuara, Organizata Botërore Meteorologjike dhe Programi i Kombeve të Bashkuara për Mjedisin. Funksioni i tij është të vlerësojë </w:t>
      </w:r>
      <w:r w:rsidR="00D62EDF" w:rsidRPr="00445472">
        <w:t>“</w:t>
      </w:r>
      <w:r w:rsidRPr="00445472">
        <w:t>informacionin shkencor, teknik dhe socio-ekonomik të rëndësishëm për të kuptuar rrezikun e ndryshimeve klimatike të shkaktuara nga njeriu.</w:t>
      </w:r>
    </w:p>
    <w:p w14:paraId="3DE2BEB5" w14:textId="5739E75A" w:rsidR="00591820" w:rsidRPr="00445472" w:rsidRDefault="00591820" w:rsidP="009316B1">
      <w:pPr>
        <w:pStyle w:val="TEKSTIIII"/>
      </w:pPr>
      <w:r w:rsidRPr="00445472">
        <w:t>Shkurtimisht, UNFCCC është organi që koordinon veprimet në nivel qeveritar për të luftuar ndikimin e ndryshimeve klimatike. Roli i PNNK-së është të vlerësojë informacionin shkencor, teknik dhe socio-ekonomik të rëndësishëm për të kuptuar rrezikun e ndryshimeve klimatike të shkaktuara nga njeriu dhe efektivitetin e masave për të luftuar rrezikun.</w:t>
      </w:r>
    </w:p>
    <w:p w14:paraId="3EBAF0AF" w14:textId="77777777" w:rsidR="00591820" w:rsidRPr="00445472" w:rsidRDefault="00591820" w:rsidP="009316B1">
      <w:pPr>
        <w:pStyle w:val="TEKSTIIII"/>
      </w:pPr>
      <w:r w:rsidRPr="00445472">
        <w:t xml:space="preserve">Brenda kontekstit të UNFCCC-së, vendet duhet të dorëzojnë Komunikatat Kombëtare. Këto përshkruajnë kontributin e vendit në ndryshimet klimatike dhe përgjigjen e tyre ndaj sfidave që paraqiten. </w:t>
      </w:r>
    </w:p>
    <w:p w14:paraId="24B035A1" w14:textId="77777777" w:rsidR="00591820" w:rsidRPr="00445472" w:rsidRDefault="00591820" w:rsidP="009316B1">
      <w:pPr>
        <w:pStyle w:val="TEKSTIIII"/>
      </w:pPr>
      <w:r w:rsidRPr="00445472">
        <w:t>Një projekt dokument i UNDP lidhur me Komunikatën e Tretë Kombëtare përmbledh progresin në raportimin e ndryshimeve klimatike</w:t>
      </w:r>
      <w:r w:rsidRPr="00445472">
        <w:rPr>
          <w:rStyle w:val="FootnoteReference"/>
          <w:rFonts w:ascii="Garamond" w:hAnsi="Garamond"/>
          <w:color w:val="auto"/>
        </w:rPr>
        <w:footnoteReference w:id="189"/>
      </w:r>
      <w:r w:rsidRPr="00445472">
        <w:t>.  Shqipëria e paraqiti Komunikatën e saj Kombëtare Fillestare në vitin 2002. Kjo përfshinte një inventar të gazit serë dhe një përmbledhje të shtatë sektorëve kryesor ë të emetimit të gazrave serë: energjia, proceset industriale, bujqësia dhe blegtoria, ndryshimi i përdorimit të tokës dhe pylltaria, mbetjet, tretësit dhe përdorimi ndërkombëtar nga anijet dhe avionët. Komunikata e dytë Kombëtare u paraqit në 2009. Komunikata e tretë, dhe e fundit, kombëtare u paraqit në vitin 2016.</w:t>
      </w:r>
    </w:p>
    <w:p w14:paraId="170622FA" w14:textId="71191AB5" w:rsidR="00591820" w:rsidRPr="00445472" w:rsidRDefault="00591820" w:rsidP="009316B1">
      <w:pPr>
        <w:pStyle w:val="TEKSTIIII"/>
      </w:pPr>
      <w:r w:rsidRPr="00445472">
        <w:t>Komunikata e tretë kombëtare (KTK)</w:t>
      </w:r>
      <w:r w:rsidRPr="00445472">
        <w:rPr>
          <w:rStyle w:val="FootnoteReference"/>
          <w:rFonts w:ascii="Garamond" w:hAnsi="Garamond"/>
          <w:color w:val="auto"/>
        </w:rPr>
        <w:footnoteReference w:id="190"/>
      </w:r>
      <w:r w:rsidRPr="00445472">
        <w:t xml:space="preserve"> paraqet një inventar të përditësuar për gazrat serrë, të drejtpërdrejtë dhe të tërthortë</w:t>
      </w:r>
      <w:r w:rsidR="008F0A9F" w:rsidRPr="00445472">
        <w:t>, si dhe</w:t>
      </w:r>
      <w:r w:rsidRPr="00445472">
        <w:t xml:space="preserve"> burimet kryesore. Klima e Shqipërisë është e ndarë në katër zona: Zona fushore mesdhetare, zona kodrinore mesdhetare, zona mesdhetare para malore dhe zona malore mesdhetare. Studimi për KTK u përqendrua në zonën fushore të Mesdheut, e cila përfshin kryeqytetin, Tiranën dhe zonën bregdetare. Raporti arsyetoi zgjedhjen e zonës bregdetare, pasi një studim më i hershëm i UNDP-GEF për </w:t>
      </w:r>
      <w:r w:rsidR="007E76E3" w:rsidRPr="00445472">
        <w:t>Drin–Bunë</w:t>
      </w:r>
      <w:r w:rsidR="00A434CA" w:rsidRPr="00445472">
        <w:t>n</w:t>
      </w:r>
      <w:r w:rsidRPr="00445472">
        <w:rPr>
          <w:rStyle w:val="FootnoteReference"/>
          <w:rFonts w:ascii="Garamond" w:hAnsi="Garamond"/>
          <w:color w:val="auto"/>
        </w:rPr>
        <w:footnoteReference w:id="191"/>
      </w:r>
      <w:r w:rsidRPr="00445472">
        <w:t xml:space="preserve"> e identifikoi deltën e këtij sistemi lumor si </w:t>
      </w:r>
      <w:r w:rsidR="00D62EDF" w:rsidRPr="00445472">
        <w:t>“</w:t>
      </w:r>
      <w:r w:rsidRPr="00445472">
        <w:t>kritikisht të pambrojtur</w:t>
      </w:r>
      <w:r w:rsidR="00D62EDF" w:rsidRPr="00445472">
        <w:t>”</w:t>
      </w:r>
      <w:r w:rsidRPr="00445472">
        <w:t>.</w:t>
      </w:r>
    </w:p>
    <w:p w14:paraId="6178A137" w14:textId="25973496" w:rsidR="00591820" w:rsidRPr="00445472" w:rsidRDefault="00591820" w:rsidP="009316B1">
      <w:pPr>
        <w:pStyle w:val="TEKSTIIII"/>
      </w:pPr>
      <w:r w:rsidRPr="00445472">
        <w:t xml:space="preserve">Analiza e temperaturave të vërejtura sugjeroi se temperatura mesatare kishte rënë në periudhën 1971-2000 dhe pas kësaj ishte rritur. Në periudhën e mëvonshme, numri i ditëve me temperaturë më të lartë se 35°C ishte rritur gjithashtu. Ka dëshmi të rritjes së reshjeve si vjetore ashtu edhe të përditshme në vitet e fundit, por trendi është raportuar si më pak i qartë se sa për temperaturën. Raporti thekson se përmbytja është një formë e madhe e fatkeqësive natyrore e </w:t>
      </w:r>
      <w:r w:rsidR="00A434CA" w:rsidRPr="00445472">
        <w:t>përjetuar</w:t>
      </w:r>
      <w:r w:rsidRPr="00445472">
        <w:t xml:space="preserve"> në Shqipëri.</w:t>
      </w:r>
    </w:p>
    <w:p w14:paraId="6BCDB75C" w14:textId="77777777" w:rsidR="00591820" w:rsidRPr="00445472" w:rsidRDefault="00591820" w:rsidP="009316B1">
      <w:pPr>
        <w:pStyle w:val="TEKSTIIII"/>
      </w:pPr>
      <w:r w:rsidRPr="00445472">
        <w:t xml:space="preserve">Skenarët e ndryshimeve klimatike të paraqitura bazohen në Raportin Special mbi Skenarët e Emetimeve (RSSE) siç paraqitet në Raportin e Katërt të Vlerësimit të PKKN-së të vitit 2007. </w:t>
      </w:r>
    </w:p>
    <w:p w14:paraId="4E003257" w14:textId="77777777" w:rsidR="00591820" w:rsidRPr="00445472" w:rsidRDefault="00591820" w:rsidP="009316B1">
      <w:pPr>
        <w:pStyle w:val="TEKSTIIII"/>
      </w:pPr>
      <w:r w:rsidRPr="00445472">
        <w:t>Tabela 9.9 tregon rritjen e parashikuar të temperaturës.</w:t>
      </w:r>
    </w:p>
    <w:p w14:paraId="3371C9AB" w14:textId="77777777" w:rsidR="006B0D9F" w:rsidRPr="00445472" w:rsidRDefault="006B0D9F" w:rsidP="006B0D9F">
      <w:pPr>
        <w:pStyle w:val="NENTITULL"/>
      </w:pPr>
    </w:p>
    <w:p w14:paraId="78981F6D" w14:textId="77777777" w:rsidR="00591820" w:rsidRPr="00445472" w:rsidRDefault="00591820" w:rsidP="006B0D9F">
      <w:pPr>
        <w:pStyle w:val="NENTITULL"/>
      </w:pPr>
      <w:r w:rsidRPr="00445472">
        <w:t>Tabela 9.9: Projeksionet e ndryshimit të temperaturës (° C) për horizonte të ndryshme kohore lidhur me vitin 1990 (modeli mesatar)</w:t>
      </w:r>
    </w:p>
    <w:tbl>
      <w:tblP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647"/>
        <w:gridCol w:w="1910"/>
        <w:gridCol w:w="1910"/>
        <w:gridCol w:w="1909"/>
        <w:gridCol w:w="1911"/>
      </w:tblGrid>
      <w:tr w:rsidR="00591820" w:rsidRPr="00445472" w14:paraId="341B94AB" w14:textId="77777777" w:rsidTr="006B0D9F">
        <w:tc>
          <w:tcPr>
            <w:tcW w:w="886" w:type="pct"/>
            <w:shd w:val="clear" w:color="auto" w:fill="D9D9D9"/>
            <w:vAlign w:val="center"/>
          </w:tcPr>
          <w:p w14:paraId="7EFA810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Vite</w:t>
            </w:r>
          </w:p>
        </w:tc>
        <w:tc>
          <w:tcPr>
            <w:tcW w:w="1028" w:type="pct"/>
            <w:shd w:val="clear" w:color="auto" w:fill="D9D9D9"/>
            <w:vAlign w:val="center"/>
          </w:tcPr>
          <w:p w14:paraId="6B358B4A"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2030</w:t>
            </w:r>
          </w:p>
        </w:tc>
        <w:tc>
          <w:tcPr>
            <w:tcW w:w="1028" w:type="pct"/>
            <w:shd w:val="clear" w:color="auto" w:fill="D9D9D9"/>
            <w:vAlign w:val="center"/>
          </w:tcPr>
          <w:p w14:paraId="002D7F50"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2050</w:t>
            </w:r>
          </w:p>
        </w:tc>
        <w:tc>
          <w:tcPr>
            <w:tcW w:w="1028" w:type="pct"/>
            <w:shd w:val="clear" w:color="auto" w:fill="D9D9D9"/>
            <w:vAlign w:val="center"/>
          </w:tcPr>
          <w:p w14:paraId="6C79C30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2080</w:t>
            </w:r>
          </w:p>
        </w:tc>
        <w:tc>
          <w:tcPr>
            <w:tcW w:w="1029" w:type="pct"/>
            <w:shd w:val="clear" w:color="auto" w:fill="D9D9D9"/>
            <w:vAlign w:val="center"/>
          </w:tcPr>
          <w:p w14:paraId="163CC343"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2100</w:t>
            </w:r>
          </w:p>
        </w:tc>
      </w:tr>
      <w:tr w:rsidR="00591820" w:rsidRPr="00445472" w14:paraId="11D9E05A" w14:textId="77777777" w:rsidTr="006B0D9F">
        <w:tc>
          <w:tcPr>
            <w:tcW w:w="886" w:type="pct"/>
            <w:shd w:val="clear" w:color="auto" w:fill="auto"/>
            <w:vAlign w:val="center"/>
          </w:tcPr>
          <w:p w14:paraId="212327D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Vjetore</w:t>
            </w:r>
          </w:p>
        </w:tc>
        <w:tc>
          <w:tcPr>
            <w:tcW w:w="1028" w:type="pct"/>
            <w:shd w:val="clear" w:color="auto" w:fill="auto"/>
            <w:vAlign w:val="center"/>
          </w:tcPr>
          <w:p w14:paraId="5CBCDE3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 (0.7 deri 1.2)</w:t>
            </w:r>
          </w:p>
        </w:tc>
        <w:tc>
          <w:tcPr>
            <w:tcW w:w="1028" w:type="pct"/>
            <w:shd w:val="clear" w:color="auto" w:fill="auto"/>
            <w:vAlign w:val="center"/>
          </w:tcPr>
          <w:p w14:paraId="54A4CB4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 (13 deri 2.2)</w:t>
            </w:r>
          </w:p>
        </w:tc>
        <w:tc>
          <w:tcPr>
            <w:tcW w:w="1028" w:type="pct"/>
            <w:shd w:val="clear" w:color="auto" w:fill="auto"/>
            <w:vAlign w:val="center"/>
          </w:tcPr>
          <w:p w14:paraId="5117359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 (2.0 deri 3.5)</w:t>
            </w:r>
          </w:p>
        </w:tc>
        <w:tc>
          <w:tcPr>
            <w:tcW w:w="1029" w:type="pct"/>
            <w:shd w:val="clear" w:color="auto" w:fill="auto"/>
            <w:vAlign w:val="center"/>
          </w:tcPr>
          <w:p w14:paraId="026FB0A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3.2 (2.4 deri 4.1)</w:t>
            </w:r>
          </w:p>
        </w:tc>
      </w:tr>
      <w:tr w:rsidR="00591820" w:rsidRPr="00445472" w14:paraId="3BE87B98" w14:textId="77777777" w:rsidTr="006B0D9F">
        <w:tc>
          <w:tcPr>
            <w:tcW w:w="886" w:type="pct"/>
            <w:shd w:val="clear" w:color="auto" w:fill="auto"/>
            <w:vAlign w:val="center"/>
          </w:tcPr>
          <w:p w14:paraId="6E8087B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Dimër</w:t>
            </w:r>
          </w:p>
        </w:tc>
        <w:tc>
          <w:tcPr>
            <w:tcW w:w="1028" w:type="pct"/>
            <w:shd w:val="clear" w:color="auto" w:fill="auto"/>
            <w:vAlign w:val="center"/>
          </w:tcPr>
          <w:p w14:paraId="53E2FF4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0.8 (0.7 deri 0.9)</w:t>
            </w:r>
          </w:p>
        </w:tc>
        <w:tc>
          <w:tcPr>
            <w:tcW w:w="1028" w:type="pct"/>
            <w:shd w:val="clear" w:color="auto" w:fill="auto"/>
            <w:vAlign w:val="center"/>
          </w:tcPr>
          <w:p w14:paraId="4667F61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 (1.0 deri 1.4)</w:t>
            </w:r>
          </w:p>
        </w:tc>
        <w:tc>
          <w:tcPr>
            <w:tcW w:w="1028" w:type="pct"/>
            <w:shd w:val="clear" w:color="auto" w:fill="auto"/>
            <w:vAlign w:val="center"/>
          </w:tcPr>
          <w:p w14:paraId="1D5801F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 (1.7 deri 2.3)</w:t>
            </w:r>
          </w:p>
        </w:tc>
        <w:tc>
          <w:tcPr>
            <w:tcW w:w="1029" w:type="pct"/>
            <w:shd w:val="clear" w:color="auto" w:fill="auto"/>
            <w:vAlign w:val="center"/>
          </w:tcPr>
          <w:p w14:paraId="5450D42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 (1.9 deri 2.7)</w:t>
            </w:r>
          </w:p>
        </w:tc>
      </w:tr>
      <w:tr w:rsidR="00591820" w:rsidRPr="00445472" w14:paraId="451EC5D2" w14:textId="77777777" w:rsidTr="006B0D9F">
        <w:tc>
          <w:tcPr>
            <w:tcW w:w="886" w:type="pct"/>
            <w:shd w:val="clear" w:color="auto" w:fill="auto"/>
            <w:vAlign w:val="center"/>
          </w:tcPr>
          <w:p w14:paraId="60DA475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Pranverë</w:t>
            </w:r>
          </w:p>
        </w:tc>
        <w:tc>
          <w:tcPr>
            <w:tcW w:w="1028" w:type="pct"/>
            <w:shd w:val="clear" w:color="auto" w:fill="auto"/>
            <w:vAlign w:val="center"/>
          </w:tcPr>
          <w:p w14:paraId="30F0B0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1.0 (0.8 deri 1.12) </w:t>
            </w:r>
          </w:p>
        </w:tc>
        <w:tc>
          <w:tcPr>
            <w:tcW w:w="1028" w:type="pct"/>
            <w:shd w:val="clear" w:color="auto" w:fill="auto"/>
            <w:vAlign w:val="center"/>
          </w:tcPr>
          <w:p w14:paraId="1CA1805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1.5 (1.3 deri 1.8) </w:t>
            </w:r>
          </w:p>
        </w:tc>
        <w:tc>
          <w:tcPr>
            <w:tcW w:w="1028" w:type="pct"/>
            <w:shd w:val="clear" w:color="auto" w:fill="auto"/>
            <w:vAlign w:val="center"/>
          </w:tcPr>
          <w:p w14:paraId="7AC52C5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2.6 (2.2 deri 3.0) </w:t>
            </w:r>
          </w:p>
        </w:tc>
        <w:tc>
          <w:tcPr>
            <w:tcW w:w="1029" w:type="pct"/>
            <w:shd w:val="clear" w:color="auto" w:fill="auto"/>
            <w:vAlign w:val="center"/>
          </w:tcPr>
          <w:p w14:paraId="79441D2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 (2.6 deri 3.6)</w:t>
            </w:r>
          </w:p>
        </w:tc>
      </w:tr>
      <w:tr w:rsidR="00591820" w:rsidRPr="00445472" w14:paraId="617BBCC6" w14:textId="77777777" w:rsidTr="006B0D9F">
        <w:tc>
          <w:tcPr>
            <w:tcW w:w="886" w:type="pct"/>
            <w:shd w:val="clear" w:color="auto" w:fill="auto"/>
            <w:vAlign w:val="center"/>
          </w:tcPr>
          <w:p w14:paraId="4897D7B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Verë</w:t>
            </w:r>
          </w:p>
        </w:tc>
        <w:tc>
          <w:tcPr>
            <w:tcW w:w="1028" w:type="pct"/>
            <w:shd w:val="clear" w:color="auto" w:fill="auto"/>
            <w:vAlign w:val="center"/>
          </w:tcPr>
          <w:p w14:paraId="043C4E5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1.6 (0.5 deri 1.8) </w:t>
            </w:r>
          </w:p>
        </w:tc>
        <w:tc>
          <w:tcPr>
            <w:tcW w:w="1028" w:type="pct"/>
            <w:shd w:val="clear" w:color="auto" w:fill="auto"/>
            <w:vAlign w:val="center"/>
          </w:tcPr>
          <w:p w14:paraId="18955F6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2.5 (2.1 deri 2.8)</w:t>
            </w:r>
          </w:p>
        </w:tc>
        <w:tc>
          <w:tcPr>
            <w:tcW w:w="1028" w:type="pct"/>
            <w:shd w:val="clear" w:color="auto" w:fill="auto"/>
            <w:vAlign w:val="center"/>
          </w:tcPr>
          <w:p w14:paraId="3579D46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4.3 (3.8 deri 4.9)</w:t>
            </w:r>
          </w:p>
        </w:tc>
        <w:tc>
          <w:tcPr>
            <w:tcW w:w="1029" w:type="pct"/>
            <w:shd w:val="clear" w:color="auto" w:fill="auto"/>
            <w:vAlign w:val="center"/>
          </w:tcPr>
          <w:p w14:paraId="1DD7238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5.3 (4.6 deri 6.0)</w:t>
            </w:r>
          </w:p>
        </w:tc>
      </w:tr>
      <w:tr w:rsidR="00591820" w:rsidRPr="00445472" w14:paraId="22C22BF0" w14:textId="77777777" w:rsidTr="006B0D9F">
        <w:tc>
          <w:tcPr>
            <w:tcW w:w="886" w:type="pct"/>
            <w:shd w:val="clear" w:color="auto" w:fill="auto"/>
            <w:vAlign w:val="center"/>
          </w:tcPr>
          <w:p w14:paraId="6305EEF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Vjeshtë</w:t>
            </w:r>
          </w:p>
        </w:tc>
        <w:tc>
          <w:tcPr>
            <w:tcW w:w="1028" w:type="pct"/>
            <w:shd w:val="clear" w:color="auto" w:fill="auto"/>
            <w:vAlign w:val="center"/>
          </w:tcPr>
          <w:p w14:paraId="75AE51C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1.0 (1.0 deri 1.1) </w:t>
            </w:r>
          </w:p>
        </w:tc>
        <w:tc>
          <w:tcPr>
            <w:tcW w:w="1028" w:type="pct"/>
            <w:shd w:val="clear" w:color="auto" w:fill="auto"/>
            <w:vAlign w:val="center"/>
          </w:tcPr>
          <w:p w14:paraId="3B8502E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 (1.5 deri 1.8)</w:t>
            </w:r>
          </w:p>
        </w:tc>
        <w:tc>
          <w:tcPr>
            <w:tcW w:w="1028" w:type="pct"/>
            <w:shd w:val="clear" w:color="auto" w:fill="auto"/>
            <w:vAlign w:val="center"/>
          </w:tcPr>
          <w:p w14:paraId="78CD6B9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 (2.7 deri 3.0)</w:t>
            </w:r>
          </w:p>
        </w:tc>
        <w:tc>
          <w:tcPr>
            <w:tcW w:w="1029" w:type="pct"/>
            <w:shd w:val="clear" w:color="auto" w:fill="auto"/>
            <w:vAlign w:val="center"/>
          </w:tcPr>
          <w:p w14:paraId="7BA5CD4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 (3.2 deri 3.7)</w:t>
            </w:r>
          </w:p>
        </w:tc>
      </w:tr>
    </w:tbl>
    <w:p w14:paraId="258A99CB" w14:textId="77777777" w:rsidR="006B0D9F" w:rsidRPr="00445472" w:rsidRDefault="006B0D9F" w:rsidP="006B0D9F">
      <w:pPr>
        <w:pStyle w:val="TEKSTIIII"/>
      </w:pPr>
    </w:p>
    <w:p w14:paraId="0E1C60BF" w14:textId="77777777" w:rsidR="00591820" w:rsidRPr="00445472" w:rsidRDefault="00591820" w:rsidP="006B0D9F">
      <w:pPr>
        <w:pStyle w:val="TEKSTIIII"/>
      </w:pPr>
      <w:r w:rsidRPr="00445472">
        <w:t xml:space="preserve">Ajo që është e rëndësishme është se rritjet më të mëdha priten gjatë verës. Një pasojë e kësaj do të jetë kërkesa për ujë për ujitje. Një pasojë e dytë do të jetë rritja e frekuencës dhe intensitetit të stuhive të verës. Rritja e temperaturës në pranverë do të ketë një ndikim në përmbytjet, pasi shumë vërshime janë kombinim i reshjeve dhe i borës. </w:t>
      </w:r>
    </w:p>
    <w:p w14:paraId="71B82898" w14:textId="77777777" w:rsidR="00591820" w:rsidRPr="00445472" w:rsidRDefault="00591820" w:rsidP="006B0D9F">
      <w:pPr>
        <w:pStyle w:val="TEKSTIIII"/>
      </w:pPr>
      <w:r w:rsidRPr="00445472">
        <w:t>Tabela 9.10 tregon ndryshimin e parashikuar të reshjeve, i cili zbulon në përgjithësi  se reshjet pritet të ulen në të gjitha stinët gjatë shekullit të ardhshëm.</w:t>
      </w:r>
    </w:p>
    <w:p w14:paraId="40FA4BAD" w14:textId="77777777" w:rsidR="00591820" w:rsidRPr="00445472" w:rsidRDefault="00591820" w:rsidP="006B0D9F">
      <w:pPr>
        <w:pStyle w:val="NENTITULL"/>
      </w:pPr>
    </w:p>
    <w:p w14:paraId="5D35FA72" w14:textId="77777777" w:rsidR="00591820" w:rsidRPr="00445472" w:rsidRDefault="00591820" w:rsidP="006B0D9F">
      <w:pPr>
        <w:pStyle w:val="NENTITULL"/>
        <w:rPr>
          <w:bCs/>
        </w:rPr>
      </w:pPr>
      <w:r w:rsidRPr="00445472">
        <w:rPr>
          <w:bCs/>
        </w:rPr>
        <w:t>Tabela 9.10: Parashikimet e ndryshimeve të reshjeve (%) për horizonte të ndryshme kohore lidhur me vitin 1990</w:t>
      </w:r>
    </w:p>
    <w:tbl>
      <w:tblP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647"/>
        <w:gridCol w:w="1910"/>
        <w:gridCol w:w="1910"/>
        <w:gridCol w:w="1909"/>
        <w:gridCol w:w="1911"/>
      </w:tblGrid>
      <w:tr w:rsidR="00591820" w:rsidRPr="00445472" w14:paraId="3292B95C" w14:textId="77777777" w:rsidTr="006B0D9F">
        <w:tc>
          <w:tcPr>
            <w:tcW w:w="886" w:type="pct"/>
            <w:shd w:val="clear" w:color="auto" w:fill="D9D9D9"/>
            <w:vAlign w:val="center"/>
          </w:tcPr>
          <w:p w14:paraId="7AD5D601"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Vite</w:t>
            </w:r>
          </w:p>
        </w:tc>
        <w:tc>
          <w:tcPr>
            <w:tcW w:w="1028" w:type="pct"/>
            <w:shd w:val="clear" w:color="auto" w:fill="D9D9D9"/>
            <w:vAlign w:val="center"/>
          </w:tcPr>
          <w:p w14:paraId="787FE875"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2030</w:t>
            </w:r>
          </w:p>
        </w:tc>
        <w:tc>
          <w:tcPr>
            <w:tcW w:w="1028" w:type="pct"/>
            <w:shd w:val="clear" w:color="auto" w:fill="D9D9D9"/>
            <w:vAlign w:val="center"/>
          </w:tcPr>
          <w:p w14:paraId="5E05D9B2"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2050</w:t>
            </w:r>
          </w:p>
        </w:tc>
        <w:tc>
          <w:tcPr>
            <w:tcW w:w="1028" w:type="pct"/>
            <w:shd w:val="clear" w:color="auto" w:fill="D9D9D9"/>
            <w:vAlign w:val="center"/>
          </w:tcPr>
          <w:p w14:paraId="217D71F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2080</w:t>
            </w:r>
          </w:p>
        </w:tc>
        <w:tc>
          <w:tcPr>
            <w:tcW w:w="1029" w:type="pct"/>
            <w:shd w:val="clear" w:color="auto" w:fill="D9D9D9"/>
            <w:vAlign w:val="center"/>
          </w:tcPr>
          <w:p w14:paraId="648A8EB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2100</w:t>
            </w:r>
          </w:p>
        </w:tc>
      </w:tr>
      <w:tr w:rsidR="00591820" w:rsidRPr="00445472" w14:paraId="2D25A6E6" w14:textId="77777777" w:rsidTr="006B0D9F">
        <w:tc>
          <w:tcPr>
            <w:tcW w:w="886" w:type="pct"/>
            <w:shd w:val="clear" w:color="auto" w:fill="auto"/>
            <w:vAlign w:val="center"/>
          </w:tcPr>
          <w:p w14:paraId="41DDC9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Vjetore</w:t>
            </w:r>
          </w:p>
        </w:tc>
        <w:tc>
          <w:tcPr>
            <w:tcW w:w="1028" w:type="pct"/>
            <w:shd w:val="clear" w:color="auto" w:fill="auto"/>
            <w:vAlign w:val="center"/>
          </w:tcPr>
          <w:p w14:paraId="74994CB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3.84 </w:t>
            </w:r>
          </w:p>
          <w:p w14:paraId="3820CF5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(-35.4 deri 27.7) </w:t>
            </w:r>
          </w:p>
        </w:tc>
        <w:tc>
          <w:tcPr>
            <w:tcW w:w="1028" w:type="pct"/>
            <w:shd w:val="clear" w:color="auto" w:fill="auto"/>
            <w:vAlign w:val="center"/>
          </w:tcPr>
          <w:p w14:paraId="5DBFF65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-8.46 </w:t>
            </w:r>
          </w:p>
          <w:p w14:paraId="2859E2A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(-56.0 deri 47.4)</w:t>
            </w:r>
          </w:p>
        </w:tc>
        <w:tc>
          <w:tcPr>
            <w:tcW w:w="1028" w:type="pct"/>
            <w:shd w:val="clear" w:color="auto" w:fill="auto"/>
            <w:vAlign w:val="center"/>
          </w:tcPr>
          <w:p w14:paraId="1B5947B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-14.37</w:t>
            </w:r>
          </w:p>
          <w:p w14:paraId="4B1FD9B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 (-78.6 deri 81.1)</w:t>
            </w:r>
          </w:p>
        </w:tc>
        <w:tc>
          <w:tcPr>
            <w:tcW w:w="1029" w:type="pct"/>
            <w:shd w:val="clear" w:color="auto" w:fill="auto"/>
            <w:vAlign w:val="center"/>
          </w:tcPr>
          <w:p w14:paraId="1FEF425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-18.13 </w:t>
            </w:r>
          </w:p>
          <w:p w14:paraId="38D060F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(-89.7 deri 94.9)</w:t>
            </w:r>
          </w:p>
        </w:tc>
      </w:tr>
      <w:tr w:rsidR="00591820" w:rsidRPr="00445472" w14:paraId="607C22A0" w14:textId="77777777" w:rsidTr="006B0D9F">
        <w:tc>
          <w:tcPr>
            <w:tcW w:w="886" w:type="pct"/>
            <w:shd w:val="clear" w:color="auto" w:fill="auto"/>
            <w:vAlign w:val="center"/>
          </w:tcPr>
          <w:p w14:paraId="188088F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Dimër</w:t>
            </w:r>
          </w:p>
        </w:tc>
        <w:tc>
          <w:tcPr>
            <w:tcW w:w="1028" w:type="pct"/>
            <w:shd w:val="clear" w:color="auto" w:fill="auto"/>
            <w:vAlign w:val="center"/>
          </w:tcPr>
          <w:p w14:paraId="16143E0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-5.96 </w:t>
            </w:r>
          </w:p>
          <w:p w14:paraId="219C96D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(-15.9 deri 4.0) </w:t>
            </w:r>
          </w:p>
        </w:tc>
        <w:tc>
          <w:tcPr>
            <w:tcW w:w="1028" w:type="pct"/>
            <w:shd w:val="clear" w:color="auto" w:fill="auto"/>
            <w:vAlign w:val="center"/>
          </w:tcPr>
          <w:p w14:paraId="0F5493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-10 </w:t>
            </w:r>
          </w:p>
          <w:p w14:paraId="3ABC87D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(-27.9 deri 7.7)</w:t>
            </w:r>
          </w:p>
        </w:tc>
        <w:tc>
          <w:tcPr>
            <w:tcW w:w="1028" w:type="pct"/>
            <w:shd w:val="clear" w:color="auto" w:fill="auto"/>
            <w:vAlign w:val="center"/>
          </w:tcPr>
          <w:p w14:paraId="6DB38C7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-14.3 </w:t>
            </w:r>
          </w:p>
          <w:p w14:paraId="1C213AE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(-44.6 deri 16.1)</w:t>
            </w:r>
          </w:p>
        </w:tc>
        <w:tc>
          <w:tcPr>
            <w:tcW w:w="1029" w:type="pct"/>
            <w:shd w:val="clear" w:color="auto" w:fill="auto"/>
            <w:vAlign w:val="center"/>
          </w:tcPr>
          <w:p w14:paraId="41DE73D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-18.1 </w:t>
            </w:r>
          </w:p>
          <w:p w14:paraId="0E0E952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(-55.8 deri 19.6)</w:t>
            </w:r>
          </w:p>
        </w:tc>
      </w:tr>
      <w:tr w:rsidR="00591820" w:rsidRPr="00445472" w14:paraId="63D4F8FF" w14:textId="77777777" w:rsidTr="006B0D9F">
        <w:tc>
          <w:tcPr>
            <w:tcW w:w="886" w:type="pct"/>
            <w:shd w:val="clear" w:color="auto" w:fill="auto"/>
            <w:vAlign w:val="center"/>
          </w:tcPr>
          <w:p w14:paraId="154935D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Pranverë</w:t>
            </w:r>
          </w:p>
        </w:tc>
        <w:tc>
          <w:tcPr>
            <w:tcW w:w="1028" w:type="pct"/>
            <w:shd w:val="clear" w:color="auto" w:fill="auto"/>
            <w:vAlign w:val="center"/>
          </w:tcPr>
          <w:p w14:paraId="34A300D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-2.45</w:t>
            </w:r>
          </w:p>
          <w:p w14:paraId="6C636D5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 (-11.9 deri 7.0) </w:t>
            </w:r>
          </w:p>
        </w:tc>
        <w:tc>
          <w:tcPr>
            <w:tcW w:w="1028" w:type="pct"/>
            <w:shd w:val="clear" w:color="auto" w:fill="auto"/>
            <w:vAlign w:val="center"/>
          </w:tcPr>
          <w:p w14:paraId="3D65FEB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-7.26 </w:t>
            </w:r>
          </w:p>
          <w:p w14:paraId="0CE98C2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(-25.3 deri 10.75)</w:t>
            </w:r>
          </w:p>
        </w:tc>
        <w:tc>
          <w:tcPr>
            <w:tcW w:w="1028" w:type="pct"/>
            <w:shd w:val="clear" w:color="auto" w:fill="auto"/>
            <w:vAlign w:val="center"/>
          </w:tcPr>
          <w:p w14:paraId="76B337B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-14.26 </w:t>
            </w:r>
          </w:p>
          <w:p w14:paraId="546D6F7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(-45.1 deri 16.6</w:t>
            </w:r>
          </w:p>
        </w:tc>
        <w:tc>
          <w:tcPr>
            <w:tcW w:w="1029" w:type="pct"/>
            <w:shd w:val="clear" w:color="auto" w:fill="auto"/>
            <w:vAlign w:val="center"/>
          </w:tcPr>
          <w:p w14:paraId="055A68E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-17.7 </w:t>
            </w:r>
          </w:p>
          <w:p w14:paraId="78760CC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(-55.3 deri 19.8)</w:t>
            </w:r>
          </w:p>
        </w:tc>
      </w:tr>
      <w:tr w:rsidR="00591820" w:rsidRPr="00445472" w14:paraId="4B89E20F" w14:textId="77777777" w:rsidTr="006B0D9F">
        <w:trPr>
          <w:trHeight w:val="683"/>
        </w:trPr>
        <w:tc>
          <w:tcPr>
            <w:tcW w:w="886" w:type="pct"/>
            <w:shd w:val="clear" w:color="auto" w:fill="auto"/>
            <w:vAlign w:val="center"/>
          </w:tcPr>
          <w:p w14:paraId="7C612C3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Verë</w:t>
            </w:r>
          </w:p>
        </w:tc>
        <w:tc>
          <w:tcPr>
            <w:tcW w:w="1028" w:type="pct"/>
            <w:shd w:val="clear" w:color="auto" w:fill="auto"/>
            <w:vAlign w:val="center"/>
          </w:tcPr>
          <w:p w14:paraId="36EA5B8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-10.4 </w:t>
            </w:r>
          </w:p>
          <w:p w14:paraId="57C6153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(-12.8 deri -7.9) </w:t>
            </w:r>
          </w:p>
        </w:tc>
        <w:tc>
          <w:tcPr>
            <w:tcW w:w="1028" w:type="pct"/>
            <w:shd w:val="clear" w:color="auto" w:fill="auto"/>
            <w:vAlign w:val="center"/>
          </w:tcPr>
          <w:p w14:paraId="6528001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-19.7</w:t>
            </w:r>
          </w:p>
          <w:p w14:paraId="4A9980C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(-24.1 deri -15.3)</w:t>
            </w:r>
          </w:p>
        </w:tc>
        <w:tc>
          <w:tcPr>
            <w:tcW w:w="1028" w:type="pct"/>
            <w:shd w:val="clear" w:color="auto" w:fill="auto"/>
            <w:vAlign w:val="center"/>
          </w:tcPr>
          <w:p w14:paraId="7DED174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-41.9 </w:t>
            </w:r>
          </w:p>
          <w:p w14:paraId="0BA2A3E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(-49.2 deri -34.5)</w:t>
            </w:r>
          </w:p>
        </w:tc>
        <w:tc>
          <w:tcPr>
            <w:tcW w:w="1029" w:type="pct"/>
            <w:shd w:val="clear" w:color="auto" w:fill="auto"/>
            <w:vAlign w:val="center"/>
          </w:tcPr>
          <w:p w14:paraId="7975EBA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-50.4 </w:t>
            </w:r>
          </w:p>
          <w:p w14:paraId="3BDDEAE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(-59.4 deri -41.3)</w:t>
            </w:r>
          </w:p>
        </w:tc>
      </w:tr>
      <w:tr w:rsidR="00591820" w:rsidRPr="00445472" w14:paraId="078B58E7" w14:textId="77777777" w:rsidTr="006B0D9F">
        <w:tc>
          <w:tcPr>
            <w:tcW w:w="886" w:type="pct"/>
            <w:shd w:val="clear" w:color="auto" w:fill="auto"/>
            <w:vAlign w:val="center"/>
          </w:tcPr>
          <w:p w14:paraId="03B2252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Vjeshtë</w:t>
            </w:r>
          </w:p>
        </w:tc>
        <w:tc>
          <w:tcPr>
            <w:tcW w:w="1028" w:type="pct"/>
            <w:shd w:val="clear" w:color="auto" w:fill="auto"/>
            <w:vAlign w:val="center"/>
          </w:tcPr>
          <w:p w14:paraId="644727F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0.5 </w:t>
            </w:r>
          </w:p>
          <w:p w14:paraId="18D646A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(-10.1 deri 11.1) </w:t>
            </w:r>
          </w:p>
        </w:tc>
        <w:tc>
          <w:tcPr>
            <w:tcW w:w="1028" w:type="pct"/>
            <w:shd w:val="clear" w:color="auto" w:fill="auto"/>
            <w:vAlign w:val="center"/>
          </w:tcPr>
          <w:p w14:paraId="6F60D5B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-2.5 </w:t>
            </w:r>
          </w:p>
          <w:p w14:paraId="70F3F35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(-21.3 deri 16.3)</w:t>
            </w:r>
          </w:p>
        </w:tc>
        <w:tc>
          <w:tcPr>
            <w:tcW w:w="1028" w:type="pct"/>
            <w:shd w:val="clear" w:color="auto" w:fill="auto"/>
            <w:vAlign w:val="center"/>
          </w:tcPr>
          <w:p w14:paraId="59CC635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-6.9 </w:t>
            </w:r>
          </w:p>
          <w:p w14:paraId="110C0D1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(-38.1 deri 25.2)</w:t>
            </w:r>
          </w:p>
        </w:tc>
        <w:tc>
          <w:tcPr>
            <w:tcW w:w="1029" w:type="pct"/>
            <w:shd w:val="clear" w:color="auto" w:fill="auto"/>
            <w:vAlign w:val="center"/>
          </w:tcPr>
          <w:p w14:paraId="165F41A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-9.5 </w:t>
            </w:r>
          </w:p>
          <w:p w14:paraId="5F66D87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(-48.1 deri 29.1)</w:t>
            </w:r>
          </w:p>
        </w:tc>
      </w:tr>
    </w:tbl>
    <w:p w14:paraId="07DE3937" w14:textId="77777777" w:rsidR="00591820" w:rsidRPr="00445472" w:rsidRDefault="00591820" w:rsidP="006B0D9F">
      <w:pPr>
        <w:pStyle w:val="TEKSTIIII"/>
      </w:pPr>
    </w:p>
    <w:p w14:paraId="7345954B" w14:textId="03416F3E" w:rsidR="00591820" w:rsidRPr="00445472" w:rsidRDefault="00591820" w:rsidP="006B0D9F">
      <w:pPr>
        <w:pStyle w:val="TEKSTIIII"/>
      </w:pPr>
      <w:r w:rsidRPr="00445472">
        <w:t xml:space="preserve">Të dhënat kombëtare gjithashtu paraqesin reshjet 24-orëshe për periudha të ndryshme të kthimit, por nuk e paraqesin këtë si një ndryshim në lidhje me kushtet aktuale. Megjithatë, theksojnë se </w:t>
      </w:r>
      <w:r w:rsidR="00D62EDF" w:rsidRPr="00445472">
        <w:t>“</w:t>
      </w:r>
      <w:r w:rsidRPr="00445472">
        <w:t>edhe pse numri i ngjarjeve ekstreme të reshjeve mund të pritet të rritet në aspektin e madhësisë dhe frekuencës, në përgjithësi nivelet e reduktuara të reshjeve do të çojnë gjithashtu në një rritje të numrit të ditëve të njëpasnjëshme pa reshje (thatësi)</w:t>
      </w:r>
      <w:r w:rsidR="00D62EDF" w:rsidRPr="00445472">
        <w:t>”</w:t>
      </w:r>
      <w:r w:rsidRPr="00445472">
        <w:t>.</w:t>
      </w:r>
    </w:p>
    <w:p w14:paraId="4F7D65CA" w14:textId="77777777" w:rsidR="00591820" w:rsidRPr="00445472" w:rsidRDefault="00591820" w:rsidP="006B0D9F">
      <w:pPr>
        <w:pStyle w:val="TEKSTIIII"/>
      </w:pPr>
      <w:r w:rsidRPr="00445472">
        <w:t>Një kufizim i Kontributit Kombëtar është që bazohet kryesisht në parashikimet e paraqitura në Raportin e Vlerësimit të vitit 2007. Raporti më i fundit i vlerësimit i PKKN-së u publikua në vitin 2013 dhe zëvendësoi skenarët e SRES me Shtigje Përqendrimi Përfaqësuese (RCP). Këto janë përmendur shkurtimisht në një shtojcë të Kontributit të Tretë Kombëtar.</w:t>
      </w:r>
    </w:p>
    <w:p w14:paraId="18B6E6DA" w14:textId="77777777" w:rsidR="00591820" w:rsidRPr="00445472" w:rsidRDefault="00591820" w:rsidP="006B0D9F">
      <w:pPr>
        <w:pStyle w:val="TEKSTIIII"/>
      </w:pPr>
      <w:r w:rsidRPr="00445472">
        <w:t>Një analizë e kryer në kuadër të këtij projekti identifikoi katër modele klimatike si përfaqësues të rajonit të Ballkanit. Këto ishin:</w:t>
      </w:r>
    </w:p>
    <w:p w14:paraId="3BC30553" w14:textId="0093F105" w:rsidR="00591820" w:rsidRPr="00445472" w:rsidRDefault="00393681" w:rsidP="006B0D9F">
      <w:pPr>
        <w:pStyle w:val="TEKSTIIII"/>
      </w:pPr>
      <w:r>
        <w:t xml:space="preserve">- </w:t>
      </w:r>
      <w:r w:rsidR="00591820" w:rsidRPr="00445472">
        <w:t>CNRM-CM5. Qendra Kombëtare për Hulumtime Meteorologjike, Francë</w:t>
      </w:r>
    </w:p>
    <w:p w14:paraId="43B0099C" w14:textId="4691FFC4" w:rsidR="00591820" w:rsidRPr="00445472" w:rsidRDefault="00393681" w:rsidP="006B0D9F">
      <w:pPr>
        <w:pStyle w:val="TEKSTIIII"/>
      </w:pPr>
      <w:r>
        <w:t xml:space="preserve">- </w:t>
      </w:r>
      <w:r w:rsidR="00591820" w:rsidRPr="00445472">
        <w:t>EC-EARTH. Qendra E</w:t>
      </w:r>
      <w:r w:rsidR="00A434CA" w:rsidRPr="00445472">
        <w:t>v</w:t>
      </w:r>
      <w:r w:rsidR="00591820" w:rsidRPr="00445472">
        <w:t>ropiane për Parashikimin e Motit të Mesëm</w:t>
      </w:r>
    </w:p>
    <w:p w14:paraId="536D71F3" w14:textId="6A0DEFD2" w:rsidR="00591820" w:rsidRPr="00445472" w:rsidRDefault="00393681" w:rsidP="006B0D9F">
      <w:pPr>
        <w:pStyle w:val="TEKSTIIII"/>
      </w:pPr>
      <w:r>
        <w:t xml:space="preserve">- </w:t>
      </w:r>
      <w:r w:rsidR="00591820" w:rsidRPr="00445472">
        <w:t>HadGEM2-ES, Zyra Meteorologjike, Mbretëria e Bashkuar.</w:t>
      </w:r>
    </w:p>
    <w:p w14:paraId="28B94DAC" w14:textId="33B64CFE" w:rsidR="00591820" w:rsidRPr="00445472" w:rsidRDefault="00393681" w:rsidP="006B0D9F">
      <w:pPr>
        <w:pStyle w:val="TEKSTIIII"/>
      </w:pPr>
      <w:r>
        <w:t xml:space="preserve">- </w:t>
      </w:r>
      <w:r w:rsidR="00591820" w:rsidRPr="00445472">
        <w:t>MPI-ESM-MR, Max-Planck-Institut für Meteorologie, Gjermani.</w:t>
      </w:r>
    </w:p>
    <w:p w14:paraId="67E58384" w14:textId="77777777" w:rsidR="00591820" w:rsidRPr="00445472" w:rsidRDefault="00591820" w:rsidP="006B0D9F">
      <w:pPr>
        <w:pStyle w:val="TEKSTIIII"/>
      </w:pPr>
      <w:r w:rsidRPr="00445472">
        <w:t>Parashikimet e reshjeve u shkarkuan për të katër modelet. Analiza të mëtejshme të prodhimit të modeluar u përqendrua në reshjet dhe arriti në përfundimin se modeli CNRM e përfaqësonte më mirë atë, edhe pse jo dukshëm më i saktë se modelet e tjera.</w:t>
      </w:r>
    </w:p>
    <w:p w14:paraId="6AF35C75" w14:textId="71B00151" w:rsidR="00591820" w:rsidRPr="00445472" w:rsidRDefault="00591820" w:rsidP="006B0D9F">
      <w:pPr>
        <w:pStyle w:val="TEKSTIIII"/>
      </w:pPr>
      <w:r w:rsidRPr="00445472">
        <w:t>Si pjesë e ushtrimit të përgjithshëm me përdorimin e modeleve klimatike të koordinuara nga PKKN, u krijua një studim i veçantë i Ekipit të Ekspertëve për Zbulimin dhe Indeksin e Ndryshimeve Klimatike (ETCCDI). Ky ekip nxori parashikime mbi ngjarjet ekstreme të motit nga modelet klimatike, prodhimi i të cilëve u përdor për të informuar raportin e vlerësimit të PKKN-së për vitin 2013. Ndër parametrat që ata analizuan ishin sasitë maksimale të reshjeve në çdo vit deri në 2100. Nga të katër modelet e përmendura më lart një prej tyre, EC-EARTH, nuk kontribuoi në këtë studim suplementar. Të dhënat për këtë parametër për tr</w:t>
      </w:r>
      <w:r w:rsidR="00950A66">
        <w:t>i</w:t>
      </w:r>
      <w:r w:rsidRPr="00445472">
        <w:t xml:space="preserve"> modelet e mbetura u shkarkuan nga faqja e internetit Climate Explorer e Shërbimit Meteorologjik të Holandës.</w:t>
      </w:r>
    </w:p>
    <w:p w14:paraId="152ED7DD" w14:textId="5C01EBFA" w:rsidR="00591820" w:rsidRPr="00445472" w:rsidRDefault="00591820" w:rsidP="006B0D9F">
      <w:pPr>
        <w:pStyle w:val="TEKSTIIII"/>
      </w:pPr>
      <w:r w:rsidRPr="00445472">
        <w:t xml:space="preserve">Grafiku i mëposhtëm bazohet në qelizat e modelit, të cilat përafrohen me sipërfaqen e basenit ujor  </w:t>
      </w:r>
      <w:r w:rsidR="007E76E3" w:rsidRPr="00445472">
        <w:t>Drin–Bunë</w:t>
      </w:r>
      <w:r w:rsidRPr="00445472">
        <w:t xml:space="preserve">. Megjithatë, duke pasur parasysh se qelizat model zakonisht mbulojnë një sipërfaqe prej 100 * 50 atëherë ato përfaqësojnë një zonë që shpesh shtrihet përtej basenit. </w:t>
      </w:r>
    </w:p>
    <w:p w14:paraId="36E9C6F5" w14:textId="79E3112F" w:rsidR="006B0D9F" w:rsidRPr="00445472" w:rsidRDefault="00591820" w:rsidP="006B0D9F">
      <w:pPr>
        <w:pStyle w:val="TEKSTIIII"/>
      </w:pPr>
      <w:r w:rsidRPr="00445472">
        <w:t>Kolona e parë tregon ndryshimin e përqindjes në reshjet maksimale mesatare vjetore 2020 deri 2100 në krahasim me periudhën 1990-2020. Kolona e dytë tregon rritjen e reshjeve 1</w:t>
      </w:r>
      <w:r w:rsidR="00E14B89">
        <w:t xml:space="preserve"> </w:t>
      </w:r>
      <w:r w:rsidRPr="00445472">
        <w:t>në</w:t>
      </w:r>
      <w:r w:rsidR="00E14B89">
        <w:t xml:space="preserve"> </w:t>
      </w:r>
      <w:r w:rsidRPr="00445472">
        <w:t>25-vjeçare për periudhën.</w:t>
      </w:r>
      <w:r w:rsidR="00A434CA" w:rsidRPr="00445472">
        <w:t xml:space="preserve"> </w:t>
      </w:r>
      <w:r w:rsidRPr="00445472">
        <w:t>Kjo merr parasysh devijimin mesatar dhe standard.</w:t>
      </w:r>
    </w:p>
    <w:p w14:paraId="6687CFD2" w14:textId="529E6F14" w:rsidR="00591820" w:rsidRPr="00445472" w:rsidRDefault="00591820" w:rsidP="006B0D9F">
      <w:pPr>
        <w:pStyle w:val="TEKSTIIII"/>
      </w:pPr>
    </w:p>
    <w:p w14:paraId="033CA0DB" w14:textId="71D1F21D" w:rsidR="00591820" w:rsidRPr="00445472" w:rsidRDefault="00591820" w:rsidP="006B0D9F">
      <w:pPr>
        <w:pStyle w:val="NENTITULL"/>
      </w:pPr>
      <w:r w:rsidRPr="00445472">
        <w:t xml:space="preserve">Tabela 9.11: Modelimi i reshjeve në basenin ujor </w:t>
      </w:r>
      <w:r w:rsidR="007E76E3" w:rsidRPr="00445472">
        <w:t>Drin–Bunë</w:t>
      </w:r>
    </w:p>
    <w:tbl>
      <w:tblPr>
        <w:tblW w:w="0" w:type="auto"/>
        <w:tblInd w:w="250"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740"/>
        <w:gridCol w:w="3512"/>
        <w:gridCol w:w="3514"/>
      </w:tblGrid>
      <w:tr w:rsidR="00591820" w:rsidRPr="00445472" w14:paraId="38DC9F46" w14:textId="77777777" w:rsidTr="002A1F08">
        <w:tc>
          <w:tcPr>
            <w:tcW w:w="1740" w:type="dxa"/>
            <w:shd w:val="clear" w:color="auto" w:fill="D9D9D9"/>
            <w:vAlign w:val="center"/>
          </w:tcPr>
          <w:p w14:paraId="47F3A4CF"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Modeli</w:t>
            </w:r>
          </w:p>
        </w:tc>
        <w:tc>
          <w:tcPr>
            <w:tcW w:w="7026" w:type="dxa"/>
            <w:gridSpan w:val="2"/>
            <w:shd w:val="clear" w:color="auto" w:fill="D9D9D9"/>
            <w:vAlign w:val="center"/>
          </w:tcPr>
          <w:p w14:paraId="69067C54" w14:textId="6F4C1B4D"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Baseni Ujor </w:t>
            </w:r>
            <w:r w:rsidR="007E76E3" w:rsidRPr="00445472">
              <w:rPr>
                <w:rFonts w:ascii="Garamond" w:eastAsia="MS Mincho" w:hAnsi="Garamond" w:cs="Arial"/>
                <w:b/>
                <w:sz w:val="18"/>
                <w:szCs w:val="18"/>
              </w:rPr>
              <w:t>Drin–Bunë</w:t>
            </w:r>
          </w:p>
        </w:tc>
      </w:tr>
      <w:tr w:rsidR="00591820" w:rsidRPr="00445472" w14:paraId="5B402BF3" w14:textId="77777777" w:rsidTr="002A1F08">
        <w:tc>
          <w:tcPr>
            <w:tcW w:w="1740" w:type="dxa"/>
            <w:shd w:val="clear" w:color="auto" w:fill="auto"/>
            <w:vAlign w:val="center"/>
          </w:tcPr>
          <w:p w14:paraId="02D70478" w14:textId="77777777" w:rsidR="00591820" w:rsidRPr="00445472" w:rsidRDefault="00591820" w:rsidP="002A1F08">
            <w:pPr>
              <w:spacing w:before="22" w:after="22"/>
              <w:ind w:right="63"/>
              <w:jc w:val="center"/>
              <w:rPr>
                <w:rFonts w:ascii="Garamond" w:eastAsia="MS Mincho" w:hAnsi="Garamond" w:cs="Arial"/>
                <w:sz w:val="18"/>
                <w:szCs w:val="18"/>
              </w:rPr>
            </w:pPr>
          </w:p>
        </w:tc>
        <w:tc>
          <w:tcPr>
            <w:tcW w:w="3512" w:type="dxa"/>
            <w:shd w:val="clear" w:color="auto" w:fill="auto"/>
            <w:vAlign w:val="center"/>
          </w:tcPr>
          <w:p w14:paraId="0DD3206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Ndryshimi në reshjet maksimale mesatare ditore (%)</w:t>
            </w:r>
          </w:p>
        </w:tc>
        <w:tc>
          <w:tcPr>
            <w:tcW w:w="3514" w:type="dxa"/>
            <w:shd w:val="clear" w:color="auto" w:fill="auto"/>
            <w:vAlign w:val="center"/>
          </w:tcPr>
          <w:p w14:paraId="778DBFDE" w14:textId="7282F59A"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Ndryshimi në reshjet 1</w:t>
            </w:r>
            <w:r w:rsidR="00E14B89">
              <w:rPr>
                <w:rFonts w:ascii="Garamond" w:eastAsia="MS Mincho" w:hAnsi="Garamond" w:cs="Arial"/>
                <w:sz w:val="18"/>
                <w:szCs w:val="18"/>
              </w:rPr>
              <w:t xml:space="preserve"> </w:t>
            </w:r>
            <w:r w:rsidRPr="00445472">
              <w:rPr>
                <w:rFonts w:ascii="Garamond" w:eastAsia="MS Mincho" w:hAnsi="Garamond" w:cs="Arial"/>
                <w:sz w:val="18"/>
                <w:szCs w:val="18"/>
              </w:rPr>
              <w:t>në</w:t>
            </w:r>
            <w:r w:rsidR="00E14B89">
              <w:rPr>
                <w:rFonts w:ascii="Garamond" w:eastAsia="MS Mincho" w:hAnsi="Garamond" w:cs="Arial"/>
                <w:sz w:val="18"/>
                <w:szCs w:val="18"/>
              </w:rPr>
              <w:t xml:space="preserve"> 25-</w:t>
            </w:r>
            <w:r w:rsidRPr="00445472">
              <w:rPr>
                <w:rFonts w:ascii="Garamond" w:eastAsia="MS Mincho" w:hAnsi="Garamond" w:cs="Arial"/>
                <w:sz w:val="18"/>
                <w:szCs w:val="18"/>
              </w:rPr>
              <w:t>vjeçare</w:t>
            </w:r>
          </w:p>
          <w:p w14:paraId="140692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r>
      <w:tr w:rsidR="00591820" w:rsidRPr="00445472" w14:paraId="538286ED" w14:textId="77777777" w:rsidTr="002A1F08">
        <w:tc>
          <w:tcPr>
            <w:tcW w:w="1740" w:type="dxa"/>
            <w:shd w:val="clear" w:color="auto" w:fill="auto"/>
            <w:vAlign w:val="center"/>
          </w:tcPr>
          <w:p w14:paraId="47E2E18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CNRM</w:t>
            </w:r>
          </w:p>
        </w:tc>
        <w:tc>
          <w:tcPr>
            <w:tcW w:w="3512" w:type="dxa"/>
            <w:shd w:val="clear" w:color="auto" w:fill="auto"/>
            <w:vAlign w:val="center"/>
          </w:tcPr>
          <w:p w14:paraId="65F36A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3.9</w:t>
            </w:r>
          </w:p>
        </w:tc>
        <w:tc>
          <w:tcPr>
            <w:tcW w:w="3514" w:type="dxa"/>
            <w:shd w:val="clear" w:color="auto" w:fill="auto"/>
            <w:vAlign w:val="center"/>
          </w:tcPr>
          <w:p w14:paraId="464155B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21.3</w:t>
            </w:r>
          </w:p>
        </w:tc>
      </w:tr>
      <w:tr w:rsidR="00591820" w:rsidRPr="00445472" w14:paraId="7859E17A" w14:textId="77777777" w:rsidTr="002A1F08">
        <w:tc>
          <w:tcPr>
            <w:tcW w:w="1740" w:type="dxa"/>
            <w:shd w:val="clear" w:color="auto" w:fill="auto"/>
            <w:vAlign w:val="center"/>
          </w:tcPr>
          <w:p w14:paraId="517F217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HadGem</w:t>
            </w:r>
          </w:p>
        </w:tc>
        <w:tc>
          <w:tcPr>
            <w:tcW w:w="3512" w:type="dxa"/>
            <w:shd w:val="clear" w:color="auto" w:fill="auto"/>
            <w:vAlign w:val="center"/>
          </w:tcPr>
          <w:p w14:paraId="1532C2B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w:t>
            </w:r>
          </w:p>
        </w:tc>
        <w:tc>
          <w:tcPr>
            <w:tcW w:w="3514" w:type="dxa"/>
            <w:shd w:val="clear" w:color="auto" w:fill="auto"/>
            <w:vAlign w:val="center"/>
          </w:tcPr>
          <w:p w14:paraId="5765D2E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-7.0</w:t>
            </w:r>
          </w:p>
        </w:tc>
      </w:tr>
      <w:tr w:rsidR="00591820" w:rsidRPr="00445472" w14:paraId="292AE8CF" w14:textId="77777777" w:rsidTr="002A1F08">
        <w:tc>
          <w:tcPr>
            <w:tcW w:w="1740" w:type="dxa"/>
            <w:shd w:val="clear" w:color="auto" w:fill="auto"/>
            <w:vAlign w:val="center"/>
          </w:tcPr>
          <w:p w14:paraId="2B2C108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MPI</w:t>
            </w:r>
          </w:p>
        </w:tc>
        <w:tc>
          <w:tcPr>
            <w:tcW w:w="3512" w:type="dxa"/>
            <w:shd w:val="clear" w:color="auto" w:fill="auto"/>
            <w:vAlign w:val="center"/>
          </w:tcPr>
          <w:p w14:paraId="5483447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6.6</w:t>
            </w:r>
          </w:p>
        </w:tc>
        <w:tc>
          <w:tcPr>
            <w:tcW w:w="3514" w:type="dxa"/>
            <w:shd w:val="clear" w:color="auto" w:fill="auto"/>
            <w:vAlign w:val="center"/>
          </w:tcPr>
          <w:p w14:paraId="4AE75EC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9.2</w:t>
            </w:r>
          </w:p>
        </w:tc>
      </w:tr>
    </w:tbl>
    <w:p w14:paraId="6E3206BE" w14:textId="77777777" w:rsidR="00591820" w:rsidRPr="00445472" w:rsidRDefault="00591820" w:rsidP="006B0D9F">
      <w:pPr>
        <w:pStyle w:val="TEKSTIIII"/>
      </w:pPr>
    </w:p>
    <w:p w14:paraId="1039940C" w14:textId="77777777" w:rsidR="00591820" w:rsidRPr="00445472" w:rsidRDefault="00591820" w:rsidP="006B0D9F">
      <w:pPr>
        <w:pStyle w:val="TEKSTIIII"/>
      </w:pPr>
      <w:r w:rsidRPr="00445472">
        <w:t>Konkluzioni i parë është se përmbytja mesatare do të rritet paksa. Megjithatë, reshjet e furishme do të jenë më të ndryshueshme dhe si pasojë disa vite do të kenë përmbytje më të vogla nga e kaluara, por të tjerët do të kenë përmbytje më të mëdha.</w:t>
      </w:r>
    </w:p>
    <w:p w14:paraId="0BF14EEE" w14:textId="77777777" w:rsidR="00591820" w:rsidRPr="00445472" w:rsidRDefault="00591820" w:rsidP="006B0D9F">
      <w:pPr>
        <w:pStyle w:val="TEKSTIIII"/>
      </w:pPr>
      <w:r w:rsidRPr="00445472">
        <w:t>Duhet të theksohet se këto parashikime marrin parasysh vetëm ndikimin e ndryshimeve klimatike. Faktorë të tjerë, si për shembull shpyllëzimi ose urbanizimi në rritje do të kenë gjithashtu ndikim.</w:t>
      </w:r>
    </w:p>
    <w:p w14:paraId="60B705B7" w14:textId="2B841D13" w:rsidR="00591820" w:rsidRPr="00445472" w:rsidRDefault="006B0D9F" w:rsidP="006B0D9F">
      <w:pPr>
        <w:pStyle w:val="NENTITULL"/>
      </w:pPr>
      <w:bookmarkStart w:id="208" w:name="_Toc486503426"/>
      <w:bookmarkStart w:id="209" w:name="_TOC_250015"/>
      <w:bookmarkStart w:id="210" w:name="_Toc11068842"/>
      <w:r w:rsidRPr="00445472">
        <w:t xml:space="preserve">9.9 </w:t>
      </w:r>
      <w:r w:rsidR="00591820" w:rsidRPr="00445472">
        <w:t>Masat e rekomanduara në Projekte të Mëparshme</w:t>
      </w:r>
      <w:bookmarkEnd w:id="208"/>
      <w:bookmarkEnd w:id="209"/>
      <w:bookmarkEnd w:id="210"/>
    </w:p>
    <w:p w14:paraId="68631CCA" w14:textId="065C3035" w:rsidR="00591820" w:rsidRPr="00445472" w:rsidRDefault="006B0D9F" w:rsidP="006B0D9F">
      <w:pPr>
        <w:pStyle w:val="NENTITULL"/>
      </w:pPr>
      <w:bookmarkStart w:id="211" w:name="_Toc11068843"/>
      <w:r w:rsidRPr="00445472">
        <w:t xml:space="preserve">9.9.1 </w:t>
      </w:r>
      <w:r w:rsidR="00591820" w:rsidRPr="00445472">
        <w:t>Masat legjislative dhe institucionale</w:t>
      </w:r>
      <w:bookmarkEnd w:id="211"/>
    </w:p>
    <w:p w14:paraId="3D544D05" w14:textId="77777777" w:rsidR="00591820" w:rsidRPr="00445472" w:rsidRDefault="00591820" w:rsidP="006B0D9F">
      <w:pPr>
        <w:pStyle w:val="TEKSTIIII"/>
      </w:pPr>
      <w:r w:rsidRPr="00445472">
        <w:t>Analiza e ndryshimit e cila krahason situatën legjislative në lidhje me përmbytjet</w:t>
      </w:r>
      <w:hyperlink w:anchor="_bookmark2" w:history="1">
        <w:r w:rsidRPr="00445472">
          <w:rPr>
            <w:rStyle w:val="Hyperlink"/>
            <w:color w:val="auto"/>
            <w:u w:val="none"/>
            <w:vertAlign w:val="superscript"/>
          </w:rPr>
          <w:t>132</w:t>
        </w:r>
      </w:hyperlink>
      <w:r w:rsidRPr="00445472">
        <w:t xml:space="preserve"> në Shqipëri me kërkesat e Direktivës së Përmbytjeve të BE-së tregon se është bërë përparim i mirë. Megjithatë ka mangësi në lidhje me kuadrin institucional të kërkuar sipas Direktivës së Përmbytjeve.</w:t>
      </w:r>
    </w:p>
    <w:p w14:paraId="661B9846" w14:textId="5EC107E4" w:rsidR="00591820" w:rsidRPr="00445472" w:rsidRDefault="006B0D9F" w:rsidP="006B0D9F">
      <w:pPr>
        <w:pStyle w:val="NENTITULL"/>
      </w:pPr>
      <w:bookmarkStart w:id="212" w:name="_Toc11068844"/>
      <w:r w:rsidRPr="00445472">
        <w:t xml:space="preserve">9.9.2 </w:t>
      </w:r>
      <w:r w:rsidR="00591820" w:rsidRPr="00445472">
        <w:t>Korniza efikase organizative</w:t>
      </w:r>
      <w:bookmarkEnd w:id="212"/>
    </w:p>
    <w:p w14:paraId="4BAD9F01" w14:textId="6D1EE36E" w:rsidR="00591820" w:rsidRPr="00445472" w:rsidRDefault="00591820" w:rsidP="006B0D9F">
      <w:pPr>
        <w:pStyle w:val="TEKSTIIII"/>
      </w:pPr>
      <w:r w:rsidRPr="00445472">
        <w:t>Struktura organizative e themeluar korrespondon me kërkesat e Direktivave. Megjithatë, ekziston ende nevoja për të forcuar organizatat e krijuara për të mundësuar që të përmbushin detyrimet e tyre. Kjo situatë nuk është një situatë që lidhet specifikisht vetëm me përmbytjet, por zbatohet në Direktivën e Ujit dhe direktivave të tjera që lidhen me menaxhimin e ujit. Përderisa struktura e propozuar përputhet me kërkesat e Direktivës së Ujit, mund të konsiderohet se ka shpërfillur disa aspekte specifike të hidrogjeologjisë dhe të hidrogeologjisë së Shqipërisë. Për shembull, një krahasim i gjashtë rajoneve të basenit të lumejve të propozuara në Shqipëri tregon se ato do të ishin të krahasueshme me rajonet më të vogla të baseneve në Bashkimin E</w:t>
      </w:r>
      <w:r w:rsidR="00A434CA" w:rsidRPr="00445472">
        <w:t>v</w:t>
      </w:r>
      <w:r w:rsidRPr="00445472">
        <w:t>ropian dhe një përdorim më i mirë i burimeve të pakta mund të k</w:t>
      </w:r>
      <w:r w:rsidR="00A434CA" w:rsidRPr="00445472">
        <w:t>ë</w:t>
      </w:r>
      <w:r w:rsidRPr="00445472">
        <w:t>rkoj</w:t>
      </w:r>
      <w:r w:rsidR="00A434CA" w:rsidRPr="00445472">
        <w:t>ë</w:t>
      </w:r>
      <w:r w:rsidRPr="00445472">
        <w:t xml:space="preserve"> që shumë detyra të kryen në nivel kombëtar.</w:t>
      </w:r>
    </w:p>
    <w:p w14:paraId="5EB9C094" w14:textId="17A8F7FE" w:rsidR="00591820" w:rsidRPr="00445472" w:rsidRDefault="006B0D9F" w:rsidP="006B0D9F">
      <w:pPr>
        <w:pStyle w:val="NENTITULL"/>
      </w:pPr>
      <w:bookmarkStart w:id="213" w:name="_Toc11068845"/>
      <w:r w:rsidRPr="00445472">
        <w:t xml:space="preserve">9.9.3 </w:t>
      </w:r>
      <w:r w:rsidR="00591820" w:rsidRPr="00445472">
        <w:t>Sistemi i mjaftueshëm i monitorimit</w:t>
      </w:r>
      <w:bookmarkEnd w:id="213"/>
    </w:p>
    <w:p w14:paraId="171DD817" w14:textId="718FC76F" w:rsidR="00591820" w:rsidRPr="00445472" w:rsidRDefault="00591820" w:rsidP="006B0D9F">
      <w:pPr>
        <w:pStyle w:val="TEKSTIIII"/>
      </w:pPr>
      <w:r w:rsidRPr="00445472">
        <w:t>Në raportet e analizuara për këtë pjesë të përmbytjeve nuk ka pothuajse asnjë informacion sasior mbi nivelet e ujit ose rrjedhjet e lumenjve në lidhje me përmbytjet e fundit. (Megjithëse një informacion i tillë është i disponueshëm për përmbytjet e viteve 1962</w:t>
      </w:r>
      <w:r w:rsidR="00A434CA" w:rsidRPr="00445472">
        <w:t xml:space="preserve"> – </w:t>
      </w:r>
      <w:r w:rsidRPr="00445472">
        <w:t xml:space="preserve">1963). Pa matje të tilla, është e vështirë të lidhen përshkrimet e përmbytjeve në raportet e mediave me një analizë sasiore të frekuencës së përmbytjeve. Kjo nga ana tjetër do të thotë që një analizë ekonomike e masave për të zvogëluar ndikimin e përmbytjeve nuk mund të përfundojë në një nivel saktësie të pranueshëm. Si prioritet, stacionet e matjes së nivelit të ujit duhet të instalohen në pikat kritike të sistemit të lumenjve kryesorë </w:t>
      </w:r>
      <w:r w:rsidR="00A434CA" w:rsidRPr="00445472">
        <w:t>brenda</w:t>
      </w:r>
      <w:r w:rsidRPr="00445472">
        <w:t xml:space="preserve"> Shqipërisë. Vendndodhja e përshtatshme do të përfshinte: në rrjedhën e sipërme të zonave të ulëta ose zonat e ujitjes, në degët kryesore, degët e zgjedhura dhe në rrjedhat e disa lumenjve. Një rrjet i tillë ka vepruar në të kaluarën dhe vendet e stacioneve të reja duhet të korrespondojnë, aty ku është e mundur, me vendet e stacioneve të mëparshme; Kjo do të mundësonte një analizë të ndikimit të ndryshimeve klimaterike ose të aktiviteteve njerëzore në basenet e ujore.</w:t>
      </w:r>
    </w:p>
    <w:p w14:paraId="6EF7BA87" w14:textId="77777777" w:rsidR="00591820" w:rsidRPr="00445472" w:rsidRDefault="00591820" w:rsidP="006B0D9F">
      <w:pPr>
        <w:pStyle w:val="TEKSTIIII"/>
      </w:pPr>
      <w:r w:rsidRPr="00445472">
        <w:t>Stacionet e nivelit të ujit duhet të kalibrohen në mënyrë që ato gjithashtu të sigurojnë matje të rrjedhjes së lumit.</w:t>
      </w:r>
    </w:p>
    <w:p w14:paraId="30BBB485" w14:textId="77777777" w:rsidR="00591820" w:rsidRPr="00445472" w:rsidRDefault="00591820" w:rsidP="006B0D9F">
      <w:pPr>
        <w:pStyle w:val="TEKSTIIII"/>
      </w:pPr>
      <w:r w:rsidRPr="00445472">
        <w:t>Aktualisht rrjeti meteorologjik është në varësi të Ministrisë së Arsimit. Pa marrë parasysh se cila ministri bëhet përgjegjëse për matjen e rrjedhjes, ajo duhet të punojë ngushtë me ata që veprojnë në rrjetin meteorologjik.</w:t>
      </w:r>
    </w:p>
    <w:p w14:paraId="2C092650" w14:textId="77777777" w:rsidR="00591820" w:rsidRPr="00445472" w:rsidRDefault="00591820" w:rsidP="006B0D9F">
      <w:pPr>
        <w:pStyle w:val="TEKSTIIII"/>
      </w:pPr>
      <w:r w:rsidRPr="00445472">
        <w:t>Derisa të krijohet një rrjet i përshtatshëm matës, nuk mund të vazhdojnë aktivitetet e tjera si parashikimi i përmbytjeve, planifikimi i burimeve ujore dhe vendosja e kritereve për cilësinë e ujit.</w:t>
      </w:r>
    </w:p>
    <w:p w14:paraId="760F964A" w14:textId="483E8C50" w:rsidR="00591820" w:rsidRPr="00445472" w:rsidRDefault="006B0D9F" w:rsidP="006B0D9F">
      <w:pPr>
        <w:pStyle w:val="NENTITULL"/>
      </w:pPr>
      <w:bookmarkStart w:id="214" w:name="_Toc11068846"/>
      <w:r w:rsidRPr="00445472">
        <w:t xml:space="preserve">9.9.4 </w:t>
      </w:r>
      <w:r w:rsidR="00591820" w:rsidRPr="00445472">
        <w:t>Sistemi i përshtatshëm i paralajmërimit të hershëm</w:t>
      </w:r>
      <w:bookmarkEnd w:id="214"/>
    </w:p>
    <w:p w14:paraId="4F057CCF" w14:textId="753C12C6" w:rsidR="00591820" w:rsidRPr="00445472" w:rsidRDefault="00591820" w:rsidP="006B0D9F">
      <w:pPr>
        <w:pStyle w:val="TEKSTIIII"/>
      </w:pPr>
      <w:r w:rsidRPr="00445472">
        <w:t xml:space="preserve">Aktualisht paralajmërimi i përmbytjeve bazohet kryesisht në parashikimet e motit. Me përjashtim të sistemit </w:t>
      </w:r>
      <w:r w:rsidR="007E76E3" w:rsidRPr="00445472">
        <w:t>Drin–Bunë</w:t>
      </w:r>
      <w:r w:rsidRPr="00445472">
        <w:t>, lumenjtë në Shqipëri janë rreth 100 km nga burimi deri në det dhe për shumicën e gjatësisë së tyre janë të pjerrëta. Kjo do të thotë se koha e plotë (koha mes fillimit të stuhisë deri në kulmin e një përmbytjeje) është në rendin prej 5</w:t>
      </w:r>
      <w:r w:rsidR="00A434CA" w:rsidRPr="00445472">
        <w:t>–</w:t>
      </w:r>
      <w:r w:rsidRPr="00445472">
        <w:t xml:space="preserve">10 orësh. Si pasojë, një sistem i paralajmërimit të hershëm të përmbytjeve do të kërkonte një rrjet të stacioneve klimaterike dhe të reshjeve, për llogaritjen paraprake të rrezikut potencial të përmbytjes në fillim të një stuhie dhe një rrjeti stacionesh monitorimi të nivelit të ujit, për të rritur saktësinë e parashikimit duke </w:t>
      </w:r>
      <w:r w:rsidR="00A434CA" w:rsidRPr="00445472">
        <w:t>qenë</w:t>
      </w:r>
      <w:r w:rsidRPr="00445472">
        <w:t xml:space="preserve"> se stuhia dhe përmbytjet përparojnë. Rrjeti do të kërkonte transmetim të shpejtë të të dhënave dhe një model matematikor për të prodhuar parashikime të niveleve. E gjithë kjo do të kërkonte një organizim institucional i cili do të kishte mjetet dhe autoritetin për të evakuuar njerëzit në rrezik ose të mbyllë rrugët e rrezikuara nga përmbytjet.</w:t>
      </w:r>
    </w:p>
    <w:p w14:paraId="2091E8A5" w14:textId="2299A604" w:rsidR="00591820" w:rsidRPr="00445472" w:rsidRDefault="006B0D9F" w:rsidP="006B0D9F">
      <w:pPr>
        <w:pStyle w:val="NENTITULL"/>
      </w:pPr>
      <w:bookmarkStart w:id="215" w:name="_Toc11068847"/>
      <w:r w:rsidRPr="00445472">
        <w:t xml:space="preserve">9.9.5 </w:t>
      </w:r>
      <w:r w:rsidR="00591820" w:rsidRPr="00445472">
        <w:t>Vlerësimi paraprak i rrezikut nga përmbytjet</w:t>
      </w:r>
      <w:bookmarkEnd w:id="215"/>
    </w:p>
    <w:p w14:paraId="1896B472" w14:textId="77777777" w:rsidR="00591820" w:rsidRPr="00445472" w:rsidRDefault="00591820" w:rsidP="006B0D9F">
      <w:pPr>
        <w:pStyle w:val="TEKSTIIII"/>
      </w:pPr>
      <w:r w:rsidRPr="00445472">
        <w:t xml:space="preserve">Raportet e përmbytjeve të kaluara në Shqipëri merren kryesisht nga burimet e mediave dhe japin pak detaje të kushteve meteorologjike që çojnë në përmbytje, shkallën e ngritjes së lumenjve dhe si përmbytja zhvendoset jashtë brigjeve të lumenjve në zonën e dëmtuar. Megjithatë, informacioni ekzistues i shoqëruar me anketat në terren të zonave të cilat njihen se preken, do të siguronte një bazë të vlefshme për një vlerësim fillestar të rrezikut të përmbytjeve. Kur njerëzit kanë hasur raste përmbytjeje, ata shpesh janë në gjendje të identifikojnë pikat specifike që ka arritur përmbytja. </w:t>
      </w:r>
    </w:p>
    <w:p w14:paraId="68953D39" w14:textId="7B82AFD5" w:rsidR="00591820" w:rsidRPr="00445472" w:rsidRDefault="006B0D9F" w:rsidP="006B0D9F">
      <w:pPr>
        <w:pStyle w:val="NENTITULL"/>
      </w:pPr>
      <w:bookmarkStart w:id="216" w:name="_Toc11068848"/>
      <w:r w:rsidRPr="00445472">
        <w:t xml:space="preserve">9.9.6 </w:t>
      </w:r>
      <w:r w:rsidR="00591820" w:rsidRPr="00445472">
        <w:t>Hartat e rrezikshmërisë së përmbytjeve</w:t>
      </w:r>
      <w:bookmarkEnd w:id="216"/>
    </w:p>
    <w:p w14:paraId="405A9C4F" w14:textId="16E65EFC" w:rsidR="00591820" w:rsidRPr="00445472" w:rsidRDefault="00591820" w:rsidP="006B0D9F">
      <w:pPr>
        <w:pStyle w:val="TEKSTIIII"/>
      </w:pPr>
      <w:r w:rsidRPr="00445472">
        <w:t xml:space="preserve">Hartat që tregojnë rrezikshmërinë e përmbytjeve janë përcaktuar si </w:t>
      </w:r>
      <w:r w:rsidR="00D62EDF" w:rsidRPr="00445472">
        <w:t>“</w:t>
      </w:r>
      <w:r w:rsidRPr="00445472">
        <w:t>harta për të treguar zonën gjeografike që mund të përmbytet</w:t>
      </w:r>
      <w:r w:rsidR="00D62EDF" w:rsidRPr="00445472">
        <w:t>”</w:t>
      </w:r>
      <w:r w:rsidRPr="00445472">
        <w:t xml:space="preserve"> sipas skenarëve të ndryshëm' (Direktiva e Ujit, </w:t>
      </w:r>
      <w:r w:rsidR="00A434CA" w:rsidRPr="00445472">
        <w:t xml:space="preserve">neni </w:t>
      </w:r>
      <w:r w:rsidRPr="00445472">
        <w:t>6.3). Vlerësimi paraprak i rrezikut nga përmbytjet do të identifikonte zonat që janë përmbytur në të kaluarën. Ky informacion i shoqëruar me sondazhe topografike mund të mundësojë hartëzimin e hartave të përmbytjeve të kaluara.</w:t>
      </w:r>
    </w:p>
    <w:p w14:paraId="6F2B4C0D" w14:textId="77777777" w:rsidR="00591820" w:rsidRPr="00445472" w:rsidRDefault="00591820" w:rsidP="006B0D9F">
      <w:pPr>
        <w:pStyle w:val="TEKSTIIII"/>
      </w:pPr>
      <w:r w:rsidRPr="00445472">
        <w:t>Hartëzimi duhet të marrë parasysh karakteristikat specifike për çdo ujëmbledhës. Për shembull, digat e mëdha dhe modeli i tyre i mbushjes dhe çlirimit të ujit mund të ndryshojnë frekuencën dhe ashpërsinë e përmbytjeve. Disa prej digave të ujitjes njihen të jenë në kushte të këqija; Duhet të vlerësohet rreziku që i shkaktohet popullsisë nga dëmtimi i digës dhe pasojat e një thyerje të digës në zonat e rrjedhës.</w:t>
      </w:r>
    </w:p>
    <w:p w14:paraId="6B118841" w14:textId="77777777" w:rsidR="00591820" w:rsidRPr="00445472" w:rsidRDefault="00591820" w:rsidP="006B0D9F">
      <w:pPr>
        <w:pStyle w:val="TEKSTIIII"/>
      </w:pPr>
      <w:r w:rsidRPr="00445472">
        <w:t>Shumë zona rezidenciale dhe industriale kanë argjinaturë për mbrojtjen nga përmbytjet. Gjendja aktuale e këtyre strukturave duhet të analizohet.</w:t>
      </w:r>
    </w:p>
    <w:p w14:paraId="1AA5176F" w14:textId="22784A2F" w:rsidR="00591820" w:rsidRPr="00445472" w:rsidRDefault="00591820" w:rsidP="006B0D9F">
      <w:pPr>
        <w:pStyle w:val="TEKSTIIII"/>
      </w:pPr>
      <w:r w:rsidRPr="00445472">
        <w:t>Një vlerësim që mbulon pikat e sipërpërmendura do të ishte ende shumë paraprak. Sipas Direktivës, hartografia duhet të lidhë shkallën e përmbytjeve me frekuencat e njohura të përhapjes;</w:t>
      </w:r>
      <w:r w:rsidR="00A434CA" w:rsidRPr="00445472">
        <w:t xml:space="preserve"> </w:t>
      </w:r>
      <w:r w:rsidRPr="00445472">
        <w:t>pa të dhëna af</w:t>
      </w:r>
      <w:r w:rsidR="00A434CA" w:rsidRPr="00445472">
        <w:t>at</w:t>
      </w:r>
      <w:r w:rsidRPr="00445472">
        <w:t>gjata të niveleve të ujit kjo nuk është e mundur.</w:t>
      </w:r>
    </w:p>
    <w:p w14:paraId="4A80AD81" w14:textId="28114F50" w:rsidR="00591820" w:rsidRPr="00445472" w:rsidRDefault="006B0D9F" w:rsidP="006B0D9F">
      <w:pPr>
        <w:pStyle w:val="NENTITULL"/>
      </w:pPr>
      <w:bookmarkStart w:id="217" w:name="_Toc11068849"/>
      <w:r w:rsidRPr="00445472">
        <w:t xml:space="preserve">9.9.7 </w:t>
      </w:r>
      <w:r w:rsidR="00591820" w:rsidRPr="00445472">
        <w:t>Hartat e rrezikut nga përmbytjet</w:t>
      </w:r>
      <w:bookmarkEnd w:id="217"/>
      <w:r w:rsidR="00591820" w:rsidRPr="00445472">
        <w:t xml:space="preserve"> </w:t>
      </w:r>
    </w:p>
    <w:p w14:paraId="458CFFD6" w14:textId="38286AAF" w:rsidR="00591820" w:rsidRPr="00445472" w:rsidRDefault="00591820" w:rsidP="006B0D9F">
      <w:pPr>
        <w:pStyle w:val="TEKSTIIII"/>
      </w:pPr>
      <w:r w:rsidRPr="00445472">
        <w:t xml:space="preserve">Hartat e rrezikut nga përmbytjet duhet të tregojnë </w:t>
      </w:r>
      <w:r w:rsidR="00D62EDF" w:rsidRPr="00445472">
        <w:t>“</w:t>
      </w:r>
      <w:r w:rsidRPr="00445472">
        <w:t>pasojat e mundshme negative të skenarëve të përmbytjeve të identifikuar në hartat e rrezikut nga përmbytjet</w:t>
      </w:r>
      <w:r w:rsidR="00D62EDF" w:rsidRPr="00445472">
        <w:t>”</w:t>
      </w:r>
      <w:r w:rsidRPr="00445472">
        <w:t xml:space="preserve"> (Direktiva e Ujit, Neni 6.5). Sikurse me hartëzimin e rrezikut nga përmbytjet, një vlerësim fillestar mund të zhvillohet bazuar në përshkrimet e përmbytjeve të së kaluarës. Ky hartograf duhet të identifikojë  vendndodhjet me vulnerabilitet të lartë, si spitalet, shkollat, rrugët kryesore, komplekset industriale etj. Për një hartë më të plotë do të nevojiten të dhëna hidrologjike dhe meteorologjike shtesë.</w:t>
      </w:r>
    </w:p>
    <w:p w14:paraId="4D3F83A4" w14:textId="535925E0" w:rsidR="00591820" w:rsidRPr="00445472" w:rsidRDefault="00591820" w:rsidP="006B0D9F">
      <w:pPr>
        <w:pStyle w:val="TEKSTIIII"/>
      </w:pPr>
      <w:r w:rsidRPr="00445472">
        <w:t xml:space="preserve">Një tjetër kufizim i mundshëm në përdorimin e të dhënave të përmbytjeve gjatë dekadave të fundit si një udhëzues është se nuk mund të merren parasysh ndryshimet në basenet e lumenjve. Për shembull, zonat e ndërtuara rishtazi, mund të çojnë në situate më të </w:t>
      </w:r>
      <w:r w:rsidR="00A434CA" w:rsidRPr="00445472">
        <w:t>ndërlikuara</w:t>
      </w:r>
      <w:r w:rsidRPr="00445472">
        <w:t xml:space="preserve">, ose ndërtimi i një rruge të re mund të ndryshojë shtigjet e rrjedhës në rrafshin e përmbytjes. Kur të dhënat e rrjedhës kanë qenë të disponueshme për disa vite, atëherë, në të ardhmen, do të jetë e nevojshme të kalibrohet një model i detajuar hidraulik i lumit dhe zonave përreth të cilat janë </w:t>
      </w:r>
      <w:r w:rsidR="00A434CA" w:rsidRPr="00445472">
        <w:t>përmbytur</w:t>
      </w:r>
      <w:r w:rsidRPr="00445472">
        <w:t xml:space="preserve"> ose mund të përmbyten. Një model i tillë mund të përdorë si pikënisje modelin hidrologjik të </w:t>
      </w:r>
      <w:r w:rsidR="007E76E3" w:rsidRPr="00445472">
        <w:t>Drin–Bunë</w:t>
      </w:r>
      <w:r w:rsidRPr="00445472">
        <w:t xml:space="preserve">s dhe lumenjve të </w:t>
      </w:r>
      <w:r w:rsidR="007E76E3" w:rsidRPr="00445472">
        <w:t>Drin–Bunë</w:t>
      </w:r>
      <w:r w:rsidRPr="00445472">
        <w:t>s të zhvilluara si një komponent i këtij projekti.</w:t>
      </w:r>
    </w:p>
    <w:p w14:paraId="18AA0EAF" w14:textId="3819B4A1" w:rsidR="00591820" w:rsidRPr="00445472" w:rsidRDefault="006B0D9F" w:rsidP="006B0D9F">
      <w:pPr>
        <w:pStyle w:val="TEKSTIIII"/>
      </w:pPr>
      <w:bookmarkStart w:id="218" w:name="_Toc486503427"/>
      <w:bookmarkStart w:id="219" w:name="_Toc485635134"/>
      <w:bookmarkStart w:id="220" w:name="_Toc11068850"/>
      <w:r w:rsidRPr="00445472">
        <w:t xml:space="preserve">9.10 </w:t>
      </w:r>
      <w:r w:rsidR="00591820" w:rsidRPr="00445472">
        <w:t xml:space="preserve">Rekomandime specifike për basenin ujor </w:t>
      </w:r>
      <w:bookmarkEnd w:id="218"/>
      <w:r w:rsidR="007E76E3" w:rsidRPr="00445472">
        <w:t>Drin–Bunë</w:t>
      </w:r>
      <w:bookmarkEnd w:id="219"/>
      <w:bookmarkEnd w:id="220"/>
    </w:p>
    <w:p w14:paraId="4F021CD3" w14:textId="3CB289AD" w:rsidR="00591820" w:rsidRPr="00445472" w:rsidRDefault="00591820" w:rsidP="006B0D9F">
      <w:pPr>
        <w:pStyle w:val="TEKSTIIII"/>
      </w:pPr>
      <w:bookmarkStart w:id="221" w:name="_Ref483904211"/>
      <w:r w:rsidRPr="00445472">
        <w:t>Një studim i madh i përmbytjeve në basenin e poshtëm të Drinit dhe Bunës u përfundua në vitin 2012</w:t>
      </w:r>
      <w:bookmarkEnd w:id="221"/>
      <w:r w:rsidRPr="00445472">
        <w:rPr>
          <w:rStyle w:val="FootnoteReference"/>
          <w:rFonts w:ascii="Garamond" w:hAnsi="Garamond"/>
          <w:color w:val="auto"/>
        </w:rPr>
        <w:footnoteReference w:id="192"/>
      </w:r>
      <w:r w:rsidRPr="00445472">
        <w:t xml:space="preserve">. Deri më sot, ky është studimi më i plotë, 224 faqe, i përmbytjeve në atë basen. Studimi e konsideron zonën si rrjedhë e poshtme e liqenit të Shkodrës në Bunë dhe në rrjedhën e poshtme të rezervuarit të Vau i </w:t>
      </w:r>
      <w:r w:rsidR="00A434CA" w:rsidRPr="00445472">
        <w:t>Dejës</w:t>
      </w:r>
      <w:r w:rsidRPr="00445472">
        <w:t xml:space="preserve"> në det. Ai përfshin zona me ujitje intensive dhe kanale të ndërlidhura.</w:t>
      </w:r>
    </w:p>
    <w:p w14:paraId="1F18AEE9" w14:textId="3AD091F4" w:rsidR="00591820" w:rsidRPr="00445472" w:rsidRDefault="00591820" w:rsidP="006B0D9F">
      <w:pPr>
        <w:pStyle w:val="TEKSTIIII"/>
      </w:pPr>
      <w:r w:rsidRPr="00445472">
        <w:t>Studimi është iniciuar pas përmbytjeve të mëdha të vitit 2010. Mjeti kryesor i përdorur ishte një model hidraulik i sistemit të lumenjve të kalibruar për të përfaqësuar zonat e përmbytura në vitin 2010. Është zhvilluar një model di</w:t>
      </w:r>
      <w:r w:rsidR="00A434CA" w:rsidRPr="00445472">
        <w:t>gj</w:t>
      </w:r>
      <w:r w:rsidRPr="00445472">
        <w:t xml:space="preserve">ital i terrenit duke përdorur të dhëna nga batimetria e lumenjve, 1: 10.000 skedarë të konturuar skanuar </w:t>
      </w:r>
      <w:r w:rsidR="00A434CA" w:rsidRPr="00445472">
        <w:t xml:space="preserve">të dhënat </w:t>
      </w:r>
      <w:r w:rsidRPr="00445472">
        <w:t xml:space="preserve">e hartave, të misionit të topografisë, të radarëve dhe sondazhe të tjera të argjinaturave, rrugëve dhe urave. Regjistrimi i rrjedhës së Drinit janë bazuar në shkarkimet nga rezervuari i Vau i </w:t>
      </w:r>
      <w:r w:rsidR="00A434CA" w:rsidRPr="00445472">
        <w:t>Dejës</w:t>
      </w:r>
      <w:r w:rsidRPr="00445472">
        <w:t>. Shkarkimet nga liqeni i Shkodrës u bazuan në nivelet në dy matës: Bunë Shkodër dhe Bunë Fabrika Çimentos.</w:t>
      </w:r>
    </w:p>
    <w:p w14:paraId="10FAD579" w14:textId="2B35C8FE" w:rsidR="00591820" w:rsidRPr="00445472" w:rsidRDefault="00591820" w:rsidP="006B0D9F">
      <w:pPr>
        <w:pStyle w:val="TEKSTIIII"/>
      </w:pPr>
      <w:r w:rsidRPr="00445472">
        <w:t>Masat e propozuara për reduktimin e përmbytjeve u grupuan si masa afatme</w:t>
      </w:r>
      <w:r w:rsidR="00A434CA" w:rsidRPr="00445472">
        <w:t>sme, masa afatgjata dhe masa jo</w:t>
      </w:r>
      <w:r w:rsidRPr="00445472">
        <w:t>strukturore. Tetë masat afatmesme ishin:</w:t>
      </w:r>
    </w:p>
    <w:p w14:paraId="01DC389C" w14:textId="73B46FDB" w:rsidR="00591820" w:rsidRPr="00445472" w:rsidRDefault="00393681" w:rsidP="006B0D9F">
      <w:pPr>
        <w:pStyle w:val="TEKSTIIII"/>
      </w:pPr>
      <w:r>
        <w:t xml:space="preserve">- </w:t>
      </w:r>
      <w:r w:rsidR="00591820" w:rsidRPr="00445472">
        <w:t>Përmirësime në digat ekzistuese përgjatë lumit Bunë në përputhje me digat përkatëse ekzistuese në anën e lumit të Malit të Zi.</w:t>
      </w:r>
    </w:p>
    <w:p w14:paraId="78746E3E" w14:textId="6C341E9D" w:rsidR="00591820" w:rsidRPr="00445472" w:rsidRDefault="00393681" w:rsidP="006B0D9F">
      <w:pPr>
        <w:pStyle w:val="TEKSTIIII"/>
      </w:pPr>
      <w:r>
        <w:t xml:space="preserve">- </w:t>
      </w:r>
      <w:r w:rsidR="00591820" w:rsidRPr="00445472">
        <w:t>Rritja e kapacitetit të kanaleve të kullimit. Kjo duhet të arrihet me një kombinim të pastrimit të vegjetacionit të tepërt dhe gërmimit të një kanali të gjerë kullimi.</w:t>
      </w:r>
    </w:p>
    <w:p w14:paraId="25B63BDC" w14:textId="26876931" w:rsidR="00591820" w:rsidRPr="00445472" w:rsidRDefault="00393681" w:rsidP="006B0D9F">
      <w:pPr>
        <w:pStyle w:val="TEKSTIIII"/>
      </w:pPr>
      <w:r>
        <w:t xml:space="preserve">- </w:t>
      </w:r>
      <w:r w:rsidR="00591820" w:rsidRPr="00445472">
        <w:t>Bllokimi përgjatë anës perëndimore të rrugës për të parandaluar që ujërat e plotave të arrijnë tokën e fshatrave në lindje të rrugës.</w:t>
      </w:r>
    </w:p>
    <w:p w14:paraId="5B2330BA" w14:textId="33DB55E4" w:rsidR="00591820" w:rsidRPr="00445472" w:rsidRDefault="00393681" w:rsidP="006B0D9F">
      <w:pPr>
        <w:pStyle w:val="TEKSTIIII"/>
      </w:pPr>
      <w:r>
        <w:t xml:space="preserve">- </w:t>
      </w:r>
      <w:r w:rsidR="00591820" w:rsidRPr="00445472">
        <w:t>Formalizimi i përdorimit të argjinaturës së kanalit për të funksionuar si strukturë e përmbytjes.</w:t>
      </w:r>
    </w:p>
    <w:p w14:paraId="7011262F" w14:textId="007AE48C" w:rsidR="00591820" w:rsidRPr="00445472" w:rsidRDefault="00393681" w:rsidP="006B0D9F">
      <w:pPr>
        <w:pStyle w:val="TEKSTIIII"/>
      </w:pPr>
      <w:r>
        <w:t xml:space="preserve">- </w:t>
      </w:r>
      <w:r w:rsidR="00591820" w:rsidRPr="00445472">
        <w:t>Përdorimi i një zone si një zonë pa përmbytje nga ndërtimi i një ure të gjatë. Kjo do të përfshinte edhe përmirësime në digat e tjera të Drinit.</w:t>
      </w:r>
    </w:p>
    <w:p w14:paraId="5CF2D860" w14:textId="059E84BD" w:rsidR="00591820" w:rsidRPr="00445472" w:rsidRDefault="00393681" w:rsidP="006B0D9F">
      <w:pPr>
        <w:pStyle w:val="TEKSTIIII"/>
      </w:pPr>
      <w:r>
        <w:t xml:space="preserve">- </w:t>
      </w:r>
      <w:r w:rsidR="00591820" w:rsidRPr="00445472">
        <w:t>Zgjerimi i një pjese të kanalit të lumit Bunë. Ky opsion mund të përfshijë edhe pastrimin e lumit.</w:t>
      </w:r>
    </w:p>
    <w:p w14:paraId="6B63CC17" w14:textId="2D56EAC7" w:rsidR="00591820" w:rsidRPr="00445472" w:rsidRDefault="00393681" w:rsidP="006B0D9F">
      <w:pPr>
        <w:pStyle w:val="TEKSTIIII"/>
      </w:pPr>
      <w:r>
        <w:t xml:space="preserve">- </w:t>
      </w:r>
      <w:r w:rsidR="00591820" w:rsidRPr="00445472">
        <w:t>Rritja e kapacitetit të një ure rruge, zgjerimi dhe rritja e hapësirës. Heqjen e një urë të vjetër në rrjedhën e sipërme.</w:t>
      </w:r>
    </w:p>
    <w:p w14:paraId="10E29999" w14:textId="77777777" w:rsidR="00591820" w:rsidRPr="00445472" w:rsidRDefault="00591820" w:rsidP="006B0D9F">
      <w:pPr>
        <w:pStyle w:val="TEKSTIIII"/>
      </w:pPr>
      <w:r w:rsidRPr="00445472">
        <w:t>Këto përbërës individualë janë pjesë e katër zgjidhjeve alternative për zbutjen e përmbytjeve. Të gjitha këto përfshijnë pastrimin dhe kanë për qëllim rritjen e kapacitetit të rrjedhës së lumit nga 1500 m</w:t>
      </w:r>
      <w:r w:rsidRPr="00445472">
        <w:rPr>
          <w:vertAlign w:val="superscript"/>
        </w:rPr>
        <w:t>3</w:t>
      </w:r>
      <w:r w:rsidRPr="00445472">
        <w:t>/s në 2200 m</w:t>
      </w:r>
      <w:r w:rsidRPr="00445472">
        <w:rPr>
          <w:vertAlign w:val="superscript"/>
        </w:rPr>
        <w:t>3</w:t>
      </w:r>
      <w:r w:rsidRPr="00445472">
        <w:t xml:space="preserve">/s. </w:t>
      </w:r>
      <w:r w:rsidRPr="00445472">
        <w:rPr>
          <w:vertAlign w:val="superscript"/>
        </w:rPr>
        <w:footnoteReference w:id="193"/>
      </w:r>
      <w:r w:rsidRPr="00445472">
        <w:t xml:space="preserve"> Dy nga katër opsionet u vlerësuan të kenë një raport përfitim/kosto më të madhe se 1.0.</w:t>
      </w:r>
    </w:p>
    <w:p w14:paraId="602B3A41" w14:textId="77777777" w:rsidR="00591820" w:rsidRPr="00445472" w:rsidRDefault="00591820" w:rsidP="006B0D9F">
      <w:pPr>
        <w:pStyle w:val="TEKSTIIII"/>
      </w:pPr>
      <w:r w:rsidRPr="00445472">
        <w:t>Raporti gjithashtu paraqiti dy masa afatgjata.</w:t>
      </w:r>
    </w:p>
    <w:p w14:paraId="7566A7E0" w14:textId="7A79A864" w:rsidR="00591820" w:rsidRPr="00445472" w:rsidRDefault="00393681" w:rsidP="006B0D9F">
      <w:pPr>
        <w:pStyle w:val="TEKSTIIII"/>
      </w:pPr>
      <w:r>
        <w:t xml:space="preserve">- </w:t>
      </w:r>
      <w:r w:rsidR="00591820" w:rsidRPr="00445472">
        <w:t>Vendimet ndërkufitare duhet të bëhen midis Shqipërisë dhe Malit të Zi p</w:t>
      </w:r>
      <w:r w:rsidR="00A434CA" w:rsidRPr="00445472">
        <w:t>ë</w:t>
      </w:r>
      <w:r w:rsidR="00591820" w:rsidRPr="00445472">
        <w:t>r</w:t>
      </w:r>
      <w:r w:rsidR="00A434CA" w:rsidRPr="00445472">
        <w:t xml:space="preserve"> sa u</w:t>
      </w:r>
      <w:r w:rsidR="00591820" w:rsidRPr="00445472">
        <w:t xml:space="preserve"> përket niveleve të ujit në Liqenin e Shkodrës. Kjo do të kërkonte një strukturë të përbashkët kontrolli, e cila lejon rregullimin e niveleve të Liqenit gjatë sezonit të thatë dhe rrjedhjeve të kontrolluara të shkarkimit dhe ruajtjes gjatë sezonit të lagësht. </w:t>
      </w:r>
    </w:p>
    <w:p w14:paraId="7E433B86" w14:textId="283E0BEA" w:rsidR="00591820" w:rsidRPr="00445472" w:rsidRDefault="00393681" w:rsidP="006B0D9F">
      <w:pPr>
        <w:pStyle w:val="TEKSTIIII"/>
      </w:pPr>
      <w:r>
        <w:t xml:space="preserve">- </w:t>
      </w:r>
      <w:r w:rsidR="00591820" w:rsidRPr="00445472">
        <w:t>Menaxhimi i kaskadës së Drinit aktualisht bazohet në shqetësimet rreth stabilitetit të digave në prodhimin e energjisë, por nuk merr parasysh mbrojtjen nga përmbytjet. Menaxhimi i shkarkimeve të digave dhe Liqenit të Shkodrës mund të ketë një ndikim pozitiv në përmbytjet në drejtim të rrymës.</w:t>
      </w:r>
      <w:r w:rsidR="00591820" w:rsidRPr="00445472">
        <w:rPr>
          <w:vertAlign w:val="superscript"/>
        </w:rPr>
        <w:footnoteReference w:id="194"/>
      </w:r>
    </w:p>
    <w:p w14:paraId="744F8D52" w14:textId="6F5BCA60" w:rsidR="00591820" w:rsidRPr="00445472" w:rsidRDefault="00393681" w:rsidP="006B0D9F">
      <w:pPr>
        <w:pStyle w:val="TEKSTIIII"/>
      </w:pPr>
      <w:r>
        <w:t xml:space="preserve">- </w:t>
      </w:r>
      <w:r w:rsidR="00591820" w:rsidRPr="00445472">
        <w:t>Është propozuar edhe një masë tjetër afatgjatë nga AKZM-ja. – Prioritet duhet të jetë masa biologjike për mbjelljen e bimësisë përreth ujëmbledhësit të shpyllëzuar si një ndërhyrje për eliminimin e shkaqeve dhe jo të pasojave.</w:t>
      </w:r>
    </w:p>
    <w:p w14:paraId="2AED768E" w14:textId="5CF79419" w:rsidR="00591820" w:rsidRPr="00445472" w:rsidRDefault="00393681" w:rsidP="006B0D9F">
      <w:pPr>
        <w:pStyle w:val="TEKSTIIII"/>
      </w:pPr>
      <w:r>
        <w:t xml:space="preserve"> </w:t>
      </w:r>
      <w:r>
        <w:t>U prezantuan edhe dy masa jo</w:t>
      </w:r>
      <w:r w:rsidR="00591820" w:rsidRPr="00445472">
        <w:t>strukturore.</w:t>
      </w:r>
    </w:p>
    <w:p w14:paraId="72E9F17C" w14:textId="6B05A352" w:rsidR="00591820" w:rsidRPr="00445472" w:rsidRDefault="00393681" w:rsidP="006B0D9F">
      <w:pPr>
        <w:pStyle w:val="TEKSTIIII"/>
      </w:pPr>
      <w:r>
        <w:t xml:space="preserve">- </w:t>
      </w:r>
      <w:r w:rsidR="00591820" w:rsidRPr="00445472">
        <w:t xml:space="preserve">Sigurimi i një shërbimi të parashikimit dhe paralajmërimit të përmbytjeve për të minimizuar ndikimin e ngjarjeve të përmbytjeve duke lejuar autoritetet dhe popullatën e përgjithshme të ndërmarrin veprime lehtësuese. </w:t>
      </w:r>
    </w:p>
    <w:p w14:paraId="13E22254" w14:textId="52577F6B" w:rsidR="00591820" w:rsidRPr="00445472" w:rsidRDefault="00393681" w:rsidP="006B0D9F">
      <w:pPr>
        <w:pStyle w:val="TEKSTIIII"/>
      </w:pPr>
      <w:r>
        <w:t xml:space="preserve">- </w:t>
      </w:r>
      <w:r w:rsidR="00591820" w:rsidRPr="00445472">
        <w:t>Planifikimi i kontrolleve për të parandaluar zhvillimin e mëtejshëm në fusha të tilla si toka e ulët mes Drinit dhe Bunës në bashkimin e tyre</w:t>
      </w:r>
    </w:p>
    <w:p w14:paraId="2266370E" w14:textId="178A7BB3" w:rsidR="00591820" w:rsidRPr="00445472" w:rsidRDefault="00243D22" w:rsidP="00243D22">
      <w:pPr>
        <w:pStyle w:val="NENTITULL"/>
      </w:pPr>
      <w:bookmarkStart w:id="222" w:name="_Toc11068851"/>
      <w:r w:rsidRPr="00445472">
        <w:t xml:space="preserve">10. </w:t>
      </w:r>
      <w:r w:rsidR="00591820" w:rsidRPr="00445472">
        <w:t>Objektivat mjedisor</w:t>
      </w:r>
      <w:bookmarkEnd w:id="222"/>
      <w:r w:rsidR="00671A2E" w:rsidRPr="00445472">
        <w:t>ë</w:t>
      </w:r>
    </w:p>
    <w:p w14:paraId="465ADC51" w14:textId="77777777" w:rsidR="00591820" w:rsidRPr="00445472" w:rsidRDefault="00591820" w:rsidP="00243D22">
      <w:pPr>
        <w:pStyle w:val="TEKSTIIII"/>
      </w:pPr>
      <w:r w:rsidRPr="00445472">
        <w:t>DKU-ja kërkon që Shtetet Anëtare të zbatojnë masat e nevojshme për të parandaluar përkeqësimin e statusit të trupave ujorë sipërfaqësorë dhe përmbushjen e objektivave të mëposhtme mjedisore:</w:t>
      </w:r>
    </w:p>
    <w:p w14:paraId="26C2ED2A" w14:textId="20F9762D" w:rsidR="00591820" w:rsidRPr="00445472" w:rsidRDefault="002A1582" w:rsidP="00243D22">
      <w:pPr>
        <w:pStyle w:val="TEKSTIIII"/>
      </w:pPr>
      <w:r>
        <w:t xml:space="preserve">- </w:t>
      </w:r>
      <w:r w:rsidR="00591820" w:rsidRPr="00445472">
        <w:t>Statusi i mirë ekologjik</w:t>
      </w:r>
      <w:r w:rsidR="001D340B" w:rsidRPr="00445472">
        <w:t>/</w:t>
      </w:r>
      <w:r w:rsidR="00591820" w:rsidRPr="00445472">
        <w:t>kimik i trupave ujorë sipërfaqësorë</w:t>
      </w:r>
    </w:p>
    <w:p w14:paraId="1F1120A7" w14:textId="1D374FD3" w:rsidR="00591820" w:rsidRPr="00445472" w:rsidRDefault="002A1582" w:rsidP="00243D22">
      <w:pPr>
        <w:pStyle w:val="TEKSTIIII"/>
      </w:pPr>
      <w:r>
        <w:t xml:space="preserve">- </w:t>
      </w:r>
      <w:r w:rsidR="00591820" w:rsidRPr="00445472">
        <w:t>Potenciali i mirë ekologjik dhe statusi kimik i trupave ujorë tepër të modifikuar (TUTM) dhe i Trupave ujorë artificialë (TUA)</w:t>
      </w:r>
      <w:r w:rsidR="00D62EDF" w:rsidRPr="00445472">
        <w:t>”</w:t>
      </w:r>
      <w:r w:rsidR="00591820" w:rsidRPr="00445472">
        <w:t xml:space="preserve"> </w:t>
      </w:r>
    </w:p>
    <w:p w14:paraId="6F1E6994" w14:textId="6DFE2352" w:rsidR="00591820" w:rsidRPr="00445472" w:rsidRDefault="002A1582" w:rsidP="00243D22">
      <w:pPr>
        <w:pStyle w:val="TEKSTIIII"/>
      </w:pPr>
      <w:r>
        <w:t xml:space="preserve">- </w:t>
      </w:r>
      <w:r w:rsidR="00591820" w:rsidRPr="00445472">
        <w:t>Statusi i mirë kimik</w:t>
      </w:r>
      <w:r w:rsidR="001D340B" w:rsidRPr="00445472">
        <w:t>/</w:t>
      </w:r>
      <w:r w:rsidR="00591820" w:rsidRPr="00445472">
        <w:t>sasior i trupave ujorë nëntokësorë</w:t>
      </w:r>
    </w:p>
    <w:p w14:paraId="7CC53478" w14:textId="5FBC23ED" w:rsidR="00591820" w:rsidRPr="00445472" w:rsidRDefault="00591820" w:rsidP="00243D22">
      <w:pPr>
        <w:pStyle w:val="TEKSTIIII"/>
      </w:pPr>
      <w:r w:rsidRPr="00445472">
        <w:t xml:space="preserve">Bazuar në monitorimin e mëparshëm kombëtar, PMBU </w:t>
      </w:r>
      <w:r w:rsidR="007E76E3" w:rsidRPr="00445472">
        <w:t>Drin–Bunë</w:t>
      </w:r>
      <w:r w:rsidRPr="00445472">
        <w:t xml:space="preserve"> ofron një pasqyrë të gjendjes së ujërave sipërfaqësorë dhe nëntokësorë (Seksioni 7). Megjithatë, monitorimi i mëparshëm nuk është në përputhje me kërkesat e DKU-së. Në mungesë të metodologjive në përputhje me DKU, është zbatuar një procedurë e shpejtë për vlerësimin ekologjik me qëllim sigurimin e informacionit, megjithëse të kufizuar, mbi cilësinë ekologjike të ujërave sipërfaqësorë.  </w:t>
      </w:r>
    </w:p>
    <w:p w14:paraId="347ADA67" w14:textId="2E47CDAC" w:rsidR="00591820" w:rsidRPr="00445472" w:rsidRDefault="00591820" w:rsidP="00243D22">
      <w:pPr>
        <w:pStyle w:val="TEKSTIIII"/>
      </w:pPr>
      <w:r w:rsidRPr="00445472">
        <w:t xml:space="preserve">Përkundër mungesës së kapaciteteve (burimeve njerëzore dhe aftësive teknike) në basenin ujor  </w:t>
      </w:r>
      <w:r w:rsidR="007E76E3" w:rsidRPr="00445472">
        <w:t>Drin–Bunë</w:t>
      </w:r>
      <w:r w:rsidRPr="00445472">
        <w:t xml:space="preserve"> (dhe në nivel kombëtar) për të ndërmarrë kërkesat e monitorimit të DKU-së, mund të përcaktohet një qasje plotësuese në nivel të basenit, e përdorshme për planifikimin kombëtar dhe zbatimin, vizionet dhe objektivat specifik</w:t>
      </w:r>
      <w:r w:rsidR="00DA3731" w:rsidRPr="00445472">
        <w:t>ë</w:t>
      </w:r>
      <w:r w:rsidRPr="00445472">
        <w:t xml:space="preserve"> të menaxhimit për Basenin Ujor, bazuar në Planin Kombëtar për Sektorin e Ujit (PKSU). Kjo qasje do të ofrojë udhëzime për drejtimin në lidhje me arritjen e qëllimeve të miratuara dhe gjithashtu t</w:t>
      </w:r>
      <w:r w:rsidR="00034FBB">
        <w:t>ë</w:t>
      </w:r>
      <w:r w:rsidRPr="00445472">
        <w:t xml:space="preserve"> ndihmojnë në arritjen e objektivave të përgjithsh</w:t>
      </w:r>
      <w:r w:rsidR="00034FBB">
        <w:t>ë</w:t>
      </w:r>
      <w:r w:rsidRPr="00445472">
        <w:t>m mjedisor</w:t>
      </w:r>
      <w:r w:rsidR="00034FBB">
        <w:t>ë</w:t>
      </w:r>
      <w:r w:rsidRPr="00445472">
        <w:t xml:space="preserve"> të DKU-së. Vizionet bazohen në vlera të përbashkëta dhe përshkruajnë objektivat parësor</w:t>
      </w:r>
      <w:r w:rsidR="00DA3731" w:rsidRPr="00445472">
        <w:t>ë</w:t>
      </w:r>
      <w:r w:rsidRPr="00445472">
        <w:t xml:space="preserve"> për Basenin Ujor </w:t>
      </w:r>
      <w:r w:rsidR="007E76E3" w:rsidRPr="00445472">
        <w:t>Drin–Bunë</w:t>
      </w:r>
      <w:r w:rsidRPr="00445472">
        <w:t xml:space="preserve">. Objektivat përkatës të menaxhimit përshkruajnë hapat e parë drejt objektivave mjedisore në Basenin Ujor </w:t>
      </w:r>
      <w:r w:rsidR="007E76E3" w:rsidRPr="00445472">
        <w:t>Drin–Bunë</w:t>
      </w:r>
      <w:r w:rsidRPr="00445472">
        <w:t xml:space="preserve"> në një mënyrë të qartë </w:t>
      </w:r>
    </w:p>
    <w:p w14:paraId="6819702A" w14:textId="32571565" w:rsidR="00591820" w:rsidRPr="00445472" w:rsidRDefault="00591820" w:rsidP="00243D22">
      <w:pPr>
        <w:pStyle w:val="TEKSTIIII"/>
      </w:pPr>
      <w:r w:rsidRPr="00445472">
        <w:t xml:space="preserve">PKSU-ja përcakton perspektivën për vizionin, qëllimet dhe objektivat e sektorit në vitin 2030, në përputhje me Synimet e Zhvillimit të </w:t>
      </w:r>
      <w:r w:rsidR="00A434CA" w:rsidRPr="00445472">
        <w:t>Qëndrueshëm</w:t>
      </w:r>
      <w:r w:rsidRPr="00445472">
        <w:t xml:space="preserve"> të OKB-së (A</w:t>
      </w:r>
      <w:r w:rsidR="00A434CA" w:rsidRPr="00445472">
        <w:t>gj</w:t>
      </w:r>
      <w:r w:rsidRPr="00445472">
        <w:t>enda 2030) dhe ciklin e hartimit të planeve të menaxhimit të baseneve ujore, të referuara në Direktivën Kuadër të Ujërave.</w:t>
      </w:r>
    </w:p>
    <w:p w14:paraId="32F0F7CA" w14:textId="0AC11442" w:rsidR="00591820" w:rsidRPr="00445472" w:rsidRDefault="00591820" w:rsidP="00243D22">
      <w:pPr>
        <w:pStyle w:val="TEKSTIIII"/>
      </w:pPr>
      <w:r w:rsidRPr="00445472">
        <w:t>Nga pikëpamja e ndarjes hierarkike, ekzistojnë katër nivele kryesore të ndarjes së roleve dhe përgjegjësive në sektorin publik, të cilat janë; drejtues, menaxhues dhe operacional. Institucionet kryesore janë Këshilli i Ministrave, Këshilli Kombëtar i Ujit, Komiteti i Planifikimit Strategjik; Në nivel qeveritar janë ministritë e linjës lidhur me çështjet e ujit; Në nivel drejtues janë Agjencitë Kombëtare, Bordet Rajonale të Kullimit, këta të fundit kryejnë gjithashtu detyra operacionale; në varësi të ministrive të linjës dhe në nivel operacional, autoritetet lokale të cilat janë përgjegjëse për probleme të ndryshme sektoriale (ndërtimi, mirëmbajtja, rehabilitimi etj</w:t>
      </w:r>
      <w:r w:rsidR="00504992" w:rsidRPr="00445472">
        <w:t>.</w:t>
      </w:r>
      <w:r w:rsidRPr="00445472">
        <w:t>).</w:t>
      </w:r>
    </w:p>
    <w:p w14:paraId="615ED5E0" w14:textId="6B99F4E0" w:rsidR="00591820" w:rsidRPr="00445472" w:rsidRDefault="00591820" w:rsidP="00243D22">
      <w:pPr>
        <w:pStyle w:val="TEKSTIIII"/>
      </w:pPr>
      <w:r w:rsidRPr="00445472">
        <w:t>Qasja, bazuar në PKSU-në, në basenin ujor është ngritur një sistem i integruar me qëllim sigurimin e ndërveprimit ndërinstitucional për të arritur me sukses objektivat e parapar</w:t>
      </w:r>
      <w:r w:rsidR="005E0E6D" w:rsidRPr="00445472">
        <w:t>ë</w:t>
      </w:r>
      <w:r w:rsidRPr="00445472">
        <w:t xml:space="preserve"> mjedisore, duke siguruar gjithashtu qëndrueshmërinë e sistemit. Objektivat mjedisor</w:t>
      </w:r>
      <w:r w:rsidR="005E0E6D" w:rsidRPr="00445472">
        <w:t>ë</w:t>
      </w:r>
      <w:r w:rsidRPr="00445472">
        <w:t xml:space="preserve">, veprimet e propozuara dhe treguesit për suksesin paraqiten në </w:t>
      </w:r>
      <w:r w:rsidR="005E0E6D" w:rsidRPr="00445472">
        <w:t xml:space="preserve">tabelën </w:t>
      </w:r>
      <w:r w:rsidRPr="00445472">
        <w:t xml:space="preserve">10.1 </w:t>
      </w:r>
    </w:p>
    <w:p w14:paraId="2542717B" w14:textId="6113749C" w:rsidR="00243D22" w:rsidRPr="00445472" w:rsidRDefault="00591820" w:rsidP="00243D22">
      <w:pPr>
        <w:pStyle w:val="TEKSTIIII"/>
        <w:rPr>
          <w:shd w:val="clear" w:color="auto" w:fill="FFFFFF"/>
        </w:rPr>
      </w:pPr>
      <w:r w:rsidRPr="00445472">
        <w:rPr>
          <w:shd w:val="clear" w:color="auto" w:fill="FFFFFF"/>
        </w:rPr>
        <w:t>Për arritjen e objektivave për sektorin e ujit, për periudhën 2021</w:t>
      </w:r>
      <w:r w:rsidR="00504992" w:rsidRPr="00445472">
        <w:rPr>
          <w:shd w:val="clear" w:color="auto" w:fill="FFFFFF"/>
        </w:rPr>
        <w:t>–</w:t>
      </w:r>
      <w:r w:rsidRPr="00445472">
        <w:rPr>
          <w:shd w:val="clear" w:color="auto" w:fill="FFFFFF"/>
        </w:rPr>
        <w:t xml:space="preserve">2033 dhe më gjerë, janë propozuar një numër masash të nevojshme në </w:t>
      </w:r>
      <w:r w:rsidR="00504992" w:rsidRPr="00445472">
        <w:rPr>
          <w:shd w:val="clear" w:color="auto" w:fill="FFFFFF"/>
        </w:rPr>
        <w:t xml:space="preserve">seksionin </w:t>
      </w:r>
      <w:r w:rsidRPr="00445472">
        <w:rPr>
          <w:shd w:val="clear" w:color="auto" w:fill="FFFFFF"/>
        </w:rPr>
        <w:t>12.</w:t>
      </w:r>
    </w:p>
    <w:p w14:paraId="6F45F4F2" w14:textId="77777777" w:rsidR="00243D22" w:rsidRPr="00445472" w:rsidRDefault="00243D22" w:rsidP="00243D22">
      <w:pPr>
        <w:pStyle w:val="TEKSTIIII"/>
        <w:rPr>
          <w:b/>
        </w:rPr>
      </w:pPr>
    </w:p>
    <w:p w14:paraId="03C09AD6" w14:textId="28E088F4" w:rsidR="00591820" w:rsidRPr="00445472" w:rsidRDefault="00591820" w:rsidP="00243D22">
      <w:pPr>
        <w:pStyle w:val="NENTITULL"/>
        <w:rPr>
          <w:shd w:val="clear" w:color="auto" w:fill="FFFFFF"/>
        </w:rPr>
      </w:pPr>
      <w:r w:rsidRPr="00445472">
        <w:t xml:space="preserve">Tabela 10.1: Objektivat </w:t>
      </w:r>
      <w:r w:rsidR="00671A2E" w:rsidRPr="00445472">
        <w:t>mjedisorë</w:t>
      </w:r>
      <w:r w:rsidRPr="00445472">
        <w:t xml:space="preserve">, veprimet dhe indikatorët mjedisorë për Basenin Ujor </w:t>
      </w:r>
      <w:r w:rsidR="007E76E3" w:rsidRPr="00445472">
        <w:t>Drin–Bunë</w:t>
      </w:r>
      <w:r w:rsidRPr="00445472">
        <w:t>.</w:t>
      </w:r>
      <w:r w:rsidRPr="00445472">
        <w:rPr>
          <w:rStyle w:val="FootnoteReference"/>
          <w:rFonts w:ascii="Garamond" w:hAnsi="Garamond"/>
          <w:b w:val="0"/>
          <w:color w:val="auto"/>
        </w:rPr>
        <w:footnoteReference w:id="195"/>
      </w:r>
    </w:p>
    <w:tbl>
      <w:tblPr>
        <w:tblW w:w="0" w:type="auto"/>
        <w:tblInd w:w="250"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ayout w:type="fixed"/>
        <w:tblLook w:val="04A0" w:firstRow="1" w:lastRow="0" w:firstColumn="1" w:lastColumn="0" w:noHBand="0" w:noVBand="1"/>
      </w:tblPr>
      <w:tblGrid>
        <w:gridCol w:w="3402"/>
        <w:gridCol w:w="2552"/>
        <w:gridCol w:w="1134"/>
        <w:gridCol w:w="992"/>
        <w:gridCol w:w="1236"/>
      </w:tblGrid>
      <w:tr w:rsidR="00591820" w:rsidRPr="00445472" w14:paraId="276766F0" w14:textId="77777777" w:rsidTr="00671A2E">
        <w:trPr>
          <w:tblHeader/>
        </w:trPr>
        <w:tc>
          <w:tcPr>
            <w:tcW w:w="3402" w:type="dxa"/>
            <w:vMerge w:val="restart"/>
            <w:shd w:val="clear" w:color="auto" w:fill="auto"/>
            <w:vAlign w:val="center"/>
          </w:tcPr>
          <w:p w14:paraId="0F00AF34" w14:textId="3E3379E5" w:rsidR="00591820" w:rsidRPr="00445472" w:rsidRDefault="00591820" w:rsidP="00671A2E">
            <w:pPr>
              <w:pStyle w:val="TableTextCentre"/>
              <w:spacing w:before="22" w:after="22"/>
              <w:ind w:right="63"/>
              <w:rPr>
                <w:rFonts w:ascii="Garamond" w:hAnsi="Garamond"/>
                <w:b/>
                <w:sz w:val="20"/>
                <w:szCs w:val="20"/>
                <w:lang w:val="sq-AL"/>
              </w:rPr>
            </w:pPr>
            <w:r w:rsidRPr="00445472">
              <w:rPr>
                <w:rFonts w:ascii="Garamond" w:hAnsi="Garamond"/>
                <w:b/>
                <w:sz w:val="20"/>
                <w:szCs w:val="20"/>
                <w:lang w:val="sq-AL"/>
              </w:rPr>
              <w:t xml:space="preserve">Objektivat </w:t>
            </w:r>
            <w:r w:rsidR="00671A2E" w:rsidRPr="00445472">
              <w:rPr>
                <w:rFonts w:ascii="Garamond" w:hAnsi="Garamond"/>
                <w:b/>
                <w:sz w:val="20"/>
                <w:szCs w:val="20"/>
                <w:lang w:val="sq-AL"/>
              </w:rPr>
              <w:t>mjedisorë</w:t>
            </w:r>
            <w:r w:rsidR="001D340B" w:rsidRPr="00445472">
              <w:rPr>
                <w:rFonts w:ascii="Garamond" w:hAnsi="Garamond"/>
                <w:b/>
                <w:sz w:val="20"/>
                <w:szCs w:val="20"/>
                <w:lang w:val="sq-AL"/>
              </w:rPr>
              <w:t>/</w:t>
            </w:r>
            <w:r w:rsidR="00671A2E" w:rsidRPr="00445472">
              <w:rPr>
                <w:rFonts w:ascii="Garamond" w:hAnsi="Garamond"/>
                <w:b/>
                <w:sz w:val="20"/>
                <w:szCs w:val="20"/>
                <w:lang w:val="sq-AL"/>
              </w:rPr>
              <w:t>veprimet</w:t>
            </w:r>
          </w:p>
        </w:tc>
        <w:tc>
          <w:tcPr>
            <w:tcW w:w="2552" w:type="dxa"/>
            <w:vMerge w:val="restart"/>
            <w:shd w:val="clear" w:color="auto" w:fill="auto"/>
            <w:vAlign w:val="center"/>
          </w:tcPr>
          <w:p w14:paraId="58027D8A" w14:textId="77777777" w:rsidR="00591820" w:rsidRPr="00445472" w:rsidRDefault="00591820" w:rsidP="00671A2E">
            <w:pPr>
              <w:pStyle w:val="TableTextCentre"/>
              <w:spacing w:before="22" w:after="22"/>
              <w:ind w:right="63"/>
              <w:rPr>
                <w:rFonts w:ascii="Garamond" w:hAnsi="Garamond"/>
                <w:b/>
                <w:sz w:val="20"/>
                <w:szCs w:val="20"/>
                <w:lang w:val="sq-AL"/>
              </w:rPr>
            </w:pPr>
            <w:r w:rsidRPr="00445472">
              <w:rPr>
                <w:rFonts w:ascii="Garamond" w:hAnsi="Garamond"/>
                <w:b/>
                <w:sz w:val="20"/>
                <w:szCs w:val="20"/>
                <w:lang w:val="sq-AL"/>
              </w:rPr>
              <w:t>Njësitë e matjes</w:t>
            </w:r>
          </w:p>
        </w:tc>
        <w:tc>
          <w:tcPr>
            <w:tcW w:w="3362" w:type="dxa"/>
            <w:gridSpan w:val="3"/>
            <w:shd w:val="clear" w:color="auto" w:fill="auto"/>
            <w:vAlign w:val="center"/>
          </w:tcPr>
          <w:p w14:paraId="729709FF" w14:textId="57D818C3" w:rsidR="00591820" w:rsidRPr="00445472" w:rsidRDefault="00591820" w:rsidP="00671A2E">
            <w:pPr>
              <w:pStyle w:val="TableTextCentre"/>
              <w:spacing w:before="22" w:after="22"/>
              <w:ind w:right="63"/>
              <w:rPr>
                <w:rFonts w:ascii="Garamond" w:hAnsi="Garamond"/>
                <w:b/>
                <w:sz w:val="20"/>
                <w:szCs w:val="20"/>
                <w:lang w:val="sq-AL"/>
              </w:rPr>
            </w:pPr>
            <w:r w:rsidRPr="00445472">
              <w:rPr>
                <w:rFonts w:ascii="Garamond" w:hAnsi="Garamond"/>
                <w:b/>
                <w:sz w:val="20"/>
                <w:szCs w:val="20"/>
                <w:lang w:val="sq-AL"/>
              </w:rPr>
              <w:t>Objektiva</w:t>
            </w:r>
          </w:p>
        </w:tc>
      </w:tr>
      <w:tr w:rsidR="00591820" w:rsidRPr="00445472" w14:paraId="20A27C27" w14:textId="77777777" w:rsidTr="00671A2E">
        <w:trPr>
          <w:tblHeader/>
        </w:trPr>
        <w:tc>
          <w:tcPr>
            <w:tcW w:w="3402" w:type="dxa"/>
            <w:vMerge/>
            <w:tcBorders>
              <w:bottom w:val="single" w:sz="4" w:space="0" w:color="27B1B0"/>
            </w:tcBorders>
            <w:shd w:val="clear" w:color="auto" w:fill="auto"/>
            <w:vAlign w:val="center"/>
          </w:tcPr>
          <w:p w14:paraId="44E4BCDC" w14:textId="77777777" w:rsidR="00591820" w:rsidRPr="00445472" w:rsidRDefault="00591820" w:rsidP="00671A2E">
            <w:pPr>
              <w:pStyle w:val="TableTextCentre"/>
              <w:spacing w:before="22" w:after="22"/>
              <w:ind w:right="63"/>
              <w:rPr>
                <w:rFonts w:ascii="Garamond" w:hAnsi="Garamond"/>
                <w:b/>
                <w:sz w:val="20"/>
                <w:szCs w:val="20"/>
                <w:lang w:val="sq-AL"/>
              </w:rPr>
            </w:pPr>
          </w:p>
        </w:tc>
        <w:tc>
          <w:tcPr>
            <w:tcW w:w="2552" w:type="dxa"/>
            <w:vMerge/>
            <w:tcBorders>
              <w:bottom w:val="single" w:sz="4" w:space="0" w:color="27B1B0"/>
            </w:tcBorders>
            <w:shd w:val="clear" w:color="auto" w:fill="auto"/>
            <w:vAlign w:val="center"/>
          </w:tcPr>
          <w:p w14:paraId="162E1C31" w14:textId="77777777" w:rsidR="00591820" w:rsidRPr="00445472" w:rsidRDefault="00591820" w:rsidP="00671A2E">
            <w:pPr>
              <w:pStyle w:val="TableTextCentre"/>
              <w:spacing w:before="22" w:after="22"/>
              <w:ind w:right="63"/>
              <w:rPr>
                <w:rFonts w:ascii="Garamond" w:hAnsi="Garamond"/>
                <w:b/>
                <w:sz w:val="20"/>
                <w:szCs w:val="20"/>
                <w:lang w:val="sq-AL"/>
              </w:rPr>
            </w:pPr>
          </w:p>
        </w:tc>
        <w:tc>
          <w:tcPr>
            <w:tcW w:w="1134" w:type="dxa"/>
            <w:tcBorders>
              <w:bottom w:val="single" w:sz="4" w:space="0" w:color="27B1B0"/>
            </w:tcBorders>
            <w:shd w:val="clear" w:color="auto" w:fill="auto"/>
            <w:vAlign w:val="center"/>
          </w:tcPr>
          <w:p w14:paraId="01FC363B" w14:textId="77777777" w:rsidR="00591820" w:rsidRPr="00445472" w:rsidRDefault="00591820" w:rsidP="00671A2E">
            <w:pPr>
              <w:pStyle w:val="TableTextCentre"/>
              <w:spacing w:before="22" w:after="22"/>
              <w:ind w:right="63"/>
              <w:rPr>
                <w:rFonts w:ascii="Garamond" w:hAnsi="Garamond"/>
                <w:b/>
                <w:sz w:val="20"/>
                <w:szCs w:val="20"/>
                <w:lang w:val="sq-AL"/>
              </w:rPr>
            </w:pPr>
            <w:r w:rsidRPr="00445472">
              <w:rPr>
                <w:rFonts w:ascii="Garamond" w:hAnsi="Garamond"/>
                <w:b/>
                <w:sz w:val="20"/>
                <w:szCs w:val="20"/>
                <w:lang w:val="sq-AL"/>
              </w:rPr>
              <w:t>2021</w:t>
            </w:r>
            <w:r w:rsidRPr="00445472">
              <w:rPr>
                <w:rStyle w:val="FootnoteReference"/>
                <w:rFonts w:ascii="Garamond" w:hAnsi="Garamond"/>
                <w:b/>
                <w:color w:val="auto"/>
                <w:sz w:val="20"/>
                <w:lang w:val="sq-AL"/>
              </w:rPr>
              <w:footnoteReference w:id="196"/>
            </w:r>
          </w:p>
        </w:tc>
        <w:tc>
          <w:tcPr>
            <w:tcW w:w="992" w:type="dxa"/>
            <w:tcBorders>
              <w:bottom w:val="single" w:sz="4" w:space="0" w:color="27B1B0"/>
            </w:tcBorders>
            <w:shd w:val="clear" w:color="auto" w:fill="auto"/>
            <w:vAlign w:val="center"/>
          </w:tcPr>
          <w:p w14:paraId="43B93247" w14:textId="77777777" w:rsidR="00591820" w:rsidRPr="00445472" w:rsidRDefault="00591820" w:rsidP="00671A2E">
            <w:pPr>
              <w:pStyle w:val="TableTextCentre"/>
              <w:spacing w:before="22" w:after="22"/>
              <w:ind w:right="63"/>
              <w:rPr>
                <w:rFonts w:ascii="Garamond" w:hAnsi="Garamond"/>
                <w:b/>
                <w:sz w:val="20"/>
                <w:szCs w:val="20"/>
                <w:lang w:val="sq-AL"/>
              </w:rPr>
            </w:pPr>
            <w:r w:rsidRPr="00445472">
              <w:rPr>
                <w:rFonts w:ascii="Garamond" w:hAnsi="Garamond"/>
                <w:b/>
                <w:sz w:val="20"/>
                <w:szCs w:val="20"/>
                <w:lang w:val="sq-AL"/>
              </w:rPr>
              <w:t>2024</w:t>
            </w:r>
          </w:p>
        </w:tc>
        <w:tc>
          <w:tcPr>
            <w:tcW w:w="1236" w:type="dxa"/>
            <w:tcBorders>
              <w:bottom w:val="single" w:sz="4" w:space="0" w:color="27B1B0"/>
            </w:tcBorders>
            <w:shd w:val="clear" w:color="auto" w:fill="auto"/>
            <w:vAlign w:val="center"/>
          </w:tcPr>
          <w:p w14:paraId="32CA9427" w14:textId="77777777" w:rsidR="00591820" w:rsidRPr="00445472" w:rsidRDefault="00591820" w:rsidP="00671A2E">
            <w:pPr>
              <w:pStyle w:val="TableTextCentre"/>
              <w:spacing w:before="22" w:after="22"/>
              <w:ind w:right="63"/>
              <w:rPr>
                <w:rFonts w:ascii="Garamond" w:hAnsi="Garamond"/>
                <w:b/>
                <w:sz w:val="20"/>
                <w:szCs w:val="20"/>
                <w:lang w:val="sq-AL"/>
              </w:rPr>
            </w:pPr>
            <w:r w:rsidRPr="00445472">
              <w:rPr>
                <w:rFonts w:ascii="Garamond" w:hAnsi="Garamond"/>
                <w:b/>
                <w:sz w:val="20"/>
                <w:szCs w:val="20"/>
                <w:lang w:val="sq-AL"/>
              </w:rPr>
              <w:t>2030</w:t>
            </w:r>
          </w:p>
        </w:tc>
      </w:tr>
      <w:tr w:rsidR="00591820" w:rsidRPr="00445472" w14:paraId="4E8E997A" w14:textId="77777777" w:rsidTr="002A1F08">
        <w:tc>
          <w:tcPr>
            <w:tcW w:w="9316" w:type="dxa"/>
            <w:gridSpan w:val="5"/>
            <w:shd w:val="clear" w:color="auto" w:fill="auto"/>
            <w:vAlign w:val="center"/>
          </w:tcPr>
          <w:p w14:paraId="1481B1CC" w14:textId="77777777" w:rsidR="00591820" w:rsidRPr="00445472" w:rsidRDefault="00591820" w:rsidP="002A1F08">
            <w:pPr>
              <w:pStyle w:val="TableTextCentre"/>
              <w:spacing w:before="22" w:after="22"/>
              <w:ind w:right="63"/>
              <w:jc w:val="both"/>
              <w:rPr>
                <w:rFonts w:ascii="Garamond" w:hAnsi="Garamond"/>
                <w:sz w:val="20"/>
                <w:szCs w:val="20"/>
                <w:lang w:val="sq-AL"/>
              </w:rPr>
            </w:pPr>
            <w:r w:rsidRPr="00445472">
              <w:rPr>
                <w:rFonts w:ascii="Garamond" w:hAnsi="Garamond"/>
                <w:sz w:val="20"/>
                <w:szCs w:val="20"/>
                <w:lang w:val="sq-AL"/>
              </w:rPr>
              <w:t>1. Për të promovuar përdorimin e qëndrueshëm të burimeve ujore, shpërndarjen e tyre të drejtë ndërmjet përdoruesve, maksimizimin e përfitimeve ekonomike në lidhje me kushtet e mjedisit dhe parimet e menaxhimit të qëndrueshëm</w:t>
            </w:r>
            <w:r w:rsidRPr="00445472">
              <w:rPr>
                <w:rFonts w:ascii="Garamond" w:hAnsi="Garamond"/>
                <w:i/>
                <w:sz w:val="20"/>
                <w:szCs w:val="20"/>
                <w:lang w:val="sq-AL"/>
              </w:rPr>
              <w:t xml:space="preserve"> </w:t>
            </w:r>
          </w:p>
        </w:tc>
      </w:tr>
      <w:tr w:rsidR="00591820" w:rsidRPr="00445472" w14:paraId="1A3C471B" w14:textId="77777777" w:rsidTr="002A1F08">
        <w:tc>
          <w:tcPr>
            <w:tcW w:w="3402" w:type="dxa"/>
            <w:vMerge w:val="restart"/>
            <w:shd w:val="clear" w:color="auto" w:fill="auto"/>
            <w:vAlign w:val="center"/>
          </w:tcPr>
          <w:p w14:paraId="4FA2CA44"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sz w:val="20"/>
                <w:szCs w:val="20"/>
                <w:lang w:val="sq-AL"/>
              </w:rPr>
              <w:t>Përmirësim i vazhdueshëm në furnizimin me ujë</w:t>
            </w:r>
          </w:p>
        </w:tc>
        <w:tc>
          <w:tcPr>
            <w:tcW w:w="2552" w:type="dxa"/>
            <w:shd w:val="clear" w:color="auto" w:fill="auto"/>
            <w:vAlign w:val="center"/>
          </w:tcPr>
          <w:p w14:paraId="33367097"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popullsisë së shërbyer në zonat urbane</w:t>
            </w:r>
          </w:p>
        </w:tc>
        <w:tc>
          <w:tcPr>
            <w:tcW w:w="1134" w:type="dxa"/>
            <w:shd w:val="clear" w:color="auto" w:fill="auto"/>
            <w:vAlign w:val="center"/>
          </w:tcPr>
          <w:p w14:paraId="4A8A1B2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84</w:t>
            </w:r>
          </w:p>
        </w:tc>
        <w:tc>
          <w:tcPr>
            <w:tcW w:w="992" w:type="dxa"/>
            <w:shd w:val="clear" w:color="auto" w:fill="auto"/>
            <w:vAlign w:val="center"/>
          </w:tcPr>
          <w:p w14:paraId="2F41BB1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89</w:t>
            </w:r>
          </w:p>
        </w:tc>
        <w:tc>
          <w:tcPr>
            <w:tcW w:w="1236" w:type="dxa"/>
            <w:shd w:val="clear" w:color="auto" w:fill="auto"/>
            <w:vAlign w:val="center"/>
          </w:tcPr>
          <w:p w14:paraId="07B3DD4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94</w:t>
            </w:r>
          </w:p>
        </w:tc>
      </w:tr>
      <w:tr w:rsidR="00591820" w:rsidRPr="00445472" w14:paraId="1ECCFF7B" w14:textId="77777777" w:rsidTr="002A1F08">
        <w:tc>
          <w:tcPr>
            <w:tcW w:w="3402" w:type="dxa"/>
            <w:vMerge/>
            <w:shd w:val="clear" w:color="auto" w:fill="auto"/>
            <w:vAlign w:val="center"/>
          </w:tcPr>
          <w:p w14:paraId="1580A2A4" w14:textId="77777777" w:rsidR="00591820" w:rsidRPr="00445472" w:rsidRDefault="00591820" w:rsidP="002A1F08">
            <w:pPr>
              <w:pStyle w:val="TableTextCentre"/>
              <w:spacing w:before="22" w:after="22"/>
              <w:ind w:right="63"/>
              <w:jc w:val="left"/>
              <w:rPr>
                <w:rFonts w:ascii="Garamond" w:hAnsi="Garamond"/>
                <w:sz w:val="20"/>
                <w:szCs w:val="20"/>
                <w:lang w:val="sq-AL"/>
              </w:rPr>
            </w:pPr>
          </w:p>
        </w:tc>
        <w:tc>
          <w:tcPr>
            <w:tcW w:w="2552" w:type="dxa"/>
            <w:shd w:val="clear" w:color="auto" w:fill="auto"/>
            <w:vAlign w:val="center"/>
          </w:tcPr>
          <w:p w14:paraId="02EC1A2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popullsisë së shërbyer në zonat rurale</w:t>
            </w:r>
          </w:p>
        </w:tc>
        <w:tc>
          <w:tcPr>
            <w:tcW w:w="1134" w:type="dxa"/>
            <w:shd w:val="clear" w:color="auto" w:fill="auto"/>
            <w:vAlign w:val="center"/>
          </w:tcPr>
          <w:p w14:paraId="36B473A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35</w:t>
            </w:r>
          </w:p>
        </w:tc>
        <w:tc>
          <w:tcPr>
            <w:tcW w:w="992" w:type="dxa"/>
            <w:shd w:val="clear" w:color="auto" w:fill="auto"/>
            <w:vAlign w:val="center"/>
          </w:tcPr>
          <w:p w14:paraId="43C5C8ED"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40</w:t>
            </w:r>
          </w:p>
        </w:tc>
        <w:tc>
          <w:tcPr>
            <w:tcW w:w="1236" w:type="dxa"/>
            <w:shd w:val="clear" w:color="auto" w:fill="auto"/>
            <w:vAlign w:val="center"/>
          </w:tcPr>
          <w:p w14:paraId="15BA153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58</w:t>
            </w:r>
          </w:p>
        </w:tc>
      </w:tr>
      <w:tr w:rsidR="00591820" w:rsidRPr="00445472" w14:paraId="42858668" w14:textId="77777777" w:rsidTr="002A1F08">
        <w:tc>
          <w:tcPr>
            <w:tcW w:w="3402" w:type="dxa"/>
            <w:vMerge/>
            <w:shd w:val="clear" w:color="auto" w:fill="auto"/>
            <w:vAlign w:val="center"/>
          </w:tcPr>
          <w:p w14:paraId="3971C802" w14:textId="77777777" w:rsidR="00591820" w:rsidRPr="00445472" w:rsidRDefault="00591820" w:rsidP="002A1F08">
            <w:pPr>
              <w:pStyle w:val="TableTextCentre"/>
              <w:spacing w:before="22" w:after="22"/>
              <w:ind w:right="63"/>
              <w:jc w:val="left"/>
              <w:rPr>
                <w:rFonts w:ascii="Garamond" w:hAnsi="Garamond"/>
                <w:sz w:val="20"/>
                <w:szCs w:val="20"/>
                <w:lang w:val="sq-AL"/>
              </w:rPr>
            </w:pPr>
          </w:p>
        </w:tc>
        <w:tc>
          <w:tcPr>
            <w:tcW w:w="2552" w:type="dxa"/>
            <w:shd w:val="clear" w:color="auto" w:fill="auto"/>
            <w:vAlign w:val="center"/>
          </w:tcPr>
          <w:p w14:paraId="5D12C2A7" w14:textId="401C0F4E"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Furnizimi mesatar me ujë (orë</w:t>
            </w:r>
            <w:r w:rsidR="001D340B" w:rsidRPr="00445472">
              <w:rPr>
                <w:rFonts w:ascii="Garamond" w:hAnsi="Garamond"/>
                <w:i/>
                <w:sz w:val="20"/>
                <w:szCs w:val="20"/>
                <w:lang w:val="sq-AL"/>
              </w:rPr>
              <w:t>/</w:t>
            </w:r>
            <w:r w:rsidRPr="00445472">
              <w:rPr>
                <w:rFonts w:ascii="Garamond" w:hAnsi="Garamond"/>
                <w:i/>
                <w:sz w:val="20"/>
                <w:szCs w:val="20"/>
                <w:lang w:val="sq-AL"/>
              </w:rPr>
              <w:t>ditë)</w:t>
            </w:r>
          </w:p>
        </w:tc>
        <w:tc>
          <w:tcPr>
            <w:tcW w:w="1134" w:type="dxa"/>
            <w:shd w:val="clear" w:color="auto" w:fill="auto"/>
            <w:vAlign w:val="center"/>
          </w:tcPr>
          <w:p w14:paraId="33C256E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w:t>
            </w:r>
          </w:p>
        </w:tc>
        <w:tc>
          <w:tcPr>
            <w:tcW w:w="992" w:type="dxa"/>
            <w:shd w:val="clear" w:color="auto" w:fill="auto"/>
            <w:vAlign w:val="center"/>
          </w:tcPr>
          <w:p w14:paraId="418D051B"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12</w:t>
            </w:r>
          </w:p>
        </w:tc>
        <w:tc>
          <w:tcPr>
            <w:tcW w:w="1236" w:type="dxa"/>
            <w:shd w:val="clear" w:color="auto" w:fill="auto"/>
            <w:vAlign w:val="center"/>
          </w:tcPr>
          <w:p w14:paraId="5A09BC31"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17</w:t>
            </w:r>
          </w:p>
        </w:tc>
      </w:tr>
      <w:tr w:rsidR="00591820" w:rsidRPr="00445472" w14:paraId="45E7C939" w14:textId="77777777" w:rsidTr="002A1F08">
        <w:tc>
          <w:tcPr>
            <w:tcW w:w="3402" w:type="dxa"/>
            <w:vMerge w:val="restart"/>
            <w:shd w:val="clear" w:color="auto" w:fill="auto"/>
            <w:vAlign w:val="center"/>
          </w:tcPr>
          <w:p w14:paraId="17821F1F"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Përmirësimi i grumbullimit të ujërave të ndotura</w:t>
            </w:r>
          </w:p>
        </w:tc>
        <w:tc>
          <w:tcPr>
            <w:tcW w:w="2552" w:type="dxa"/>
            <w:shd w:val="clear" w:color="auto" w:fill="auto"/>
            <w:vAlign w:val="center"/>
          </w:tcPr>
          <w:p w14:paraId="75F0ABD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popullsisë së shërbyer në zonat urbane</w:t>
            </w:r>
          </w:p>
        </w:tc>
        <w:tc>
          <w:tcPr>
            <w:tcW w:w="1134" w:type="dxa"/>
            <w:shd w:val="clear" w:color="auto" w:fill="auto"/>
            <w:vAlign w:val="center"/>
          </w:tcPr>
          <w:p w14:paraId="2CFD7787"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64</w:t>
            </w:r>
          </w:p>
        </w:tc>
        <w:tc>
          <w:tcPr>
            <w:tcW w:w="992" w:type="dxa"/>
            <w:shd w:val="clear" w:color="auto" w:fill="auto"/>
            <w:vAlign w:val="center"/>
          </w:tcPr>
          <w:p w14:paraId="12DF4BD7"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65</w:t>
            </w:r>
          </w:p>
        </w:tc>
        <w:tc>
          <w:tcPr>
            <w:tcW w:w="1236" w:type="dxa"/>
            <w:shd w:val="clear" w:color="auto" w:fill="auto"/>
            <w:vAlign w:val="center"/>
          </w:tcPr>
          <w:p w14:paraId="1B6D29C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70</w:t>
            </w:r>
          </w:p>
        </w:tc>
      </w:tr>
      <w:tr w:rsidR="00591820" w:rsidRPr="00445472" w14:paraId="37DC387A" w14:textId="77777777" w:rsidTr="002A1F08">
        <w:tc>
          <w:tcPr>
            <w:tcW w:w="3402" w:type="dxa"/>
            <w:vMerge/>
            <w:shd w:val="clear" w:color="auto" w:fill="auto"/>
            <w:vAlign w:val="center"/>
          </w:tcPr>
          <w:p w14:paraId="681F7010" w14:textId="77777777" w:rsidR="00591820" w:rsidRPr="00445472" w:rsidRDefault="00591820" w:rsidP="002A1F08">
            <w:pPr>
              <w:pStyle w:val="TableTextCentre"/>
              <w:spacing w:before="22" w:after="22"/>
              <w:ind w:right="63"/>
              <w:jc w:val="left"/>
              <w:rPr>
                <w:rFonts w:ascii="Garamond" w:hAnsi="Garamond"/>
                <w:sz w:val="20"/>
                <w:szCs w:val="20"/>
                <w:lang w:val="sq-AL"/>
              </w:rPr>
            </w:pPr>
          </w:p>
        </w:tc>
        <w:tc>
          <w:tcPr>
            <w:tcW w:w="2552" w:type="dxa"/>
            <w:shd w:val="clear" w:color="auto" w:fill="auto"/>
            <w:vAlign w:val="center"/>
          </w:tcPr>
          <w:p w14:paraId="191B064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popullsisë së shërbyer në zonat rurale</w:t>
            </w:r>
          </w:p>
        </w:tc>
        <w:tc>
          <w:tcPr>
            <w:tcW w:w="1134" w:type="dxa"/>
            <w:shd w:val="clear" w:color="auto" w:fill="auto"/>
            <w:vAlign w:val="center"/>
          </w:tcPr>
          <w:p w14:paraId="3CCCC44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18</w:t>
            </w:r>
          </w:p>
        </w:tc>
        <w:tc>
          <w:tcPr>
            <w:tcW w:w="992" w:type="dxa"/>
            <w:shd w:val="clear" w:color="auto" w:fill="auto"/>
            <w:vAlign w:val="center"/>
          </w:tcPr>
          <w:p w14:paraId="1692ECF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24</w:t>
            </w:r>
          </w:p>
        </w:tc>
        <w:tc>
          <w:tcPr>
            <w:tcW w:w="1236" w:type="dxa"/>
            <w:shd w:val="clear" w:color="auto" w:fill="auto"/>
            <w:vAlign w:val="center"/>
          </w:tcPr>
          <w:p w14:paraId="1D99FF1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30</w:t>
            </w:r>
          </w:p>
        </w:tc>
      </w:tr>
      <w:tr w:rsidR="00591820" w:rsidRPr="00445472" w14:paraId="24E61B30" w14:textId="77777777" w:rsidTr="002A1F08">
        <w:tc>
          <w:tcPr>
            <w:tcW w:w="3402" w:type="dxa"/>
            <w:shd w:val="clear" w:color="auto" w:fill="auto"/>
            <w:vAlign w:val="center"/>
          </w:tcPr>
          <w:p w14:paraId="166F645C"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Uji për ujitje për tokën bujqësore</w:t>
            </w:r>
          </w:p>
        </w:tc>
        <w:tc>
          <w:tcPr>
            <w:tcW w:w="2552" w:type="dxa"/>
            <w:shd w:val="clear" w:color="auto" w:fill="auto"/>
            <w:vAlign w:val="center"/>
          </w:tcPr>
          <w:p w14:paraId="4A69CE33"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Toka bujqësore e ujitur (ha)</w:t>
            </w:r>
          </w:p>
        </w:tc>
        <w:tc>
          <w:tcPr>
            <w:tcW w:w="1134" w:type="dxa"/>
            <w:shd w:val="clear" w:color="auto" w:fill="auto"/>
            <w:vAlign w:val="center"/>
          </w:tcPr>
          <w:p w14:paraId="58185DE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28.000</w:t>
            </w:r>
          </w:p>
        </w:tc>
        <w:tc>
          <w:tcPr>
            <w:tcW w:w="992" w:type="dxa"/>
            <w:shd w:val="clear" w:color="auto" w:fill="auto"/>
            <w:vAlign w:val="center"/>
          </w:tcPr>
          <w:p w14:paraId="39D67B6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35.000</w:t>
            </w:r>
          </w:p>
        </w:tc>
        <w:tc>
          <w:tcPr>
            <w:tcW w:w="1236" w:type="dxa"/>
            <w:shd w:val="clear" w:color="auto" w:fill="auto"/>
            <w:vAlign w:val="center"/>
          </w:tcPr>
          <w:p w14:paraId="7448B8C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45.000</w:t>
            </w:r>
          </w:p>
        </w:tc>
      </w:tr>
      <w:tr w:rsidR="00591820" w:rsidRPr="00445472" w14:paraId="0B1209DD" w14:textId="77777777" w:rsidTr="002A1F08">
        <w:tc>
          <w:tcPr>
            <w:tcW w:w="3402" w:type="dxa"/>
            <w:shd w:val="clear" w:color="auto" w:fill="auto"/>
            <w:vAlign w:val="center"/>
          </w:tcPr>
          <w:p w14:paraId="2AADD961"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Përmirësimi i rrjetit të kullimit për tokën bujqësore të ujitur</w:t>
            </w:r>
          </w:p>
        </w:tc>
        <w:tc>
          <w:tcPr>
            <w:tcW w:w="2552" w:type="dxa"/>
            <w:shd w:val="clear" w:color="auto" w:fill="auto"/>
            <w:vAlign w:val="center"/>
          </w:tcPr>
          <w:p w14:paraId="6A792904"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Zonë me rrjet kullues (ha)</w:t>
            </w:r>
          </w:p>
        </w:tc>
        <w:tc>
          <w:tcPr>
            <w:tcW w:w="1134" w:type="dxa"/>
            <w:shd w:val="clear" w:color="auto" w:fill="auto"/>
            <w:vAlign w:val="center"/>
          </w:tcPr>
          <w:p w14:paraId="452762E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40.000</w:t>
            </w:r>
          </w:p>
        </w:tc>
        <w:tc>
          <w:tcPr>
            <w:tcW w:w="992" w:type="dxa"/>
            <w:shd w:val="clear" w:color="auto" w:fill="auto"/>
            <w:vAlign w:val="center"/>
          </w:tcPr>
          <w:p w14:paraId="130B348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50.000</w:t>
            </w:r>
          </w:p>
        </w:tc>
        <w:tc>
          <w:tcPr>
            <w:tcW w:w="1236" w:type="dxa"/>
            <w:shd w:val="clear" w:color="auto" w:fill="auto"/>
            <w:vAlign w:val="center"/>
          </w:tcPr>
          <w:p w14:paraId="2FEBFB3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60.000</w:t>
            </w:r>
          </w:p>
        </w:tc>
      </w:tr>
      <w:tr w:rsidR="00591820" w:rsidRPr="00445472" w14:paraId="576BCED8" w14:textId="77777777" w:rsidTr="002A1F08">
        <w:tc>
          <w:tcPr>
            <w:tcW w:w="3402" w:type="dxa"/>
            <w:shd w:val="clear" w:color="auto" w:fill="auto"/>
            <w:vAlign w:val="center"/>
          </w:tcPr>
          <w:p w14:paraId="4E110753"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Zhvillimi i qëndrueshëm i akuakulturës në zona të caktuara</w:t>
            </w:r>
          </w:p>
        </w:tc>
        <w:tc>
          <w:tcPr>
            <w:tcW w:w="2552" w:type="dxa"/>
            <w:shd w:val="clear" w:color="auto" w:fill="auto"/>
            <w:vAlign w:val="center"/>
          </w:tcPr>
          <w:p w14:paraId="7E52E32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ekonomisë aktive në zonën e specifikuar</w:t>
            </w:r>
          </w:p>
        </w:tc>
        <w:tc>
          <w:tcPr>
            <w:tcW w:w="1134" w:type="dxa"/>
            <w:shd w:val="clear" w:color="auto" w:fill="auto"/>
            <w:vAlign w:val="center"/>
          </w:tcPr>
          <w:p w14:paraId="4CE12D81"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w:t>
            </w:r>
          </w:p>
        </w:tc>
        <w:tc>
          <w:tcPr>
            <w:tcW w:w="992" w:type="dxa"/>
            <w:shd w:val="clear" w:color="auto" w:fill="auto"/>
            <w:vAlign w:val="center"/>
          </w:tcPr>
          <w:p w14:paraId="759B7BB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30</w:t>
            </w:r>
          </w:p>
        </w:tc>
        <w:tc>
          <w:tcPr>
            <w:tcW w:w="1236" w:type="dxa"/>
            <w:shd w:val="clear" w:color="auto" w:fill="auto"/>
            <w:vAlign w:val="center"/>
          </w:tcPr>
          <w:p w14:paraId="68E5EAC1"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60</w:t>
            </w:r>
          </w:p>
        </w:tc>
      </w:tr>
      <w:tr w:rsidR="00591820" w:rsidRPr="00445472" w14:paraId="5508DD48" w14:textId="77777777" w:rsidTr="002A1F08">
        <w:tc>
          <w:tcPr>
            <w:tcW w:w="3402" w:type="dxa"/>
            <w:shd w:val="clear" w:color="auto" w:fill="auto"/>
            <w:vAlign w:val="center"/>
          </w:tcPr>
          <w:p w14:paraId="5DEB216A"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Maksimizimi i përdorimit të potencialit të energjisë hidrike</w:t>
            </w:r>
          </w:p>
        </w:tc>
        <w:tc>
          <w:tcPr>
            <w:tcW w:w="2552" w:type="dxa"/>
            <w:shd w:val="clear" w:color="auto" w:fill="auto"/>
            <w:vAlign w:val="center"/>
          </w:tcPr>
          <w:p w14:paraId="206DBD6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në krahasim me kapacitetin maksimal të vendit</w:t>
            </w:r>
          </w:p>
        </w:tc>
        <w:tc>
          <w:tcPr>
            <w:tcW w:w="1134" w:type="dxa"/>
            <w:shd w:val="clear" w:color="auto" w:fill="auto"/>
            <w:vAlign w:val="center"/>
          </w:tcPr>
          <w:p w14:paraId="2D07960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70</w:t>
            </w:r>
          </w:p>
        </w:tc>
        <w:tc>
          <w:tcPr>
            <w:tcW w:w="992" w:type="dxa"/>
            <w:shd w:val="clear" w:color="auto" w:fill="auto"/>
            <w:vAlign w:val="center"/>
          </w:tcPr>
          <w:p w14:paraId="17131ED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80</w:t>
            </w:r>
          </w:p>
        </w:tc>
        <w:tc>
          <w:tcPr>
            <w:tcW w:w="1236" w:type="dxa"/>
            <w:shd w:val="clear" w:color="auto" w:fill="auto"/>
            <w:vAlign w:val="center"/>
          </w:tcPr>
          <w:p w14:paraId="53934D4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95</w:t>
            </w:r>
          </w:p>
        </w:tc>
      </w:tr>
      <w:tr w:rsidR="00591820" w:rsidRPr="00445472" w14:paraId="414091AC" w14:textId="77777777" w:rsidTr="002A1F08">
        <w:tc>
          <w:tcPr>
            <w:tcW w:w="3402" w:type="dxa"/>
            <w:shd w:val="clear" w:color="auto" w:fill="auto"/>
            <w:vAlign w:val="center"/>
          </w:tcPr>
          <w:p w14:paraId="501E0559"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Plotësimi i kërkesave të ujit industrial</w:t>
            </w:r>
          </w:p>
        </w:tc>
        <w:tc>
          <w:tcPr>
            <w:tcW w:w="2552" w:type="dxa"/>
            <w:shd w:val="clear" w:color="auto" w:fill="auto"/>
            <w:vAlign w:val="center"/>
          </w:tcPr>
          <w:p w14:paraId="2ABFFA47"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në krahasim me kërkesën</w:t>
            </w:r>
          </w:p>
        </w:tc>
        <w:tc>
          <w:tcPr>
            <w:tcW w:w="1134" w:type="dxa"/>
            <w:shd w:val="clear" w:color="auto" w:fill="auto"/>
            <w:vAlign w:val="center"/>
          </w:tcPr>
          <w:p w14:paraId="21F1528E"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90</w:t>
            </w:r>
          </w:p>
        </w:tc>
        <w:tc>
          <w:tcPr>
            <w:tcW w:w="992" w:type="dxa"/>
            <w:shd w:val="clear" w:color="auto" w:fill="auto"/>
            <w:vAlign w:val="center"/>
          </w:tcPr>
          <w:p w14:paraId="41F8E67B"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w:t>
            </w:r>
          </w:p>
        </w:tc>
        <w:tc>
          <w:tcPr>
            <w:tcW w:w="1236" w:type="dxa"/>
            <w:shd w:val="clear" w:color="auto" w:fill="auto"/>
            <w:vAlign w:val="center"/>
          </w:tcPr>
          <w:p w14:paraId="04AECEC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w:t>
            </w:r>
          </w:p>
        </w:tc>
      </w:tr>
      <w:tr w:rsidR="00591820" w:rsidRPr="00445472" w14:paraId="49EDD755" w14:textId="77777777" w:rsidTr="002A1F08">
        <w:tc>
          <w:tcPr>
            <w:tcW w:w="9316" w:type="dxa"/>
            <w:gridSpan w:val="5"/>
            <w:shd w:val="clear" w:color="auto" w:fill="auto"/>
            <w:vAlign w:val="center"/>
          </w:tcPr>
          <w:p w14:paraId="65214F58" w14:textId="6C7DFADE" w:rsidR="00591820" w:rsidRPr="00445472" w:rsidRDefault="00591820" w:rsidP="002A1F08">
            <w:pPr>
              <w:pStyle w:val="TableTextCentre"/>
              <w:spacing w:before="22" w:after="22"/>
              <w:ind w:right="63"/>
              <w:jc w:val="both"/>
              <w:rPr>
                <w:rFonts w:ascii="Garamond" w:hAnsi="Garamond"/>
                <w:sz w:val="20"/>
                <w:szCs w:val="20"/>
                <w:lang w:val="sq-AL"/>
              </w:rPr>
            </w:pPr>
            <w:r w:rsidRPr="00445472">
              <w:rPr>
                <w:rFonts w:ascii="Garamond" w:hAnsi="Garamond"/>
                <w:sz w:val="20"/>
                <w:szCs w:val="20"/>
                <w:lang w:val="sq-AL"/>
              </w:rPr>
              <w:t xml:space="preserve">2. Ruajtja dhe arritja e statusit minimal </w:t>
            </w:r>
            <w:r w:rsidR="00D62EDF" w:rsidRPr="00445472">
              <w:rPr>
                <w:rFonts w:ascii="Garamond" w:hAnsi="Garamond"/>
                <w:sz w:val="20"/>
                <w:szCs w:val="20"/>
                <w:lang w:val="sq-AL"/>
              </w:rPr>
              <w:t>“</w:t>
            </w:r>
            <w:r w:rsidRPr="00445472">
              <w:rPr>
                <w:rFonts w:ascii="Garamond" w:hAnsi="Garamond"/>
                <w:sz w:val="20"/>
                <w:szCs w:val="20"/>
                <w:lang w:val="sq-AL"/>
              </w:rPr>
              <w:t>të mirë</w:t>
            </w:r>
            <w:r w:rsidR="00D62EDF" w:rsidRPr="00445472">
              <w:rPr>
                <w:rFonts w:ascii="Garamond" w:hAnsi="Garamond"/>
                <w:sz w:val="20"/>
                <w:szCs w:val="20"/>
                <w:lang w:val="sq-AL"/>
              </w:rPr>
              <w:t>”</w:t>
            </w:r>
            <w:r w:rsidRPr="00445472">
              <w:rPr>
                <w:rFonts w:ascii="Garamond" w:hAnsi="Garamond"/>
                <w:sz w:val="20"/>
                <w:szCs w:val="20"/>
                <w:lang w:val="sq-AL"/>
              </w:rPr>
              <w:t xml:space="preserve"> ekologjik dhe kimik për trupat ujorë sipërfaqësorë që kanë status </w:t>
            </w:r>
            <w:r w:rsidR="00D62EDF" w:rsidRPr="00445472">
              <w:rPr>
                <w:rFonts w:ascii="Garamond" w:hAnsi="Garamond"/>
                <w:sz w:val="20"/>
                <w:szCs w:val="20"/>
                <w:lang w:val="sq-AL"/>
              </w:rPr>
              <w:t>“</w:t>
            </w:r>
            <w:r w:rsidRPr="00445472">
              <w:rPr>
                <w:rFonts w:ascii="Garamond" w:hAnsi="Garamond"/>
                <w:sz w:val="20"/>
                <w:szCs w:val="20"/>
                <w:lang w:val="sq-AL"/>
              </w:rPr>
              <w:t>më pak se të mirë</w:t>
            </w:r>
            <w:r w:rsidR="00D62EDF" w:rsidRPr="00445472">
              <w:rPr>
                <w:rFonts w:ascii="Garamond" w:hAnsi="Garamond"/>
                <w:sz w:val="20"/>
                <w:szCs w:val="20"/>
                <w:lang w:val="sq-AL"/>
              </w:rPr>
              <w:t>”</w:t>
            </w:r>
            <w:r w:rsidRPr="00445472">
              <w:rPr>
                <w:rFonts w:ascii="Garamond" w:hAnsi="Garamond"/>
                <w:sz w:val="20"/>
                <w:szCs w:val="20"/>
                <w:lang w:val="sq-AL"/>
              </w:rPr>
              <w:t xml:space="preserve">, </w:t>
            </w:r>
            <w:r w:rsidR="00D62EDF" w:rsidRPr="00445472">
              <w:rPr>
                <w:rFonts w:ascii="Garamond" w:hAnsi="Garamond"/>
                <w:sz w:val="20"/>
                <w:szCs w:val="20"/>
                <w:lang w:val="sq-AL"/>
              </w:rPr>
              <w:t>“</w:t>
            </w:r>
            <w:r w:rsidRPr="00445472">
              <w:rPr>
                <w:rFonts w:ascii="Garamond" w:hAnsi="Garamond"/>
                <w:sz w:val="20"/>
                <w:szCs w:val="20"/>
                <w:lang w:val="sq-AL"/>
              </w:rPr>
              <w:t>të keq</w:t>
            </w:r>
            <w:r w:rsidR="00D62EDF" w:rsidRPr="00445472">
              <w:rPr>
                <w:rFonts w:ascii="Garamond" w:hAnsi="Garamond"/>
                <w:sz w:val="20"/>
                <w:szCs w:val="20"/>
                <w:lang w:val="sq-AL"/>
              </w:rPr>
              <w:t>”</w:t>
            </w:r>
            <w:r w:rsidRPr="00445472">
              <w:rPr>
                <w:rFonts w:ascii="Garamond" w:hAnsi="Garamond"/>
                <w:sz w:val="20"/>
                <w:szCs w:val="20"/>
                <w:lang w:val="sq-AL"/>
              </w:rPr>
              <w:t xml:space="preserve"> ose </w:t>
            </w:r>
            <w:r w:rsidR="00D62EDF" w:rsidRPr="00445472">
              <w:rPr>
                <w:rFonts w:ascii="Garamond" w:hAnsi="Garamond"/>
                <w:sz w:val="20"/>
                <w:szCs w:val="20"/>
                <w:lang w:val="sq-AL"/>
              </w:rPr>
              <w:t>“</w:t>
            </w:r>
            <w:r w:rsidRPr="00445472">
              <w:rPr>
                <w:rFonts w:ascii="Garamond" w:hAnsi="Garamond"/>
                <w:sz w:val="20"/>
                <w:szCs w:val="20"/>
                <w:lang w:val="sq-AL"/>
              </w:rPr>
              <w:t>shumë të keq</w:t>
            </w:r>
            <w:r w:rsidR="00D62EDF" w:rsidRPr="00445472">
              <w:rPr>
                <w:rFonts w:ascii="Garamond" w:hAnsi="Garamond"/>
                <w:sz w:val="20"/>
                <w:szCs w:val="20"/>
                <w:lang w:val="sq-AL"/>
              </w:rPr>
              <w:t>”</w:t>
            </w:r>
            <w:r w:rsidRPr="00445472">
              <w:rPr>
                <w:rFonts w:ascii="Garamond" w:hAnsi="Garamond"/>
                <w:sz w:val="20"/>
                <w:szCs w:val="20"/>
                <w:lang w:val="sq-AL"/>
              </w:rPr>
              <w:t>. (lumenjtë, liqenet, ujërat kalimtare</w:t>
            </w:r>
            <w:r w:rsidR="001D340B" w:rsidRPr="00445472">
              <w:rPr>
                <w:rFonts w:ascii="Garamond" w:hAnsi="Garamond"/>
                <w:sz w:val="20"/>
                <w:szCs w:val="20"/>
                <w:lang w:val="sq-AL"/>
              </w:rPr>
              <w:t>/</w:t>
            </w:r>
            <w:r w:rsidRPr="00445472">
              <w:rPr>
                <w:rFonts w:ascii="Garamond" w:hAnsi="Garamond"/>
                <w:sz w:val="20"/>
                <w:szCs w:val="20"/>
                <w:lang w:val="sq-AL"/>
              </w:rPr>
              <w:t>kalimtare, bregdetare, ujërat artificiale dhe trupat ujorë tepër të modifikuar)</w:t>
            </w:r>
          </w:p>
        </w:tc>
      </w:tr>
      <w:tr w:rsidR="00591820" w:rsidRPr="00445472" w14:paraId="4BAF5F23" w14:textId="77777777" w:rsidTr="002A1F08">
        <w:tc>
          <w:tcPr>
            <w:tcW w:w="3402" w:type="dxa"/>
            <w:shd w:val="clear" w:color="auto" w:fill="auto"/>
            <w:vAlign w:val="center"/>
          </w:tcPr>
          <w:p w14:paraId="446AB517"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Përmirësimi i monitorimit për të gjithë trupat ujorë</w:t>
            </w:r>
          </w:p>
        </w:tc>
        <w:tc>
          <w:tcPr>
            <w:tcW w:w="2552" w:type="dxa"/>
            <w:shd w:val="clear" w:color="auto" w:fill="auto"/>
            <w:vAlign w:val="center"/>
          </w:tcPr>
          <w:p w14:paraId="4CB20BB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stacioneve të monitorimit në vendet e dakorduara që ofrojnë të dhëna me rëndësi</w:t>
            </w:r>
          </w:p>
        </w:tc>
        <w:tc>
          <w:tcPr>
            <w:tcW w:w="1134" w:type="dxa"/>
            <w:shd w:val="clear" w:color="auto" w:fill="auto"/>
            <w:vAlign w:val="center"/>
          </w:tcPr>
          <w:p w14:paraId="65778B6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20</w:t>
            </w:r>
          </w:p>
        </w:tc>
        <w:tc>
          <w:tcPr>
            <w:tcW w:w="992" w:type="dxa"/>
            <w:shd w:val="clear" w:color="auto" w:fill="auto"/>
            <w:vAlign w:val="center"/>
          </w:tcPr>
          <w:p w14:paraId="362C8D5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6636498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w:t>
            </w:r>
          </w:p>
        </w:tc>
      </w:tr>
      <w:tr w:rsidR="00591820" w:rsidRPr="00445472" w14:paraId="57DE3638" w14:textId="77777777" w:rsidTr="002A1F08">
        <w:tc>
          <w:tcPr>
            <w:tcW w:w="3402" w:type="dxa"/>
            <w:vMerge w:val="restart"/>
            <w:shd w:val="clear" w:color="auto" w:fill="auto"/>
            <w:vAlign w:val="center"/>
          </w:tcPr>
          <w:p w14:paraId="21E1AA2B"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Përmirësimi i statusit ekologjik dhe i cilësisë kimike për të gjithë llojet e trupave ujorë sipërfaqësore</w:t>
            </w:r>
          </w:p>
        </w:tc>
        <w:tc>
          <w:tcPr>
            <w:tcW w:w="2552" w:type="dxa"/>
            <w:shd w:val="clear" w:color="auto" w:fill="auto"/>
            <w:vAlign w:val="center"/>
          </w:tcPr>
          <w:p w14:paraId="6949EF0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Reduktimi i shkarkimit të ujërave të zeza të papërpunuara nga qytetet me &gt; 2,000 ekuivalencë të popullsisë (pikat e burimit)</w:t>
            </w:r>
          </w:p>
        </w:tc>
        <w:tc>
          <w:tcPr>
            <w:tcW w:w="1134" w:type="dxa"/>
            <w:shd w:val="clear" w:color="auto" w:fill="auto"/>
            <w:vAlign w:val="center"/>
          </w:tcPr>
          <w:p w14:paraId="54642E0B"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w:t>
            </w:r>
          </w:p>
        </w:tc>
        <w:tc>
          <w:tcPr>
            <w:tcW w:w="992" w:type="dxa"/>
            <w:shd w:val="clear" w:color="auto" w:fill="auto"/>
            <w:vAlign w:val="center"/>
          </w:tcPr>
          <w:p w14:paraId="22474CE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245E7C9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95</w:t>
            </w:r>
          </w:p>
        </w:tc>
      </w:tr>
      <w:tr w:rsidR="00591820" w:rsidRPr="00445472" w14:paraId="3024F003" w14:textId="77777777" w:rsidTr="002A1F08">
        <w:tc>
          <w:tcPr>
            <w:tcW w:w="3402" w:type="dxa"/>
            <w:vMerge/>
            <w:shd w:val="clear" w:color="auto" w:fill="auto"/>
            <w:vAlign w:val="center"/>
          </w:tcPr>
          <w:p w14:paraId="02D2F73C" w14:textId="77777777" w:rsidR="00591820" w:rsidRPr="00445472" w:rsidRDefault="00591820" w:rsidP="002A1F08">
            <w:pPr>
              <w:pStyle w:val="TableTextCentre"/>
              <w:spacing w:before="22" w:after="22"/>
              <w:ind w:right="63"/>
              <w:jc w:val="left"/>
              <w:rPr>
                <w:rFonts w:ascii="Garamond" w:hAnsi="Garamond"/>
                <w:i/>
                <w:sz w:val="20"/>
                <w:szCs w:val="20"/>
                <w:lang w:val="sq-AL"/>
              </w:rPr>
            </w:pPr>
          </w:p>
        </w:tc>
        <w:tc>
          <w:tcPr>
            <w:tcW w:w="2552" w:type="dxa"/>
            <w:shd w:val="clear" w:color="auto" w:fill="auto"/>
            <w:vAlign w:val="center"/>
          </w:tcPr>
          <w:p w14:paraId="72637A0F" w14:textId="77777777"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 e popullsisë së lidhur me impiantin e trajtimit të ujërave të ndotura</w:t>
            </w:r>
          </w:p>
        </w:tc>
        <w:tc>
          <w:tcPr>
            <w:tcW w:w="1134" w:type="dxa"/>
            <w:shd w:val="clear" w:color="auto" w:fill="auto"/>
            <w:vAlign w:val="center"/>
          </w:tcPr>
          <w:p w14:paraId="6D4E734E"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22</w:t>
            </w:r>
          </w:p>
        </w:tc>
        <w:tc>
          <w:tcPr>
            <w:tcW w:w="992" w:type="dxa"/>
            <w:shd w:val="clear" w:color="auto" w:fill="auto"/>
            <w:vAlign w:val="center"/>
          </w:tcPr>
          <w:p w14:paraId="75AA70CB"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40</w:t>
            </w:r>
          </w:p>
        </w:tc>
        <w:tc>
          <w:tcPr>
            <w:tcW w:w="1236" w:type="dxa"/>
            <w:shd w:val="clear" w:color="auto" w:fill="auto"/>
            <w:vAlign w:val="center"/>
          </w:tcPr>
          <w:p w14:paraId="26B6068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70</w:t>
            </w:r>
          </w:p>
        </w:tc>
      </w:tr>
      <w:tr w:rsidR="00591820" w:rsidRPr="00445472" w14:paraId="3D92057D" w14:textId="77777777" w:rsidTr="002A1F08">
        <w:tc>
          <w:tcPr>
            <w:tcW w:w="3402" w:type="dxa"/>
            <w:vMerge/>
            <w:shd w:val="clear" w:color="auto" w:fill="auto"/>
            <w:vAlign w:val="center"/>
          </w:tcPr>
          <w:p w14:paraId="141878D0" w14:textId="77777777" w:rsidR="00591820" w:rsidRPr="00445472" w:rsidRDefault="00591820" w:rsidP="002A1F08">
            <w:pPr>
              <w:pStyle w:val="TableTextCentre"/>
              <w:spacing w:before="22" w:after="22"/>
              <w:ind w:right="63"/>
              <w:jc w:val="left"/>
              <w:rPr>
                <w:rFonts w:ascii="Garamond" w:hAnsi="Garamond"/>
                <w:i/>
                <w:sz w:val="20"/>
                <w:szCs w:val="20"/>
                <w:lang w:val="sq-AL"/>
              </w:rPr>
            </w:pPr>
          </w:p>
        </w:tc>
        <w:tc>
          <w:tcPr>
            <w:tcW w:w="2552" w:type="dxa"/>
            <w:shd w:val="clear" w:color="auto" w:fill="auto"/>
            <w:vAlign w:val="center"/>
          </w:tcPr>
          <w:p w14:paraId="09DF6F40" w14:textId="77777777"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Ndërtimi i gropave septike për % të popullsisë jo në rrjetin e grumbullimit të ujërave të ndotura</w:t>
            </w:r>
          </w:p>
        </w:tc>
        <w:tc>
          <w:tcPr>
            <w:tcW w:w="1134" w:type="dxa"/>
            <w:shd w:val="clear" w:color="auto" w:fill="auto"/>
            <w:vAlign w:val="center"/>
          </w:tcPr>
          <w:p w14:paraId="5BBB99C1"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15</w:t>
            </w:r>
          </w:p>
        </w:tc>
        <w:tc>
          <w:tcPr>
            <w:tcW w:w="992" w:type="dxa"/>
            <w:shd w:val="clear" w:color="auto" w:fill="auto"/>
            <w:vAlign w:val="center"/>
          </w:tcPr>
          <w:p w14:paraId="4706611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25</w:t>
            </w:r>
          </w:p>
        </w:tc>
        <w:tc>
          <w:tcPr>
            <w:tcW w:w="1236" w:type="dxa"/>
            <w:shd w:val="clear" w:color="auto" w:fill="auto"/>
            <w:vAlign w:val="center"/>
          </w:tcPr>
          <w:p w14:paraId="5AC7C9B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r>
      <w:tr w:rsidR="00591820" w:rsidRPr="00445472" w14:paraId="508E193C" w14:textId="77777777" w:rsidTr="002A1F08">
        <w:tc>
          <w:tcPr>
            <w:tcW w:w="3402" w:type="dxa"/>
            <w:vMerge/>
            <w:shd w:val="clear" w:color="auto" w:fill="auto"/>
            <w:vAlign w:val="center"/>
          </w:tcPr>
          <w:p w14:paraId="25E952FF" w14:textId="77777777" w:rsidR="00591820" w:rsidRPr="00445472" w:rsidRDefault="00591820" w:rsidP="002A1F08">
            <w:pPr>
              <w:pStyle w:val="TableTextCentre"/>
              <w:spacing w:before="22" w:after="22"/>
              <w:ind w:right="63"/>
              <w:jc w:val="left"/>
              <w:rPr>
                <w:rFonts w:ascii="Garamond" w:hAnsi="Garamond"/>
                <w:i/>
                <w:sz w:val="20"/>
                <w:szCs w:val="20"/>
                <w:lang w:val="sq-AL"/>
              </w:rPr>
            </w:pPr>
          </w:p>
        </w:tc>
        <w:tc>
          <w:tcPr>
            <w:tcW w:w="2552" w:type="dxa"/>
            <w:shd w:val="clear" w:color="auto" w:fill="auto"/>
            <w:vAlign w:val="center"/>
          </w:tcPr>
          <w:p w14:paraId="0321B82A" w14:textId="77777777"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 reduktim i shkarkimeve të ujërave të zeza të patrajtuara nga instalimet industriale dhe bujqësore</w:t>
            </w:r>
          </w:p>
          <w:p w14:paraId="3FA2C739" w14:textId="77777777"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(pikat e burimit)</w:t>
            </w:r>
          </w:p>
        </w:tc>
        <w:tc>
          <w:tcPr>
            <w:tcW w:w="1134" w:type="dxa"/>
            <w:shd w:val="clear" w:color="auto" w:fill="auto"/>
            <w:vAlign w:val="center"/>
          </w:tcPr>
          <w:p w14:paraId="62C1B6BD"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w:t>
            </w:r>
          </w:p>
        </w:tc>
        <w:tc>
          <w:tcPr>
            <w:tcW w:w="992" w:type="dxa"/>
            <w:shd w:val="clear" w:color="auto" w:fill="auto"/>
            <w:vAlign w:val="center"/>
          </w:tcPr>
          <w:p w14:paraId="3C8C6A1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71CFEB9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95</w:t>
            </w:r>
          </w:p>
        </w:tc>
      </w:tr>
      <w:tr w:rsidR="00591820" w:rsidRPr="00445472" w14:paraId="2E09BAD0" w14:textId="77777777" w:rsidTr="002A1F08">
        <w:tc>
          <w:tcPr>
            <w:tcW w:w="3402" w:type="dxa"/>
            <w:shd w:val="clear" w:color="auto" w:fill="auto"/>
            <w:vAlign w:val="center"/>
          </w:tcPr>
          <w:p w14:paraId="766AE5BD"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sz w:val="20"/>
                <w:szCs w:val="20"/>
                <w:lang w:val="sq-AL"/>
              </w:rPr>
              <w:t xml:space="preserve">Prezantimi i praktikave të mira bujqësore - vlerësimi, monitorimi dhe menaxhimi </w:t>
            </w:r>
          </w:p>
        </w:tc>
        <w:tc>
          <w:tcPr>
            <w:tcW w:w="2552" w:type="dxa"/>
            <w:shd w:val="clear" w:color="auto" w:fill="auto"/>
            <w:vAlign w:val="center"/>
          </w:tcPr>
          <w:p w14:paraId="7DFC86C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rasteve të përputhshmërisë së treguesve të cilësisë së ujit për lëndët ushqyese (burimet e shpërndara)</w:t>
            </w:r>
          </w:p>
        </w:tc>
        <w:tc>
          <w:tcPr>
            <w:tcW w:w="1134" w:type="dxa"/>
            <w:shd w:val="clear" w:color="auto" w:fill="auto"/>
            <w:vAlign w:val="center"/>
          </w:tcPr>
          <w:p w14:paraId="5BCBA210"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30</w:t>
            </w:r>
          </w:p>
        </w:tc>
        <w:tc>
          <w:tcPr>
            <w:tcW w:w="992" w:type="dxa"/>
            <w:shd w:val="clear" w:color="auto" w:fill="auto"/>
            <w:vAlign w:val="center"/>
          </w:tcPr>
          <w:p w14:paraId="2E151FF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7B77627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95</w:t>
            </w:r>
          </w:p>
        </w:tc>
      </w:tr>
      <w:tr w:rsidR="00591820" w:rsidRPr="00445472" w14:paraId="21E57861" w14:textId="77777777" w:rsidTr="002A1F08">
        <w:tc>
          <w:tcPr>
            <w:tcW w:w="3402" w:type="dxa"/>
            <w:shd w:val="clear" w:color="auto" w:fill="auto"/>
            <w:vAlign w:val="center"/>
          </w:tcPr>
          <w:p w14:paraId="465084F8"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Reduktimi i kontaminimit nga përdorimi i pesticideve në bujqësi</w:t>
            </w:r>
          </w:p>
        </w:tc>
        <w:tc>
          <w:tcPr>
            <w:tcW w:w="2552" w:type="dxa"/>
            <w:shd w:val="clear" w:color="auto" w:fill="auto"/>
            <w:vAlign w:val="center"/>
          </w:tcPr>
          <w:p w14:paraId="1A09FBE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reduktimit të kontaminimit</w:t>
            </w:r>
          </w:p>
        </w:tc>
        <w:tc>
          <w:tcPr>
            <w:tcW w:w="1134" w:type="dxa"/>
            <w:shd w:val="clear" w:color="auto" w:fill="auto"/>
            <w:vAlign w:val="center"/>
          </w:tcPr>
          <w:p w14:paraId="0C11B6A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w:t>
            </w:r>
          </w:p>
        </w:tc>
        <w:tc>
          <w:tcPr>
            <w:tcW w:w="992" w:type="dxa"/>
            <w:shd w:val="clear" w:color="auto" w:fill="auto"/>
            <w:vAlign w:val="center"/>
          </w:tcPr>
          <w:p w14:paraId="1E9896B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5EDB6603"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80</w:t>
            </w:r>
          </w:p>
        </w:tc>
      </w:tr>
      <w:tr w:rsidR="00591820" w:rsidRPr="00445472" w14:paraId="3433E699" w14:textId="77777777" w:rsidTr="002A1F08">
        <w:tc>
          <w:tcPr>
            <w:tcW w:w="3402" w:type="dxa"/>
            <w:shd w:val="clear" w:color="auto" w:fill="auto"/>
            <w:vAlign w:val="center"/>
          </w:tcPr>
          <w:p w14:paraId="7B47DB4E"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Reduktimi i përdorimit të paligjshëm të inerteve dhe zhavorrit të lumenjve</w:t>
            </w:r>
          </w:p>
        </w:tc>
        <w:tc>
          <w:tcPr>
            <w:tcW w:w="2552" w:type="dxa"/>
            <w:shd w:val="clear" w:color="auto" w:fill="auto"/>
            <w:vAlign w:val="center"/>
          </w:tcPr>
          <w:p w14:paraId="0EB536C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reduktim i shoqërive që kryejnë veprimtari të paligjshme në shtretërit e lumenjve</w:t>
            </w:r>
          </w:p>
        </w:tc>
        <w:tc>
          <w:tcPr>
            <w:tcW w:w="1134" w:type="dxa"/>
            <w:shd w:val="clear" w:color="auto" w:fill="auto"/>
            <w:vAlign w:val="center"/>
          </w:tcPr>
          <w:p w14:paraId="5903121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w:t>
            </w:r>
          </w:p>
        </w:tc>
        <w:tc>
          <w:tcPr>
            <w:tcW w:w="992" w:type="dxa"/>
            <w:shd w:val="clear" w:color="auto" w:fill="auto"/>
            <w:vAlign w:val="center"/>
          </w:tcPr>
          <w:p w14:paraId="65D9ACC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6AC5755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w:t>
            </w:r>
          </w:p>
        </w:tc>
      </w:tr>
      <w:tr w:rsidR="00591820" w:rsidRPr="00445472" w14:paraId="2A291077" w14:textId="77777777" w:rsidTr="002A1F08">
        <w:tc>
          <w:tcPr>
            <w:tcW w:w="9316" w:type="dxa"/>
            <w:gridSpan w:val="5"/>
            <w:shd w:val="clear" w:color="auto" w:fill="auto"/>
            <w:vAlign w:val="center"/>
          </w:tcPr>
          <w:p w14:paraId="46223A72" w14:textId="77777777" w:rsidR="00591820" w:rsidRPr="00445472" w:rsidRDefault="00591820" w:rsidP="002A1F08">
            <w:pPr>
              <w:pStyle w:val="TableTextCentre"/>
              <w:spacing w:before="22" w:after="22"/>
              <w:ind w:right="63"/>
              <w:jc w:val="both"/>
              <w:rPr>
                <w:rFonts w:ascii="Garamond" w:hAnsi="Garamond"/>
                <w:sz w:val="20"/>
                <w:szCs w:val="20"/>
                <w:lang w:val="sq-AL"/>
              </w:rPr>
            </w:pPr>
            <w:r w:rsidRPr="00445472">
              <w:rPr>
                <w:rFonts w:ascii="Garamond" w:hAnsi="Garamond"/>
                <w:sz w:val="20"/>
                <w:szCs w:val="20"/>
                <w:lang w:val="sq-AL"/>
              </w:rPr>
              <w:t>3. Parandalimi i ndotjes me qëllim shmangien e një përkeqësimi të cilësisë së ujërave nëntokësore dhe arritjen e një statusi të mirë kimik në trupat ujorë sipërfaqësore.</w:t>
            </w:r>
          </w:p>
        </w:tc>
      </w:tr>
      <w:tr w:rsidR="00591820" w:rsidRPr="00445472" w14:paraId="271256F3" w14:textId="77777777" w:rsidTr="002A1F08">
        <w:tc>
          <w:tcPr>
            <w:tcW w:w="3402" w:type="dxa"/>
            <w:shd w:val="clear" w:color="auto" w:fill="auto"/>
            <w:vAlign w:val="center"/>
          </w:tcPr>
          <w:p w14:paraId="04697209" w14:textId="4435888F" w:rsidR="00591820" w:rsidRPr="00445472" w:rsidRDefault="00591820" w:rsidP="002A1F08">
            <w:pPr>
              <w:pStyle w:val="TableTextCentre"/>
              <w:spacing w:before="22" w:after="22"/>
              <w:ind w:right="63"/>
              <w:jc w:val="left"/>
              <w:rPr>
                <w:rFonts w:ascii="Garamond" w:hAnsi="Garamond"/>
                <w:i/>
                <w:sz w:val="20"/>
                <w:szCs w:val="20"/>
                <w:lang w:val="sq-AL"/>
              </w:rPr>
            </w:pPr>
            <w:r w:rsidRPr="00445472">
              <w:rPr>
                <w:rFonts w:ascii="Garamond" w:hAnsi="Garamond"/>
                <w:i/>
                <w:sz w:val="20"/>
                <w:szCs w:val="20"/>
                <w:lang w:val="sq-AL"/>
              </w:rPr>
              <w:t>Eliminimi</w:t>
            </w:r>
            <w:r w:rsidR="001D340B" w:rsidRPr="00445472">
              <w:rPr>
                <w:rFonts w:ascii="Garamond" w:hAnsi="Garamond"/>
                <w:i/>
                <w:sz w:val="20"/>
                <w:szCs w:val="20"/>
                <w:lang w:val="sq-AL"/>
              </w:rPr>
              <w:t>/</w:t>
            </w:r>
            <w:r w:rsidRPr="00445472">
              <w:rPr>
                <w:rFonts w:ascii="Garamond" w:hAnsi="Garamond"/>
                <w:i/>
                <w:sz w:val="20"/>
                <w:szCs w:val="20"/>
                <w:lang w:val="sq-AL"/>
              </w:rPr>
              <w:t>zvogëlimi i sasisë së substancave të rrezikshme dhe nitrateve që hyjnë në ujërat nëntokësore</w:t>
            </w:r>
          </w:p>
        </w:tc>
        <w:tc>
          <w:tcPr>
            <w:tcW w:w="2552" w:type="dxa"/>
            <w:shd w:val="clear" w:color="auto" w:fill="auto"/>
            <w:vAlign w:val="center"/>
          </w:tcPr>
          <w:p w14:paraId="5C487DB6" w14:textId="77777777"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 e reduktimit të kontaminimit</w:t>
            </w:r>
          </w:p>
        </w:tc>
        <w:tc>
          <w:tcPr>
            <w:tcW w:w="1134" w:type="dxa"/>
            <w:shd w:val="clear" w:color="auto" w:fill="auto"/>
            <w:vAlign w:val="center"/>
          </w:tcPr>
          <w:p w14:paraId="640BA30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w:t>
            </w:r>
          </w:p>
        </w:tc>
        <w:tc>
          <w:tcPr>
            <w:tcW w:w="992" w:type="dxa"/>
            <w:shd w:val="clear" w:color="auto" w:fill="auto"/>
            <w:vAlign w:val="center"/>
          </w:tcPr>
          <w:p w14:paraId="2D7A43A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4682E830"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80</w:t>
            </w:r>
          </w:p>
        </w:tc>
      </w:tr>
      <w:tr w:rsidR="00591820" w:rsidRPr="00445472" w14:paraId="4722A1BF" w14:textId="77777777" w:rsidTr="002A1F08">
        <w:tc>
          <w:tcPr>
            <w:tcW w:w="3402" w:type="dxa"/>
            <w:shd w:val="clear" w:color="auto" w:fill="auto"/>
            <w:vAlign w:val="center"/>
          </w:tcPr>
          <w:p w14:paraId="059E7622" w14:textId="77777777" w:rsidR="00591820" w:rsidRPr="00445472" w:rsidRDefault="00591820" w:rsidP="002A1F08">
            <w:pPr>
              <w:pStyle w:val="TableTextCentre"/>
              <w:spacing w:before="22" w:after="22"/>
              <w:ind w:right="63"/>
              <w:jc w:val="left"/>
              <w:rPr>
                <w:rFonts w:ascii="Garamond" w:hAnsi="Garamond"/>
                <w:i/>
                <w:sz w:val="20"/>
                <w:szCs w:val="20"/>
                <w:lang w:val="sq-AL"/>
              </w:rPr>
            </w:pPr>
            <w:r w:rsidRPr="00445472">
              <w:rPr>
                <w:rFonts w:ascii="Garamond" w:hAnsi="Garamond"/>
                <w:i/>
                <w:sz w:val="20"/>
                <w:szCs w:val="20"/>
                <w:lang w:val="sq-AL"/>
              </w:rPr>
              <w:t>Rritja e efikasitetit të trajtimit të ujërave të zeza për të shmangur ndotjen e Ujërave Sipërfaqësore nga burimet e ndotjeve urbane dhe industriale</w:t>
            </w:r>
          </w:p>
        </w:tc>
        <w:tc>
          <w:tcPr>
            <w:tcW w:w="2552" w:type="dxa"/>
            <w:shd w:val="clear" w:color="auto" w:fill="auto"/>
            <w:vAlign w:val="center"/>
          </w:tcPr>
          <w:p w14:paraId="2B269F44" w14:textId="77777777" w:rsidR="00591820" w:rsidRPr="00445472" w:rsidRDefault="00591820" w:rsidP="002A1F08">
            <w:pPr>
              <w:pStyle w:val="TableTextCentre"/>
              <w:spacing w:before="22" w:after="22"/>
              <w:ind w:right="63"/>
              <w:rPr>
                <w:rFonts w:ascii="Garamond" w:hAnsi="Garamond"/>
                <w:i/>
                <w:sz w:val="20"/>
                <w:szCs w:val="20"/>
                <w:lang w:val="sq-AL"/>
              </w:rPr>
            </w:pPr>
            <w:r w:rsidRPr="00445472">
              <w:rPr>
                <w:rFonts w:ascii="Garamond" w:hAnsi="Garamond"/>
                <w:i/>
                <w:sz w:val="20"/>
                <w:szCs w:val="20"/>
                <w:lang w:val="sq-AL"/>
              </w:rPr>
              <w:t>Reduktimi i shkarkimit të ujërave të zeza të papërpunuara nga qytetet me &gt; 2,000 ekuivalencë të popullsisë (pikat e burimit)</w:t>
            </w:r>
          </w:p>
        </w:tc>
        <w:tc>
          <w:tcPr>
            <w:tcW w:w="1134" w:type="dxa"/>
            <w:shd w:val="clear" w:color="auto" w:fill="auto"/>
            <w:vAlign w:val="center"/>
          </w:tcPr>
          <w:p w14:paraId="03B8ADED"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w:t>
            </w:r>
          </w:p>
        </w:tc>
        <w:tc>
          <w:tcPr>
            <w:tcW w:w="992" w:type="dxa"/>
            <w:shd w:val="clear" w:color="auto" w:fill="auto"/>
            <w:vAlign w:val="center"/>
          </w:tcPr>
          <w:p w14:paraId="5EF515BE"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7B50002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95</w:t>
            </w:r>
          </w:p>
        </w:tc>
      </w:tr>
      <w:tr w:rsidR="00591820" w:rsidRPr="00445472" w14:paraId="2D51C7EA" w14:textId="77777777" w:rsidTr="002A1F08">
        <w:tc>
          <w:tcPr>
            <w:tcW w:w="9316" w:type="dxa"/>
            <w:gridSpan w:val="5"/>
            <w:shd w:val="clear" w:color="auto" w:fill="auto"/>
            <w:vAlign w:val="center"/>
          </w:tcPr>
          <w:p w14:paraId="16A4049D" w14:textId="003781A2" w:rsidR="00591820" w:rsidRPr="00445472" w:rsidRDefault="00591820" w:rsidP="002A1F08">
            <w:pPr>
              <w:pStyle w:val="TableTextCentre"/>
              <w:spacing w:before="22" w:after="22"/>
              <w:ind w:right="63"/>
              <w:jc w:val="both"/>
              <w:rPr>
                <w:rFonts w:ascii="Garamond" w:hAnsi="Garamond"/>
                <w:sz w:val="20"/>
                <w:szCs w:val="20"/>
                <w:lang w:val="sq-AL"/>
              </w:rPr>
            </w:pPr>
            <w:r w:rsidRPr="00445472">
              <w:rPr>
                <w:rFonts w:ascii="Garamond" w:hAnsi="Garamond"/>
                <w:sz w:val="20"/>
                <w:szCs w:val="20"/>
                <w:lang w:val="sq-AL"/>
              </w:rPr>
              <w:t xml:space="preserve">4. Ruajtja dhe arritja e cilësisë minimale </w:t>
            </w:r>
            <w:r w:rsidR="00D62EDF" w:rsidRPr="00445472">
              <w:rPr>
                <w:rFonts w:ascii="Garamond" w:hAnsi="Garamond"/>
                <w:sz w:val="20"/>
                <w:szCs w:val="20"/>
                <w:lang w:val="sq-AL"/>
              </w:rPr>
              <w:t>“</w:t>
            </w:r>
            <w:r w:rsidRPr="00445472">
              <w:rPr>
                <w:rFonts w:ascii="Garamond" w:hAnsi="Garamond"/>
                <w:sz w:val="20"/>
                <w:szCs w:val="20"/>
                <w:lang w:val="sq-AL"/>
              </w:rPr>
              <w:t>të mirë</w:t>
            </w:r>
            <w:r w:rsidR="00D62EDF" w:rsidRPr="00445472">
              <w:rPr>
                <w:rFonts w:ascii="Garamond" w:hAnsi="Garamond"/>
                <w:sz w:val="20"/>
                <w:szCs w:val="20"/>
                <w:lang w:val="sq-AL"/>
              </w:rPr>
              <w:t>”</w:t>
            </w:r>
            <w:r w:rsidRPr="00445472">
              <w:rPr>
                <w:rFonts w:ascii="Garamond" w:hAnsi="Garamond"/>
                <w:sz w:val="20"/>
                <w:szCs w:val="20"/>
                <w:lang w:val="sq-AL"/>
              </w:rPr>
              <w:t xml:space="preserve"> për ujin e larjes (të brendshme, bregdetare dhe kalimtare)</w:t>
            </w:r>
          </w:p>
        </w:tc>
      </w:tr>
      <w:tr w:rsidR="00591820" w:rsidRPr="00445472" w14:paraId="04936FB3" w14:textId="77777777" w:rsidTr="002A1F08">
        <w:tc>
          <w:tcPr>
            <w:tcW w:w="3402" w:type="dxa"/>
            <w:shd w:val="clear" w:color="auto" w:fill="auto"/>
            <w:vAlign w:val="center"/>
          </w:tcPr>
          <w:p w14:paraId="356F1D6C" w14:textId="673E36DB" w:rsidR="00591820" w:rsidRPr="00445472" w:rsidRDefault="00591820" w:rsidP="00E929FD">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Rritja e numrit të stacioneve monitoruese bregdetare për element</w:t>
            </w:r>
            <w:r w:rsidR="00E929FD">
              <w:rPr>
                <w:rFonts w:ascii="Garamond" w:hAnsi="Garamond"/>
                <w:i/>
                <w:sz w:val="20"/>
                <w:szCs w:val="20"/>
                <w:lang w:val="sq-AL"/>
              </w:rPr>
              <w:t>e</w:t>
            </w:r>
            <w:r w:rsidRPr="00445472">
              <w:rPr>
                <w:rFonts w:ascii="Garamond" w:hAnsi="Garamond"/>
                <w:i/>
                <w:sz w:val="20"/>
                <w:szCs w:val="20"/>
                <w:lang w:val="sq-AL"/>
              </w:rPr>
              <w:t>t mikrobiologjik</w:t>
            </w:r>
            <w:r w:rsidR="00E929FD">
              <w:rPr>
                <w:rFonts w:ascii="Garamond" w:hAnsi="Garamond"/>
                <w:i/>
                <w:sz w:val="20"/>
                <w:szCs w:val="20"/>
                <w:lang w:val="sq-AL"/>
              </w:rPr>
              <w:t>e</w:t>
            </w:r>
          </w:p>
        </w:tc>
        <w:tc>
          <w:tcPr>
            <w:tcW w:w="2552" w:type="dxa"/>
            <w:shd w:val="clear" w:color="auto" w:fill="auto"/>
            <w:vAlign w:val="center"/>
          </w:tcPr>
          <w:p w14:paraId="02C881AB"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Numri i stacioneve monitoruese</w:t>
            </w:r>
          </w:p>
        </w:tc>
        <w:tc>
          <w:tcPr>
            <w:tcW w:w="1134" w:type="dxa"/>
            <w:shd w:val="clear" w:color="auto" w:fill="auto"/>
            <w:vAlign w:val="center"/>
          </w:tcPr>
          <w:p w14:paraId="612330E5"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20</w:t>
            </w:r>
          </w:p>
        </w:tc>
        <w:tc>
          <w:tcPr>
            <w:tcW w:w="992" w:type="dxa"/>
            <w:shd w:val="clear" w:color="auto" w:fill="auto"/>
            <w:vAlign w:val="center"/>
          </w:tcPr>
          <w:p w14:paraId="1E17AEBE"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30</w:t>
            </w:r>
          </w:p>
        </w:tc>
        <w:tc>
          <w:tcPr>
            <w:tcW w:w="1236" w:type="dxa"/>
            <w:shd w:val="clear" w:color="auto" w:fill="auto"/>
            <w:vAlign w:val="center"/>
          </w:tcPr>
          <w:p w14:paraId="0D97689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40</w:t>
            </w:r>
          </w:p>
        </w:tc>
      </w:tr>
      <w:tr w:rsidR="00591820" w:rsidRPr="00445472" w14:paraId="2EB678D4" w14:textId="77777777" w:rsidTr="002A1F08">
        <w:tc>
          <w:tcPr>
            <w:tcW w:w="3402" w:type="dxa"/>
            <w:tcBorders>
              <w:bottom w:val="single" w:sz="4" w:space="0" w:color="27B1B0"/>
            </w:tcBorders>
            <w:shd w:val="clear" w:color="auto" w:fill="auto"/>
            <w:vAlign w:val="center"/>
          </w:tcPr>
          <w:p w14:paraId="2730E485"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Rritja e numrit të parametrave të monitorimit sipas kërkesave të direktivave europiane</w:t>
            </w:r>
          </w:p>
        </w:tc>
        <w:tc>
          <w:tcPr>
            <w:tcW w:w="2552" w:type="dxa"/>
            <w:tcBorders>
              <w:bottom w:val="single" w:sz="4" w:space="0" w:color="27B1B0"/>
            </w:tcBorders>
            <w:shd w:val="clear" w:color="auto" w:fill="auto"/>
            <w:vAlign w:val="center"/>
          </w:tcPr>
          <w:p w14:paraId="19BB8887"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parametrave të monitoruara rregullisht sipas Direktivës së Ujit të BE-së</w:t>
            </w:r>
          </w:p>
        </w:tc>
        <w:tc>
          <w:tcPr>
            <w:tcW w:w="1134" w:type="dxa"/>
            <w:tcBorders>
              <w:bottom w:val="single" w:sz="4" w:space="0" w:color="27B1B0"/>
            </w:tcBorders>
            <w:shd w:val="clear" w:color="auto" w:fill="auto"/>
            <w:vAlign w:val="center"/>
          </w:tcPr>
          <w:p w14:paraId="4A715E1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992" w:type="dxa"/>
            <w:tcBorders>
              <w:bottom w:val="single" w:sz="4" w:space="0" w:color="27B1B0"/>
            </w:tcBorders>
            <w:shd w:val="clear" w:color="auto" w:fill="auto"/>
            <w:vAlign w:val="center"/>
          </w:tcPr>
          <w:p w14:paraId="7A3350E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75</w:t>
            </w:r>
          </w:p>
        </w:tc>
        <w:tc>
          <w:tcPr>
            <w:tcW w:w="1236" w:type="dxa"/>
            <w:tcBorders>
              <w:bottom w:val="single" w:sz="4" w:space="0" w:color="27B1B0"/>
            </w:tcBorders>
            <w:shd w:val="clear" w:color="auto" w:fill="auto"/>
            <w:vAlign w:val="center"/>
          </w:tcPr>
          <w:p w14:paraId="1DB4734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w:t>
            </w:r>
          </w:p>
        </w:tc>
      </w:tr>
      <w:tr w:rsidR="00591820" w:rsidRPr="00445472" w14:paraId="041DF378" w14:textId="77777777" w:rsidTr="002A1F08">
        <w:tc>
          <w:tcPr>
            <w:tcW w:w="9316" w:type="dxa"/>
            <w:gridSpan w:val="5"/>
            <w:shd w:val="clear" w:color="auto" w:fill="auto"/>
            <w:vAlign w:val="center"/>
          </w:tcPr>
          <w:p w14:paraId="29462C4B" w14:textId="77777777" w:rsidR="00591820" w:rsidRPr="00445472" w:rsidRDefault="00591820" w:rsidP="002A1F08">
            <w:pPr>
              <w:pStyle w:val="TableTextCentre"/>
              <w:spacing w:before="22" w:after="22"/>
              <w:ind w:right="63"/>
              <w:jc w:val="both"/>
              <w:rPr>
                <w:rFonts w:ascii="Garamond" w:hAnsi="Garamond"/>
                <w:sz w:val="20"/>
                <w:szCs w:val="20"/>
                <w:lang w:val="sq-AL"/>
              </w:rPr>
            </w:pPr>
            <w:r w:rsidRPr="00445472">
              <w:rPr>
                <w:rFonts w:ascii="Garamond" w:hAnsi="Garamond"/>
                <w:sz w:val="20"/>
                <w:szCs w:val="20"/>
                <w:lang w:val="sq-AL"/>
              </w:rPr>
              <w:t xml:space="preserve">5. Reduktimi i rrezikut nga përmbytjet dhe humbjet për jetën, mjetet e jetesës, shëndetin, ekonominë, pasuritë kulturore dhe mjedisore të personave, bizneseve dhe komuniteteve </w:t>
            </w:r>
          </w:p>
        </w:tc>
      </w:tr>
      <w:tr w:rsidR="00591820" w:rsidRPr="00445472" w14:paraId="107E0437" w14:textId="77777777" w:rsidTr="002A1F08">
        <w:tc>
          <w:tcPr>
            <w:tcW w:w="3402" w:type="dxa"/>
            <w:shd w:val="clear" w:color="auto" w:fill="auto"/>
            <w:vAlign w:val="center"/>
          </w:tcPr>
          <w:p w14:paraId="0C11FB3E"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 xml:space="preserve">Reduktimi i numrit të banorëve të prekur nga përmbytjet </w:t>
            </w:r>
          </w:p>
        </w:tc>
        <w:tc>
          <w:tcPr>
            <w:tcW w:w="2552" w:type="dxa"/>
            <w:shd w:val="clear" w:color="auto" w:fill="auto"/>
            <w:vAlign w:val="center"/>
          </w:tcPr>
          <w:p w14:paraId="28E0394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 e popullsisë së prekur</w:t>
            </w:r>
          </w:p>
        </w:tc>
        <w:tc>
          <w:tcPr>
            <w:tcW w:w="1134" w:type="dxa"/>
            <w:shd w:val="clear" w:color="auto" w:fill="auto"/>
            <w:vAlign w:val="center"/>
          </w:tcPr>
          <w:p w14:paraId="3D029577"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w:t>
            </w:r>
          </w:p>
        </w:tc>
        <w:tc>
          <w:tcPr>
            <w:tcW w:w="992" w:type="dxa"/>
            <w:shd w:val="clear" w:color="auto" w:fill="auto"/>
            <w:vAlign w:val="center"/>
          </w:tcPr>
          <w:p w14:paraId="272CB7F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&gt;5</w:t>
            </w:r>
          </w:p>
        </w:tc>
        <w:tc>
          <w:tcPr>
            <w:tcW w:w="1236" w:type="dxa"/>
            <w:shd w:val="clear" w:color="auto" w:fill="auto"/>
            <w:vAlign w:val="center"/>
          </w:tcPr>
          <w:p w14:paraId="79997DD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&gt;1</w:t>
            </w:r>
          </w:p>
        </w:tc>
      </w:tr>
      <w:tr w:rsidR="00591820" w:rsidRPr="00445472" w14:paraId="089807C1" w14:textId="77777777" w:rsidTr="002A1F08">
        <w:tc>
          <w:tcPr>
            <w:tcW w:w="3402" w:type="dxa"/>
            <w:shd w:val="clear" w:color="auto" w:fill="auto"/>
            <w:vAlign w:val="center"/>
          </w:tcPr>
          <w:p w14:paraId="4D747ABC"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Reduktimi i tokës bujqësore të prekur nga përmbytjet</w:t>
            </w:r>
          </w:p>
        </w:tc>
        <w:tc>
          <w:tcPr>
            <w:tcW w:w="2552" w:type="dxa"/>
            <w:shd w:val="clear" w:color="auto" w:fill="auto"/>
            <w:vAlign w:val="center"/>
          </w:tcPr>
          <w:p w14:paraId="08956673"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Sipërfaqja e tokës bujqësore të prekur (ha)</w:t>
            </w:r>
          </w:p>
        </w:tc>
        <w:tc>
          <w:tcPr>
            <w:tcW w:w="1134" w:type="dxa"/>
            <w:shd w:val="clear" w:color="auto" w:fill="auto"/>
            <w:vAlign w:val="center"/>
          </w:tcPr>
          <w:p w14:paraId="66880FA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3.000</w:t>
            </w:r>
          </w:p>
        </w:tc>
        <w:tc>
          <w:tcPr>
            <w:tcW w:w="992" w:type="dxa"/>
            <w:shd w:val="clear" w:color="auto" w:fill="auto"/>
            <w:vAlign w:val="center"/>
          </w:tcPr>
          <w:p w14:paraId="0CCE987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1,700</w:t>
            </w:r>
          </w:p>
        </w:tc>
        <w:tc>
          <w:tcPr>
            <w:tcW w:w="1236" w:type="dxa"/>
            <w:shd w:val="clear" w:color="auto" w:fill="auto"/>
            <w:vAlign w:val="center"/>
          </w:tcPr>
          <w:p w14:paraId="6CBC2302"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1.000</w:t>
            </w:r>
          </w:p>
        </w:tc>
      </w:tr>
      <w:tr w:rsidR="00591820" w:rsidRPr="00445472" w14:paraId="5CB530E8" w14:textId="77777777" w:rsidTr="002A1F08">
        <w:tc>
          <w:tcPr>
            <w:tcW w:w="9316" w:type="dxa"/>
            <w:gridSpan w:val="5"/>
            <w:shd w:val="clear" w:color="auto" w:fill="auto"/>
            <w:vAlign w:val="center"/>
          </w:tcPr>
          <w:p w14:paraId="4B6E2CB0"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sz w:val="20"/>
                <w:szCs w:val="20"/>
                <w:lang w:val="sq-AL"/>
              </w:rPr>
              <w:t>6. Përmirësimi i sigurisë së digave të ujitjes</w:t>
            </w:r>
          </w:p>
        </w:tc>
      </w:tr>
      <w:tr w:rsidR="00591820" w:rsidRPr="00445472" w14:paraId="279B9888" w14:textId="77777777" w:rsidTr="002A1F08">
        <w:tc>
          <w:tcPr>
            <w:tcW w:w="3402" w:type="dxa"/>
            <w:shd w:val="clear" w:color="auto" w:fill="auto"/>
            <w:vAlign w:val="center"/>
          </w:tcPr>
          <w:p w14:paraId="2E220D5F" w14:textId="77777777"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i/>
                <w:sz w:val="20"/>
                <w:szCs w:val="20"/>
                <w:lang w:val="sq-AL"/>
              </w:rPr>
              <w:t>Vlerësimi dhe sigurimi i masave për përmirësimin e sigurisë së digave</w:t>
            </w:r>
          </w:p>
        </w:tc>
        <w:tc>
          <w:tcPr>
            <w:tcW w:w="2552" w:type="dxa"/>
            <w:shd w:val="clear" w:color="auto" w:fill="auto"/>
            <w:vAlign w:val="center"/>
          </w:tcPr>
          <w:p w14:paraId="6B67CE39"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Numri i digave</w:t>
            </w:r>
          </w:p>
        </w:tc>
        <w:tc>
          <w:tcPr>
            <w:tcW w:w="1134" w:type="dxa"/>
            <w:shd w:val="clear" w:color="auto" w:fill="auto"/>
            <w:vAlign w:val="center"/>
          </w:tcPr>
          <w:p w14:paraId="085F6350"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25</w:t>
            </w:r>
          </w:p>
        </w:tc>
        <w:tc>
          <w:tcPr>
            <w:tcW w:w="992" w:type="dxa"/>
            <w:shd w:val="clear" w:color="auto" w:fill="auto"/>
            <w:vAlign w:val="center"/>
          </w:tcPr>
          <w:p w14:paraId="4E719841"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50</w:t>
            </w:r>
          </w:p>
        </w:tc>
        <w:tc>
          <w:tcPr>
            <w:tcW w:w="1236" w:type="dxa"/>
            <w:shd w:val="clear" w:color="auto" w:fill="auto"/>
            <w:vAlign w:val="center"/>
          </w:tcPr>
          <w:p w14:paraId="76EAC52F"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100</w:t>
            </w:r>
          </w:p>
        </w:tc>
      </w:tr>
      <w:tr w:rsidR="00591820" w:rsidRPr="00445472" w14:paraId="439DDCF5" w14:textId="77777777" w:rsidTr="002A1F08">
        <w:tc>
          <w:tcPr>
            <w:tcW w:w="9316" w:type="dxa"/>
            <w:gridSpan w:val="5"/>
            <w:shd w:val="clear" w:color="auto" w:fill="auto"/>
            <w:vAlign w:val="center"/>
          </w:tcPr>
          <w:p w14:paraId="17376802" w14:textId="172B9A7B" w:rsidR="00591820" w:rsidRPr="00445472" w:rsidRDefault="00591820" w:rsidP="002A1F08">
            <w:pPr>
              <w:pStyle w:val="TableTextCentre"/>
              <w:spacing w:before="22" w:after="22"/>
              <w:ind w:right="63"/>
              <w:jc w:val="left"/>
              <w:rPr>
                <w:rFonts w:ascii="Garamond" w:hAnsi="Garamond"/>
                <w:sz w:val="20"/>
                <w:szCs w:val="20"/>
                <w:lang w:val="sq-AL"/>
              </w:rPr>
            </w:pPr>
            <w:r w:rsidRPr="00445472">
              <w:rPr>
                <w:rFonts w:ascii="Garamond" w:hAnsi="Garamond"/>
                <w:sz w:val="20"/>
                <w:szCs w:val="20"/>
                <w:lang w:val="sq-AL"/>
              </w:rPr>
              <w:t>7. Ruajtja dhe</w:t>
            </w:r>
            <w:r w:rsidR="001D340B" w:rsidRPr="00445472">
              <w:rPr>
                <w:rFonts w:ascii="Garamond" w:hAnsi="Garamond"/>
                <w:sz w:val="20"/>
                <w:szCs w:val="20"/>
                <w:lang w:val="sq-AL"/>
              </w:rPr>
              <w:t>/</w:t>
            </w:r>
            <w:r w:rsidRPr="00445472">
              <w:rPr>
                <w:rFonts w:ascii="Garamond" w:hAnsi="Garamond"/>
                <w:sz w:val="20"/>
                <w:szCs w:val="20"/>
                <w:lang w:val="sq-AL"/>
              </w:rPr>
              <w:t>ose reduktimi i shkallës së erozionit në lumenj</w:t>
            </w:r>
          </w:p>
        </w:tc>
      </w:tr>
      <w:tr w:rsidR="00591820" w:rsidRPr="00445472" w14:paraId="195DC030" w14:textId="77777777" w:rsidTr="002A1F08">
        <w:tc>
          <w:tcPr>
            <w:tcW w:w="3402" w:type="dxa"/>
            <w:shd w:val="clear" w:color="auto" w:fill="auto"/>
            <w:vAlign w:val="center"/>
          </w:tcPr>
          <w:p w14:paraId="1A3280BE" w14:textId="77777777" w:rsidR="00591820" w:rsidRPr="00445472" w:rsidRDefault="00591820" w:rsidP="002A1F08">
            <w:pPr>
              <w:pStyle w:val="TableTextCentre"/>
              <w:spacing w:before="22" w:after="22"/>
              <w:ind w:right="63"/>
              <w:jc w:val="left"/>
              <w:rPr>
                <w:rFonts w:ascii="Garamond" w:hAnsi="Garamond"/>
                <w:i/>
                <w:sz w:val="20"/>
                <w:szCs w:val="20"/>
                <w:lang w:val="sq-AL"/>
              </w:rPr>
            </w:pPr>
            <w:r w:rsidRPr="00445472">
              <w:rPr>
                <w:rFonts w:ascii="Garamond" w:hAnsi="Garamond"/>
                <w:i/>
                <w:sz w:val="20"/>
                <w:szCs w:val="20"/>
                <w:lang w:val="sq-AL"/>
              </w:rPr>
              <w:t>Zonat më pak të rrezikuara (20% e territorit)</w:t>
            </w:r>
          </w:p>
        </w:tc>
        <w:tc>
          <w:tcPr>
            <w:tcW w:w="2552" w:type="dxa"/>
            <w:shd w:val="clear" w:color="auto" w:fill="auto"/>
            <w:vAlign w:val="center"/>
          </w:tcPr>
          <w:p w14:paraId="1E81B56B" w14:textId="231EB9C4"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ton</w:t>
            </w:r>
            <w:r w:rsidR="001D340B" w:rsidRPr="00445472">
              <w:rPr>
                <w:rFonts w:ascii="Garamond" w:hAnsi="Garamond"/>
                <w:i/>
                <w:sz w:val="20"/>
                <w:szCs w:val="20"/>
                <w:lang w:val="sq-AL"/>
              </w:rPr>
              <w:t>/</w:t>
            </w:r>
            <w:r w:rsidRPr="00445472">
              <w:rPr>
                <w:rFonts w:ascii="Garamond" w:hAnsi="Garamond"/>
                <w:i/>
                <w:sz w:val="20"/>
                <w:szCs w:val="20"/>
                <w:lang w:val="sq-AL"/>
              </w:rPr>
              <w:t>ha</w:t>
            </w:r>
            <w:r w:rsidR="001D340B" w:rsidRPr="00445472">
              <w:rPr>
                <w:rFonts w:ascii="Garamond" w:hAnsi="Garamond"/>
                <w:i/>
                <w:sz w:val="20"/>
                <w:szCs w:val="20"/>
                <w:lang w:val="sq-AL"/>
              </w:rPr>
              <w:t>/</w:t>
            </w:r>
            <w:r w:rsidRPr="00445472">
              <w:rPr>
                <w:rFonts w:ascii="Garamond" w:hAnsi="Garamond"/>
                <w:i/>
                <w:sz w:val="20"/>
                <w:szCs w:val="20"/>
                <w:lang w:val="sq-AL"/>
              </w:rPr>
              <w:t>vit</w:t>
            </w:r>
          </w:p>
        </w:tc>
        <w:tc>
          <w:tcPr>
            <w:tcW w:w="1134" w:type="dxa"/>
            <w:shd w:val="clear" w:color="auto" w:fill="auto"/>
            <w:vAlign w:val="center"/>
          </w:tcPr>
          <w:p w14:paraId="71198CC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5</w:t>
            </w:r>
          </w:p>
        </w:tc>
        <w:tc>
          <w:tcPr>
            <w:tcW w:w="992" w:type="dxa"/>
            <w:shd w:val="clear" w:color="auto" w:fill="auto"/>
            <w:vAlign w:val="center"/>
          </w:tcPr>
          <w:p w14:paraId="7C3AB65C"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4,5</w:t>
            </w:r>
          </w:p>
        </w:tc>
        <w:tc>
          <w:tcPr>
            <w:tcW w:w="1236" w:type="dxa"/>
            <w:shd w:val="clear" w:color="auto" w:fill="auto"/>
            <w:vAlign w:val="center"/>
          </w:tcPr>
          <w:p w14:paraId="7372E23A"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3</w:t>
            </w:r>
          </w:p>
        </w:tc>
      </w:tr>
      <w:tr w:rsidR="00591820" w:rsidRPr="00445472" w14:paraId="5EE9EE20" w14:textId="77777777" w:rsidTr="002A1F08">
        <w:tc>
          <w:tcPr>
            <w:tcW w:w="3402" w:type="dxa"/>
            <w:shd w:val="clear" w:color="auto" w:fill="auto"/>
            <w:vAlign w:val="center"/>
          </w:tcPr>
          <w:p w14:paraId="3CA2A151" w14:textId="77777777" w:rsidR="00591820" w:rsidRPr="00445472" w:rsidRDefault="00591820" w:rsidP="002A1F08">
            <w:pPr>
              <w:pStyle w:val="TableTextCentre"/>
              <w:spacing w:before="22" w:after="22"/>
              <w:ind w:right="63"/>
              <w:jc w:val="left"/>
              <w:rPr>
                <w:rFonts w:ascii="Garamond" w:hAnsi="Garamond"/>
                <w:i/>
                <w:sz w:val="20"/>
                <w:szCs w:val="20"/>
                <w:lang w:val="sq-AL"/>
              </w:rPr>
            </w:pPr>
            <w:r w:rsidRPr="00445472">
              <w:rPr>
                <w:rFonts w:ascii="Garamond" w:hAnsi="Garamond"/>
                <w:i/>
                <w:sz w:val="20"/>
                <w:szCs w:val="20"/>
                <w:lang w:val="sq-AL"/>
              </w:rPr>
              <w:t>Zonat me rrezik të lartë (70% e territorit)</w:t>
            </w:r>
          </w:p>
        </w:tc>
        <w:tc>
          <w:tcPr>
            <w:tcW w:w="2552" w:type="dxa"/>
            <w:shd w:val="clear" w:color="auto" w:fill="auto"/>
            <w:vAlign w:val="center"/>
          </w:tcPr>
          <w:p w14:paraId="46137CE3" w14:textId="3817AC95"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i/>
                <w:sz w:val="20"/>
                <w:szCs w:val="20"/>
                <w:lang w:val="sq-AL"/>
              </w:rPr>
              <w:t>ton</w:t>
            </w:r>
            <w:r w:rsidR="001D340B" w:rsidRPr="00445472">
              <w:rPr>
                <w:rFonts w:ascii="Garamond" w:hAnsi="Garamond"/>
                <w:i/>
                <w:sz w:val="20"/>
                <w:szCs w:val="20"/>
                <w:lang w:val="sq-AL"/>
              </w:rPr>
              <w:t>/</w:t>
            </w:r>
            <w:r w:rsidRPr="00445472">
              <w:rPr>
                <w:rFonts w:ascii="Garamond" w:hAnsi="Garamond"/>
                <w:i/>
                <w:sz w:val="20"/>
                <w:szCs w:val="20"/>
                <w:lang w:val="sq-AL"/>
              </w:rPr>
              <w:t>ha</w:t>
            </w:r>
            <w:r w:rsidR="001D340B" w:rsidRPr="00445472">
              <w:rPr>
                <w:rFonts w:ascii="Garamond" w:hAnsi="Garamond"/>
                <w:i/>
                <w:sz w:val="20"/>
                <w:szCs w:val="20"/>
                <w:lang w:val="sq-AL"/>
              </w:rPr>
              <w:t>/</w:t>
            </w:r>
            <w:r w:rsidRPr="00445472">
              <w:rPr>
                <w:rFonts w:ascii="Garamond" w:hAnsi="Garamond"/>
                <w:i/>
                <w:sz w:val="20"/>
                <w:szCs w:val="20"/>
                <w:lang w:val="sq-AL"/>
              </w:rPr>
              <w:t>vit</w:t>
            </w:r>
          </w:p>
        </w:tc>
        <w:tc>
          <w:tcPr>
            <w:tcW w:w="1134" w:type="dxa"/>
            <w:shd w:val="clear" w:color="auto" w:fill="auto"/>
            <w:vAlign w:val="center"/>
          </w:tcPr>
          <w:p w14:paraId="74AAEFD8"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15</w:t>
            </w:r>
          </w:p>
        </w:tc>
        <w:tc>
          <w:tcPr>
            <w:tcW w:w="992" w:type="dxa"/>
            <w:shd w:val="clear" w:color="auto" w:fill="auto"/>
            <w:vAlign w:val="center"/>
          </w:tcPr>
          <w:p w14:paraId="5CC03A70"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13</w:t>
            </w:r>
          </w:p>
        </w:tc>
        <w:tc>
          <w:tcPr>
            <w:tcW w:w="1236" w:type="dxa"/>
            <w:shd w:val="clear" w:color="auto" w:fill="auto"/>
            <w:vAlign w:val="center"/>
          </w:tcPr>
          <w:p w14:paraId="558EB606" w14:textId="77777777" w:rsidR="00591820" w:rsidRPr="00445472" w:rsidRDefault="00591820" w:rsidP="002A1F08">
            <w:pPr>
              <w:pStyle w:val="TableTextCentre"/>
              <w:spacing w:before="22" w:after="22"/>
              <w:ind w:right="63"/>
              <w:rPr>
                <w:rFonts w:ascii="Garamond" w:hAnsi="Garamond"/>
                <w:sz w:val="20"/>
                <w:szCs w:val="20"/>
                <w:lang w:val="sq-AL"/>
              </w:rPr>
            </w:pPr>
            <w:r w:rsidRPr="00445472">
              <w:rPr>
                <w:rFonts w:ascii="Garamond" w:hAnsi="Garamond"/>
                <w:sz w:val="20"/>
                <w:szCs w:val="20"/>
                <w:lang w:val="sq-AL"/>
              </w:rPr>
              <w:t>10</w:t>
            </w:r>
          </w:p>
        </w:tc>
      </w:tr>
    </w:tbl>
    <w:p w14:paraId="4F613BAF" w14:textId="77777777" w:rsidR="00591820" w:rsidRPr="00445472" w:rsidRDefault="00591820" w:rsidP="00243D22">
      <w:pPr>
        <w:pStyle w:val="TEKSTIIII"/>
      </w:pPr>
    </w:p>
    <w:p w14:paraId="6568D54A" w14:textId="34D42F8E" w:rsidR="00591820" w:rsidRPr="00445472" w:rsidRDefault="00243D22" w:rsidP="00243D22">
      <w:pPr>
        <w:pStyle w:val="NENTITULL"/>
      </w:pPr>
      <w:bookmarkStart w:id="223" w:name="_Toc11068852"/>
      <w:r w:rsidRPr="00445472">
        <w:t xml:space="preserve">11. </w:t>
      </w:r>
      <w:r w:rsidR="00591820" w:rsidRPr="00445472">
        <w:t xml:space="preserve">Analiza </w:t>
      </w:r>
      <w:r w:rsidR="00A434CA" w:rsidRPr="00445472">
        <w:t>ekonomike e përdorimit të ujit</w:t>
      </w:r>
      <w:bookmarkEnd w:id="223"/>
    </w:p>
    <w:p w14:paraId="01CB741E" w14:textId="746658D0" w:rsidR="00591820" w:rsidRPr="00445472" w:rsidRDefault="00243D22" w:rsidP="00243D22">
      <w:pPr>
        <w:pStyle w:val="NENTITULL"/>
      </w:pPr>
      <w:bookmarkStart w:id="224" w:name="_Toc486503429"/>
      <w:bookmarkStart w:id="225" w:name="_Toc11068853"/>
      <w:r w:rsidRPr="00445472">
        <w:t xml:space="preserve">11.1 </w:t>
      </w:r>
      <w:r w:rsidR="00591820" w:rsidRPr="00445472">
        <w:t xml:space="preserve">Qëllimi i </w:t>
      </w:r>
      <w:r w:rsidR="00A434CA" w:rsidRPr="00445472">
        <w:t>karakterizimit fillestar ekonomik</w:t>
      </w:r>
      <w:bookmarkEnd w:id="224"/>
      <w:bookmarkEnd w:id="225"/>
    </w:p>
    <w:p w14:paraId="75325C84" w14:textId="33314383" w:rsidR="00591820" w:rsidRPr="00445472" w:rsidRDefault="00591820" w:rsidP="00243D22">
      <w:pPr>
        <w:pStyle w:val="TEKSTIIII"/>
      </w:pPr>
      <w:r w:rsidRPr="00445472">
        <w:t xml:space="preserve">Qëllimi i studimit ekonomik është përdorimi i të dhënave ekzistuese për të ofruar një pasqyrë fillestare të përfitimeve ekonomike dhe kostove që lidhen me shfrytëzimin e burimeve ujore në Rajonin e basenit ujor </w:t>
      </w:r>
      <w:r w:rsidR="007E76E3" w:rsidRPr="00445472">
        <w:t>Drin–Bunë</w:t>
      </w:r>
      <w:r w:rsidRPr="00445472">
        <w:t xml:space="preserve"> dhe për të vlerësuar tendencat e ardhshme të kërkesës për ujë. Çështjet ekonomike janë përgjithësisht të lidhura me kushtet sociale dhe sugjerojnë, shpesh me anë të përfaqësimit, sjelljet aktuale dhe të ardhshme shoqërore (shih </w:t>
      </w:r>
      <w:r w:rsidR="00A434CA" w:rsidRPr="00445472">
        <w:t xml:space="preserve">seksionin </w:t>
      </w:r>
      <w:r w:rsidRPr="00445472">
        <w:t>4.7 më poshtë).</w:t>
      </w:r>
    </w:p>
    <w:p w14:paraId="281427F2" w14:textId="38DAA134" w:rsidR="00591820" w:rsidRPr="00445472" w:rsidRDefault="00591820" w:rsidP="00243D22">
      <w:pPr>
        <w:pStyle w:val="TEKSTIIII"/>
      </w:pPr>
      <w:r w:rsidRPr="00445472">
        <w:t xml:space="preserve">Karakterizimi fillestar ekonomik për basenin ujor </w:t>
      </w:r>
      <w:r w:rsidR="007E76E3" w:rsidRPr="00445472">
        <w:t>Drin–Bunë</w:t>
      </w:r>
      <w:r w:rsidRPr="00445472">
        <w:t>:</w:t>
      </w:r>
    </w:p>
    <w:p w14:paraId="284D405D" w14:textId="4B3121FE" w:rsidR="00591820" w:rsidRPr="00445472" w:rsidRDefault="00243D22" w:rsidP="00243D22">
      <w:pPr>
        <w:pStyle w:val="TEKSTIIII"/>
      </w:pPr>
      <w:r w:rsidRPr="00445472">
        <w:t>-</w:t>
      </w:r>
      <w:r w:rsidR="00A434CA" w:rsidRPr="00445472">
        <w:t xml:space="preserve"> </w:t>
      </w:r>
      <w:r w:rsidR="00591820" w:rsidRPr="00445472">
        <w:t xml:space="preserve">Analiza e rëndësisë ekonomike të përdorimit të ujit; </w:t>
      </w:r>
    </w:p>
    <w:p w14:paraId="36AAF445" w14:textId="36F1EB16" w:rsidR="00591820" w:rsidRPr="00445472" w:rsidRDefault="00243D22" w:rsidP="00243D22">
      <w:pPr>
        <w:pStyle w:val="TEKSTIIII"/>
      </w:pPr>
      <w:r w:rsidRPr="00445472">
        <w:t>-</w:t>
      </w:r>
      <w:r w:rsidR="00A434CA" w:rsidRPr="00445472">
        <w:t xml:space="preserve"> </w:t>
      </w:r>
      <w:r w:rsidR="00591820" w:rsidRPr="00445472">
        <w:t>Tendencat në kërkesën për ujë;</w:t>
      </w:r>
    </w:p>
    <w:p w14:paraId="5769D5A7" w14:textId="79D46E59" w:rsidR="00591820" w:rsidRPr="00445472" w:rsidRDefault="00243D22" w:rsidP="00243D22">
      <w:pPr>
        <w:pStyle w:val="TEKSTIIII"/>
      </w:pPr>
      <w:r w:rsidRPr="00445472">
        <w:t>-</w:t>
      </w:r>
      <w:r w:rsidR="00A434CA" w:rsidRPr="00445472">
        <w:t xml:space="preserve"> </w:t>
      </w:r>
      <w:r w:rsidR="00591820" w:rsidRPr="00445472">
        <w:t>Vlerësimi i nivelit aktual të rikuperimit të kostos për shërbimet e ujit.</w:t>
      </w:r>
    </w:p>
    <w:p w14:paraId="49F421F0" w14:textId="77777777" w:rsidR="00591820" w:rsidRPr="00445472" w:rsidRDefault="00591820" w:rsidP="00243D22">
      <w:pPr>
        <w:pStyle w:val="TEKSTIIII"/>
      </w:pPr>
      <w:r w:rsidRPr="00445472">
        <w:t>Theksi është vënë në karakterizimin e një gamë të gjerë të përdorimit të ujit, duke përfshirë ato vendore, bujqësore dhe ato industriale. Përveç kësaj dhe në kontekstin e këtij vështrimi fillestar, ky studim gjithashtu ofron një kornizë të planifikimit për implementimin e Direktivës së Ujit, e cila integron kërkesat e mbetura të analizës ekonomike që nuk plotësohen në këtë karakterizim fillestar.</w:t>
      </w:r>
    </w:p>
    <w:p w14:paraId="35C6C629" w14:textId="6CC3BC00" w:rsidR="00591820" w:rsidRPr="00445472" w:rsidRDefault="00591820" w:rsidP="00243D22">
      <w:pPr>
        <w:pStyle w:val="TEKSTIIII"/>
      </w:pPr>
      <w:r w:rsidRPr="00445472">
        <w:t>Analiza ekonomike është një pjesë e rëndësishme e zbatimit të Direktivës së Ujit (</w:t>
      </w:r>
      <w:r w:rsidR="00A434CA" w:rsidRPr="00445472">
        <w:t xml:space="preserve">direktiva </w:t>
      </w:r>
      <w:r w:rsidRPr="00445472">
        <w:t>2000/60</w:t>
      </w:r>
      <w:r w:rsidR="001D340B" w:rsidRPr="00445472">
        <w:t>/</w:t>
      </w:r>
      <w:r w:rsidRPr="00445472">
        <w:t xml:space="preserve">KE). Vetë </w:t>
      </w:r>
      <w:r w:rsidR="00A434CA" w:rsidRPr="00445472">
        <w:t xml:space="preserve">direktiva </w:t>
      </w:r>
      <w:r w:rsidRPr="00445472">
        <w:t xml:space="preserve">siguron vetëm një pasqyrë të gjerë të analizës së kërkuar ekonomike. Kjo është një kërkesë e nenit 5 të </w:t>
      </w:r>
      <w:r w:rsidR="00A434CA" w:rsidRPr="00445472">
        <w:t>direktivës</w:t>
      </w:r>
      <w:r w:rsidRPr="00445472">
        <w:t xml:space="preserve">, </w:t>
      </w:r>
      <w:r w:rsidR="00D62EDF" w:rsidRPr="00445472">
        <w:t>“</w:t>
      </w:r>
      <w:r w:rsidRPr="00445472">
        <w:t>Karakteristikat e rajonit të basenit ujor, rishikimi i ndikimit mjedisor të aktivitetit njerëzor dhe analizës ekonomike të përdorimit të ujit sipas Direktivës së Ujit</w:t>
      </w:r>
      <w:r w:rsidR="00D62EDF" w:rsidRPr="00445472">
        <w:t>”</w:t>
      </w:r>
      <w:r w:rsidRPr="00445472">
        <w:t>, ku thuhet se çdo Shtet Anëtar duhet të sigurojë çdo rajon të basenit ujor ose pjesën e një rrethi ndërkombëtar të basenit ujor që bie në territorin e tij:</w:t>
      </w:r>
    </w:p>
    <w:p w14:paraId="25ACE1CC" w14:textId="499E008B" w:rsidR="00591820" w:rsidRPr="00445472" w:rsidRDefault="002A1582" w:rsidP="00243D22">
      <w:pPr>
        <w:pStyle w:val="TEKSTIIII"/>
      </w:pPr>
      <w:r>
        <w:t xml:space="preserve">- </w:t>
      </w:r>
      <w:r w:rsidR="00591820" w:rsidRPr="00445472">
        <w:t>Një analizë të karakteristikave të tij</w:t>
      </w:r>
      <w:r w:rsidR="00A434CA" w:rsidRPr="00445472">
        <w:t>;</w:t>
      </w:r>
    </w:p>
    <w:p w14:paraId="745F0CD9" w14:textId="4D87A2CC" w:rsidR="00591820" w:rsidRPr="00445472" w:rsidRDefault="002A1582" w:rsidP="00243D22">
      <w:pPr>
        <w:pStyle w:val="TEKSTIIII"/>
      </w:pPr>
      <w:r>
        <w:t xml:space="preserve">- </w:t>
      </w:r>
      <w:r w:rsidR="00591820" w:rsidRPr="00445472">
        <w:t>Një rishikim të ndikimit të aktivitetit njerëzor në statusin e ujërave sipërfaqësorë dhe në ujërat nëntokësore</w:t>
      </w:r>
      <w:r w:rsidR="00A434CA" w:rsidRPr="00445472">
        <w:t xml:space="preserve">; </w:t>
      </w:r>
      <w:r w:rsidR="00591820" w:rsidRPr="00445472">
        <w:t>dhe</w:t>
      </w:r>
    </w:p>
    <w:p w14:paraId="7D7CD471" w14:textId="677D3ED4" w:rsidR="00591820" w:rsidRPr="00445472" w:rsidRDefault="002A1582" w:rsidP="00243D22">
      <w:pPr>
        <w:pStyle w:val="TEKSTIIII"/>
      </w:pPr>
      <w:r>
        <w:t xml:space="preserve">- </w:t>
      </w:r>
      <w:r w:rsidR="00591820" w:rsidRPr="00445472">
        <w:t xml:space="preserve">Një analizë ekonomike e përdorimit të ujit është ndërmarrë sipas specifikimeve teknike të përcaktuara në shtojcat II dhe III dhe se është plotësuar jo më vonë se katër vjet pas datës së hyrjes në fuqi të kësaj </w:t>
      </w:r>
      <w:r w:rsidR="00A434CA" w:rsidRPr="00445472">
        <w:t>direktive</w:t>
      </w:r>
      <w:r w:rsidR="00591820" w:rsidRPr="00445472">
        <w:t>.</w:t>
      </w:r>
      <w:r w:rsidR="00D62EDF" w:rsidRPr="00445472">
        <w:t>”</w:t>
      </w:r>
    </w:p>
    <w:p w14:paraId="38EEFDBE" w14:textId="7C148716" w:rsidR="00591820" w:rsidRPr="00445472" w:rsidRDefault="00591820" w:rsidP="00243D22">
      <w:pPr>
        <w:pStyle w:val="TEKSTIIII"/>
      </w:pPr>
      <w:r w:rsidRPr="00445472">
        <w:t xml:space="preserve">Neni 9 i </w:t>
      </w:r>
      <w:r w:rsidR="00A434CA" w:rsidRPr="00445472">
        <w:t xml:space="preserve">Direktivës Kuadër të Ujit ka </w:t>
      </w:r>
      <w:r w:rsidRPr="00445472">
        <w:t xml:space="preserve">të bëjë me rimëkëmbjen e shpenzimeve për shërbimet e ujit, ku Shtetet Anëtare duhet të marrin parasysh parimin e mbulimit të kostove të shërbimeve të ujit, duke përfshirë kostot mjedisore dhe të burimeve, duke marrë parasysh analizën ekonomike të kryer sipas </w:t>
      </w:r>
      <w:r w:rsidR="00A434CA" w:rsidRPr="00445472">
        <w:t xml:space="preserve">shtojcës </w:t>
      </w:r>
      <w:r w:rsidRPr="00445472">
        <w:t xml:space="preserve">III, dhe në përputhje në veçanti me parimin </w:t>
      </w:r>
      <w:r w:rsidR="00D62EDF" w:rsidRPr="00445472">
        <w:t>“</w:t>
      </w:r>
      <w:r w:rsidRPr="00445472">
        <w:t>ndotësi paguan</w:t>
      </w:r>
      <w:r w:rsidR="00D62EDF" w:rsidRPr="00445472">
        <w:t>”</w:t>
      </w:r>
      <w:r w:rsidRPr="00445472">
        <w:t>.</w:t>
      </w:r>
    </w:p>
    <w:p w14:paraId="43894441" w14:textId="6564BDBE" w:rsidR="00591820" w:rsidRPr="00445472" w:rsidRDefault="00591820" w:rsidP="00243D22">
      <w:pPr>
        <w:pStyle w:val="TEKSTIIII"/>
      </w:pPr>
      <w:r w:rsidRPr="00445472">
        <w:t xml:space="preserve">Është e nevojshme që </w:t>
      </w:r>
      <w:r w:rsidR="00A434CA" w:rsidRPr="00445472">
        <w:t xml:space="preserve">shtetet anëtare </w:t>
      </w:r>
      <w:r w:rsidRPr="00445472">
        <w:t xml:space="preserve">të sigurojnë që: </w:t>
      </w:r>
    </w:p>
    <w:p w14:paraId="040C507A" w14:textId="4AE0393C" w:rsidR="00591820" w:rsidRPr="00445472" w:rsidRDefault="002A1582" w:rsidP="00243D22">
      <w:pPr>
        <w:pStyle w:val="TEKSTIIII"/>
      </w:pPr>
      <w:r>
        <w:t xml:space="preserve">- </w:t>
      </w:r>
      <w:r w:rsidR="00591820" w:rsidRPr="00445472">
        <w:t>Politikat e çmimit të ujit të ofrojnë stimuj të përshtatshëm për përdoruesit e burimeve ujore, në mënyrë efikase dhe në këtë mënyrë të kontribuojnë në objektivat mjedisor</w:t>
      </w:r>
      <w:r w:rsidR="00504992" w:rsidRPr="00445472">
        <w:t>ë</w:t>
      </w:r>
      <w:r w:rsidR="00591820" w:rsidRPr="00445472">
        <w:t xml:space="preserve"> të kësaj Direktive,</w:t>
      </w:r>
    </w:p>
    <w:p w14:paraId="67780A25" w14:textId="1700940E" w:rsidR="00591820" w:rsidRPr="00445472" w:rsidRDefault="002A1582" w:rsidP="00243D22">
      <w:pPr>
        <w:pStyle w:val="TEKSTIIII"/>
      </w:pPr>
      <w:r>
        <w:t xml:space="preserve">- </w:t>
      </w:r>
      <w:r w:rsidR="00591820" w:rsidRPr="00445472">
        <w:t xml:space="preserve">Një kontribut i përshtatshëm i përdorimeve të ndryshme të ujit, të ndara të paktën në industrinë, familjet dhe bujqësinë, në rimëkëmbjen e kostove të shërbimeve të ujit, bazuar në analizën ekonomike të kryer sipas shtojcës III dhe duke marrë parasysh parimin </w:t>
      </w:r>
      <w:r w:rsidR="00D62EDF" w:rsidRPr="00445472">
        <w:t>“</w:t>
      </w:r>
      <w:r w:rsidR="00591820" w:rsidRPr="00445472">
        <w:t>ndotësi paguan</w:t>
      </w:r>
      <w:r w:rsidR="00D62EDF" w:rsidRPr="00445472">
        <w:t>”</w:t>
      </w:r>
      <w:r w:rsidR="00591820" w:rsidRPr="00445472">
        <w:t>.</w:t>
      </w:r>
    </w:p>
    <w:p w14:paraId="032A25A1" w14:textId="77777777" w:rsidR="00591820" w:rsidRPr="00445472" w:rsidRDefault="00591820" w:rsidP="00243D22">
      <w:pPr>
        <w:pStyle w:val="TEKSTIIII"/>
      </w:pPr>
      <w:r w:rsidRPr="00445472">
        <w:t>Me qëllim zbatimin e kërkesave të mësipërme të DKU-së, janë lëshuar dy dokumente orientuese nga BE-ja dhe të cilat janë marrë parasysh në këtë raport:</w:t>
      </w:r>
    </w:p>
    <w:p w14:paraId="02F25275" w14:textId="0C3CAE16" w:rsidR="00591820" w:rsidRPr="00445472" w:rsidRDefault="002A1582" w:rsidP="00243D22">
      <w:pPr>
        <w:pStyle w:val="TEKSTIIII"/>
      </w:pPr>
      <w:r>
        <w:t xml:space="preserve">- </w:t>
      </w:r>
      <w:r w:rsidR="00591820" w:rsidRPr="00445472">
        <w:t xml:space="preserve">Dokumenti udhëzues nr. 1: Ekonomia dhe mjedisi - Sfida </w:t>
      </w:r>
      <w:r w:rsidR="00A434CA" w:rsidRPr="00445472">
        <w:t xml:space="preserve">zbatuese </w:t>
      </w:r>
      <w:r w:rsidR="00591820" w:rsidRPr="00445472">
        <w:t xml:space="preserve">e Direktivës Kuadër të Ujit, prodhuar nga Grupi i Punës 2.6 </w:t>
      </w:r>
      <w:r w:rsidR="00671A2E" w:rsidRPr="00445472">
        <w:t>–</w:t>
      </w:r>
      <w:r w:rsidR="00591820" w:rsidRPr="00445472">
        <w:t xml:space="preserve"> WATECO;</w:t>
      </w:r>
    </w:p>
    <w:p w14:paraId="2551F221" w14:textId="0EEF4309" w:rsidR="00591820" w:rsidRPr="00445472" w:rsidRDefault="002A1582" w:rsidP="00243D22">
      <w:pPr>
        <w:pStyle w:val="TEKSTIIII"/>
      </w:pPr>
      <w:r>
        <w:t xml:space="preserve">- </w:t>
      </w:r>
      <w:r w:rsidR="00591820" w:rsidRPr="00445472">
        <w:t xml:space="preserve">Vlerësimi i Kostove të Mjedisit dhe Burimeve në Direktivën Kuadër të Ujit, Informacioni i përgatitur nga Grupi i Hartimit ECO2, Strategjia e Zbatimit të Përbashkët, Grupi i Punës 2B. </w:t>
      </w:r>
    </w:p>
    <w:p w14:paraId="6B793B36" w14:textId="67DF8AE4" w:rsidR="00591820" w:rsidRPr="00445472" w:rsidRDefault="00591820" w:rsidP="00243D22">
      <w:pPr>
        <w:pStyle w:val="TEKSTIIII"/>
      </w:pPr>
      <w:r w:rsidRPr="00445472">
        <w:t xml:space="preserve">Në përputhje me objektivat e përcaktuar në Direktivën e Ujit dhe më saktë në </w:t>
      </w:r>
      <w:r w:rsidR="00A434CA" w:rsidRPr="00445472">
        <w:t>dokumentet</w:t>
      </w:r>
      <w:r w:rsidRPr="00445472">
        <w:t xml:space="preserve"> udhëzuese të përmendura më lartë, ky raport siguron:</w:t>
      </w:r>
    </w:p>
    <w:p w14:paraId="78B67236" w14:textId="0BEB56DC" w:rsidR="00591820" w:rsidRPr="00445472" w:rsidRDefault="002A1582" w:rsidP="00243D22">
      <w:pPr>
        <w:pStyle w:val="TEKSTIIII"/>
      </w:pPr>
      <w:r>
        <w:t xml:space="preserve">- </w:t>
      </w:r>
      <w:r w:rsidR="00591820" w:rsidRPr="00445472">
        <w:t xml:space="preserve">Parashikimet e ndikimeve ekonomike dhe vlerave që lidhen me përdorimet kryesore të burimeve ujore në nivelet e Rajoneve të Basenit Ujor, ku </w:t>
      </w:r>
      <w:r w:rsidR="00D62EDF" w:rsidRPr="00445472">
        <w:t>“</w:t>
      </w:r>
      <w:r w:rsidR="00591820" w:rsidRPr="00445472">
        <w:t>përdorimet</w:t>
      </w:r>
      <w:r w:rsidR="00D62EDF" w:rsidRPr="00445472">
        <w:t>”</w:t>
      </w:r>
      <w:r w:rsidR="00591820" w:rsidRPr="00445472">
        <w:t xml:space="preserve"> përfshijnë përdorimet abstrakte që lidhen me sektorët bujqësorë, industrialë dhe vendorë;</w:t>
      </w:r>
    </w:p>
    <w:p w14:paraId="0A4879F5" w14:textId="5E6FFE4D" w:rsidR="00591820" w:rsidRPr="00445472" w:rsidRDefault="002A1582" w:rsidP="00243D22">
      <w:pPr>
        <w:pStyle w:val="TEKSTIIII"/>
      </w:pPr>
      <w:r>
        <w:t xml:space="preserve">- </w:t>
      </w:r>
      <w:r w:rsidR="00591820" w:rsidRPr="00445472">
        <w:t xml:space="preserve">Projeksionet e kërkesës për ujë, parashikojnë që do të shërbejnë pjesërisht si bazë për vlerësimet e ardhshme të programeve të mundshme të masave nën skenarë të ndikimeve dhe presioneve të ndryshme; dhe </w:t>
      </w:r>
    </w:p>
    <w:p w14:paraId="197B54B1" w14:textId="097BBBA6" w:rsidR="00591820" w:rsidRPr="00445472" w:rsidRDefault="002A1582" w:rsidP="00243D22">
      <w:pPr>
        <w:pStyle w:val="TEKSTIIII"/>
      </w:pPr>
      <w:r>
        <w:t xml:space="preserve">- </w:t>
      </w:r>
      <w:r w:rsidR="00591820" w:rsidRPr="00445472">
        <w:t xml:space="preserve">Identifikimi i niveleve aktuale të shpenzimeve të shërbimeve të ujit dhe rimëkëmbjes së kostove në QBU, ku </w:t>
      </w:r>
      <w:r w:rsidR="00D62EDF" w:rsidRPr="00445472">
        <w:t>“</w:t>
      </w:r>
      <w:r w:rsidR="00591820" w:rsidRPr="00445472">
        <w:t>shpenzimet</w:t>
      </w:r>
      <w:r w:rsidR="00D62EDF" w:rsidRPr="00445472">
        <w:t>”</w:t>
      </w:r>
      <w:r w:rsidR="00591820" w:rsidRPr="00445472">
        <w:t xml:space="preserve"> përfshijnë shpenzimet për ofrimin e shërbimeve të ujit siç është përcaktuar në Direktivën Kuadër të Ujit:</w:t>
      </w:r>
    </w:p>
    <w:p w14:paraId="2B6CD5FB" w14:textId="6ADA8374" w:rsidR="00591820" w:rsidRPr="00445472" w:rsidRDefault="002A1582" w:rsidP="00243D22">
      <w:pPr>
        <w:pStyle w:val="TEKSTIIII"/>
      </w:pPr>
      <w:r>
        <w:t xml:space="preserve">- </w:t>
      </w:r>
      <w:r w:rsidR="00D62EDF" w:rsidRPr="00445472">
        <w:t>“</w:t>
      </w:r>
      <w:r w:rsidR="00591820" w:rsidRPr="00445472">
        <w:t>Shërbimet e Ujit</w:t>
      </w:r>
      <w:r w:rsidR="00D62EDF" w:rsidRPr="00445472">
        <w:t>”</w:t>
      </w:r>
      <w:r w:rsidR="00591820" w:rsidRPr="00445472">
        <w:t xml:space="preserve"> do të thotë të gjitha shërbimet që sigurojnë ujë, për familjet, institucione publike ose ndonjë aktivitet ekonomik:</w:t>
      </w:r>
    </w:p>
    <w:p w14:paraId="0959C332" w14:textId="611D9D3E" w:rsidR="00591820" w:rsidRPr="00445472" w:rsidRDefault="00591820" w:rsidP="00243D22">
      <w:pPr>
        <w:pStyle w:val="TEKSTIIII"/>
      </w:pPr>
      <w:r w:rsidRPr="00445472">
        <w:t xml:space="preserve">a) </w:t>
      </w:r>
      <w:r w:rsidR="00A434CA" w:rsidRPr="00445472">
        <w:t>nxjerrja</w:t>
      </w:r>
      <w:r w:rsidRPr="00445472">
        <w:t>, mbyllja, ruajtja, trajtimi dhe shpërndarja e ujërave sipërfaqësore ose ujërave nëntokësore</w:t>
      </w:r>
      <w:r w:rsidR="00A434CA" w:rsidRPr="00445472">
        <w:t>;</w:t>
      </w:r>
    </w:p>
    <w:p w14:paraId="53A213CE" w14:textId="29B15E50" w:rsidR="00591820" w:rsidRPr="00445472" w:rsidRDefault="00591820" w:rsidP="00243D22">
      <w:pPr>
        <w:pStyle w:val="TEKSTIIII"/>
      </w:pPr>
      <w:r w:rsidRPr="00445472">
        <w:t xml:space="preserve">b) </w:t>
      </w:r>
      <w:r w:rsidR="00A434CA" w:rsidRPr="00445472">
        <w:t xml:space="preserve">objektet </w:t>
      </w:r>
      <w:r w:rsidRPr="00445472">
        <w:t>e grumbullimit dhe trajtimit të ujërave të ndotura</w:t>
      </w:r>
      <w:r w:rsidR="00A434CA" w:rsidRPr="00445472">
        <w:t xml:space="preserve">, </w:t>
      </w:r>
      <w:r w:rsidRPr="00445472">
        <w:t>të cilat më pas shkarkohen në ujëra sipërfaqësore</w:t>
      </w:r>
      <w:r w:rsidR="00A434CA" w:rsidRPr="00445472">
        <w:t>.</w:t>
      </w:r>
    </w:p>
    <w:p w14:paraId="75C60B58" w14:textId="0133389D" w:rsidR="00591820" w:rsidRPr="00445472" w:rsidRDefault="00591820" w:rsidP="00243D22">
      <w:pPr>
        <w:pStyle w:val="TEKSTIIII"/>
      </w:pPr>
      <w:r w:rsidRPr="00445472">
        <w:t>Analiza ekonomike shqyrtoi ndikimet ekonomike të përdorimit të ujit të sektorit</w:t>
      </w:r>
      <w:r w:rsidR="00E14B89">
        <w:t xml:space="preserve"> të brendshëm duke përdorur nën</w:t>
      </w:r>
      <w:r w:rsidRPr="00445472">
        <w:t>sektorët e bujqësisë dhe industrisë dhe kategoritë e t</w:t>
      </w:r>
      <w:r w:rsidR="00E14B89">
        <w:t>jera të përdorimit të ujit. Nën</w:t>
      </w:r>
      <w:r w:rsidRPr="00445472">
        <w:t xml:space="preserve">sektorët kryesorë të ujit janë përcaktuar si ato në të cilat aktivitetet e përdorimit të ujit janë kritike për shkak të vëllimit të ujit të përdorur. Të gjitha të dhënat e paraqitura në seksionet e mëposhtme janë dhënë në </w:t>
      </w:r>
      <w:r w:rsidR="00A434CA" w:rsidRPr="00445472">
        <w:t xml:space="preserve">shtojcën </w:t>
      </w:r>
      <w:r w:rsidRPr="00445472">
        <w:t xml:space="preserve">4. </w:t>
      </w:r>
    </w:p>
    <w:p w14:paraId="49AE3504" w14:textId="17D15C00" w:rsidR="00591820" w:rsidRPr="00445472" w:rsidRDefault="00243D22" w:rsidP="00243D22">
      <w:pPr>
        <w:pStyle w:val="NENTITULL"/>
        <w:rPr>
          <w:sz w:val="23"/>
          <w:szCs w:val="20"/>
        </w:rPr>
      </w:pPr>
      <w:bookmarkStart w:id="226" w:name="_bookmark40"/>
      <w:bookmarkStart w:id="227" w:name="_Toc486503430"/>
      <w:bookmarkStart w:id="228" w:name="_Toc485635138"/>
      <w:bookmarkStart w:id="229" w:name="_Toc11068854"/>
      <w:bookmarkEnd w:id="226"/>
      <w:r w:rsidRPr="00445472">
        <w:t xml:space="preserve">11.2 </w:t>
      </w:r>
      <w:r w:rsidR="00591820" w:rsidRPr="00445472">
        <w:t>Përdorimi dhe ndikimi i ujit</w:t>
      </w:r>
      <w:bookmarkEnd w:id="227"/>
      <w:bookmarkEnd w:id="228"/>
      <w:bookmarkEnd w:id="229"/>
    </w:p>
    <w:p w14:paraId="3B34B2A5" w14:textId="1790A915" w:rsidR="00591820" w:rsidRPr="00445472" w:rsidRDefault="00797DA7" w:rsidP="00797DA7">
      <w:pPr>
        <w:pStyle w:val="NENTITULL"/>
      </w:pPr>
      <w:bookmarkStart w:id="230" w:name="_bookmark41"/>
      <w:bookmarkStart w:id="231" w:name="_Toc11068855"/>
      <w:bookmarkEnd w:id="230"/>
      <w:r w:rsidRPr="00445472">
        <w:t xml:space="preserve">11.2.1 </w:t>
      </w:r>
      <w:r w:rsidR="00591820" w:rsidRPr="00445472">
        <w:t xml:space="preserve">Nxjerrjet e </w:t>
      </w:r>
      <w:r w:rsidR="00671A2E" w:rsidRPr="00445472">
        <w:t>ujit</w:t>
      </w:r>
      <w:bookmarkEnd w:id="231"/>
    </w:p>
    <w:p w14:paraId="6FB635C3" w14:textId="77777777" w:rsidR="00591820" w:rsidRPr="00445472" w:rsidRDefault="00591820" w:rsidP="00243D22">
      <w:pPr>
        <w:pStyle w:val="TEKSTIIII"/>
      </w:pPr>
      <w:r w:rsidRPr="00445472">
        <w:t>Nxjerrjet e Ujit nga Trupat Ujorë ndërmerren për një sërë qëllimesh, duke përfshirë furnizimin me ujë të pijshëm për familjet dhe përdorimin e ujit në proceset bujqësore dhe industriale.</w:t>
      </w:r>
    </w:p>
    <w:p w14:paraId="3C39612B" w14:textId="427637EA" w:rsidR="00591820" w:rsidRPr="00445472" w:rsidRDefault="00797DA7" w:rsidP="00797DA7">
      <w:pPr>
        <w:pStyle w:val="NENTITULL"/>
      </w:pPr>
      <w:r w:rsidRPr="00445472">
        <w:t xml:space="preserve">11.2.1.1 </w:t>
      </w:r>
      <w:r w:rsidR="00591820" w:rsidRPr="00445472">
        <w:t>Përdorimi bujqësor i ujit</w:t>
      </w:r>
    </w:p>
    <w:p w14:paraId="005174AF" w14:textId="4C8E2F60" w:rsidR="00591820" w:rsidRPr="00445472" w:rsidRDefault="00591820" w:rsidP="00243D22">
      <w:pPr>
        <w:pStyle w:val="TEKSTIIII"/>
      </w:pPr>
      <w:r w:rsidRPr="00445472">
        <w:t>Struktura e fermave bujqësore në Shqipëri dhe në basenet ujore reflekton në masë të madhe rezultatet e procesit të privatizimit. Megjithatë, që nga privatizimi, ka ndodhur fragmentimi i mëtejshëm i tokës, pasi toka e ndarë për secilën familje rurale është fragmentuar në shumë parcela të ndryshme. Sipas regjistrimit të bujqësisë në vitin 2012 (të dhënat e fundit), sipërfaqja bujqësore e përdorur ishte në pronësi të 324,013 fermave dhe madhësia e fermës mesatarisht ishte më pak se 2 ha. Shumica e këtyre fermave janë për nevoja jetësore,</w:t>
      </w:r>
      <w:r w:rsidR="00A434CA" w:rsidRPr="00445472">
        <w:t xml:space="preserve"> </w:t>
      </w:r>
      <w:r w:rsidRPr="00445472">
        <w:t xml:space="preserve">pa orientim në treg. Kjo kategori fermash, ose </w:t>
      </w:r>
      <w:r w:rsidR="00A434CA" w:rsidRPr="00445472">
        <w:t>gjysmë</w:t>
      </w:r>
      <w:r w:rsidRPr="00445472">
        <w:t>familjare, kanë tendencë të përqendrohen në zonat malore, ku toka është pak pjellore dhe ku jetojnë rreth 60% e popullsisë rurale.</w:t>
      </w:r>
    </w:p>
    <w:p w14:paraId="4FF60AAE" w14:textId="77777777" w:rsidR="00591820" w:rsidRPr="00445472" w:rsidRDefault="00591820" w:rsidP="00243D22">
      <w:pPr>
        <w:pStyle w:val="TEKSTIIII"/>
      </w:pPr>
      <w:r w:rsidRPr="00445472">
        <w:t>Që nga regjistrimi i fundit në vitin 2012 numri i fermave më të mëdha se 2 ha nuk është rritur. Sipas studimeve më të fundit, ka të ngjarë që të ndodhë e kundërta, për shkak të fragmentimit të mëtejshëm, kryesisht të shkaktuar nga trashëgimia dhe pa nxitje të qarta nga qeveria për të parandaluar fragmentimin e mëtejshëm ose inkurajimin e një tregu efektiv të tokës.</w:t>
      </w:r>
    </w:p>
    <w:p w14:paraId="2D049C64" w14:textId="2EC4E640" w:rsidR="00591820" w:rsidRPr="00445472" w:rsidRDefault="00591820" w:rsidP="00243D22">
      <w:pPr>
        <w:pStyle w:val="TEKSTIIII"/>
      </w:pPr>
      <w:r w:rsidRPr="00445472">
        <w:t xml:space="preserve">Të dhënat statistikore në lidhje me numrin e fermave bujqësore dhe të punueshme në rajonet e basenit ujor </w:t>
      </w:r>
      <w:r w:rsidR="007E76E3" w:rsidRPr="00445472">
        <w:t>Drin–Bunë</w:t>
      </w:r>
      <w:r w:rsidRPr="00445472">
        <w:t xml:space="preserve"> janë paraqitur në tabelat 11.1 deri në 11.4 më poshtë.</w:t>
      </w:r>
    </w:p>
    <w:p w14:paraId="24F06EC3" w14:textId="77777777" w:rsidR="00591820" w:rsidRPr="00445472" w:rsidRDefault="00591820" w:rsidP="00243D22">
      <w:pPr>
        <w:pStyle w:val="TEKSTIIII"/>
      </w:pPr>
    </w:p>
    <w:p w14:paraId="4A9C5DF4" w14:textId="77C2C2C2" w:rsidR="00591820" w:rsidRPr="00445472" w:rsidRDefault="00591820" w:rsidP="00797DA7">
      <w:pPr>
        <w:pStyle w:val="NENTITULL"/>
        <w:rPr>
          <w:sz w:val="13"/>
        </w:rPr>
      </w:pPr>
      <w:r w:rsidRPr="00445472">
        <w:t xml:space="preserve">Tabela 11.1: Tokë e punueshme me të korra në rajonin e basenit ujor </w:t>
      </w:r>
      <w:r w:rsidR="007E76E3" w:rsidRPr="00445472">
        <w:t>Drin–Bunë</w:t>
      </w:r>
      <w:r w:rsidRPr="00445472">
        <w:t>, 2015</w:t>
      </w:r>
      <w:r w:rsidRPr="00445472">
        <w:rPr>
          <w:vertAlign w:val="superscript"/>
        </w:rPr>
        <w:footnoteReference w:id="197"/>
      </w:r>
    </w:p>
    <w:tbl>
      <w:tblPr>
        <w:tblW w:w="0" w:type="auto"/>
        <w:tblInd w:w="1706" w:type="dxa"/>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1001"/>
        <w:gridCol w:w="2727"/>
        <w:gridCol w:w="2499"/>
      </w:tblGrid>
      <w:tr w:rsidR="00591820" w:rsidRPr="00445472" w14:paraId="0F6B4672" w14:textId="77777777" w:rsidTr="002A1F08">
        <w:trPr>
          <w:trHeight w:val="360"/>
        </w:trPr>
        <w:tc>
          <w:tcPr>
            <w:tcW w:w="1001" w:type="dxa"/>
            <w:shd w:val="clear" w:color="auto" w:fill="D9D9D9"/>
            <w:vAlign w:val="center"/>
          </w:tcPr>
          <w:p w14:paraId="6BCD39E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Rrethi</w:t>
            </w:r>
          </w:p>
        </w:tc>
        <w:tc>
          <w:tcPr>
            <w:tcW w:w="2727" w:type="dxa"/>
            <w:shd w:val="clear" w:color="auto" w:fill="D9D9D9"/>
            <w:vAlign w:val="center"/>
          </w:tcPr>
          <w:p w14:paraId="3B33FC3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Totali i Fermave Bujqësore</w:t>
            </w:r>
          </w:p>
        </w:tc>
        <w:tc>
          <w:tcPr>
            <w:tcW w:w="2499" w:type="dxa"/>
            <w:shd w:val="clear" w:color="auto" w:fill="D9D9D9"/>
            <w:vAlign w:val="center"/>
          </w:tcPr>
          <w:p w14:paraId="54605A0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Tokë e punueshme (000 ha)</w:t>
            </w:r>
          </w:p>
        </w:tc>
      </w:tr>
      <w:tr w:rsidR="00591820" w:rsidRPr="00445472" w14:paraId="2C6C72E2" w14:textId="77777777" w:rsidTr="002A1F08">
        <w:trPr>
          <w:trHeight w:val="300"/>
        </w:trPr>
        <w:tc>
          <w:tcPr>
            <w:tcW w:w="1001" w:type="dxa"/>
            <w:shd w:val="clear" w:color="auto" w:fill="auto"/>
            <w:vAlign w:val="center"/>
          </w:tcPr>
          <w:p w14:paraId="217A2CD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2727" w:type="dxa"/>
            <w:shd w:val="clear" w:color="auto" w:fill="auto"/>
            <w:vAlign w:val="center"/>
          </w:tcPr>
          <w:p w14:paraId="67176BD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19,981</w:t>
            </w:r>
          </w:p>
        </w:tc>
        <w:tc>
          <w:tcPr>
            <w:tcW w:w="2499" w:type="dxa"/>
            <w:shd w:val="clear" w:color="auto" w:fill="auto"/>
            <w:vAlign w:val="center"/>
          </w:tcPr>
          <w:p w14:paraId="08908C8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w:t>
            </w:r>
          </w:p>
        </w:tc>
      </w:tr>
      <w:tr w:rsidR="00591820" w:rsidRPr="00445472" w14:paraId="7BB28669" w14:textId="77777777" w:rsidTr="002A1F08">
        <w:trPr>
          <w:trHeight w:val="300"/>
        </w:trPr>
        <w:tc>
          <w:tcPr>
            <w:tcW w:w="1001" w:type="dxa"/>
            <w:shd w:val="clear" w:color="auto" w:fill="E6E6E6"/>
            <w:vAlign w:val="center"/>
          </w:tcPr>
          <w:p w14:paraId="57801F64" w14:textId="77777777" w:rsidR="00591820" w:rsidRPr="00445472" w:rsidRDefault="00591820" w:rsidP="002A1F08">
            <w:pPr>
              <w:spacing w:before="22" w:after="22"/>
              <w:ind w:right="63"/>
              <w:jc w:val="center"/>
              <w:rPr>
                <w:rFonts w:ascii="Garamond" w:eastAsia="MingLiU-ExtB" w:hAnsi="Garamond" w:cs="MingLiU-ExtB"/>
                <w:sz w:val="18"/>
                <w:szCs w:val="18"/>
              </w:rPr>
            </w:pPr>
            <w:r w:rsidRPr="00445472">
              <w:rPr>
                <w:rFonts w:ascii="Garamond" w:eastAsia="MS Mincho" w:hAnsi="Garamond" w:cs="Arial"/>
                <w:sz w:val="18"/>
                <w:szCs w:val="18"/>
              </w:rPr>
              <w:t>Korçë</w:t>
            </w:r>
          </w:p>
        </w:tc>
        <w:tc>
          <w:tcPr>
            <w:tcW w:w="2727" w:type="dxa"/>
            <w:shd w:val="clear" w:color="auto" w:fill="E6E6E6"/>
            <w:vAlign w:val="center"/>
          </w:tcPr>
          <w:p w14:paraId="6941309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33,685</w:t>
            </w:r>
          </w:p>
        </w:tc>
        <w:tc>
          <w:tcPr>
            <w:tcW w:w="2499" w:type="dxa"/>
            <w:shd w:val="clear" w:color="auto" w:fill="E6E6E6"/>
            <w:vAlign w:val="center"/>
          </w:tcPr>
          <w:p w14:paraId="04F30FD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w:t>
            </w:r>
          </w:p>
        </w:tc>
      </w:tr>
      <w:tr w:rsidR="00591820" w:rsidRPr="00445472" w14:paraId="199DC7AF" w14:textId="77777777" w:rsidTr="002A1F08">
        <w:trPr>
          <w:trHeight w:val="300"/>
        </w:trPr>
        <w:tc>
          <w:tcPr>
            <w:tcW w:w="1001" w:type="dxa"/>
            <w:vAlign w:val="center"/>
          </w:tcPr>
          <w:p w14:paraId="0ADB60E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2727" w:type="dxa"/>
            <w:vAlign w:val="center"/>
          </w:tcPr>
          <w:p w14:paraId="1D217A6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10,638</w:t>
            </w:r>
          </w:p>
        </w:tc>
        <w:tc>
          <w:tcPr>
            <w:tcW w:w="2499" w:type="dxa"/>
            <w:vAlign w:val="center"/>
          </w:tcPr>
          <w:p w14:paraId="2860836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w:t>
            </w:r>
          </w:p>
        </w:tc>
      </w:tr>
      <w:tr w:rsidR="00591820" w:rsidRPr="00445472" w14:paraId="6A9F018C" w14:textId="77777777" w:rsidTr="002A1F08">
        <w:trPr>
          <w:trHeight w:val="300"/>
        </w:trPr>
        <w:tc>
          <w:tcPr>
            <w:tcW w:w="1001" w:type="dxa"/>
            <w:shd w:val="clear" w:color="auto" w:fill="E6E6E6"/>
            <w:vAlign w:val="center"/>
          </w:tcPr>
          <w:p w14:paraId="5502401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2727" w:type="dxa"/>
            <w:shd w:val="clear" w:color="auto" w:fill="E6E6E6"/>
            <w:vAlign w:val="center"/>
          </w:tcPr>
          <w:p w14:paraId="5260AE8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17,196</w:t>
            </w:r>
          </w:p>
        </w:tc>
        <w:tc>
          <w:tcPr>
            <w:tcW w:w="2499" w:type="dxa"/>
            <w:shd w:val="clear" w:color="auto" w:fill="E6E6E6"/>
            <w:vAlign w:val="center"/>
          </w:tcPr>
          <w:p w14:paraId="62156A6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w:t>
            </w:r>
          </w:p>
        </w:tc>
      </w:tr>
      <w:tr w:rsidR="00591820" w:rsidRPr="00445472" w14:paraId="7D7AF01D" w14:textId="77777777" w:rsidTr="002A1F08">
        <w:trPr>
          <w:trHeight w:val="300"/>
        </w:trPr>
        <w:tc>
          <w:tcPr>
            <w:tcW w:w="1001" w:type="dxa"/>
            <w:vAlign w:val="center"/>
          </w:tcPr>
          <w:p w14:paraId="710B50C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727" w:type="dxa"/>
            <w:vAlign w:val="center"/>
          </w:tcPr>
          <w:p w14:paraId="5A275C0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28,854</w:t>
            </w:r>
          </w:p>
        </w:tc>
        <w:tc>
          <w:tcPr>
            <w:tcW w:w="2499" w:type="dxa"/>
            <w:vAlign w:val="center"/>
          </w:tcPr>
          <w:p w14:paraId="3302621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w:t>
            </w:r>
          </w:p>
        </w:tc>
      </w:tr>
    </w:tbl>
    <w:p w14:paraId="705A72DB" w14:textId="77777777" w:rsidR="00591820" w:rsidRPr="00445472" w:rsidRDefault="00591820" w:rsidP="00797DA7">
      <w:pPr>
        <w:pStyle w:val="TEKSTIIII"/>
      </w:pPr>
    </w:p>
    <w:p w14:paraId="58F5322B" w14:textId="6FC6EABF" w:rsidR="00591820" w:rsidRPr="00445472" w:rsidRDefault="00591820" w:rsidP="00797DA7">
      <w:pPr>
        <w:pStyle w:val="TEKSTIIII"/>
      </w:pPr>
      <w:r w:rsidRPr="00445472">
        <w:t xml:space="preserve">Përdorimi i tokave bujqësore ndahet ndërmjet kategorive kryesore të mëposhtme: </w:t>
      </w:r>
      <w:r w:rsidR="00A434CA" w:rsidRPr="00445472">
        <w:t>drithëra</w:t>
      </w:r>
      <w:r w:rsidRPr="00445472">
        <w:t>, perime, patate, grurë, duhan, luledielli, bishtajore dhe foragjere.</w:t>
      </w:r>
    </w:p>
    <w:p w14:paraId="51928A24" w14:textId="77777777" w:rsidR="00591820" w:rsidRPr="00445472" w:rsidRDefault="00591820" w:rsidP="00797DA7">
      <w:pPr>
        <w:pStyle w:val="TEKSTIIII"/>
      </w:pPr>
      <w:r w:rsidRPr="00445472">
        <w:t xml:space="preserve">Të dhënat ekzistuese statistikore mbi fermat e kafshëve në basenin ujore përfshijnë kategoritë kryesore të bagëtive: si kafshët e mishit, lopët për prodhim qumështi, delet, delet për prodhim qumështi, dhitë, dhitë për prodhim qumështi, derrat, kuajt dhe shpezët. Të dhënat statistikore gjithashtu përfshijnë kategoritë e mëposhtme: qumështi, mishi, vezët dhe leshi. </w:t>
      </w:r>
    </w:p>
    <w:p w14:paraId="7DCA5DD7" w14:textId="5F2FD763" w:rsidR="00591820" w:rsidRPr="00445472" w:rsidRDefault="00591820" w:rsidP="00797DA7">
      <w:pPr>
        <w:pStyle w:val="TEKSTIIII"/>
      </w:pPr>
      <w:r w:rsidRPr="00445472">
        <w:t>Pë</w:t>
      </w:r>
      <w:r w:rsidR="00E14B89">
        <w:t>rdorimi bujqësor i ujit për nën</w:t>
      </w:r>
      <w:r w:rsidRPr="00445472">
        <w:t>sektorin e rritjes së bimëve është përcaktuar duke shumëzuar vlerën për hektar të ujitjes me hektarët total të plantacioneve. Vlera e ujit për hektar u konsiderua në një vëllim mesatar prej 18,338 m</w:t>
      </w:r>
      <w:r w:rsidRPr="00445472">
        <w:rPr>
          <w:position w:val="6"/>
          <w:vertAlign w:val="superscript"/>
        </w:rPr>
        <w:t>3</w:t>
      </w:r>
      <w:r w:rsidRPr="00445472">
        <w:t xml:space="preserve">/ha/për vit (bazuar në të dhënat e vitit 2010). Uji i përdorur për ujitje në basenin ujor </w:t>
      </w:r>
      <w:r w:rsidR="007E76E3" w:rsidRPr="00445472">
        <w:t>Drin–Bunë</w:t>
      </w:r>
      <w:r w:rsidRPr="00445472">
        <w:t>, sipas rretheve, është paraqitur në Tabelën 11.2.</w:t>
      </w:r>
    </w:p>
    <w:p w14:paraId="577F0E58" w14:textId="77777777" w:rsidR="00591820" w:rsidRPr="00445472" w:rsidRDefault="00591820" w:rsidP="00797DA7">
      <w:pPr>
        <w:pStyle w:val="TEKSTIIII"/>
      </w:pPr>
    </w:p>
    <w:p w14:paraId="40562EF2" w14:textId="5CA774FD" w:rsidR="00591820" w:rsidRPr="00445472" w:rsidRDefault="00591820" w:rsidP="00797DA7">
      <w:pPr>
        <w:pStyle w:val="NENTITULL"/>
      </w:pPr>
      <w:r w:rsidRPr="00445472">
        <w:t xml:space="preserve">Tabela 11.2: Uji i përdorur për ujitje në Rajonin e basenit ujor </w:t>
      </w:r>
      <w:r w:rsidR="007E76E3" w:rsidRPr="00445472">
        <w:t>Drin–Bunë</w:t>
      </w:r>
      <w:r w:rsidRPr="00445472">
        <w:t>, 2015</w:t>
      </w:r>
    </w:p>
    <w:tbl>
      <w:tblPr>
        <w:tblW w:w="0" w:type="auto"/>
        <w:tblInd w:w="1473" w:type="dxa"/>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Layout w:type="fixed"/>
        <w:tblCellMar>
          <w:left w:w="0" w:type="dxa"/>
          <w:right w:w="0" w:type="dxa"/>
        </w:tblCellMar>
        <w:tblLook w:val="01E0" w:firstRow="1" w:lastRow="1" w:firstColumn="1" w:lastColumn="1" w:noHBand="0" w:noVBand="0"/>
      </w:tblPr>
      <w:tblGrid>
        <w:gridCol w:w="1001"/>
        <w:gridCol w:w="2624"/>
        <w:gridCol w:w="3193"/>
      </w:tblGrid>
      <w:tr w:rsidR="00591820" w:rsidRPr="00445472" w14:paraId="51BA803B" w14:textId="77777777" w:rsidTr="002A1F08">
        <w:trPr>
          <w:trHeight w:val="360"/>
        </w:trPr>
        <w:tc>
          <w:tcPr>
            <w:tcW w:w="1001" w:type="dxa"/>
            <w:tcBorders>
              <w:left w:val="single" w:sz="4" w:space="0" w:color="27B0AF"/>
              <w:bottom w:val="single" w:sz="4" w:space="0" w:color="27B0AF"/>
              <w:right w:val="single" w:sz="4" w:space="0" w:color="27B0AF"/>
            </w:tcBorders>
            <w:shd w:val="clear" w:color="auto" w:fill="D9D9D9"/>
            <w:vAlign w:val="center"/>
          </w:tcPr>
          <w:p w14:paraId="4553BFBF" w14:textId="77777777" w:rsidR="00591820" w:rsidRPr="00445472" w:rsidRDefault="00591820" w:rsidP="002A1F08">
            <w:pPr>
              <w:spacing w:after="0"/>
              <w:ind w:right="63"/>
              <w:jc w:val="center"/>
              <w:rPr>
                <w:rFonts w:ascii="Garamond" w:eastAsia="MS Mincho" w:hAnsi="Garamond" w:cs="Arial"/>
                <w:b/>
                <w:sz w:val="18"/>
                <w:szCs w:val="18"/>
              </w:rPr>
            </w:pPr>
            <w:r w:rsidRPr="00445472">
              <w:rPr>
                <w:rFonts w:ascii="Garamond" w:eastAsia="MS Mincho" w:hAnsi="Garamond" w:cs="Arial"/>
                <w:b/>
                <w:sz w:val="18"/>
                <w:szCs w:val="18"/>
              </w:rPr>
              <w:t>Rrethi</w:t>
            </w:r>
          </w:p>
        </w:tc>
        <w:tc>
          <w:tcPr>
            <w:tcW w:w="2624" w:type="dxa"/>
            <w:tcBorders>
              <w:left w:val="single" w:sz="4" w:space="0" w:color="27B0AF"/>
              <w:bottom w:val="single" w:sz="4" w:space="0" w:color="27B0AF"/>
              <w:right w:val="single" w:sz="4" w:space="0" w:color="27B0AF"/>
            </w:tcBorders>
            <w:shd w:val="clear" w:color="auto" w:fill="D9D9D9"/>
            <w:vAlign w:val="center"/>
          </w:tcPr>
          <w:p w14:paraId="38EFE751" w14:textId="77777777" w:rsidR="00591820" w:rsidRPr="00445472" w:rsidRDefault="00591820" w:rsidP="002A1F08">
            <w:pPr>
              <w:spacing w:after="0"/>
              <w:ind w:right="63"/>
              <w:jc w:val="center"/>
              <w:rPr>
                <w:rFonts w:ascii="Garamond" w:eastAsia="MS Mincho" w:hAnsi="Garamond" w:cs="Arial"/>
                <w:b/>
                <w:sz w:val="18"/>
                <w:szCs w:val="18"/>
              </w:rPr>
            </w:pPr>
            <w:r w:rsidRPr="00445472">
              <w:rPr>
                <w:rFonts w:ascii="Garamond" w:eastAsia="MS Mincho" w:hAnsi="Garamond" w:cs="Arial"/>
                <w:b/>
                <w:sz w:val="18"/>
                <w:szCs w:val="18"/>
              </w:rPr>
              <w:t>Tokë e punueshme (000 ha)</w:t>
            </w:r>
          </w:p>
        </w:tc>
        <w:tc>
          <w:tcPr>
            <w:tcW w:w="3193" w:type="dxa"/>
            <w:tcBorders>
              <w:left w:val="single" w:sz="4" w:space="0" w:color="27B0AF"/>
              <w:bottom w:val="single" w:sz="4" w:space="0" w:color="27B0AF"/>
              <w:right w:val="single" w:sz="4" w:space="0" w:color="27B0AF"/>
            </w:tcBorders>
            <w:shd w:val="clear" w:color="auto" w:fill="D9D9D9"/>
            <w:vAlign w:val="center"/>
          </w:tcPr>
          <w:p w14:paraId="6689DB9A" w14:textId="3D289813" w:rsidR="00591820" w:rsidRPr="00445472" w:rsidRDefault="00591820" w:rsidP="002A1F08">
            <w:pPr>
              <w:spacing w:after="0" w:line="240" w:lineRule="auto"/>
              <w:ind w:right="63"/>
              <w:jc w:val="center"/>
              <w:rPr>
                <w:rFonts w:ascii="Garamond" w:eastAsia="MS Mincho" w:hAnsi="Garamond" w:cs="Arial"/>
                <w:b/>
                <w:sz w:val="18"/>
                <w:szCs w:val="18"/>
              </w:rPr>
            </w:pPr>
            <w:r w:rsidRPr="00445472">
              <w:rPr>
                <w:rFonts w:ascii="Garamond" w:eastAsia="MS Mincho" w:hAnsi="Garamond" w:cs="Arial"/>
                <w:b/>
                <w:sz w:val="18"/>
                <w:szCs w:val="18"/>
              </w:rPr>
              <w:t>Volumi i ujit për ujitje (000</w:t>
            </w:r>
            <w:r w:rsidR="00A434CA" w:rsidRPr="00445472">
              <w:rPr>
                <w:rFonts w:ascii="Garamond" w:eastAsia="MS Mincho" w:hAnsi="Garamond" w:cs="Arial"/>
                <w:b/>
                <w:sz w:val="18"/>
                <w:szCs w:val="18"/>
              </w:rPr>
              <w:t xml:space="preserve"> </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r>
      <w:tr w:rsidR="00591820" w:rsidRPr="00445472" w14:paraId="6852A0A3" w14:textId="77777777" w:rsidTr="002A1F08">
        <w:trPr>
          <w:trHeight w:val="300"/>
        </w:trPr>
        <w:tc>
          <w:tcPr>
            <w:tcW w:w="1001" w:type="dxa"/>
            <w:tcBorders>
              <w:top w:val="single" w:sz="4" w:space="0" w:color="27B0AF"/>
              <w:left w:val="single" w:sz="4" w:space="0" w:color="27B0AF"/>
              <w:bottom w:val="single" w:sz="4" w:space="0" w:color="27B0AF"/>
              <w:right w:val="single" w:sz="4" w:space="0" w:color="27B0AF"/>
            </w:tcBorders>
            <w:shd w:val="clear" w:color="auto" w:fill="auto"/>
            <w:vAlign w:val="center"/>
          </w:tcPr>
          <w:p w14:paraId="7AD636B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2624" w:type="dxa"/>
            <w:tcBorders>
              <w:top w:val="single" w:sz="4" w:space="0" w:color="27B0AF"/>
              <w:left w:val="single" w:sz="4" w:space="0" w:color="27B0AF"/>
              <w:bottom w:val="single" w:sz="4" w:space="0" w:color="27B0AF"/>
              <w:right w:val="single" w:sz="4" w:space="0" w:color="27B0AF"/>
            </w:tcBorders>
            <w:shd w:val="clear" w:color="auto" w:fill="auto"/>
            <w:vAlign w:val="center"/>
          </w:tcPr>
          <w:p w14:paraId="06FEF2A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w:t>
            </w:r>
          </w:p>
        </w:tc>
        <w:tc>
          <w:tcPr>
            <w:tcW w:w="3193" w:type="dxa"/>
            <w:tcBorders>
              <w:top w:val="single" w:sz="4" w:space="0" w:color="27B0AF"/>
              <w:left w:val="single" w:sz="4" w:space="0" w:color="27B0AF"/>
              <w:bottom w:val="single" w:sz="4" w:space="0" w:color="27B0AF"/>
              <w:right w:val="single" w:sz="4" w:space="0" w:color="27B0AF"/>
            </w:tcBorders>
            <w:shd w:val="clear" w:color="auto" w:fill="auto"/>
            <w:vAlign w:val="center"/>
          </w:tcPr>
          <w:p w14:paraId="7DB01CE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531,802</w:t>
            </w:r>
          </w:p>
        </w:tc>
      </w:tr>
      <w:tr w:rsidR="00591820" w:rsidRPr="00445472" w14:paraId="162E04D9" w14:textId="77777777" w:rsidTr="002A1F08">
        <w:trPr>
          <w:trHeight w:val="300"/>
        </w:trPr>
        <w:tc>
          <w:tcPr>
            <w:tcW w:w="1001" w:type="dxa"/>
            <w:tcBorders>
              <w:top w:val="single" w:sz="4" w:space="0" w:color="27B0AF"/>
              <w:left w:val="single" w:sz="4" w:space="0" w:color="27B0AF"/>
              <w:bottom w:val="single" w:sz="4" w:space="0" w:color="27B0AF"/>
              <w:right w:val="single" w:sz="4" w:space="0" w:color="27B0AF"/>
            </w:tcBorders>
            <w:shd w:val="clear" w:color="auto" w:fill="E6E6E6"/>
            <w:vAlign w:val="center"/>
          </w:tcPr>
          <w:p w14:paraId="44E986D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Korçë</w:t>
            </w:r>
          </w:p>
        </w:tc>
        <w:tc>
          <w:tcPr>
            <w:tcW w:w="2624" w:type="dxa"/>
            <w:tcBorders>
              <w:top w:val="single" w:sz="4" w:space="0" w:color="27B0AF"/>
              <w:left w:val="single" w:sz="4" w:space="0" w:color="27B0AF"/>
              <w:bottom w:val="single" w:sz="4" w:space="0" w:color="27B0AF"/>
              <w:right w:val="single" w:sz="4" w:space="0" w:color="27B0AF"/>
            </w:tcBorders>
            <w:shd w:val="clear" w:color="auto" w:fill="E6E6E6"/>
            <w:vAlign w:val="center"/>
          </w:tcPr>
          <w:p w14:paraId="4DE61EE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w:t>
            </w:r>
          </w:p>
        </w:tc>
        <w:tc>
          <w:tcPr>
            <w:tcW w:w="3193" w:type="dxa"/>
            <w:tcBorders>
              <w:top w:val="single" w:sz="4" w:space="0" w:color="27B0AF"/>
              <w:left w:val="single" w:sz="4" w:space="0" w:color="27B0AF"/>
              <w:bottom w:val="single" w:sz="4" w:space="0" w:color="27B0AF"/>
              <w:right w:val="single" w:sz="4" w:space="0" w:color="27B0AF"/>
            </w:tcBorders>
            <w:shd w:val="clear" w:color="auto" w:fill="E6E6E6"/>
            <w:vAlign w:val="center"/>
          </w:tcPr>
          <w:p w14:paraId="103D2E8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293,408</w:t>
            </w:r>
          </w:p>
        </w:tc>
      </w:tr>
      <w:tr w:rsidR="00591820" w:rsidRPr="00445472" w14:paraId="1EDF1AB2" w14:textId="77777777" w:rsidTr="002A1F08">
        <w:trPr>
          <w:trHeight w:val="300"/>
        </w:trPr>
        <w:tc>
          <w:tcPr>
            <w:tcW w:w="1001" w:type="dxa"/>
            <w:tcBorders>
              <w:top w:val="single" w:sz="4" w:space="0" w:color="27B0AF"/>
              <w:left w:val="single" w:sz="4" w:space="0" w:color="27B0AF"/>
              <w:bottom w:val="single" w:sz="4" w:space="0" w:color="27B0AF"/>
              <w:right w:val="single" w:sz="4" w:space="0" w:color="27B0AF"/>
            </w:tcBorders>
            <w:vAlign w:val="center"/>
          </w:tcPr>
          <w:p w14:paraId="7E7CC79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2624" w:type="dxa"/>
            <w:tcBorders>
              <w:top w:val="single" w:sz="4" w:space="0" w:color="27B0AF"/>
              <w:left w:val="single" w:sz="4" w:space="0" w:color="27B0AF"/>
              <w:bottom w:val="single" w:sz="4" w:space="0" w:color="27B0AF"/>
              <w:right w:val="single" w:sz="4" w:space="0" w:color="27B0AF"/>
            </w:tcBorders>
            <w:vAlign w:val="center"/>
          </w:tcPr>
          <w:p w14:paraId="1401754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w:t>
            </w:r>
          </w:p>
        </w:tc>
        <w:tc>
          <w:tcPr>
            <w:tcW w:w="3193" w:type="dxa"/>
            <w:tcBorders>
              <w:top w:val="single" w:sz="4" w:space="0" w:color="27B0AF"/>
              <w:left w:val="single" w:sz="4" w:space="0" w:color="27B0AF"/>
              <w:bottom w:val="single" w:sz="4" w:space="0" w:color="27B0AF"/>
              <w:right w:val="single" w:sz="4" w:space="0" w:color="27B0AF"/>
            </w:tcBorders>
            <w:vAlign w:val="center"/>
          </w:tcPr>
          <w:p w14:paraId="16FDBA4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238,394</w:t>
            </w:r>
          </w:p>
        </w:tc>
      </w:tr>
      <w:tr w:rsidR="00591820" w:rsidRPr="00445472" w14:paraId="4CED16B5" w14:textId="77777777" w:rsidTr="002A1F08">
        <w:trPr>
          <w:trHeight w:val="300"/>
        </w:trPr>
        <w:tc>
          <w:tcPr>
            <w:tcW w:w="1001" w:type="dxa"/>
            <w:tcBorders>
              <w:top w:val="single" w:sz="4" w:space="0" w:color="27B0AF"/>
              <w:left w:val="single" w:sz="4" w:space="0" w:color="27B0AF"/>
              <w:bottom w:val="single" w:sz="4" w:space="0" w:color="27B0AF"/>
              <w:right w:val="single" w:sz="4" w:space="0" w:color="27B0AF"/>
            </w:tcBorders>
            <w:shd w:val="clear" w:color="auto" w:fill="E6E6E6"/>
            <w:vAlign w:val="center"/>
          </w:tcPr>
          <w:p w14:paraId="700FD2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2624" w:type="dxa"/>
            <w:tcBorders>
              <w:top w:val="single" w:sz="4" w:space="0" w:color="27B0AF"/>
              <w:left w:val="single" w:sz="4" w:space="0" w:color="27B0AF"/>
              <w:bottom w:val="single" w:sz="4" w:space="0" w:color="27B0AF"/>
              <w:right w:val="single" w:sz="4" w:space="0" w:color="27B0AF"/>
            </w:tcBorders>
            <w:shd w:val="clear" w:color="auto" w:fill="E6E6E6"/>
            <w:vAlign w:val="center"/>
          </w:tcPr>
          <w:p w14:paraId="2A03407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w:t>
            </w:r>
          </w:p>
        </w:tc>
        <w:tc>
          <w:tcPr>
            <w:tcW w:w="3193" w:type="dxa"/>
            <w:tcBorders>
              <w:top w:val="single" w:sz="4" w:space="0" w:color="27B0AF"/>
              <w:left w:val="single" w:sz="4" w:space="0" w:color="27B0AF"/>
              <w:bottom w:val="single" w:sz="4" w:space="0" w:color="27B0AF"/>
              <w:right w:val="single" w:sz="4" w:space="0" w:color="27B0AF"/>
            </w:tcBorders>
            <w:shd w:val="clear" w:color="auto" w:fill="E6E6E6"/>
            <w:vAlign w:val="center"/>
          </w:tcPr>
          <w:p w14:paraId="59CDF2E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421,774</w:t>
            </w:r>
          </w:p>
        </w:tc>
      </w:tr>
      <w:tr w:rsidR="00591820" w:rsidRPr="00445472" w14:paraId="5934E034" w14:textId="77777777" w:rsidTr="002A1F08">
        <w:trPr>
          <w:trHeight w:val="300"/>
        </w:trPr>
        <w:tc>
          <w:tcPr>
            <w:tcW w:w="1001" w:type="dxa"/>
            <w:tcBorders>
              <w:top w:val="single" w:sz="4" w:space="0" w:color="27B0AF"/>
              <w:left w:val="single" w:sz="4" w:space="0" w:color="27B0AF"/>
              <w:bottom w:val="single" w:sz="4" w:space="0" w:color="27B0AF"/>
              <w:right w:val="single" w:sz="4" w:space="0" w:color="27B0AF"/>
            </w:tcBorders>
            <w:vAlign w:val="center"/>
          </w:tcPr>
          <w:p w14:paraId="3E8D08D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624" w:type="dxa"/>
            <w:tcBorders>
              <w:top w:val="single" w:sz="4" w:space="0" w:color="27B0AF"/>
              <w:left w:val="single" w:sz="4" w:space="0" w:color="27B0AF"/>
              <w:bottom w:val="single" w:sz="4" w:space="0" w:color="27B0AF"/>
              <w:right w:val="single" w:sz="4" w:space="0" w:color="27B0AF"/>
            </w:tcBorders>
            <w:vAlign w:val="center"/>
          </w:tcPr>
          <w:p w14:paraId="4398762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w:t>
            </w:r>
          </w:p>
        </w:tc>
        <w:tc>
          <w:tcPr>
            <w:tcW w:w="3193" w:type="dxa"/>
            <w:tcBorders>
              <w:top w:val="single" w:sz="4" w:space="0" w:color="27B0AF"/>
              <w:left w:val="single" w:sz="4" w:space="0" w:color="27B0AF"/>
              <w:bottom w:val="single" w:sz="4" w:space="0" w:color="27B0AF"/>
              <w:right w:val="single" w:sz="4" w:space="0" w:color="27B0AF"/>
            </w:tcBorders>
            <w:vAlign w:val="center"/>
          </w:tcPr>
          <w:p w14:paraId="4AF94E1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623,492</w:t>
            </w:r>
          </w:p>
        </w:tc>
      </w:tr>
    </w:tbl>
    <w:p w14:paraId="5C8A18A9" w14:textId="77777777" w:rsidR="00591820" w:rsidRPr="00445472" w:rsidRDefault="00591820" w:rsidP="00797DA7">
      <w:pPr>
        <w:pStyle w:val="TEKSTIIII"/>
      </w:pPr>
    </w:p>
    <w:p w14:paraId="38E0E935" w14:textId="77777777" w:rsidR="00591820" w:rsidRPr="00445472" w:rsidRDefault="00591820" w:rsidP="00797DA7">
      <w:pPr>
        <w:pStyle w:val="TEKSTIIII"/>
      </w:pPr>
      <w:r w:rsidRPr="00445472">
        <w:t>Shumëzimi për njësitë e përdorura i vlerësuar nga numri i kafshëve, nxjerr vlerat e përdorimit të ujit të fermës së kafshëve. Për qëllime të analizës ekonomike, përdorimi i ujit për njësi, ashtu siç tregohet në Tabelën 11.3 është konsideruar si:</w:t>
      </w:r>
    </w:p>
    <w:p w14:paraId="275F599E" w14:textId="468D3A5F" w:rsidR="00591820" w:rsidRPr="00445472" w:rsidRDefault="00591820" w:rsidP="00797DA7">
      <w:pPr>
        <w:pStyle w:val="TEKSTIIII"/>
      </w:pPr>
    </w:p>
    <w:p w14:paraId="0FFDC131" w14:textId="77777777" w:rsidR="00591820" w:rsidRPr="00445472" w:rsidRDefault="00591820" w:rsidP="00797DA7">
      <w:pPr>
        <w:pStyle w:val="NENTITULL"/>
      </w:pPr>
      <w:r w:rsidRPr="00445472">
        <w:t>Tabela 11.3: Përdorimi i përditshëm i ujit për kafshët</w:t>
      </w:r>
    </w:p>
    <w:tbl>
      <w:tblPr>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5372"/>
        <w:gridCol w:w="3709"/>
      </w:tblGrid>
      <w:tr w:rsidR="00591820" w:rsidRPr="00445472" w14:paraId="35DC1798" w14:textId="77777777" w:rsidTr="00797DA7">
        <w:trPr>
          <w:trHeight w:val="360"/>
        </w:trPr>
        <w:tc>
          <w:tcPr>
            <w:tcW w:w="2958" w:type="pct"/>
            <w:vAlign w:val="center"/>
          </w:tcPr>
          <w:p w14:paraId="14E93086"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Kafshët</w:t>
            </w:r>
          </w:p>
        </w:tc>
        <w:tc>
          <w:tcPr>
            <w:tcW w:w="2042" w:type="pct"/>
            <w:vAlign w:val="center"/>
          </w:tcPr>
          <w:p w14:paraId="50F72F3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Përdorimi i ujit (l/ditë)</w:t>
            </w:r>
          </w:p>
        </w:tc>
      </w:tr>
      <w:tr w:rsidR="00591820" w:rsidRPr="00445472" w14:paraId="75FD2271" w14:textId="77777777" w:rsidTr="00797DA7">
        <w:trPr>
          <w:trHeight w:val="360"/>
        </w:trPr>
        <w:tc>
          <w:tcPr>
            <w:tcW w:w="2958" w:type="pct"/>
            <w:shd w:val="clear" w:color="auto" w:fill="E6E6E6"/>
            <w:vAlign w:val="center"/>
          </w:tcPr>
          <w:p w14:paraId="5781F34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Bagëti</w:t>
            </w:r>
          </w:p>
        </w:tc>
        <w:tc>
          <w:tcPr>
            <w:tcW w:w="2042" w:type="pct"/>
            <w:shd w:val="clear" w:color="auto" w:fill="E6E6E6"/>
            <w:vAlign w:val="center"/>
          </w:tcPr>
          <w:p w14:paraId="2F5F4C4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r>
      <w:tr w:rsidR="00591820" w:rsidRPr="00445472" w14:paraId="60459EB5" w14:textId="77777777" w:rsidTr="00797DA7">
        <w:trPr>
          <w:trHeight w:val="360"/>
        </w:trPr>
        <w:tc>
          <w:tcPr>
            <w:tcW w:w="2958" w:type="pct"/>
            <w:vAlign w:val="center"/>
          </w:tcPr>
          <w:p w14:paraId="0B1F382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Lopë</w:t>
            </w:r>
          </w:p>
        </w:tc>
        <w:tc>
          <w:tcPr>
            <w:tcW w:w="2042" w:type="pct"/>
            <w:vAlign w:val="center"/>
          </w:tcPr>
          <w:p w14:paraId="47BAB1D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40</w:t>
            </w:r>
          </w:p>
        </w:tc>
      </w:tr>
      <w:tr w:rsidR="00591820" w:rsidRPr="00445472" w14:paraId="79D9C2E1" w14:textId="77777777" w:rsidTr="00797DA7">
        <w:trPr>
          <w:trHeight w:val="360"/>
        </w:trPr>
        <w:tc>
          <w:tcPr>
            <w:tcW w:w="2958" w:type="pct"/>
            <w:shd w:val="clear" w:color="auto" w:fill="E6E6E6"/>
            <w:vAlign w:val="center"/>
          </w:tcPr>
          <w:p w14:paraId="69E66D8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Dele/dhi</w:t>
            </w:r>
          </w:p>
        </w:tc>
        <w:tc>
          <w:tcPr>
            <w:tcW w:w="2042" w:type="pct"/>
            <w:shd w:val="clear" w:color="auto" w:fill="E6E6E6"/>
            <w:vAlign w:val="center"/>
          </w:tcPr>
          <w:p w14:paraId="4804C3D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5</w:t>
            </w:r>
          </w:p>
        </w:tc>
      </w:tr>
      <w:tr w:rsidR="00591820" w:rsidRPr="00445472" w14:paraId="41787110" w14:textId="77777777" w:rsidTr="00797DA7">
        <w:trPr>
          <w:trHeight w:val="360"/>
        </w:trPr>
        <w:tc>
          <w:tcPr>
            <w:tcW w:w="2958" w:type="pct"/>
            <w:vAlign w:val="center"/>
          </w:tcPr>
          <w:p w14:paraId="32161F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Dele/dhi që japin qumësht</w:t>
            </w:r>
          </w:p>
        </w:tc>
        <w:tc>
          <w:tcPr>
            <w:tcW w:w="2042" w:type="pct"/>
            <w:vAlign w:val="center"/>
          </w:tcPr>
          <w:p w14:paraId="15BAFC9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w:t>
            </w:r>
          </w:p>
        </w:tc>
      </w:tr>
      <w:tr w:rsidR="00591820" w:rsidRPr="00445472" w14:paraId="4D2DC827" w14:textId="77777777" w:rsidTr="00797DA7">
        <w:trPr>
          <w:trHeight w:val="360"/>
        </w:trPr>
        <w:tc>
          <w:tcPr>
            <w:tcW w:w="2958" w:type="pct"/>
            <w:shd w:val="clear" w:color="auto" w:fill="E6E6E6"/>
            <w:vAlign w:val="center"/>
          </w:tcPr>
          <w:p w14:paraId="44964E9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Derra</w:t>
            </w:r>
          </w:p>
        </w:tc>
        <w:tc>
          <w:tcPr>
            <w:tcW w:w="2042" w:type="pct"/>
            <w:shd w:val="clear" w:color="auto" w:fill="E6E6E6"/>
            <w:vAlign w:val="center"/>
          </w:tcPr>
          <w:p w14:paraId="555230F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5</w:t>
            </w:r>
          </w:p>
        </w:tc>
      </w:tr>
      <w:tr w:rsidR="00591820" w:rsidRPr="00445472" w14:paraId="17B05B41" w14:textId="77777777" w:rsidTr="00797DA7">
        <w:trPr>
          <w:trHeight w:val="360"/>
        </w:trPr>
        <w:tc>
          <w:tcPr>
            <w:tcW w:w="2958" w:type="pct"/>
            <w:vAlign w:val="center"/>
          </w:tcPr>
          <w:p w14:paraId="7064582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Kuaj</w:t>
            </w:r>
          </w:p>
        </w:tc>
        <w:tc>
          <w:tcPr>
            <w:tcW w:w="2042" w:type="pct"/>
            <w:vAlign w:val="center"/>
          </w:tcPr>
          <w:p w14:paraId="5495F3A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w:t>
            </w:r>
          </w:p>
        </w:tc>
      </w:tr>
      <w:tr w:rsidR="00591820" w:rsidRPr="00445472" w14:paraId="3D088866" w14:textId="77777777" w:rsidTr="00797DA7">
        <w:trPr>
          <w:trHeight w:val="360"/>
        </w:trPr>
        <w:tc>
          <w:tcPr>
            <w:tcW w:w="2958" w:type="pct"/>
            <w:shd w:val="clear" w:color="auto" w:fill="E6E6E6"/>
            <w:vAlign w:val="center"/>
          </w:tcPr>
          <w:p w14:paraId="63A9987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Shpendë</w:t>
            </w:r>
          </w:p>
        </w:tc>
        <w:tc>
          <w:tcPr>
            <w:tcW w:w="2042" w:type="pct"/>
            <w:shd w:val="clear" w:color="auto" w:fill="E6E6E6"/>
            <w:vAlign w:val="center"/>
          </w:tcPr>
          <w:p w14:paraId="7C49F9F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0.25</w:t>
            </w:r>
          </w:p>
        </w:tc>
      </w:tr>
    </w:tbl>
    <w:p w14:paraId="0B65861A" w14:textId="77777777" w:rsidR="00591820" w:rsidRPr="00445472" w:rsidRDefault="00591820" w:rsidP="00797DA7">
      <w:pPr>
        <w:pStyle w:val="TEKSTIIII"/>
      </w:pPr>
    </w:p>
    <w:p w14:paraId="50D64D24" w14:textId="77777777" w:rsidR="00591820" w:rsidRPr="00445472" w:rsidRDefault="00591820" w:rsidP="00797DA7">
      <w:pPr>
        <w:pStyle w:val="TEKSTIIII"/>
      </w:pPr>
      <w:r w:rsidRPr="00445472">
        <w:t>Bazuar në vlerat e lartpërmendura të njësisë, kërkesa e ujit të fermave ekzistuese të kafshëve është siç tregohet në Tabelën 11.4 më poshtë:</w:t>
      </w:r>
    </w:p>
    <w:p w14:paraId="485A32AC" w14:textId="77777777" w:rsidR="00591820" w:rsidRPr="00445472" w:rsidRDefault="00591820" w:rsidP="00797DA7">
      <w:pPr>
        <w:pStyle w:val="TEKSTIIII"/>
        <w:rPr>
          <w:bCs/>
        </w:rPr>
      </w:pPr>
    </w:p>
    <w:p w14:paraId="4756CD18" w14:textId="76592C7D" w:rsidR="00591820" w:rsidRPr="00445472" w:rsidRDefault="00591820" w:rsidP="00797DA7">
      <w:pPr>
        <w:pStyle w:val="NENTITULL"/>
      </w:pPr>
      <w:r w:rsidRPr="00445472">
        <w:t xml:space="preserve">Tabela 11.4: Përdorimi i ujit në fermat e kafshëve në Basenin Ujor </w:t>
      </w:r>
      <w:r w:rsidR="007E76E3" w:rsidRPr="00445472">
        <w:t>Drin–Bunë</w:t>
      </w:r>
      <w:r w:rsidRPr="00445472">
        <w:t>, 2015</w:t>
      </w:r>
    </w:p>
    <w:tbl>
      <w:tblPr>
        <w:tblW w:w="0" w:type="auto"/>
        <w:tblInd w:w="421" w:type="dxa"/>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2268"/>
        <w:gridCol w:w="1559"/>
        <w:gridCol w:w="709"/>
        <w:gridCol w:w="1559"/>
        <w:gridCol w:w="2268"/>
      </w:tblGrid>
      <w:tr w:rsidR="00591820" w:rsidRPr="00445472" w14:paraId="211569F5" w14:textId="77777777" w:rsidTr="002A1F08">
        <w:trPr>
          <w:trHeight w:val="340"/>
        </w:trPr>
        <w:tc>
          <w:tcPr>
            <w:tcW w:w="2268" w:type="dxa"/>
            <w:vAlign w:val="center"/>
          </w:tcPr>
          <w:p w14:paraId="6806FF09"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Kafshë</w:t>
            </w:r>
          </w:p>
        </w:tc>
        <w:tc>
          <w:tcPr>
            <w:tcW w:w="1559" w:type="dxa"/>
            <w:vAlign w:val="center"/>
          </w:tcPr>
          <w:p w14:paraId="6F72FCF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Nr. (000 krerë)</w:t>
            </w:r>
          </w:p>
        </w:tc>
        <w:tc>
          <w:tcPr>
            <w:tcW w:w="709" w:type="dxa"/>
            <w:vAlign w:val="center"/>
          </w:tcPr>
          <w:p w14:paraId="29609EBA"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L/ditë</w:t>
            </w:r>
          </w:p>
        </w:tc>
        <w:tc>
          <w:tcPr>
            <w:tcW w:w="1559" w:type="dxa"/>
            <w:vAlign w:val="center"/>
          </w:tcPr>
          <w:p w14:paraId="7AB6022F" w14:textId="77777777" w:rsidR="00591820" w:rsidRPr="00445472" w:rsidRDefault="00591820" w:rsidP="002A1F08">
            <w:pPr>
              <w:spacing w:after="22"/>
              <w:ind w:right="63"/>
              <w:jc w:val="center"/>
              <w:rPr>
                <w:rFonts w:ascii="Garamond" w:eastAsia="MS Mincho" w:hAnsi="Garamond" w:cs="Arial"/>
                <w:b/>
                <w:sz w:val="18"/>
                <w:szCs w:val="18"/>
              </w:rPr>
            </w:pPr>
            <w:r w:rsidRPr="00445472">
              <w:rPr>
                <w:rFonts w:ascii="Garamond" w:eastAsia="MS Mincho" w:hAnsi="Garamond" w:cs="Arial"/>
                <w:b/>
                <w:sz w:val="18"/>
                <w:szCs w:val="18"/>
              </w:rPr>
              <w:t>Totali 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/ditë</w:t>
            </w:r>
          </w:p>
        </w:tc>
        <w:tc>
          <w:tcPr>
            <w:tcW w:w="2268" w:type="dxa"/>
            <w:vAlign w:val="center"/>
          </w:tcPr>
          <w:p w14:paraId="337EC341" w14:textId="033766BA" w:rsidR="00591820" w:rsidRPr="00445472" w:rsidRDefault="00591820" w:rsidP="002A1F08">
            <w:pPr>
              <w:spacing w:before="22" w:after="22"/>
              <w:ind w:left="74" w:right="63"/>
              <w:jc w:val="center"/>
              <w:rPr>
                <w:rFonts w:ascii="Garamond" w:eastAsia="MS Mincho" w:hAnsi="Garamond" w:cs="Arial"/>
                <w:b/>
                <w:sz w:val="18"/>
                <w:szCs w:val="18"/>
              </w:rPr>
            </w:pPr>
            <w:r w:rsidRPr="00445472">
              <w:rPr>
                <w:rFonts w:ascii="Garamond" w:eastAsia="MS Mincho" w:hAnsi="Garamond" w:cs="Arial"/>
                <w:b/>
                <w:sz w:val="18"/>
                <w:szCs w:val="18"/>
              </w:rPr>
              <w:t>Përdorimi i ujit (m</w:t>
            </w:r>
            <w:r w:rsidRPr="00445472">
              <w:rPr>
                <w:rFonts w:ascii="Garamond" w:eastAsia="MS Mincho" w:hAnsi="Garamond" w:cs="Arial"/>
                <w:b/>
                <w:sz w:val="18"/>
                <w:szCs w:val="18"/>
                <w:vertAlign w:val="superscript"/>
              </w:rPr>
              <w:t>3</w:t>
            </w:r>
            <w:r w:rsidR="001D340B" w:rsidRPr="00445472">
              <w:rPr>
                <w:rFonts w:ascii="Garamond" w:eastAsia="MS Mincho" w:hAnsi="Garamond" w:cs="Arial"/>
                <w:b/>
                <w:sz w:val="18"/>
                <w:szCs w:val="18"/>
              </w:rPr>
              <w:t>/</w:t>
            </w:r>
            <w:r w:rsidRPr="00445472">
              <w:rPr>
                <w:rFonts w:ascii="Garamond" w:eastAsia="MS Mincho" w:hAnsi="Garamond" w:cs="Arial"/>
                <w:b/>
                <w:sz w:val="18"/>
                <w:szCs w:val="18"/>
              </w:rPr>
              <w:t>vit)</w:t>
            </w:r>
          </w:p>
        </w:tc>
      </w:tr>
      <w:tr w:rsidR="00591820" w:rsidRPr="00445472" w14:paraId="4A12E82D" w14:textId="77777777" w:rsidTr="002A1F08">
        <w:trPr>
          <w:trHeight w:val="340"/>
        </w:trPr>
        <w:tc>
          <w:tcPr>
            <w:tcW w:w="2268" w:type="dxa"/>
            <w:shd w:val="clear" w:color="auto" w:fill="E6E6E6"/>
            <w:vAlign w:val="center"/>
          </w:tcPr>
          <w:p w14:paraId="4D8EB19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Bagëti</w:t>
            </w:r>
          </w:p>
        </w:tc>
        <w:tc>
          <w:tcPr>
            <w:tcW w:w="1559" w:type="dxa"/>
            <w:shd w:val="clear" w:color="auto" w:fill="E6E6E6"/>
            <w:vAlign w:val="center"/>
          </w:tcPr>
          <w:p w14:paraId="763F188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208</w:t>
            </w:r>
          </w:p>
        </w:tc>
        <w:tc>
          <w:tcPr>
            <w:tcW w:w="709" w:type="dxa"/>
            <w:shd w:val="clear" w:color="auto" w:fill="E6E6E6"/>
            <w:vAlign w:val="center"/>
          </w:tcPr>
          <w:p w14:paraId="6D9C37B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c>
          <w:tcPr>
            <w:tcW w:w="1559" w:type="dxa"/>
            <w:shd w:val="clear" w:color="auto" w:fill="E6E6E6"/>
            <w:vAlign w:val="center"/>
          </w:tcPr>
          <w:p w14:paraId="1D11AD4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12,480</w:t>
            </w:r>
          </w:p>
        </w:tc>
        <w:tc>
          <w:tcPr>
            <w:tcW w:w="2268" w:type="dxa"/>
            <w:shd w:val="clear" w:color="auto" w:fill="E6E6E6"/>
            <w:vAlign w:val="center"/>
          </w:tcPr>
          <w:p w14:paraId="4A30B81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4,555,200</w:t>
            </w:r>
          </w:p>
        </w:tc>
      </w:tr>
      <w:tr w:rsidR="00591820" w:rsidRPr="00445472" w14:paraId="7F26F568" w14:textId="77777777" w:rsidTr="002A1F08">
        <w:trPr>
          <w:trHeight w:val="340"/>
        </w:trPr>
        <w:tc>
          <w:tcPr>
            <w:tcW w:w="2268" w:type="dxa"/>
            <w:vAlign w:val="center"/>
          </w:tcPr>
          <w:p w14:paraId="5261EB6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Lopë</w:t>
            </w:r>
          </w:p>
        </w:tc>
        <w:tc>
          <w:tcPr>
            <w:tcW w:w="1559" w:type="dxa"/>
            <w:vAlign w:val="center"/>
          </w:tcPr>
          <w:p w14:paraId="11918FB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145</w:t>
            </w:r>
          </w:p>
        </w:tc>
        <w:tc>
          <w:tcPr>
            <w:tcW w:w="709" w:type="dxa"/>
            <w:vAlign w:val="center"/>
          </w:tcPr>
          <w:p w14:paraId="18430E2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40</w:t>
            </w:r>
          </w:p>
        </w:tc>
        <w:tc>
          <w:tcPr>
            <w:tcW w:w="1559" w:type="dxa"/>
            <w:vAlign w:val="center"/>
          </w:tcPr>
          <w:p w14:paraId="5F831A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5,800</w:t>
            </w:r>
          </w:p>
        </w:tc>
        <w:tc>
          <w:tcPr>
            <w:tcW w:w="2268" w:type="dxa"/>
            <w:vAlign w:val="center"/>
          </w:tcPr>
          <w:p w14:paraId="43ADD73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2,117,000</w:t>
            </w:r>
          </w:p>
        </w:tc>
      </w:tr>
      <w:tr w:rsidR="00591820" w:rsidRPr="00445472" w14:paraId="7F14C73E" w14:textId="77777777" w:rsidTr="002A1F08">
        <w:trPr>
          <w:trHeight w:val="340"/>
        </w:trPr>
        <w:tc>
          <w:tcPr>
            <w:tcW w:w="2268" w:type="dxa"/>
            <w:shd w:val="clear" w:color="auto" w:fill="E6E6E6"/>
            <w:vAlign w:val="center"/>
          </w:tcPr>
          <w:p w14:paraId="14A1841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Dele</w:t>
            </w:r>
          </w:p>
        </w:tc>
        <w:tc>
          <w:tcPr>
            <w:tcW w:w="1559" w:type="dxa"/>
            <w:shd w:val="clear" w:color="auto" w:fill="E6E6E6"/>
            <w:vAlign w:val="center"/>
          </w:tcPr>
          <w:p w14:paraId="1355B3E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452</w:t>
            </w:r>
          </w:p>
        </w:tc>
        <w:tc>
          <w:tcPr>
            <w:tcW w:w="709" w:type="dxa"/>
            <w:shd w:val="clear" w:color="auto" w:fill="E6E6E6"/>
            <w:vAlign w:val="center"/>
          </w:tcPr>
          <w:p w14:paraId="59E2C82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5</w:t>
            </w:r>
          </w:p>
        </w:tc>
        <w:tc>
          <w:tcPr>
            <w:tcW w:w="1559" w:type="dxa"/>
            <w:shd w:val="clear" w:color="auto" w:fill="E6E6E6"/>
            <w:vAlign w:val="center"/>
          </w:tcPr>
          <w:p w14:paraId="6C25855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2,260</w:t>
            </w:r>
          </w:p>
        </w:tc>
        <w:tc>
          <w:tcPr>
            <w:tcW w:w="2268" w:type="dxa"/>
            <w:shd w:val="clear" w:color="auto" w:fill="E6E6E6"/>
            <w:vAlign w:val="center"/>
          </w:tcPr>
          <w:p w14:paraId="767845A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824,900</w:t>
            </w:r>
          </w:p>
        </w:tc>
      </w:tr>
      <w:tr w:rsidR="00591820" w:rsidRPr="00445472" w14:paraId="4EF4E0F9" w14:textId="77777777" w:rsidTr="002A1F08">
        <w:trPr>
          <w:trHeight w:val="340"/>
        </w:trPr>
        <w:tc>
          <w:tcPr>
            <w:tcW w:w="2268" w:type="dxa"/>
            <w:vAlign w:val="center"/>
          </w:tcPr>
          <w:p w14:paraId="5B2CA2E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Dele që japin qumësht</w:t>
            </w:r>
          </w:p>
        </w:tc>
        <w:tc>
          <w:tcPr>
            <w:tcW w:w="1559" w:type="dxa"/>
            <w:vAlign w:val="center"/>
          </w:tcPr>
          <w:p w14:paraId="5A72BB8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350</w:t>
            </w:r>
          </w:p>
        </w:tc>
        <w:tc>
          <w:tcPr>
            <w:tcW w:w="709" w:type="dxa"/>
            <w:vAlign w:val="center"/>
          </w:tcPr>
          <w:p w14:paraId="7E921A8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w:t>
            </w:r>
          </w:p>
        </w:tc>
        <w:tc>
          <w:tcPr>
            <w:tcW w:w="1559" w:type="dxa"/>
            <w:vAlign w:val="center"/>
          </w:tcPr>
          <w:p w14:paraId="461105C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3,500</w:t>
            </w:r>
          </w:p>
        </w:tc>
        <w:tc>
          <w:tcPr>
            <w:tcW w:w="2268" w:type="dxa"/>
            <w:vAlign w:val="center"/>
          </w:tcPr>
          <w:p w14:paraId="1618C2C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1,277,500</w:t>
            </w:r>
          </w:p>
        </w:tc>
      </w:tr>
      <w:tr w:rsidR="00591820" w:rsidRPr="00445472" w14:paraId="34989301" w14:textId="77777777" w:rsidTr="002A1F08">
        <w:trPr>
          <w:trHeight w:val="340"/>
        </w:trPr>
        <w:tc>
          <w:tcPr>
            <w:tcW w:w="2268" w:type="dxa"/>
            <w:shd w:val="clear" w:color="auto" w:fill="E6E6E6"/>
            <w:vAlign w:val="center"/>
          </w:tcPr>
          <w:p w14:paraId="23678F6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Dhi</w:t>
            </w:r>
          </w:p>
        </w:tc>
        <w:tc>
          <w:tcPr>
            <w:tcW w:w="1559" w:type="dxa"/>
            <w:shd w:val="clear" w:color="auto" w:fill="E6E6E6"/>
            <w:vAlign w:val="center"/>
          </w:tcPr>
          <w:p w14:paraId="56F4CE7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306</w:t>
            </w:r>
          </w:p>
        </w:tc>
        <w:tc>
          <w:tcPr>
            <w:tcW w:w="709" w:type="dxa"/>
            <w:shd w:val="clear" w:color="auto" w:fill="E6E6E6"/>
            <w:vAlign w:val="center"/>
          </w:tcPr>
          <w:p w14:paraId="08A25F1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5</w:t>
            </w:r>
          </w:p>
        </w:tc>
        <w:tc>
          <w:tcPr>
            <w:tcW w:w="1559" w:type="dxa"/>
            <w:shd w:val="clear" w:color="auto" w:fill="E6E6E6"/>
            <w:vAlign w:val="center"/>
          </w:tcPr>
          <w:p w14:paraId="58279CD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1,530</w:t>
            </w:r>
          </w:p>
        </w:tc>
        <w:tc>
          <w:tcPr>
            <w:tcW w:w="2268" w:type="dxa"/>
            <w:shd w:val="clear" w:color="auto" w:fill="E6E6E6"/>
            <w:vAlign w:val="center"/>
          </w:tcPr>
          <w:p w14:paraId="02B9FFD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558,450</w:t>
            </w:r>
          </w:p>
        </w:tc>
      </w:tr>
      <w:tr w:rsidR="00591820" w:rsidRPr="00445472" w14:paraId="3F3267F9" w14:textId="77777777" w:rsidTr="002A1F08">
        <w:trPr>
          <w:trHeight w:val="340"/>
        </w:trPr>
        <w:tc>
          <w:tcPr>
            <w:tcW w:w="2268" w:type="dxa"/>
            <w:vAlign w:val="center"/>
          </w:tcPr>
          <w:p w14:paraId="5C4C542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Dhi që japin qumësht</w:t>
            </w:r>
          </w:p>
        </w:tc>
        <w:tc>
          <w:tcPr>
            <w:tcW w:w="1559" w:type="dxa"/>
            <w:vAlign w:val="center"/>
          </w:tcPr>
          <w:p w14:paraId="7745FF6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228</w:t>
            </w:r>
          </w:p>
        </w:tc>
        <w:tc>
          <w:tcPr>
            <w:tcW w:w="709" w:type="dxa"/>
            <w:vAlign w:val="center"/>
          </w:tcPr>
          <w:p w14:paraId="536460C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w:t>
            </w:r>
          </w:p>
        </w:tc>
        <w:tc>
          <w:tcPr>
            <w:tcW w:w="1559" w:type="dxa"/>
            <w:vAlign w:val="center"/>
          </w:tcPr>
          <w:p w14:paraId="4CE148B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2,280</w:t>
            </w:r>
          </w:p>
        </w:tc>
        <w:tc>
          <w:tcPr>
            <w:tcW w:w="2268" w:type="dxa"/>
            <w:vAlign w:val="center"/>
          </w:tcPr>
          <w:p w14:paraId="79AEBA6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832,200</w:t>
            </w:r>
          </w:p>
        </w:tc>
      </w:tr>
      <w:tr w:rsidR="00591820" w:rsidRPr="00445472" w14:paraId="0DC6B66A" w14:textId="77777777" w:rsidTr="002A1F08">
        <w:trPr>
          <w:trHeight w:val="340"/>
        </w:trPr>
        <w:tc>
          <w:tcPr>
            <w:tcW w:w="2268" w:type="dxa"/>
            <w:shd w:val="clear" w:color="auto" w:fill="E6E6E6"/>
            <w:vAlign w:val="center"/>
          </w:tcPr>
          <w:p w14:paraId="0BCB91D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Derra</w:t>
            </w:r>
          </w:p>
        </w:tc>
        <w:tc>
          <w:tcPr>
            <w:tcW w:w="1559" w:type="dxa"/>
            <w:shd w:val="clear" w:color="auto" w:fill="E6E6E6"/>
            <w:vAlign w:val="center"/>
          </w:tcPr>
          <w:p w14:paraId="1BA71C3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123</w:t>
            </w:r>
          </w:p>
        </w:tc>
        <w:tc>
          <w:tcPr>
            <w:tcW w:w="709" w:type="dxa"/>
            <w:shd w:val="clear" w:color="auto" w:fill="E6E6E6"/>
            <w:vAlign w:val="center"/>
          </w:tcPr>
          <w:p w14:paraId="74F2DA9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5</w:t>
            </w:r>
          </w:p>
        </w:tc>
        <w:tc>
          <w:tcPr>
            <w:tcW w:w="1559" w:type="dxa"/>
            <w:shd w:val="clear" w:color="auto" w:fill="E6E6E6"/>
            <w:vAlign w:val="center"/>
          </w:tcPr>
          <w:p w14:paraId="23B81CC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615</w:t>
            </w:r>
          </w:p>
        </w:tc>
        <w:tc>
          <w:tcPr>
            <w:tcW w:w="2268" w:type="dxa"/>
            <w:shd w:val="clear" w:color="auto" w:fill="E6E6E6"/>
            <w:vAlign w:val="center"/>
          </w:tcPr>
          <w:p w14:paraId="693412E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224,475</w:t>
            </w:r>
          </w:p>
        </w:tc>
      </w:tr>
      <w:tr w:rsidR="00591820" w:rsidRPr="00445472" w14:paraId="158654CE" w14:textId="77777777" w:rsidTr="002A1F08">
        <w:trPr>
          <w:trHeight w:val="340"/>
        </w:trPr>
        <w:tc>
          <w:tcPr>
            <w:tcW w:w="2268" w:type="dxa"/>
            <w:vAlign w:val="center"/>
          </w:tcPr>
          <w:p w14:paraId="1B50A959" w14:textId="27C25F52" w:rsidR="00591820" w:rsidRPr="00445472" w:rsidRDefault="00A434CA"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Një</w:t>
            </w:r>
            <w:r w:rsidR="00591820" w:rsidRPr="00445472">
              <w:rPr>
                <w:rFonts w:ascii="Garamond" w:eastAsia="MS Mincho" w:hAnsi="Garamond" w:cs="Arial"/>
                <w:sz w:val="18"/>
                <w:szCs w:val="18"/>
              </w:rPr>
              <w:t>thundrrakë</w:t>
            </w:r>
          </w:p>
        </w:tc>
        <w:tc>
          <w:tcPr>
            <w:tcW w:w="1559" w:type="dxa"/>
            <w:vAlign w:val="center"/>
          </w:tcPr>
          <w:p w14:paraId="007D6E9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w:t>
            </w:r>
          </w:p>
        </w:tc>
        <w:tc>
          <w:tcPr>
            <w:tcW w:w="709" w:type="dxa"/>
            <w:vAlign w:val="center"/>
          </w:tcPr>
          <w:p w14:paraId="67082D4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w:t>
            </w:r>
          </w:p>
        </w:tc>
        <w:tc>
          <w:tcPr>
            <w:tcW w:w="1559" w:type="dxa"/>
            <w:vAlign w:val="center"/>
          </w:tcPr>
          <w:p w14:paraId="3FBD22B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1,050</w:t>
            </w:r>
          </w:p>
        </w:tc>
        <w:tc>
          <w:tcPr>
            <w:tcW w:w="2268" w:type="dxa"/>
            <w:vAlign w:val="center"/>
          </w:tcPr>
          <w:p w14:paraId="55EA387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383,250</w:t>
            </w:r>
          </w:p>
        </w:tc>
      </w:tr>
      <w:tr w:rsidR="00591820" w:rsidRPr="00445472" w14:paraId="4AF088F4" w14:textId="77777777" w:rsidTr="002A1F08">
        <w:trPr>
          <w:trHeight w:val="340"/>
        </w:trPr>
        <w:tc>
          <w:tcPr>
            <w:tcW w:w="2268" w:type="dxa"/>
            <w:shd w:val="clear" w:color="auto" w:fill="E6E6E6"/>
            <w:vAlign w:val="center"/>
          </w:tcPr>
          <w:p w14:paraId="5D700F3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Shpendë</w:t>
            </w:r>
          </w:p>
        </w:tc>
        <w:tc>
          <w:tcPr>
            <w:tcW w:w="1559" w:type="dxa"/>
            <w:shd w:val="clear" w:color="auto" w:fill="E6E6E6"/>
            <w:vAlign w:val="center"/>
          </w:tcPr>
          <w:p w14:paraId="2F03B90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1,887</w:t>
            </w:r>
          </w:p>
        </w:tc>
        <w:tc>
          <w:tcPr>
            <w:tcW w:w="709" w:type="dxa"/>
            <w:shd w:val="clear" w:color="auto" w:fill="E6E6E6"/>
            <w:vAlign w:val="center"/>
          </w:tcPr>
          <w:p w14:paraId="3CDDD61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0.25</w:t>
            </w:r>
          </w:p>
        </w:tc>
        <w:tc>
          <w:tcPr>
            <w:tcW w:w="1559" w:type="dxa"/>
            <w:shd w:val="clear" w:color="auto" w:fill="E6E6E6"/>
            <w:vAlign w:val="center"/>
          </w:tcPr>
          <w:p w14:paraId="256A67E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472</w:t>
            </w:r>
          </w:p>
        </w:tc>
        <w:tc>
          <w:tcPr>
            <w:tcW w:w="2268" w:type="dxa"/>
            <w:shd w:val="clear" w:color="auto" w:fill="E6E6E6"/>
            <w:vAlign w:val="center"/>
          </w:tcPr>
          <w:p w14:paraId="7E20C9F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172,189</w:t>
            </w:r>
          </w:p>
        </w:tc>
      </w:tr>
    </w:tbl>
    <w:p w14:paraId="08C2E777" w14:textId="77777777" w:rsidR="00591820" w:rsidRPr="00445472" w:rsidRDefault="00591820" w:rsidP="00797DA7">
      <w:pPr>
        <w:pStyle w:val="TEKSTIIII"/>
      </w:pPr>
    </w:p>
    <w:p w14:paraId="38366625" w14:textId="364A0385" w:rsidR="00591820" w:rsidRPr="00445472" w:rsidRDefault="00797DA7" w:rsidP="00797DA7">
      <w:pPr>
        <w:pStyle w:val="NENTITULL"/>
      </w:pPr>
      <w:r w:rsidRPr="00445472">
        <w:t xml:space="preserve">11.2.1.2 </w:t>
      </w:r>
      <w:r w:rsidR="00591820" w:rsidRPr="00445472">
        <w:t>Përdorimi industrial i ujit</w:t>
      </w:r>
    </w:p>
    <w:p w14:paraId="19F96FD6" w14:textId="04CCE40C" w:rsidR="00591820" w:rsidRPr="00445472" w:rsidRDefault="00591820" w:rsidP="00797DA7">
      <w:pPr>
        <w:pStyle w:val="TEKSTIIII"/>
      </w:pPr>
      <w:r w:rsidRPr="00445472">
        <w:t>Uji i përdorur në sektorin industrial</w:t>
      </w:r>
      <w:r w:rsidR="001D340B" w:rsidRPr="00445472">
        <w:t>/</w:t>
      </w:r>
      <w:r w:rsidRPr="00445472">
        <w:t>komercial</w:t>
      </w:r>
      <w:r w:rsidR="001D340B" w:rsidRPr="00445472">
        <w:t>/</w:t>
      </w:r>
      <w:r w:rsidRPr="00445472">
        <w:t>institucional (IKI) është gjithashtu për qëllime teknologjike dhe higjienike. Mund të jetë ujë industrial jo i pijshëm ose ujë i pijshëm dhe mund të furnizohet nga ndërmarrjet e shërbimeve të ujit ose i prodhuar në bazë të vetëshërbimit.</w:t>
      </w:r>
    </w:p>
    <w:p w14:paraId="114428C8" w14:textId="77777777" w:rsidR="00591820" w:rsidRPr="00445472" w:rsidRDefault="00591820" w:rsidP="00797DA7">
      <w:pPr>
        <w:pStyle w:val="TEKSTIIII"/>
      </w:pPr>
      <w:r w:rsidRPr="00445472">
        <w:t>Ekzistojnë të dhëna shumë të kufizuara për të vlerësuar ndikimin ekonomik të këtij uji në lidhje me qarkullimin vjetor, të ardhurat dhe punësimin e sektorit IKI. Në këtë rast të dhënat e vetme në dispozicion për të vlerësuar ndikimin janë referimi i numrit të kompanive të regjistruara dhe sasisë vjetore të ujit të furnizuar nga shërbimet e ujësjellësit. Shifrat janë paraqitur në Tabelën 11.5 më poshtë:</w:t>
      </w:r>
    </w:p>
    <w:p w14:paraId="7EDD316E" w14:textId="5075DD5B" w:rsidR="00591820" w:rsidRPr="00445472" w:rsidRDefault="00591820" w:rsidP="00797DA7">
      <w:pPr>
        <w:pStyle w:val="NENTITULL"/>
      </w:pPr>
    </w:p>
    <w:p w14:paraId="06BE52AF" w14:textId="4209670E" w:rsidR="00591820" w:rsidRPr="00445472" w:rsidRDefault="00591820" w:rsidP="00797DA7">
      <w:pPr>
        <w:pStyle w:val="NENTITULL"/>
      </w:pPr>
      <w:r w:rsidRPr="00445472">
        <w:t xml:space="preserve">Tabela 11.5: Ndërmarrjet aktive sipas qarqeve dhe formave ligjore në Basenin Ujor </w:t>
      </w:r>
      <w:r w:rsidR="007E76E3" w:rsidRPr="00445472">
        <w:t>Drin–Bunë</w:t>
      </w:r>
      <w:r w:rsidRPr="00445472">
        <w:t>, 2015</w:t>
      </w:r>
    </w:p>
    <w:tbl>
      <w:tblPr>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2672"/>
        <w:gridCol w:w="2802"/>
        <w:gridCol w:w="3607"/>
      </w:tblGrid>
      <w:tr w:rsidR="00591820" w:rsidRPr="00445472" w14:paraId="2BC16842" w14:textId="77777777" w:rsidTr="00797DA7">
        <w:trPr>
          <w:trHeight w:val="469"/>
        </w:trPr>
        <w:tc>
          <w:tcPr>
            <w:tcW w:w="1471" w:type="pct"/>
            <w:shd w:val="clear" w:color="auto" w:fill="D9D9D9"/>
            <w:vAlign w:val="center"/>
          </w:tcPr>
          <w:p w14:paraId="4E76B1A8"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Qarku</w:t>
            </w:r>
          </w:p>
        </w:tc>
        <w:tc>
          <w:tcPr>
            <w:tcW w:w="1543" w:type="pct"/>
            <w:shd w:val="clear" w:color="auto" w:fill="D9D9D9"/>
            <w:vAlign w:val="center"/>
          </w:tcPr>
          <w:p w14:paraId="3A8A48B5"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Fermerë</w:t>
            </w:r>
          </w:p>
        </w:tc>
        <w:tc>
          <w:tcPr>
            <w:tcW w:w="1986" w:type="pct"/>
            <w:shd w:val="clear" w:color="auto" w:fill="D9D9D9"/>
            <w:vAlign w:val="center"/>
          </w:tcPr>
          <w:p w14:paraId="661416F3"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Kompani</w:t>
            </w:r>
          </w:p>
        </w:tc>
      </w:tr>
      <w:tr w:rsidR="00591820" w:rsidRPr="00445472" w14:paraId="6B419202" w14:textId="77777777" w:rsidTr="00797DA7">
        <w:trPr>
          <w:trHeight w:val="340"/>
        </w:trPr>
        <w:tc>
          <w:tcPr>
            <w:tcW w:w="1471" w:type="pct"/>
            <w:shd w:val="clear" w:color="auto" w:fill="auto"/>
            <w:vAlign w:val="center"/>
          </w:tcPr>
          <w:p w14:paraId="35C968B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1543" w:type="pct"/>
            <w:shd w:val="clear" w:color="auto" w:fill="auto"/>
            <w:vAlign w:val="center"/>
          </w:tcPr>
          <w:p w14:paraId="0AC426C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w:t>
            </w:r>
          </w:p>
        </w:tc>
        <w:tc>
          <w:tcPr>
            <w:tcW w:w="1986" w:type="pct"/>
            <w:shd w:val="clear" w:color="auto" w:fill="auto"/>
            <w:vAlign w:val="center"/>
          </w:tcPr>
          <w:p w14:paraId="22106D6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545</w:t>
            </w:r>
          </w:p>
        </w:tc>
      </w:tr>
      <w:tr w:rsidR="00591820" w:rsidRPr="00445472" w14:paraId="7FC7FA6C" w14:textId="77777777" w:rsidTr="00797DA7">
        <w:trPr>
          <w:trHeight w:val="340"/>
        </w:trPr>
        <w:tc>
          <w:tcPr>
            <w:tcW w:w="1471" w:type="pct"/>
            <w:shd w:val="clear" w:color="auto" w:fill="E6E6E6"/>
            <w:vAlign w:val="center"/>
          </w:tcPr>
          <w:p w14:paraId="4D8B3A2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Korçë</w:t>
            </w:r>
          </w:p>
        </w:tc>
        <w:tc>
          <w:tcPr>
            <w:tcW w:w="1543" w:type="pct"/>
            <w:shd w:val="clear" w:color="auto" w:fill="E6E6E6"/>
            <w:vAlign w:val="center"/>
          </w:tcPr>
          <w:p w14:paraId="7142EBD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1,177</w:t>
            </w:r>
          </w:p>
        </w:tc>
        <w:tc>
          <w:tcPr>
            <w:tcW w:w="1986" w:type="pct"/>
            <w:shd w:val="clear" w:color="auto" w:fill="E6E6E6"/>
            <w:vAlign w:val="center"/>
          </w:tcPr>
          <w:p w14:paraId="2F5F8D9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316</w:t>
            </w:r>
          </w:p>
        </w:tc>
      </w:tr>
      <w:tr w:rsidR="00591820" w:rsidRPr="00445472" w14:paraId="1891A122" w14:textId="77777777" w:rsidTr="00797DA7">
        <w:trPr>
          <w:trHeight w:val="340"/>
        </w:trPr>
        <w:tc>
          <w:tcPr>
            <w:tcW w:w="1471" w:type="pct"/>
            <w:vAlign w:val="center"/>
          </w:tcPr>
          <w:p w14:paraId="35DF0B4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1543" w:type="pct"/>
            <w:vAlign w:val="center"/>
          </w:tcPr>
          <w:p w14:paraId="48BF869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88</w:t>
            </w:r>
          </w:p>
        </w:tc>
        <w:tc>
          <w:tcPr>
            <w:tcW w:w="1986" w:type="pct"/>
            <w:vAlign w:val="center"/>
          </w:tcPr>
          <w:p w14:paraId="769A4D3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368</w:t>
            </w:r>
          </w:p>
        </w:tc>
      </w:tr>
      <w:tr w:rsidR="00591820" w:rsidRPr="00445472" w14:paraId="21282909" w14:textId="77777777" w:rsidTr="00797DA7">
        <w:trPr>
          <w:trHeight w:val="340"/>
        </w:trPr>
        <w:tc>
          <w:tcPr>
            <w:tcW w:w="1471" w:type="pct"/>
            <w:shd w:val="clear" w:color="auto" w:fill="E6E6E6"/>
            <w:vAlign w:val="center"/>
          </w:tcPr>
          <w:p w14:paraId="25DF60F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1543" w:type="pct"/>
            <w:shd w:val="clear" w:color="auto" w:fill="E6E6E6"/>
            <w:vAlign w:val="center"/>
          </w:tcPr>
          <w:p w14:paraId="0597550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378</w:t>
            </w:r>
          </w:p>
        </w:tc>
        <w:tc>
          <w:tcPr>
            <w:tcW w:w="1986" w:type="pct"/>
            <w:shd w:val="clear" w:color="auto" w:fill="E6E6E6"/>
            <w:vAlign w:val="center"/>
          </w:tcPr>
          <w:p w14:paraId="19A670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824</w:t>
            </w:r>
          </w:p>
        </w:tc>
      </w:tr>
      <w:tr w:rsidR="00591820" w:rsidRPr="00445472" w14:paraId="2472140A" w14:textId="77777777" w:rsidTr="00797DA7">
        <w:trPr>
          <w:trHeight w:val="340"/>
        </w:trPr>
        <w:tc>
          <w:tcPr>
            <w:tcW w:w="1471" w:type="pct"/>
            <w:vAlign w:val="center"/>
          </w:tcPr>
          <w:p w14:paraId="1CBAF49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1543" w:type="pct"/>
            <w:vAlign w:val="center"/>
          </w:tcPr>
          <w:p w14:paraId="4B46392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2,275</w:t>
            </w:r>
          </w:p>
        </w:tc>
        <w:tc>
          <w:tcPr>
            <w:tcW w:w="1986" w:type="pct"/>
            <w:vAlign w:val="center"/>
          </w:tcPr>
          <w:p w14:paraId="600B16A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1,571</w:t>
            </w:r>
          </w:p>
        </w:tc>
      </w:tr>
    </w:tbl>
    <w:p w14:paraId="47777CA7" w14:textId="77777777" w:rsidR="00591820" w:rsidRPr="00445472" w:rsidRDefault="00591820" w:rsidP="00797DA7">
      <w:pPr>
        <w:pStyle w:val="TEKSTIIII"/>
      </w:pPr>
    </w:p>
    <w:p w14:paraId="4DF5F546" w14:textId="3AB4D378" w:rsidR="00591820" w:rsidRPr="00445472" w:rsidRDefault="00591820" w:rsidP="00797DA7">
      <w:pPr>
        <w:pStyle w:val="TEKSTIIII"/>
      </w:pPr>
      <w:r w:rsidRPr="00445472">
        <w:t>Vëllimi i ujit industrial, komercial dhe institucional (IKI) u vlerësua duke marrë parasysh të dhënat e ofruara nga ndërmarrjet lokale</w:t>
      </w:r>
      <w:r w:rsidR="001D340B" w:rsidRPr="00445472">
        <w:t>/</w:t>
      </w:r>
      <w:r w:rsidRPr="00445472">
        <w:t>rajonale të ujësjellësit dhe duke iu referuar furnizimit me ujë të pijshëm. Nuk kishte të dhëna të besueshme për përdorimin e ujit të pijshëm dhe për ujin e vetë-shërbyer.</w:t>
      </w:r>
    </w:p>
    <w:p w14:paraId="6FCF59C4" w14:textId="66CF91CC" w:rsidR="00591820" w:rsidRPr="00445472" w:rsidRDefault="00591820" w:rsidP="00797DA7">
      <w:pPr>
        <w:pStyle w:val="TEKSTIIII"/>
      </w:pPr>
      <w:r w:rsidRPr="00445472">
        <w:t xml:space="preserve">Sipas këtyre të dhënave, në Basenin Ujor </w:t>
      </w:r>
      <w:r w:rsidR="007E76E3" w:rsidRPr="00445472">
        <w:t>Drin–Bunë</w:t>
      </w:r>
      <w:r w:rsidRPr="00445472">
        <w:t xml:space="preserve"> konsumi vjetor i ujit IKI në vitin 2015 ishte 705,000 m</w:t>
      </w:r>
      <w:r w:rsidRPr="00445472">
        <w:rPr>
          <w:position w:val="6"/>
          <w:sz w:val="13"/>
        </w:rPr>
        <w:t xml:space="preserve">3 </w:t>
      </w:r>
      <w:r w:rsidRPr="00445472">
        <w:t>për sektorin industrial dhe komercial,</w:t>
      </w:r>
      <w:r w:rsidR="00A434CA" w:rsidRPr="00445472">
        <w:t xml:space="preserve"> </w:t>
      </w:r>
      <w:r w:rsidRPr="00445472">
        <w:t>842,000 m</w:t>
      </w:r>
      <w:r w:rsidRPr="00445472">
        <w:rPr>
          <w:position w:val="6"/>
          <w:sz w:val="13"/>
        </w:rPr>
        <w:t xml:space="preserve">3 </w:t>
      </w:r>
      <w:r w:rsidRPr="00445472">
        <w:t>për institucionet dhe gjithsej 1,547,000 m</w:t>
      </w:r>
      <w:r w:rsidRPr="00445472">
        <w:rPr>
          <w:position w:val="6"/>
          <w:sz w:val="13"/>
        </w:rPr>
        <w:t>3</w:t>
      </w:r>
      <w:r w:rsidRPr="00445472">
        <w:t>.</w:t>
      </w:r>
    </w:p>
    <w:p w14:paraId="05C71204" w14:textId="6682E8C8" w:rsidR="00591820" w:rsidRPr="00445472" w:rsidRDefault="00797DA7" w:rsidP="006B283D">
      <w:pPr>
        <w:pStyle w:val="NENTITULL"/>
      </w:pPr>
      <w:r w:rsidRPr="00445472">
        <w:t>11.</w:t>
      </w:r>
      <w:r w:rsidR="006B283D" w:rsidRPr="00445472">
        <w:t xml:space="preserve">2.1.3 </w:t>
      </w:r>
      <w:r w:rsidR="00591820" w:rsidRPr="00445472">
        <w:t>Përdorimi shtëpiak i ujit</w:t>
      </w:r>
    </w:p>
    <w:p w14:paraId="410AE0BF" w14:textId="77777777" w:rsidR="00591820" w:rsidRPr="00445472" w:rsidRDefault="00591820" w:rsidP="00797DA7">
      <w:pPr>
        <w:pStyle w:val="TEKSTIIII"/>
      </w:pPr>
      <w:r w:rsidRPr="00445472">
        <w:t>Uji për përdorim shtëpiak është furnizuar nga kompanitë ekzistuese të shërbimeve të ujit ose është marrë nga burimet e veta (vetë-shërbimi).</w:t>
      </w:r>
    </w:p>
    <w:p w14:paraId="595CD4B0" w14:textId="603D2C60" w:rsidR="00591820" w:rsidRPr="00445472" w:rsidRDefault="00591820" w:rsidP="00797DA7">
      <w:pPr>
        <w:pStyle w:val="TEKSTIIII"/>
      </w:pPr>
      <w:r w:rsidRPr="00445472">
        <w:t xml:space="preserve">Vlerësimet e përdorimit </w:t>
      </w:r>
      <w:r w:rsidR="00A434CA" w:rsidRPr="00445472">
        <w:t>shtëpiak</w:t>
      </w:r>
      <w:r w:rsidRPr="00445472">
        <w:t xml:space="preserve"> të ujit u llogaritën duke përdorur një normë konsumimi për frymë si për burimet e centralizuara dhe ato të vetë-shërbimit. Të dhënat e popullsisë të Censusit 2011 janë përdorur si shumëzues për njësi për vlerësimin e përdorimit shtëpiak të ujit.</w:t>
      </w:r>
    </w:p>
    <w:p w14:paraId="59584199" w14:textId="77777777" w:rsidR="00591820" w:rsidRPr="00445472" w:rsidRDefault="00591820" w:rsidP="00797DA7">
      <w:pPr>
        <w:pStyle w:val="TEKSTIIII"/>
      </w:pPr>
      <w:r w:rsidRPr="00445472">
        <w:t>Të dhënat e popullsisë së Censusit 2011 për qytetet kryesore në basenin ujor janë paraqitur në Tabelën 11.6 më poshtë.</w:t>
      </w:r>
    </w:p>
    <w:p w14:paraId="29D9665F" w14:textId="77777777" w:rsidR="00591820" w:rsidRPr="00445472" w:rsidRDefault="00591820" w:rsidP="006B283D">
      <w:pPr>
        <w:pStyle w:val="NENTITULL"/>
      </w:pPr>
    </w:p>
    <w:p w14:paraId="1439118C" w14:textId="147FABB4" w:rsidR="00591820" w:rsidRPr="00445472" w:rsidRDefault="00591820" w:rsidP="006B283D">
      <w:pPr>
        <w:pStyle w:val="NENTITULL"/>
      </w:pPr>
      <w:r w:rsidRPr="00445472">
        <w:t xml:space="preserve">Tabela 11.6: Të dhënat e popullsinë sipas Censusit 2011 në Basenin Ujor </w:t>
      </w:r>
      <w:r w:rsidR="007E76E3" w:rsidRPr="00445472">
        <w:t>Drin–Bunë</w:t>
      </w:r>
    </w:p>
    <w:tbl>
      <w:tblPr>
        <w:tblW w:w="5000" w:type="pct"/>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CellMar>
          <w:left w:w="0" w:type="dxa"/>
          <w:right w:w="0" w:type="dxa"/>
        </w:tblCellMar>
        <w:tblLook w:val="01E0" w:firstRow="1" w:lastRow="1" w:firstColumn="1" w:lastColumn="1" w:noHBand="0" w:noVBand="0"/>
      </w:tblPr>
      <w:tblGrid>
        <w:gridCol w:w="2141"/>
        <w:gridCol w:w="6940"/>
      </w:tblGrid>
      <w:tr w:rsidR="00591820" w:rsidRPr="00445472" w14:paraId="492DC84C" w14:textId="77777777" w:rsidTr="006B283D">
        <w:trPr>
          <w:trHeight w:val="548"/>
        </w:trPr>
        <w:tc>
          <w:tcPr>
            <w:tcW w:w="1179" w:type="pct"/>
            <w:vAlign w:val="center"/>
          </w:tcPr>
          <w:p w14:paraId="6C62E2D3" w14:textId="77777777" w:rsidR="00591820" w:rsidRPr="00445472" w:rsidRDefault="00591820" w:rsidP="002A1F08">
            <w:pPr>
              <w:spacing w:after="0"/>
              <w:ind w:right="63"/>
              <w:jc w:val="center"/>
              <w:rPr>
                <w:rFonts w:ascii="Garamond" w:eastAsia="MS Mincho" w:hAnsi="Garamond" w:cs="Arial"/>
                <w:b/>
                <w:sz w:val="18"/>
                <w:szCs w:val="18"/>
              </w:rPr>
            </w:pPr>
            <w:r w:rsidRPr="00445472">
              <w:rPr>
                <w:rFonts w:ascii="Garamond" w:eastAsia="MS Mincho" w:hAnsi="Garamond" w:cs="Arial"/>
                <w:b/>
                <w:sz w:val="18"/>
                <w:szCs w:val="18"/>
              </w:rPr>
              <w:t>Qarku</w:t>
            </w:r>
          </w:p>
        </w:tc>
        <w:tc>
          <w:tcPr>
            <w:tcW w:w="3821" w:type="pct"/>
            <w:vAlign w:val="center"/>
          </w:tcPr>
          <w:p w14:paraId="28A4B6FC" w14:textId="77777777" w:rsidR="00591820" w:rsidRPr="00445472" w:rsidRDefault="00591820" w:rsidP="002A1F08">
            <w:pPr>
              <w:spacing w:after="0"/>
              <w:ind w:right="63"/>
              <w:jc w:val="center"/>
              <w:rPr>
                <w:rFonts w:ascii="Garamond" w:eastAsia="MS Mincho" w:hAnsi="Garamond" w:cs="Arial"/>
                <w:b/>
                <w:sz w:val="18"/>
                <w:szCs w:val="18"/>
              </w:rPr>
            </w:pPr>
          </w:p>
          <w:p w14:paraId="520C9E9D" w14:textId="77777777" w:rsidR="00591820" w:rsidRPr="00445472" w:rsidRDefault="00591820" w:rsidP="002A1F08">
            <w:pPr>
              <w:spacing w:after="0"/>
              <w:ind w:right="63"/>
              <w:jc w:val="center"/>
              <w:rPr>
                <w:rFonts w:ascii="Garamond" w:eastAsia="MS Mincho" w:hAnsi="Garamond" w:cs="Arial"/>
                <w:b/>
                <w:sz w:val="18"/>
                <w:szCs w:val="18"/>
              </w:rPr>
            </w:pPr>
            <w:r w:rsidRPr="00445472">
              <w:rPr>
                <w:rFonts w:ascii="Garamond" w:eastAsia="MS Mincho" w:hAnsi="Garamond" w:cs="Arial"/>
                <w:b/>
                <w:sz w:val="18"/>
                <w:szCs w:val="18"/>
              </w:rPr>
              <w:t>Popullsia (Numri i banorëve)</w:t>
            </w:r>
          </w:p>
        </w:tc>
      </w:tr>
      <w:tr w:rsidR="00591820" w:rsidRPr="00445472" w14:paraId="30BB11D4" w14:textId="77777777" w:rsidTr="006B283D">
        <w:trPr>
          <w:trHeight w:val="340"/>
        </w:trPr>
        <w:tc>
          <w:tcPr>
            <w:tcW w:w="1179" w:type="pct"/>
            <w:shd w:val="clear" w:color="auto" w:fill="E6E6E6"/>
            <w:vAlign w:val="center"/>
          </w:tcPr>
          <w:p w14:paraId="7C69EE9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3821" w:type="pct"/>
            <w:shd w:val="clear" w:color="auto" w:fill="E6E6E6"/>
            <w:vAlign w:val="center"/>
          </w:tcPr>
          <w:p w14:paraId="06F2EEA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237,696</w:t>
            </w:r>
          </w:p>
        </w:tc>
      </w:tr>
      <w:tr w:rsidR="00591820" w:rsidRPr="00445472" w14:paraId="77CBB70D" w14:textId="77777777" w:rsidTr="006B283D">
        <w:trPr>
          <w:trHeight w:val="340"/>
        </w:trPr>
        <w:tc>
          <w:tcPr>
            <w:tcW w:w="1179" w:type="pct"/>
            <w:vAlign w:val="center"/>
          </w:tcPr>
          <w:p w14:paraId="13A7C79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3821" w:type="pct"/>
            <w:vAlign w:val="center"/>
          </w:tcPr>
          <w:p w14:paraId="26A0899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63,338</w:t>
            </w:r>
          </w:p>
        </w:tc>
      </w:tr>
      <w:tr w:rsidR="00591820" w:rsidRPr="00445472" w14:paraId="54807CF4" w14:textId="77777777" w:rsidTr="006B283D">
        <w:trPr>
          <w:trHeight w:val="340"/>
        </w:trPr>
        <w:tc>
          <w:tcPr>
            <w:tcW w:w="1179" w:type="pct"/>
            <w:shd w:val="clear" w:color="auto" w:fill="E6E6E6"/>
            <w:vAlign w:val="center"/>
          </w:tcPr>
          <w:p w14:paraId="5D3A735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3821" w:type="pct"/>
            <w:shd w:val="clear" w:color="auto" w:fill="E6E6E6"/>
            <w:vAlign w:val="center"/>
          </w:tcPr>
          <w:p w14:paraId="2666E58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46,895</w:t>
            </w:r>
          </w:p>
        </w:tc>
      </w:tr>
      <w:tr w:rsidR="00591820" w:rsidRPr="00445472" w14:paraId="5CA76E0C" w14:textId="77777777" w:rsidTr="006B283D">
        <w:trPr>
          <w:trHeight w:val="340"/>
        </w:trPr>
        <w:tc>
          <w:tcPr>
            <w:tcW w:w="1179" w:type="pct"/>
            <w:vAlign w:val="center"/>
          </w:tcPr>
          <w:p w14:paraId="604681B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3821" w:type="pct"/>
            <w:vAlign w:val="center"/>
          </w:tcPr>
          <w:p w14:paraId="0BEB4AF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35,000</w:t>
            </w:r>
          </w:p>
        </w:tc>
      </w:tr>
      <w:tr w:rsidR="00591820" w:rsidRPr="00445472" w14:paraId="6C1F2CD7" w14:textId="77777777" w:rsidTr="006B283D">
        <w:trPr>
          <w:trHeight w:val="340"/>
        </w:trPr>
        <w:tc>
          <w:tcPr>
            <w:tcW w:w="1179" w:type="pct"/>
            <w:shd w:val="clear" w:color="auto" w:fill="D9D9D9"/>
            <w:vAlign w:val="center"/>
          </w:tcPr>
          <w:p w14:paraId="1E35A26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Korçë</w:t>
            </w:r>
          </w:p>
        </w:tc>
        <w:tc>
          <w:tcPr>
            <w:tcW w:w="3821" w:type="pct"/>
            <w:shd w:val="clear" w:color="auto" w:fill="D9D9D9"/>
            <w:vAlign w:val="center"/>
          </w:tcPr>
          <w:p w14:paraId="0AA4B77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59,680</w:t>
            </w:r>
          </w:p>
        </w:tc>
      </w:tr>
    </w:tbl>
    <w:p w14:paraId="0308216E" w14:textId="77777777" w:rsidR="00591820" w:rsidRPr="00445472" w:rsidRDefault="00591820" w:rsidP="006B283D">
      <w:pPr>
        <w:pStyle w:val="TEKSTIIII"/>
      </w:pPr>
    </w:p>
    <w:p w14:paraId="69F72D09" w14:textId="25DC3E8F" w:rsidR="00591820" w:rsidRPr="00445472" w:rsidRDefault="00591820" w:rsidP="006B283D">
      <w:pPr>
        <w:pStyle w:val="TEKSTIIII"/>
      </w:pPr>
      <w:r w:rsidRPr="00445472">
        <w:t>Bazuar në të dhënat e Censusit 2011 dhe në shkallën e mbulimit të shërbimeve të ujit dhe konsumit për frymë të raportuar nga ndërmarrjet e ujësjellësit, konsumi vjetor shtëpiak nga burimet e centralizuara është 13,593,424</w:t>
      </w:r>
      <w:r w:rsidR="00A434CA" w:rsidRPr="00445472">
        <w:t xml:space="preserve"> </w:t>
      </w:r>
      <w:r w:rsidRPr="00445472">
        <w:t>m</w:t>
      </w:r>
      <w:r w:rsidRPr="00445472">
        <w:rPr>
          <w:vertAlign w:val="superscript"/>
        </w:rPr>
        <w:t>3</w:t>
      </w:r>
      <w:r w:rsidRPr="00445472">
        <w:rPr>
          <w:position w:val="6"/>
          <w:sz w:val="13"/>
        </w:rPr>
        <w:t xml:space="preserve"> </w:t>
      </w:r>
      <w:r w:rsidRPr="00445472">
        <w:t xml:space="preserve">në Basenin Ujor </w:t>
      </w:r>
      <w:r w:rsidR="007E76E3" w:rsidRPr="00445472">
        <w:t>Drin–Bunë</w:t>
      </w:r>
      <w:r w:rsidRPr="00445472">
        <w:t>.</w:t>
      </w:r>
    </w:p>
    <w:p w14:paraId="4A879554" w14:textId="77777777" w:rsidR="00591820" w:rsidRPr="00445472" w:rsidRDefault="00591820" w:rsidP="006B283D">
      <w:pPr>
        <w:pStyle w:val="TEKSTIIII"/>
      </w:pPr>
      <w:r w:rsidRPr="00445472">
        <w:t>Popullsia që nuk furnizohet me ujë nga burime të centralizuara ka qasje në burimet ujore në organizimet vetë-shërbim.</w:t>
      </w:r>
    </w:p>
    <w:p w14:paraId="4E7886F0" w14:textId="4881AA1F" w:rsidR="00591820" w:rsidRPr="00445472" w:rsidRDefault="00591820" w:rsidP="006B283D">
      <w:pPr>
        <w:pStyle w:val="TEKSTIIII"/>
      </w:pPr>
      <w:r w:rsidRPr="00445472">
        <w:t xml:space="preserve">Të dhënat mbi vetëshërbimet, të tilla si furnizimi privat me ujë dhe trajtimi i ujërave të ndotura (që përdorin gropa septike) janë të vështira për </w:t>
      </w:r>
      <w:r w:rsidR="00B139CF" w:rsidRPr="00445472">
        <w:t>t’u</w:t>
      </w:r>
      <w:r w:rsidRPr="00445472">
        <w:t xml:space="preserve"> identifikuar pasi nuk ekziston një grup të dhënash gjithëpërfshirëse në dispozicion për numrin e shërbimeve, </w:t>
      </w:r>
      <w:r w:rsidR="008E14CA" w:rsidRPr="00445472">
        <w:t>vendndodhje</w:t>
      </w:r>
      <w:r w:rsidRPr="00445472">
        <w:t>n, vëllimeve etj. Vlerësime janë bërë në bazë të popullsisë pa furnizim të centralizuar të ujit dhe konsumin mesatar të ujit (l/f/d) në qarkun e Basenit Ujor.</w:t>
      </w:r>
    </w:p>
    <w:p w14:paraId="00DD93B6" w14:textId="24F8615F" w:rsidR="00591820" w:rsidRPr="00445472" w:rsidRDefault="00591820" w:rsidP="006B283D">
      <w:pPr>
        <w:pStyle w:val="TEKSTIIII"/>
      </w:pPr>
      <w:r w:rsidRPr="00445472">
        <w:t xml:space="preserve">Në Basenin Ujor </w:t>
      </w:r>
      <w:r w:rsidR="007E76E3" w:rsidRPr="00445472">
        <w:t>Drin–Bunë</w:t>
      </w:r>
      <w:r w:rsidRPr="00445472">
        <w:t>, konsumi mesatar i ujit për frymë konsiderohet 96.65 l/c/d, dhe duke përdorur këtë vlerë, konsumi vjetor i ujit shtëpiak është llogaritur në 2,694,694 m</w:t>
      </w:r>
      <w:r w:rsidRPr="00445472">
        <w:rPr>
          <w:position w:val="6"/>
          <w:sz w:val="13"/>
        </w:rPr>
        <w:t>3</w:t>
      </w:r>
      <w:r w:rsidRPr="00445472">
        <w:t>.</w:t>
      </w:r>
    </w:p>
    <w:p w14:paraId="4F785D85" w14:textId="0ADB2097" w:rsidR="00591820" w:rsidRPr="00445472" w:rsidRDefault="00591820" w:rsidP="006B283D">
      <w:pPr>
        <w:pStyle w:val="TEKSTIIII"/>
      </w:pPr>
      <w:r w:rsidRPr="00445472">
        <w:t>Duke marrë parasysh të dhënat e mësipërme, struktura e përdorimit të ujit shtëpiak (SH) IKI mund të përfaqësohen siç tregohet në Figurën 11.1. Për shkak të aktivitetit të ulët industrial</w:t>
      </w:r>
      <w:r w:rsidR="001D340B" w:rsidRPr="00445472">
        <w:t>/</w:t>
      </w:r>
      <w:r w:rsidRPr="00445472">
        <w:t>komercial në basenin ujor, konsumi i ujit IKI është shumë më i vogël se konsumi shtëpiak. Ky fakt zvogëlon ndikimin ekonomik të ujit në rajon.</w:t>
      </w:r>
    </w:p>
    <w:p w14:paraId="57A89E31" w14:textId="77777777" w:rsidR="00591820" w:rsidRPr="00445472" w:rsidRDefault="00591820" w:rsidP="006B283D">
      <w:pPr>
        <w:pStyle w:val="TEKSTIIII"/>
      </w:pPr>
    </w:p>
    <w:p w14:paraId="7AC9B229" w14:textId="77777777" w:rsidR="00591820" w:rsidRPr="00445472" w:rsidRDefault="00591820" w:rsidP="00591820">
      <w:pPr>
        <w:tabs>
          <w:tab w:val="left" w:pos="1095"/>
        </w:tabs>
        <w:jc w:val="center"/>
        <w:rPr>
          <w:rFonts w:ascii="Garamond" w:hAnsi="Garamond"/>
          <w:b/>
          <w:sz w:val="12"/>
        </w:rPr>
      </w:pPr>
      <w:r w:rsidRPr="00445472">
        <w:rPr>
          <w:rFonts w:ascii="Garamond" w:hAnsi="Garamond"/>
          <w:b/>
          <w:noProof/>
          <w:sz w:val="12"/>
          <w:lang w:val="en-US"/>
        </w:rPr>
        <w:drawing>
          <wp:inline distT="0" distB="0" distL="0" distR="0" wp14:anchorId="1CD722BE" wp14:editId="003B57C1">
            <wp:extent cx="4635610" cy="2456953"/>
            <wp:effectExtent l="0" t="0" r="0" b="635"/>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639645" cy="2459092"/>
                    </a:xfrm>
                    <a:prstGeom prst="rect">
                      <a:avLst/>
                    </a:prstGeom>
                    <a:noFill/>
                    <a:ln>
                      <a:noFill/>
                    </a:ln>
                  </pic:spPr>
                </pic:pic>
              </a:graphicData>
            </a:graphic>
          </wp:inline>
        </w:drawing>
      </w:r>
    </w:p>
    <w:p w14:paraId="26C4D278" w14:textId="39DD0EA9" w:rsidR="00591820" w:rsidRPr="00445472" w:rsidRDefault="00591820" w:rsidP="006B283D">
      <w:pPr>
        <w:pStyle w:val="NENTITULL"/>
        <w:jc w:val="center"/>
      </w:pPr>
      <w:r w:rsidRPr="00445472">
        <w:t>Figura 11.1: Struktura e përdorimit të ujit (m</w:t>
      </w:r>
      <w:r w:rsidRPr="00445472">
        <w:rPr>
          <w:position w:val="7"/>
          <w:sz w:val="13"/>
        </w:rPr>
        <w:t>3</w:t>
      </w:r>
      <w:r w:rsidRPr="00445472">
        <w:t xml:space="preserve">/vit) në Basenin Ujor </w:t>
      </w:r>
      <w:r w:rsidR="007E76E3" w:rsidRPr="00445472">
        <w:t>Drin–Bunë</w:t>
      </w:r>
    </w:p>
    <w:p w14:paraId="67CB1DEF" w14:textId="77777777" w:rsidR="00591820" w:rsidRPr="00445472" w:rsidRDefault="00591820" w:rsidP="006B283D">
      <w:pPr>
        <w:pStyle w:val="TEKSTIIII"/>
      </w:pPr>
    </w:p>
    <w:p w14:paraId="76483994" w14:textId="095C71E6" w:rsidR="00591820" w:rsidRPr="00445472" w:rsidRDefault="006B283D" w:rsidP="006B283D">
      <w:pPr>
        <w:pStyle w:val="NENTITULL"/>
        <w:rPr>
          <w:sz w:val="23"/>
        </w:rPr>
      </w:pPr>
      <w:bookmarkStart w:id="232" w:name="_bookmark42"/>
      <w:bookmarkStart w:id="233" w:name="_Toc11068856"/>
      <w:bookmarkEnd w:id="232"/>
      <w:r w:rsidRPr="00445472">
        <w:t xml:space="preserve">11.2.2 </w:t>
      </w:r>
      <w:r w:rsidR="00591820" w:rsidRPr="00445472">
        <w:t>Përdorimi ujit sipërfaqësor</w:t>
      </w:r>
      <w:bookmarkEnd w:id="233"/>
    </w:p>
    <w:p w14:paraId="4BD5E836" w14:textId="77777777" w:rsidR="00591820" w:rsidRPr="00445472" w:rsidRDefault="00591820" w:rsidP="006B283D">
      <w:pPr>
        <w:pStyle w:val="NENTITULL"/>
      </w:pPr>
      <w:r w:rsidRPr="00445472">
        <w:t>Hidrocentralet</w:t>
      </w:r>
    </w:p>
    <w:p w14:paraId="683A4CC9" w14:textId="5A59BBA3" w:rsidR="00591820" w:rsidRPr="00445472" w:rsidRDefault="00591820" w:rsidP="006B283D">
      <w:pPr>
        <w:pStyle w:val="TEKSTIIII"/>
      </w:pPr>
      <w:r w:rsidRPr="00445472">
        <w:t xml:space="preserve">Shqipëria ka një potencial të lartë hidroenergjetik me më pak se 40% të përdorur deri më sot (Ministria përgjegjëse për energjinë). Vendi ka një kapacitet total të instaluar prej 1,466 </w:t>
      </w:r>
      <w:r w:rsidR="00A434CA" w:rsidRPr="00445472">
        <w:t>mw</w:t>
      </w:r>
      <w:r w:rsidRPr="00445472">
        <w:t xml:space="preserve"> dhe shënon një prodhim mesatar të hidrocentraleve prej 5,283 </w:t>
      </w:r>
      <w:r w:rsidR="00A434CA" w:rsidRPr="00445472">
        <w:t>gwh.</w:t>
      </w:r>
      <w:r w:rsidRPr="00445472">
        <w:t xml:space="preserve"> Rezervat totale hidroenergjetike mundësojnë instalimin e rrjetit elektrik 4.500</w:t>
      </w:r>
      <w:r w:rsidR="00A434CA" w:rsidRPr="00445472">
        <w:t xml:space="preserve"> mw </w:t>
      </w:r>
      <w:r w:rsidRPr="00445472">
        <w:t>dhe prodhimi i tij vjetor i energjisë elektrike mund të arrijë deri në 16</w:t>
      </w:r>
      <w:r w:rsidR="00A434CA" w:rsidRPr="00445472">
        <w:t xml:space="preserve"> twh.</w:t>
      </w:r>
      <w:r w:rsidRPr="00445472">
        <w:t xml:space="preserve"> Sipas AKBN-së, në përfundim të tre-mujorit të parë të vitit 2018, në Shqipëri ka pasur 197 kontrata koncesioni të lidhura për ndërtimin e 555 hidrocentraleve të vogla, nga të cilat 180 kontrata janë aktive, këto parashikojnë ndërtimin e 486 HEC-ve (17 kontrata u ndërprenë). Furnizimi potencial kombëtar i hidrocentraleve të HEC-ve </w:t>
      </w:r>
      <w:r w:rsidR="00D62EDF" w:rsidRPr="00445472">
        <w:t>“</w:t>
      </w:r>
      <w:r w:rsidRPr="00445472">
        <w:t>të lëshuara me koncesion</w:t>
      </w:r>
      <w:r w:rsidR="00D62EDF" w:rsidRPr="00445472">
        <w:t>”</w:t>
      </w:r>
      <w:r w:rsidRPr="00445472">
        <w:t xml:space="preserve"> është rreth 1,820 </w:t>
      </w:r>
      <w:r w:rsidR="00A434CA" w:rsidRPr="00445472">
        <w:t>mw</w:t>
      </w:r>
      <w:r w:rsidRPr="00445472">
        <w:t xml:space="preserve"> dhe prodhimi vjetor prej rreth 7,540 </w:t>
      </w:r>
      <w:r w:rsidR="00A434CA" w:rsidRPr="00445472">
        <w:t>gw</w:t>
      </w:r>
      <w:r w:rsidRPr="00445472">
        <w:t>h. Për 119 HEC-et të cilat nuk janë subjekt i koncesionit, kapaciteti i përgjithshëm i potencialit shkon deri n</w:t>
      </w:r>
      <w:r w:rsidR="00554D3B">
        <w:t>ë</w:t>
      </w:r>
      <w:r w:rsidRPr="00445472">
        <w:t xml:space="preserve"> 230 </w:t>
      </w:r>
      <w:r w:rsidR="00A434CA" w:rsidRPr="00445472">
        <w:t xml:space="preserve">mw </w:t>
      </w:r>
      <w:r w:rsidRPr="00445472">
        <w:t xml:space="preserve">dhe prodhimi vjetor do të jetë rreth 40 </w:t>
      </w:r>
      <w:r w:rsidR="00A434CA" w:rsidRPr="00445472">
        <w:t>gwh</w:t>
      </w:r>
      <w:r w:rsidRPr="00445472">
        <w:t xml:space="preserve">.    </w:t>
      </w:r>
    </w:p>
    <w:p w14:paraId="1FA0ADD0" w14:textId="1FCB64A8" w:rsidR="00591820" w:rsidRPr="00445472" w:rsidRDefault="00950A66" w:rsidP="006B283D">
      <w:pPr>
        <w:pStyle w:val="TEKSTIIII"/>
      </w:pPr>
      <w:r>
        <w:t>Në lumin Drin janë tri</w:t>
      </w:r>
      <w:r w:rsidR="00591820" w:rsidRPr="00445472">
        <w:t xml:space="preserve"> hidrocentrale të mëdhenj operacionale me një kapacitet total të instaluar prej 1350 </w:t>
      </w:r>
      <w:r w:rsidR="00A434CA" w:rsidRPr="00445472">
        <w:t>mw</w:t>
      </w:r>
      <w:r w:rsidR="00591820" w:rsidRPr="00445472">
        <w:t xml:space="preserve">, HEC </w:t>
      </w:r>
      <w:r w:rsidR="00D62EDF" w:rsidRPr="00445472">
        <w:t>“</w:t>
      </w:r>
      <w:r w:rsidR="00591820" w:rsidRPr="00445472">
        <w:t>Vau i Dejës</w:t>
      </w:r>
      <w:r w:rsidR="00D62EDF" w:rsidRPr="00445472">
        <w:t>”</w:t>
      </w:r>
      <w:r w:rsidR="00591820" w:rsidRPr="00445472">
        <w:t xml:space="preserve">, HEC </w:t>
      </w:r>
      <w:r w:rsidR="00D62EDF" w:rsidRPr="00445472">
        <w:t>“</w:t>
      </w:r>
      <w:r w:rsidR="00591820" w:rsidRPr="00445472">
        <w:t>Fierza</w:t>
      </w:r>
      <w:r w:rsidR="00D62EDF" w:rsidRPr="00445472">
        <w:t>”</w:t>
      </w:r>
      <w:r w:rsidR="00591820" w:rsidRPr="00445472">
        <w:t xml:space="preserve"> dhe HEC </w:t>
      </w:r>
      <w:r w:rsidR="00D62EDF" w:rsidRPr="00445472">
        <w:t>“</w:t>
      </w:r>
      <w:r w:rsidR="00591820" w:rsidRPr="00445472">
        <w:t>Koman</w:t>
      </w:r>
      <w:r w:rsidR="00D62EDF" w:rsidRPr="00445472">
        <w:t>”</w:t>
      </w:r>
      <w:r w:rsidR="00591820" w:rsidRPr="00445472">
        <w:t xml:space="preserve">. Një kontratë koncesioni është lidhur për hidrocentralin </w:t>
      </w:r>
      <w:r w:rsidR="00D62EDF" w:rsidRPr="00445472">
        <w:t>“</w:t>
      </w:r>
      <w:r w:rsidR="00591820" w:rsidRPr="00445472">
        <w:t>Ashta</w:t>
      </w:r>
      <w:r w:rsidR="00D62EDF" w:rsidRPr="00445472">
        <w:t>”</w:t>
      </w:r>
      <w:r w:rsidR="00591820" w:rsidRPr="00445472">
        <w:t xml:space="preserve"> në lumin Drin midis Ministrisë së Ekonomisë, Tregtisë dhe Energjetikës dhe kompanisë austriake </w:t>
      </w:r>
      <w:r w:rsidR="00D62EDF" w:rsidRPr="00445472">
        <w:t>“</w:t>
      </w:r>
      <w:r w:rsidR="00591820" w:rsidRPr="00445472">
        <w:t>Österreichische Elektrizitätsëirtschafts - Aktiengesellschaft</w:t>
      </w:r>
      <w:r w:rsidR="00D62EDF" w:rsidRPr="00445472">
        <w:t>”</w:t>
      </w:r>
      <w:r w:rsidR="00591820" w:rsidRPr="00445472">
        <w:t xml:space="preserve">, me një kapacitet të instaluar prej 48.2 </w:t>
      </w:r>
      <w:r w:rsidR="00A434CA" w:rsidRPr="00445472">
        <w:t>mw.</w:t>
      </w:r>
    </w:p>
    <w:p w14:paraId="7238C287" w14:textId="6539BC68" w:rsidR="00591820" w:rsidRPr="00445472" w:rsidRDefault="00591820" w:rsidP="006B283D">
      <w:pPr>
        <w:pStyle w:val="TEKSTIIII"/>
      </w:pPr>
      <w:r w:rsidRPr="00445472">
        <w:t>Ndikimi ekonomik i operimit të këtyre hidrocentraleve shprehet në vlerën monetare të energjisë së prodhuar. Çmimi njësi i energjisë është 9.5 Lek/</w:t>
      </w:r>
      <w:r w:rsidR="00A434CA" w:rsidRPr="00445472">
        <w:t>kw</w:t>
      </w:r>
      <w:r w:rsidRPr="00445472">
        <w:t>h, pa TVSH. Në këtë rast vlera mesatare vjetore e energjisë është 47,021,988,500 Lek (€343,263,777), siç tregohet në Tabelën 11.7.</w:t>
      </w:r>
    </w:p>
    <w:p w14:paraId="187F1A99" w14:textId="77777777" w:rsidR="00F015E8" w:rsidRPr="00445472" w:rsidRDefault="00F015E8" w:rsidP="006B283D">
      <w:pPr>
        <w:pStyle w:val="TEKSTIIII"/>
      </w:pPr>
    </w:p>
    <w:p w14:paraId="068B9734" w14:textId="34186289" w:rsidR="00591820" w:rsidRPr="00445472" w:rsidRDefault="00591820" w:rsidP="00F015E8">
      <w:pPr>
        <w:pStyle w:val="NENTITULL"/>
      </w:pPr>
      <w:r w:rsidRPr="00445472">
        <w:t xml:space="preserve">Tabela 11.7: Të ardhurat mesatare vjetore nga hidrocentralet në Basenin Ujor </w:t>
      </w:r>
      <w:r w:rsidR="007E76E3" w:rsidRPr="00445472">
        <w:t>Drin–Bunë</w:t>
      </w:r>
      <w:r w:rsidRPr="00445472">
        <w:rPr>
          <w:rStyle w:val="FootnoteReference"/>
          <w:rFonts w:ascii="Garamond" w:hAnsi="Garamond"/>
          <w:b w:val="0"/>
          <w:bCs/>
          <w:color w:val="auto"/>
        </w:rPr>
        <w:footnoteReference w:id="198"/>
      </w:r>
    </w:p>
    <w:tbl>
      <w:tblPr>
        <w:tblW w:w="0" w:type="auto"/>
        <w:tblInd w:w="117" w:type="dxa"/>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Layout w:type="fixed"/>
        <w:tblCellMar>
          <w:left w:w="0" w:type="dxa"/>
          <w:right w:w="0" w:type="dxa"/>
        </w:tblCellMar>
        <w:tblLook w:val="01E0" w:firstRow="1" w:lastRow="1" w:firstColumn="1" w:lastColumn="1" w:noHBand="0" w:noVBand="0"/>
      </w:tblPr>
      <w:tblGrid>
        <w:gridCol w:w="3260"/>
        <w:gridCol w:w="2369"/>
        <w:gridCol w:w="1789"/>
        <w:gridCol w:w="1800"/>
      </w:tblGrid>
      <w:tr w:rsidR="00591820" w:rsidRPr="00445472" w14:paraId="00C9C643" w14:textId="77777777" w:rsidTr="002A1F08">
        <w:trPr>
          <w:trHeight w:val="1160"/>
          <w:tblHeader/>
        </w:trPr>
        <w:tc>
          <w:tcPr>
            <w:tcW w:w="3260" w:type="dxa"/>
            <w:vAlign w:val="center"/>
          </w:tcPr>
          <w:p w14:paraId="34345792" w14:textId="7777777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Hidrocentralet</w:t>
            </w:r>
          </w:p>
        </w:tc>
        <w:tc>
          <w:tcPr>
            <w:tcW w:w="2369" w:type="dxa"/>
            <w:vAlign w:val="center"/>
          </w:tcPr>
          <w:p w14:paraId="57103FEC" w14:textId="77777777" w:rsidR="00591820" w:rsidRPr="00445472" w:rsidRDefault="00591820" w:rsidP="00F015E8">
            <w:pPr>
              <w:spacing w:after="0" w:line="240" w:lineRule="auto"/>
              <w:jc w:val="center"/>
              <w:rPr>
                <w:rFonts w:ascii="Garamond" w:eastAsia="MS Mincho" w:hAnsi="Garamond" w:cs="Arial"/>
                <w:b/>
                <w:sz w:val="18"/>
                <w:szCs w:val="18"/>
              </w:rPr>
            </w:pPr>
          </w:p>
          <w:p w14:paraId="2571304E" w14:textId="77777777" w:rsidR="00591820" w:rsidRPr="00445472" w:rsidRDefault="00591820" w:rsidP="00F015E8">
            <w:pPr>
              <w:spacing w:after="0" w:line="240" w:lineRule="auto"/>
              <w:jc w:val="center"/>
              <w:rPr>
                <w:rFonts w:ascii="Garamond" w:eastAsia="MS Mincho" w:hAnsi="Garamond" w:cs="Arial"/>
                <w:b/>
                <w:sz w:val="18"/>
                <w:szCs w:val="18"/>
              </w:rPr>
            </w:pPr>
          </w:p>
          <w:p w14:paraId="0256E593" w14:textId="7777777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 xml:space="preserve">Prodhimi mesatar vjetor </w:t>
            </w:r>
          </w:p>
          <w:p w14:paraId="5AB1E595" w14:textId="7DC2EFB8"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w:t>
            </w:r>
            <w:r w:rsidR="00A434CA" w:rsidRPr="00445472">
              <w:rPr>
                <w:rFonts w:ascii="Garamond" w:eastAsia="MS Mincho" w:hAnsi="Garamond" w:cs="Arial"/>
                <w:b/>
                <w:sz w:val="18"/>
                <w:szCs w:val="18"/>
              </w:rPr>
              <w:t>mwh</w:t>
            </w:r>
            <w:r w:rsidRPr="00445472">
              <w:rPr>
                <w:rFonts w:ascii="Garamond" w:eastAsia="MS Mincho" w:hAnsi="Garamond" w:cs="Arial"/>
                <w:b/>
                <w:sz w:val="18"/>
                <w:szCs w:val="18"/>
              </w:rPr>
              <w:t>)</w:t>
            </w:r>
          </w:p>
        </w:tc>
        <w:tc>
          <w:tcPr>
            <w:tcW w:w="1789" w:type="dxa"/>
            <w:vAlign w:val="center"/>
          </w:tcPr>
          <w:p w14:paraId="75C17346" w14:textId="63D681A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Të ardhurat mesatare vjetore nga energjia (</w:t>
            </w:r>
            <w:r w:rsidR="00A434CA" w:rsidRPr="00445472">
              <w:rPr>
                <w:rFonts w:ascii="Garamond" w:eastAsia="MS Mincho" w:hAnsi="Garamond" w:cs="Arial"/>
                <w:b/>
                <w:sz w:val="18"/>
                <w:szCs w:val="18"/>
              </w:rPr>
              <w:t>lek</w:t>
            </w:r>
            <w:r w:rsidRPr="00445472">
              <w:rPr>
                <w:rFonts w:ascii="Garamond" w:eastAsia="MS Mincho" w:hAnsi="Garamond" w:cs="Arial"/>
                <w:b/>
                <w:sz w:val="18"/>
                <w:szCs w:val="18"/>
              </w:rPr>
              <w:t>/vit)</w:t>
            </w:r>
          </w:p>
        </w:tc>
        <w:tc>
          <w:tcPr>
            <w:tcW w:w="1800" w:type="dxa"/>
            <w:vAlign w:val="center"/>
          </w:tcPr>
          <w:p w14:paraId="197035B9" w14:textId="1C1B27B2"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Të ardhurat mesatare vjetore nga energjia (</w:t>
            </w:r>
            <w:r w:rsidR="00A434CA" w:rsidRPr="00445472">
              <w:rPr>
                <w:rFonts w:ascii="Garamond" w:eastAsia="MS Mincho" w:hAnsi="Garamond" w:cs="Arial"/>
                <w:b/>
                <w:sz w:val="18"/>
                <w:szCs w:val="18"/>
              </w:rPr>
              <w:t>euro</w:t>
            </w:r>
            <w:r w:rsidRPr="00445472">
              <w:rPr>
                <w:rFonts w:ascii="Garamond" w:eastAsia="MS Mincho" w:hAnsi="Garamond" w:cs="Arial"/>
                <w:b/>
                <w:sz w:val="18"/>
                <w:szCs w:val="18"/>
              </w:rPr>
              <w:t>/vit)</w:t>
            </w:r>
          </w:p>
        </w:tc>
      </w:tr>
      <w:tr w:rsidR="00591820" w:rsidRPr="00445472" w14:paraId="5AAB4699" w14:textId="77777777" w:rsidTr="002A1F08">
        <w:trPr>
          <w:trHeight w:val="340"/>
        </w:trPr>
        <w:tc>
          <w:tcPr>
            <w:tcW w:w="3260" w:type="dxa"/>
            <w:shd w:val="clear" w:color="auto" w:fill="E6E6E6"/>
            <w:vAlign w:val="center"/>
          </w:tcPr>
          <w:p w14:paraId="57C7B9D3" w14:textId="084F23A6" w:rsidR="00591820" w:rsidRPr="00445472" w:rsidRDefault="00D62EDF"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w:t>
            </w:r>
            <w:r w:rsidR="00591820" w:rsidRPr="00445472">
              <w:rPr>
                <w:rFonts w:ascii="Garamond" w:eastAsia="MS Mincho" w:hAnsi="Garamond" w:cs="Arial"/>
                <w:sz w:val="18"/>
                <w:szCs w:val="18"/>
              </w:rPr>
              <w:t>KESH</w:t>
            </w:r>
            <w:r w:rsidRPr="00445472">
              <w:rPr>
                <w:rFonts w:ascii="Garamond" w:eastAsia="MS Mincho" w:hAnsi="Garamond" w:cs="Arial"/>
                <w:sz w:val="18"/>
                <w:szCs w:val="18"/>
              </w:rPr>
              <w:t>”</w:t>
            </w:r>
            <w:r w:rsidR="00591820" w:rsidRPr="00445472">
              <w:rPr>
                <w:rFonts w:ascii="Garamond" w:eastAsia="MS Mincho" w:hAnsi="Garamond" w:cs="Arial"/>
                <w:sz w:val="18"/>
                <w:szCs w:val="18"/>
              </w:rPr>
              <w:t xml:space="preserve"> sha </w:t>
            </w:r>
            <w:r w:rsidR="00A434CA" w:rsidRPr="00445472">
              <w:rPr>
                <w:rFonts w:ascii="Garamond" w:eastAsia="MS Mincho" w:hAnsi="Garamond" w:cs="Arial"/>
                <w:sz w:val="18"/>
                <w:szCs w:val="18"/>
              </w:rPr>
              <w:t xml:space="preserve">HEC </w:t>
            </w:r>
            <w:r w:rsidRPr="00445472">
              <w:rPr>
                <w:rFonts w:ascii="Garamond" w:eastAsia="MS Mincho" w:hAnsi="Garamond" w:cs="Arial"/>
                <w:sz w:val="18"/>
                <w:szCs w:val="18"/>
              </w:rPr>
              <w:t>“</w:t>
            </w:r>
            <w:r w:rsidR="00591820" w:rsidRPr="00445472">
              <w:rPr>
                <w:rFonts w:ascii="Garamond" w:eastAsia="MS Mincho" w:hAnsi="Garamond" w:cs="Arial"/>
                <w:sz w:val="18"/>
                <w:szCs w:val="18"/>
              </w:rPr>
              <w:t>Fierze</w:t>
            </w:r>
            <w:r w:rsidRPr="00445472">
              <w:rPr>
                <w:rFonts w:ascii="Garamond" w:eastAsia="MS Mincho" w:hAnsi="Garamond" w:cs="Arial"/>
                <w:sz w:val="18"/>
                <w:szCs w:val="18"/>
              </w:rPr>
              <w:t>”</w:t>
            </w:r>
          </w:p>
        </w:tc>
        <w:tc>
          <w:tcPr>
            <w:tcW w:w="2369" w:type="dxa"/>
            <w:shd w:val="clear" w:color="auto" w:fill="E6E6E6"/>
            <w:vAlign w:val="center"/>
          </w:tcPr>
          <w:p w14:paraId="2430CA6B"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1,636,522</w:t>
            </w:r>
          </w:p>
        </w:tc>
        <w:tc>
          <w:tcPr>
            <w:tcW w:w="1789" w:type="dxa"/>
            <w:shd w:val="clear" w:color="auto" w:fill="E6E6E6"/>
            <w:vAlign w:val="center"/>
          </w:tcPr>
          <w:p w14:paraId="7ED225F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15,546,959,000</w:t>
            </w:r>
          </w:p>
        </w:tc>
        <w:tc>
          <w:tcPr>
            <w:tcW w:w="1800" w:type="dxa"/>
            <w:shd w:val="clear" w:color="auto" w:fill="E6E6E6"/>
            <w:vAlign w:val="center"/>
          </w:tcPr>
          <w:p w14:paraId="5F0840D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113,493,879</w:t>
            </w:r>
          </w:p>
        </w:tc>
      </w:tr>
      <w:tr w:rsidR="00591820" w:rsidRPr="00445472" w14:paraId="5C8F71C1" w14:textId="77777777" w:rsidTr="002A1F08">
        <w:trPr>
          <w:trHeight w:val="340"/>
        </w:trPr>
        <w:tc>
          <w:tcPr>
            <w:tcW w:w="3260" w:type="dxa"/>
            <w:vAlign w:val="center"/>
          </w:tcPr>
          <w:p w14:paraId="77C05004" w14:textId="1B51EFB1" w:rsidR="00591820" w:rsidRPr="00445472" w:rsidRDefault="00D62EDF"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w:t>
            </w:r>
            <w:r w:rsidR="00591820" w:rsidRPr="00445472">
              <w:rPr>
                <w:rFonts w:ascii="Garamond" w:eastAsia="MS Mincho" w:hAnsi="Garamond" w:cs="Arial"/>
                <w:sz w:val="18"/>
                <w:szCs w:val="18"/>
              </w:rPr>
              <w:t>KESH</w:t>
            </w:r>
            <w:r w:rsidRPr="00445472">
              <w:rPr>
                <w:rFonts w:ascii="Garamond" w:eastAsia="MS Mincho" w:hAnsi="Garamond" w:cs="Arial"/>
                <w:sz w:val="18"/>
                <w:szCs w:val="18"/>
              </w:rPr>
              <w:t>”</w:t>
            </w:r>
            <w:r w:rsidR="00591820" w:rsidRPr="00445472">
              <w:rPr>
                <w:rFonts w:ascii="Garamond" w:eastAsia="MS Mincho" w:hAnsi="Garamond" w:cs="Arial"/>
                <w:sz w:val="18"/>
                <w:szCs w:val="18"/>
              </w:rPr>
              <w:t xml:space="preserve"> sha </w:t>
            </w:r>
            <w:r w:rsidR="00A434CA" w:rsidRPr="00445472">
              <w:rPr>
                <w:rFonts w:ascii="Garamond" w:eastAsia="MS Mincho" w:hAnsi="Garamond" w:cs="Arial"/>
                <w:sz w:val="18"/>
                <w:szCs w:val="18"/>
              </w:rPr>
              <w:t xml:space="preserve">HEC </w:t>
            </w:r>
            <w:r w:rsidRPr="00445472">
              <w:rPr>
                <w:rFonts w:ascii="Garamond" w:eastAsia="MS Mincho" w:hAnsi="Garamond" w:cs="Arial"/>
                <w:sz w:val="18"/>
                <w:szCs w:val="18"/>
              </w:rPr>
              <w:t>“</w:t>
            </w:r>
            <w:r w:rsidR="00591820" w:rsidRPr="00445472">
              <w:rPr>
                <w:rFonts w:ascii="Garamond" w:eastAsia="MS Mincho" w:hAnsi="Garamond" w:cs="Arial"/>
                <w:sz w:val="18"/>
                <w:szCs w:val="18"/>
              </w:rPr>
              <w:t>Koman</w:t>
            </w:r>
            <w:r w:rsidRPr="00445472">
              <w:rPr>
                <w:rFonts w:ascii="Garamond" w:eastAsia="MS Mincho" w:hAnsi="Garamond" w:cs="Arial"/>
                <w:sz w:val="18"/>
                <w:szCs w:val="18"/>
              </w:rPr>
              <w:t>”</w:t>
            </w:r>
          </w:p>
        </w:tc>
        <w:tc>
          <w:tcPr>
            <w:tcW w:w="2369" w:type="dxa"/>
            <w:vAlign w:val="center"/>
          </w:tcPr>
          <w:p w14:paraId="27CAB3FF"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1,882,721</w:t>
            </w:r>
          </w:p>
        </w:tc>
        <w:tc>
          <w:tcPr>
            <w:tcW w:w="1789" w:type="dxa"/>
            <w:vAlign w:val="center"/>
          </w:tcPr>
          <w:p w14:paraId="266811EF"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17,885,849,500</w:t>
            </w:r>
          </w:p>
        </w:tc>
        <w:tc>
          <w:tcPr>
            <w:tcW w:w="1800" w:type="dxa"/>
            <w:vAlign w:val="center"/>
          </w:tcPr>
          <w:p w14:paraId="0184BE9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130,567,942</w:t>
            </w:r>
          </w:p>
        </w:tc>
      </w:tr>
      <w:tr w:rsidR="00591820" w:rsidRPr="00445472" w14:paraId="2CCCB321" w14:textId="77777777" w:rsidTr="002A1F08">
        <w:trPr>
          <w:trHeight w:val="340"/>
        </w:trPr>
        <w:tc>
          <w:tcPr>
            <w:tcW w:w="3260" w:type="dxa"/>
            <w:shd w:val="clear" w:color="auto" w:fill="E6E6E6"/>
            <w:vAlign w:val="center"/>
          </w:tcPr>
          <w:p w14:paraId="060BD1FC" w14:textId="14EFDCB4" w:rsidR="00591820" w:rsidRPr="00445472" w:rsidRDefault="00D62EDF"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w:t>
            </w:r>
            <w:r w:rsidR="00591820" w:rsidRPr="00445472">
              <w:rPr>
                <w:rFonts w:ascii="Garamond" w:eastAsia="MS Mincho" w:hAnsi="Garamond" w:cs="Arial"/>
                <w:sz w:val="18"/>
                <w:szCs w:val="18"/>
              </w:rPr>
              <w:t>KESH</w:t>
            </w:r>
            <w:r w:rsidRPr="00445472">
              <w:rPr>
                <w:rFonts w:ascii="Garamond" w:eastAsia="MS Mincho" w:hAnsi="Garamond" w:cs="Arial"/>
                <w:sz w:val="18"/>
                <w:szCs w:val="18"/>
              </w:rPr>
              <w:t>”</w:t>
            </w:r>
            <w:r w:rsidR="00591820" w:rsidRPr="00445472">
              <w:rPr>
                <w:rFonts w:ascii="Garamond" w:eastAsia="MS Mincho" w:hAnsi="Garamond" w:cs="Arial"/>
                <w:sz w:val="18"/>
                <w:szCs w:val="18"/>
              </w:rPr>
              <w:t xml:space="preserve"> sha </w:t>
            </w:r>
            <w:r w:rsidR="00A434CA" w:rsidRPr="00445472">
              <w:rPr>
                <w:rFonts w:ascii="Garamond" w:eastAsia="MS Mincho" w:hAnsi="Garamond" w:cs="Arial"/>
                <w:sz w:val="18"/>
                <w:szCs w:val="18"/>
              </w:rPr>
              <w:t xml:space="preserve">HEC </w:t>
            </w:r>
            <w:r w:rsidRPr="00445472">
              <w:rPr>
                <w:rFonts w:ascii="Garamond" w:eastAsia="MS Mincho" w:hAnsi="Garamond" w:cs="Arial"/>
                <w:sz w:val="18"/>
                <w:szCs w:val="18"/>
              </w:rPr>
              <w:t>“</w:t>
            </w:r>
            <w:r w:rsidR="00591820" w:rsidRPr="00445472">
              <w:rPr>
                <w:rFonts w:ascii="Garamond" w:eastAsia="MS Mincho" w:hAnsi="Garamond" w:cs="Arial"/>
                <w:sz w:val="18"/>
                <w:szCs w:val="18"/>
              </w:rPr>
              <w:t xml:space="preserve">V. </w:t>
            </w:r>
            <w:r w:rsidR="00A434CA" w:rsidRPr="00445472">
              <w:rPr>
                <w:rFonts w:ascii="Garamond" w:eastAsia="MS Mincho" w:hAnsi="Garamond" w:cs="Arial"/>
                <w:sz w:val="18"/>
                <w:szCs w:val="18"/>
              </w:rPr>
              <w:t xml:space="preserve">i </w:t>
            </w:r>
            <w:r w:rsidR="00591820" w:rsidRPr="00445472">
              <w:rPr>
                <w:rFonts w:ascii="Garamond" w:eastAsia="MS Mincho" w:hAnsi="Garamond" w:cs="Arial"/>
                <w:sz w:val="18"/>
                <w:szCs w:val="18"/>
              </w:rPr>
              <w:t>Dejës</w:t>
            </w:r>
            <w:r w:rsidRPr="00445472">
              <w:rPr>
                <w:rFonts w:ascii="Garamond" w:eastAsia="MS Mincho" w:hAnsi="Garamond" w:cs="Arial"/>
                <w:sz w:val="18"/>
                <w:szCs w:val="18"/>
              </w:rPr>
              <w:t>”</w:t>
            </w:r>
          </w:p>
        </w:tc>
        <w:tc>
          <w:tcPr>
            <w:tcW w:w="2369" w:type="dxa"/>
            <w:shd w:val="clear" w:color="auto" w:fill="E6E6E6"/>
            <w:vAlign w:val="center"/>
          </w:tcPr>
          <w:p w14:paraId="0E83597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932,732</w:t>
            </w:r>
          </w:p>
        </w:tc>
        <w:tc>
          <w:tcPr>
            <w:tcW w:w="1789" w:type="dxa"/>
            <w:shd w:val="clear" w:color="auto" w:fill="E6E6E6"/>
            <w:vAlign w:val="center"/>
          </w:tcPr>
          <w:p w14:paraId="600BBE1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8,860,954,000</w:t>
            </w:r>
          </w:p>
        </w:tc>
        <w:tc>
          <w:tcPr>
            <w:tcW w:w="1800" w:type="dxa"/>
            <w:shd w:val="clear" w:color="auto" w:fill="E6E6E6"/>
            <w:vAlign w:val="center"/>
          </w:tcPr>
          <w:p w14:paraId="3D88310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64,685,579</w:t>
            </w:r>
          </w:p>
        </w:tc>
      </w:tr>
      <w:tr w:rsidR="00591820" w:rsidRPr="00445472" w14:paraId="7FFD2AB3" w14:textId="77777777" w:rsidTr="002A1F08">
        <w:trPr>
          <w:trHeight w:val="340"/>
        </w:trPr>
        <w:tc>
          <w:tcPr>
            <w:tcW w:w="3260" w:type="dxa"/>
            <w:vAlign w:val="center"/>
          </w:tcPr>
          <w:p w14:paraId="4400C291" w14:textId="20E23577" w:rsidR="00591820" w:rsidRPr="00445472" w:rsidRDefault="00D62EDF"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w:t>
            </w:r>
            <w:r w:rsidR="00591820" w:rsidRPr="00445472">
              <w:rPr>
                <w:rFonts w:ascii="Garamond" w:eastAsia="MS Mincho" w:hAnsi="Garamond" w:cs="Arial"/>
                <w:sz w:val="18"/>
                <w:szCs w:val="18"/>
              </w:rPr>
              <w:t>Energji Ashta</w:t>
            </w:r>
            <w:r w:rsidRPr="00445472">
              <w:rPr>
                <w:rFonts w:ascii="Garamond" w:eastAsia="MS Mincho" w:hAnsi="Garamond" w:cs="Arial"/>
                <w:sz w:val="18"/>
                <w:szCs w:val="18"/>
              </w:rPr>
              <w:t>”</w:t>
            </w:r>
            <w:r w:rsidR="00591820" w:rsidRPr="00445472">
              <w:rPr>
                <w:rFonts w:ascii="Garamond" w:eastAsia="MS Mincho" w:hAnsi="Garamond" w:cs="Arial"/>
                <w:sz w:val="18"/>
                <w:szCs w:val="18"/>
              </w:rPr>
              <w:t xml:space="preserve"> sh.p.k</w:t>
            </w:r>
            <w:r w:rsidR="00A434CA" w:rsidRPr="00445472">
              <w:rPr>
                <w:rFonts w:ascii="Garamond" w:eastAsia="MS Mincho" w:hAnsi="Garamond" w:cs="Arial"/>
                <w:sz w:val="18"/>
                <w:szCs w:val="18"/>
              </w:rPr>
              <w:t>.</w:t>
            </w:r>
            <w:r w:rsidR="00591820" w:rsidRPr="00445472">
              <w:rPr>
                <w:rFonts w:ascii="Garamond" w:eastAsia="MS Mincho" w:hAnsi="Garamond" w:cs="Arial"/>
                <w:sz w:val="18"/>
                <w:szCs w:val="18"/>
              </w:rPr>
              <w:t xml:space="preserve"> </w:t>
            </w:r>
            <w:r w:rsidR="00A434CA" w:rsidRPr="00445472">
              <w:rPr>
                <w:rFonts w:ascii="Garamond" w:eastAsia="MS Mincho" w:hAnsi="Garamond" w:cs="Arial"/>
                <w:sz w:val="18"/>
                <w:szCs w:val="18"/>
              </w:rPr>
              <w:t xml:space="preserve">HEC </w:t>
            </w:r>
            <w:r w:rsidRPr="00445472">
              <w:rPr>
                <w:rFonts w:ascii="Garamond" w:eastAsia="MS Mincho" w:hAnsi="Garamond" w:cs="Arial"/>
                <w:sz w:val="18"/>
                <w:szCs w:val="18"/>
              </w:rPr>
              <w:t>“</w:t>
            </w:r>
            <w:r w:rsidR="00591820" w:rsidRPr="00445472">
              <w:rPr>
                <w:rFonts w:ascii="Garamond" w:eastAsia="MS Mincho" w:hAnsi="Garamond" w:cs="Arial"/>
                <w:sz w:val="18"/>
                <w:szCs w:val="18"/>
              </w:rPr>
              <w:t>Ashta</w:t>
            </w:r>
            <w:r w:rsidRPr="00445472">
              <w:rPr>
                <w:rFonts w:ascii="Garamond" w:eastAsia="MS Mincho" w:hAnsi="Garamond" w:cs="Arial"/>
                <w:sz w:val="18"/>
                <w:szCs w:val="18"/>
              </w:rPr>
              <w:t>”</w:t>
            </w:r>
          </w:p>
        </w:tc>
        <w:tc>
          <w:tcPr>
            <w:tcW w:w="2369" w:type="dxa"/>
            <w:vAlign w:val="center"/>
          </w:tcPr>
          <w:p w14:paraId="6C351CC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235,604</w:t>
            </w:r>
          </w:p>
        </w:tc>
        <w:tc>
          <w:tcPr>
            <w:tcW w:w="1789" w:type="dxa"/>
            <w:vAlign w:val="center"/>
          </w:tcPr>
          <w:p w14:paraId="4C9CD70D"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2,238,238,000</w:t>
            </w:r>
          </w:p>
        </w:tc>
        <w:tc>
          <w:tcPr>
            <w:tcW w:w="1800" w:type="dxa"/>
            <w:vAlign w:val="center"/>
          </w:tcPr>
          <w:p w14:paraId="37F2FDBE"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16,339,293</w:t>
            </w:r>
          </w:p>
        </w:tc>
      </w:tr>
      <w:tr w:rsidR="00591820" w:rsidRPr="00445472" w14:paraId="5FCB234E" w14:textId="77777777" w:rsidTr="002A1F08">
        <w:trPr>
          <w:trHeight w:val="340"/>
        </w:trPr>
        <w:tc>
          <w:tcPr>
            <w:tcW w:w="3260" w:type="dxa"/>
            <w:shd w:val="clear" w:color="auto" w:fill="E6E6E6"/>
            <w:vAlign w:val="center"/>
          </w:tcPr>
          <w:p w14:paraId="2E5C1C93" w14:textId="2E32D69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Bulqize</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(Dibër)</w:t>
            </w:r>
          </w:p>
        </w:tc>
        <w:tc>
          <w:tcPr>
            <w:tcW w:w="2369" w:type="dxa"/>
            <w:shd w:val="clear" w:color="auto" w:fill="E6E6E6"/>
            <w:vAlign w:val="center"/>
          </w:tcPr>
          <w:p w14:paraId="1EC0FD82"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1,363</w:t>
            </w:r>
          </w:p>
        </w:tc>
        <w:tc>
          <w:tcPr>
            <w:tcW w:w="1789" w:type="dxa"/>
            <w:shd w:val="clear" w:color="auto" w:fill="E6E6E6"/>
            <w:vAlign w:val="center"/>
          </w:tcPr>
          <w:p w14:paraId="6CCA305A"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12,948,500</w:t>
            </w:r>
          </w:p>
        </w:tc>
        <w:tc>
          <w:tcPr>
            <w:tcW w:w="1800" w:type="dxa"/>
            <w:shd w:val="clear" w:color="auto" w:fill="E6E6E6"/>
            <w:vAlign w:val="center"/>
          </w:tcPr>
          <w:p w14:paraId="23ADDB84"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94,525</w:t>
            </w:r>
          </w:p>
        </w:tc>
      </w:tr>
      <w:tr w:rsidR="00591820" w:rsidRPr="00445472" w14:paraId="116029C8" w14:textId="77777777" w:rsidTr="002A1F08">
        <w:trPr>
          <w:trHeight w:val="340"/>
        </w:trPr>
        <w:tc>
          <w:tcPr>
            <w:tcW w:w="3260" w:type="dxa"/>
            <w:vAlign w:val="center"/>
          </w:tcPr>
          <w:p w14:paraId="0F1644B3" w14:textId="279971E1"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Homesh</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(Dibër)</w:t>
            </w:r>
          </w:p>
        </w:tc>
        <w:tc>
          <w:tcPr>
            <w:tcW w:w="2369" w:type="dxa"/>
            <w:vAlign w:val="center"/>
          </w:tcPr>
          <w:p w14:paraId="645646F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400</w:t>
            </w:r>
          </w:p>
        </w:tc>
        <w:tc>
          <w:tcPr>
            <w:tcW w:w="1789" w:type="dxa"/>
            <w:vAlign w:val="center"/>
          </w:tcPr>
          <w:p w14:paraId="5CEC631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3,800,000</w:t>
            </w:r>
          </w:p>
        </w:tc>
        <w:tc>
          <w:tcPr>
            <w:tcW w:w="1800" w:type="dxa"/>
            <w:vAlign w:val="center"/>
          </w:tcPr>
          <w:p w14:paraId="73A16302"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27,740</w:t>
            </w:r>
          </w:p>
        </w:tc>
      </w:tr>
      <w:tr w:rsidR="00591820" w:rsidRPr="00445472" w14:paraId="18FA18BC" w14:textId="77777777" w:rsidTr="002A1F08">
        <w:trPr>
          <w:trHeight w:val="340"/>
        </w:trPr>
        <w:tc>
          <w:tcPr>
            <w:tcW w:w="3260" w:type="dxa"/>
            <w:shd w:val="clear" w:color="auto" w:fill="E6E6E6"/>
            <w:vAlign w:val="center"/>
          </w:tcPr>
          <w:p w14:paraId="312FA06B" w14:textId="2E1D21D6"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Zerqan</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(Dibër)</w:t>
            </w:r>
          </w:p>
        </w:tc>
        <w:tc>
          <w:tcPr>
            <w:tcW w:w="2369" w:type="dxa"/>
            <w:shd w:val="clear" w:color="auto" w:fill="E6E6E6"/>
            <w:vAlign w:val="center"/>
          </w:tcPr>
          <w:p w14:paraId="0B29FCA5"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1,035</w:t>
            </w:r>
          </w:p>
        </w:tc>
        <w:tc>
          <w:tcPr>
            <w:tcW w:w="1789" w:type="dxa"/>
            <w:shd w:val="clear" w:color="auto" w:fill="E6E6E6"/>
            <w:vAlign w:val="center"/>
          </w:tcPr>
          <w:p w14:paraId="64CDFC43"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9,832,500</w:t>
            </w:r>
          </w:p>
        </w:tc>
        <w:tc>
          <w:tcPr>
            <w:tcW w:w="1800" w:type="dxa"/>
            <w:shd w:val="clear" w:color="auto" w:fill="E6E6E6"/>
            <w:vAlign w:val="center"/>
          </w:tcPr>
          <w:p w14:paraId="4D538AA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71,778</w:t>
            </w:r>
          </w:p>
        </w:tc>
      </w:tr>
      <w:tr w:rsidR="00591820" w:rsidRPr="00445472" w14:paraId="2BA15343" w14:textId="77777777" w:rsidTr="002A1F08">
        <w:trPr>
          <w:trHeight w:val="340"/>
        </w:trPr>
        <w:tc>
          <w:tcPr>
            <w:tcW w:w="3260" w:type="dxa"/>
            <w:vAlign w:val="center"/>
          </w:tcPr>
          <w:p w14:paraId="4D939A65" w14:textId="1FE4B6B3"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Arras</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(Dibër)</w:t>
            </w:r>
          </w:p>
        </w:tc>
        <w:tc>
          <w:tcPr>
            <w:tcW w:w="2369" w:type="dxa"/>
            <w:vAlign w:val="center"/>
          </w:tcPr>
          <w:p w14:paraId="3296F414"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15,648</w:t>
            </w:r>
          </w:p>
        </w:tc>
        <w:tc>
          <w:tcPr>
            <w:tcW w:w="1789" w:type="dxa"/>
            <w:vAlign w:val="center"/>
          </w:tcPr>
          <w:p w14:paraId="641E5F82"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148,656,000</w:t>
            </w:r>
          </w:p>
        </w:tc>
        <w:tc>
          <w:tcPr>
            <w:tcW w:w="1800" w:type="dxa"/>
            <w:vAlign w:val="center"/>
          </w:tcPr>
          <w:p w14:paraId="7C42D99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1,085,199</w:t>
            </w:r>
          </w:p>
        </w:tc>
      </w:tr>
      <w:tr w:rsidR="00591820" w:rsidRPr="00445472" w14:paraId="159DA3BC" w14:textId="77777777" w:rsidTr="002A1F08">
        <w:trPr>
          <w:trHeight w:val="340"/>
        </w:trPr>
        <w:tc>
          <w:tcPr>
            <w:tcW w:w="3260" w:type="dxa"/>
            <w:shd w:val="clear" w:color="auto" w:fill="E6E6E6"/>
            <w:vAlign w:val="center"/>
          </w:tcPr>
          <w:p w14:paraId="6704052F" w14:textId="671018EB"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Orgjost</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(Kukës)</w:t>
            </w:r>
          </w:p>
        </w:tc>
        <w:tc>
          <w:tcPr>
            <w:tcW w:w="2369" w:type="dxa"/>
            <w:shd w:val="clear" w:color="auto" w:fill="E6E6E6"/>
            <w:vAlign w:val="center"/>
          </w:tcPr>
          <w:p w14:paraId="2047BFBB"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4,257</w:t>
            </w:r>
          </w:p>
        </w:tc>
        <w:tc>
          <w:tcPr>
            <w:tcW w:w="1789" w:type="dxa"/>
            <w:shd w:val="clear" w:color="auto" w:fill="E6E6E6"/>
            <w:vAlign w:val="center"/>
          </w:tcPr>
          <w:p w14:paraId="7B9332B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40,441,500</w:t>
            </w:r>
          </w:p>
        </w:tc>
        <w:tc>
          <w:tcPr>
            <w:tcW w:w="1800" w:type="dxa"/>
            <w:shd w:val="clear" w:color="auto" w:fill="E6E6E6"/>
            <w:vAlign w:val="center"/>
          </w:tcPr>
          <w:p w14:paraId="590E5347"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295,226</w:t>
            </w:r>
          </w:p>
        </w:tc>
      </w:tr>
      <w:tr w:rsidR="00591820" w:rsidRPr="00445472" w14:paraId="4885341B" w14:textId="77777777" w:rsidTr="002A1F08">
        <w:trPr>
          <w:trHeight w:val="340"/>
        </w:trPr>
        <w:tc>
          <w:tcPr>
            <w:tcW w:w="3260" w:type="dxa"/>
            <w:vAlign w:val="center"/>
          </w:tcPr>
          <w:p w14:paraId="5B9F2E13" w14:textId="695B1A93"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Lekbibaj</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(Tropojë)</w:t>
            </w:r>
          </w:p>
        </w:tc>
        <w:tc>
          <w:tcPr>
            <w:tcW w:w="2369" w:type="dxa"/>
            <w:vAlign w:val="center"/>
          </w:tcPr>
          <w:p w14:paraId="04B77363"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4,970</w:t>
            </w:r>
          </w:p>
        </w:tc>
        <w:tc>
          <w:tcPr>
            <w:tcW w:w="1789" w:type="dxa"/>
            <w:vAlign w:val="center"/>
          </w:tcPr>
          <w:p w14:paraId="0CD2405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47,215,000</w:t>
            </w:r>
          </w:p>
        </w:tc>
        <w:tc>
          <w:tcPr>
            <w:tcW w:w="1800" w:type="dxa"/>
            <w:vAlign w:val="center"/>
          </w:tcPr>
          <w:p w14:paraId="78FACC8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344,673</w:t>
            </w:r>
          </w:p>
        </w:tc>
      </w:tr>
      <w:tr w:rsidR="00591820" w:rsidRPr="00445472" w14:paraId="229B19F3" w14:textId="77777777" w:rsidTr="002A1F08">
        <w:trPr>
          <w:trHeight w:val="340"/>
        </w:trPr>
        <w:tc>
          <w:tcPr>
            <w:tcW w:w="3260" w:type="dxa"/>
            <w:shd w:val="clear" w:color="auto" w:fill="E6E6E6"/>
            <w:vAlign w:val="center"/>
          </w:tcPr>
          <w:p w14:paraId="392CBA5D" w14:textId="0FD53A15"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Dukagjin</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(Shkodër)</w:t>
            </w:r>
          </w:p>
        </w:tc>
        <w:tc>
          <w:tcPr>
            <w:tcW w:w="2369" w:type="dxa"/>
            <w:shd w:val="clear" w:color="auto" w:fill="E6E6E6"/>
            <w:vAlign w:val="center"/>
          </w:tcPr>
          <w:p w14:paraId="03F6515D"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2,414</w:t>
            </w:r>
          </w:p>
        </w:tc>
        <w:tc>
          <w:tcPr>
            <w:tcW w:w="1789" w:type="dxa"/>
            <w:shd w:val="clear" w:color="auto" w:fill="E6E6E6"/>
            <w:vAlign w:val="center"/>
          </w:tcPr>
          <w:p w14:paraId="1B9C0C84"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22,933,000</w:t>
            </w:r>
          </w:p>
        </w:tc>
        <w:tc>
          <w:tcPr>
            <w:tcW w:w="1800" w:type="dxa"/>
            <w:shd w:val="clear" w:color="auto" w:fill="E6E6E6"/>
            <w:vAlign w:val="center"/>
          </w:tcPr>
          <w:p w14:paraId="4C98F27A"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167,412</w:t>
            </w:r>
          </w:p>
        </w:tc>
      </w:tr>
      <w:tr w:rsidR="00591820" w:rsidRPr="00445472" w14:paraId="7A3269D2" w14:textId="77777777" w:rsidTr="002A1F08">
        <w:trPr>
          <w:trHeight w:val="340"/>
        </w:trPr>
        <w:tc>
          <w:tcPr>
            <w:tcW w:w="3260" w:type="dxa"/>
            <w:vAlign w:val="center"/>
          </w:tcPr>
          <w:p w14:paraId="333F3AC6" w14:textId="3C2CF6D0"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Muhur</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(Dibër)</w:t>
            </w:r>
          </w:p>
        </w:tc>
        <w:tc>
          <w:tcPr>
            <w:tcW w:w="2369" w:type="dxa"/>
            <w:vAlign w:val="center"/>
          </w:tcPr>
          <w:p w14:paraId="1BBE79F3"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863</w:t>
            </w:r>
          </w:p>
        </w:tc>
        <w:tc>
          <w:tcPr>
            <w:tcW w:w="1789" w:type="dxa"/>
            <w:vAlign w:val="center"/>
          </w:tcPr>
          <w:p w14:paraId="755925B5"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8,198,500</w:t>
            </w:r>
          </w:p>
        </w:tc>
        <w:tc>
          <w:tcPr>
            <w:tcW w:w="1800" w:type="dxa"/>
            <w:vAlign w:val="center"/>
          </w:tcPr>
          <w:p w14:paraId="7808871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59,850</w:t>
            </w:r>
          </w:p>
        </w:tc>
      </w:tr>
      <w:tr w:rsidR="00591820" w:rsidRPr="00445472" w14:paraId="2FA00027" w14:textId="77777777" w:rsidTr="002A1F08">
        <w:trPr>
          <w:trHeight w:val="340"/>
        </w:trPr>
        <w:tc>
          <w:tcPr>
            <w:tcW w:w="3260" w:type="dxa"/>
            <w:shd w:val="clear" w:color="auto" w:fill="E6E6E6"/>
            <w:vAlign w:val="center"/>
          </w:tcPr>
          <w:p w14:paraId="7B12849D" w14:textId="3D334856"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Lure</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(Dibër)</w:t>
            </w:r>
          </w:p>
        </w:tc>
        <w:tc>
          <w:tcPr>
            <w:tcW w:w="2369" w:type="dxa"/>
            <w:shd w:val="clear" w:color="auto" w:fill="E6E6E6"/>
            <w:vAlign w:val="center"/>
          </w:tcPr>
          <w:p w14:paraId="1076677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692</w:t>
            </w:r>
          </w:p>
        </w:tc>
        <w:tc>
          <w:tcPr>
            <w:tcW w:w="1789" w:type="dxa"/>
            <w:shd w:val="clear" w:color="auto" w:fill="E6E6E6"/>
            <w:vAlign w:val="center"/>
          </w:tcPr>
          <w:p w14:paraId="296BC70D"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6,574,000</w:t>
            </w:r>
          </w:p>
        </w:tc>
        <w:tc>
          <w:tcPr>
            <w:tcW w:w="1800" w:type="dxa"/>
            <w:shd w:val="clear" w:color="auto" w:fill="E6E6E6"/>
            <w:vAlign w:val="center"/>
          </w:tcPr>
          <w:p w14:paraId="26C0058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47,991</w:t>
            </w:r>
          </w:p>
        </w:tc>
      </w:tr>
      <w:tr w:rsidR="00591820" w:rsidRPr="00445472" w14:paraId="27017016" w14:textId="77777777" w:rsidTr="002A1F08">
        <w:trPr>
          <w:trHeight w:val="340"/>
        </w:trPr>
        <w:tc>
          <w:tcPr>
            <w:tcW w:w="3260" w:type="dxa"/>
            <w:vAlign w:val="center"/>
          </w:tcPr>
          <w:p w14:paraId="2832AD4A" w14:textId="48418749"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Cernaleve</w:t>
            </w:r>
            <w:r w:rsidR="00A434CA" w:rsidRPr="00445472">
              <w:rPr>
                <w:rFonts w:ascii="Garamond" w:eastAsia="MS Mincho" w:hAnsi="Garamond" w:cs="Arial"/>
                <w:sz w:val="18"/>
                <w:szCs w:val="18"/>
              </w:rPr>
              <w:t>”</w:t>
            </w:r>
          </w:p>
        </w:tc>
        <w:tc>
          <w:tcPr>
            <w:tcW w:w="2369" w:type="dxa"/>
            <w:vAlign w:val="center"/>
          </w:tcPr>
          <w:p w14:paraId="3B2EB08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15,263</w:t>
            </w:r>
          </w:p>
        </w:tc>
        <w:tc>
          <w:tcPr>
            <w:tcW w:w="1789" w:type="dxa"/>
            <w:vAlign w:val="center"/>
          </w:tcPr>
          <w:p w14:paraId="0937BB5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144,998,500</w:t>
            </w:r>
          </w:p>
        </w:tc>
        <w:tc>
          <w:tcPr>
            <w:tcW w:w="1800" w:type="dxa"/>
            <w:vAlign w:val="center"/>
          </w:tcPr>
          <w:p w14:paraId="3A1A88DE"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1,058,499</w:t>
            </w:r>
          </w:p>
        </w:tc>
      </w:tr>
      <w:tr w:rsidR="00591820" w:rsidRPr="00445472" w14:paraId="0B9BF17D" w14:textId="77777777" w:rsidTr="002A1F08">
        <w:trPr>
          <w:trHeight w:val="340"/>
        </w:trPr>
        <w:tc>
          <w:tcPr>
            <w:tcW w:w="3260" w:type="dxa"/>
            <w:shd w:val="clear" w:color="auto" w:fill="E6E6E6"/>
            <w:vAlign w:val="center"/>
          </w:tcPr>
          <w:p w14:paraId="7D35C1BF" w14:textId="42A8308B"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Pobreg</w:t>
            </w:r>
            <w:r w:rsidR="00D62EDF" w:rsidRPr="00445472">
              <w:rPr>
                <w:rFonts w:ascii="Garamond" w:eastAsia="MS Mincho" w:hAnsi="Garamond" w:cs="Arial"/>
                <w:sz w:val="18"/>
                <w:szCs w:val="18"/>
              </w:rPr>
              <w:t>”</w:t>
            </w:r>
          </w:p>
        </w:tc>
        <w:tc>
          <w:tcPr>
            <w:tcW w:w="2369" w:type="dxa"/>
            <w:shd w:val="clear" w:color="auto" w:fill="E6E6E6"/>
            <w:vAlign w:val="center"/>
          </w:tcPr>
          <w:p w14:paraId="1256C0B7"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36,373</w:t>
            </w:r>
          </w:p>
        </w:tc>
        <w:tc>
          <w:tcPr>
            <w:tcW w:w="1789" w:type="dxa"/>
            <w:shd w:val="clear" w:color="auto" w:fill="E6E6E6"/>
            <w:vAlign w:val="center"/>
          </w:tcPr>
          <w:p w14:paraId="252BD79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345,543,500</w:t>
            </w:r>
          </w:p>
        </w:tc>
        <w:tc>
          <w:tcPr>
            <w:tcW w:w="1800" w:type="dxa"/>
            <w:shd w:val="clear" w:color="auto" w:fill="E6E6E6"/>
            <w:vAlign w:val="center"/>
          </w:tcPr>
          <w:p w14:paraId="1DF99A2A"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2,522,492</w:t>
            </w:r>
          </w:p>
        </w:tc>
      </w:tr>
      <w:tr w:rsidR="00591820" w:rsidRPr="00445472" w14:paraId="3F90EA02" w14:textId="77777777" w:rsidTr="002A1F08">
        <w:trPr>
          <w:trHeight w:val="340"/>
        </w:trPr>
        <w:tc>
          <w:tcPr>
            <w:tcW w:w="3260" w:type="dxa"/>
            <w:vAlign w:val="center"/>
          </w:tcPr>
          <w:p w14:paraId="788BECAC" w14:textId="18CD1006"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Ostren i Vogël</w:t>
            </w:r>
            <w:r w:rsidR="00D62EDF" w:rsidRPr="00445472">
              <w:rPr>
                <w:rFonts w:ascii="Garamond" w:eastAsia="MS Mincho" w:hAnsi="Garamond" w:cs="Arial"/>
                <w:sz w:val="18"/>
                <w:szCs w:val="18"/>
              </w:rPr>
              <w:t>”</w:t>
            </w:r>
          </w:p>
        </w:tc>
        <w:tc>
          <w:tcPr>
            <w:tcW w:w="2369" w:type="dxa"/>
            <w:vAlign w:val="center"/>
          </w:tcPr>
          <w:p w14:paraId="2B037F64"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790</w:t>
            </w:r>
          </w:p>
        </w:tc>
        <w:tc>
          <w:tcPr>
            <w:tcW w:w="1789" w:type="dxa"/>
            <w:vAlign w:val="center"/>
          </w:tcPr>
          <w:p w14:paraId="403AF16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7,505,000</w:t>
            </w:r>
          </w:p>
        </w:tc>
        <w:tc>
          <w:tcPr>
            <w:tcW w:w="1800" w:type="dxa"/>
            <w:vAlign w:val="center"/>
          </w:tcPr>
          <w:p w14:paraId="304AC5BE"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54,787</w:t>
            </w:r>
          </w:p>
        </w:tc>
      </w:tr>
      <w:tr w:rsidR="00591820" w:rsidRPr="00445472" w14:paraId="4BCCA301" w14:textId="77777777" w:rsidTr="002A1F08">
        <w:trPr>
          <w:trHeight w:val="340"/>
        </w:trPr>
        <w:tc>
          <w:tcPr>
            <w:tcW w:w="3260" w:type="dxa"/>
            <w:shd w:val="clear" w:color="auto" w:fill="E6E6E6"/>
            <w:vAlign w:val="center"/>
          </w:tcPr>
          <w:p w14:paraId="356E1C5A" w14:textId="1F70B730"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Lura 1</w:t>
            </w:r>
            <w:r w:rsidR="00D62EDF" w:rsidRPr="00445472">
              <w:rPr>
                <w:rFonts w:ascii="Garamond" w:eastAsia="MS Mincho" w:hAnsi="Garamond" w:cs="Arial"/>
                <w:sz w:val="18"/>
                <w:szCs w:val="18"/>
              </w:rPr>
              <w:t>”</w:t>
            </w:r>
          </w:p>
        </w:tc>
        <w:tc>
          <w:tcPr>
            <w:tcW w:w="2369" w:type="dxa"/>
            <w:shd w:val="clear" w:color="auto" w:fill="E6E6E6"/>
            <w:vAlign w:val="center"/>
          </w:tcPr>
          <w:p w14:paraId="5C42896D"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3,961</w:t>
            </w:r>
          </w:p>
        </w:tc>
        <w:tc>
          <w:tcPr>
            <w:tcW w:w="1789" w:type="dxa"/>
            <w:shd w:val="clear" w:color="auto" w:fill="E6E6E6"/>
            <w:vAlign w:val="center"/>
          </w:tcPr>
          <w:p w14:paraId="7F9F078A"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37,629,500</w:t>
            </w:r>
          </w:p>
        </w:tc>
        <w:tc>
          <w:tcPr>
            <w:tcW w:w="1800" w:type="dxa"/>
            <w:shd w:val="clear" w:color="auto" w:fill="E6E6E6"/>
            <w:vAlign w:val="center"/>
          </w:tcPr>
          <w:p w14:paraId="12F13D62"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274,698</w:t>
            </w:r>
          </w:p>
        </w:tc>
      </w:tr>
      <w:tr w:rsidR="00591820" w:rsidRPr="00445472" w14:paraId="146C4CF8" w14:textId="77777777" w:rsidTr="002A1F08">
        <w:trPr>
          <w:trHeight w:val="340"/>
        </w:trPr>
        <w:tc>
          <w:tcPr>
            <w:tcW w:w="3260" w:type="dxa"/>
            <w:vAlign w:val="center"/>
          </w:tcPr>
          <w:p w14:paraId="0496455E" w14:textId="758C0904"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Trebisht</w:t>
            </w:r>
            <w:r w:rsidR="00D62EDF" w:rsidRPr="00445472">
              <w:rPr>
                <w:rFonts w:ascii="Garamond" w:eastAsia="MS Mincho" w:hAnsi="Garamond" w:cs="Arial"/>
                <w:sz w:val="18"/>
                <w:szCs w:val="18"/>
              </w:rPr>
              <w:t>”</w:t>
            </w:r>
          </w:p>
        </w:tc>
        <w:tc>
          <w:tcPr>
            <w:tcW w:w="2369" w:type="dxa"/>
            <w:vAlign w:val="center"/>
          </w:tcPr>
          <w:p w14:paraId="13EFDF1F"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1,264</w:t>
            </w:r>
          </w:p>
        </w:tc>
        <w:tc>
          <w:tcPr>
            <w:tcW w:w="1789" w:type="dxa"/>
            <w:vAlign w:val="center"/>
          </w:tcPr>
          <w:p w14:paraId="744F7609"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12,008,000</w:t>
            </w:r>
          </w:p>
        </w:tc>
        <w:tc>
          <w:tcPr>
            <w:tcW w:w="1800" w:type="dxa"/>
            <w:vAlign w:val="center"/>
          </w:tcPr>
          <w:p w14:paraId="277025F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87,659</w:t>
            </w:r>
          </w:p>
        </w:tc>
      </w:tr>
      <w:tr w:rsidR="00591820" w:rsidRPr="00445472" w14:paraId="382661E7" w14:textId="77777777" w:rsidTr="002A1F08">
        <w:trPr>
          <w:trHeight w:val="340"/>
        </w:trPr>
        <w:tc>
          <w:tcPr>
            <w:tcW w:w="3260" w:type="dxa"/>
            <w:shd w:val="clear" w:color="auto" w:fill="E6E6E6"/>
            <w:vAlign w:val="center"/>
          </w:tcPr>
          <w:p w14:paraId="19D18556" w14:textId="6520A016"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Tucep</w:t>
            </w:r>
            <w:r w:rsidR="00D62EDF" w:rsidRPr="00445472">
              <w:rPr>
                <w:rFonts w:ascii="Garamond" w:eastAsia="MS Mincho" w:hAnsi="Garamond" w:cs="Arial"/>
                <w:sz w:val="18"/>
                <w:szCs w:val="18"/>
              </w:rPr>
              <w:t>”</w:t>
            </w:r>
          </w:p>
        </w:tc>
        <w:tc>
          <w:tcPr>
            <w:tcW w:w="2369" w:type="dxa"/>
            <w:shd w:val="clear" w:color="auto" w:fill="E6E6E6"/>
            <w:vAlign w:val="center"/>
          </w:tcPr>
          <w:p w14:paraId="15F4F369"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982</w:t>
            </w:r>
          </w:p>
        </w:tc>
        <w:tc>
          <w:tcPr>
            <w:tcW w:w="1789" w:type="dxa"/>
            <w:shd w:val="clear" w:color="auto" w:fill="E6E6E6"/>
            <w:vAlign w:val="center"/>
          </w:tcPr>
          <w:p w14:paraId="712ABB57"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9,329,000</w:t>
            </w:r>
          </w:p>
        </w:tc>
        <w:tc>
          <w:tcPr>
            <w:tcW w:w="1800" w:type="dxa"/>
            <w:shd w:val="clear" w:color="auto" w:fill="E6E6E6"/>
            <w:vAlign w:val="center"/>
          </w:tcPr>
          <w:p w14:paraId="0F61DB4A"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68,102</w:t>
            </w:r>
          </w:p>
        </w:tc>
      </w:tr>
      <w:tr w:rsidR="00591820" w:rsidRPr="00445472" w14:paraId="588E0A82" w14:textId="77777777" w:rsidTr="002A1F08">
        <w:trPr>
          <w:trHeight w:val="340"/>
        </w:trPr>
        <w:tc>
          <w:tcPr>
            <w:tcW w:w="3260" w:type="dxa"/>
            <w:vAlign w:val="center"/>
          </w:tcPr>
          <w:p w14:paraId="3386A15A" w14:textId="77C1A801"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Shales</w:t>
            </w:r>
            <w:r w:rsidR="00D62EDF" w:rsidRPr="00445472">
              <w:rPr>
                <w:rFonts w:ascii="Garamond" w:eastAsia="MS Mincho" w:hAnsi="Garamond" w:cs="Arial"/>
                <w:sz w:val="18"/>
                <w:szCs w:val="18"/>
              </w:rPr>
              <w:t>”</w:t>
            </w:r>
          </w:p>
        </w:tc>
        <w:tc>
          <w:tcPr>
            <w:tcW w:w="2369" w:type="dxa"/>
            <w:vAlign w:val="center"/>
          </w:tcPr>
          <w:p w14:paraId="4EE8C9A5"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1,570</w:t>
            </w:r>
          </w:p>
        </w:tc>
        <w:tc>
          <w:tcPr>
            <w:tcW w:w="1789" w:type="dxa"/>
            <w:vAlign w:val="center"/>
          </w:tcPr>
          <w:p w14:paraId="538C9183"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14,915,000</w:t>
            </w:r>
          </w:p>
        </w:tc>
        <w:tc>
          <w:tcPr>
            <w:tcW w:w="1800" w:type="dxa"/>
            <w:vAlign w:val="center"/>
          </w:tcPr>
          <w:p w14:paraId="52B72EDF"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108,881</w:t>
            </w:r>
          </w:p>
        </w:tc>
      </w:tr>
      <w:tr w:rsidR="00591820" w:rsidRPr="00445472" w14:paraId="12ADE846" w14:textId="77777777" w:rsidTr="002A1F08">
        <w:trPr>
          <w:trHeight w:val="340"/>
        </w:trPr>
        <w:tc>
          <w:tcPr>
            <w:tcW w:w="3260" w:type="dxa"/>
            <w:shd w:val="clear" w:color="auto" w:fill="E6E6E6"/>
            <w:vAlign w:val="center"/>
          </w:tcPr>
          <w:p w14:paraId="5C3613D6" w14:textId="415D40D9"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Bicaj</w:t>
            </w:r>
            <w:r w:rsidR="00D62EDF" w:rsidRPr="00445472">
              <w:rPr>
                <w:rFonts w:ascii="Garamond" w:eastAsia="MS Mincho" w:hAnsi="Garamond" w:cs="Arial"/>
                <w:sz w:val="18"/>
                <w:szCs w:val="18"/>
              </w:rPr>
              <w:t>”</w:t>
            </w:r>
          </w:p>
        </w:tc>
        <w:tc>
          <w:tcPr>
            <w:tcW w:w="2369" w:type="dxa"/>
            <w:shd w:val="clear" w:color="auto" w:fill="E6E6E6"/>
            <w:vAlign w:val="center"/>
          </w:tcPr>
          <w:p w14:paraId="21A3E73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51</w:t>
            </w:r>
          </w:p>
        </w:tc>
        <w:tc>
          <w:tcPr>
            <w:tcW w:w="1789" w:type="dxa"/>
            <w:shd w:val="clear" w:color="auto" w:fill="E6E6E6"/>
            <w:vAlign w:val="center"/>
          </w:tcPr>
          <w:p w14:paraId="27E8EC3D"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484,500</w:t>
            </w:r>
          </w:p>
        </w:tc>
        <w:tc>
          <w:tcPr>
            <w:tcW w:w="1800" w:type="dxa"/>
            <w:shd w:val="clear" w:color="auto" w:fill="E6E6E6"/>
            <w:vAlign w:val="center"/>
          </w:tcPr>
          <w:p w14:paraId="2DBBA4C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3,537</w:t>
            </w:r>
          </w:p>
        </w:tc>
      </w:tr>
      <w:tr w:rsidR="00591820" w:rsidRPr="00445472" w14:paraId="3C57C689" w14:textId="77777777" w:rsidTr="002A1F08">
        <w:trPr>
          <w:trHeight w:val="340"/>
        </w:trPr>
        <w:tc>
          <w:tcPr>
            <w:tcW w:w="3260" w:type="dxa"/>
            <w:vAlign w:val="center"/>
          </w:tcPr>
          <w:p w14:paraId="34B487D1" w14:textId="121C8461"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Orenjë</w:t>
            </w:r>
            <w:r w:rsidR="00D62EDF" w:rsidRPr="00445472">
              <w:rPr>
                <w:rFonts w:ascii="Garamond" w:eastAsia="MS Mincho" w:hAnsi="Garamond" w:cs="Arial"/>
                <w:sz w:val="18"/>
                <w:szCs w:val="18"/>
              </w:rPr>
              <w:t>”</w:t>
            </w:r>
          </w:p>
        </w:tc>
        <w:tc>
          <w:tcPr>
            <w:tcW w:w="2369" w:type="dxa"/>
            <w:vAlign w:val="center"/>
          </w:tcPr>
          <w:p w14:paraId="0CCB3438"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1,115</w:t>
            </w:r>
          </w:p>
        </w:tc>
        <w:tc>
          <w:tcPr>
            <w:tcW w:w="1789" w:type="dxa"/>
            <w:vAlign w:val="center"/>
          </w:tcPr>
          <w:p w14:paraId="6A9F1345"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10,592,500</w:t>
            </w:r>
          </w:p>
        </w:tc>
        <w:tc>
          <w:tcPr>
            <w:tcW w:w="1800" w:type="dxa"/>
            <w:vAlign w:val="center"/>
          </w:tcPr>
          <w:p w14:paraId="73B3307B"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77,326</w:t>
            </w:r>
          </w:p>
        </w:tc>
      </w:tr>
      <w:tr w:rsidR="00591820" w:rsidRPr="00445472" w14:paraId="071CBF4E" w14:textId="77777777" w:rsidTr="002A1F08">
        <w:trPr>
          <w:trHeight w:val="340"/>
        </w:trPr>
        <w:tc>
          <w:tcPr>
            <w:tcW w:w="3260" w:type="dxa"/>
            <w:shd w:val="clear" w:color="auto" w:fill="E6E6E6"/>
            <w:vAlign w:val="center"/>
          </w:tcPr>
          <w:p w14:paraId="0E684652" w14:textId="4EE142A4"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Tamarë</w:t>
            </w:r>
            <w:r w:rsidR="00D62EDF" w:rsidRPr="00445472">
              <w:rPr>
                <w:rFonts w:ascii="Garamond" w:eastAsia="MS Mincho" w:hAnsi="Garamond" w:cs="Arial"/>
                <w:sz w:val="18"/>
                <w:szCs w:val="18"/>
              </w:rPr>
              <w:t>”</w:t>
            </w:r>
          </w:p>
        </w:tc>
        <w:tc>
          <w:tcPr>
            <w:tcW w:w="2369" w:type="dxa"/>
            <w:shd w:val="clear" w:color="auto" w:fill="E6E6E6"/>
            <w:vAlign w:val="center"/>
          </w:tcPr>
          <w:p w14:paraId="515E7561"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745</w:t>
            </w:r>
          </w:p>
        </w:tc>
        <w:tc>
          <w:tcPr>
            <w:tcW w:w="1789" w:type="dxa"/>
            <w:shd w:val="clear" w:color="auto" w:fill="E6E6E6"/>
            <w:vAlign w:val="center"/>
          </w:tcPr>
          <w:p w14:paraId="2FC9EFEB"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7,077,500</w:t>
            </w:r>
          </w:p>
        </w:tc>
        <w:tc>
          <w:tcPr>
            <w:tcW w:w="1800" w:type="dxa"/>
            <w:shd w:val="clear" w:color="auto" w:fill="E6E6E6"/>
            <w:vAlign w:val="center"/>
          </w:tcPr>
          <w:p w14:paraId="7105D080"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51,666</w:t>
            </w:r>
          </w:p>
        </w:tc>
      </w:tr>
      <w:tr w:rsidR="00591820" w:rsidRPr="00445472" w14:paraId="07BC740D" w14:textId="77777777" w:rsidTr="002A1F08">
        <w:trPr>
          <w:trHeight w:val="340"/>
        </w:trPr>
        <w:tc>
          <w:tcPr>
            <w:tcW w:w="3260" w:type="dxa"/>
            <w:vAlign w:val="center"/>
          </w:tcPr>
          <w:p w14:paraId="74E3D01A" w14:textId="5BECA4DB"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 xml:space="preserve">HEC </w:t>
            </w:r>
            <w:r w:rsidR="00D62EDF" w:rsidRPr="00445472">
              <w:rPr>
                <w:rFonts w:ascii="Garamond" w:eastAsia="MS Mincho" w:hAnsi="Garamond" w:cs="Arial"/>
                <w:sz w:val="18"/>
                <w:szCs w:val="18"/>
              </w:rPr>
              <w:t>“</w:t>
            </w:r>
            <w:r w:rsidRPr="00445472">
              <w:rPr>
                <w:rFonts w:ascii="Garamond" w:eastAsia="MS Mincho" w:hAnsi="Garamond" w:cs="Arial"/>
                <w:sz w:val="18"/>
                <w:szCs w:val="18"/>
              </w:rPr>
              <w:t>Sasaj</w:t>
            </w:r>
            <w:r w:rsidR="00D62EDF" w:rsidRPr="00445472">
              <w:rPr>
                <w:rFonts w:ascii="Garamond" w:eastAsia="MS Mincho" w:hAnsi="Garamond" w:cs="Arial"/>
                <w:sz w:val="18"/>
                <w:szCs w:val="18"/>
              </w:rPr>
              <w:t>”</w:t>
            </w:r>
          </w:p>
        </w:tc>
        <w:tc>
          <w:tcPr>
            <w:tcW w:w="2369" w:type="dxa"/>
            <w:vAlign w:val="center"/>
          </w:tcPr>
          <w:p w14:paraId="62B35B32"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25,000</w:t>
            </w:r>
          </w:p>
        </w:tc>
        <w:tc>
          <w:tcPr>
            <w:tcW w:w="1789" w:type="dxa"/>
            <w:vAlign w:val="center"/>
          </w:tcPr>
          <w:p w14:paraId="15BE80C8"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237,500,000</w:t>
            </w:r>
          </w:p>
        </w:tc>
        <w:tc>
          <w:tcPr>
            <w:tcW w:w="1800" w:type="dxa"/>
            <w:vAlign w:val="center"/>
          </w:tcPr>
          <w:p w14:paraId="485F368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1,733,766</w:t>
            </w:r>
          </w:p>
        </w:tc>
      </w:tr>
      <w:tr w:rsidR="00591820" w:rsidRPr="00445472" w14:paraId="6AE84D08" w14:textId="77777777" w:rsidTr="002A1F08">
        <w:trPr>
          <w:trHeight w:val="340"/>
        </w:trPr>
        <w:tc>
          <w:tcPr>
            <w:tcW w:w="3260" w:type="dxa"/>
            <w:shd w:val="clear" w:color="auto" w:fill="E6E6E6"/>
            <w:vAlign w:val="center"/>
          </w:tcPr>
          <w:p w14:paraId="63BCCC5F" w14:textId="787E1B72"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Perrollaj</w:t>
            </w:r>
            <w:r w:rsidR="00D62EDF" w:rsidRPr="00445472">
              <w:rPr>
                <w:rFonts w:ascii="Garamond" w:eastAsia="MS Mincho" w:hAnsi="Garamond" w:cs="Arial"/>
                <w:sz w:val="18"/>
                <w:szCs w:val="18"/>
              </w:rPr>
              <w:t>”</w:t>
            </w:r>
          </w:p>
        </w:tc>
        <w:tc>
          <w:tcPr>
            <w:tcW w:w="2369" w:type="dxa"/>
            <w:shd w:val="clear" w:color="auto" w:fill="E6E6E6"/>
            <w:vAlign w:val="center"/>
          </w:tcPr>
          <w:p w14:paraId="5CF93473"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214</w:t>
            </w:r>
          </w:p>
        </w:tc>
        <w:tc>
          <w:tcPr>
            <w:tcW w:w="1789" w:type="dxa"/>
            <w:shd w:val="clear" w:color="auto" w:fill="E6E6E6"/>
            <w:vAlign w:val="center"/>
          </w:tcPr>
          <w:p w14:paraId="5F5DF4BF"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2,033,000</w:t>
            </w:r>
          </w:p>
        </w:tc>
        <w:tc>
          <w:tcPr>
            <w:tcW w:w="1800" w:type="dxa"/>
            <w:shd w:val="clear" w:color="auto" w:fill="E6E6E6"/>
            <w:vAlign w:val="center"/>
          </w:tcPr>
          <w:p w14:paraId="32831C7A"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14,841</w:t>
            </w:r>
          </w:p>
        </w:tc>
      </w:tr>
      <w:tr w:rsidR="00591820" w:rsidRPr="00445472" w14:paraId="2C481B55" w14:textId="77777777" w:rsidTr="002A1F08">
        <w:trPr>
          <w:trHeight w:val="340"/>
        </w:trPr>
        <w:tc>
          <w:tcPr>
            <w:tcW w:w="3260" w:type="dxa"/>
            <w:vAlign w:val="center"/>
          </w:tcPr>
          <w:p w14:paraId="6CE02E81" w14:textId="0F70C9AF"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Peshqesh</w:t>
            </w:r>
            <w:r w:rsidR="00D62EDF" w:rsidRPr="00445472">
              <w:rPr>
                <w:rFonts w:ascii="Garamond" w:eastAsia="MS Mincho" w:hAnsi="Garamond" w:cs="Arial"/>
                <w:sz w:val="18"/>
                <w:szCs w:val="18"/>
              </w:rPr>
              <w:t>”</w:t>
            </w:r>
          </w:p>
        </w:tc>
        <w:tc>
          <w:tcPr>
            <w:tcW w:w="2369" w:type="dxa"/>
            <w:vAlign w:val="center"/>
          </w:tcPr>
          <w:p w14:paraId="6F64FBC7"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28,711</w:t>
            </w:r>
          </w:p>
        </w:tc>
        <w:tc>
          <w:tcPr>
            <w:tcW w:w="1789" w:type="dxa"/>
            <w:vAlign w:val="center"/>
          </w:tcPr>
          <w:p w14:paraId="101BF74F"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272,754,500</w:t>
            </w:r>
          </w:p>
        </w:tc>
        <w:tc>
          <w:tcPr>
            <w:tcW w:w="1800" w:type="dxa"/>
            <w:vAlign w:val="center"/>
          </w:tcPr>
          <w:p w14:paraId="1BEB4879"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1,991,127</w:t>
            </w:r>
          </w:p>
        </w:tc>
      </w:tr>
      <w:tr w:rsidR="00591820" w:rsidRPr="00445472" w14:paraId="01F36071" w14:textId="77777777" w:rsidTr="002A1F08">
        <w:trPr>
          <w:trHeight w:val="340"/>
        </w:trPr>
        <w:tc>
          <w:tcPr>
            <w:tcW w:w="3260" w:type="dxa"/>
            <w:shd w:val="clear" w:color="auto" w:fill="E6E6E6"/>
            <w:vAlign w:val="center"/>
          </w:tcPr>
          <w:p w14:paraId="654D4965" w14:textId="6D4D6349" w:rsidR="00591820" w:rsidRPr="00445472" w:rsidRDefault="00591820" w:rsidP="00A434CA">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HEC</w:t>
            </w:r>
            <w:r w:rsidR="00A434CA" w:rsidRPr="00445472">
              <w:rPr>
                <w:rFonts w:ascii="Garamond" w:eastAsia="MS Mincho" w:hAnsi="Garamond" w:cs="Arial"/>
                <w:sz w:val="18"/>
                <w:szCs w:val="18"/>
              </w:rPr>
              <w:t xml:space="preserve"> “</w:t>
            </w:r>
            <w:r w:rsidRPr="00445472">
              <w:rPr>
                <w:rFonts w:ascii="Garamond" w:eastAsia="MS Mincho" w:hAnsi="Garamond" w:cs="Arial"/>
                <w:sz w:val="18"/>
                <w:szCs w:val="18"/>
              </w:rPr>
              <w:t>Bele 1</w:t>
            </w:r>
            <w:r w:rsidR="00D62EDF" w:rsidRPr="00445472">
              <w:rPr>
                <w:rFonts w:ascii="Garamond" w:eastAsia="MS Mincho" w:hAnsi="Garamond" w:cs="Arial"/>
                <w:sz w:val="18"/>
                <w:szCs w:val="18"/>
              </w:rPr>
              <w:t>”</w:t>
            </w:r>
          </w:p>
        </w:tc>
        <w:tc>
          <w:tcPr>
            <w:tcW w:w="2369" w:type="dxa"/>
            <w:shd w:val="clear" w:color="auto" w:fill="E6E6E6"/>
            <w:vAlign w:val="center"/>
          </w:tcPr>
          <w:p w14:paraId="61058666"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114,423</w:t>
            </w:r>
          </w:p>
        </w:tc>
        <w:tc>
          <w:tcPr>
            <w:tcW w:w="1789" w:type="dxa"/>
            <w:shd w:val="clear" w:color="auto" w:fill="E6E6E6"/>
            <w:vAlign w:val="center"/>
          </w:tcPr>
          <w:p w14:paraId="2C01E7A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1,087,018,500</w:t>
            </w:r>
          </w:p>
        </w:tc>
        <w:tc>
          <w:tcPr>
            <w:tcW w:w="1800" w:type="dxa"/>
            <w:shd w:val="clear" w:color="auto" w:fill="E6E6E6"/>
            <w:vAlign w:val="center"/>
          </w:tcPr>
          <w:p w14:paraId="60218B8C" w14:textId="77777777" w:rsidR="00591820" w:rsidRPr="00445472" w:rsidRDefault="00591820" w:rsidP="00F015E8">
            <w:pPr>
              <w:spacing w:after="0" w:line="240" w:lineRule="auto"/>
              <w:jc w:val="center"/>
              <w:rPr>
                <w:rFonts w:ascii="Garamond" w:eastAsia="MS Mincho" w:hAnsi="Garamond" w:cs="Arial"/>
                <w:sz w:val="18"/>
                <w:szCs w:val="18"/>
              </w:rPr>
            </w:pPr>
            <w:r w:rsidRPr="00445472">
              <w:rPr>
                <w:rFonts w:ascii="Garamond" w:eastAsia="MS Mincho" w:hAnsi="Garamond" w:cs="Arial"/>
                <w:sz w:val="18"/>
                <w:szCs w:val="18"/>
              </w:rPr>
              <w:t>7,935,310</w:t>
            </w:r>
          </w:p>
        </w:tc>
      </w:tr>
      <w:tr w:rsidR="00591820" w:rsidRPr="00445472" w14:paraId="061B5040" w14:textId="77777777" w:rsidTr="002A1F08">
        <w:trPr>
          <w:trHeight w:val="340"/>
        </w:trPr>
        <w:tc>
          <w:tcPr>
            <w:tcW w:w="3260" w:type="dxa"/>
            <w:shd w:val="clear" w:color="auto" w:fill="C0C0C0"/>
            <w:vAlign w:val="center"/>
          </w:tcPr>
          <w:p w14:paraId="70C775B6" w14:textId="7777777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Total</w:t>
            </w:r>
          </w:p>
        </w:tc>
        <w:tc>
          <w:tcPr>
            <w:tcW w:w="2369" w:type="dxa"/>
            <w:shd w:val="clear" w:color="auto" w:fill="C0C0C0"/>
            <w:vAlign w:val="center"/>
          </w:tcPr>
          <w:p w14:paraId="2EFBBCD5" w14:textId="7777777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4,949,683.00</w:t>
            </w:r>
          </w:p>
        </w:tc>
        <w:tc>
          <w:tcPr>
            <w:tcW w:w="1789" w:type="dxa"/>
            <w:shd w:val="clear" w:color="auto" w:fill="C0C0C0"/>
            <w:vAlign w:val="center"/>
          </w:tcPr>
          <w:p w14:paraId="0A880F93" w14:textId="7777777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47,021,988,500</w:t>
            </w:r>
          </w:p>
        </w:tc>
        <w:tc>
          <w:tcPr>
            <w:tcW w:w="1800" w:type="dxa"/>
            <w:shd w:val="clear" w:color="auto" w:fill="C0C0C0"/>
            <w:vAlign w:val="center"/>
          </w:tcPr>
          <w:p w14:paraId="20CA25DD" w14:textId="77777777" w:rsidR="00591820" w:rsidRPr="00445472" w:rsidRDefault="00591820" w:rsidP="00F015E8">
            <w:pPr>
              <w:spacing w:after="0" w:line="240" w:lineRule="auto"/>
              <w:jc w:val="center"/>
              <w:rPr>
                <w:rFonts w:ascii="Garamond" w:eastAsia="MS Mincho" w:hAnsi="Garamond" w:cs="Arial"/>
                <w:b/>
                <w:sz w:val="18"/>
                <w:szCs w:val="18"/>
              </w:rPr>
            </w:pPr>
            <w:r w:rsidRPr="00445472">
              <w:rPr>
                <w:rFonts w:ascii="Garamond" w:eastAsia="MS Mincho" w:hAnsi="Garamond" w:cs="Arial"/>
                <w:b/>
                <w:sz w:val="18"/>
                <w:szCs w:val="18"/>
              </w:rPr>
              <w:t>343,263,777</w:t>
            </w:r>
          </w:p>
        </w:tc>
      </w:tr>
    </w:tbl>
    <w:p w14:paraId="60E26D3B" w14:textId="77777777" w:rsidR="00591820" w:rsidRPr="00445472" w:rsidRDefault="00591820" w:rsidP="00F015E8">
      <w:pPr>
        <w:pStyle w:val="TEKSTIIII"/>
      </w:pPr>
      <w:bookmarkStart w:id="234" w:name="_bookmark43"/>
      <w:bookmarkStart w:id="235" w:name="_Toc486503431"/>
      <w:bookmarkStart w:id="236" w:name="_Toc485635139"/>
      <w:bookmarkEnd w:id="234"/>
    </w:p>
    <w:p w14:paraId="6985634C" w14:textId="43489964" w:rsidR="00591820" w:rsidRPr="00445472" w:rsidRDefault="00F015E8" w:rsidP="00F015E8">
      <w:pPr>
        <w:pStyle w:val="NENTITULL"/>
      </w:pPr>
      <w:bookmarkStart w:id="237" w:name="_Toc11068857"/>
      <w:r w:rsidRPr="00445472">
        <w:t xml:space="preserve">11.3 </w:t>
      </w:r>
      <w:r w:rsidR="00591820" w:rsidRPr="00445472">
        <w:t xml:space="preserve">Vlera e </w:t>
      </w:r>
      <w:r w:rsidR="00A434CA" w:rsidRPr="00445472">
        <w:t>ujit</w:t>
      </w:r>
      <w:bookmarkEnd w:id="235"/>
      <w:bookmarkEnd w:id="236"/>
      <w:bookmarkEnd w:id="237"/>
    </w:p>
    <w:p w14:paraId="3D3F45E8" w14:textId="77777777" w:rsidR="00591820" w:rsidRPr="00445472" w:rsidRDefault="00591820" w:rsidP="00F015E8">
      <w:pPr>
        <w:pStyle w:val="TEKSTIIII"/>
      </w:pPr>
      <w:r w:rsidRPr="00445472">
        <w:t>Vlera e ujit të konsumuar nga përdoruesit shtëpiakë, bujqësorë dhe industrialë është vlerësuar duke marrë parasysh sasinë e konsumit të ujit dhe tarifat përkatëse të aplikuara nga ofruesit e shërbimeve.</w:t>
      </w:r>
    </w:p>
    <w:p w14:paraId="3F69B351" w14:textId="77777777" w:rsidR="00591820" w:rsidRPr="00445472" w:rsidRDefault="00591820" w:rsidP="00F015E8">
      <w:pPr>
        <w:pStyle w:val="TEKSTIIII"/>
      </w:pPr>
      <w:r w:rsidRPr="00445472">
        <w:t>Shifrat e përdorura në këtë seksion pasqyrojnë përpjekjet e furnitorëve për të ofruar ujë sesa vlerën reale e ujit të nxjerrë nga burimet natyrore. Megjithatë, ne konsiderojmë një mjet të mirë për të vlerësuar ndikimin monetar të konsumit.</w:t>
      </w:r>
    </w:p>
    <w:p w14:paraId="08A11918" w14:textId="0774920A" w:rsidR="00591820" w:rsidRPr="00445472" w:rsidRDefault="00F015E8" w:rsidP="00F015E8">
      <w:pPr>
        <w:pStyle w:val="NENTITULL"/>
      </w:pPr>
      <w:bookmarkStart w:id="238" w:name="_bookmark44"/>
      <w:bookmarkStart w:id="239" w:name="_Toc11068858"/>
      <w:bookmarkEnd w:id="238"/>
      <w:r w:rsidRPr="00445472">
        <w:t xml:space="preserve">11.3.1 </w:t>
      </w:r>
      <w:r w:rsidR="00591820" w:rsidRPr="00445472">
        <w:t>Përdorimi shtëpiak i ujit</w:t>
      </w:r>
      <w:bookmarkEnd w:id="239"/>
    </w:p>
    <w:p w14:paraId="274C6A90" w14:textId="77777777" w:rsidR="00591820" w:rsidRPr="00445472" w:rsidRDefault="00591820" w:rsidP="00F015E8">
      <w:pPr>
        <w:pStyle w:val="TEKSTIIII"/>
      </w:pPr>
      <w:r w:rsidRPr="00445472">
        <w:t>Vlera vjetore e ujit për përdorim shtëpiak në rastin e furnizimit me ujë të centralizuar është vlerësuar duke marrë parasysh tarifat ekzistuese të ujit në rajonet e ndryshme të qarkut të Basenit Ujor. Siç është përmendur edhe më lartë, vlera e ujit të vetë-shërbyer nuk përfshihet pasi nuk ka të dhëna të sakta për konsumin real dhe nuk ka metoda adekuate për të vlerësuar këtë ujë.</w:t>
      </w:r>
    </w:p>
    <w:p w14:paraId="39A0DCAC" w14:textId="1C1F6299" w:rsidR="00591820" w:rsidRPr="00445472" w:rsidRDefault="00591820" w:rsidP="00F015E8">
      <w:pPr>
        <w:pStyle w:val="TEKSTIIII"/>
      </w:pPr>
      <w:r w:rsidRPr="00445472">
        <w:t xml:space="preserve">Shifrat për vlerën e ujit shtëpiak në çdo qark që i përket basenit ujor janë paraqitur në </w:t>
      </w:r>
      <w:r w:rsidR="00A434CA" w:rsidRPr="00445472">
        <w:t xml:space="preserve">tabelën </w:t>
      </w:r>
      <w:r w:rsidRPr="00445472">
        <w:t>11.8 më poshtë.</w:t>
      </w:r>
    </w:p>
    <w:p w14:paraId="5331646C" w14:textId="77777777" w:rsidR="00A434CA" w:rsidRPr="00445472" w:rsidRDefault="00A434CA" w:rsidP="00F015E8">
      <w:pPr>
        <w:pStyle w:val="NENTITULL"/>
        <w:rPr>
          <w:bCs/>
        </w:rPr>
      </w:pPr>
    </w:p>
    <w:p w14:paraId="57135AEC" w14:textId="6C244FA4" w:rsidR="00591820" w:rsidRPr="00445472" w:rsidRDefault="00591820" w:rsidP="00F015E8">
      <w:pPr>
        <w:pStyle w:val="NENTITULL"/>
        <w:rPr>
          <w:bCs/>
          <w:sz w:val="13"/>
        </w:rPr>
      </w:pPr>
      <w:r w:rsidRPr="00445472">
        <w:rPr>
          <w:bCs/>
        </w:rPr>
        <w:t xml:space="preserve">Tabela 11.8: Vlera e ujit për përdorim shtëpiak në Basenin Ujor </w:t>
      </w:r>
      <w:r w:rsidR="007E76E3" w:rsidRPr="00445472">
        <w:rPr>
          <w:bCs/>
        </w:rPr>
        <w:t>Drin–Bunë</w:t>
      </w:r>
      <w:r w:rsidRPr="00445472">
        <w:rPr>
          <w:bCs/>
          <w:vertAlign w:val="superscript"/>
        </w:rPr>
        <w:footnoteReference w:id="199"/>
      </w:r>
    </w:p>
    <w:tbl>
      <w:tblPr>
        <w:tblW w:w="5000" w:type="pct"/>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1213"/>
        <w:gridCol w:w="2504"/>
        <w:gridCol w:w="2686"/>
        <w:gridCol w:w="2684"/>
      </w:tblGrid>
      <w:tr w:rsidR="00591820" w:rsidRPr="00445472" w14:paraId="7FA38E5B" w14:textId="77777777" w:rsidTr="00F015E8">
        <w:trPr>
          <w:trHeight w:val="700"/>
        </w:trPr>
        <w:tc>
          <w:tcPr>
            <w:tcW w:w="667" w:type="pct"/>
            <w:vAlign w:val="center"/>
          </w:tcPr>
          <w:p w14:paraId="1C93EFB8" w14:textId="77777777" w:rsidR="00591820" w:rsidRPr="00445472" w:rsidRDefault="00591820" w:rsidP="002A1F08">
            <w:pPr>
              <w:spacing w:before="22" w:after="22"/>
              <w:ind w:right="63"/>
              <w:jc w:val="center"/>
              <w:rPr>
                <w:rFonts w:ascii="Garamond" w:eastAsia="MS Mincho" w:hAnsi="Garamond" w:cs="Arial"/>
                <w:b/>
                <w:sz w:val="18"/>
                <w:szCs w:val="18"/>
              </w:rPr>
            </w:pPr>
          </w:p>
          <w:p w14:paraId="72603377"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Qarku</w:t>
            </w:r>
          </w:p>
        </w:tc>
        <w:tc>
          <w:tcPr>
            <w:tcW w:w="1378" w:type="pct"/>
            <w:vAlign w:val="center"/>
          </w:tcPr>
          <w:p w14:paraId="6FA36353"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Konsumi i ujit </w:t>
            </w:r>
          </w:p>
          <w:p w14:paraId="6A26542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/vit)</w:t>
            </w:r>
          </w:p>
        </w:tc>
        <w:tc>
          <w:tcPr>
            <w:tcW w:w="1478" w:type="pct"/>
            <w:vAlign w:val="center"/>
          </w:tcPr>
          <w:p w14:paraId="5B7800E9" w14:textId="58D88888"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Vlera e ujit shtëpiak (</w:t>
            </w:r>
            <w:r w:rsidR="00A434CA" w:rsidRPr="00445472">
              <w:rPr>
                <w:rFonts w:ascii="Garamond" w:eastAsia="MS Mincho" w:hAnsi="Garamond" w:cs="Arial"/>
                <w:b/>
                <w:sz w:val="18"/>
                <w:szCs w:val="18"/>
              </w:rPr>
              <w:t>lek</w:t>
            </w:r>
            <w:r w:rsidRPr="00445472">
              <w:rPr>
                <w:rFonts w:ascii="Garamond" w:eastAsia="MS Mincho" w:hAnsi="Garamond" w:cs="Arial"/>
                <w:b/>
                <w:sz w:val="18"/>
                <w:szCs w:val="18"/>
              </w:rPr>
              <w:t>/vit)</w:t>
            </w:r>
          </w:p>
        </w:tc>
        <w:tc>
          <w:tcPr>
            <w:tcW w:w="1477" w:type="pct"/>
            <w:vAlign w:val="center"/>
          </w:tcPr>
          <w:p w14:paraId="25C7DE30" w14:textId="0AA777FA"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Vlera e ujit shtëpiak (</w:t>
            </w:r>
            <w:r w:rsidR="00A434CA" w:rsidRPr="00445472">
              <w:rPr>
                <w:rFonts w:ascii="Garamond" w:eastAsia="MS Mincho" w:hAnsi="Garamond" w:cs="Arial"/>
                <w:b/>
                <w:sz w:val="18"/>
                <w:szCs w:val="18"/>
              </w:rPr>
              <w:t>euro</w:t>
            </w:r>
            <w:r w:rsidRPr="00445472">
              <w:rPr>
                <w:rFonts w:ascii="Garamond" w:eastAsia="MS Mincho" w:hAnsi="Garamond" w:cs="Arial"/>
                <w:b/>
                <w:sz w:val="18"/>
                <w:szCs w:val="18"/>
              </w:rPr>
              <w:t>/vit)</w:t>
            </w:r>
          </w:p>
        </w:tc>
      </w:tr>
      <w:tr w:rsidR="00591820" w:rsidRPr="00445472" w14:paraId="79336D55" w14:textId="77777777" w:rsidTr="00F015E8">
        <w:trPr>
          <w:trHeight w:val="315"/>
        </w:trPr>
        <w:tc>
          <w:tcPr>
            <w:tcW w:w="667" w:type="pct"/>
            <w:shd w:val="clear" w:color="auto" w:fill="E6E6E6"/>
            <w:vAlign w:val="center"/>
          </w:tcPr>
          <w:p w14:paraId="40993EB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1378" w:type="pct"/>
            <w:shd w:val="clear" w:color="auto" w:fill="E6E6E6"/>
            <w:vAlign w:val="center"/>
          </w:tcPr>
          <w:p w14:paraId="5208679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7,856,801</w:t>
            </w:r>
          </w:p>
        </w:tc>
        <w:tc>
          <w:tcPr>
            <w:tcW w:w="1478" w:type="pct"/>
            <w:shd w:val="clear" w:color="auto" w:fill="E6E6E6"/>
            <w:vAlign w:val="center"/>
          </w:tcPr>
          <w:p w14:paraId="277A2B8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339,714,645</w:t>
            </w:r>
          </w:p>
        </w:tc>
        <w:tc>
          <w:tcPr>
            <w:tcW w:w="1477" w:type="pct"/>
            <w:shd w:val="clear" w:color="auto" w:fill="E6E6E6"/>
            <w:vAlign w:val="center"/>
          </w:tcPr>
          <w:p w14:paraId="14E390B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2,479,940</w:t>
            </w:r>
          </w:p>
        </w:tc>
      </w:tr>
      <w:tr w:rsidR="00591820" w:rsidRPr="00445472" w14:paraId="4309B14C" w14:textId="77777777" w:rsidTr="00F015E8">
        <w:trPr>
          <w:trHeight w:val="340"/>
        </w:trPr>
        <w:tc>
          <w:tcPr>
            <w:tcW w:w="667" w:type="pct"/>
            <w:vAlign w:val="center"/>
          </w:tcPr>
          <w:p w14:paraId="44F6403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1378" w:type="pct"/>
            <w:vAlign w:val="center"/>
          </w:tcPr>
          <w:p w14:paraId="3609DB2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1,440,413</w:t>
            </w:r>
          </w:p>
        </w:tc>
        <w:tc>
          <w:tcPr>
            <w:tcW w:w="1478" w:type="pct"/>
            <w:vAlign w:val="center"/>
          </w:tcPr>
          <w:p w14:paraId="3328BC2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33,655,421</w:t>
            </w:r>
          </w:p>
        </w:tc>
        <w:tc>
          <w:tcPr>
            <w:tcW w:w="1477" w:type="pct"/>
            <w:vAlign w:val="center"/>
          </w:tcPr>
          <w:p w14:paraId="3CC740B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245,687</w:t>
            </w:r>
          </w:p>
        </w:tc>
      </w:tr>
      <w:tr w:rsidR="00591820" w:rsidRPr="00445472" w14:paraId="3ED17FE8" w14:textId="77777777" w:rsidTr="00F015E8">
        <w:trPr>
          <w:trHeight w:val="340"/>
        </w:trPr>
        <w:tc>
          <w:tcPr>
            <w:tcW w:w="667" w:type="pct"/>
            <w:shd w:val="clear" w:color="auto" w:fill="E6E6E6"/>
            <w:vAlign w:val="center"/>
          </w:tcPr>
          <w:p w14:paraId="65E3992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1378" w:type="pct"/>
            <w:shd w:val="clear" w:color="auto" w:fill="E6E6E6"/>
            <w:vAlign w:val="center"/>
          </w:tcPr>
          <w:p w14:paraId="6776961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1,395,322</w:t>
            </w:r>
          </w:p>
        </w:tc>
        <w:tc>
          <w:tcPr>
            <w:tcW w:w="1478" w:type="pct"/>
            <w:shd w:val="clear" w:color="auto" w:fill="E6E6E6"/>
            <w:vAlign w:val="center"/>
          </w:tcPr>
          <w:p w14:paraId="4B693AB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30,932,654</w:t>
            </w:r>
          </w:p>
        </w:tc>
        <w:tc>
          <w:tcPr>
            <w:tcW w:w="1477" w:type="pct"/>
            <w:shd w:val="clear" w:color="auto" w:fill="E6E6E6"/>
            <w:vAlign w:val="center"/>
          </w:tcPr>
          <w:p w14:paraId="1EFF2F9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225,810</w:t>
            </w:r>
          </w:p>
        </w:tc>
      </w:tr>
      <w:tr w:rsidR="00591820" w:rsidRPr="00445472" w14:paraId="60E6C402" w14:textId="77777777" w:rsidTr="00F015E8">
        <w:trPr>
          <w:trHeight w:val="340"/>
        </w:trPr>
        <w:tc>
          <w:tcPr>
            <w:tcW w:w="667" w:type="pct"/>
            <w:vAlign w:val="center"/>
          </w:tcPr>
          <w:p w14:paraId="0624CF2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1378" w:type="pct"/>
            <w:vAlign w:val="center"/>
          </w:tcPr>
          <w:p w14:paraId="4D2B1BC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1,164,238</w:t>
            </w:r>
          </w:p>
        </w:tc>
        <w:tc>
          <w:tcPr>
            <w:tcW w:w="1478" w:type="pct"/>
            <w:vAlign w:val="center"/>
          </w:tcPr>
          <w:p w14:paraId="09D46AC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67,525,804</w:t>
            </w:r>
          </w:p>
        </w:tc>
        <w:tc>
          <w:tcPr>
            <w:tcW w:w="1477" w:type="pct"/>
            <w:vAlign w:val="center"/>
          </w:tcPr>
          <w:p w14:paraId="3510CF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492,943</w:t>
            </w:r>
          </w:p>
        </w:tc>
      </w:tr>
      <w:tr w:rsidR="00591820" w:rsidRPr="00445472" w14:paraId="3CDE65B7" w14:textId="77777777" w:rsidTr="00F015E8">
        <w:trPr>
          <w:trHeight w:val="340"/>
        </w:trPr>
        <w:tc>
          <w:tcPr>
            <w:tcW w:w="667" w:type="pct"/>
            <w:vAlign w:val="center"/>
          </w:tcPr>
          <w:p w14:paraId="0FFA623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Korçë</w:t>
            </w:r>
          </w:p>
        </w:tc>
        <w:tc>
          <w:tcPr>
            <w:tcW w:w="1378" w:type="pct"/>
            <w:vAlign w:val="center"/>
          </w:tcPr>
          <w:p w14:paraId="1396712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1,223,061</w:t>
            </w:r>
          </w:p>
        </w:tc>
        <w:tc>
          <w:tcPr>
            <w:tcW w:w="1478" w:type="pct"/>
            <w:vAlign w:val="center"/>
          </w:tcPr>
          <w:p w14:paraId="0D7FE69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75,829,782</w:t>
            </w:r>
          </w:p>
        </w:tc>
        <w:tc>
          <w:tcPr>
            <w:tcW w:w="1477" w:type="pct"/>
            <w:vAlign w:val="center"/>
          </w:tcPr>
          <w:p w14:paraId="7EBD3D1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553,563</w:t>
            </w:r>
          </w:p>
        </w:tc>
      </w:tr>
    </w:tbl>
    <w:p w14:paraId="3AF0F1C7" w14:textId="64C2CEA6" w:rsidR="00591820" w:rsidRPr="00445472" w:rsidRDefault="00591820" w:rsidP="00F015E8">
      <w:pPr>
        <w:pStyle w:val="TEKSTIIII"/>
      </w:pPr>
    </w:p>
    <w:p w14:paraId="48782008" w14:textId="359D0863" w:rsidR="00591820" w:rsidRPr="00445472" w:rsidRDefault="00F015E8" w:rsidP="00F015E8">
      <w:pPr>
        <w:pStyle w:val="NENTITULL"/>
      </w:pPr>
      <w:bookmarkStart w:id="240" w:name="_bookmark45"/>
      <w:bookmarkStart w:id="241" w:name="_Toc11068859"/>
      <w:bookmarkEnd w:id="240"/>
      <w:r w:rsidRPr="00445472">
        <w:t xml:space="preserve">11.3.2 </w:t>
      </w:r>
      <w:r w:rsidR="00591820" w:rsidRPr="00445472">
        <w:t>Përdorimi industrial, komercial dhe institucional i ujit</w:t>
      </w:r>
      <w:bookmarkEnd w:id="241"/>
    </w:p>
    <w:p w14:paraId="4371AA59" w14:textId="733740CF" w:rsidR="00591820" w:rsidRPr="00445472" w:rsidRDefault="00591820" w:rsidP="00F015E8">
      <w:pPr>
        <w:pStyle w:val="TEKSTIIII"/>
      </w:pPr>
      <w:r w:rsidRPr="00445472">
        <w:t>Vlera vjetore (2015) e ujit për përdorim industrial, komercial dhe institucional (IKI) në rastin e furnizimit me ujë të centralizuar është vlerësuar</w:t>
      </w:r>
      <w:r w:rsidR="00A434CA" w:rsidRPr="00445472">
        <w:t>,</w:t>
      </w:r>
      <w:r w:rsidRPr="00445472">
        <w:t xml:space="preserve"> duke marrë parasysh tarifat ekzistuese të ujit në rajonet e ndryshme të Basenit Ujor (</w:t>
      </w:r>
      <w:r w:rsidR="00A434CA" w:rsidRPr="00445472">
        <w:t xml:space="preserve">tab ela </w:t>
      </w:r>
      <w:r w:rsidRPr="00445472">
        <w:t>11.9). Vlera e ujit të vetë-shërbyer nuk është përfshirë, pasi nuk ka të dhëna të besueshme për këtë çështje.</w:t>
      </w:r>
    </w:p>
    <w:p w14:paraId="7AA0F132" w14:textId="77777777" w:rsidR="00591820" w:rsidRPr="00445472" w:rsidRDefault="00591820" w:rsidP="00F015E8">
      <w:pPr>
        <w:pStyle w:val="TEKSTIIII"/>
      </w:pPr>
    </w:p>
    <w:p w14:paraId="623DCCEA" w14:textId="3047DD22" w:rsidR="00591820" w:rsidRPr="00445472" w:rsidRDefault="00591820" w:rsidP="00F015E8">
      <w:pPr>
        <w:pStyle w:val="NENTITULL"/>
        <w:rPr>
          <w:sz w:val="13"/>
        </w:rPr>
      </w:pPr>
      <w:r w:rsidRPr="00445472">
        <w:t xml:space="preserve">Tabela 11.9: Vlera vjetore e ujit industrial, komercial dhe institucional (IKI) në Basenin Ujor </w:t>
      </w:r>
      <w:r w:rsidR="007E76E3" w:rsidRPr="00445472">
        <w:t>Drin–Bunë</w:t>
      </w:r>
      <w:r w:rsidRPr="00445472">
        <w:rPr>
          <w:vertAlign w:val="superscript"/>
        </w:rPr>
        <w:footnoteReference w:id="200"/>
      </w:r>
    </w:p>
    <w:tbl>
      <w:tblPr>
        <w:tblW w:w="5000" w:type="pct"/>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1438"/>
        <w:gridCol w:w="1579"/>
        <w:gridCol w:w="1310"/>
        <w:gridCol w:w="1054"/>
        <w:gridCol w:w="1032"/>
        <w:gridCol w:w="1358"/>
        <w:gridCol w:w="1316"/>
      </w:tblGrid>
      <w:tr w:rsidR="00591820" w:rsidRPr="00445472" w14:paraId="0FCE0683" w14:textId="77777777" w:rsidTr="00F015E8">
        <w:trPr>
          <w:trHeight w:val="1260"/>
        </w:trPr>
        <w:tc>
          <w:tcPr>
            <w:tcW w:w="791" w:type="pct"/>
            <w:vAlign w:val="center"/>
          </w:tcPr>
          <w:p w14:paraId="77EB23B1"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Emri i Ndërmarrjes</w:t>
            </w:r>
          </w:p>
        </w:tc>
        <w:tc>
          <w:tcPr>
            <w:tcW w:w="869" w:type="pct"/>
            <w:vAlign w:val="center"/>
          </w:tcPr>
          <w:p w14:paraId="12C532B7" w14:textId="29BE4A0C"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Sasia totale e ujit të shitur (000</w:t>
            </w:r>
            <w:r w:rsidR="00A434CA" w:rsidRPr="00445472">
              <w:rPr>
                <w:rFonts w:ascii="Garamond" w:eastAsia="MS Mincho" w:hAnsi="Garamond" w:cs="Arial"/>
                <w:b/>
                <w:sz w:val="18"/>
                <w:szCs w:val="18"/>
              </w:rPr>
              <w:t xml:space="preserve"> </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721" w:type="pct"/>
            <w:vAlign w:val="center"/>
          </w:tcPr>
          <w:p w14:paraId="3237623C" w14:textId="7B48125E"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Tarifa e ujit (</w:t>
            </w:r>
            <w:r w:rsidR="003D65F3" w:rsidRPr="00445472">
              <w:rPr>
                <w:rFonts w:ascii="Garamond" w:eastAsia="MS Mincho" w:hAnsi="Garamond" w:cs="Arial"/>
                <w:b/>
                <w:sz w:val="18"/>
                <w:szCs w:val="18"/>
              </w:rPr>
              <w:t>lek</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580" w:type="pct"/>
            <w:vAlign w:val="center"/>
          </w:tcPr>
          <w:p w14:paraId="11C063C7" w14:textId="042B8A2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Sasia totale e ujit të shitur (000</w:t>
            </w:r>
            <w:r w:rsidR="00A434CA" w:rsidRPr="00445472">
              <w:rPr>
                <w:rFonts w:ascii="Garamond" w:eastAsia="MS Mincho" w:hAnsi="Garamond" w:cs="Arial"/>
                <w:b/>
                <w:sz w:val="18"/>
                <w:szCs w:val="18"/>
              </w:rPr>
              <w:t xml:space="preserve"> </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568" w:type="pct"/>
            <w:vAlign w:val="center"/>
          </w:tcPr>
          <w:p w14:paraId="1CC083D0" w14:textId="364C00BB"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Tarifa e ujit (</w:t>
            </w:r>
            <w:r w:rsidR="003D65F3" w:rsidRPr="00445472">
              <w:rPr>
                <w:rFonts w:ascii="Garamond" w:eastAsia="MS Mincho" w:hAnsi="Garamond" w:cs="Arial"/>
                <w:b/>
                <w:sz w:val="18"/>
                <w:szCs w:val="18"/>
              </w:rPr>
              <w:t>lek</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747" w:type="pct"/>
            <w:vAlign w:val="center"/>
          </w:tcPr>
          <w:p w14:paraId="208D9715" w14:textId="744322C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Vlera e ujit IKI </w:t>
            </w:r>
            <w:r w:rsidRPr="00445472">
              <w:rPr>
                <w:rFonts w:ascii="Garamond" w:eastAsia="MS Mincho" w:hAnsi="Garamond" w:cs="Arial"/>
                <w:b/>
                <w:spacing w:val="-1"/>
                <w:sz w:val="18"/>
                <w:szCs w:val="18"/>
              </w:rPr>
              <w:t>(</w:t>
            </w:r>
            <w:r w:rsidR="003D65F3" w:rsidRPr="00445472">
              <w:rPr>
                <w:rFonts w:ascii="Garamond" w:eastAsia="MS Mincho" w:hAnsi="Garamond" w:cs="Arial"/>
                <w:b/>
                <w:spacing w:val="-1"/>
                <w:sz w:val="18"/>
                <w:szCs w:val="18"/>
              </w:rPr>
              <w:t>lek</w:t>
            </w:r>
            <w:r w:rsidRPr="00445472">
              <w:rPr>
                <w:rFonts w:ascii="Garamond" w:eastAsia="MS Mincho" w:hAnsi="Garamond" w:cs="Arial"/>
                <w:b/>
                <w:spacing w:val="-1"/>
                <w:sz w:val="18"/>
                <w:szCs w:val="18"/>
              </w:rPr>
              <w:t>/vit)</w:t>
            </w:r>
          </w:p>
        </w:tc>
        <w:tc>
          <w:tcPr>
            <w:tcW w:w="724" w:type="pct"/>
            <w:vAlign w:val="center"/>
          </w:tcPr>
          <w:p w14:paraId="72E9D645" w14:textId="15A75480"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Vlera e ujit IKI </w:t>
            </w:r>
            <w:r w:rsidRPr="00445472">
              <w:rPr>
                <w:rFonts w:ascii="Garamond" w:eastAsia="MS Mincho" w:hAnsi="Garamond" w:cs="Arial"/>
                <w:b/>
                <w:spacing w:val="-1"/>
                <w:sz w:val="18"/>
                <w:szCs w:val="18"/>
              </w:rPr>
              <w:t>(</w:t>
            </w:r>
            <w:r w:rsidR="003D65F3" w:rsidRPr="00445472">
              <w:rPr>
                <w:rFonts w:ascii="Garamond" w:eastAsia="MS Mincho" w:hAnsi="Garamond" w:cs="Arial"/>
                <w:b/>
                <w:spacing w:val="-1"/>
                <w:sz w:val="18"/>
                <w:szCs w:val="18"/>
              </w:rPr>
              <w:t>euro</w:t>
            </w:r>
            <w:r w:rsidRPr="00445472">
              <w:rPr>
                <w:rFonts w:ascii="Garamond" w:eastAsia="MS Mincho" w:hAnsi="Garamond" w:cs="Arial"/>
                <w:b/>
                <w:spacing w:val="-1"/>
                <w:sz w:val="18"/>
                <w:szCs w:val="18"/>
              </w:rPr>
              <w:t>/vit)</w:t>
            </w:r>
          </w:p>
        </w:tc>
      </w:tr>
      <w:tr w:rsidR="00591820" w:rsidRPr="00445472" w14:paraId="118173C7" w14:textId="77777777" w:rsidTr="00F015E8">
        <w:trPr>
          <w:trHeight w:val="340"/>
        </w:trPr>
        <w:tc>
          <w:tcPr>
            <w:tcW w:w="791" w:type="pct"/>
            <w:vAlign w:val="center"/>
          </w:tcPr>
          <w:p w14:paraId="6DDC835D" w14:textId="77777777" w:rsidR="00591820" w:rsidRPr="00445472" w:rsidRDefault="00591820" w:rsidP="002A1F08">
            <w:pPr>
              <w:spacing w:before="22" w:after="22"/>
              <w:ind w:right="63"/>
              <w:jc w:val="center"/>
              <w:rPr>
                <w:rFonts w:ascii="Garamond" w:eastAsia="MS Mincho" w:hAnsi="Garamond" w:cs="Arial"/>
                <w:sz w:val="18"/>
                <w:szCs w:val="18"/>
              </w:rPr>
            </w:pPr>
          </w:p>
        </w:tc>
        <w:tc>
          <w:tcPr>
            <w:tcW w:w="1589" w:type="pct"/>
            <w:gridSpan w:val="2"/>
            <w:vAlign w:val="center"/>
          </w:tcPr>
          <w:p w14:paraId="3FA8745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Komercial dhe institucional</w:t>
            </w:r>
          </w:p>
        </w:tc>
        <w:tc>
          <w:tcPr>
            <w:tcW w:w="1148" w:type="pct"/>
            <w:gridSpan w:val="2"/>
            <w:vAlign w:val="center"/>
          </w:tcPr>
          <w:p w14:paraId="3C83A9E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Industrial</w:t>
            </w:r>
          </w:p>
        </w:tc>
        <w:tc>
          <w:tcPr>
            <w:tcW w:w="747" w:type="pct"/>
            <w:vAlign w:val="center"/>
          </w:tcPr>
          <w:p w14:paraId="221B137D" w14:textId="77777777" w:rsidR="00591820" w:rsidRPr="00445472" w:rsidRDefault="00591820" w:rsidP="002A1F08">
            <w:pPr>
              <w:spacing w:before="22" w:after="22"/>
              <w:ind w:right="63"/>
              <w:jc w:val="center"/>
              <w:rPr>
                <w:rFonts w:ascii="Garamond" w:eastAsia="MS Mincho" w:hAnsi="Garamond" w:cs="Arial"/>
                <w:sz w:val="18"/>
                <w:szCs w:val="18"/>
              </w:rPr>
            </w:pPr>
          </w:p>
        </w:tc>
        <w:tc>
          <w:tcPr>
            <w:tcW w:w="724" w:type="pct"/>
            <w:vAlign w:val="center"/>
          </w:tcPr>
          <w:p w14:paraId="03C757D7"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425C4E40" w14:textId="77777777" w:rsidTr="00F015E8">
        <w:trPr>
          <w:trHeight w:val="580"/>
        </w:trPr>
        <w:tc>
          <w:tcPr>
            <w:tcW w:w="791" w:type="pct"/>
            <w:shd w:val="clear" w:color="auto" w:fill="E6E6E6"/>
            <w:vAlign w:val="center"/>
          </w:tcPr>
          <w:p w14:paraId="2E43544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Bashkia Pukë UK</w:t>
            </w:r>
          </w:p>
        </w:tc>
        <w:tc>
          <w:tcPr>
            <w:tcW w:w="869" w:type="pct"/>
            <w:shd w:val="clear" w:color="auto" w:fill="E6E6E6"/>
            <w:vAlign w:val="center"/>
          </w:tcPr>
          <w:p w14:paraId="6804664E" w14:textId="77777777" w:rsidR="00591820" w:rsidRPr="00445472" w:rsidRDefault="00591820" w:rsidP="002A1F08">
            <w:pPr>
              <w:spacing w:before="22" w:after="22"/>
              <w:ind w:right="63"/>
              <w:jc w:val="center"/>
              <w:rPr>
                <w:rFonts w:ascii="Garamond" w:eastAsia="MS Mincho" w:hAnsi="Garamond" w:cs="Arial"/>
                <w:sz w:val="18"/>
                <w:szCs w:val="18"/>
              </w:rPr>
            </w:pPr>
          </w:p>
          <w:p w14:paraId="0BD5A19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9</w:t>
            </w:r>
          </w:p>
        </w:tc>
        <w:tc>
          <w:tcPr>
            <w:tcW w:w="721" w:type="pct"/>
            <w:shd w:val="clear" w:color="auto" w:fill="E6E6E6"/>
            <w:vAlign w:val="center"/>
          </w:tcPr>
          <w:p w14:paraId="1DA5F7BA" w14:textId="77777777" w:rsidR="00591820" w:rsidRPr="00445472" w:rsidRDefault="00591820" w:rsidP="002A1F08">
            <w:pPr>
              <w:spacing w:before="22" w:after="22"/>
              <w:ind w:right="63"/>
              <w:jc w:val="center"/>
              <w:rPr>
                <w:rFonts w:ascii="Garamond" w:eastAsia="MS Mincho" w:hAnsi="Garamond" w:cs="Arial"/>
                <w:sz w:val="18"/>
                <w:szCs w:val="18"/>
              </w:rPr>
            </w:pPr>
          </w:p>
          <w:p w14:paraId="031D5F6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140</w:t>
            </w:r>
          </w:p>
        </w:tc>
        <w:tc>
          <w:tcPr>
            <w:tcW w:w="580" w:type="pct"/>
            <w:shd w:val="clear" w:color="auto" w:fill="E6E6E6"/>
            <w:vAlign w:val="center"/>
          </w:tcPr>
          <w:p w14:paraId="18E2D608" w14:textId="77777777" w:rsidR="00591820" w:rsidRPr="00445472" w:rsidRDefault="00591820" w:rsidP="002A1F08">
            <w:pPr>
              <w:spacing w:before="22" w:after="22"/>
              <w:ind w:right="63"/>
              <w:jc w:val="center"/>
              <w:rPr>
                <w:rFonts w:ascii="Garamond" w:eastAsia="MS Mincho" w:hAnsi="Garamond" w:cs="Arial"/>
                <w:sz w:val="18"/>
                <w:szCs w:val="18"/>
              </w:rPr>
            </w:pPr>
          </w:p>
          <w:p w14:paraId="5139A6E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w:t>
            </w:r>
          </w:p>
        </w:tc>
        <w:tc>
          <w:tcPr>
            <w:tcW w:w="568" w:type="pct"/>
            <w:shd w:val="clear" w:color="auto" w:fill="E6E6E6"/>
            <w:vAlign w:val="center"/>
          </w:tcPr>
          <w:p w14:paraId="2BC5E7E2" w14:textId="77777777" w:rsidR="00591820" w:rsidRPr="00445472" w:rsidRDefault="00591820" w:rsidP="002A1F08">
            <w:pPr>
              <w:spacing w:before="22" w:after="22"/>
              <w:ind w:right="63"/>
              <w:jc w:val="center"/>
              <w:rPr>
                <w:rFonts w:ascii="Garamond" w:eastAsia="MS Mincho" w:hAnsi="Garamond" w:cs="Arial"/>
                <w:sz w:val="18"/>
                <w:szCs w:val="18"/>
              </w:rPr>
            </w:pPr>
          </w:p>
          <w:p w14:paraId="625D806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130</w:t>
            </w:r>
          </w:p>
        </w:tc>
        <w:tc>
          <w:tcPr>
            <w:tcW w:w="747" w:type="pct"/>
            <w:shd w:val="clear" w:color="auto" w:fill="E6E6E6"/>
            <w:vAlign w:val="center"/>
          </w:tcPr>
          <w:p w14:paraId="3813A4D8" w14:textId="77777777" w:rsidR="00591820" w:rsidRPr="00445472" w:rsidRDefault="00591820" w:rsidP="002A1F08">
            <w:pPr>
              <w:spacing w:before="22" w:after="22"/>
              <w:ind w:right="63"/>
              <w:jc w:val="center"/>
              <w:rPr>
                <w:rFonts w:ascii="Garamond" w:eastAsia="MS Mincho" w:hAnsi="Garamond" w:cs="Arial"/>
                <w:sz w:val="18"/>
                <w:szCs w:val="18"/>
              </w:rPr>
            </w:pPr>
          </w:p>
          <w:p w14:paraId="64A7B98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3,563,700</w:t>
            </w:r>
          </w:p>
        </w:tc>
        <w:tc>
          <w:tcPr>
            <w:tcW w:w="724" w:type="pct"/>
            <w:shd w:val="clear" w:color="auto" w:fill="E6E6E6"/>
            <w:vAlign w:val="center"/>
          </w:tcPr>
          <w:p w14:paraId="118444D6" w14:textId="77777777" w:rsidR="00591820" w:rsidRPr="00445472" w:rsidRDefault="00591820" w:rsidP="002A1F08">
            <w:pPr>
              <w:spacing w:before="22" w:after="22"/>
              <w:ind w:right="63"/>
              <w:jc w:val="center"/>
              <w:rPr>
                <w:rFonts w:ascii="Garamond" w:eastAsia="MS Mincho" w:hAnsi="Garamond" w:cs="Arial"/>
                <w:sz w:val="18"/>
                <w:szCs w:val="18"/>
              </w:rPr>
            </w:pPr>
          </w:p>
          <w:p w14:paraId="1A51775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26,015</w:t>
            </w:r>
          </w:p>
        </w:tc>
      </w:tr>
      <w:tr w:rsidR="00591820" w:rsidRPr="00445472" w14:paraId="2F556BC9" w14:textId="77777777" w:rsidTr="00F015E8">
        <w:trPr>
          <w:trHeight w:val="800"/>
        </w:trPr>
        <w:tc>
          <w:tcPr>
            <w:tcW w:w="791" w:type="pct"/>
            <w:vAlign w:val="center"/>
          </w:tcPr>
          <w:p w14:paraId="6A32BA93" w14:textId="155F9AD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Vau </w:t>
            </w:r>
            <w:r w:rsidR="00A434CA" w:rsidRPr="00445472">
              <w:rPr>
                <w:rFonts w:ascii="Garamond" w:eastAsia="MS Mincho" w:hAnsi="Garamond" w:cs="Arial"/>
                <w:sz w:val="18"/>
                <w:szCs w:val="18"/>
              </w:rPr>
              <w:t xml:space="preserve">i </w:t>
            </w:r>
            <w:r w:rsidRPr="00445472">
              <w:rPr>
                <w:rFonts w:ascii="Garamond" w:eastAsia="MS Mincho" w:hAnsi="Garamond" w:cs="Arial"/>
                <w:sz w:val="18"/>
                <w:szCs w:val="18"/>
              </w:rPr>
              <w:t>Dejës U</w:t>
            </w:r>
          </w:p>
          <w:p w14:paraId="372C84A0" w14:textId="1054DDF9" w:rsidR="00591820" w:rsidRPr="00445472" w:rsidRDefault="00A434CA"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sh.a.</w:t>
            </w:r>
          </w:p>
        </w:tc>
        <w:tc>
          <w:tcPr>
            <w:tcW w:w="869" w:type="pct"/>
            <w:vAlign w:val="center"/>
          </w:tcPr>
          <w:p w14:paraId="41E8C531" w14:textId="77777777" w:rsidR="00591820" w:rsidRPr="00445472" w:rsidRDefault="00591820" w:rsidP="002A1F08">
            <w:pPr>
              <w:spacing w:before="22" w:after="22"/>
              <w:ind w:right="63"/>
              <w:jc w:val="center"/>
              <w:rPr>
                <w:rFonts w:ascii="Garamond" w:eastAsia="MS Mincho" w:hAnsi="Garamond" w:cs="Arial"/>
                <w:sz w:val="18"/>
                <w:szCs w:val="18"/>
              </w:rPr>
            </w:pPr>
          </w:p>
          <w:p w14:paraId="19E1C531" w14:textId="77777777" w:rsidR="00591820" w:rsidRPr="00445472" w:rsidRDefault="00591820" w:rsidP="002A1F08">
            <w:pPr>
              <w:spacing w:before="22" w:after="22"/>
              <w:ind w:right="63"/>
              <w:jc w:val="center"/>
              <w:rPr>
                <w:rFonts w:ascii="Garamond" w:eastAsia="MS Mincho" w:hAnsi="Garamond" w:cs="Arial"/>
                <w:sz w:val="18"/>
                <w:szCs w:val="18"/>
              </w:rPr>
            </w:pPr>
          </w:p>
          <w:p w14:paraId="05569AD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6</w:t>
            </w:r>
          </w:p>
        </w:tc>
        <w:tc>
          <w:tcPr>
            <w:tcW w:w="721" w:type="pct"/>
            <w:vAlign w:val="center"/>
          </w:tcPr>
          <w:p w14:paraId="667F83EC" w14:textId="77777777" w:rsidR="00591820" w:rsidRPr="00445472" w:rsidRDefault="00591820" w:rsidP="002A1F08">
            <w:pPr>
              <w:spacing w:before="22" w:after="22"/>
              <w:ind w:right="63"/>
              <w:jc w:val="center"/>
              <w:rPr>
                <w:rFonts w:ascii="Garamond" w:eastAsia="MS Mincho" w:hAnsi="Garamond" w:cs="Arial"/>
                <w:sz w:val="18"/>
                <w:szCs w:val="18"/>
              </w:rPr>
            </w:pPr>
          </w:p>
          <w:p w14:paraId="44F4CFB3" w14:textId="77777777" w:rsidR="00591820" w:rsidRPr="00445472" w:rsidRDefault="00591820" w:rsidP="002A1F08">
            <w:pPr>
              <w:spacing w:before="22" w:after="22"/>
              <w:ind w:right="63"/>
              <w:jc w:val="center"/>
              <w:rPr>
                <w:rFonts w:ascii="Garamond" w:eastAsia="MS Mincho" w:hAnsi="Garamond" w:cs="Arial"/>
                <w:sz w:val="18"/>
                <w:szCs w:val="18"/>
              </w:rPr>
            </w:pPr>
          </w:p>
          <w:p w14:paraId="7ED0CD2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580" w:type="pct"/>
            <w:vAlign w:val="center"/>
          </w:tcPr>
          <w:p w14:paraId="2B5A79A7" w14:textId="77777777" w:rsidR="00591820" w:rsidRPr="00445472" w:rsidRDefault="00591820" w:rsidP="002A1F08">
            <w:pPr>
              <w:spacing w:before="22" w:after="22"/>
              <w:ind w:right="63"/>
              <w:jc w:val="center"/>
              <w:rPr>
                <w:rFonts w:ascii="Garamond" w:eastAsia="MS Mincho" w:hAnsi="Garamond" w:cs="Arial"/>
                <w:sz w:val="18"/>
                <w:szCs w:val="18"/>
              </w:rPr>
            </w:pPr>
          </w:p>
          <w:p w14:paraId="48F9CF83" w14:textId="77777777" w:rsidR="00591820" w:rsidRPr="00445472" w:rsidRDefault="00591820" w:rsidP="002A1F08">
            <w:pPr>
              <w:spacing w:before="22" w:after="22"/>
              <w:ind w:right="63"/>
              <w:jc w:val="center"/>
              <w:rPr>
                <w:rFonts w:ascii="Garamond" w:eastAsia="MS Mincho" w:hAnsi="Garamond" w:cs="Arial"/>
                <w:sz w:val="18"/>
                <w:szCs w:val="18"/>
              </w:rPr>
            </w:pPr>
          </w:p>
          <w:p w14:paraId="329AB83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w:t>
            </w:r>
          </w:p>
        </w:tc>
        <w:tc>
          <w:tcPr>
            <w:tcW w:w="568" w:type="pct"/>
            <w:vAlign w:val="center"/>
          </w:tcPr>
          <w:p w14:paraId="749B12B0" w14:textId="77777777" w:rsidR="00591820" w:rsidRPr="00445472" w:rsidRDefault="00591820" w:rsidP="002A1F08">
            <w:pPr>
              <w:spacing w:before="22" w:after="22"/>
              <w:ind w:right="63"/>
              <w:jc w:val="center"/>
              <w:rPr>
                <w:rFonts w:ascii="Garamond" w:eastAsia="MS Mincho" w:hAnsi="Garamond" w:cs="Arial"/>
                <w:sz w:val="18"/>
                <w:szCs w:val="18"/>
              </w:rPr>
            </w:pPr>
          </w:p>
          <w:p w14:paraId="7C28E6EA" w14:textId="77777777" w:rsidR="00591820" w:rsidRPr="00445472" w:rsidRDefault="00591820" w:rsidP="002A1F08">
            <w:pPr>
              <w:spacing w:before="22" w:after="22"/>
              <w:ind w:right="63"/>
              <w:jc w:val="center"/>
              <w:rPr>
                <w:rFonts w:ascii="Garamond" w:eastAsia="MS Mincho" w:hAnsi="Garamond" w:cs="Arial"/>
                <w:sz w:val="18"/>
                <w:szCs w:val="18"/>
              </w:rPr>
            </w:pPr>
          </w:p>
          <w:p w14:paraId="482F9E5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747" w:type="pct"/>
            <w:vAlign w:val="center"/>
          </w:tcPr>
          <w:p w14:paraId="65D92DEA" w14:textId="77777777" w:rsidR="00591820" w:rsidRPr="00445472" w:rsidRDefault="00591820" w:rsidP="002A1F08">
            <w:pPr>
              <w:spacing w:before="22" w:after="22"/>
              <w:ind w:right="63"/>
              <w:jc w:val="center"/>
              <w:rPr>
                <w:rFonts w:ascii="Garamond" w:eastAsia="MS Mincho" w:hAnsi="Garamond" w:cs="Arial"/>
                <w:sz w:val="18"/>
                <w:szCs w:val="18"/>
              </w:rPr>
            </w:pPr>
          </w:p>
          <w:p w14:paraId="57C35574" w14:textId="77777777" w:rsidR="00591820" w:rsidRPr="00445472" w:rsidRDefault="00591820" w:rsidP="002A1F08">
            <w:pPr>
              <w:spacing w:before="22" w:after="22"/>
              <w:ind w:right="63"/>
              <w:jc w:val="center"/>
              <w:rPr>
                <w:rFonts w:ascii="Garamond" w:eastAsia="MS Mincho" w:hAnsi="Garamond" w:cs="Arial"/>
                <w:sz w:val="18"/>
                <w:szCs w:val="18"/>
              </w:rPr>
            </w:pPr>
          </w:p>
          <w:p w14:paraId="7BB22F1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1,580,000</w:t>
            </w:r>
          </w:p>
        </w:tc>
        <w:tc>
          <w:tcPr>
            <w:tcW w:w="724" w:type="pct"/>
            <w:vAlign w:val="center"/>
          </w:tcPr>
          <w:p w14:paraId="7DC63B8E" w14:textId="77777777" w:rsidR="00591820" w:rsidRPr="00445472" w:rsidRDefault="00591820" w:rsidP="002A1F08">
            <w:pPr>
              <w:spacing w:before="22" w:after="22"/>
              <w:ind w:right="63"/>
              <w:jc w:val="center"/>
              <w:rPr>
                <w:rFonts w:ascii="Garamond" w:eastAsia="MS Mincho" w:hAnsi="Garamond" w:cs="Arial"/>
                <w:sz w:val="18"/>
                <w:szCs w:val="18"/>
              </w:rPr>
            </w:pPr>
          </w:p>
          <w:p w14:paraId="38E7B67D" w14:textId="77777777" w:rsidR="00591820" w:rsidRPr="00445472" w:rsidRDefault="00591820" w:rsidP="002A1F08">
            <w:pPr>
              <w:spacing w:before="22" w:after="22"/>
              <w:ind w:right="63"/>
              <w:jc w:val="center"/>
              <w:rPr>
                <w:rFonts w:ascii="Garamond" w:eastAsia="MS Mincho" w:hAnsi="Garamond" w:cs="Arial"/>
                <w:sz w:val="18"/>
                <w:szCs w:val="18"/>
              </w:rPr>
            </w:pPr>
          </w:p>
          <w:p w14:paraId="2C50B5A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11,534</w:t>
            </w:r>
          </w:p>
        </w:tc>
      </w:tr>
      <w:tr w:rsidR="00591820" w:rsidRPr="00445472" w14:paraId="50DB185F" w14:textId="77777777" w:rsidTr="00F015E8">
        <w:trPr>
          <w:trHeight w:val="580"/>
        </w:trPr>
        <w:tc>
          <w:tcPr>
            <w:tcW w:w="791" w:type="pct"/>
            <w:shd w:val="clear" w:color="auto" w:fill="E6E6E6"/>
            <w:vAlign w:val="center"/>
          </w:tcPr>
          <w:p w14:paraId="7B14C69F" w14:textId="5957493E"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Tropojë U </w:t>
            </w:r>
            <w:r w:rsidR="00A434CA" w:rsidRPr="00445472">
              <w:rPr>
                <w:rFonts w:ascii="Garamond" w:eastAsia="MS Mincho" w:hAnsi="Garamond" w:cs="Arial"/>
                <w:sz w:val="18"/>
                <w:szCs w:val="18"/>
              </w:rPr>
              <w:t>sh.a.</w:t>
            </w:r>
          </w:p>
        </w:tc>
        <w:tc>
          <w:tcPr>
            <w:tcW w:w="869" w:type="pct"/>
            <w:shd w:val="clear" w:color="auto" w:fill="E6E6E6"/>
            <w:vAlign w:val="center"/>
          </w:tcPr>
          <w:p w14:paraId="6714C256" w14:textId="77777777" w:rsidR="00591820" w:rsidRPr="00445472" w:rsidRDefault="00591820" w:rsidP="002A1F08">
            <w:pPr>
              <w:spacing w:before="22" w:after="22"/>
              <w:ind w:right="63"/>
              <w:jc w:val="center"/>
              <w:rPr>
                <w:rFonts w:ascii="Garamond" w:eastAsia="MS Mincho" w:hAnsi="Garamond" w:cs="Arial"/>
                <w:sz w:val="18"/>
                <w:szCs w:val="18"/>
              </w:rPr>
            </w:pPr>
          </w:p>
          <w:p w14:paraId="227051C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w:t>
            </w:r>
          </w:p>
        </w:tc>
        <w:tc>
          <w:tcPr>
            <w:tcW w:w="721" w:type="pct"/>
            <w:shd w:val="clear" w:color="auto" w:fill="E6E6E6"/>
            <w:vAlign w:val="center"/>
          </w:tcPr>
          <w:p w14:paraId="49FD4443" w14:textId="77777777" w:rsidR="00591820" w:rsidRPr="00445472" w:rsidRDefault="00591820" w:rsidP="002A1F08">
            <w:pPr>
              <w:spacing w:before="22" w:after="22"/>
              <w:ind w:right="63"/>
              <w:jc w:val="center"/>
              <w:rPr>
                <w:rFonts w:ascii="Garamond" w:eastAsia="MS Mincho" w:hAnsi="Garamond" w:cs="Arial"/>
                <w:sz w:val="18"/>
                <w:szCs w:val="18"/>
              </w:rPr>
            </w:pPr>
          </w:p>
          <w:p w14:paraId="14308E7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580" w:type="pct"/>
            <w:shd w:val="clear" w:color="auto" w:fill="E6E6E6"/>
            <w:vAlign w:val="center"/>
          </w:tcPr>
          <w:p w14:paraId="25D53F32" w14:textId="77777777" w:rsidR="00591820" w:rsidRPr="00445472" w:rsidRDefault="00591820" w:rsidP="002A1F08">
            <w:pPr>
              <w:spacing w:before="22" w:after="22"/>
              <w:ind w:right="63"/>
              <w:jc w:val="center"/>
              <w:rPr>
                <w:rFonts w:ascii="Garamond" w:eastAsia="MS Mincho" w:hAnsi="Garamond" w:cs="Arial"/>
                <w:sz w:val="18"/>
                <w:szCs w:val="18"/>
              </w:rPr>
            </w:pPr>
          </w:p>
          <w:p w14:paraId="00E6393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32</w:t>
            </w:r>
          </w:p>
        </w:tc>
        <w:tc>
          <w:tcPr>
            <w:tcW w:w="568" w:type="pct"/>
            <w:shd w:val="clear" w:color="auto" w:fill="E6E6E6"/>
            <w:vAlign w:val="center"/>
          </w:tcPr>
          <w:p w14:paraId="1B2D6A24" w14:textId="77777777" w:rsidR="00591820" w:rsidRPr="00445472" w:rsidRDefault="00591820" w:rsidP="002A1F08">
            <w:pPr>
              <w:spacing w:before="22" w:after="22"/>
              <w:ind w:right="63"/>
              <w:jc w:val="center"/>
              <w:rPr>
                <w:rFonts w:ascii="Garamond" w:eastAsia="MS Mincho" w:hAnsi="Garamond" w:cs="Arial"/>
                <w:sz w:val="18"/>
                <w:szCs w:val="18"/>
              </w:rPr>
            </w:pPr>
          </w:p>
          <w:p w14:paraId="384DB0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c>
          <w:tcPr>
            <w:tcW w:w="747" w:type="pct"/>
            <w:shd w:val="clear" w:color="auto" w:fill="E6E6E6"/>
            <w:vAlign w:val="center"/>
          </w:tcPr>
          <w:p w14:paraId="1770B142" w14:textId="77777777" w:rsidR="00591820" w:rsidRPr="00445472" w:rsidRDefault="00591820" w:rsidP="002A1F08">
            <w:pPr>
              <w:spacing w:before="22" w:after="22"/>
              <w:ind w:right="63"/>
              <w:jc w:val="center"/>
              <w:rPr>
                <w:rFonts w:ascii="Garamond" w:eastAsia="MS Mincho" w:hAnsi="Garamond" w:cs="Arial"/>
                <w:sz w:val="18"/>
                <w:szCs w:val="18"/>
              </w:rPr>
            </w:pPr>
          </w:p>
          <w:p w14:paraId="594CECC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3,840,000</w:t>
            </w:r>
          </w:p>
        </w:tc>
        <w:tc>
          <w:tcPr>
            <w:tcW w:w="724" w:type="pct"/>
            <w:shd w:val="clear" w:color="auto" w:fill="E6E6E6"/>
            <w:vAlign w:val="center"/>
          </w:tcPr>
          <w:p w14:paraId="77241974" w14:textId="77777777" w:rsidR="00591820" w:rsidRPr="00445472" w:rsidRDefault="00591820" w:rsidP="002A1F08">
            <w:pPr>
              <w:spacing w:before="22" w:after="22"/>
              <w:ind w:right="63"/>
              <w:jc w:val="center"/>
              <w:rPr>
                <w:rFonts w:ascii="Garamond" w:eastAsia="MS Mincho" w:hAnsi="Garamond" w:cs="Arial"/>
                <w:sz w:val="18"/>
                <w:szCs w:val="18"/>
              </w:rPr>
            </w:pPr>
          </w:p>
          <w:p w14:paraId="3EF179D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28,032</w:t>
            </w:r>
          </w:p>
        </w:tc>
      </w:tr>
      <w:tr w:rsidR="00591820" w:rsidRPr="00445472" w14:paraId="7AC9D1D4" w14:textId="77777777" w:rsidTr="00F015E8">
        <w:trPr>
          <w:trHeight w:val="580"/>
        </w:trPr>
        <w:tc>
          <w:tcPr>
            <w:tcW w:w="791" w:type="pct"/>
            <w:vAlign w:val="center"/>
          </w:tcPr>
          <w:p w14:paraId="0042DF5D" w14:textId="4097B17F"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Lezhë UK </w:t>
            </w:r>
            <w:r w:rsidR="00A434CA" w:rsidRPr="00445472">
              <w:rPr>
                <w:rFonts w:ascii="Garamond" w:eastAsia="MS Mincho" w:hAnsi="Garamond" w:cs="Arial"/>
                <w:sz w:val="18"/>
                <w:szCs w:val="18"/>
              </w:rPr>
              <w:t>sh.a.</w:t>
            </w:r>
          </w:p>
        </w:tc>
        <w:tc>
          <w:tcPr>
            <w:tcW w:w="869" w:type="pct"/>
            <w:vAlign w:val="center"/>
          </w:tcPr>
          <w:p w14:paraId="207FA703" w14:textId="77777777" w:rsidR="00591820" w:rsidRPr="00445472" w:rsidRDefault="00591820" w:rsidP="002A1F08">
            <w:pPr>
              <w:spacing w:before="22" w:after="22"/>
              <w:ind w:right="63"/>
              <w:jc w:val="center"/>
              <w:rPr>
                <w:rFonts w:ascii="Garamond" w:eastAsia="MS Mincho" w:hAnsi="Garamond" w:cs="Arial"/>
                <w:sz w:val="18"/>
                <w:szCs w:val="18"/>
              </w:rPr>
            </w:pPr>
          </w:p>
          <w:p w14:paraId="5C36E8B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143</w:t>
            </w:r>
          </w:p>
        </w:tc>
        <w:tc>
          <w:tcPr>
            <w:tcW w:w="721" w:type="pct"/>
            <w:vAlign w:val="center"/>
          </w:tcPr>
          <w:p w14:paraId="418ABFC6" w14:textId="77777777" w:rsidR="00591820" w:rsidRPr="00445472" w:rsidRDefault="00591820" w:rsidP="002A1F08">
            <w:pPr>
              <w:spacing w:before="22" w:after="22"/>
              <w:ind w:right="63"/>
              <w:jc w:val="center"/>
              <w:rPr>
                <w:rFonts w:ascii="Garamond" w:eastAsia="MS Mincho" w:hAnsi="Garamond" w:cs="Arial"/>
                <w:sz w:val="18"/>
                <w:szCs w:val="18"/>
              </w:rPr>
            </w:pPr>
          </w:p>
          <w:p w14:paraId="02EBDC1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145</w:t>
            </w:r>
          </w:p>
        </w:tc>
        <w:tc>
          <w:tcPr>
            <w:tcW w:w="580" w:type="pct"/>
            <w:vAlign w:val="center"/>
          </w:tcPr>
          <w:p w14:paraId="2D67D519" w14:textId="77777777" w:rsidR="00591820" w:rsidRPr="00445472" w:rsidRDefault="00591820" w:rsidP="002A1F08">
            <w:pPr>
              <w:spacing w:before="22" w:after="22"/>
              <w:ind w:right="63"/>
              <w:jc w:val="center"/>
              <w:rPr>
                <w:rFonts w:ascii="Garamond" w:eastAsia="MS Mincho" w:hAnsi="Garamond" w:cs="Arial"/>
                <w:sz w:val="18"/>
                <w:szCs w:val="18"/>
              </w:rPr>
            </w:pPr>
          </w:p>
          <w:p w14:paraId="0366D90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w:t>
            </w:r>
          </w:p>
        </w:tc>
        <w:tc>
          <w:tcPr>
            <w:tcW w:w="568" w:type="pct"/>
            <w:vAlign w:val="center"/>
          </w:tcPr>
          <w:p w14:paraId="1BA0D430" w14:textId="77777777" w:rsidR="00591820" w:rsidRPr="00445472" w:rsidRDefault="00591820" w:rsidP="002A1F08">
            <w:pPr>
              <w:spacing w:before="22" w:after="22"/>
              <w:ind w:right="63"/>
              <w:jc w:val="center"/>
              <w:rPr>
                <w:rFonts w:ascii="Garamond" w:eastAsia="MS Mincho" w:hAnsi="Garamond" w:cs="Arial"/>
                <w:sz w:val="18"/>
                <w:szCs w:val="18"/>
              </w:rPr>
            </w:pPr>
          </w:p>
          <w:p w14:paraId="03F8E57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135</w:t>
            </w:r>
          </w:p>
        </w:tc>
        <w:tc>
          <w:tcPr>
            <w:tcW w:w="747" w:type="pct"/>
            <w:vAlign w:val="center"/>
          </w:tcPr>
          <w:p w14:paraId="7E87F0A0" w14:textId="77777777" w:rsidR="00591820" w:rsidRPr="00445472" w:rsidRDefault="00591820" w:rsidP="002A1F08">
            <w:pPr>
              <w:spacing w:before="22" w:after="22"/>
              <w:ind w:right="63"/>
              <w:jc w:val="center"/>
              <w:rPr>
                <w:rFonts w:ascii="Garamond" w:eastAsia="MS Mincho" w:hAnsi="Garamond" w:cs="Arial"/>
                <w:sz w:val="18"/>
                <w:szCs w:val="18"/>
              </w:rPr>
            </w:pPr>
          </w:p>
          <w:p w14:paraId="402727A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30,860,000</w:t>
            </w:r>
          </w:p>
        </w:tc>
        <w:tc>
          <w:tcPr>
            <w:tcW w:w="724" w:type="pct"/>
            <w:vAlign w:val="center"/>
          </w:tcPr>
          <w:p w14:paraId="39282EEB" w14:textId="77777777" w:rsidR="00591820" w:rsidRPr="00445472" w:rsidRDefault="00591820" w:rsidP="002A1F08">
            <w:pPr>
              <w:spacing w:before="22" w:after="22"/>
              <w:ind w:right="63"/>
              <w:jc w:val="center"/>
              <w:rPr>
                <w:rFonts w:ascii="Garamond" w:eastAsia="MS Mincho" w:hAnsi="Garamond" w:cs="Arial"/>
                <w:sz w:val="18"/>
                <w:szCs w:val="18"/>
              </w:rPr>
            </w:pPr>
          </w:p>
          <w:p w14:paraId="559CC8A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225,280</w:t>
            </w:r>
          </w:p>
        </w:tc>
      </w:tr>
      <w:tr w:rsidR="00591820" w:rsidRPr="00445472" w14:paraId="7A683BE2" w14:textId="77777777" w:rsidTr="00F015E8">
        <w:trPr>
          <w:trHeight w:val="580"/>
        </w:trPr>
        <w:tc>
          <w:tcPr>
            <w:tcW w:w="791" w:type="pct"/>
            <w:shd w:val="clear" w:color="auto" w:fill="E6E6E6"/>
            <w:vAlign w:val="center"/>
          </w:tcPr>
          <w:p w14:paraId="2B83B032" w14:textId="28F3D1AD"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5"/>
                <w:sz w:val="18"/>
                <w:szCs w:val="18"/>
              </w:rPr>
              <w:t xml:space="preserve">Pogradec </w:t>
            </w:r>
            <w:r w:rsidRPr="00445472">
              <w:rPr>
                <w:rFonts w:ascii="Garamond" w:eastAsia="MS Mincho" w:hAnsi="Garamond" w:cs="Arial"/>
                <w:sz w:val="18"/>
                <w:szCs w:val="18"/>
              </w:rPr>
              <w:t xml:space="preserve">UK </w:t>
            </w:r>
            <w:r w:rsidR="00A434CA" w:rsidRPr="00445472">
              <w:rPr>
                <w:rFonts w:ascii="Garamond" w:eastAsia="MS Mincho" w:hAnsi="Garamond" w:cs="Arial"/>
                <w:sz w:val="18"/>
                <w:szCs w:val="18"/>
              </w:rPr>
              <w:t>sh.a.</w:t>
            </w:r>
          </w:p>
        </w:tc>
        <w:tc>
          <w:tcPr>
            <w:tcW w:w="869" w:type="pct"/>
            <w:shd w:val="clear" w:color="auto" w:fill="E6E6E6"/>
            <w:vAlign w:val="center"/>
          </w:tcPr>
          <w:p w14:paraId="760B4381" w14:textId="77777777" w:rsidR="00591820" w:rsidRPr="00445472" w:rsidRDefault="00591820" w:rsidP="002A1F08">
            <w:pPr>
              <w:spacing w:before="22" w:after="22"/>
              <w:ind w:right="63"/>
              <w:jc w:val="center"/>
              <w:rPr>
                <w:rFonts w:ascii="Garamond" w:eastAsia="MS Mincho" w:hAnsi="Garamond" w:cs="Arial"/>
                <w:sz w:val="18"/>
                <w:szCs w:val="18"/>
              </w:rPr>
            </w:pPr>
          </w:p>
          <w:p w14:paraId="2929A7C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122</w:t>
            </w:r>
          </w:p>
        </w:tc>
        <w:tc>
          <w:tcPr>
            <w:tcW w:w="721" w:type="pct"/>
            <w:shd w:val="clear" w:color="auto" w:fill="E6E6E6"/>
            <w:vAlign w:val="center"/>
          </w:tcPr>
          <w:p w14:paraId="3E17015F" w14:textId="77777777" w:rsidR="00591820" w:rsidRPr="00445472" w:rsidRDefault="00591820" w:rsidP="002A1F08">
            <w:pPr>
              <w:spacing w:before="22" w:after="22"/>
              <w:ind w:right="63"/>
              <w:jc w:val="center"/>
              <w:rPr>
                <w:rFonts w:ascii="Garamond" w:eastAsia="MS Mincho" w:hAnsi="Garamond" w:cs="Arial"/>
                <w:sz w:val="18"/>
                <w:szCs w:val="18"/>
              </w:rPr>
            </w:pPr>
          </w:p>
          <w:p w14:paraId="139C5F3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111</w:t>
            </w:r>
          </w:p>
        </w:tc>
        <w:tc>
          <w:tcPr>
            <w:tcW w:w="580" w:type="pct"/>
            <w:shd w:val="clear" w:color="auto" w:fill="E6E6E6"/>
            <w:vAlign w:val="center"/>
          </w:tcPr>
          <w:p w14:paraId="70FCD827" w14:textId="77777777" w:rsidR="00591820" w:rsidRPr="00445472" w:rsidRDefault="00591820" w:rsidP="002A1F08">
            <w:pPr>
              <w:spacing w:before="22" w:after="22"/>
              <w:ind w:right="63"/>
              <w:jc w:val="center"/>
              <w:rPr>
                <w:rFonts w:ascii="Garamond" w:eastAsia="MS Mincho" w:hAnsi="Garamond" w:cs="Arial"/>
                <w:sz w:val="18"/>
                <w:szCs w:val="18"/>
              </w:rPr>
            </w:pPr>
          </w:p>
          <w:p w14:paraId="2EFD4B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32</w:t>
            </w:r>
          </w:p>
        </w:tc>
        <w:tc>
          <w:tcPr>
            <w:tcW w:w="568" w:type="pct"/>
            <w:shd w:val="clear" w:color="auto" w:fill="E6E6E6"/>
            <w:vAlign w:val="center"/>
          </w:tcPr>
          <w:p w14:paraId="465785D0" w14:textId="77777777" w:rsidR="00591820" w:rsidRPr="00445472" w:rsidRDefault="00591820" w:rsidP="002A1F08">
            <w:pPr>
              <w:spacing w:before="22" w:after="22"/>
              <w:ind w:right="63"/>
              <w:jc w:val="center"/>
              <w:rPr>
                <w:rFonts w:ascii="Garamond" w:eastAsia="MS Mincho" w:hAnsi="Garamond" w:cs="Arial"/>
                <w:sz w:val="18"/>
                <w:szCs w:val="18"/>
              </w:rPr>
            </w:pPr>
          </w:p>
          <w:p w14:paraId="26B562E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111</w:t>
            </w:r>
          </w:p>
        </w:tc>
        <w:tc>
          <w:tcPr>
            <w:tcW w:w="747" w:type="pct"/>
            <w:shd w:val="clear" w:color="auto" w:fill="E6E6E6"/>
            <w:vAlign w:val="center"/>
          </w:tcPr>
          <w:p w14:paraId="17A0897F" w14:textId="77777777" w:rsidR="00591820" w:rsidRPr="00445472" w:rsidRDefault="00591820" w:rsidP="002A1F08">
            <w:pPr>
              <w:spacing w:before="22" w:after="22"/>
              <w:ind w:right="63"/>
              <w:jc w:val="center"/>
              <w:rPr>
                <w:rFonts w:ascii="Garamond" w:eastAsia="MS Mincho" w:hAnsi="Garamond" w:cs="Arial"/>
                <w:sz w:val="18"/>
                <w:szCs w:val="18"/>
              </w:rPr>
            </w:pPr>
          </w:p>
          <w:p w14:paraId="04C7827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17,077,350</w:t>
            </w:r>
          </w:p>
        </w:tc>
        <w:tc>
          <w:tcPr>
            <w:tcW w:w="724" w:type="pct"/>
            <w:shd w:val="clear" w:color="auto" w:fill="E6E6E6"/>
            <w:vAlign w:val="center"/>
          </w:tcPr>
          <w:p w14:paraId="74E5B579" w14:textId="77777777" w:rsidR="00591820" w:rsidRPr="00445472" w:rsidRDefault="00591820" w:rsidP="002A1F08">
            <w:pPr>
              <w:spacing w:before="22" w:after="22"/>
              <w:ind w:right="63"/>
              <w:jc w:val="center"/>
              <w:rPr>
                <w:rFonts w:ascii="Garamond" w:eastAsia="MS Mincho" w:hAnsi="Garamond" w:cs="Arial"/>
                <w:sz w:val="18"/>
                <w:szCs w:val="18"/>
              </w:rPr>
            </w:pPr>
          </w:p>
          <w:p w14:paraId="2B6FC86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124,666</w:t>
            </w:r>
          </w:p>
        </w:tc>
      </w:tr>
      <w:tr w:rsidR="00591820" w:rsidRPr="00445472" w14:paraId="63EC9435" w14:textId="77777777" w:rsidTr="00F015E8">
        <w:trPr>
          <w:trHeight w:val="560"/>
        </w:trPr>
        <w:tc>
          <w:tcPr>
            <w:tcW w:w="791" w:type="pct"/>
            <w:vAlign w:val="center"/>
          </w:tcPr>
          <w:p w14:paraId="0BCE41D8" w14:textId="5AAEE2D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UK </w:t>
            </w:r>
            <w:r w:rsidR="00A434CA" w:rsidRPr="00445472">
              <w:rPr>
                <w:rFonts w:ascii="Garamond" w:eastAsia="MS Mincho" w:hAnsi="Garamond" w:cs="Arial"/>
                <w:sz w:val="18"/>
                <w:szCs w:val="18"/>
              </w:rPr>
              <w:t>sh.a.</w:t>
            </w:r>
          </w:p>
        </w:tc>
        <w:tc>
          <w:tcPr>
            <w:tcW w:w="869" w:type="pct"/>
            <w:vAlign w:val="center"/>
          </w:tcPr>
          <w:p w14:paraId="02C0AEF3" w14:textId="77777777" w:rsidR="00591820" w:rsidRPr="00445472" w:rsidRDefault="00591820" w:rsidP="002A1F08">
            <w:pPr>
              <w:spacing w:before="22" w:after="22"/>
              <w:ind w:right="63"/>
              <w:jc w:val="center"/>
              <w:rPr>
                <w:rFonts w:ascii="Garamond" w:eastAsia="MS Mincho" w:hAnsi="Garamond" w:cs="Arial"/>
                <w:sz w:val="18"/>
                <w:szCs w:val="18"/>
              </w:rPr>
            </w:pPr>
          </w:p>
          <w:p w14:paraId="35044B9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187</w:t>
            </w:r>
          </w:p>
        </w:tc>
        <w:tc>
          <w:tcPr>
            <w:tcW w:w="721" w:type="pct"/>
            <w:vAlign w:val="center"/>
          </w:tcPr>
          <w:p w14:paraId="00D492E3" w14:textId="77777777" w:rsidR="00591820" w:rsidRPr="00445472" w:rsidRDefault="00591820" w:rsidP="002A1F08">
            <w:pPr>
              <w:spacing w:before="22" w:after="22"/>
              <w:ind w:right="63"/>
              <w:jc w:val="center"/>
              <w:rPr>
                <w:rFonts w:ascii="Garamond" w:eastAsia="MS Mincho" w:hAnsi="Garamond" w:cs="Arial"/>
                <w:sz w:val="18"/>
                <w:szCs w:val="18"/>
              </w:rPr>
            </w:pPr>
          </w:p>
          <w:p w14:paraId="7613CD5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110</w:t>
            </w:r>
          </w:p>
        </w:tc>
        <w:tc>
          <w:tcPr>
            <w:tcW w:w="580" w:type="pct"/>
            <w:vAlign w:val="center"/>
          </w:tcPr>
          <w:p w14:paraId="70B8F890" w14:textId="77777777" w:rsidR="00591820" w:rsidRPr="00445472" w:rsidRDefault="00591820" w:rsidP="002A1F08">
            <w:pPr>
              <w:spacing w:before="22" w:after="22"/>
              <w:ind w:right="63"/>
              <w:jc w:val="center"/>
              <w:rPr>
                <w:rFonts w:ascii="Garamond" w:eastAsia="MS Mincho" w:hAnsi="Garamond" w:cs="Arial"/>
                <w:sz w:val="18"/>
                <w:szCs w:val="18"/>
              </w:rPr>
            </w:pPr>
          </w:p>
          <w:p w14:paraId="0324AB0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335</w:t>
            </w:r>
          </w:p>
        </w:tc>
        <w:tc>
          <w:tcPr>
            <w:tcW w:w="568" w:type="pct"/>
            <w:vAlign w:val="center"/>
          </w:tcPr>
          <w:p w14:paraId="30C1984A" w14:textId="77777777" w:rsidR="00591820" w:rsidRPr="00445472" w:rsidRDefault="00591820" w:rsidP="002A1F08">
            <w:pPr>
              <w:spacing w:before="22" w:after="22"/>
              <w:ind w:right="63"/>
              <w:jc w:val="center"/>
              <w:rPr>
                <w:rFonts w:ascii="Garamond" w:eastAsia="MS Mincho" w:hAnsi="Garamond" w:cs="Arial"/>
                <w:sz w:val="18"/>
                <w:szCs w:val="18"/>
              </w:rPr>
            </w:pPr>
          </w:p>
          <w:p w14:paraId="0DFC0E9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110</w:t>
            </w:r>
          </w:p>
        </w:tc>
        <w:tc>
          <w:tcPr>
            <w:tcW w:w="747" w:type="pct"/>
            <w:vAlign w:val="center"/>
          </w:tcPr>
          <w:p w14:paraId="19C7F705" w14:textId="77777777" w:rsidR="00591820" w:rsidRPr="00445472" w:rsidRDefault="00591820" w:rsidP="002A1F08">
            <w:pPr>
              <w:spacing w:before="22" w:after="22"/>
              <w:ind w:right="63"/>
              <w:jc w:val="center"/>
              <w:rPr>
                <w:rFonts w:ascii="Garamond" w:eastAsia="MS Mincho" w:hAnsi="Garamond" w:cs="Arial"/>
                <w:sz w:val="18"/>
                <w:szCs w:val="18"/>
              </w:rPr>
            </w:pPr>
          </w:p>
          <w:p w14:paraId="275C379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57,399,100</w:t>
            </w:r>
          </w:p>
        </w:tc>
        <w:tc>
          <w:tcPr>
            <w:tcW w:w="724" w:type="pct"/>
            <w:vAlign w:val="center"/>
          </w:tcPr>
          <w:p w14:paraId="17CD34E2" w14:textId="77777777" w:rsidR="00591820" w:rsidRPr="00445472" w:rsidRDefault="00591820" w:rsidP="002A1F08">
            <w:pPr>
              <w:spacing w:before="22" w:after="22"/>
              <w:ind w:right="63"/>
              <w:jc w:val="center"/>
              <w:rPr>
                <w:rFonts w:ascii="Garamond" w:eastAsia="MS Mincho" w:hAnsi="Garamond" w:cs="Arial"/>
                <w:sz w:val="18"/>
                <w:szCs w:val="18"/>
              </w:rPr>
            </w:pPr>
          </w:p>
          <w:p w14:paraId="36728F3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419,017</w:t>
            </w:r>
          </w:p>
        </w:tc>
      </w:tr>
      <w:tr w:rsidR="00591820" w:rsidRPr="00445472" w14:paraId="2139C571" w14:textId="77777777" w:rsidTr="00F015E8">
        <w:trPr>
          <w:trHeight w:val="560"/>
        </w:trPr>
        <w:tc>
          <w:tcPr>
            <w:tcW w:w="791" w:type="pct"/>
            <w:shd w:val="clear" w:color="auto" w:fill="E6E6E6"/>
            <w:vAlign w:val="center"/>
          </w:tcPr>
          <w:p w14:paraId="05FE98B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Pukë fshat</w:t>
            </w:r>
          </w:p>
        </w:tc>
        <w:tc>
          <w:tcPr>
            <w:tcW w:w="869" w:type="pct"/>
            <w:shd w:val="clear" w:color="auto" w:fill="E6E6E6"/>
            <w:vAlign w:val="center"/>
          </w:tcPr>
          <w:p w14:paraId="13344CD7" w14:textId="77777777" w:rsidR="00591820" w:rsidRPr="00445472" w:rsidRDefault="00591820" w:rsidP="002A1F08">
            <w:pPr>
              <w:spacing w:before="22" w:after="22"/>
              <w:ind w:right="63"/>
              <w:jc w:val="center"/>
              <w:rPr>
                <w:rFonts w:ascii="Garamond" w:eastAsia="MS Mincho" w:hAnsi="Garamond" w:cs="Arial"/>
                <w:sz w:val="18"/>
                <w:szCs w:val="18"/>
              </w:rPr>
            </w:pPr>
          </w:p>
          <w:p w14:paraId="587490B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2</w:t>
            </w:r>
          </w:p>
        </w:tc>
        <w:tc>
          <w:tcPr>
            <w:tcW w:w="721" w:type="pct"/>
            <w:shd w:val="clear" w:color="auto" w:fill="E6E6E6"/>
            <w:vAlign w:val="center"/>
          </w:tcPr>
          <w:p w14:paraId="0AE0E107" w14:textId="77777777" w:rsidR="00591820" w:rsidRPr="00445472" w:rsidRDefault="00591820" w:rsidP="002A1F08">
            <w:pPr>
              <w:spacing w:before="22" w:after="22"/>
              <w:ind w:right="63"/>
              <w:jc w:val="center"/>
              <w:rPr>
                <w:rFonts w:ascii="Garamond" w:eastAsia="MS Mincho" w:hAnsi="Garamond" w:cs="Arial"/>
                <w:sz w:val="18"/>
                <w:szCs w:val="18"/>
              </w:rPr>
            </w:pPr>
          </w:p>
          <w:p w14:paraId="7025788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580" w:type="pct"/>
            <w:shd w:val="clear" w:color="auto" w:fill="E6E6E6"/>
            <w:vAlign w:val="center"/>
          </w:tcPr>
          <w:p w14:paraId="688D823F" w14:textId="77777777" w:rsidR="00591820" w:rsidRPr="00445472" w:rsidRDefault="00591820" w:rsidP="002A1F08">
            <w:pPr>
              <w:spacing w:before="22" w:after="22"/>
              <w:ind w:right="63"/>
              <w:jc w:val="center"/>
              <w:rPr>
                <w:rFonts w:ascii="Garamond" w:eastAsia="MS Mincho" w:hAnsi="Garamond" w:cs="Arial"/>
                <w:sz w:val="18"/>
                <w:szCs w:val="18"/>
              </w:rPr>
            </w:pPr>
          </w:p>
          <w:p w14:paraId="17CA958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5</w:t>
            </w:r>
          </w:p>
        </w:tc>
        <w:tc>
          <w:tcPr>
            <w:tcW w:w="568" w:type="pct"/>
            <w:shd w:val="clear" w:color="auto" w:fill="E6E6E6"/>
            <w:vAlign w:val="center"/>
          </w:tcPr>
          <w:p w14:paraId="51D68846" w14:textId="77777777" w:rsidR="00591820" w:rsidRPr="00445472" w:rsidRDefault="00591820" w:rsidP="002A1F08">
            <w:pPr>
              <w:spacing w:before="22" w:after="22"/>
              <w:ind w:right="63"/>
              <w:jc w:val="center"/>
              <w:rPr>
                <w:rFonts w:ascii="Garamond" w:eastAsia="MS Mincho" w:hAnsi="Garamond" w:cs="Arial"/>
                <w:sz w:val="18"/>
                <w:szCs w:val="18"/>
              </w:rPr>
            </w:pPr>
          </w:p>
          <w:p w14:paraId="2E36BC6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c>
          <w:tcPr>
            <w:tcW w:w="747" w:type="pct"/>
            <w:shd w:val="clear" w:color="auto" w:fill="E6E6E6"/>
            <w:vAlign w:val="center"/>
          </w:tcPr>
          <w:p w14:paraId="04E750A8" w14:textId="77777777" w:rsidR="00591820" w:rsidRPr="00445472" w:rsidRDefault="00591820" w:rsidP="002A1F08">
            <w:pPr>
              <w:spacing w:before="22" w:after="22"/>
              <w:ind w:right="63"/>
              <w:jc w:val="center"/>
              <w:rPr>
                <w:rFonts w:ascii="Garamond" w:eastAsia="MS Mincho" w:hAnsi="Garamond" w:cs="Arial"/>
                <w:sz w:val="18"/>
                <w:szCs w:val="18"/>
              </w:rPr>
            </w:pPr>
          </w:p>
          <w:p w14:paraId="390DF33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469,400</w:t>
            </w:r>
          </w:p>
        </w:tc>
        <w:tc>
          <w:tcPr>
            <w:tcW w:w="724" w:type="pct"/>
            <w:shd w:val="clear" w:color="auto" w:fill="E6E6E6"/>
            <w:vAlign w:val="center"/>
          </w:tcPr>
          <w:p w14:paraId="6737F83E" w14:textId="77777777" w:rsidR="00591820" w:rsidRPr="00445472" w:rsidRDefault="00591820" w:rsidP="002A1F08">
            <w:pPr>
              <w:spacing w:before="22" w:after="22"/>
              <w:ind w:right="63"/>
              <w:jc w:val="center"/>
              <w:rPr>
                <w:rFonts w:ascii="Garamond" w:eastAsia="MS Mincho" w:hAnsi="Garamond" w:cs="Arial"/>
                <w:sz w:val="18"/>
                <w:szCs w:val="18"/>
              </w:rPr>
            </w:pPr>
          </w:p>
          <w:p w14:paraId="693B410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3,427</w:t>
            </w:r>
          </w:p>
        </w:tc>
      </w:tr>
      <w:tr w:rsidR="00591820" w:rsidRPr="00445472" w14:paraId="44EE8A81" w14:textId="77777777" w:rsidTr="00F015E8">
        <w:trPr>
          <w:trHeight w:val="799"/>
        </w:trPr>
        <w:tc>
          <w:tcPr>
            <w:tcW w:w="791" w:type="pct"/>
            <w:vAlign w:val="center"/>
          </w:tcPr>
          <w:p w14:paraId="4058401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p w14:paraId="14A07DFE" w14:textId="3D990251"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(F) U </w:t>
            </w:r>
            <w:r w:rsidR="00A434CA" w:rsidRPr="00445472">
              <w:rPr>
                <w:rFonts w:ascii="Garamond" w:eastAsia="MS Mincho" w:hAnsi="Garamond" w:cs="Arial"/>
                <w:sz w:val="18"/>
                <w:szCs w:val="18"/>
              </w:rPr>
              <w:t>sh.a.</w:t>
            </w:r>
          </w:p>
        </w:tc>
        <w:tc>
          <w:tcPr>
            <w:tcW w:w="869" w:type="pct"/>
            <w:vAlign w:val="center"/>
          </w:tcPr>
          <w:p w14:paraId="6C0E2A80" w14:textId="77777777" w:rsidR="00591820" w:rsidRPr="00445472" w:rsidRDefault="00591820" w:rsidP="002A1F08">
            <w:pPr>
              <w:spacing w:before="22" w:after="22"/>
              <w:ind w:right="63"/>
              <w:jc w:val="center"/>
              <w:rPr>
                <w:rFonts w:ascii="Garamond" w:eastAsia="MS Mincho" w:hAnsi="Garamond" w:cs="Arial"/>
                <w:sz w:val="18"/>
                <w:szCs w:val="18"/>
              </w:rPr>
            </w:pPr>
          </w:p>
          <w:p w14:paraId="7681574C" w14:textId="77777777" w:rsidR="00591820" w:rsidRPr="00445472" w:rsidRDefault="00591820" w:rsidP="002A1F08">
            <w:pPr>
              <w:spacing w:before="22" w:after="22"/>
              <w:ind w:right="63"/>
              <w:jc w:val="center"/>
              <w:rPr>
                <w:rFonts w:ascii="Garamond" w:eastAsia="MS Mincho" w:hAnsi="Garamond" w:cs="Arial"/>
                <w:sz w:val="18"/>
                <w:szCs w:val="18"/>
              </w:rPr>
            </w:pPr>
          </w:p>
          <w:p w14:paraId="5AFF06E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w:t>
            </w:r>
          </w:p>
        </w:tc>
        <w:tc>
          <w:tcPr>
            <w:tcW w:w="721" w:type="pct"/>
            <w:vAlign w:val="center"/>
          </w:tcPr>
          <w:p w14:paraId="04B8B559" w14:textId="77777777" w:rsidR="00591820" w:rsidRPr="00445472" w:rsidRDefault="00591820" w:rsidP="002A1F08">
            <w:pPr>
              <w:spacing w:before="22" w:after="22"/>
              <w:ind w:right="63"/>
              <w:jc w:val="center"/>
              <w:rPr>
                <w:rFonts w:ascii="Garamond" w:eastAsia="MS Mincho" w:hAnsi="Garamond" w:cs="Arial"/>
                <w:sz w:val="18"/>
                <w:szCs w:val="18"/>
              </w:rPr>
            </w:pPr>
          </w:p>
          <w:p w14:paraId="3D11BA40" w14:textId="77777777" w:rsidR="00591820" w:rsidRPr="00445472" w:rsidRDefault="00591820" w:rsidP="002A1F08">
            <w:pPr>
              <w:spacing w:before="22" w:after="22"/>
              <w:ind w:right="63"/>
              <w:jc w:val="center"/>
              <w:rPr>
                <w:rFonts w:ascii="Garamond" w:eastAsia="MS Mincho" w:hAnsi="Garamond" w:cs="Arial"/>
                <w:sz w:val="18"/>
                <w:szCs w:val="18"/>
              </w:rPr>
            </w:pPr>
          </w:p>
          <w:p w14:paraId="6C22F57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120</w:t>
            </w:r>
          </w:p>
        </w:tc>
        <w:tc>
          <w:tcPr>
            <w:tcW w:w="580" w:type="pct"/>
            <w:vAlign w:val="center"/>
          </w:tcPr>
          <w:p w14:paraId="142F3291" w14:textId="77777777" w:rsidR="00591820" w:rsidRPr="00445472" w:rsidRDefault="00591820" w:rsidP="002A1F08">
            <w:pPr>
              <w:spacing w:before="22" w:after="22"/>
              <w:ind w:right="63"/>
              <w:jc w:val="center"/>
              <w:rPr>
                <w:rFonts w:ascii="Garamond" w:eastAsia="MS Mincho" w:hAnsi="Garamond" w:cs="Arial"/>
                <w:sz w:val="18"/>
                <w:szCs w:val="18"/>
              </w:rPr>
            </w:pPr>
          </w:p>
          <w:p w14:paraId="71B3ACD4" w14:textId="77777777" w:rsidR="00591820" w:rsidRPr="00445472" w:rsidRDefault="00591820" w:rsidP="002A1F08">
            <w:pPr>
              <w:spacing w:before="22" w:after="22"/>
              <w:ind w:right="63"/>
              <w:jc w:val="center"/>
              <w:rPr>
                <w:rFonts w:ascii="Garamond" w:eastAsia="MS Mincho" w:hAnsi="Garamond" w:cs="Arial"/>
                <w:sz w:val="18"/>
                <w:szCs w:val="18"/>
              </w:rPr>
            </w:pPr>
          </w:p>
          <w:p w14:paraId="14FA3E2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w:t>
            </w:r>
          </w:p>
        </w:tc>
        <w:tc>
          <w:tcPr>
            <w:tcW w:w="568" w:type="pct"/>
            <w:vAlign w:val="center"/>
          </w:tcPr>
          <w:p w14:paraId="5F2EF877" w14:textId="77777777" w:rsidR="00591820" w:rsidRPr="00445472" w:rsidRDefault="00591820" w:rsidP="002A1F08">
            <w:pPr>
              <w:spacing w:before="22" w:after="22"/>
              <w:ind w:right="63"/>
              <w:jc w:val="center"/>
              <w:rPr>
                <w:rFonts w:ascii="Garamond" w:eastAsia="MS Mincho" w:hAnsi="Garamond" w:cs="Arial"/>
                <w:sz w:val="18"/>
                <w:szCs w:val="18"/>
              </w:rPr>
            </w:pPr>
          </w:p>
          <w:p w14:paraId="27FEE412" w14:textId="77777777" w:rsidR="00591820" w:rsidRPr="00445472" w:rsidRDefault="00591820" w:rsidP="002A1F08">
            <w:pPr>
              <w:spacing w:before="22" w:after="22"/>
              <w:ind w:right="63"/>
              <w:jc w:val="center"/>
              <w:rPr>
                <w:rFonts w:ascii="Garamond" w:eastAsia="MS Mincho" w:hAnsi="Garamond" w:cs="Arial"/>
                <w:sz w:val="18"/>
                <w:szCs w:val="18"/>
              </w:rPr>
            </w:pPr>
          </w:p>
          <w:p w14:paraId="78803D2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120</w:t>
            </w:r>
          </w:p>
        </w:tc>
        <w:tc>
          <w:tcPr>
            <w:tcW w:w="747" w:type="pct"/>
            <w:vAlign w:val="center"/>
          </w:tcPr>
          <w:p w14:paraId="6AB737B1" w14:textId="77777777" w:rsidR="00591820" w:rsidRPr="00445472" w:rsidRDefault="00591820" w:rsidP="002A1F08">
            <w:pPr>
              <w:spacing w:before="22" w:after="22"/>
              <w:ind w:right="63"/>
              <w:jc w:val="center"/>
              <w:rPr>
                <w:rFonts w:ascii="Garamond" w:eastAsia="MS Mincho" w:hAnsi="Garamond" w:cs="Arial"/>
                <w:sz w:val="18"/>
                <w:szCs w:val="18"/>
              </w:rPr>
            </w:pPr>
          </w:p>
          <w:p w14:paraId="11E06D6D" w14:textId="77777777" w:rsidR="00591820" w:rsidRPr="00445472" w:rsidRDefault="00591820" w:rsidP="002A1F08">
            <w:pPr>
              <w:spacing w:before="22" w:after="22"/>
              <w:ind w:right="63"/>
              <w:jc w:val="center"/>
              <w:rPr>
                <w:rFonts w:ascii="Garamond" w:eastAsia="MS Mincho" w:hAnsi="Garamond" w:cs="Arial"/>
                <w:sz w:val="18"/>
                <w:szCs w:val="18"/>
              </w:rPr>
            </w:pPr>
          </w:p>
          <w:p w14:paraId="69D2A63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4,750,800</w:t>
            </w:r>
          </w:p>
        </w:tc>
        <w:tc>
          <w:tcPr>
            <w:tcW w:w="724" w:type="pct"/>
            <w:vAlign w:val="center"/>
          </w:tcPr>
          <w:p w14:paraId="513E9D76" w14:textId="77777777" w:rsidR="00591820" w:rsidRPr="00445472" w:rsidRDefault="00591820" w:rsidP="002A1F08">
            <w:pPr>
              <w:spacing w:before="22" w:after="22"/>
              <w:ind w:right="63"/>
              <w:jc w:val="center"/>
              <w:rPr>
                <w:rFonts w:ascii="Garamond" w:eastAsia="MS Mincho" w:hAnsi="Garamond" w:cs="Arial"/>
                <w:sz w:val="18"/>
                <w:szCs w:val="18"/>
              </w:rPr>
            </w:pPr>
          </w:p>
          <w:p w14:paraId="6A2B94C7" w14:textId="77777777" w:rsidR="00591820" w:rsidRPr="00445472" w:rsidRDefault="00591820" w:rsidP="002A1F08">
            <w:pPr>
              <w:spacing w:before="22" w:after="22"/>
              <w:ind w:right="63"/>
              <w:jc w:val="center"/>
              <w:rPr>
                <w:rFonts w:ascii="Garamond" w:eastAsia="MS Mincho" w:hAnsi="Garamond" w:cs="Arial"/>
                <w:sz w:val="18"/>
                <w:szCs w:val="18"/>
              </w:rPr>
            </w:pPr>
          </w:p>
          <w:p w14:paraId="24F779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34,681</w:t>
            </w:r>
          </w:p>
        </w:tc>
      </w:tr>
      <w:tr w:rsidR="00591820" w:rsidRPr="00445472" w14:paraId="533D9D89" w14:textId="77777777" w:rsidTr="00F015E8">
        <w:trPr>
          <w:trHeight w:val="799"/>
        </w:trPr>
        <w:tc>
          <w:tcPr>
            <w:tcW w:w="791" w:type="pct"/>
            <w:shd w:val="clear" w:color="auto" w:fill="E6E6E6"/>
            <w:vAlign w:val="center"/>
          </w:tcPr>
          <w:p w14:paraId="0E445474" w14:textId="33E54AFA" w:rsidR="00591820" w:rsidRPr="00445472" w:rsidRDefault="00591820" w:rsidP="00A434CA">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Fush</w:t>
            </w:r>
            <w:r w:rsidR="00A434CA" w:rsidRPr="00445472">
              <w:rPr>
                <w:rFonts w:ascii="Garamond" w:eastAsia="MS Mincho" w:hAnsi="Garamond" w:cs="Arial"/>
                <w:sz w:val="18"/>
                <w:szCs w:val="18"/>
              </w:rPr>
              <w:t>ë-</w:t>
            </w:r>
            <w:r w:rsidRPr="00445472">
              <w:rPr>
                <w:rFonts w:ascii="Garamond" w:eastAsia="MS Mincho" w:hAnsi="Garamond" w:cs="Arial"/>
                <w:sz w:val="18"/>
                <w:szCs w:val="18"/>
              </w:rPr>
              <w:t xml:space="preserve">Arrëz UK </w:t>
            </w:r>
            <w:r w:rsidR="00A434CA" w:rsidRPr="00445472">
              <w:rPr>
                <w:rFonts w:ascii="Garamond" w:eastAsia="MS Mincho" w:hAnsi="Garamond" w:cs="Arial"/>
                <w:sz w:val="18"/>
                <w:szCs w:val="18"/>
              </w:rPr>
              <w:t>sh.a.</w:t>
            </w:r>
          </w:p>
        </w:tc>
        <w:tc>
          <w:tcPr>
            <w:tcW w:w="869" w:type="pct"/>
            <w:shd w:val="clear" w:color="auto" w:fill="E6E6E6"/>
            <w:vAlign w:val="center"/>
          </w:tcPr>
          <w:p w14:paraId="6E689498" w14:textId="77777777" w:rsidR="00591820" w:rsidRPr="00445472" w:rsidRDefault="00591820" w:rsidP="002A1F08">
            <w:pPr>
              <w:spacing w:before="22" w:after="22"/>
              <w:ind w:right="63"/>
              <w:jc w:val="center"/>
              <w:rPr>
                <w:rFonts w:ascii="Garamond" w:eastAsia="MS Mincho" w:hAnsi="Garamond" w:cs="Arial"/>
                <w:sz w:val="18"/>
                <w:szCs w:val="18"/>
              </w:rPr>
            </w:pPr>
          </w:p>
          <w:p w14:paraId="3D197CBC" w14:textId="77777777" w:rsidR="00591820" w:rsidRPr="00445472" w:rsidRDefault="00591820" w:rsidP="002A1F08">
            <w:pPr>
              <w:spacing w:before="22" w:after="22"/>
              <w:ind w:right="63"/>
              <w:jc w:val="center"/>
              <w:rPr>
                <w:rFonts w:ascii="Garamond" w:eastAsia="MS Mincho" w:hAnsi="Garamond" w:cs="Arial"/>
                <w:sz w:val="18"/>
                <w:szCs w:val="18"/>
              </w:rPr>
            </w:pPr>
          </w:p>
          <w:p w14:paraId="15D3195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7</w:t>
            </w:r>
          </w:p>
        </w:tc>
        <w:tc>
          <w:tcPr>
            <w:tcW w:w="721" w:type="pct"/>
            <w:shd w:val="clear" w:color="auto" w:fill="E6E6E6"/>
            <w:vAlign w:val="center"/>
          </w:tcPr>
          <w:p w14:paraId="5E7F8DF8" w14:textId="77777777" w:rsidR="00591820" w:rsidRPr="00445472" w:rsidRDefault="00591820" w:rsidP="002A1F08">
            <w:pPr>
              <w:spacing w:before="22" w:after="22"/>
              <w:ind w:right="63"/>
              <w:jc w:val="center"/>
              <w:rPr>
                <w:rFonts w:ascii="Garamond" w:eastAsia="MS Mincho" w:hAnsi="Garamond" w:cs="Arial"/>
                <w:sz w:val="18"/>
                <w:szCs w:val="18"/>
              </w:rPr>
            </w:pPr>
          </w:p>
          <w:p w14:paraId="5E7656DB" w14:textId="77777777" w:rsidR="00591820" w:rsidRPr="00445472" w:rsidRDefault="00591820" w:rsidP="002A1F08">
            <w:pPr>
              <w:spacing w:before="22" w:after="22"/>
              <w:ind w:right="63"/>
              <w:jc w:val="center"/>
              <w:rPr>
                <w:rFonts w:ascii="Garamond" w:eastAsia="MS Mincho" w:hAnsi="Garamond" w:cs="Arial"/>
                <w:sz w:val="18"/>
                <w:szCs w:val="18"/>
              </w:rPr>
            </w:pPr>
          </w:p>
          <w:p w14:paraId="7CEF01B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580" w:type="pct"/>
            <w:shd w:val="clear" w:color="auto" w:fill="E6E6E6"/>
            <w:vAlign w:val="center"/>
          </w:tcPr>
          <w:p w14:paraId="7822F5B1" w14:textId="77777777" w:rsidR="00591820" w:rsidRPr="00445472" w:rsidRDefault="00591820" w:rsidP="002A1F08">
            <w:pPr>
              <w:spacing w:before="22" w:after="22"/>
              <w:ind w:right="63"/>
              <w:jc w:val="center"/>
              <w:rPr>
                <w:rFonts w:ascii="Garamond" w:eastAsia="MS Mincho" w:hAnsi="Garamond" w:cs="Arial"/>
                <w:sz w:val="18"/>
                <w:szCs w:val="18"/>
              </w:rPr>
            </w:pPr>
          </w:p>
          <w:p w14:paraId="70388A7F" w14:textId="77777777" w:rsidR="00591820" w:rsidRPr="00445472" w:rsidRDefault="00591820" w:rsidP="002A1F08">
            <w:pPr>
              <w:spacing w:before="22" w:after="22"/>
              <w:ind w:right="63"/>
              <w:jc w:val="center"/>
              <w:rPr>
                <w:rFonts w:ascii="Garamond" w:eastAsia="MS Mincho" w:hAnsi="Garamond" w:cs="Arial"/>
                <w:sz w:val="18"/>
                <w:szCs w:val="18"/>
              </w:rPr>
            </w:pPr>
          </w:p>
          <w:p w14:paraId="44262C7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9</w:t>
            </w:r>
          </w:p>
        </w:tc>
        <w:tc>
          <w:tcPr>
            <w:tcW w:w="568" w:type="pct"/>
            <w:shd w:val="clear" w:color="auto" w:fill="E6E6E6"/>
            <w:vAlign w:val="center"/>
          </w:tcPr>
          <w:p w14:paraId="078399BC" w14:textId="77777777" w:rsidR="00591820" w:rsidRPr="00445472" w:rsidRDefault="00591820" w:rsidP="002A1F08">
            <w:pPr>
              <w:spacing w:before="22" w:after="22"/>
              <w:ind w:right="63"/>
              <w:jc w:val="center"/>
              <w:rPr>
                <w:rFonts w:ascii="Garamond" w:eastAsia="MS Mincho" w:hAnsi="Garamond" w:cs="Arial"/>
                <w:sz w:val="18"/>
                <w:szCs w:val="18"/>
              </w:rPr>
            </w:pPr>
          </w:p>
          <w:p w14:paraId="5EAD7AFD" w14:textId="77777777" w:rsidR="00591820" w:rsidRPr="00445472" w:rsidRDefault="00591820" w:rsidP="002A1F08">
            <w:pPr>
              <w:spacing w:before="22" w:after="22"/>
              <w:ind w:right="63"/>
              <w:jc w:val="center"/>
              <w:rPr>
                <w:rFonts w:ascii="Garamond" w:eastAsia="MS Mincho" w:hAnsi="Garamond" w:cs="Arial"/>
                <w:sz w:val="18"/>
                <w:szCs w:val="18"/>
              </w:rPr>
            </w:pPr>
          </w:p>
          <w:p w14:paraId="405436D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747" w:type="pct"/>
            <w:shd w:val="clear" w:color="auto" w:fill="E6E6E6"/>
            <w:vAlign w:val="center"/>
          </w:tcPr>
          <w:p w14:paraId="79C9BF42" w14:textId="77777777" w:rsidR="00591820" w:rsidRPr="00445472" w:rsidRDefault="00591820" w:rsidP="002A1F08">
            <w:pPr>
              <w:spacing w:before="22" w:after="22"/>
              <w:ind w:right="63"/>
              <w:jc w:val="center"/>
              <w:rPr>
                <w:rFonts w:ascii="Garamond" w:eastAsia="MS Mincho" w:hAnsi="Garamond" w:cs="Arial"/>
                <w:sz w:val="18"/>
                <w:szCs w:val="18"/>
              </w:rPr>
            </w:pPr>
          </w:p>
          <w:p w14:paraId="4BBB344C" w14:textId="77777777" w:rsidR="00591820" w:rsidRPr="00445472" w:rsidRDefault="00591820" w:rsidP="002A1F08">
            <w:pPr>
              <w:spacing w:before="22" w:after="22"/>
              <w:ind w:right="63"/>
              <w:jc w:val="center"/>
              <w:rPr>
                <w:rFonts w:ascii="Garamond" w:eastAsia="MS Mincho" w:hAnsi="Garamond" w:cs="Arial"/>
                <w:sz w:val="18"/>
                <w:szCs w:val="18"/>
              </w:rPr>
            </w:pPr>
          </w:p>
          <w:p w14:paraId="67D2220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1,313,600</w:t>
            </w:r>
          </w:p>
        </w:tc>
        <w:tc>
          <w:tcPr>
            <w:tcW w:w="724" w:type="pct"/>
            <w:shd w:val="clear" w:color="auto" w:fill="E6E6E6"/>
            <w:vAlign w:val="center"/>
          </w:tcPr>
          <w:p w14:paraId="0371096B" w14:textId="77777777" w:rsidR="00591820" w:rsidRPr="00445472" w:rsidRDefault="00591820" w:rsidP="002A1F08">
            <w:pPr>
              <w:spacing w:before="22" w:after="22"/>
              <w:ind w:right="63"/>
              <w:jc w:val="center"/>
              <w:rPr>
                <w:rFonts w:ascii="Garamond" w:eastAsia="MS Mincho" w:hAnsi="Garamond" w:cs="Arial"/>
                <w:sz w:val="18"/>
                <w:szCs w:val="18"/>
              </w:rPr>
            </w:pPr>
          </w:p>
          <w:p w14:paraId="2283064B" w14:textId="77777777" w:rsidR="00591820" w:rsidRPr="00445472" w:rsidRDefault="00591820" w:rsidP="002A1F08">
            <w:pPr>
              <w:spacing w:before="22" w:after="22"/>
              <w:ind w:right="63"/>
              <w:jc w:val="center"/>
              <w:rPr>
                <w:rFonts w:ascii="Garamond" w:eastAsia="MS Mincho" w:hAnsi="Garamond" w:cs="Arial"/>
                <w:sz w:val="18"/>
                <w:szCs w:val="18"/>
              </w:rPr>
            </w:pPr>
          </w:p>
          <w:p w14:paraId="17953C7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9,589</w:t>
            </w:r>
          </w:p>
        </w:tc>
      </w:tr>
      <w:tr w:rsidR="00591820" w:rsidRPr="00445472" w14:paraId="4C0A5EDA" w14:textId="77777777" w:rsidTr="00F015E8">
        <w:trPr>
          <w:trHeight w:val="580"/>
        </w:trPr>
        <w:tc>
          <w:tcPr>
            <w:tcW w:w="791" w:type="pct"/>
            <w:vAlign w:val="center"/>
          </w:tcPr>
          <w:p w14:paraId="7DD177B8" w14:textId="4B664A56"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5"/>
                <w:sz w:val="18"/>
                <w:szCs w:val="18"/>
              </w:rPr>
              <w:t xml:space="preserve">Librazhd </w:t>
            </w:r>
            <w:r w:rsidRPr="00445472">
              <w:rPr>
                <w:rFonts w:ascii="Garamond" w:eastAsia="MS Mincho" w:hAnsi="Garamond" w:cs="Arial"/>
                <w:sz w:val="18"/>
                <w:szCs w:val="18"/>
              </w:rPr>
              <w:t xml:space="preserve">UK </w:t>
            </w:r>
            <w:r w:rsidR="00A434CA" w:rsidRPr="00445472">
              <w:rPr>
                <w:rFonts w:ascii="Garamond" w:eastAsia="MS Mincho" w:hAnsi="Garamond" w:cs="Arial"/>
                <w:sz w:val="18"/>
                <w:szCs w:val="18"/>
              </w:rPr>
              <w:t>sh.a.</w:t>
            </w:r>
          </w:p>
        </w:tc>
        <w:tc>
          <w:tcPr>
            <w:tcW w:w="869" w:type="pct"/>
            <w:vAlign w:val="center"/>
          </w:tcPr>
          <w:p w14:paraId="67EABDB6" w14:textId="77777777" w:rsidR="00591820" w:rsidRPr="00445472" w:rsidRDefault="00591820" w:rsidP="002A1F08">
            <w:pPr>
              <w:spacing w:before="22" w:after="22"/>
              <w:ind w:right="63"/>
              <w:jc w:val="center"/>
              <w:rPr>
                <w:rFonts w:ascii="Garamond" w:eastAsia="MS Mincho" w:hAnsi="Garamond" w:cs="Arial"/>
                <w:sz w:val="18"/>
                <w:szCs w:val="18"/>
              </w:rPr>
            </w:pPr>
          </w:p>
          <w:p w14:paraId="337CD04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w:t>
            </w:r>
          </w:p>
        </w:tc>
        <w:tc>
          <w:tcPr>
            <w:tcW w:w="721" w:type="pct"/>
            <w:vAlign w:val="center"/>
          </w:tcPr>
          <w:p w14:paraId="564FE400" w14:textId="77777777" w:rsidR="00591820" w:rsidRPr="00445472" w:rsidRDefault="00591820" w:rsidP="002A1F08">
            <w:pPr>
              <w:spacing w:before="22" w:after="22"/>
              <w:ind w:right="63"/>
              <w:jc w:val="center"/>
              <w:rPr>
                <w:rFonts w:ascii="Garamond" w:eastAsia="MS Mincho" w:hAnsi="Garamond" w:cs="Arial"/>
                <w:sz w:val="18"/>
                <w:szCs w:val="18"/>
              </w:rPr>
            </w:pPr>
          </w:p>
          <w:p w14:paraId="51EABF8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100</w:t>
            </w:r>
          </w:p>
        </w:tc>
        <w:tc>
          <w:tcPr>
            <w:tcW w:w="580" w:type="pct"/>
            <w:vAlign w:val="center"/>
          </w:tcPr>
          <w:p w14:paraId="35C24442" w14:textId="77777777" w:rsidR="00591820" w:rsidRPr="00445472" w:rsidRDefault="00591820" w:rsidP="002A1F08">
            <w:pPr>
              <w:spacing w:before="22" w:after="22"/>
              <w:ind w:right="63"/>
              <w:jc w:val="center"/>
              <w:rPr>
                <w:rFonts w:ascii="Garamond" w:eastAsia="MS Mincho" w:hAnsi="Garamond" w:cs="Arial"/>
                <w:sz w:val="18"/>
                <w:szCs w:val="18"/>
              </w:rPr>
            </w:pPr>
          </w:p>
          <w:p w14:paraId="78C163E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39</w:t>
            </w:r>
          </w:p>
        </w:tc>
        <w:tc>
          <w:tcPr>
            <w:tcW w:w="568" w:type="pct"/>
            <w:vAlign w:val="center"/>
          </w:tcPr>
          <w:p w14:paraId="2E2188A7" w14:textId="77777777" w:rsidR="00591820" w:rsidRPr="00445472" w:rsidRDefault="00591820" w:rsidP="002A1F08">
            <w:pPr>
              <w:spacing w:before="22" w:after="22"/>
              <w:ind w:right="63"/>
              <w:jc w:val="center"/>
              <w:rPr>
                <w:rFonts w:ascii="Garamond" w:eastAsia="MS Mincho" w:hAnsi="Garamond" w:cs="Arial"/>
                <w:sz w:val="18"/>
                <w:szCs w:val="18"/>
              </w:rPr>
            </w:pPr>
          </w:p>
          <w:p w14:paraId="5784474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100</w:t>
            </w:r>
          </w:p>
        </w:tc>
        <w:tc>
          <w:tcPr>
            <w:tcW w:w="747" w:type="pct"/>
            <w:vAlign w:val="center"/>
          </w:tcPr>
          <w:p w14:paraId="08B076F9" w14:textId="77777777" w:rsidR="00591820" w:rsidRPr="00445472" w:rsidRDefault="00591820" w:rsidP="002A1F08">
            <w:pPr>
              <w:spacing w:before="22" w:after="22"/>
              <w:ind w:right="63"/>
              <w:jc w:val="center"/>
              <w:rPr>
                <w:rFonts w:ascii="Garamond" w:eastAsia="MS Mincho" w:hAnsi="Garamond" w:cs="Arial"/>
                <w:sz w:val="18"/>
                <w:szCs w:val="18"/>
              </w:rPr>
            </w:pPr>
          </w:p>
          <w:p w14:paraId="74D0D6B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9,436,000</w:t>
            </w:r>
          </w:p>
        </w:tc>
        <w:tc>
          <w:tcPr>
            <w:tcW w:w="724" w:type="pct"/>
            <w:vAlign w:val="center"/>
          </w:tcPr>
          <w:p w14:paraId="0AC932E6" w14:textId="77777777" w:rsidR="00591820" w:rsidRPr="00445472" w:rsidRDefault="00591820" w:rsidP="002A1F08">
            <w:pPr>
              <w:spacing w:before="22" w:after="22"/>
              <w:ind w:right="63"/>
              <w:jc w:val="center"/>
              <w:rPr>
                <w:rFonts w:ascii="Garamond" w:eastAsia="MS Mincho" w:hAnsi="Garamond" w:cs="Arial"/>
                <w:sz w:val="18"/>
                <w:szCs w:val="18"/>
              </w:rPr>
            </w:pPr>
          </w:p>
          <w:p w14:paraId="63B258E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68,883</w:t>
            </w:r>
          </w:p>
        </w:tc>
      </w:tr>
      <w:tr w:rsidR="00591820" w:rsidRPr="00445472" w14:paraId="66144472" w14:textId="77777777" w:rsidTr="00F015E8">
        <w:trPr>
          <w:trHeight w:val="580"/>
        </w:trPr>
        <w:tc>
          <w:tcPr>
            <w:tcW w:w="791" w:type="pct"/>
            <w:shd w:val="clear" w:color="auto" w:fill="E6E6E6"/>
            <w:vAlign w:val="center"/>
          </w:tcPr>
          <w:p w14:paraId="44E5BA78" w14:textId="67B2A4B9"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5"/>
                <w:sz w:val="18"/>
                <w:szCs w:val="18"/>
              </w:rPr>
              <w:t xml:space="preserve">Peshkopi </w:t>
            </w:r>
            <w:r w:rsidRPr="00445472">
              <w:rPr>
                <w:rFonts w:ascii="Garamond" w:eastAsia="MS Mincho" w:hAnsi="Garamond" w:cs="Arial"/>
                <w:sz w:val="18"/>
                <w:szCs w:val="18"/>
              </w:rPr>
              <w:t xml:space="preserve">U </w:t>
            </w:r>
            <w:r w:rsidR="00A434CA" w:rsidRPr="00445472">
              <w:rPr>
                <w:rFonts w:ascii="Garamond" w:eastAsia="MS Mincho" w:hAnsi="Garamond" w:cs="Arial"/>
                <w:sz w:val="18"/>
                <w:szCs w:val="18"/>
              </w:rPr>
              <w:t>sh.a.</w:t>
            </w:r>
          </w:p>
        </w:tc>
        <w:tc>
          <w:tcPr>
            <w:tcW w:w="869" w:type="pct"/>
            <w:shd w:val="clear" w:color="auto" w:fill="E6E6E6"/>
            <w:vAlign w:val="center"/>
          </w:tcPr>
          <w:p w14:paraId="3C2F6F4D" w14:textId="77777777" w:rsidR="00591820" w:rsidRPr="00445472" w:rsidRDefault="00591820" w:rsidP="002A1F08">
            <w:pPr>
              <w:spacing w:before="22" w:after="22"/>
              <w:ind w:right="63"/>
              <w:jc w:val="center"/>
              <w:rPr>
                <w:rFonts w:ascii="Garamond" w:eastAsia="MS Mincho" w:hAnsi="Garamond" w:cs="Arial"/>
                <w:sz w:val="18"/>
                <w:szCs w:val="18"/>
              </w:rPr>
            </w:pPr>
          </w:p>
          <w:p w14:paraId="02CDB16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47</w:t>
            </w:r>
          </w:p>
        </w:tc>
        <w:tc>
          <w:tcPr>
            <w:tcW w:w="721" w:type="pct"/>
            <w:shd w:val="clear" w:color="auto" w:fill="E6E6E6"/>
            <w:vAlign w:val="center"/>
          </w:tcPr>
          <w:p w14:paraId="281C248C" w14:textId="77777777" w:rsidR="00591820" w:rsidRPr="00445472" w:rsidRDefault="00591820" w:rsidP="002A1F08">
            <w:pPr>
              <w:spacing w:before="22" w:after="22"/>
              <w:ind w:right="63"/>
              <w:jc w:val="center"/>
              <w:rPr>
                <w:rFonts w:ascii="Garamond" w:eastAsia="MS Mincho" w:hAnsi="Garamond" w:cs="Arial"/>
                <w:sz w:val="18"/>
                <w:szCs w:val="18"/>
              </w:rPr>
            </w:pPr>
          </w:p>
          <w:p w14:paraId="5AB2DE0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85</w:t>
            </w:r>
          </w:p>
        </w:tc>
        <w:tc>
          <w:tcPr>
            <w:tcW w:w="580" w:type="pct"/>
            <w:shd w:val="clear" w:color="auto" w:fill="E6E6E6"/>
            <w:vAlign w:val="center"/>
          </w:tcPr>
          <w:p w14:paraId="1AFDD612" w14:textId="77777777" w:rsidR="00591820" w:rsidRPr="00445472" w:rsidRDefault="00591820" w:rsidP="002A1F08">
            <w:pPr>
              <w:spacing w:before="22" w:after="22"/>
              <w:ind w:right="63"/>
              <w:jc w:val="center"/>
              <w:rPr>
                <w:rFonts w:ascii="Garamond" w:eastAsia="MS Mincho" w:hAnsi="Garamond" w:cs="Arial"/>
                <w:sz w:val="18"/>
                <w:szCs w:val="18"/>
              </w:rPr>
            </w:pPr>
          </w:p>
          <w:p w14:paraId="170A243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74</w:t>
            </w:r>
          </w:p>
        </w:tc>
        <w:tc>
          <w:tcPr>
            <w:tcW w:w="568" w:type="pct"/>
            <w:shd w:val="clear" w:color="auto" w:fill="E6E6E6"/>
            <w:vAlign w:val="center"/>
          </w:tcPr>
          <w:p w14:paraId="7B1D1EBC" w14:textId="77777777" w:rsidR="00591820" w:rsidRPr="00445472" w:rsidRDefault="00591820" w:rsidP="002A1F08">
            <w:pPr>
              <w:spacing w:before="22" w:after="22"/>
              <w:ind w:right="63"/>
              <w:jc w:val="center"/>
              <w:rPr>
                <w:rFonts w:ascii="Garamond" w:eastAsia="MS Mincho" w:hAnsi="Garamond" w:cs="Arial"/>
                <w:sz w:val="18"/>
                <w:szCs w:val="18"/>
              </w:rPr>
            </w:pPr>
          </w:p>
          <w:p w14:paraId="273105B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65</w:t>
            </w:r>
          </w:p>
        </w:tc>
        <w:tc>
          <w:tcPr>
            <w:tcW w:w="747" w:type="pct"/>
            <w:shd w:val="clear" w:color="auto" w:fill="E6E6E6"/>
            <w:vAlign w:val="center"/>
          </w:tcPr>
          <w:p w14:paraId="1EB4004A" w14:textId="77777777" w:rsidR="00591820" w:rsidRPr="00445472" w:rsidRDefault="00591820" w:rsidP="002A1F08">
            <w:pPr>
              <w:spacing w:before="22" w:after="22"/>
              <w:ind w:right="63"/>
              <w:jc w:val="center"/>
              <w:rPr>
                <w:rFonts w:ascii="Garamond" w:eastAsia="MS Mincho" w:hAnsi="Garamond" w:cs="Arial"/>
                <w:sz w:val="18"/>
                <w:szCs w:val="18"/>
              </w:rPr>
            </w:pPr>
          </w:p>
          <w:p w14:paraId="7A7BD81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8,807,000</w:t>
            </w:r>
          </w:p>
        </w:tc>
        <w:tc>
          <w:tcPr>
            <w:tcW w:w="724" w:type="pct"/>
            <w:shd w:val="clear" w:color="auto" w:fill="E6E6E6"/>
            <w:vAlign w:val="center"/>
          </w:tcPr>
          <w:p w14:paraId="7C1D056C" w14:textId="77777777" w:rsidR="00591820" w:rsidRPr="00445472" w:rsidRDefault="00591820" w:rsidP="002A1F08">
            <w:pPr>
              <w:spacing w:before="22" w:after="22"/>
              <w:ind w:right="63"/>
              <w:jc w:val="center"/>
              <w:rPr>
                <w:rFonts w:ascii="Garamond" w:eastAsia="MS Mincho" w:hAnsi="Garamond" w:cs="Arial"/>
                <w:sz w:val="18"/>
                <w:szCs w:val="18"/>
              </w:rPr>
            </w:pPr>
          </w:p>
          <w:p w14:paraId="00660D2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64,292</w:t>
            </w:r>
          </w:p>
        </w:tc>
      </w:tr>
      <w:tr w:rsidR="00591820" w:rsidRPr="00445472" w14:paraId="75832F9E" w14:textId="77777777" w:rsidTr="00F015E8">
        <w:trPr>
          <w:trHeight w:val="560"/>
        </w:trPr>
        <w:tc>
          <w:tcPr>
            <w:tcW w:w="791" w:type="pct"/>
            <w:vAlign w:val="center"/>
          </w:tcPr>
          <w:p w14:paraId="3292C619" w14:textId="3C7821BA"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Bulqizë U </w:t>
            </w:r>
            <w:r w:rsidR="00A434CA" w:rsidRPr="00445472">
              <w:rPr>
                <w:rFonts w:ascii="Garamond" w:eastAsia="MS Mincho" w:hAnsi="Garamond" w:cs="Arial"/>
                <w:sz w:val="18"/>
                <w:szCs w:val="18"/>
              </w:rPr>
              <w:t>sh.a.</w:t>
            </w:r>
          </w:p>
        </w:tc>
        <w:tc>
          <w:tcPr>
            <w:tcW w:w="869" w:type="pct"/>
            <w:vAlign w:val="center"/>
          </w:tcPr>
          <w:p w14:paraId="43C67889" w14:textId="77777777" w:rsidR="00591820" w:rsidRPr="00445472" w:rsidRDefault="00591820" w:rsidP="002A1F08">
            <w:pPr>
              <w:spacing w:before="22" w:after="22"/>
              <w:ind w:right="63"/>
              <w:jc w:val="center"/>
              <w:rPr>
                <w:rFonts w:ascii="Garamond" w:eastAsia="MS Mincho" w:hAnsi="Garamond" w:cs="Arial"/>
                <w:sz w:val="18"/>
                <w:szCs w:val="18"/>
              </w:rPr>
            </w:pPr>
          </w:p>
          <w:p w14:paraId="300AF63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26</w:t>
            </w:r>
          </w:p>
        </w:tc>
        <w:tc>
          <w:tcPr>
            <w:tcW w:w="721" w:type="pct"/>
            <w:vAlign w:val="center"/>
          </w:tcPr>
          <w:p w14:paraId="2F954D2A" w14:textId="77777777" w:rsidR="00591820" w:rsidRPr="00445472" w:rsidRDefault="00591820" w:rsidP="002A1F08">
            <w:pPr>
              <w:spacing w:before="22" w:after="22"/>
              <w:ind w:right="63"/>
              <w:jc w:val="center"/>
              <w:rPr>
                <w:rFonts w:ascii="Garamond" w:eastAsia="MS Mincho" w:hAnsi="Garamond" w:cs="Arial"/>
                <w:sz w:val="18"/>
                <w:szCs w:val="18"/>
              </w:rPr>
            </w:pPr>
          </w:p>
          <w:p w14:paraId="0DBE174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w:t>
            </w:r>
          </w:p>
        </w:tc>
        <w:tc>
          <w:tcPr>
            <w:tcW w:w="580" w:type="pct"/>
            <w:vAlign w:val="center"/>
          </w:tcPr>
          <w:p w14:paraId="508FE286" w14:textId="77777777" w:rsidR="00591820" w:rsidRPr="00445472" w:rsidRDefault="00591820" w:rsidP="002A1F08">
            <w:pPr>
              <w:spacing w:before="22" w:after="22"/>
              <w:ind w:right="63"/>
              <w:jc w:val="center"/>
              <w:rPr>
                <w:rFonts w:ascii="Garamond" w:eastAsia="MS Mincho" w:hAnsi="Garamond" w:cs="Arial"/>
                <w:sz w:val="18"/>
                <w:szCs w:val="18"/>
              </w:rPr>
            </w:pPr>
          </w:p>
          <w:p w14:paraId="3AF1FF7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90</w:t>
            </w:r>
          </w:p>
        </w:tc>
        <w:tc>
          <w:tcPr>
            <w:tcW w:w="568" w:type="pct"/>
            <w:vAlign w:val="center"/>
          </w:tcPr>
          <w:p w14:paraId="70E1D7A2" w14:textId="77777777" w:rsidR="00591820" w:rsidRPr="00445472" w:rsidRDefault="00591820" w:rsidP="002A1F08">
            <w:pPr>
              <w:spacing w:before="22" w:after="22"/>
              <w:ind w:right="63"/>
              <w:jc w:val="center"/>
              <w:rPr>
                <w:rFonts w:ascii="Garamond" w:eastAsia="MS Mincho" w:hAnsi="Garamond" w:cs="Arial"/>
                <w:sz w:val="18"/>
                <w:szCs w:val="18"/>
              </w:rPr>
            </w:pPr>
          </w:p>
          <w:p w14:paraId="231A618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w:t>
            </w:r>
          </w:p>
        </w:tc>
        <w:tc>
          <w:tcPr>
            <w:tcW w:w="747" w:type="pct"/>
            <w:vAlign w:val="center"/>
          </w:tcPr>
          <w:p w14:paraId="461C65AA" w14:textId="77777777" w:rsidR="00591820" w:rsidRPr="00445472" w:rsidRDefault="00591820" w:rsidP="002A1F08">
            <w:pPr>
              <w:spacing w:before="22" w:after="22"/>
              <w:ind w:right="63"/>
              <w:jc w:val="center"/>
              <w:rPr>
                <w:rFonts w:ascii="Garamond" w:eastAsia="MS Mincho" w:hAnsi="Garamond" w:cs="Arial"/>
                <w:sz w:val="18"/>
                <w:szCs w:val="18"/>
              </w:rPr>
            </w:pPr>
          </w:p>
          <w:p w14:paraId="4A74FAA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6,857,100</w:t>
            </w:r>
          </w:p>
        </w:tc>
        <w:tc>
          <w:tcPr>
            <w:tcW w:w="724" w:type="pct"/>
            <w:vAlign w:val="center"/>
          </w:tcPr>
          <w:p w14:paraId="04BFE475" w14:textId="77777777" w:rsidR="00591820" w:rsidRPr="00445472" w:rsidRDefault="00591820" w:rsidP="002A1F08">
            <w:pPr>
              <w:spacing w:before="22" w:after="22"/>
              <w:ind w:right="63"/>
              <w:jc w:val="center"/>
              <w:rPr>
                <w:rFonts w:ascii="Garamond" w:eastAsia="MS Mincho" w:hAnsi="Garamond" w:cs="Arial"/>
                <w:sz w:val="18"/>
                <w:szCs w:val="18"/>
              </w:rPr>
            </w:pPr>
          </w:p>
          <w:p w14:paraId="50AC1A8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50,057</w:t>
            </w:r>
          </w:p>
        </w:tc>
      </w:tr>
      <w:tr w:rsidR="00591820" w:rsidRPr="00445472" w14:paraId="70D8EB4D" w14:textId="77777777" w:rsidTr="00F015E8">
        <w:trPr>
          <w:trHeight w:val="560"/>
        </w:trPr>
        <w:tc>
          <w:tcPr>
            <w:tcW w:w="791" w:type="pct"/>
            <w:shd w:val="clear" w:color="auto" w:fill="E6E6E6"/>
            <w:vAlign w:val="center"/>
          </w:tcPr>
          <w:p w14:paraId="44C6BA88" w14:textId="6E6F3CB0"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Has U </w:t>
            </w:r>
            <w:r w:rsidR="00A434CA" w:rsidRPr="00445472">
              <w:rPr>
                <w:rFonts w:ascii="Garamond" w:eastAsia="MS Mincho" w:hAnsi="Garamond" w:cs="Arial"/>
                <w:sz w:val="18"/>
                <w:szCs w:val="18"/>
              </w:rPr>
              <w:t>sh.a.</w:t>
            </w:r>
          </w:p>
        </w:tc>
        <w:tc>
          <w:tcPr>
            <w:tcW w:w="869" w:type="pct"/>
            <w:shd w:val="clear" w:color="auto" w:fill="E6E6E6"/>
            <w:vAlign w:val="center"/>
          </w:tcPr>
          <w:p w14:paraId="16EED03F" w14:textId="77777777" w:rsidR="00591820" w:rsidRPr="00445472" w:rsidRDefault="00591820" w:rsidP="002A1F08">
            <w:pPr>
              <w:spacing w:before="22" w:after="22"/>
              <w:ind w:right="63"/>
              <w:jc w:val="center"/>
              <w:rPr>
                <w:rFonts w:ascii="Garamond" w:eastAsia="MS Mincho" w:hAnsi="Garamond" w:cs="Arial"/>
                <w:sz w:val="18"/>
                <w:szCs w:val="18"/>
              </w:rPr>
            </w:pPr>
          </w:p>
          <w:p w14:paraId="62B7B66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w:t>
            </w:r>
          </w:p>
        </w:tc>
        <w:tc>
          <w:tcPr>
            <w:tcW w:w="721" w:type="pct"/>
            <w:shd w:val="clear" w:color="auto" w:fill="E6E6E6"/>
            <w:vAlign w:val="center"/>
          </w:tcPr>
          <w:p w14:paraId="3CDCC1F7" w14:textId="77777777" w:rsidR="00591820" w:rsidRPr="00445472" w:rsidRDefault="00591820" w:rsidP="002A1F08">
            <w:pPr>
              <w:spacing w:before="22" w:after="22"/>
              <w:ind w:right="63"/>
              <w:jc w:val="center"/>
              <w:rPr>
                <w:rFonts w:ascii="Garamond" w:eastAsia="MS Mincho" w:hAnsi="Garamond" w:cs="Arial"/>
                <w:sz w:val="18"/>
                <w:szCs w:val="18"/>
              </w:rPr>
            </w:pPr>
          </w:p>
          <w:p w14:paraId="7C09FDF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580" w:type="pct"/>
            <w:shd w:val="clear" w:color="auto" w:fill="E6E6E6"/>
            <w:vAlign w:val="center"/>
          </w:tcPr>
          <w:p w14:paraId="265FDEE5" w14:textId="77777777" w:rsidR="00591820" w:rsidRPr="00445472" w:rsidRDefault="00591820" w:rsidP="002A1F08">
            <w:pPr>
              <w:spacing w:before="22" w:after="22"/>
              <w:ind w:right="63"/>
              <w:jc w:val="center"/>
              <w:rPr>
                <w:rFonts w:ascii="Garamond" w:eastAsia="MS Mincho" w:hAnsi="Garamond" w:cs="Arial"/>
                <w:sz w:val="18"/>
                <w:szCs w:val="18"/>
              </w:rPr>
            </w:pPr>
          </w:p>
          <w:p w14:paraId="46F6B0A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w:t>
            </w:r>
          </w:p>
        </w:tc>
        <w:tc>
          <w:tcPr>
            <w:tcW w:w="568" w:type="pct"/>
            <w:shd w:val="clear" w:color="auto" w:fill="E6E6E6"/>
            <w:vAlign w:val="center"/>
          </w:tcPr>
          <w:p w14:paraId="00E42973" w14:textId="77777777" w:rsidR="00591820" w:rsidRPr="00445472" w:rsidRDefault="00591820" w:rsidP="002A1F08">
            <w:pPr>
              <w:spacing w:before="22" w:after="22"/>
              <w:ind w:right="63"/>
              <w:jc w:val="center"/>
              <w:rPr>
                <w:rFonts w:ascii="Garamond" w:eastAsia="MS Mincho" w:hAnsi="Garamond" w:cs="Arial"/>
                <w:sz w:val="18"/>
                <w:szCs w:val="18"/>
              </w:rPr>
            </w:pPr>
          </w:p>
          <w:p w14:paraId="4C16E36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c>
          <w:tcPr>
            <w:tcW w:w="747" w:type="pct"/>
            <w:shd w:val="clear" w:color="auto" w:fill="E6E6E6"/>
            <w:vAlign w:val="center"/>
          </w:tcPr>
          <w:p w14:paraId="251E392A" w14:textId="77777777" w:rsidR="00591820" w:rsidRPr="00445472" w:rsidRDefault="00591820" w:rsidP="002A1F08">
            <w:pPr>
              <w:spacing w:before="22" w:after="22"/>
              <w:ind w:right="63"/>
              <w:jc w:val="center"/>
              <w:rPr>
                <w:rFonts w:ascii="Garamond" w:eastAsia="MS Mincho" w:hAnsi="Garamond" w:cs="Arial"/>
                <w:sz w:val="18"/>
                <w:szCs w:val="18"/>
              </w:rPr>
            </w:pPr>
          </w:p>
          <w:p w14:paraId="1383CA4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2,756,200</w:t>
            </w:r>
          </w:p>
        </w:tc>
        <w:tc>
          <w:tcPr>
            <w:tcW w:w="724" w:type="pct"/>
            <w:shd w:val="clear" w:color="auto" w:fill="E6E6E6"/>
            <w:vAlign w:val="center"/>
          </w:tcPr>
          <w:p w14:paraId="41F43E0B" w14:textId="77777777" w:rsidR="00591820" w:rsidRPr="00445472" w:rsidRDefault="00591820" w:rsidP="002A1F08">
            <w:pPr>
              <w:spacing w:before="22" w:after="22"/>
              <w:ind w:right="63"/>
              <w:jc w:val="center"/>
              <w:rPr>
                <w:rFonts w:ascii="Garamond" w:eastAsia="MS Mincho" w:hAnsi="Garamond" w:cs="Arial"/>
                <w:sz w:val="18"/>
                <w:szCs w:val="18"/>
              </w:rPr>
            </w:pPr>
          </w:p>
          <w:p w14:paraId="51FCF89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20,120</w:t>
            </w:r>
          </w:p>
        </w:tc>
      </w:tr>
      <w:tr w:rsidR="00591820" w:rsidRPr="00445472" w14:paraId="2D1F5EFF" w14:textId="77777777" w:rsidTr="00F015E8">
        <w:trPr>
          <w:trHeight w:val="580"/>
        </w:trPr>
        <w:tc>
          <w:tcPr>
            <w:tcW w:w="791" w:type="pct"/>
            <w:vAlign w:val="center"/>
          </w:tcPr>
          <w:p w14:paraId="4CC7E940" w14:textId="2D2E90A1"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Kukës UK </w:t>
            </w:r>
            <w:r w:rsidR="00A434CA" w:rsidRPr="00445472">
              <w:rPr>
                <w:rFonts w:ascii="Garamond" w:eastAsia="MS Mincho" w:hAnsi="Garamond" w:cs="Arial"/>
                <w:sz w:val="18"/>
                <w:szCs w:val="18"/>
              </w:rPr>
              <w:t>sh.a.</w:t>
            </w:r>
          </w:p>
        </w:tc>
        <w:tc>
          <w:tcPr>
            <w:tcW w:w="869" w:type="pct"/>
            <w:vAlign w:val="center"/>
          </w:tcPr>
          <w:p w14:paraId="2C4C14E4" w14:textId="77777777" w:rsidR="00591820" w:rsidRPr="00445472" w:rsidRDefault="00591820" w:rsidP="002A1F08">
            <w:pPr>
              <w:spacing w:before="22" w:after="22"/>
              <w:ind w:right="63"/>
              <w:jc w:val="center"/>
              <w:rPr>
                <w:rFonts w:ascii="Garamond" w:eastAsia="MS Mincho" w:hAnsi="Garamond" w:cs="Arial"/>
                <w:sz w:val="18"/>
                <w:szCs w:val="18"/>
              </w:rPr>
            </w:pPr>
          </w:p>
          <w:p w14:paraId="7DCA441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40</w:t>
            </w:r>
          </w:p>
        </w:tc>
        <w:tc>
          <w:tcPr>
            <w:tcW w:w="721" w:type="pct"/>
            <w:vAlign w:val="center"/>
          </w:tcPr>
          <w:p w14:paraId="53A341AE" w14:textId="77777777" w:rsidR="00591820" w:rsidRPr="00445472" w:rsidRDefault="00591820" w:rsidP="002A1F08">
            <w:pPr>
              <w:spacing w:before="22" w:after="22"/>
              <w:ind w:right="63"/>
              <w:jc w:val="center"/>
              <w:rPr>
                <w:rFonts w:ascii="Garamond" w:eastAsia="MS Mincho" w:hAnsi="Garamond" w:cs="Arial"/>
                <w:sz w:val="18"/>
                <w:szCs w:val="18"/>
              </w:rPr>
            </w:pPr>
          </w:p>
          <w:p w14:paraId="391B9EE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w:t>
            </w:r>
          </w:p>
        </w:tc>
        <w:tc>
          <w:tcPr>
            <w:tcW w:w="580" w:type="pct"/>
            <w:vAlign w:val="center"/>
          </w:tcPr>
          <w:p w14:paraId="73AB0270" w14:textId="77777777" w:rsidR="00591820" w:rsidRPr="00445472" w:rsidRDefault="00591820" w:rsidP="002A1F08">
            <w:pPr>
              <w:spacing w:before="22" w:after="22"/>
              <w:ind w:right="63"/>
              <w:jc w:val="center"/>
              <w:rPr>
                <w:rFonts w:ascii="Garamond" w:eastAsia="MS Mincho" w:hAnsi="Garamond" w:cs="Arial"/>
                <w:sz w:val="18"/>
                <w:szCs w:val="18"/>
              </w:rPr>
            </w:pPr>
          </w:p>
          <w:p w14:paraId="028987B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77</w:t>
            </w:r>
          </w:p>
        </w:tc>
        <w:tc>
          <w:tcPr>
            <w:tcW w:w="568" w:type="pct"/>
            <w:vAlign w:val="center"/>
          </w:tcPr>
          <w:p w14:paraId="71272E4C" w14:textId="77777777" w:rsidR="00591820" w:rsidRPr="00445472" w:rsidRDefault="00591820" w:rsidP="002A1F08">
            <w:pPr>
              <w:spacing w:before="22" w:after="22"/>
              <w:ind w:right="63"/>
              <w:jc w:val="center"/>
              <w:rPr>
                <w:rFonts w:ascii="Garamond" w:eastAsia="MS Mincho" w:hAnsi="Garamond" w:cs="Arial"/>
                <w:sz w:val="18"/>
                <w:szCs w:val="18"/>
              </w:rPr>
            </w:pPr>
          </w:p>
          <w:p w14:paraId="0727FEC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c>
          <w:tcPr>
            <w:tcW w:w="747" w:type="pct"/>
            <w:vAlign w:val="center"/>
          </w:tcPr>
          <w:p w14:paraId="24657800" w14:textId="77777777" w:rsidR="00591820" w:rsidRPr="00445472" w:rsidRDefault="00591820" w:rsidP="002A1F08">
            <w:pPr>
              <w:spacing w:before="22" w:after="22"/>
              <w:ind w:right="63"/>
              <w:jc w:val="center"/>
              <w:rPr>
                <w:rFonts w:ascii="Garamond" w:eastAsia="MS Mincho" w:hAnsi="Garamond" w:cs="Arial"/>
                <w:sz w:val="18"/>
                <w:szCs w:val="18"/>
              </w:rPr>
            </w:pPr>
          </w:p>
          <w:p w14:paraId="63B966D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7,840,000</w:t>
            </w:r>
          </w:p>
        </w:tc>
        <w:tc>
          <w:tcPr>
            <w:tcW w:w="724" w:type="pct"/>
            <w:vAlign w:val="center"/>
          </w:tcPr>
          <w:p w14:paraId="5AAA89C9" w14:textId="77777777" w:rsidR="00591820" w:rsidRPr="00445472" w:rsidRDefault="00591820" w:rsidP="002A1F08">
            <w:pPr>
              <w:spacing w:before="22" w:after="22"/>
              <w:ind w:right="63"/>
              <w:jc w:val="center"/>
              <w:rPr>
                <w:rFonts w:ascii="Garamond" w:eastAsia="MS Mincho" w:hAnsi="Garamond" w:cs="Arial"/>
                <w:sz w:val="18"/>
                <w:szCs w:val="18"/>
              </w:rPr>
            </w:pPr>
          </w:p>
          <w:p w14:paraId="5B74DBC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57,233</w:t>
            </w:r>
          </w:p>
        </w:tc>
      </w:tr>
      <w:tr w:rsidR="00591820" w:rsidRPr="00445472" w14:paraId="1753D316" w14:textId="77777777" w:rsidTr="00F015E8">
        <w:trPr>
          <w:trHeight w:val="340"/>
        </w:trPr>
        <w:tc>
          <w:tcPr>
            <w:tcW w:w="791" w:type="pct"/>
            <w:shd w:val="clear" w:color="auto" w:fill="E6E6E6"/>
            <w:vAlign w:val="center"/>
          </w:tcPr>
          <w:p w14:paraId="278C14F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Total</w:t>
            </w:r>
          </w:p>
        </w:tc>
        <w:tc>
          <w:tcPr>
            <w:tcW w:w="869" w:type="pct"/>
            <w:shd w:val="clear" w:color="auto" w:fill="E6E6E6"/>
            <w:vAlign w:val="center"/>
          </w:tcPr>
          <w:p w14:paraId="440DD1CD" w14:textId="77777777" w:rsidR="00591820" w:rsidRPr="00445472" w:rsidRDefault="00591820" w:rsidP="002A1F08">
            <w:pPr>
              <w:spacing w:before="22" w:after="22"/>
              <w:ind w:right="63"/>
              <w:jc w:val="center"/>
              <w:rPr>
                <w:rFonts w:ascii="Garamond" w:eastAsia="MS Mincho" w:hAnsi="Garamond" w:cs="Arial"/>
                <w:b/>
                <w:sz w:val="18"/>
                <w:szCs w:val="18"/>
              </w:rPr>
            </w:pPr>
          </w:p>
        </w:tc>
        <w:tc>
          <w:tcPr>
            <w:tcW w:w="721" w:type="pct"/>
            <w:shd w:val="clear" w:color="auto" w:fill="E6E6E6"/>
            <w:vAlign w:val="center"/>
          </w:tcPr>
          <w:p w14:paraId="61367F89" w14:textId="77777777" w:rsidR="00591820" w:rsidRPr="00445472" w:rsidRDefault="00591820" w:rsidP="002A1F08">
            <w:pPr>
              <w:spacing w:before="22" w:after="22"/>
              <w:ind w:right="63"/>
              <w:jc w:val="center"/>
              <w:rPr>
                <w:rFonts w:ascii="Garamond" w:eastAsia="MS Mincho" w:hAnsi="Garamond" w:cs="Arial"/>
                <w:b/>
                <w:sz w:val="18"/>
                <w:szCs w:val="18"/>
              </w:rPr>
            </w:pPr>
          </w:p>
        </w:tc>
        <w:tc>
          <w:tcPr>
            <w:tcW w:w="580" w:type="pct"/>
            <w:shd w:val="clear" w:color="auto" w:fill="E6E6E6"/>
            <w:vAlign w:val="center"/>
          </w:tcPr>
          <w:p w14:paraId="02C7915A" w14:textId="77777777" w:rsidR="00591820" w:rsidRPr="00445472" w:rsidRDefault="00591820" w:rsidP="002A1F08">
            <w:pPr>
              <w:spacing w:before="22" w:after="22"/>
              <w:ind w:right="63"/>
              <w:jc w:val="center"/>
              <w:rPr>
                <w:rFonts w:ascii="Garamond" w:eastAsia="MS Mincho" w:hAnsi="Garamond" w:cs="Arial"/>
                <w:b/>
                <w:sz w:val="18"/>
                <w:szCs w:val="18"/>
              </w:rPr>
            </w:pPr>
          </w:p>
        </w:tc>
        <w:tc>
          <w:tcPr>
            <w:tcW w:w="568" w:type="pct"/>
            <w:shd w:val="clear" w:color="auto" w:fill="E6E6E6"/>
            <w:vAlign w:val="center"/>
          </w:tcPr>
          <w:p w14:paraId="3D1FD05C" w14:textId="77777777" w:rsidR="00591820" w:rsidRPr="00445472" w:rsidRDefault="00591820" w:rsidP="002A1F08">
            <w:pPr>
              <w:spacing w:before="22" w:after="22"/>
              <w:ind w:right="63"/>
              <w:jc w:val="center"/>
              <w:rPr>
                <w:rFonts w:ascii="Garamond" w:eastAsia="MS Mincho" w:hAnsi="Garamond" w:cs="Arial"/>
                <w:b/>
                <w:sz w:val="18"/>
                <w:szCs w:val="18"/>
              </w:rPr>
            </w:pPr>
          </w:p>
        </w:tc>
        <w:tc>
          <w:tcPr>
            <w:tcW w:w="747" w:type="pct"/>
            <w:shd w:val="clear" w:color="auto" w:fill="E6E6E6"/>
            <w:vAlign w:val="center"/>
          </w:tcPr>
          <w:p w14:paraId="088928C7"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156,550,250</w:t>
            </w:r>
          </w:p>
        </w:tc>
        <w:tc>
          <w:tcPr>
            <w:tcW w:w="724" w:type="pct"/>
            <w:shd w:val="clear" w:color="auto" w:fill="E6E6E6"/>
            <w:vAlign w:val="center"/>
          </w:tcPr>
          <w:p w14:paraId="10EE0C20"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1,142,828</w:t>
            </w:r>
          </w:p>
        </w:tc>
      </w:tr>
    </w:tbl>
    <w:p w14:paraId="05D5B3F5" w14:textId="77777777" w:rsidR="00591820" w:rsidRPr="00445472" w:rsidRDefault="00591820" w:rsidP="00F015E8">
      <w:pPr>
        <w:pStyle w:val="TEKSTIIII"/>
      </w:pPr>
    </w:p>
    <w:p w14:paraId="726583FC" w14:textId="01DC424C" w:rsidR="00591820" w:rsidRPr="00445472" w:rsidRDefault="00591820" w:rsidP="00F015E8">
      <w:pPr>
        <w:pStyle w:val="TEKSTIIII"/>
      </w:pPr>
      <w:r w:rsidRPr="00445472">
        <w:t xml:space="preserve">Duke marrë parasysh të dhënat e mësipërme për përdorimin e ujit shtëpiak dhe IKI, </w:t>
      </w:r>
      <w:r w:rsidR="00A434CA" w:rsidRPr="00445472">
        <w:t xml:space="preserve">figura </w:t>
      </w:r>
      <w:r w:rsidRPr="00445472">
        <w:t xml:space="preserve">11.2 ilustron strukturën e vlerës së ujit SH dhe IKI në Basenin Ujor </w:t>
      </w:r>
      <w:r w:rsidR="007E76E3" w:rsidRPr="00445472">
        <w:t>Drin–Bunë</w:t>
      </w:r>
      <w:r w:rsidRPr="00445472">
        <w:t>.</w:t>
      </w:r>
    </w:p>
    <w:p w14:paraId="4DD5CCF5" w14:textId="77777777" w:rsidR="00591820" w:rsidRPr="00445472" w:rsidRDefault="00591820" w:rsidP="00F015E8">
      <w:pPr>
        <w:pStyle w:val="TEKSTIIII"/>
        <w:rPr>
          <w:bCs/>
        </w:rPr>
      </w:pPr>
    </w:p>
    <w:p w14:paraId="1E24A727" w14:textId="77777777" w:rsidR="00591820" w:rsidRPr="00445472" w:rsidRDefault="00591820" w:rsidP="00591820">
      <w:pPr>
        <w:pStyle w:val="BodyText"/>
        <w:spacing w:after="240"/>
        <w:jc w:val="center"/>
        <w:rPr>
          <w:rFonts w:ascii="Garamond" w:hAnsi="Garamond"/>
          <w:b/>
          <w:sz w:val="10"/>
          <w:lang w:val="sq-AL"/>
        </w:rPr>
      </w:pPr>
      <w:r w:rsidRPr="00445472">
        <w:rPr>
          <w:rFonts w:ascii="Garamond" w:hAnsi="Garamond"/>
          <w:b/>
          <w:noProof/>
          <w:sz w:val="10"/>
          <w:lang w:val="en-US" w:eastAsia="en-US"/>
        </w:rPr>
        <w:drawing>
          <wp:inline distT="0" distB="0" distL="0" distR="0" wp14:anchorId="6CB1ED65" wp14:editId="00ED22B9">
            <wp:extent cx="4596130" cy="2883535"/>
            <wp:effectExtent l="0" t="0" r="0" b="0"/>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596130" cy="2883535"/>
                    </a:xfrm>
                    <a:prstGeom prst="rect">
                      <a:avLst/>
                    </a:prstGeom>
                    <a:noFill/>
                    <a:ln>
                      <a:noFill/>
                    </a:ln>
                  </pic:spPr>
                </pic:pic>
              </a:graphicData>
            </a:graphic>
          </wp:inline>
        </w:drawing>
      </w:r>
    </w:p>
    <w:p w14:paraId="7F2D35F7" w14:textId="2186FA1A" w:rsidR="00591820" w:rsidRPr="00445472" w:rsidRDefault="00591820" w:rsidP="00F015E8">
      <w:pPr>
        <w:pStyle w:val="NENTITULL"/>
        <w:jc w:val="center"/>
      </w:pPr>
      <w:r w:rsidRPr="00445472">
        <w:t xml:space="preserve">Figura 11.2: Struktura e vlerave të përdorimit të ujit për Shtëpitë dhe IKI në Basenin Ujor </w:t>
      </w:r>
      <w:r w:rsidR="007E76E3" w:rsidRPr="00445472">
        <w:t>Drin–Bunë</w:t>
      </w:r>
    </w:p>
    <w:p w14:paraId="047C4AC8" w14:textId="77777777" w:rsidR="00591820" w:rsidRPr="00445472" w:rsidRDefault="00591820" w:rsidP="00591820">
      <w:pPr>
        <w:rPr>
          <w:rFonts w:ascii="Garamond" w:hAnsi="Garamond"/>
        </w:rPr>
      </w:pPr>
    </w:p>
    <w:p w14:paraId="57B70158" w14:textId="77777777" w:rsidR="00F015E8" w:rsidRPr="00445472" w:rsidRDefault="00F015E8" w:rsidP="00F015E8">
      <w:pPr>
        <w:pStyle w:val="TEKSTIIII"/>
      </w:pPr>
      <w:bookmarkStart w:id="242" w:name="_bookmark46"/>
      <w:bookmarkStart w:id="243" w:name="_Toc11068860"/>
      <w:bookmarkEnd w:id="242"/>
    </w:p>
    <w:p w14:paraId="2F4D8C7C" w14:textId="22BB6610" w:rsidR="00591820" w:rsidRPr="00445472" w:rsidRDefault="00F015E8" w:rsidP="00F015E8">
      <w:pPr>
        <w:pStyle w:val="NENTITULL"/>
      </w:pPr>
      <w:r w:rsidRPr="00445472">
        <w:t xml:space="preserve">11.3.3 </w:t>
      </w:r>
      <w:r w:rsidR="00591820" w:rsidRPr="00445472">
        <w:t>Përdorimi bujqësor i ujit</w:t>
      </w:r>
      <w:bookmarkEnd w:id="243"/>
    </w:p>
    <w:p w14:paraId="4D1342DE" w14:textId="477ED8A5" w:rsidR="00591820" w:rsidRPr="00445472" w:rsidRDefault="00591820" w:rsidP="00F015E8">
      <w:pPr>
        <w:pStyle w:val="TEKSTIIII"/>
      </w:pPr>
      <w:r w:rsidRPr="00445472">
        <w:t xml:space="preserve">Uji bujqësor, si një shërbim i ofruar, është kryesisht për qëllime të ujitjes. Shërbimi ofrohet me çmim prej 2.000 </w:t>
      </w:r>
      <w:r w:rsidR="00A434CA" w:rsidRPr="00445472">
        <w:t>lek</w:t>
      </w:r>
      <w:r w:rsidR="00C83744">
        <w:t>ë</w:t>
      </w:r>
      <w:r w:rsidRPr="00445472">
        <w:t xml:space="preserve">/ha për ujitje të parë, 1.500 lekë/ha për ujitje të dytë dhe 1.500 </w:t>
      </w:r>
      <w:r w:rsidR="00A434CA" w:rsidRPr="00445472">
        <w:t>lek</w:t>
      </w:r>
      <w:r w:rsidRPr="00445472">
        <w:t>/ha për ujitje të tretë, duke e barazuar me një total prej 5,000 Lek/ha (36.5 €</w:t>
      </w:r>
      <w:r w:rsidR="001D340B" w:rsidRPr="00445472">
        <w:t>/</w:t>
      </w:r>
      <w:r w:rsidRPr="00445472">
        <w:t xml:space="preserve">ha). Duke marrë parasysh çmimet e mësipërme, vlera e ujitjes mund të vlerësohet siç tregohet në </w:t>
      </w:r>
      <w:r w:rsidR="00A434CA" w:rsidRPr="00445472">
        <w:t xml:space="preserve">tabelën </w:t>
      </w:r>
      <w:r w:rsidRPr="00445472">
        <w:t>11.10.</w:t>
      </w:r>
    </w:p>
    <w:p w14:paraId="76F925F9" w14:textId="77777777" w:rsidR="00591820" w:rsidRPr="00445472" w:rsidRDefault="00591820" w:rsidP="00F015E8">
      <w:pPr>
        <w:pStyle w:val="TEKSTIIII"/>
      </w:pPr>
    </w:p>
    <w:p w14:paraId="4F32ADCE" w14:textId="6ACE9DCE" w:rsidR="00591820" w:rsidRPr="00445472" w:rsidRDefault="00591820" w:rsidP="00F015E8">
      <w:pPr>
        <w:pStyle w:val="NENTITULL"/>
        <w:rPr>
          <w:sz w:val="16"/>
        </w:rPr>
      </w:pPr>
      <w:r w:rsidRPr="00445472">
        <w:t xml:space="preserve">Tabela 11.10: Vlera e ujit për ujitje në Basenin Ujor </w:t>
      </w:r>
      <w:r w:rsidR="007E76E3" w:rsidRPr="00445472">
        <w:t>Drin–Bunë</w:t>
      </w:r>
    </w:p>
    <w:tbl>
      <w:tblPr>
        <w:tblW w:w="5000" w:type="pct"/>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1144"/>
        <w:gridCol w:w="1616"/>
        <w:gridCol w:w="3099"/>
        <w:gridCol w:w="3228"/>
      </w:tblGrid>
      <w:tr w:rsidR="00591820" w:rsidRPr="00445472" w14:paraId="41195DCF" w14:textId="77777777" w:rsidTr="00F015E8">
        <w:trPr>
          <w:trHeight w:val="460"/>
        </w:trPr>
        <w:tc>
          <w:tcPr>
            <w:tcW w:w="629" w:type="pct"/>
            <w:shd w:val="clear" w:color="auto" w:fill="D9D9D9"/>
            <w:vAlign w:val="center"/>
          </w:tcPr>
          <w:p w14:paraId="6642847C" w14:textId="77777777" w:rsidR="00591820" w:rsidRPr="00445472" w:rsidRDefault="00591820" w:rsidP="002A1F08">
            <w:pPr>
              <w:spacing w:before="22" w:after="22"/>
              <w:ind w:right="63"/>
              <w:jc w:val="center"/>
              <w:rPr>
                <w:rFonts w:ascii="Garamond" w:eastAsia="MS Mincho" w:hAnsi="Garamond" w:cs="Arial"/>
                <w:b/>
                <w:sz w:val="18"/>
                <w:szCs w:val="18"/>
              </w:rPr>
            </w:pPr>
          </w:p>
          <w:p w14:paraId="20E18248"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Qarku</w:t>
            </w:r>
          </w:p>
        </w:tc>
        <w:tc>
          <w:tcPr>
            <w:tcW w:w="889" w:type="pct"/>
            <w:shd w:val="clear" w:color="auto" w:fill="D9D9D9"/>
            <w:vAlign w:val="center"/>
          </w:tcPr>
          <w:p w14:paraId="064FD9F4"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Tokë arë</w:t>
            </w:r>
          </w:p>
          <w:p w14:paraId="4069184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ha)</w:t>
            </w:r>
          </w:p>
        </w:tc>
        <w:tc>
          <w:tcPr>
            <w:tcW w:w="1705" w:type="pct"/>
            <w:shd w:val="clear" w:color="auto" w:fill="D9D9D9"/>
            <w:vAlign w:val="center"/>
          </w:tcPr>
          <w:p w14:paraId="1AD5C6FF"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Vlera e ujitjes</w:t>
            </w:r>
          </w:p>
          <w:p w14:paraId="163FDEA2" w14:textId="0650E491"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w:t>
            </w:r>
            <w:r w:rsidR="00A434CA" w:rsidRPr="00445472">
              <w:rPr>
                <w:rFonts w:ascii="Garamond" w:eastAsia="MS Mincho" w:hAnsi="Garamond" w:cs="Arial"/>
                <w:b/>
                <w:sz w:val="18"/>
                <w:szCs w:val="18"/>
              </w:rPr>
              <w:t>lek</w:t>
            </w:r>
            <w:r w:rsidRPr="00445472">
              <w:rPr>
                <w:rFonts w:ascii="Garamond" w:eastAsia="MS Mincho" w:hAnsi="Garamond" w:cs="Arial"/>
                <w:b/>
                <w:sz w:val="18"/>
                <w:szCs w:val="18"/>
              </w:rPr>
              <w:t>/vit)</w:t>
            </w:r>
          </w:p>
        </w:tc>
        <w:tc>
          <w:tcPr>
            <w:tcW w:w="1776" w:type="pct"/>
            <w:shd w:val="clear" w:color="auto" w:fill="D9D9D9"/>
            <w:vAlign w:val="center"/>
          </w:tcPr>
          <w:p w14:paraId="2B4CB6F5"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Vlera e ujitjes</w:t>
            </w:r>
          </w:p>
          <w:p w14:paraId="3913A122" w14:textId="3A1A7098"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w:t>
            </w:r>
            <w:r w:rsidR="00A434CA" w:rsidRPr="00445472">
              <w:rPr>
                <w:rFonts w:ascii="Garamond" w:eastAsia="MS Mincho" w:hAnsi="Garamond" w:cs="Arial"/>
                <w:b/>
                <w:sz w:val="18"/>
                <w:szCs w:val="18"/>
              </w:rPr>
              <w:t>euro</w:t>
            </w:r>
            <w:r w:rsidRPr="00445472">
              <w:rPr>
                <w:rFonts w:ascii="Garamond" w:eastAsia="MS Mincho" w:hAnsi="Garamond" w:cs="Arial"/>
                <w:b/>
                <w:sz w:val="18"/>
                <w:szCs w:val="18"/>
              </w:rPr>
              <w:t>/vit)</w:t>
            </w:r>
          </w:p>
        </w:tc>
      </w:tr>
      <w:tr w:rsidR="00591820" w:rsidRPr="00445472" w14:paraId="37313F26" w14:textId="77777777" w:rsidTr="00F015E8">
        <w:trPr>
          <w:trHeight w:val="300"/>
        </w:trPr>
        <w:tc>
          <w:tcPr>
            <w:tcW w:w="629" w:type="pct"/>
            <w:shd w:val="clear" w:color="auto" w:fill="auto"/>
            <w:vAlign w:val="center"/>
          </w:tcPr>
          <w:p w14:paraId="05309A7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889" w:type="pct"/>
            <w:shd w:val="clear" w:color="auto" w:fill="auto"/>
            <w:vAlign w:val="center"/>
          </w:tcPr>
          <w:p w14:paraId="34A310B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w:t>
            </w:r>
          </w:p>
        </w:tc>
        <w:tc>
          <w:tcPr>
            <w:tcW w:w="1705" w:type="pct"/>
            <w:shd w:val="clear" w:color="auto" w:fill="auto"/>
            <w:vAlign w:val="center"/>
          </w:tcPr>
          <w:p w14:paraId="6EC5008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145,000,000</w:t>
            </w:r>
          </w:p>
        </w:tc>
        <w:tc>
          <w:tcPr>
            <w:tcW w:w="1776" w:type="pct"/>
            <w:shd w:val="clear" w:color="auto" w:fill="auto"/>
            <w:vAlign w:val="center"/>
          </w:tcPr>
          <w:p w14:paraId="16B19F1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1,058,510</w:t>
            </w:r>
          </w:p>
        </w:tc>
      </w:tr>
      <w:tr w:rsidR="00591820" w:rsidRPr="00445472" w14:paraId="70D96C4E" w14:textId="77777777" w:rsidTr="00F015E8">
        <w:trPr>
          <w:trHeight w:val="300"/>
        </w:trPr>
        <w:tc>
          <w:tcPr>
            <w:tcW w:w="629" w:type="pct"/>
            <w:shd w:val="clear" w:color="auto" w:fill="E6E6E6"/>
            <w:vAlign w:val="center"/>
          </w:tcPr>
          <w:p w14:paraId="7750701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Korçë</w:t>
            </w:r>
          </w:p>
        </w:tc>
        <w:tc>
          <w:tcPr>
            <w:tcW w:w="889" w:type="pct"/>
            <w:shd w:val="clear" w:color="auto" w:fill="E6E6E6"/>
            <w:vAlign w:val="center"/>
          </w:tcPr>
          <w:p w14:paraId="63E81F2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w:t>
            </w:r>
          </w:p>
        </w:tc>
        <w:tc>
          <w:tcPr>
            <w:tcW w:w="1705" w:type="pct"/>
            <w:shd w:val="clear" w:color="auto" w:fill="E6E6E6"/>
            <w:vAlign w:val="center"/>
          </w:tcPr>
          <w:p w14:paraId="5B00196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80,000,000</w:t>
            </w:r>
          </w:p>
        </w:tc>
        <w:tc>
          <w:tcPr>
            <w:tcW w:w="1776" w:type="pct"/>
            <w:shd w:val="clear" w:color="auto" w:fill="E6E6E6"/>
            <w:vAlign w:val="center"/>
          </w:tcPr>
          <w:p w14:paraId="2DDC208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584,006</w:t>
            </w:r>
          </w:p>
        </w:tc>
      </w:tr>
      <w:tr w:rsidR="00591820" w:rsidRPr="00445472" w14:paraId="26E5CD9B" w14:textId="77777777" w:rsidTr="00F015E8">
        <w:trPr>
          <w:trHeight w:val="300"/>
        </w:trPr>
        <w:tc>
          <w:tcPr>
            <w:tcW w:w="629" w:type="pct"/>
            <w:vAlign w:val="center"/>
          </w:tcPr>
          <w:p w14:paraId="601CD72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889" w:type="pct"/>
            <w:vAlign w:val="center"/>
          </w:tcPr>
          <w:p w14:paraId="4D7800D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w:t>
            </w:r>
          </w:p>
        </w:tc>
        <w:tc>
          <w:tcPr>
            <w:tcW w:w="1705" w:type="pct"/>
            <w:vAlign w:val="center"/>
          </w:tcPr>
          <w:p w14:paraId="0FC4042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65,000,000</w:t>
            </w:r>
          </w:p>
        </w:tc>
        <w:tc>
          <w:tcPr>
            <w:tcW w:w="1776" w:type="pct"/>
            <w:vAlign w:val="center"/>
          </w:tcPr>
          <w:p w14:paraId="6DDF34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474,505</w:t>
            </w:r>
          </w:p>
        </w:tc>
      </w:tr>
      <w:tr w:rsidR="00591820" w:rsidRPr="00445472" w14:paraId="5927CC1B" w14:textId="77777777" w:rsidTr="00F015E8">
        <w:trPr>
          <w:trHeight w:val="300"/>
        </w:trPr>
        <w:tc>
          <w:tcPr>
            <w:tcW w:w="629" w:type="pct"/>
            <w:shd w:val="clear" w:color="auto" w:fill="E6E6E6"/>
            <w:vAlign w:val="center"/>
          </w:tcPr>
          <w:p w14:paraId="590D7B2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889" w:type="pct"/>
            <w:shd w:val="clear" w:color="auto" w:fill="E6E6E6"/>
            <w:vAlign w:val="center"/>
          </w:tcPr>
          <w:p w14:paraId="753ADB8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w:t>
            </w:r>
          </w:p>
        </w:tc>
        <w:tc>
          <w:tcPr>
            <w:tcW w:w="1705" w:type="pct"/>
            <w:shd w:val="clear" w:color="auto" w:fill="E6E6E6"/>
            <w:vAlign w:val="center"/>
          </w:tcPr>
          <w:p w14:paraId="6E0427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115,000,000</w:t>
            </w:r>
          </w:p>
        </w:tc>
        <w:tc>
          <w:tcPr>
            <w:tcW w:w="1776" w:type="pct"/>
            <w:shd w:val="clear" w:color="auto" w:fill="E6E6E6"/>
            <w:vAlign w:val="center"/>
          </w:tcPr>
          <w:p w14:paraId="307D7CC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839,508</w:t>
            </w:r>
          </w:p>
        </w:tc>
      </w:tr>
      <w:tr w:rsidR="00591820" w:rsidRPr="00445472" w14:paraId="3E182131" w14:textId="77777777" w:rsidTr="00F015E8">
        <w:trPr>
          <w:trHeight w:val="300"/>
        </w:trPr>
        <w:tc>
          <w:tcPr>
            <w:tcW w:w="629" w:type="pct"/>
            <w:vAlign w:val="center"/>
          </w:tcPr>
          <w:p w14:paraId="66CE196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889" w:type="pct"/>
            <w:vAlign w:val="center"/>
          </w:tcPr>
          <w:p w14:paraId="0BB145F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w:t>
            </w:r>
          </w:p>
        </w:tc>
        <w:tc>
          <w:tcPr>
            <w:tcW w:w="1705" w:type="pct"/>
            <w:vAlign w:val="center"/>
          </w:tcPr>
          <w:p w14:paraId="2AD6858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170,000,000</w:t>
            </w:r>
          </w:p>
        </w:tc>
        <w:tc>
          <w:tcPr>
            <w:tcW w:w="1776" w:type="pct"/>
            <w:vAlign w:val="center"/>
          </w:tcPr>
          <w:p w14:paraId="02CE44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1,241,012</w:t>
            </w:r>
          </w:p>
        </w:tc>
      </w:tr>
    </w:tbl>
    <w:p w14:paraId="3EBE3D07" w14:textId="77777777" w:rsidR="00591820" w:rsidRPr="00445472" w:rsidRDefault="00591820" w:rsidP="00F015E8">
      <w:pPr>
        <w:pStyle w:val="TEKSTIIII"/>
      </w:pPr>
    </w:p>
    <w:p w14:paraId="2338196D" w14:textId="6263C0EA" w:rsidR="00591820" w:rsidRPr="00445472" w:rsidRDefault="00F015E8" w:rsidP="00F015E8">
      <w:pPr>
        <w:pStyle w:val="NENTITULL"/>
      </w:pPr>
      <w:bookmarkStart w:id="244" w:name="_bookmark47"/>
      <w:bookmarkStart w:id="245" w:name="_Toc486503432"/>
      <w:bookmarkStart w:id="246" w:name="_Toc11068861"/>
      <w:bookmarkEnd w:id="244"/>
      <w:r w:rsidRPr="00445472">
        <w:t xml:space="preserve">11.4 </w:t>
      </w:r>
      <w:r w:rsidR="00591820" w:rsidRPr="00445472">
        <w:t xml:space="preserve">Parashikimet e </w:t>
      </w:r>
      <w:bookmarkEnd w:id="245"/>
      <w:r w:rsidR="00591820" w:rsidRPr="00445472">
        <w:t>tendencave</w:t>
      </w:r>
      <w:bookmarkEnd w:id="246"/>
    </w:p>
    <w:p w14:paraId="3A3422F2" w14:textId="77777777" w:rsidR="00591820" w:rsidRPr="00445472" w:rsidRDefault="00591820" w:rsidP="00F015E8">
      <w:pPr>
        <w:pStyle w:val="TEKSTIIII"/>
      </w:pPr>
      <w:r w:rsidRPr="00445472">
        <w:t>Në këtë seksion bëhen vlerësime në lidhje me shpenzimet e ardhshme të ujit si një bazë për projeksionet e kërkesës së nxjerrjes së ujit. Tendencat e ardhshme vlerësohen për ujin e përdorur për furnizimin me ujë të pijshëm. Llojet e tjera të ujit (uji industrial jo i pijshëm, uji i ujitjes) aktualisht nuk konsiderohen, pasi nuk kishte në disponim të dhëna të besueshme për qëllime parashikuese.</w:t>
      </w:r>
    </w:p>
    <w:p w14:paraId="7D2D682A" w14:textId="076C6364" w:rsidR="00591820" w:rsidRPr="00445472" w:rsidRDefault="00591820" w:rsidP="00F015E8">
      <w:pPr>
        <w:pStyle w:val="TEKSTIIII"/>
      </w:pPr>
      <w:r w:rsidRPr="00445472">
        <w:t xml:space="preserve">Procesi i parashikimit përfshinte hapat kryesorë në vijim të paraqitura në Figurën 11.3. Supozime janë bërë në çdo </w:t>
      </w:r>
      <w:r w:rsidR="00E14B89">
        <w:t>hap, të cilat shpjegohen në nën</w:t>
      </w:r>
      <w:r w:rsidRPr="00445472">
        <w:t>seksionet përkatëse. Nëse kishte të dhëna zyrtare për tendenca të ndryshme, këto të dhëna janë përdorur për të kryer projeksionet. Në raste të tjera, supozimet më të mira ndërkombëtare janë marrë në konsideratë. Rezultatet e procesit të parashikimit janë paraqitur në nënseksionet më poshtë.</w:t>
      </w:r>
    </w:p>
    <w:p w14:paraId="520213AF" w14:textId="77777777" w:rsidR="00591820" w:rsidRPr="00445472" w:rsidRDefault="00591820" w:rsidP="00F015E8">
      <w:pPr>
        <w:pStyle w:val="TEKSTIIII"/>
      </w:pPr>
    </w:p>
    <w:p w14:paraId="5FB6EFEF" w14:textId="77777777" w:rsidR="00591820" w:rsidRPr="00445472" w:rsidRDefault="00591820" w:rsidP="00591820">
      <w:pPr>
        <w:jc w:val="center"/>
        <w:rPr>
          <w:rFonts w:ascii="Garamond" w:hAnsi="Garamond"/>
          <w:b/>
          <w:bCs/>
        </w:rPr>
      </w:pPr>
      <w:r w:rsidRPr="00445472">
        <w:rPr>
          <w:rFonts w:ascii="Garamond" w:hAnsi="Garamond"/>
          <w:noProof/>
          <w:lang w:val="en-US"/>
        </w:rPr>
        <w:drawing>
          <wp:inline distT="0" distB="0" distL="0" distR="0" wp14:anchorId="2459BD65" wp14:editId="21C38949">
            <wp:extent cx="3925570" cy="279781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925570" cy="2797810"/>
                    </a:xfrm>
                    <a:prstGeom prst="rect">
                      <a:avLst/>
                    </a:prstGeom>
                    <a:noFill/>
                    <a:ln>
                      <a:noFill/>
                    </a:ln>
                  </pic:spPr>
                </pic:pic>
              </a:graphicData>
            </a:graphic>
          </wp:inline>
        </w:drawing>
      </w:r>
    </w:p>
    <w:p w14:paraId="081F914C" w14:textId="77777777" w:rsidR="00591820" w:rsidRPr="00445472" w:rsidRDefault="00591820" w:rsidP="00F015E8">
      <w:pPr>
        <w:pStyle w:val="NENTITULL"/>
        <w:jc w:val="center"/>
      </w:pPr>
      <w:bookmarkStart w:id="247" w:name="_bookmark48"/>
      <w:bookmarkEnd w:id="247"/>
      <w:r w:rsidRPr="00445472">
        <w:t>Figura 11.3: Hapat kryesorë në procesin e parashikimit</w:t>
      </w:r>
    </w:p>
    <w:p w14:paraId="3E15D28C" w14:textId="77777777" w:rsidR="00591820" w:rsidRPr="00445472" w:rsidRDefault="00591820" w:rsidP="00F015E8">
      <w:pPr>
        <w:pStyle w:val="NENTITULL"/>
      </w:pPr>
    </w:p>
    <w:p w14:paraId="3FFB1AA1" w14:textId="77777777" w:rsidR="00F015E8" w:rsidRPr="00445472" w:rsidRDefault="00F015E8" w:rsidP="00F015E8">
      <w:pPr>
        <w:pStyle w:val="NENTITULL"/>
      </w:pPr>
      <w:bookmarkStart w:id="248" w:name="_Toc11068862"/>
    </w:p>
    <w:p w14:paraId="1F397300" w14:textId="77777777" w:rsidR="00F015E8" w:rsidRPr="00445472" w:rsidRDefault="00F015E8" w:rsidP="00F015E8">
      <w:pPr>
        <w:pStyle w:val="NENTITULL"/>
      </w:pPr>
    </w:p>
    <w:p w14:paraId="79FD78AD" w14:textId="77777777" w:rsidR="00F015E8" w:rsidRPr="00445472" w:rsidRDefault="00F015E8" w:rsidP="00F015E8">
      <w:pPr>
        <w:pStyle w:val="NENTITULL"/>
      </w:pPr>
    </w:p>
    <w:p w14:paraId="663B18B4" w14:textId="27ECBC28" w:rsidR="00591820" w:rsidRPr="00445472" w:rsidRDefault="00F015E8" w:rsidP="00F015E8">
      <w:pPr>
        <w:pStyle w:val="NENTITULL"/>
      </w:pPr>
      <w:r w:rsidRPr="00445472">
        <w:t xml:space="preserve">11.4.1 </w:t>
      </w:r>
      <w:r w:rsidR="00591820" w:rsidRPr="00445472">
        <w:t>Parashikimet demografike</w:t>
      </w:r>
      <w:bookmarkEnd w:id="248"/>
    </w:p>
    <w:p w14:paraId="042F950D" w14:textId="551DFE48" w:rsidR="00591820" w:rsidRPr="00445472" w:rsidRDefault="00591820" w:rsidP="00F015E8">
      <w:pPr>
        <w:pStyle w:val="TEKSTIIII"/>
      </w:pPr>
      <w:r w:rsidRPr="00445472">
        <w:t xml:space="preserve">Parashikimet në lidhje me zhvillimin demografik në QBU u bazuan në </w:t>
      </w:r>
      <w:r w:rsidR="00D62EDF" w:rsidRPr="00445472">
        <w:t>“</w:t>
      </w:r>
      <w:r w:rsidRPr="00445472">
        <w:t>SHQIPËRIA: Projeksionet e Popullsisë 2011 - 2031</w:t>
      </w:r>
      <w:r w:rsidR="00D62EDF" w:rsidRPr="00445472">
        <w:t>”</w:t>
      </w:r>
      <w:r w:rsidRPr="00445472">
        <w:t xml:space="preserve"> të lëshuar nga INSTAT - Instituti i Statistikave të Republikës së Shqipërisë në vitin 2014, skenar me rritje të lartë. Të dhënat e disponueshme të popullsisë nga censusi i vitit 2011, janë projektuar për çdo Qark në basenin ujor sipas trendit kombëtar të parashikuar në dokumentin e mësipërm. Rezultatet tregohen në figurën 11.4 më poshtë. </w:t>
      </w:r>
    </w:p>
    <w:p w14:paraId="3075B72A" w14:textId="77777777" w:rsidR="00591820" w:rsidRPr="00445472" w:rsidRDefault="00591820" w:rsidP="00F015E8">
      <w:pPr>
        <w:pStyle w:val="TEKSTIIII"/>
      </w:pPr>
    </w:p>
    <w:p w14:paraId="458F1651" w14:textId="77777777" w:rsidR="00591820" w:rsidRPr="00445472" w:rsidRDefault="00591820" w:rsidP="00F015E8">
      <w:pPr>
        <w:pStyle w:val="TEKSTIIII"/>
      </w:pPr>
      <w:r w:rsidRPr="00445472">
        <w:rPr>
          <w:noProof/>
          <w:lang w:val="en-US"/>
        </w:rPr>
        <w:drawing>
          <wp:inline distT="0" distB="0" distL="0" distR="0" wp14:anchorId="65768055" wp14:editId="1B3C2ADC">
            <wp:extent cx="5534108" cy="3375368"/>
            <wp:effectExtent l="0" t="0" r="0" b="0"/>
            <wp:docPr id="38"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31798" cy="3373959"/>
                    </a:xfrm>
                    <a:prstGeom prst="rect">
                      <a:avLst/>
                    </a:prstGeom>
                    <a:noFill/>
                    <a:ln>
                      <a:noFill/>
                    </a:ln>
                  </pic:spPr>
                </pic:pic>
              </a:graphicData>
            </a:graphic>
          </wp:inline>
        </w:drawing>
      </w:r>
    </w:p>
    <w:p w14:paraId="1D57EC35" w14:textId="0135B31E" w:rsidR="00591820" w:rsidRPr="00445472" w:rsidRDefault="00591820" w:rsidP="00F015E8">
      <w:pPr>
        <w:pStyle w:val="NENTITULL"/>
        <w:jc w:val="center"/>
      </w:pPr>
      <w:r w:rsidRPr="00445472">
        <w:t xml:space="preserve">Figura 11.4: Parashikimet demografike në Basenin Ujor </w:t>
      </w:r>
      <w:r w:rsidR="007E76E3" w:rsidRPr="00445472">
        <w:t>Drin–Bunë</w:t>
      </w:r>
    </w:p>
    <w:p w14:paraId="510D6B5E" w14:textId="77777777" w:rsidR="00591820" w:rsidRPr="00445472" w:rsidRDefault="00591820" w:rsidP="00591820">
      <w:pPr>
        <w:rPr>
          <w:rFonts w:ascii="Garamond" w:hAnsi="Garamond"/>
        </w:rPr>
      </w:pPr>
    </w:p>
    <w:p w14:paraId="0ADCE53F" w14:textId="0BB2DDF9" w:rsidR="00591820" w:rsidRPr="00445472" w:rsidRDefault="00591820" w:rsidP="00F015E8">
      <w:pPr>
        <w:pStyle w:val="TEKSTIIII"/>
      </w:pPr>
      <w:r w:rsidRPr="00445472">
        <w:t xml:space="preserve">Trendi demografik në </w:t>
      </w:r>
      <w:r w:rsidR="00A434CA" w:rsidRPr="00445472">
        <w:t xml:space="preserve">tabelën </w:t>
      </w:r>
      <w:r w:rsidRPr="00445472">
        <w:t>11.4 tregon një rritje të numrit të banorëve brenda 15 viteve të ardhshme. Rritja është rreth 4.4%, e cila nuk do të ketë një ndikim të rëndësishëm në sasinë totale të ujit (të organizuar dhe vetë-shërbyer) të ujit të përdorur nga popullsia.</w:t>
      </w:r>
    </w:p>
    <w:p w14:paraId="57534B2C" w14:textId="42B15095" w:rsidR="00591820" w:rsidRPr="00445472" w:rsidRDefault="00F015E8" w:rsidP="00F015E8">
      <w:pPr>
        <w:pStyle w:val="NENTITULL"/>
      </w:pPr>
      <w:bookmarkStart w:id="249" w:name="_bookmark49"/>
      <w:bookmarkStart w:id="250" w:name="_Toc11068863"/>
      <w:bookmarkEnd w:id="249"/>
      <w:r w:rsidRPr="00445472">
        <w:t xml:space="preserve">11.4.2 </w:t>
      </w:r>
      <w:r w:rsidR="00591820" w:rsidRPr="00445472">
        <w:t xml:space="preserve">Tendencat e konsumit </w:t>
      </w:r>
      <w:r w:rsidR="00A434CA" w:rsidRPr="00445472">
        <w:t xml:space="preserve">shtëpiak </w:t>
      </w:r>
      <w:r w:rsidR="00591820" w:rsidRPr="00445472">
        <w:t>dhe IKI</w:t>
      </w:r>
      <w:bookmarkEnd w:id="250"/>
    </w:p>
    <w:p w14:paraId="3177B40C" w14:textId="77777777" w:rsidR="00591820" w:rsidRPr="00445472" w:rsidRDefault="00591820" w:rsidP="00F015E8">
      <w:pPr>
        <w:pStyle w:val="TEKSTIIII"/>
      </w:pPr>
      <w:r w:rsidRPr="00445472">
        <w:t>Tendencat e konsumit shtëpiak të ujit u konsideruan në raport me rritjen e numrit të banorëve në rajon siç ishte parashikuar në pjesën e mëparshme. Faktorë të tjerë ndikues të marrë në konsideratë ishin shkalla e mbulimit të shërbimeve të ujit dhe konsumi i ujit për frymë.</w:t>
      </w:r>
    </w:p>
    <w:p w14:paraId="5842FAC3" w14:textId="276D35E1" w:rsidR="00591820" w:rsidRPr="00445472" w:rsidRDefault="00591820" w:rsidP="00F015E8">
      <w:pPr>
        <w:pStyle w:val="TEKSTIIII"/>
      </w:pPr>
      <w:r w:rsidRPr="00445472">
        <w:t>Tendencat e konsumit të ujit IKI ndikohen nga ndryshimet në aktivitetin ekonomik (industri të reja, teknologji të reja, vëllim të prodhimit, punësim etj</w:t>
      </w:r>
      <w:r w:rsidR="00A434CA" w:rsidRPr="00445472">
        <w:t>.</w:t>
      </w:r>
      <w:r w:rsidRPr="00445472">
        <w:t>). Duke qenë se nuk kishte të dhëna të rëndësishme dhe të besueshme lidhur me këto ndryshime në rajon, aktiviteti ekonomik konsiderohej statik në periudhën e ardhshme.</w:t>
      </w:r>
    </w:p>
    <w:p w14:paraId="1C9AF2D8" w14:textId="77777777" w:rsidR="00591820" w:rsidRPr="00445472" w:rsidRDefault="00591820" w:rsidP="00F015E8">
      <w:pPr>
        <w:pStyle w:val="TEKSTIIII"/>
      </w:pPr>
      <w:r w:rsidRPr="00445472">
        <w:t>Konsumi shtëpiak dhe IKI (industrial, komercial dhe institucional) nga burimet e centralizuara në vitet e ardhshme është parashikuar duke marrë parasysh supozimet e mëposhtme:</w:t>
      </w:r>
    </w:p>
    <w:p w14:paraId="7F630070" w14:textId="5BF1E32A" w:rsidR="00591820" w:rsidRPr="00445472" w:rsidRDefault="002A1582" w:rsidP="00F015E8">
      <w:pPr>
        <w:pStyle w:val="TEKSTIIII"/>
      </w:pPr>
      <w:r>
        <w:t xml:space="preserve">- </w:t>
      </w:r>
      <w:r w:rsidR="00591820" w:rsidRPr="00445472">
        <w:t>Viti bazë për projeksionet u konsiderua të jetë viti 2015;</w:t>
      </w:r>
    </w:p>
    <w:p w14:paraId="1414BCD4" w14:textId="69A49CFE" w:rsidR="00591820" w:rsidRPr="00445472" w:rsidRDefault="002A1582" w:rsidP="00F015E8">
      <w:pPr>
        <w:pStyle w:val="TEKSTIIII"/>
      </w:pPr>
      <w:r>
        <w:t xml:space="preserve">- </w:t>
      </w:r>
      <w:r w:rsidR="00591820" w:rsidRPr="00445472">
        <w:t>Rritja demografike u konsiderua të jetë siç e parashikuar në kapitullin paraprak;</w:t>
      </w:r>
    </w:p>
    <w:p w14:paraId="7A9CD978" w14:textId="6B27BB33" w:rsidR="00591820" w:rsidRPr="00445472" w:rsidRDefault="002A1582" w:rsidP="00F015E8">
      <w:pPr>
        <w:pStyle w:val="TEKSTIIII"/>
      </w:pPr>
      <w:r>
        <w:t xml:space="preserve">- </w:t>
      </w:r>
      <w:r w:rsidR="00591820" w:rsidRPr="00445472">
        <w:t>Supozohet se shkalla e mbulimit të shërbimeve të ujit do të jetë 100% në fund të vitit 2031;</w:t>
      </w:r>
    </w:p>
    <w:p w14:paraId="6E4FC33B" w14:textId="6E458830" w:rsidR="00591820" w:rsidRPr="00445472" w:rsidRDefault="002A1582" w:rsidP="00F015E8">
      <w:pPr>
        <w:pStyle w:val="TEKSTIIII"/>
      </w:pPr>
      <w:r>
        <w:t xml:space="preserve">- </w:t>
      </w:r>
      <w:r w:rsidR="00591820" w:rsidRPr="00445472">
        <w:t>Konsumi për kokë do të jetë rreth 100 l</w:t>
      </w:r>
      <w:r w:rsidR="001D340B" w:rsidRPr="00445472">
        <w:t>/</w:t>
      </w:r>
      <w:r w:rsidR="00591820" w:rsidRPr="00445472">
        <w:t>f/d në vitin 2031;</w:t>
      </w:r>
    </w:p>
    <w:p w14:paraId="0501AB58" w14:textId="7C869298" w:rsidR="00591820" w:rsidRPr="00445472" w:rsidRDefault="002A1582" w:rsidP="00F015E8">
      <w:pPr>
        <w:pStyle w:val="TEKSTIIII"/>
      </w:pPr>
      <w:r>
        <w:t xml:space="preserve">- </w:t>
      </w:r>
      <w:r w:rsidR="00591820" w:rsidRPr="00445472">
        <w:t>Kërkesa e ujit IKI do të konsiderohet konstante deri në vitin 2031, pasi nuk ka të dhëna për ndryshimet në këtë fushë.</w:t>
      </w:r>
    </w:p>
    <w:p w14:paraId="2C16FAA7" w14:textId="0E9BDF03" w:rsidR="00591820" w:rsidRPr="00445472" w:rsidRDefault="00591820" w:rsidP="00F015E8">
      <w:pPr>
        <w:pStyle w:val="TEKSTIIII"/>
      </w:pPr>
      <w:r w:rsidRPr="00445472">
        <w:t xml:space="preserve">Bazuar në supozimet e mësipërme, në basenin ujor </w:t>
      </w:r>
      <w:r w:rsidR="007E76E3" w:rsidRPr="00445472">
        <w:t>Drin–Bunë</w:t>
      </w:r>
      <w:r w:rsidRPr="00445472">
        <w:t xml:space="preserve"> janë identifikuar tendencat e mëposht</w:t>
      </w:r>
      <w:r w:rsidR="00A434CA" w:rsidRPr="00445472">
        <w:t>me në konsumin shtëpiak dhe IKI</w:t>
      </w:r>
      <w:r w:rsidRPr="00445472">
        <w:t xml:space="preserve"> (</w:t>
      </w:r>
      <w:r w:rsidR="00A434CA" w:rsidRPr="00445472">
        <w:t xml:space="preserve">figura </w:t>
      </w:r>
      <w:r w:rsidRPr="00445472">
        <w:t>11.5).</w:t>
      </w:r>
    </w:p>
    <w:p w14:paraId="089AAE8A" w14:textId="77777777" w:rsidR="00591820" w:rsidRPr="00445472" w:rsidRDefault="00591820" w:rsidP="00F015E8">
      <w:pPr>
        <w:pStyle w:val="TEKSTIIII"/>
      </w:pPr>
    </w:p>
    <w:p w14:paraId="6701AD64" w14:textId="77777777" w:rsidR="00591820" w:rsidRPr="00445472" w:rsidRDefault="00591820" w:rsidP="00591820">
      <w:pPr>
        <w:spacing w:before="1"/>
        <w:ind w:right="110"/>
        <w:jc w:val="both"/>
        <w:rPr>
          <w:rFonts w:ascii="Garamond" w:hAnsi="Garamond"/>
          <w:b/>
        </w:rPr>
      </w:pPr>
      <w:r w:rsidRPr="00445472">
        <w:rPr>
          <w:rFonts w:ascii="Garamond" w:hAnsi="Garamond"/>
          <w:noProof/>
          <w:lang w:val="en-US"/>
        </w:rPr>
        <w:drawing>
          <wp:inline distT="0" distB="0" distL="0" distR="0" wp14:anchorId="6B4018FE" wp14:editId="62DB2F12">
            <wp:extent cx="5589767" cy="3605228"/>
            <wp:effectExtent l="0" t="0" r="0" b="0"/>
            <wp:docPr id="22"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92332" cy="3606883"/>
                    </a:xfrm>
                    <a:prstGeom prst="rect">
                      <a:avLst/>
                    </a:prstGeom>
                    <a:noFill/>
                    <a:ln>
                      <a:noFill/>
                    </a:ln>
                  </pic:spPr>
                </pic:pic>
              </a:graphicData>
            </a:graphic>
          </wp:inline>
        </w:drawing>
      </w:r>
    </w:p>
    <w:p w14:paraId="4665C246" w14:textId="5578593A" w:rsidR="00591820" w:rsidRPr="00445472" w:rsidRDefault="00591820" w:rsidP="00F015E8">
      <w:pPr>
        <w:pStyle w:val="NENTITULL"/>
        <w:jc w:val="center"/>
      </w:pPr>
      <w:r w:rsidRPr="00445472">
        <w:t xml:space="preserve">Figura 11.5: Tendencat në konsumin shtëpiak dhe IKI të ujit në basenin </w:t>
      </w:r>
      <w:r w:rsidR="007E76E3" w:rsidRPr="00445472">
        <w:t>Drin–Bunë</w:t>
      </w:r>
    </w:p>
    <w:p w14:paraId="48DAD551" w14:textId="77777777" w:rsidR="00591820" w:rsidRPr="00445472" w:rsidRDefault="00591820" w:rsidP="00F015E8">
      <w:pPr>
        <w:pStyle w:val="TEKSTIIII"/>
      </w:pPr>
    </w:p>
    <w:p w14:paraId="0E364EC2" w14:textId="77777777" w:rsidR="00591820" w:rsidRPr="00445472" w:rsidRDefault="00591820" w:rsidP="00F015E8">
      <w:pPr>
        <w:pStyle w:val="TEKSTIIII"/>
      </w:pPr>
      <w:r w:rsidRPr="00445472">
        <w:t>Tendenca është një rritje kryesisht për shkak të konsumit shtëpiak, pasi konsumi i IKI konsiderohej konstant në periudhën 15-vjeçare. Meqë ky supozim është marrë në mungesën e të dhënave më të mira në dispozicion, nëse ndonjë zhvillim i IKI-t do të regjistrohet në basenin ujor, projeksionet duhet të rishikohen siç duhet.</w:t>
      </w:r>
    </w:p>
    <w:p w14:paraId="54782325" w14:textId="3A907887" w:rsidR="00591820" w:rsidRPr="00445472" w:rsidRDefault="00591820" w:rsidP="00F015E8">
      <w:pPr>
        <w:pStyle w:val="TEKSTIIII"/>
      </w:pPr>
      <w:r w:rsidRPr="00445472">
        <w:t>Rritja e konsumit është rreth 64%, e cila do të ketë një ndikim të rëndësishëm në anën e ofertës. Nëse nuk do të ndërmerren veprime për të reduktuar rrënjësisht humbjet e ujit (shih më poshtë në Seksionin 11.4.3), shërbimet e ujësjellësit në basenin ujor do të detyrohen të zgjerojnë kapacitetin e tyre të trajtimit dhe furnizimit. Si skenari më i keq, kjo do t</w:t>
      </w:r>
      <w:r w:rsidR="00034FBB">
        <w:t>ë ketë gjithashtu një ndikim te</w:t>
      </w:r>
      <w:r w:rsidRPr="00445472">
        <w:t xml:space="preserve"> burimet e ujit.</w:t>
      </w:r>
    </w:p>
    <w:p w14:paraId="1FE924E6" w14:textId="41DDC0AF" w:rsidR="00591820" w:rsidRPr="00445472" w:rsidRDefault="00F015E8" w:rsidP="00F015E8">
      <w:pPr>
        <w:pStyle w:val="NENTITULL"/>
      </w:pPr>
      <w:bookmarkStart w:id="251" w:name="_bookmark50"/>
      <w:bookmarkStart w:id="252" w:name="_Toc11068864"/>
      <w:bookmarkEnd w:id="251"/>
      <w:r w:rsidRPr="00445472">
        <w:t xml:space="preserve">11.4.3 </w:t>
      </w:r>
      <w:r w:rsidR="00591820" w:rsidRPr="00445472">
        <w:t>Humbjet e Ujit</w:t>
      </w:r>
      <w:bookmarkEnd w:id="252"/>
    </w:p>
    <w:p w14:paraId="4E3958F4" w14:textId="5F1243BE" w:rsidR="00591820" w:rsidRPr="00445472" w:rsidRDefault="00591820" w:rsidP="00F015E8">
      <w:pPr>
        <w:pStyle w:val="TEKSTIIII"/>
      </w:pPr>
      <w:r w:rsidRPr="00445472">
        <w:t>Çdo ndërmarrje uji në basenin ujor po përballet me probleme serioze në lidhje me humbjet e ujit në sistemin e furnizimit. Niveli mesatar i ujit të pafaturuar (UPF)</w:t>
      </w:r>
      <w:r w:rsidRPr="00445472">
        <w:rPr>
          <w:vertAlign w:val="superscript"/>
        </w:rPr>
        <w:footnoteReference w:id="201"/>
      </w:r>
      <w:r w:rsidRPr="00445472">
        <w:t>në basen po arrin vlerën 63%, që do të thotë një dëmtim jo vetëm për ujësjellësin</w:t>
      </w:r>
      <w:r w:rsidR="00E14B89">
        <w:t>,</w:t>
      </w:r>
      <w:r w:rsidRPr="00445472">
        <w:t xml:space="preserve"> por edhe për burimet ujore. Niveli i UPF në secilën ndërmarrje është siç tregohet në Tabelën 11.11.</w:t>
      </w:r>
    </w:p>
    <w:p w14:paraId="09167AD6" w14:textId="77777777" w:rsidR="00591820" w:rsidRPr="00445472" w:rsidRDefault="00591820" w:rsidP="00F015E8">
      <w:pPr>
        <w:pStyle w:val="TEKSTIIII"/>
        <w:rPr>
          <w:b/>
          <w:bCs/>
        </w:rPr>
      </w:pPr>
    </w:p>
    <w:p w14:paraId="2E458875" w14:textId="7FC779D1" w:rsidR="00591820" w:rsidRPr="00445472" w:rsidRDefault="00591820" w:rsidP="00F015E8">
      <w:pPr>
        <w:pStyle w:val="NENTITULL"/>
      </w:pPr>
      <w:r w:rsidRPr="00445472">
        <w:t xml:space="preserve">Tabela 11.11: Humbjet aktuale të ujit në Basenin Ujor </w:t>
      </w:r>
      <w:r w:rsidR="007E76E3" w:rsidRPr="00445472">
        <w:t>Drin–Bunë</w:t>
      </w:r>
      <w:r w:rsidRPr="00445472">
        <w:t>, 2015</w:t>
      </w:r>
    </w:p>
    <w:tbl>
      <w:tblPr>
        <w:tblW w:w="0" w:type="auto"/>
        <w:tblInd w:w="113" w:type="dxa"/>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Layout w:type="fixed"/>
        <w:tblCellMar>
          <w:left w:w="0" w:type="dxa"/>
          <w:right w:w="0" w:type="dxa"/>
        </w:tblCellMar>
        <w:tblLook w:val="01E0" w:firstRow="1" w:lastRow="1" w:firstColumn="1" w:lastColumn="1" w:noHBand="0" w:noVBand="0"/>
      </w:tblPr>
      <w:tblGrid>
        <w:gridCol w:w="2062"/>
        <w:gridCol w:w="2170"/>
        <w:gridCol w:w="1980"/>
        <w:gridCol w:w="1277"/>
        <w:gridCol w:w="1646"/>
      </w:tblGrid>
      <w:tr w:rsidR="00591820" w:rsidRPr="00445472" w14:paraId="7D7504BE" w14:textId="77777777" w:rsidTr="002A1F08">
        <w:trPr>
          <w:trHeight w:val="920"/>
        </w:trPr>
        <w:tc>
          <w:tcPr>
            <w:tcW w:w="2062" w:type="dxa"/>
            <w:vAlign w:val="center"/>
          </w:tcPr>
          <w:p w14:paraId="3C90BE81" w14:textId="4BA2C16A"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Emri i </w:t>
            </w:r>
            <w:r w:rsidR="004D766E" w:rsidRPr="00445472">
              <w:rPr>
                <w:rFonts w:ascii="Garamond" w:eastAsia="MS Mincho" w:hAnsi="Garamond" w:cs="Arial"/>
                <w:b/>
                <w:sz w:val="18"/>
                <w:szCs w:val="18"/>
              </w:rPr>
              <w:t>ndërmarrjes</w:t>
            </w:r>
            <w:r w:rsidRPr="00445472">
              <w:rPr>
                <w:rFonts w:ascii="Garamond" w:eastAsia="MS Mincho" w:hAnsi="Garamond" w:cs="Arial"/>
                <w:b/>
                <w:sz w:val="18"/>
                <w:szCs w:val="18"/>
              </w:rPr>
              <w:t>:</w:t>
            </w:r>
          </w:p>
        </w:tc>
        <w:tc>
          <w:tcPr>
            <w:tcW w:w="2170" w:type="dxa"/>
            <w:vAlign w:val="center"/>
          </w:tcPr>
          <w:p w14:paraId="17E93814"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Vëllimi neto i inputit në sistem</w:t>
            </w:r>
          </w:p>
          <w:p w14:paraId="6919093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1980" w:type="dxa"/>
            <w:vAlign w:val="center"/>
          </w:tcPr>
          <w:p w14:paraId="00846F49" w14:textId="28223B14"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Totali i </w:t>
            </w:r>
            <w:r w:rsidR="004D766E" w:rsidRPr="00445472">
              <w:rPr>
                <w:rFonts w:ascii="Garamond" w:eastAsia="MS Mincho" w:hAnsi="Garamond" w:cs="Arial"/>
                <w:b/>
                <w:sz w:val="18"/>
                <w:szCs w:val="18"/>
              </w:rPr>
              <w:t xml:space="preserve">ujit </w:t>
            </w:r>
            <w:r w:rsidRPr="00445472">
              <w:rPr>
                <w:rFonts w:ascii="Garamond" w:eastAsia="MS Mincho" w:hAnsi="Garamond" w:cs="Arial"/>
                <w:b/>
                <w:sz w:val="18"/>
                <w:szCs w:val="18"/>
              </w:rPr>
              <w:t>të shitur (000m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1277" w:type="dxa"/>
            <w:vAlign w:val="center"/>
          </w:tcPr>
          <w:p w14:paraId="73ADFC3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UPA </w:t>
            </w:r>
          </w:p>
          <w:p w14:paraId="74B29D41"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1646" w:type="dxa"/>
            <w:vAlign w:val="center"/>
          </w:tcPr>
          <w:p w14:paraId="0347BDFA"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UPA</w:t>
            </w:r>
          </w:p>
          <w:p w14:paraId="724FE0E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e inputit në sistem)</w:t>
            </w:r>
          </w:p>
        </w:tc>
      </w:tr>
      <w:tr w:rsidR="00591820" w:rsidRPr="00445472" w14:paraId="30F1B57F" w14:textId="77777777" w:rsidTr="002A1F08">
        <w:trPr>
          <w:trHeight w:val="340"/>
        </w:trPr>
        <w:tc>
          <w:tcPr>
            <w:tcW w:w="2062" w:type="dxa"/>
            <w:shd w:val="clear" w:color="auto" w:fill="E6E6E6"/>
            <w:vAlign w:val="center"/>
          </w:tcPr>
          <w:p w14:paraId="0D43EEB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Bashkia Pukë UK</w:t>
            </w:r>
          </w:p>
        </w:tc>
        <w:tc>
          <w:tcPr>
            <w:tcW w:w="2170" w:type="dxa"/>
            <w:shd w:val="clear" w:color="auto" w:fill="E6E6E6"/>
            <w:vAlign w:val="center"/>
          </w:tcPr>
          <w:p w14:paraId="022A193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347</w:t>
            </w:r>
          </w:p>
        </w:tc>
        <w:tc>
          <w:tcPr>
            <w:tcW w:w="1980" w:type="dxa"/>
            <w:shd w:val="clear" w:color="auto" w:fill="E6E6E6"/>
            <w:vAlign w:val="center"/>
          </w:tcPr>
          <w:p w14:paraId="2416C71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138</w:t>
            </w:r>
          </w:p>
        </w:tc>
        <w:tc>
          <w:tcPr>
            <w:tcW w:w="1277" w:type="dxa"/>
            <w:shd w:val="clear" w:color="auto" w:fill="E6E6E6"/>
            <w:vAlign w:val="center"/>
          </w:tcPr>
          <w:p w14:paraId="18E0DBA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209</w:t>
            </w:r>
          </w:p>
        </w:tc>
        <w:tc>
          <w:tcPr>
            <w:tcW w:w="1646" w:type="dxa"/>
            <w:shd w:val="clear" w:color="auto" w:fill="E6E6E6"/>
            <w:vAlign w:val="center"/>
          </w:tcPr>
          <w:p w14:paraId="05588BA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w:t>
            </w:r>
          </w:p>
        </w:tc>
      </w:tr>
      <w:tr w:rsidR="00591820" w:rsidRPr="00445472" w14:paraId="30B6DD7B" w14:textId="77777777" w:rsidTr="002A1F08">
        <w:trPr>
          <w:trHeight w:val="340"/>
        </w:trPr>
        <w:tc>
          <w:tcPr>
            <w:tcW w:w="2062" w:type="dxa"/>
            <w:vAlign w:val="center"/>
          </w:tcPr>
          <w:p w14:paraId="43CC9557" w14:textId="448BBA6D"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Vau </w:t>
            </w:r>
            <w:r w:rsidR="00A434CA" w:rsidRPr="00445472">
              <w:rPr>
                <w:rFonts w:ascii="Garamond" w:eastAsia="MS Mincho" w:hAnsi="Garamond" w:cs="Arial"/>
                <w:sz w:val="18"/>
                <w:szCs w:val="18"/>
              </w:rPr>
              <w:t xml:space="preserve">i </w:t>
            </w:r>
            <w:r w:rsidRPr="00445472">
              <w:rPr>
                <w:rFonts w:ascii="Garamond" w:eastAsia="MS Mincho" w:hAnsi="Garamond" w:cs="Arial"/>
                <w:sz w:val="18"/>
                <w:szCs w:val="18"/>
              </w:rPr>
              <w:t xml:space="preserve">Dejës U </w:t>
            </w:r>
            <w:r w:rsidR="00A434CA" w:rsidRPr="00445472">
              <w:rPr>
                <w:rFonts w:ascii="Garamond" w:eastAsia="MS Mincho" w:hAnsi="Garamond" w:cs="Arial"/>
                <w:sz w:val="18"/>
                <w:szCs w:val="18"/>
              </w:rPr>
              <w:t>sh.a.</w:t>
            </w:r>
          </w:p>
        </w:tc>
        <w:tc>
          <w:tcPr>
            <w:tcW w:w="2170" w:type="dxa"/>
            <w:vAlign w:val="center"/>
          </w:tcPr>
          <w:p w14:paraId="1A89FA0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695</w:t>
            </w:r>
          </w:p>
        </w:tc>
        <w:tc>
          <w:tcPr>
            <w:tcW w:w="1980" w:type="dxa"/>
            <w:vAlign w:val="center"/>
          </w:tcPr>
          <w:p w14:paraId="3A49CD1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161</w:t>
            </w:r>
          </w:p>
        </w:tc>
        <w:tc>
          <w:tcPr>
            <w:tcW w:w="1277" w:type="dxa"/>
            <w:vAlign w:val="center"/>
          </w:tcPr>
          <w:p w14:paraId="3C4CB59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534</w:t>
            </w:r>
          </w:p>
        </w:tc>
        <w:tc>
          <w:tcPr>
            <w:tcW w:w="1646" w:type="dxa"/>
            <w:vAlign w:val="center"/>
          </w:tcPr>
          <w:p w14:paraId="65DED5A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77%</w:t>
            </w:r>
          </w:p>
        </w:tc>
      </w:tr>
      <w:tr w:rsidR="00591820" w:rsidRPr="00445472" w14:paraId="20DEA026" w14:textId="77777777" w:rsidTr="002A1F08">
        <w:trPr>
          <w:trHeight w:val="340"/>
        </w:trPr>
        <w:tc>
          <w:tcPr>
            <w:tcW w:w="2062" w:type="dxa"/>
            <w:shd w:val="clear" w:color="auto" w:fill="E6E6E6"/>
            <w:vAlign w:val="center"/>
          </w:tcPr>
          <w:p w14:paraId="725B768C" w14:textId="580D8836"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Tropojë U </w:t>
            </w:r>
            <w:r w:rsidR="00A434CA" w:rsidRPr="00445472">
              <w:rPr>
                <w:rFonts w:ascii="Garamond" w:eastAsia="MS Mincho" w:hAnsi="Garamond" w:cs="Arial"/>
                <w:sz w:val="18"/>
                <w:szCs w:val="18"/>
              </w:rPr>
              <w:t>sh.a.</w:t>
            </w:r>
          </w:p>
        </w:tc>
        <w:tc>
          <w:tcPr>
            <w:tcW w:w="2170" w:type="dxa"/>
            <w:shd w:val="clear" w:color="auto" w:fill="E6E6E6"/>
            <w:vAlign w:val="center"/>
          </w:tcPr>
          <w:p w14:paraId="39DFC1E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1,488</w:t>
            </w:r>
          </w:p>
        </w:tc>
        <w:tc>
          <w:tcPr>
            <w:tcW w:w="1980" w:type="dxa"/>
            <w:shd w:val="clear" w:color="auto" w:fill="E6E6E6"/>
            <w:vAlign w:val="center"/>
          </w:tcPr>
          <w:p w14:paraId="581ED49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421</w:t>
            </w:r>
          </w:p>
        </w:tc>
        <w:tc>
          <w:tcPr>
            <w:tcW w:w="1277" w:type="dxa"/>
            <w:shd w:val="clear" w:color="auto" w:fill="E6E6E6"/>
            <w:vAlign w:val="center"/>
          </w:tcPr>
          <w:p w14:paraId="31CEB9F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1,067</w:t>
            </w:r>
          </w:p>
        </w:tc>
        <w:tc>
          <w:tcPr>
            <w:tcW w:w="1646" w:type="dxa"/>
            <w:shd w:val="clear" w:color="auto" w:fill="E6E6E6"/>
            <w:vAlign w:val="center"/>
          </w:tcPr>
          <w:p w14:paraId="62C0FE0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72%</w:t>
            </w:r>
          </w:p>
        </w:tc>
      </w:tr>
      <w:tr w:rsidR="00591820" w:rsidRPr="00445472" w14:paraId="5CBAAC73" w14:textId="77777777" w:rsidTr="002A1F08">
        <w:trPr>
          <w:trHeight w:val="340"/>
        </w:trPr>
        <w:tc>
          <w:tcPr>
            <w:tcW w:w="2062" w:type="dxa"/>
            <w:vAlign w:val="center"/>
          </w:tcPr>
          <w:p w14:paraId="17B29578" w14:textId="1A2F5D5B"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Lezhë UK </w:t>
            </w:r>
            <w:r w:rsidR="00A434CA" w:rsidRPr="00445472">
              <w:rPr>
                <w:rFonts w:ascii="Garamond" w:eastAsia="MS Mincho" w:hAnsi="Garamond" w:cs="Arial"/>
                <w:sz w:val="18"/>
                <w:szCs w:val="18"/>
              </w:rPr>
              <w:t>sh.a.</w:t>
            </w:r>
          </w:p>
        </w:tc>
        <w:tc>
          <w:tcPr>
            <w:tcW w:w="2170" w:type="dxa"/>
            <w:vAlign w:val="center"/>
          </w:tcPr>
          <w:p w14:paraId="391CD0E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2,182</w:t>
            </w:r>
          </w:p>
        </w:tc>
        <w:tc>
          <w:tcPr>
            <w:tcW w:w="1980" w:type="dxa"/>
            <w:vAlign w:val="center"/>
          </w:tcPr>
          <w:p w14:paraId="2186B2C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1,193</w:t>
            </w:r>
          </w:p>
        </w:tc>
        <w:tc>
          <w:tcPr>
            <w:tcW w:w="1277" w:type="dxa"/>
            <w:vAlign w:val="center"/>
          </w:tcPr>
          <w:p w14:paraId="4785C1C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989</w:t>
            </w:r>
          </w:p>
        </w:tc>
        <w:tc>
          <w:tcPr>
            <w:tcW w:w="1646" w:type="dxa"/>
            <w:vAlign w:val="center"/>
          </w:tcPr>
          <w:p w14:paraId="7168CE2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w:t>
            </w:r>
          </w:p>
        </w:tc>
      </w:tr>
      <w:tr w:rsidR="00591820" w:rsidRPr="00445472" w14:paraId="33BF3A3E" w14:textId="77777777" w:rsidTr="002A1F08">
        <w:trPr>
          <w:trHeight w:val="340"/>
        </w:trPr>
        <w:tc>
          <w:tcPr>
            <w:tcW w:w="2062" w:type="dxa"/>
            <w:shd w:val="clear" w:color="auto" w:fill="E6E6E6"/>
            <w:vAlign w:val="center"/>
          </w:tcPr>
          <w:p w14:paraId="0076ADCB" w14:textId="240E6A3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Pogradec UK </w:t>
            </w:r>
            <w:r w:rsidR="00A434CA" w:rsidRPr="00445472">
              <w:rPr>
                <w:rFonts w:ascii="Garamond" w:eastAsia="MS Mincho" w:hAnsi="Garamond" w:cs="Arial"/>
                <w:sz w:val="18"/>
                <w:szCs w:val="18"/>
              </w:rPr>
              <w:t>sh.a.</w:t>
            </w:r>
          </w:p>
        </w:tc>
        <w:tc>
          <w:tcPr>
            <w:tcW w:w="2170" w:type="dxa"/>
            <w:shd w:val="clear" w:color="auto" w:fill="E6E6E6"/>
            <w:vAlign w:val="center"/>
          </w:tcPr>
          <w:p w14:paraId="63F5FB7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2,424</w:t>
            </w:r>
          </w:p>
        </w:tc>
        <w:tc>
          <w:tcPr>
            <w:tcW w:w="1980" w:type="dxa"/>
            <w:shd w:val="clear" w:color="auto" w:fill="E6E6E6"/>
            <w:vAlign w:val="center"/>
          </w:tcPr>
          <w:p w14:paraId="6EBC0ED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1,293</w:t>
            </w:r>
          </w:p>
        </w:tc>
        <w:tc>
          <w:tcPr>
            <w:tcW w:w="1277" w:type="dxa"/>
            <w:shd w:val="clear" w:color="auto" w:fill="E6E6E6"/>
            <w:vAlign w:val="center"/>
          </w:tcPr>
          <w:p w14:paraId="3F915B6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1,131</w:t>
            </w:r>
          </w:p>
        </w:tc>
        <w:tc>
          <w:tcPr>
            <w:tcW w:w="1646" w:type="dxa"/>
            <w:shd w:val="clear" w:color="auto" w:fill="E6E6E6"/>
            <w:vAlign w:val="center"/>
          </w:tcPr>
          <w:p w14:paraId="466BE1B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47%</w:t>
            </w:r>
          </w:p>
        </w:tc>
      </w:tr>
      <w:tr w:rsidR="00591820" w:rsidRPr="00445472" w14:paraId="68312C8B" w14:textId="77777777" w:rsidTr="002A1F08">
        <w:trPr>
          <w:trHeight w:val="340"/>
        </w:trPr>
        <w:tc>
          <w:tcPr>
            <w:tcW w:w="2062" w:type="dxa"/>
            <w:vAlign w:val="center"/>
          </w:tcPr>
          <w:p w14:paraId="4A2A33AA" w14:textId="2DDD7641"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UK </w:t>
            </w:r>
            <w:r w:rsidR="00A434CA" w:rsidRPr="00445472">
              <w:rPr>
                <w:rFonts w:ascii="Garamond" w:eastAsia="MS Mincho" w:hAnsi="Garamond" w:cs="Arial"/>
                <w:sz w:val="18"/>
                <w:szCs w:val="18"/>
              </w:rPr>
              <w:t>sh.a.</w:t>
            </w:r>
          </w:p>
        </w:tc>
        <w:tc>
          <w:tcPr>
            <w:tcW w:w="2170" w:type="dxa"/>
            <w:vAlign w:val="center"/>
          </w:tcPr>
          <w:p w14:paraId="500CE41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12,908</w:t>
            </w:r>
          </w:p>
        </w:tc>
        <w:tc>
          <w:tcPr>
            <w:tcW w:w="1980" w:type="dxa"/>
            <w:vAlign w:val="center"/>
          </w:tcPr>
          <w:p w14:paraId="199800D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3,491</w:t>
            </w:r>
          </w:p>
        </w:tc>
        <w:tc>
          <w:tcPr>
            <w:tcW w:w="1277" w:type="dxa"/>
            <w:vAlign w:val="center"/>
          </w:tcPr>
          <w:p w14:paraId="7764AC1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9,417</w:t>
            </w:r>
          </w:p>
        </w:tc>
        <w:tc>
          <w:tcPr>
            <w:tcW w:w="1646" w:type="dxa"/>
            <w:vAlign w:val="center"/>
          </w:tcPr>
          <w:p w14:paraId="6C2BD25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73%</w:t>
            </w:r>
          </w:p>
        </w:tc>
      </w:tr>
      <w:tr w:rsidR="00591820" w:rsidRPr="00445472" w14:paraId="4534596E" w14:textId="77777777" w:rsidTr="002A1F08">
        <w:trPr>
          <w:trHeight w:val="340"/>
        </w:trPr>
        <w:tc>
          <w:tcPr>
            <w:tcW w:w="2062" w:type="dxa"/>
            <w:shd w:val="clear" w:color="auto" w:fill="E6E6E6"/>
            <w:vAlign w:val="center"/>
          </w:tcPr>
          <w:p w14:paraId="4186C1B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Pukë fshat</w:t>
            </w:r>
          </w:p>
        </w:tc>
        <w:tc>
          <w:tcPr>
            <w:tcW w:w="2170" w:type="dxa"/>
            <w:shd w:val="clear" w:color="auto" w:fill="E6E6E6"/>
            <w:vAlign w:val="center"/>
          </w:tcPr>
          <w:p w14:paraId="69C24E9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420</w:t>
            </w:r>
          </w:p>
        </w:tc>
        <w:tc>
          <w:tcPr>
            <w:tcW w:w="1980" w:type="dxa"/>
            <w:shd w:val="clear" w:color="auto" w:fill="E6E6E6"/>
            <w:vAlign w:val="center"/>
          </w:tcPr>
          <w:p w14:paraId="5E4CD64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127</w:t>
            </w:r>
          </w:p>
        </w:tc>
        <w:tc>
          <w:tcPr>
            <w:tcW w:w="1277" w:type="dxa"/>
            <w:shd w:val="clear" w:color="auto" w:fill="E6E6E6"/>
            <w:vAlign w:val="center"/>
          </w:tcPr>
          <w:p w14:paraId="44C57E8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293</w:t>
            </w:r>
          </w:p>
        </w:tc>
        <w:tc>
          <w:tcPr>
            <w:tcW w:w="1646" w:type="dxa"/>
            <w:shd w:val="clear" w:color="auto" w:fill="E6E6E6"/>
            <w:vAlign w:val="center"/>
          </w:tcPr>
          <w:p w14:paraId="6794740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70%</w:t>
            </w:r>
          </w:p>
        </w:tc>
      </w:tr>
      <w:tr w:rsidR="00591820" w:rsidRPr="00445472" w14:paraId="6DC58EC4" w14:textId="77777777" w:rsidTr="002A1F08">
        <w:trPr>
          <w:trHeight w:val="340"/>
        </w:trPr>
        <w:tc>
          <w:tcPr>
            <w:tcW w:w="2062" w:type="dxa"/>
            <w:vAlign w:val="center"/>
          </w:tcPr>
          <w:p w14:paraId="0457BAD7" w14:textId="4E1F9D2C"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(F) U </w:t>
            </w:r>
            <w:r w:rsidR="00A434CA" w:rsidRPr="00445472">
              <w:rPr>
                <w:rFonts w:ascii="Garamond" w:eastAsia="MS Mincho" w:hAnsi="Garamond" w:cs="Arial"/>
                <w:sz w:val="18"/>
                <w:szCs w:val="18"/>
              </w:rPr>
              <w:t>sh.a.</w:t>
            </w:r>
          </w:p>
        </w:tc>
        <w:tc>
          <w:tcPr>
            <w:tcW w:w="2170" w:type="dxa"/>
            <w:vAlign w:val="center"/>
          </w:tcPr>
          <w:p w14:paraId="34A7707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1,699</w:t>
            </w:r>
          </w:p>
        </w:tc>
        <w:tc>
          <w:tcPr>
            <w:tcW w:w="1980" w:type="dxa"/>
            <w:vAlign w:val="center"/>
          </w:tcPr>
          <w:p w14:paraId="1692857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1,137</w:t>
            </w:r>
          </w:p>
        </w:tc>
        <w:tc>
          <w:tcPr>
            <w:tcW w:w="1277" w:type="dxa"/>
            <w:vAlign w:val="center"/>
          </w:tcPr>
          <w:p w14:paraId="0E15C50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562</w:t>
            </w:r>
          </w:p>
        </w:tc>
        <w:tc>
          <w:tcPr>
            <w:tcW w:w="1646" w:type="dxa"/>
            <w:vAlign w:val="center"/>
          </w:tcPr>
          <w:p w14:paraId="7433440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w:t>
            </w:r>
          </w:p>
        </w:tc>
      </w:tr>
      <w:tr w:rsidR="00591820" w:rsidRPr="00445472" w14:paraId="3F893B3F" w14:textId="77777777" w:rsidTr="002A1F08">
        <w:trPr>
          <w:trHeight w:val="340"/>
        </w:trPr>
        <w:tc>
          <w:tcPr>
            <w:tcW w:w="2062" w:type="dxa"/>
            <w:shd w:val="clear" w:color="auto" w:fill="E6E6E6"/>
            <w:vAlign w:val="center"/>
          </w:tcPr>
          <w:p w14:paraId="4F02E751" w14:textId="182F4975" w:rsidR="00591820" w:rsidRPr="00445472" w:rsidRDefault="00591820" w:rsidP="00A434CA">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Fush</w:t>
            </w:r>
            <w:r w:rsidR="00A434CA" w:rsidRPr="00445472">
              <w:rPr>
                <w:rFonts w:ascii="Garamond" w:eastAsia="MS Mincho" w:hAnsi="Garamond" w:cs="Arial"/>
                <w:sz w:val="18"/>
                <w:szCs w:val="18"/>
              </w:rPr>
              <w:t>ë-</w:t>
            </w:r>
            <w:r w:rsidRPr="00445472">
              <w:rPr>
                <w:rFonts w:ascii="Garamond" w:eastAsia="MS Mincho" w:hAnsi="Garamond" w:cs="Arial"/>
                <w:sz w:val="18"/>
                <w:szCs w:val="18"/>
              </w:rPr>
              <w:t xml:space="preserve">Arrëz UK </w:t>
            </w:r>
            <w:r w:rsidR="00A434CA" w:rsidRPr="00445472">
              <w:rPr>
                <w:rFonts w:ascii="Garamond" w:eastAsia="MS Mincho" w:hAnsi="Garamond" w:cs="Arial"/>
                <w:sz w:val="18"/>
                <w:szCs w:val="18"/>
              </w:rPr>
              <w:t>sh.a.</w:t>
            </w:r>
          </w:p>
        </w:tc>
        <w:tc>
          <w:tcPr>
            <w:tcW w:w="2170" w:type="dxa"/>
            <w:shd w:val="clear" w:color="auto" w:fill="E6E6E6"/>
            <w:vAlign w:val="center"/>
          </w:tcPr>
          <w:p w14:paraId="3D7100D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461</w:t>
            </w:r>
          </w:p>
        </w:tc>
        <w:tc>
          <w:tcPr>
            <w:tcW w:w="1980" w:type="dxa"/>
            <w:shd w:val="clear" w:color="auto" w:fill="E6E6E6"/>
            <w:vAlign w:val="center"/>
          </w:tcPr>
          <w:p w14:paraId="333A1FF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115</w:t>
            </w:r>
          </w:p>
        </w:tc>
        <w:tc>
          <w:tcPr>
            <w:tcW w:w="1277" w:type="dxa"/>
            <w:shd w:val="clear" w:color="auto" w:fill="E6E6E6"/>
            <w:vAlign w:val="center"/>
          </w:tcPr>
          <w:p w14:paraId="57E8CA6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346</w:t>
            </w:r>
          </w:p>
        </w:tc>
        <w:tc>
          <w:tcPr>
            <w:tcW w:w="1646" w:type="dxa"/>
            <w:shd w:val="clear" w:color="auto" w:fill="E6E6E6"/>
            <w:vAlign w:val="center"/>
          </w:tcPr>
          <w:p w14:paraId="18A9A77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75%</w:t>
            </w:r>
          </w:p>
        </w:tc>
      </w:tr>
      <w:tr w:rsidR="00591820" w:rsidRPr="00445472" w14:paraId="7A98049C" w14:textId="77777777" w:rsidTr="002A1F08">
        <w:trPr>
          <w:trHeight w:val="340"/>
        </w:trPr>
        <w:tc>
          <w:tcPr>
            <w:tcW w:w="2062" w:type="dxa"/>
            <w:vAlign w:val="center"/>
          </w:tcPr>
          <w:p w14:paraId="0EB2A546" w14:textId="7872D3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Librazhd UK </w:t>
            </w:r>
            <w:r w:rsidR="00A434CA" w:rsidRPr="00445472">
              <w:rPr>
                <w:rFonts w:ascii="Garamond" w:eastAsia="MS Mincho" w:hAnsi="Garamond" w:cs="Arial"/>
                <w:sz w:val="18"/>
                <w:szCs w:val="18"/>
              </w:rPr>
              <w:t>sh.a.</w:t>
            </w:r>
          </w:p>
        </w:tc>
        <w:tc>
          <w:tcPr>
            <w:tcW w:w="2170" w:type="dxa"/>
            <w:vAlign w:val="center"/>
          </w:tcPr>
          <w:p w14:paraId="767B298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720</w:t>
            </w:r>
          </w:p>
        </w:tc>
        <w:tc>
          <w:tcPr>
            <w:tcW w:w="1980" w:type="dxa"/>
            <w:vAlign w:val="center"/>
          </w:tcPr>
          <w:p w14:paraId="6DF5C5C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554</w:t>
            </w:r>
          </w:p>
        </w:tc>
        <w:tc>
          <w:tcPr>
            <w:tcW w:w="1277" w:type="dxa"/>
            <w:vAlign w:val="center"/>
          </w:tcPr>
          <w:p w14:paraId="08B0A4E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167</w:t>
            </w:r>
          </w:p>
        </w:tc>
        <w:tc>
          <w:tcPr>
            <w:tcW w:w="1646" w:type="dxa"/>
            <w:vAlign w:val="center"/>
          </w:tcPr>
          <w:p w14:paraId="7BB219E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w:t>
            </w:r>
          </w:p>
        </w:tc>
      </w:tr>
      <w:tr w:rsidR="00591820" w:rsidRPr="00445472" w14:paraId="5108CB98" w14:textId="77777777" w:rsidTr="002A1F08">
        <w:trPr>
          <w:trHeight w:val="340"/>
        </w:trPr>
        <w:tc>
          <w:tcPr>
            <w:tcW w:w="2062" w:type="dxa"/>
            <w:shd w:val="clear" w:color="auto" w:fill="E6E6E6"/>
            <w:vAlign w:val="center"/>
          </w:tcPr>
          <w:p w14:paraId="34F5CB49" w14:textId="26391F4F"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Mallakastër UK </w:t>
            </w:r>
            <w:r w:rsidR="00A434CA" w:rsidRPr="00445472">
              <w:rPr>
                <w:rFonts w:ascii="Garamond" w:eastAsia="MS Mincho" w:hAnsi="Garamond" w:cs="Arial"/>
                <w:sz w:val="18"/>
                <w:szCs w:val="18"/>
              </w:rPr>
              <w:t>sh.a.</w:t>
            </w:r>
          </w:p>
        </w:tc>
        <w:tc>
          <w:tcPr>
            <w:tcW w:w="2170" w:type="dxa"/>
            <w:shd w:val="clear" w:color="auto" w:fill="E6E6E6"/>
            <w:vAlign w:val="center"/>
          </w:tcPr>
          <w:p w14:paraId="548477A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1,176</w:t>
            </w:r>
          </w:p>
        </w:tc>
        <w:tc>
          <w:tcPr>
            <w:tcW w:w="1980" w:type="dxa"/>
            <w:shd w:val="clear" w:color="auto" w:fill="E6E6E6"/>
            <w:vAlign w:val="center"/>
          </w:tcPr>
          <w:p w14:paraId="78EFFE9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513</w:t>
            </w:r>
          </w:p>
        </w:tc>
        <w:tc>
          <w:tcPr>
            <w:tcW w:w="1277" w:type="dxa"/>
            <w:shd w:val="clear" w:color="auto" w:fill="E6E6E6"/>
            <w:vAlign w:val="center"/>
          </w:tcPr>
          <w:p w14:paraId="2A07B3E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663</w:t>
            </w:r>
          </w:p>
        </w:tc>
        <w:tc>
          <w:tcPr>
            <w:tcW w:w="1646" w:type="dxa"/>
            <w:shd w:val="clear" w:color="auto" w:fill="E6E6E6"/>
            <w:vAlign w:val="center"/>
          </w:tcPr>
          <w:p w14:paraId="048DDA9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w:t>
            </w:r>
          </w:p>
        </w:tc>
      </w:tr>
      <w:tr w:rsidR="00591820" w:rsidRPr="00445472" w14:paraId="4FBB950B" w14:textId="77777777" w:rsidTr="002A1F08">
        <w:trPr>
          <w:trHeight w:val="340"/>
        </w:trPr>
        <w:tc>
          <w:tcPr>
            <w:tcW w:w="2062" w:type="dxa"/>
            <w:vAlign w:val="center"/>
          </w:tcPr>
          <w:p w14:paraId="59776B25" w14:textId="6B61E91E"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Peshkopi U </w:t>
            </w:r>
            <w:r w:rsidR="00A434CA" w:rsidRPr="00445472">
              <w:rPr>
                <w:rFonts w:ascii="Garamond" w:eastAsia="MS Mincho" w:hAnsi="Garamond" w:cs="Arial"/>
                <w:sz w:val="18"/>
                <w:szCs w:val="18"/>
              </w:rPr>
              <w:t>sh.a.</w:t>
            </w:r>
          </w:p>
        </w:tc>
        <w:tc>
          <w:tcPr>
            <w:tcW w:w="2170" w:type="dxa"/>
            <w:vAlign w:val="center"/>
          </w:tcPr>
          <w:p w14:paraId="55565DF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1,859</w:t>
            </w:r>
          </w:p>
        </w:tc>
        <w:tc>
          <w:tcPr>
            <w:tcW w:w="1980" w:type="dxa"/>
            <w:vAlign w:val="center"/>
          </w:tcPr>
          <w:p w14:paraId="6D60437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722</w:t>
            </w:r>
          </w:p>
        </w:tc>
        <w:tc>
          <w:tcPr>
            <w:tcW w:w="1277" w:type="dxa"/>
            <w:vAlign w:val="center"/>
          </w:tcPr>
          <w:p w14:paraId="210931E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1,137</w:t>
            </w:r>
          </w:p>
        </w:tc>
        <w:tc>
          <w:tcPr>
            <w:tcW w:w="1646" w:type="dxa"/>
            <w:vAlign w:val="center"/>
          </w:tcPr>
          <w:p w14:paraId="78CC468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61%</w:t>
            </w:r>
          </w:p>
        </w:tc>
      </w:tr>
      <w:tr w:rsidR="00591820" w:rsidRPr="00445472" w14:paraId="592E6B4A" w14:textId="77777777" w:rsidTr="002A1F08">
        <w:trPr>
          <w:trHeight w:val="340"/>
        </w:trPr>
        <w:tc>
          <w:tcPr>
            <w:tcW w:w="2062" w:type="dxa"/>
            <w:shd w:val="clear" w:color="auto" w:fill="E6E6E6"/>
            <w:vAlign w:val="center"/>
          </w:tcPr>
          <w:p w14:paraId="6A51B0B8" w14:textId="7DEC400B"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Bulqizë U </w:t>
            </w:r>
            <w:r w:rsidR="00A434CA" w:rsidRPr="00445472">
              <w:rPr>
                <w:rFonts w:ascii="Garamond" w:eastAsia="MS Mincho" w:hAnsi="Garamond" w:cs="Arial"/>
                <w:sz w:val="18"/>
                <w:szCs w:val="18"/>
              </w:rPr>
              <w:t>sh.a.</w:t>
            </w:r>
          </w:p>
        </w:tc>
        <w:tc>
          <w:tcPr>
            <w:tcW w:w="2170" w:type="dxa"/>
            <w:shd w:val="clear" w:color="auto" w:fill="E6E6E6"/>
            <w:vAlign w:val="center"/>
          </w:tcPr>
          <w:p w14:paraId="5AF567F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1,592</w:t>
            </w:r>
          </w:p>
        </w:tc>
        <w:tc>
          <w:tcPr>
            <w:tcW w:w="1980" w:type="dxa"/>
            <w:shd w:val="clear" w:color="auto" w:fill="E6E6E6"/>
            <w:vAlign w:val="center"/>
          </w:tcPr>
          <w:p w14:paraId="13A383B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605</w:t>
            </w:r>
          </w:p>
        </w:tc>
        <w:tc>
          <w:tcPr>
            <w:tcW w:w="1277" w:type="dxa"/>
            <w:shd w:val="clear" w:color="auto" w:fill="E6E6E6"/>
            <w:vAlign w:val="center"/>
          </w:tcPr>
          <w:p w14:paraId="0300FAC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987</w:t>
            </w:r>
          </w:p>
        </w:tc>
        <w:tc>
          <w:tcPr>
            <w:tcW w:w="1646" w:type="dxa"/>
            <w:shd w:val="clear" w:color="auto" w:fill="E6E6E6"/>
            <w:vAlign w:val="center"/>
          </w:tcPr>
          <w:p w14:paraId="57A111A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62%</w:t>
            </w:r>
          </w:p>
        </w:tc>
      </w:tr>
      <w:tr w:rsidR="00591820" w:rsidRPr="00445472" w14:paraId="251707B1" w14:textId="77777777" w:rsidTr="002A1F08">
        <w:trPr>
          <w:trHeight w:val="340"/>
        </w:trPr>
        <w:tc>
          <w:tcPr>
            <w:tcW w:w="2062" w:type="dxa"/>
            <w:vAlign w:val="center"/>
          </w:tcPr>
          <w:p w14:paraId="64D6D4E4" w14:textId="52DCDBE2"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Has U </w:t>
            </w:r>
            <w:r w:rsidR="00A434CA" w:rsidRPr="00445472">
              <w:rPr>
                <w:rFonts w:ascii="Garamond" w:eastAsia="MS Mincho" w:hAnsi="Garamond" w:cs="Arial"/>
                <w:sz w:val="18"/>
                <w:szCs w:val="18"/>
              </w:rPr>
              <w:t>sh.a.</w:t>
            </w:r>
          </w:p>
        </w:tc>
        <w:tc>
          <w:tcPr>
            <w:tcW w:w="2170" w:type="dxa"/>
            <w:vAlign w:val="center"/>
          </w:tcPr>
          <w:p w14:paraId="20B214F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629</w:t>
            </w:r>
          </w:p>
        </w:tc>
        <w:tc>
          <w:tcPr>
            <w:tcW w:w="1980" w:type="dxa"/>
            <w:vAlign w:val="center"/>
          </w:tcPr>
          <w:p w14:paraId="6ADAC49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276</w:t>
            </w:r>
          </w:p>
        </w:tc>
        <w:tc>
          <w:tcPr>
            <w:tcW w:w="1277" w:type="dxa"/>
            <w:vAlign w:val="center"/>
          </w:tcPr>
          <w:p w14:paraId="65B4703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353</w:t>
            </w:r>
          </w:p>
        </w:tc>
        <w:tc>
          <w:tcPr>
            <w:tcW w:w="1646" w:type="dxa"/>
            <w:vAlign w:val="center"/>
          </w:tcPr>
          <w:p w14:paraId="5641604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w:t>
            </w:r>
          </w:p>
        </w:tc>
      </w:tr>
      <w:tr w:rsidR="00591820" w:rsidRPr="00445472" w14:paraId="14F87C50" w14:textId="77777777" w:rsidTr="002A1F08">
        <w:trPr>
          <w:trHeight w:val="340"/>
        </w:trPr>
        <w:tc>
          <w:tcPr>
            <w:tcW w:w="2062" w:type="dxa"/>
            <w:shd w:val="clear" w:color="auto" w:fill="E6E6E6"/>
            <w:vAlign w:val="center"/>
          </w:tcPr>
          <w:p w14:paraId="7F8ED5DB" w14:textId="2E497366"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Kukës UK </w:t>
            </w:r>
            <w:r w:rsidR="00A434CA" w:rsidRPr="00445472">
              <w:rPr>
                <w:rFonts w:ascii="Garamond" w:eastAsia="MS Mincho" w:hAnsi="Garamond" w:cs="Arial"/>
                <w:sz w:val="18"/>
                <w:szCs w:val="18"/>
              </w:rPr>
              <w:t>sh.a.</w:t>
            </w:r>
          </w:p>
        </w:tc>
        <w:tc>
          <w:tcPr>
            <w:tcW w:w="2170" w:type="dxa"/>
            <w:shd w:val="clear" w:color="auto" w:fill="E6E6E6"/>
            <w:vAlign w:val="center"/>
          </w:tcPr>
          <w:p w14:paraId="25AF3A7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986</w:t>
            </w:r>
          </w:p>
        </w:tc>
        <w:tc>
          <w:tcPr>
            <w:tcW w:w="1980" w:type="dxa"/>
            <w:shd w:val="clear" w:color="auto" w:fill="E6E6E6"/>
            <w:vAlign w:val="center"/>
          </w:tcPr>
          <w:p w14:paraId="4E63475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856</w:t>
            </w:r>
          </w:p>
        </w:tc>
        <w:tc>
          <w:tcPr>
            <w:tcW w:w="1277" w:type="dxa"/>
            <w:shd w:val="clear" w:color="auto" w:fill="E6E6E6"/>
            <w:vAlign w:val="center"/>
          </w:tcPr>
          <w:p w14:paraId="51B4B97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130</w:t>
            </w:r>
          </w:p>
        </w:tc>
        <w:tc>
          <w:tcPr>
            <w:tcW w:w="1646" w:type="dxa"/>
            <w:shd w:val="clear" w:color="auto" w:fill="E6E6E6"/>
            <w:vAlign w:val="center"/>
          </w:tcPr>
          <w:p w14:paraId="1D3BAA1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w:t>
            </w:r>
          </w:p>
        </w:tc>
      </w:tr>
    </w:tbl>
    <w:p w14:paraId="1BC5C1A3" w14:textId="77777777" w:rsidR="00591820" w:rsidRPr="00445472" w:rsidRDefault="00591820" w:rsidP="00F015E8">
      <w:pPr>
        <w:pStyle w:val="TEKSTIIII"/>
      </w:pPr>
    </w:p>
    <w:p w14:paraId="0CA24304" w14:textId="77777777" w:rsidR="00591820" w:rsidRPr="00445472" w:rsidRDefault="00591820" w:rsidP="00F015E8">
      <w:pPr>
        <w:pStyle w:val="TEKSTIIII"/>
      </w:pPr>
      <w:r w:rsidRPr="00445472">
        <w:t>Humbjet e ujit në vitet e ardhshme u parashikuan duke marrë parasysh supozimet e mëposhtme:</w:t>
      </w:r>
    </w:p>
    <w:p w14:paraId="47F197CA" w14:textId="2E629EAC" w:rsidR="00591820" w:rsidRPr="00445472" w:rsidRDefault="00B834F7" w:rsidP="00F015E8">
      <w:pPr>
        <w:pStyle w:val="TEKSTIIII"/>
      </w:pPr>
      <w:r>
        <w:t xml:space="preserve">- </w:t>
      </w:r>
      <w:r w:rsidR="00591820" w:rsidRPr="00445472">
        <w:t>Viti bazë për projeksionet u konsiderua të jetë viti 2015;</w:t>
      </w:r>
    </w:p>
    <w:p w14:paraId="1A590816" w14:textId="186DFBC3" w:rsidR="00591820" w:rsidRPr="00445472" w:rsidRDefault="00B834F7" w:rsidP="00F015E8">
      <w:pPr>
        <w:pStyle w:val="TEKSTIIII"/>
      </w:pPr>
      <w:r>
        <w:t xml:space="preserve">- </w:t>
      </w:r>
      <w:r w:rsidR="00591820" w:rsidRPr="00445472">
        <w:t>Në fund të periudhës (viti 2031) humbjet do të jenë në nivelin 35% të inputeve të sistemit. Ky supozim konsideron se ndërmarrjet e ujësjellësit do të bëjnë disa investime dhe do të zbatojnë një strategji reduktimi të UPA për të rritur performancën e tyre operacionale dhe financiare;</w:t>
      </w:r>
    </w:p>
    <w:p w14:paraId="6497F674" w14:textId="4E60220F" w:rsidR="00591820" w:rsidRPr="00445472" w:rsidRDefault="00B834F7" w:rsidP="00F015E8">
      <w:pPr>
        <w:pStyle w:val="TEKSTIIII"/>
      </w:pPr>
      <w:r>
        <w:t xml:space="preserve">- </w:t>
      </w:r>
      <w:r w:rsidR="00591820" w:rsidRPr="00445472">
        <w:t>Raportimi UPA (2015) konsiderohet i barabartë me humbjet fizike të ujit në sistemin e furnizimit me ujë. Ky supozim u bë pasi nuk kishte të dhëna të besueshme mbi komponentët e pallogaritur të ujit për të nxjerrë vlerën e saktë të humbjeve fizike;</w:t>
      </w:r>
    </w:p>
    <w:p w14:paraId="34D69E67" w14:textId="59077875" w:rsidR="00591820" w:rsidRPr="00445472" w:rsidRDefault="00B834F7" w:rsidP="00F015E8">
      <w:pPr>
        <w:pStyle w:val="TEKSTIIII"/>
      </w:pPr>
      <w:r>
        <w:t xml:space="preserve">- </w:t>
      </w:r>
      <w:r w:rsidR="00591820" w:rsidRPr="00445472">
        <w:t>Humbjet totale të ujit në basenin ujor konsideroheshin si shuma e humbjeve të regjistruara nga secila ndërmarrje uji në rajon.</w:t>
      </w:r>
    </w:p>
    <w:p w14:paraId="28879C3A" w14:textId="77777777" w:rsidR="00591820" w:rsidRPr="00445472" w:rsidRDefault="00591820" w:rsidP="00F015E8">
      <w:pPr>
        <w:pStyle w:val="TEKSTIIII"/>
      </w:pPr>
      <w:r w:rsidRPr="00445472">
        <w:t>Bazuar në supozimet e mësipërme, u identifikuan tendencat e mëposhtme në humbjet e ujit në basenin ujor (Figura 11.6).</w:t>
      </w:r>
    </w:p>
    <w:p w14:paraId="676DA476" w14:textId="77777777" w:rsidR="00591820" w:rsidRPr="00445472" w:rsidRDefault="00591820" w:rsidP="00A434CA">
      <w:pPr>
        <w:spacing w:before="1"/>
        <w:ind w:right="110"/>
        <w:jc w:val="center"/>
        <w:rPr>
          <w:rFonts w:ascii="Garamond" w:hAnsi="Garamond"/>
          <w:b/>
        </w:rPr>
      </w:pPr>
      <w:r w:rsidRPr="00445472">
        <w:rPr>
          <w:rFonts w:ascii="Garamond" w:hAnsi="Garamond"/>
          <w:noProof/>
          <w:lang w:val="en-US"/>
        </w:rPr>
        <w:drawing>
          <wp:inline distT="0" distB="0" distL="0" distR="0" wp14:anchorId="7B317A73" wp14:editId="0AA70C63">
            <wp:extent cx="4498008" cy="2823490"/>
            <wp:effectExtent l="0" t="0" r="0" b="0"/>
            <wp:docPr id="21"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505691" cy="2828312"/>
                    </a:xfrm>
                    <a:prstGeom prst="rect">
                      <a:avLst/>
                    </a:prstGeom>
                    <a:noFill/>
                    <a:ln>
                      <a:noFill/>
                    </a:ln>
                  </pic:spPr>
                </pic:pic>
              </a:graphicData>
            </a:graphic>
          </wp:inline>
        </w:drawing>
      </w:r>
    </w:p>
    <w:p w14:paraId="744B21CC" w14:textId="6B4AE5C1" w:rsidR="00591820" w:rsidRPr="00445472" w:rsidRDefault="00591820" w:rsidP="00F015E8">
      <w:pPr>
        <w:pStyle w:val="NENTITULL"/>
        <w:jc w:val="center"/>
      </w:pPr>
      <w:bookmarkStart w:id="253" w:name="_bookmark51"/>
      <w:bookmarkEnd w:id="253"/>
      <w:r w:rsidRPr="00445472">
        <w:t xml:space="preserve">Figura 11.6: Parashikimet e </w:t>
      </w:r>
      <w:r w:rsidRPr="00445472">
        <w:rPr>
          <w:rStyle w:val="mw-headline"/>
        </w:rPr>
        <w:t>ardhshme</w:t>
      </w:r>
      <w:r w:rsidRPr="00445472">
        <w:t xml:space="preserve"> të ujit të pafaturuar (UPF) në Basenin Ujor </w:t>
      </w:r>
      <w:r w:rsidR="007E76E3" w:rsidRPr="00445472">
        <w:t>Drin–Bunë</w:t>
      </w:r>
    </w:p>
    <w:p w14:paraId="57BED8B3" w14:textId="27855351" w:rsidR="00591820" w:rsidRPr="00445472" w:rsidRDefault="00F015E8" w:rsidP="00F015E8">
      <w:pPr>
        <w:pStyle w:val="NENTITULL"/>
      </w:pPr>
      <w:bookmarkStart w:id="254" w:name="_Toc11068865"/>
      <w:r w:rsidRPr="00445472">
        <w:t xml:space="preserve">11.4.4 </w:t>
      </w:r>
      <w:r w:rsidR="00591820" w:rsidRPr="00445472">
        <w:t>Tendencat totale të kërkesës për ujë në basenin ujor</w:t>
      </w:r>
      <w:bookmarkEnd w:id="254"/>
    </w:p>
    <w:p w14:paraId="4F8C40AA" w14:textId="77777777" w:rsidR="00591820" w:rsidRPr="00445472" w:rsidRDefault="00591820" w:rsidP="00F015E8">
      <w:pPr>
        <w:pStyle w:val="TEKSTIIII"/>
      </w:pPr>
      <w:r w:rsidRPr="00445472">
        <w:t>Kërkesa totale e ujit supozohet të jetë shuma e konsumit të ujit (shtëpiak dhe IKI) dhe humbjet e ujit në sistemin e furnizimit. Për shkak të tendencave të kundërta të konsumit (në rritje) dhe humbjeve të ujit (në ulje), nuk janë identifikuar ndryshime të mëdha në kërkesën totale të ujit në basenin ujor. Ky fakt është i vërtetë vetëm në rastin e supozimeve të përshtatura, kryesisht:</w:t>
      </w:r>
    </w:p>
    <w:p w14:paraId="5299A5CE" w14:textId="14465011" w:rsidR="00591820" w:rsidRPr="00445472" w:rsidRDefault="00F015E8" w:rsidP="00F015E8">
      <w:pPr>
        <w:pStyle w:val="TEKSTIIII"/>
      </w:pPr>
      <w:r w:rsidRPr="00445472">
        <w:t>-</w:t>
      </w:r>
      <w:r w:rsidR="00A434CA" w:rsidRPr="00445472">
        <w:t xml:space="preserve"> </w:t>
      </w:r>
      <w:r w:rsidR="00591820" w:rsidRPr="00445472">
        <w:t>Nuk do të ketë investime të mëdha në industritë që konsumojnë ujë në rajon.</w:t>
      </w:r>
    </w:p>
    <w:p w14:paraId="6B7AA6D3" w14:textId="687A5605" w:rsidR="00591820" w:rsidRPr="00445472" w:rsidRDefault="00F015E8" w:rsidP="00F015E8">
      <w:pPr>
        <w:pStyle w:val="TEKSTIIII"/>
      </w:pPr>
      <w:r w:rsidRPr="00445472">
        <w:t>-</w:t>
      </w:r>
      <w:r w:rsidR="00A434CA" w:rsidRPr="00445472">
        <w:t xml:space="preserve"> </w:t>
      </w:r>
      <w:r w:rsidR="00591820" w:rsidRPr="00445472">
        <w:t>Konsumi shtëpiak do të ketë një vlerë mesatare prej 100 l/c/d.</w:t>
      </w:r>
    </w:p>
    <w:p w14:paraId="5B5EE86F" w14:textId="1C2AA4D1" w:rsidR="00591820" w:rsidRPr="00445472" w:rsidRDefault="00F015E8" w:rsidP="00F015E8">
      <w:pPr>
        <w:pStyle w:val="TEKSTIIII"/>
      </w:pPr>
      <w:r w:rsidRPr="00445472">
        <w:t>-</w:t>
      </w:r>
      <w:r w:rsidR="00A434CA" w:rsidRPr="00445472">
        <w:t xml:space="preserve"> </w:t>
      </w:r>
      <w:r w:rsidR="00591820" w:rsidRPr="00445472">
        <w:t xml:space="preserve">Ndërmarrjet e </w:t>
      </w:r>
      <w:r w:rsidR="00A434CA" w:rsidRPr="00445472">
        <w:t xml:space="preserve">ujit </w:t>
      </w:r>
      <w:r w:rsidR="00591820" w:rsidRPr="00445472">
        <w:t>do të përvetësojnë dhe zbatojnë masat e duhura për të kontrolluar dhe për të zvogëluar humbjet fizike të ujit.</w:t>
      </w:r>
    </w:p>
    <w:p w14:paraId="6307C6DC" w14:textId="1870D8DE" w:rsidR="00591820" w:rsidRPr="00445472" w:rsidRDefault="00591820" w:rsidP="00F015E8">
      <w:pPr>
        <w:pStyle w:val="TEKSTIIII"/>
      </w:pPr>
      <w:r w:rsidRPr="00445472">
        <w:t xml:space="preserve">Shifrat e tendencës të kërkesës për ujë janë ilustruar në </w:t>
      </w:r>
      <w:r w:rsidR="00A434CA" w:rsidRPr="00445472">
        <w:t xml:space="preserve">figurën </w:t>
      </w:r>
      <w:r w:rsidRPr="00445472">
        <w:t>11.7.</w:t>
      </w:r>
    </w:p>
    <w:p w14:paraId="3C64CC46" w14:textId="77777777" w:rsidR="00591820" w:rsidRPr="00445472" w:rsidRDefault="00591820" w:rsidP="00F015E8">
      <w:pPr>
        <w:pStyle w:val="TEKSTIIII"/>
      </w:pPr>
    </w:p>
    <w:p w14:paraId="0A7B14BC" w14:textId="77777777" w:rsidR="00591820" w:rsidRPr="00445472" w:rsidRDefault="00591820" w:rsidP="00C80F2C">
      <w:pPr>
        <w:pStyle w:val="TEKSTIIII"/>
      </w:pPr>
      <w:r w:rsidRPr="00445472">
        <w:rPr>
          <w:noProof/>
          <w:lang w:val="en-US"/>
        </w:rPr>
        <w:drawing>
          <wp:inline distT="0" distB="0" distL="0" distR="0" wp14:anchorId="38E3479E" wp14:editId="6D8636D4">
            <wp:extent cx="4484536" cy="2518409"/>
            <wp:effectExtent l="0" t="0" r="0" b="0"/>
            <wp:docPr id="4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485497" cy="2518948"/>
                    </a:xfrm>
                    <a:prstGeom prst="rect">
                      <a:avLst/>
                    </a:prstGeom>
                    <a:noFill/>
                    <a:ln>
                      <a:noFill/>
                    </a:ln>
                  </pic:spPr>
                </pic:pic>
              </a:graphicData>
            </a:graphic>
          </wp:inline>
        </w:drawing>
      </w:r>
    </w:p>
    <w:p w14:paraId="2ED71E61" w14:textId="12270D0C" w:rsidR="00591820" w:rsidRPr="00445472" w:rsidRDefault="00591820" w:rsidP="00C80F2C">
      <w:pPr>
        <w:pStyle w:val="NENTITULL"/>
        <w:jc w:val="center"/>
      </w:pPr>
      <w:bookmarkStart w:id="255" w:name="_Toc10806678"/>
      <w:bookmarkStart w:id="256" w:name="_Toc10807545"/>
      <w:bookmarkStart w:id="257" w:name="_Toc11050243"/>
      <w:bookmarkStart w:id="258" w:name="_Toc11068866"/>
      <w:r w:rsidRPr="00445472">
        <w:t xml:space="preserve">Figura 11.7: Trendi i kërkesës për ujë në Basenin Ujor </w:t>
      </w:r>
      <w:r w:rsidR="007E76E3" w:rsidRPr="00445472">
        <w:t>Drin–Bunë</w:t>
      </w:r>
    </w:p>
    <w:p w14:paraId="4592F8EC" w14:textId="77777777" w:rsidR="00A434CA" w:rsidRPr="00445472" w:rsidRDefault="00A434CA" w:rsidP="00166DBF">
      <w:pPr>
        <w:pStyle w:val="NENTITULL"/>
      </w:pPr>
      <w:bookmarkStart w:id="259" w:name="_Toc486503433"/>
      <w:bookmarkStart w:id="260" w:name="_Toc11068867"/>
      <w:bookmarkEnd w:id="255"/>
      <w:bookmarkEnd w:id="256"/>
      <w:bookmarkEnd w:id="257"/>
      <w:bookmarkEnd w:id="258"/>
    </w:p>
    <w:p w14:paraId="7D150934" w14:textId="27EEEEA7" w:rsidR="00591820" w:rsidRPr="00445472" w:rsidRDefault="00166DBF" w:rsidP="00166DBF">
      <w:pPr>
        <w:pStyle w:val="NENTITULL"/>
      </w:pPr>
      <w:r w:rsidRPr="00445472">
        <w:t xml:space="preserve">11.5 </w:t>
      </w:r>
      <w:r w:rsidR="00591820" w:rsidRPr="00445472">
        <w:t xml:space="preserve">Rikuperimi i </w:t>
      </w:r>
      <w:r w:rsidR="00A434CA" w:rsidRPr="00445472">
        <w:t>kostos së shërbimeve të ujit</w:t>
      </w:r>
      <w:bookmarkEnd w:id="259"/>
      <w:bookmarkEnd w:id="260"/>
    </w:p>
    <w:p w14:paraId="2B0F0FDF" w14:textId="77777777" w:rsidR="00591820" w:rsidRPr="00445472" w:rsidRDefault="00591820" w:rsidP="00C80F2C">
      <w:pPr>
        <w:pStyle w:val="TEKSTIIII"/>
      </w:pPr>
      <w:r w:rsidRPr="00445472">
        <w:t>Qasja e propozuar këtu për analizimin dhe raportimin e mbulimit të kostos është siç thuhet në Dokumentin Udhëzues Nr. 1: Ekonomia dhe Mjedisi – Sfida e Zbatimit të Direktivës Kuadër të Ujit</w:t>
      </w:r>
      <w:r w:rsidRPr="00445472">
        <w:rPr>
          <w:rStyle w:val="FootnoteReference"/>
          <w:rFonts w:ascii="Garamond" w:hAnsi="Garamond"/>
          <w:color w:val="auto"/>
        </w:rPr>
        <w:footnoteReference w:id="202"/>
      </w:r>
      <w:r w:rsidRPr="00445472">
        <w:t>.</w:t>
      </w:r>
    </w:p>
    <w:p w14:paraId="7BE09AC6" w14:textId="0DE48DD4" w:rsidR="00591820" w:rsidRPr="00445472" w:rsidRDefault="00591820" w:rsidP="00C80F2C">
      <w:pPr>
        <w:pStyle w:val="TEKSTIIII"/>
      </w:pPr>
      <w:bookmarkStart w:id="261" w:name="_bookmark53"/>
      <w:bookmarkStart w:id="262" w:name="_Toc11068868"/>
      <w:bookmarkEnd w:id="261"/>
      <w:r w:rsidRPr="00445472">
        <w:t xml:space="preserve">Shërbimet e identifikuara të ujit në </w:t>
      </w:r>
      <w:r w:rsidR="00A434CA" w:rsidRPr="00445472">
        <w:t xml:space="preserve">Qarkun </w:t>
      </w:r>
      <w:r w:rsidRPr="00445472">
        <w:t>e Basenit Ujor (QBU)</w:t>
      </w:r>
      <w:bookmarkEnd w:id="262"/>
    </w:p>
    <w:p w14:paraId="729EAA0B" w14:textId="0FACE098" w:rsidR="00591820" w:rsidRPr="00445472" w:rsidRDefault="00591820" w:rsidP="00C80F2C">
      <w:pPr>
        <w:pStyle w:val="TEKSTIIII"/>
      </w:pPr>
      <w:r w:rsidRPr="00445472">
        <w:t xml:space="preserve">Shërbimet e ujit përcaktohen në </w:t>
      </w:r>
      <w:r w:rsidR="00A434CA" w:rsidRPr="00445472">
        <w:t xml:space="preserve">nenin </w:t>
      </w:r>
      <w:r w:rsidRPr="00445472">
        <w:t xml:space="preserve">2 të DKU si: </w:t>
      </w:r>
      <w:r w:rsidR="00D62EDF" w:rsidRPr="00445472">
        <w:t>“</w:t>
      </w:r>
      <w:r w:rsidRPr="00445472">
        <w:t>të gjitha shërbimet që ofrojnë për ujë të pijshëm, institucione publike ose ndonjë aktivitet ekonomik</w:t>
      </w:r>
      <w:r w:rsidR="00A434CA" w:rsidRPr="00445472">
        <w:rPr>
          <w:i/>
        </w:rPr>
        <w:t xml:space="preserve">: </w:t>
      </w:r>
      <w:r w:rsidRPr="00445472">
        <w:rPr>
          <w:i/>
        </w:rPr>
        <w:t>a) Nxjerrjen, mbylljen, magazinimin, trajtimin dhe shpërndarjen e uji</w:t>
      </w:r>
      <w:r w:rsidR="00A434CA" w:rsidRPr="00445472">
        <w:rPr>
          <w:i/>
        </w:rPr>
        <w:t xml:space="preserve">t sipërfaqësor ose nëntokësor; </w:t>
      </w:r>
      <w:r w:rsidRPr="00445472">
        <w:rPr>
          <w:i/>
        </w:rPr>
        <w:t>b) Objektet e grumbullimit dhe trajtimit të ujërave të zeza, të cilat më pas shkarkohen në ujë sipërfaqësor</w:t>
      </w:r>
      <w:r w:rsidRPr="00445472">
        <w:t>.</w:t>
      </w:r>
      <w:r w:rsidR="00D62EDF" w:rsidRPr="00445472">
        <w:t>”</w:t>
      </w:r>
    </w:p>
    <w:p w14:paraId="4BEE5B9C" w14:textId="385871CB" w:rsidR="00591820" w:rsidRPr="00445472" w:rsidRDefault="00591820" w:rsidP="00C80F2C">
      <w:pPr>
        <w:pStyle w:val="TEKSTIIII"/>
      </w:pPr>
      <w:r w:rsidRPr="00445472">
        <w:t xml:space="preserve">Shërbimet e ujit shihen si ndërmjetës midis mjedisit natyror dhe përdorimit aktual të ujit. Në Basenin Ujor </w:t>
      </w:r>
      <w:r w:rsidR="007E76E3" w:rsidRPr="00445472">
        <w:t>Drin–Bunë</w:t>
      </w:r>
      <w:r w:rsidRPr="00445472">
        <w:t xml:space="preserve"> shërbimet e mëposhtme të ujit u identifikuan si më poshtë:</w:t>
      </w:r>
    </w:p>
    <w:p w14:paraId="123D5401" w14:textId="7630E3D5" w:rsidR="00591820" w:rsidRPr="00445472" w:rsidRDefault="00166DBF" w:rsidP="00C80F2C">
      <w:pPr>
        <w:pStyle w:val="TEKSTIIII"/>
      </w:pPr>
      <w:r w:rsidRPr="00445472">
        <w:t>-</w:t>
      </w:r>
      <w:r w:rsidR="00A434CA" w:rsidRPr="00445472">
        <w:t xml:space="preserve"> </w:t>
      </w:r>
      <w:r w:rsidR="00591820" w:rsidRPr="00445472">
        <w:t>Furnizimi me ujë të pijshëm për familjet, kompanitë dhe institucionet, që përfshin:</w:t>
      </w:r>
    </w:p>
    <w:p w14:paraId="55CC6628" w14:textId="7303F80B" w:rsidR="00591820" w:rsidRPr="00445472" w:rsidRDefault="00A434CA" w:rsidP="00C80F2C">
      <w:pPr>
        <w:pStyle w:val="TEKSTIIII"/>
      </w:pPr>
      <w:r w:rsidRPr="00445472">
        <w:t>- nxjerrjen;</w:t>
      </w:r>
    </w:p>
    <w:p w14:paraId="1D77E46D" w14:textId="5DE04A9B" w:rsidR="00591820" w:rsidRPr="00445472" w:rsidRDefault="00A434CA" w:rsidP="00C80F2C">
      <w:pPr>
        <w:pStyle w:val="TEKSTIIII"/>
      </w:pPr>
      <w:r w:rsidRPr="00445472">
        <w:t>- ruajtjen;</w:t>
      </w:r>
    </w:p>
    <w:p w14:paraId="1B82DF8C" w14:textId="70E1F272" w:rsidR="00591820" w:rsidRPr="00445472" w:rsidRDefault="00A434CA" w:rsidP="00C80F2C">
      <w:pPr>
        <w:pStyle w:val="TEKSTIIII"/>
      </w:pPr>
      <w:r w:rsidRPr="00445472">
        <w:t>- trajtimin;</w:t>
      </w:r>
    </w:p>
    <w:p w14:paraId="06C6CF4F" w14:textId="3FA80BC1" w:rsidR="00591820" w:rsidRPr="00445472" w:rsidRDefault="00A434CA" w:rsidP="00C80F2C">
      <w:pPr>
        <w:pStyle w:val="TEKSTIIII"/>
      </w:pPr>
      <w:r w:rsidRPr="00445472">
        <w:t>- shpërndarjen.</w:t>
      </w:r>
    </w:p>
    <w:p w14:paraId="140BCE30" w14:textId="0EA506A2" w:rsidR="00591820" w:rsidRPr="00445472" w:rsidRDefault="00B834F7" w:rsidP="00C80F2C">
      <w:pPr>
        <w:pStyle w:val="TEKSTIIII"/>
      </w:pPr>
      <w:r>
        <w:t xml:space="preserve">- </w:t>
      </w:r>
      <w:r w:rsidR="00591820" w:rsidRPr="00445472">
        <w:t>Shërbimet e kanalizimeve për familjet, kompanitë dhe institucionet, të cilat përfshijnë:</w:t>
      </w:r>
    </w:p>
    <w:p w14:paraId="23F1BBAA" w14:textId="284F8F0B" w:rsidR="00591820" w:rsidRPr="00445472" w:rsidRDefault="00166DBF" w:rsidP="00C80F2C">
      <w:pPr>
        <w:pStyle w:val="TEKSTIIII"/>
      </w:pPr>
      <w:r w:rsidRPr="00445472">
        <w:t>-</w:t>
      </w:r>
      <w:r w:rsidR="00D67757" w:rsidRPr="00445472">
        <w:t xml:space="preserve"> mbledhjen </w:t>
      </w:r>
      <w:r w:rsidR="00591820" w:rsidRPr="00445472">
        <w:t>e ujërave të ndotura</w:t>
      </w:r>
      <w:r w:rsidR="00D67757" w:rsidRPr="00445472">
        <w:t>;</w:t>
      </w:r>
    </w:p>
    <w:p w14:paraId="0BB93364" w14:textId="571F6CFA" w:rsidR="00591820" w:rsidRPr="00445472" w:rsidRDefault="00166DBF" w:rsidP="00C80F2C">
      <w:pPr>
        <w:pStyle w:val="TEKSTIIII"/>
      </w:pPr>
      <w:r w:rsidRPr="00445472">
        <w:t>-</w:t>
      </w:r>
      <w:r w:rsidR="00D67757" w:rsidRPr="00445472">
        <w:t xml:space="preserve"> objektet </w:t>
      </w:r>
      <w:r w:rsidR="00591820" w:rsidRPr="00445472">
        <w:t>e trajtimit të ujërave të ndotura</w:t>
      </w:r>
      <w:r w:rsidR="00D67757" w:rsidRPr="00445472">
        <w:t>.</w:t>
      </w:r>
    </w:p>
    <w:p w14:paraId="0BC5D434" w14:textId="43AAD1C6" w:rsidR="00591820" w:rsidRPr="00445472" w:rsidRDefault="00166DBF" w:rsidP="00166DBF">
      <w:pPr>
        <w:pStyle w:val="NENTITULL"/>
      </w:pPr>
      <w:bookmarkStart w:id="263" w:name="_bookmark54"/>
      <w:bookmarkStart w:id="264" w:name="_Toc11068869"/>
      <w:bookmarkEnd w:id="263"/>
      <w:r w:rsidRPr="00445472">
        <w:t xml:space="preserve">11.5.2 </w:t>
      </w:r>
      <w:r w:rsidR="00591820" w:rsidRPr="00445472">
        <w:t>Ofruesit e shërbimeve të ujit dhe ujërave të ndotura</w:t>
      </w:r>
      <w:bookmarkEnd w:id="264"/>
    </w:p>
    <w:p w14:paraId="3F6A776D" w14:textId="20FF64CE" w:rsidR="00591820" w:rsidRPr="00445472" w:rsidRDefault="00591820" w:rsidP="00C80F2C">
      <w:pPr>
        <w:pStyle w:val="TEKSTIIII"/>
      </w:pPr>
      <w:r w:rsidRPr="00445472">
        <w:t>Ofruesit janë subjektet që furnizojnë shërbimet e ujit dhe kanalizimeve. Për furnizimin publik me ujë dhe grumbullimin dhe trajtimin e ujërave të ndotura, ekziston një ndërmarrje e vetme që siguron të gjitha fazat e shërbimeve (p.sh.</w:t>
      </w:r>
      <w:r w:rsidR="00D67757" w:rsidRPr="00445472">
        <w:t>,</w:t>
      </w:r>
      <w:r w:rsidRPr="00445472">
        <w:t xml:space="preserve"> nxjerrje, ruajtje, trajtim dhe shpërndarje të ujërave sipërfaqësore ose nëntokësore). Lista e identifikuar e ndërmarrjes (ndërmarrjeve) të furnizimit me ujë dhe kanalizimeve (trajtimit të ujërave të ndotura, n</w:t>
      </w:r>
      <w:r w:rsidR="00554D3B">
        <w:t>ë</w:t>
      </w:r>
      <w:r w:rsidRPr="00445472">
        <w:t xml:space="preserve"> rast se trajtohen) janë paraqitur në </w:t>
      </w:r>
      <w:r w:rsidR="00D67757" w:rsidRPr="00445472">
        <w:t xml:space="preserve">tabelën </w:t>
      </w:r>
      <w:r w:rsidRPr="00445472">
        <w:t>11.12.</w:t>
      </w:r>
    </w:p>
    <w:p w14:paraId="727474B3" w14:textId="072BF8E8" w:rsidR="00591820" w:rsidRPr="00445472" w:rsidRDefault="00591820" w:rsidP="00C80F2C">
      <w:pPr>
        <w:pStyle w:val="TEKSTIIII"/>
      </w:pPr>
      <w:r w:rsidRPr="00445472">
        <w:t xml:space="preserve">Të dhënat mbi vetë-shërbimet, të tilla si nxjerrja bujqësore dhe furnizimi privat me ujë dhe trajtimi i ujërave të ndotura (që përdorin gropa septike ose gropa të grumbulluara) janë të vështira për </w:t>
      </w:r>
      <w:r w:rsidR="00B139CF" w:rsidRPr="00445472">
        <w:t>t’u</w:t>
      </w:r>
      <w:r w:rsidRPr="00445472">
        <w:t xml:space="preserve"> identifikuar, pasi nuk ka një grup të dhënash gjithëpërfshirëse në numrin e shërbimeve, vendndodhjeve, vëllimeve etj.</w:t>
      </w:r>
    </w:p>
    <w:p w14:paraId="78ADEAA3" w14:textId="77777777" w:rsidR="00591820" w:rsidRPr="00445472" w:rsidRDefault="00591820" w:rsidP="00C80F2C">
      <w:pPr>
        <w:pStyle w:val="TEKSTIIII"/>
        <w:rPr>
          <w:b/>
          <w:bCs/>
        </w:rPr>
      </w:pPr>
    </w:p>
    <w:p w14:paraId="430F79E8" w14:textId="3E83EFD4" w:rsidR="00591820" w:rsidRPr="00445472" w:rsidRDefault="00591820" w:rsidP="00166DBF">
      <w:pPr>
        <w:pStyle w:val="NENTITULL"/>
      </w:pPr>
      <w:r w:rsidRPr="00445472">
        <w:t xml:space="preserve">Tabela 11.12: Ofruesit e shërbimeve të ujit dhe ujërave të ndotura në Basenin Ujor </w:t>
      </w:r>
      <w:r w:rsidR="007E76E3" w:rsidRPr="00445472">
        <w:t>Drin–Bunë</w:t>
      </w:r>
    </w:p>
    <w:tbl>
      <w:tblPr>
        <w:tblW w:w="0" w:type="auto"/>
        <w:tblInd w:w="110" w:type="dxa"/>
        <w:tblBorders>
          <w:top w:val="single" w:sz="4" w:space="0" w:color="27B0AF"/>
          <w:left w:val="single" w:sz="4" w:space="0" w:color="27B0AF"/>
          <w:bottom w:val="single" w:sz="4" w:space="0" w:color="27B0AF"/>
          <w:right w:val="single" w:sz="4" w:space="0" w:color="27B0AF"/>
          <w:insideH w:val="single" w:sz="4" w:space="0" w:color="27B0AF"/>
          <w:insideV w:val="single" w:sz="4" w:space="0" w:color="27B0AF"/>
        </w:tblBorders>
        <w:tblLayout w:type="fixed"/>
        <w:tblCellMar>
          <w:left w:w="0" w:type="dxa"/>
          <w:right w:w="0" w:type="dxa"/>
        </w:tblCellMar>
        <w:tblLook w:val="01E0" w:firstRow="1" w:lastRow="1" w:firstColumn="1" w:lastColumn="1" w:noHBand="0" w:noVBand="0"/>
      </w:tblPr>
      <w:tblGrid>
        <w:gridCol w:w="1282"/>
        <w:gridCol w:w="2823"/>
        <w:gridCol w:w="852"/>
        <w:gridCol w:w="1976"/>
        <w:gridCol w:w="1978"/>
      </w:tblGrid>
      <w:tr w:rsidR="00591820" w:rsidRPr="00445472" w14:paraId="6FD27756" w14:textId="77777777" w:rsidTr="002A1F08">
        <w:trPr>
          <w:trHeight w:val="580"/>
          <w:tblHeader/>
        </w:trPr>
        <w:tc>
          <w:tcPr>
            <w:tcW w:w="1282" w:type="dxa"/>
            <w:vAlign w:val="center"/>
          </w:tcPr>
          <w:p w14:paraId="43C49B83" w14:textId="77777777" w:rsidR="00591820" w:rsidRPr="00445472" w:rsidRDefault="00591820" w:rsidP="002A1F08">
            <w:pPr>
              <w:spacing w:before="22" w:after="22"/>
              <w:ind w:right="63"/>
              <w:jc w:val="center"/>
              <w:rPr>
                <w:rFonts w:ascii="Garamond" w:eastAsia="MS Mincho" w:hAnsi="Garamond" w:cs="Arial"/>
                <w:b/>
                <w:sz w:val="18"/>
                <w:szCs w:val="18"/>
              </w:rPr>
            </w:pPr>
          </w:p>
          <w:p w14:paraId="688ECF72"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Vendi</w:t>
            </w:r>
          </w:p>
        </w:tc>
        <w:tc>
          <w:tcPr>
            <w:tcW w:w="2823" w:type="dxa"/>
            <w:vAlign w:val="center"/>
          </w:tcPr>
          <w:p w14:paraId="49B946F8" w14:textId="77777777" w:rsidR="00591820" w:rsidRPr="00445472" w:rsidRDefault="00591820" w:rsidP="002A1F08">
            <w:pPr>
              <w:spacing w:before="22" w:after="22"/>
              <w:ind w:right="63"/>
              <w:jc w:val="center"/>
              <w:rPr>
                <w:rFonts w:ascii="Garamond" w:eastAsia="MS Mincho" w:hAnsi="Garamond" w:cs="Arial"/>
                <w:b/>
                <w:sz w:val="18"/>
                <w:szCs w:val="18"/>
              </w:rPr>
            </w:pPr>
          </w:p>
          <w:p w14:paraId="63E469EA"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Lokaliteti</w:t>
            </w:r>
          </w:p>
        </w:tc>
        <w:tc>
          <w:tcPr>
            <w:tcW w:w="852" w:type="dxa"/>
            <w:vAlign w:val="center"/>
          </w:tcPr>
          <w:p w14:paraId="4CC01D55" w14:textId="5E6D36B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w w:val="95"/>
                <w:sz w:val="18"/>
                <w:szCs w:val="18"/>
              </w:rPr>
              <w:t>Urban</w:t>
            </w:r>
            <w:r w:rsidR="001D340B" w:rsidRPr="00445472">
              <w:rPr>
                <w:rFonts w:ascii="Garamond" w:eastAsia="MS Mincho" w:hAnsi="Garamond" w:cs="Arial"/>
                <w:b/>
                <w:w w:val="95"/>
                <w:sz w:val="18"/>
                <w:szCs w:val="18"/>
              </w:rPr>
              <w:t>/</w:t>
            </w:r>
            <w:r w:rsidRPr="00445472">
              <w:rPr>
                <w:rFonts w:ascii="Garamond" w:eastAsia="MS Mincho" w:hAnsi="Garamond" w:cs="Arial"/>
                <w:b/>
                <w:sz w:val="18"/>
                <w:szCs w:val="18"/>
              </w:rPr>
              <w:t>Rural</w:t>
            </w:r>
          </w:p>
        </w:tc>
        <w:tc>
          <w:tcPr>
            <w:tcW w:w="1976" w:type="dxa"/>
            <w:vAlign w:val="center"/>
          </w:tcPr>
          <w:p w14:paraId="0132323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Ndërmarrja e furnizimit me ujë</w:t>
            </w:r>
          </w:p>
        </w:tc>
        <w:tc>
          <w:tcPr>
            <w:tcW w:w="1978" w:type="dxa"/>
            <w:vAlign w:val="center"/>
          </w:tcPr>
          <w:p w14:paraId="7DBDA792"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Ndërmarrja e kanalizimeve</w:t>
            </w:r>
          </w:p>
        </w:tc>
      </w:tr>
      <w:tr w:rsidR="00591820" w:rsidRPr="00445472" w14:paraId="17EA0D03" w14:textId="77777777" w:rsidTr="002A1F08">
        <w:trPr>
          <w:trHeight w:val="340"/>
        </w:trPr>
        <w:tc>
          <w:tcPr>
            <w:tcW w:w="1282" w:type="dxa"/>
            <w:vMerge w:val="restart"/>
            <w:shd w:val="clear" w:color="auto" w:fill="E6E6E6"/>
            <w:vAlign w:val="center"/>
          </w:tcPr>
          <w:p w14:paraId="783907D0" w14:textId="77777777" w:rsidR="00591820" w:rsidRPr="00445472" w:rsidRDefault="00591820" w:rsidP="002A1F08">
            <w:pPr>
              <w:spacing w:before="22" w:after="22"/>
              <w:ind w:right="63"/>
              <w:jc w:val="center"/>
              <w:rPr>
                <w:rFonts w:ascii="Garamond" w:eastAsia="MS Mincho" w:hAnsi="Garamond" w:cs="Arial"/>
                <w:sz w:val="18"/>
                <w:szCs w:val="18"/>
              </w:rPr>
            </w:pPr>
          </w:p>
          <w:p w14:paraId="3EEDB43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823" w:type="dxa"/>
            <w:vMerge w:val="restart"/>
            <w:shd w:val="clear" w:color="auto" w:fill="E6E6E6"/>
            <w:vAlign w:val="center"/>
          </w:tcPr>
          <w:p w14:paraId="4027935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Pukë, Gjegjan, Rrapë, Qelez, Qerret</w:t>
            </w:r>
          </w:p>
        </w:tc>
        <w:tc>
          <w:tcPr>
            <w:tcW w:w="852" w:type="dxa"/>
            <w:shd w:val="clear" w:color="auto" w:fill="E6E6E6"/>
            <w:vAlign w:val="center"/>
          </w:tcPr>
          <w:p w14:paraId="494C905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U</w:t>
            </w:r>
          </w:p>
        </w:tc>
        <w:tc>
          <w:tcPr>
            <w:tcW w:w="1976" w:type="dxa"/>
            <w:shd w:val="clear" w:color="auto" w:fill="E6E6E6"/>
            <w:vAlign w:val="center"/>
          </w:tcPr>
          <w:p w14:paraId="194AB06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Bashkia Pukë UK</w:t>
            </w:r>
          </w:p>
        </w:tc>
        <w:tc>
          <w:tcPr>
            <w:tcW w:w="1978" w:type="dxa"/>
            <w:shd w:val="clear" w:color="auto" w:fill="E6E6E6"/>
            <w:vAlign w:val="center"/>
          </w:tcPr>
          <w:p w14:paraId="615F165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Bashkia Pukë UK</w:t>
            </w:r>
          </w:p>
        </w:tc>
      </w:tr>
      <w:tr w:rsidR="00591820" w:rsidRPr="00445472" w14:paraId="5F0895E5" w14:textId="77777777" w:rsidTr="002A1F08">
        <w:trPr>
          <w:trHeight w:val="340"/>
        </w:trPr>
        <w:tc>
          <w:tcPr>
            <w:tcW w:w="1282" w:type="dxa"/>
            <w:vMerge/>
            <w:tcBorders>
              <w:top w:val="nil"/>
            </w:tcBorders>
            <w:shd w:val="clear" w:color="auto" w:fill="E6E6E6"/>
            <w:vAlign w:val="center"/>
          </w:tcPr>
          <w:p w14:paraId="0901DF0B" w14:textId="77777777" w:rsidR="00591820" w:rsidRPr="00445472" w:rsidRDefault="00591820" w:rsidP="002A1F08">
            <w:pPr>
              <w:spacing w:before="22" w:after="22"/>
              <w:ind w:right="63"/>
              <w:jc w:val="center"/>
              <w:rPr>
                <w:rFonts w:ascii="Garamond" w:eastAsia="MS Mincho" w:hAnsi="Garamond" w:cs="Arial"/>
                <w:sz w:val="18"/>
                <w:szCs w:val="18"/>
              </w:rPr>
            </w:pPr>
          </w:p>
        </w:tc>
        <w:tc>
          <w:tcPr>
            <w:tcW w:w="2823" w:type="dxa"/>
            <w:vMerge/>
            <w:tcBorders>
              <w:top w:val="nil"/>
            </w:tcBorders>
            <w:shd w:val="clear" w:color="auto" w:fill="E6E6E6"/>
            <w:vAlign w:val="center"/>
          </w:tcPr>
          <w:p w14:paraId="27D67041"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52" w:type="dxa"/>
            <w:shd w:val="clear" w:color="auto" w:fill="E6E6E6"/>
            <w:vAlign w:val="center"/>
          </w:tcPr>
          <w:p w14:paraId="689D3D7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R</w:t>
            </w:r>
          </w:p>
        </w:tc>
        <w:tc>
          <w:tcPr>
            <w:tcW w:w="1976" w:type="dxa"/>
            <w:shd w:val="clear" w:color="auto" w:fill="E6E6E6"/>
            <w:vAlign w:val="center"/>
          </w:tcPr>
          <w:p w14:paraId="734CB00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Fshati Pukë UK</w:t>
            </w:r>
          </w:p>
        </w:tc>
        <w:tc>
          <w:tcPr>
            <w:tcW w:w="1978" w:type="dxa"/>
            <w:shd w:val="clear" w:color="auto" w:fill="E6E6E6"/>
            <w:vAlign w:val="center"/>
          </w:tcPr>
          <w:p w14:paraId="6009477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Fshati Pukë UK</w:t>
            </w:r>
          </w:p>
        </w:tc>
      </w:tr>
      <w:tr w:rsidR="00591820" w:rsidRPr="00445472" w14:paraId="0B2B779A" w14:textId="77777777" w:rsidTr="002A1F08">
        <w:trPr>
          <w:trHeight w:val="340"/>
        </w:trPr>
        <w:tc>
          <w:tcPr>
            <w:tcW w:w="1282" w:type="dxa"/>
            <w:vMerge w:val="restart"/>
            <w:vAlign w:val="center"/>
          </w:tcPr>
          <w:p w14:paraId="676B6C53" w14:textId="77777777" w:rsidR="00591820" w:rsidRPr="00445472" w:rsidRDefault="00591820" w:rsidP="002A1F08">
            <w:pPr>
              <w:spacing w:before="22" w:after="22"/>
              <w:ind w:right="63"/>
              <w:jc w:val="center"/>
              <w:rPr>
                <w:rFonts w:ascii="Garamond" w:eastAsia="MS Mincho" w:hAnsi="Garamond" w:cs="Arial"/>
                <w:sz w:val="18"/>
                <w:szCs w:val="18"/>
              </w:rPr>
            </w:pPr>
          </w:p>
          <w:p w14:paraId="1F2788D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823" w:type="dxa"/>
            <w:vMerge w:val="restart"/>
            <w:vAlign w:val="center"/>
          </w:tcPr>
          <w:p w14:paraId="4AB96E08" w14:textId="3CCCA823" w:rsidR="00591820" w:rsidRPr="00445472" w:rsidRDefault="00852D7A"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Fushë-Arrëz </w:t>
            </w:r>
            <w:r w:rsidR="00591820" w:rsidRPr="00445472">
              <w:rPr>
                <w:rFonts w:ascii="Garamond" w:eastAsia="MS Mincho" w:hAnsi="Garamond" w:cs="Arial"/>
                <w:sz w:val="18"/>
                <w:szCs w:val="18"/>
              </w:rPr>
              <w:t>, Fierze, Blerim, Qafe Mali, Iballë</w:t>
            </w:r>
          </w:p>
        </w:tc>
        <w:tc>
          <w:tcPr>
            <w:tcW w:w="852" w:type="dxa"/>
            <w:vAlign w:val="center"/>
          </w:tcPr>
          <w:p w14:paraId="46BEFF2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U</w:t>
            </w:r>
          </w:p>
        </w:tc>
        <w:tc>
          <w:tcPr>
            <w:tcW w:w="1976" w:type="dxa"/>
            <w:vAlign w:val="center"/>
          </w:tcPr>
          <w:p w14:paraId="284F3145" w14:textId="44B030E1"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Fushë-Arrëz </w:t>
            </w:r>
            <w:r w:rsidR="00591820" w:rsidRPr="00445472">
              <w:rPr>
                <w:rFonts w:ascii="Garamond" w:eastAsia="MS Mincho" w:hAnsi="Garamond" w:cs="Arial"/>
                <w:sz w:val="18"/>
                <w:szCs w:val="18"/>
              </w:rPr>
              <w:t xml:space="preserve"> </w:t>
            </w:r>
            <w:r w:rsidRPr="00445472">
              <w:rPr>
                <w:rFonts w:ascii="Garamond" w:eastAsia="MS Mincho" w:hAnsi="Garamond" w:cs="Arial"/>
                <w:sz w:val="18"/>
                <w:szCs w:val="18"/>
              </w:rPr>
              <w:t>sh.</w:t>
            </w:r>
            <w:r w:rsidR="00591820" w:rsidRPr="00445472">
              <w:rPr>
                <w:rFonts w:ascii="Garamond" w:eastAsia="MS Mincho" w:hAnsi="Garamond" w:cs="Arial"/>
                <w:sz w:val="18"/>
                <w:szCs w:val="18"/>
              </w:rPr>
              <w:t>a.</w:t>
            </w:r>
          </w:p>
        </w:tc>
        <w:tc>
          <w:tcPr>
            <w:tcW w:w="1978" w:type="dxa"/>
            <w:vAlign w:val="center"/>
          </w:tcPr>
          <w:p w14:paraId="0121DD17" w14:textId="5F3280CF"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Fushë-Arrëz </w:t>
            </w:r>
            <w:r w:rsidR="00591820" w:rsidRPr="00445472">
              <w:rPr>
                <w:rFonts w:ascii="Garamond" w:eastAsia="MS Mincho" w:hAnsi="Garamond" w:cs="Arial"/>
                <w:sz w:val="18"/>
                <w:szCs w:val="18"/>
              </w:rPr>
              <w:t xml:space="preserve"> </w:t>
            </w:r>
            <w:r w:rsidRPr="00445472">
              <w:rPr>
                <w:rFonts w:ascii="Garamond" w:eastAsia="MS Mincho" w:hAnsi="Garamond" w:cs="Arial"/>
                <w:sz w:val="18"/>
                <w:szCs w:val="18"/>
              </w:rPr>
              <w:t>sh</w:t>
            </w:r>
            <w:r w:rsidR="00591820" w:rsidRPr="00445472">
              <w:rPr>
                <w:rFonts w:ascii="Garamond" w:eastAsia="MS Mincho" w:hAnsi="Garamond" w:cs="Arial"/>
                <w:sz w:val="18"/>
                <w:szCs w:val="18"/>
              </w:rPr>
              <w:t>.a.</w:t>
            </w:r>
          </w:p>
        </w:tc>
      </w:tr>
      <w:tr w:rsidR="00591820" w:rsidRPr="00445472" w14:paraId="3D1D7F18" w14:textId="77777777" w:rsidTr="002A1F08">
        <w:trPr>
          <w:trHeight w:val="340"/>
        </w:trPr>
        <w:tc>
          <w:tcPr>
            <w:tcW w:w="1282" w:type="dxa"/>
            <w:vMerge/>
            <w:tcBorders>
              <w:top w:val="nil"/>
            </w:tcBorders>
            <w:vAlign w:val="center"/>
          </w:tcPr>
          <w:p w14:paraId="1D9803EC" w14:textId="77777777" w:rsidR="00591820" w:rsidRPr="00445472" w:rsidRDefault="00591820" w:rsidP="002A1F08">
            <w:pPr>
              <w:spacing w:before="22" w:after="22"/>
              <w:ind w:right="63"/>
              <w:jc w:val="center"/>
              <w:rPr>
                <w:rFonts w:ascii="Garamond" w:eastAsia="MS Mincho" w:hAnsi="Garamond" w:cs="Arial"/>
                <w:sz w:val="18"/>
                <w:szCs w:val="18"/>
              </w:rPr>
            </w:pPr>
          </w:p>
        </w:tc>
        <w:tc>
          <w:tcPr>
            <w:tcW w:w="2823" w:type="dxa"/>
            <w:vMerge/>
            <w:tcBorders>
              <w:top w:val="nil"/>
            </w:tcBorders>
            <w:vAlign w:val="center"/>
          </w:tcPr>
          <w:p w14:paraId="6BDB43D2"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52" w:type="dxa"/>
            <w:vAlign w:val="center"/>
          </w:tcPr>
          <w:p w14:paraId="55C5B1A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R</w:t>
            </w:r>
          </w:p>
        </w:tc>
        <w:tc>
          <w:tcPr>
            <w:tcW w:w="1976" w:type="dxa"/>
            <w:vAlign w:val="center"/>
          </w:tcPr>
          <w:p w14:paraId="1C3C6A19" w14:textId="3A5DD801"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Fushë-Arrëz </w:t>
            </w:r>
            <w:r w:rsidR="00591820" w:rsidRPr="00445472">
              <w:rPr>
                <w:rFonts w:ascii="Garamond" w:eastAsia="MS Mincho" w:hAnsi="Garamond" w:cs="Arial"/>
                <w:sz w:val="18"/>
                <w:szCs w:val="18"/>
              </w:rPr>
              <w:t xml:space="preserve"> </w:t>
            </w:r>
            <w:r w:rsidRPr="00445472">
              <w:rPr>
                <w:rFonts w:ascii="Garamond" w:eastAsia="MS Mincho" w:hAnsi="Garamond" w:cs="Arial"/>
                <w:sz w:val="18"/>
                <w:szCs w:val="18"/>
              </w:rPr>
              <w:t>sh.a.</w:t>
            </w:r>
          </w:p>
        </w:tc>
        <w:tc>
          <w:tcPr>
            <w:tcW w:w="1978" w:type="dxa"/>
            <w:vAlign w:val="center"/>
          </w:tcPr>
          <w:p w14:paraId="54BEF72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36F70754" w14:textId="77777777" w:rsidTr="002A1F08">
        <w:trPr>
          <w:trHeight w:val="340"/>
        </w:trPr>
        <w:tc>
          <w:tcPr>
            <w:tcW w:w="1282" w:type="dxa"/>
            <w:tcBorders>
              <w:bottom w:val="single" w:sz="4" w:space="0" w:color="27B0AF"/>
            </w:tcBorders>
            <w:shd w:val="clear" w:color="auto" w:fill="E6E6E6"/>
            <w:vAlign w:val="center"/>
          </w:tcPr>
          <w:p w14:paraId="2FA19E53" w14:textId="77777777" w:rsidR="00591820" w:rsidRPr="00445472" w:rsidRDefault="00591820" w:rsidP="002A1F08">
            <w:pPr>
              <w:spacing w:before="22" w:after="22"/>
              <w:ind w:right="63"/>
              <w:jc w:val="center"/>
              <w:rPr>
                <w:rFonts w:ascii="Garamond" w:eastAsia="MS Mincho" w:hAnsi="Garamond" w:cs="Arial"/>
                <w:sz w:val="18"/>
                <w:szCs w:val="18"/>
              </w:rPr>
            </w:pPr>
          </w:p>
          <w:p w14:paraId="6643B17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823" w:type="dxa"/>
            <w:tcBorders>
              <w:bottom w:val="single" w:sz="4" w:space="0" w:color="27B0AF"/>
            </w:tcBorders>
            <w:shd w:val="clear" w:color="auto" w:fill="E6E6E6"/>
            <w:vAlign w:val="center"/>
          </w:tcPr>
          <w:p w14:paraId="4DFCF25C" w14:textId="08A2BEB1"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Vau i Dejës </w:t>
            </w:r>
            <w:r w:rsidR="00591820" w:rsidRPr="00445472">
              <w:rPr>
                <w:rFonts w:ascii="Garamond" w:eastAsia="MS Mincho" w:hAnsi="Garamond" w:cs="Arial"/>
                <w:sz w:val="18"/>
                <w:szCs w:val="18"/>
              </w:rPr>
              <w:t>, Bushat, Vig Mnele, Hajmel, Temal, Shllak</w:t>
            </w:r>
          </w:p>
        </w:tc>
        <w:tc>
          <w:tcPr>
            <w:tcW w:w="852" w:type="dxa"/>
            <w:tcBorders>
              <w:bottom w:val="single" w:sz="4" w:space="0" w:color="27B0AF"/>
            </w:tcBorders>
            <w:shd w:val="clear" w:color="auto" w:fill="E6E6E6"/>
            <w:vAlign w:val="center"/>
          </w:tcPr>
          <w:p w14:paraId="7BEA871D" w14:textId="77777777" w:rsidR="00591820" w:rsidRPr="00445472" w:rsidRDefault="00591820" w:rsidP="002A1F08">
            <w:pPr>
              <w:spacing w:before="22" w:after="22"/>
              <w:ind w:right="63"/>
              <w:jc w:val="center"/>
              <w:rPr>
                <w:rFonts w:ascii="Garamond" w:eastAsia="MS Mincho" w:hAnsi="Garamond" w:cs="Arial"/>
                <w:sz w:val="18"/>
                <w:szCs w:val="18"/>
              </w:rPr>
            </w:pPr>
          </w:p>
          <w:p w14:paraId="6F4E5F9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U+R</w:t>
            </w:r>
          </w:p>
        </w:tc>
        <w:tc>
          <w:tcPr>
            <w:tcW w:w="1976" w:type="dxa"/>
            <w:tcBorders>
              <w:bottom w:val="single" w:sz="4" w:space="0" w:color="27B0AF"/>
            </w:tcBorders>
            <w:shd w:val="clear" w:color="auto" w:fill="E6E6E6"/>
            <w:vAlign w:val="center"/>
          </w:tcPr>
          <w:p w14:paraId="2CB70272" w14:textId="77777777" w:rsidR="00591820" w:rsidRPr="00445472" w:rsidRDefault="00591820" w:rsidP="002A1F08">
            <w:pPr>
              <w:spacing w:before="22" w:after="22"/>
              <w:ind w:right="63"/>
              <w:jc w:val="center"/>
              <w:rPr>
                <w:rFonts w:ascii="Garamond" w:eastAsia="MS Mincho" w:hAnsi="Garamond" w:cs="Arial"/>
                <w:sz w:val="18"/>
                <w:szCs w:val="18"/>
              </w:rPr>
            </w:pPr>
          </w:p>
          <w:p w14:paraId="03E5A55C" w14:textId="0FE328F0" w:rsidR="00591820" w:rsidRPr="00445472" w:rsidRDefault="00D67757"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Vau i Dejës </w:t>
            </w:r>
            <w:r w:rsidR="00591820" w:rsidRPr="00445472">
              <w:rPr>
                <w:rFonts w:ascii="Garamond" w:eastAsia="MS Mincho" w:hAnsi="Garamond" w:cs="Arial"/>
                <w:sz w:val="18"/>
                <w:szCs w:val="18"/>
              </w:rPr>
              <w:t xml:space="preserve"> U</w:t>
            </w:r>
            <w:r w:rsidRPr="00445472">
              <w:rPr>
                <w:rFonts w:ascii="Garamond" w:eastAsia="MS Mincho" w:hAnsi="Garamond" w:cs="Arial"/>
                <w:sz w:val="18"/>
                <w:szCs w:val="18"/>
              </w:rPr>
              <w:t xml:space="preserve"> sh.a</w:t>
            </w:r>
          </w:p>
        </w:tc>
        <w:tc>
          <w:tcPr>
            <w:tcW w:w="1978" w:type="dxa"/>
            <w:tcBorders>
              <w:bottom w:val="single" w:sz="4" w:space="0" w:color="27B0AF"/>
            </w:tcBorders>
            <w:shd w:val="clear" w:color="auto" w:fill="E6E6E6"/>
            <w:vAlign w:val="center"/>
          </w:tcPr>
          <w:p w14:paraId="1C057B03" w14:textId="77777777" w:rsidR="00591820" w:rsidRPr="00445472" w:rsidRDefault="00591820" w:rsidP="002A1F08">
            <w:pPr>
              <w:spacing w:before="22" w:after="22"/>
              <w:ind w:right="63"/>
              <w:jc w:val="center"/>
              <w:rPr>
                <w:rFonts w:ascii="Garamond" w:eastAsia="MS Mincho" w:hAnsi="Garamond" w:cs="Arial"/>
                <w:sz w:val="18"/>
                <w:szCs w:val="18"/>
              </w:rPr>
            </w:pPr>
          </w:p>
          <w:p w14:paraId="194CEB9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77C417C1" w14:textId="77777777" w:rsidTr="002A1F08">
        <w:trPr>
          <w:trHeight w:val="340"/>
        </w:trPr>
        <w:tc>
          <w:tcPr>
            <w:tcW w:w="1282" w:type="dxa"/>
            <w:shd w:val="clear" w:color="auto" w:fill="auto"/>
            <w:vAlign w:val="center"/>
          </w:tcPr>
          <w:p w14:paraId="3DE0E494" w14:textId="77777777" w:rsidR="00591820" w:rsidRPr="00445472" w:rsidRDefault="00591820" w:rsidP="002A1F08">
            <w:pPr>
              <w:spacing w:before="22" w:after="22"/>
              <w:ind w:right="63"/>
              <w:jc w:val="center"/>
              <w:rPr>
                <w:rFonts w:ascii="Garamond" w:eastAsia="MS Mincho" w:hAnsi="Garamond" w:cs="Arial"/>
                <w:sz w:val="18"/>
                <w:szCs w:val="18"/>
              </w:rPr>
            </w:pPr>
          </w:p>
          <w:p w14:paraId="77ADCB0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823" w:type="dxa"/>
            <w:shd w:val="clear" w:color="auto" w:fill="auto"/>
            <w:vAlign w:val="center"/>
          </w:tcPr>
          <w:p w14:paraId="6153578F" w14:textId="77777777" w:rsidR="00591820" w:rsidRPr="00445472" w:rsidRDefault="00591820" w:rsidP="002A1F08">
            <w:pPr>
              <w:spacing w:before="22" w:after="22"/>
              <w:ind w:right="63"/>
              <w:jc w:val="center"/>
              <w:rPr>
                <w:rFonts w:ascii="Garamond" w:eastAsia="MS Mincho" w:hAnsi="Garamond" w:cs="Arial"/>
                <w:sz w:val="18"/>
                <w:szCs w:val="18"/>
              </w:rPr>
            </w:pPr>
          </w:p>
          <w:p w14:paraId="5552FEC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Koplik, Gruemire, Kastrat, Kelmend, Qender, Shkrel</w:t>
            </w:r>
          </w:p>
        </w:tc>
        <w:tc>
          <w:tcPr>
            <w:tcW w:w="852" w:type="dxa"/>
            <w:shd w:val="clear" w:color="auto" w:fill="auto"/>
            <w:vAlign w:val="center"/>
          </w:tcPr>
          <w:p w14:paraId="6C0640AF" w14:textId="77777777" w:rsidR="00591820" w:rsidRPr="00445472" w:rsidRDefault="00591820" w:rsidP="002A1F08">
            <w:pPr>
              <w:spacing w:before="22" w:after="22"/>
              <w:ind w:right="63"/>
              <w:jc w:val="center"/>
              <w:rPr>
                <w:rFonts w:ascii="Garamond" w:eastAsia="MS Mincho" w:hAnsi="Garamond" w:cs="Arial"/>
                <w:sz w:val="18"/>
                <w:szCs w:val="18"/>
              </w:rPr>
            </w:pPr>
          </w:p>
          <w:p w14:paraId="46EC729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U+R</w:t>
            </w:r>
          </w:p>
        </w:tc>
        <w:tc>
          <w:tcPr>
            <w:tcW w:w="1976" w:type="dxa"/>
            <w:shd w:val="clear" w:color="auto" w:fill="auto"/>
            <w:vAlign w:val="center"/>
          </w:tcPr>
          <w:p w14:paraId="77F4A574" w14:textId="3D04EE94"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 Fshat U</w:t>
            </w:r>
            <w:r w:rsidR="00D67757" w:rsidRPr="00445472">
              <w:rPr>
                <w:rFonts w:ascii="Garamond" w:eastAsia="MS Mincho" w:hAnsi="Garamond" w:cs="Arial"/>
                <w:sz w:val="18"/>
                <w:szCs w:val="18"/>
              </w:rPr>
              <w:t xml:space="preserve"> sh.a dhe</w:t>
            </w:r>
            <w:r w:rsidRPr="00445472">
              <w:rPr>
                <w:rFonts w:ascii="Garamond" w:eastAsia="MS Mincho" w:hAnsi="Garamond" w:cs="Arial"/>
                <w:sz w:val="18"/>
                <w:szCs w:val="18"/>
              </w:rPr>
              <w:t xml:space="preserve"> Malësi e Madhe UK</w:t>
            </w:r>
            <w:r w:rsidR="00D67757" w:rsidRPr="00445472">
              <w:rPr>
                <w:rFonts w:ascii="Garamond" w:eastAsia="MS Mincho" w:hAnsi="Garamond" w:cs="Arial"/>
                <w:sz w:val="18"/>
                <w:szCs w:val="18"/>
              </w:rPr>
              <w:t xml:space="preserve"> sh.a.</w:t>
            </w:r>
          </w:p>
        </w:tc>
        <w:tc>
          <w:tcPr>
            <w:tcW w:w="1978" w:type="dxa"/>
            <w:shd w:val="clear" w:color="auto" w:fill="auto"/>
            <w:vAlign w:val="center"/>
          </w:tcPr>
          <w:p w14:paraId="7F7C3F7C" w14:textId="77777777" w:rsidR="00591820" w:rsidRPr="00445472" w:rsidRDefault="00591820" w:rsidP="002A1F08">
            <w:pPr>
              <w:spacing w:before="22" w:after="22"/>
              <w:ind w:right="63"/>
              <w:jc w:val="center"/>
              <w:rPr>
                <w:rFonts w:ascii="Garamond" w:eastAsia="MS Mincho" w:hAnsi="Garamond" w:cs="Arial"/>
                <w:sz w:val="18"/>
                <w:szCs w:val="18"/>
              </w:rPr>
            </w:pPr>
          </w:p>
          <w:p w14:paraId="5C9C6B0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238D1A06" w14:textId="77777777" w:rsidTr="002A1F08">
        <w:trPr>
          <w:trHeight w:val="340"/>
        </w:trPr>
        <w:tc>
          <w:tcPr>
            <w:tcW w:w="1282" w:type="dxa"/>
            <w:tcBorders>
              <w:bottom w:val="single" w:sz="4" w:space="0" w:color="27B0AF"/>
            </w:tcBorders>
            <w:shd w:val="clear" w:color="auto" w:fill="E6E6E6"/>
            <w:vAlign w:val="center"/>
          </w:tcPr>
          <w:p w14:paraId="38D04A3D" w14:textId="77777777" w:rsidR="00591820" w:rsidRPr="00445472" w:rsidRDefault="00591820" w:rsidP="002A1F08">
            <w:pPr>
              <w:spacing w:before="22" w:after="22"/>
              <w:ind w:right="63"/>
              <w:jc w:val="center"/>
              <w:rPr>
                <w:rFonts w:ascii="Garamond" w:eastAsia="MS Mincho" w:hAnsi="Garamond" w:cs="Arial"/>
                <w:sz w:val="18"/>
                <w:szCs w:val="18"/>
              </w:rPr>
            </w:pPr>
          </w:p>
          <w:p w14:paraId="29BCDB35" w14:textId="77777777" w:rsidR="00591820" w:rsidRPr="00445472" w:rsidRDefault="00591820" w:rsidP="002A1F08">
            <w:pPr>
              <w:spacing w:before="22" w:after="22"/>
              <w:ind w:right="63"/>
              <w:jc w:val="center"/>
              <w:rPr>
                <w:rFonts w:ascii="Garamond" w:eastAsia="MS Mincho" w:hAnsi="Garamond" w:cs="Arial"/>
                <w:sz w:val="18"/>
                <w:szCs w:val="18"/>
              </w:rPr>
            </w:pPr>
          </w:p>
          <w:p w14:paraId="4D3239F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2823" w:type="dxa"/>
            <w:tcBorders>
              <w:bottom w:val="single" w:sz="4" w:space="0" w:color="27B0AF"/>
            </w:tcBorders>
            <w:shd w:val="clear" w:color="auto" w:fill="E6E6E6"/>
            <w:vAlign w:val="center"/>
          </w:tcPr>
          <w:p w14:paraId="1AE5F3E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 Ana e Malit, Berdicë, Dajc, Guri i Zi, Postribe, Pult, Rrethinat, Shalë, Shosh, Velipoje</w:t>
            </w:r>
          </w:p>
        </w:tc>
        <w:tc>
          <w:tcPr>
            <w:tcW w:w="852" w:type="dxa"/>
            <w:tcBorders>
              <w:bottom w:val="single" w:sz="4" w:space="0" w:color="27B0AF"/>
            </w:tcBorders>
            <w:shd w:val="clear" w:color="auto" w:fill="E6E6E6"/>
            <w:vAlign w:val="center"/>
          </w:tcPr>
          <w:p w14:paraId="02C98EA1" w14:textId="77777777" w:rsidR="00591820" w:rsidRPr="00445472" w:rsidRDefault="00591820" w:rsidP="002A1F08">
            <w:pPr>
              <w:spacing w:before="22" w:after="22"/>
              <w:ind w:right="63"/>
              <w:jc w:val="center"/>
              <w:rPr>
                <w:rFonts w:ascii="Garamond" w:eastAsia="MS Mincho" w:hAnsi="Garamond" w:cs="Arial"/>
                <w:sz w:val="18"/>
                <w:szCs w:val="18"/>
              </w:rPr>
            </w:pPr>
          </w:p>
          <w:p w14:paraId="09715716" w14:textId="77777777" w:rsidR="00591820" w:rsidRPr="00445472" w:rsidRDefault="00591820" w:rsidP="002A1F08">
            <w:pPr>
              <w:spacing w:before="22" w:after="22"/>
              <w:ind w:right="63"/>
              <w:jc w:val="center"/>
              <w:rPr>
                <w:rFonts w:ascii="Garamond" w:eastAsia="MS Mincho" w:hAnsi="Garamond" w:cs="Arial"/>
                <w:sz w:val="18"/>
                <w:szCs w:val="18"/>
              </w:rPr>
            </w:pPr>
          </w:p>
          <w:p w14:paraId="5C269AF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U+R</w:t>
            </w:r>
          </w:p>
        </w:tc>
        <w:tc>
          <w:tcPr>
            <w:tcW w:w="1976" w:type="dxa"/>
            <w:tcBorders>
              <w:bottom w:val="single" w:sz="4" w:space="0" w:color="27B0AF"/>
            </w:tcBorders>
            <w:shd w:val="clear" w:color="auto" w:fill="E6E6E6"/>
            <w:vAlign w:val="center"/>
          </w:tcPr>
          <w:p w14:paraId="5014F55A" w14:textId="77777777" w:rsidR="00591820" w:rsidRPr="00445472" w:rsidRDefault="00591820" w:rsidP="002A1F08">
            <w:pPr>
              <w:spacing w:before="22" w:after="22"/>
              <w:ind w:right="63"/>
              <w:jc w:val="center"/>
              <w:rPr>
                <w:rFonts w:ascii="Garamond" w:eastAsia="MS Mincho" w:hAnsi="Garamond" w:cs="Arial"/>
                <w:sz w:val="18"/>
                <w:szCs w:val="18"/>
              </w:rPr>
            </w:pPr>
          </w:p>
          <w:p w14:paraId="4F156E9D" w14:textId="77777777" w:rsidR="00591820" w:rsidRPr="00445472" w:rsidRDefault="00591820" w:rsidP="002A1F08">
            <w:pPr>
              <w:spacing w:before="22" w:after="22"/>
              <w:ind w:right="63"/>
              <w:jc w:val="center"/>
              <w:rPr>
                <w:rFonts w:ascii="Garamond" w:eastAsia="MS Mincho" w:hAnsi="Garamond" w:cs="Arial"/>
                <w:sz w:val="18"/>
                <w:szCs w:val="18"/>
              </w:rPr>
            </w:pPr>
          </w:p>
          <w:p w14:paraId="04414C9D" w14:textId="02B4A4BE"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 UK</w:t>
            </w:r>
            <w:r w:rsidR="00D67757" w:rsidRPr="00445472">
              <w:rPr>
                <w:rFonts w:ascii="Garamond" w:eastAsia="MS Mincho" w:hAnsi="Garamond" w:cs="Arial"/>
                <w:sz w:val="18"/>
                <w:szCs w:val="18"/>
              </w:rPr>
              <w:t xml:space="preserve"> sh.a.</w:t>
            </w:r>
          </w:p>
        </w:tc>
        <w:tc>
          <w:tcPr>
            <w:tcW w:w="1978" w:type="dxa"/>
            <w:tcBorders>
              <w:bottom w:val="single" w:sz="4" w:space="0" w:color="27B0AF"/>
            </w:tcBorders>
            <w:shd w:val="clear" w:color="auto" w:fill="E6E6E6"/>
            <w:vAlign w:val="center"/>
          </w:tcPr>
          <w:p w14:paraId="5824D2C3" w14:textId="77777777" w:rsidR="00591820" w:rsidRPr="00445472" w:rsidRDefault="00591820" w:rsidP="002A1F08">
            <w:pPr>
              <w:spacing w:before="22" w:after="22"/>
              <w:ind w:right="63"/>
              <w:jc w:val="center"/>
              <w:rPr>
                <w:rFonts w:ascii="Garamond" w:eastAsia="MS Mincho" w:hAnsi="Garamond" w:cs="Arial"/>
                <w:sz w:val="18"/>
                <w:szCs w:val="18"/>
              </w:rPr>
            </w:pPr>
          </w:p>
          <w:p w14:paraId="17B677BB" w14:textId="77777777" w:rsidR="00591820" w:rsidRPr="00445472" w:rsidRDefault="00591820" w:rsidP="002A1F08">
            <w:pPr>
              <w:spacing w:before="22" w:after="22"/>
              <w:ind w:right="63"/>
              <w:jc w:val="center"/>
              <w:rPr>
                <w:rFonts w:ascii="Garamond" w:eastAsia="MS Mincho" w:hAnsi="Garamond" w:cs="Arial"/>
                <w:sz w:val="18"/>
                <w:szCs w:val="18"/>
              </w:rPr>
            </w:pPr>
          </w:p>
          <w:p w14:paraId="4E1C0232" w14:textId="3302BBA4"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 UK</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r>
      <w:tr w:rsidR="00591820" w:rsidRPr="00445472" w14:paraId="49B26BC1" w14:textId="77777777" w:rsidTr="002A1F08">
        <w:trPr>
          <w:trHeight w:val="340"/>
        </w:trPr>
        <w:tc>
          <w:tcPr>
            <w:tcW w:w="1282" w:type="dxa"/>
            <w:shd w:val="clear" w:color="auto" w:fill="auto"/>
            <w:vAlign w:val="center"/>
          </w:tcPr>
          <w:p w14:paraId="772C143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2823" w:type="dxa"/>
            <w:shd w:val="clear" w:color="auto" w:fill="auto"/>
            <w:vAlign w:val="center"/>
          </w:tcPr>
          <w:p w14:paraId="710FAEF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Has, Krumë, Fajza, Gjinaj, Golaj</w:t>
            </w:r>
          </w:p>
        </w:tc>
        <w:tc>
          <w:tcPr>
            <w:tcW w:w="852" w:type="dxa"/>
            <w:shd w:val="clear" w:color="auto" w:fill="auto"/>
            <w:vAlign w:val="center"/>
          </w:tcPr>
          <w:p w14:paraId="01B7E35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U+R</w:t>
            </w:r>
          </w:p>
        </w:tc>
        <w:tc>
          <w:tcPr>
            <w:tcW w:w="1976" w:type="dxa"/>
            <w:shd w:val="clear" w:color="auto" w:fill="auto"/>
            <w:vAlign w:val="center"/>
          </w:tcPr>
          <w:p w14:paraId="06986D13" w14:textId="6031D234"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Has U</w:t>
            </w:r>
            <w:r w:rsidR="00D67757" w:rsidRPr="00445472">
              <w:rPr>
                <w:rFonts w:ascii="Garamond" w:eastAsia="MS Mincho" w:hAnsi="Garamond" w:cs="Arial"/>
                <w:sz w:val="18"/>
                <w:szCs w:val="18"/>
              </w:rPr>
              <w:t xml:space="preserve"> sh.a.</w:t>
            </w:r>
          </w:p>
        </w:tc>
        <w:tc>
          <w:tcPr>
            <w:tcW w:w="1978" w:type="dxa"/>
            <w:shd w:val="clear" w:color="auto" w:fill="auto"/>
            <w:vAlign w:val="center"/>
          </w:tcPr>
          <w:p w14:paraId="209D32C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22B07161" w14:textId="77777777" w:rsidTr="002A1F08">
        <w:trPr>
          <w:trHeight w:val="690"/>
        </w:trPr>
        <w:tc>
          <w:tcPr>
            <w:tcW w:w="1282" w:type="dxa"/>
            <w:vMerge w:val="restart"/>
            <w:shd w:val="clear" w:color="auto" w:fill="E6E6E6"/>
            <w:vAlign w:val="center"/>
          </w:tcPr>
          <w:p w14:paraId="5CDCA9C9" w14:textId="77777777" w:rsidR="00591820" w:rsidRPr="00445472" w:rsidRDefault="00591820" w:rsidP="002A1F08">
            <w:pPr>
              <w:spacing w:before="22" w:after="22"/>
              <w:ind w:right="63"/>
              <w:jc w:val="center"/>
              <w:rPr>
                <w:rFonts w:ascii="Garamond" w:eastAsia="MS Mincho" w:hAnsi="Garamond" w:cs="Arial"/>
                <w:sz w:val="18"/>
                <w:szCs w:val="18"/>
              </w:rPr>
            </w:pPr>
          </w:p>
          <w:p w14:paraId="186A5DF0" w14:textId="77777777" w:rsidR="00591820" w:rsidRPr="00445472" w:rsidRDefault="00591820" w:rsidP="002A1F08">
            <w:pPr>
              <w:spacing w:before="22" w:after="22"/>
              <w:ind w:right="63"/>
              <w:jc w:val="center"/>
              <w:rPr>
                <w:rFonts w:ascii="Garamond" w:eastAsia="MS Mincho" w:hAnsi="Garamond" w:cs="Arial"/>
                <w:sz w:val="18"/>
                <w:szCs w:val="18"/>
              </w:rPr>
            </w:pPr>
          </w:p>
          <w:p w14:paraId="43A2727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2823" w:type="dxa"/>
            <w:vMerge w:val="restart"/>
            <w:shd w:val="clear" w:color="auto" w:fill="E6E6E6"/>
            <w:vAlign w:val="center"/>
          </w:tcPr>
          <w:p w14:paraId="4A0E148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 Malzi, Bicaj, Ujmisht, Terthore, Shtiqen, Zapod, Shishtavec, Topojan,</w:t>
            </w:r>
          </w:p>
          <w:p w14:paraId="1935411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Bushtricë, Gryk Caje, Kalis, Surroj, Arren, Kolsh</w:t>
            </w:r>
          </w:p>
        </w:tc>
        <w:tc>
          <w:tcPr>
            <w:tcW w:w="852" w:type="dxa"/>
            <w:shd w:val="clear" w:color="auto" w:fill="E6E6E6"/>
            <w:vAlign w:val="center"/>
          </w:tcPr>
          <w:p w14:paraId="2B0F4AA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U</w:t>
            </w:r>
          </w:p>
        </w:tc>
        <w:tc>
          <w:tcPr>
            <w:tcW w:w="1976" w:type="dxa"/>
            <w:shd w:val="clear" w:color="auto" w:fill="E6E6E6"/>
            <w:vAlign w:val="center"/>
          </w:tcPr>
          <w:p w14:paraId="04B0AC96" w14:textId="6827F6BE"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 UK</w:t>
            </w:r>
            <w:r w:rsidR="00D67757" w:rsidRPr="00445472">
              <w:rPr>
                <w:rFonts w:ascii="Garamond" w:eastAsia="MS Mincho" w:hAnsi="Garamond" w:cs="Arial"/>
                <w:sz w:val="18"/>
                <w:szCs w:val="18"/>
              </w:rPr>
              <w:t xml:space="preserve"> sh.a.</w:t>
            </w:r>
          </w:p>
        </w:tc>
        <w:tc>
          <w:tcPr>
            <w:tcW w:w="1978" w:type="dxa"/>
            <w:shd w:val="clear" w:color="auto" w:fill="E6E6E6"/>
            <w:vAlign w:val="center"/>
          </w:tcPr>
          <w:p w14:paraId="08D9B2E3" w14:textId="0AE53F0C"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 UK</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r>
      <w:tr w:rsidR="00591820" w:rsidRPr="00445472" w14:paraId="578AE878" w14:textId="77777777" w:rsidTr="002A1F08">
        <w:trPr>
          <w:trHeight w:val="690"/>
        </w:trPr>
        <w:tc>
          <w:tcPr>
            <w:tcW w:w="1282" w:type="dxa"/>
            <w:vMerge/>
            <w:tcBorders>
              <w:bottom w:val="single" w:sz="4" w:space="0" w:color="27B0AF"/>
            </w:tcBorders>
            <w:shd w:val="clear" w:color="auto" w:fill="E6E6E6"/>
            <w:vAlign w:val="center"/>
          </w:tcPr>
          <w:p w14:paraId="65FA5194" w14:textId="77777777" w:rsidR="00591820" w:rsidRPr="00445472" w:rsidRDefault="00591820" w:rsidP="002A1F08">
            <w:pPr>
              <w:spacing w:before="22" w:after="22"/>
              <w:ind w:right="63"/>
              <w:jc w:val="center"/>
              <w:rPr>
                <w:rFonts w:ascii="Garamond" w:eastAsia="MS Mincho" w:hAnsi="Garamond" w:cs="Arial"/>
                <w:sz w:val="18"/>
                <w:szCs w:val="18"/>
              </w:rPr>
            </w:pPr>
          </w:p>
        </w:tc>
        <w:tc>
          <w:tcPr>
            <w:tcW w:w="2823" w:type="dxa"/>
            <w:vMerge/>
            <w:tcBorders>
              <w:bottom w:val="single" w:sz="4" w:space="0" w:color="27B0AF"/>
            </w:tcBorders>
            <w:shd w:val="clear" w:color="auto" w:fill="E6E6E6"/>
            <w:vAlign w:val="center"/>
          </w:tcPr>
          <w:p w14:paraId="4F189593"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52" w:type="dxa"/>
            <w:tcBorders>
              <w:bottom w:val="single" w:sz="4" w:space="0" w:color="27B0AF"/>
            </w:tcBorders>
            <w:shd w:val="clear" w:color="auto" w:fill="E6E6E6"/>
            <w:vAlign w:val="center"/>
          </w:tcPr>
          <w:p w14:paraId="7D2EF713" w14:textId="77777777" w:rsidR="00591820" w:rsidRPr="00445472" w:rsidRDefault="00591820" w:rsidP="002A1F08">
            <w:pPr>
              <w:spacing w:before="22" w:after="22"/>
              <w:ind w:right="63"/>
              <w:jc w:val="center"/>
              <w:rPr>
                <w:rFonts w:ascii="Garamond" w:eastAsia="MS Mincho" w:hAnsi="Garamond" w:cs="Arial"/>
                <w:w w:val="99"/>
                <w:sz w:val="18"/>
                <w:szCs w:val="18"/>
              </w:rPr>
            </w:pPr>
            <w:r w:rsidRPr="00445472">
              <w:rPr>
                <w:rFonts w:ascii="Garamond" w:eastAsia="MS Mincho" w:hAnsi="Garamond" w:cs="Arial"/>
                <w:w w:val="99"/>
                <w:sz w:val="18"/>
                <w:szCs w:val="18"/>
              </w:rPr>
              <w:t>R</w:t>
            </w:r>
          </w:p>
        </w:tc>
        <w:tc>
          <w:tcPr>
            <w:tcW w:w="1976" w:type="dxa"/>
            <w:tcBorders>
              <w:bottom w:val="single" w:sz="4" w:space="0" w:color="27B0AF"/>
            </w:tcBorders>
            <w:shd w:val="clear" w:color="auto" w:fill="E6E6E6"/>
            <w:vAlign w:val="center"/>
          </w:tcPr>
          <w:p w14:paraId="0DC98978" w14:textId="17B0793E"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 UK</w:t>
            </w:r>
            <w:r w:rsidR="00D67757" w:rsidRPr="00445472">
              <w:rPr>
                <w:rFonts w:ascii="Garamond" w:eastAsia="MS Mincho" w:hAnsi="Garamond" w:cs="Arial"/>
                <w:sz w:val="18"/>
                <w:szCs w:val="18"/>
              </w:rPr>
              <w:t xml:space="preserve"> sh.a.</w:t>
            </w:r>
          </w:p>
        </w:tc>
        <w:tc>
          <w:tcPr>
            <w:tcW w:w="1978" w:type="dxa"/>
            <w:tcBorders>
              <w:bottom w:val="single" w:sz="4" w:space="0" w:color="27B0AF"/>
            </w:tcBorders>
            <w:shd w:val="clear" w:color="auto" w:fill="E6E6E6"/>
            <w:vAlign w:val="center"/>
          </w:tcPr>
          <w:p w14:paraId="07AB73E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23808FEE" w14:textId="77777777" w:rsidTr="002A1F08">
        <w:trPr>
          <w:trHeight w:val="340"/>
        </w:trPr>
        <w:tc>
          <w:tcPr>
            <w:tcW w:w="1282" w:type="dxa"/>
            <w:shd w:val="clear" w:color="auto" w:fill="auto"/>
            <w:vAlign w:val="center"/>
          </w:tcPr>
          <w:p w14:paraId="0705253B" w14:textId="77777777" w:rsidR="00591820" w:rsidRPr="00445472" w:rsidRDefault="00591820" w:rsidP="002A1F08">
            <w:pPr>
              <w:spacing w:before="22" w:after="22"/>
              <w:ind w:right="63"/>
              <w:jc w:val="center"/>
              <w:rPr>
                <w:rFonts w:ascii="Garamond" w:eastAsia="MS Mincho" w:hAnsi="Garamond" w:cs="Arial"/>
                <w:sz w:val="18"/>
                <w:szCs w:val="18"/>
              </w:rPr>
            </w:pPr>
          </w:p>
          <w:p w14:paraId="6B71EF8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Kukës</w:t>
            </w:r>
          </w:p>
        </w:tc>
        <w:tc>
          <w:tcPr>
            <w:tcW w:w="2823" w:type="dxa"/>
            <w:shd w:val="clear" w:color="auto" w:fill="auto"/>
            <w:vAlign w:val="center"/>
          </w:tcPr>
          <w:p w14:paraId="0CFFA0A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Tropojë, Bajram Curri,</w:t>
            </w:r>
          </w:p>
          <w:p w14:paraId="45C31BE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Fierzë, Lekbibaj, Margegaj, Llugaj, Bujan, Bytyc,</w:t>
            </w:r>
          </w:p>
        </w:tc>
        <w:tc>
          <w:tcPr>
            <w:tcW w:w="852" w:type="dxa"/>
            <w:shd w:val="clear" w:color="auto" w:fill="auto"/>
            <w:vAlign w:val="center"/>
          </w:tcPr>
          <w:p w14:paraId="69135D90" w14:textId="77777777" w:rsidR="00591820" w:rsidRPr="00445472" w:rsidRDefault="00591820" w:rsidP="002A1F08">
            <w:pPr>
              <w:spacing w:before="22" w:after="22"/>
              <w:ind w:right="63"/>
              <w:jc w:val="center"/>
              <w:rPr>
                <w:rFonts w:ascii="Garamond" w:eastAsia="MS Mincho" w:hAnsi="Garamond" w:cs="Arial"/>
                <w:sz w:val="18"/>
                <w:szCs w:val="18"/>
              </w:rPr>
            </w:pPr>
          </w:p>
          <w:p w14:paraId="26F950E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U+R</w:t>
            </w:r>
          </w:p>
        </w:tc>
        <w:tc>
          <w:tcPr>
            <w:tcW w:w="1976" w:type="dxa"/>
            <w:shd w:val="clear" w:color="auto" w:fill="auto"/>
            <w:vAlign w:val="center"/>
          </w:tcPr>
          <w:p w14:paraId="45A2785A" w14:textId="77777777" w:rsidR="00591820" w:rsidRPr="00445472" w:rsidRDefault="00591820" w:rsidP="002A1F08">
            <w:pPr>
              <w:spacing w:before="22" w:after="22"/>
              <w:ind w:right="63"/>
              <w:jc w:val="center"/>
              <w:rPr>
                <w:rFonts w:ascii="Garamond" w:eastAsia="MS Mincho" w:hAnsi="Garamond" w:cs="Arial"/>
                <w:sz w:val="18"/>
                <w:szCs w:val="18"/>
              </w:rPr>
            </w:pPr>
          </w:p>
          <w:p w14:paraId="04EFEFE3" w14:textId="2CE3CC30"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Tropojë U</w:t>
            </w:r>
            <w:r w:rsidR="00D67757" w:rsidRPr="00445472">
              <w:rPr>
                <w:rFonts w:ascii="Garamond" w:eastAsia="MS Mincho" w:hAnsi="Garamond" w:cs="Arial"/>
                <w:sz w:val="18"/>
                <w:szCs w:val="18"/>
              </w:rPr>
              <w:t xml:space="preserve"> sh.a.</w:t>
            </w:r>
          </w:p>
        </w:tc>
        <w:tc>
          <w:tcPr>
            <w:tcW w:w="1978" w:type="dxa"/>
            <w:shd w:val="clear" w:color="auto" w:fill="auto"/>
            <w:vAlign w:val="center"/>
          </w:tcPr>
          <w:p w14:paraId="03D28D1E" w14:textId="77777777" w:rsidR="00591820" w:rsidRPr="00445472" w:rsidRDefault="00591820" w:rsidP="002A1F08">
            <w:pPr>
              <w:spacing w:before="22" w:after="22"/>
              <w:ind w:right="63"/>
              <w:jc w:val="center"/>
              <w:rPr>
                <w:rFonts w:ascii="Garamond" w:eastAsia="MS Mincho" w:hAnsi="Garamond" w:cs="Arial"/>
                <w:sz w:val="18"/>
                <w:szCs w:val="18"/>
              </w:rPr>
            </w:pPr>
          </w:p>
          <w:p w14:paraId="3F7C6D7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2B353189" w14:textId="77777777" w:rsidTr="002A1F08">
        <w:trPr>
          <w:trHeight w:val="800"/>
        </w:trPr>
        <w:tc>
          <w:tcPr>
            <w:tcW w:w="1282" w:type="dxa"/>
            <w:vMerge w:val="restart"/>
            <w:shd w:val="clear" w:color="auto" w:fill="E6E6E6"/>
            <w:vAlign w:val="center"/>
          </w:tcPr>
          <w:p w14:paraId="161E5031" w14:textId="77777777" w:rsidR="00591820" w:rsidRPr="00445472" w:rsidRDefault="00591820" w:rsidP="002A1F08">
            <w:pPr>
              <w:spacing w:before="22" w:after="22"/>
              <w:ind w:right="63"/>
              <w:jc w:val="center"/>
              <w:rPr>
                <w:rFonts w:ascii="Garamond" w:eastAsia="MS Mincho" w:hAnsi="Garamond" w:cs="Arial"/>
                <w:sz w:val="18"/>
                <w:szCs w:val="18"/>
              </w:rPr>
            </w:pPr>
          </w:p>
          <w:p w14:paraId="23F71A28" w14:textId="77777777" w:rsidR="00591820" w:rsidRPr="00445472" w:rsidRDefault="00591820" w:rsidP="002A1F08">
            <w:pPr>
              <w:spacing w:before="22" w:after="22"/>
              <w:ind w:right="63"/>
              <w:jc w:val="center"/>
              <w:rPr>
                <w:rFonts w:ascii="Garamond" w:eastAsia="MS Mincho" w:hAnsi="Garamond" w:cs="Arial"/>
                <w:sz w:val="18"/>
                <w:szCs w:val="18"/>
              </w:rPr>
            </w:pPr>
          </w:p>
          <w:p w14:paraId="59B3266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2823" w:type="dxa"/>
            <w:vMerge w:val="restart"/>
            <w:shd w:val="clear" w:color="auto" w:fill="E6E6E6"/>
            <w:vAlign w:val="center"/>
          </w:tcPr>
          <w:p w14:paraId="48D52E4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Peshkopi/Dibër, Tomin, Melan, Kastriot, Lurë, Maqellarë, Muhurr, Luzni, Selishte, Sllove, Kala e</w:t>
            </w:r>
          </w:p>
          <w:p w14:paraId="355C88F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Dodës, Zall Dardhe, Zall Rec, Fushë Cidhen, Arras</w:t>
            </w:r>
          </w:p>
        </w:tc>
        <w:tc>
          <w:tcPr>
            <w:tcW w:w="852" w:type="dxa"/>
            <w:shd w:val="clear" w:color="auto" w:fill="E6E6E6"/>
            <w:vAlign w:val="center"/>
          </w:tcPr>
          <w:p w14:paraId="39FE862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U</w:t>
            </w:r>
          </w:p>
        </w:tc>
        <w:tc>
          <w:tcPr>
            <w:tcW w:w="1976" w:type="dxa"/>
            <w:shd w:val="clear" w:color="auto" w:fill="E6E6E6"/>
            <w:vAlign w:val="center"/>
          </w:tcPr>
          <w:p w14:paraId="746C6E23" w14:textId="78B4A494"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 U</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c>
          <w:tcPr>
            <w:tcW w:w="1978" w:type="dxa"/>
            <w:shd w:val="clear" w:color="auto" w:fill="E6E6E6"/>
            <w:vAlign w:val="center"/>
          </w:tcPr>
          <w:p w14:paraId="7ECA1FDC" w14:textId="3CA8F0D0"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w:t>
            </w:r>
            <w:r w:rsidR="00D67757" w:rsidRPr="00445472">
              <w:rPr>
                <w:rFonts w:ascii="Garamond" w:eastAsia="MS Mincho" w:hAnsi="Garamond" w:cs="Arial"/>
                <w:sz w:val="18"/>
                <w:szCs w:val="18"/>
              </w:rPr>
              <w:t>eshkopi U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r>
      <w:tr w:rsidR="00591820" w:rsidRPr="00445472" w14:paraId="19B5FD96" w14:textId="77777777" w:rsidTr="002A1F08">
        <w:trPr>
          <w:trHeight w:val="800"/>
        </w:trPr>
        <w:tc>
          <w:tcPr>
            <w:tcW w:w="1282" w:type="dxa"/>
            <w:vMerge/>
            <w:tcBorders>
              <w:bottom w:val="single" w:sz="4" w:space="0" w:color="27B0AF"/>
            </w:tcBorders>
            <w:shd w:val="clear" w:color="auto" w:fill="E6E6E6"/>
            <w:vAlign w:val="center"/>
          </w:tcPr>
          <w:p w14:paraId="32BA1CED" w14:textId="77777777" w:rsidR="00591820" w:rsidRPr="00445472" w:rsidRDefault="00591820" w:rsidP="002A1F08">
            <w:pPr>
              <w:spacing w:before="22" w:after="22"/>
              <w:ind w:right="63"/>
              <w:jc w:val="center"/>
              <w:rPr>
                <w:rFonts w:ascii="Garamond" w:eastAsia="MS Mincho" w:hAnsi="Garamond" w:cs="Arial"/>
                <w:sz w:val="18"/>
                <w:szCs w:val="18"/>
              </w:rPr>
            </w:pPr>
          </w:p>
        </w:tc>
        <w:tc>
          <w:tcPr>
            <w:tcW w:w="2823" w:type="dxa"/>
            <w:vMerge/>
            <w:tcBorders>
              <w:bottom w:val="single" w:sz="4" w:space="0" w:color="27B0AF"/>
            </w:tcBorders>
            <w:shd w:val="clear" w:color="auto" w:fill="E6E6E6"/>
            <w:vAlign w:val="center"/>
          </w:tcPr>
          <w:p w14:paraId="28F486DE"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52" w:type="dxa"/>
            <w:tcBorders>
              <w:bottom w:val="single" w:sz="4" w:space="0" w:color="27B0AF"/>
            </w:tcBorders>
            <w:shd w:val="clear" w:color="auto" w:fill="E6E6E6"/>
            <w:vAlign w:val="center"/>
          </w:tcPr>
          <w:p w14:paraId="47E6B329" w14:textId="77777777" w:rsidR="00591820" w:rsidRPr="00445472" w:rsidRDefault="00591820" w:rsidP="002A1F08">
            <w:pPr>
              <w:spacing w:before="22" w:after="22"/>
              <w:ind w:right="63"/>
              <w:jc w:val="center"/>
              <w:rPr>
                <w:rFonts w:ascii="Garamond" w:eastAsia="MS Mincho" w:hAnsi="Garamond" w:cs="Arial"/>
                <w:w w:val="99"/>
                <w:sz w:val="18"/>
                <w:szCs w:val="18"/>
              </w:rPr>
            </w:pPr>
            <w:r w:rsidRPr="00445472">
              <w:rPr>
                <w:rFonts w:ascii="Garamond" w:eastAsia="MS Mincho" w:hAnsi="Garamond" w:cs="Arial"/>
                <w:w w:val="99"/>
                <w:sz w:val="18"/>
                <w:szCs w:val="18"/>
              </w:rPr>
              <w:t>R</w:t>
            </w:r>
          </w:p>
        </w:tc>
        <w:tc>
          <w:tcPr>
            <w:tcW w:w="1976" w:type="dxa"/>
            <w:tcBorders>
              <w:bottom w:val="single" w:sz="4" w:space="0" w:color="27B0AF"/>
            </w:tcBorders>
            <w:shd w:val="clear" w:color="auto" w:fill="E6E6E6"/>
            <w:vAlign w:val="center"/>
          </w:tcPr>
          <w:p w14:paraId="787414CB" w14:textId="0A1AAE58"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 U</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c>
          <w:tcPr>
            <w:tcW w:w="1978" w:type="dxa"/>
            <w:tcBorders>
              <w:bottom w:val="single" w:sz="4" w:space="0" w:color="27B0AF"/>
            </w:tcBorders>
            <w:shd w:val="clear" w:color="auto" w:fill="E6E6E6"/>
            <w:vAlign w:val="center"/>
          </w:tcPr>
          <w:p w14:paraId="184E94F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7A56C3D4" w14:textId="77777777" w:rsidTr="002A1F08">
        <w:trPr>
          <w:trHeight w:val="340"/>
        </w:trPr>
        <w:tc>
          <w:tcPr>
            <w:tcW w:w="1282" w:type="dxa"/>
            <w:shd w:val="clear" w:color="auto" w:fill="auto"/>
            <w:vAlign w:val="center"/>
          </w:tcPr>
          <w:p w14:paraId="75CE10E5" w14:textId="77777777" w:rsidR="00591820" w:rsidRPr="00445472" w:rsidRDefault="00591820" w:rsidP="002A1F08">
            <w:pPr>
              <w:spacing w:before="22" w:after="22"/>
              <w:ind w:right="63"/>
              <w:jc w:val="center"/>
              <w:rPr>
                <w:rFonts w:ascii="Garamond" w:eastAsia="MS Mincho" w:hAnsi="Garamond" w:cs="Arial"/>
                <w:sz w:val="18"/>
                <w:szCs w:val="18"/>
              </w:rPr>
            </w:pPr>
          </w:p>
          <w:p w14:paraId="7D6B243D" w14:textId="77777777" w:rsidR="00591820" w:rsidRPr="00445472" w:rsidRDefault="00591820" w:rsidP="002A1F08">
            <w:pPr>
              <w:spacing w:before="22" w:after="22"/>
              <w:ind w:right="63"/>
              <w:jc w:val="center"/>
              <w:rPr>
                <w:rFonts w:ascii="Garamond" w:eastAsia="MS Mincho" w:hAnsi="Garamond" w:cs="Arial"/>
                <w:sz w:val="18"/>
                <w:szCs w:val="18"/>
              </w:rPr>
            </w:pPr>
          </w:p>
          <w:p w14:paraId="125A2C8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Dibër</w:t>
            </w:r>
          </w:p>
        </w:tc>
        <w:tc>
          <w:tcPr>
            <w:tcW w:w="2823" w:type="dxa"/>
            <w:shd w:val="clear" w:color="auto" w:fill="auto"/>
            <w:vAlign w:val="center"/>
          </w:tcPr>
          <w:p w14:paraId="286AEDF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Peshkopi/Diber, Tomin, Melan, Kastriot, Lurë, Maqellarë, Muhurr, Luzni, Selishte, Sllove, Kala e</w:t>
            </w:r>
          </w:p>
          <w:p w14:paraId="2937FC0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Dodës, Zall Dardhe, Zall Rec, Fushë Cidhen, Arras</w:t>
            </w:r>
          </w:p>
        </w:tc>
        <w:tc>
          <w:tcPr>
            <w:tcW w:w="852" w:type="dxa"/>
            <w:shd w:val="clear" w:color="auto" w:fill="auto"/>
            <w:vAlign w:val="center"/>
          </w:tcPr>
          <w:p w14:paraId="63CCE74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U</w:t>
            </w:r>
          </w:p>
        </w:tc>
        <w:tc>
          <w:tcPr>
            <w:tcW w:w="1976" w:type="dxa"/>
            <w:shd w:val="clear" w:color="auto" w:fill="auto"/>
            <w:vAlign w:val="center"/>
          </w:tcPr>
          <w:p w14:paraId="46D12186" w14:textId="519CDEC3"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 U sh</w:t>
            </w:r>
            <w:r w:rsidR="00591820" w:rsidRPr="00445472">
              <w:rPr>
                <w:rFonts w:ascii="Garamond" w:eastAsia="MS Mincho" w:hAnsi="Garamond" w:cs="Arial"/>
                <w:sz w:val="18"/>
                <w:szCs w:val="18"/>
              </w:rPr>
              <w:t>.a</w:t>
            </w:r>
            <w:r w:rsidRPr="00445472">
              <w:rPr>
                <w:rFonts w:ascii="Garamond" w:eastAsia="MS Mincho" w:hAnsi="Garamond" w:cs="Arial"/>
                <w:sz w:val="18"/>
                <w:szCs w:val="18"/>
              </w:rPr>
              <w:t>.</w:t>
            </w:r>
          </w:p>
        </w:tc>
        <w:tc>
          <w:tcPr>
            <w:tcW w:w="1978" w:type="dxa"/>
            <w:shd w:val="clear" w:color="auto" w:fill="auto"/>
            <w:vAlign w:val="center"/>
          </w:tcPr>
          <w:p w14:paraId="5FFFFB41" w14:textId="67C026C9"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 U sh</w:t>
            </w:r>
            <w:r w:rsidR="00591820" w:rsidRPr="00445472">
              <w:rPr>
                <w:rFonts w:ascii="Garamond" w:eastAsia="MS Mincho" w:hAnsi="Garamond" w:cs="Arial"/>
                <w:sz w:val="18"/>
                <w:szCs w:val="18"/>
              </w:rPr>
              <w:t>.a</w:t>
            </w:r>
            <w:r w:rsidRPr="00445472">
              <w:rPr>
                <w:rFonts w:ascii="Garamond" w:eastAsia="MS Mincho" w:hAnsi="Garamond" w:cs="Arial"/>
                <w:sz w:val="18"/>
                <w:szCs w:val="18"/>
              </w:rPr>
              <w:t>.</w:t>
            </w:r>
          </w:p>
        </w:tc>
      </w:tr>
      <w:tr w:rsidR="00591820" w:rsidRPr="00445472" w14:paraId="2F451B69" w14:textId="77777777" w:rsidTr="002A1F08">
        <w:trPr>
          <w:trHeight w:val="340"/>
        </w:trPr>
        <w:tc>
          <w:tcPr>
            <w:tcW w:w="1282" w:type="dxa"/>
            <w:tcBorders>
              <w:bottom w:val="single" w:sz="4" w:space="0" w:color="27B0AF"/>
            </w:tcBorders>
            <w:shd w:val="clear" w:color="auto" w:fill="E6E6E6"/>
            <w:vAlign w:val="center"/>
          </w:tcPr>
          <w:p w14:paraId="6DA38656" w14:textId="77777777" w:rsidR="00591820" w:rsidRPr="00445472" w:rsidRDefault="00591820" w:rsidP="002A1F08">
            <w:pPr>
              <w:spacing w:before="22" w:after="22"/>
              <w:ind w:right="63"/>
              <w:jc w:val="center"/>
              <w:rPr>
                <w:rFonts w:ascii="Garamond" w:eastAsia="MS Mincho" w:hAnsi="Garamond" w:cs="Arial"/>
                <w:sz w:val="18"/>
                <w:szCs w:val="18"/>
              </w:rPr>
            </w:pPr>
          </w:p>
          <w:p w14:paraId="356587D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Lezhë</w:t>
            </w:r>
          </w:p>
        </w:tc>
        <w:tc>
          <w:tcPr>
            <w:tcW w:w="2823" w:type="dxa"/>
            <w:tcBorders>
              <w:bottom w:val="single" w:sz="4" w:space="0" w:color="27B0AF"/>
            </w:tcBorders>
            <w:shd w:val="clear" w:color="auto" w:fill="E6E6E6"/>
            <w:vAlign w:val="center"/>
          </w:tcPr>
          <w:p w14:paraId="1319A4B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Lezhe, Shenkoll, Shengjin, Zejmen, Balldren, Kallmet, Blinisht, Dajc, Ungrej, Kolsh</w:t>
            </w:r>
          </w:p>
        </w:tc>
        <w:tc>
          <w:tcPr>
            <w:tcW w:w="852" w:type="dxa"/>
            <w:tcBorders>
              <w:bottom w:val="single" w:sz="4" w:space="0" w:color="27B0AF"/>
            </w:tcBorders>
            <w:shd w:val="clear" w:color="auto" w:fill="E6E6E6"/>
            <w:vAlign w:val="center"/>
          </w:tcPr>
          <w:p w14:paraId="59D0D73F" w14:textId="77777777" w:rsidR="00591820" w:rsidRPr="00445472" w:rsidRDefault="00591820" w:rsidP="002A1F08">
            <w:pPr>
              <w:spacing w:before="22" w:after="22"/>
              <w:ind w:right="63"/>
              <w:jc w:val="center"/>
              <w:rPr>
                <w:rFonts w:ascii="Garamond" w:eastAsia="MS Mincho" w:hAnsi="Garamond" w:cs="Arial"/>
                <w:sz w:val="18"/>
                <w:szCs w:val="18"/>
              </w:rPr>
            </w:pPr>
          </w:p>
          <w:p w14:paraId="3BDE72C4" w14:textId="77777777" w:rsidR="00591820" w:rsidRPr="00445472" w:rsidRDefault="00591820" w:rsidP="002A1F08">
            <w:pPr>
              <w:spacing w:before="22" w:after="22"/>
              <w:ind w:right="63"/>
              <w:jc w:val="center"/>
              <w:rPr>
                <w:rFonts w:ascii="Garamond" w:eastAsia="MS Mincho" w:hAnsi="Garamond" w:cs="Arial"/>
                <w:sz w:val="18"/>
                <w:szCs w:val="18"/>
              </w:rPr>
            </w:pPr>
          </w:p>
          <w:p w14:paraId="5FE58BB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R</w:t>
            </w:r>
          </w:p>
        </w:tc>
        <w:tc>
          <w:tcPr>
            <w:tcW w:w="1976" w:type="dxa"/>
            <w:tcBorders>
              <w:bottom w:val="single" w:sz="4" w:space="0" w:color="27B0AF"/>
            </w:tcBorders>
            <w:shd w:val="clear" w:color="auto" w:fill="E6E6E6"/>
            <w:vAlign w:val="center"/>
          </w:tcPr>
          <w:p w14:paraId="042EB6E4" w14:textId="77777777" w:rsidR="00591820" w:rsidRPr="00445472" w:rsidRDefault="00591820" w:rsidP="002A1F08">
            <w:pPr>
              <w:spacing w:before="22" w:after="22"/>
              <w:ind w:right="63"/>
              <w:jc w:val="center"/>
              <w:rPr>
                <w:rFonts w:ascii="Garamond" w:eastAsia="MS Mincho" w:hAnsi="Garamond" w:cs="Arial"/>
                <w:sz w:val="18"/>
                <w:szCs w:val="18"/>
              </w:rPr>
            </w:pPr>
          </w:p>
          <w:p w14:paraId="0F2B0B85" w14:textId="77777777" w:rsidR="00591820" w:rsidRPr="00445472" w:rsidRDefault="00591820" w:rsidP="002A1F08">
            <w:pPr>
              <w:spacing w:before="22" w:after="22"/>
              <w:ind w:right="63"/>
              <w:jc w:val="center"/>
              <w:rPr>
                <w:rFonts w:ascii="Garamond" w:eastAsia="MS Mincho" w:hAnsi="Garamond" w:cs="Arial"/>
                <w:sz w:val="18"/>
                <w:szCs w:val="18"/>
              </w:rPr>
            </w:pPr>
          </w:p>
          <w:p w14:paraId="016593C2" w14:textId="577E5AB3"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Peshkopi U</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c>
          <w:tcPr>
            <w:tcW w:w="1978" w:type="dxa"/>
            <w:tcBorders>
              <w:bottom w:val="single" w:sz="4" w:space="0" w:color="27B0AF"/>
            </w:tcBorders>
            <w:shd w:val="clear" w:color="auto" w:fill="E6E6E6"/>
            <w:vAlign w:val="center"/>
          </w:tcPr>
          <w:p w14:paraId="30E233EC" w14:textId="77777777" w:rsidR="00591820" w:rsidRPr="00445472" w:rsidRDefault="00591820" w:rsidP="002A1F08">
            <w:pPr>
              <w:spacing w:before="22" w:after="22"/>
              <w:ind w:right="63"/>
              <w:jc w:val="center"/>
              <w:rPr>
                <w:rFonts w:ascii="Garamond" w:eastAsia="MS Mincho" w:hAnsi="Garamond" w:cs="Arial"/>
                <w:sz w:val="18"/>
                <w:szCs w:val="18"/>
              </w:rPr>
            </w:pPr>
          </w:p>
          <w:p w14:paraId="70EEB249" w14:textId="77777777" w:rsidR="00591820" w:rsidRPr="00445472" w:rsidRDefault="00591820" w:rsidP="002A1F08">
            <w:pPr>
              <w:spacing w:before="22" w:after="22"/>
              <w:ind w:right="63"/>
              <w:jc w:val="center"/>
              <w:rPr>
                <w:rFonts w:ascii="Garamond" w:eastAsia="MS Mincho" w:hAnsi="Garamond" w:cs="Arial"/>
                <w:sz w:val="18"/>
                <w:szCs w:val="18"/>
              </w:rPr>
            </w:pPr>
          </w:p>
          <w:p w14:paraId="103A7FC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N/A</w:t>
            </w:r>
          </w:p>
        </w:tc>
      </w:tr>
      <w:tr w:rsidR="00591820" w:rsidRPr="00445472" w14:paraId="0201D9A9" w14:textId="77777777" w:rsidTr="002A1F08">
        <w:trPr>
          <w:trHeight w:val="340"/>
        </w:trPr>
        <w:tc>
          <w:tcPr>
            <w:tcW w:w="1282" w:type="dxa"/>
            <w:shd w:val="clear" w:color="auto" w:fill="auto"/>
            <w:vAlign w:val="center"/>
          </w:tcPr>
          <w:p w14:paraId="09395960" w14:textId="77777777" w:rsidR="00591820" w:rsidRPr="00445472" w:rsidRDefault="00591820" w:rsidP="002A1F08">
            <w:pPr>
              <w:spacing w:before="22" w:after="22"/>
              <w:ind w:right="63"/>
              <w:jc w:val="center"/>
              <w:rPr>
                <w:rFonts w:ascii="Garamond" w:eastAsia="MS Mincho" w:hAnsi="Garamond" w:cs="Arial"/>
                <w:sz w:val="18"/>
                <w:szCs w:val="18"/>
              </w:rPr>
            </w:pPr>
          </w:p>
          <w:p w14:paraId="78265D4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Korçë</w:t>
            </w:r>
          </w:p>
        </w:tc>
        <w:tc>
          <w:tcPr>
            <w:tcW w:w="2823" w:type="dxa"/>
            <w:shd w:val="clear" w:color="auto" w:fill="auto"/>
            <w:vAlign w:val="center"/>
          </w:tcPr>
          <w:p w14:paraId="72D4C5A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Pogradec, Udenisht, Bucimas, Cerrave, Dardhas, Trebinje, Proptisht, Velcan</w:t>
            </w:r>
          </w:p>
        </w:tc>
        <w:tc>
          <w:tcPr>
            <w:tcW w:w="852" w:type="dxa"/>
            <w:shd w:val="clear" w:color="auto" w:fill="auto"/>
            <w:vAlign w:val="center"/>
          </w:tcPr>
          <w:p w14:paraId="67B0853E" w14:textId="77777777" w:rsidR="00591820" w:rsidRPr="00445472" w:rsidRDefault="00591820" w:rsidP="002A1F08">
            <w:pPr>
              <w:spacing w:before="22" w:after="22"/>
              <w:ind w:right="63"/>
              <w:jc w:val="center"/>
              <w:rPr>
                <w:rFonts w:ascii="Garamond" w:eastAsia="MS Mincho" w:hAnsi="Garamond" w:cs="Arial"/>
                <w:sz w:val="18"/>
                <w:szCs w:val="18"/>
              </w:rPr>
            </w:pPr>
          </w:p>
          <w:p w14:paraId="79F47E0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U+R</w:t>
            </w:r>
          </w:p>
        </w:tc>
        <w:tc>
          <w:tcPr>
            <w:tcW w:w="1976" w:type="dxa"/>
            <w:shd w:val="clear" w:color="auto" w:fill="auto"/>
            <w:vAlign w:val="center"/>
          </w:tcPr>
          <w:p w14:paraId="3394B375" w14:textId="77777777" w:rsidR="00591820" w:rsidRPr="00445472" w:rsidRDefault="00591820" w:rsidP="002A1F08">
            <w:pPr>
              <w:spacing w:before="22" w:after="22"/>
              <w:ind w:right="63"/>
              <w:jc w:val="center"/>
              <w:rPr>
                <w:rFonts w:ascii="Garamond" w:eastAsia="MS Mincho" w:hAnsi="Garamond" w:cs="Arial"/>
                <w:sz w:val="18"/>
                <w:szCs w:val="18"/>
              </w:rPr>
            </w:pPr>
          </w:p>
          <w:p w14:paraId="6AB5575C" w14:textId="256A6C5B"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Pogradec UK</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c>
          <w:tcPr>
            <w:tcW w:w="1978" w:type="dxa"/>
            <w:shd w:val="clear" w:color="auto" w:fill="auto"/>
            <w:vAlign w:val="center"/>
          </w:tcPr>
          <w:p w14:paraId="49E545AE" w14:textId="77777777" w:rsidR="00591820" w:rsidRPr="00445472" w:rsidRDefault="00591820" w:rsidP="002A1F08">
            <w:pPr>
              <w:spacing w:before="22" w:after="22"/>
              <w:ind w:right="63"/>
              <w:jc w:val="center"/>
              <w:rPr>
                <w:rFonts w:ascii="Garamond" w:eastAsia="MS Mincho" w:hAnsi="Garamond" w:cs="Arial"/>
                <w:sz w:val="18"/>
                <w:szCs w:val="18"/>
              </w:rPr>
            </w:pPr>
          </w:p>
          <w:p w14:paraId="7BAEF535" w14:textId="7ECBA50A" w:rsidR="00591820" w:rsidRPr="00445472" w:rsidRDefault="00591820" w:rsidP="00D67757">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Pogradec UK</w:t>
            </w:r>
            <w:r w:rsidR="00D67757" w:rsidRPr="00445472">
              <w:rPr>
                <w:rFonts w:ascii="Garamond" w:eastAsia="MS Mincho" w:hAnsi="Garamond" w:cs="Arial"/>
                <w:sz w:val="18"/>
                <w:szCs w:val="18"/>
              </w:rPr>
              <w:t xml:space="preserve"> sh</w:t>
            </w:r>
            <w:r w:rsidRPr="00445472">
              <w:rPr>
                <w:rFonts w:ascii="Garamond" w:eastAsia="MS Mincho" w:hAnsi="Garamond" w:cs="Arial"/>
                <w:sz w:val="18"/>
                <w:szCs w:val="18"/>
              </w:rPr>
              <w:t>.a</w:t>
            </w:r>
            <w:r w:rsidR="00D67757" w:rsidRPr="00445472">
              <w:rPr>
                <w:rFonts w:ascii="Garamond" w:eastAsia="MS Mincho" w:hAnsi="Garamond" w:cs="Arial"/>
                <w:sz w:val="18"/>
                <w:szCs w:val="18"/>
              </w:rPr>
              <w:t>.</w:t>
            </w:r>
          </w:p>
        </w:tc>
      </w:tr>
    </w:tbl>
    <w:p w14:paraId="5FF8C59D" w14:textId="77777777" w:rsidR="00166DBF" w:rsidRPr="00445472" w:rsidRDefault="00166DBF" w:rsidP="00166DBF">
      <w:pPr>
        <w:pStyle w:val="TEKSTIIII"/>
      </w:pPr>
      <w:bookmarkStart w:id="265" w:name="_bookmark55"/>
      <w:bookmarkEnd w:id="265"/>
    </w:p>
    <w:p w14:paraId="1C07CEFC" w14:textId="529E1CE6" w:rsidR="00591820" w:rsidRPr="00445472" w:rsidRDefault="00166DBF" w:rsidP="00166DBF">
      <w:pPr>
        <w:pStyle w:val="NENTITULL"/>
      </w:pPr>
      <w:r w:rsidRPr="00445472">
        <w:t xml:space="preserve">11.5.3 </w:t>
      </w:r>
      <w:bookmarkStart w:id="266" w:name="_Toc11068870"/>
      <w:r w:rsidR="00591820" w:rsidRPr="00445472">
        <w:t>Përdoruesit e ujit</w:t>
      </w:r>
      <w:bookmarkEnd w:id="266"/>
    </w:p>
    <w:p w14:paraId="729C61ED" w14:textId="3DD891CD" w:rsidR="00591820" w:rsidRPr="00445472" w:rsidRDefault="00591820" w:rsidP="00166DBF">
      <w:pPr>
        <w:pStyle w:val="TEKSTIIII"/>
      </w:pPr>
      <w:r w:rsidRPr="00445472">
        <w:t xml:space="preserve">Përdorimi i ujit është përcaktuar në nenin 2 si: </w:t>
      </w:r>
      <w:r w:rsidR="00D62EDF" w:rsidRPr="00445472">
        <w:t>“</w:t>
      </w:r>
      <w:r w:rsidRPr="00445472">
        <w:t xml:space="preserve">shërbimet e ujit së bashku me çdo aktivitet tjetër të identifikuar sipas nenit 5 dhe </w:t>
      </w:r>
      <w:r w:rsidR="00D67757" w:rsidRPr="00445472">
        <w:t xml:space="preserve">shtojcës </w:t>
      </w:r>
      <w:r w:rsidRPr="00445472">
        <w:t xml:space="preserve">II me ndikim të rëndësishëm në statusin e ujit. Ky koncept zbatohet për qëllimet e </w:t>
      </w:r>
      <w:r w:rsidR="00D67757" w:rsidRPr="00445472">
        <w:t xml:space="preserve">NENIT </w:t>
      </w:r>
      <w:r w:rsidRPr="00445472">
        <w:t xml:space="preserve">1 dhe të analizës ekonomike të kryer sipas </w:t>
      </w:r>
      <w:r w:rsidR="00D67757" w:rsidRPr="00445472">
        <w:t xml:space="preserve">nenit </w:t>
      </w:r>
      <w:r w:rsidRPr="00445472">
        <w:t xml:space="preserve">5 dhe </w:t>
      </w:r>
      <w:r w:rsidR="00D67757" w:rsidRPr="00445472">
        <w:t xml:space="preserve">shtojcës </w:t>
      </w:r>
      <w:r w:rsidRPr="00445472">
        <w:t xml:space="preserve">III, pika </w:t>
      </w:r>
      <w:r w:rsidR="00D67757" w:rsidRPr="00445472">
        <w:t>“</w:t>
      </w:r>
      <w:r w:rsidRPr="00445472">
        <w:t>b</w:t>
      </w:r>
      <w:r w:rsidR="00D67757" w:rsidRPr="00445472">
        <w:t>”</w:t>
      </w:r>
      <w:r w:rsidRPr="00445472">
        <w:t>. Neni 9 i Direktivës specifikon se përdorimi i ujit duhet të përfshijë të paktën familjet, bujqësinë dhe industrinë.</w:t>
      </w:r>
    </w:p>
    <w:p w14:paraId="7465C3C5" w14:textId="77777777" w:rsidR="00591820" w:rsidRPr="00445472" w:rsidRDefault="00591820" w:rsidP="00166DBF">
      <w:pPr>
        <w:pStyle w:val="TEKSTIIII"/>
      </w:pPr>
      <w:r w:rsidRPr="00445472">
        <w:t>Të dhënat kryesore që mund të mblidhen:</w:t>
      </w:r>
    </w:p>
    <w:p w14:paraId="7F145460" w14:textId="6BFC3E6E" w:rsidR="00591820" w:rsidRPr="00445472" w:rsidRDefault="00B834F7" w:rsidP="00166DBF">
      <w:pPr>
        <w:pStyle w:val="TEKSTIIII"/>
      </w:pPr>
      <w:r>
        <w:t xml:space="preserve">- </w:t>
      </w:r>
      <w:r w:rsidR="00591820" w:rsidRPr="00445472">
        <w:t>Popullsia e mbuluar nga shërbimi i ujit, duke përfshirë nivelin (shkallën) e mbulimit dhe numrin e lidhjeve të ujit (</w:t>
      </w:r>
      <w:r w:rsidR="00D67757" w:rsidRPr="00445472">
        <w:t xml:space="preserve">tabela </w:t>
      </w:r>
      <w:r w:rsidR="00591820" w:rsidRPr="00445472">
        <w:t>11.13).</w:t>
      </w:r>
    </w:p>
    <w:p w14:paraId="49F5D1CC" w14:textId="46F3EA09" w:rsidR="00591820" w:rsidRPr="00445472" w:rsidRDefault="00B834F7" w:rsidP="00166DBF">
      <w:pPr>
        <w:pStyle w:val="TEKSTIIII"/>
      </w:pPr>
      <w:r>
        <w:t xml:space="preserve">- </w:t>
      </w:r>
      <w:r w:rsidR="00591820" w:rsidRPr="00445472">
        <w:t>Numri i lidhjeve industriale, komerciale dhe institucionale të furnizimit me ujë dhe kanalizimeve (</w:t>
      </w:r>
      <w:r w:rsidR="00D67757" w:rsidRPr="00445472">
        <w:t xml:space="preserve">tabela </w:t>
      </w:r>
      <w:r w:rsidR="00591820" w:rsidRPr="00445472">
        <w:t>11.14).</w:t>
      </w:r>
    </w:p>
    <w:p w14:paraId="767E60BD" w14:textId="77777777" w:rsidR="00591820" w:rsidRPr="00445472" w:rsidRDefault="00591820" w:rsidP="00166DBF">
      <w:pPr>
        <w:pStyle w:val="TEKSTIIII"/>
        <w:rPr>
          <w:b/>
          <w:bCs/>
        </w:rPr>
      </w:pPr>
    </w:p>
    <w:p w14:paraId="6952267F" w14:textId="664B6277" w:rsidR="00591820" w:rsidRPr="00445472" w:rsidRDefault="00591820" w:rsidP="00166DBF">
      <w:pPr>
        <w:pStyle w:val="NENTITULL"/>
      </w:pPr>
      <w:r w:rsidRPr="00445472">
        <w:t xml:space="preserve">Tabela 11.13: Popullsia e mbuluar nga shërbimet e ujit në Basenin Ujor </w:t>
      </w:r>
      <w:r w:rsidR="007E76E3" w:rsidRPr="00445472">
        <w:t>Drin–Bunë</w:t>
      </w:r>
      <w:r w:rsidRPr="00445472">
        <w:t>, 2015</w:t>
      </w:r>
    </w:p>
    <w:tbl>
      <w:tblPr>
        <w:tblW w:w="5000" w:type="pct"/>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2413"/>
        <w:gridCol w:w="2355"/>
        <w:gridCol w:w="1349"/>
        <w:gridCol w:w="2970"/>
      </w:tblGrid>
      <w:tr w:rsidR="00591820" w:rsidRPr="00445472" w14:paraId="4E5DE6C7" w14:textId="77777777" w:rsidTr="00166DBF">
        <w:trPr>
          <w:trHeight w:val="340"/>
        </w:trPr>
        <w:tc>
          <w:tcPr>
            <w:tcW w:w="1328" w:type="pct"/>
            <w:vAlign w:val="center"/>
          </w:tcPr>
          <w:p w14:paraId="0F9BCF73" w14:textId="77777777" w:rsidR="00591820" w:rsidRPr="00445472" w:rsidRDefault="00591820" w:rsidP="002A1F08">
            <w:pPr>
              <w:spacing w:before="22" w:after="22"/>
              <w:ind w:right="63"/>
              <w:jc w:val="center"/>
              <w:rPr>
                <w:rFonts w:ascii="Garamond" w:eastAsia="MS Mincho" w:hAnsi="Garamond" w:cs="Arial"/>
                <w:sz w:val="18"/>
                <w:szCs w:val="18"/>
              </w:rPr>
            </w:pPr>
          </w:p>
        </w:tc>
        <w:tc>
          <w:tcPr>
            <w:tcW w:w="1296" w:type="pct"/>
            <w:vAlign w:val="center"/>
          </w:tcPr>
          <w:p w14:paraId="6772252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Popullsia e shërbyer</w:t>
            </w:r>
          </w:p>
        </w:tc>
        <w:tc>
          <w:tcPr>
            <w:tcW w:w="742" w:type="pct"/>
            <w:vAlign w:val="center"/>
          </w:tcPr>
          <w:p w14:paraId="2109043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Mbulimi</w:t>
            </w:r>
          </w:p>
        </w:tc>
        <w:tc>
          <w:tcPr>
            <w:tcW w:w="1634" w:type="pct"/>
            <w:vAlign w:val="center"/>
          </w:tcPr>
          <w:p w14:paraId="71F490A4"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Numri i Lidhjeve</w:t>
            </w:r>
          </w:p>
        </w:tc>
      </w:tr>
      <w:tr w:rsidR="00591820" w:rsidRPr="00445472" w14:paraId="4E1A00C9" w14:textId="77777777" w:rsidTr="00166DBF">
        <w:trPr>
          <w:trHeight w:val="340"/>
        </w:trPr>
        <w:tc>
          <w:tcPr>
            <w:tcW w:w="1328" w:type="pct"/>
            <w:shd w:val="clear" w:color="auto" w:fill="E6E6E6"/>
            <w:vAlign w:val="center"/>
          </w:tcPr>
          <w:p w14:paraId="036B3C3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Bashkia Pukë UK</w:t>
            </w:r>
          </w:p>
        </w:tc>
        <w:tc>
          <w:tcPr>
            <w:tcW w:w="1296" w:type="pct"/>
            <w:shd w:val="clear" w:color="auto" w:fill="E6E6E6"/>
            <w:vAlign w:val="center"/>
          </w:tcPr>
          <w:p w14:paraId="43F2786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2,778</w:t>
            </w:r>
          </w:p>
        </w:tc>
        <w:tc>
          <w:tcPr>
            <w:tcW w:w="742" w:type="pct"/>
            <w:shd w:val="clear" w:color="auto" w:fill="E6E6E6"/>
            <w:vAlign w:val="center"/>
          </w:tcPr>
          <w:p w14:paraId="4801E08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52%</w:t>
            </w:r>
          </w:p>
        </w:tc>
        <w:tc>
          <w:tcPr>
            <w:tcW w:w="1634" w:type="pct"/>
            <w:shd w:val="clear" w:color="auto" w:fill="E6E6E6"/>
            <w:vAlign w:val="center"/>
          </w:tcPr>
          <w:p w14:paraId="0B0EB3F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902</w:t>
            </w:r>
          </w:p>
        </w:tc>
      </w:tr>
      <w:tr w:rsidR="00591820" w:rsidRPr="00445472" w14:paraId="1AFE44AB" w14:textId="77777777" w:rsidTr="00166DBF">
        <w:trPr>
          <w:trHeight w:val="340"/>
        </w:trPr>
        <w:tc>
          <w:tcPr>
            <w:tcW w:w="1328" w:type="pct"/>
            <w:vAlign w:val="center"/>
          </w:tcPr>
          <w:p w14:paraId="569D0FDC" w14:textId="7B58BF83"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Vau i Dejës </w:t>
            </w:r>
            <w:r w:rsidR="00591820" w:rsidRPr="00445472">
              <w:rPr>
                <w:rFonts w:ascii="Garamond" w:eastAsia="MS Mincho" w:hAnsi="Garamond" w:cs="Arial"/>
                <w:sz w:val="18"/>
                <w:szCs w:val="18"/>
              </w:rPr>
              <w:t xml:space="preserve"> U </w:t>
            </w:r>
            <w:r w:rsidRPr="00445472">
              <w:rPr>
                <w:rFonts w:ascii="Garamond" w:eastAsia="MS Mincho" w:hAnsi="Garamond" w:cs="Arial"/>
                <w:sz w:val="18"/>
                <w:szCs w:val="18"/>
              </w:rPr>
              <w:t>sh.a.</w:t>
            </w:r>
          </w:p>
        </w:tc>
        <w:tc>
          <w:tcPr>
            <w:tcW w:w="1296" w:type="pct"/>
            <w:vAlign w:val="center"/>
          </w:tcPr>
          <w:p w14:paraId="627659E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5,646</w:t>
            </w:r>
          </w:p>
        </w:tc>
        <w:tc>
          <w:tcPr>
            <w:tcW w:w="742" w:type="pct"/>
            <w:vAlign w:val="center"/>
          </w:tcPr>
          <w:p w14:paraId="71635A0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w:t>
            </w:r>
          </w:p>
        </w:tc>
        <w:tc>
          <w:tcPr>
            <w:tcW w:w="1634" w:type="pct"/>
            <w:vAlign w:val="center"/>
          </w:tcPr>
          <w:p w14:paraId="0B82262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860</w:t>
            </w:r>
          </w:p>
        </w:tc>
      </w:tr>
      <w:tr w:rsidR="00591820" w:rsidRPr="00445472" w14:paraId="47F6F0F4" w14:textId="77777777" w:rsidTr="00166DBF">
        <w:trPr>
          <w:trHeight w:val="340"/>
        </w:trPr>
        <w:tc>
          <w:tcPr>
            <w:tcW w:w="1328" w:type="pct"/>
            <w:shd w:val="clear" w:color="auto" w:fill="E6E6E6"/>
            <w:vAlign w:val="center"/>
          </w:tcPr>
          <w:p w14:paraId="279D04D4" w14:textId="4508BD73"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Tropojë U </w:t>
            </w:r>
            <w:r w:rsidR="00D67757" w:rsidRPr="00445472">
              <w:rPr>
                <w:rFonts w:ascii="Garamond" w:eastAsia="MS Mincho" w:hAnsi="Garamond" w:cs="Arial"/>
                <w:sz w:val="18"/>
                <w:szCs w:val="18"/>
              </w:rPr>
              <w:t>sh.a.</w:t>
            </w:r>
          </w:p>
        </w:tc>
        <w:tc>
          <w:tcPr>
            <w:tcW w:w="1296" w:type="pct"/>
            <w:shd w:val="clear" w:color="auto" w:fill="E6E6E6"/>
            <w:vAlign w:val="center"/>
          </w:tcPr>
          <w:p w14:paraId="4DCEEF0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7,328</w:t>
            </w:r>
          </w:p>
        </w:tc>
        <w:tc>
          <w:tcPr>
            <w:tcW w:w="742" w:type="pct"/>
            <w:shd w:val="clear" w:color="auto" w:fill="E6E6E6"/>
            <w:vAlign w:val="center"/>
          </w:tcPr>
          <w:p w14:paraId="16B52B0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74%</w:t>
            </w:r>
          </w:p>
        </w:tc>
        <w:tc>
          <w:tcPr>
            <w:tcW w:w="1634" w:type="pct"/>
            <w:shd w:val="clear" w:color="auto" w:fill="E6E6E6"/>
            <w:vAlign w:val="center"/>
          </w:tcPr>
          <w:p w14:paraId="3F41521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1,330</w:t>
            </w:r>
          </w:p>
        </w:tc>
      </w:tr>
      <w:tr w:rsidR="00591820" w:rsidRPr="00445472" w14:paraId="2ADC54CB" w14:textId="77777777" w:rsidTr="00166DBF">
        <w:trPr>
          <w:trHeight w:val="340"/>
        </w:trPr>
        <w:tc>
          <w:tcPr>
            <w:tcW w:w="1328" w:type="pct"/>
            <w:vAlign w:val="center"/>
          </w:tcPr>
          <w:p w14:paraId="6786AE1C" w14:textId="607D6140"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Lezhë UK </w:t>
            </w:r>
            <w:r w:rsidR="00D67757" w:rsidRPr="00445472">
              <w:rPr>
                <w:rFonts w:ascii="Garamond" w:eastAsia="MS Mincho" w:hAnsi="Garamond" w:cs="Arial"/>
                <w:sz w:val="18"/>
                <w:szCs w:val="18"/>
              </w:rPr>
              <w:t>sh.a.</w:t>
            </w:r>
          </w:p>
        </w:tc>
        <w:tc>
          <w:tcPr>
            <w:tcW w:w="1296" w:type="pct"/>
            <w:vAlign w:val="center"/>
          </w:tcPr>
          <w:p w14:paraId="34D2507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33,920</w:t>
            </w:r>
          </w:p>
        </w:tc>
        <w:tc>
          <w:tcPr>
            <w:tcW w:w="742" w:type="pct"/>
            <w:vAlign w:val="center"/>
          </w:tcPr>
          <w:p w14:paraId="036605C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97%</w:t>
            </w:r>
          </w:p>
        </w:tc>
        <w:tc>
          <w:tcPr>
            <w:tcW w:w="1634" w:type="pct"/>
            <w:vAlign w:val="center"/>
          </w:tcPr>
          <w:p w14:paraId="7BF96D2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7,996</w:t>
            </w:r>
          </w:p>
        </w:tc>
      </w:tr>
      <w:tr w:rsidR="00591820" w:rsidRPr="00445472" w14:paraId="42ADE6A9" w14:textId="77777777" w:rsidTr="00166DBF">
        <w:trPr>
          <w:trHeight w:val="340"/>
        </w:trPr>
        <w:tc>
          <w:tcPr>
            <w:tcW w:w="1328" w:type="pct"/>
            <w:shd w:val="clear" w:color="auto" w:fill="E6E6E6"/>
            <w:vAlign w:val="center"/>
          </w:tcPr>
          <w:p w14:paraId="61ADC670" w14:textId="4951C19C"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Pogradec UK </w:t>
            </w:r>
            <w:r w:rsidR="00D67757" w:rsidRPr="00445472">
              <w:rPr>
                <w:rFonts w:ascii="Garamond" w:eastAsia="MS Mincho" w:hAnsi="Garamond" w:cs="Arial"/>
                <w:sz w:val="18"/>
                <w:szCs w:val="18"/>
              </w:rPr>
              <w:t>sh.a.</w:t>
            </w:r>
          </w:p>
        </w:tc>
        <w:tc>
          <w:tcPr>
            <w:tcW w:w="1296" w:type="pct"/>
            <w:shd w:val="clear" w:color="auto" w:fill="E6E6E6"/>
            <w:vAlign w:val="center"/>
          </w:tcPr>
          <w:p w14:paraId="62A2969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58,652</w:t>
            </w:r>
          </w:p>
        </w:tc>
        <w:tc>
          <w:tcPr>
            <w:tcW w:w="742" w:type="pct"/>
            <w:shd w:val="clear" w:color="auto" w:fill="E6E6E6"/>
            <w:vAlign w:val="center"/>
          </w:tcPr>
          <w:p w14:paraId="1278323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98%</w:t>
            </w:r>
          </w:p>
        </w:tc>
        <w:tc>
          <w:tcPr>
            <w:tcW w:w="1634" w:type="pct"/>
            <w:shd w:val="clear" w:color="auto" w:fill="E6E6E6"/>
            <w:vAlign w:val="center"/>
          </w:tcPr>
          <w:p w14:paraId="282C330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13,310</w:t>
            </w:r>
          </w:p>
        </w:tc>
      </w:tr>
      <w:tr w:rsidR="00591820" w:rsidRPr="00445472" w14:paraId="6D9306C4" w14:textId="77777777" w:rsidTr="00166DBF">
        <w:trPr>
          <w:trHeight w:val="340"/>
        </w:trPr>
        <w:tc>
          <w:tcPr>
            <w:tcW w:w="1328" w:type="pct"/>
            <w:vAlign w:val="center"/>
          </w:tcPr>
          <w:p w14:paraId="2476C2CE" w14:textId="2B53CFA5"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UK </w:t>
            </w:r>
            <w:r w:rsidR="00D67757" w:rsidRPr="00445472">
              <w:rPr>
                <w:rFonts w:ascii="Garamond" w:eastAsia="MS Mincho" w:hAnsi="Garamond" w:cs="Arial"/>
                <w:sz w:val="18"/>
                <w:szCs w:val="18"/>
              </w:rPr>
              <w:t>sh.a.</w:t>
            </w:r>
          </w:p>
        </w:tc>
        <w:tc>
          <w:tcPr>
            <w:tcW w:w="1296" w:type="pct"/>
            <w:vAlign w:val="center"/>
          </w:tcPr>
          <w:p w14:paraId="7B1C116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89,267</w:t>
            </w:r>
          </w:p>
        </w:tc>
        <w:tc>
          <w:tcPr>
            <w:tcW w:w="742" w:type="pct"/>
            <w:vAlign w:val="center"/>
          </w:tcPr>
          <w:p w14:paraId="7ED4A1F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74%</w:t>
            </w:r>
          </w:p>
        </w:tc>
        <w:tc>
          <w:tcPr>
            <w:tcW w:w="1634" w:type="pct"/>
            <w:vAlign w:val="center"/>
          </w:tcPr>
          <w:p w14:paraId="3E55686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25,156</w:t>
            </w:r>
          </w:p>
        </w:tc>
      </w:tr>
      <w:tr w:rsidR="00591820" w:rsidRPr="00445472" w14:paraId="3AB7709C" w14:textId="77777777" w:rsidTr="00166DBF">
        <w:trPr>
          <w:trHeight w:val="340"/>
        </w:trPr>
        <w:tc>
          <w:tcPr>
            <w:tcW w:w="1328" w:type="pct"/>
            <w:shd w:val="clear" w:color="auto" w:fill="E6E6E6"/>
            <w:vAlign w:val="center"/>
          </w:tcPr>
          <w:p w14:paraId="3C7774C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Pukë fshat</w:t>
            </w:r>
          </w:p>
        </w:tc>
        <w:tc>
          <w:tcPr>
            <w:tcW w:w="1296" w:type="pct"/>
            <w:shd w:val="clear" w:color="auto" w:fill="E6E6E6"/>
            <w:vAlign w:val="center"/>
          </w:tcPr>
          <w:p w14:paraId="4DC6EB2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2,347</w:t>
            </w:r>
          </w:p>
        </w:tc>
        <w:tc>
          <w:tcPr>
            <w:tcW w:w="742" w:type="pct"/>
            <w:shd w:val="clear" w:color="auto" w:fill="E6E6E6"/>
            <w:vAlign w:val="center"/>
          </w:tcPr>
          <w:p w14:paraId="6338053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w:t>
            </w:r>
          </w:p>
        </w:tc>
        <w:tc>
          <w:tcPr>
            <w:tcW w:w="1634" w:type="pct"/>
            <w:shd w:val="clear" w:color="auto" w:fill="E6E6E6"/>
            <w:vAlign w:val="center"/>
          </w:tcPr>
          <w:p w14:paraId="772DFFB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500</w:t>
            </w:r>
          </w:p>
        </w:tc>
      </w:tr>
      <w:tr w:rsidR="00591820" w:rsidRPr="00445472" w14:paraId="152F0384" w14:textId="77777777" w:rsidTr="00166DBF">
        <w:trPr>
          <w:trHeight w:val="340"/>
        </w:trPr>
        <w:tc>
          <w:tcPr>
            <w:tcW w:w="1328" w:type="pct"/>
            <w:vAlign w:val="center"/>
          </w:tcPr>
          <w:p w14:paraId="2A67F0CE" w14:textId="28B7B97E"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(F) U </w:t>
            </w:r>
            <w:r w:rsidR="00D67757" w:rsidRPr="00445472">
              <w:rPr>
                <w:rFonts w:ascii="Garamond" w:eastAsia="MS Mincho" w:hAnsi="Garamond" w:cs="Arial"/>
                <w:sz w:val="18"/>
                <w:szCs w:val="18"/>
              </w:rPr>
              <w:t>sh.a.</w:t>
            </w:r>
          </w:p>
        </w:tc>
        <w:tc>
          <w:tcPr>
            <w:tcW w:w="1296" w:type="pct"/>
            <w:vAlign w:val="center"/>
          </w:tcPr>
          <w:p w14:paraId="708DEA6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23,364</w:t>
            </w:r>
          </w:p>
        </w:tc>
        <w:tc>
          <w:tcPr>
            <w:tcW w:w="742" w:type="pct"/>
            <w:vAlign w:val="center"/>
          </w:tcPr>
          <w:p w14:paraId="0F66238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w:t>
            </w:r>
          </w:p>
        </w:tc>
        <w:tc>
          <w:tcPr>
            <w:tcW w:w="1634" w:type="pct"/>
            <w:vAlign w:val="center"/>
          </w:tcPr>
          <w:p w14:paraId="5C6E794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5,705</w:t>
            </w:r>
          </w:p>
        </w:tc>
      </w:tr>
      <w:tr w:rsidR="00591820" w:rsidRPr="00445472" w14:paraId="762E76BA" w14:textId="77777777" w:rsidTr="00166DBF">
        <w:trPr>
          <w:trHeight w:val="340"/>
        </w:trPr>
        <w:tc>
          <w:tcPr>
            <w:tcW w:w="1328" w:type="pct"/>
            <w:shd w:val="clear" w:color="auto" w:fill="E6E6E6"/>
            <w:vAlign w:val="center"/>
          </w:tcPr>
          <w:p w14:paraId="47A6A250" w14:textId="27506BE7" w:rsidR="00591820" w:rsidRPr="00445472" w:rsidRDefault="00D67757"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Fushë-Arrëz </w:t>
            </w:r>
            <w:r w:rsidR="00591820" w:rsidRPr="00445472">
              <w:rPr>
                <w:rFonts w:ascii="Garamond" w:eastAsia="MS Mincho" w:hAnsi="Garamond" w:cs="Arial"/>
                <w:sz w:val="18"/>
                <w:szCs w:val="18"/>
              </w:rPr>
              <w:t xml:space="preserve"> UK </w:t>
            </w:r>
            <w:r w:rsidRPr="00445472">
              <w:rPr>
                <w:rFonts w:ascii="Garamond" w:eastAsia="MS Mincho" w:hAnsi="Garamond" w:cs="Arial"/>
                <w:sz w:val="18"/>
                <w:szCs w:val="18"/>
              </w:rPr>
              <w:t>sh.a.</w:t>
            </w:r>
          </w:p>
        </w:tc>
        <w:tc>
          <w:tcPr>
            <w:tcW w:w="1296" w:type="pct"/>
            <w:shd w:val="clear" w:color="auto" w:fill="E6E6E6"/>
            <w:vAlign w:val="center"/>
          </w:tcPr>
          <w:p w14:paraId="5EADBC3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1,882</w:t>
            </w:r>
          </w:p>
        </w:tc>
        <w:tc>
          <w:tcPr>
            <w:tcW w:w="742" w:type="pct"/>
            <w:shd w:val="clear" w:color="auto" w:fill="E6E6E6"/>
            <w:vAlign w:val="center"/>
          </w:tcPr>
          <w:p w14:paraId="4A1A6C1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39%</w:t>
            </w:r>
          </w:p>
        </w:tc>
        <w:tc>
          <w:tcPr>
            <w:tcW w:w="1634" w:type="pct"/>
            <w:shd w:val="clear" w:color="auto" w:fill="E6E6E6"/>
            <w:vAlign w:val="center"/>
          </w:tcPr>
          <w:p w14:paraId="72B072B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529</w:t>
            </w:r>
          </w:p>
        </w:tc>
      </w:tr>
      <w:tr w:rsidR="00591820" w:rsidRPr="00445472" w14:paraId="56D80AA3" w14:textId="77777777" w:rsidTr="00166DBF">
        <w:trPr>
          <w:trHeight w:val="340"/>
        </w:trPr>
        <w:tc>
          <w:tcPr>
            <w:tcW w:w="1328" w:type="pct"/>
            <w:vAlign w:val="center"/>
          </w:tcPr>
          <w:p w14:paraId="6F8DB514" w14:textId="4DB9420C"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Librazhd UK </w:t>
            </w:r>
            <w:r w:rsidR="00D67757" w:rsidRPr="00445472">
              <w:rPr>
                <w:rFonts w:ascii="Garamond" w:eastAsia="MS Mincho" w:hAnsi="Garamond" w:cs="Arial"/>
                <w:sz w:val="18"/>
                <w:szCs w:val="18"/>
              </w:rPr>
              <w:t>sh.a.</w:t>
            </w:r>
          </w:p>
        </w:tc>
        <w:tc>
          <w:tcPr>
            <w:tcW w:w="1296" w:type="pct"/>
            <w:vAlign w:val="center"/>
          </w:tcPr>
          <w:p w14:paraId="2A68B5A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18,370</w:t>
            </w:r>
          </w:p>
        </w:tc>
        <w:tc>
          <w:tcPr>
            <w:tcW w:w="742" w:type="pct"/>
            <w:vAlign w:val="center"/>
          </w:tcPr>
          <w:p w14:paraId="0E0E9FF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96%</w:t>
            </w:r>
          </w:p>
        </w:tc>
        <w:tc>
          <w:tcPr>
            <w:tcW w:w="1634" w:type="pct"/>
            <w:vAlign w:val="center"/>
          </w:tcPr>
          <w:p w14:paraId="621B92B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4,314</w:t>
            </w:r>
          </w:p>
        </w:tc>
      </w:tr>
      <w:tr w:rsidR="00591820" w:rsidRPr="00445472" w14:paraId="04D779EF" w14:textId="77777777" w:rsidTr="00166DBF">
        <w:trPr>
          <w:trHeight w:val="340"/>
        </w:trPr>
        <w:tc>
          <w:tcPr>
            <w:tcW w:w="1328" w:type="pct"/>
            <w:shd w:val="clear" w:color="auto" w:fill="E6E6E6"/>
            <w:vAlign w:val="center"/>
          </w:tcPr>
          <w:p w14:paraId="391CE3BC" w14:textId="11C500B8"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Peshkopi U </w:t>
            </w:r>
            <w:r w:rsidR="00D67757" w:rsidRPr="00445472">
              <w:rPr>
                <w:rFonts w:ascii="Garamond" w:eastAsia="MS Mincho" w:hAnsi="Garamond" w:cs="Arial"/>
                <w:sz w:val="18"/>
                <w:szCs w:val="18"/>
              </w:rPr>
              <w:t>sh.a.</w:t>
            </w:r>
          </w:p>
        </w:tc>
        <w:tc>
          <w:tcPr>
            <w:tcW w:w="1296" w:type="pct"/>
            <w:shd w:val="clear" w:color="auto" w:fill="E6E6E6"/>
            <w:vAlign w:val="center"/>
          </w:tcPr>
          <w:p w14:paraId="245978F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30,963</w:t>
            </w:r>
          </w:p>
        </w:tc>
        <w:tc>
          <w:tcPr>
            <w:tcW w:w="742" w:type="pct"/>
            <w:shd w:val="clear" w:color="auto" w:fill="E6E6E6"/>
            <w:vAlign w:val="center"/>
          </w:tcPr>
          <w:p w14:paraId="178180A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100%</w:t>
            </w:r>
          </w:p>
        </w:tc>
        <w:tc>
          <w:tcPr>
            <w:tcW w:w="1634" w:type="pct"/>
            <w:shd w:val="clear" w:color="auto" w:fill="E6E6E6"/>
            <w:vAlign w:val="center"/>
          </w:tcPr>
          <w:p w14:paraId="5E307A7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2,952</w:t>
            </w:r>
          </w:p>
        </w:tc>
      </w:tr>
      <w:tr w:rsidR="00591820" w:rsidRPr="00445472" w14:paraId="35C0BAC2" w14:textId="77777777" w:rsidTr="00166DBF">
        <w:trPr>
          <w:trHeight w:val="340"/>
        </w:trPr>
        <w:tc>
          <w:tcPr>
            <w:tcW w:w="1328" w:type="pct"/>
            <w:vAlign w:val="center"/>
          </w:tcPr>
          <w:p w14:paraId="596D709B" w14:textId="073184EC"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Bulqizë U </w:t>
            </w:r>
            <w:r w:rsidR="00D67757" w:rsidRPr="00445472">
              <w:rPr>
                <w:rFonts w:ascii="Garamond" w:eastAsia="MS Mincho" w:hAnsi="Garamond" w:cs="Arial"/>
                <w:sz w:val="18"/>
                <w:szCs w:val="18"/>
              </w:rPr>
              <w:t>sh.a.</w:t>
            </w:r>
          </w:p>
        </w:tc>
        <w:tc>
          <w:tcPr>
            <w:tcW w:w="1296" w:type="pct"/>
            <w:vAlign w:val="center"/>
          </w:tcPr>
          <w:p w14:paraId="5685DFA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12,104</w:t>
            </w:r>
          </w:p>
        </w:tc>
        <w:tc>
          <w:tcPr>
            <w:tcW w:w="742" w:type="pct"/>
            <w:vAlign w:val="center"/>
          </w:tcPr>
          <w:p w14:paraId="68E1A80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76%</w:t>
            </w:r>
          </w:p>
        </w:tc>
        <w:tc>
          <w:tcPr>
            <w:tcW w:w="1634" w:type="pct"/>
            <w:vAlign w:val="center"/>
          </w:tcPr>
          <w:p w14:paraId="33F76A9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2,477</w:t>
            </w:r>
          </w:p>
        </w:tc>
      </w:tr>
      <w:tr w:rsidR="00591820" w:rsidRPr="00445472" w14:paraId="6E0EA033" w14:textId="77777777" w:rsidTr="00166DBF">
        <w:trPr>
          <w:trHeight w:val="340"/>
        </w:trPr>
        <w:tc>
          <w:tcPr>
            <w:tcW w:w="1328" w:type="pct"/>
            <w:shd w:val="clear" w:color="auto" w:fill="E6E6E6"/>
            <w:vAlign w:val="center"/>
          </w:tcPr>
          <w:p w14:paraId="3DC97C25" w14:textId="3A631BE2"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Has U </w:t>
            </w:r>
            <w:r w:rsidR="00D67757" w:rsidRPr="00445472">
              <w:rPr>
                <w:rFonts w:ascii="Garamond" w:eastAsia="MS Mincho" w:hAnsi="Garamond" w:cs="Arial"/>
                <w:sz w:val="18"/>
                <w:szCs w:val="18"/>
              </w:rPr>
              <w:t>sh.a.</w:t>
            </w:r>
          </w:p>
        </w:tc>
        <w:tc>
          <w:tcPr>
            <w:tcW w:w="1296" w:type="pct"/>
            <w:shd w:val="clear" w:color="auto" w:fill="E6E6E6"/>
            <w:vAlign w:val="center"/>
          </w:tcPr>
          <w:p w14:paraId="75AC5ED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8,606</w:t>
            </w:r>
          </w:p>
        </w:tc>
        <w:tc>
          <w:tcPr>
            <w:tcW w:w="742" w:type="pct"/>
            <w:shd w:val="clear" w:color="auto" w:fill="E6E6E6"/>
            <w:vAlign w:val="center"/>
          </w:tcPr>
          <w:p w14:paraId="70BF88A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64%</w:t>
            </w:r>
          </w:p>
        </w:tc>
        <w:tc>
          <w:tcPr>
            <w:tcW w:w="1634" w:type="pct"/>
            <w:shd w:val="clear" w:color="auto" w:fill="E6E6E6"/>
            <w:vAlign w:val="center"/>
          </w:tcPr>
          <w:p w14:paraId="7EE9E54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1,215</w:t>
            </w:r>
          </w:p>
        </w:tc>
      </w:tr>
      <w:tr w:rsidR="00591820" w:rsidRPr="00445472" w14:paraId="72295AEA" w14:textId="77777777" w:rsidTr="00166DBF">
        <w:trPr>
          <w:trHeight w:val="340"/>
        </w:trPr>
        <w:tc>
          <w:tcPr>
            <w:tcW w:w="1328" w:type="pct"/>
            <w:vAlign w:val="center"/>
          </w:tcPr>
          <w:p w14:paraId="4224ADA7" w14:textId="54AAE013"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Kukës UK </w:t>
            </w:r>
            <w:r w:rsidR="00D67757" w:rsidRPr="00445472">
              <w:rPr>
                <w:rFonts w:ascii="Garamond" w:eastAsia="MS Mincho" w:hAnsi="Garamond" w:cs="Arial"/>
                <w:sz w:val="18"/>
                <w:szCs w:val="18"/>
              </w:rPr>
              <w:t>sh.a.</w:t>
            </w:r>
          </w:p>
        </w:tc>
        <w:tc>
          <w:tcPr>
            <w:tcW w:w="1296" w:type="pct"/>
            <w:vAlign w:val="center"/>
          </w:tcPr>
          <w:p w14:paraId="1426B38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39,952</w:t>
            </w:r>
          </w:p>
        </w:tc>
        <w:tc>
          <w:tcPr>
            <w:tcW w:w="742" w:type="pct"/>
            <w:vAlign w:val="center"/>
          </w:tcPr>
          <w:p w14:paraId="2BC18C3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100%</w:t>
            </w:r>
          </w:p>
        </w:tc>
        <w:tc>
          <w:tcPr>
            <w:tcW w:w="1634" w:type="pct"/>
            <w:vAlign w:val="center"/>
          </w:tcPr>
          <w:p w14:paraId="3B2E16B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4,588</w:t>
            </w:r>
          </w:p>
        </w:tc>
      </w:tr>
    </w:tbl>
    <w:p w14:paraId="3791C250" w14:textId="77777777" w:rsidR="00591820" w:rsidRPr="00445472" w:rsidRDefault="00591820" w:rsidP="00166DBF">
      <w:pPr>
        <w:pStyle w:val="TEKSTIIII"/>
      </w:pPr>
    </w:p>
    <w:p w14:paraId="00BCE344" w14:textId="1A7F604A" w:rsidR="00591820" w:rsidRPr="00445472" w:rsidRDefault="00591820" w:rsidP="00166DBF">
      <w:pPr>
        <w:pStyle w:val="NENTITULL"/>
        <w:rPr>
          <w:sz w:val="14"/>
        </w:rPr>
      </w:pPr>
      <w:r w:rsidRPr="00445472">
        <w:t xml:space="preserve">Tabela 11.14: Përdoruesit industrial, komercialë dhe institucionalë të ujit në Basenin Ujor </w:t>
      </w:r>
      <w:r w:rsidR="007E76E3" w:rsidRPr="00445472">
        <w:t>Drin–Bunë</w:t>
      </w:r>
      <w:r w:rsidRPr="00445472">
        <w:t xml:space="preserve"> 2015</w:t>
      </w:r>
    </w:p>
    <w:tbl>
      <w:tblPr>
        <w:tblW w:w="9480" w:type="dxa"/>
        <w:tblInd w:w="150" w:type="dxa"/>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1827"/>
        <w:gridCol w:w="2250"/>
        <w:gridCol w:w="1998"/>
        <w:gridCol w:w="1704"/>
        <w:gridCol w:w="1701"/>
      </w:tblGrid>
      <w:tr w:rsidR="00591820" w:rsidRPr="00445472" w14:paraId="06D97579" w14:textId="77777777" w:rsidTr="002A1F08">
        <w:trPr>
          <w:trHeight w:val="20"/>
          <w:tblHeader/>
        </w:trPr>
        <w:tc>
          <w:tcPr>
            <w:tcW w:w="1827" w:type="dxa"/>
            <w:tcBorders>
              <w:bottom w:val="single" w:sz="6" w:space="0" w:color="27B0AF"/>
            </w:tcBorders>
            <w:shd w:val="clear" w:color="auto" w:fill="auto"/>
            <w:vAlign w:val="center"/>
          </w:tcPr>
          <w:p w14:paraId="69675F4C" w14:textId="77777777" w:rsidR="00591820" w:rsidRPr="00445472" w:rsidRDefault="00591820" w:rsidP="002A1F08">
            <w:pPr>
              <w:spacing w:before="22" w:after="22" w:line="240" w:lineRule="auto"/>
              <w:ind w:right="63"/>
              <w:jc w:val="center"/>
              <w:rPr>
                <w:rFonts w:ascii="Garamond" w:eastAsia="MS Mincho" w:hAnsi="Garamond" w:cs="Arial"/>
                <w:sz w:val="18"/>
                <w:szCs w:val="18"/>
              </w:rPr>
            </w:pPr>
          </w:p>
        </w:tc>
        <w:tc>
          <w:tcPr>
            <w:tcW w:w="2250" w:type="dxa"/>
            <w:tcBorders>
              <w:bottom w:val="single" w:sz="6" w:space="0" w:color="27B0AF"/>
            </w:tcBorders>
            <w:shd w:val="clear" w:color="auto" w:fill="auto"/>
            <w:vAlign w:val="center"/>
          </w:tcPr>
          <w:p w14:paraId="3DBFDE46"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b/>
                <w:sz w:val="18"/>
                <w:szCs w:val="18"/>
              </w:rPr>
              <w:t>Lidhjet Industriale dhe Komerciale të Ujit</w:t>
            </w:r>
          </w:p>
        </w:tc>
        <w:tc>
          <w:tcPr>
            <w:tcW w:w="0" w:type="auto"/>
            <w:tcBorders>
              <w:bottom w:val="single" w:sz="6" w:space="0" w:color="27B0AF"/>
            </w:tcBorders>
            <w:shd w:val="clear" w:color="auto" w:fill="auto"/>
            <w:vAlign w:val="center"/>
          </w:tcPr>
          <w:p w14:paraId="04BEE572"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b/>
                <w:sz w:val="18"/>
                <w:szCs w:val="18"/>
              </w:rPr>
              <w:t>Lidhjet Institucionale të Ujit</w:t>
            </w:r>
          </w:p>
        </w:tc>
        <w:tc>
          <w:tcPr>
            <w:tcW w:w="1704" w:type="dxa"/>
            <w:tcBorders>
              <w:bottom w:val="single" w:sz="6" w:space="0" w:color="27B0AF"/>
            </w:tcBorders>
            <w:shd w:val="clear" w:color="auto" w:fill="auto"/>
            <w:vAlign w:val="center"/>
          </w:tcPr>
          <w:p w14:paraId="2A74FADE"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b/>
                <w:sz w:val="18"/>
                <w:szCs w:val="18"/>
              </w:rPr>
              <w:t>Lidhjet Industriale dhe Komerciale të Kanalizimeve</w:t>
            </w:r>
          </w:p>
        </w:tc>
        <w:tc>
          <w:tcPr>
            <w:tcW w:w="1701" w:type="dxa"/>
            <w:tcBorders>
              <w:bottom w:val="single" w:sz="6" w:space="0" w:color="27B0AF"/>
            </w:tcBorders>
            <w:shd w:val="clear" w:color="auto" w:fill="auto"/>
            <w:vAlign w:val="center"/>
          </w:tcPr>
          <w:p w14:paraId="64C8CFD1"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b/>
                <w:sz w:val="18"/>
                <w:szCs w:val="18"/>
              </w:rPr>
              <w:t>Lidhjet Institucionale të Kanalizimeve</w:t>
            </w:r>
          </w:p>
        </w:tc>
      </w:tr>
      <w:tr w:rsidR="00591820" w:rsidRPr="00445472" w14:paraId="0D75B7EE" w14:textId="77777777" w:rsidTr="002A1F08">
        <w:trPr>
          <w:trHeight w:val="20"/>
        </w:trPr>
        <w:tc>
          <w:tcPr>
            <w:tcW w:w="1827" w:type="dxa"/>
            <w:shd w:val="clear" w:color="auto" w:fill="D4D4D4"/>
            <w:vAlign w:val="center"/>
          </w:tcPr>
          <w:p w14:paraId="5F7C4FB0"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Bashkia Pukë UK</w:t>
            </w:r>
          </w:p>
        </w:tc>
        <w:tc>
          <w:tcPr>
            <w:tcW w:w="2250" w:type="dxa"/>
            <w:shd w:val="clear" w:color="auto" w:fill="D4D4D4"/>
            <w:vAlign w:val="center"/>
          </w:tcPr>
          <w:p w14:paraId="3F09FDA3"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163</w:t>
            </w:r>
          </w:p>
        </w:tc>
        <w:tc>
          <w:tcPr>
            <w:tcW w:w="0" w:type="auto"/>
            <w:shd w:val="clear" w:color="auto" w:fill="D4D4D4"/>
            <w:vAlign w:val="center"/>
          </w:tcPr>
          <w:p w14:paraId="7D5422DD"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40</w:t>
            </w:r>
          </w:p>
        </w:tc>
        <w:tc>
          <w:tcPr>
            <w:tcW w:w="1704" w:type="dxa"/>
            <w:shd w:val="clear" w:color="auto" w:fill="D4D4D4"/>
            <w:vAlign w:val="center"/>
          </w:tcPr>
          <w:p w14:paraId="1FCA7185"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163</w:t>
            </w:r>
          </w:p>
        </w:tc>
        <w:tc>
          <w:tcPr>
            <w:tcW w:w="1701" w:type="dxa"/>
            <w:shd w:val="clear" w:color="auto" w:fill="D4D4D4"/>
            <w:vAlign w:val="center"/>
          </w:tcPr>
          <w:p w14:paraId="3471D143"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40</w:t>
            </w:r>
          </w:p>
        </w:tc>
      </w:tr>
      <w:tr w:rsidR="00591820" w:rsidRPr="00445472" w14:paraId="04DEE1B1" w14:textId="77777777" w:rsidTr="002A1F08">
        <w:trPr>
          <w:trHeight w:val="20"/>
        </w:trPr>
        <w:tc>
          <w:tcPr>
            <w:tcW w:w="1827" w:type="dxa"/>
            <w:tcBorders>
              <w:bottom w:val="single" w:sz="6" w:space="0" w:color="27B0AF"/>
            </w:tcBorders>
            <w:shd w:val="clear" w:color="auto" w:fill="auto"/>
            <w:vAlign w:val="center"/>
          </w:tcPr>
          <w:p w14:paraId="781DEEF6" w14:textId="7D80A2F1" w:rsidR="00591820" w:rsidRPr="00445472" w:rsidRDefault="00D67757"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 xml:space="preserve">Vau i Dejës </w:t>
            </w:r>
            <w:r w:rsidR="00591820" w:rsidRPr="00445472">
              <w:rPr>
                <w:rFonts w:ascii="Garamond" w:eastAsia="MS Mincho" w:hAnsi="Garamond" w:cs="Arial"/>
                <w:sz w:val="18"/>
                <w:szCs w:val="18"/>
              </w:rPr>
              <w:t xml:space="preserve"> U </w:t>
            </w:r>
            <w:r w:rsidRPr="00445472">
              <w:rPr>
                <w:rFonts w:ascii="Garamond" w:eastAsia="MS Mincho" w:hAnsi="Garamond" w:cs="Arial"/>
                <w:sz w:val="18"/>
                <w:szCs w:val="18"/>
              </w:rPr>
              <w:t>sh.a.</w:t>
            </w:r>
          </w:p>
        </w:tc>
        <w:tc>
          <w:tcPr>
            <w:tcW w:w="2250" w:type="dxa"/>
            <w:tcBorders>
              <w:bottom w:val="single" w:sz="6" w:space="0" w:color="27B0AF"/>
            </w:tcBorders>
            <w:shd w:val="clear" w:color="auto" w:fill="auto"/>
            <w:vAlign w:val="center"/>
          </w:tcPr>
          <w:p w14:paraId="2F655AD7"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76</w:t>
            </w:r>
          </w:p>
        </w:tc>
        <w:tc>
          <w:tcPr>
            <w:tcW w:w="0" w:type="auto"/>
            <w:tcBorders>
              <w:bottom w:val="single" w:sz="6" w:space="0" w:color="27B0AF"/>
            </w:tcBorders>
            <w:shd w:val="clear" w:color="auto" w:fill="auto"/>
            <w:vAlign w:val="center"/>
          </w:tcPr>
          <w:p w14:paraId="5E5AAD2A"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9"/>
                <w:sz w:val="18"/>
                <w:szCs w:val="18"/>
              </w:rPr>
              <w:t>7</w:t>
            </w:r>
          </w:p>
        </w:tc>
        <w:tc>
          <w:tcPr>
            <w:tcW w:w="1704" w:type="dxa"/>
            <w:tcBorders>
              <w:bottom w:val="single" w:sz="6" w:space="0" w:color="27B0AF"/>
            </w:tcBorders>
            <w:shd w:val="clear" w:color="auto" w:fill="auto"/>
            <w:vAlign w:val="center"/>
          </w:tcPr>
          <w:p w14:paraId="57B213E6" w14:textId="77777777" w:rsidR="00591820" w:rsidRPr="00445472" w:rsidRDefault="00591820" w:rsidP="002A1F08">
            <w:pPr>
              <w:spacing w:before="22" w:after="22" w:line="240" w:lineRule="auto"/>
              <w:ind w:right="63"/>
              <w:jc w:val="center"/>
              <w:rPr>
                <w:rFonts w:ascii="Garamond" w:eastAsia="MS Mincho" w:hAnsi="Garamond" w:cs="Arial"/>
                <w:sz w:val="18"/>
                <w:szCs w:val="18"/>
              </w:rPr>
            </w:pPr>
          </w:p>
        </w:tc>
        <w:tc>
          <w:tcPr>
            <w:tcW w:w="1701" w:type="dxa"/>
            <w:tcBorders>
              <w:bottom w:val="single" w:sz="6" w:space="0" w:color="27B0AF"/>
            </w:tcBorders>
            <w:shd w:val="clear" w:color="auto" w:fill="auto"/>
            <w:vAlign w:val="center"/>
          </w:tcPr>
          <w:p w14:paraId="65B2511E" w14:textId="77777777" w:rsidR="00591820" w:rsidRPr="00445472" w:rsidRDefault="00591820" w:rsidP="002A1F08">
            <w:pPr>
              <w:spacing w:before="22" w:after="22" w:line="240" w:lineRule="auto"/>
              <w:ind w:right="63"/>
              <w:jc w:val="center"/>
              <w:rPr>
                <w:rFonts w:ascii="Garamond" w:eastAsia="MS Mincho" w:hAnsi="Garamond" w:cs="Arial"/>
                <w:sz w:val="18"/>
                <w:szCs w:val="18"/>
              </w:rPr>
            </w:pPr>
          </w:p>
        </w:tc>
      </w:tr>
      <w:tr w:rsidR="00591820" w:rsidRPr="00445472" w14:paraId="594381B8" w14:textId="77777777" w:rsidTr="002A1F08">
        <w:trPr>
          <w:trHeight w:val="20"/>
        </w:trPr>
        <w:tc>
          <w:tcPr>
            <w:tcW w:w="1827" w:type="dxa"/>
            <w:tcBorders>
              <w:bottom w:val="single" w:sz="6" w:space="0" w:color="27B0AF"/>
            </w:tcBorders>
            <w:shd w:val="clear" w:color="auto" w:fill="D4D4D4"/>
            <w:vAlign w:val="center"/>
          </w:tcPr>
          <w:p w14:paraId="7584E517" w14:textId="77646575"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 xml:space="preserve">Tropojë U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D4D4D4"/>
            <w:vAlign w:val="center"/>
          </w:tcPr>
          <w:p w14:paraId="0655A07D"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147</w:t>
            </w:r>
          </w:p>
        </w:tc>
        <w:tc>
          <w:tcPr>
            <w:tcW w:w="0" w:type="auto"/>
            <w:tcBorders>
              <w:bottom w:val="single" w:sz="6" w:space="0" w:color="27B0AF"/>
            </w:tcBorders>
            <w:shd w:val="clear" w:color="auto" w:fill="D4D4D4"/>
            <w:vAlign w:val="center"/>
          </w:tcPr>
          <w:p w14:paraId="1DFA9C13"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19</w:t>
            </w:r>
          </w:p>
        </w:tc>
        <w:tc>
          <w:tcPr>
            <w:tcW w:w="1704" w:type="dxa"/>
            <w:tcBorders>
              <w:bottom w:val="single" w:sz="6" w:space="0" w:color="27B0AF"/>
            </w:tcBorders>
            <w:shd w:val="clear" w:color="auto" w:fill="D4D4D4"/>
            <w:vAlign w:val="center"/>
          </w:tcPr>
          <w:p w14:paraId="32425560" w14:textId="77777777" w:rsidR="00591820" w:rsidRPr="00445472" w:rsidRDefault="00591820" w:rsidP="002A1F08">
            <w:pPr>
              <w:spacing w:before="22" w:after="22" w:line="240" w:lineRule="auto"/>
              <w:ind w:right="63"/>
              <w:jc w:val="center"/>
              <w:rPr>
                <w:rFonts w:ascii="Garamond" w:eastAsia="MS Mincho" w:hAnsi="Garamond" w:cs="Arial"/>
                <w:sz w:val="18"/>
                <w:szCs w:val="18"/>
              </w:rPr>
            </w:pPr>
          </w:p>
        </w:tc>
        <w:tc>
          <w:tcPr>
            <w:tcW w:w="1701" w:type="dxa"/>
            <w:tcBorders>
              <w:bottom w:val="single" w:sz="6" w:space="0" w:color="27B0AF"/>
            </w:tcBorders>
            <w:shd w:val="clear" w:color="auto" w:fill="D4D4D4"/>
            <w:vAlign w:val="center"/>
          </w:tcPr>
          <w:p w14:paraId="35D220DD" w14:textId="77777777" w:rsidR="00591820" w:rsidRPr="00445472" w:rsidRDefault="00591820" w:rsidP="002A1F08">
            <w:pPr>
              <w:spacing w:before="22" w:after="22" w:line="240" w:lineRule="auto"/>
              <w:ind w:right="63"/>
              <w:jc w:val="center"/>
              <w:rPr>
                <w:rFonts w:ascii="Garamond" w:eastAsia="MS Mincho" w:hAnsi="Garamond" w:cs="Arial"/>
                <w:sz w:val="18"/>
                <w:szCs w:val="18"/>
              </w:rPr>
            </w:pPr>
          </w:p>
        </w:tc>
      </w:tr>
      <w:tr w:rsidR="00591820" w:rsidRPr="00445472" w14:paraId="166A7531" w14:textId="77777777" w:rsidTr="002A1F08">
        <w:trPr>
          <w:trHeight w:val="20"/>
        </w:trPr>
        <w:tc>
          <w:tcPr>
            <w:tcW w:w="1827" w:type="dxa"/>
            <w:tcBorders>
              <w:bottom w:val="single" w:sz="6" w:space="0" w:color="27B0AF"/>
            </w:tcBorders>
            <w:shd w:val="clear" w:color="auto" w:fill="auto"/>
            <w:vAlign w:val="center"/>
          </w:tcPr>
          <w:p w14:paraId="0DD45BF8" w14:textId="61953270"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 xml:space="preserve">Lezhë UK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auto"/>
            <w:vAlign w:val="center"/>
          </w:tcPr>
          <w:p w14:paraId="26D8F0B1"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755</w:t>
            </w:r>
          </w:p>
        </w:tc>
        <w:tc>
          <w:tcPr>
            <w:tcW w:w="0" w:type="auto"/>
            <w:tcBorders>
              <w:bottom w:val="single" w:sz="6" w:space="0" w:color="27B0AF"/>
            </w:tcBorders>
            <w:shd w:val="clear" w:color="auto" w:fill="auto"/>
            <w:vAlign w:val="center"/>
          </w:tcPr>
          <w:p w14:paraId="6B968798"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35</w:t>
            </w:r>
          </w:p>
        </w:tc>
        <w:tc>
          <w:tcPr>
            <w:tcW w:w="1704" w:type="dxa"/>
            <w:tcBorders>
              <w:bottom w:val="single" w:sz="6" w:space="0" w:color="27B0AF"/>
            </w:tcBorders>
            <w:shd w:val="clear" w:color="auto" w:fill="auto"/>
            <w:vAlign w:val="center"/>
          </w:tcPr>
          <w:p w14:paraId="08DCD57F"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755</w:t>
            </w:r>
          </w:p>
        </w:tc>
        <w:tc>
          <w:tcPr>
            <w:tcW w:w="1701" w:type="dxa"/>
            <w:tcBorders>
              <w:bottom w:val="single" w:sz="6" w:space="0" w:color="27B0AF"/>
            </w:tcBorders>
            <w:shd w:val="clear" w:color="auto" w:fill="auto"/>
            <w:vAlign w:val="center"/>
          </w:tcPr>
          <w:p w14:paraId="1AF7259B"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35</w:t>
            </w:r>
          </w:p>
        </w:tc>
      </w:tr>
      <w:tr w:rsidR="00591820" w:rsidRPr="00445472" w14:paraId="74E3080E" w14:textId="77777777" w:rsidTr="002A1F08">
        <w:trPr>
          <w:trHeight w:val="20"/>
        </w:trPr>
        <w:tc>
          <w:tcPr>
            <w:tcW w:w="1827" w:type="dxa"/>
            <w:tcBorders>
              <w:bottom w:val="single" w:sz="6" w:space="0" w:color="27B0AF"/>
            </w:tcBorders>
            <w:shd w:val="clear" w:color="auto" w:fill="D4D4D4"/>
            <w:vAlign w:val="center"/>
          </w:tcPr>
          <w:p w14:paraId="0D1E9007" w14:textId="33BCD31F"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5"/>
                <w:sz w:val="18"/>
                <w:szCs w:val="18"/>
              </w:rPr>
              <w:t xml:space="preserve">Pogradec </w:t>
            </w:r>
            <w:r w:rsidRPr="00445472">
              <w:rPr>
                <w:rFonts w:ascii="Garamond" w:eastAsia="MS Mincho" w:hAnsi="Garamond" w:cs="Arial"/>
                <w:sz w:val="18"/>
                <w:szCs w:val="18"/>
              </w:rPr>
              <w:t xml:space="preserve">UK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D4D4D4"/>
            <w:vAlign w:val="center"/>
          </w:tcPr>
          <w:p w14:paraId="68880AFF"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959</w:t>
            </w:r>
          </w:p>
        </w:tc>
        <w:tc>
          <w:tcPr>
            <w:tcW w:w="0" w:type="auto"/>
            <w:tcBorders>
              <w:bottom w:val="single" w:sz="6" w:space="0" w:color="27B0AF"/>
            </w:tcBorders>
            <w:shd w:val="clear" w:color="auto" w:fill="D4D4D4"/>
            <w:vAlign w:val="center"/>
          </w:tcPr>
          <w:p w14:paraId="461ACA27"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76</w:t>
            </w:r>
          </w:p>
        </w:tc>
        <w:tc>
          <w:tcPr>
            <w:tcW w:w="1704" w:type="dxa"/>
            <w:tcBorders>
              <w:bottom w:val="single" w:sz="6" w:space="0" w:color="27B0AF"/>
            </w:tcBorders>
            <w:shd w:val="clear" w:color="auto" w:fill="D4D4D4"/>
            <w:vAlign w:val="center"/>
          </w:tcPr>
          <w:p w14:paraId="0CCA1B21"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762</w:t>
            </w:r>
          </w:p>
        </w:tc>
        <w:tc>
          <w:tcPr>
            <w:tcW w:w="1701" w:type="dxa"/>
            <w:tcBorders>
              <w:bottom w:val="single" w:sz="6" w:space="0" w:color="27B0AF"/>
            </w:tcBorders>
            <w:shd w:val="clear" w:color="auto" w:fill="D4D4D4"/>
            <w:vAlign w:val="center"/>
          </w:tcPr>
          <w:p w14:paraId="407F761D"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66</w:t>
            </w:r>
          </w:p>
        </w:tc>
      </w:tr>
      <w:tr w:rsidR="00591820" w:rsidRPr="00445472" w14:paraId="3DCF27D8" w14:textId="77777777" w:rsidTr="002A1F08">
        <w:trPr>
          <w:trHeight w:val="20"/>
        </w:trPr>
        <w:tc>
          <w:tcPr>
            <w:tcW w:w="1827" w:type="dxa"/>
            <w:tcBorders>
              <w:bottom w:val="single" w:sz="6" w:space="0" w:color="27B0AF"/>
            </w:tcBorders>
            <w:shd w:val="clear" w:color="auto" w:fill="auto"/>
            <w:vAlign w:val="center"/>
          </w:tcPr>
          <w:p w14:paraId="44B8F2E7" w14:textId="6DFC1D55"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UK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auto"/>
            <w:vAlign w:val="center"/>
          </w:tcPr>
          <w:p w14:paraId="064B5E77"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2,397</w:t>
            </w:r>
          </w:p>
        </w:tc>
        <w:tc>
          <w:tcPr>
            <w:tcW w:w="0" w:type="auto"/>
            <w:tcBorders>
              <w:bottom w:val="single" w:sz="6" w:space="0" w:color="27B0AF"/>
            </w:tcBorders>
            <w:shd w:val="clear" w:color="auto" w:fill="auto"/>
            <w:vAlign w:val="center"/>
          </w:tcPr>
          <w:p w14:paraId="1473A6D7"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155</w:t>
            </w:r>
          </w:p>
        </w:tc>
        <w:tc>
          <w:tcPr>
            <w:tcW w:w="1704" w:type="dxa"/>
            <w:tcBorders>
              <w:bottom w:val="single" w:sz="6" w:space="0" w:color="27B0AF"/>
            </w:tcBorders>
            <w:shd w:val="clear" w:color="auto" w:fill="auto"/>
            <w:vAlign w:val="center"/>
          </w:tcPr>
          <w:p w14:paraId="33D45502"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2,292</w:t>
            </w:r>
          </w:p>
        </w:tc>
        <w:tc>
          <w:tcPr>
            <w:tcW w:w="1701" w:type="dxa"/>
            <w:tcBorders>
              <w:bottom w:val="single" w:sz="6" w:space="0" w:color="27B0AF"/>
            </w:tcBorders>
            <w:shd w:val="clear" w:color="auto" w:fill="auto"/>
            <w:vAlign w:val="center"/>
          </w:tcPr>
          <w:p w14:paraId="73CDEB77"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143</w:t>
            </w:r>
          </w:p>
        </w:tc>
      </w:tr>
      <w:tr w:rsidR="00591820" w:rsidRPr="00445472" w14:paraId="441C800B" w14:textId="77777777" w:rsidTr="002A1F08">
        <w:trPr>
          <w:trHeight w:val="20"/>
        </w:trPr>
        <w:tc>
          <w:tcPr>
            <w:tcW w:w="1827" w:type="dxa"/>
            <w:tcBorders>
              <w:bottom w:val="single" w:sz="6" w:space="0" w:color="27B0AF"/>
            </w:tcBorders>
            <w:shd w:val="clear" w:color="auto" w:fill="D4D4D4"/>
            <w:vAlign w:val="center"/>
          </w:tcPr>
          <w:p w14:paraId="4F386DCC"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Puke fshat</w:t>
            </w:r>
          </w:p>
        </w:tc>
        <w:tc>
          <w:tcPr>
            <w:tcW w:w="2250" w:type="dxa"/>
            <w:tcBorders>
              <w:bottom w:val="single" w:sz="6" w:space="0" w:color="27B0AF"/>
            </w:tcBorders>
            <w:shd w:val="clear" w:color="auto" w:fill="D4D4D4"/>
            <w:vAlign w:val="center"/>
          </w:tcPr>
          <w:p w14:paraId="42D90D44"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15</w:t>
            </w:r>
          </w:p>
        </w:tc>
        <w:tc>
          <w:tcPr>
            <w:tcW w:w="0" w:type="auto"/>
            <w:tcBorders>
              <w:bottom w:val="single" w:sz="6" w:space="0" w:color="27B0AF"/>
            </w:tcBorders>
            <w:shd w:val="clear" w:color="auto" w:fill="D4D4D4"/>
            <w:vAlign w:val="center"/>
          </w:tcPr>
          <w:p w14:paraId="1BDEC199"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9"/>
                <w:sz w:val="18"/>
                <w:szCs w:val="18"/>
              </w:rPr>
              <w:t>8</w:t>
            </w:r>
          </w:p>
        </w:tc>
        <w:tc>
          <w:tcPr>
            <w:tcW w:w="1704" w:type="dxa"/>
            <w:tcBorders>
              <w:bottom w:val="single" w:sz="6" w:space="0" w:color="27B0AF"/>
            </w:tcBorders>
            <w:shd w:val="clear" w:color="auto" w:fill="D4D4D4"/>
            <w:vAlign w:val="center"/>
          </w:tcPr>
          <w:p w14:paraId="4BB5C088"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16</w:t>
            </w:r>
          </w:p>
        </w:tc>
        <w:tc>
          <w:tcPr>
            <w:tcW w:w="1701" w:type="dxa"/>
            <w:tcBorders>
              <w:bottom w:val="single" w:sz="6" w:space="0" w:color="27B0AF"/>
            </w:tcBorders>
            <w:shd w:val="clear" w:color="auto" w:fill="D4D4D4"/>
            <w:vAlign w:val="center"/>
          </w:tcPr>
          <w:p w14:paraId="16A7F2DB"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9"/>
                <w:sz w:val="18"/>
                <w:szCs w:val="18"/>
              </w:rPr>
              <w:t>8</w:t>
            </w:r>
          </w:p>
        </w:tc>
      </w:tr>
      <w:tr w:rsidR="00591820" w:rsidRPr="00445472" w14:paraId="3AEF65B0" w14:textId="77777777" w:rsidTr="002A1F08">
        <w:trPr>
          <w:trHeight w:val="20"/>
        </w:trPr>
        <w:tc>
          <w:tcPr>
            <w:tcW w:w="1827" w:type="dxa"/>
            <w:tcBorders>
              <w:bottom w:val="single" w:sz="6" w:space="0" w:color="27B0AF"/>
            </w:tcBorders>
            <w:shd w:val="clear" w:color="auto" w:fill="auto"/>
            <w:vAlign w:val="center"/>
          </w:tcPr>
          <w:p w14:paraId="14690096"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Shkodër</w:t>
            </w:r>
          </w:p>
          <w:p w14:paraId="1B484520" w14:textId="7BFE343F"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 xml:space="preserve">(F) U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auto"/>
            <w:vAlign w:val="center"/>
          </w:tcPr>
          <w:p w14:paraId="3E908CCE"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94</w:t>
            </w:r>
          </w:p>
        </w:tc>
        <w:tc>
          <w:tcPr>
            <w:tcW w:w="0" w:type="auto"/>
            <w:tcBorders>
              <w:bottom w:val="single" w:sz="6" w:space="0" w:color="27B0AF"/>
            </w:tcBorders>
            <w:shd w:val="clear" w:color="auto" w:fill="auto"/>
            <w:vAlign w:val="center"/>
          </w:tcPr>
          <w:p w14:paraId="4A768CCF"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42</w:t>
            </w:r>
          </w:p>
        </w:tc>
        <w:tc>
          <w:tcPr>
            <w:tcW w:w="1704" w:type="dxa"/>
            <w:tcBorders>
              <w:bottom w:val="single" w:sz="6" w:space="0" w:color="27B0AF"/>
            </w:tcBorders>
            <w:shd w:val="clear" w:color="auto" w:fill="auto"/>
            <w:vAlign w:val="center"/>
          </w:tcPr>
          <w:p w14:paraId="4104B019"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22</w:t>
            </w:r>
          </w:p>
        </w:tc>
        <w:tc>
          <w:tcPr>
            <w:tcW w:w="1701" w:type="dxa"/>
            <w:tcBorders>
              <w:bottom w:val="single" w:sz="6" w:space="0" w:color="27B0AF"/>
            </w:tcBorders>
            <w:shd w:val="clear" w:color="auto" w:fill="auto"/>
            <w:vAlign w:val="center"/>
          </w:tcPr>
          <w:p w14:paraId="6BE4932F"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9"/>
                <w:sz w:val="18"/>
                <w:szCs w:val="18"/>
              </w:rPr>
              <w:t>1</w:t>
            </w:r>
          </w:p>
        </w:tc>
      </w:tr>
      <w:tr w:rsidR="00591820" w:rsidRPr="00445472" w14:paraId="6FBA0A22" w14:textId="77777777" w:rsidTr="002A1F08">
        <w:trPr>
          <w:trHeight w:val="20"/>
        </w:trPr>
        <w:tc>
          <w:tcPr>
            <w:tcW w:w="1827" w:type="dxa"/>
            <w:tcBorders>
              <w:bottom w:val="single" w:sz="6" w:space="0" w:color="27B0AF"/>
            </w:tcBorders>
            <w:shd w:val="clear" w:color="auto" w:fill="D4D4D4"/>
            <w:vAlign w:val="center"/>
          </w:tcPr>
          <w:p w14:paraId="0D1CF545" w14:textId="62274427" w:rsidR="00591820" w:rsidRPr="00445472" w:rsidRDefault="00D67757"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 xml:space="preserve">Fushë-Arrëz </w:t>
            </w:r>
            <w:r w:rsidR="00591820" w:rsidRPr="00445472">
              <w:rPr>
                <w:rFonts w:ascii="Garamond" w:eastAsia="MS Mincho" w:hAnsi="Garamond" w:cs="Arial"/>
                <w:sz w:val="18"/>
                <w:szCs w:val="18"/>
              </w:rPr>
              <w:t xml:space="preserve"> UK </w:t>
            </w:r>
            <w:r w:rsidRPr="00445472">
              <w:rPr>
                <w:rFonts w:ascii="Garamond" w:eastAsia="MS Mincho" w:hAnsi="Garamond" w:cs="Arial"/>
                <w:sz w:val="18"/>
                <w:szCs w:val="18"/>
              </w:rPr>
              <w:t>sh.a.</w:t>
            </w:r>
          </w:p>
        </w:tc>
        <w:tc>
          <w:tcPr>
            <w:tcW w:w="2250" w:type="dxa"/>
            <w:tcBorders>
              <w:bottom w:val="single" w:sz="6" w:space="0" w:color="27B0AF"/>
            </w:tcBorders>
            <w:shd w:val="clear" w:color="auto" w:fill="D4D4D4"/>
            <w:vAlign w:val="center"/>
          </w:tcPr>
          <w:p w14:paraId="2AFA13DC"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62</w:t>
            </w:r>
          </w:p>
        </w:tc>
        <w:tc>
          <w:tcPr>
            <w:tcW w:w="0" w:type="auto"/>
            <w:tcBorders>
              <w:bottom w:val="single" w:sz="6" w:space="0" w:color="27B0AF"/>
            </w:tcBorders>
            <w:shd w:val="clear" w:color="auto" w:fill="D4D4D4"/>
            <w:vAlign w:val="center"/>
          </w:tcPr>
          <w:p w14:paraId="56D8B6D0"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13</w:t>
            </w:r>
          </w:p>
        </w:tc>
        <w:tc>
          <w:tcPr>
            <w:tcW w:w="1704" w:type="dxa"/>
            <w:tcBorders>
              <w:bottom w:val="single" w:sz="6" w:space="0" w:color="27B0AF"/>
            </w:tcBorders>
            <w:shd w:val="clear" w:color="auto" w:fill="D4D4D4"/>
            <w:vAlign w:val="center"/>
          </w:tcPr>
          <w:p w14:paraId="52EA25E0"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59</w:t>
            </w:r>
          </w:p>
        </w:tc>
        <w:tc>
          <w:tcPr>
            <w:tcW w:w="1701" w:type="dxa"/>
            <w:tcBorders>
              <w:bottom w:val="single" w:sz="6" w:space="0" w:color="27B0AF"/>
            </w:tcBorders>
            <w:shd w:val="clear" w:color="auto" w:fill="D4D4D4"/>
            <w:vAlign w:val="center"/>
          </w:tcPr>
          <w:p w14:paraId="7BBBD3D2"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9"/>
                <w:sz w:val="18"/>
                <w:szCs w:val="18"/>
              </w:rPr>
              <w:t>8</w:t>
            </w:r>
          </w:p>
        </w:tc>
      </w:tr>
      <w:tr w:rsidR="00591820" w:rsidRPr="00445472" w14:paraId="2462CC96" w14:textId="77777777" w:rsidTr="002A1F08">
        <w:trPr>
          <w:trHeight w:val="20"/>
        </w:trPr>
        <w:tc>
          <w:tcPr>
            <w:tcW w:w="1827" w:type="dxa"/>
            <w:tcBorders>
              <w:bottom w:val="single" w:sz="6" w:space="0" w:color="27B0AF"/>
            </w:tcBorders>
            <w:shd w:val="clear" w:color="auto" w:fill="auto"/>
            <w:vAlign w:val="center"/>
          </w:tcPr>
          <w:p w14:paraId="4F23BB74" w14:textId="176E8255"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w w:val="95"/>
                <w:sz w:val="18"/>
                <w:szCs w:val="18"/>
              </w:rPr>
              <w:t xml:space="preserve">Librazhd </w:t>
            </w:r>
            <w:r w:rsidRPr="00445472">
              <w:rPr>
                <w:rFonts w:ascii="Garamond" w:eastAsia="MS Mincho" w:hAnsi="Garamond" w:cs="Arial"/>
                <w:sz w:val="18"/>
                <w:szCs w:val="18"/>
              </w:rPr>
              <w:t xml:space="preserve">UK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auto"/>
            <w:vAlign w:val="center"/>
          </w:tcPr>
          <w:p w14:paraId="28DB29C8"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810</w:t>
            </w:r>
          </w:p>
        </w:tc>
        <w:tc>
          <w:tcPr>
            <w:tcW w:w="0" w:type="auto"/>
            <w:tcBorders>
              <w:bottom w:val="single" w:sz="6" w:space="0" w:color="27B0AF"/>
            </w:tcBorders>
            <w:shd w:val="clear" w:color="auto" w:fill="auto"/>
            <w:vAlign w:val="center"/>
          </w:tcPr>
          <w:p w14:paraId="7ADEB2EC"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67</w:t>
            </w:r>
          </w:p>
        </w:tc>
        <w:tc>
          <w:tcPr>
            <w:tcW w:w="1704" w:type="dxa"/>
            <w:tcBorders>
              <w:bottom w:val="single" w:sz="6" w:space="0" w:color="27B0AF"/>
            </w:tcBorders>
            <w:shd w:val="clear" w:color="auto" w:fill="auto"/>
            <w:vAlign w:val="center"/>
          </w:tcPr>
          <w:p w14:paraId="4C82FCB2"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798</w:t>
            </w:r>
          </w:p>
        </w:tc>
        <w:tc>
          <w:tcPr>
            <w:tcW w:w="1701" w:type="dxa"/>
            <w:tcBorders>
              <w:bottom w:val="single" w:sz="6" w:space="0" w:color="27B0AF"/>
            </w:tcBorders>
            <w:shd w:val="clear" w:color="auto" w:fill="auto"/>
            <w:vAlign w:val="center"/>
          </w:tcPr>
          <w:p w14:paraId="58252755" w14:textId="77777777" w:rsidR="00591820" w:rsidRPr="00445472" w:rsidRDefault="00591820" w:rsidP="002A1F08">
            <w:pPr>
              <w:spacing w:before="22" w:after="22" w:line="240" w:lineRule="auto"/>
              <w:ind w:right="63"/>
              <w:jc w:val="center"/>
              <w:rPr>
                <w:rFonts w:ascii="Garamond" w:eastAsia="MS Mincho" w:hAnsi="Garamond" w:cs="Arial"/>
                <w:sz w:val="18"/>
                <w:szCs w:val="18"/>
              </w:rPr>
            </w:pPr>
            <w:r w:rsidRPr="00445472">
              <w:rPr>
                <w:rFonts w:ascii="Garamond" w:eastAsia="MS Mincho" w:hAnsi="Garamond" w:cs="Arial"/>
                <w:sz w:val="18"/>
                <w:szCs w:val="18"/>
              </w:rPr>
              <w:t>66</w:t>
            </w:r>
          </w:p>
        </w:tc>
      </w:tr>
      <w:tr w:rsidR="00591820" w:rsidRPr="00445472" w14:paraId="78CEEA03" w14:textId="77777777" w:rsidTr="002A1F08">
        <w:trPr>
          <w:trHeight w:val="20"/>
        </w:trPr>
        <w:tc>
          <w:tcPr>
            <w:tcW w:w="1827" w:type="dxa"/>
            <w:tcBorders>
              <w:bottom w:val="single" w:sz="6" w:space="0" w:color="27B0AF"/>
            </w:tcBorders>
            <w:shd w:val="clear" w:color="auto" w:fill="D4D4D4"/>
            <w:vAlign w:val="center"/>
          </w:tcPr>
          <w:p w14:paraId="7D4F4EC3" w14:textId="058ABB84" w:rsidR="00591820" w:rsidRPr="00445472" w:rsidRDefault="00591820" w:rsidP="002A1F08">
            <w:pPr>
              <w:spacing w:before="22" w:after="22" w:line="240" w:lineRule="auto"/>
              <w:ind w:right="63"/>
              <w:jc w:val="center"/>
              <w:rPr>
                <w:rFonts w:ascii="Garamond" w:eastAsia="MS Mincho" w:hAnsi="Garamond" w:cs="Arial"/>
                <w:w w:val="95"/>
                <w:sz w:val="18"/>
                <w:szCs w:val="18"/>
              </w:rPr>
            </w:pPr>
            <w:r w:rsidRPr="00445472">
              <w:rPr>
                <w:rFonts w:ascii="Garamond" w:eastAsia="MS Mincho" w:hAnsi="Garamond" w:cs="Arial"/>
                <w:sz w:val="18"/>
                <w:szCs w:val="18"/>
              </w:rPr>
              <w:t xml:space="preserve">Peshkopi U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D4D4D4"/>
            <w:vAlign w:val="center"/>
          </w:tcPr>
          <w:p w14:paraId="668D787D"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481</w:t>
            </w:r>
          </w:p>
        </w:tc>
        <w:tc>
          <w:tcPr>
            <w:tcW w:w="0" w:type="auto"/>
            <w:tcBorders>
              <w:bottom w:val="single" w:sz="6" w:space="0" w:color="27B0AF"/>
            </w:tcBorders>
            <w:shd w:val="clear" w:color="auto" w:fill="D4D4D4"/>
            <w:vAlign w:val="center"/>
          </w:tcPr>
          <w:p w14:paraId="5C5431BE"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56</w:t>
            </w:r>
          </w:p>
        </w:tc>
        <w:tc>
          <w:tcPr>
            <w:tcW w:w="1704" w:type="dxa"/>
            <w:tcBorders>
              <w:bottom w:val="single" w:sz="6" w:space="0" w:color="27B0AF"/>
            </w:tcBorders>
            <w:shd w:val="clear" w:color="auto" w:fill="D4D4D4"/>
            <w:vAlign w:val="center"/>
          </w:tcPr>
          <w:p w14:paraId="25053A2A"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414</w:t>
            </w:r>
          </w:p>
        </w:tc>
        <w:tc>
          <w:tcPr>
            <w:tcW w:w="1701" w:type="dxa"/>
            <w:tcBorders>
              <w:bottom w:val="single" w:sz="6" w:space="0" w:color="27B0AF"/>
            </w:tcBorders>
            <w:shd w:val="clear" w:color="auto" w:fill="D4D4D4"/>
            <w:vAlign w:val="center"/>
          </w:tcPr>
          <w:p w14:paraId="54952590"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55</w:t>
            </w:r>
          </w:p>
        </w:tc>
      </w:tr>
      <w:tr w:rsidR="00591820" w:rsidRPr="00445472" w14:paraId="4DFE10B1" w14:textId="77777777" w:rsidTr="002A1F08">
        <w:trPr>
          <w:trHeight w:val="20"/>
        </w:trPr>
        <w:tc>
          <w:tcPr>
            <w:tcW w:w="1827" w:type="dxa"/>
            <w:tcBorders>
              <w:bottom w:val="single" w:sz="6" w:space="0" w:color="27B0AF"/>
            </w:tcBorders>
            <w:shd w:val="clear" w:color="auto" w:fill="auto"/>
            <w:vAlign w:val="center"/>
          </w:tcPr>
          <w:p w14:paraId="34F47A17" w14:textId="3648791E" w:rsidR="00591820" w:rsidRPr="00445472" w:rsidRDefault="00591820" w:rsidP="002A1F08">
            <w:pPr>
              <w:spacing w:before="22" w:after="22" w:line="240" w:lineRule="auto"/>
              <w:ind w:right="63"/>
              <w:jc w:val="center"/>
              <w:rPr>
                <w:rFonts w:ascii="Garamond" w:eastAsia="MS Mincho" w:hAnsi="Garamond" w:cs="Arial"/>
                <w:w w:val="95"/>
                <w:sz w:val="18"/>
                <w:szCs w:val="18"/>
              </w:rPr>
            </w:pPr>
            <w:r w:rsidRPr="00445472">
              <w:rPr>
                <w:rFonts w:ascii="Garamond" w:eastAsia="MS Mincho" w:hAnsi="Garamond" w:cs="Arial"/>
                <w:sz w:val="18"/>
                <w:szCs w:val="18"/>
              </w:rPr>
              <w:t xml:space="preserve">Bulqizë U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auto"/>
            <w:vAlign w:val="center"/>
          </w:tcPr>
          <w:p w14:paraId="21FC87B8"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227</w:t>
            </w:r>
          </w:p>
        </w:tc>
        <w:tc>
          <w:tcPr>
            <w:tcW w:w="0" w:type="auto"/>
            <w:tcBorders>
              <w:bottom w:val="single" w:sz="6" w:space="0" w:color="27B0AF"/>
            </w:tcBorders>
            <w:shd w:val="clear" w:color="auto" w:fill="auto"/>
            <w:vAlign w:val="center"/>
          </w:tcPr>
          <w:p w14:paraId="6FEF5CA2"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43</w:t>
            </w:r>
          </w:p>
        </w:tc>
        <w:tc>
          <w:tcPr>
            <w:tcW w:w="1704" w:type="dxa"/>
            <w:tcBorders>
              <w:bottom w:val="single" w:sz="6" w:space="0" w:color="27B0AF"/>
            </w:tcBorders>
            <w:shd w:val="clear" w:color="auto" w:fill="auto"/>
            <w:vAlign w:val="center"/>
          </w:tcPr>
          <w:p w14:paraId="4CC194EF"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p>
        </w:tc>
        <w:tc>
          <w:tcPr>
            <w:tcW w:w="1701" w:type="dxa"/>
            <w:tcBorders>
              <w:bottom w:val="single" w:sz="6" w:space="0" w:color="27B0AF"/>
            </w:tcBorders>
            <w:shd w:val="clear" w:color="auto" w:fill="auto"/>
            <w:vAlign w:val="center"/>
          </w:tcPr>
          <w:p w14:paraId="397B65D3"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p>
        </w:tc>
      </w:tr>
      <w:tr w:rsidR="00591820" w:rsidRPr="00445472" w14:paraId="1DFD026D" w14:textId="77777777" w:rsidTr="002A1F08">
        <w:trPr>
          <w:trHeight w:val="20"/>
        </w:trPr>
        <w:tc>
          <w:tcPr>
            <w:tcW w:w="1827" w:type="dxa"/>
            <w:tcBorders>
              <w:bottom w:val="single" w:sz="6" w:space="0" w:color="27B0AF"/>
            </w:tcBorders>
            <w:shd w:val="clear" w:color="auto" w:fill="D4D4D4"/>
            <w:vAlign w:val="center"/>
          </w:tcPr>
          <w:p w14:paraId="26D32341" w14:textId="155B364A" w:rsidR="00591820" w:rsidRPr="00445472" w:rsidRDefault="00591820" w:rsidP="002A1F08">
            <w:pPr>
              <w:spacing w:before="22" w:after="22" w:line="240" w:lineRule="auto"/>
              <w:ind w:right="63"/>
              <w:jc w:val="center"/>
              <w:rPr>
                <w:rFonts w:ascii="Garamond" w:eastAsia="MS Mincho" w:hAnsi="Garamond" w:cs="Arial"/>
                <w:w w:val="95"/>
                <w:sz w:val="18"/>
                <w:szCs w:val="18"/>
              </w:rPr>
            </w:pPr>
            <w:r w:rsidRPr="00445472">
              <w:rPr>
                <w:rFonts w:ascii="Garamond" w:eastAsia="MS Mincho" w:hAnsi="Garamond" w:cs="Arial"/>
                <w:sz w:val="18"/>
                <w:szCs w:val="18"/>
              </w:rPr>
              <w:t xml:space="preserve">Has U </w:t>
            </w:r>
            <w:r w:rsidR="00D67757" w:rsidRPr="00445472">
              <w:rPr>
                <w:rFonts w:ascii="Garamond" w:eastAsia="MS Mincho" w:hAnsi="Garamond" w:cs="Arial"/>
                <w:sz w:val="18"/>
                <w:szCs w:val="18"/>
              </w:rPr>
              <w:t>sh.a.</w:t>
            </w:r>
          </w:p>
        </w:tc>
        <w:tc>
          <w:tcPr>
            <w:tcW w:w="2250" w:type="dxa"/>
            <w:tcBorders>
              <w:bottom w:val="single" w:sz="6" w:space="0" w:color="27B0AF"/>
            </w:tcBorders>
            <w:shd w:val="clear" w:color="auto" w:fill="D4D4D4"/>
            <w:vAlign w:val="center"/>
          </w:tcPr>
          <w:p w14:paraId="0CFC3CFF"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125</w:t>
            </w:r>
          </w:p>
        </w:tc>
        <w:tc>
          <w:tcPr>
            <w:tcW w:w="0" w:type="auto"/>
            <w:tcBorders>
              <w:bottom w:val="single" w:sz="6" w:space="0" w:color="27B0AF"/>
            </w:tcBorders>
            <w:shd w:val="clear" w:color="auto" w:fill="D4D4D4"/>
            <w:vAlign w:val="center"/>
          </w:tcPr>
          <w:p w14:paraId="43BCC7F2"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12</w:t>
            </w:r>
          </w:p>
        </w:tc>
        <w:tc>
          <w:tcPr>
            <w:tcW w:w="1704" w:type="dxa"/>
            <w:tcBorders>
              <w:bottom w:val="single" w:sz="6" w:space="0" w:color="27B0AF"/>
            </w:tcBorders>
            <w:shd w:val="clear" w:color="auto" w:fill="D4D4D4"/>
            <w:vAlign w:val="center"/>
          </w:tcPr>
          <w:p w14:paraId="3C4F696E"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p>
        </w:tc>
        <w:tc>
          <w:tcPr>
            <w:tcW w:w="1701" w:type="dxa"/>
            <w:tcBorders>
              <w:bottom w:val="single" w:sz="6" w:space="0" w:color="27B0AF"/>
            </w:tcBorders>
            <w:shd w:val="clear" w:color="auto" w:fill="D4D4D4"/>
            <w:vAlign w:val="center"/>
          </w:tcPr>
          <w:p w14:paraId="4D8C649F"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p>
        </w:tc>
      </w:tr>
      <w:tr w:rsidR="00591820" w:rsidRPr="00445472" w14:paraId="01BB91FD" w14:textId="77777777" w:rsidTr="002A1F08">
        <w:trPr>
          <w:trHeight w:val="20"/>
        </w:trPr>
        <w:tc>
          <w:tcPr>
            <w:tcW w:w="1827" w:type="dxa"/>
            <w:shd w:val="clear" w:color="auto" w:fill="auto"/>
            <w:vAlign w:val="center"/>
          </w:tcPr>
          <w:p w14:paraId="0E52E133" w14:textId="673E65CF" w:rsidR="00591820" w:rsidRPr="00445472" w:rsidRDefault="00591820" w:rsidP="002A1F08">
            <w:pPr>
              <w:spacing w:before="22" w:after="22" w:line="240" w:lineRule="auto"/>
              <w:ind w:right="63"/>
              <w:jc w:val="center"/>
              <w:rPr>
                <w:rFonts w:ascii="Garamond" w:eastAsia="MS Mincho" w:hAnsi="Garamond" w:cs="Arial"/>
                <w:w w:val="95"/>
                <w:sz w:val="18"/>
                <w:szCs w:val="18"/>
              </w:rPr>
            </w:pPr>
            <w:r w:rsidRPr="00445472">
              <w:rPr>
                <w:rFonts w:ascii="Garamond" w:eastAsia="MS Mincho" w:hAnsi="Garamond" w:cs="Arial"/>
                <w:sz w:val="18"/>
                <w:szCs w:val="18"/>
              </w:rPr>
              <w:t xml:space="preserve">Kukës UK </w:t>
            </w:r>
            <w:r w:rsidR="00D67757" w:rsidRPr="00445472">
              <w:rPr>
                <w:rFonts w:ascii="Garamond" w:eastAsia="MS Mincho" w:hAnsi="Garamond" w:cs="Arial"/>
                <w:sz w:val="18"/>
                <w:szCs w:val="18"/>
              </w:rPr>
              <w:t>sh.a.</w:t>
            </w:r>
          </w:p>
        </w:tc>
        <w:tc>
          <w:tcPr>
            <w:tcW w:w="2250" w:type="dxa"/>
            <w:shd w:val="clear" w:color="auto" w:fill="auto"/>
            <w:vAlign w:val="center"/>
          </w:tcPr>
          <w:p w14:paraId="1C960D96"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369</w:t>
            </w:r>
          </w:p>
        </w:tc>
        <w:tc>
          <w:tcPr>
            <w:tcW w:w="0" w:type="auto"/>
            <w:shd w:val="clear" w:color="auto" w:fill="auto"/>
            <w:vAlign w:val="center"/>
          </w:tcPr>
          <w:p w14:paraId="439405D7"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70</w:t>
            </w:r>
          </w:p>
        </w:tc>
        <w:tc>
          <w:tcPr>
            <w:tcW w:w="1704" w:type="dxa"/>
            <w:shd w:val="clear" w:color="auto" w:fill="auto"/>
            <w:vAlign w:val="center"/>
          </w:tcPr>
          <w:p w14:paraId="20B0D47C"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369</w:t>
            </w:r>
          </w:p>
        </w:tc>
        <w:tc>
          <w:tcPr>
            <w:tcW w:w="1701" w:type="dxa"/>
            <w:shd w:val="clear" w:color="auto" w:fill="auto"/>
            <w:vAlign w:val="center"/>
          </w:tcPr>
          <w:p w14:paraId="3AD4688C" w14:textId="77777777" w:rsidR="00591820" w:rsidRPr="00445472" w:rsidRDefault="00591820" w:rsidP="002A1F08">
            <w:pPr>
              <w:spacing w:before="22" w:after="22" w:line="240" w:lineRule="auto"/>
              <w:ind w:right="63"/>
              <w:jc w:val="center"/>
              <w:rPr>
                <w:rFonts w:ascii="Garamond" w:eastAsia="MS Mincho" w:hAnsi="Garamond" w:cs="Arial"/>
                <w:b/>
                <w:sz w:val="18"/>
                <w:szCs w:val="18"/>
              </w:rPr>
            </w:pPr>
            <w:r w:rsidRPr="00445472">
              <w:rPr>
                <w:rFonts w:ascii="Garamond" w:eastAsia="MS Mincho" w:hAnsi="Garamond" w:cs="Arial"/>
                <w:sz w:val="18"/>
                <w:szCs w:val="18"/>
              </w:rPr>
              <w:t>70</w:t>
            </w:r>
          </w:p>
        </w:tc>
      </w:tr>
    </w:tbl>
    <w:p w14:paraId="13DC4332" w14:textId="77777777" w:rsidR="00591820" w:rsidRPr="00445472" w:rsidRDefault="00591820" w:rsidP="00166DBF">
      <w:pPr>
        <w:pStyle w:val="TEKSTIIII"/>
      </w:pPr>
    </w:p>
    <w:p w14:paraId="040A960F" w14:textId="4251313C" w:rsidR="00591820" w:rsidRPr="00445472" w:rsidRDefault="00166DBF" w:rsidP="00166DBF">
      <w:pPr>
        <w:pStyle w:val="NENTITULL"/>
      </w:pPr>
      <w:bookmarkStart w:id="267" w:name="_bookmark56"/>
      <w:bookmarkStart w:id="268" w:name="_Toc486503434"/>
      <w:bookmarkStart w:id="269" w:name="_Toc11068871"/>
      <w:bookmarkEnd w:id="267"/>
      <w:r w:rsidRPr="00445472">
        <w:t xml:space="preserve">11.6 </w:t>
      </w:r>
      <w:r w:rsidR="00591820" w:rsidRPr="00445472">
        <w:t xml:space="preserve">Kostot </w:t>
      </w:r>
      <w:r w:rsidR="00D67757" w:rsidRPr="00445472">
        <w:t>financiare të shërbimeve të ujit</w:t>
      </w:r>
      <w:bookmarkEnd w:id="268"/>
      <w:bookmarkEnd w:id="269"/>
    </w:p>
    <w:p w14:paraId="252B6D1B" w14:textId="77777777" w:rsidR="00591820" w:rsidRPr="00445472" w:rsidRDefault="00591820" w:rsidP="00166DBF">
      <w:pPr>
        <w:pStyle w:val="TEKSTIIII"/>
      </w:pPr>
      <w:r w:rsidRPr="00445472">
        <w:t>Të dhënat financiare në lidhje me shpenzimet e shërbimeve të ujit dhe kanalizimit u mblodhën nga kompanitë e shërbimeve të ujit që veprojnë në basenin e lumit. Të dhënat e mëposhtme të kostove financiare arritën të mblidheshin:</w:t>
      </w:r>
    </w:p>
    <w:p w14:paraId="0E056C5E" w14:textId="3BB38751" w:rsidR="00591820" w:rsidRPr="00445472" w:rsidRDefault="00166DBF" w:rsidP="00166DBF">
      <w:pPr>
        <w:pStyle w:val="TEKSTIIII"/>
      </w:pPr>
      <w:r w:rsidRPr="00445472">
        <w:t>-</w:t>
      </w:r>
      <w:r w:rsidR="00D67757" w:rsidRPr="00445472">
        <w:t xml:space="preserve"> </w:t>
      </w:r>
      <w:r w:rsidR="00591820" w:rsidRPr="00445472">
        <w:t>Shpenzimet operative dhe të mirëmbajtjes. Këto kosto janë ato që lidhen me ofrimin e shërbimit dhe përfshijnë, ndër të tjera, kostot e punësimit, kostot e energjisë, kostot materiale dhe kostot e punësimit të palëve të treta. Shpenzimet e mirëmbajtjes kanë të bëjnë me mbajtjen e aseteve në kushte të përdorshme gjatë gjithë jetës së tyre ekonomike.</w:t>
      </w:r>
    </w:p>
    <w:p w14:paraId="011B1789" w14:textId="3FEB29E8" w:rsidR="00591820" w:rsidRPr="00445472" w:rsidRDefault="00166DBF" w:rsidP="00166DBF">
      <w:pPr>
        <w:pStyle w:val="TEKSTIIII"/>
      </w:pPr>
      <w:r w:rsidRPr="00445472">
        <w:t>-</w:t>
      </w:r>
      <w:r w:rsidR="00D67757" w:rsidRPr="00445472">
        <w:t xml:space="preserve"> </w:t>
      </w:r>
      <w:r w:rsidR="00591820" w:rsidRPr="00445472">
        <w:t>Shpenzimet kapitale. Këto janë kostot e pagesës së principalit dhe të interesave (dhe kostos së kapitalit sipas rastit) që lidhen me shpenzimet për aktivet që financohet nga jashtë nëpërmjet kredive, obligacioneve, kapitalit dhe gjithashtu mekanizmave të tjerë financiarë. Këto kosto gjithashtu përfshijnë zhvlerësimin vjetor të aseteve fikse ekzistuese të operuara nga ndërmarrjet e ujësjellësit.</w:t>
      </w:r>
    </w:p>
    <w:p w14:paraId="07629DE4" w14:textId="3FDA974D" w:rsidR="00591820" w:rsidRPr="00445472" w:rsidRDefault="00166DBF" w:rsidP="00166DBF">
      <w:pPr>
        <w:pStyle w:val="TEKSTIIII"/>
      </w:pPr>
      <w:r w:rsidRPr="00445472">
        <w:t>-</w:t>
      </w:r>
      <w:r w:rsidR="00D67757" w:rsidRPr="00445472">
        <w:t xml:space="preserve"> </w:t>
      </w:r>
      <w:r w:rsidR="00591820" w:rsidRPr="00445472">
        <w:t>Shpenzimet administrative. Këto lidhen me interesat dhe shpenzimet e tjera financiare të paguara nga kompanitë e shërbimeve për të drejtuar biznesin e tyre të ujit.</w:t>
      </w:r>
    </w:p>
    <w:p w14:paraId="6D4FF35E" w14:textId="77777777" w:rsidR="00591820" w:rsidRPr="00445472" w:rsidRDefault="00591820" w:rsidP="00166DBF">
      <w:pPr>
        <w:pStyle w:val="TEKSTIIII"/>
      </w:pPr>
      <w:r w:rsidRPr="00445472">
        <w:t>Taksa dhe subvencione: Këto përfshijnë taksat e përgjithshme dhe të tjera specifike të paguara nga kompanitë e ujit. Analiza e mëvonshme e rikuperimit të kostos bazuar në kostot ekonomike dhe jo në ato financiare do të duhej të hiqte taksat e përgjithshme dhe transferimet e tjera.</w:t>
      </w:r>
    </w:p>
    <w:p w14:paraId="2F3843B0" w14:textId="77777777" w:rsidR="00591820" w:rsidRPr="00445472" w:rsidRDefault="00591820" w:rsidP="00166DBF">
      <w:pPr>
        <w:pStyle w:val="TEKSTIIII"/>
      </w:pPr>
    </w:p>
    <w:p w14:paraId="1C8993C7" w14:textId="1DAF2B04" w:rsidR="00591820" w:rsidRPr="00445472" w:rsidRDefault="00591820" w:rsidP="00166DBF">
      <w:pPr>
        <w:pStyle w:val="TEKSTIIII"/>
      </w:pPr>
      <w:r w:rsidRPr="00445472">
        <w:t xml:space="preserve">Kostot financiare për shërbimet e ujit dhe kanalizimit për vitin 2015 janë siç tregohet në </w:t>
      </w:r>
      <w:r w:rsidR="00D67757" w:rsidRPr="00445472">
        <w:t xml:space="preserve">tabelën </w:t>
      </w:r>
      <w:r w:rsidRPr="00445472">
        <w:t>11.15.</w:t>
      </w:r>
    </w:p>
    <w:p w14:paraId="64F6EECA" w14:textId="2680C28D" w:rsidR="00591820" w:rsidRPr="00445472" w:rsidRDefault="00591820" w:rsidP="00166DBF">
      <w:pPr>
        <w:pStyle w:val="NENTITULL"/>
      </w:pPr>
    </w:p>
    <w:p w14:paraId="7033AFBE" w14:textId="75F036CF" w:rsidR="00591820" w:rsidRPr="00445472" w:rsidRDefault="00591820" w:rsidP="00166DBF">
      <w:pPr>
        <w:pStyle w:val="NENTITULL"/>
      </w:pPr>
      <w:r w:rsidRPr="00445472">
        <w:t xml:space="preserve">Tabela 11.15: Kostot financiare për shërbimet e ujit dhe kanalizimit në Basenin Ujor </w:t>
      </w:r>
      <w:r w:rsidR="007E76E3" w:rsidRPr="00445472">
        <w:t>Drin–Bunë</w:t>
      </w:r>
      <w:r w:rsidRPr="00445472">
        <w:t xml:space="preserve"> (2015)</w:t>
      </w:r>
    </w:p>
    <w:tbl>
      <w:tblPr>
        <w:tblW w:w="5000" w:type="pct"/>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5745"/>
        <w:gridCol w:w="1792"/>
        <w:gridCol w:w="1550"/>
      </w:tblGrid>
      <w:tr w:rsidR="00591820" w:rsidRPr="00445472" w14:paraId="4184E202" w14:textId="77777777" w:rsidTr="00166DBF">
        <w:trPr>
          <w:trHeight w:val="340"/>
        </w:trPr>
        <w:tc>
          <w:tcPr>
            <w:tcW w:w="3161" w:type="pct"/>
            <w:vAlign w:val="center"/>
          </w:tcPr>
          <w:p w14:paraId="09EA0F9A"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Shërbimet e Ujit</w:t>
            </w:r>
          </w:p>
        </w:tc>
        <w:tc>
          <w:tcPr>
            <w:tcW w:w="986" w:type="pct"/>
            <w:vAlign w:val="center"/>
          </w:tcPr>
          <w:p w14:paraId="736538E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Lek</w:t>
            </w:r>
          </w:p>
        </w:tc>
        <w:tc>
          <w:tcPr>
            <w:tcW w:w="853" w:type="pct"/>
            <w:vAlign w:val="center"/>
          </w:tcPr>
          <w:p w14:paraId="0D45957F"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Euro</w:t>
            </w:r>
          </w:p>
        </w:tc>
      </w:tr>
      <w:tr w:rsidR="00591820" w:rsidRPr="00445472" w14:paraId="0BF67546" w14:textId="77777777" w:rsidTr="00166DBF">
        <w:trPr>
          <w:trHeight w:val="320"/>
        </w:trPr>
        <w:tc>
          <w:tcPr>
            <w:tcW w:w="5000" w:type="pct"/>
            <w:gridSpan w:val="3"/>
            <w:shd w:val="clear" w:color="auto" w:fill="D4D4D4"/>
            <w:vAlign w:val="center"/>
          </w:tcPr>
          <w:p w14:paraId="21DF3B6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Shpenzimet operative dhe të mirëmbajtjes</w:t>
            </w:r>
          </w:p>
        </w:tc>
      </w:tr>
      <w:tr w:rsidR="00591820" w:rsidRPr="00445472" w14:paraId="5C732EB2" w14:textId="77777777" w:rsidTr="00166DBF">
        <w:trPr>
          <w:trHeight w:val="320"/>
        </w:trPr>
        <w:tc>
          <w:tcPr>
            <w:tcW w:w="3161" w:type="pct"/>
            <w:vAlign w:val="center"/>
          </w:tcPr>
          <w:p w14:paraId="08FDC14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Kostoja e punës</w:t>
            </w:r>
          </w:p>
        </w:tc>
        <w:tc>
          <w:tcPr>
            <w:tcW w:w="986" w:type="pct"/>
            <w:vAlign w:val="center"/>
          </w:tcPr>
          <w:p w14:paraId="09EC287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273,464</w:t>
            </w:r>
          </w:p>
        </w:tc>
        <w:tc>
          <w:tcPr>
            <w:tcW w:w="853" w:type="pct"/>
            <w:vAlign w:val="center"/>
          </w:tcPr>
          <w:p w14:paraId="43D84F9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1,996</w:t>
            </w:r>
          </w:p>
        </w:tc>
      </w:tr>
      <w:tr w:rsidR="00591820" w:rsidRPr="00445472" w14:paraId="1833D6AD" w14:textId="77777777" w:rsidTr="00166DBF">
        <w:trPr>
          <w:trHeight w:val="320"/>
        </w:trPr>
        <w:tc>
          <w:tcPr>
            <w:tcW w:w="3161" w:type="pct"/>
            <w:vAlign w:val="center"/>
          </w:tcPr>
          <w:p w14:paraId="49D35BB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Kostot materiale (përfshirë lëndët kimike)</w:t>
            </w:r>
          </w:p>
        </w:tc>
        <w:tc>
          <w:tcPr>
            <w:tcW w:w="986" w:type="pct"/>
            <w:vAlign w:val="center"/>
          </w:tcPr>
          <w:p w14:paraId="4C739C9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11,464</w:t>
            </w:r>
          </w:p>
        </w:tc>
        <w:tc>
          <w:tcPr>
            <w:tcW w:w="853" w:type="pct"/>
            <w:vAlign w:val="center"/>
          </w:tcPr>
          <w:p w14:paraId="0A4BC79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84</w:t>
            </w:r>
          </w:p>
        </w:tc>
      </w:tr>
      <w:tr w:rsidR="00591820" w:rsidRPr="00445472" w14:paraId="45F89FEC" w14:textId="77777777" w:rsidTr="00166DBF">
        <w:trPr>
          <w:trHeight w:val="320"/>
        </w:trPr>
        <w:tc>
          <w:tcPr>
            <w:tcW w:w="3161" w:type="pct"/>
            <w:vAlign w:val="center"/>
          </w:tcPr>
          <w:p w14:paraId="17BF6BE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Kostot e energjisë</w:t>
            </w:r>
          </w:p>
        </w:tc>
        <w:tc>
          <w:tcPr>
            <w:tcW w:w="986" w:type="pct"/>
            <w:vAlign w:val="center"/>
          </w:tcPr>
          <w:p w14:paraId="259AB06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246,095</w:t>
            </w:r>
          </w:p>
        </w:tc>
        <w:tc>
          <w:tcPr>
            <w:tcW w:w="853" w:type="pct"/>
            <w:vAlign w:val="center"/>
          </w:tcPr>
          <w:p w14:paraId="3A6EC14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1,797</w:t>
            </w:r>
          </w:p>
        </w:tc>
      </w:tr>
      <w:tr w:rsidR="00591820" w:rsidRPr="00445472" w14:paraId="6156AA2A" w14:textId="77777777" w:rsidTr="00166DBF">
        <w:trPr>
          <w:trHeight w:val="320"/>
        </w:trPr>
        <w:tc>
          <w:tcPr>
            <w:tcW w:w="3161" w:type="pct"/>
            <w:vAlign w:val="center"/>
          </w:tcPr>
          <w:p w14:paraId="6E1BFB3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Kostoja e riparimit dhe mirëmbajtjes</w:t>
            </w:r>
          </w:p>
        </w:tc>
        <w:tc>
          <w:tcPr>
            <w:tcW w:w="986" w:type="pct"/>
            <w:vAlign w:val="center"/>
          </w:tcPr>
          <w:p w14:paraId="428289E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35,000</w:t>
            </w:r>
          </w:p>
        </w:tc>
        <w:tc>
          <w:tcPr>
            <w:tcW w:w="853" w:type="pct"/>
            <w:vAlign w:val="center"/>
          </w:tcPr>
          <w:p w14:paraId="24F18A6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256</w:t>
            </w:r>
          </w:p>
        </w:tc>
      </w:tr>
      <w:tr w:rsidR="00591820" w:rsidRPr="00445472" w14:paraId="45026FAE" w14:textId="77777777" w:rsidTr="00166DBF">
        <w:trPr>
          <w:trHeight w:val="320"/>
        </w:trPr>
        <w:tc>
          <w:tcPr>
            <w:tcW w:w="3161" w:type="pct"/>
            <w:vAlign w:val="center"/>
          </w:tcPr>
          <w:p w14:paraId="54CB01E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Kostoja e shërbimeve të kontraktuara</w:t>
            </w:r>
          </w:p>
        </w:tc>
        <w:tc>
          <w:tcPr>
            <w:tcW w:w="986" w:type="pct"/>
            <w:vAlign w:val="center"/>
          </w:tcPr>
          <w:p w14:paraId="0B158D7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33,110</w:t>
            </w:r>
          </w:p>
        </w:tc>
        <w:tc>
          <w:tcPr>
            <w:tcW w:w="853" w:type="pct"/>
            <w:vAlign w:val="center"/>
          </w:tcPr>
          <w:p w14:paraId="54E0895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242</w:t>
            </w:r>
          </w:p>
        </w:tc>
      </w:tr>
      <w:tr w:rsidR="00591820" w:rsidRPr="00445472" w14:paraId="7151ABED" w14:textId="77777777" w:rsidTr="00166DBF">
        <w:trPr>
          <w:trHeight w:val="320"/>
        </w:trPr>
        <w:tc>
          <w:tcPr>
            <w:tcW w:w="3161" w:type="pct"/>
            <w:vAlign w:val="center"/>
          </w:tcPr>
          <w:p w14:paraId="0983373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 të tjera</w:t>
            </w:r>
          </w:p>
        </w:tc>
        <w:tc>
          <w:tcPr>
            <w:tcW w:w="986" w:type="pct"/>
            <w:vAlign w:val="center"/>
          </w:tcPr>
          <w:p w14:paraId="09E9D3A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22,673</w:t>
            </w:r>
          </w:p>
        </w:tc>
        <w:tc>
          <w:tcPr>
            <w:tcW w:w="853" w:type="pct"/>
            <w:vAlign w:val="center"/>
          </w:tcPr>
          <w:p w14:paraId="6A69A0F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166</w:t>
            </w:r>
          </w:p>
        </w:tc>
      </w:tr>
      <w:tr w:rsidR="00591820" w:rsidRPr="00445472" w14:paraId="059AF629" w14:textId="77777777" w:rsidTr="00166DBF">
        <w:trPr>
          <w:trHeight w:val="320"/>
        </w:trPr>
        <w:tc>
          <w:tcPr>
            <w:tcW w:w="5000" w:type="pct"/>
            <w:gridSpan w:val="3"/>
            <w:shd w:val="clear" w:color="auto" w:fill="D4D4D4"/>
            <w:vAlign w:val="center"/>
          </w:tcPr>
          <w:p w14:paraId="653D8EC5" w14:textId="1A0D2465"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Kostot </w:t>
            </w:r>
            <w:r w:rsidR="00D67757" w:rsidRPr="00445472">
              <w:rPr>
                <w:rFonts w:ascii="Garamond" w:eastAsia="MS Mincho" w:hAnsi="Garamond" w:cs="Arial"/>
                <w:sz w:val="18"/>
                <w:szCs w:val="18"/>
              </w:rPr>
              <w:t>kapitale</w:t>
            </w:r>
          </w:p>
        </w:tc>
      </w:tr>
      <w:tr w:rsidR="00591820" w:rsidRPr="00445472" w14:paraId="6FDBEA4B" w14:textId="77777777" w:rsidTr="00166DBF">
        <w:trPr>
          <w:trHeight w:val="404"/>
        </w:trPr>
        <w:tc>
          <w:tcPr>
            <w:tcW w:w="3161" w:type="pct"/>
            <w:vAlign w:val="center"/>
          </w:tcPr>
          <w:p w14:paraId="24E2272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Amortizimi</w:t>
            </w:r>
          </w:p>
        </w:tc>
        <w:tc>
          <w:tcPr>
            <w:tcW w:w="986" w:type="pct"/>
            <w:vAlign w:val="center"/>
          </w:tcPr>
          <w:p w14:paraId="1305267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198,952</w:t>
            </w:r>
          </w:p>
        </w:tc>
        <w:tc>
          <w:tcPr>
            <w:tcW w:w="853" w:type="pct"/>
            <w:vAlign w:val="center"/>
          </w:tcPr>
          <w:p w14:paraId="47A068A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1,452</w:t>
            </w:r>
          </w:p>
        </w:tc>
      </w:tr>
      <w:tr w:rsidR="00591820" w:rsidRPr="00445472" w14:paraId="1057D4D0" w14:textId="77777777" w:rsidTr="00166DBF">
        <w:trPr>
          <w:trHeight w:val="320"/>
        </w:trPr>
        <w:tc>
          <w:tcPr>
            <w:tcW w:w="3161" w:type="pct"/>
            <w:vAlign w:val="center"/>
          </w:tcPr>
          <w:p w14:paraId="62B82359" w14:textId="2958D366"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Shlyerja e borxhit (</w:t>
            </w:r>
            <w:r w:rsidR="00D67757" w:rsidRPr="00445472">
              <w:rPr>
                <w:rFonts w:ascii="Garamond" w:eastAsia="MS Mincho" w:hAnsi="Garamond" w:cs="Arial"/>
                <w:sz w:val="18"/>
                <w:szCs w:val="18"/>
              </w:rPr>
              <w:t>principal</w:t>
            </w:r>
            <w:r w:rsidRPr="00445472">
              <w:rPr>
                <w:rFonts w:ascii="Garamond" w:eastAsia="MS Mincho" w:hAnsi="Garamond" w:cs="Arial"/>
                <w:sz w:val="18"/>
                <w:szCs w:val="18"/>
              </w:rPr>
              <w:t>)</w:t>
            </w:r>
          </w:p>
        </w:tc>
        <w:tc>
          <w:tcPr>
            <w:tcW w:w="986" w:type="pct"/>
            <w:vAlign w:val="center"/>
          </w:tcPr>
          <w:p w14:paraId="4D3100F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2,520</w:t>
            </w:r>
          </w:p>
        </w:tc>
        <w:tc>
          <w:tcPr>
            <w:tcW w:w="853" w:type="pct"/>
            <w:vAlign w:val="center"/>
          </w:tcPr>
          <w:p w14:paraId="6BFE282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w:t>
            </w:r>
          </w:p>
        </w:tc>
      </w:tr>
      <w:tr w:rsidR="00591820" w:rsidRPr="00445472" w14:paraId="55E8046D" w14:textId="77777777" w:rsidTr="00166DBF">
        <w:trPr>
          <w:trHeight w:val="320"/>
        </w:trPr>
        <w:tc>
          <w:tcPr>
            <w:tcW w:w="5000" w:type="pct"/>
            <w:gridSpan w:val="3"/>
            <w:shd w:val="clear" w:color="auto" w:fill="D4D4D4"/>
            <w:vAlign w:val="center"/>
          </w:tcPr>
          <w:p w14:paraId="148BE54A" w14:textId="26DFEDB9"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Shpenzimet </w:t>
            </w:r>
            <w:r w:rsidR="00D67757" w:rsidRPr="00445472">
              <w:rPr>
                <w:rFonts w:ascii="Garamond" w:eastAsia="MS Mincho" w:hAnsi="Garamond" w:cs="Arial"/>
                <w:sz w:val="18"/>
                <w:szCs w:val="18"/>
              </w:rPr>
              <w:t>administrative</w:t>
            </w:r>
          </w:p>
        </w:tc>
      </w:tr>
      <w:tr w:rsidR="00591820" w:rsidRPr="00445472" w14:paraId="74605475" w14:textId="77777777" w:rsidTr="00166DBF">
        <w:trPr>
          <w:trHeight w:val="320"/>
        </w:trPr>
        <w:tc>
          <w:tcPr>
            <w:tcW w:w="3161" w:type="pct"/>
            <w:vAlign w:val="center"/>
          </w:tcPr>
          <w:p w14:paraId="40FE9A7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Interesi</w:t>
            </w:r>
          </w:p>
        </w:tc>
        <w:tc>
          <w:tcPr>
            <w:tcW w:w="986" w:type="pct"/>
            <w:vAlign w:val="center"/>
          </w:tcPr>
          <w:p w14:paraId="0277E0E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3,264</w:t>
            </w:r>
          </w:p>
        </w:tc>
        <w:tc>
          <w:tcPr>
            <w:tcW w:w="853" w:type="pct"/>
            <w:vAlign w:val="center"/>
          </w:tcPr>
          <w:p w14:paraId="4BFAECE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w:t>
            </w:r>
          </w:p>
        </w:tc>
      </w:tr>
      <w:tr w:rsidR="00591820" w:rsidRPr="00445472" w14:paraId="0CFB18DB" w14:textId="77777777" w:rsidTr="00166DBF">
        <w:trPr>
          <w:trHeight w:val="320"/>
        </w:trPr>
        <w:tc>
          <w:tcPr>
            <w:tcW w:w="3161" w:type="pct"/>
            <w:vAlign w:val="center"/>
          </w:tcPr>
          <w:p w14:paraId="2E94EFD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Shpenzime të tjera financiare</w:t>
            </w:r>
          </w:p>
        </w:tc>
        <w:tc>
          <w:tcPr>
            <w:tcW w:w="986" w:type="pct"/>
            <w:vAlign w:val="center"/>
          </w:tcPr>
          <w:p w14:paraId="22C29F5E"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12,196</w:t>
            </w:r>
          </w:p>
        </w:tc>
        <w:tc>
          <w:tcPr>
            <w:tcW w:w="853" w:type="pct"/>
            <w:vAlign w:val="center"/>
          </w:tcPr>
          <w:p w14:paraId="1F68A7D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89</w:t>
            </w:r>
          </w:p>
        </w:tc>
      </w:tr>
      <w:tr w:rsidR="00591820" w:rsidRPr="00445472" w14:paraId="362AB455" w14:textId="77777777" w:rsidTr="00166DBF">
        <w:trPr>
          <w:trHeight w:val="320"/>
        </w:trPr>
        <w:tc>
          <w:tcPr>
            <w:tcW w:w="5000" w:type="pct"/>
            <w:gridSpan w:val="3"/>
            <w:shd w:val="clear" w:color="auto" w:fill="D4D4D4"/>
            <w:vAlign w:val="center"/>
          </w:tcPr>
          <w:p w14:paraId="17F53CD0" w14:textId="5EEEEB2C"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Tatimet dhe </w:t>
            </w:r>
            <w:r w:rsidR="00D67757" w:rsidRPr="00445472">
              <w:rPr>
                <w:rFonts w:ascii="Garamond" w:eastAsia="MS Mincho" w:hAnsi="Garamond" w:cs="Arial"/>
                <w:sz w:val="18"/>
                <w:szCs w:val="18"/>
              </w:rPr>
              <w:t>subvencionet</w:t>
            </w:r>
          </w:p>
        </w:tc>
      </w:tr>
      <w:tr w:rsidR="00591820" w:rsidRPr="00445472" w14:paraId="1023499F" w14:textId="77777777" w:rsidTr="00166DBF">
        <w:trPr>
          <w:trHeight w:val="320"/>
        </w:trPr>
        <w:tc>
          <w:tcPr>
            <w:tcW w:w="3161" w:type="pct"/>
            <w:vAlign w:val="center"/>
          </w:tcPr>
          <w:p w14:paraId="1F54E04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Taksat dhe detyrimet</w:t>
            </w:r>
          </w:p>
        </w:tc>
        <w:tc>
          <w:tcPr>
            <w:tcW w:w="986" w:type="pct"/>
            <w:vAlign w:val="center"/>
          </w:tcPr>
          <w:p w14:paraId="162C842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2,060</w:t>
            </w:r>
          </w:p>
        </w:tc>
        <w:tc>
          <w:tcPr>
            <w:tcW w:w="853" w:type="pct"/>
            <w:vAlign w:val="center"/>
          </w:tcPr>
          <w:p w14:paraId="44D73BF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15</w:t>
            </w:r>
          </w:p>
        </w:tc>
      </w:tr>
      <w:tr w:rsidR="00591820" w:rsidRPr="00445472" w14:paraId="78AA14A4" w14:textId="77777777" w:rsidTr="00166DBF">
        <w:trPr>
          <w:trHeight w:val="320"/>
        </w:trPr>
        <w:tc>
          <w:tcPr>
            <w:tcW w:w="3161" w:type="pct"/>
            <w:shd w:val="clear" w:color="auto" w:fill="CCFFFF"/>
            <w:vAlign w:val="center"/>
          </w:tcPr>
          <w:p w14:paraId="34CC0DA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Kostot totale financiare për ujin</w:t>
            </w:r>
          </w:p>
        </w:tc>
        <w:tc>
          <w:tcPr>
            <w:tcW w:w="986" w:type="pct"/>
            <w:shd w:val="clear" w:color="auto" w:fill="CCFFFF"/>
            <w:vAlign w:val="center"/>
          </w:tcPr>
          <w:p w14:paraId="1334EF61"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840,799</w:t>
            </w:r>
          </w:p>
        </w:tc>
        <w:tc>
          <w:tcPr>
            <w:tcW w:w="853" w:type="pct"/>
            <w:shd w:val="clear" w:color="auto" w:fill="CCFFFF"/>
            <w:vAlign w:val="center"/>
          </w:tcPr>
          <w:p w14:paraId="70D00DB0"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6,138</w:t>
            </w:r>
          </w:p>
        </w:tc>
      </w:tr>
      <w:tr w:rsidR="00591820" w:rsidRPr="00445472" w14:paraId="454FECA5" w14:textId="77777777" w:rsidTr="00166DBF">
        <w:trPr>
          <w:trHeight w:val="320"/>
        </w:trPr>
        <w:tc>
          <w:tcPr>
            <w:tcW w:w="5000" w:type="pct"/>
            <w:gridSpan w:val="3"/>
            <w:vAlign w:val="center"/>
          </w:tcPr>
          <w:p w14:paraId="2FE6D396"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5EBACDC5" w14:textId="77777777" w:rsidTr="00166DBF">
        <w:trPr>
          <w:trHeight w:val="320"/>
        </w:trPr>
        <w:tc>
          <w:tcPr>
            <w:tcW w:w="3161" w:type="pct"/>
            <w:vAlign w:val="center"/>
          </w:tcPr>
          <w:p w14:paraId="263656E7"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Shërbimet e Ujërave të ndotura</w:t>
            </w:r>
          </w:p>
        </w:tc>
        <w:tc>
          <w:tcPr>
            <w:tcW w:w="986" w:type="pct"/>
            <w:vAlign w:val="center"/>
          </w:tcPr>
          <w:p w14:paraId="0DB0910C"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Lek</w:t>
            </w:r>
          </w:p>
        </w:tc>
        <w:tc>
          <w:tcPr>
            <w:tcW w:w="853" w:type="pct"/>
            <w:vAlign w:val="center"/>
          </w:tcPr>
          <w:p w14:paraId="49B92485"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Euro</w:t>
            </w:r>
          </w:p>
        </w:tc>
      </w:tr>
      <w:tr w:rsidR="00591820" w:rsidRPr="00445472" w14:paraId="001D8547" w14:textId="77777777" w:rsidTr="00166DBF">
        <w:trPr>
          <w:trHeight w:val="320"/>
        </w:trPr>
        <w:tc>
          <w:tcPr>
            <w:tcW w:w="5000" w:type="pct"/>
            <w:gridSpan w:val="3"/>
            <w:shd w:val="clear" w:color="auto" w:fill="D4D4D4"/>
            <w:vAlign w:val="center"/>
          </w:tcPr>
          <w:p w14:paraId="3F74D50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Shpenzimet operative dhe të mirëmbajtjes</w:t>
            </w:r>
          </w:p>
        </w:tc>
      </w:tr>
      <w:tr w:rsidR="00591820" w:rsidRPr="00445472" w14:paraId="325275AF" w14:textId="77777777" w:rsidTr="00166DBF">
        <w:trPr>
          <w:trHeight w:val="320"/>
        </w:trPr>
        <w:tc>
          <w:tcPr>
            <w:tcW w:w="3161" w:type="pct"/>
            <w:vAlign w:val="center"/>
          </w:tcPr>
          <w:p w14:paraId="078EA17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Kostoja e punës</w:t>
            </w:r>
          </w:p>
        </w:tc>
        <w:tc>
          <w:tcPr>
            <w:tcW w:w="986" w:type="pct"/>
            <w:vAlign w:val="center"/>
          </w:tcPr>
          <w:p w14:paraId="05D49C8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84,019</w:t>
            </w:r>
          </w:p>
        </w:tc>
        <w:tc>
          <w:tcPr>
            <w:tcW w:w="853" w:type="pct"/>
            <w:vAlign w:val="center"/>
          </w:tcPr>
          <w:p w14:paraId="4885066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613</w:t>
            </w:r>
          </w:p>
        </w:tc>
      </w:tr>
      <w:tr w:rsidR="00591820" w:rsidRPr="00445472" w14:paraId="738DBDD6" w14:textId="77777777" w:rsidTr="00166DBF">
        <w:trPr>
          <w:trHeight w:val="320"/>
        </w:trPr>
        <w:tc>
          <w:tcPr>
            <w:tcW w:w="3161" w:type="pct"/>
            <w:vAlign w:val="center"/>
          </w:tcPr>
          <w:p w14:paraId="2079813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Kostot materiale (përfshirë lëndët kimike)</w:t>
            </w:r>
          </w:p>
        </w:tc>
        <w:tc>
          <w:tcPr>
            <w:tcW w:w="986" w:type="pct"/>
            <w:vAlign w:val="center"/>
          </w:tcPr>
          <w:p w14:paraId="705F994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2,482</w:t>
            </w:r>
          </w:p>
        </w:tc>
        <w:tc>
          <w:tcPr>
            <w:tcW w:w="853" w:type="pct"/>
            <w:vAlign w:val="center"/>
          </w:tcPr>
          <w:p w14:paraId="1E88721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w:t>
            </w:r>
          </w:p>
        </w:tc>
      </w:tr>
      <w:tr w:rsidR="00591820" w:rsidRPr="00445472" w14:paraId="2EA9FB28" w14:textId="77777777" w:rsidTr="00166DBF">
        <w:trPr>
          <w:trHeight w:val="320"/>
        </w:trPr>
        <w:tc>
          <w:tcPr>
            <w:tcW w:w="3161" w:type="pct"/>
            <w:vAlign w:val="center"/>
          </w:tcPr>
          <w:p w14:paraId="1FB8A0A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Kostot e energjisë</w:t>
            </w:r>
          </w:p>
        </w:tc>
        <w:tc>
          <w:tcPr>
            <w:tcW w:w="986" w:type="pct"/>
            <w:vAlign w:val="center"/>
          </w:tcPr>
          <w:p w14:paraId="08F7B4F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12,069</w:t>
            </w:r>
          </w:p>
        </w:tc>
        <w:tc>
          <w:tcPr>
            <w:tcW w:w="853" w:type="pct"/>
            <w:vAlign w:val="center"/>
          </w:tcPr>
          <w:p w14:paraId="21E6CF4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88</w:t>
            </w:r>
          </w:p>
        </w:tc>
      </w:tr>
      <w:tr w:rsidR="00591820" w:rsidRPr="00445472" w14:paraId="464A1940" w14:textId="77777777" w:rsidTr="00166DBF">
        <w:trPr>
          <w:trHeight w:val="320"/>
        </w:trPr>
        <w:tc>
          <w:tcPr>
            <w:tcW w:w="3161" w:type="pct"/>
            <w:vAlign w:val="center"/>
          </w:tcPr>
          <w:p w14:paraId="4A1501C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Kostoja e riparimit dhe mirëmbajtjes</w:t>
            </w:r>
          </w:p>
        </w:tc>
        <w:tc>
          <w:tcPr>
            <w:tcW w:w="986" w:type="pct"/>
            <w:vAlign w:val="center"/>
          </w:tcPr>
          <w:p w14:paraId="22F102E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9,682</w:t>
            </w:r>
          </w:p>
        </w:tc>
        <w:tc>
          <w:tcPr>
            <w:tcW w:w="853" w:type="pct"/>
            <w:vAlign w:val="center"/>
          </w:tcPr>
          <w:p w14:paraId="130873A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71</w:t>
            </w:r>
          </w:p>
        </w:tc>
      </w:tr>
      <w:tr w:rsidR="00591820" w:rsidRPr="00445472" w14:paraId="53D86FF7" w14:textId="77777777" w:rsidTr="00166DBF">
        <w:trPr>
          <w:trHeight w:val="320"/>
        </w:trPr>
        <w:tc>
          <w:tcPr>
            <w:tcW w:w="3161" w:type="pct"/>
            <w:vAlign w:val="center"/>
          </w:tcPr>
          <w:p w14:paraId="23B77395"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Kostoja e shërbimeve të kontraktuara</w:t>
            </w:r>
          </w:p>
        </w:tc>
        <w:tc>
          <w:tcPr>
            <w:tcW w:w="986" w:type="pct"/>
            <w:vAlign w:val="center"/>
          </w:tcPr>
          <w:p w14:paraId="4FD9F1F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2,435</w:t>
            </w:r>
          </w:p>
        </w:tc>
        <w:tc>
          <w:tcPr>
            <w:tcW w:w="853" w:type="pct"/>
            <w:vAlign w:val="center"/>
          </w:tcPr>
          <w:p w14:paraId="7724A4F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w:t>
            </w:r>
          </w:p>
        </w:tc>
      </w:tr>
      <w:tr w:rsidR="00591820" w:rsidRPr="00445472" w14:paraId="3C0BBE7D" w14:textId="77777777" w:rsidTr="00166DBF">
        <w:trPr>
          <w:trHeight w:val="320"/>
        </w:trPr>
        <w:tc>
          <w:tcPr>
            <w:tcW w:w="3161" w:type="pct"/>
            <w:vAlign w:val="center"/>
          </w:tcPr>
          <w:p w14:paraId="314C3C69"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 të tjera</w:t>
            </w:r>
          </w:p>
        </w:tc>
        <w:tc>
          <w:tcPr>
            <w:tcW w:w="986" w:type="pct"/>
            <w:vAlign w:val="center"/>
          </w:tcPr>
          <w:p w14:paraId="54B64E4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5,937</w:t>
            </w:r>
          </w:p>
        </w:tc>
        <w:tc>
          <w:tcPr>
            <w:tcW w:w="853" w:type="pct"/>
            <w:vAlign w:val="center"/>
          </w:tcPr>
          <w:p w14:paraId="70E5D43B"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43</w:t>
            </w:r>
          </w:p>
        </w:tc>
      </w:tr>
      <w:tr w:rsidR="00591820" w:rsidRPr="00445472" w14:paraId="38EF2F21" w14:textId="77777777" w:rsidTr="00166DBF">
        <w:trPr>
          <w:trHeight w:val="320"/>
        </w:trPr>
        <w:tc>
          <w:tcPr>
            <w:tcW w:w="5000" w:type="pct"/>
            <w:gridSpan w:val="3"/>
            <w:shd w:val="clear" w:color="auto" w:fill="D4D4D4"/>
            <w:vAlign w:val="center"/>
          </w:tcPr>
          <w:p w14:paraId="2997A059" w14:textId="44D3EF0F"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Kostot </w:t>
            </w:r>
            <w:r w:rsidR="00D67757" w:rsidRPr="00445472">
              <w:rPr>
                <w:rFonts w:ascii="Garamond" w:eastAsia="MS Mincho" w:hAnsi="Garamond" w:cs="Arial"/>
                <w:sz w:val="18"/>
                <w:szCs w:val="18"/>
              </w:rPr>
              <w:t>kapitale</w:t>
            </w:r>
          </w:p>
        </w:tc>
      </w:tr>
      <w:tr w:rsidR="00591820" w:rsidRPr="00445472" w14:paraId="356374F8" w14:textId="77777777" w:rsidTr="00166DBF">
        <w:trPr>
          <w:trHeight w:val="320"/>
        </w:trPr>
        <w:tc>
          <w:tcPr>
            <w:tcW w:w="3161" w:type="pct"/>
            <w:vAlign w:val="center"/>
          </w:tcPr>
          <w:p w14:paraId="4AEFD2B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Amortizimi</w:t>
            </w:r>
          </w:p>
        </w:tc>
        <w:tc>
          <w:tcPr>
            <w:tcW w:w="986" w:type="pct"/>
            <w:vAlign w:val="center"/>
          </w:tcPr>
          <w:p w14:paraId="6D7291A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87,281</w:t>
            </w:r>
          </w:p>
        </w:tc>
        <w:tc>
          <w:tcPr>
            <w:tcW w:w="853" w:type="pct"/>
            <w:vAlign w:val="center"/>
          </w:tcPr>
          <w:p w14:paraId="5F4A030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637</w:t>
            </w:r>
          </w:p>
        </w:tc>
      </w:tr>
      <w:tr w:rsidR="00591820" w:rsidRPr="00445472" w14:paraId="4AB90251" w14:textId="77777777" w:rsidTr="00166DBF">
        <w:trPr>
          <w:trHeight w:val="320"/>
        </w:trPr>
        <w:tc>
          <w:tcPr>
            <w:tcW w:w="5000" w:type="pct"/>
            <w:gridSpan w:val="3"/>
            <w:shd w:val="clear" w:color="auto" w:fill="D4D4D4"/>
            <w:vAlign w:val="center"/>
          </w:tcPr>
          <w:p w14:paraId="438B1BDF" w14:textId="269376E0"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Shpenzimet </w:t>
            </w:r>
            <w:r w:rsidR="00D67757" w:rsidRPr="00445472">
              <w:rPr>
                <w:rFonts w:ascii="Garamond" w:eastAsia="MS Mincho" w:hAnsi="Garamond" w:cs="Arial"/>
                <w:sz w:val="18"/>
                <w:szCs w:val="18"/>
              </w:rPr>
              <w:t>administrative</w:t>
            </w:r>
          </w:p>
        </w:tc>
      </w:tr>
      <w:tr w:rsidR="00591820" w:rsidRPr="00445472" w14:paraId="61A55D54" w14:textId="77777777" w:rsidTr="00166DBF">
        <w:trPr>
          <w:trHeight w:val="320"/>
        </w:trPr>
        <w:tc>
          <w:tcPr>
            <w:tcW w:w="3161" w:type="pct"/>
            <w:vAlign w:val="center"/>
          </w:tcPr>
          <w:p w14:paraId="369AC22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Interesi</w:t>
            </w:r>
          </w:p>
        </w:tc>
        <w:tc>
          <w:tcPr>
            <w:tcW w:w="986" w:type="pct"/>
            <w:vAlign w:val="center"/>
          </w:tcPr>
          <w:p w14:paraId="6A164A9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4</w:t>
            </w:r>
          </w:p>
        </w:tc>
        <w:tc>
          <w:tcPr>
            <w:tcW w:w="853" w:type="pct"/>
            <w:vAlign w:val="center"/>
          </w:tcPr>
          <w:p w14:paraId="74399F6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0</w:t>
            </w:r>
          </w:p>
        </w:tc>
      </w:tr>
      <w:tr w:rsidR="00591820" w:rsidRPr="00445472" w14:paraId="205C740A" w14:textId="77777777" w:rsidTr="00166DBF">
        <w:trPr>
          <w:trHeight w:val="320"/>
        </w:trPr>
        <w:tc>
          <w:tcPr>
            <w:tcW w:w="3161" w:type="pct"/>
            <w:vAlign w:val="center"/>
          </w:tcPr>
          <w:p w14:paraId="1FFA45C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Shpenzime të tjera financiare</w:t>
            </w:r>
          </w:p>
        </w:tc>
        <w:tc>
          <w:tcPr>
            <w:tcW w:w="986" w:type="pct"/>
            <w:vAlign w:val="center"/>
          </w:tcPr>
          <w:p w14:paraId="5F54544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5,332</w:t>
            </w:r>
          </w:p>
        </w:tc>
        <w:tc>
          <w:tcPr>
            <w:tcW w:w="853" w:type="pct"/>
            <w:vAlign w:val="center"/>
          </w:tcPr>
          <w:p w14:paraId="41316E2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39</w:t>
            </w:r>
          </w:p>
        </w:tc>
      </w:tr>
      <w:tr w:rsidR="00591820" w:rsidRPr="00445472" w14:paraId="434B44B8" w14:textId="77777777" w:rsidTr="00166DBF">
        <w:trPr>
          <w:trHeight w:val="320"/>
        </w:trPr>
        <w:tc>
          <w:tcPr>
            <w:tcW w:w="5000" w:type="pct"/>
            <w:gridSpan w:val="3"/>
            <w:shd w:val="clear" w:color="auto" w:fill="D4D4D4"/>
            <w:vAlign w:val="center"/>
          </w:tcPr>
          <w:p w14:paraId="15DC663F" w14:textId="0F0A88C3"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Tatimet dhe </w:t>
            </w:r>
            <w:r w:rsidR="00D67757" w:rsidRPr="00445472">
              <w:rPr>
                <w:rFonts w:ascii="Garamond" w:eastAsia="MS Mincho" w:hAnsi="Garamond" w:cs="Arial"/>
                <w:sz w:val="18"/>
                <w:szCs w:val="18"/>
              </w:rPr>
              <w:t>subvencionet</w:t>
            </w:r>
          </w:p>
        </w:tc>
      </w:tr>
      <w:tr w:rsidR="00591820" w:rsidRPr="00445472" w14:paraId="5C09F507" w14:textId="77777777" w:rsidTr="00166DBF">
        <w:trPr>
          <w:trHeight w:val="320"/>
        </w:trPr>
        <w:tc>
          <w:tcPr>
            <w:tcW w:w="3161" w:type="pct"/>
            <w:vAlign w:val="center"/>
          </w:tcPr>
          <w:p w14:paraId="39982BC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Taksat dhe detyrimet</w:t>
            </w:r>
          </w:p>
        </w:tc>
        <w:tc>
          <w:tcPr>
            <w:tcW w:w="986" w:type="pct"/>
            <w:vAlign w:val="center"/>
          </w:tcPr>
          <w:p w14:paraId="1DD4181C"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914</w:t>
            </w:r>
          </w:p>
        </w:tc>
        <w:tc>
          <w:tcPr>
            <w:tcW w:w="853" w:type="pct"/>
            <w:vAlign w:val="center"/>
          </w:tcPr>
          <w:p w14:paraId="6CADA118"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w w:val="99"/>
                <w:sz w:val="18"/>
                <w:szCs w:val="18"/>
              </w:rPr>
              <w:t>7</w:t>
            </w:r>
          </w:p>
        </w:tc>
      </w:tr>
      <w:tr w:rsidR="00591820" w:rsidRPr="00445472" w14:paraId="4910D561" w14:textId="77777777" w:rsidTr="00166DBF">
        <w:trPr>
          <w:trHeight w:val="320"/>
        </w:trPr>
        <w:tc>
          <w:tcPr>
            <w:tcW w:w="3161" w:type="pct"/>
            <w:shd w:val="clear" w:color="auto" w:fill="CCFFFF"/>
            <w:vAlign w:val="center"/>
          </w:tcPr>
          <w:p w14:paraId="0509E92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Kostot totale financiare për ujërat e zeza</w:t>
            </w:r>
          </w:p>
        </w:tc>
        <w:tc>
          <w:tcPr>
            <w:tcW w:w="986" w:type="pct"/>
            <w:shd w:val="clear" w:color="auto" w:fill="CCFFFF"/>
            <w:vAlign w:val="center"/>
          </w:tcPr>
          <w:p w14:paraId="6843692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210,155</w:t>
            </w:r>
          </w:p>
        </w:tc>
        <w:tc>
          <w:tcPr>
            <w:tcW w:w="853" w:type="pct"/>
            <w:shd w:val="clear" w:color="auto" w:fill="CCFFFF"/>
            <w:vAlign w:val="center"/>
          </w:tcPr>
          <w:p w14:paraId="7D268031"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1,534</w:t>
            </w:r>
          </w:p>
        </w:tc>
      </w:tr>
      <w:tr w:rsidR="00591820" w:rsidRPr="00445472" w14:paraId="3E9F9C9A" w14:textId="77777777" w:rsidTr="00166DBF">
        <w:trPr>
          <w:trHeight w:val="320"/>
        </w:trPr>
        <w:tc>
          <w:tcPr>
            <w:tcW w:w="3161" w:type="pct"/>
            <w:tcBorders>
              <w:bottom w:val="single" w:sz="6" w:space="0" w:color="27B0AF"/>
            </w:tcBorders>
            <w:vAlign w:val="center"/>
          </w:tcPr>
          <w:p w14:paraId="25D6D490" w14:textId="77777777" w:rsidR="00591820" w:rsidRPr="00445472" w:rsidRDefault="00591820" w:rsidP="002A1F08">
            <w:pPr>
              <w:spacing w:before="22" w:after="22"/>
              <w:ind w:right="63"/>
              <w:jc w:val="center"/>
              <w:rPr>
                <w:rFonts w:ascii="Garamond" w:eastAsia="MS Mincho" w:hAnsi="Garamond" w:cs="Arial"/>
                <w:sz w:val="18"/>
                <w:szCs w:val="18"/>
              </w:rPr>
            </w:pPr>
          </w:p>
        </w:tc>
        <w:tc>
          <w:tcPr>
            <w:tcW w:w="986" w:type="pct"/>
            <w:tcBorders>
              <w:bottom w:val="single" w:sz="6" w:space="0" w:color="27B0AF"/>
            </w:tcBorders>
            <w:vAlign w:val="center"/>
          </w:tcPr>
          <w:p w14:paraId="3DA5687C" w14:textId="77777777" w:rsidR="00591820" w:rsidRPr="00445472" w:rsidRDefault="00591820" w:rsidP="002A1F08">
            <w:pPr>
              <w:spacing w:before="22" w:after="22"/>
              <w:ind w:right="63"/>
              <w:jc w:val="center"/>
              <w:rPr>
                <w:rFonts w:ascii="Garamond" w:eastAsia="MS Mincho" w:hAnsi="Garamond" w:cs="Arial"/>
                <w:sz w:val="18"/>
                <w:szCs w:val="18"/>
              </w:rPr>
            </w:pPr>
          </w:p>
        </w:tc>
        <w:tc>
          <w:tcPr>
            <w:tcW w:w="853" w:type="pct"/>
            <w:tcBorders>
              <w:bottom w:val="single" w:sz="6" w:space="0" w:color="27B0AF"/>
            </w:tcBorders>
            <w:vAlign w:val="center"/>
          </w:tcPr>
          <w:p w14:paraId="0DA64487"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6D27AB1B" w14:textId="77777777" w:rsidTr="00166DBF">
        <w:trPr>
          <w:trHeight w:val="320"/>
        </w:trPr>
        <w:tc>
          <w:tcPr>
            <w:tcW w:w="3161" w:type="pct"/>
            <w:shd w:val="clear" w:color="auto" w:fill="CCFFCC"/>
            <w:vAlign w:val="center"/>
          </w:tcPr>
          <w:p w14:paraId="0C478435" w14:textId="7E15D4FA"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Shpenzimet totale financiare për </w:t>
            </w:r>
            <w:r w:rsidR="00D67757" w:rsidRPr="00445472">
              <w:rPr>
                <w:rFonts w:ascii="Garamond" w:eastAsia="MS Mincho" w:hAnsi="Garamond" w:cs="Arial"/>
                <w:sz w:val="18"/>
                <w:szCs w:val="18"/>
              </w:rPr>
              <w:t>shërbimet e ujit dhe ujërave të ndotura</w:t>
            </w:r>
          </w:p>
        </w:tc>
        <w:tc>
          <w:tcPr>
            <w:tcW w:w="986" w:type="pct"/>
            <w:shd w:val="clear" w:color="auto" w:fill="CCFFCC"/>
            <w:vAlign w:val="center"/>
          </w:tcPr>
          <w:p w14:paraId="2EA7AAF0" w14:textId="77777777" w:rsidR="00591820" w:rsidRPr="00445472" w:rsidRDefault="00591820" w:rsidP="002A1F08">
            <w:pPr>
              <w:spacing w:before="22" w:after="22"/>
              <w:ind w:right="63"/>
              <w:jc w:val="center"/>
              <w:rPr>
                <w:rFonts w:ascii="Garamond" w:eastAsia="MS Mincho" w:hAnsi="Garamond" w:cs="Arial"/>
                <w:b/>
                <w:sz w:val="18"/>
                <w:szCs w:val="18"/>
              </w:rPr>
            </w:pPr>
          </w:p>
          <w:p w14:paraId="7155902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1,050,954</w:t>
            </w:r>
          </w:p>
        </w:tc>
        <w:tc>
          <w:tcPr>
            <w:tcW w:w="853" w:type="pct"/>
            <w:shd w:val="clear" w:color="auto" w:fill="CCFFCC"/>
            <w:vAlign w:val="center"/>
          </w:tcPr>
          <w:p w14:paraId="7A890A20" w14:textId="77777777" w:rsidR="00591820" w:rsidRPr="00445472" w:rsidRDefault="00591820" w:rsidP="002A1F08">
            <w:pPr>
              <w:spacing w:before="22" w:after="22"/>
              <w:ind w:right="63"/>
              <w:jc w:val="center"/>
              <w:rPr>
                <w:rFonts w:ascii="Garamond" w:eastAsia="MS Mincho" w:hAnsi="Garamond" w:cs="Arial"/>
                <w:b/>
                <w:sz w:val="18"/>
                <w:szCs w:val="18"/>
              </w:rPr>
            </w:pPr>
          </w:p>
          <w:p w14:paraId="76567086"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7,672</w:t>
            </w:r>
          </w:p>
        </w:tc>
      </w:tr>
    </w:tbl>
    <w:p w14:paraId="25DC1057" w14:textId="77777777" w:rsidR="00591820" w:rsidRPr="00445472" w:rsidRDefault="00591820" w:rsidP="00166DBF">
      <w:pPr>
        <w:pStyle w:val="TEKSTIIII"/>
      </w:pPr>
      <w:bookmarkStart w:id="270" w:name="_bookmark57"/>
      <w:bookmarkEnd w:id="270"/>
    </w:p>
    <w:p w14:paraId="67C82806" w14:textId="3679FCE3" w:rsidR="00591820" w:rsidRPr="00445472" w:rsidRDefault="00166DBF" w:rsidP="00166DBF">
      <w:pPr>
        <w:pStyle w:val="NENTITULL"/>
      </w:pPr>
      <w:bookmarkStart w:id="271" w:name="_Toc11068872"/>
      <w:r w:rsidRPr="00445472">
        <w:t xml:space="preserve">11.6.1 </w:t>
      </w:r>
      <w:r w:rsidR="00591820" w:rsidRPr="00445472">
        <w:t>Kostot e mjedisit dhe burimeve</w:t>
      </w:r>
      <w:bookmarkEnd w:id="271"/>
    </w:p>
    <w:p w14:paraId="04B44C5E" w14:textId="77777777" w:rsidR="00591820" w:rsidRPr="00445472" w:rsidRDefault="00591820" w:rsidP="00166DBF">
      <w:pPr>
        <w:pStyle w:val="TEKSTIIII"/>
      </w:pPr>
      <w:r w:rsidRPr="00445472">
        <w:t>Shpenzimet e burimeve, përcaktohen si kosto e mundësisë për përdorimin e ujit si një burim i pakët në një mënyrë të veçantë (p.sh. nëpërmjet nxjerrjes ose shkarkimit të ujërave të ndotura) në kohë dhe hapësirë. Ato janë të barabarta me diferencën midis vlerës ekonomike në aspektin e përfitimeve neto të përdorimit të ujit aktual ose të ardhshëm (p.sh. alokimi i lejeve të emetimit ose nxjerrjes së ujit) dhe vlerës ekonomike në aspektin e përfitimeve neto të përdorimit alternativ më të mirë të ujit (tani ose në të ardhmen). Shpenzimet e burimeve lindin vetëm nëse përdorimi alternativ i ujit gjeneron një vlerë më të lartë ekonomike sesa përdorimi aktual ose i parashikuar i ujit në të ardhmen.</w:t>
      </w:r>
    </w:p>
    <w:p w14:paraId="13E271FE" w14:textId="77777777" w:rsidR="00591820" w:rsidRPr="00445472" w:rsidRDefault="00591820" w:rsidP="00166DBF">
      <w:pPr>
        <w:pStyle w:val="TEKSTIIII"/>
        <w:rPr>
          <w:i/>
        </w:rPr>
      </w:pPr>
      <w:r w:rsidRPr="00445472">
        <w:rPr>
          <w:i/>
        </w:rPr>
        <w:t>Për shkak të aktivitetit relativisht të ulët industrial dhe bujqësor në zonën e basenit ujor dhe disponueshmërisë së burimeve ujore, në këtë analizë nuk janë identifikuar kostot e burimeve.</w:t>
      </w:r>
    </w:p>
    <w:p w14:paraId="713BC775" w14:textId="37D7A509" w:rsidR="00591820" w:rsidRPr="00445472" w:rsidRDefault="00591820" w:rsidP="00166DBF">
      <w:pPr>
        <w:pStyle w:val="TEKSTIIII"/>
      </w:pPr>
      <w:r w:rsidRPr="00445472">
        <w:t xml:space="preserve">Kostot mjedisore përbëhen nga kostot e dëmit mjedisor të degradimit të ekosistemit ujor dhe shterimit të shkaktuar nga një përdorim i veçantë i ujit (p.sh. nxjerrja e ujit ose shkarkimi i ndotësve). Mund të bëhet një dallim midis kostove të dëmtimit në mjedisin e ujit dhe atyre që përdorin mjedisin e ujit. Interpretuar në terma të konceptit të vlerës totale ekonomike, mund të argumentohet se kostot e dëmit mjedisor i referohen vlerave të mos përdorimit të </w:t>
      </w:r>
      <w:r w:rsidR="00FD1436" w:rsidRPr="00445472">
        <w:t>përshtatshëm</w:t>
      </w:r>
      <w:r w:rsidRPr="00445472">
        <w:t xml:space="preserve"> të një ekosistemi ujor funksional, ndërsa shpenzimet për ata që përdorin mjedisin e ujit i referohen vlerave përkatëse të përdorimit. </w:t>
      </w:r>
    </w:p>
    <w:p w14:paraId="1D5FB776" w14:textId="77777777" w:rsidR="00591820" w:rsidRPr="00445472" w:rsidRDefault="00591820" w:rsidP="00166DBF">
      <w:pPr>
        <w:pStyle w:val="TEKSTIIII"/>
      </w:pPr>
      <w:r w:rsidRPr="00445472">
        <w:t>Në basenin e lumit ka disa raste të ndotjes së ujit për shkak të shkarkimeve të ujërave të ndotura të patrajtuara në lumë. Për fat të keq, për shkak të mungesës së të dhënave të besueshme, vlera e këtyre kostove të dëmit nuk mund të vlerësohej. Në analizën e rikuperimit së kostos, këto kosto nuk u morën në konsideratë. Nëse dhe kur do të jenë të disponueshme të dhënat e besueshme, kostot mjedisore do të vlerësohen dhe përfshihen në analizën e rikuperimit të kostos ekonomike.</w:t>
      </w:r>
    </w:p>
    <w:p w14:paraId="7C0DE954" w14:textId="00E7698F" w:rsidR="00591820" w:rsidRPr="00445472" w:rsidRDefault="00166DBF" w:rsidP="00166DBF">
      <w:pPr>
        <w:pStyle w:val="NENTITULL"/>
      </w:pPr>
      <w:bookmarkStart w:id="272" w:name="_bookmark58"/>
      <w:bookmarkStart w:id="273" w:name="_Toc11068873"/>
      <w:bookmarkEnd w:id="272"/>
      <w:r w:rsidRPr="00445472">
        <w:t xml:space="preserve">11.6.2 </w:t>
      </w:r>
      <w:r w:rsidR="00591820" w:rsidRPr="00445472">
        <w:t>Mekanizmi i rikuperimit të kostos</w:t>
      </w:r>
      <w:bookmarkEnd w:id="273"/>
    </w:p>
    <w:p w14:paraId="3CBD35F3" w14:textId="044F75C8" w:rsidR="00591820" w:rsidRPr="00445472" w:rsidRDefault="00591820" w:rsidP="00166DBF">
      <w:pPr>
        <w:pStyle w:val="TEKSTIIII"/>
      </w:pPr>
      <w:r w:rsidRPr="00445472">
        <w:t>Rregullimi synon të sigurojë që çmimi t</w:t>
      </w:r>
      <w:r w:rsidR="00034FBB">
        <w:t>ë</w:t>
      </w:r>
      <w:r w:rsidRPr="00445472">
        <w:t xml:space="preserve"> ujit dhe ujërave të ndotura të përshtatshëm në lidhje me cilësinë e shërbimit. Rregullimi i tarifave sipas Udhëzuesit për vendosjen e tarifave nga ana e Entit Rregullator të Ujit të Shqipërisë përbëhet nga:</w:t>
      </w:r>
    </w:p>
    <w:p w14:paraId="41CB7DA0" w14:textId="52522352" w:rsidR="00591820" w:rsidRPr="00445472" w:rsidRDefault="00F574E2" w:rsidP="00166DBF">
      <w:pPr>
        <w:pStyle w:val="TEKSTIIII"/>
      </w:pPr>
      <w:r>
        <w:t xml:space="preserve">- </w:t>
      </w:r>
      <w:r w:rsidR="00591820" w:rsidRPr="00445472">
        <w:t>Shqyrtimi i kostove;</w:t>
      </w:r>
    </w:p>
    <w:p w14:paraId="369F2E81" w14:textId="11C1A4AE" w:rsidR="00591820" w:rsidRPr="00445472" w:rsidRDefault="00F574E2" w:rsidP="00166DBF">
      <w:pPr>
        <w:pStyle w:val="TEKSTIIII"/>
      </w:pPr>
      <w:r>
        <w:t xml:space="preserve">- </w:t>
      </w:r>
      <w:r w:rsidR="00591820" w:rsidRPr="00445472">
        <w:t xml:space="preserve">Dhënia e stimujve për kompanitë që të përmirësohen </w:t>
      </w:r>
      <w:r w:rsidR="00FD1436" w:rsidRPr="00445472">
        <w:t>shërbimi</w:t>
      </w:r>
      <w:r w:rsidR="00591820" w:rsidRPr="00445472">
        <w:t>;</w:t>
      </w:r>
    </w:p>
    <w:p w14:paraId="13C7DA5D" w14:textId="3421DA54" w:rsidR="00591820" w:rsidRPr="00445472" w:rsidRDefault="00F574E2" w:rsidP="00166DBF">
      <w:pPr>
        <w:pStyle w:val="TEKSTIIII"/>
      </w:pPr>
      <w:r>
        <w:t xml:space="preserve">- </w:t>
      </w:r>
      <w:r w:rsidR="00591820" w:rsidRPr="00445472">
        <w:t>Strukturimi i procesit të përcaktimit të tarifave; dhe</w:t>
      </w:r>
    </w:p>
    <w:p w14:paraId="7510F0E8" w14:textId="4CD76AB9" w:rsidR="00591820" w:rsidRPr="00445472" w:rsidRDefault="00F574E2" w:rsidP="00166DBF">
      <w:pPr>
        <w:pStyle w:val="TEKSTIIII"/>
      </w:pPr>
      <w:r>
        <w:t xml:space="preserve">- </w:t>
      </w:r>
      <w:r w:rsidR="00591820" w:rsidRPr="00445472">
        <w:t>Miratimi i tarifave.</w:t>
      </w:r>
    </w:p>
    <w:p w14:paraId="25F6ED4B" w14:textId="7D6A958A" w:rsidR="00591820" w:rsidRPr="00445472" w:rsidRDefault="00591820" w:rsidP="00166DBF">
      <w:pPr>
        <w:pStyle w:val="TEKSTIIII"/>
      </w:pPr>
      <w:r w:rsidRPr="00445472">
        <w:t>Në pajtim me ligjin nr.</w:t>
      </w:r>
      <w:r w:rsidR="00FD1436" w:rsidRPr="00445472">
        <w:t xml:space="preserve"> </w:t>
      </w:r>
      <w:r w:rsidRPr="00445472">
        <w:t>8102, dat</w:t>
      </w:r>
      <w:r w:rsidR="00C83744">
        <w:t>ë 28.</w:t>
      </w:r>
      <w:r w:rsidRPr="00445472">
        <w:t>3.1996</w:t>
      </w:r>
      <w:r w:rsidR="00D62EDF" w:rsidRPr="00445472">
        <w:t xml:space="preserve">, “Për </w:t>
      </w:r>
      <w:r w:rsidR="00FD1436" w:rsidRPr="00445472">
        <w:t>kuadrin rregullator të sektorit të furnizimit me ujë dhe të largimit dhe përpunimit të ujërave të ndotura</w:t>
      </w:r>
      <w:r w:rsidR="00D62EDF" w:rsidRPr="00445472">
        <w:t>”</w:t>
      </w:r>
      <w:r w:rsidRPr="00445472">
        <w:t>, dhe ndryshimet e tij, Enti Rregullator i Ujit është duke kryer këto funksione të rëndësishme rregullative në sektorin e ujësjellës</w:t>
      </w:r>
      <w:r w:rsidR="00E14B89">
        <w:t>-</w:t>
      </w:r>
      <w:r w:rsidRPr="00445472">
        <w:t>kanalizimeve në Shqipëri.</w:t>
      </w:r>
    </w:p>
    <w:p w14:paraId="0CFA1736" w14:textId="77777777" w:rsidR="00591820" w:rsidRPr="00445472" w:rsidRDefault="00591820" w:rsidP="00166DBF">
      <w:pPr>
        <w:pStyle w:val="TEKSTIIII"/>
      </w:pPr>
      <w:r w:rsidRPr="00445472">
        <w:t>Objektivat e Entit Rregullator të Ujit në miratimin e tarifave dhe tarifave të tjera të shërbimit janë si më poshtë:</w:t>
      </w:r>
    </w:p>
    <w:p w14:paraId="71593899" w14:textId="7F2607EE" w:rsidR="00591820" w:rsidRPr="00445472" w:rsidRDefault="00F574E2" w:rsidP="00166DBF">
      <w:pPr>
        <w:pStyle w:val="TEKSTIIII"/>
      </w:pPr>
      <w:r>
        <w:t xml:space="preserve">- </w:t>
      </w:r>
      <w:r w:rsidR="00591820" w:rsidRPr="00445472">
        <w:t>Të mbrojë konsumatorët kundër çmimeve të monopolit; dhe</w:t>
      </w:r>
    </w:p>
    <w:p w14:paraId="06DD3873" w14:textId="710B35A9" w:rsidR="00591820" w:rsidRPr="00445472" w:rsidRDefault="00F574E2" w:rsidP="00166DBF">
      <w:pPr>
        <w:pStyle w:val="TEKSTIIII"/>
      </w:pPr>
      <w:r>
        <w:t xml:space="preserve">- </w:t>
      </w:r>
      <w:r w:rsidR="00591820" w:rsidRPr="00445472">
        <w:t>Të lejojë të licencuarit të mbulojnë shpenzimet e arsyeshme të shkaktuara për të ofruar shërbime efektive, duke përfshirë mundësinë për të arritur një kthim të investimit të tyre, që do të ishte i mjaftueshëm për përmirësime dhe punë të tjera ndërtimore.</w:t>
      </w:r>
    </w:p>
    <w:p w14:paraId="6FCB58C9" w14:textId="77777777" w:rsidR="00591820" w:rsidRPr="00445472" w:rsidRDefault="00591820" w:rsidP="00166DBF">
      <w:pPr>
        <w:pStyle w:val="TEKSTIIII"/>
      </w:pPr>
      <w:r w:rsidRPr="00445472">
        <w:t xml:space="preserve">Objektivi i dytë është veçanërisht i rëndësishëm pasi shumica e ofruesve të shërbimeve të ujit në Shqipëri ende nuk janë në gjendje të mbulojnë kostot e tyre aktuale për shkak të niveleve të ulëta tarifore. Prandaj ky është një objektiv i menjëhershëm i rregullimit të tarifave për të arritur së pari mbulimin e kostove të operimit dhe të mirëmbajtjes dhe më vonë të kostove totale. Autoriteti Rregullator i Ujit, pra, synon të mbështesë arritjen graduale të rikuperimit së plotë të kostos në përputhje me Direktivat e BE-së për Ujërat. </w:t>
      </w:r>
    </w:p>
    <w:p w14:paraId="6719FC05" w14:textId="4D2D78A2" w:rsidR="00591820" w:rsidRPr="00445472" w:rsidRDefault="00591820" w:rsidP="00166DBF">
      <w:pPr>
        <w:pStyle w:val="TEKSTIIII"/>
      </w:pPr>
      <w:r w:rsidRPr="00445472">
        <w:rPr>
          <w:b/>
        </w:rPr>
        <w:t xml:space="preserve">Udhëzuesi për përcaktimin e </w:t>
      </w:r>
      <w:r w:rsidR="00FD1436" w:rsidRPr="00445472">
        <w:rPr>
          <w:b/>
        </w:rPr>
        <w:t>tarifave</w:t>
      </w:r>
      <w:r w:rsidR="00FD1436" w:rsidRPr="00445472">
        <w:t xml:space="preserve"> </w:t>
      </w:r>
      <w:r w:rsidRPr="00445472">
        <w:t>specifikon mekanizmat e mëposhtme të përcaktimit të tarifave për shërbimet e ujit dhe kanalizimit:</w:t>
      </w:r>
    </w:p>
    <w:p w14:paraId="5E997E42" w14:textId="6A15748F" w:rsidR="00591820" w:rsidRPr="00445472" w:rsidRDefault="004B2267" w:rsidP="004B2267">
      <w:pPr>
        <w:pStyle w:val="NENTITULL"/>
      </w:pPr>
      <w:bookmarkStart w:id="274" w:name="_bookmark59"/>
      <w:bookmarkStart w:id="275" w:name="_Toc11068874"/>
      <w:bookmarkEnd w:id="274"/>
      <w:r w:rsidRPr="00445472">
        <w:t xml:space="preserve">11.6.3 </w:t>
      </w:r>
      <w:r w:rsidR="00591820" w:rsidRPr="00445472">
        <w:t xml:space="preserve">Tarifat për </w:t>
      </w:r>
      <w:r w:rsidR="00FD1436" w:rsidRPr="00445472">
        <w:t>shërbimet e ujit</w:t>
      </w:r>
      <w:bookmarkEnd w:id="275"/>
    </w:p>
    <w:p w14:paraId="418D9007" w14:textId="77777777" w:rsidR="00591820" w:rsidRPr="00445472" w:rsidRDefault="00591820" w:rsidP="00166DBF">
      <w:pPr>
        <w:pStyle w:val="TEKSTIIII"/>
      </w:pPr>
      <w:r w:rsidRPr="00445472">
        <w:t xml:space="preserve">Aty ku ekziston matja (konsumatorët me matës), ERRU do të kërkojë </w:t>
      </w:r>
      <w:r w:rsidRPr="00445472">
        <w:rPr>
          <w:b/>
        </w:rPr>
        <w:t>tarifat me dy pjesë</w:t>
      </w:r>
      <w:r w:rsidRPr="00445472">
        <w:t>, prej të cilave:</w:t>
      </w:r>
    </w:p>
    <w:p w14:paraId="6EDB4584" w14:textId="56168C81" w:rsidR="00591820" w:rsidRPr="00445472" w:rsidRDefault="00F574E2" w:rsidP="00166DBF">
      <w:pPr>
        <w:pStyle w:val="TEKSTIIII"/>
      </w:pPr>
      <w:r>
        <w:t xml:space="preserve">- </w:t>
      </w:r>
      <w:r w:rsidR="00591820" w:rsidRPr="00445472">
        <w:t>Një pjesë është një pagesë që mbulon kostot fikse. Kjo do të mbulohet nga konsumatorët përmes një komponenti tarifor fiks mujor;</w:t>
      </w:r>
    </w:p>
    <w:p w14:paraId="6D06C526" w14:textId="3A19114C" w:rsidR="00591820" w:rsidRPr="00445472" w:rsidRDefault="00F574E2" w:rsidP="00166DBF">
      <w:pPr>
        <w:pStyle w:val="TEKSTIIII"/>
      </w:pPr>
      <w:r>
        <w:t xml:space="preserve">- </w:t>
      </w:r>
      <w:r w:rsidR="00591820" w:rsidRPr="00445472">
        <w:t>Pjesa tjetër është një pagesë e lidhur me shpenzimet volumetrike (të përdorimit). Një tarifë me dy pjesë ndihmon për të siguruar që një ofrues i shërbimeve nuk i tejkalon ose nuk mbulon shpenzimet fikse nëse vëllimet e shitjeve ose lidhjet e konsumatorëve përfundojnë duke qenë të ndryshme nga ato të parashikuara. Është politika e qeverisë që të gjithë konsumatorët duhet të maten. Aty ku ofruesit e shërbimeve nuk e kanë arritur ende këtë objektiv, ata duhet të propozojnë një tarifë fikse mujore për konsumatorët pa matës (konsumatorë pa matës) dhe një plan për të kaluar në matjen 100%.</w:t>
      </w:r>
    </w:p>
    <w:p w14:paraId="37C627BC" w14:textId="77777777" w:rsidR="00591820" w:rsidRPr="00445472" w:rsidRDefault="00591820" w:rsidP="00166DBF">
      <w:pPr>
        <w:pStyle w:val="TEKSTIIII"/>
      </w:pPr>
      <w:r w:rsidRPr="00445472">
        <w:t>Për konsumatorët pa matës, duhet të aplikohet tarifa e sheshtë (konsumatori paguan një çmim të paracaktuar pa një specifikim volumetrik). Kjo tarifë duhet të vendoset në një nivel që nxit konsumatorët të kalojnë në furnizimin me matje.</w:t>
      </w:r>
    </w:p>
    <w:p w14:paraId="47EF248C" w14:textId="21BE1A02" w:rsidR="00591820" w:rsidRPr="00445472" w:rsidRDefault="004B2267" w:rsidP="004B2267">
      <w:pPr>
        <w:pStyle w:val="NENTITULL"/>
      </w:pPr>
      <w:bookmarkStart w:id="276" w:name="_bookmark60"/>
      <w:bookmarkStart w:id="277" w:name="_Toc11068875"/>
      <w:bookmarkEnd w:id="276"/>
      <w:r w:rsidRPr="00445472">
        <w:t xml:space="preserve">11.6.4 </w:t>
      </w:r>
      <w:r w:rsidR="00591820" w:rsidRPr="00445472">
        <w:t>Tarifat për shërbimet e ujërave të ndotura</w:t>
      </w:r>
      <w:bookmarkEnd w:id="277"/>
    </w:p>
    <w:p w14:paraId="3C59F31D" w14:textId="6EB961AE" w:rsidR="00591820" w:rsidRPr="00445472" w:rsidRDefault="00F574E2" w:rsidP="00166DBF">
      <w:pPr>
        <w:pStyle w:val="TEKSTIIII"/>
      </w:pPr>
      <w:r>
        <w:t xml:space="preserve">- </w:t>
      </w:r>
      <w:r w:rsidR="00591820" w:rsidRPr="00445472">
        <w:t>Shpenzimet për shërbimet e ujërave të ndotura përcaktohen nga sasia e ujërave të ndotura të gjeneruara nga secili konsumator. Sasia e ujërave të ndotura do të jetë 100% e sasisë së ujit të konsumuar.</w:t>
      </w:r>
    </w:p>
    <w:p w14:paraId="61D07AB9" w14:textId="58E53E94" w:rsidR="00591820" w:rsidRPr="00445472" w:rsidRDefault="00F574E2" w:rsidP="00166DBF">
      <w:pPr>
        <w:pStyle w:val="TEKSTIIII"/>
      </w:pPr>
      <w:r>
        <w:t xml:space="preserve">- </w:t>
      </w:r>
      <w:r w:rsidR="00591820" w:rsidRPr="00445472">
        <w:t>Vetëm në rastet kur konsumatorët marrin ujë nga një pus ose burime të tjera nevojitet matje shtesë. Është i mundur një përbërës fiks i kanalizimit përveç komponentit volumetrik.</w:t>
      </w:r>
    </w:p>
    <w:p w14:paraId="1600E739" w14:textId="6D9EA308" w:rsidR="00591820" w:rsidRPr="00445472" w:rsidRDefault="00F574E2" w:rsidP="00166DBF">
      <w:pPr>
        <w:pStyle w:val="TEKSTIIII"/>
      </w:pPr>
      <w:r>
        <w:t xml:space="preserve">- </w:t>
      </w:r>
      <w:r w:rsidR="00591820" w:rsidRPr="00445472">
        <w:t>Një ofrues shërbimi mund të vendosë shpenzime të veçanta për ndotësit e rëndë. Përveç kësaj, mund të kërkohen tarifa të veçanta për shembull sanitizimi në vend. Ata duhet të mbulojnë kostot reale.</w:t>
      </w:r>
    </w:p>
    <w:p w14:paraId="3BB32B48" w14:textId="3F6A2B7E" w:rsidR="00591820" w:rsidRPr="00445472" w:rsidRDefault="00591820" w:rsidP="00166DBF">
      <w:pPr>
        <w:pStyle w:val="TEKSTIIII"/>
      </w:pPr>
      <w:r w:rsidRPr="00445472">
        <w:t xml:space="preserve">Nivelet aktuale të tarifave që zbatohen nga Shërbimet e Ujësjellësit në Basenin Ujor </w:t>
      </w:r>
      <w:r w:rsidR="007E76E3" w:rsidRPr="00445472">
        <w:t>Drin–Bunë</w:t>
      </w:r>
      <w:r w:rsidRPr="00445472">
        <w:t xml:space="preserve"> janë paraqitur në Tabelën 11.16.</w:t>
      </w:r>
    </w:p>
    <w:p w14:paraId="63903E20" w14:textId="5F85CF57" w:rsidR="00591820" w:rsidRPr="00445472" w:rsidRDefault="00591820" w:rsidP="00166DBF">
      <w:pPr>
        <w:pStyle w:val="TEKSTIIII"/>
      </w:pPr>
      <w:r w:rsidRPr="00445472">
        <w:t>Shërbimet e ujit</w:t>
      </w:r>
      <w:r w:rsidR="001D340B" w:rsidRPr="00445472">
        <w:t>/</w:t>
      </w:r>
      <w:r w:rsidRPr="00445472">
        <w:t>ujërave të ndotura marrin të ardhurat e tyre operacionale duke përdorur strukturën e mësipërme tarifore të aplikuar në sasitë e shërbimeve të ofruara. Për më tepër, krahas mekanizmit të mbulimit të kostos së mësipërme, disa nga ofruesit e shërbimeve të ujit përfitojnë nga subvencionet për operacione. Këto subvencione plotësojnë të ardhurat financiare të ndërmarrjeve të ujit që kontribuojnë në rimëkëmbjen e kostos financiare.</w:t>
      </w:r>
    </w:p>
    <w:p w14:paraId="2FAC2AB7" w14:textId="77777777" w:rsidR="00591820" w:rsidRPr="00445472" w:rsidRDefault="00591820" w:rsidP="00166DBF">
      <w:pPr>
        <w:pStyle w:val="TEKSTIIII"/>
      </w:pPr>
      <w:r w:rsidRPr="00445472">
        <w:t>Duke marrë parasysh burimet e mësipërme financiare, të ardhurat financiare në vijim janë marrë nga shërbimet e ujësjellësit në basenin e lumit në vitin 2015 (Tabela 11.17).</w:t>
      </w:r>
    </w:p>
    <w:p w14:paraId="7AEF8731" w14:textId="14F86FF5" w:rsidR="00591820" w:rsidRPr="00445472" w:rsidRDefault="00591820" w:rsidP="004B2267">
      <w:pPr>
        <w:pStyle w:val="NENTITULL"/>
      </w:pPr>
    </w:p>
    <w:p w14:paraId="52226566" w14:textId="6A7A025F" w:rsidR="00591820" w:rsidRPr="00445472" w:rsidRDefault="00591820" w:rsidP="004B2267">
      <w:pPr>
        <w:pStyle w:val="NENTITULL"/>
        <w:rPr>
          <w:sz w:val="13"/>
        </w:rPr>
      </w:pPr>
      <w:r w:rsidRPr="00445472">
        <w:t xml:space="preserve">Tabela 11.16: Tarifat aktuale të aplikuara nga ndërmarrjet e ujësjellësit në Basenin Ujor </w:t>
      </w:r>
      <w:r w:rsidR="007E76E3" w:rsidRPr="00445472">
        <w:t>Drin–Bunë</w:t>
      </w:r>
      <w:r w:rsidRPr="00445472">
        <w:rPr>
          <w:vertAlign w:val="superscript"/>
        </w:rPr>
        <w:footnoteReference w:id="203"/>
      </w:r>
    </w:p>
    <w:p w14:paraId="0C98EAFA" w14:textId="77777777" w:rsidR="00591820" w:rsidRPr="00445472" w:rsidRDefault="00591820" w:rsidP="00591820">
      <w:pPr>
        <w:spacing w:before="3" w:after="1"/>
        <w:ind w:left="112"/>
        <w:jc w:val="both"/>
        <w:rPr>
          <w:rFonts w:ascii="Garamond" w:hAnsi="Garamond"/>
          <w:b/>
          <w:sz w:val="16"/>
        </w:rPr>
      </w:pPr>
    </w:p>
    <w:tbl>
      <w:tblPr>
        <w:tblW w:w="5000" w:type="pct"/>
        <w:jc w:val="center"/>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1587"/>
        <w:gridCol w:w="728"/>
        <w:gridCol w:w="969"/>
        <w:gridCol w:w="758"/>
        <w:gridCol w:w="729"/>
        <w:gridCol w:w="969"/>
        <w:gridCol w:w="891"/>
        <w:gridCol w:w="729"/>
        <w:gridCol w:w="967"/>
        <w:gridCol w:w="760"/>
      </w:tblGrid>
      <w:tr w:rsidR="00591820" w:rsidRPr="00445472" w14:paraId="0822CB32" w14:textId="77777777" w:rsidTr="004B2267">
        <w:trPr>
          <w:trHeight w:val="340"/>
          <w:jc w:val="center"/>
        </w:trPr>
        <w:tc>
          <w:tcPr>
            <w:tcW w:w="874" w:type="pct"/>
            <w:vAlign w:val="center"/>
          </w:tcPr>
          <w:p w14:paraId="617B2207" w14:textId="77777777" w:rsidR="00591820" w:rsidRPr="00445472" w:rsidRDefault="00591820" w:rsidP="002A1F08">
            <w:pPr>
              <w:spacing w:before="22" w:after="22"/>
              <w:jc w:val="center"/>
              <w:rPr>
                <w:rFonts w:ascii="Garamond" w:eastAsia="MS Mincho" w:hAnsi="Garamond" w:cs="Arial"/>
                <w:b/>
                <w:sz w:val="18"/>
                <w:szCs w:val="18"/>
              </w:rPr>
            </w:pPr>
            <w:r w:rsidRPr="00445472">
              <w:rPr>
                <w:rFonts w:ascii="Garamond" w:eastAsia="MS Mincho" w:hAnsi="Garamond" w:cs="Arial"/>
                <w:b/>
                <w:sz w:val="18"/>
                <w:szCs w:val="18"/>
              </w:rPr>
              <w:t>Ujësjellësi</w:t>
            </w:r>
          </w:p>
        </w:tc>
        <w:tc>
          <w:tcPr>
            <w:tcW w:w="1351" w:type="pct"/>
            <w:gridSpan w:val="3"/>
            <w:vAlign w:val="center"/>
          </w:tcPr>
          <w:p w14:paraId="4BD56300" w14:textId="374580DE" w:rsidR="00591820" w:rsidRPr="00445472" w:rsidRDefault="00591820" w:rsidP="002A1F08">
            <w:pPr>
              <w:spacing w:before="22" w:after="22"/>
              <w:jc w:val="center"/>
              <w:rPr>
                <w:rFonts w:ascii="Garamond" w:eastAsia="MS Mincho" w:hAnsi="Garamond" w:cs="Arial"/>
                <w:b/>
                <w:sz w:val="18"/>
                <w:szCs w:val="18"/>
              </w:rPr>
            </w:pPr>
            <w:r w:rsidRPr="00445472">
              <w:rPr>
                <w:rFonts w:ascii="Garamond" w:eastAsia="MS Mincho" w:hAnsi="Garamond" w:cs="Arial"/>
                <w:b/>
                <w:sz w:val="18"/>
                <w:szCs w:val="18"/>
              </w:rPr>
              <w:t>Ujë i pijshëm (</w:t>
            </w:r>
            <w:r w:rsidR="00FD1436" w:rsidRPr="00445472">
              <w:rPr>
                <w:rFonts w:ascii="Garamond" w:eastAsia="MS Mincho" w:hAnsi="Garamond" w:cs="Arial"/>
                <w:b/>
                <w:sz w:val="18"/>
                <w:szCs w:val="18"/>
              </w:rPr>
              <w:t>lek</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c>
          <w:tcPr>
            <w:tcW w:w="1424" w:type="pct"/>
            <w:gridSpan w:val="3"/>
            <w:vAlign w:val="center"/>
          </w:tcPr>
          <w:p w14:paraId="5443C586" w14:textId="7F3B801A" w:rsidR="00591820" w:rsidRPr="00445472" w:rsidRDefault="00591820" w:rsidP="002A1F08">
            <w:pPr>
              <w:spacing w:before="22" w:after="22"/>
              <w:jc w:val="center"/>
              <w:rPr>
                <w:rFonts w:ascii="Garamond" w:eastAsia="MS Mincho" w:hAnsi="Garamond" w:cs="Arial"/>
                <w:b/>
                <w:sz w:val="18"/>
                <w:szCs w:val="18"/>
              </w:rPr>
            </w:pPr>
            <w:r w:rsidRPr="00445472">
              <w:rPr>
                <w:rFonts w:ascii="Garamond" w:eastAsia="MS Mincho" w:hAnsi="Garamond" w:cs="Arial"/>
                <w:b/>
                <w:sz w:val="18"/>
                <w:szCs w:val="18"/>
              </w:rPr>
              <w:t>Tarifa e Shërbimit (</w:t>
            </w:r>
            <w:r w:rsidR="00FD1436" w:rsidRPr="00445472">
              <w:rPr>
                <w:rFonts w:ascii="Garamond" w:eastAsia="MS Mincho" w:hAnsi="Garamond" w:cs="Arial"/>
                <w:b/>
                <w:sz w:val="18"/>
                <w:szCs w:val="18"/>
              </w:rPr>
              <w:t>lek</w:t>
            </w:r>
            <w:r w:rsidR="001D340B" w:rsidRPr="00445472">
              <w:rPr>
                <w:rFonts w:ascii="Garamond" w:eastAsia="MS Mincho" w:hAnsi="Garamond" w:cs="Arial"/>
                <w:b/>
                <w:sz w:val="18"/>
                <w:szCs w:val="18"/>
              </w:rPr>
              <w:t>/</w:t>
            </w:r>
            <w:r w:rsidRPr="00445472">
              <w:rPr>
                <w:rFonts w:ascii="Garamond" w:eastAsia="MS Mincho" w:hAnsi="Garamond" w:cs="Arial"/>
                <w:b/>
                <w:sz w:val="18"/>
                <w:szCs w:val="18"/>
              </w:rPr>
              <w:t>muaj)</w:t>
            </w:r>
          </w:p>
        </w:tc>
        <w:tc>
          <w:tcPr>
            <w:tcW w:w="1351" w:type="pct"/>
            <w:gridSpan w:val="3"/>
            <w:vAlign w:val="center"/>
          </w:tcPr>
          <w:p w14:paraId="46FD8D4E" w14:textId="5075FDB9" w:rsidR="00591820" w:rsidRPr="00445472" w:rsidRDefault="00591820" w:rsidP="002A1F08">
            <w:pPr>
              <w:spacing w:before="22" w:after="22"/>
              <w:jc w:val="center"/>
              <w:rPr>
                <w:rFonts w:ascii="Garamond" w:eastAsia="MS Mincho" w:hAnsi="Garamond" w:cs="Arial"/>
                <w:b/>
                <w:sz w:val="18"/>
                <w:szCs w:val="18"/>
              </w:rPr>
            </w:pPr>
            <w:r w:rsidRPr="00445472">
              <w:rPr>
                <w:rFonts w:ascii="Garamond" w:eastAsia="MS Mincho" w:hAnsi="Garamond" w:cs="Arial"/>
                <w:b/>
                <w:sz w:val="18"/>
                <w:szCs w:val="18"/>
              </w:rPr>
              <w:t>Ujërat e ndotura (</w:t>
            </w:r>
            <w:r w:rsidR="00FD1436" w:rsidRPr="00445472">
              <w:rPr>
                <w:rFonts w:ascii="Garamond" w:eastAsia="MS Mincho" w:hAnsi="Garamond" w:cs="Arial"/>
                <w:b/>
                <w:sz w:val="18"/>
                <w:szCs w:val="18"/>
              </w:rPr>
              <w:t>lek</w:t>
            </w:r>
            <w:r w:rsidRPr="00445472">
              <w:rPr>
                <w:rFonts w:ascii="Garamond" w:eastAsia="MS Mincho" w:hAnsi="Garamond" w:cs="Arial"/>
                <w:b/>
                <w:sz w:val="18"/>
                <w:szCs w:val="18"/>
              </w:rPr>
              <w:t>/m</w:t>
            </w:r>
            <w:r w:rsidRPr="00445472">
              <w:rPr>
                <w:rFonts w:ascii="Garamond" w:eastAsia="MS Mincho" w:hAnsi="Garamond" w:cs="Arial"/>
                <w:b/>
                <w:sz w:val="18"/>
                <w:szCs w:val="18"/>
                <w:vertAlign w:val="superscript"/>
              </w:rPr>
              <w:t>3</w:t>
            </w:r>
            <w:r w:rsidRPr="00445472">
              <w:rPr>
                <w:rFonts w:ascii="Garamond" w:eastAsia="MS Mincho" w:hAnsi="Garamond" w:cs="Arial"/>
                <w:b/>
                <w:sz w:val="18"/>
                <w:szCs w:val="18"/>
              </w:rPr>
              <w:t>)</w:t>
            </w:r>
          </w:p>
        </w:tc>
      </w:tr>
      <w:tr w:rsidR="00591820" w:rsidRPr="00445472" w14:paraId="02EF09CA" w14:textId="77777777" w:rsidTr="004B2267">
        <w:trPr>
          <w:trHeight w:val="340"/>
          <w:jc w:val="center"/>
        </w:trPr>
        <w:tc>
          <w:tcPr>
            <w:tcW w:w="874" w:type="pct"/>
            <w:vAlign w:val="center"/>
          </w:tcPr>
          <w:p w14:paraId="39D9F92F"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7A394681"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Familje</w:t>
            </w:r>
          </w:p>
        </w:tc>
        <w:tc>
          <w:tcPr>
            <w:tcW w:w="533" w:type="pct"/>
            <w:vAlign w:val="center"/>
          </w:tcPr>
          <w:p w14:paraId="0252B92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Institucione</w:t>
            </w:r>
          </w:p>
        </w:tc>
        <w:tc>
          <w:tcPr>
            <w:tcW w:w="417" w:type="pct"/>
            <w:vAlign w:val="center"/>
          </w:tcPr>
          <w:p w14:paraId="3A96C5F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Private</w:t>
            </w:r>
          </w:p>
        </w:tc>
        <w:tc>
          <w:tcPr>
            <w:tcW w:w="401" w:type="pct"/>
            <w:vAlign w:val="center"/>
          </w:tcPr>
          <w:p w14:paraId="45368887"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Familje</w:t>
            </w:r>
          </w:p>
        </w:tc>
        <w:tc>
          <w:tcPr>
            <w:tcW w:w="533" w:type="pct"/>
            <w:vAlign w:val="center"/>
          </w:tcPr>
          <w:p w14:paraId="5820790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Institucione</w:t>
            </w:r>
          </w:p>
        </w:tc>
        <w:tc>
          <w:tcPr>
            <w:tcW w:w="490" w:type="pct"/>
            <w:vAlign w:val="center"/>
          </w:tcPr>
          <w:p w14:paraId="70D1225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Private</w:t>
            </w:r>
          </w:p>
        </w:tc>
        <w:tc>
          <w:tcPr>
            <w:tcW w:w="401" w:type="pct"/>
            <w:vAlign w:val="center"/>
          </w:tcPr>
          <w:p w14:paraId="22205BE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Familje</w:t>
            </w:r>
          </w:p>
        </w:tc>
        <w:tc>
          <w:tcPr>
            <w:tcW w:w="532" w:type="pct"/>
            <w:vAlign w:val="center"/>
          </w:tcPr>
          <w:p w14:paraId="4E7241D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Institucione</w:t>
            </w:r>
          </w:p>
        </w:tc>
        <w:tc>
          <w:tcPr>
            <w:tcW w:w="418" w:type="pct"/>
            <w:vAlign w:val="center"/>
          </w:tcPr>
          <w:p w14:paraId="10540922"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Private</w:t>
            </w:r>
          </w:p>
        </w:tc>
      </w:tr>
      <w:tr w:rsidR="00591820" w:rsidRPr="00445472" w14:paraId="02AEF61B" w14:textId="77777777" w:rsidTr="004B2267">
        <w:trPr>
          <w:trHeight w:val="340"/>
          <w:jc w:val="center"/>
        </w:trPr>
        <w:tc>
          <w:tcPr>
            <w:tcW w:w="874" w:type="pct"/>
            <w:shd w:val="clear" w:color="auto" w:fill="E6E6E6"/>
            <w:vAlign w:val="center"/>
          </w:tcPr>
          <w:p w14:paraId="275732D9"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Bulqizë</w:t>
            </w:r>
          </w:p>
        </w:tc>
        <w:tc>
          <w:tcPr>
            <w:tcW w:w="401" w:type="pct"/>
            <w:shd w:val="clear" w:color="auto" w:fill="E6E6E6"/>
            <w:vAlign w:val="center"/>
          </w:tcPr>
          <w:p w14:paraId="5746659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17</w:t>
            </w:r>
          </w:p>
        </w:tc>
        <w:tc>
          <w:tcPr>
            <w:tcW w:w="533" w:type="pct"/>
            <w:shd w:val="clear" w:color="auto" w:fill="E6E6E6"/>
            <w:vAlign w:val="center"/>
          </w:tcPr>
          <w:p w14:paraId="42B4D3A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55</w:t>
            </w:r>
          </w:p>
        </w:tc>
        <w:tc>
          <w:tcPr>
            <w:tcW w:w="417" w:type="pct"/>
            <w:shd w:val="clear" w:color="auto" w:fill="E6E6E6"/>
            <w:vAlign w:val="center"/>
          </w:tcPr>
          <w:p w14:paraId="2E29BB64"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75</w:t>
            </w:r>
          </w:p>
        </w:tc>
        <w:tc>
          <w:tcPr>
            <w:tcW w:w="401" w:type="pct"/>
            <w:shd w:val="clear" w:color="auto" w:fill="E6E6E6"/>
            <w:vAlign w:val="center"/>
          </w:tcPr>
          <w:p w14:paraId="1206A48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533" w:type="pct"/>
            <w:shd w:val="clear" w:color="auto" w:fill="E6E6E6"/>
            <w:vAlign w:val="center"/>
          </w:tcPr>
          <w:p w14:paraId="23E18CA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90" w:type="pct"/>
            <w:shd w:val="clear" w:color="auto" w:fill="E6E6E6"/>
            <w:vAlign w:val="center"/>
          </w:tcPr>
          <w:p w14:paraId="1EDEC24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01" w:type="pct"/>
            <w:shd w:val="clear" w:color="auto" w:fill="E6E6E6"/>
            <w:vAlign w:val="center"/>
          </w:tcPr>
          <w:p w14:paraId="62D11508" w14:textId="77777777" w:rsidR="00591820" w:rsidRPr="00445472" w:rsidRDefault="00591820" w:rsidP="002A1F08">
            <w:pPr>
              <w:spacing w:before="22" w:after="22"/>
              <w:jc w:val="center"/>
              <w:rPr>
                <w:rFonts w:ascii="Garamond" w:eastAsia="MS Mincho" w:hAnsi="Garamond" w:cs="Arial"/>
                <w:sz w:val="18"/>
                <w:szCs w:val="18"/>
              </w:rPr>
            </w:pPr>
          </w:p>
        </w:tc>
        <w:tc>
          <w:tcPr>
            <w:tcW w:w="532" w:type="pct"/>
            <w:shd w:val="clear" w:color="auto" w:fill="E6E6E6"/>
            <w:vAlign w:val="center"/>
          </w:tcPr>
          <w:p w14:paraId="0A20C6ED" w14:textId="77777777" w:rsidR="00591820" w:rsidRPr="00445472" w:rsidRDefault="00591820" w:rsidP="002A1F08">
            <w:pPr>
              <w:spacing w:before="22" w:after="22"/>
              <w:jc w:val="center"/>
              <w:rPr>
                <w:rFonts w:ascii="Garamond" w:eastAsia="MS Mincho" w:hAnsi="Garamond" w:cs="Arial"/>
                <w:sz w:val="18"/>
                <w:szCs w:val="18"/>
              </w:rPr>
            </w:pPr>
          </w:p>
        </w:tc>
        <w:tc>
          <w:tcPr>
            <w:tcW w:w="418" w:type="pct"/>
            <w:shd w:val="clear" w:color="auto" w:fill="E6E6E6"/>
            <w:vAlign w:val="center"/>
          </w:tcPr>
          <w:p w14:paraId="267C1E9B" w14:textId="77777777" w:rsidR="00591820" w:rsidRPr="00445472" w:rsidRDefault="00591820" w:rsidP="002A1F08">
            <w:pPr>
              <w:spacing w:before="22" w:after="22"/>
              <w:jc w:val="center"/>
              <w:rPr>
                <w:rFonts w:ascii="Garamond" w:eastAsia="MS Mincho" w:hAnsi="Garamond" w:cs="Arial"/>
                <w:sz w:val="18"/>
                <w:szCs w:val="18"/>
              </w:rPr>
            </w:pPr>
          </w:p>
        </w:tc>
      </w:tr>
      <w:tr w:rsidR="00591820" w:rsidRPr="00445472" w14:paraId="20DA8AD0" w14:textId="77777777" w:rsidTr="004B2267">
        <w:trPr>
          <w:trHeight w:val="340"/>
          <w:jc w:val="center"/>
        </w:trPr>
        <w:tc>
          <w:tcPr>
            <w:tcW w:w="874" w:type="pct"/>
            <w:vAlign w:val="center"/>
          </w:tcPr>
          <w:p w14:paraId="0D241C77" w14:textId="6B6354CA" w:rsidR="00591820" w:rsidRPr="00445472" w:rsidRDefault="00591820" w:rsidP="00FD1436">
            <w:pPr>
              <w:spacing w:before="22" w:after="22"/>
              <w:jc w:val="center"/>
              <w:rPr>
                <w:rFonts w:ascii="Garamond" w:eastAsia="MS Mincho" w:hAnsi="Garamond" w:cs="Arial"/>
                <w:sz w:val="18"/>
                <w:szCs w:val="18"/>
              </w:rPr>
            </w:pPr>
            <w:r w:rsidRPr="00445472">
              <w:rPr>
                <w:rFonts w:ascii="Garamond" w:eastAsia="MS Mincho" w:hAnsi="Garamond" w:cs="Arial"/>
                <w:sz w:val="18"/>
                <w:szCs w:val="18"/>
              </w:rPr>
              <w:t>Fushë</w:t>
            </w:r>
            <w:r w:rsidR="00FD1436" w:rsidRPr="00445472">
              <w:rPr>
                <w:rFonts w:ascii="Garamond" w:eastAsia="MS Mincho" w:hAnsi="Garamond" w:cs="Arial"/>
                <w:sz w:val="18"/>
                <w:szCs w:val="18"/>
              </w:rPr>
              <w:t>-</w:t>
            </w:r>
            <w:r w:rsidRPr="00445472">
              <w:rPr>
                <w:rFonts w:ascii="Garamond" w:eastAsia="MS Mincho" w:hAnsi="Garamond" w:cs="Arial"/>
                <w:sz w:val="18"/>
                <w:szCs w:val="18"/>
              </w:rPr>
              <w:t>Arrëz</w:t>
            </w:r>
          </w:p>
        </w:tc>
        <w:tc>
          <w:tcPr>
            <w:tcW w:w="401" w:type="pct"/>
            <w:vAlign w:val="center"/>
          </w:tcPr>
          <w:p w14:paraId="3D64AC9E"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5A3EFA63" w14:textId="77777777" w:rsidR="00591820" w:rsidRPr="00445472" w:rsidRDefault="00591820" w:rsidP="002A1F08">
            <w:pPr>
              <w:spacing w:before="22" w:after="22"/>
              <w:jc w:val="center"/>
              <w:rPr>
                <w:rFonts w:ascii="Garamond" w:eastAsia="MS Mincho" w:hAnsi="Garamond" w:cs="Arial"/>
                <w:sz w:val="18"/>
                <w:szCs w:val="18"/>
              </w:rPr>
            </w:pPr>
          </w:p>
        </w:tc>
        <w:tc>
          <w:tcPr>
            <w:tcW w:w="417" w:type="pct"/>
            <w:vAlign w:val="center"/>
          </w:tcPr>
          <w:p w14:paraId="3D188015"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6FF6707B"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5C460A21" w14:textId="77777777" w:rsidR="00591820" w:rsidRPr="00445472" w:rsidRDefault="00591820" w:rsidP="002A1F08">
            <w:pPr>
              <w:spacing w:before="22" w:after="22"/>
              <w:jc w:val="center"/>
              <w:rPr>
                <w:rFonts w:ascii="Garamond" w:eastAsia="MS Mincho" w:hAnsi="Garamond" w:cs="Arial"/>
                <w:sz w:val="18"/>
                <w:szCs w:val="18"/>
              </w:rPr>
            </w:pPr>
          </w:p>
        </w:tc>
        <w:tc>
          <w:tcPr>
            <w:tcW w:w="490" w:type="pct"/>
            <w:vAlign w:val="center"/>
          </w:tcPr>
          <w:p w14:paraId="05FF801D"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35E29022" w14:textId="77777777" w:rsidR="00591820" w:rsidRPr="00445472" w:rsidRDefault="00591820" w:rsidP="002A1F08">
            <w:pPr>
              <w:spacing w:before="22" w:after="22"/>
              <w:jc w:val="center"/>
              <w:rPr>
                <w:rFonts w:ascii="Garamond" w:eastAsia="MS Mincho" w:hAnsi="Garamond" w:cs="Arial"/>
                <w:sz w:val="18"/>
                <w:szCs w:val="18"/>
              </w:rPr>
            </w:pPr>
          </w:p>
        </w:tc>
        <w:tc>
          <w:tcPr>
            <w:tcW w:w="532" w:type="pct"/>
            <w:vAlign w:val="center"/>
          </w:tcPr>
          <w:p w14:paraId="4FC039A6" w14:textId="77777777" w:rsidR="00591820" w:rsidRPr="00445472" w:rsidRDefault="00591820" w:rsidP="002A1F08">
            <w:pPr>
              <w:spacing w:before="22" w:after="22"/>
              <w:jc w:val="center"/>
              <w:rPr>
                <w:rFonts w:ascii="Garamond" w:eastAsia="MS Mincho" w:hAnsi="Garamond" w:cs="Arial"/>
                <w:sz w:val="18"/>
                <w:szCs w:val="18"/>
              </w:rPr>
            </w:pPr>
          </w:p>
        </w:tc>
        <w:tc>
          <w:tcPr>
            <w:tcW w:w="418" w:type="pct"/>
            <w:vAlign w:val="center"/>
          </w:tcPr>
          <w:p w14:paraId="1C707238" w14:textId="77777777" w:rsidR="00591820" w:rsidRPr="00445472" w:rsidRDefault="00591820" w:rsidP="002A1F08">
            <w:pPr>
              <w:spacing w:before="22" w:after="22"/>
              <w:jc w:val="center"/>
              <w:rPr>
                <w:rFonts w:ascii="Garamond" w:eastAsia="MS Mincho" w:hAnsi="Garamond" w:cs="Arial"/>
                <w:sz w:val="18"/>
                <w:szCs w:val="18"/>
              </w:rPr>
            </w:pPr>
          </w:p>
        </w:tc>
      </w:tr>
      <w:tr w:rsidR="00591820" w:rsidRPr="00445472" w14:paraId="5ED210B8" w14:textId="77777777" w:rsidTr="004B2267">
        <w:trPr>
          <w:trHeight w:val="340"/>
          <w:jc w:val="center"/>
        </w:trPr>
        <w:tc>
          <w:tcPr>
            <w:tcW w:w="874" w:type="pct"/>
            <w:shd w:val="clear" w:color="auto" w:fill="E6E6E6"/>
            <w:vAlign w:val="center"/>
          </w:tcPr>
          <w:p w14:paraId="7B0C177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Has</w:t>
            </w:r>
          </w:p>
        </w:tc>
        <w:tc>
          <w:tcPr>
            <w:tcW w:w="401" w:type="pct"/>
            <w:shd w:val="clear" w:color="auto" w:fill="E6E6E6"/>
            <w:vAlign w:val="center"/>
          </w:tcPr>
          <w:p w14:paraId="19EC27A4"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25</w:t>
            </w:r>
          </w:p>
        </w:tc>
        <w:tc>
          <w:tcPr>
            <w:tcW w:w="533" w:type="pct"/>
            <w:shd w:val="clear" w:color="auto" w:fill="E6E6E6"/>
            <w:vAlign w:val="center"/>
          </w:tcPr>
          <w:p w14:paraId="13B96D1D"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60</w:t>
            </w:r>
          </w:p>
        </w:tc>
        <w:tc>
          <w:tcPr>
            <w:tcW w:w="417" w:type="pct"/>
            <w:shd w:val="clear" w:color="auto" w:fill="E6E6E6"/>
            <w:vAlign w:val="center"/>
          </w:tcPr>
          <w:p w14:paraId="4B9B9D4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80</w:t>
            </w:r>
          </w:p>
        </w:tc>
        <w:tc>
          <w:tcPr>
            <w:tcW w:w="401" w:type="pct"/>
            <w:shd w:val="clear" w:color="auto" w:fill="E6E6E6"/>
            <w:vAlign w:val="center"/>
          </w:tcPr>
          <w:p w14:paraId="2BEE2315" w14:textId="77777777" w:rsidR="00591820" w:rsidRPr="00445472" w:rsidRDefault="00591820" w:rsidP="002A1F08">
            <w:pPr>
              <w:spacing w:before="22" w:after="22"/>
              <w:jc w:val="center"/>
              <w:rPr>
                <w:rFonts w:ascii="Garamond" w:eastAsia="MS Mincho" w:hAnsi="Garamond" w:cs="Arial"/>
                <w:sz w:val="18"/>
                <w:szCs w:val="18"/>
              </w:rPr>
            </w:pPr>
          </w:p>
        </w:tc>
        <w:tc>
          <w:tcPr>
            <w:tcW w:w="533" w:type="pct"/>
            <w:shd w:val="clear" w:color="auto" w:fill="E6E6E6"/>
            <w:vAlign w:val="center"/>
          </w:tcPr>
          <w:p w14:paraId="69C4B87D" w14:textId="77777777" w:rsidR="00591820" w:rsidRPr="00445472" w:rsidRDefault="00591820" w:rsidP="002A1F08">
            <w:pPr>
              <w:spacing w:before="22" w:after="22"/>
              <w:jc w:val="center"/>
              <w:rPr>
                <w:rFonts w:ascii="Garamond" w:eastAsia="MS Mincho" w:hAnsi="Garamond" w:cs="Arial"/>
                <w:sz w:val="18"/>
                <w:szCs w:val="18"/>
              </w:rPr>
            </w:pPr>
          </w:p>
        </w:tc>
        <w:tc>
          <w:tcPr>
            <w:tcW w:w="490" w:type="pct"/>
            <w:shd w:val="clear" w:color="auto" w:fill="E6E6E6"/>
            <w:vAlign w:val="center"/>
          </w:tcPr>
          <w:p w14:paraId="3AE687C6" w14:textId="77777777" w:rsidR="00591820" w:rsidRPr="00445472" w:rsidRDefault="00591820" w:rsidP="002A1F08">
            <w:pPr>
              <w:spacing w:before="22" w:after="22"/>
              <w:jc w:val="center"/>
              <w:rPr>
                <w:rFonts w:ascii="Garamond" w:eastAsia="MS Mincho" w:hAnsi="Garamond" w:cs="Arial"/>
                <w:sz w:val="18"/>
                <w:szCs w:val="18"/>
              </w:rPr>
            </w:pPr>
          </w:p>
        </w:tc>
        <w:tc>
          <w:tcPr>
            <w:tcW w:w="401" w:type="pct"/>
            <w:shd w:val="clear" w:color="auto" w:fill="E6E6E6"/>
            <w:vAlign w:val="center"/>
          </w:tcPr>
          <w:p w14:paraId="38F39424" w14:textId="77777777" w:rsidR="00591820" w:rsidRPr="00445472" w:rsidRDefault="00591820" w:rsidP="002A1F08">
            <w:pPr>
              <w:spacing w:before="22" w:after="22"/>
              <w:jc w:val="center"/>
              <w:rPr>
                <w:rFonts w:ascii="Garamond" w:eastAsia="MS Mincho" w:hAnsi="Garamond" w:cs="Arial"/>
                <w:sz w:val="18"/>
                <w:szCs w:val="18"/>
              </w:rPr>
            </w:pPr>
          </w:p>
        </w:tc>
        <w:tc>
          <w:tcPr>
            <w:tcW w:w="532" w:type="pct"/>
            <w:shd w:val="clear" w:color="auto" w:fill="E6E6E6"/>
            <w:vAlign w:val="center"/>
          </w:tcPr>
          <w:p w14:paraId="7387016A" w14:textId="77777777" w:rsidR="00591820" w:rsidRPr="00445472" w:rsidRDefault="00591820" w:rsidP="002A1F08">
            <w:pPr>
              <w:spacing w:before="22" w:after="22"/>
              <w:jc w:val="center"/>
              <w:rPr>
                <w:rFonts w:ascii="Garamond" w:eastAsia="MS Mincho" w:hAnsi="Garamond" w:cs="Arial"/>
                <w:sz w:val="18"/>
                <w:szCs w:val="18"/>
              </w:rPr>
            </w:pPr>
          </w:p>
        </w:tc>
        <w:tc>
          <w:tcPr>
            <w:tcW w:w="418" w:type="pct"/>
            <w:shd w:val="clear" w:color="auto" w:fill="E6E6E6"/>
            <w:vAlign w:val="center"/>
          </w:tcPr>
          <w:p w14:paraId="1D4E45A2" w14:textId="77777777" w:rsidR="00591820" w:rsidRPr="00445472" w:rsidRDefault="00591820" w:rsidP="002A1F08">
            <w:pPr>
              <w:spacing w:before="22" w:after="22"/>
              <w:jc w:val="center"/>
              <w:rPr>
                <w:rFonts w:ascii="Garamond" w:eastAsia="MS Mincho" w:hAnsi="Garamond" w:cs="Arial"/>
                <w:sz w:val="18"/>
                <w:szCs w:val="18"/>
              </w:rPr>
            </w:pPr>
          </w:p>
        </w:tc>
      </w:tr>
      <w:tr w:rsidR="00591820" w:rsidRPr="00445472" w14:paraId="1BC611A4" w14:textId="77777777" w:rsidTr="004B2267">
        <w:trPr>
          <w:trHeight w:val="340"/>
          <w:jc w:val="center"/>
        </w:trPr>
        <w:tc>
          <w:tcPr>
            <w:tcW w:w="874" w:type="pct"/>
            <w:vAlign w:val="center"/>
          </w:tcPr>
          <w:p w14:paraId="3BD85DE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Kukës</w:t>
            </w:r>
          </w:p>
        </w:tc>
        <w:tc>
          <w:tcPr>
            <w:tcW w:w="401" w:type="pct"/>
            <w:vAlign w:val="center"/>
          </w:tcPr>
          <w:p w14:paraId="76963DF4"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25</w:t>
            </w:r>
          </w:p>
        </w:tc>
        <w:tc>
          <w:tcPr>
            <w:tcW w:w="533" w:type="pct"/>
            <w:vAlign w:val="center"/>
          </w:tcPr>
          <w:p w14:paraId="7CD3A2D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60</w:t>
            </w:r>
          </w:p>
        </w:tc>
        <w:tc>
          <w:tcPr>
            <w:tcW w:w="417" w:type="pct"/>
            <w:vAlign w:val="center"/>
          </w:tcPr>
          <w:p w14:paraId="5E1AECD8"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80</w:t>
            </w:r>
          </w:p>
        </w:tc>
        <w:tc>
          <w:tcPr>
            <w:tcW w:w="401" w:type="pct"/>
            <w:vAlign w:val="center"/>
          </w:tcPr>
          <w:p w14:paraId="49FCF31C"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08074E72" w14:textId="77777777" w:rsidR="00591820" w:rsidRPr="00445472" w:rsidRDefault="00591820" w:rsidP="002A1F08">
            <w:pPr>
              <w:spacing w:before="22" w:after="22"/>
              <w:jc w:val="center"/>
              <w:rPr>
                <w:rFonts w:ascii="Garamond" w:eastAsia="MS Mincho" w:hAnsi="Garamond" w:cs="Arial"/>
                <w:sz w:val="18"/>
                <w:szCs w:val="18"/>
              </w:rPr>
            </w:pPr>
          </w:p>
        </w:tc>
        <w:tc>
          <w:tcPr>
            <w:tcW w:w="490" w:type="pct"/>
            <w:vAlign w:val="center"/>
          </w:tcPr>
          <w:p w14:paraId="1B5913A7"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4353B5E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w w:val="99"/>
                <w:sz w:val="18"/>
                <w:szCs w:val="18"/>
              </w:rPr>
              <w:t>7</w:t>
            </w:r>
          </w:p>
        </w:tc>
        <w:tc>
          <w:tcPr>
            <w:tcW w:w="532" w:type="pct"/>
            <w:vAlign w:val="center"/>
          </w:tcPr>
          <w:p w14:paraId="7D761649"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15</w:t>
            </w:r>
          </w:p>
        </w:tc>
        <w:tc>
          <w:tcPr>
            <w:tcW w:w="418" w:type="pct"/>
            <w:vAlign w:val="center"/>
          </w:tcPr>
          <w:p w14:paraId="3641F7A4"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20</w:t>
            </w:r>
          </w:p>
        </w:tc>
      </w:tr>
      <w:tr w:rsidR="00591820" w:rsidRPr="00445472" w14:paraId="508CEB79" w14:textId="77777777" w:rsidTr="004B2267">
        <w:trPr>
          <w:trHeight w:val="340"/>
          <w:jc w:val="center"/>
        </w:trPr>
        <w:tc>
          <w:tcPr>
            <w:tcW w:w="874" w:type="pct"/>
            <w:shd w:val="clear" w:color="auto" w:fill="E6E6E6"/>
            <w:vAlign w:val="center"/>
          </w:tcPr>
          <w:p w14:paraId="189F89DC"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Lezhë</w:t>
            </w:r>
          </w:p>
        </w:tc>
        <w:tc>
          <w:tcPr>
            <w:tcW w:w="401" w:type="pct"/>
            <w:shd w:val="clear" w:color="auto" w:fill="E6E6E6"/>
            <w:vAlign w:val="center"/>
          </w:tcPr>
          <w:p w14:paraId="3B78892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58</w:t>
            </w:r>
          </w:p>
        </w:tc>
        <w:tc>
          <w:tcPr>
            <w:tcW w:w="533" w:type="pct"/>
            <w:shd w:val="clear" w:color="auto" w:fill="E6E6E6"/>
            <w:vAlign w:val="center"/>
          </w:tcPr>
          <w:p w14:paraId="1A31600D"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135</w:t>
            </w:r>
          </w:p>
        </w:tc>
        <w:tc>
          <w:tcPr>
            <w:tcW w:w="417" w:type="pct"/>
            <w:shd w:val="clear" w:color="auto" w:fill="E6E6E6"/>
            <w:vAlign w:val="center"/>
          </w:tcPr>
          <w:p w14:paraId="733E9AE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145</w:t>
            </w:r>
          </w:p>
        </w:tc>
        <w:tc>
          <w:tcPr>
            <w:tcW w:w="401" w:type="pct"/>
            <w:shd w:val="clear" w:color="auto" w:fill="E6E6E6"/>
            <w:vAlign w:val="center"/>
          </w:tcPr>
          <w:p w14:paraId="43C88081"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200</w:t>
            </w:r>
          </w:p>
        </w:tc>
        <w:tc>
          <w:tcPr>
            <w:tcW w:w="533" w:type="pct"/>
            <w:shd w:val="clear" w:color="auto" w:fill="E6E6E6"/>
            <w:vAlign w:val="center"/>
          </w:tcPr>
          <w:p w14:paraId="7DF6BBE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200</w:t>
            </w:r>
          </w:p>
        </w:tc>
        <w:tc>
          <w:tcPr>
            <w:tcW w:w="490" w:type="pct"/>
            <w:shd w:val="clear" w:color="auto" w:fill="E6E6E6"/>
            <w:vAlign w:val="center"/>
          </w:tcPr>
          <w:p w14:paraId="7D92EA4C"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200</w:t>
            </w:r>
          </w:p>
        </w:tc>
        <w:tc>
          <w:tcPr>
            <w:tcW w:w="401" w:type="pct"/>
            <w:shd w:val="clear" w:color="auto" w:fill="E6E6E6"/>
            <w:vAlign w:val="center"/>
          </w:tcPr>
          <w:p w14:paraId="0833691D"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18</w:t>
            </w:r>
          </w:p>
        </w:tc>
        <w:tc>
          <w:tcPr>
            <w:tcW w:w="532" w:type="pct"/>
            <w:shd w:val="clear" w:color="auto" w:fill="E6E6E6"/>
            <w:vAlign w:val="center"/>
          </w:tcPr>
          <w:p w14:paraId="3754289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22</w:t>
            </w:r>
          </w:p>
        </w:tc>
        <w:tc>
          <w:tcPr>
            <w:tcW w:w="418" w:type="pct"/>
            <w:shd w:val="clear" w:color="auto" w:fill="E6E6E6"/>
            <w:vAlign w:val="center"/>
          </w:tcPr>
          <w:p w14:paraId="32A7203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27</w:t>
            </w:r>
          </w:p>
        </w:tc>
      </w:tr>
      <w:tr w:rsidR="00591820" w:rsidRPr="00445472" w14:paraId="6D3D2696" w14:textId="77777777" w:rsidTr="004B2267">
        <w:trPr>
          <w:trHeight w:val="340"/>
          <w:jc w:val="center"/>
        </w:trPr>
        <w:tc>
          <w:tcPr>
            <w:tcW w:w="874" w:type="pct"/>
            <w:vAlign w:val="center"/>
          </w:tcPr>
          <w:p w14:paraId="493271F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Librazhd</w:t>
            </w:r>
          </w:p>
        </w:tc>
        <w:tc>
          <w:tcPr>
            <w:tcW w:w="401" w:type="pct"/>
            <w:vAlign w:val="center"/>
          </w:tcPr>
          <w:p w14:paraId="2F4A4DD2"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38</w:t>
            </w:r>
          </w:p>
        </w:tc>
        <w:tc>
          <w:tcPr>
            <w:tcW w:w="533" w:type="pct"/>
            <w:vAlign w:val="center"/>
          </w:tcPr>
          <w:p w14:paraId="5098434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17" w:type="pct"/>
            <w:vAlign w:val="center"/>
          </w:tcPr>
          <w:p w14:paraId="7C59303C"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01" w:type="pct"/>
            <w:vAlign w:val="center"/>
          </w:tcPr>
          <w:p w14:paraId="049C7845"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01BE95F5" w14:textId="77777777" w:rsidR="00591820" w:rsidRPr="00445472" w:rsidRDefault="00591820" w:rsidP="002A1F08">
            <w:pPr>
              <w:spacing w:before="22" w:after="22"/>
              <w:jc w:val="center"/>
              <w:rPr>
                <w:rFonts w:ascii="Garamond" w:eastAsia="MS Mincho" w:hAnsi="Garamond" w:cs="Arial"/>
                <w:sz w:val="18"/>
                <w:szCs w:val="18"/>
              </w:rPr>
            </w:pPr>
          </w:p>
        </w:tc>
        <w:tc>
          <w:tcPr>
            <w:tcW w:w="490" w:type="pct"/>
            <w:vAlign w:val="center"/>
          </w:tcPr>
          <w:p w14:paraId="078B95E6"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11024D62"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13</w:t>
            </w:r>
          </w:p>
        </w:tc>
        <w:tc>
          <w:tcPr>
            <w:tcW w:w="532" w:type="pct"/>
            <w:vAlign w:val="center"/>
          </w:tcPr>
          <w:p w14:paraId="205F753F"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22</w:t>
            </w:r>
          </w:p>
        </w:tc>
        <w:tc>
          <w:tcPr>
            <w:tcW w:w="418" w:type="pct"/>
            <w:vAlign w:val="center"/>
          </w:tcPr>
          <w:p w14:paraId="0921B58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23</w:t>
            </w:r>
          </w:p>
        </w:tc>
      </w:tr>
      <w:tr w:rsidR="00591820" w:rsidRPr="00445472" w14:paraId="6723EDE6" w14:textId="77777777" w:rsidTr="004B2267">
        <w:trPr>
          <w:trHeight w:val="340"/>
          <w:jc w:val="center"/>
        </w:trPr>
        <w:tc>
          <w:tcPr>
            <w:tcW w:w="874" w:type="pct"/>
            <w:shd w:val="clear" w:color="auto" w:fill="E6E6E6"/>
            <w:vAlign w:val="center"/>
          </w:tcPr>
          <w:p w14:paraId="5DFE2F54" w14:textId="09DF8BFA"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Peshkopi (</w:t>
            </w:r>
            <w:r w:rsidR="00FD1436" w:rsidRPr="00445472">
              <w:rPr>
                <w:rFonts w:ascii="Garamond" w:eastAsia="MS Mincho" w:hAnsi="Garamond" w:cs="Arial"/>
                <w:sz w:val="18"/>
                <w:szCs w:val="18"/>
              </w:rPr>
              <w:t>Dibër</w:t>
            </w:r>
            <w:r w:rsidRPr="00445472">
              <w:rPr>
                <w:rFonts w:ascii="Garamond" w:eastAsia="MS Mincho" w:hAnsi="Garamond" w:cs="Arial"/>
                <w:sz w:val="18"/>
                <w:szCs w:val="18"/>
              </w:rPr>
              <w:t>)</w:t>
            </w:r>
          </w:p>
        </w:tc>
        <w:tc>
          <w:tcPr>
            <w:tcW w:w="401" w:type="pct"/>
            <w:shd w:val="clear" w:color="auto" w:fill="E6E6E6"/>
            <w:vAlign w:val="center"/>
          </w:tcPr>
          <w:p w14:paraId="7B6AA239"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27</w:t>
            </w:r>
          </w:p>
        </w:tc>
        <w:tc>
          <w:tcPr>
            <w:tcW w:w="533" w:type="pct"/>
            <w:shd w:val="clear" w:color="auto" w:fill="E6E6E6"/>
            <w:vAlign w:val="center"/>
          </w:tcPr>
          <w:p w14:paraId="44DE567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65</w:t>
            </w:r>
          </w:p>
        </w:tc>
        <w:tc>
          <w:tcPr>
            <w:tcW w:w="417" w:type="pct"/>
            <w:shd w:val="clear" w:color="auto" w:fill="E6E6E6"/>
            <w:vAlign w:val="center"/>
          </w:tcPr>
          <w:p w14:paraId="20A7496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85</w:t>
            </w:r>
          </w:p>
        </w:tc>
        <w:tc>
          <w:tcPr>
            <w:tcW w:w="401" w:type="pct"/>
            <w:shd w:val="clear" w:color="auto" w:fill="E6E6E6"/>
            <w:vAlign w:val="center"/>
          </w:tcPr>
          <w:p w14:paraId="4CB8B7A8" w14:textId="77777777" w:rsidR="00591820" w:rsidRPr="00445472" w:rsidRDefault="00591820" w:rsidP="002A1F08">
            <w:pPr>
              <w:spacing w:before="22" w:after="22"/>
              <w:jc w:val="center"/>
              <w:rPr>
                <w:rFonts w:ascii="Garamond" w:eastAsia="MS Mincho" w:hAnsi="Garamond" w:cs="Arial"/>
                <w:sz w:val="18"/>
                <w:szCs w:val="18"/>
              </w:rPr>
            </w:pPr>
          </w:p>
        </w:tc>
        <w:tc>
          <w:tcPr>
            <w:tcW w:w="533" w:type="pct"/>
            <w:shd w:val="clear" w:color="auto" w:fill="E6E6E6"/>
            <w:vAlign w:val="center"/>
          </w:tcPr>
          <w:p w14:paraId="656A98CC" w14:textId="77777777" w:rsidR="00591820" w:rsidRPr="00445472" w:rsidRDefault="00591820" w:rsidP="002A1F08">
            <w:pPr>
              <w:spacing w:before="22" w:after="22"/>
              <w:jc w:val="center"/>
              <w:rPr>
                <w:rFonts w:ascii="Garamond" w:eastAsia="MS Mincho" w:hAnsi="Garamond" w:cs="Arial"/>
                <w:sz w:val="18"/>
                <w:szCs w:val="18"/>
              </w:rPr>
            </w:pPr>
          </w:p>
        </w:tc>
        <w:tc>
          <w:tcPr>
            <w:tcW w:w="490" w:type="pct"/>
            <w:shd w:val="clear" w:color="auto" w:fill="E6E6E6"/>
            <w:vAlign w:val="center"/>
          </w:tcPr>
          <w:p w14:paraId="4574B21C" w14:textId="77777777" w:rsidR="00591820" w:rsidRPr="00445472" w:rsidRDefault="00591820" w:rsidP="002A1F08">
            <w:pPr>
              <w:spacing w:before="22" w:after="22"/>
              <w:jc w:val="center"/>
              <w:rPr>
                <w:rFonts w:ascii="Garamond" w:eastAsia="MS Mincho" w:hAnsi="Garamond" w:cs="Arial"/>
                <w:sz w:val="18"/>
                <w:szCs w:val="18"/>
              </w:rPr>
            </w:pPr>
          </w:p>
        </w:tc>
        <w:tc>
          <w:tcPr>
            <w:tcW w:w="401" w:type="pct"/>
            <w:shd w:val="clear" w:color="auto" w:fill="E6E6E6"/>
            <w:vAlign w:val="center"/>
          </w:tcPr>
          <w:p w14:paraId="28E1BA82"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w:t>
            </w:r>
          </w:p>
        </w:tc>
        <w:tc>
          <w:tcPr>
            <w:tcW w:w="532" w:type="pct"/>
            <w:shd w:val="clear" w:color="auto" w:fill="E6E6E6"/>
            <w:vAlign w:val="center"/>
          </w:tcPr>
          <w:p w14:paraId="76BCDB0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15</w:t>
            </w:r>
          </w:p>
        </w:tc>
        <w:tc>
          <w:tcPr>
            <w:tcW w:w="418" w:type="pct"/>
            <w:shd w:val="clear" w:color="auto" w:fill="E6E6E6"/>
            <w:vAlign w:val="center"/>
          </w:tcPr>
          <w:p w14:paraId="462A7DA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18</w:t>
            </w:r>
          </w:p>
        </w:tc>
      </w:tr>
      <w:tr w:rsidR="00591820" w:rsidRPr="00445472" w14:paraId="2B9CBE0A" w14:textId="77777777" w:rsidTr="004B2267">
        <w:trPr>
          <w:trHeight w:val="700"/>
          <w:jc w:val="center"/>
        </w:trPr>
        <w:tc>
          <w:tcPr>
            <w:tcW w:w="874" w:type="pct"/>
            <w:vAlign w:val="center"/>
          </w:tcPr>
          <w:p w14:paraId="686A7628"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Pogradec</w:t>
            </w:r>
          </w:p>
        </w:tc>
        <w:tc>
          <w:tcPr>
            <w:tcW w:w="401" w:type="pct"/>
            <w:vAlign w:val="center"/>
          </w:tcPr>
          <w:p w14:paraId="5743C20F"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22/62</w:t>
            </w:r>
          </w:p>
        </w:tc>
        <w:tc>
          <w:tcPr>
            <w:tcW w:w="533" w:type="pct"/>
            <w:vAlign w:val="center"/>
          </w:tcPr>
          <w:p w14:paraId="5D789802"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37/111</w:t>
            </w:r>
          </w:p>
        </w:tc>
        <w:tc>
          <w:tcPr>
            <w:tcW w:w="417" w:type="pct"/>
            <w:vAlign w:val="center"/>
          </w:tcPr>
          <w:p w14:paraId="766C6767"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37/111</w:t>
            </w:r>
          </w:p>
        </w:tc>
        <w:tc>
          <w:tcPr>
            <w:tcW w:w="401" w:type="pct"/>
            <w:vAlign w:val="center"/>
          </w:tcPr>
          <w:p w14:paraId="37C7E317"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200+</w:t>
            </w:r>
          </w:p>
          <w:p w14:paraId="0A5FA8D3"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100</w:t>
            </w:r>
          </w:p>
        </w:tc>
        <w:tc>
          <w:tcPr>
            <w:tcW w:w="533" w:type="pct"/>
            <w:vAlign w:val="center"/>
          </w:tcPr>
          <w:p w14:paraId="12DC545D"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400+</w:t>
            </w:r>
          </w:p>
          <w:p w14:paraId="299D1F9F"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100</w:t>
            </w:r>
          </w:p>
        </w:tc>
        <w:tc>
          <w:tcPr>
            <w:tcW w:w="490" w:type="pct"/>
            <w:vAlign w:val="center"/>
          </w:tcPr>
          <w:p w14:paraId="0BD2D435"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400+</w:t>
            </w:r>
          </w:p>
          <w:p w14:paraId="3223A6A2"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150</w:t>
            </w:r>
          </w:p>
        </w:tc>
        <w:tc>
          <w:tcPr>
            <w:tcW w:w="401" w:type="pct"/>
            <w:vAlign w:val="center"/>
          </w:tcPr>
          <w:p w14:paraId="1CBC633B"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11/33</w:t>
            </w:r>
          </w:p>
        </w:tc>
        <w:tc>
          <w:tcPr>
            <w:tcW w:w="532" w:type="pct"/>
            <w:vAlign w:val="center"/>
          </w:tcPr>
          <w:p w14:paraId="023781C3"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12/36</w:t>
            </w:r>
          </w:p>
        </w:tc>
        <w:tc>
          <w:tcPr>
            <w:tcW w:w="418" w:type="pct"/>
            <w:vAlign w:val="center"/>
          </w:tcPr>
          <w:p w14:paraId="2679D994" w14:textId="77777777" w:rsidR="00591820" w:rsidRPr="00445472" w:rsidRDefault="00591820" w:rsidP="002A1F08">
            <w:pPr>
              <w:spacing w:after="0"/>
              <w:jc w:val="center"/>
              <w:rPr>
                <w:rFonts w:ascii="Garamond" w:eastAsia="MS Mincho" w:hAnsi="Garamond" w:cs="Arial"/>
                <w:sz w:val="18"/>
                <w:szCs w:val="18"/>
              </w:rPr>
            </w:pPr>
            <w:r w:rsidRPr="00445472">
              <w:rPr>
                <w:rFonts w:ascii="Garamond" w:eastAsia="MS Mincho" w:hAnsi="Garamond" w:cs="Arial"/>
                <w:sz w:val="18"/>
                <w:szCs w:val="18"/>
              </w:rPr>
              <w:t>12/36</w:t>
            </w:r>
          </w:p>
        </w:tc>
      </w:tr>
      <w:tr w:rsidR="00591820" w:rsidRPr="00445472" w14:paraId="27837DFA" w14:textId="77777777" w:rsidTr="004B2267">
        <w:trPr>
          <w:trHeight w:val="340"/>
          <w:jc w:val="center"/>
        </w:trPr>
        <w:tc>
          <w:tcPr>
            <w:tcW w:w="874" w:type="pct"/>
            <w:shd w:val="clear" w:color="auto" w:fill="E6E6E6"/>
            <w:vAlign w:val="center"/>
          </w:tcPr>
          <w:p w14:paraId="373343C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Pukë</w:t>
            </w:r>
          </w:p>
        </w:tc>
        <w:tc>
          <w:tcPr>
            <w:tcW w:w="401" w:type="pct"/>
            <w:shd w:val="clear" w:color="auto" w:fill="E6E6E6"/>
            <w:vAlign w:val="center"/>
          </w:tcPr>
          <w:p w14:paraId="44BAE67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35</w:t>
            </w:r>
          </w:p>
        </w:tc>
        <w:tc>
          <w:tcPr>
            <w:tcW w:w="533" w:type="pct"/>
            <w:shd w:val="clear" w:color="auto" w:fill="E6E6E6"/>
            <w:vAlign w:val="center"/>
          </w:tcPr>
          <w:p w14:paraId="5128CC55"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130</w:t>
            </w:r>
          </w:p>
        </w:tc>
        <w:tc>
          <w:tcPr>
            <w:tcW w:w="417" w:type="pct"/>
            <w:shd w:val="clear" w:color="auto" w:fill="E6E6E6"/>
            <w:vAlign w:val="center"/>
          </w:tcPr>
          <w:p w14:paraId="2533B5F1"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140</w:t>
            </w:r>
          </w:p>
        </w:tc>
        <w:tc>
          <w:tcPr>
            <w:tcW w:w="401" w:type="pct"/>
            <w:shd w:val="clear" w:color="auto" w:fill="E6E6E6"/>
            <w:vAlign w:val="center"/>
          </w:tcPr>
          <w:p w14:paraId="4BD7A8F4"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533" w:type="pct"/>
            <w:shd w:val="clear" w:color="auto" w:fill="E6E6E6"/>
            <w:vAlign w:val="center"/>
          </w:tcPr>
          <w:p w14:paraId="2B7980A5"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90" w:type="pct"/>
            <w:shd w:val="clear" w:color="auto" w:fill="E6E6E6"/>
            <w:vAlign w:val="center"/>
          </w:tcPr>
          <w:p w14:paraId="6F48F1E9"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01" w:type="pct"/>
            <w:shd w:val="clear" w:color="auto" w:fill="E6E6E6"/>
            <w:vAlign w:val="center"/>
          </w:tcPr>
          <w:p w14:paraId="5C756BC8"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w w:val="99"/>
                <w:sz w:val="18"/>
                <w:szCs w:val="18"/>
              </w:rPr>
              <w:t>8</w:t>
            </w:r>
          </w:p>
        </w:tc>
        <w:tc>
          <w:tcPr>
            <w:tcW w:w="532" w:type="pct"/>
            <w:shd w:val="clear" w:color="auto" w:fill="E6E6E6"/>
            <w:vAlign w:val="center"/>
          </w:tcPr>
          <w:p w14:paraId="1FB4C67A"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16</w:t>
            </w:r>
          </w:p>
        </w:tc>
        <w:tc>
          <w:tcPr>
            <w:tcW w:w="418" w:type="pct"/>
            <w:shd w:val="clear" w:color="auto" w:fill="E6E6E6"/>
            <w:vAlign w:val="center"/>
          </w:tcPr>
          <w:p w14:paraId="752F0298"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16</w:t>
            </w:r>
          </w:p>
        </w:tc>
      </w:tr>
      <w:tr w:rsidR="00591820" w:rsidRPr="00445472" w14:paraId="3FE7376B" w14:textId="77777777" w:rsidTr="004B2267">
        <w:trPr>
          <w:trHeight w:val="340"/>
          <w:jc w:val="center"/>
        </w:trPr>
        <w:tc>
          <w:tcPr>
            <w:tcW w:w="874" w:type="pct"/>
            <w:vAlign w:val="center"/>
          </w:tcPr>
          <w:p w14:paraId="7A84A3ED"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Pukë Fshat</w:t>
            </w:r>
          </w:p>
        </w:tc>
        <w:tc>
          <w:tcPr>
            <w:tcW w:w="401" w:type="pct"/>
            <w:vAlign w:val="center"/>
          </w:tcPr>
          <w:p w14:paraId="4D91BF92"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6B6F2345" w14:textId="77777777" w:rsidR="00591820" w:rsidRPr="00445472" w:rsidRDefault="00591820" w:rsidP="002A1F08">
            <w:pPr>
              <w:spacing w:before="22" w:after="22"/>
              <w:jc w:val="center"/>
              <w:rPr>
                <w:rFonts w:ascii="Garamond" w:eastAsia="MS Mincho" w:hAnsi="Garamond" w:cs="Arial"/>
                <w:sz w:val="18"/>
                <w:szCs w:val="18"/>
              </w:rPr>
            </w:pPr>
          </w:p>
        </w:tc>
        <w:tc>
          <w:tcPr>
            <w:tcW w:w="417" w:type="pct"/>
            <w:vAlign w:val="center"/>
          </w:tcPr>
          <w:p w14:paraId="21A9091A"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6CCEE7CF"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589FE756" w14:textId="77777777" w:rsidR="00591820" w:rsidRPr="00445472" w:rsidRDefault="00591820" w:rsidP="002A1F08">
            <w:pPr>
              <w:spacing w:before="22" w:after="22"/>
              <w:jc w:val="center"/>
              <w:rPr>
                <w:rFonts w:ascii="Garamond" w:eastAsia="MS Mincho" w:hAnsi="Garamond" w:cs="Arial"/>
                <w:sz w:val="18"/>
                <w:szCs w:val="18"/>
              </w:rPr>
            </w:pPr>
          </w:p>
        </w:tc>
        <w:tc>
          <w:tcPr>
            <w:tcW w:w="490" w:type="pct"/>
            <w:vAlign w:val="center"/>
          </w:tcPr>
          <w:p w14:paraId="097AA0E4"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407B0BB7" w14:textId="77777777" w:rsidR="00591820" w:rsidRPr="00445472" w:rsidRDefault="00591820" w:rsidP="002A1F08">
            <w:pPr>
              <w:spacing w:before="22" w:after="22"/>
              <w:jc w:val="center"/>
              <w:rPr>
                <w:rFonts w:ascii="Garamond" w:eastAsia="MS Mincho" w:hAnsi="Garamond" w:cs="Arial"/>
                <w:sz w:val="18"/>
                <w:szCs w:val="18"/>
              </w:rPr>
            </w:pPr>
          </w:p>
        </w:tc>
        <w:tc>
          <w:tcPr>
            <w:tcW w:w="532" w:type="pct"/>
            <w:vAlign w:val="center"/>
          </w:tcPr>
          <w:p w14:paraId="4B7D50DC" w14:textId="77777777" w:rsidR="00591820" w:rsidRPr="00445472" w:rsidRDefault="00591820" w:rsidP="002A1F08">
            <w:pPr>
              <w:spacing w:before="22" w:after="22"/>
              <w:jc w:val="center"/>
              <w:rPr>
                <w:rFonts w:ascii="Garamond" w:eastAsia="MS Mincho" w:hAnsi="Garamond" w:cs="Arial"/>
                <w:sz w:val="18"/>
                <w:szCs w:val="18"/>
              </w:rPr>
            </w:pPr>
          </w:p>
        </w:tc>
        <w:tc>
          <w:tcPr>
            <w:tcW w:w="418" w:type="pct"/>
            <w:vAlign w:val="center"/>
          </w:tcPr>
          <w:p w14:paraId="2193D88C" w14:textId="77777777" w:rsidR="00591820" w:rsidRPr="00445472" w:rsidRDefault="00591820" w:rsidP="002A1F08">
            <w:pPr>
              <w:spacing w:before="22" w:after="22"/>
              <w:jc w:val="center"/>
              <w:rPr>
                <w:rFonts w:ascii="Garamond" w:eastAsia="MS Mincho" w:hAnsi="Garamond" w:cs="Arial"/>
                <w:sz w:val="18"/>
                <w:szCs w:val="18"/>
              </w:rPr>
            </w:pPr>
          </w:p>
        </w:tc>
      </w:tr>
      <w:tr w:rsidR="00591820" w:rsidRPr="00445472" w14:paraId="1277CC1F" w14:textId="77777777" w:rsidTr="004B2267">
        <w:trPr>
          <w:trHeight w:val="340"/>
          <w:jc w:val="center"/>
        </w:trPr>
        <w:tc>
          <w:tcPr>
            <w:tcW w:w="874" w:type="pct"/>
            <w:shd w:val="clear" w:color="auto" w:fill="E6E6E6"/>
            <w:vAlign w:val="center"/>
          </w:tcPr>
          <w:p w14:paraId="2445E56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Shkodër</w:t>
            </w:r>
          </w:p>
        </w:tc>
        <w:tc>
          <w:tcPr>
            <w:tcW w:w="401" w:type="pct"/>
            <w:shd w:val="clear" w:color="auto" w:fill="E6E6E6"/>
            <w:vAlign w:val="center"/>
          </w:tcPr>
          <w:p w14:paraId="287F7378"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40</w:t>
            </w:r>
          </w:p>
        </w:tc>
        <w:tc>
          <w:tcPr>
            <w:tcW w:w="533" w:type="pct"/>
            <w:shd w:val="clear" w:color="auto" w:fill="E6E6E6"/>
            <w:vAlign w:val="center"/>
          </w:tcPr>
          <w:p w14:paraId="3C7D998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110</w:t>
            </w:r>
          </w:p>
        </w:tc>
        <w:tc>
          <w:tcPr>
            <w:tcW w:w="417" w:type="pct"/>
            <w:shd w:val="clear" w:color="auto" w:fill="E6E6E6"/>
            <w:vAlign w:val="center"/>
          </w:tcPr>
          <w:p w14:paraId="3977050A"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110</w:t>
            </w:r>
          </w:p>
        </w:tc>
        <w:tc>
          <w:tcPr>
            <w:tcW w:w="401" w:type="pct"/>
            <w:shd w:val="clear" w:color="auto" w:fill="E6E6E6"/>
            <w:vAlign w:val="center"/>
          </w:tcPr>
          <w:p w14:paraId="2609314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533" w:type="pct"/>
            <w:shd w:val="clear" w:color="auto" w:fill="E6E6E6"/>
            <w:vAlign w:val="center"/>
          </w:tcPr>
          <w:p w14:paraId="49B4C9DC"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90" w:type="pct"/>
            <w:shd w:val="clear" w:color="auto" w:fill="E6E6E6"/>
            <w:vAlign w:val="center"/>
          </w:tcPr>
          <w:p w14:paraId="37B0DEE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100</w:t>
            </w:r>
          </w:p>
        </w:tc>
        <w:tc>
          <w:tcPr>
            <w:tcW w:w="401" w:type="pct"/>
            <w:shd w:val="clear" w:color="auto" w:fill="E6E6E6"/>
            <w:vAlign w:val="center"/>
          </w:tcPr>
          <w:p w14:paraId="17651A6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15</w:t>
            </w:r>
          </w:p>
        </w:tc>
        <w:tc>
          <w:tcPr>
            <w:tcW w:w="532" w:type="pct"/>
            <w:shd w:val="clear" w:color="auto" w:fill="E6E6E6"/>
            <w:vAlign w:val="center"/>
          </w:tcPr>
          <w:p w14:paraId="1CB3391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20</w:t>
            </w:r>
          </w:p>
        </w:tc>
        <w:tc>
          <w:tcPr>
            <w:tcW w:w="418" w:type="pct"/>
            <w:shd w:val="clear" w:color="auto" w:fill="E6E6E6"/>
            <w:vAlign w:val="center"/>
          </w:tcPr>
          <w:p w14:paraId="22A0EB83"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20</w:t>
            </w:r>
          </w:p>
        </w:tc>
      </w:tr>
      <w:tr w:rsidR="00591820" w:rsidRPr="00445472" w14:paraId="7D8943A6" w14:textId="77777777" w:rsidTr="004B2267">
        <w:trPr>
          <w:trHeight w:val="340"/>
          <w:jc w:val="center"/>
        </w:trPr>
        <w:tc>
          <w:tcPr>
            <w:tcW w:w="874" w:type="pct"/>
            <w:vAlign w:val="center"/>
          </w:tcPr>
          <w:p w14:paraId="18DE785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Shkodër Fshat</w:t>
            </w:r>
          </w:p>
        </w:tc>
        <w:tc>
          <w:tcPr>
            <w:tcW w:w="401" w:type="pct"/>
            <w:vAlign w:val="center"/>
          </w:tcPr>
          <w:p w14:paraId="29BB422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50</w:t>
            </w:r>
          </w:p>
        </w:tc>
        <w:tc>
          <w:tcPr>
            <w:tcW w:w="533" w:type="pct"/>
            <w:vAlign w:val="center"/>
          </w:tcPr>
          <w:p w14:paraId="0FE4990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120</w:t>
            </w:r>
          </w:p>
        </w:tc>
        <w:tc>
          <w:tcPr>
            <w:tcW w:w="417" w:type="pct"/>
            <w:vAlign w:val="center"/>
          </w:tcPr>
          <w:p w14:paraId="4FCF350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120</w:t>
            </w:r>
          </w:p>
        </w:tc>
        <w:tc>
          <w:tcPr>
            <w:tcW w:w="401" w:type="pct"/>
            <w:vAlign w:val="center"/>
          </w:tcPr>
          <w:p w14:paraId="5B3209B6" w14:textId="77777777" w:rsidR="00591820" w:rsidRPr="00445472" w:rsidRDefault="00591820" w:rsidP="002A1F08">
            <w:pPr>
              <w:spacing w:before="22" w:after="22"/>
              <w:jc w:val="center"/>
              <w:rPr>
                <w:rFonts w:ascii="Garamond" w:eastAsia="MS Mincho" w:hAnsi="Garamond" w:cs="Arial"/>
                <w:sz w:val="18"/>
                <w:szCs w:val="18"/>
              </w:rPr>
            </w:pPr>
          </w:p>
        </w:tc>
        <w:tc>
          <w:tcPr>
            <w:tcW w:w="533" w:type="pct"/>
            <w:vAlign w:val="center"/>
          </w:tcPr>
          <w:p w14:paraId="29AB5F7D" w14:textId="77777777" w:rsidR="00591820" w:rsidRPr="00445472" w:rsidRDefault="00591820" w:rsidP="002A1F08">
            <w:pPr>
              <w:spacing w:before="22" w:after="22"/>
              <w:jc w:val="center"/>
              <w:rPr>
                <w:rFonts w:ascii="Garamond" w:eastAsia="MS Mincho" w:hAnsi="Garamond" w:cs="Arial"/>
                <w:sz w:val="18"/>
                <w:szCs w:val="18"/>
              </w:rPr>
            </w:pPr>
          </w:p>
        </w:tc>
        <w:tc>
          <w:tcPr>
            <w:tcW w:w="490" w:type="pct"/>
            <w:vAlign w:val="center"/>
          </w:tcPr>
          <w:p w14:paraId="2E7B061E" w14:textId="77777777" w:rsidR="00591820" w:rsidRPr="00445472" w:rsidRDefault="00591820" w:rsidP="002A1F08">
            <w:pPr>
              <w:spacing w:before="22" w:after="22"/>
              <w:jc w:val="center"/>
              <w:rPr>
                <w:rFonts w:ascii="Garamond" w:eastAsia="MS Mincho" w:hAnsi="Garamond" w:cs="Arial"/>
                <w:sz w:val="18"/>
                <w:szCs w:val="18"/>
              </w:rPr>
            </w:pPr>
          </w:p>
        </w:tc>
        <w:tc>
          <w:tcPr>
            <w:tcW w:w="401" w:type="pct"/>
            <w:vAlign w:val="center"/>
          </w:tcPr>
          <w:p w14:paraId="40A68038" w14:textId="77777777" w:rsidR="00591820" w:rsidRPr="00445472" w:rsidRDefault="00591820" w:rsidP="002A1F08">
            <w:pPr>
              <w:spacing w:before="22" w:after="22"/>
              <w:jc w:val="center"/>
              <w:rPr>
                <w:rFonts w:ascii="Garamond" w:eastAsia="MS Mincho" w:hAnsi="Garamond" w:cs="Arial"/>
                <w:sz w:val="18"/>
                <w:szCs w:val="18"/>
              </w:rPr>
            </w:pPr>
          </w:p>
        </w:tc>
        <w:tc>
          <w:tcPr>
            <w:tcW w:w="532" w:type="pct"/>
            <w:vAlign w:val="center"/>
          </w:tcPr>
          <w:p w14:paraId="4E91BD95" w14:textId="77777777" w:rsidR="00591820" w:rsidRPr="00445472" w:rsidRDefault="00591820" w:rsidP="002A1F08">
            <w:pPr>
              <w:spacing w:before="22" w:after="22"/>
              <w:jc w:val="center"/>
              <w:rPr>
                <w:rFonts w:ascii="Garamond" w:eastAsia="MS Mincho" w:hAnsi="Garamond" w:cs="Arial"/>
                <w:sz w:val="18"/>
                <w:szCs w:val="18"/>
              </w:rPr>
            </w:pPr>
          </w:p>
        </w:tc>
        <w:tc>
          <w:tcPr>
            <w:tcW w:w="418" w:type="pct"/>
            <w:vAlign w:val="center"/>
          </w:tcPr>
          <w:p w14:paraId="4822E3C8" w14:textId="77777777" w:rsidR="00591820" w:rsidRPr="00445472" w:rsidRDefault="00591820" w:rsidP="002A1F08">
            <w:pPr>
              <w:spacing w:before="22" w:after="22"/>
              <w:jc w:val="center"/>
              <w:rPr>
                <w:rFonts w:ascii="Garamond" w:eastAsia="MS Mincho" w:hAnsi="Garamond" w:cs="Arial"/>
                <w:sz w:val="18"/>
                <w:szCs w:val="18"/>
              </w:rPr>
            </w:pPr>
          </w:p>
        </w:tc>
      </w:tr>
      <w:tr w:rsidR="00591820" w:rsidRPr="00445472" w14:paraId="3F1A02CE" w14:textId="77777777" w:rsidTr="004B2267">
        <w:trPr>
          <w:trHeight w:val="340"/>
          <w:jc w:val="center"/>
        </w:trPr>
        <w:tc>
          <w:tcPr>
            <w:tcW w:w="874" w:type="pct"/>
            <w:shd w:val="clear" w:color="auto" w:fill="E6E6E6"/>
            <w:vAlign w:val="center"/>
          </w:tcPr>
          <w:p w14:paraId="15F528E6"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Tropojë</w:t>
            </w:r>
          </w:p>
        </w:tc>
        <w:tc>
          <w:tcPr>
            <w:tcW w:w="401" w:type="pct"/>
            <w:shd w:val="clear" w:color="auto" w:fill="E6E6E6"/>
            <w:vAlign w:val="center"/>
          </w:tcPr>
          <w:p w14:paraId="792EC11D"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19</w:t>
            </w:r>
          </w:p>
        </w:tc>
        <w:tc>
          <w:tcPr>
            <w:tcW w:w="533" w:type="pct"/>
            <w:shd w:val="clear" w:color="auto" w:fill="E6E6E6"/>
            <w:vAlign w:val="center"/>
          </w:tcPr>
          <w:p w14:paraId="11B37345"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60</w:t>
            </w:r>
          </w:p>
        </w:tc>
        <w:tc>
          <w:tcPr>
            <w:tcW w:w="417" w:type="pct"/>
            <w:shd w:val="clear" w:color="auto" w:fill="E6E6E6"/>
            <w:vAlign w:val="center"/>
          </w:tcPr>
          <w:p w14:paraId="2C59C9C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80</w:t>
            </w:r>
          </w:p>
        </w:tc>
        <w:tc>
          <w:tcPr>
            <w:tcW w:w="401" w:type="pct"/>
            <w:shd w:val="clear" w:color="auto" w:fill="E6E6E6"/>
            <w:vAlign w:val="center"/>
          </w:tcPr>
          <w:p w14:paraId="0B9DA09F" w14:textId="77777777" w:rsidR="00591820" w:rsidRPr="00445472" w:rsidRDefault="00591820" w:rsidP="002A1F08">
            <w:pPr>
              <w:spacing w:before="22" w:after="22"/>
              <w:jc w:val="center"/>
              <w:rPr>
                <w:rFonts w:ascii="Garamond" w:eastAsia="MS Mincho" w:hAnsi="Garamond" w:cs="Arial"/>
                <w:sz w:val="18"/>
                <w:szCs w:val="18"/>
              </w:rPr>
            </w:pPr>
          </w:p>
        </w:tc>
        <w:tc>
          <w:tcPr>
            <w:tcW w:w="533" w:type="pct"/>
            <w:shd w:val="clear" w:color="auto" w:fill="E6E6E6"/>
            <w:vAlign w:val="center"/>
          </w:tcPr>
          <w:p w14:paraId="3927AD62" w14:textId="77777777" w:rsidR="00591820" w:rsidRPr="00445472" w:rsidRDefault="00591820" w:rsidP="002A1F08">
            <w:pPr>
              <w:spacing w:before="22" w:after="22"/>
              <w:jc w:val="center"/>
              <w:rPr>
                <w:rFonts w:ascii="Garamond" w:eastAsia="MS Mincho" w:hAnsi="Garamond" w:cs="Arial"/>
                <w:sz w:val="18"/>
                <w:szCs w:val="18"/>
              </w:rPr>
            </w:pPr>
          </w:p>
        </w:tc>
        <w:tc>
          <w:tcPr>
            <w:tcW w:w="490" w:type="pct"/>
            <w:shd w:val="clear" w:color="auto" w:fill="E6E6E6"/>
            <w:vAlign w:val="center"/>
          </w:tcPr>
          <w:p w14:paraId="4233563A" w14:textId="77777777" w:rsidR="00591820" w:rsidRPr="00445472" w:rsidRDefault="00591820" w:rsidP="002A1F08">
            <w:pPr>
              <w:spacing w:before="22" w:after="22"/>
              <w:jc w:val="center"/>
              <w:rPr>
                <w:rFonts w:ascii="Garamond" w:eastAsia="MS Mincho" w:hAnsi="Garamond" w:cs="Arial"/>
                <w:sz w:val="18"/>
                <w:szCs w:val="18"/>
              </w:rPr>
            </w:pPr>
          </w:p>
        </w:tc>
        <w:tc>
          <w:tcPr>
            <w:tcW w:w="401" w:type="pct"/>
            <w:shd w:val="clear" w:color="auto" w:fill="E6E6E6"/>
            <w:vAlign w:val="center"/>
          </w:tcPr>
          <w:p w14:paraId="467FCFCD" w14:textId="77777777" w:rsidR="00591820" w:rsidRPr="00445472" w:rsidRDefault="00591820" w:rsidP="002A1F08">
            <w:pPr>
              <w:spacing w:before="22" w:after="22"/>
              <w:jc w:val="center"/>
              <w:rPr>
                <w:rFonts w:ascii="Garamond" w:eastAsia="MS Mincho" w:hAnsi="Garamond" w:cs="Arial"/>
                <w:sz w:val="18"/>
                <w:szCs w:val="18"/>
              </w:rPr>
            </w:pPr>
          </w:p>
        </w:tc>
        <w:tc>
          <w:tcPr>
            <w:tcW w:w="532" w:type="pct"/>
            <w:shd w:val="clear" w:color="auto" w:fill="E6E6E6"/>
            <w:vAlign w:val="center"/>
          </w:tcPr>
          <w:p w14:paraId="3053D86B" w14:textId="77777777" w:rsidR="00591820" w:rsidRPr="00445472" w:rsidRDefault="00591820" w:rsidP="002A1F08">
            <w:pPr>
              <w:spacing w:before="22" w:after="22"/>
              <w:jc w:val="center"/>
              <w:rPr>
                <w:rFonts w:ascii="Garamond" w:eastAsia="MS Mincho" w:hAnsi="Garamond" w:cs="Arial"/>
                <w:sz w:val="18"/>
                <w:szCs w:val="18"/>
              </w:rPr>
            </w:pPr>
          </w:p>
        </w:tc>
        <w:tc>
          <w:tcPr>
            <w:tcW w:w="418" w:type="pct"/>
            <w:shd w:val="clear" w:color="auto" w:fill="E6E6E6"/>
            <w:vAlign w:val="center"/>
          </w:tcPr>
          <w:p w14:paraId="1BA25EC2" w14:textId="77777777" w:rsidR="00591820" w:rsidRPr="00445472" w:rsidRDefault="00591820" w:rsidP="002A1F08">
            <w:pPr>
              <w:spacing w:before="22" w:after="22"/>
              <w:jc w:val="center"/>
              <w:rPr>
                <w:rFonts w:ascii="Garamond" w:eastAsia="MS Mincho" w:hAnsi="Garamond" w:cs="Arial"/>
                <w:sz w:val="18"/>
                <w:szCs w:val="18"/>
              </w:rPr>
            </w:pPr>
          </w:p>
        </w:tc>
      </w:tr>
    </w:tbl>
    <w:p w14:paraId="63EA79DE" w14:textId="77777777" w:rsidR="00591820" w:rsidRPr="00445472" w:rsidRDefault="00591820" w:rsidP="004B2267">
      <w:pPr>
        <w:pStyle w:val="NENTITULL"/>
      </w:pPr>
    </w:p>
    <w:p w14:paraId="35521C1B" w14:textId="28325390" w:rsidR="00591820" w:rsidRPr="00445472" w:rsidRDefault="00591820" w:rsidP="004B2267">
      <w:pPr>
        <w:pStyle w:val="NENTITULL"/>
        <w:rPr>
          <w:bCs/>
        </w:rPr>
      </w:pPr>
      <w:r w:rsidRPr="00445472">
        <w:rPr>
          <w:bCs/>
        </w:rPr>
        <w:t xml:space="preserve">Tabela 11.17: Të hyrat nga shërbimet e ujit në basenin ujor </w:t>
      </w:r>
      <w:r w:rsidR="007E76E3" w:rsidRPr="00445472">
        <w:rPr>
          <w:bCs/>
        </w:rPr>
        <w:t>Drin–Bunë</w:t>
      </w:r>
      <w:r w:rsidRPr="00445472">
        <w:rPr>
          <w:bCs/>
        </w:rPr>
        <w:t xml:space="preserve"> 2015</w:t>
      </w:r>
    </w:p>
    <w:p w14:paraId="062AB089" w14:textId="77777777" w:rsidR="004B2267" w:rsidRPr="00445472" w:rsidRDefault="004B2267" w:rsidP="004B2267">
      <w:pPr>
        <w:pStyle w:val="NENTITULL"/>
        <w:rPr>
          <w:bCs/>
        </w:rPr>
      </w:pPr>
    </w:p>
    <w:tbl>
      <w:tblPr>
        <w:tblW w:w="9810" w:type="dxa"/>
        <w:jc w:val="center"/>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Layout w:type="fixed"/>
        <w:tblCellMar>
          <w:left w:w="0" w:type="dxa"/>
          <w:right w:w="0" w:type="dxa"/>
        </w:tblCellMar>
        <w:tblLook w:val="01E0" w:firstRow="1" w:lastRow="1" w:firstColumn="1" w:lastColumn="1" w:noHBand="0" w:noVBand="0"/>
      </w:tblPr>
      <w:tblGrid>
        <w:gridCol w:w="1619"/>
        <w:gridCol w:w="1620"/>
        <w:gridCol w:w="1619"/>
        <w:gridCol w:w="1550"/>
        <w:gridCol w:w="1701"/>
        <w:gridCol w:w="1701"/>
      </w:tblGrid>
      <w:tr w:rsidR="00591820" w:rsidRPr="00445472" w14:paraId="5F355E1B" w14:textId="77777777" w:rsidTr="004B2267">
        <w:trPr>
          <w:trHeight w:val="1006"/>
          <w:jc w:val="center"/>
        </w:trPr>
        <w:tc>
          <w:tcPr>
            <w:tcW w:w="1619" w:type="dxa"/>
            <w:shd w:val="clear" w:color="auto" w:fill="E6E6E6"/>
            <w:vAlign w:val="center"/>
          </w:tcPr>
          <w:p w14:paraId="2A0D0536" w14:textId="439C617A"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Të ardhurat nga shërbimet e ujit (000 </w:t>
            </w:r>
            <w:r w:rsidR="00FD1436" w:rsidRPr="00445472">
              <w:rPr>
                <w:rFonts w:ascii="Garamond" w:eastAsia="MS Mincho" w:hAnsi="Garamond" w:cs="Arial"/>
                <w:sz w:val="18"/>
                <w:szCs w:val="18"/>
              </w:rPr>
              <w:t>lek</w:t>
            </w:r>
            <w:r w:rsidRPr="00445472">
              <w:rPr>
                <w:rFonts w:ascii="Garamond" w:eastAsia="MS Mincho" w:hAnsi="Garamond" w:cs="Arial"/>
                <w:sz w:val="18"/>
                <w:szCs w:val="18"/>
              </w:rPr>
              <w:t>)</w:t>
            </w:r>
          </w:p>
        </w:tc>
        <w:tc>
          <w:tcPr>
            <w:tcW w:w="1620" w:type="dxa"/>
            <w:shd w:val="clear" w:color="auto" w:fill="E6E6E6"/>
            <w:vAlign w:val="center"/>
          </w:tcPr>
          <w:p w14:paraId="508DB472"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Të ardhurat nga shërbimet e ujërave të zeza </w:t>
            </w:r>
          </w:p>
          <w:p w14:paraId="67504C5C" w14:textId="4265EC8B"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(000 </w:t>
            </w:r>
            <w:r w:rsidR="00FD1436" w:rsidRPr="00445472">
              <w:rPr>
                <w:rFonts w:ascii="Garamond" w:eastAsia="MS Mincho" w:hAnsi="Garamond" w:cs="Arial"/>
                <w:sz w:val="18"/>
                <w:szCs w:val="18"/>
              </w:rPr>
              <w:t>lek</w:t>
            </w:r>
            <w:r w:rsidRPr="00445472">
              <w:rPr>
                <w:rFonts w:ascii="Garamond" w:eastAsia="MS Mincho" w:hAnsi="Garamond" w:cs="Arial"/>
                <w:sz w:val="18"/>
                <w:szCs w:val="18"/>
              </w:rPr>
              <w:t>)</w:t>
            </w:r>
          </w:p>
        </w:tc>
        <w:tc>
          <w:tcPr>
            <w:tcW w:w="1619" w:type="dxa"/>
            <w:shd w:val="clear" w:color="auto" w:fill="E6E6E6"/>
            <w:vAlign w:val="center"/>
          </w:tcPr>
          <w:p w14:paraId="0E8E4230"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Të ardhurat totale operative </w:t>
            </w:r>
          </w:p>
          <w:p w14:paraId="028DD9F9" w14:textId="5C6E3D5A"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(000 </w:t>
            </w:r>
            <w:r w:rsidR="00FD1436" w:rsidRPr="00445472">
              <w:rPr>
                <w:rFonts w:ascii="Garamond" w:eastAsia="MS Mincho" w:hAnsi="Garamond" w:cs="Arial"/>
                <w:sz w:val="18"/>
                <w:szCs w:val="18"/>
              </w:rPr>
              <w:t>lek</w:t>
            </w:r>
            <w:r w:rsidRPr="00445472">
              <w:rPr>
                <w:rFonts w:ascii="Garamond" w:eastAsia="MS Mincho" w:hAnsi="Garamond" w:cs="Arial"/>
                <w:sz w:val="18"/>
                <w:szCs w:val="18"/>
              </w:rPr>
              <w:t>)</w:t>
            </w:r>
          </w:p>
        </w:tc>
        <w:tc>
          <w:tcPr>
            <w:tcW w:w="1550" w:type="dxa"/>
            <w:shd w:val="clear" w:color="auto" w:fill="E6E6E6"/>
            <w:vAlign w:val="center"/>
          </w:tcPr>
          <w:p w14:paraId="16EFD138"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Subvencionet </w:t>
            </w:r>
          </w:p>
          <w:p w14:paraId="093A07D3" w14:textId="545BCDE2"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(000 </w:t>
            </w:r>
            <w:r w:rsidR="00FD1436" w:rsidRPr="00445472">
              <w:rPr>
                <w:rFonts w:ascii="Garamond" w:eastAsia="MS Mincho" w:hAnsi="Garamond" w:cs="Arial"/>
                <w:sz w:val="18"/>
                <w:szCs w:val="18"/>
              </w:rPr>
              <w:t>lek</w:t>
            </w:r>
            <w:r w:rsidRPr="00445472">
              <w:rPr>
                <w:rFonts w:ascii="Garamond" w:eastAsia="MS Mincho" w:hAnsi="Garamond" w:cs="Arial"/>
                <w:sz w:val="18"/>
                <w:szCs w:val="18"/>
              </w:rPr>
              <w:t>)</w:t>
            </w:r>
          </w:p>
        </w:tc>
        <w:tc>
          <w:tcPr>
            <w:tcW w:w="1701" w:type="dxa"/>
            <w:shd w:val="clear" w:color="auto" w:fill="E6E6E6"/>
            <w:vAlign w:val="center"/>
          </w:tcPr>
          <w:p w14:paraId="124ACFCB"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Totali i të ardhurave financiare </w:t>
            </w:r>
          </w:p>
          <w:p w14:paraId="5B1263AE" w14:textId="54AB61AC"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(000 </w:t>
            </w:r>
            <w:r w:rsidR="00FD1436" w:rsidRPr="00445472">
              <w:rPr>
                <w:rFonts w:ascii="Garamond" w:eastAsia="MS Mincho" w:hAnsi="Garamond" w:cs="Arial"/>
                <w:sz w:val="18"/>
                <w:szCs w:val="18"/>
              </w:rPr>
              <w:t>lek</w:t>
            </w:r>
            <w:r w:rsidRPr="00445472">
              <w:rPr>
                <w:rFonts w:ascii="Garamond" w:eastAsia="MS Mincho" w:hAnsi="Garamond" w:cs="Arial"/>
                <w:sz w:val="18"/>
                <w:szCs w:val="18"/>
              </w:rPr>
              <w:t>)</w:t>
            </w:r>
          </w:p>
        </w:tc>
        <w:tc>
          <w:tcPr>
            <w:tcW w:w="1701" w:type="dxa"/>
            <w:shd w:val="clear" w:color="auto" w:fill="E6E6E6"/>
            <w:vAlign w:val="center"/>
          </w:tcPr>
          <w:p w14:paraId="6B86E83E"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Totali i të ardhurave financiare </w:t>
            </w:r>
          </w:p>
          <w:p w14:paraId="31889127" w14:textId="293A5C7D"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 xml:space="preserve">(000 </w:t>
            </w:r>
            <w:r w:rsidR="00FD1436" w:rsidRPr="00445472">
              <w:rPr>
                <w:rFonts w:ascii="Garamond" w:eastAsia="MS Mincho" w:hAnsi="Garamond" w:cs="Arial"/>
                <w:sz w:val="18"/>
                <w:szCs w:val="18"/>
              </w:rPr>
              <w:t>euro</w:t>
            </w:r>
            <w:r w:rsidRPr="00445472">
              <w:rPr>
                <w:rFonts w:ascii="Garamond" w:eastAsia="MS Mincho" w:hAnsi="Garamond" w:cs="Arial"/>
                <w:sz w:val="18"/>
                <w:szCs w:val="18"/>
              </w:rPr>
              <w:t>)</w:t>
            </w:r>
          </w:p>
        </w:tc>
      </w:tr>
      <w:tr w:rsidR="00591820" w:rsidRPr="00445472" w14:paraId="6FE67B7D" w14:textId="77777777" w:rsidTr="004B2267">
        <w:trPr>
          <w:trHeight w:val="340"/>
          <w:jc w:val="center"/>
        </w:trPr>
        <w:tc>
          <w:tcPr>
            <w:tcW w:w="1619" w:type="dxa"/>
            <w:vAlign w:val="center"/>
          </w:tcPr>
          <w:p w14:paraId="1D6822F4"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581,721</w:t>
            </w:r>
          </w:p>
        </w:tc>
        <w:tc>
          <w:tcPr>
            <w:tcW w:w="1620" w:type="dxa"/>
            <w:vAlign w:val="center"/>
          </w:tcPr>
          <w:p w14:paraId="3F11A8C2"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119,979</w:t>
            </w:r>
          </w:p>
        </w:tc>
        <w:tc>
          <w:tcPr>
            <w:tcW w:w="1619" w:type="dxa"/>
            <w:vAlign w:val="center"/>
          </w:tcPr>
          <w:p w14:paraId="2383E435"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701,700</w:t>
            </w:r>
          </w:p>
        </w:tc>
        <w:tc>
          <w:tcPr>
            <w:tcW w:w="1550" w:type="dxa"/>
            <w:vAlign w:val="center"/>
          </w:tcPr>
          <w:p w14:paraId="15D694E8"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81,710</w:t>
            </w:r>
          </w:p>
        </w:tc>
        <w:tc>
          <w:tcPr>
            <w:tcW w:w="1701" w:type="dxa"/>
            <w:vAlign w:val="center"/>
          </w:tcPr>
          <w:p w14:paraId="641B3EFA"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783,410</w:t>
            </w:r>
          </w:p>
        </w:tc>
        <w:tc>
          <w:tcPr>
            <w:tcW w:w="1701" w:type="dxa"/>
            <w:vAlign w:val="center"/>
          </w:tcPr>
          <w:p w14:paraId="044BED97" w14:textId="77777777" w:rsidR="00591820" w:rsidRPr="00445472" w:rsidRDefault="00591820" w:rsidP="002A1F08">
            <w:pPr>
              <w:spacing w:before="22" w:after="22"/>
              <w:jc w:val="center"/>
              <w:rPr>
                <w:rFonts w:ascii="Garamond" w:eastAsia="MS Mincho" w:hAnsi="Garamond" w:cs="Arial"/>
                <w:sz w:val="18"/>
                <w:szCs w:val="18"/>
              </w:rPr>
            </w:pPr>
            <w:r w:rsidRPr="00445472">
              <w:rPr>
                <w:rFonts w:ascii="Garamond" w:eastAsia="MS Mincho" w:hAnsi="Garamond" w:cs="Arial"/>
                <w:sz w:val="18"/>
                <w:szCs w:val="18"/>
              </w:rPr>
              <w:t>5,719</w:t>
            </w:r>
          </w:p>
        </w:tc>
      </w:tr>
    </w:tbl>
    <w:p w14:paraId="781C6F1B" w14:textId="77777777" w:rsidR="00591820" w:rsidRPr="00445472" w:rsidRDefault="00591820" w:rsidP="004B2267">
      <w:pPr>
        <w:pStyle w:val="TEKSTIIII"/>
      </w:pPr>
    </w:p>
    <w:p w14:paraId="75DF5305" w14:textId="63D78957" w:rsidR="00591820" w:rsidRPr="00445472" w:rsidRDefault="004B2267" w:rsidP="004B2267">
      <w:pPr>
        <w:pStyle w:val="NENTITULL"/>
      </w:pPr>
      <w:bookmarkStart w:id="278" w:name="_Toc11068876"/>
      <w:r w:rsidRPr="00445472">
        <w:t xml:space="preserve">11.6.5 </w:t>
      </w:r>
      <w:r w:rsidR="00591820" w:rsidRPr="00445472">
        <w:t>Shkalla e rikuperimit të kostos</w:t>
      </w:r>
      <w:bookmarkEnd w:id="278"/>
    </w:p>
    <w:p w14:paraId="1380DC88" w14:textId="77777777" w:rsidR="00591820" w:rsidRPr="00445472" w:rsidRDefault="00591820" w:rsidP="004B2267">
      <w:pPr>
        <w:pStyle w:val="TEKSTIIII"/>
      </w:pPr>
      <w:r w:rsidRPr="00445472">
        <w:t>Kthimi i përgjithshëm i kostove është shkalla në të cilën kostot e sigurimit të shërbimit të ujit mbulohen nga tarifat për përdoruesit e ujit dhe mekanizmat e tjerë të rikuperimit së kostos.</w:t>
      </w:r>
    </w:p>
    <w:p w14:paraId="51990EAB" w14:textId="77777777" w:rsidR="00591820" w:rsidRPr="00445472" w:rsidRDefault="00591820" w:rsidP="004B2267">
      <w:pPr>
        <w:pStyle w:val="TEKSTIIII"/>
      </w:pPr>
      <w:r w:rsidRPr="00445472">
        <w:t>Shkalla e rikuperimit të kostos vlerësohet në këtë raport si:</w:t>
      </w:r>
    </w:p>
    <w:p w14:paraId="77D497F9" w14:textId="2372B382" w:rsidR="00591820" w:rsidRPr="00F574E2" w:rsidRDefault="00591820" w:rsidP="004B2267">
      <w:pPr>
        <w:pStyle w:val="TEKSTIIII"/>
        <w:rPr>
          <w:rFonts w:cs="Arial"/>
          <w:b/>
        </w:rPr>
      </w:pPr>
      <w:r w:rsidRPr="00F574E2">
        <w:rPr>
          <w:rFonts w:cs="Arial"/>
          <w:b/>
        </w:rPr>
        <w:t>Norma e rikuperimit të kostos = të ardhurat totale</w:t>
      </w:r>
      <w:r w:rsidR="001D340B" w:rsidRPr="00F574E2">
        <w:rPr>
          <w:rFonts w:cs="Arial"/>
          <w:b/>
        </w:rPr>
        <w:t>/</w:t>
      </w:r>
      <w:r w:rsidRPr="00F574E2">
        <w:rPr>
          <w:rFonts w:cs="Arial"/>
          <w:b/>
        </w:rPr>
        <w:t>kostot totale x 100 [%]</w:t>
      </w:r>
    </w:p>
    <w:p w14:paraId="31D73434" w14:textId="77777777" w:rsidR="00591820" w:rsidRPr="00445472" w:rsidRDefault="00591820" w:rsidP="004B2267">
      <w:pPr>
        <w:pStyle w:val="TEKSTIIII"/>
      </w:pPr>
      <w:r w:rsidRPr="00445472">
        <w:t>Shkallët e rikuperimit të kostos vlerësohen si për kostot financiare ashtu edhe për ato ekonomike për ujë të pijshëm dhe shërbime të ujërave të ndotura në basenin ujor. Vlerësimet bazohen në të dhënat e vitit 2015 nga kompanitë e shërbimeve të ujësjellësit që ofrojnë shërbime ujësjellës-kanalizime në zonën e Basenit Ujor.</w:t>
      </w:r>
    </w:p>
    <w:p w14:paraId="4E76A0F9" w14:textId="0A59E3C4" w:rsidR="00591820" w:rsidRPr="00445472" w:rsidRDefault="004B2267" w:rsidP="004B2267">
      <w:pPr>
        <w:pStyle w:val="NENTITULL"/>
      </w:pPr>
      <w:bookmarkStart w:id="279" w:name="_Toc11068877"/>
      <w:r w:rsidRPr="00445472">
        <w:t xml:space="preserve">11.6.6 </w:t>
      </w:r>
      <w:r w:rsidR="00591820" w:rsidRPr="00445472">
        <w:t>Rikuperimi i kostove financiare</w:t>
      </w:r>
      <w:bookmarkEnd w:id="279"/>
    </w:p>
    <w:p w14:paraId="380A3EE8" w14:textId="77777777" w:rsidR="00591820" w:rsidRPr="00445472" w:rsidRDefault="00591820" w:rsidP="004B2267">
      <w:pPr>
        <w:pStyle w:val="TEKSTIIII"/>
      </w:pPr>
      <w:r w:rsidRPr="00445472">
        <w:t xml:space="preserve">Shkalla e rikuperimit të kostove financiare merr në konsideratë të gjitha kostot financiare të kryera nga ofruesit e shërbimeve dhe të gjitha të ardhurat, duke përfshirë subvencionet. </w:t>
      </w:r>
    </w:p>
    <w:p w14:paraId="7C1C2AEF" w14:textId="73C485E7" w:rsidR="00591820" w:rsidRPr="00445472" w:rsidRDefault="00591820" w:rsidP="004B2267">
      <w:pPr>
        <w:pStyle w:val="TEKSTIIII"/>
      </w:pPr>
      <w:r w:rsidRPr="00445472">
        <w:t xml:space="preserve">Çdo ndërmarrje ujësjellësi në basenet ujore, me të dhëna të ndryshme financiare, raporton një normë të ndryshme të rikuperimit së kostos financiare. Në nivelin e basenit ujor, shifrat janë siç tregohet në </w:t>
      </w:r>
      <w:r w:rsidR="00FD1436" w:rsidRPr="00445472">
        <w:t xml:space="preserve">tabelën </w:t>
      </w:r>
      <w:r w:rsidRPr="00445472">
        <w:t>11.18 më poshtë.</w:t>
      </w:r>
    </w:p>
    <w:p w14:paraId="358389C1" w14:textId="77777777" w:rsidR="004B2267" w:rsidRPr="00445472" w:rsidRDefault="004B2267" w:rsidP="004B2267">
      <w:pPr>
        <w:pStyle w:val="NENTITULL"/>
        <w:rPr>
          <w:bCs/>
        </w:rPr>
      </w:pPr>
      <w:bookmarkStart w:id="280" w:name="_bookmark61"/>
      <w:bookmarkEnd w:id="280"/>
    </w:p>
    <w:p w14:paraId="4FC07057" w14:textId="336E507A" w:rsidR="00591820" w:rsidRPr="00445472" w:rsidRDefault="00591820" w:rsidP="004B2267">
      <w:pPr>
        <w:pStyle w:val="NENTITULL"/>
        <w:rPr>
          <w:bCs/>
        </w:rPr>
      </w:pPr>
      <w:r w:rsidRPr="00445472">
        <w:rPr>
          <w:bCs/>
        </w:rPr>
        <w:t xml:space="preserve">Tabela 11.18: Rikuperimi i kostove financiare në Basenin Ujor </w:t>
      </w:r>
      <w:r w:rsidR="007E76E3" w:rsidRPr="00445472">
        <w:rPr>
          <w:bCs/>
        </w:rPr>
        <w:t>Drin–Bunë</w:t>
      </w:r>
      <w:r w:rsidRPr="00445472">
        <w:rPr>
          <w:bCs/>
        </w:rPr>
        <w:t>, 2015</w:t>
      </w:r>
    </w:p>
    <w:tbl>
      <w:tblPr>
        <w:tblW w:w="5000" w:type="pct"/>
        <w:tblBorders>
          <w:top w:val="single" w:sz="6" w:space="0" w:color="27B0AF"/>
          <w:left w:val="single" w:sz="6" w:space="0" w:color="27B0AF"/>
          <w:bottom w:val="single" w:sz="6" w:space="0" w:color="27B0AF"/>
          <w:right w:val="single" w:sz="6" w:space="0" w:color="27B0AF"/>
          <w:insideH w:val="single" w:sz="6" w:space="0" w:color="27B0AF"/>
          <w:insideV w:val="single" w:sz="6" w:space="0" w:color="27B0AF"/>
        </w:tblBorders>
        <w:tblCellMar>
          <w:left w:w="0" w:type="dxa"/>
          <w:right w:w="0" w:type="dxa"/>
        </w:tblCellMar>
        <w:tblLook w:val="01E0" w:firstRow="1" w:lastRow="1" w:firstColumn="1" w:lastColumn="1" w:noHBand="0" w:noVBand="0"/>
      </w:tblPr>
      <w:tblGrid>
        <w:gridCol w:w="7410"/>
        <w:gridCol w:w="1677"/>
      </w:tblGrid>
      <w:tr w:rsidR="00591820" w:rsidRPr="00445472" w14:paraId="19A84265" w14:textId="77777777" w:rsidTr="004B2267">
        <w:trPr>
          <w:trHeight w:val="320"/>
        </w:trPr>
        <w:tc>
          <w:tcPr>
            <w:tcW w:w="4077" w:type="pct"/>
            <w:shd w:val="clear" w:color="auto" w:fill="E6E6E6"/>
            <w:vAlign w:val="center"/>
          </w:tcPr>
          <w:p w14:paraId="24A28A88" w14:textId="08F8C1CF"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Kostot </w:t>
            </w:r>
            <w:r w:rsidR="00FD1436" w:rsidRPr="00445472">
              <w:rPr>
                <w:rFonts w:ascii="Garamond" w:eastAsia="MS Mincho" w:hAnsi="Garamond" w:cs="Arial"/>
                <w:b/>
                <w:sz w:val="18"/>
                <w:szCs w:val="18"/>
              </w:rPr>
              <w:t>financiare</w:t>
            </w:r>
          </w:p>
        </w:tc>
        <w:tc>
          <w:tcPr>
            <w:tcW w:w="923" w:type="pct"/>
            <w:shd w:val="clear" w:color="auto" w:fill="E6E6E6"/>
            <w:vAlign w:val="center"/>
          </w:tcPr>
          <w:p w14:paraId="0AA93D7B"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(000 Lek)</w:t>
            </w:r>
          </w:p>
        </w:tc>
      </w:tr>
      <w:tr w:rsidR="00591820" w:rsidRPr="00445472" w14:paraId="34DD6FDC" w14:textId="77777777" w:rsidTr="004B2267">
        <w:trPr>
          <w:trHeight w:val="320"/>
        </w:trPr>
        <w:tc>
          <w:tcPr>
            <w:tcW w:w="5000" w:type="pct"/>
            <w:gridSpan w:val="2"/>
            <w:vAlign w:val="center"/>
          </w:tcPr>
          <w:p w14:paraId="6707E4B2" w14:textId="77777777" w:rsidR="00591820" w:rsidRPr="00445472" w:rsidRDefault="00591820" w:rsidP="002A1F08">
            <w:pPr>
              <w:spacing w:before="22" w:after="22"/>
              <w:ind w:right="63"/>
              <w:rPr>
                <w:rFonts w:ascii="Garamond" w:eastAsia="MS Mincho" w:hAnsi="Garamond" w:cs="Arial"/>
                <w:b/>
                <w:sz w:val="18"/>
                <w:szCs w:val="18"/>
              </w:rPr>
            </w:pPr>
            <w:r w:rsidRPr="00445472">
              <w:rPr>
                <w:rFonts w:ascii="Garamond" w:eastAsia="MS Mincho" w:hAnsi="Garamond" w:cs="Arial"/>
                <w:b/>
                <w:sz w:val="18"/>
                <w:szCs w:val="18"/>
              </w:rPr>
              <w:t>Shërbimet e Ujit</w:t>
            </w:r>
          </w:p>
        </w:tc>
      </w:tr>
      <w:tr w:rsidR="00591820" w:rsidRPr="00445472" w14:paraId="1D7D11E9" w14:textId="77777777" w:rsidTr="004B2267">
        <w:trPr>
          <w:trHeight w:val="320"/>
        </w:trPr>
        <w:tc>
          <w:tcPr>
            <w:tcW w:w="4077" w:type="pct"/>
            <w:vAlign w:val="center"/>
          </w:tcPr>
          <w:p w14:paraId="2E1913AE"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Kostot totale financiare - Uji</w:t>
            </w:r>
          </w:p>
        </w:tc>
        <w:tc>
          <w:tcPr>
            <w:tcW w:w="923" w:type="pct"/>
            <w:vAlign w:val="center"/>
          </w:tcPr>
          <w:p w14:paraId="1314BC00"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840,799</w:t>
            </w:r>
          </w:p>
        </w:tc>
      </w:tr>
      <w:tr w:rsidR="00591820" w:rsidRPr="00445472" w14:paraId="06189ADE" w14:textId="77777777" w:rsidTr="004B2267">
        <w:trPr>
          <w:trHeight w:val="320"/>
        </w:trPr>
        <w:tc>
          <w:tcPr>
            <w:tcW w:w="4077" w:type="pct"/>
            <w:vAlign w:val="center"/>
          </w:tcPr>
          <w:p w14:paraId="6224DD2D" w14:textId="77777777" w:rsidR="00591820" w:rsidRPr="00445472" w:rsidRDefault="00591820" w:rsidP="002A1F08">
            <w:pPr>
              <w:spacing w:before="22" w:after="22"/>
              <w:ind w:right="63"/>
              <w:jc w:val="center"/>
              <w:rPr>
                <w:rFonts w:ascii="Garamond" w:eastAsia="MS Mincho" w:hAnsi="Garamond" w:cs="Arial"/>
                <w:sz w:val="18"/>
                <w:szCs w:val="18"/>
              </w:rPr>
            </w:pPr>
          </w:p>
        </w:tc>
        <w:tc>
          <w:tcPr>
            <w:tcW w:w="923" w:type="pct"/>
            <w:vAlign w:val="center"/>
          </w:tcPr>
          <w:p w14:paraId="3B45F6C4"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26E25BF0" w14:textId="77777777" w:rsidTr="004B2267">
        <w:trPr>
          <w:trHeight w:val="320"/>
        </w:trPr>
        <w:tc>
          <w:tcPr>
            <w:tcW w:w="5000" w:type="pct"/>
            <w:gridSpan w:val="2"/>
            <w:vAlign w:val="center"/>
          </w:tcPr>
          <w:p w14:paraId="78F9EC12" w14:textId="0C0DA360" w:rsidR="00591820" w:rsidRPr="00445472" w:rsidRDefault="00591820" w:rsidP="002A1F08">
            <w:pPr>
              <w:spacing w:before="22" w:after="22"/>
              <w:ind w:right="63"/>
              <w:rPr>
                <w:rFonts w:ascii="Garamond" w:eastAsia="MS Mincho" w:hAnsi="Garamond" w:cs="Arial"/>
                <w:b/>
                <w:sz w:val="18"/>
                <w:szCs w:val="18"/>
              </w:rPr>
            </w:pPr>
            <w:r w:rsidRPr="00445472">
              <w:rPr>
                <w:rFonts w:ascii="Garamond" w:eastAsia="MS Mincho" w:hAnsi="Garamond" w:cs="Arial"/>
                <w:b/>
                <w:sz w:val="18"/>
                <w:szCs w:val="18"/>
              </w:rPr>
              <w:t xml:space="preserve">Shërbimet e </w:t>
            </w:r>
            <w:r w:rsidR="00FD1436" w:rsidRPr="00445472">
              <w:rPr>
                <w:rFonts w:ascii="Garamond" w:eastAsia="MS Mincho" w:hAnsi="Garamond" w:cs="Arial"/>
                <w:b/>
                <w:sz w:val="18"/>
                <w:szCs w:val="18"/>
              </w:rPr>
              <w:t xml:space="preserve">ujërave </w:t>
            </w:r>
            <w:r w:rsidRPr="00445472">
              <w:rPr>
                <w:rFonts w:ascii="Garamond" w:eastAsia="MS Mincho" w:hAnsi="Garamond" w:cs="Arial"/>
                <w:b/>
                <w:sz w:val="18"/>
                <w:szCs w:val="18"/>
              </w:rPr>
              <w:t>të ndotura</w:t>
            </w:r>
          </w:p>
        </w:tc>
      </w:tr>
      <w:tr w:rsidR="00591820" w:rsidRPr="00445472" w14:paraId="71E5326A" w14:textId="77777777" w:rsidTr="004B2267">
        <w:trPr>
          <w:trHeight w:val="320"/>
        </w:trPr>
        <w:tc>
          <w:tcPr>
            <w:tcW w:w="4077" w:type="pct"/>
            <w:vAlign w:val="center"/>
          </w:tcPr>
          <w:p w14:paraId="54EDC128"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Kostot totale financiare - Ujërat e ndotura</w:t>
            </w:r>
          </w:p>
        </w:tc>
        <w:tc>
          <w:tcPr>
            <w:tcW w:w="923" w:type="pct"/>
            <w:vAlign w:val="center"/>
          </w:tcPr>
          <w:p w14:paraId="4017F37F"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210,155</w:t>
            </w:r>
          </w:p>
        </w:tc>
      </w:tr>
      <w:tr w:rsidR="00591820" w:rsidRPr="00445472" w14:paraId="3547D209" w14:textId="77777777" w:rsidTr="004B2267">
        <w:trPr>
          <w:trHeight w:val="320"/>
        </w:trPr>
        <w:tc>
          <w:tcPr>
            <w:tcW w:w="4077" w:type="pct"/>
            <w:vAlign w:val="center"/>
          </w:tcPr>
          <w:p w14:paraId="00CC0034" w14:textId="77777777" w:rsidR="00591820" w:rsidRPr="00445472" w:rsidRDefault="00591820" w:rsidP="002A1F08">
            <w:pPr>
              <w:spacing w:before="22" w:after="22"/>
              <w:ind w:right="63"/>
              <w:jc w:val="center"/>
              <w:rPr>
                <w:rFonts w:ascii="Garamond" w:eastAsia="MS Mincho" w:hAnsi="Garamond" w:cs="Arial"/>
                <w:sz w:val="18"/>
                <w:szCs w:val="18"/>
              </w:rPr>
            </w:pPr>
          </w:p>
        </w:tc>
        <w:tc>
          <w:tcPr>
            <w:tcW w:w="923" w:type="pct"/>
            <w:vAlign w:val="center"/>
          </w:tcPr>
          <w:p w14:paraId="2D306963"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31D03A57" w14:textId="77777777" w:rsidTr="004B2267">
        <w:trPr>
          <w:trHeight w:val="320"/>
        </w:trPr>
        <w:tc>
          <w:tcPr>
            <w:tcW w:w="4077" w:type="pct"/>
            <w:vAlign w:val="center"/>
          </w:tcPr>
          <w:p w14:paraId="1F5164CC" w14:textId="77777777" w:rsidR="00591820" w:rsidRPr="00445472" w:rsidRDefault="00591820" w:rsidP="002A1F08">
            <w:pPr>
              <w:spacing w:before="22" w:after="22"/>
              <w:ind w:right="63"/>
              <w:rPr>
                <w:rFonts w:ascii="Garamond" w:eastAsia="MS Mincho" w:hAnsi="Garamond" w:cs="Arial"/>
                <w:b/>
                <w:sz w:val="18"/>
                <w:szCs w:val="18"/>
              </w:rPr>
            </w:pPr>
            <w:r w:rsidRPr="00445472">
              <w:rPr>
                <w:rFonts w:ascii="Garamond" w:eastAsia="MS Mincho" w:hAnsi="Garamond" w:cs="Arial"/>
                <w:b/>
                <w:sz w:val="18"/>
                <w:szCs w:val="18"/>
              </w:rPr>
              <w:t>Totali i kostove financiare - uji dhe ujërat ndotura</w:t>
            </w:r>
          </w:p>
        </w:tc>
        <w:tc>
          <w:tcPr>
            <w:tcW w:w="923" w:type="pct"/>
            <w:vAlign w:val="center"/>
          </w:tcPr>
          <w:p w14:paraId="1094A6D0"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1,050,954</w:t>
            </w:r>
          </w:p>
        </w:tc>
      </w:tr>
      <w:tr w:rsidR="00591820" w:rsidRPr="00445472" w14:paraId="65D0B751" w14:textId="77777777" w:rsidTr="004B2267">
        <w:trPr>
          <w:trHeight w:val="320"/>
        </w:trPr>
        <w:tc>
          <w:tcPr>
            <w:tcW w:w="5000" w:type="pct"/>
            <w:gridSpan w:val="2"/>
            <w:shd w:val="clear" w:color="auto" w:fill="E6E6E6"/>
            <w:vAlign w:val="center"/>
          </w:tcPr>
          <w:p w14:paraId="1C5AE35A"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Të ardhurat financiare</w:t>
            </w:r>
          </w:p>
        </w:tc>
      </w:tr>
      <w:tr w:rsidR="00591820" w:rsidRPr="00445472" w14:paraId="3C2D6DD2" w14:textId="77777777" w:rsidTr="004B2267">
        <w:trPr>
          <w:trHeight w:val="320"/>
        </w:trPr>
        <w:tc>
          <w:tcPr>
            <w:tcW w:w="5000" w:type="pct"/>
            <w:gridSpan w:val="2"/>
            <w:vAlign w:val="center"/>
          </w:tcPr>
          <w:p w14:paraId="131588CA" w14:textId="3CD49385"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b/>
                <w:sz w:val="18"/>
                <w:szCs w:val="18"/>
              </w:rPr>
              <w:t xml:space="preserve">Shërbimet e </w:t>
            </w:r>
            <w:r w:rsidR="00FD1436" w:rsidRPr="00445472">
              <w:rPr>
                <w:rFonts w:ascii="Garamond" w:eastAsia="MS Mincho" w:hAnsi="Garamond" w:cs="Arial"/>
                <w:b/>
                <w:sz w:val="18"/>
                <w:szCs w:val="18"/>
              </w:rPr>
              <w:t>ujit</w:t>
            </w:r>
          </w:p>
        </w:tc>
      </w:tr>
      <w:tr w:rsidR="00591820" w:rsidRPr="00445472" w14:paraId="56A232F9" w14:textId="77777777" w:rsidTr="004B2267">
        <w:trPr>
          <w:trHeight w:val="320"/>
        </w:trPr>
        <w:tc>
          <w:tcPr>
            <w:tcW w:w="4077" w:type="pct"/>
            <w:vAlign w:val="center"/>
          </w:tcPr>
          <w:p w14:paraId="35DAF339" w14:textId="08FC6751"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Shuma totale e faturave të ujit - </w:t>
            </w:r>
            <w:r w:rsidR="00FD1436" w:rsidRPr="00445472">
              <w:rPr>
                <w:rFonts w:ascii="Garamond" w:eastAsia="MS Mincho" w:hAnsi="Garamond" w:cs="Arial"/>
                <w:sz w:val="18"/>
                <w:szCs w:val="18"/>
              </w:rPr>
              <w:t>totali</w:t>
            </w:r>
          </w:p>
        </w:tc>
        <w:tc>
          <w:tcPr>
            <w:tcW w:w="923" w:type="pct"/>
            <w:vAlign w:val="center"/>
          </w:tcPr>
          <w:p w14:paraId="2BB194B2"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581,721</w:t>
            </w:r>
          </w:p>
        </w:tc>
      </w:tr>
      <w:tr w:rsidR="00591820" w:rsidRPr="00445472" w14:paraId="0523677F" w14:textId="77777777" w:rsidTr="004B2267">
        <w:trPr>
          <w:trHeight w:val="320"/>
        </w:trPr>
        <w:tc>
          <w:tcPr>
            <w:tcW w:w="5000" w:type="pct"/>
            <w:gridSpan w:val="2"/>
            <w:vAlign w:val="center"/>
          </w:tcPr>
          <w:p w14:paraId="278A7125" w14:textId="6CA920D6"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b/>
                <w:sz w:val="18"/>
                <w:szCs w:val="18"/>
              </w:rPr>
              <w:t xml:space="preserve">Shërbimet e </w:t>
            </w:r>
            <w:r w:rsidR="00FD1436" w:rsidRPr="00445472">
              <w:rPr>
                <w:rFonts w:ascii="Garamond" w:eastAsia="MS Mincho" w:hAnsi="Garamond" w:cs="Arial"/>
                <w:b/>
                <w:sz w:val="18"/>
                <w:szCs w:val="18"/>
              </w:rPr>
              <w:t xml:space="preserve">ujërave </w:t>
            </w:r>
            <w:r w:rsidRPr="00445472">
              <w:rPr>
                <w:rFonts w:ascii="Garamond" w:eastAsia="MS Mincho" w:hAnsi="Garamond" w:cs="Arial"/>
                <w:b/>
                <w:sz w:val="18"/>
                <w:szCs w:val="18"/>
              </w:rPr>
              <w:t>të ndotura</w:t>
            </w:r>
          </w:p>
        </w:tc>
      </w:tr>
      <w:tr w:rsidR="00591820" w:rsidRPr="00445472" w14:paraId="579199CF" w14:textId="77777777" w:rsidTr="004B2267">
        <w:trPr>
          <w:trHeight w:val="320"/>
        </w:trPr>
        <w:tc>
          <w:tcPr>
            <w:tcW w:w="4077" w:type="pct"/>
            <w:vAlign w:val="center"/>
          </w:tcPr>
          <w:p w14:paraId="3A461874" w14:textId="3B741A61"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Shuma totale e faturave të Kanalizimeve - </w:t>
            </w:r>
            <w:r w:rsidR="00FD1436" w:rsidRPr="00445472">
              <w:rPr>
                <w:rFonts w:ascii="Garamond" w:eastAsia="MS Mincho" w:hAnsi="Garamond" w:cs="Arial"/>
                <w:sz w:val="18"/>
                <w:szCs w:val="18"/>
              </w:rPr>
              <w:t>totali</w:t>
            </w:r>
          </w:p>
        </w:tc>
        <w:tc>
          <w:tcPr>
            <w:tcW w:w="923" w:type="pct"/>
            <w:vAlign w:val="center"/>
          </w:tcPr>
          <w:p w14:paraId="2E24DF27"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119,979</w:t>
            </w:r>
          </w:p>
        </w:tc>
      </w:tr>
      <w:tr w:rsidR="00591820" w:rsidRPr="00445472" w14:paraId="7CDF9B08" w14:textId="77777777" w:rsidTr="004B2267">
        <w:trPr>
          <w:trHeight w:val="220"/>
        </w:trPr>
        <w:tc>
          <w:tcPr>
            <w:tcW w:w="4077" w:type="pct"/>
            <w:vAlign w:val="center"/>
          </w:tcPr>
          <w:p w14:paraId="07C66E59" w14:textId="77777777" w:rsidR="00591820" w:rsidRPr="00445472" w:rsidRDefault="00591820" w:rsidP="002A1F08">
            <w:pPr>
              <w:spacing w:before="22" w:after="22"/>
              <w:ind w:right="63"/>
              <w:jc w:val="center"/>
              <w:rPr>
                <w:rFonts w:ascii="Garamond" w:eastAsia="MS Mincho" w:hAnsi="Garamond" w:cs="Arial"/>
                <w:sz w:val="18"/>
                <w:szCs w:val="18"/>
              </w:rPr>
            </w:pPr>
          </w:p>
        </w:tc>
        <w:tc>
          <w:tcPr>
            <w:tcW w:w="923" w:type="pct"/>
            <w:vAlign w:val="center"/>
          </w:tcPr>
          <w:p w14:paraId="6283FF22"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37BCDD60" w14:textId="77777777" w:rsidTr="004B2267">
        <w:trPr>
          <w:trHeight w:val="320"/>
        </w:trPr>
        <w:tc>
          <w:tcPr>
            <w:tcW w:w="4077" w:type="pct"/>
            <w:vAlign w:val="center"/>
          </w:tcPr>
          <w:p w14:paraId="294B8063"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Subvencioni për Operacion</w:t>
            </w:r>
          </w:p>
        </w:tc>
        <w:tc>
          <w:tcPr>
            <w:tcW w:w="923" w:type="pct"/>
            <w:vAlign w:val="center"/>
          </w:tcPr>
          <w:p w14:paraId="508920D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81,710</w:t>
            </w:r>
          </w:p>
        </w:tc>
      </w:tr>
      <w:tr w:rsidR="00591820" w:rsidRPr="00445472" w14:paraId="15A7F615" w14:textId="77777777" w:rsidTr="004B2267">
        <w:trPr>
          <w:trHeight w:val="220"/>
        </w:trPr>
        <w:tc>
          <w:tcPr>
            <w:tcW w:w="4077" w:type="pct"/>
            <w:vAlign w:val="center"/>
          </w:tcPr>
          <w:p w14:paraId="6385717B" w14:textId="77777777" w:rsidR="00591820" w:rsidRPr="00445472" w:rsidRDefault="00591820" w:rsidP="002A1F08">
            <w:pPr>
              <w:spacing w:before="22" w:after="22"/>
              <w:ind w:right="63"/>
              <w:jc w:val="center"/>
              <w:rPr>
                <w:rFonts w:ascii="Garamond" w:eastAsia="MS Mincho" w:hAnsi="Garamond" w:cs="Arial"/>
                <w:sz w:val="18"/>
                <w:szCs w:val="18"/>
              </w:rPr>
            </w:pPr>
          </w:p>
        </w:tc>
        <w:tc>
          <w:tcPr>
            <w:tcW w:w="923" w:type="pct"/>
            <w:vAlign w:val="center"/>
          </w:tcPr>
          <w:p w14:paraId="115F7213"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0BB292B0" w14:textId="77777777" w:rsidTr="004B2267">
        <w:trPr>
          <w:trHeight w:val="320"/>
        </w:trPr>
        <w:tc>
          <w:tcPr>
            <w:tcW w:w="4077" w:type="pct"/>
            <w:shd w:val="clear" w:color="auto" w:fill="E6E6E6"/>
            <w:vAlign w:val="center"/>
          </w:tcPr>
          <w:p w14:paraId="6798396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Të ardhurat totale financiare - Ujërat dhe ujërat e ndotura</w:t>
            </w:r>
          </w:p>
        </w:tc>
        <w:tc>
          <w:tcPr>
            <w:tcW w:w="923" w:type="pct"/>
            <w:shd w:val="clear" w:color="auto" w:fill="E6E6E6"/>
            <w:vAlign w:val="center"/>
          </w:tcPr>
          <w:p w14:paraId="55DFF478"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783,410</w:t>
            </w:r>
          </w:p>
        </w:tc>
      </w:tr>
      <w:tr w:rsidR="00591820" w:rsidRPr="00445472" w14:paraId="217AE71A" w14:textId="77777777" w:rsidTr="004B2267">
        <w:trPr>
          <w:trHeight w:val="220"/>
        </w:trPr>
        <w:tc>
          <w:tcPr>
            <w:tcW w:w="4077" w:type="pct"/>
            <w:vAlign w:val="center"/>
          </w:tcPr>
          <w:p w14:paraId="5CB21D69" w14:textId="77777777" w:rsidR="00591820" w:rsidRPr="00445472" w:rsidRDefault="00591820" w:rsidP="002A1F08">
            <w:pPr>
              <w:spacing w:before="22" w:after="22"/>
              <w:ind w:right="63"/>
              <w:jc w:val="center"/>
              <w:rPr>
                <w:rFonts w:ascii="Garamond" w:eastAsia="MS Mincho" w:hAnsi="Garamond" w:cs="Arial"/>
                <w:sz w:val="18"/>
                <w:szCs w:val="18"/>
              </w:rPr>
            </w:pPr>
          </w:p>
        </w:tc>
        <w:tc>
          <w:tcPr>
            <w:tcW w:w="923" w:type="pct"/>
            <w:vAlign w:val="center"/>
          </w:tcPr>
          <w:p w14:paraId="381F3D2E" w14:textId="77777777" w:rsidR="00591820" w:rsidRPr="00445472" w:rsidRDefault="00591820" w:rsidP="002A1F08">
            <w:pPr>
              <w:spacing w:before="22" w:after="22"/>
              <w:ind w:right="63"/>
              <w:jc w:val="center"/>
              <w:rPr>
                <w:rFonts w:ascii="Garamond" w:eastAsia="MS Mincho" w:hAnsi="Garamond" w:cs="Arial"/>
                <w:sz w:val="18"/>
                <w:szCs w:val="18"/>
              </w:rPr>
            </w:pPr>
          </w:p>
        </w:tc>
      </w:tr>
      <w:tr w:rsidR="00591820" w:rsidRPr="00445472" w14:paraId="63E70823" w14:textId="77777777" w:rsidTr="004B2267">
        <w:trPr>
          <w:trHeight w:val="320"/>
        </w:trPr>
        <w:tc>
          <w:tcPr>
            <w:tcW w:w="4077" w:type="pct"/>
            <w:vAlign w:val="center"/>
          </w:tcPr>
          <w:p w14:paraId="03009EAD" w14:textId="77777777" w:rsidR="00591820" w:rsidRPr="00445472" w:rsidRDefault="00591820" w:rsidP="002A1F08">
            <w:pPr>
              <w:spacing w:before="22" w:after="22"/>
              <w:ind w:right="63"/>
              <w:rPr>
                <w:rFonts w:ascii="Garamond" w:eastAsia="MS Mincho" w:hAnsi="Garamond" w:cs="Arial"/>
                <w:b/>
                <w:sz w:val="18"/>
                <w:szCs w:val="18"/>
              </w:rPr>
            </w:pPr>
            <w:r w:rsidRPr="00445472">
              <w:rPr>
                <w:rFonts w:ascii="Garamond" w:eastAsia="MS Mincho" w:hAnsi="Garamond" w:cs="Arial"/>
                <w:b/>
                <w:sz w:val="18"/>
                <w:szCs w:val="18"/>
              </w:rPr>
              <w:t>Shkalla e rikuperimit të kostos financiare (%)</w:t>
            </w:r>
          </w:p>
        </w:tc>
        <w:tc>
          <w:tcPr>
            <w:tcW w:w="923" w:type="pct"/>
            <w:vAlign w:val="center"/>
          </w:tcPr>
          <w:p w14:paraId="49D3F83D"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75%</w:t>
            </w:r>
          </w:p>
        </w:tc>
      </w:tr>
    </w:tbl>
    <w:p w14:paraId="31301E9A" w14:textId="77777777" w:rsidR="00591820" w:rsidRPr="00445472" w:rsidRDefault="00591820" w:rsidP="004B2267">
      <w:pPr>
        <w:pStyle w:val="TEKSTIIII"/>
      </w:pPr>
      <w:bookmarkStart w:id="281" w:name="_bookmark63"/>
      <w:bookmarkEnd w:id="281"/>
    </w:p>
    <w:p w14:paraId="1E12C567" w14:textId="22BE922A" w:rsidR="00591820" w:rsidRPr="00445472" w:rsidRDefault="00C77DA3" w:rsidP="00C77DA3">
      <w:pPr>
        <w:pStyle w:val="NENTITULL"/>
      </w:pPr>
      <w:bookmarkStart w:id="282" w:name="_Toc11068878"/>
      <w:r w:rsidRPr="00445472">
        <w:t xml:space="preserve">11.6.7 </w:t>
      </w:r>
      <w:r w:rsidR="00591820" w:rsidRPr="00445472">
        <w:t>Kthimi i kostove të kostove ekonomike</w:t>
      </w:r>
      <w:bookmarkEnd w:id="282"/>
    </w:p>
    <w:p w14:paraId="512BB085" w14:textId="77777777" w:rsidR="00591820" w:rsidRPr="00445472" w:rsidRDefault="00591820" w:rsidP="004B2267">
      <w:pPr>
        <w:pStyle w:val="TEKSTIIII"/>
      </w:pPr>
      <w:r w:rsidRPr="00445472">
        <w:t>Analiza e rikuperimit të kostove ekonomike për shërbimet e ujësjellësit dhe ujërave të ndotura u krye në bazë të kostove financiare të mësipërme, por u zbatuan korrigjimet e mëposhtme:</w:t>
      </w:r>
    </w:p>
    <w:p w14:paraId="141FCFB0" w14:textId="79E15FFD" w:rsidR="00591820" w:rsidRPr="00445472" w:rsidRDefault="00F574E2" w:rsidP="004B2267">
      <w:pPr>
        <w:pStyle w:val="TEKSTIIII"/>
      </w:pPr>
      <w:r>
        <w:t xml:space="preserve">- </w:t>
      </w:r>
      <w:r w:rsidR="00591820" w:rsidRPr="00445472">
        <w:t>Kostot materiale dhe të energjisë konsideroheshin neto nga 20% të TVSH-së</w:t>
      </w:r>
    </w:p>
    <w:p w14:paraId="236F3F99" w14:textId="562C774D" w:rsidR="00591820" w:rsidRPr="00445472" w:rsidRDefault="00F574E2" w:rsidP="004B2267">
      <w:pPr>
        <w:pStyle w:val="TEKSTIIII"/>
      </w:pPr>
      <w:r>
        <w:t xml:space="preserve">- </w:t>
      </w:r>
      <w:r w:rsidR="00591820" w:rsidRPr="00445472">
        <w:t>Kostoja e punës u konsiderua neto nga kontributet në vijim:</w:t>
      </w:r>
    </w:p>
    <w:tbl>
      <w:tblPr>
        <w:tblW w:w="0" w:type="auto"/>
        <w:tblInd w:w="333" w:type="dxa"/>
        <w:tblLayout w:type="fixed"/>
        <w:tblCellMar>
          <w:left w:w="0" w:type="dxa"/>
          <w:right w:w="0" w:type="dxa"/>
        </w:tblCellMar>
        <w:tblLook w:val="01E0" w:firstRow="1" w:lastRow="1" w:firstColumn="1" w:lastColumn="1" w:noHBand="0" w:noVBand="0"/>
      </w:tblPr>
      <w:tblGrid>
        <w:gridCol w:w="5909"/>
        <w:gridCol w:w="1276"/>
      </w:tblGrid>
      <w:tr w:rsidR="00C77DA3" w:rsidRPr="00445472" w14:paraId="4B99E95E" w14:textId="77777777" w:rsidTr="00C77DA3">
        <w:trPr>
          <w:trHeight w:val="260"/>
        </w:trPr>
        <w:tc>
          <w:tcPr>
            <w:tcW w:w="5909" w:type="dxa"/>
          </w:tcPr>
          <w:p w14:paraId="7DE78DF2" w14:textId="77777777" w:rsidR="00591820" w:rsidRPr="00445472" w:rsidRDefault="00591820" w:rsidP="00C77DA3">
            <w:pPr>
              <w:pStyle w:val="TEKSTIIII"/>
              <w:ind w:firstLine="0"/>
            </w:pPr>
            <w:r w:rsidRPr="00445472">
              <w:t>–   Kontributet e kujdesit shëndetësor të punonjësve:</w:t>
            </w:r>
          </w:p>
        </w:tc>
        <w:tc>
          <w:tcPr>
            <w:tcW w:w="1276" w:type="dxa"/>
          </w:tcPr>
          <w:p w14:paraId="373D740D" w14:textId="77777777" w:rsidR="00591820" w:rsidRPr="00445472" w:rsidRDefault="00591820" w:rsidP="00C77DA3">
            <w:pPr>
              <w:pStyle w:val="TEKSTIIII"/>
              <w:ind w:firstLine="0"/>
            </w:pPr>
            <w:r w:rsidRPr="00445472">
              <w:t>1.7%</w:t>
            </w:r>
          </w:p>
        </w:tc>
      </w:tr>
      <w:tr w:rsidR="00C77DA3" w:rsidRPr="00445472" w14:paraId="5E315AF2" w14:textId="77777777" w:rsidTr="00C77DA3">
        <w:trPr>
          <w:trHeight w:val="300"/>
        </w:trPr>
        <w:tc>
          <w:tcPr>
            <w:tcW w:w="5909" w:type="dxa"/>
          </w:tcPr>
          <w:p w14:paraId="6A9AA266" w14:textId="77777777" w:rsidR="00591820" w:rsidRPr="00445472" w:rsidRDefault="00591820" w:rsidP="00C77DA3">
            <w:pPr>
              <w:pStyle w:val="TEKSTIIII"/>
              <w:ind w:firstLine="0"/>
            </w:pPr>
            <w:r w:rsidRPr="00445472">
              <w:t>–   Kontributet e sigurimeve shoqërore të punonjësve:</w:t>
            </w:r>
          </w:p>
        </w:tc>
        <w:tc>
          <w:tcPr>
            <w:tcW w:w="1276" w:type="dxa"/>
          </w:tcPr>
          <w:p w14:paraId="4955086F" w14:textId="77777777" w:rsidR="00591820" w:rsidRPr="00445472" w:rsidRDefault="00591820" w:rsidP="00C77DA3">
            <w:pPr>
              <w:pStyle w:val="TEKSTIIII"/>
              <w:ind w:firstLine="0"/>
            </w:pPr>
            <w:r w:rsidRPr="00445472">
              <w:t>9.5%</w:t>
            </w:r>
          </w:p>
        </w:tc>
      </w:tr>
      <w:tr w:rsidR="00C77DA3" w:rsidRPr="00445472" w14:paraId="3458777B" w14:textId="77777777" w:rsidTr="00C77DA3">
        <w:trPr>
          <w:trHeight w:val="300"/>
        </w:trPr>
        <w:tc>
          <w:tcPr>
            <w:tcW w:w="5909" w:type="dxa"/>
          </w:tcPr>
          <w:p w14:paraId="267AE0D7" w14:textId="77777777" w:rsidR="00591820" w:rsidRPr="00445472" w:rsidRDefault="00591820" w:rsidP="00C77DA3">
            <w:pPr>
              <w:pStyle w:val="TEKSTIIII"/>
              <w:ind w:firstLine="0"/>
            </w:pPr>
            <w:r w:rsidRPr="00445472">
              <w:t>–   Kontributet e kujdesit shëndetësor të punëdhënësit:</w:t>
            </w:r>
          </w:p>
        </w:tc>
        <w:tc>
          <w:tcPr>
            <w:tcW w:w="1276" w:type="dxa"/>
          </w:tcPr>
          <w:p w14:paraId="5310534C" w14:textId="77777777" w:rsidR="00591820" w:rsidRPr="00445472" w:rsidRDefault="00591820" w:rsidP="00C77DA3">
            <w:pPr>
              <w:pStyle w:val="TEKSTIIII"/>
              <w:ind w:firstLine="0"/>
            </w:pPr>
            <w:r w:rsidRPr="00445472">
              <w:t>1.7%</w:t>
            </w:r>
          </w:p>
        </w:tc>
      </w:tr>
      <w:tr w:rsidR="00C77DA3" w:rsidRPr="00445472" w14:paraId="5EE19D59" w14:textId="77777777" w:rsidTr="00C77DA3">
        <w:trPr>
          <w:trHeight w:val="260"/>
        </w:trPr>
        <w:tc>
          <w:tcPr>
            <w:tcW w:w="5909" w:type="dxa"/>
          </w:tcPr>
          <w:p w14:paraId="40EC809A" w14:textId="77777777" w:rsidR="00591820" w:rsidRPr="00445472" w:rsidRDefault="00591820" w:rsidP="00C77DA3">
            <w:pPr>
              <w:pStyle w:val="TEKSTIIII"/>
              <w:ind w:firstLine="0"/>
            </w:pPr>
            <w:r w:rsidRPr="00445472">
              <w:t>–   Kontributet e sigurimeve shoqërore të punëdhënësit:</w:t>
            </w:r>
          </w:p>
        </w:tc>
        <w:tc>
          <w:tcPr>
            <w:tcW w:w="1276" w:type="dxa"/>
          </w:tcPr>
          <w:p w14:paraId="4C0E6265" w14:textId="77777777" w:rsidR="00591820" w:rsidRPr="00445472" w:rsidRDefault="00591820" w:rsidP="00C77DA3">
            <w:pPr>
              <w:pStyle w:val="TEKSTIIII"/>
              <w:ind w:firstLine="0"/>
            </w:pPr>
            <w:r w:rsidRPr="00445472">
              <w:t>15%</w:t>
            </w:r>
          </w:p>
        </w:tc>
      </w:tr>
    </w:tbl>
    <w:p w14:paraId="105E4550" w14:textId="02E9B1B3" w:rsidR="00591820" w:rsidRPr="00445472" w:rsidRDefault="00F574E2" w:rsidP="004B2267">
      <w:pPr>
        <w:pStyle w:val="TEKSTIIII"/>
      </w:pPr>
      <w:r>
        <w:t xml:space="preserve">- </w:t>
      </w:r>
      <w:r w:rsidR="00591820" w:rsidRPr="00445472">
        <w:t>Taksat dhe subvencionet e ndryshme nuk u morën në konsideratë në rikuperimin e kostos ekonomike.</w:t>
      </w:r>
    </w:p>
    <w:p w14:paraId="0B95C9B5" w14:textId="5A52C2A5" w:rsidR="00591820" w:rsidRPr="00445472" w:rsidRDefault="00F574E2" w:rsidP="004B2267">
      <w:pPr>
        <w:pStyle w:val="TEKSTIIII"/>
      </w:pPr>
      <w:r>
        <w:t xml:space="preserve">- </w:t>
      </w:r>
      <w:r w:rsidR="00591820" w:rsidRPr="00445472">
        <w:t>Të ardhurat financiare u ulën në nivelin neto 20% të TVSH-së</w:t>
      </w:r>
    </w:p>
    <w:p w14:paraId="0C67EEB6" w14:textId="34020AA3" w:rsidR="00591820" w:rsidRPr="00445472" w:rsidRDefault="00F574E2" w:rsidP="004B2267">
      <w:pPr>
        <w:pStyle w:val="TEKSTIIII"/>
      </w:pPr>
      <w:r>
        <w:t xml:space="preserve">- </w:t>
      </w:r>
      <w:r w:rsidR="00591820" w:rsidRPr="00445472">
        <w:t>Subvencionet nuk u morën në konsideratë</w:t>
      </w:r>
    </w:p>
    <w:p w14:paraId="0A3D7A50" w14:textId="4D5EDFC3" w:rsidR="00591820" w:rsidRPr="00445472" w:rsidRDefault="00F574E2" w:rsidP="004B2267">
      <w:pPr>
        <w:pStyle w:val="TEKSTIIII"/>
      </w:pPr>
      <w:r>
        <w:t xml:space="preserve">- </w:t>
      </w:r>
      <w:r w:rsidR="00591820" w:rsidRPr="00445472">
        <w:t>Kostot e resurseve (burimeve) dhe mjedisit u konsideruan me vlera 0.</w:t>
      </w:r>
    </w:p>
    <w:p w14:paraId="7389F965" w14:textId="77777777" w:rsidR="00591820" w:rsidRPr="00445472" w:rsidRDefault="00591820" w:rsidP="004B2267">
      <w:pPr>
        <w:pStyle w:val="TEKSTIIII"/>
      </w:pPr>
    </w:p>
    <w:p w14:paraId="0F318996" w14:textId="77777777" w:rsidR="00591820" w:rsidRPr="00445472" w:rsidRDefault="00591820" w:rsidP="004B2267">
      <w:pPr>
        <w:pStyle w:val="TEKSTIIII"/>
      </w:pPr>
      <w:r w:rsidRPr="00445472">
        <w:t>Rezultatet e analizës së rikuperimit së kostove ekonomike janë paraqitur në Tabelën 11.19 më poshtë.</w:t>
      </w:r>
    </w:p>
    <w:p w14:paraId="7A77F690" w14:textId="77777777" w:rsidR="00591820" w:rsidRPr="00445472" w:rsidRDefault="00591820" w:rsidP="004B2267">
      <w:pPr>
        <w:pStyle w:val="TEKSTIIII"/>
      </w:pPr>
    </w:p>
    <w:p w14:paraId="673ADF8E" w14:textId="12C8725C" w:rsidR="00591820" w:rsidRPr="00445472" w:rsidRDefault="00591820" w:rsidP="005732CC">
      <w:pPr>
        <w:pStyle w:val="NENTITULL"/>
      </w:pPr>
      <w:r w:rsidRPr="00445472">
        <w:t xml:space="preserve">Tabela 11.19: Rikuperimi i kostos ekonomike në Basenin Ujor </w:t>
      </w:r>
      <w:r w:rsidR="007E76E3" w:rsidRPr="00445472">
        <w:t>Drin–Bunë</w:t>
      </w:r>
      <w:r w:rsidRPr="00445472">
        <w:t>, 2015</w:t>
      </w:r>
    </w:p>
    <w:tbl>
      <w:tblPr>
        <w:tblW w:w="5000" w:type="pct"/>
        <w:tblBorders>
          <w:top w:val="single" w:sz="4" w:space="0" w:color="27BCBD"/>
          <w:left w:val="single" w:sz="4" w:space="0" w:color="27BCBD"/>
          <w:bottom w:val="single" w:sz="4" w:space="0" w:color="27BCBD"/>
          <w:right w:val="single" w:sz="4" w:space="0" w:color="27BCBD"/>
          <w:insideH w:val="single" w:sz="4" w:space="0" w:color="27BCBD"/>
          <w:insideV w:val="single" w:sz="4" w:space="0" w:color="27BCBD"/>
        </w:tblBorders>
        <w:tblCellMar>
          <w:left w:w="0" w:type="dxa"/>
          <w:right w:w="0" w:type="dxa"/>
        </w:tblCellMar>
        <w:tblLook w:val="01E0" w:firstRow="1" w:lastRow="1" w:firstColumn="1" w:lastColumn="1" w:noHBand="0" w:noVBand="0"/>
      </w:tblPr>
      <w:tblGrid>
        <w:gridCol w:w="7557"/>
        <w:gridCol w:w="1524"/>
      </w:tblGrid>
      <w:tr w:rsidR="00591820" w:rsidRPr="00445472" w14:paraId="14B8A8AA" w14:textId="77777777" w:rsidTr="005732CC">
        <w:trPr>
          <w:trHeight w:val="320"/>
        </w:trPr>
        <w:tc>
          <w:tcPr>
            <w:tcW w:w="4161" w:type="pct"/>
            <w:shd w:val="clear" w:color="auto" w:fill="C0C0C0"/>
            <w:vAlign w:val="center"/>
          </w:tcPr>
          <w:p w14:paraId="589F447E"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Kostot Ekonomike</w:t>
            </w:r>
          </w:p>
        </w:tc>
        <w:tc>
          <w:tcPr>
            <w:tcW w:w="839" w:type="pct"/>
            <w:shd w:val="clear" w:color="auto" w:fill="C0C0C0"/>
            <w:vAlign w:val="center"/>
          </w:tcPr>
          <w:p w14:paraId="711383EA" w14:textId="1FAF8EF5"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(000 </w:t>
            </w:r>
            <w:r w:rsidR="00FD1436" w:rsidRPr="00445472">
              <w:rPr>
                <w:rFonts w:ascii="Garamond" w:eastAsia="MS Mincho" w:hAnsi="Garamond" w:cs="Arial"/>
                <w:b/>
                <w:sz w:val="18"/>
                <w:szCs w:val="18"/>
              </w:rPr>
              <w:t>lek</w:t>
            </w:r>
            <w:r w:rsidRPr="00445472">
              <w:rPr>
                <w:rFonts w:ascii="Garamond" w:eastAsia="MS Mincho" w:hAnsi="Garamond" w:cs="Arial"/>
                <w:b/>
                <w:sz w:val="18"/>
                <w:szCs w:val="18"/>
              </w:rPr>
              <w:t>)</w:t>
            </w:r>
          </w:p>
        </w:tc>
      </w:tr>
      <w:tr w:rsidR="00591820" w:rsidRPr="00445472" w14:paraId="12F3D87D" w14:textId="77777777" w:rsidTr="005732CC">
        <w:trPr>
          <w:trHeight w:val="320"/>
        </w:trPr>
        <w:tc>
          <w:tcPr>
            <w:tcW w:w="5000" w:type="pct"/>
            <w:gridSpan w:val="2"/>
            <w:vAlign w:val="center"/>
          </w:tcPr>
          <w:p w14:paraId="0B2B3097"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Shërbimet e Ujit</w:t>
            </w:r>
          </w:p>
        </w:tc>
      </w:tr>
      <w:tr w:rsidR="00591820" w:rsidRPr="00445472" w14:paraId="6B91BFCD" w14:textId="77777777" w:rsidTr="005732CC">
        <w:trPr>
          <w:trHeight w:val="320"/>
        </w:trPr>
        <w:tc>
          <w:tcPr>
            <w:tcW w:w="4161" w:type="pct"/>
            <w:shd w:val="clear" w:color="auto" w:fill="E6E6E6"/>
            <w:vAlign w:val="center"/>
          </w:tcPr>
          <w:p w14:paraId="2FC4FFC3"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Totali i kostove ekonomike - Uji</w:t>
            </w:r>
          </w:p>
        </w:tc>
        <w:tc>
          <w:tcPr>
            <w:tcW w:w="839" w:type="pct"/>
            <w:shd w:val="clear" w:color="auto" w:fill="E6E6E6"/>
            <w:vAlign w:val="center"/>
          </w:tcPr>
          <w:p w14:paraId="3394B934"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730,434</w:t>
            </w:r>
          </w:p>
        </w:tc>
      </w:tr>
      <w:tr w:rsidR="00591820" w:rsidRPr="00445472" w14:paraId="07717188" w14:textId="77777777" w:rsidTr="005732CC">
        <w:trPr>
          <w:trHeight w:val="320"/>
        </w:trPr>
        <w:tc>
          <w:tcPr>
            <w:tcW w:w="5000" w:type="pct"/>
            <w:gridSpan w:val="2"/>
            <w:vAlign w:val="center"/>
          </w:tcPr>
          <w:p w14:paraId="5178195A" w14:textId="69D34F96"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Shërbimet e </w:t>
            </w:r>
            <w:r w:rsidR="00FD1436" w:rsidRPr="00445472">
              <w:rPr>
                <w:rFonts w:ascii="Garamond" w:eastAsia="MS Mincho" w:hAnsi="Garamond" w:cs="Arial"/>
                <w:sz w:val="18"/>
                <w:szCs w:val="18"/>
              </w:rPr>
              <w:t xml:space="preserve">ujërave </w:t>
            </w:r>
            <w:r w:rsidRPr="00445472">
              <w:rPr>
                <w:rFonts w:ascii="Garamond" w:eastAsia="MS Mincho" w:hAnsi="Garamond" w:cs="Arial"/>
                <w:sz w:val="18"/>
                <w:szCs w:val="18"/>
              </w:rPr>
              <w:t>të ndotura</w:t>
            </w:r>
          </w:p>
        </w:tc>
      </w:tr>
      <w:tr w:rsidR="00591820" w:rsidRPr="00445472" w14:paraId="2D2B6D80" w14:textId="77777777" w:rsidTr="005732CC">
        <w:trPr>
          <w:trHeight w:val="320"/>
        </w:trPr>
        <w:tc>
          <w:tcPr>
            <w:tcW w:w="4161" w:type="pct"/>
            <w:shd w:val="clear" w:color="auto" w:fill="E6E6E6"/>
            <w:vAlign w:val="center"/>
          </w:tcPr>
          <w:p w14:paraId="261D2E19"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Totali i kostove ekonomike - Ujërat e ndotura</w:t>
            </w:r>
          </w:p>
        </w:tc>
        <w:tc>
          <w:tcPr>
            <w:tcW w:w="839" w:type="pct"/>
            <w:shd w:val="clear" w:color="auto" w:fill="E6E6E6"/>
            <w:vAlign w:val="center"/>
          </w:tcPr>
          <w:p w14:paraId="487E37B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186,729</w:t>
            </w:r>
          </w:p>
        </w:tc>
      </w:tr>
      <w:tr w:rsidR="00591820" w:rsidRPr="00445472" w14:paraId="0C68075B" w14:textId="77777777" w:rsidTr="005732CC">
        <w:trPr>
          <w:trHeight w:val="320"/>
        </w:trPr>
        <w:tc>
          <w:tcPr>
            <w:tcW w:w="5000" w:type="pct"/>
            <w:gridSpan w:val="2"/>
            <w:vAlign w:val="center"/>
          </w:tcPr>
          <w:p w14:paraId="76148610" w14:textId="77777777" w:rsidR="00591820" w:rsidRPr="00445472" w:rsidRDefault="00591820"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Të ardhurat ekonomike</w:t>
            </w:r>
          </w:p>
        </w:tc>
      </w:tr>
      <w:tr w:rsidR="00591820" w:rsidRPr="00445472" w14:paraId="20D9103C" w14:textId="77777777" w:rsidTr="005732CC">
        <w:trPr>
          <w:trHeight w:val="320"/>
        </w:trPr>
        <w:tc>
          <w:tcPr>
            <w:tcW w:w="5000" w:type="pct"/>
            <w:gridSpan w:val="2"/>
            <w:vAlign w:val="center"/>
          </w:tcPr>
          <w:p w14:paraId="0DEEE522" w14:textId="748E6A83"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Shërbimet e </w:t>
            </w:r>
            <w:r w:rsidR="00FD1436" w:rsidRPr="00445472">
              <w:rPr>
                <w:rFonts w:ascii="Garamond" w:eastAsia="MS Mincho" w:hAnsi="Garamond" w:cs="Arial"/>
                <w:sz w:val="18"/>
                <w:szCs w:val="18"/>
              </w:rPr>
              <w:t>ujit</w:t>
            </w:r>
          </w:p>
        </w:tc>
      </w:tr>
      <w:tr w:rsidR="00591820" w:rsidRPr="00445472" w14:paraId="28E0F042" w14:textId="77777777" w:rsidTr="005732CC">
        <w:trPr>
          <w:trHeight w:val="320"/>
        </w:trPr>
        <w:tc>
          <w:tcPr>
            <w:tcW w:w="4161" w:type="pct"/>
            <w:shd w:val="clear" w:color="auto" w:fill="E6E6E6"/>
            <w:vAlign w:val="center"/>
          </w:tcPr>
          <w:p w14:paraId="4250A131" w14:textId="77777777"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Shuma totale e faturave të ujit</w:t>
            </w:r>
          </w:p>
        </w:tc>
        <w:tc>
          <w:tcPr>
            <w:tcW w:w="839" w:type="pct"/>
            <w:shd w:val="clear" w:color="auto" w:fill="E6E6E6"/>
            <w:vAlign w:val="center"/>
          </w:tcPr>
          <w:p w14:paraId="2A44B503"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484,768</w:t>
            </w:r>
          </w:p>
        </w:tc>
      </w:tr>
      <w:tr w:rsidR="00591820" w:rsidRPr="00445472" w14:paraId="0B77660B" w14:textId="77777777" w:rsidTr="005732CC">
        <w:trPr>
          <w:trHeight w:val="320"/>
        </w:trPr>
        <w:tc>
          <w:tcPr>
            <w:tcW w:w="5000" w:type="pct"/>
            <w:gridSpan w:val="2"/>
            <w:vAlign w:val="center"/>
          </w:tcPr>
          <w:p w14:paraId="586DE858" w14:textId="0E95D650"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Shërbimet e </w:t>
            </w:r>
            <w:r w:rsidR="00FD1436" w:rsidRPr="00445472">
              <w:rPr>
                <w:rFonts w:ascii="Garamond" w:eastAsia="MS Mincho" w:hAnsi="Garamond" w:cs="Arial"/>
                <w:sz w:val="18"/>
                <w:szCs w:val="18"/>
              </w:rPr>
              <w:t xml:space="preserve">ujërave </w:t>
            </w:r>
            <w:r w:rsidRPr="00445472">
              <w:rPr>
                <w:rFonts w:ascii="Garamond" w:eastAsia="MS Mincho" w:hAnsi="Garamond" w:cs="Arial"/>
                <w:sz w:val="18"/>
                <w:szCs w:val="18"/>
              </w:rPr>
              <w:t>të ndotura</w:t>
            </w:r>
          </w:p>
        </w:tc>
      </w:tr>
      <w:tr w:rsidR="00591820" w:rsidRPr="00445472" w14:paraId="63852377" w14:textId="77777777" w:rsidTr="005732CC">
        <w:trPr>
          <w:trHeight w:val="320"/>
        </w:trPr>
        <w:tc>
          <w:tcPr>
            <w:tcW w:w="4161" w:type="pct"/>
            <w:shd w:val="clear" w:color="auto" w:fill="E6E6E6"/>
            <w:vAlign w:val="center"/>
          </w:tcPr>
          <w:p w14:paraId="7E9260F3" w14:textId="21D21CD5"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Shuma totale e faturave të </w:t>
            </w:r>
            <w:r w:rsidR="00FD1436" w:rsidRPr="00445472">
              <w:rPr>
                <w:rFonts w:ascii="Garamond" w:eastAsia="MS Mincho" w:hAnsi="Garamond" w:cs="Arial"/>
                <w:sz w:val="18"/>
                <w:szCs w:val="18"/>
              </w:rPr>
              <w:t>kanalizimeve</w:t>
            </w:r>
          </w:p>
        </w:tc>
        <w:tc>
          <w:tcPr>
            <w:tcW w:w="839" w:type="pct"/>
            <w:shd w:val="clear" w:color="auto" w:fill="E6E6E6"/>
            <w:vAlign w:val="center"/>
          </w:tcPr>
          <w:p w14:paraId="509E49E1"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99,982</w:t>
            </w:r>
          </w:p>
        </w:tc>
      </w:tr>
      <w:tr w:rsidR="00591820" w:rsidRPr="00445472" w14:paraId="04AC2F5F" w14:textId="77777777" w:rsidTr="005732CC">
        <w:trPr>
          <w:trHeight w:val="320"/>
        </w:trPr>
        <w:tc>
          <w:tcPr>
            <w:tcW w:w="4161" w:type="pct"/>
            <w:vAlign w:val="center"/>
          </w:tcPr>
          <w:p w14:paraId="05AE6733" w14:textId="09A5906D"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Shkalla (norma) e rikuperimit të kostos ekonomike - </w:t>
            </w:r>
            <w:r w:rsidR="00FD1436" w:rsidRPr="00445472">
              <w:rPr>
                <w:rFonts w:ascii="Garamond" w:eastAsia="MS Mincho" w:hAnsi="Garamond" w:cs="Arial"/>
                <w:sz w:val="18"/>
                <w:szCs w:val="18"/>
              </w:rPr>
              <w:t>uji</w:t>
            </w:r>
          </w:p>
        </w:tc>
        <w:tc>
          <w:tcPr>
            <w:tcW w:w="839" w:type="pct"/>
            <w:vAlign w:val="center"/>
          </w:tcPr>
          <w:p w14:paraId="0EB9B046"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66%</w:t>
            </w:r>
          </w:p>
        </w:tc>
      </w:tr>
      <w:tr w:rsidR="00591820" w:rsidRPr="00445472" w14:paraId="62FF9743" w14:textId="77777777" w:rsidTr="005732CC">
        <w:trPr>
          <w:trHeight w:val="320"/>
        </w:trPr>
        <w:tc>
          <w:tcPr>
            <w:tcW w:w="4161" w:type="pct"/>
            <w:vAlign w:val="center"/>
          </w:tcPr>
          <w:p w14:paraId="5CA1FCFE" w14:textId="025B1AB1"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Shkalla (norma) e rikuperimit të kostos ekonomike - </w:t>
            </w:r>
            <w:r w:rsidR="00FD1436" w:rsidRPr="00445472">
              <w:rPr>
                <w:rFonts w:ascii="Garamond" w:eastAsia="MS Mincho" w:hAnsi="Garamond" w:cs="Arial"/>
                <w:sz w:val="18"/>
                <w:szCs w:val="18"/>
              </w:rPr>
              <w:t xml:space="preserve">ujërat </w:t>
            </w:r>
            <w:r w:rsidRPr="00445472">
              <w:rPr>
                <w:rFonts w:ascii="Garamond" w:eastAsia="MS Mincho" w:hAnsi="Garamond" w:cs="Arial"/>
                <w:sz w:val="18"/>
                <w:szCs w:val="18"/>
              </w:rPr>
              <w:t xml:space="preserve">e ndotura </w:t>
            </w:r>
          </w:p>
        </w:tc>
        <w:tc>
          <w:tcPr>
            <w:tcW w:w="839" w:type="pct"/>
            <w:vAlign w:val="center"/>
          </w:tcPr>
          <w:p w14:paraId="4D737FED"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54%</w:t>
            </w:r>
          </w:p>
        </w:tc>
      </w:tr>
      <w:tr w:rsidR="00591820" w:rsidRPr="00445472" w14:paraId="3E8B9CB7" w14:textId="77777777" w:rsidTr="005732CC">
        <w:trPr>
          <w:trHeight w:val="320"/>
        </w:trPr>
        <w:tc>
          <w:tcPr>
            <w:tcW w:w="4161" w:type="pct"/>
            <w:vAlign w:val="center"/>
          </w:tcPr>
          <w:p w14:paraId="025AE253" w14:textId="5151EEC4" w:rsidR="00591820" w:rsidRPr="00445472" w:rsidRDefault="00591820"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Shkalla (norma) e rikuperimit të kostos ekonomike - </w:t>
            </w:r>
            <w:r w:rsidR="00FD1436" w:rsidRPr="00445472">
              <w:rPr>
                <w:rFonts w:ascii="Garamond" w:eastAsia="MS Mincho" w:hAnsi="Garamond" w:cs="Arial"/>
                <w:sz w:val="18"/>
                <w:szCs w:val="18"/>
              </w:rPr>
              <w:t xml:space="preserve">uji </w:t>
            </w:r>
            <w:r w:rsidRPr="00445472">
              <w:rPr>
                <w:rFonts w:ascii="Garamond" w:eastAsia="MS Mincho" w:hAnsi="Garamond" w:cs="Arial"/>
                <w:sz w:val="18"/>
                <w:szCs w:val="18"/>
              </w:rPr>
              <w:t>dhe ujërat e ndotura</w:t>
            </w:r>
          </w:p>
        </w:tc>
        <w:tc>
          <w:tcPr>
            <w:tcW w:w="839" w:type="pct"/>
            <w:vAlign w:val="center"/>
          </w:tcPr>
          <w:p w14:paraId="73A93CBA" w14:textId="77777777" w:rsidR="00591820" w:rsidRPr="00445472" w:rsidRDefault="00591820"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64%</w:t>
            </w:r>
          </w:p>
        </w:tc>
      </w:tr>
    </w:tbl>
    <w:p w14:paraId="0D07EDAD" w14:textId="77777777" w:rsidR="00591820" w:rsidRPr="00445472" w:rsidRDefault="00591820" w:rsidP="005732CC">
      <w:pPr>
        <w:pStyle w:val="TEKSTIIII"/>
      </w:pPr>
    </w:p>
    <w:p w14:paraId="0435CD7C" w14:textId="2C39E820" w:rsidR="00591820" w:rsidRPr="00445472" w:rsidRDefault="005732CC" w:rsidP="005732CC">
      <w:pPr>
        <w:pStyle w:val="NENTITULL"/>
      </w:pPr>
      <w:bookmarkStart w:id="283" w:name="_bookmark64"/>
      <w:bookmarkStart w:id="284" w:name="_Toc486503435"/>
      <w:bookmarkStart w:id="285" w:name="_Toc11068879"/>
      <w:bookmarkEnd w:id="283"/>
      <w:r w:rsidRPr="00445472">
        <w:t xml:space="preserve">11.7 </w:t>
      </w:r>
      <w:r w:rsidR="00591820" w:rsidRPr="00445472">
        <w:t>Përfundime</w:t>
      </w:r>
      <w:bookmarkEnd w:id="284"/>
      <w:bookmarkEnd w:id="285"/>
    </w:p>
    <w:p w14:paraId="1F18B40A" w14:textId="77777777" w:rsidR="00591820" w:rsidRPr="00445472" w:rsidRDefault="00591820" w:rsidP="005732CC">
      <w:pPr>
        <w:pStyle w:val="TEKSTIIII"/>
      </w:pPr>
      <w:r w:rsidRPr="00445472">
        <w:t>Duke marrë parasysh të dhënat e vlerësuara më lart (normat e rikuperimit të kostos financiare dhe ekonomike), mund të shënohet një mbulim i pakënaqshëm i kostove. Shkalla e rikuperimit të kostos financiare është 75%, ndërsa norma ekonomike është më e ulët (64%) në kontekstin e kostove të humbura të burimeve dhe të mjedisit.</w:t>
      </w:r>
    </w:p>
    <w:p w14:paraId="11BF9AA2" w14:textId="31576E06" w:rsidR="00591820" w:rsidRPr="00445472" w:rsidRDefault="00591820" w:rsidP="005732CC">
      <w:pPr>
        <w:pStyle w:val="TEKSTIIII"/>
      </w:pPr>
      <w:r w:rsidRPr="00445472">
        <w:t xml:space="preserve">Normat e rikuperimit të kostos për ofruesit lokal të shërbimeve të ujit janë shumë të ndryshme. Në disa raste, normat e rikuperimit të kostos së ndërmarrjeve individuale të ujit janë shumë më poshtë se vlera mesatare në basenin ujor </w:t>
      </w:r>
      <w:r w:rsidR="007E76E3" w:rsidRPr="00445472">
        <w:t>Drin–Bunë</w:t>
      </w:r>
      <w:r w:rsidRPr="00445472">
        <w:t xml:space="preserve"> (Vau i </w:t>
      </w:r>
      <w:r w:rsidR="00FD1436" w:rsidRPr="00445472">
        <w:t>Dejës</w:t>
      </w:r>
      <w:r w:rsidRPr="00445472">
        <w:t xml:space="preserve"> U </w:t>
      </w:r>
      <w:r w:rsidR="00FD1436" w:rsidRPr="00445472">
        <w:t>sh.a.</w:t>
      </w:r>
      <w:r w:rsidRPr="00445472">
        <w:t xml:space="preserve"> – 25%, Has U </w:t>
      </w:r>
      <w:r w:rsidR="00FD1436" w:rsidRPr="00445472">
        <w:t xml:space="preserve">sh.a. </w:t>
      </w:r>
      <w:r w:rsidRPr="00445472">
        <w:t xml:space="preserve">– 34%), në raste të tjera këto norma arrijnë në vlera afër 100% (Peshkopi U </w:t>
      </w:r>
      <w:r w:rsidR="00FD1436" w:rsidRPr="00445472">
        <w:t>sh.a.</w:t>
      </w:r>
      <w:r w:rsidRPr="00445472">
        <w:t xml:space="preserve"> – 87%, Librazhd UK </w:t>
      </w:r>
      <w:r w:rsidR="00FD1436" w:rsidRPr="00445472">
        <w:t>sh.a.</w:t>
      </w:r>
      <w:r w:rsidRPr="00445472">
        <w:t xml:space="preserve"> – 83%). Zakonisht ndërmarrjet më të mëdha të shërbimeve të ujit kanë norma më të mëdha të rikuperimit të kostos.</w:t>
      </w:r>
    </w:p>
    <w:p w14:paraId="7E9BF8C3" w14:textId="77777777" w:rsidR="00591820" w:rsidRPr="00445472" w:rsidRDefault="00591820" w:rsidP="005732CC">
      <w:pPr>
        <w:pStyle w:val="TEKSTIIII"/>
      </w:pPr>
      <w:r w:rsidRPr="00445472">
        <w:t>Norma e rikuperimit të kostove financiare është nën 100% në secilin ofrues të shërbimeve përkundër subvencioneve operacionale që ata marrin. Një nga arsyet për këtë humbje është se ka hendek midis konsumit të faturuar të ujit dhe inputit të sistemit, duke nënkuptuar që ekziston një sasi e caktuar e humbjeve.</w:t>
      </w:r>
    </w:p>
    <w:p w14:paraId="40A34EB8" w14:textId="77777777" w:rsidR="00591820" w:rsidRPr="00445472" w:rsidRDefault="00591820" w:rsidP="005732CC">
      <w:pPr>
        <w:pStyle w:val="TEKSTIIII"/>
      </w:pPr>
      <w:r w:rsidRPr="00445472">
        <w:t>Niveli i ulët i normës së rikuperimit së kostos mesatare të basenit të lumit tregon dobësi në mekanizmin e rikuperimit së kostove (kryesisht në procedurat e vendosjes së tarifave, por jo vetëm), i cili nuk është i orientuar në parimin e pagimit të ndotësve, por më shumë në përballueshmërinë e tarifave dhe në performancën operacionale të ofruesve të shërbimeve të ujit.</w:t>
      </w:r>
    </w:p>
    <w:p w14:paraId="540FC8AD" w14:textId="3935D979" w:rsidR="00591820" w:rsidRPr="00445472" w:rsidRDefault="00591820" w:rsidP="005732CC">
      <w:pPr>
        <w:pStyle w:val="TEKSTIIII"/>
      </w:pPr>
      <w:r w:rsidRPr="00445472">
        <w:t xml:space="preserve">Enti Rregullator Shqiptar i Furnizimit me Ujë: </w:t>
      </w:r>
      <w:r w:rsidR="00D62EDF" w:rsidRPr="00445472">
        <w:rPr>
          <w:i/>
        </w:rPr>
        <w:t>“</w:t>
      </w:r>
      <w:r w:rsidRPr="00445472">
        <w:rPr>
          <w:i/>
        </w:rPr>
        <w:t>Metodologjia e përcaktimit të tarifave për shërbimin e furnizimit me ujë dhe trajtimin dhe largimin e ujërave të ndotura bazohet në katër objektiva të politikës tarifore:</w:t>
      </w:r>
    </w:p>
    <w:p w14:paraId="7C927AE6" w14:textId="7F758554" w:rsidR="00591820" w:rsidRPr="00445472" w:rsidRDefault="008279F2" w:rsidP="005732CC">
      <w:pPr>
        <w:pStyle w:val="TEKSTIIII"/>
      </w:pPr>
      <w:r>
        <w:t xml:space="preserve">- </w:t>
      </w:r>
      <w:r w:rsidR="00591820" w:rsidRPr="00445472">
        <w:t>Mbulimi i kostove: së pari mbulimi i kostove të operimit dhe mirëmbajtjes hap pas hapi deri në mbulimin e kostos totale të kompanisë lidhur me kryerjen e veprimtarisë së saj në ofrimin e shërbimeve përkatëse.</w:t>
      </w:r>
    </w:p>
    <w:p w14:paraId="1A81B288" w14:textId="5A88DB6E" w:rsidR="00591820" w:rsidRPr="00445472" w:rsidRDefault="008279F2" w:rsidP="005732CC">
      <w:pPr>
        <w:pStyle w:val="TEKSTIIII"/>
      </w:pPr>
      <w:r>
        <w:t xml:space="preserve">- </w:t>
      </w:r>
      <w:r w:rsidR="00591820" w:rsidRPr="00445472">
        <w:t>Efikasiteti i menaxhimit</w:t>
      </w:r>
    </w:p>
    <w:p w14:paraId="7CAAD150" w14:textId="4F56E4CD" w:rsidR="00591820" w:rsidRPr="00445472" w:rsidRDefault="008279F2" w:rsidP="005732CC">
      <w:pPr>
        <w:pStyle w:val="TEKSTIIII"/>
      </w:pPr>
      <w:r>
        <w:t xml:space="preserve">- </w:t>
      </w:r>
      <w:r w:rsidR="00591820" w:rsidRPr="00445472">
        <w:t>Përballueshmëria nga konsumatorët në nevojë, dhe</w:t>
      </w:r>
    </w:p>
    <w:p w14:paraId="402CD5F6" w14:textId="53945E25" w:rsidR="00591820" w:rsidRPr="00445472" w:rsidRDefault="008279F2" w:rsidP="005732CC">
      <w:pPr>
        <w:pStyle w:val="TEKSTIIII"/>
      </w:pPr>
      <w:r>
        <w:t xml:space="preserve">- </w:t>
      </w:r>
      <w:r w:rsidR="00591820" w:rsidRPr="00445472">
        <w:t>Efikasiteti mjedisor</w:t>
      </w:r>
      <w:r w:rsidR="00D62EDF" w:rsidRPr="00445472">
        <w:t>”</w:t>
      </w:r>
    </w:p>
    <w:p w14:paraId="423E97E5" w14:textId="77777777" w:rsidR="00591820" w:rsidRPr="00445472" w:rsidRDefault="00591820" w:rsidP="005732CC">
      <w:pPr>
        <w:pStyle w:val="TEKSTIIII"/>
      </w:pPr>
      <w:r w:rsidRPr="00445472">
        <w:t>Megjithatë, rikuperimi i kostove mjedisore dhe burimeve si shpenzime të brendshme nuk aplikohet në tarifa.</w:t>
      </w:r>
    </w:p>
    <w:p w14:paraId="765607FA" w14:textId="77777777" w:rsidR="00591820" w:rsidRPr="00445472" w:rsidRDefault="00591820" w:rsidP="005732CC">
      <w:pPr>
        <w:pStyle w:val="TEKSTIIII"/>
      </w:pPr>
      <w:r w:rsidRPr="00445472">
        <w:t>Si përfundim, ekziston nevoja për të ndryshuar politikat aktuale të çmimeve për të përmbushur kërkesat e Direktivës Kuadër të Ujit. Marrëveshjet e tanishme paraqesin detyrime nga sipërmarrësit e ujit dhe kanalizimeve që nuk mbulojnë shpenzimet e këtyre shërbimeve. Ky sistem nuk merr parasysh parimet dhe objektivat e Direktivës dhe dispozitat e nenit 9 të Direktivës Kuadër të Ujit në veçanti.</w:t>
      </w:r>
    </w:p>
    <w:p w14:paraId="5D7CEF37" w14:textId="5DDC380E" w:rsidR="00591820" w:rsidRPr="00445472" w:rsidRDefault="00591820" w:rsidP="005732CC">
      <w:pPr>
        <w:pStyle w:val="TEKSTIIII"/>
      </w:pPr>
      <w:r w:rsidRPr="00445472">
        <w:t xml:space="preserve">Një çështje tjetër që lidhet me tarifat është përshtatja e tyre gjatë kohës kur kostot në rritje duhet të ndiqen nga ndryshimet e duhura në tarifa. Enti Rregullator deklaron se: </w:t>
      </w:r>
      <w:r w:rsidR="00D62EDF" w:rsidRPr="00445472">
        <w:t>“</w:t>
      </w:r>
      <w:r w:rsidRPr="00445472">
        <w:rPr>
          <w:i/>
        </w:rPr>
        <w:t xml:space="preserve">Asnjë tarifë ose pjesë e saj nuk mund të ndryshohet më shpesh se një herë në vit </w:t>
      </w:r>
      <w:r w:rsidR="00D62EDF" w:rsidRPr="00445472">
        <w:rPr>
          <w:i/>
        </w:rPr>
        <w:t>“</w:t>
      </w:r>
      <w:r w:rsidRPr="00445472">
        <w:rPr>
          <w:i/>
        </w:rPr>
        <w:t>por, në praktikë, shërbimet e ujësjellësit nuk aplikojnë çdo vit për rregullime tarifore</w:t>
      </w:r>
      <w:r w:rsidRPr="00445472">
        <w:t>. Në këtë rast, tarifat e miratuara në të kaluarën nuk mund të mbulojnë kostot aktuale, të rritura.</w:t>
      </w:r>
    </w:p>
    <w:p w14:paraId="1CF1F251" w14:textId="55D4EA93" w:rsidR="00591820" w:rsidRPr="00445472" w:rsidRDefault="00591820" w:rsidP="005732CC">
      <w:pPr>
        <w:pStyle w:val="TEKSTIIII"/>
      </w:pPr>
      <w:r w:rsidRPr="00445472">
        <w:t xml:space="preserve">Në rastin e normës së rikuperimit të kostos ekonomike, vlerësimet nuk përfshijnë kostot e burimeve dhe mjedisit. Kjo është për shkak të mungesës së të dhënave të besueshme për këto lloje shpenzimesh. Në zhvillimin e PMBU-ve (Planet e menaxhimit të baseneve ujore), duhet të bëhen sugjerime mbi një sistem të </w:t>
      </w:r>
      <w:r w:rsidR="00FD1436" w:rsidRPr="00445472">
        <w:t>përshtatshëm</w:t>
      </w:r>
      <w:r w:rsidRPr="00445472">
        <w:t xml:space="preserve"> për grumbullimin dhe regjistrimin e të dhënave (nivel kombëtar</w:t>
      </w:r>
      <w:r w:rsidR="001D340B" w:rsidRPr="00445472">
        <w:t>/</w:t>
      </w:r>
      <w:r w:rsidRPr="00445472">
        <w:t>rajonal), pasi analiza e rikuperimit të kostos në të ardhmen nuk do të konsiderojë çështjen e mungesës së të dhënave.</w:t>
      </w:r>
    </w:p>
    <w:p w14:paraId="08E9BF08" w14:textId="77777777" w:rsidR="00591820" w:rsidRPr="00445472" w:rsidRDefault="00591820" w:rsidP="005732CC">
      <w:pPr>
        <w:pStyle w:val="TEKSTIIII"/>
      </w:pPr>
      <w:r w:rsidRPr="00445472">
        <w:t>Kostot e rikuperimit të shërbimeve të ujitjes nuk janë analizuar. Kjo është për shkak të mungesës së të dhënave financiare të ofruesve të shërbimeve. Nëse do të jenë në dispozicion të dhëna të besueshme, vlerësimi i normave të rikuperimit mund të shtrihet në këto shërbime në analizat e ardhshme.</w:t>
      </w:r>
    </w:p>
    <w:p w14:paraId="2163A30B" w14:textId="7A775963" w:rsidR="00591820" w:rsidRPr="00445472" w:rsidRDefault="00E33351" w:rsidP="00E33351">
      <w:pPr>
        <w:pStyle w:val="NENTITULL"/>
      </w:pPr>
      <w:bookmarkStart w:id="286" w:name="_bookmark52"/>
      <w:bookmarkStart w:id="287" w:name="_Toc11068880"/>
      <w:bookmarkEnd w:id="286"/>
      <w:r w:rsidRPr="00445472">
        <w:t xml:space="preserve">12. </w:t>
      </w:r>
      <w:r w:rsidR="00591820" w:rsidRPr="00445472">
        <w:t>Programi masave</w:t>
      </w:r>
      <w:bookmarkEnd w:id="287"/>
    </w:p>
    <w:p w14:paraId="0672B411" w14:textId="4007D1AF" w:rsidR="00591820" w:rsidRPr="00445472" w:rsidRDefault="00E33351" w:rsidP="00E33351">
      <w:pPr>
        <w:pStyle w:val="NENTITULL"/>
      </w:pPr>
      <w:bookmarkStart w:id="288" w:name="_Toc11068881"/>
      <w:r w:rsidRPr="00445472">
        <w:t xml:space="preserve">12.1 </w:t>
      </w:r>
      <w:r w:rsidR="00591820" w:rsidRPr="00445472">
        <w:t>Hyrje</w:t>
      </w:r>
      <w:bookmarkEnd w:id="288"/>
      <w:r w:rsidR="00591820" w:rsidRPr="00445472">
        <w:t xml:space="preserve"> </w:t>
      </w:r>
    </w:p>
    <w:p w14:paraId="3E5ECAF1" w14:textId="490B1F49" w:rsidR="00591820" w:rsidRPr="00445472" w:rsidRDefault="00591820" w:rsidP="00E33351">
      <w:pPr>
        <w:pStyle w:val="TEKSTIIII"/>
      </w:pPr>
      <w:r w:rsidRPr="00445472">
        <w:t>DKU-ja e BE-së kërkon ngritjen e një Programi Masash (PoM) për çdo basen ujor, ose për  një pjesë të një baseni ujor brenda territorit të tij, ku të merren parasysh të gjitha rezultatet e analizave të kërkuara në nenin 5</w:t>
      </w:r>
      <w:r w:rsidRPr="00445472">
        <w:rPr>
          <w:rStyle w:val="FootnoteReference"/>
          <w:rFonts w:ascii="Garamond" w:hAnsi="Garamond"/>
          <w:color w:val="auto"/>
        </w:rPr>
        <w:footnoteReference w:id="204"/>
      </w:r>
      <w:r w:rsidRPr="00445472">
        <w:t xml:space="preserve"> për të arritur objektivat mjedisorë të përcaktuar në nenin 4 (shihni seksionin 10). Neni 11 i DKU-së së BE-së përcakton se çdo program masash duhet të përfshijë </w:t>
      </w:r>
      <w:r w:rsidR="00D62EDF" w:rsidRPr="00445472">
        <w:t>“</w:t>
      </w:r>
      <w:r w:rsidRPr="00445472">
        <w:t>masat bazë</w:t>
      </w:r>
      <w:r w:rsidR="00D62EDF" w:rsidRPr="00445472">
        <w:t>”</w:t>
      </w:r>
      <w:r w:rsidRPr="00445472">
        <w:t xml:space="preserve"> dhe kur është e nevojshme, edhe </w:t>
      </w:r>
      <w:r w:rsidR="00D62EDF" w:rsidRPr="00445472">
        <w:t>“</w:t>
      </w:r>
      <w:r w:rsidRPr="00445472">
        <w:t>masa plotësuese</w:t>
      </w:r>
      <w:r w:rsidR="00D62EDF" w:rsidRPr="00445472">
        <w:t>”</w:t>
      </w:r>
      <w:r w:rsidRPr="00445472">
        <w:t xml:space="preserve">. Tabela 12 më poshtë, paraqet listën e përgjithshme të këtyre masave. </w:t>
      </w:r>
    </w:p>
    <w:p w14:paraId="559C6647" w14:textId="77777777" w:rsidR="00591820" w:rsidRPr="00445472" w:rsidRDefault="00591820" w:rsidP="00E33351">
      <w:pPr>
        <w:pStyle w:val="TEKSTIIII"/>
      </w:pPr>
    </w:p>
    <w:p w14:paraId="6C0C8CC1" w14:textId="5EF20161" w:rsidR="00591820" w:rsidRPr="00445472" w:rsidRDefault="00591820" w:rsidP="00E33351">
      <w:pPr>
        <w:pStyle w:val="NENTITULL"/>
      </w:pPr>
      <w:r w:rsidRPr="00445472">
        <w:t xml:space="preserve">Tabela 12.1: Renditja e masave </w:t>
      </w:r>
      <w:r w:rsidR="00D62EDF" w:rsidRPr="00445472">
        <w:t>“</w:t>
      </w:r>
      <w:r w:rsidRPr="00445472">
        <w:t>bazë</w:t>
      </w:r>
      <w:r w:rsidR="00D62EDF" w:rsidRPr="00445472">
        <w:t>”</w:t>
      </w:r>
      <w:r w:rsidRPr="00445472">
        <w:t xml:space="preserve"> dhe </w:t>
      </w:r>
      <w:r w:rsidR="00D62EDF" w:rsidRPr="00445472">
        <w:t>“</w:t>
      </w:r>
      <w:r w:rsidRPr="00445472">
        <w:t>plotësuese</w:t>
      </w:r>
      <w:r w:rsidR="00D62EDF" w:rsidRPr="00445472">
        <w:t>”</w:t>
      </w:r>
      <w:r w:rsidRPr="00445472">
        <w:t xml:space="preserve"> të përcaktuara në nenin 11 të DKU-së së BE-së</w:t>
      </w:r>
    </w:p>
    <w:tbl>
      <w:tblPr>
        <w:tblW w:w="0" w:type="auto"/>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76"/>
        <w:gridCol w:w="8803"/>
      </w:tblGrid>
      <w:tr w:rsidR="00591820" w:rsidRPr="00445472" w14:paraId="3CC2FD81" w14:textId="77777777" w:rsidTr="002A1F08">
        <w:tc>
          <w:tcPr>
            <w:tcW w:w="9488" w:type="dxa"/>
            <w:gridSpan w:val="2"/>
            <w:shd w:val="clear" w:color="auto" w:fill="auto"/>
            <w:vAlign w:val="center"/>
          </w:tcPr>
          <w:p w14:paraId="3880B596" w14:textId="1A7CB712" w:rsidR="00591820" w:rsidRPr="00445472" w:rsidRDefault="00591820" w:rsidP="00E33351">
            <w:pPr>
              <w:pStyle w:val="TEKSTIIII"/>
              <w:ind w:firstLine="0"/>
              <w:rPr>
                <w:b/>
                <w:sz w:val="18"/>
                <w:szCs w:val="18"/>
              </w:rPr>
            </w:pPr>
            <w:r w:rsidRPr="00445472">
              <w:rPr>
                <w:b/>
                <w:sz w:val="18"/>
                <w:szCs w:val="18"/>
              </w:rPr>
              <w:t xml:space="preserve">Masat </w:t>
            </w:r>
            <w:r w:rsidR="00595AA9" w:rsidRPr="00445472">
              <w:rPr>
                <w:b/>
                <w:sz w:val="18"/>
                <w:szCs w:val="18"/>
              </w:rPr>
              <w:t>bazë</w:t>
            </w:r>
          </w:p>
        </w:tc>
      </w:tr>
      <w:tr w:rsidR="00591820" w:rsidRPr="00445472" w14:paraId="4A8264C0" w14:textId="77777777" w:rsidTr="002A1F08">
        <w:trPr>
          <w:trHeight w:val="377"/>
        </w:trPr>
        <w:tc>
          <w:tcPr>
            <w:tcW w:w="377" w:type="dxa"/>
            <w:shd w:val="clear" w:color="auto" w:fill="auto"/>
            <w:vAlign w:val="center"/>
          </w:tcPr>
          <w:p w14:paraId="1F8418AE" w14:textId="77777777" w:rsidR="00591820" w:rsidRPr="00445472" w:rsidRDefault="00591820" w:rsidP="00E33351">
            <w:pPr>
              <w:pStyle w:val="TEKSTIIII"/>
              <w:ind w:firstLine="0"/>
              <w:rPr>
                <w:rFonts w:cs="Arial"/>
                <w:sz w:val="18"/>
                <w:szCs w:val="18"/>
              </w:rPr>
            </w:pPr>
            <w:r w:rsidRPr="00445472">
              <w:rPr>
                <w:rFonts w:cs="Arial"/>
                <w:sz w:val="18"/>
                <w:szCs w:val="18"/>
              </w:rPr>
              <w:t xml:space="preserve">a) </w:t>
            </w:r>
          </w:p>
          <w:p w14:paraId="29B38462" w14:textId="77777777" w:rsidR="00591820" w:rsidRPr="00445472" w:rsidRDefault="00591820" w:rsidP="00E33351">
            <w:pPr>
              <w:pStyle w:val="TEKSTIIII"/>
              <w:ind w:firstLine="0"/>
              <w:rPr>
                <w:rFonts w:cs="Arial"/>
                <w:sz w:val="18"/>
                <w:szCs w:val="18"/>
              </w:rPr>
            </w:pPr>
          </w:p>
        </w:tc>
        <w:tc>
          <w:tcPr>
            <w:tcW w:w="9111" w:type="dxa"/>
            <w:shd w:val="clear" w:color="auto" w:fill="auto"/>
            <w:vAlign w:val="center"/>
          </w:tcPr>
          <w:p w14:paraId="66EA6DC7" w14:textId="3E0D7935" w:rsidR="00591820" w:rsidRPr="00445472" w:rsidRDefault="00591820" w:rsidP="00E33351">
            <w:pPr>
              <w:pStyle w:val="TEKSTIIII"/>
              <w:ind w:firstLine="0"/>
              <w:rPr>
                <w:sz w:val="18"/>
                <w:szCs w:val="18"/>
              </w:rPr>
            </w:pPr>
            <w:r w:rsidRPr="00445472">
              <w:rPr>
                <w:sz w:val="18"/>
                <w:szCs w:val="18"/>
              </w:rPr>
              <w:t xml:space="preserve">Masat e kërkuara për të zbatuar legjislacionin e Komunitetit Evropian për mbrojtjen e ujit, duke përfshirë masat e nevojshme të përcaktuara në legjislacion në nenin 10 (qasja e kombinuar për përcaktimin dhe shpërndarjen e burimeve) dhe masat e kërkuara nga Direktivat </w:t>
            </w:r>
            <w:r w:rsidR="00D62EDF" w:rsidRPr="00445472">
              <w:rPr>
                <w:sz w:val="18"/>
                <w:szCs w:val="18"/>
              </w:rPr>
              <w:t>“</w:t>
            </w:r>
            <w:r w:rsidRPr="00445472">
              <w:rPr>
                <w:sz w:val="18"/>
                <w:szCs w:val="18"/>
              </w:rPr>
              <w:t>bija</w:t>
            </w:r>
            <w:r w:rsidR="00D62EDF" w:rsidRPr="00445472">
              <w:rPr>
                <w:sz w:val="18"/>
                <w:szCs w:val="18"/>
              </w:rPr>
              <w:t>”</w:t>
            </w:r>
            <w:r w:rsidRPr="00445472">
              <w:rPr>
                <w:sz w:val="18"/>
                <w:szCs w:val="18"/>
              </w:rPr>
              <w:t xml:space="preserve"> të DKU-së (të përcaktuara në pjesën A të shtojcës VI dhe në DKU-në e BE-së).</w:t>
            </w:r>
          </w:p>
        </w:tc>
      </w:tr>
      <w:tr w:rsidR="00591820" w:rsidRPr="00445472" w14:paraId="138D5AD6" w14:textId="77777777" w:rsidTr="002A1F08">
        <w:trPr>
          <w:trHeight w:val="373"/>
        </w:trPr>
        <w:tc>
          <w:tcPr>
            <w:tcW w:w="377" w:type="dxa"/>
            <w:shd w:val="clear" w:color="auto" w:fill="auto"/>
            <w:vAlign w:val="center"/>
          </w:tcPr>
          <w:p w14:paraId="07600474" w14:textId="77777777" w:rsidR="00591820" w:rsidRPr="00445472" w:rsidRDefault="00591820" w:rsidP="00E33351">
            <w:pPr>
              <w:pStyle w:val="TEKSTIIII"/>
              <w:ind w:firstLine="0"/>
              <w:rPr>
                <w:rFonts w:cs="Arial"/>
                <w:sz w:val="18"/>
                <w:szCs w:val="18"/>
              </w:rPr>
            </w:pPr>
            <w:r w:rsidRPr="00445472">
              <w:rPr>
                <w:rFonts w:cs="Arial"/>
                <w:sz w:val="18"/>
                <w:szCs w:val="18"/>
              </w:rPr>
              <w:t>b)</w:t>
            </w:r>
          </w:p>
        </w:tc>
        <w:tc>
          <w:tcPr>
            <w:tcW w:w="9111" w:type="dxa"/>
            <w:shd w:val="clear" w:color="auto" w:fill="auto"/>
            <w:vAlign w:val="center"/>
          </w:tcPr>
          <w:p w14:paraId="09977C6F" w14:textId="77777777" w:rsidR="00591820" w:rsidRPr="00445472" w:rsidRDefault="00591820" w:rsidP="00E33351">
            <w:pPr>
              <w:pStyle w:val="TEKSTIIII"/>
              <w:ind w:firstLine="0"/>
              <w:rPr>
                <w:sz w:val="18"/>
                <w:szCs w:val="18"/>
              </w:rPr>
            </w:pPr>
            <w:r w:rsidRPr="00445472">
              <w:rPr>
                <w:sz w:val="18"/>
                <w:szCs w:val="18"/>
              </w:rPr>
              <w:t>Masat e konsideruara si të përshtatshme për qëllimet e rikuperimit të kostove për shërbimet e ujit (neni 9)</w:t>
            </w:r>
          </w:p>
        </w:tc>
      </w:tr>
      <w:tr w:rsidR="00591820" w:rsidRPr="00445472" w14:paraId="319629BF" w14:textId="77777777" w:rsidTr="002A1F08">
        <w:trPr>
          <w:trHeight w:val="373"/>
        </w:trPr>
        <w:tc>
          <w:tcPr>
            <w:tcW w:w="377" w:type="dxa"/>
            <w:shd w:val="clear" w:color="auto" w:fill="auto"/>
            <w:vAlign w:val="center"/>
          </w:tcPr>
          <w:p w14:paraId="30E2732C" w14:textId="77777777" w:rsidR="00591820" w:rsidRPr="00445472" w:rsidRDefault="00591820" w:rsidP="00E33351">
            <w:pPr>
              <w:pStyle w:val="TEKSTIIII"/>
              <w:ind w:firstLine="0"/>
              <w:rPr>
                <w:rFonts w:cs="Arial"/>
                <w:sz w:val="18"/>
                <w:szCs w:val="18"/>
              </w:rPr>
            </w:pPr>
            <w:r w:rsidRPr="00445472">
              <w:rPr>
                <w:rFonts w:cs="Arial"/>
                <w:sz w:val="18"/>
                <w:szCs w:val="18"/>
              </w:rPr>
              <w:t>c)</w:t>
            </w:r>
          </w:p>
        </w:tc>
        <w:tc>
          <w:tcPr>
            <w:tcW w:w="9111" w:type="dxa"/>
            <w:shd w:val="clear" w:color="auto" w:fill="auto"/>
            <w:vAlign w:val="center"/>
          </w:tcPr>
          <w:p w14:paraId="7A6937FF" w14:textId="77777777" w:rsidR="00591820" w:rsidRPr="00445472" w:rsidRDefault="00591820" w:rsidP="00E33351">
            <w:pPr>
              <w:pStyle w:val="TEKSTIIII"/>
              <w:ind w:firstLine="0"/>
              <w:rPr>
                <w:sz w:val="18"/>
                <w:szCs w:val="18"/>
              </w:rPr>
            </w:pPr>
            <w:r w:rsidRPr="00445472">
              <w:rPr>
                <w:sz w:val="18"/>
                <w:szCs w:val="18"/>
              </w:rPr>
              <w:t>Masat për promovimin e përdorimit eficient dhe të qëndrueshëm, për të shmangur kompromentimin e arritjes së objektivave të përcaktuara mjedisore (neni 4)</w:t>
            </w:r>
          </w:p>
        </w:tc>
      </w:tr>
      <w:tr w:rsidR="00591820" w:rsidRPr="00445472" w14:paraId="5755C0CA" w14:textId="77777777" w:rsidTr="002A1F08">
        <w:trPr>
          <w:trHeight w:val="373"/>
        </w:trPr>
        <w:tc>
          <w:tcPr>
            <w:tcW w:w="377" w:type="dxa"/>
            <w:shd w:val="clear" w:color="auto" w:fill="auto"/>
            <w:vAlign w:val="center"/>
          </w:tcPr>
          <w:p w14:paraId="68CC64D1" w14:textId="77777777" w:rsidR="00591820" w:rsidRPr="00445472" w:rsidRDefault="00591820" w:rsidP="00E33351">
            <w:pPr>
              <w:pStyle w:val="TEKSTIIII"/>
              <w:ind w:firstLine="0"/>
              <w:rPr>
                <w:rFonts w:cs="Arial"/>
                <w:sz w:val="18"/>
                <w:szCs w:val="18"/>
              </w:rPr>
            </w:pPr>
            <w:r w:rsidRPr="00445472">
              <w:rPr>
                <w:rFonts w:cs="Arial"/>
                <w:sz w:val="18"/>
                <w:szCs w:val="18"/>
              </w:rPr>
              <w:t>d)</w:t>
            </w:r>
          </w:p>
        </w:tc>
        <w:tc>
          <w:tcPr>
            <w:tcW w:w="9111" w:type="dxa"/>
            <w:shd w:val="clear" w:color="auto" w:fill="auto"/>
            <w:vAlign w:val="center"/>
          </w:tcPr>
          <w:p w14:paraId="04449D5E" w14:textId="77777777" w:rsidR="00591820" w:rsidRPr="00445472" w:rsidRDefault="00591820" w:rsidP="00E33351">
            <w:pPr>
              <w:pStyle w:val="TEKSTIIII"/>
              <w:ind w:firstLine="0"/>
              <w:rPr>
                <w:rFonts w:cs="Arial"/>
                <w:sz w:val="18"/>
                <w:szCs w:val="18"/>
              </w:rPr>
            </w:pPr>
            <w:r w:rsidRPr="00445472">
              <w:rPr>
                <w:rFonts w:cs="Arial"/>
                <w:sz w:val="18"/>
                <w:szCs w:val="18"/>
              </w:rPr>
              <w:t>Masat për të përmbushur kërkesat e ujërave që përdoren për nxjerrjen e ujit të pijshëm, duke përfshirë masat për ruajtjen e cilësisë së ujit për të reduktuar nivelin e trajtimit nëpërmjet filtrimit për prodhimin e ujit të pijshëm (neni 7).</w:t>
            </w:r>
          </w:p>
        </w:tc>
      </w:tr>
      <w:tr w:rsidR="00591820" w:rsidRPr="00445472" w14:paraId="2054C878" w14:textId="77777777" w:rsidTr="002A1F08">
        <w:trPr>
          <w:trHeight w:val="373"/>
        </w:trPr>
        <w:tc>
          <w:tcPr>
            <w:tcW w:w="377" w:type="dxa"/>
            <w:shd w:val="clear" w:color="auto" w:fill="auto"/>
            <w:vAlign w:val="center"/>
          </w:tcPr>
          <w:p w14:paraId="0FD1F494" w14:textId="77777777" w:rsidR="00591820" w:rsidRPr="00445472" w:rsidRDefault="00591820" w:rsidP="00E33351">
            <w:pPr>
              <w:pStyle w:val="TEKSTIIII"/>
              <w:ind w:firstLine="0"/>
              <w:rPr>
                <w:rFonts w:cs="Arial"/>
                <w:sz w:val="18"/>
                <w:szCs w:val="18"/>
              </w:rPr>
            </w:pPr>
            <w:r w:rsidRPr="00445472">
              <w:rPr>
                <w:rFonts w:cs="Arial"/>
                <w:sz w:val="18"/>
                <w:szCs w:val="18"/>
              </w:rPr>
              <w:t>e)</w:t>
            </w:r>
          </w:p>
        </w:tc>
        <w:tc>
          <w:tcPr>
            <w:tcW w:w="9111" w:type="dxa"/>
            <w:shd w:val="clear" w:color="auto" w:fill="auto"/>
            <w:vAlign w:val="center"/>
          </w:tcPr>
          <w:p w14:paraId="04A09A86" w14:textId="77777777" w:rsidR="00591820" w:rsidRPr="00445472" w:rsidRDefault="00591820" w:rsidP="00E33351">
            <w:pPr>
              <w:pStyle w:val="TEKSTIIII"/>
              <w:ind w:firstLine="0"/>
              <w:rPr>
                <w:rFonts w:cs="Arial"/>
                <w:sz w:val="18"/>
                <w:szCs w:val="18"/>
              </w:rPr>
            </w:pPr>
            <w:r w:rsidRPr="00445472">
              <w:rPr>
                <w:rFonts w:cs="Arial"/>
                <w:sz w:val="18"/>
                <w:szCs w:val="18"/>
              </w:rPr>
              <w:t>Kontrollet e nxjerrjes së ujit të ujërave të ëmbël sipërfaqësorë dhe nëntokësorë, dhe rrethimi i ujërave të ëmbël sipërfaqësorë në formë rezervuari.</w:t>
            </w:r>
          </w:p>
        </w:tc>
      </w:tr>
      <w:tr w:rsidR="00591820" w:rsidRPr="00445472" w14:paraId="6E2BF51B" w14:textId="77777777" w:rsidTr="002A1F08">
        <w:trPr>
          <w:trHeight w:val="373"/>
        </w:trPr>
        <w:tc>
          <w:tcPr>
            <w:tcW w:w="377" w:type="dxa"/>
            <w:shd w:val="clear" w:color="auto" w:fill="auto"/>
            <w:vAlign w:val="center"/>
          </w:tcPr>
          <w:p w14:paraId="6F9B6980" w14:textId="77777777" w:rsidR="00591820" w:rsidRPr="00445472" w:rsidRDefault="00591820" w:rsidP="00E33351">
            <w:pPr>
              <w:pStyle w:val="TEKSTIIII"/>
              <w:ind w:firstLine="0"/>
              <w:rPr>
                <w:rFonts w:cs="Arial"/>
                <w:sz w:val="18"/>
                <w:szCs w:val="18"/>
              </w:rPr>
            </w:pPr>
            <w:r w:rsidRPr="00445472">
              <w:rPr>
                <w:rFonts w:cs="Arial"/>
                <w:sz w:val="18"/>
                <w:szCs w:val="18"/>
              </w:rPr>
              <w:t>f)</w:t>
            </w:r>
          </w:p>
        </w:tc>
        <w:tc>
          <w:tcPr>
            <w:tcW w:w="9111" w:type="dxa"/>
            <w:shd w:val="clear" w:color="auto" w:fill="auto"/>
            <w:vAlign w:val="center"/>
          </w:tcPr>
          <w:p w14:paraId="382B3F66" w14:textId="77777777" w:rsidR="00591820" w:rsidRPr="00445472" w:rsidRDefault="00591820" w:rsidP="00E33351">
            <w:pPr>
              <w:pStyle w:val="TEKSTIIII"/>
              <w:ind w:firstLine="0"/>
              <w:rPr>
                <w:rFonts w:cs="Arial"/>
                <w:sz w:val="18"/>
                <w:szCs w:val="18"/>
              </w:rPr>
            </w:pPr>
            <w:r w:rsidRPr="00445472">
              <w:rPr>
                <w:rFonts w:cs="Arial"/>
                <w:sz w:val="18"/>
                <w:szCs w:val="18"/>
              </w:rPr>
              <w:t>Kontrollet, duke përfshirë kërkesën për autorizim paraprak për mbushjen ose shtimin artificial të trupave ujorë nëntokësorë.</w:t>
            </w:r>
          </w:p>
        </w:tc>
      </w:tr>
      <w:tr w:rsidR="00591820" w:rsidRPr="00445472" w14:paraId="16A2D366" w14:textId="77777777" w:rsidTr="002A1F08">
        <w:trPr>
          <w:trHeight w:val="373"/>
        </w:trPr>
        <w:tc>
          <w:tcPr>
            <w:tcW w:w="377" w:type="dxa"/>
            <w:shd w:val="clear" w:color="auto" w:fill="auto"/>
            <w:vAlign w:val="center"/>
          </w:tcPr>
          <w:p w14:paraId="276710D6" w14:textId="77777777" w:rsidR="00591820" w:rsidRPr="00445472" w:rsidRDefault="00591820" w:rsidP="00E33351">
            <w:pPr>
              <w:pStyle w:val="TEKSTIIII"/>
              <w:ind w:firstLine="0"/>
              <w:rPr>
                <w:rFonts w:cs="Arial"/>
                <w:sz w:val="18"/>
                <w:szCs w:val="18"/>
              </w:rPr>
            </w:pPr>
            <w:r w:rsidRPr="00445472">
              <w:rPr>
                <w:rFonts w:cs="Arial"/>
                <w:sz w:val="18"/>
                <w:szCs w:val="18"/>
              </w:rPr>
              <w:t>g)</w:t>
            </w:r>
          </w:p>
        </w:tc>
        <w:tc>
          <w:tcPr>
            <w:tcW w:w="9111" w:type="dxa"/>
            <w:shd w:val="clear" w:color="auto" w:fill="auto"/>
            <w:vAlign w:val="center"/>
          </w:tcPr>
          <w:p w14:paraId="37FD9751" w14:textId="77777777" w:rsidR="00591820" w:rsidRPr="00445472" w:rsidRDefault="00591820" w:rsidP="00E33351">
            <w:pPr>
              <w:pStyle w:val="TEKSTIIII"/>
              <w:ind w:firstLine="0"/>
              <w:rPr>
                <w:rFonts w:cs="Arial"/>
                <w:sz w:val="18"/>
                <w:szCs w:val="18"/>
              </w:rPr>
            </w:pPr>
            <w:r w:rsidRPr="00445472">
              <w:rPr>
                <w:rFonts w:cs="Arial"/>
                <w:sz w:val="18"/>
                <w:szCs w:val="18"/>
              </w:rPr>
              <w:t>Masat për rregullimin e pikave të shkarkimit që mund të shkaktojnë ndotje (nenet 10 dhe 16).</w:t>
            </w:r>
          </w:p>
        </w:tc>
      </w:tr>
      <w:tr w:rsidR="00591820" w:rsidRPr="00445472" w14:paraId="19FC37C0" w14:textId="77777777" w:rsidTr="002A1F08">
        <w:trPr>
          <w:trHeight w:val="373"/>
        </w:trPr>
        <w:tc>
          <w:tcPr>
            <w:tcW w:w="377" w:type="dxa"/>
            <w:shd w:val="clear" w:color="auto" w:fill="auto"/>
            <w:vAlign w:val="center"/>
          </w:tcPr>
          <w:p w14:paraId="7F94A2C7" w14:textId="77777777" w:rsidR="00591820" w:rsidRPr="00445472" w:rsidRDefault="00591820" w:rsidP="00E33351">
            <w:pPr>
              <w:pStyle w:val="TEKSTIIII"/>
              <w:ind w:firstLine="0"/>
              <w:rPr>
                <w:rFonts w:cs="Arial"/>
                <w:sz w:val="18"/>
                <w:szCs w:val="18"/>
              </w:rPr>
            </w:pPr>
            <w:r w:rsidRPr="00445472">
              <w:rPr>
                <w:rFonts w:cs="Arial"/>
                <w:sz w:val="18"/>
                <w:szCs w:val="18"/>
              </w:rPr>
              <w:t>h)</w:t>
            </w:r>
          </w:p>
        </w:tc>
        <w:tc>
          <w:tcPr>
            <w:tcW w:w="9111" w:type="dxa"/>
            <w:shd w:val="clear" w:color="auto" w:fill="auto"/>
            <w:vAlign w:val="center"/>
          </w:tcPr>
          <w:p w14:paraId="0435AB60" w14:textId="77777777" w:rsidR="00591820" w:rsidRPr="00445472" w:rsidRDefault="00591820" w:rsidP="00E33351">
            <w:pPr>
              <w:pStyle w:val="TEKSTIIII"/>
              <w:ind w:firstLine="0"/>
              <w:rPr>
                <w:rFonts w:cs="Arial"/>
                <w:sz w:val="18"/>
                <w:szCs w:val="18"/>
              </w:rPr>
            </w:pPr>
            <w:r w:rsidRPr="00445472">
              <w:rPr>
                <w:rFonts w:cs="Arial"/>
                <w:sz w:val="18"/>
                <w:szCs w:val="18"/>
              </w:rPr>
              <w:t>Masat për të parandaluar ose kontrolluar futjen e ndotësve të burimeve.</w:t>
            </w:r>
          </w:p>
        </w:tc>
      </w:tr>
      <w:tr w:rsidR="00591820" w:rsidRPr="00445472" w14:paraId="7C809CEB" w14:textId="77777777" w:rsidTr="002A1F08">
        <w:trPr>
          <w:trHeight w:val="373"/>
        </w:trPr>
        <w:tc>
          <w:tcPr>
            <w:tcW w:w="377" w:type="dxa"/>
            <w:shd w:val="clear" w:color="auto" w:fill="auto"/>
            <w:vAlign w:val="center"/>
          </w:tcPr>
          <w:p w14:paraId="7BF38B3A" w14:textId="77777777" w:rsidR="00591820" w:rsidRPr="00445472" w:rsidRDefault="00591820" w:rsidP="00E33351">
            <w:pPr>
              <w:pStyle w:val="TEKSTIIII"/>
              <w:ind w:firstLine="0"/>
              <w:rPr>
                <w:rFonts w:cs="Arial"/>
                <w:sz w:val="18"/>
                <w:szCs w:val="18"/>
              </w:rPr>
            </w:pPr>
            <w:r w:rsidRPr="00445472">
              <w:rPr>
                <w:rFonts w:cs="Arial"/>
                <w:sz w:val="18"/>
                <w:szCs w:val="18"/>
              </w:rPr>
              <w:t>i)</w:t>
            </w:r>
          </w:p>
        </w:tc>
        <w:tc>
          <w:tcPr>
            <w:tcW w:w="9111" w:type="dxa"/>
            <w:shd w:val="clear" w:color="auto" w:fill="auto"/>
            <w:vAlign w:val="center"/>
          </w:tcPr>
          <w:p w14:paraId="49311F0A" w14:textId="77777777" w:rsidR="00591820" w:rsidRPr="00445472" w:rsidRDefault="00591820" w:rsidP="00E33351">
            <w:pPr>
              <w:pStyle w:val="TEKSTIIII"/>
              <w:ind w:firstLine="0"/>
              <w:rPr>
                <w:rFonts w:cs="Arial"/>
                <w:sz w:val="18"/>
                <w:szCs w:val="18"/>
              </w:rPr>
            </w:pPr>
            <w:r w:rsidRPr="00445472">
              <w:rPr>
                <w:rFonts w:cs="Arial"/>
                <w:sz w:val="18"/>
                <w:szCs w:val="18"/>
              </w:rPr>
              <w:t>Masat për çdo ndikim tjetër të pafavorshëm dhe të rëndësishëm për statusin e ujit të identifikuar në nenin 5 në shtojcën II, veçanërisht masat për sigurimin e përputhshmërisë së kushteve hidromorfologjike të trupave ujorë me arritjen e statusit të kërkuar ekologjik ose kushteve të mundshme ekologjike për trupat ujorë të përcaktuar si artificialë ose tepër të modifikuar.</w:t>
            </w:r>
          </w:p>
        </w:tc>
      </w:tr>
      <w:tr w:rsidR="00591820" w:rsidRPr="00445472" w14:paraId="7673B340" w14:textId="77777777" w:rsidTr="002A1F08">
        <w:trPr>
          <w:trHeight w:val="373"/>
        </w:trPr>
        <w:tc>
          <w:tcPr>
            <w:tcW w:w="377" w:type="dxa"/>
            <w:shd w:val="clear" w:color="auto" w:fill="auto"/>
            <w:vAlign w:val="center"/>
          </w:tcPr>
          <w:p w14:paraId="6D10DEDA" w14:textId="77777777" w:rsidR="00591820" w:rsidRPr="00445472" w:rsidRDefault="00591820" w:rsidP="00E33351">
            <w:pPr>
              <w:pStyle w:val="TEKSTIIII"/>
              <w:ind w:firstLine="0"/>
              <w:rPr>
                <w:rFonts w:cs="Arial"/>
                <w:sz w:val="18"/>
                <w:szCs w:val="18"/>
              </w:rPr>
            </w:pPr>
            <w:r w:rsidRPr="00445472">
              <w:rPr>
                <w:rFonts w:cs="Arial"/>
                <w:sz w:val="18"/>
                <w:szCs w:val="18"/>
              </w:rPr>
              <w:t>j)</w:t>
            </w:r>
          </w:p>
        </w:tc>
        <w:tc>
          <w:tcPr>
            <w:tcW w:w="9111" w:type="dxa"/>
            <w:shd w:val="clear" w:color="auto" w:fill="auto"/>
            <w:vAlign w:val="center"/>
          </w:tcPr>
          <w:p w14:paraId="3B423839" w14:textId="77777777" w:rsidR="00591820" w:rsidRPr="00445472" w:rsidRDefault="00591820" w:rsidP="00E33351">
            <w:pPr>
              <w:pStyle w:val="TEKSTIIII"/>
              <w:ind w:firstLine="0"/>
              <w:rPr>
                <w:rFonts w:cs="Arial"/>
                <w:sz w:val="18"/>
                <w:szCs w:val="18"/>
              </w:rPr>
            </w:pPr>
            <w:r w:rsidRPr="00445472">
              <w:rPr>
                <w:rFonts w:cs="Arial"/>
                <w:sz w:val="18"/>
                <w:szCs w:val="18"/>
              </w:rPr>
              <w:t>Ndalimi i shkarkimeve të drejtpërdrejta të ndotësve në ujërat nëntokësorë.</w:t>
            </w:r>
          </w:p>
        </w:tc>
      </w:tr>
      <w:tr w:rsidR="00591820" w:rsidRPr="00445472" w14:paraId="703030EE" w14:textId="77777777" w:rsidTr="002A1F08">
        <w:trPr>
          <w:trHeight w:val="373"/>
        </w:trPr>
        <w:tc>
          <w:tcPr>
            <w:tcW w:w="377" w:type="dxa"/>
            <w:shd w:val="clear" w:color="auto" w:fill="auto"/>
            <w:vAlign w:val="center"/>
          </w:tcPr>
          <w:p w14:paraId="4FB0A891" w14:textId="77777777" w:rsidR="00591820" w:rsidRPr="00445472" w:rsidRDefault="00591820" w:rsidP="00E33351">
            <w:pPr>
              <w:pStyle w:val="TEKSTIIII"/>
              <w:ind w:firstLine="0"/>
              <w:rPr>
                <w:rFonts w:cs="Arial"/>
                <w:sz w:val="18"/>
                <w:szCs w:val="18"/>
              </w:rPr>
            </w:pPr>
            <w:r w:rsidRPr="00445472">
              <w:rPr>
                <w:rFonts w:cs="Arial"/>
                <w:sz w:val="18"/>
                <w:szCs w:val="18"/>
              </w:rPr>
              <w:t>k)</w:t>
            </w:r>
          </w:p>
        </w:tc>
        <w:tc>
          <w:tcPr>
            <w:tcW w:w="9111" w:type="dxa"/>
            <w:shd w:val="clear" w:color="auto" w:fill="auto"/>
            <w:vAlign w:val="center"/>
          </w:tcPr>
          <w:p w14:paraId="473FA881" w14:textId="77777777" w:rsidR="00591820" w:rsidRPr="00445472" w:rsidRDefault="00591820" w:rsidP="00E33351">
            <w:pPr>
              <w:pStyle w:val="TEKSTIIII"/>
              <w:ind w:firstLine="0"/>
              <w:rPr>
                <w:rFonts w:cs="Arial"/>
                <w:sz w:val="18"/>
                <w:szCs w:val="18"/>
              </w:rPr>
            </w:pPr>
            <w:r w:rsidRPr="00445472">
              <w:rPr>
                <w:rFonts w:cs="Arial"/>
                <w:sz w:val="18"/>
                <w:szCs w:val="18"/>
              </w:rPr>
              <w:t>Masat për eliminimin e ndotjes së ujërave sipërfaqësorë nga substancat e specifikuara në listën e substancave prioritare (neni 116)</w:t>
            </w:r>
          </w:p>
        </w:tc>
      </w:tr>
      <w:tr w:rsidR="00591820" w:rsidRPr="00445472" w14:paraId="3A45AD60" w14:textId="77777777" w:rsidTr="002A1F08">
        <w:trPr>
          <w:trHeight w:val="373"/>
        </w:trPr>
        <w:tc>
          <w:tcPr>
            <w:tcW w:w="377" w:type="dxa"/>
            <w:shd w:val="clear" w:color="auto" w:fill="auto"/>
            <w:vAlign w:val="center"/>
          </w:tcPr>
          <w:p w14:paraId="03D21306" w14:textId="77777777" w:rsidR="00591820" w:rsidRPr="00445472" w:rsidRDefault="00591820" w:rsidP="00E33351">
            <w:pPr>
              <w:pStyle w:val="TEKSTIIII"/>
              <w:ind w:firstLine="0"/>
              <w:rPr>
                <w:rFonts w:cs="Arial"/>
                <w:sz w:val="18"/>
                <w:szCs w:val="18"/>
              </w:rPr>
            </w:pPr>
            <w:r w:rsidRPr="00445472">
              <w:rPr>
                <w:rFonts w:cs="Arial"/>
                <w:sz w:val="18"/>
                <w:szCs w:val="18"/>
              </w:rPr>
              <w:t>l)</w:t>
            </w:r>
          </w:p>
        </w:tc>
        <w:tc>
          <w:tcPr>
            <w:tcW w:w="9111" w:type="dxa"/>
            <w:shd w:val="clear" w:color="auto" w:fill="auto"/>
            <w:vAlign w:val="center"/>
          </w:tcPr>
          <w:p w14:paraId="2D308AB3" w14:textId="77777777" w:rsidR="00591820" w:rsidRPr="00445472" w:rsidRDefault="00591820" w:rsidP="00E33351">
            <w:pPr>
              <w:pStyle w:val="TEKSTIIII"/>
              <w:ind w:firstLine="0"/>
              <w:rPr>
                <w:rFonts w:cs="Arial"/>
                <w:sz w:val="18"/>
                <w:szCs w:val="18"/>
              </w:rPr>
            </w:pPr>
            <w:r w:rsidRPr="00445472">
              <w:rPr>
                <w:rFonts w:cs="Arial"/>
                <w:sz w:val="18"/>
                <w:szCs w:val="18"/>
              </w:rPr>
              <w:t>Masat e kërkuara për parandalimin e humbjeve domethënëse të ndotësve nga instalimet teknike, dhe për parandalimin dhe/ose reduktimin e incidenteve të ndotjes aksidentale si rezultat i përmbytjeve për shembull.</w:t>
            </w:r>
          </w:p>
        </w:tc>
      </w:tr>
      <w:tr w:rsidR="00591820" w:rsidRPr="00445472" w14:paraId="410CFA0D" w14:textId="77777777" w:rsidTr="002A1F08">
        <w:tc>
          <w:tcPr>
            <w:tcW w:w="9488" w:type="dxa"/>
            <w:gridSpan w:val="2"/>
            <w:shd w:val="clear" w:color="auto" w:fill="auto"/>
            <w:vAlign w:val="center"/>
          </w:tcPr>
          <w:p w14:paraId="1E190622" w14:textId="77777777" w:rsidR="00591820" w:rsidRPr="00445472" w:rsidRDefault="00591820" w:rsidP="00E33351">
            <w:pPr>
              <w:pStyle w:val="TEKSTIIII"/>
              <w:ind w:firstLine="0"/>
              <w:rPr>
                <w:b/>
                <w:sz w:val="18"/>
                <w:szCs w:val="18"/>
              </w:rPr>
            </w:pPr>
            <w:r w:rsidRPr="00445472">
              <w:rPr>
                <w:b/>
                <w:sz w:val="18"/>
                <w:szCs w:val="18"/>
              </w:rPr>
              <w:t>Masat Plotësuese</w:t>
            </w:r>
            <w:r w:rsidRPr="00445472">
              <w:rPr>
                <w:rStyle w:val="FootnoteReference"/>
                <w:rFonts w:ascii="Garamond" w:hAnsi="Garamond"/>
                <w:b/>
                <w:color w:val="auto"/>
                <w:sz w:val="18"/>
                <w:szCs w:val="18"/>
              </w:rPr>
              <w:t xml:space="preserve"> </w:t>
            </w:r>
            <w:r w:rsidRPr="00445472">
              <w:rPr>
                <w:rStyle w:val="FootnoteReference"/>
                <w:rFonts w:ascii="Garamond" w:hAnsi="Garamond"/>
                <w:b/>
                <w:color w:val="auto"/>
                <w:sz w:val="18"/>
              </w:rPr>
              <w:footnoteReference w:id="205"/>
            </w:r>
          </w:p>
        </w:tc>
      </w:tr>
      <w:tr w:rsidR="00591820" w:rsidRPr="00445472" w14:paraId="51757600" w14:textId="77777777" w:rsidTr="002A1F08">
        <w:tc>
          <w:tcPr>
            <w:tcW w:w="9488" w:type="dxa"/>
            <w:gridSpan w:val="2"/>
            <w:shd w:val="clear" w:color="auto" w:fill="auto"/>
            <w:vAlign w:val="center"/>
          </w:tcPr>
          <w:p w14:paraId="29E1AB4D" w14:textId="56AD6BDB" w:rsidR="00591820" w:rsidRPr="00445472" w:rsidRDefault="00591820" w:rsidP="00973771">
            <w:pPr>
              <w:pStyle w:val="TEKSTIIII"/>
              <w:ind w:firstLine="0"/>
              <w:rPr>
                <w:sz w:val="17"/>
                <w:szCs w:val="17"/>
              </w:rPr>
            </w:pPr>
            <w:r w:rsidRPr="00445472">
              <w:rPr>
                <w:sz w:val="18"/>
                <w:szCs w:val="18"/>
              </w:rPr>
              <w:t>Këto masa përfshijnë</w:t>
            </w:r>
            <w:r w:rsidR="001F075B" w:rsidRPr="00445472">
              <w:rPr>
                <w:sz w:val="18"/>
                <w:szCs w:val="18"/>
              </w:rPr>
              <w:t>:</w:t>
            </w:r>
            <w:r w:rsidRPr="00445472">
              <w:rPr>
                <w:sz w:val="18"/>
                <w:szCs w:val="18"/>
              </w:rPr>
              <w:t xml:space="preserve"> i</w:t>
            </w:r>
            <w:r w:rsidR="00595AA9" w:rsidRPr="00445472">
              <w:rPr>
                <w:sz w:val="18"/>
                <w:szCs w:val="18"/>
              </w:rPr>
              <w:t>.</w:t>
            </w:r>
            <w:r w:rsidRPr="00445472">
              <w:rPr>
                <w:sz w:val="18"/>
                <w:szCs w:val="18"/>
              </w:rPr>
              <w:t xml:space="preserve"> instrumente legjislativ</w:t>
            </w:r>
            <w:r w:rsidR="00973771">
              <w:rPr>
                <w:sz w:val="18"/>
                <w:szCs w:val="18"/>
              </w:rPr>
              <w:t>e</w:t>
            </w:r>
            <w:r w:rsidR="00595AA9" w:rsidRPr="00445472">
              <w:rPr>
                <w:sz w:val="18"/>
                <w:szCs w:val="18"/>
              </w:rPr>
              <w:t>;</w:t>
            </w:r>
            <w:r w:rsidRPr="00445472">
              <w:rPr>
                <w:sz w:val="18"/>
                <w:szCs w:val="18"/>
              </w:rPr>
              <w:t xml:space="preserve"> ii</w:t>
            </w:r>
            <w:r w:rsidR="00595AA9" w:rsidRPr="00445472">
              <w:rPr>
                <w:sz w:val="18"/>
                <w:szCs w:val="18"/>
              </w:rPr>
              <w:t>.</w:t>
            </w:r>
            <w:r w:rsidRPr="00445472">
              <w:rPr>
                <w:sz w:val="18"/>
                <w:szCs w:val="18"/>
              </w:rPr>
              <w:t xml:space="preserve"> instrumente administrativ</w:t>
            </w:r>
            <w:r w:rsidR="00973771">
              <w:rPr>
                <w:sz w:val="18"/>
                <w:szCs w:val="18"/>
              </w:rPr>
              <w:t>e</w:t>
            </w:r>
            <w:r w:rsidRPr="00445472">
              <w:rPr>
                <w:sz w:val="18"/>
                <w:szCs w:val="18"/>
              </w:rPr>
              <w:t>; iii</w:t>
            </w:r>
            <w:r w:rsidR="00595AA9" w:rsidRPr="00445472">
              <w:rPr>
                <w:sz w:val="18"/>
                <w:szCs w:val="18"/>
              </w:rPr>
              <w:t>.</w:t>
            </w:r>
            <w:r w:rsidRPr="00445472">
              <w:rPr>
                <w:sz w:val="18"/>
                <w:szCs w:val="18"/>
              </w:rPr>
              <w:t xml:space="preserve"> instrumente ekonomik</w:t>
            </w:r>
            <w:r w:rsidR="00973771">
              <w:rPr>
                <w:sz w:val="18"/>
                <w:szCs w:val="18"/>
              </w:rPr>
              <w:t>e</w:t>
            </w:r>
            <w:r w:rsidRPr="00445472">
              <w:rPr>
                <w:sz w:val="18"/>
                <w:szCs w:val="18"/>
              </w:rPr>
              <w:t xml:space="preserve"> dhe fiskalë; iv</w:t>
            </w:r>
            <w:r w:rsidR="00595AA9" w:rsidRPr="00445472">
              <w:rPr>
                <w:sz w:val="18"/>
                <w:szCs w:val="18"/>
              </w:rPr>
              <w:t>.</w:t>
            </w:r>
            <w:r w:rsidRPr="00445472">
              <w:rPr>
                <w:sz w:val="18"/>
                <w:szCs w:val="18"/>
              </w:rPr>
              <w:t xml:space="preserve"> marrëveshjet e negociuara mjedisore; (v) kontrollet e emetimeve; (vi) kodet e praktikës së mirë; (vii) rikrijimi dhe restaurimi i ligatinave; viii</w:t>
            </w:r>
            <w:r w:rsidR="00595AA9" w:rsidRPr="00445472">
              <w:rPr>
                <w:sz w:val="18"/>
                <w:szCs w:val="18"/>
              </w:rPr>
              <w:t>.</w:t>
            </w:r>
            <w:r w:rsidRPr="00445472">
              <w:rPr>
                <w:sz w:val="18"/>
                <w:szCs w:val="18"/>
              </w:rPr>
              <w:t xml:space="preserve"> kontrollet e nxjerrjeve; ix</w:t>
            </w:r>
            <w:r w:rsidR="00595AA9" w:rsidRPr="00445472">
              <w:rPr>
                <w:sz w:val="18"/>
                <w:szCs w:val="18"/>
              </w:rPr>
              <w:t>.</w:t>
            </w:r>
            <w:r w:rsidRPr="00445472">
              <w:rPr>
                <w:sz w:val="18"/>
                <w:szCs w:val="18"/>
              </w:rPr>
              <w:t xml:space="preserve"> masat për menaxhimin e kërkesave, ndër të tjera, nxitjen e prodhimit të përshtatur bujqësor si të mbjellat që kërkojnë pak ujë në zonat e thata; x</w:t>
            </w:r>
            <w:r w:rsidR="00595AA9" w:rsidRPr="00445472">
              <w:rPr>
                <w:sz w:val="18"/>
                <w:szCs w:val="18"/>
              </w:rPr>
              <w:t>.</w:t>
            </w:r>
            <w:r w:rsidRPr="00445472">
              <w:rPr>
                <w:sz w:val="18"/>
                <w:szCs w:val="18"/>
              </w:rPr>
              <w:t xml:space="preserve"> eficienca dhe ripërdorimi; xi</w:t>
            </w:r>
            <w:r w:rsidR="00595AA9" w:rsidRPr="00445472">
              <w:rPr>
                <w:sz w:val="18"/>
                <w:szCs w:val="18"/>
              </w:rPr>
              <w:t>.</w:t>
            </w:r>
            <w:r w:rsidRPr="00445472">
              <w:rPr>
                <w:sz w:val="18"/>
                <w:szCs w:val="18"/>
              </w:rPr>
              <w:t xml:space="preserve"> projektet ndërtimore; xii</w:t>
            </w:r>
            <w:r w:rsidR="00595AA9" w:rsidRPr="00445472">
              <w:rPr>
                <w:sz w:val="18"/>
                <w:szCs w:val="18"/>
              </w:rPr>
              <w:t xml:space="preserve">. impiantet e shkripëzimit; </w:t>
            </w:r>
            <w:r w:rsidRPr="00445472">
              <w:rPr>
                <w:sz w:val="18"/>
                <w:szCs w:val="18"/>
              </w:rPr>
              <w:t>xiii</w:t>
            </w:r>
            <w:r w:rsidR="00595AA9" w:rsidRPr="00445472">
              <w:rPr>
                <w:sz w:val="18"/>
                <w:szCs w:val="18"/>
              </w:rPr>
              <w:t>.</w:t>
            </w:r>
            <w:r w:rsidRPr="00445472">
              <w:rPr>
                <w:sz w:val="18"/>
                <w:szCs w:val="18"/>
              </w:rPr>
              <w:t xml:space="preserve"> projektet rehabilituese; xiv</w:t>
            </w:r>
            <w:r w:rsidR="00595AA9" w:rsidRPr="00445472">
              <w:rPr>
                <w:sz w:val="18"/>
                <w:szCs w:val="18"/>
              </w:rPr>
              <w:t>.</w:t>
            </w:r>
            <w:r w:rsidRPr="00445472">
              <w:rPr>
                <w:sz w:val="18"/>
                <w:szCs w:val="18"/>
              </w:rPr>
              <w:t xml:space="preserve"> mbu</w:t>
            </w:r>
            <w:r w:rsidR="00595AA9" w:rsidRPr="00445472">
              <w:rPr>
                <w:sz w:val="18"/>
                <w:szCs w:val="18"/>
              </w:rPr>
              <w:t xml:space="preserve">shja artificiale e akuiferëve; </w:t>
            </w:r>
            <w:r w:rsidRPr="00445472">
              <w:rPr>
                <w:sz w:val="18"/>
                <w:szCs w:val="18"/>
              </w:rPr>
              <w:t>xv</w:t>
            </w:r>
            <w:r w:rsidR="00595AA9" w:rsidRPr="00445472">
              <w:rPr>
                <w:sz w:val="18"/>
                <w:szCs w:val="18"/>
              </w:rPr>
              <w:t>.</w:t>
            </w:r>
            <w:r w:rsidRPr="00445472">
              <w:rPr>
                <w:sz w:val="18"/>
                <w:szCs w:val="18"/>
              </w:rPr>
              <w:t xml:space="preserve"> projektet edukuese; xvi</w:t>
            </w:r>
            <w:r w:rsidR="00595AA9" w:rsidRPr="00445472">
              <w:rPr>
                <w:sz w:val="18"/>
                <w:szCs w:val="18"/>
              </w:rPr>
              <w:t>.</w:t>
            </w:r>
            <w:r w:rsidRPr="00445472">
              <w:rPr>
                <w:sz w:val="18"/>
                <w:szCs w:val="18"/>
              </w:rPr>
              <w:t xml:space="preserve"> projektet kërkimore, zhvillimore dhe demonstruese.</w:t>
            </w:r>
          </w:p>
        </w:tc>
      </w:tr>
    </w:tbl>
    <w:p w14:paraId="223CAD5A" w14:textId="77777777" w:rsidR="00591820" w:rsidRPr="00445472" w:rsidRDefault="00591820" w:rsidP="00E33351">
      <w:pPr>
        <w:pStyle w:val="TEKSTIIII"/>
        <w:rPr>
          <w:b/>
        </w:rPr>
      </w:pPr>
    </w:p>
    <w:p w14:paraId="0CD316E3" w14:textId="54AAB9C0" w:rsidR="00591820" w:rsidRPr="00445472" w:rsidRDefault="00591820" w:rsidP="00E33351">
      <w:pPr>
        <w:pStyle w:val="TEKSTIIII"/>
        <w:rPr>
          <w:shd w:val="clear" w:color="auto" w:fill="FFFFFF"/>
        </w:rPr>
      </w:pPr>
      <w:r w:rsidRPr="00445472">
        <w:rPr>
          <w:shd w:val="clear" w:color="auto" w:fill="FFFFFF"/>
        </w:rPr>
        <w:t xml:space="preserve">Me qëllim realizimin e vizionit për një periudhë 10-vjeçare e në vazhdim për sektorin e ujit, janë identifikuar qëllime të cilat </w:t>
      </w:r>
      <w:r w:rsidR="00950A66">
        <w:rPr>
          <w:shd w:val="clear" w:color="auto" w:fill="FFFFFF"/>
        </w:rPr>
        <w:t>janë shprehur në funksion të tri</w:t>
      </w:r>
      <w:r w:rsidRPr="00445472">
        <w:rPr>
          <w:shd w:val="clear" w:color="auto" w:fill="FFFFFF"/>
        </w:rPr>
        <w:t xml:space="preserve"> shtyllave të sektorit të ujit: </w:t>
      </w:r>
      <w:r w:rsidRPr="00445472">
        <w:rPr>
          <w:b/>
          <w:shd w:val="clear" w:color="auto" w:fill="FFFFFF"/>
        </w:rPr>
        <w:t>përdorimi i ujit, mbrojtja e ujit dhe mbrojtja nga uji</w:t>
      </w:r>
      <w:r w:rsidRPr="00445472">
        <w:rPr>
          <w:shd w:val="clear" w:color="auto" w:fill="FFFFFF"/>
        </w:rPr>
        <w:t xml:space="preserve">. Këto tri shtylla dhe qëllimet e tyre përkatëse përfshihen në Objektivat e Cilësisë së Mjedisit për Basenin Ujor, siç përshkruhet në Seksionin 10. </w:t>
      </w:r>
    </w:p>
    <w:p w14:paraId="1921B6FE" w14:textId="4C1DE1FB" w:rsidR="00591820" w:rsidRPr="00445472" w:rsidRDefault="00591820" w:rsidP="00E33351">
      <w:pPr>
        <w:pStyle w:val="TEKSTIIII"/>
        <w:rPr>
          <w:shd w:val="clear" w:color="auto" w:fill="FFFFFF"/>
        </w:rPr>
      </w:pPr>
      <w:r w:rsidRPr="00445472">
        <w:rPr>
          <w:shd w:val="clear" w:color="auto" w:fill="FFFFFF"/>
        </w:rPr>
        <w:t xml:space="preserve">Për arritjen e objektivave për sektorin e ujit në Basenin Ujor </w:t>
      </w:r>
      <w:r w:rsidR="007E76E3" w:rsidRPr="00445472">
        <w:rPr>
          <w:shd w:val="clear" w:color="auto" w:fill="FFFFFF"/>
        </w:rPr>
        <w:t>Drin–Bunë</w:t>
      </w:r>
      <w:r w:rsidRPr="00445472">
        <w:rPr>
          <w:shd w:val="clear" w:color="auto" w:fill="FFFFFF"/>
        </w:rPr>
        <w:t>, gjatë dekadës së ardhshme dhe në vazhdim, janë propozuar një sërë masash të nevojshme në përputhje me DKU-në e BE-së, e cila pasqyron edhe Planin Kombëtar për Sektorin e Ujit (PKSU)</w:t>
      </w:r>
      <w:r w:rsidRPr="00445472">
        <w:rPr>
          <w:rStyle w:val="FootnoteReference"/>
          <w:rFonts w:ascii="Garamond" w:hAnsi="Garamond"/>
          <w:color w:val="auto"/>
          <w:shd w:val="clear" w:color="auto" w:fill="FFFFFF"/>
        </w:rPr>
        <w:footnoteReference w:id="206"/>
      </w:r>
      <w:r w:rsidRPr="00445472">
        <w:rPr>
          <w:shd w:val="clear" w:color="auto" w:fill="FFFFFF"/>
        </w:rPr>
        <w:t xml:space="preserve">. </w:t>
      </w:r>
    </w:p>
    <w:p w14:paraId="3D75EE6A" w14:textId="2DD5E260" w:rsidR="00591820" w:rsidRPr="00445472" w:rsidRDefault="00591820" w:rsidP="00E33351">
      <w:pPr>
        <w:pStyle w:val="TEKSTIIII"/>
      </w:pPr>
      <w:r w:rsidRPr="00445472">
        <w:rPr>
          <w:shd w:val="clear" w:color="auto" w:fill="FFFFFF"/>
        </w:rPr>
        <w:t xml:space="preserve">Këto masa për Basenin Ujor </w:t>
      </w:r>
      <w:r w:rsidR="007E76E3" w:rsidRPr="00445472">
        <w:rPr>
          <w:shd w:val="clear" w:color="auto" w:fill="FFFFFF"/>
        </w:rPr>
        <w:t>Drin–Bunë</w:t>
      </w:r>
      <w:r w:rsidRPr="00445472">
        <w:rPr>
          <w:shd w:val="clear" w:color="auto" w:fill="FFFFFF"/>
        </w:rPr>
        <w:t>, ndahen në dy kategori:</w:t>
      </w:r>
    </w:p>
    <w:p w14:paraId="70481E90" w14:textId="7DEC8AD4" w:rsidR="00591820" w:rsidRPr="00445472" w:rsidRDefault="008279F2" w:rsidP="00E33351">
      <w:pPr>
        <w:pStyle w:val="TEKSTIIII"/>
      </w:pPr>
      <w:r>
        <w:t xml:space="preserve">- </w:t>
      </w:r>
      <w:r w:rsidR="00591820" w:rsidRPr="00445472">
        <w:t>Masat bazë, të cilat mund të përfshijnë studime konkrete, dhe që mund të bashkëfinancohen ose mbështeten nga buxheti i shtetit, donatorët dhe fondet vendore.</w:t>
      </w:r>
    </w:p>
    <w:p w14:paraId="19C97426" w14:textId="7696DB9A" w:rsidR="00591820" w:rsidRPr="00445472" w:rsidRDefault="008279F2" w:rsidP="00E33351">
      <w:pPr>
        <w:pStyle w:val="TEKSTIIII"/>
      </w:pPr>
      <w:r>
        <w:t xml:space="preserve">- </w:t>
      </w:r>
      <w:r w:rsidR="00591820" w:rsidRPr="00445472">
        <w:t>Masat plotësuese, të cilat mund të përfshijnë studimet e nevojshme bazë ose të fizibilitetit, të cilat mund të mbështeten nga buxheti i Shtetit, donatorët ose fondet vendore.</w:t>
      </w:r>
    </w:p>
    <w:p w14:paraId="3399C98D" w14:textId="14739510" w:rsidR="00591820" w:rsidRPr="00445472" w:rsidRDefault="008279F2" w:rsidP="00E33351">
      <w:pPr>
        <w:pStyle w:val="TEKSTIIII"/>
      </w:pPr>
      <w:r>
        <w:t xml:space="preserve">- </w:t>
      </w:r>
      <w:r w:rsidR="00591820" w:rsidRPr="00445472">
        <w:t xml:space="preserve">Masat janë hartuar në përputhje </w:t>
      </w:r>
      <w:r w:rsidR="00504992" w:rsidRPr="00445472">
        <w:t>me objektivat mjedisorë (sek</w:t>
      </w:r>
      <w:r w:rsidR="00591820" w:rsidRPr="00445472">
        <w:t>sioni 10) duke pasqyruar shtatë kategoritë e ndryshme të OM-ve, ku secila prej tyre përfshin masa bazë dhe plotësuese.</w:t>
      </w:r>
    </w:p>
    <w:p w14:paraId="2DD5F2BA" w14:textId="0A3AE41A" w:rsidR="00591820" w:rsidRPr="00445472" w:rsidRDefault="00E33351" w:rsidP="00E33351">
      <w:pPr>
        <w:pStyle w:val="TEKSTIIII"/>
      </w:pPr>
      <w:r w:rsidRPr="00445472">
        <w:t xml:space="preserve">1. </w:t>
      </w:r>
      <w:r w:rsidR="00591820" w:rsidRPr="00445472">
        <w:t>Promovimi i përdorimit të qëndrueshëm të burimeve ujore, shpërndarjes së drejtë, maksimizimit të përfitimeve ekonomike duke respektuar kushtet mjedisore dhe parimet e menaxhimit të qëndrueshëm, që përfshijnë masa për:</w:t>
      </w:r>
    </w:p>
    <w:p w14:paraId="03CD8E82" w14:textId="549969F6" w:rsidR="00591820" w:rsidRPr="00445472" w:rsidRDefault="00E33351" w:rsidP="00E33351">
      <w:pPr>
        <w:pStyle w:val="TEKSTIIII"/>
      </w:pPr>
      <w:r w:rsidRPr="00445472">
        <w:t xml:space="preserve">a) </w:t>
      </w:r>
      <w:r w:rsidR="00591820" w:rsidRPr="00445472">
        <w:t>Përmirësimin e furnizimit me ujë;</w:t>
      </w:r>
    </w:p>
    <w:p w14:paraId="7FE0C8E5" w14:textId="1C82DBE9" w:rsidR="00591820" w:rsidRPr="00445472" w:rsidRDefault="00E33351" w:rsidP="00E33351">
      <w:pPr>
        <w:pStyle w:val="TEKSTIIII"/>
      </w:pPr>
      <w:r w:rsidRPr="00445472">
        <w:t xml:space="preserve">b) </w:t>
      </w:r>
      <w:r w:rsidR="00591820" w:rsidRPr="00445472">
        <w:t>Përmirësimin e grumbullimit të ujërave të ndotur;</w:t>
      </w:r>
    </w:p>
    <w:p w14:paraId="6D87F7D1" w14:textId="7097EBEC" w:rsidR="00591820" w:rsidRPr="00445472" w:rsidRDefault="00E33351" w:rsidP="00E33351">
      <w:pPr>
        <w:pStyle w:val="TEKSTIIII"/>
      </w:pPr>
      <w:r w:rsidRPr="00445472">
        <w:t xml:space="preserve">c) </w:t>
      </w:r>
      <w:r w:rsidR="00591820" w:rsidRPr="00445472">
        <w:t>Ujitjen e tokave bujqësore;</w:t>
      </w:r>
    </w:p>
    <w:p w14:paraId="143B0C3B" w14:textId="0F42AFD4" w:rsidR="00591820" w:rsidRPr="00445472" w:rsidRDefault="00E33351" w:rsidP="00E33351">
      <w:pPr>
        <w:pStyle w:val="TEKSTIIII"/>
      </w:pPr>
      <w:r w:rsidRPr="00445472">
        <w:t xml:space="preserve">d) </w:t>
      </w:r>
      <w:r w:rsidR="00591820" w:rsidRPr="00445472">
        <w:t>Përmirësimin e rrjetit të kullimit për tokat e ujitura bujqësore;</w:t>
      </w:r>
    </w:p>
    <w:p w14:paraId="3850FE4A" w14:textId="5BA5B272" w:rsidR="00591820" w:rsidRPr="00445472" w:rsidRDefault="00E33351" w:rsidP="00E33351">
      <w:pPr>
        <w:pStyle w:val="TEKSTIIII"/>
      </w:pPr>
      <w:r w:rsidRPr="00445472">
        <w:t xml:space="preserve">e) </w:t>
      </w:r>
      <w:r w:rsidR="00591820" w:rsidRPr="00445472">
        <w:t>Zhvillimin e qëndrueshëm bujqësor në zonat e përcaktuara;</w:t>
      </w:r>
    </w:p>
    <w:p w14:paraId="163821F8" w14:textId="5E1D6290" w:rsidR="00591820" w:rsidRPr="00445472" w:rsidRDefault="00E33351" w:rsidP="00E33351">
      <w:pPr>
        <w:pStyle w:val="TEKSTIIII"/>
      </w:pPr>
      <w:r w:rsidRPr="00445472">
        <w:t xml:space="preserve">f) </w:t>
      </w:r>
      <w:r w:rsidR="00591820" w:rsidRPr="00445472">
        <w:t>Përdorimin e energjisë hidrike potenciale;</w:t>
      </w:r>
    </w:p>
    <w:p w14:paraId="027BECB5" w14:textId="4B03676C" w:rsidR="00591820" w:rsidRPr="00445472" w:rsidRDefault="00E33351" w:rsidP="00E33351">
      <w:pPr>
        <w:pStyle w:val="TEKSTIIII"/>
      </w:pPr>
      <w:r w:rsidRPr="00445472">
        <w:t xml:space="preserve">g) </w:t>
      </w:r>
      <w:r w:rsidR="00591820" w:rsidRPr="00445472">
        <w:t>Përmbushjen e kërkesave industriale për ujë.</w:t>
      </w:r>
    </w:p>
    <w:p w14:paraId="67348569" w14:textId="757975F6" w:rsidR="00591820" w:rsidRPr="00445472" w:rsidRDefault="00E33351" w:rsidP="00E33351">
      <w:pPr>
        <w:pStyle w:val="TEKSTIIII"/>
      </w:pPr>
      <w:r w:rsidRPr="00445472">
        <w:t xml:space="preserve">2. </w:t>
      </w:r>
      <w:r w:rsidR="00591820" w:rsidRPr="00445472">
        <w:t xml:space="preserve">Ruajtja dhe arritja e statusit kimik dhe ekologjik minimal </w:t>
      </w:r>
      <w:r w:rsidR="00D62EDF" w:rsidRPr="00445472">
        <w:t>“</w:t>
      </w:r>
      <w:r w:rsidR="00591820" w:rsidRPr="00445472">
        <w:t>i mirë</w:t>
      </w:r>
      <w:r w:rsidR="00D62EDF" w:rsidRPr="00445472">
        <w:t>”</w:t>
      </w:r>
      <w:r w:rsidR="00591820" w:rsidRPr="00445472">
        <w:t xml:space="preserve"> për trupat ujorë sipërfaqësorë që kanë statusin </w:t>
      </w:r>
      <w:r w:rsidR="00D62EDF" w:rsidRPr="00445472">
        <w:t>“</w:t>
      </w:r>
      <w:r w:rsidR="00591820" w:rsidRPr="00445472">
        <w:t>mesatar</w:t>
      </w:r>
      <w:r w:rsidR="00D62EDF" w:rsidRPr="00445472">
        <w:t>”</w:t>
      </w:r>
      <w:r w:rsidR="00591820" w:rsidRPr="00445472">
        <w:t xml:space="preserve">, </w:t>
      </w:r>
      <w:r w:rsidR="00D62EDF" w:rsidRPr="00445472">
        <w:t>“</w:t>
      </w:r>
      <w:r w:rsidR="00591820" w:rsidRPr="00445472">
        <w:t>i keq</w:t>
      </w:r>
      <w:r w:rsidR="00D62EDF" w:rsidRPr="00445472">
        <w:t>”</w:t>
      </w:r>
      <w:r w:rsidR="00591820" w:rsidRPr="00445472">
        <w:t xml:space="preserve"> ose </w:t>
      </w:r>
      <w:r w:rsidR="00D62EDF" w:rsidRPr="00445472">
        <w:t>“</w:t>
      </w:r>
      <w:r w:rsidR="00591820" w:rsidRPr="00445472">
        <w:t>shumë i keq</w:t>
      </w:r>
      <w:r w:rsidR="00D62EDF" w:rsidRPr="00445472">
        <w:t>”</w:t>
      </w:r>
      <w:r w:rsidR="00591820" w:rsidRPr="00445472">
        <w:t>. (lumenj, liqene, ujëra kalimtare, bregdetare, artificiale, dhe tejet të modifikuar).  Masat specifike do të kenë rezultatet e mëposhtme:</w:t>
      </w:r>
    </w:p>
    <w:p w14:paraId="64EF0D0C" w14:textId="043E9EE0" w:rsidR="00591820" w:rsidRPr="00445472" w:rsidRDefault="00E33351" w:rsidP="00E33351">
      <w:pPr>
        <w:pStyle w:val="TEKSTIIII"/>
      </w:pPr>
      <w:r w:rsidRPr="00445472">
        <w:t xml:space="preserve">a) </w:t>
      </w:r>
      <w:r w:rsidR="00591820" w:rsidRPr="00445472">
        <w:t>Përmirësimi i monitorimit të të gjithë trupave ujorë;</w:t>
      </w:r>
    </w:p>
    <w:p w14:paraId="41D47886" w14:textId="162FB6DE" w:rsidR="00591820" w:rsidRPr="00445472" w:rsidRDefault="00E33351" w:rsidP="00E33351">
      <w:pPr>
        <w:pStyle w:val="TEKSTIIII"/>
      </w:pPr>
      <w:r w:rsidRPr="00445472">
        <w:t xml:space="preserve">b) </w:t>
      </w:r>
      <w:r w:rsidR="00591820" w:rsidRPr="00445472">
        <w:t>Përmirësimi i statusit ekologjik dhe cilësisë kimike për të gjitha llojet e trupave ujorë;</w:t>
      </w:r>
    </w:p>
    <w:p w14:paraId="0F208D7E" w14:textId="0D8C1410" w:rsidR="00591820" w:rsidRPr="00445472" w:rsidRDefault="00E33351" w:rsidP="00E33351">
      <w:pPr>
        <w:pStyle w:val="TEKSTIIII"/>
      </w:pPr>
      <w:r w:rsidRPr="00445472">
        <w:t xml:space="preserve">c) </w:t>
      </w:r>
      <w:r w:rsidR="00591820" w:rsidRPr="00445472">
        <w:t>Prezantimi i praktikave të mira bujqësore, monitorimi dhe vlerësimi;</w:t>
      </w:r>
    </w:p>
    <w:p w14:paraId="6EE0C1F5" w14:textId="27882BDE" w:rsidR="00591820" w:rsidRPr="00445472" w:rsidRDefault="00E33351" w:rsidP="00E33351">
      <w:pPr>
        <w:pStyle w:val="TEKSTIIII"/>
      </w:pPr>
      <w:r w:rsidRPr="00445472">
        <w:t xml:space="preserve">d) </w:t>
      </w:r>
      <w:r w:rsidR="00591820" w:rsidRPr="00445472">
        <w:t>Reduktimi i përdorimit të paligjshëm të inerteve dhe zhavorr lumor;</w:t>
      </w:r>
    </w:p>
    <w:p w14:paraId="3F7DD422" w14:textId="2E07A12A" w:rsidR="00591820" w:rsidRPr="00445472" w:rsidRDefault="00E33351" w:rsidP="00E33351">
      <w:pPr>
        <w:pStyle w:val="TEKSTIIII"/>
      </w:pPr>
      <w:r w:rsidRPr="00445472">
        <w:t xml:space="preserve">e) </w:t>
      </w:r>
      <w:r w:rsidR="00591820" w:rsidRPr="00445472">
        <w:t>Reduktimi i ndotjes nga përdorimi i pesticideve në bujqësi.</w:t>
      </w:r>
    </w:p>
    <w:p w14:paraId="593FE734" w14:textId="75BEA6F7" w:rsidR="00591820" w:rsidRPr="00445472" w:rsidRDefault="00E33351" w:rsidP="00E33351">
      <w:pPr>
        <w:pStyle w:val="TEKSTIIII"/>
      </w:pPr>
      <w:r w:rsidRPr="00445472">
        <w:t xml:space="preserve">3. </w:t>
      </w:r>
      <w:r w:rsidR="00591820" w:rsidRPr="00445472">
        <w:t>Parandalimi i ndotjes për të shmangur uljen e cilësisë së ujërave nëntokësorë dhe për arritjen e një statusi të mirë kimik të TUN-eve, në mbështetje të OM-ve, që kanë dy nën aktivitete:</w:t>
      </w:r>
    </w:p>
    <w:p w14:paraId="0395A158" w14:textId="73B62A78" w:rsidR="00591820" w:rsidRPr="00445472" w:rsidRDefault="00E33351" w:rsidP="00E33351">
      <w:pPr>
        <w:pStyle w:val="TEKSTIIII"/>
      </w:pPr>
      <w:r w:rsidRPr="00445472">
        <w:t xml:space="preserve">a) </w:t>
      </w:r>
      <w:r w:rsidR="00591820" w:rsidRPr="00445472">
        <w:t>Eliminimi/reduktimi i sasisë së substancave dhe nitrateve të rrezikshme që hyjnë në trupat ujorë;</w:t>
      </w:r>
    </w:p>
    <w:p w14:paraId="1E5B4C37" w14:textId="2E882B24" w:rsidR="00591820" w:rsidRPr="00445472" w:rsidRDefault="00E33351" w:rsidP="00E33351">
      <w:pPr>
        <w:pStyle w:val="TEKSTIIII"/>
      </w:pPr>
      <w:r w:rsidRPr="00445472">
        <w:t xml:space="preserve">b) </w:t>
      </w:r>
      <w:r w:rsidR="00591820" w:rsidRPr="00445472">
        <w:t>Rritja e efikasitetit të trajtimit të ujërave të ndotura për të shmangur ndotjen e ujërave nëntokësorë nga burimet urbane dhe industrial të ndotjes.</w:t>
      </w:r>
    </w:p>
    <w:p w14:paraId="2F87AA01" w14:textId="38EBCD22" w:rsidR="00591820" w:rsidRPr="00445472" w:rsidRDefault="00E33351" w:rsidP="00E33351">
      <w:pPr>
        <w:pStyle w:val="TEKSTIIII"/>
      </w:pPr>
      <w:r w:rsidRPr="00445472">
        <w:t xml:space="preserve">4. </w:t>
      </w:r>
      <w:r w:rsidR="00591820" w:rsidRPr="00445472">
        <w:t>Ruajta dhe arritja e cilësisë minimale të mirë për ujërat e larjes (të brendshme, bregdetare dhe kalimtare), e cila kërkon:</w:t>
      </w:r>
    </w:p>
    <w:p w14:paraId="0291C1E8" w14:textId="49296F03" w:rsidR="00591820" w:rsidRPr="00445472" w:rsidRDefault="00E33351" w:rsidP="00E33351">
      <w:pPr>
        <w:pStyle w:val="TEKSTIIII"/>
      </w:pPr>
      <w:r w:rsidRPr="00445472">
        <w:t xml:space="preserve">a) </w:t>
      </w:r>
      <w:r w:rsidR="00591820" w:rsidRPr="00445472">
        <w:t>Rritja e numrit të stacioneve monitoruese bregdetare për elemente mikrobiologjike;</w:t>
      </w:r>
    </w:p>
    <w:p w14:paraId="2CC89715" w14:textId="51902FBB" w:rsidR="00591820" w:rsidRPr="00445472" w:rsidRDefault="00E33351" w:rsidP="00E33351">
      <w:pPr>
        <w:pStyle w:val="TEKSTIIII"/>
      </w:pPr>
      <w:r w:rsidRPr="00445472">
        <w:t xml:space="preserve">b) </w:t>
      </w:r>
      <w:r w:rsidR="00591820" w:rsidRPr="00445472">
        <w:t>Rritja e numrit të parametrave monitorues sipas kërkesave të Direktivave E</w:t>
      </w:r>
      <w:r w:rsidR="00280963" w:rsidRPr="00445472">
        <w:t>v</w:t>
      </w:r>
      <w:r w:rsidR="00591820" w:rsidRPr="00445472">
        <w:t>ropiane.</w:t>
      </w:r>
    </w:p>
    <w:p w14:paraId="2658C425" w14:textId="451D4D40" w:rsidR="00591820" w:rsidRPr="00445472" w:rsidRDefault="00E33351" w:rsidP="00E33351">
      <w:pPr>
        <w:pStyle w:val="TEKSTIIII"/>
      </w:pPr>
      <w:r w:rsidRPr="00445472">
        <w:t xml:space="preserve">5. </w:t>
      </w:r>
      <w:r w:rsidR="00591820" w:rsidRPr="00445472">
        <w:t>Ulja e rrezikut të përmbytjeve dhe humbjeve për jetën, mjetet e jetesës, shëndetin, ekonominë, asetet kulturore dhe mjedisore të personave, bizneseve dhe</w:t>
      </w:r>
      <w:r w:rsidR="00E14B89">
        <w:t xml:space="preserve"> komuniteteve, i cili ka dy nën</w:t>
      </w:r>
      <w:r w:rsidR="00591820" w:rsidRPr="00445472">
        <w:t xml:space="preserve">aktivitete: </w:t>
      </w:r>
    </w:p>
    <w:p w14:paraId="36697CCF" w14:textId="3C1981BF" w:rsidR="00591820" w:rsidRPr="00445472" w:rsidRDefault="00E33351" w:rsidP="00E33351">
      <w:pPr>
        <w:pStyle w:val="TEKSTIIII"/>
      </w:pPr>
      <w:r w:rsidRPr="00445472">
        <w:t xml:space="preserve">a) </w:t>
      </w:r>
      <w:r w:rsidR="00591820" w:rsidRPr="00445472">
        <w:t xml:space="preserve">Ulja e numrit të banorëve të prekur nga përmbytjet;  </w:t>
      </w:r>
    </w:p>
    <w:p w14:paraId="07E5E1FA" w14:textId="64993E27" w:rsidR="00591820" w:rsidRPr="00445472" w:rsidRDefault="00E33351" w:rsidP="00E33351">
      <w:pPr>
        <w:pStyle w:val="TEKSTIIII"/>
      </w:pPr>
      <w:r w:rsidRPr="00445472">
        <w:t xml:space="preserve">b) </w:t>
      </w:r>
      <w:r w:rsidR="00591820" w:rsidRPr="00445472">
        <w:t xml:space="preserve">Reduktimi i tokës bujqësore të prekur nga përmbytjet.  </w:t>
      </w:r>
    </w:p>
    <w:p w14:paraId="191ADFF5" w14:textId="1D2F7ECA" w:rsidR="00591820" w:rsidRPr="00445472" w:rsidRDefault="00E33351" w:rsidP="00E33351">
      <w:pPr>
        <w:pStyle w:val="TEKSTIIII"/>
      </w:pPr>
      <w:r w:rsidRPr="00445472">
        <w:t xml:space="preserve">6. </w:t>
      </w:r>
      <w:r w:rsidR="00591820" w:rsidRPr="00445472">
        <w:t>Përmirësimi i sigurisë së digave të ujitjes.</w:t>
      </w:r>
    </w:p>
    <w:p w14:paraId="370E6CF5" w14:textId="421FDD6E" w:rsidR="00591820" w:rsidRPr="00445472" w:rsidRDefault="00E33351" w:rsidP="00E33351">
      <w:pPr>
        <w:pStyle w:val="TEKSTIIII"/>
      </w:pPr>
      <w:r w:rsidRPr="00445472">
        <w:t xml:space="preserve">7. </w:t>
      </w:r>
      <w:r w:rsidR="00591820" w:rsidRPr="00445472">
        <w:t>Ruajtja dhe/ose ulja e nivelit të erozionit në lumenj, e nevojshme për:</w:t>
      </w:r>
    </w:p>
    <w:p w14:paraId="3F76BA43" w14:textId="55AD24E7" w:rsidR="00591820" w:rsidRPr="00445472" w:rsidRDefault="00E33351" w:rsidP="00E33351">
      <w:pPr>
        <w:pStyle w:val="TEKSTIIII"/>
      </w:pPr>
      <w:r w:rsidRPr="00445472">
        <w:t xml:space="preserve">a) </w:t>
      </w:r>
      <w:r w:rsidR="0097432E" w:rsidRPr="00445472">
        <w:t xml:space="preserve">zona </w:t>
      </w:r>
      <w:r w:rsidR="00591820" w:rsidRPr="00445472">
        <w:t xml:space="preserve">më pak vulnerabël (20% e territorit); </w:t>
      </w:r>
    </w:p>
    <w:p w14:paraId="48D46C37" w14:textId="413B7424" w:rsidR="00591820" w:rsidRPr="00445472" w:rsidRDefault="00E33351" w:rsidP="00E33351">
      <w:pPr>
        <w:pStyle w:val="TEKSTIIII"/>
      </w:pPr>
      <w:r w:rsidRPr="00445472">
        <w:t xml:space="preserve">b) </w:t>
      </w:r>
      <w:r w:rsidR="0097432E" w:rsidRPr="00445472">
        <w:t xml:space="preserve">zona </w:t>
      </w:r>
      <w:r w:rsidR="00591820" w:rsidRPr="00445472">
        <w:t>tepër të rrezikuara (70% e territorit).</w:t>
      </w:r>
    </w:p>
    <w:p w14:paraId="27A24989" w14:textId="00BDA7AB" w:rsidR="00591820" w:rsidRPr="00445472" w:rsidRDefault="00591820" w:rsidP="00E33351">
      <w:pPr>
        <w:pStyle w:val="TEKSTIIII"/>
        <w:rPr>
          <w:rFonts w:eastAsia="Times New Roman"/>
          <w:szCs w:val="16"/>
        </w:rPr>
      </w:pPr>
      <w:r w:rsidRPr="00445472">
        <w:rPr>
          <w:rFonts w:eastAsia="Times New Roman"/>
          <w:szCs w:val="16"/>
        </w:rPr>
        <w:t>Programi i Masave është zhvilluar duke marrë parasysh integrimin gjinor</w:t>
      </w:r>
      <w:r w:rsidRPr="00445472">
        <w:rPr>
          <w:rStyle w:val="FootnoteReference"/>
          <w:rFonts w:ascii="Garamond" w:eastAsia="Times New Roman" w:hAnsi="Garamond"/>
          <w:color w:val="auto"/>
        </w:rPr>
        <w:footnoteReference w:id="207"/>
      </w:r>
      <w:r w:rsidRPr="00445472">
        <w:rPr>
          <w:rFonts w:eastAsia="Times New Roman"/>
          <w:szCs w:val="16"/>
        </w:rPr>
        <w:t xml:space="preserve"> në përputhje me kërkesat e ligjit nr. 9970/2007 për barazinë gjinore në shoqëri. Për të siguruar një qasje që merr parasysh çështjet gjinore për sa i përket menaxhimit të ujërave në Basenin Ujor </w:t>
      </w:r>
      <w:r w:rsidR="007E76E3" w:rsidRPr="00445472">
        <w:rPr>
          <w:rFonts w:eastAsia="Times New Roman"/>
          <w:szCs w:val="16"/>
        </w:rPr>
        <w:t>Drin–Bunë</w:t>
      </w:r>
      <w:r w:rsidRPr="00445472">
        <w:rPr>
          <w:rFonts w:eastAsia="Times New Roman"/>
          <w:szCs w:val="16"/>
        </w:rPr>
        <w:t>, përfshihen tregues kyç dhe objektiva për të gjitha masat, me qëllim vlerësimin e shkallës në të cilën gratë dhe burrat marrin pjesë në ekonomi dhe në vendimmarrje në sektorin publik dhe në shoqërinë civile për sa i përket menaxhimit të ujërave.</w:t>
      </w:r>
    </w:p>
    <w:p w14:paraId="17EBCF89" w14:textId="77777777" w:rsidR="00591820" w:rsidRPr="00445472" w:rsidRDefault="00591820" w:rsidP="00E33351">
      <w:pPr>
        <w:pStyle w:val="TEKSTIIII"/>
        <w:rPr>
          <w:rFonts w:eastAsia="Times New Roman"/>
          <w:szCs w:val="16"/>
        </w:rPr>
      </w:pPr>
    </w:p>
    <w:p w14:paraId="4C85682D" w14:textId="77777777" w:rsidR="00591820" w:rsidRPr="00445472" w:rsidRDefault="00591820" w:rsidP="00E33351">
      <w:pPr>
        <w:pStyle w:val="NENTITULL"/>
      </w:pPr>
      <w:r w:rsidRPr="00445472">
        <w:t>Tabela 12.2: Treguesit kyç të Integrimit Gjinor në Programin e Masave</w:t>
      </w:r>
      <w:r w:rsidRPr="00445472">
        <w:rPr>
          <w:rStyle w:val="FootnoteReference"/>
          <w:rFonts w:ascii="Garamond" w:hAnsi="Garamond"/>
          <w:b w:val="0"/>
          <w:bCs/>
          <w:color w:val="auto"/>
        </w:rPr>
        <w:footnoteReference w:id="208"/>
      </w:r>
    </w:p>
    <w:tbl>
      <w:tblPr>
        <w:tblW w:w="9498" w:type="dxa"/>
        <w:tblInd w:w="108" w:type="dxa"/>
        <w:tblBorders>
          <w:top w:val="single" w:sz="4" w:space="0" w:color="B3AA9C"/>
          <w:left w:val="single" w:sz="4" w:space="0" w:color="B3AA9C"/>
          <w:bottom w:val="single" w:sz="4" w:space="0" w:color="B3AA9C"/>
          <w:right w:val="single" w:sz="4" w:space="0" w:color="B3AA9C"/>
          <w:insideH w:val="single" w:sz="4" w:space="0" w:color="B3AA9C"/>
          <w:insideV w:val="single" w:sz="4" w:space="0" w:color="B3AA9C"/>
        </w:tblBorders>
        <w:tblLayout w:type="fixed"/>
        <w:tblLook w:val="04A0" w:firstRow="1" w:lastRow="0" w:firstColumn="1" w:lastColumn="0" w:noHBand="0" w:noVBand="1"/>
      </w:tblPr>
      <w:tblGrid>
        <w:gridCol w:w="2552"/>
        <w:gridCol w:w="4252"/>
        <w:gridCol w:w="2694"/>
      </w:tblGrid>
      <w:tr w:rsidR="00591820" w:rsidRPr="00445472" w14:paraId="7F1A843D" w14:textId="77777777" w:rsidTr="002A1F08">
        <w:tc>
          <w:tcPr>
            <w:tcW w:w="2552" w:type="dxa"/>
            <w:shd w:val="clear" w:color="auto" w:fill="BFBFBF"/>
            <w:vAlign w:val="center"/>
          </w:tcPr>
          <w:p w14:paraId="34FA6309" w14:textId="77777777" w:rsidR="00591820" w:rsidRPr="00445472" w:rsidRDefault="00591820" w:rsidP="00E33351">
            <w:pPr>
              <w:pStyle w:val="TEKSTIIII"/>
              <w:ind w:firstLine="0"/>
              <w:rPr>
                <w:b/>
                <w:sz w:val="18"/>
                <w:szCs w:val="18"/>
              </w:rPr>
            </w:pPr>
            <w:r w:rsidRPr="00445472">
              <w:rPr>
                <w:b/>
                <w:sz w:val="18"/>
                <w:szCs w:val="18"/>
              </w:rPr>
              <w:t>Lloji i masave</w:t>
            </w:r>
          </w:p>
        </w:tc>
        <w:tc>
          <w:tcPr>
            <w:tcW w:w="4252" w:type="dxa"/>
            <w:shd w:val="clear" w:color="auto" w:fill="BFBFBF"/>
            <w:vAlign w:val="center"/>
          </w:tcPr>
          <w:p w14:paraId="04B61E33" w14:textId="77777777" w:rsidR="00591820" w:rsidRPr="00445472" w:rsidRDefault="00591820" w:rsidP="00E33351">
            <w:pPr>
              <w:pStyle w:val="TEKSTIIII"/>
              <w:ind w:firstLine="0"/>
              <w:rPr>
                <w:b/>
                <w:sz w:val="18"/>
                <w:szCs w:val="18"/>
              </w:rPr>
            </w:pPr>
            <w:r w:rsidRPr="00445472">
              <w:rPr>
                <w:b/>
                <w:sz w:val="18"/>
                <w:szCs w:val="18"/>
              </w:rPr>
              <w:t xml:space="preserve">Treguesi kyç </w:t>
            </w:r>
          </w:p>
        </w:tc>
        <w:tc>
          <w:tcPr>
            <w:tcW w:w="2694" w:type="dxa"/>
            <w:shd w:val="clear" w:color="auto" w:fill="BFBFBF"/>
            <w:vAlign w:val="center"/>
          </w:tcPr>
          <w:p w14:paraId="59B13A68" w14:textId="77777777" w:rsidR="00591820" w:rsidRPr="00445472" w:rsidRDefault="00591820" w:rsidP="00E33351">
            <w:pPr>
              <w:pStyle w:val="TEKSTIIII"/>
              <w:ind w:firstLine="0"/>
              <w:rPr>
                <w:b/>
                <w:sz w:val="18"/>
                <w:szCs w:val="18"/>
              </w:rPr>
            </w:pPr>
            <w:r w:rsidRPr="00445472">
              <w:rPr>
                <w:b/>
                <w:sz w:val="18"/>
                <w:szCs w:val="18"/>
              </w:rPr>
              <w:t>Zbatimi i PM-ve</w:t>
            </w:r>
          </w:p>
        </w:tc>
      </w:tr>
      <w:tr w:rsidR="00591820" w:rsidRPr="00445472" w14:paraId="50C2F650" w14:textId="77777777" w:rsidTr="002A1F08">
        <w:tc>
          <w:tcPr>
            <w:tcW w:w="2552" w:type="dxa"/>
            <w:vMerge w:val="restart"/>
            <w:shd w:val="clear" w:color="auto" w:fill="auto"/>
            <w:vAlign w:val="center"/>
          </w:tcPr>
          <w:p w14:paraId="37501DE8" w14:textId="77777777" w:rsidR="00591820" w:rsidRPr="00445472" w:rsidRDefault="00591820" w:rsidP="00E33351">
            <w:pPr>
              <w:pStyle w:val="TEKSTIIII"/>
              <w:ind w:firstLine="0"/>
              <w:rPr>
                <w:sz w:val="18"/>
                <w:szCs w:val="18"/>
              </w:rPr>
            </w:pPr>
            <w:r w:rsidRPr="00445472">
              <w:rPr>
                <w:sz w:val="18"/>
                <w:szCs w:val="18"/>
              </w:rPr>
              <w:t>Plotësuese</w:t>
            </w:r>
          </w:p>
        </w:tc>
        <w:tc>
          <w:tcPr>
            <w:tcW w:w="4252" w:type="dxa"/>
            <w:shd w:val="clear" w:color="auto" w:fill="auto"/>
            <w:vAlign w:val="center"/>
          </w:tcPr>
          <w:p w14:paraId="17982FF7" w14:textId="77777777" w:rsidR="00591820" w:rsidRPr="00445472" w:rsidRDefault="00591820" w:rsidP="00E33351">
            <w:pPr>
              <w:pStyle w:val="TEKSTIIII"/>
              <w:ind w:firstLine="0"/>
              <w:rPr>
                <w:sz w:val="18"/>
                <w:szCs w:val="18"/>
              </w:rPr>
            </w:pPr>
            <w:r w:rsidRPr="00445472">
              <w:rPr>
                <w:sz w:val="18"/>
                <w:szCs w:val="18"/>
              </w:rPr>
              <w:t xml:space="preserve">Përfaqësimi në studimet e fizibilitetit </w:t>
            </w:r>
          </w:p>
        </w:tc>
        <w:tc>
          <w:tcPr>
            <w:tcW w:w="2694" w:type="dxa"/>
            <w:shd w:val="clear" w:color="auto" w:fill="auto"/>
            <w:vAlign w:val="center"/>
          </w:tcPr>
          <w:p w14:paraId="4474D2AC" w14:textId="77777777" w:rsidR="00591820" w:rsidRPr="00445472" w:rsidRDefault="00591820" w:rsidP="00E33351">
            <w:pPr>
              <w:pStyle w:val="TEKSTIIII"/>
              <w:ind w:firstLine="0"/>
              <w:rPr>
                <w:sz w:val="18"/>
                <w:szCs w:val="18"/>
              </w:rPr>
            </w:pPr>
            <w:r w:rsidRPr="00445472">
              <w:rPr>
                <w:sz w:val="18"/>
                <w:szCs w:val="18"/>
              </w:rPr>
              <w:t>&gt;30% e të dyja gjinive</w:t>
            </w:r>
          </w:p>
        </w:tc>
      </w:tr>
      <w:tr w:rsidR="00591820" w:rsidRPr="00445472" w14:paraId="5D37A8E0" w14:textId="77777777" w:rsidTr="002A1F08">
        <w:tc>
          <w:tcPr>
            <w:tcW w:w="2552" w:type="dxa"/>
            <w:vMerge/>
            <w:shd w:val="clear" w:color="auto" w:fill="auto"/>
            <w:vAlign w:val="center"/>
          </w:tcPr>
          <w:p w14:paraId="62702F21" w14:textId="77777777" w:rsidR="00591820" w:rsidRPr="00445472" w:rsidRDefault="00591820" w:rsidP="00E33351">
            <w:pPr>
              <w:pStyle w:val="TEKSTIIII"/>
              <w:ind w:firstLine="0"/>
              <w:rPr>
                <w:sz w:val="18"/>
                <w:szCs w:val="18"/>
              </w:rPr>
            </w:pPr>
          </w:p>
        </w:tc>
        <w:tc>
          <w:tcPr>
            <w:tcW w:w="4252" w:type="dxa"/>
            <w:shd w:val="clear" w:color="auto" w:fill="auto"/>
            <w:vAlign w:val="center"/>
          </w:tcPr>
          <w:p w14:paraId="04CCFD8D" w14:textId="77777777" w:rsidR="00591820" w:rsidRPr="00445472" w:rsidRDefault="00591820" w:rsidP="00E33351">
            <w:pPr>
              <w:pStyle w:val="TEKSTIIII"/>
              <w:ind w:firstLine="0"/>
              <w:rPr>
                <w:sz w:val="18"/>
                <w:szCs w:val="18"/>
              </w:rPr>
            </w:pPr>
            <w:r w:rsidRPr="00445472">
              <w:rPr>
                <w:sz w:val="18"/>
                <w:szCs w:val="18"/>
              </w:rPr>
              <w:t>Përfaqësimi në pozicione vendimmarrëse në sektorin publik</w:t>
            </w:r>
          </w:p>
        </w:tc>
        <w:tc>
          <w:tcPr>
            <w:tcW w:w="2694" w:type="dxa"/>
            <w:vMerge w:val="restart"/>
            <w:shd w:val="clear" w:color="auto" w:fill="auto"/>
            <w:vAlign w:val="center"/>
          </w:tcPr>
          <w:p w14:paraId="4727C7AA" w14:textId="77777777" w:rsidR="00591820" w:rsidRPr="00445472" w:rsidRDefault="00591820" w:rsidP="00E33351">
            <w:pPr>
              <w:pStyle w:val="TEKSTIIII"/>
              <w:ind w:firstLine="0"/>
              <w:rPr>
                <w:sz w:val="18"/>
                <w:szCs w:val="18"/>
              </w:rPr>
            </w:pPr>
          </w:p>
          <w:p w14:paraId="5C239C7F" w14:textId="77777777" w:rsidR="00591820" w:rsidRPr="00445472" w:rsidRDefault="00591820" w:rsidP="00E33351">
            <w:pPr>
              <w:pStyle w:val="TEKSTIIII"/>
              <w:ind w:firstLine="0"/>
              <w:rPr>
                <w:sz w:val="18"/>
                <w:szCs w:val="18"/>
              </w:rPr>
            </w:pPr>
            <w:r w:rsidRPr="00445472">
              <w:rPr>
                <w:sz w:val="18"/>
                <w:szCs w:val="18"/>
              </w:rPr>
              <w:t>&gt;30% e të dyja gjinive</w:t>
            </w:r>
            <w:r w:rsidRPr="00445472">
              <w:rPr>
                <w:rStyle w:val="FootnoteReference"/>
                <w:rFonts w:ascii="Garamond" w:hAnsi="Garamond"/>
                <w:color w:val="auto"/>
                <w:sz w:val="18"/>
                <w:szCs w:val="18"/>
              </w:rPr>
              <w:footnoteReference w:id="209"/>
            </w:r>
          </w:p>
        </w:tc>
      </w:tr>
      <w:tr w:rsidR="00591820" w:rsidRPr="00445472" w14:paraId="0C9CD359" w14:textId="77777777" w:rsidTr="002A1F08">
        <w:tc>
          <w:tcPr>
            <w:tcW w:w="2552" w:type="dxa"/>
            <w:vMerge/>
            <w:shd w:val="clear" w:color="auto" w:fill="auto"/>
            <w:vAlign w:val="center"/>
          </w:tcPr>
          <w:p w14:paraId="3B567311" w14:textId="77777777" w:rsidR="00591820" w:rsidRPr="00445472" w:rsidRDefault="00591820" w:rsidP="00E33351">
            <w:pPr>
              <w:pStyle w:val="TEKSTIIII"/>
              <w:ind w:firstLine="0"/>
              <w:rPr>
                <w:sz w:val="18"/>
                <w:szCs w:val="18"/>
              </w:rPr>
            </w:pPr>
          </w:p>
        </w:tc>
        <w:tc>
          <w:tcPr>
            <w:tcW w:w="4252" w:type="dxa"/>
            <w:shd w:val="clear" w:color="auto" w:fill="auto"/>
            <w:vAlign w:val="center"/>
          </w:tcPr>
          <w:p w14:paraId="7E8916E8" w14:textId="77777777" w:rsidR="00591820" w:rsidRPr="00445472" w:rsidRDefault="00591820" w:rsidP="00E33351">
            <w:pPr>
              <w:pStyle w:val="TEKSTIIII"/>
              <w:ind w:firstLine="0"/>
              <w:rPr>
                <w:sz w:val="18"/>
                <w:szCs w:val="18"/>
              </w:rPr>
            </w:pPr>
            <w:r w:rsidRPr="00445472">
              <w:rPr>
                <w:sz w:val="18"/>
                <w:szCs w:val="18"/>
              </w:rPr>
              <w:t>Përfaqësimi në pozicione vendimmarrëse në shoqërinë civile</w:t>
            </w:r>
          </w:p>
        </w:tc>
        <w:tc>
          <w:tcPr>
            <w:tcW w:w="2694" w:type="dxa"/>
            <w:vMerge/>
            <w:shd w:val="clear" w:color="auto" w:fill="auto"/>
            <w:vAlign w:val="center"/>
          </w:tcPr>
          <w:p w14:paraId="6C40CA46" w14:textId="77777777" w:rsidR="00591820" w:rsidRPr="00445472" w:rsidRDefault="00591820" w:rsidP="00E33351">
            <w:pPr>
              <w:pStyle w:val="TEKSTIIII"/>
              <w:ind w:firstLine="0"/>
              <w:rPr>
                <w:sz w:val="18"/>
                <w:szCs w:val="18"/>
              </w:rPr>
            </w:pPr>
          </w:p>
        </w:tc>
      </w:tr>
      <w:tr w:rsidR="00591820" w:rsidRPr="00445472" w14:paraId="43E92776" w14:textId="77777777" w:rsidTr="002A1F08">
        <w:tc>
          <w:tcPr>
            <w:tcW w:w="2552" w:type="dxa"/>
            <w:shd w:val="clear" w:color="auto" w:fill="auto"/>
            <w:vAlign w:val="center"/>
          </w:tcPr>
          <w:p w14:paraId="7764B0CE" w14:textId="77777777" w:rsidR="00591820" w:rsidRPr="00445472" w:rsidRDefault="00591820" w:rsidP="00E33351">
            <w:pPr>
              <w:pStyle w:val="TEKSTIIII"/>
              <w:ind w:firstLine="0"/>
              <w:rPr>
                <w:sz w:val="18"/>
                <w:szCs w:val="18"/>
              </w:rPr>
            </w:pPr>
            <w:r w:rsidRPr="00445472">
              <w:rPr>
                <w:sz w:val="18"/>
                <w:szCs w:val="18"/>
              </w:rPr>
              <w:t>Bazë</w:t>
            </w:r>
          </w:p>
        </w:tc>
        <w:tc>
          <w:tcPr>
            <w:tcW w:w="4252" w:type="dxa"/>
            <w:shd w:val="clear" w:color="auto" w:fill="auto"/>
            <w:vAlign w:val="center"/>
          </w:tcPr>
          <w:p w14:paraId="6CDFC6DE" w14:textId="77777777" w:rsidR="00591820" w:rsidRPr="00445472" w:rsidRDefault="00591820" w:rsidP="00E33351">
            <w:pPr>
              <w:pStyle w:val="TEKSTIIII"/>
              <w:ind w:firstLine="0"/>
              <w:rPr>
                <w:sz w:val="18"/>
                <w:szCs w:val="18"/>
              </w:rPr>
            </w:pPr>
            <w:r w:rsidRPr="00445472">
              <w:rPr>
                <w:sz w:val="18"/>
                <w:szCs w:val="18"/>
              </w:rPr>
              <w:t>Përfaqësimi në zhvillimin e infrastrukturës</w:t>
            </w:r>
          </w:p>
        </w:tc>
        <w:tc>
          <w:tcPr>
            <w:tcW w:w="2694" w:type="dxa"/>
            <w:shd w:val="clear" w:color="auto" w:fill="auto"/>
            <w:vAlign w:val="center"/>
          </w:tcPr>
          <w:p w14:paraId="5FDD328D" w14:textId="77777777" w:rsidR="00591820" w:rsidRPr="00445472" w:rsidRDefault="00591820" w:rsidP="00E33351">
            <w:pPr>
              <w:pStyle w:val="TEKSTIIII"/>
              <w:ind w:firstLine="0"/>
              <w:rPr>
                <w:sz w:val="18"/>
                <w:szCs w:val="18"/>
              </w:rPr>
            </w:pPr>
            <w:r w:rsidRPr="00445472">
              <w:rPr>
                <w:sz w:val="18"/>
                <w:szCs w:val="18"/>
              </w:rPr>
              <w:t xml:space="preserve">&gt;30% e të dyja gjinive </w:t>
            </w:r>
          </w:p>
        </w:tc>
      </w:tr>
    </w:tbl>
    <w:p w14:paraId="629BA458" w14:textId="77777777" w:rsidR="00591820" w:rsidRPr="00445472" w:rsidRDefault="00591820" w:rsidP="00E33351">
      <w:pPr>
        <w:pStyle w:val="TEKSTIIII"/>
        <w:rPr>
          <w:shd w:val="clear" w:color="auto" w:fill="FFFFFF"/>
        </w:rPr>
      </w:pPr>
    </w:p>
    <w:p w14:paraId="07FCB2F1" w14:textId="54A01E5F" w:rsidR="00591820" w:rsidRPr="00445472" w:rsidRDefault="00E33351" w:rsidP="00E33351">
      <w:pPr>
        <w:pStyle w:val="NENTITULL"/>
        <w:rPr>
          <w:bCs/>
        </w:rPr>
      </w:pPr>
      <w:bookmarkStart w:id="289" w:name="_Toc500970558"/>
      <w:bookmarkStart w:id="290" w:name="_Toc11068882"/>
      <w:r w:rsidRPr="00445472">
        <w:t xml:space="preserve">12.2 </w:t>
      </w:r>
      <w:r w:rsidR="00591820" w:rsidRPr="00445472">
        <w:t xml:space="preserve">Plan </w:t>
      </w:r>
      <w:r w:rsidR="005C28F2" w:rsidRPr="00445472">
        <w:t>veprimi</w:t>
      </w:r>
      <w:bookmarkEnd w:id="289"/>
      <w:bookmarkEnd w:id="290"/>
    </w:p>
    <w:p w14:paraId="04697B68" w14:textId="1B0AF793" w:rsidR="00591820" w:rsidRPr="00445472" w:rsidRDefault="00591820" w:rsidP="00E33351">
      <w:pPr>
        <w:pStyle w:val="TEKSTIIII"/>
        <w:rPr>
          <w:shd w:val="clear" w:color="auto" w:fill="FFFFFF"/>
        </w:rPr>
      </w:pPr>
      <w:r w:rsidRPr="00445472">
        <w:rPr>
          <w:shd w:val="clear" w:color="auto" w:fill="FFFFFF"/>
        </w:rPr>
        <w:t xml:space="preserve">Institucionet kryesore dhe mbështetëse kanë nevojë për një plan të qartë për të bashkëpunuar, dhe për </w:t>
      </w:r>
      <w:r w:rsidR="001F68B2" w:rsidRPr="00445472">
        <w:rPr>
          <w:shd w:val="clear" w:color="auto" w:fill="FFFFFF"/>
        </w:rPr>
        <w:t>t’i</w:t>
      </w:r>
      <w:r w:rsidRPr="00445472">
        <w:rPr>
          <w:shd w:val="clear" w:color="auto" w:fill="FFFFFF"/>
        </w:rPr>
        <w:t xml:space="preserve"> koordinuar burimet me qëllim arritjen e menaxhimit efikas të ujit në Basenin Ujor </w:t>
      </w:r>
      <w:r w:rsidR="007E76E3" w:rsidRPr="00445472">
        <w:rPr>
          <w:shd w:val="clear" w:color="auto" w:fill="FFFFFF"/>
        </w:rPr>
        <w:t>Drin–Bunë</w:t>
      </w:r>
      <w:r w:rsidRPr="00445472">
        <w:rPr>
          <w:shd w:val="clear" w:color="auto" w:fill="FFFFFF"/>
        </w:rPr>
        <w:t xml:space="preserve"> në të ardhmen. </w:t>
      </w:r>
    </w:p>
    <w:p w14:paraId="5DAFEC91" w14:textId="77777777" w:rsidR="00591820" w:rsidRPr="00445472" w:rsidRDefault="00591820" w:rsidP="00E33351">
      <w:pPr>
        <w:pStyle w:val="TEKSTIIII"/>
        <w:rPr>
          <w:shd w:val="clear" w:color="auto" w:fill="FFFFFF"/>
        </w:rPr>
      </w:pPr>
      <w:r w:rsidRPr="00445472">
        <w:rPr>
          <w:shd w:val="clear" w:color="auto" w:fill="FFFFFF"/>
        </w:rPr>
        <w:t xml:space="preserve">Në mënyrë që të zgjidhen problemet aktuale dhe ato në të ardhmen në Basenin Ujor, plani i veprimit duhet të përfshijë një përshkrim të aktiviteteve prioritare, afatin, kostot, dhe detyrimet dhe/ose përgjegjësitë në nivel kombëtar, rajonale dhe vendore. Është i nevojshëm treguesi i burimit financiar, megjithëse emrat e donatorëve ose IFN-ve nuk dihen në këtë fazë. Financimi do të vijë si hua e bashkëfinancuar me donatorët ose nga fondet vendore. </w:t>
      </w:r>
    </w:p>
    <w:p w14:paraId="411361D3" w14:textId="764B0458" w:rsidR="00591820" w:rsidRPr="00445472" w:rsidRDefault="00591820" w:rsidP="00E33351">
      <w:pPr>
        <w:pStyle w:val="TEKSTIIII"/>
      </w:pPr>
      <w:r w:rsidRPr="00445472">
        <w:t xml:space="preserve">Tabela 12.3 më poshtë paraqet </w:t>
      </w:r>
      <w:r w:rsidRPr="00445472">
        <w:rPr>
          <w:rStyle w:val="Heading3Char"/>
          <w:rFonts w:ascii="Garamond" w:eastAsiaTheme="minorEastAsia" w:hAnsi="Garamond" w:cstheme="minorBidi"/>
          <w:b w:val="0"/>
          <w:bCs w:val="0"/>
          <w:color w:val="auto"/>
          <w:sz w:val="24"/>
          <w:szCs w:val="24"/>
          <w:lang w:val="sq-AL" w:eastAsia="en-US"/>
        </w:rPr>
        <w:t xml:space="preserve">afatin, kostot e llogaritura dhe përgjegjësinë institucionale për zbatimin e Programit të Masave në Basenin Ujor </w:t>
      </w:r>
      <w:r w:rsidR="007E76E3" w:rsidRPr="00445472">
        <w:rPr>
          <w:rStyle w:val="Heading3Char"/>
          <w:rFonts w:ascii="Garamond" w:eastAsiaTheme="minorEastAsia" w:hAnsi="Garamond" w:cstheme="minorBidi"/>
          <w:b w:val="0"/>
          <w:bCs w:val="0"/>
          <w:color w:val="auto"/>
          <w:sz w:val="24"/>
          <w:szCs w:val="24"/>
          <w:lang w:val="sq-AL" w:eastAsia="en-US"/>
        </w:rPr>
        <w:t>Drin–Bunë</w:t>
      </w:r>
      <w:r w:rsidRPr="00445472">
        <w:rPr>
          <w:rStyle w:val="Heading3Char"/>
          <w:rFonts w:ascii="Garamond" w:eastAsiaTheme="minorEastAsia" w:hAnsi="Garamond" w:cstheme="minorBidi"/>
          <w:b w:val="0"/>
          <w:bCs w:val="0"/>
          <w:color w:val="auto"/>
          <w:sz w:val="24"/>
          <w:szCs w:val="24"/>
          <w:lang w:val="sq-AL" w:eastAsia="en-US"/>
        </w:rPr>
        <w:t xml:space="preserve"> gjatë periudhës 2021-2033 </w:t>
      </w:r>
      <w:r w:rsidRPr="00445472">
        <w:t xml:space="preserve">të ndarë në masa </w:t>
      </w:r>
      <w:r w:rsidR="00D62EDF" w:rsidRPr="00445472">
        <w:t>“</w:t>
      </w:r>
      <w:r w:rsidRPr="00445472">
        <w:t>bazë</w:t>
      </w:r>
      <w:r w:rsidR="00D62EDF" w:rsidRPr="00445472">
        <w:t>”</w:t>
      </w:r>
      <w:r w:rsidRPr="00445472">
        <w:t xml:space="preserve"> dhe </w:t>
      </w:r>
      <w:r w:rsidR="00D62EDF" w:rsidRPr="00445472">
        <w:t>“</w:t>
      </w:r>
      <w:r w:rsidRPr="00445472">
        <w:t>plotësuese</w:t>
      </w:r>
      <w:r w:rsidR="00D62EDF" w:rsidRPr="00445472">
        <w:t>”</w:t>
      </w:r>
      <w:r w:rsidRPr="00445472">
        <w:t xml:space="preserve"> për një periudhë afatshkurtër, afatmesme, dhe afatgjatë.</w:t>
      </w:r>
      <w:r w:rsidRPr="00445472">
        <w:rPr>
          <w:rStyle w:val="Heading3Char"/>
          <w:rFonts w:ascii="Garamond" w:eastAsiaTheme="minorEastAsia" w:hAnsi="Garamond" w:cstheme="minorBidi"/>
          <w:b w:val="0"/>
          <w:bCs w:val="0"/>
          <w:color w:val="auto"/>
          <w:sz w:val="24"/>
          <w:szCs w:val="24"/>
          <w:lang w:val="sq-AL" w:eastAsia="en-US"/>
        </w:rPr>
        <w:t xml:space="preserve"> </w:t>
      </w:r>
      <w:r w:rsidRPr="00445472">
        <w:t xml:space="preserve"> </w:t>
      </w:r>
    </w:p>
    <w:p w14:paraId="1F9CABC1" w14:textId="68EF9CB4" w:rsidR="00591820" w:rsidRPr="00445472" w:rsidRDefault="00591820" w:rsidP="00E33351">
      <w:pPr>
        <w:pStyle w:val="TEKSTIIII"/>
        <w:rPr>
          <w:shd w:val="clear" w:color="auto" w:fill="FFFFFF"/>
        </w:rPr>
      </w:pPr>
      <w:r w:rsidRPr="00445472">
        <w:rPr>
          <w:shd w:val="clear" w:color="auto" w:fill="FFFFFF"/>
        </w:rPr>
        <w:t xml:space="preserve">Llogaritja paraprake e kostove për secilën masë të planifikuar për infrastrukturën mbështetet në llogaritjen e kostove për investimet e përdorura në Masterplanin për Ujësjellës-Kanalizimet për Shqipërinë, Planin e Masave të qeverisë (draft), dhe në përvojën vendore dhe kombëtare. Synimet e bazuara në </w:t>
      </w:r>
      <w:r w:rsidR="00504992" w:rsidRPr="00445472">
        <w:rPr>
          <w:shd w:val="clear" w:color="auto" w:fill="FFFFFF"/>
        </w:rPr>
        <w:t xml:space="preserve">objektivat mjedisorë </w:t>
      </w:r>
      <w:r w:rsidRPr="00445472">
        <w:rPr>
          <w:shd w:val="clear" w:color="auto" w:fill="FFFFFF"/>
        </w:rPr>
        <w:t>(</w:t>
      </w:r>
      <w:r w:rsidR="008D44B4" w:rsidRPr="00445472">
        <w:rPr>
          <w:shd w:val="clear" w:color="auto" w:fill="FFFFFF"/>
        </w:rPr>
        <w:t xml:space="preserve">seksioni </w:t>
      </w:r>
      <w:r w:rsidRPr="00445472">
        <w:rPr>
          <w:shd w:val="clear" w:color="auto" w:fill="FFFFFF"/>
        </w:rPr>
        <w:t>10), të cil</w:t>
      </w:r>
      <w:r w:rsidR="00504992" w:rsidRPr="00445472">
        <w:rPr>
          <w:shd w:val="clear" w:color="auto" w:fill="FFFFFF"/>
        </w:rPr>
        <w:t>ë</w:t>
      </w:r>
      <w:r w:rsidRPr="00445472">
        <w:rPr>
          <w:shd w:val="clear" w:color="auto" w:fill="FFFFFF"/>
        </w:rPr>
        <w:t>t janë në përputhje me Planin Kombëtar të Sektorit të Ujërave (PKSU), ofrohen në tr</w:t>
      </w:r>
      <w:r w:rsidR="008D44B4" w:rsidRPr="00445472">
        <w:rPr>
          <w:shd w:val="clear" w:color="auto" w:fill="FFFFFF"/>
        </w:rPr>
        <w:t>i</w:t>
      </w:r>
      <w:r w:rsidRPr="00445472">
        <w:rPr>
          <w:shd w:val="clear" w:color="auto" w:fill="FFFFFF"/>
        </w:rPr>
        <w:t xml:space="preserve"> periudha kohore (2021, 2024 dhe 2030) për zhvillimin e secilit aktivitet.  </w:t>
      </w:r>
    </w:p>
    <w:p w14:paraId="5875C542" w14:textId="2CA38A53" w:rsidR="00591820" w:rsidRPr="00445472" w:rsidRDefault="00591820" w:rsidP="00E33351">
      <w:pPr>
        <w:pStyle w:val="TEKSTIIII"/>
        <w:rPr>
          <w:shd w:val="clear" w:color="auto" w:fill="FFFFFF"/>
        </w:rPr>
      </w:pPr>
      <w:r w:rsidRPr="00445472">
        <w:rPr>
          <w:shd w:val="clear" w:color="auto" w:fill="FFFFFF"/>
        </w:rPr>
        <w:t xml:space="preserve">Mbeten disa dyshime që struktura e mëparshme kombëtare dhe vendore për menaxhimin do të rezultojë në mbivendosje përgjegjësish. Planet aktuale institucionale për zbatimin në të ardhmen e DKU-së, aktualisht po shqyrtohen në nivel kombëtar. Përgjegjësitë e agjencive që në të ardhmen do të zbatojnë masat specifike, paraqiten me të zezë në </w:t>
      </w:r>
      <w:r w:rsidR="004B51C9" w:rsidRPr="00445472">
        <w:rPr>
          <w:shd w:val="clear" w:color="auto" w:fill="FFFFFF"/>
        </w:rPr>
        <w:t xml:space="preserve">tabelën </w:t>
      </w:r>
      <w:r w:rsidRPr="00445472">
        <w:rPr>
          <w:shd w:val="clear" w:color="auto" w:fill="FFFFFF"/>
        </w:rPr>
        <w:t xml:space="preserve">12.3. </w:t>
      </w:r>
    </w:p>
    <w:p w14:paraId="391D4D05" w14:textId="093644CB" w:rsidR="00591820" w:rsidRPr="00445472" w:rsidRDefault="00591820" w:rsidP="00E33351">
      <w:pPr>
        <w:pStyle w:val="TEKSTIIII"/>
        <w:rPr>
          <w:shd w:val="clear" w:color="auto" w:fill="FFFFFF"/>
        </w:rPr>
      </w:pPr>
      <w:r w:rsidRPr="00445472">
        <w:rPr>
          <w:shd w:val="clear" w:color="auto" w:fill="FFFFFF"/>
        </w:rPr>
        <w:t xml:space="preserve">Në </w:t>
      </w:r>
      <w:r w:rsidR="004B51C9" w:rsidRPr="00445472">
        <w:rPr>
          <w:shd w:val="clear" w:color="auto" w:fill="FFFFFF"/>
        </w:rPr>
        <w:t xml:space="preserve">tabelën </w:t>
      </w:r>
      <w:r w:rsidRPr="00445472">
        <w:rPr>
          <w:shd w:val="clear" w:color="auto" w:fill="FFFFFF"/>
        </w:rPr>
        <w:t xml:space="preserve">12.4 paraqitet llogaritja paraprake e kostove për secilën nga </w:t>
      </w:r>
      <w:r w:rsidR="00504992" w:rsidRPr="00445472">
        <w:rPr>
          <w:shd w:val="clear" w:color="auto" w:fill="FFFFFF"/>
        </w:rPr>
        <w:t xml:space="preserve">objektivat mjedisorë </w:t>
      </w:r>
      <w:r w:rsidRPr="00445472">
        <w:rPr>
          <w:shd w:val="clear" w:color="auto" w:fill="FFFFFF"/>
        </w:rPr>
        <w:t>për një periudhë afatshkurtër (2021</w:t>
      </w:r>
      <w:r w:rsidR="004B51C9" w:rsidRPr="00445472">
        <w:t>–</w:t>
      </w:r>
      <w:r w:rsidRPr="00445472">
        <w:rPr>
          <w:shd w:val="clear" w:color="auto" w:fill="FFFFFF"/>
        </w:rPr>
        <w:t>2023), afatmesme (2024</w:t>
      </w:r>
      <w:r w:rsidR="004B51C9" w:rsidRPr="00445472">
        <w:t>–</w:t>
      </w:r>
      <w:r w:rsidRPr="00445472">
        <w:rPr>
          <w:shd w:val="clear" w:color="auto" w:fill="FFFFFF"/>
        </w:rPr>
        <w:t>2029) dhe afatgjatë (2030</w:t>
      </w:r>
      <w:r w:rsidR="004B51C9" w:rsidRPr="00445472">
        <w:t>–</w:t>
      </w:r>
      <w:r w:rsidRPr="00445472">
        <w:rPr>
          <w:shd w:val="clear" w:color="auto" w:fill="FFFFFF"/>
        </w:rPr>
        <w:t xml:space="preserve">2033). </w:t>
      </w:r>
    </w:p>
    <w:p w14:paraId="34207CB4" w14:textId="4F99CE8B" w:rsidR="00591820" w:rsidRPr="00445472" w:rsidRDefault="00591820" w:rsidP="00E33351">
      <w:pPr>
        <w:pStyle w:val="TEKSTIIII"/>
        <w:rPr>
          <w:shd w:val="clear" w:color="auto" w:fill="FFFFFF"/>
        </w:rPr>
      </w:pPr>
      <w:r w:rsidRPr="00445472">
        <w:rPr>
          <w:shd w:val="clear" w:color="auto" w:fill="FFFFFF"/>
        </w:rPr>
        <w:t xml:space="preserve">Në </w:t>
      </w:r>
      <w:r w:rsidR="004B51C9" w:rsidRPr="00445472">
        <w:rPr>
          <w:shd w:val="clear" w:color="auto" w:fill="FFFFFF"/>
        </w:rPr>
        <w:t xml:space="preserve">tabelën </w:t>
      </w:r>
      <w:r w:rsidRPr="00445472">
        <w:rPr>
          <w:shd w:val="clear" w:color="auto" w:fill="FFFFFF"/>
        </w:rPr>
        <w:t xml:space="preserve">12.5 paraqitet llogaritja e kostove për secilën nga </w:t>
      </w:r>
      <w:r w:rsidR="004B51C9" w:rsidRPr="00445472">
        <w:rPr>
          <w:shd w:val="clear" w:color="auto" w:fill="FFFFFF"/>
        </w:rPr>
        <w:t xml:space="preserve">objektivat mjedisorë </w:t>
      </w:r>
      <w:r w:rsidRPr="00445472">
        <w:rPr>
          <w:shd w:val="clear" w:color="auto" w:fill="FFFFFF"/>
        </w:rPr>
        <w:t xml:space="preserve">të ndara në objektiva </w:t>
      </w:r>
      <w:r w:rsidR="00D62EDF" w:rsidRPr="00445472">
        <w:rPr>
          <w:shd w:val="clear" w:color="auto" w:fill="FFFFFF"/>
        </w:rPr>
        <w:t>“</w:t>
      </w:r>
      <w:r w:rsidRPr="00445472">
        <w:rPr>
          <w:shd w:val="clear" w:color="auto" w:fill="FFFFFF"/>
        </w:rPr>
        <w:t>bazë</w:t>
      </w:r>
      <w:r w:rsidR="00D62EDF" w:rsidRPr="00445472">
        <w:rPr>
          <w:shd w:val="clear" w:color="auto" w:fill="FFFFFF"/>
        </w:rPr>
        <w:t>”</w:t>
      </w:r>
      <w:r w:rsidRPr="00445472">
        <w:rPr>
          <w:shd w:val="clear" w:color="auto" w:fill="FFFFFF"/>
        </w:rPr>
        <w:t xml:space="preserve"> dhe </w:t>
      </w:r>
      <w:r w:rsidR="00D62EDF" w:rsidRPr="00445472">
        <w:rPr>
          <w:shd w:val="clear" w:color="auto" w:fill="FFFFFF"/>
        </w:rPr>
        <w:t>“</w:t>
      </w:r>
      <w:r w:rsidRPr="00445472">
        <w:rPr>
          <w:shd w:val="clear" w:color="auto" w:fill="FFFFFF"/>
        </w:rPr>
        <w:t>plotësuese</w:t>
      </w:r>
      <w:r w:rsidR="00D62EDF" w:rsidRPr="00445472">
        <w:rPr>
          <w:shd w:val="clear" w:color="auto" w:fill="FFFFFF"/>
        </w:rPr>
        <w:t>”</w:t>
      </w:r>
      <w:r w:rsidRPr="00445472">
        <w:rPr>
          <w:shd w:val="clear" w:color="auto" w:fill="FFFFFF"/>
        </w:rPr>
        <w:t xml:space="preserve"> për një periudhë afatshkurtër, afatmesme, dhe afatgjatë në Basenin Ujor </w:t>
      </w:r>
      <w:r w:rsidR="007E76E3" w:rsidRPr="00445472">
        <w:rPr>
          <w:shd w:val="clear" w:color="auto" w:fill="FFFFFF"/>
        </w:rPr>
        <w:t>Drin–Bunë</w:t>
      </w:r>
      <w:r w:rsidRPr="00445472">
        <w:rPr>
          <w:shd w:val="clear" w:color="auto" w:fill="FFFFFF"/>
        </w:rPr>
        <w:t xml:space="preserve">. Kostoja totale për zbatimin e masave të propozuara në Basenin Ujor </w:t>
      </w:r>
      <w:r w:rsidR="007E76E3" w:rsidRPr="00445472">
        <w:rPr>
          <w:shd w:val="clear" w:color="auto" w:fill="FFFFFF"/>
        </w:rPr>
        <w:t>Drin–Bunë</w:t>
      </w:r>
      <w:r w:rsidRPr="00445472">
        <w:rPr>
          <w:shd w:val="clear" w:color="auto" w:fill="FFFFFF"/>
        </w:rPr>
        <w:t xml:space="preserve"> është 512,700,000 euro, dhe mesatarisht 10% e kostove </w:t>
      </w:r>
      <w:r w:rsidR="004B51C9" w:rsidRPr="00445472">
        <w:rPr>
          <w:shd w:val="clear" w:color="auto" w:fill="FFFFFF"/>
        </w:rPr>
        <w:t>u</w:t>
      </w:r>
      <w:r w:rsidRPr="00445472">
        <w:rPr>
          <w:shd w:val="clear" w:color="auto" w:fill="FFFFFF"/>
        </w:rPr>
        <w:t xml:space="preserve"> përkasin masave </w:t>
      </w:r>
      <w:r w:rsidR="00D62EDF" w:rsidRPr="00445472">
        <w:rPr>
          <w:shd w:val="clear" w:color="auto" w:fill="FFFFFF"/>
        </w:rPr>
        <w:t>“</w:t>
      </w:r>
      <w:r w:rsidRPr="00445472">
        <w:rPr>
          <w:shd w:val="clear" w:color="auto" w:fill="FFFFFF"/>
        </w:rPr>
        <w:t>plotësuese</w:t>
      </w:r>
      <w:r w:rsidR="00D62EDF" w:rsidRPr="00445472">
        <w:rPr>
          <w:shd w:val="clear" w:color="auto" w:fill="FFFFFF"/>
        </w:rPr>
        <w:t>”</w:t>
      </w:r>
      <w:r w:rsidRPr="00445472">
        <w:rPr>
          <w:shd w:val="clear" w:color="auto" w:fill="FFFFFF"/>
        </w:rPr>
        <w:t>.</w:t>
      </w:r>
    </w:p>
    <w:p w14:paraId="5D5CCE98" w14:textId="77777777" w:rsidR="00591820" w:rsidRPr="00445472" w:rsidRDefault="00591820" w:rsidP="00E33351">
      <w:pPr>
        <w:pStyle w:val="TEKSTIIII"/>
        <w:rPr>
          <w:b/>
        </w:rPr>
      </w:pPr>
    </w:p>
    <w:p w14:paraId="1AF30EBD" w14:textId="77777777" w:rsidR="00591820" w:rsidRPr="00445472" w:rsidRDefault="00591820" w:rsidP="00E33351">
      <w:pPr>
        <w:pStyle w:val="TEKSTIIII"/>
      </w:pPr>
    </w:p>
    <w:p w14:paraId="79893010" w14:textId="77777777" w:rsidR="00591820" w:rsidRPr="00445472" w:rsidRDefault="00591820" w:rsidP="00E33351">
      <w:pPr>
        <w:pStyle w:val="TEKSTIIII"/>
      </w:pPr>
    </w:p>
    <w:p w14:paraId="397959FE" w14:textId="77777777" w:rsidR="00B94C24" w:rsidRPr="00445472" w:rsidRDefault="00B94C24" w:rsidP="00E33351">
      <w:pPr>
        <w:pStyle w:val="TEKSTIIII"/>
        <w:sectPr w:rsidR="00B94C24" w:rsidRPr="00445472" w:rsidSect="009D7681">
          <w:pgSz w:w="11907" w:h="16839" w:code="9"/>
          <w:pgMar w:top="1418" w:right="1418" w:bottom="1418" w:left="1418" w:header="1304" w:footer="1134" w:gutter="0"/>
          <w:cols w:space="720"/>
          <w:docGrid w:linePitch="360"/>
        </w:sectPr>
      </w:pPr>
    </w:p>
    <w:p w14:paraId="3D25B87A" w14:textId="17ABEAC6" w:rsidR="00410865" w:rsidRPr="00445472" w:rsidRDefault="00410865" w:rsidP="00410865">
      <w:pPr>
        <w:spacing w:after="0" w:line="240" w:lineRule="auto"/>
        <w:jc w:val="both"/>
        <w:rPr>
          <w:rFonts w:ascii="Garamond" w:hAnsi="Garamond"/>
          <w:b/>
        </w:rPr>
      </w:pPr>
      <w:bookmarkStart w:id="291" w:name="_Toc500970559"/>
      <w:r w:rsidRPr="00445472">
        <w:rPr>
          <w:rFonts w:ascii="Garamond" w:hAnsi="Garamond"/>
          <w:b/>
        </w:rPr>
        <w:t xml:space="preserve">Tabela 12.3: Afati, llogaritja e kostove dhe përgjegjësia institucionale për zbatimin e Programit të Masave në Basenin Ujor </w:t>
      </w:r>
      <w:r w:rsidR="007E76E3" w:rsidRPr="00445472">
        <w:rPr>
          <w:rFonts w:ascii="Garamond" w:hAnsi="Garamond"/>
          <w:b/>
        </w:rPr>
        <w:t>Drin–Bunë</w:t>
      </w:r>
      <w:r w:rsidRPr="00445472">
        <w:rPr>
          <w:rFonts w:ascii="Garamond" w:hAnsi="Garamond"/>
          <w:b/>
        </w:rPr>
        <w:t xml:space="preserve"> (2020</w:t>
      </w:r>
      <w:r w:rsidR="00F2273F" w:rsidRPr="00445472">
        <w:rPr>
          <w:rFonts w:ascii="Garamond" w:hAnsi="Garamond"/>
          <w:b/>
        </w:rPr>
        <w:t>–</w:t>
      </w:r>
      <w:r w:rsidRPr="00445472">
        <w:rPr>
          <w:rFonts w:ascii="Garamond" w:hAnsi="Garamond"/>
          <w:b/>
        </w:rPr>
        <w:t>2032)</w:t>
      </w:r>
    </w:p>
    <w:p w14:paraId="6B22EE65" w14:textId="6D1BBD65" w:rsidR="00410865" w:rsidRPr="00445472" w:rsidRDefault="00410865" w:rsidP="00410865">
      <w:pPr>
        <w:spacing w:after="0" w:line="240" w:lineRule="auto"/>
        <w:jc w:val="both"/>
        <w:rPr>
          <w:rFonts w:ascii="Garamond" w:hAnsi="Garamond"/>
          <w:b/>
        </w:rPr>
      </w:pPr>
      <w:r w:rsidRPr="00445472">
        <w:rPr>
          <w:rFonts w:ascii="Garamond" w:hAnsi="Garamond"/>
          <w:b/>
        </w:rPr>
        <w:t>Shënim 1</w:t>
      </w:r>
      <w:r w:rsidR="00A76C09" w:rsidRPr="00445472">
        <w:rPr>
          <w:rFonts w:ascii="Garamond" w:hAnsi="Garamond"/>
          <w:b/>
        </w:rPr>
        <w:t>.</w:t>
      </w:r>
      <w:r w:rsidRPr="00445472">
        <w:rPr>
          <w:rFonts w:ascii="Garamond" w:hAnsi="Garamond"/>
          <w:b/>
        </w:rPr>
        <w:t xml:space="preserve"> </w:t>
      </w:r>
      <w:r w:rsidRPr="00445472">
        <w:rPr>
          <w:rFonts w:ascii="Garamond" w:hAnsi="Garamond"/>
        </w:rPr>
        <w:t xml:space="preserve">Secila masë e propozuar përfaqësohet në tabelë si </w:t>
      </w:r>
      <w:r w:rsidR="00D62EDF" w:rsidRPr="00445472">
        <w:rPr>
          <w:rFonts w:ascii="Garamond" w:hAnsi="Garamond"/>
        </w:rPr>
        <w:t>“</w:t>
      </w:r>
      <w:r w:rsidRPr="00445472">
        <w:rPr>
          <w:rFonts w:ascii="Garamond" w:hAnsi="Garamond"/>
        </w:rPr>
        <w:t>bazë</w:t>
      </w:r>
      <w:r w:rsidR="00D62EDF" w:rsidRPr="00445472">
        <w:rPr>
          <w:rFonts w:ascii="Garamond" w:hAnsi="Garamond"/>
        </w:rPr>
        <w:t>”</w:t>
      </w:r>
      <w:r w:rsidRPr="00445472">
        <w:rPr>
          <w:rFonts w:ascii="Garamond" w:hAnsi="Garamond"/>
        </w:rPr>
        <w:t xml:space="preserve"> (kutia e kuqe) ose </w:t>
      </w:r>
      <w:r w:rsidR="00D62EDF" w:rsidRPr="00445472">
        <w:rPr>
          <w:rFonts w:ascii="Garamond" w:hAnsi="Garamond"/>
        </w:rPr>
        <w:t>“</w:t>
      </w:r>
      <w:r w:rsidRPr="00445472">
        <w:rPr>
          <w:rFonts w:ascii="Garamond" w:hAnsi="Garamond"/>
        </w:rPr>
        <w:t>plotësuese</w:t>
      </w:r>
      <w:r w:rsidR="00D62EDF" w:rsidRPr="00445472">
        <w:rPr>
          <w:rFonts w:ascii="Garamond" w:hAnsi="Garamond"/>
        </w:rPr>
        <w:t>”</w:t>
      </w:r>
      <w:r w:rsidRPr="00445472">
        <w:rPr>
          <w:rFonts w:ascii="Garamond" w:hAnsi="Garamond"/>
        </w:rPr>
        <w:t xml:space="preserve"> (kutia blu) sipas </w:t>
      </w:r>
      <w:r w:rsidR="00F2273F" w:rsidRPr="00445472">
        <w:rPr>
          <w:rFonts w:ascii="Garamond" w:hAnsi="Garamond"/>
        </w:rPr>
        <w:t xml:space="preserve">nenit </w:t>
      </w:r>
      <w:r w:rsidRPr="00445472">
        <w:rPr>
          <w:rFonts w:ascii="Garamond" w:hAnsi="Garamond"/>
        </w:rPr>
        <w:t>11 të DKU-së së BE-së</w:t>
      </w:r>
      <w:r w:rsidRPr="00445472">
        <w:rPr>
          <w:rStyle w:val="FootnoteReference"/>
          <w:rFonts w:ascii="Garamond" w:hAnsi="Garamond"/>
          <w:color w:val="auto"/>
        </w:rPr>
        <w:footnoteReference w:id="210"/>
      </w:r>
    </w:p>
    <w:p w14:paraId="36207CDF" w14:textId="4283EA95" w:rsidR="00410865" w:rsidRPr="00445472" w:rsidRDefault="00410865" w:rsidP="00410865">
      <w:pPr>
        <w:spacing w:after="0" w:line="240" w:lineRule="auto"/>
        <w:jc w:val="both"/>
        <w:rPr>
          <w:rFonts w:ascii="Garamond" w:hAnsi="Garamond"/>
        </w:rPr>
      </w:pPr>
      <w:r w:rsidRPr="00445472">
        <w:rPr>
          <w:rFonts w:ascii="Garamond" w:hAnsi="Garamond"/>
          <w:b/>
        </w:rPr>
        <w:t>Shënim 2</w:t>
      </w:r>
      <w:r w:rsidR="00A76C09" w:rsidRPr="00445472">
        <w:rPr>
          <w:rFonts w:ascii="Garamond" w:hAnsi="Garamond"/>
          <w:b/>
        </w:rPr>
        <w:t>.</w:t>
      </w:r>
      <w:r w:rsidRPr="00445472">
        <w:rPr>
          <w:rFonts w:ascii="Garamond" w:hAnsi="Garamond"/>
          <w:b/>
        </w:rPr>
        <w:t xml:space="preserve"> </w:t>
      </w:r>
      <w:r w:rsidRPr="00445472">
        <w:rPr>
          <w:rFonts w:ascii="Garamond" w:hAnsi="Garamond"/>
        </w:rPr>
        <w:t xml:space="preserve">Të gjitha masat i nënshtrohen raportimit të treguesve kyç të integrimit gjinor sipas </w:t>
      </w:r>
      <w:r w:rsidR="00F2273F" w:rsidRPr="00445472">
        <w:rPr>
          <w:rFonts w:ascii="Garamond" w:hAnsi="Garamond"/>
        </w:rPr>
        <w:t xml:space="preserve">tabelës </w:t>
      </w:r>
      <w:r w:rsidRPr="00445472">
        <w:rPr>
          <w:rFonts w:ascii="Garamond" w:hAnsi="Garamond"/>
        </w:rPr>
        <w:t>12.2</w:t>
      </w:r>
    </w:p>
    <w:p w14:paraId="33292231" w14:textId="77777777" w:rsidR="00410865" w:rsidRPr="00445472" w:rsidRDefault="00410865" w:rsidP="00410865">
      <w:pPr>
        <w:spacing w:after="0" w:line="240" w:lineRule="auto"/>
        <w:jc w:val="both"/>
        <w:rPr>
          <w:rFonts w:ascii="Garamond" w:hAnsi="Garamond"/>
        </w:rPr>
      </w:pPr>
    </w:p>
    <w:tbl>
      <w:tblPr>
        <w:tblW w:w="14615" w:type="dxa"/>
        <w:jc w:val="center"/>
        <w:tblBorders>
          <w:top w:val="single" w:sz="2" w:space="0" w:color="9FA2A1"/>
          <w:left w:val="single" w:sz="2" w:space="0" w:color="9FA2A1"/>
          <w:bottom w:val="single" w:sz="2" w:space="0" w:color="9FA2A1"/>
          <w:right w:val="single" w:sz="2" w:space="0" w:color="9FA2A1"/>
          <w:insideH w:val="single" w:sz="2" w:space="0" w:color="9FA2A1"/>
          <w:insideV w:val="single" w:sz="2" w:space="0" w:color="9FA2A1"/>
        </w:tblBorders>
        <w:tblLayout w:type="fixed"/>
        <w:tblLook w:val="04A0" w:firstRow="1" w:lastRow="0" w:firstColumn="1" w:lastColumn="0" w:noHBand="0" w:noVBand="1"/>
      </w:tblPr>
      <w:tblGrid>
        <w:gridCol w:w="3682"/>
        <w:gridCol w:w="1275"/>
        <w:gridCol w:w="1560"/>
        <w:gridCol w:w="2556"/>
        <w:gridCol w:w="566"/>
        <w:gridCol w:w="426"/>
        <w:gridCol w:w="425"/>
        <w:gridCol w:w="425"/>
        <w:gridCol w:w="425"/>
        <w:gridCol w:w="372"/>
        <w:gridCol w:w="422"/>
        <w:gridCol w:w="422"/>
        <w:gridCol w:w="344"/>
        <w:gridCol w:w="491"/>
        <w:gridCol w:w="431"/>
        <w:gridCol w:w="422"/>
        <w:gridCol w:w="357"/>
        <w:gridCol w:w="14"/>
      </w:tblGrid>
      <w:tr w:rsidR="00410865" w:rsidRPr="00445472" w14:paraId="66A8207C" w14:textId="77777777" w:rsidTr="00410865">
        <w:trPr>
          <w:gridAfter w:val="1"/>
          <w:wAfter w:w="14" w:type="dxa"/>
          <w:trHeight w:val="403"/>
          <w:tblHeader/>
          <w:jc w:val="center"/>
        </w:trPr>
        <w:tc>
          <w:tcPr>
            <w:tcW w:w="3682" w:type="dxa"/>
            <w:vMerge w:val="restart"/>
            <w:shd w:val="clear" w:color="auto" w:fill="BFBFBF"/>
            <w:vAlign w:val="center"/>
          </w:tcPr>
          <w:bookmarkEnd w:id="291"/>
          <w:p w14:paraId="17634B4F" w14:textId="4CDEEF6C" w:rsidR="00410865" w:rsidRPr="00445472" w:rsidRDefault="00410865" w:rsidP="004B51C9">
            <w:pPr>
              <w:pStyle w:val="TableTextCentre"/>
              <w:spacing w:before="120" w:after="0"/>
              <w:rPr>
                <w:rFonts w:ascii="Garamond" w:hAnsi="Garamond"/>
                <w:b/>
                <w:lang w:val="sq-AL"/>
              </w:rPr>
            </w:pPr>
            <w:r w:rsidRPr="00445472">
              <w:rPr>
                <w:rFonts w:ascii="Garamond" w:hAnsi="Garamond"/>
                <w:b/>
                <w:lang w:val="sq-AL"/>
              </w:rPr>
              <w:t xml:space="preserve">Objektivi/Veprimet </w:t>
            </w:r>
            <w:r w:rsidR="004B51C9" w:rsidRPr="00445472">
              <w:rPr>
                <w:rFonts w:ascii="Garamond" w:hAnsi="Garamond"/>
                <w:b/>
                <w:lang w:val="sq-AL"/>
              </w:rPr>
              <w:t xml:space="preserve">mjedisore dhe masat e </w:t>
            </w:r>
            <w:r w:rsidRPr="00445472">
              <w:rPr>
                <w:rFonts w:ascii="Garamond" w:hAnsi="Garamond"/>
                <w:b/>
                <w:lang w:val="sq-AL"/>
              </w:rPr>
              <w:t xml:space="preserve">propozuara </w:t>
            </w:r>
          </w:p>
        </w:tc>
        <w:tc>
          <w:tcPr>
            <w:tcW w:w="1275" w:type="dxa"/>
            <w:vMerge w:val="restart"/>
            <w:shd w:val="clear" w:color="auto" w:fill="BFBFBF"/>
            <w:vAlign w:val="center"/>
          </w:tcPr>
          <w:p w14:paraId="574CD670" w14:textId="77777777" w:rsidR="00410865" w:rsidRPr="00445472" w:rsidRDefault="00410865" w:rsidP="00410865">
            <w:pPr>
              <w:pStyle w:val="TableTextCentre"/>
              <w:spacing w:before="120" w:after="0"/>
              <w:rPr>
                <w:rFonts w:ascii="Garamond" w:hAnsi="Garamond"/>
                <w:b/>
                <w:lang w:val="sq-AL"/>
              </w:rPr>
            </w:pPr>
            <w:r w:rsidRPr="00445472">
              <w:rPr>
                <w:rFonts w:ascii="Garamond" w:hAnsi="Garamond"/>
                <w:b/>
                <w:lang w:val="sq-AL"/>
              </w:rPr>
              <w:t>Vlera e llogaritur</w:t>
            </w:r>
          </w:p>
          <w:p w14:paraId="39CB5E21" w14:textId="3B7B9A94" w:rsidR="00410865" w:rsidRPr="00445472" w:rsidRDefault="00410865" w:rsidP="00410865">
            <w:pPr>
              <w:pStyle w:val="TableTextCentre"/>
              <w:spacing w:before="120" w:after="0"/>
              <w:rPr>
                <w:rFonts w:ascii="Garamond" w:hAnsi="Garamond"/>
                <w:b/>
                <w:lang w:val="sq-AL"/>
              </w:rPr>
            </w:pPr>
            <w:r w:rsidRPr="00445472">
              <w:rPr>
                <w:rFonts w:ascii="Garamond" w:hAnsi="Garamond"/>
                <w:b/>
                <w:lang w:val="sq-AL"/>
              </w:rPr>
              <w:t>(</w:t>
            </w:r>
            <w:r w:rsidR="004B51C9" w:rsidRPr="00445472">
              <w:rPr>
                <w:rFonts w:ascii="Garamond" w:hAnsi="Garamond"/>
                <w:b/>
                <w:lang w:val="sq-AL"/>
              </w:rPr>
              <w:t xml:space="preserve">milion </w:t>
            </w:r>
            <w:r w:rsidRPr="00445472">
              <w:rPr>
                <w:rFonts w:ascii="Garamond" w:hAnsi="Garamond"/>
                <w:b/>
                <w:lang w:val="sq-AL"/>
              </w:rPr>
              <w:t>euro)</w:t>
            </w:r>
          </w:p>
        </w:tc>
        <w:tc>
          <w:tcPr>
            <w:tcW w:w="1560" w:type="dxa"/>
            <w:vMerge w:val="restart"/>
            <w:shd w:val="clear" w:color="auto" w:fill="BFBFBF"/>
            <w:vAlign w:val="center"/>
          </w:tcPr>
          <w:p w14:paraId="49E6F0DA" w14:textId="639F4681" w:rsidR="00410865" w:rsidRPr="00445472" w:rsidRDefault="00410865" w:rsidP="00F2273F">
            <w:pPr>
              <w:pStyle w:val="TableTextCentre"/>
              <w:spacing w:before="120" w:after="0"/>
              <w:rPr>
                <w:rFonts w:ascii="Garamond" w:hAnsi="Garamond"/>
                <w:b/>
                <w:lang w:val="sq-AL"/>
              </w:rPr>
            </w:pPr>
            <w:r w:rsidRPr="00445472">
              <w:rPr>
                <w:rFonts w:ascii="Garamond" w:hAnsi="Garamond"/>
                <w:b/>
                <w:lang w:val="sq-AL"/>
              </w:rPr>
              <w:t xml:space="preserve">Institucionet zbatuese kryesore </w:t>
            </w:r>
            <w:r w:rsidR="00F2273F" w:rsidRPr="00445472">
              <w:rPr>
                <w:rFonts w:ascii="Garamond" w:hAnsi="Garamond"/>
                <w:b/>
                <w:lang w:val="sq-AL"/>
              </w:rPr>
              <w:t>dhe</w:t>
            </w:r>
            <w:r w:rsidRPr="00445472">
              <w:rPr>
                <w:rFonts w:ascii="Garamond" w:hAnsi="Garamond"/>
                <w:b/>
                <w:lang w:val="sq-AL"/>
              </w:rPr>
              <w:t xml:space="preserve"> mbështetëse</w:t>
            </w:r>
            <w:r w:rsidRPr="00445472">
              <w:rPr>
                <w:rStyle w:val="FootnoteReference"/>
                <w:rFonts w:ascii="Garamond" w:hAnsi="Garamond"/>
                <w:b/>
                <w:color w:val="auto"/>
                <w:szCs w:val="16"/>
                <w:lang w:val="sq-AL"/>
              </w:rPr>
              <w:footnoteReference w:id="211"/>
            </w:r>
          </w:p>
        </w:tc>
        <w:tc>
          <w:tcPr>
            <w:tcW w:w="2556" w:type="dxa"/>
            <w:vMerge w:val="restart"/>
            <w:shd w:val="clear" w:color="auto" w:fill="BFBFBF"/>
            <w:vAlign w:val="center"/>
          </w:tcPr>
          <w:p w14:paraId="3BB2C55F" w14:textId="77777777" w:rsidR="00410865" w:rsidRPr="00445472" w:rsidRDefault="00410865" w:rsidP="00410865">
            <w:pPr>
              <w:pStyle w:val="TableTextCentre"/>
              <w:spacing w:before="120" w:after="0"/>
              <w:rPr>
                <w:rFonts w:ascii="Garamond" w:hAnsi="Garamond"/>
                <w:b/>
                <w:lang w:val="sq-AL"/>
              </w:rPr>
            </w:pPr>
            <w:r w:rsidRPr="00445472">
              <w:rPr>
                <w:rFonts w:ascii="Garamond" w:hAnsi="Garamond"/>
                <w:b/>
                <w:lang w:val="sq-AL"/>
              </w:rPr>
              <w:t>Lloji i financimit të pritshëm</w:t>
            </w:r>
          </w:p>
        </w:tc>
        <w:tc>
          <w:tcPr>
            <w:tcW w:w="1417" w:type="dxa"/>
            <w:gridSpan w:val="3"/>
            <w:shd w:val="clear" w:color="auto" w:fill="D2E7F6"/>
            <w:vAlign w:val="center"/>
          </w:tcPr>
          <w:p w14:paraId="544A8FBF" w14:textId="77777777" w:rsidR="00410865" w:rsidRPr="00445472" w:rsidRDefault="00410865" w:rsidP="00410865">
            <w:pPr>
              <w:pStyle w:val="TableTextCentre"/>
              <w:keepNext/>
              <w:pageBreakBefore/>
              <w:spacing w:before="120" w:after="0"/>
              <w:rPr>
                <w:rFonts w:ascii="Garamond" w:hAnsi="Garamond"/>
                <w:b/>
                <w:lang w:val="sq-AL"/>
              </w:rPr>
            </w:pPr>
            <w:r w:rsidRPr="00445472">
              <w:rPr>
                <w:rFonts w:ascii="Garamond" w:hAnsi="Garamond"/>
                <w:b/>
                <w:lang w:val="sq-AL"/>
              </w:rPr>
              <w:t xml:space="preserve">Afatshkurtër </w:t>
            </w:r>
          </w:p>
        </w:tc>
        <w:tc>
          <w:tcPr>
            <w:tcW w:w="2410" w:type="dxa"/>
            <w:gridSpan w:val="6"/>
            <w:shd w:val="clear" w:color="auto" w:fill="99C8E5"/>
            <w:vAlign w:val="center"/>
          </w:tcPr>
          <w:p w14:paraId="4B79821B" w14:textId="77777777" w:rsidR="00410865" w:rsidRPr="00445472" w:rsidRDefault="00410865" w:rsidP="00410865">
            <w:pPr>
              <w:pStyle w:val="TableTextCentre"/>
              <w:keepNext/>
              <w:pageBreakBefore/>
              <w:spacing w:before="120" w:after="0"/>
              <w:rPr>
                <w:rFonts w:ascii="Garamond" w:hAnsi="Garamond"/>
                <w:b/>
                <w:lang w:val="sq-AL"/>
              </w:rPr>
            </w:pPr>
            <w:r w:rsidRPr="00445472">
              <w:rPr>
                <w:rFonts w:ascii="Garamond" w:hAnsi="Garamond"/>
                <w:b/>
                <w:lang w:val="sq-AL"/>
              </w:rPr>
              <w:t>Afatmesëm</w:t>
            </w:r>
          </w:p>
        </w:tc>
        <w:tc>
          <w:tcPr>
            <w:tcW w:w="1701" w:type="dxa"/>
            <w:gridSpan w:val="4"/>
            <w:shd w:val="clear" w:color="auto" w:fill="276F9A"/>
            <w:vAlign w:val="center"/>
          </w:tcPr>
          <w:p w14:paraId="0F8118FB" w14:textId="77777777" w:rsidR="00410865" w:rsidRPr="00445472" w:rsidRDefault="00410865" w:rsidP="00410865">
            <w:pPr>
              <w:pStyle w:val="TableTextCentre"/>
              <w:keepNext/>
              <w:pageBreakBefore/>
              <w:spacing w:before="120" w:after="0"/>
              <w:rPr>
                <w:rFonts w:ascii="Garamond" w:hAnsi="Garamond"/>
                <w:b/>
                <w:lang w:val="sq-AL"/>
              </w:rPr>
            </w:pPr>
            <w:r w:rsidRPr="00445472">
              <w:rPr>
                <w:rFonts w:ascii="Garamond" w:hAnsi="Garamond"/>
                <w:b/>
                <w:lang w:val="sq-AL"/>
              </w:rPr>
              <w:t>Afatgjatë</w:t>
            </w:r>
          </w:p>
        </w:tc>
      </w:tr>
      <w:tr w:rsidR="00410865" w:rsidRPr="00445472" w14:paraId="7DEB9243" w14:textId="77777777" w:rsidTr="00410865">
        <w:trPr>
          <w:gridAfter w:val="1"/>
          <w:wAfter w:w="14" w:type="dxa"/>
          <w:cantSplit/>
          <w:trHeight w:val="795"/>
          <w:tblHeader/>
          <w:jc w:val="center"/>
        </w:trPr>
        <w:tc>
          <w:tcPr>
            <w:tcW w:w="3682" w:type="dxa"/>
            <w:vMerge/>
            <w:shd w:val="clear" w:color="auto" w:fill="BFBFBF"/>
            <w:vAlign w:val="center"/>
          </w:tcPr>
          <w:p w14:paraId="5AF323F0" w14:textId="77777777" w:rsidR="00410865" w:rsidRPr="00445472" w:rsidRDefault="00410865" w:rsidP="00410865">
            <w:pPr>
              <w:pStyle w:val="TableTextCentre"/>
              <w:spacing w:after="0"/>
              <w:rPr>
                <w:rFonts w:ascii="Garamond" w:hAnsi="Garamond"/>
                <w:b/>
                <w:lang w:val="sq-AL"/>
              </w:rPr>
            </w:pPr>
          </w:p>
        </w:tc>
        <w:tc>
          <w:tcPr>
            <w:tcW w:w="1275" w:type="dxa"/>
            <w:vMerge/>
            <w:shd w:val="clear" w:color="auto" w:fill="BFBFBF"/>
            <w:vAlign w:val="center"/>
          </w:tcPr>
          <w:p w14:paraId="3CB6A7CC" w14:textId="77777777" w:rsidR="00410865" w:rsidRPr="00445472" w:rsidRDefault="00410865" w:rsidP="00410865">
            <w:pPr>
              <w:pStyle w:val="TableTextCentre"/>
              <w:spacing w:after="0"/>
              <w:rPr>
                <w:rFonts w:ascii="Garamond" w:hAnsi="Garamond"/>
                <w:b/>
                <w:lang w:val="sq-AL"/>
              </w:rPr>
            </w:pPr>
          </w:p>
        </w:tc>
        <w:tc>
          <w:tcPr>
            <w:tcW w:w="1560" w:type="dxa"/>
            <w:vMerge/>
            <w:shd w:val="clear" w:color="auto" w:fill="BFBFBF"/>
            <w:vAlign w:val="center"/>
          </w:tcPr>
          <w:p w14:paraId="46500F61" w14:textId="77777777" w:rsidR="00410865" w:rsidRPr="00445472" w:rsidRDefault="00410865" w:rsidP="00410865">
            <w:pPr>
              <w:pStyle w:val="TableTextCentre"/>
              <w:spacing w:after="0"/>
              <w:rPr>
                <w:rFonts w:ascii="Garamond" w:hAnsi="Garamond"/>
                <w:b/>
                <w:lang w:val="sq-AL"/>
              </w:rPr>
            </w:pPr>
          </w:p>
        </w:tc>
        <w:tc>
          <w:tcPr>
            <w:tcW w:w="2556" w:type="dxa"/>
            <w:vMerge/>
            <w:shd w:val="clear" w:color="auto" w:fill="BFBFBF"/>
            <w:vAlign w:val="center"/>
          </w:tcPr>
          <w:p w14:paraId="086AE704" w14:textId="77777777" w:rsidR="00410865" w:rsidRPr="00445472" w:rsidRDefault="00410865" w:rsidP="00410865">
            <w:pPr>
              <w:pStyle w:val="TableTextCentre"/>
              <w:spacing w:after="0"/>
              <w:rPr>
                <w:rFonts w:ascii="Garamond" w:hAnsi="Garamond"/>
                <w:b/>
                <w:lang w:val="sq-AL"/>
              </w:rPr>
            </w:pPr>
          </w:p>
        </w:tc>
        <w:tc>
          <w:tcPr>
            <w:tcW w:w="566" w:type="dxa"/>
            <w:shd w:val="clear" w:color="auto" w:fill="D2E7F6"/>
            <w:textDirection w:val="btLr"/>
            <w:vAlign w:val="center"/>
          </w:tcPr>
          <w:p w14:paraId="082D31B7"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2021</w:t>
            </w:r>
          </w:p>
        </w:tc>
        <w:tc>
          <w:tcPr>
            <w:tcW w:w="426" w:type="dxa"/>
            <w:shd w:val="clear" w:color="auto" w:fill="D2E7F6"/>
            <w:textDirection w:val="btLr"/>
            <w:vAlign w:val="center"/>
          </w:tcPr>
          <w:p w14:paraId="48D8E1DE"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2022</w:t>
            </w:r>
          </w:p>
        </w:tc>
        <w:tc>
          <w:tcPr>
            <w:tcW w:w="425" w:type="dxa"/>
            <w:shd w:val="clear" w:color="auto" w:fill="D2E7F6"/>
            <w:textDirection w:val="btLr"/>
            <w:vAlign w:val="center"/>
          </w:tcPr>
          <w:p w14:paraId="435DD7D1"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2023</w:t>
            </w:r>
          </w:p>
        </w:tc>
        <w:tc>
          <w:tcPr>
            <w:tcW w:w="425" w:type="dxa"/>
            <w:shd w:val="clear" w:color="auto" w:fill="99C8E5"/>
            <w:textDirection w:val="btLr"/>
            <w:vAlign w:val="center"/>
          </w:tcPr>
          <w:p w14:paraId="022D426C"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2024</w:t>
            </w:r>
          </w:p>
        </w:tc>
        <w:tc>
          <w:tcPr>
            <w:tcW w:w="425" w:type="dxa"/>
            <w:shd w:val="clear" w:color="auto" w:fill="99C8E5"/>
            <w:textDirection w:val="btLr"/>
            <w:vAlign w:val="center"/>
          </w:tcPr>
          <w:p w14:paraId="1D59E661"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2025</w:t>
            </w:r>
          </w:p>
        </w:tc>
        <w:tc>
          <w:tcPr>
            <w:tcW w:w="372" w:type="dxa"/>
            <w:shd w:val="clear" w:color="auto" w:fill="99C8E5"/>
            <w:textDirection w:val="btLr"/>
            <w:vAlign w:val="center"/>
          </w:tcPr>
          <w:p w14:paraId="1CE7D31C"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2026</w:t>
            </w:r>
          </w:p>
        </w:tc>
        <w:tc>
          <w:tcPr>
            <w:tcW w:w="422" w:type="dxa"/>
            <w:shd w:val="clear" w:color="auto" w:fill="99C8E5"/>
            <w:textDirection w:val="btLr"/>
            <w:vAlign w:val="center"/>
          </w:tcPr>
          <w:p w14:paraId="049AA8AD"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2027</w:t>
            </w:r>
          </w:p>
        </w:tc>
        <w:tc>
          <w:tcPr>
            <w:tcW w:w="422" w:type="dxa"/>
            <w:shd w:val="clear" w:color="auto" w:fill="99C8E5"/>
            <w:textDirection w:val="btLr"/>
            <w:vAlign w:val="center"/>
          </w:tcPr>
          <w:p w14:paraId="3C459D9C"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2028</w:t>
            </w:r>
          </w:p>
        </w:tc>
        <w:tc>
          <w:tcPr>
            <w:tcW w:w="344" w:type="dxa"/>
            <w:shd w:val="clear" w:color="auto" w:fill="99C8E5"/>
            <w:textDirection w:val="btLr"/>
            <w:vAlign w:val="center"/>
          </w:tcPr>
          <w:p w14:paraId="55BC3C51"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2029</w:t>
            </w:r>
          </w:p>
        </w:tc>
        <w:tc>
          <w:tcPr>
            <w:tcW w:w="491" w:type="dxa"/>
            <w:shd w:val="clear" w:color="auto" w:fill="276F9A"/>
            <w:textDirection w:val="btLr"/>
            <w:vAlign w:val="center"/>
          </w:tcPr>
          <w:p w14:paraId="3162D6AE"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2030</w:t>
            </w:r>
          </w:p>
        </w:tc>
        <w:tc>
          <w:tcPr>
            <w:tcW w:w="431" w:type="dxa"/>
            <w:shd w:val="clear" w:color="auto" w:fill="276F9A"/>
            <w:textDirection w:val="btLr"/>
            <w:vAlign w:val="center"/>
          </w:tcPr>
          <w:p w14:paraId="37D2903A"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2031</w:t>
            </w:r>
          </w:p>
        </w:tc>
        <w:tc>
          <w:tcPr>
            <w:tcW w:w="422" w:type="dxa"/>
            <w:shd w:val="clear" w:color="auto" w:fill="276F9A"/>
            <w:textDirection w:val="btLr"/>
            <w:vAlign w:val="center"/>
          </w:tcPr>
          <w:p w14:paraId="23F3D1B2"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2032</w:t>
            </w:r>
          </w:p>
        </w:tc>
        <w:tc>
          <w:tcPr>
            <w:tcW w:w="357" w:type="dxa"/>
            <w:shd w:val="clear" w:color="auto" w:fill="276F9A"/>
            <w:textDirection w:val="btLr"/>
            <w:vAlign w:val="center"/>
          </w:tcPr>
          <w:p w14:paraId="5BC05E39" w14:textId="77777777" w:rsidR="00410865" w:rsidRPr="00445472" w:rsidRDefault="00410865" w:rsidP="00410865">
            <w:pPr>
              <w:pStyle w:val="TableTextCentre"/>
              <w:spacing w:after="0"/>
              <w:ind w:left="113"/>
              <w:jc w:val="left"/>
              <w:rPr>
                <w:rFonts w:ascii="Garamond" w:hAnsi="Garamond"/>
                <w:b/>
                <w:lang w:val="sq-AL"/>
              </w:rPr>
            </w:pPr>
            <w:r w:rsidRPr="00445472">
              <w:rPr>
                <w:rFonts w:ascii="Garamond" w:hAnsi="Garamond"/>
                <w:b/>
                <w:lang w:val="sq-AL"/>
              </w:rPr>
              <w:t>2033</w:t>
            </w:r>
          </w:p>
        </w:tc>
      </w:tr>
      <w:tr w:rsidR="00410865" w:rsidRPr="00445472" w14:paraId="11D64B9D" w14:textId="77777777" w:rsidTr="00410865">
        <w:trPr>
          <w:jc w:val="center"/>
        </w:trPr>
        <w:tc>
          <w:tcPr>
            <w:tcW w:w="14615" w:type="dxa"/>
            <w:gridSpan w:val="18"/>
            <w:shd w:val="clear" w:color="auto" w:fill="auto"/>
            <w:vAlign w:val="center"/>
          </w:tcPr>
          <w:p w14:paraId="51570136" w14:textId="085D0055"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 xml:space="preserve">1. </w:t>
            </w:r>
            <w:r w:rsidRPr="00445472">
              <w:rPr>
                <w:rFonts w:ascii="Garamond" w:hAnsi="Garamond"/>
                <w:b/>
                <w:i/>
                <w:lang w:val="sq-AL"/>
              </w:rPr>
              <w:t xml:space="preserve">Nxitja e përdorimit të qëndrueshëm të burimeve ujore, shpërndarja e tyre e drejtë midis përdoruesve, maksimizimi i përfitimeve ekonomike në lidhje me kushtet mjedisore dhe parimet e menaxhimit të </w:t>
            </w:r>
            <w:r w:rsidR="004B51C9" w:rsidRPr="00445472">
              <w:rPr>
                <w:rFonts w:ascii="Garamond" w:hAnsi="Garamond"/>
                <w:b/>
                <w:i/>
                <w:lang w:val="sq-AL"/>
              </w:rPr>
              <w:t>qëndrueshëm</w:t>
            </w:r>
            <w:r w:rsidRPr="00445472">
              <w:rPr>
                <w:rFonts w:ascii="Garamond" w:hAnsi="Garamond"/>
                <w:b/>
                <w:i/>
                <w:lang w:val="sq-AL"/>
              </w:rPr>
              <w:t>.</w:t>
            </w:r>
          </w:p>
        </w:tc>
      </w:tr>
      <w:tr w:rsidR="00410865" w:rsidRPr="00445472" w14:paraId="02DBCFE5" w14:textId="77777777" w:rsidTr="00410865">
        <w:trPr>
          <w:trHeight w:val="187"/>
          <w:jc w:val="center"/>
        </w:trPr>
        <w:tc>
          <w:tcPr>
            <w:tcW w:w="14615" w:type="dxa"/>
            <w:gridSpan w:val="18"/>
            <w:tcBorders>
              <w:bottom w:val="single" w:sz="4" w:space="0" w:color="auto"/>
            </w:tcBorders>
            <w:shd w:val="clear" w:color="auto" w:fill="auto"/>
            <w:vAlign w:val="center"/>
          </w:tcPr>
          <w:p w14:paraId="651F7517"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 xml:space="preserve">1a) Furnizimi i përmirësuar me ujë </w:t>
            </w:r>
          </w:p>
        </w:tc>
      </w:tr>
      <w:tr w:rsidR="00410865" w:rsidRPr="00445472" w14:paraId="47D686A0" w14:textId="77777777" w:rsidTr="00410865">
        <w:trPr>
          <w:gridAfter w:val="1"/>
          <w:wAfter w:w="14" w:type="dxa"/>
          <w:trHeight w:val="1542"/>
          <w:jc w:val="center"/>
        </w:trPr>
        <w:tc>
          <w:tcPr>
            <w:tcW w:w="3682" w:type="dxa"/>
            <w:vMerge w:val="restart"/>
            <w:shd w:val="clear" w:color="auto" w:fill="auto"/>
            <w:vAlign w:val="center"/>
          </w:tcPr>
          <w:p w14:paraId="45C3442E" w14:textId="53C65D33" w:rsidR="00410865" w:rsidRPr="00445472" w:rsidRDefault="00410865" w:rsidP="00C83744">
            <w:pPr>
              <w:pStyle w:val="TableTextCentre"/>
              <w:spacing w:after="0"/>
              <w:jc w:val="left"/>
              <w:rPr>
                <w:rFonts w:ascii="Garamond" w:hAnsi="Garamond"/>
                <w:lang w:val="sq-AL"/>
              </w:rPr>
            </w:pPr>
            <w:r w:rsidRPr="00445472">
              <w:rPr>
                <w:rFonts w:ascii="Garamond" w:hAnsi="Garamond"/>
                <w:lang w:val="sq-AL"/>
              </w:rPr>
              <w:t>Studim mbi përfundimin e të gjithë pusit të nxjerrjes, stacionit të pompimit dhe depozitave të ujit në përputhje me kërkesat e VKM-së nr. 379 të datës 25.5</w:t>
            </w:r>
            <w:r w:rsidR="00C83744">
              <w:rPr>
                <w:rFonts w:ascii="Garamond" w:hAnsi="Garamond"/>
                <w:lang w:val="sq-AL"/>
              </w:rPr>
              <w:t>.</w:t>
            </w:r>
            <w:r w:rsidRPr="00445472">
              <w:rPr>
                <w:rFonts w:ascii="Garamond" w:hAnsi="Garamond"/>
                <w:lang w:val="sq-AL"/>
              </w:rPr>
              <w:t>2016</w:t>
            </w:r>
            <w:r w:rsidR="00D62EDF" w:rsidRPr="00445472">
              <w:rPr>
                <w:rFonts w:ascii="Garamond" w:hAnsi="Garamond"/>
                <w:lang w:val="sq-AL"/>
              </w:rPr>
              <w:t xml:space="preserve">, “Për </w:t>
            </w:r>
            <w:r w:rsidR="004B51C9" w:rsidRPr="00445472">
              <w:rPr>
                <w:rFonts w:ascii="Garamond" w:hAnsi="Garamond"/>
                <w:lang w:val="sq-AL"/>
              </w:rPr>
              <w:t>miratimin e rregullores për cilësinë e ujit të pijshëm</w:t>
            </w:r>
            <w:r w:rsidR="00D62EDF" w:rsidRPr="00445472">
              <w:rPr>
                <w:rFonts w:ascii="Garamond" w:hAnsi="Garamond"/>
                <w:lang w:val="sq-AL"/>
              </w:rPr>
              <w:t>”</w:t>
            </w:r>
            <w:r w:rsidRPr="00445472">
              <w:rPr>
                <w:rFonts w:ascii="Garamond" w:hAnsi="Garamond"/>
                <w:lang w:val="sq-AL"/>
              </w:rPr>
              <w:t>, duke përfshirë zonën e kanalizimeve.</w:t>
            </w:r>
          </w:p>
        </w:tc>
        <w:tc>
          <w:tcPr>
            <w:tcW w:w="1275" w:type="dxa"/>
            <w:vMerge w:val="restart"/>
            <w:shd w:val="clear" w:color="auto" w:fill="auto"/>
            <w:vAlign w:val="center"/>
          </w:tcPr>
          <w:p w14:paraId="6F1B7732" w14:textId="77777777" w:rsidR="00410865" w:rsidRPr="00445472" w:rsidRDefault="00410865" w:rsidP="00410865">
            <w:pPr>
              <w:pStyle w:val="TableTextCentre"/>
              <w:spacing w:after="0"/>
              <w:rPr>
                <w:rFonts w:ascii="Garamond" w:hAnsi="Garamond"/>
                <w:lang w:val="sq-AL"/>
              </w:rPr>
            </w:pPr>
          </w:p>
          <w:p w14:paraId="0BB8ABE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vMerge w:val="restart"/>
            <w:shd w:val="clear" w:color="auto" w:fill="auto"/>
            <w:vAlign w:val="center"/>
          </w:tcPr>
          <w:p w14:paraId="46A6B42C" w14:textId="77777777" w:rsidR="00410865" w:rsidRPr="00445472" w:rsidRDefault="00410865" w:rsidP="00410865">
            <w:pPr>
              <w:spacing w:after="0" w:line="240" w:lineRule="auto"/>
              <w:rPr>
                <w:rFonts w:ascii="Garamond" w:hAnsi="Garamond"/>
                <w:sz w:val="16"/>
                <w:szCs w:val="16"/>
              </w:rPr>
            </w:pPr>
            <w:r w:rsidRPr="00445472">
              <w:rPr>
                <w:rFonts w:ascii="Garamond" w:hAnsi="Garamond"/>
                <w:sz w:val="16"/>
                <w:szCs w:val="16"/>
              </w:rPr>
              <w:t xml:space="preserve">Ministria përgjegjëse për  ujësjellës-kanalizimet; </w:t>
            </w:r>
          </w:p>
        </w:tc>
        <w:tc>
          <w:tcPr>
            <w:tcW w:w="2556" w:type="dxa"/>
            <w:tcBorders>
              <w:bottom w:val="single" w:sz="4" w:space="0" w:color="auto"/>
            </w:tcBorders>
            <w:shd w:val="clear" w:color="auto" w:fill="auto"/>
            <w:vAlign w:val="center"/>
          </w:tcPr>
          <w:p w14:paraId="045AE93C" w14:textId="77777777" w:rsidR="00410865" w:rsidRPr="00445472" w:rsidRDefault="00410865" w:rsidP="00410865">
            <w:pPr>
              <w:pStyle w:val="TableTextCentre"/>
              <w:spacing w:after="0"/>
              <w:jc w:val="left"/>
              <w:rPr>
                <w:rFonts w:ascii="Garamond" w:hAnsi="Garamond"/>
                <w:lang w:val="sq-AL"/>
              </w:rPr>
            </w:pPr>
          </w:p>
          <w:p w14:paraId="2EB24FD5" w14:textId="77777777" w:rsidR="00410865" w:rsidRPr="00445472" w:rsidRDefault="00410865" w:rsidP="00410865">
            <w:pPr>
              <w:pStyle w:val="TableTextCentre"/>
              <w:spacing w:after="0"/>
              <w:rPr>
                <w:rFonts w:ascii="Garamond" w:hAnsi="Garamond"/>
                <w:b/>
                <w:lang w:val="sq-AL"/>
              </w:rPr>
            </w:pPr>
          </w:p>
          <w:p w14:paraId="09AD583A" w14:textId="77777777" w:rsidR="00410865" w:rsidRPr="00445472" w:rsidRDefault="00410865" w:rsidP="00410865">
            <w:pPr>
              <w:pStyle w:val="TableTextCentre"/>
              <w:spacing w:after="0"/>
              <w:rPr>
                <w:rFonts w:ascii="Garamond" w:hAnsi="Garamond"/>
                <w:lang w:val="sq-AL"/>
              </w:rPr>
            </w:pPr>
          </w:p>
          <w:p w14:paraId="5A1E653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r w:rsidRPr="00445472">
              <w:rPr>
                <w:rStyle w:val="FootnoteReference"/>
                <w:rFonts w:ascii="Garamond" w:hAnsi="Garamond"/>
                <w:color w:val="auto"/>
                <w:szCs w:val="16"/>
                <w:lang w:val="sq-AL"/>
              </w:rPr>
              <w:footnoteReference w:id="212"/>
            </w:r>
            <w:r w:rsidRPr="00445472">
              <w:rPr>
                <w:rFonts w:ascii="Garamond" w:hAnsi="Garamond"/>
                <w:lang w:val="sq-AL"/>
              </w:rPr>
              <w:t xml:space="preserve"> </w:t>
            </w:r>
          </w:p>
        </w:tc>
        <w:tc>
          <w:tcPr>
            <w:tcW w:w="566" w:type="dxa"/>
            <w:vMerge w:val="restart"/>
            <w:shd w:val="clear" w:color="auto" w:fill="D2E7F6"/>
            <w:vAlign w:val="center"/>
          </w:tcPr>
          <w:p w14:paraId="5B1EA987"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6" w:type="dxa"/>
            <w:vMerge w:val="restart"/>
            <w:shd w:val="clear" w:color="auto" w:fill="D2E7F6"/>
            <w:vAlign w:val="center"/>
          </w:tcPr>
          <w:p w14:paraId="425A8E1D"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vMerge w:val="restart"/>
            <w:shd w:val="clear" w:color="auto" w:fill="D2E7F6"/>
            <w:vAlign w:val="center"/>
          </w:tcPr>
          <w:p w14:paraId="270AC1DB" w14:textId="77777777" w:rsidR="00410865" w:rsidRPr="00445472" w:rsidRDefault="00410865" w:rsidP="0080598D">
            <w:pPr>
              <w:pStyle w:val="TableTextCentre"/>
              <w:keepNext/>
              <w:numPr>
                <w:ilvl w:val="2"/>
                <w:numId w:val="2"/>
              </w:numPr>
              <w:spacing w:after="0"/>
              <w:jc w:val="left"/>
              <w:outlineLvl w:val="2"/>
              <w:rPr>
                <w:rFonts w:ascii="Garamond" w:hAnsi="Garamond"/>
                <w:lang w:val="sq-AL"/>
              </w:rPr>
            </w:pPr>
          </w:p>
        </w:tc>
        <w:tc>
          <w:tcPr>
            <w:tcW w:w="425" w:type="dxa"/>
            <w:vMerge w:val="restart"/>
            <w:shd w:val="clear" w:color="auto" w:fill="99C8E5"/>
            <w:vAlign w:val="center"/>
          </w:tcPr>
          <w:p w14:paraId="62BBC7CC" w14:textId="77777777" w:rsidR="00410865" w:rsidRPr="00445472" w:rsidRDefault="00410865" w:rsidP="00410865">
            <w:pPr>
              <w:pStyle w:val="TableTextCentre"/>
              <w:spacing w:after="0"/>
              <w:rPr>
                <w:rFonts w:ascii="Garamond" w:hAnsi="Garamond"/>
                <w:lang w:val="sq-AL"/>
              </w:rPr>
            </w:pPr>
          </w:p>
        </w:tc>
        <w:tc>
          <w:tcPr>
            <w:tcW w:w="425" w:type="dxa"/>
            <w:vMerge w:val="restart"/>
            <w:shd w:val="clear" w:color="auto" w:fill="99C8E5"/>
            <w:vAlign w:val="center"/>
          </w:tcPr>
          <w:p w14:paraId="58ECC3C3" w14:textId="77777777" w:rsidR="00410865" w:rsidRPr="00445472" w:rsidRDefault="00410865" w:rsidP="00410865">
            <w:pPr>
              <w:pStyle w:val="TableTextCentre"/>
              <w:spacing w:after="0"/>
              <w:rPr>
                <w:rFonts w:ascii="Garamond" w:hAnsi="Garamond"/>
                <w:lang w:val="sq-AL"/>
              </w:rPr>
            </w:pPr>
          </w:p>
        </w:tc>
        <w:tc>
          <w:tcPr>
            <w:tcW w:w="372" w:type="dxa"/>
            <w:vMerge w:val="restart"/>
            <w:shd w:val="clear" w:color="auto" w:fill="99C8E5"/>
            <w:vAlign w:val="center"/>
          </w:tcPr>
          <w:p w14:paraId="0E1EE3D6" w14:textId="77777777" w:rsidR="00410865" w:rsidRPr="00445472" w:rsidRDefault="00410865" w:rsidP="00410865">
            <w:pPr>
              <w:pStyle w:val="TableTextCentre"/>
              <w:spacing w:after="0"/>
              <w:rPr>
                <w:rFonts w:ascii="Garamond" w:hAnsi="Garamond"/>
                <w:lang w:val="sq-AL"/>
              </w:rPr>
            </w:pPr>
          </w:p>
        </w:tc>
        <w:tc>
          <w:tcPr>
            <w:tcW w:w="422" w:type="dxa"/>
            <w:vMerge w:val="restart"/>
            <w:shd w:val="clear" w:color="auto" w:fill="99C8E5"/>
            <w:vAlign w:val="center"/>
          </w:tcPr>
          <w:p w14:paraId="521753F8" w14:textId="77777777" w:rsidR="00410865" w:rsidRPr="00445472" w:rsidRDefault="00410865" w:rsidP="00410865">
            <w:pPr>
              <w:pStyle w:val="TableTextCentre"/>
              <w:spacing w:after="0"/>
              <w:rPr>
                <w:rFonts w:ascii="Garamond" w:hAnsi="Garamond"/>
                <w:lang w:val="sq-AL"/>
              </w:rPr>
            </w:pPr>
          </w:p>
        </w:tc>
        <w:tc>
          <w:tcPr>
            <w:tcW w:w="422" w:type="dxa"/>
            <w:vMerge w:val="restart"/>
            <w:shd w:val="clear" w:color="auto" w:fill="99C8E5"/>
            <w:vAlign w:val="center"/>
          </w:tcPr>
          <w:p w14:paraId="63FD3904" w14:textId="77777777" w:rsidR="00410865" w:rsidRPr="00445472" w:rsidRDefault="00410865" w:rsidP="00410865">
            <w:pPr>
              <w:pStyle w:val="TableTextCentre"/>
              <w:spacing w:after="0"/>
              <w:rPr>
                <w:rFonts w:ascii="Garamond" w:hAnsi="Garamond"/>
                <w:lang w:val="sq-AL"/>
              </w:rPr>
            </w:pPr>
          </w:p>
        </w:tc>
        <w:tc>
          <w:tcPr>
            <w:tcW w:w="344" w:type="dxa"/>
            <w:vMerge w:val="restart"/>
            <w:shd w:val="clear" w:color="auto" w:fill="99C8E5"/>
            <w:vAlign w:val="center"/>
          </w:tcPr>
          <w:p w14:paraId="04814C30" w14:textId="77777777" w:rsidR="00410865" w:rsidRPr="00445472" w:rsidRDefault="00410865" w:rsidP="00410865">
            <w:pPr>
              <w:pStyle w:val="TableTextCentre"/>
              <w:spacing w:after="0"/>
              <w:rPr>
                <w:rFonts w:ascii="Garamond" w:hAnsi="Garamond"/>
                <w:lang w:val="sq-AL"/>
              </w:rPr>
            </w:pPr>
          </w:p>
        </w:tc>
        <w:tc>
          <w:tcPr>
            <w:tcW w:w="491" w:type="dxa"/>
            <w:vMerge w:val="restart"/>
            <w:shd w:val="clear" w:color="auto" w:fill="276F9A"/>
            <w:vAlign w:val="center"/>
          </w:tcPr>
          <w:p w14:paraId="6F5478F8" w14:textId="77777777" w:rsidR="00410865" w:rsidRPr="00445472" w:rsidRDefault="00410865" w:rsidP="00410865">
            <w:pPr>
              <w:pStyle w:val="TableTextCentre"/>
              <w:spacing w:after="0"/>
              <w:rPr>
                <w:rFonts w:ascii="Garamond" w:hAnsi="Garamond"/>
                <w:lang w:val="sq-AL"/>
              </w:rPr>
            </w:pPr>
          </w:p>
        </w:tc>
        <w:tc>
          <w:tcPr>
            <w:tcW w:w="431" w:type="dxa"/>
            <w:vMerge w:val="restart"/>
            <w:shd w:val="clear" w:color="auto" w:fill="276F9A"/>
            <w:vAlign w:val="center"/>
          </w:tcPr>
          <w:p w14:paraId="16B1B064" w14:textId="77777777" w:rsidR="00410865" w:rsidRPr="00445472" w:rsidRDefault="00410865" w:rsidP="00410865">
            <w:pPr>
              <w:pStyle w:val="TableTextCentre"/>
              <w:spacing w:after="0"/>
              <w:rPr>
                <w:rFonts w:ascii="Garamond" w:hAnsi="Garamond"/>
                <w:lang w:val="sq-AL"/>
              </w:rPr>
            </w:pPr>
          </w:p>
        </w:tc>
        <w:tc>
          <w:tcPr>
            <w:tcW w:w="422" w:type="dxa"/>
            <w:vMerge w:val="restart"/>
            <w:shd w:val="clear" w:color="auto" w:fill="276F9A"/>
            <w:vAlign w:val="center"/>
          </w:tcPr>
          <w:p w14:paraId="39C8AE31" w14:textId="77777777" w:rsidR="00410865" w:rsidRPr="00445472" w:rsidRDefault="00410865" w:rsidP="00410865">
            <w:pPr>
              <w:pStyle w:val="TableTextCentre"/>
              <w:spacing w:after="0"/>
              <w:rPr>
                <w:rFonts w:ascii="Garamond" w:hAnsi="Garamond"/>
                <w:lang w:val="sq-AL"/>
              </w:rPr>
            </w:pPr>
          </w:p>
        </w:tc>
        <w:tc>
          <w:tcPr>
            <w:tcW w:w="357" w:type="dxa"/>
            <w:vMerge w:val="restart"/>
            <w:shd w:val="clear" w:color="auto" w:fill="276F9A"/>
            <w:vAlign w:val="center"/>
          </w:tcPr>
          <w:p w14:paraId="62CF5AAD" w14:textId="77777777" w:rsidR="00410865" w:rsidRPr="00445472" w:rsidRDefault="00410865" w:rsidP="00410865">
            <w:pPr>
              <w:pStyle w:val="TableTextCentre"/>
              <w:spacing w:after="0"/>
              <w:rPr>
                <w:rFonts w:ascii="Garamond" w:hAnsi="Garamond"/>
                <w:lang w:val="sq-AL"/>
              </w:rPr>
            </w:pPr>
          </w:p>
        </w:tc>
      </w:tr>
      <w:tr w:rsidR="00410865" w:rsidRPr="00445472" w14:paraId="28DB8527" w14:textId="77777777" w:rsidTr="00410865">
        <w:trPr>
          <w:gridAfter w:val="1"/>
          <w:wAfter w:w="14" w:type="dxa"/>
          <w:trHeight w:val="11"/>
          <w:jc w:val="center"/>
        </w:trPr>
        <w:tc>
          <w:tcPr>
            <w:tcW w:w="3682" w:type="dxa"/>
            <w:vMerge/>
            <w:shd w:val="clear" w:color="auto" w:fill="auto"/>
            <w:vAlign w:val="center"/>
          </w:tcPr>
          <w:p w14:paraId="0BF7718F" w14:textId="77777777" w:rsidR="00410865" w:rsidRPr="00445472" w:rsidRDefault="00410865" w:rsidP="00410865">
            <w:pPr>
              <w:pStyle w:val="TableTextCentre"/>
              <w:spacing w:after="0"/>
              <w:jc w:val="left"/>
              <w:rPr>
                <w:rFonts w:ascii="Garamond" w:hAnsi="Garamond"/>
                <w:lang w:val="sq-AL"/>
              </w:rPr>
            </w:pPr>
          </w:p>
        </w:tc>
        <w:tc>
          <w:tcPr>
            <w:tcW w:w="1275" w:type="dxa"/>
            <w:vMerge/>
            <w:shd w:val="clear" w:color="auto" w:fill="auto"/>
            <w:vAlign w:val="center"/>
          </w:tcPr>
          <w:p w14:paraId="2ECC2EBA" w14:textId="77777777" w:rsidR="00410865" w:rsidRPr="00445472" w:rsidRDefault="00410865" w:rsidP="00410865">
            <w:pPr>
              <w:pStyle w:val="TableTextCentre"/>
              <w:spacing w:after="0"/>
              <w:rPr>
                <w:rFonts w:ascii="Garamond" w:hAnsi="Garamond"/>
                <w:lang w:val="sq-AL"/>
              </w:rPr>
            </w:pPr>
          </w:p>
        </w:tc>
        <w:tc>
          <w:tcPr>
            <w:tcW w:w="1560" w:type="dxa"/>
            <w:vMerge/>
            <w:tcBorders>
              <w:bottom w:val="single" w:sz="4" w:space="0" w:color="auto"/>
            </w:tcBorders>
            <w:shd w:val="clear" w:color="auto" w:fill="auto"/>
            <w:vAlign w:val="center"/>
          </w:tcPr>
          <w:p w14:paraId="6A295CC0" w14:textId="77777777" w:rsidR="00410865" w:rsidRPr="00445472" w:rsidRDefault="00410865" w:rsidP="00410865">
            <w:pPr>
              <w:spacing w:after="0" w:line="240" w:lineRule="auto"/>
              <w:jc w:val="center"/>
              <w:rPr>
                <w:rFonts w:ascii="Garamond" w:hAnsi="Garamond"/>
                <w:b/>
                <w:sz w:val="16"/>
                <w:szCs w:val="16"/>
              </w:rPr>
            </w:pPr>
          </w:p>
        </w:tc>
        <w:tc>
          <w:tcPr>
            <w:tcW w:w="2556" w:type="dxa"/>
            <w:tcBorders>
              <w:top w:val="single" w:sz="4" w:space="0" w:color="auto"/>
            </w:tcBorders>
            <w:shd w:val="clear" w:color="auto" w:fill="auto"/>
            <w:vAlign w:val="center"/>
          </w:tcPr>
          <w:p w14:paraId="4FD82105" w14:textId="77777777" w:rsidR="00410865" w:rsidRPr="00445472" w:rsidRDefault="00410865" w:rsidP="00410865">
            <w:pPr>
              <w:pStyle w:val="TableTextCentre"/>
              <w:spacing w:after="0"/>
              <w:jc w:val="left"/>
              <w:rPr>
                <w:rFonts w:ascii="Garamond" w:hAnsi="Garamond"/>
                <w:lang w:val="sq-AL"/>
              </w:rPr>
            </w:pPr>
          </w:p>
        </w:tc>
        <w:tc>
          <w:tcPr>
            <w:tcW w:w="566" w:type="dxa"/>
            <w:vMerge/>
            <w:shd w:val="clear" w:color="auto" w:fill="D2E7F6"/>
            <w:vAlign w:val="center"/>
          </w:tcPr>
          <w:p w14:paraId="31778C8B" w14:textId="77777777" w:rsidR="00410865" w:rsidRPr="00445472" w:rsidRDefault="00410865" w:rsidP="00410865">
            <w:pPr>
              <w:pStyle w:val="TableTextCentre"/>
              <w:keepNext/>
              <w:pageBreakBefore/>
              <w:spacing w:after="0"/>
              <w:outlineLvl w:val="0"/>
              <w:rPr>
                <w:rFonts w:ascii="Garamond" w:hAnsi="Garamond"/>
                <w:highlight w:val="blue"/>
                <w:lang w:val="sq-AL"/>
              </w:rPr>
            </w:pPr>
          </w:p>
        </w:tc>
        <w:tc>
          <w:tcPr>
            <w:tcW w:w="426" w:type="dxa"/>
            <w:vMerge/>
            <w:shd w:val="clear" w:color="auto" w:fill="D2E7F6"/>
            <w:vAlign w:val="center"/>
          </w:tcPr>
          <w:p w14:paraId="52576E29" w14:textId="77777777" w:rsidR="00410865" w:rsidRPr="00445472" w:rsidRDefault="00410865" w:rsidP="00410865">
            <w:pPr>
              <w:pStyle w:val="TableTextCentre"/>
              <w:keepNext/>
              <w:pageBreakBefore/>
              <w:spacing w:after="0"/>
              <w:outlineLvl w:val="0"/>
              <w:rPr>
                <w:rFonts w:ascii="Garamond" w:hAnsi="Garamond"/>
                <w:highlight w:val="blue"/>
                <w:lang w:val="sq-AL"/>
              </w:rPr>
            </w:pPr>
          </w:p>
        </w:tc>
        <w:tc>
          <w:tcPr>
            <w:tcW w:w="425" w:type="dxa"/>
            <w:vMerge/>
            <w:shd w:val="clear" w:color="auto" w:fill="D2E7F6"/>
            <w:vAlign w:val="center"/>
          </w:tcPr>
          <w:p w14:paraId="7F2A0789" w14:textId="77777777" w:rsidR="00410865" w:rsidRPr="00445472" w:rsidRDefault="00410865" w:rsidP="0080598D">
            <w:pPr>
              <w:pStyle w:val="TableTextCentre"/>
              <w:keepNext/>
              <w:numPr>
                <w:ilvl w:val="2"/>
                <w:numId w:val="2"/>
              </w:numPr>
              <w:spacing w:after="0"/>
              <w:jc w:val="left"/>
              <w:outlineLvl w:val="2"/>
              <w:rPr>
                <w:rFonts w:ascii="Garamond" w:hAnsi="Garamond"/>
                <w:lang w:val="sq-AL"/>
              </w:rPr>
            </w:pPr>
          </w:p>
        </w:tc>
        <w:tc>
          <w:tcPr>
            <w:tcW w:w="425" w:type="dxa"/>
            <w:vMerge/>
            <w:shd w:val="clear" w:color="auto" w:fill="99C8E5"/>
            <w:vAlign w:val="center"/>
          </w:tcPr>
          <w:p w14:paraId="0A702183" w14:textId="77777777" w:rsidR="00410865" w:rsidRPr="00445472" w:rsidRDefault="00410865" w:rsidP="00410865">
            <w:pPr>
              <w:pStyle w:val="TableTextCentre"/>
              <w:spacing w:after="0"/>
              <w:rPr>
                <w:rFonts w:ascii="Garamond" w:hAnsi="Garamond"/>
                <w:lang w:val="sq-AL"/>
              </w:rPr>
            </w:pPr>
          </w:p>
        </w:tc>
        <w:tc>
          <w:tcPr>
            <w:tcW w:w="425" w:type="dxa"/>
            <w:vMerge/>
            <w:shd w:val="clear" w:color="auto" w:fill="99C8E5"/>
            <w:vAlign w:val="center"/>
          </w:tcPr>
          <w:p w14:paraId="0AC2531E" w14:textId="77777777" w:rsidR="00410865" w:rsidRPr="00445472" w:rsidRDefault="00410865" w:rsidP="00410865">
            <w:pPr>
              <w:pStyle w:val="TableTextCentre"/>
              <w:spacing w:after="0"/>
              <w:rPr>
                <w:rFonts w:ascii="Garamond" w:hAnsi="Garamond"/>
                <w:lang w:val="sq-AL"/>
              </w:rPr>
            </w:pPr>
          </w:p>
        </w:tc>
        <w:tc>
          <w:tcPr>
            <w:tcW w:w="372" w:type="dxa"/>
            <w:vMerge/>
            <w:shd w:val="clear" w:color="auto" w:fill="99C8E5"/>
            <w:vAlign w:val="center"/>
          </w:tcPr>
          <w:p w14:paraId="5BFB6609" w14:textId="77777777" w:rsidR="00410865" w:rsidRPr="00445472" w:rsidRDefault="00410865" w:rsidP="00410865">
            <w:pPr>
              <w:pStyle w:val="TableTextCentre"/>
              <w:spacing w:after="0"/>
              <w:rPr>
                <w:rFonts w:ascii="Garamond" w:hAnsi="Garamond"/>
                <w:lang w:val="sq-AL"/>
              </w:rPr>
            </w:pPr>
          </w:p>
        </w:tc>
        <w:tc>
          <w:tcPr>
            <w:tcW w:w="422" w:type="dxa"/>
            <w:vMerge/>
            <w:shd w:val="clear" w:color="auto" w:fill="99C8E5"/>
            <w:vAlign w:val="center"/>
          </w:tcPr>
          <w:p w14:paraId="568653B1" w14:textId="77777777" w:rsidR="00410865" w:rsidRPr="00445472" w:rsidRDefault="00410865" w:rsidP="00410865">
            <w:pPr>
              <w:pStyle w:val="TableTextCentre"/>
              <w:spacing w:after="0"/>
              <w:rPr>
                <w:rFonts w:ascii="Garamond" w:hAnsi="Garamond"/>
                <w:lang w:val="sq-AL"/>
              </w:rPr>
            </w:pPr>
          </w:p>
        </w:tc>
        <w:tc>
          <w:tcPr>
            <w:tcW w:w="422" w:type="dxa"/>
            <w:vMerge/>
            <w:shd w:val="clear" w:color="auto" w:fill="99C8E5"/>
            <w:vAlign w:val="center"/>
          </w:tcPr>
          <w:p w14:paraId="7A4580C5" w14:textId="77777777" w:rsidR="00410865" w:rsidRPr="00445472" w:rsidRDefault="00410865" w:rsidP="00410865">
            <w:pPr>
              <w:pStyle w:val="TableTextCentre"/>
              <w:spacing w:after="0"/>
              <w:rPr>
                <w:rFonts w:ascii="Garamond" w:hAnsi="Garamond"/>
                <w:lang w:val="sq-AL"/>
              </w:rPr>
            </w:pPr>
          </w:p>
        </w:tc>
        <w:tc>
          <w:tcPr>
            <w:tcW w:w="344" w:type="dxa"/>
            <w:vMerge/>
            <w:shd w:val="clear" w:color="auto" w:fill="99C8E5"/>
            <w:vAlign w:val="center"/>
          </w:tcPr>
          <w:p w14:paraId="5769ECBE" w14:textId="77777777" w:rsidR="00410865" w:rsidRPr="00445472" w:rsidRDefault="00410865" w:rsidP="00410865">
            <w:pPr>
              <w:pStyle w:val="TableTextCentre"/>
              <w:spacing w:after="0"/>
              <w:rPr>
                <w:rFonts w:ascii="Garamond" w:hAnsi="Garamond"/>
                <w:lang w:val="sq-AL"/>
              </w:rPr>
            </w:pPr>
          </w:p>
        </w:tc>
        <w:tc>
          <w:tcPr>
            <w:tcW w:w="491" w:type="dxa"/>
            <w:vMerge/>
            <w:shd w:val="clear" w:color="auto" w:fill="276F9A"/>
            <w:vAlign w:val="center"/>
          </w:tcPr>
          <w:p w14:paraId="15AC1383" w14:textId="77777777" w:rsidR="00410865" w:rsidRPr="00445472" w:rsidRDefault="00410865" w:rsidP="00410865">
            <w:pPr>
              <w:pStyle w:val="TableTextCentre"/>
              <w:spacing w:after="0"/>
              <w:rPr>
                <w:rFonts w:ascii="Garamond" w:hAnsi="Garamond"/>
                <w:lang w:val="sq-AL"/>
              </w:rPr>
            </w:pPr>
          </w:p>
        </w:tc>
        <w:tc>
          <w:tcPr>
            <w:tcW w:w="431" w:type="dxa"/>
            <w:vMerge/>
            <w:shd w:val="clear" w:color="auto" w:fill="276F9A"/>
            <w:vAlign w:val="center"/>
          </w:tcPr>
          <w:p w14:paraId="05753DF1" w14:textId="77777777" w:rsidR="00410865" w:rsidRPr="00445472" w:rsidRDefault="00410865" w:rsidP="00410865">
            <w:pPr>
              <w:pStyle w:val="TableTextCentre"/>
              <w:spacing w:after="0"/>
              <w:rPr>
                <w:rFonts w:ascii="Garamond" w:hAnsi="Garamond"/>
                <w:lang w:val="sq-AL"/>
              </w:rPr>
            </w:pPr>
          </w:p>
        </w:tc>
        <w:tc>
          <w:tcPr>
            <w:tcW w:w="422" w:type="dxa"/>
            <w:vMerge/>
            <w:shd w:val="clear" w:color="auto" w:fill="276F9A"/>
            <w:vAlign w:val="center"/>
          </w:tcPr>
          <w:p w14:paraId="7DD6069C" w14:textId="77777777" w:rsidR="00410865" w:rsidRPr="00445472" w:rsidRDefault="00410865" w:rsidP="00410865">
            <w:pPr>
              <w:pStyle w:val="TableTextCentre"/>
              <w:spacing w:after="0"/>
              <w:rPr>
                <w:rFonts w:ascii="Garamond" w:hAnsi="Garamond"/>
                <w:lang w:val="sq-AL"/>
              </w:rPr>
            </w:pPr>
          </w:p>
        </w:tc>
        <w:tc>
          <w:tcPr>
            <w:tcW w:w="357" w:type="dxa"/>
            <w:vMerge/>
            <w:shd w:val="clear" w:color="auto" w:fill="276F9A"/>
            <w:vAlign w:val="center"/>
          </w:tcPr>
          <w:p w14:paraId="16C89A7E" w14:textId="77777777" w:rsidR="00410865" w:rsidRPr="00445472" w:rsidRDefault="00410865" w:rsidP="00410865">
            <w:pPr>
              <w:pStyle w:val="TableTextCentre"/>
              <w:spacing w:after="0"/>
              <w:rPr>
                <w:rFonts w:ascii="Garamond" w:hAnsi="Garamond"/>
                <w:lang w:val="sq-AL"/>
              </w:rPr>
            </w:pPr>
          </w:p>
        </w:tc>
      </w:tr>
      <w:tr w:rsidR="00410865" w:rsidRPr="00445472" w14:paraId="240EC349" w14:textId="77777777" w:rsidTr="00410865">
        <w:trPr>
          <w:gridAfter w:val="1"/>
          <w:wAfter w:w="14" w:type="dxa"/>
          <w:jc w:val="center"/>
        </w:trPr>
        <w:tc>
          <w:tcPr>
            <w:tcW w:w="3682" w:type="dxa"/>
            <w:shd w:val="clear" w:color="auto" w:fill="auto"/>
            <w:vAlign w:val="center"/>
          </w:tcPr>
          <w:p w14:paraId="088FF78C" w14:textId="5545F5D8" w:rsidR="00410865" w:rsidRPr="00445472" w:rsidRDefault="00410865" w:rsidP="00C83744">
            <w:pPr>
              <w:pStyle w:val="TableTextCentre"/>
              <w:spacing w:after="0"/>
              <w:jc w:val="left"/>
              <w:rPr>
                <w:rFonts w:ascii="Garamond" w:hAnsi="Garamond"/>
                <w:lang w:val="sq-AL"/>
              </w:rPr>
            </w:pPr>
            <w:r w:rsidRPr="00445472">
              <w:rPr>
                <w:rFonts w:ascii="Garamond" w:hAnsi="Garamond"/>
                <w:lang w:val="sq-AL"/>
              </w:rPr>
              <w:t xml:space="preserve">Zbatimi i kërkesave të VKM-së nr. 379 të datës 25.5.2016. </w:t>
            </w:r>
          </w:p>
        </w:tc>
        <w:tc>
          <w:tcPr>
            <w:tcW w:w="1275" w:type="dxa"/>
            <w:shd w:val="clear" w:color="auto" w:fill="auto"/>
            <w:vAlign w:val="center"/>
          </w:tcPr>
          <w:p w14:paraId="16186930" w14:textId="77777777" w:rsidR="00410865" w:rsidRPr="00445472" w:rsidRDefault="00410865" w:rsidP="00410865">
            <w:pPr>
              <w:spacing w:after="0" w:line="240" w:lineRule="auto"/>
              <w:ind w:right="175"/>
              <w:jc w:val="center"/>
              <w:rPr>
                <w:rFonts w:ascii="Garamond" w:hAnsi="Garamond"/>
                <w:sz w:val="16"/>
                <w:szCs w:val="16"/>
              </w:rPr>
            </w:pPr>
            <w:r w:rsidRPr="00445472">
              <w:rPr>
                <w:rFonts w:ascii="Garamond" w:hAnsi="Garamond"/>
                <w:sz w:val="16"/>
                <w:szCs w:val="16"/>
              </w:rPr>
              <w:t>1.6</w:t>
            </w:r>
          </w:p>
        </w:tc>
        <w:tc>
          <w:tcPr>
            <w:tcW w:w="1560" w:type="dxa"/>
            <w:tcBorders>
              <w:top w:val="single" w:sz="4" w:space="0" w:color="auto"/>
            </w:tcBorders>
            <w:shd w:val="clear" w:color="auto" w:fill="auto"/>
            <w:vAlign w:val="center"/>
          </w:tcPr>
          <w:p w14:paraId="41881A2C" w14:textId="77777777" w:rsidR="00410865" w:rsidRPr="00445472" w:rsidRDefault="00410865" w:rsidP="00410865">
            <w:pPr>
              <w:spacing w:after="0" w:line="240" w:lineRule="auto"/>
              <w:jc w:val="center"/>
              <w:rPr>
                <w:rFonts w:ascii="Garamond" w:hAnsi="Garamond"/>
                <w:sz w:val="16"/>
                <w:szCs w:val="16"/>
              </w:rPr>
            </w:pPr>
            <w:r w:rsidRPr="00445472">
              <w:rPr>
                <w:rFonts w:ascii="Garamond" w:hAnsi="Garamond"/>
                <w:sz w:val="16"/>
                <w:szCs w:val="16"/>
              </w:rPr>
              <w:t>Ministria përgjegjëse për ujitjen dhe kullimin</w:t>
            </w:r>
          </w:p>
          <w:p w14:paraId="1D60EB9E" w14:textId="0349B0A2" w:rsidR="00410865" w:rsidRPr="00445472" w:rsidRDefault="004B51C9" w:rsidP="00410865">
            <w:pPr>
              <w:spacing w:after="0" w:line="240" w:lineRule="auto"/>
              <w:jc w:val="center"/>
              <w:rPr>
                <w:rFonts w:ascii="Garamond" w:hAnsi="Garamond"/>
                <w:sz w:val="16"/>
                <w:szCs w:val="16"/>
              </w:rPr>
            </w:pPr>
            <w:r w:rsidRPr="00445472">
              <w:rPr>
                <w:rFonts w:ascii="Garamond" w:hAnsi="Garamond"/>
                <w:sz w:val="16"/>
                <w:szCs w:val="16"/>
              </w:rPr>
              <w:t>(</w:t>
            </w:r>
            <w:r w:rsidR="00410865" w:rsidRPr="00445472">
              <w:rPr>
                <w:rFonts w:ascii="Garamond" w:hAnsi="Garamond"/>
                <w:sz w:val="16"/>
                <w:szCs w:val="16"/>
              </w:rPr>
              <w:t>SHGJSH; Bashkitë)</w:t>
            </w:r>
          </w:p>
          <w:p w14:paraId="2A3BD9E0" w14:textId="77777777" w:rsidR="00410865" w:rsidRPr="00445472" w:rsidRDefault="00410865" w:rsidP="00410865">
            <w:pPr>
              <w:pStyle w:val="TableTextCentre"/>
              <w:spacing w:after="0"/>
              <w:rPr>
                <w:rFonts w:ascii="Garamond" w:hAnsi="Garamond"/>
                <w:lang w:val="sq-AL"/>
              </w:rPr>
            </w:pPr>
          </w:p>
        </w:tc>
        <w:tc>
          <w:tcPr>
            <w:tcW w:w="2556" w:type="dxa"/>
            <w:shd w:val="clear" w:color="auto" w:fill="auto"/>
            <w:vAlign w:val="center"/>
          </w:tcPr>
          <w:p w14:paraId="5522392B" w14:textId="77777777" w:rsidR="00410865" w:rsidRPr="00445472" w:rsidRDefault="00410865" w:rsidP="00410865">
            <w:pPr>
              <w:spacing w:after="0" w:line="240" w:lineRule="auto"/>
              <w:jc w:val="center"/>
              <w:rPr>
                <w:rFonts w:ascii="Garamond" w:hAnsi="Garamond"/>
                <w:sz w:val="16"/>
                <w:szCs w:val="16"/>
              </w:rPr>
            </w:pPr>
            <w:r w:rsidRPr="00445472">
              <w:rPr>
                <w:rFonts w:ascii="Garamond" w:hAnsi="Garamond"/>
                <w:sz w:val="16"/>
                <w:szCs w:val="16"/>
              </w:rPr>
              <w:t>Hua e pjesshme + Fonde kombëtare dhe/ose nga donatorë</w:t>
            </w:r>
          </w:p>
        </w:tc>
        <w:tc>
          <w:tcPr>
            <w:tcW w:w="566" w:type="dxa"/>
            <w:shd w:val="clear" w:color="auto" w:fill="D2E7F6"/>
            <w:vAlign w:val="center"/>
          </w:tcPr>
          <w:p w14:paraId="1CF81BD0"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754FB155"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0D53019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471C811"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5C14FA7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2BD942E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8E78C8D"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607DCC1"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6ACC8A8"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D9AA847"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41367E11"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28F1695"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6624C1D" w14:textId="77777777" w:rsidR="00410865" w:rsidRPr="00445472" w:rsidRDefault="00410865" w:rsidP="00410865">
            <w:pPr>
              <w:pStyle w:val="TableTextCentre"/>
              <w:spacing w:after="0"/>
              <w:rPr>
                <w:rFonts w:ascii="Garamond" w:hAnsi="Garamond"/>
                <w:lang w:val="sq-AL"/>
              </w:rPr>
            </w:pPr>
          </w:p>
        </w:tc>
      </w:tr>
      <w:tr w:rsidR="00410865" w:rsidRPr="00445472" w14:paraId="48715AD3" w14:textId="77777777" w:rsidTr="00410865">
        <w:trPr>
          <w:gridAfter w:val="1"/>
          <w:wAfter w:w="14" w:type="dxa"/>
          <w:trHeight w:val="419"/>
          <w:jc w:val="center"/>
        </w:trPr>
        <w:tc>
          <w:tcPr>
            <w:tcW w:w="3682" w:type="dxa"/>
            <w:shd w:val="clear" w:color="auto" w:fill="auto"/>
            <w:vAlign w:val="center"/>
          </w:tcPr>
          <w:p w14:paraId="65669DAF"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Përgatitja e projekteve të fizibilitetit për rehabilitimin/zgjerimin/sistemin e ri të rrjeteve të furnizimit me ujë në zonat urbane dhe rurale. </w:t>
            </w:r>
          </w:p>
        </w:tc>
        <w:tc>
          <w:tcPr>
            <w:tcW w:w="1275" w:type="dxa"/>
            <w:shd w:val="clear" w:color="auto" w:fill="auto"/>
            <w:vAlign w:val="center"/>
          </w:tcPr>
          <w:p w14:paraId="2CBC3E6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3.7</w:t>
            </w:r>
          </w:p>
        </w:tc>
        <w:tc>
          <w:tcPr>
            <w:tcW w:w="1560" w:type="dxa"/>
            <w:shd w:val="clear" w:color="auto" w:fill="auto"/>
            <w:vAlign w:val="center"/>
          </w:tcPr>
          <w:p w14:paraId="4CB3E577" w14:textId="3D09E9CE" w:rsidR="00410865" w:rsidRPr="00445472" w:rsidRDefault="00410865" w:rsidP="00410865">
            <w:pPr>
              <w:pStyle w:val="TableTextCentre"/>
              <w:spacing w:after="0"/>
              <w:rPr>
                <w:rFonts w:ascii="Garamond" w:hAnsi="Garamond"/>
                <w:b/>
                <w:lang w:val="sq-AL"/>
              </w:rPr>
            </w:pPr>
            <w:r w:rsidRPr="00445472">
              <w:rPr>
                <w:rFonts w:ascii="Garamond" w:hAnsi="Garamond"/>
                <w:lang w:val="sq-AL"/>
              </w:rPr>
              <w:t>Ministria përgjegjëse pë</w:t>
            </w:r>
            <w:r w:rsidR="004B51C9" w:rsidRPr="00445472">
              <w:rPr>
                <w:rFonts w:ascii="Garamond" w:hAnsi="Garamond"/>
                <w:lang w:val="sq-AL"/>
              </w:rPr>
              <w:t>r</w:t>
            </w:r>
            <w:r w:rsidRPr="00445472">
              <w:rPr>
                <w:rFonts w:ascii="Garamond" w:hAnsi="Garamond"/>
                <w:lang w:val="sq-AL"/>
              </w:rPr>
              <w:t xml:space="preserve"> Infrastrukturën, AMBU</w:t>
            </w:r>
          </w:p>
          <w:p w14:paraId="2C76E87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(Bashkitë), ERRU</w:t>
            </w:r>
          </w:p>
        </w:tc>
        <w:tc>
          <w:tcPr>
            <w:tcW w:w="2556" w:type="dxa"/>
            <w:shd w:val="clear" w:color="auto" w:fill="auto"/>
            <w:vAlign w:val="center"/>
          </w:tcPr>
          <w:p w14:paraId="68C0D5B9" w14:textId="77777777" w:rsidR="00410865" w:rsidRPr="00445472" w:rsidRDefault="00410865" w:rsidP="00410865">
            <w:pPr>
              <w:pStyle w:val="TableTextCentre"/>
              <w:spacing w:after="0"/>
              <w:jc w:val="left"/>
              <w:rPr>
                <w:rFonts w:ascii="Garamond" w:hAnsi="Garamond"/>
                <w:lang w:val="sq-AL"/>
              </w:rPr>
            </w:pPr>
          </w:p>
          <w:p w14:paraId="48D418C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0BC6C2AA" w14:textId="77777777" w:rsidR="00410865" w:rsidRPr="00445472" w:rsidRDefault="00410865" w:rsidP="0080598D">
            <w:pPr>
              <w:pStyle w:val="TableTextCentre"/>
              <w:keepNext/>
              <w:numPr>
                <w:ilvl w:val="2"/>
                <w:numId w:val="2"/>
              </w:numPr>
              <w:spacing w:after="0"/>
              <w:outlineLvl w:val="2"/>
              <w:rPr>
                <w:rFonts w:ascii="Garamond" w:hAnsi="Garamond"/>
                <w:lang w:val="sq-AL"/>
              </w:rPr>
            </w:pPr>
          </w:p>
        </w:tc>
        <w:tc>
          <w:tcPr>
            <w:tcW w:w="426" w:type="dxa"/>
            <w:shd w:val="clear" w:color="auto" w:fill="D2E7F6"/>
            <w:vAlign w:val="center"/>
          </w:tcPr>
          <w:p w14:paraId="6326B4B8"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5EEFE330"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3EB9B4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70B1C444"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6EC3691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9A3E2C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F4018D9"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906493F"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6134DF02"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445C49DC"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238A599C"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D9C839A" w14:textId="77777777" w:rsidR="00410865" w:rsidRPr="00445472" w:rsidRDefault="00410865" w:rsidP="00410865">
            <w:pPr>
              <w:pStyle w:val="TableTextCentre"/>
              <w:spacing w:after="0"/>
              <w:rPr>
                <w:rFonts w:ascii="Garamond" w:hAnsi="Garamond"/>
                <w:lang w:val="sq-AL"/>
              </w:rPr>
            </w:pPr>
          </w:p>
        </w:tc>
      </w:tr>
      <w:tr w:rsidR="00410865" w:rsidRPr="00445472" w14:paraId="03DF44B6" w14:textId="77777777" w:rsidTr="00410865">
        <w:trPr>
          <w:gridAfter w:val="1"/>
          <w:wAfter w:w="14" w:type="dxa"/>
          <w:trHeight w:val="862"/>
          <w:jc w:val="center"/>
        </w:trPr>
        <w:tc>
          <w:tcPr>
            <w:tcW w:w="3682" w:type="dxa"/>
            <w:shd w:val="clear" w:color="auto" w:fill="auto"/>
            <w:vAlign w:val="center"/>
          </w:tcPr>
          <w:p w14:paraId="3FB62D1D"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Zhvillimi i projekteve të investimit të furnizimit me ujë (rehabilitimi, zgjerimi ose rrjeti i ri) në zonat urbane dhe rurale. </w:t>
            </w:r>
          </w:p>
        </w:tc>
        <w:tc>
          <w:tcPr>
            <w:tcW w:w="1275" w:type="dxa"/>
            <w:shd w:val="clear" w:color="auto" w:fill="auto"/>
            <w:vAlign w:val="center"/>
          </w:tcPr>
          <w:p w14:paraId="4AED90E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47.0</w:t>
            </w:r>
          </w:p>
        </w:tc>
        <w:tc>
          <w:tcPr>
            <w:tcW w:w="1560" w:type="dxa"/>
            <w:shd w:val="clear" w:color="auto" w:fill="auto"/>
            <w:vAlign w:val="center"/>
          </w:tcPr>
          <w:p w14:paraId="16DD69FB" w14:textId="77777777" w:rsidR="00410865" w:rsidRPr="00445472" w:rsidRDefault="00410865" w:rsidP="00410865">
            <w:pPr>
              <w:pStyle w:val="TableTextCentre"/>
              <w:spacing w:after="0"/>
              <w:rPr>
                <w:rFonts w:ascii="Garamond" w:hAnsi="Garamond"/>
                <w:b/>
                <w:lang w:val="sq-AL"/>
              </w:rPr>
            </w:pPr>
          </w:p>
          <w:p w14:paraId="47377728" w14:textId="73242FA5"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Ministria </w:t>
            </w:r>
            <w:r w:rsidR="004B51C9" w:rsidRPr="00445472">
              <w:rPr>
                <w:rFonts w:ascii="Garamond" w:hAnsi="Garamond"/>
                <w:lang w:val="sq-AL"/>
              </w:rPr>
              <w:t>përgjegjëse</w:t>
            </w:r>
            <w:r w:rsidRPr="00445472">
              <w:rPr>
                <w:rFonts w:ascii="Garamond" w:hAnsi="Garamond"/>
                <w:lang w:val="sq-AL"/>
              </w:rPr>
              <w:t xml:space="preserve"> për Infrastrukturën, AMBU</w:t>
            </w:r>
          </w:p>
          <w:p w14:paraId="35E3237B" w14:textId="48618E91"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4B51C9" w:rsidRPr="00445472">
              <w:rPr>
                <w:rFonts w:ascii="Garamond" w:hAnsi="Garamond"/>
                <w:lang w:val="sq-AL"/>
              </w:rPr>
              <w:t>bashkitë</w:t>
            </w:r>
            <w:r w:rsidRPr="00445472">
              <w:rPr>
                <w:rFonts w:ascii="Garamond" w:hAnsi="Garamond"/>
                <w:lang w:val="sq-AL"/>
              </w:rPr>
              <w:t>), ERRU</w:t>
            </w:r>
          </w:p>
        </w:tc>
        <w:tc>
          <w:tcPr>
            <w:tcW w:w="2556" w:type="dxa"/>
            <w:shd w:val="clear" w:color="auto" w:fill="auto"/>
            <w:vAlign w:val="center"/>
          </w:tcPr>
          <w:p w14:paraId="65D4F960" w14:textId="77777777" w:rsidR="00410865" w:rsidRPr="00445472" w:rsidRDefault="00410865" w:rsidP="00410865">
            <w:pPr>
              <w:pStyle w:val="TableTextCentre"/>
              <w:spacing w:after="0"/>
              <w:rPr>
                <w:rFonts w:ascii="Garamond" w:hAnsi="Garamond"/>
                <w:lang w:val="sq-AL"/>
              </w:rPr>
            </w:pPr>
          </w:p>
          <w:p w14:paraId="366FD3F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Hua + </w:t>
            </w:r>
          </w:p>
          <w:p w14:paraId="7B23300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nga donatorë</w:t>
            </w:r>
          </w:p>
        </w:tc>
        <w:tc>
          <w:tcPr>
            <w:tcW w:w="566" w:type="dxa"/>
            <w:shd w:val="clear" w:color="auto" w:fill="D2E7F6"/>
            <w:vAlign w:val="center"/>
          </w:tcPr>
          <w:p w14:paraId="0FF73898"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1A42D8F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18B3D7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5C22373"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23D6BA1C"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7FAE9B03"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687DAFEF"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38D348C1"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44" w:type="dxa"/>
            <w:shd w:val="clear" w:color="auto" w:fill="99C8E5"/>
            <w:vAlign w:val="center"/>
          </w:tcPr>
          <w:p w14:paraId="1C9AE14B"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91" w:type="dxa"/>
            <w:shd w:val="clear" w:color="auto" w:fill="276F9A"/>
            <w:vAlign w:val="center"/>
          </w:tcPr>
          <w:p w14:paraId="7CC1B12A"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31" w:type="dxa"/>
            <w:shd w:val="clear" w:color="auto" w:fill="276F9A"/>
            <w:vAlign w:val="center"/>
          </w:tcPr>
          <w:p w14:paraId="2DB69DE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276F9A"/>
            <w:vAlign w:val="center"/>
          </w:tcPr>
          <w:p w14:paraId="51D58F19"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57" w:type="dxa"/>
            <w:shd w:val="clear" w:color="auto" w:fill="276F9A"/>
            <w:vAlign w:val="center"/>
          </w:tcPr>
          <w:p w14:paraId="08DF918B"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r>
      <w:tr w:rsidR="00410865" w:rsidRPr="00445472" w14:paraId="20A7AD0B" w14:textId="77777777" w:rsidTr="00410865">
        <w:trPr>
          <w:gridAfter w:val="1"/>
          <w:wAfter w:w="14" w:type="dxa"/>
          <w:trHeight w:val="561"/>
          <w:jc w:val="center"/>
        </w:trPr>
        <w:tc>
          <w:tcPr>
            <w:tcW w:w="3682" w:type="dxa"/>
            <w:shd w:val="clear" w:color="auto" w:fill="auto"/>
            <w:vAlign w:val="center"/>
          </w:tcPr>
          <w:p w14:paraId="275BAAF9"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Konsolidimi dhe forcimi i personelit të Autoritetit Vendor dhe të furnizimit me ujë </w:t>
            </w:r>
          </w:p>
        </w:tc>
        <w:tc>
          <w:tcPr>
            <w:tcW w:w="1275" w:type="dxa"/>
            <w:shd w:val="clear" w:color="auto" w:fill="auto"/>
            <w:vAlign w:val="center"/>
          </w:tcPr>
          <w:p w14:paraId="02BAD66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1.3</w:t>
            </w:r>
          </w:p>
        </w:tc>
        <w:tc>
          <w:tcPr>
            <w:tcW w:w="1560" w:type="dxa"/>
            <w:shd w:val="clear" w:color="auto" w:fill="auto"/>
            <w:vAlign w:val="center"/>
          </w:tcPr>
          <w:p w14:paraId="54C0970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 AMBU</w:t>
            </w:r>
          </w:p>
          <w:p w14:paraId="7B6F6879" w14:textId="2202482F" w:rsidR="00410865" w:rsidRPr="00445472" w:rsidRDefault="00410865" w:rsidP="00410865">
            <w:pPr>
              <w:pStyle w:val="TableTextCentre"/>
              <w:spacing w:after="0"/>
              <w:rPr>
                <w:rFonts w:ascii="Garamond" w:hAnsi="Garamond"/>
                <w:lang w:val="sq-AL"/>
              </w:rPr>
            </w:pPr>
            <w:r w:rsidRPr="00445472" w:rsidDel="00B23E7D">
              <w:rPr>
                <w:rFonts w:ascii="Garamond" w:hAnsi="Garamond"/>
                <w:lang w:val="sq-AL"/>
              </w:rPr>
              <w:t xml:space="preserve"> </w:t>
            </w:r>
            <w:r w:rsidRPr="00445472">
              <w:rPr>
                <w:rFonts w:ascii="Garamond" w:hAnsi="Garamond"/>
                <w:lang w:val="sq-AL"/>
              </w:rPr>
              <w:t>(</w:t>
            </w:r>
            <w:r w:rsidR="004B51C9" w:rsidRPr="00445472">
              <w:rPr>
                <w:rFonts w:ascii="Garamond" w:hAnsi="Garamond"/>
                <w:lang w:val="sq-AL"/>
              </w:rPr>
              <w:t>bashkitë</w:t>
            </w:r>
            <w:r w:rsidRPr="00445472">
              <w:rPr>
                <w:rFonts w:ascii="Garamond" w:hAnsi="Garamond"/>
                <w:lang w:val="sq-AL"/>
              </w:rPr>
              <w:t>)</w:t>
            </w:r>
          </w:p>
        </w:tc>
        <w:tc>
          <w:tcPr>
            <w:tcW w:w="2556" w:type="dxa"/>
            <w:shd w:val="clear" w:color="auto" w:fill="auto"/>
            <w:vAlign w:val="center"/>
          </w:tcPr>
          <w:p w14:paraId="7C07D4E0"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537E9D5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3B681310"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2B02694"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5AC4C678"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49FEC71B"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E2924A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B7036AC"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AEE1EB4"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C1CBE66"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5C1352E"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02215A7"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6A58FBE"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78885166" w14:textId="77777777" w:rsidR="00410865" w:rsidRPr="00445472" w:rsidRDefault="00410865" w:rsidP="00410865">
            <w:pPr>
              <w:pStyle w:val="TableTextCentre"/>
              <w:spacing w:after="0"/>
              <w:rPr>
                <w:rFonts w:ascii="Garamond" w:hAnsi="Garamond"/>
                <w:lang w:val="sq-AL"/>
              </w:rPr>
            </w:pPr>
          </w:p>
        </w:tc>
      </w:tr>
      <w:tr w:rsidR="00410865" w:rsidRPr="00445472" w14:paraId="183E62DE" w14:textId="77777777" w:rsidTr="00410865">
        <w:trPr>
          <w:gridAfter w:val="1"/>
          <w:wAfter w:w="14" w:type="dxa"/>
          <w:jc w:val="center"/>
        </w:trPr>
        <w:tc>
          <w:tcPr>
            <w:tcW w:w="3682" w:type="dxa"/>
            <w:tcBorders>
              <w:bottom w:val="single" w:sz="2" w:space="0" w:color="9FA2A1"/>
            </w:tcBorders>
            <w:shd w:val="clear" w:color="auto" w:fill="auto"/>
            <w:vAlign w:val="center"/>
          </w:tcPr>
          <w:p w14:paraId="5BA6438E"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Zhvillimi dhe kryerja e një studimi për kontrollin e papërfshirë të ujit dhe strategjitë dhe programet e masave të uljeve dhe humbjeve, duke përfshirë rishikimin e tarifave. </w:t>
            </w:r>
          </w:p>
        </w:tc>
        <w:tc>
          <w:tcPr>
            <w:tcW w:w="1275" w:type="dxa"/>
            <w:tcBorders>
              <w:bottom w:val="single" w:sz="2" w:space="0" w:color="9FA2A1"/>
            </w:tcBorders>
            <w:shd w:val="clear" w:color="auto" w:fill="auto"/>
            <w:vAlign w:val="center"/>
          </w:tcPr>
          <w:p w14:paraId="147A8025" w14:textId="77777777" w:rsidR="00410865" w:rsidRPr="00445472" w:rsidRDefault="00410865" w:rsidP="00410865">
            <w:pPr>
              <w:spacing w:after="0" w:line="240" w:lineRule="auto"/>
              <w:jc w:val="center"/>
              <w:rPr>
                <w:rFonts w:ascii="Garamond" w:hAnsi="Garamond"/>
                <w:sz w:val="16"/>
                <w:szCs w:val="16"/>
              </w:rPr>
            </w:pPr>
            <w:r w:rsidRPr="00445472">
              <w:rPr>
                <w:rFonts w:ascii="Garamond" w:hAnsi="Garamond"/>
                <w:sz w:val="16"/>
                <w:szCs w:val="16"/>
              </w:rPr>
              <w:t>1.0</w:t>
            </w:r>
          </w:p>
        </w:tc>
        <w:tc>
          <w:tcPr>
            <w:tcW w:w="1560" w:type="dxa"/>
            <w:tcBorders>
              <w:bottom w:val="single" w:sz="2" w:space="0" w:color="9FA2A1"/>
            </w:tcBorders>
            <w:shd w:val="clear" w:color="auto" w:fill="auto"/>
            <w:vAlign w:val="center"/>
          </w:tcPr>
          <w:p w14:paraId="3A92D1F3" w14:textId="77777777" w:rsidR="00410865" w:rsidRPr="00445472" w:rsidRDefault="00410865" w:rsidP="00410865">
            <w:pPr>
              <w:pStyle w:val="TableTextCentre"/>
              <w:spacing w:after="0"/>
              <w:rPr>
                <w:rFonts w:ascii="Garamond" w:hAnsi="Garamond"/>
                <w:lang w:val="sq-AL"/>
              </w:rPr>
            </w:pPr>
          </w:p>
          <w:p w14:paraId="2D8D2E3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 AMBU/ZABU</w:t>
            </w:r>
          </w:p>
          <w:p w14:paraId="1C32029E" w14:textId="77777777" w:rsidR="00410865" w:rsidRPr="00445472" w:rsidRDefault="00410865" w:rsidP="00410865">
            <w:pPr>
              <w:pStyle w:val="TableTextCentre"/>
              <w:spacing w:after="0"/>
              <w:rPr>
                <w:rFonts w:ascii="Garamond" w:hAnsi="Garamond"/>
                <w:lang w:val="sq-AL"/>
              </w:rPr>
            </w:pPr>
            <w:r w:rsidRPr="00445472" w:rsidDel="00B23E7D">
              <w:rPr>
                <w:rFonts w:ascii="Garamond" w:hAnsi="Garamond"/>
                <w:lang w:val="sq-AL"/>
              </w:rPr>
              <w:t xml:space="preserve"> </w:t>
            </w:r>
            <w:r w:rsidRPr="00445472">
              <w:rPr>
                <w:rFonts w:ascii="Garamond" w:hAnsi="Garamond"/>
                <w:lang w:val="sq-AL"/>
              </w:rPr>
              <w:t>(Bashkitë), ERRU</w:t>
            </w:r>
          </w:p>
        </w:tc>
        <w:tc>
          <w:tcPr>
            <w:tcW w:w="2556" w:type="dxa"/>
            <w:tcBorders>
              <w:bottom w:val="single" w:sz="2" w:space="0" w:color="9FA2A1"/>
            </w:tcBorders>
            <w:shd w:val="clear" w:color="auto" w:fill="auto"/>
            <w:vAlign w:val="center"/>
          </w:tcPr>
          <w:p w14:paraId="459B21B1" w14:textId="77777777" w:rsidR="00410865" w:rsidRPr="00445472" w:rsidRDefault="00410865" w:rsidP="00410865">
            <w:pPr>
              <w:pStyle w:val="TableTextCentre"/>
              <w:spacing w:after="0"/>
              <w:rPr>
                <w:rFonts w:ascii="Garamond" w:hAnsi="Garamond"/>
                <w:lang w:val="sq-AL"/>
              </w:rPr>
            </w:pPr>
          </w:p>
          <w:p w14:paraId="6B68694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tcBorders>
              <w:bottom w:val="single" w:sz="2" w:space="0" w:color="9FA2A1"/>
            </w:tcBorders>
            <w:shd w:val="clear" w:color="auto" w:fill="D2E7F6"/>
            <w:vAlign w:val="center"/>
          </w:tcPr>
          <w:p w14:paraId="1F9BAACD" w14:textId="77777777" w:rsidR="00410865" w:rsidRPr="00445472" w:rsidRDefault="00410865" w:rsidP="0080598D">
            <w:pPr>
              <w:pStyle w:val="TableTextCentre"/>
              <w:keepNext/>
              <w:numPr>
                <w:ilvl w:val="2"/>
                <w:numId w:val="2"/>
              </w:numPr>
              <w:spacing w:after="0"/>
              <w:outlineLvl w:val="2"/>
              <w:rPr>
                <w:rFonts w:ascii="Garamond" w:hAnsi="Garamond"/>
                <w:lang w:val="sq-AL"/>
              </w:rPr>
            </w:pPr>
          </w:p>
        </w:tc>
        <w:tc>
          <w:tcPr>
            <w:tcW w:w="426" w:type="dxa"/>
            <w:tcBorders>
              <w:bottom w:val="single" w:sz="2" w:space="0" w:color="9FA2A1"/>
            </w:tcBorders>
            <w:shd w:val="clear" w:color="auto" w:fill="D2E7F6"/>
            <w:vAlign w:val="center"/>
          </w:tcPr>
          <w:p w14:paraId="31F4446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D2E7F6"/>
            <w:vAlign w:val="center"/>
          </w:tcPr>
          <w:p w14:paraId="02F1EE28"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99C8E5"/>
            <w:vAlign w:val="center"/>
          </w:tcPr>
          <w:p w14:paraId="164A1EDE"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348EF62E" w14:textId="77777777" w:rsidR="00410865" w:rsidRPr="00445472" w:rsidRDefault="00410865" w:rsidP="00410865">
            <w:pPr>
              <w:pStyle w:val="TableTextCentre"/>
              <w:spacing w:after="0"/>
              <w:rPr>
                <w:rFonts w:ascii="Garamond" w:hAnsi="Garamond"/>
                <w:lang w:val="sq-AL"/>
              </w:rPr>
            </w:pPr>
          </w:p>
        </w:tc>
        <w:tc>
          <w:tcPr>
            <w:tcW w:w="372" w:type="dxa"/>
            <w:tcBorders>
              <w:bottom w:val="single" w:sz="2" w:space="0" w:color="9FA2A1"/>
            </w:tcBorders>
            <w:shd w:val="clear" w:color="auto" w:fill="99C8E5"/>
            <w:vAlign w:val="center"/>
          </w:tcPr>
          <w:p w14:paraId="6B8710C9"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379BD333"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70021FD2" w14:textId="77777777" w:rsidR="00410865" w:rsidRPr="00445472" w:rsidRDefault="00410865" w:rsidP="00410865">
            <w:pPr>
              <w:pStyle w:val="TableTextCentre"/>
              <w:spacing w:after="0"/>
              <w:rPr>
                <w:rFonts w:ascii="Garamond" w:hAnsi="Garamond"/>
                <w:lang w:val="sq-AL"/>
              </w:rPr>
            </w:pPr>
          </w:p>
        </w:tc>
        <w:tc>
          <w:tcPr>
            <w:tcW w:w="344" w:type="dxa"/>
            <w:tcBorders>
              <w:bottom w:val="single" w:sz="2" w:space="0" w:color="9FA2A1"/>
            </w:tcBorders>
            <w:shd w:val="clear" w:color="auto" w:fill="99C8E5"/>
            <w:vAlign w:val="center"/>
          </w:tcPr>
          <w:p w14:paraId="1C8BA265" w14:textId="77777777" w:rsidR="00410865" w:rsidRPr="00445472" w:rsidRDefault="00410865" w:rsidP="00410865">
            <w:pPr>
              <w:pStyle w:val="TableTextCentre"/>
              <w:spacing w:after="0"/>
              <w:rPr>
                <w:rFonts w:ascii="Garamond" w:hAnsi="Garamond"/>
                <w:lang w:val="sq-AL"/>
              </w:rPr>
            </w:pPr>
          </w:p>
        </w:tc>
        <w:tc>
          <w:tcPr>
            <w:tcW w:w="491" w:type="dxa"/>
            <w:tcBorders>
              <w:bottom w:val="single" w:sz="2" w:space="0" w:color="9FA2A1"/>
            </w:tcBorders>
            <w:shd w:val="clear" w:color="auto" w:fill="276F9A"/>
            <w:vAlign w:val="center"/>
          </w:tcPr>
          <w:p w14:paraId="33E1ADC5" w14:textId="77777777" w:rsidR="00410865" w:rsidRPr="00445472" w:rsidRDefault="00410865" w:rsidP="00410865">
            <w:pPr>
              <w:pStyle w:val="TableTextCentre"/>
              <w:spacing w:after="0"/>
              <w:rPr>
                <w:rFonts w:ascii="Garamond" w:hAnsi="Garamond"/>
                <w:lang w:val="sq-AL"/>
              </w:rPr>
            </w:pPr>
          </w:p>
        </w:tc>
        <w:tc>
          <w:tcPr>
            <w:tcW w:w="431" w:type="dxa"/>
            <w:tcBorders>
              <w:bottom w:val="single" w:sz="2" w:space="0" w:color="9FA2A1"/>
            </w:tcBorders>
            <w:shd w:val="clear" w:color="auto" w:fill="276F9A"/>
            <w:vAlign w:val="center"/>
          </w:tcPr>
          <w:p w14:paraId="73D4376E"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276F9A"/>
            <w:vAlign w:val="center"/>
          </w:tcPr>
          <w:p w14:paraId="2F5F6123" w14:textId="77777777" w:rsidR="00410865" w:rsidRPr="00445472" w:rsidRDefault="00410865" w:rsidP="00410865">
            <w:pPr>
              <w:pStyle w:val="TableTextCentre"/>
              <w:spacing w:after="0"/>
              <w:rPr>
                <w:rFonts w:ascii="Garamond" w:hAnsi="Garamond"/>
                <w:lang w:val="sq-AL"/>
              </w:rPr>
            </w:pPr>
          </w:p>
        </w:tc>
        <w:tc>
          <w:tcPr>
            <w:tcW w:w="357" w:type="dxa"/>
            <w:tcBorders>
              <w:bottom w:val="single" w:sz="2" w:space="0" w:color="9FA2A1"/>
            </w:tcBorders>
            <w:shd w:val="clear" w:color="auto" w:fill="276F9A"/>
            <w:vAlign w:val="center"/>
          </w:tcPr>
          <w:p w14:paraId="791E3E06" w14:textId="77777777" w:rsidR="00410865" w:rsidRPr="00445472" w:rsidRDefault="00410865" w:rsidP="00410865">
            <w:pPr>
              <w:pStyle w:val="TableTextCentre"/>
              <w:spacing w:after="0"/>
              <w:rPr>
                <w:rFonts w:ascii="Garamond" w:hAnsi="Garamond"/>
                <w:lang w:val="sq-AL"/>
              </w:rPr>
            </w:pPr>
          </w:p>
        </w:tc>
      </w:tr>
      <w:tr w:rsidR="00410865" w:rsidRPr="00445472" w14:paraId="489F129D" w14:textId="77777777" w:rsidTr="00410865">
        <w:trPr>
          <w:gridAfter w:val="1"/>
          <w:wAfter w:w="14" w:type="dxa"/>
          <w:jc w:val="center"/>
        </w:trPr>
        <w:tc>
          <w:tcPr>
            <w:tcW w:w="9073" w:type="dxa"/>
            <w:gridSpan w:val="4"/>
            <w:shd w:val="clear" w:color="auto" w:fill="BFBFBF"/>
            <w:vAlign w:val="center"/>
          </w:tcPr>
          <w:p w14:paraId="2C63ADB3" w14:textId="77777777" w:rsidR="00410865" w:rsidRPr="00445472" w:rsidRDefault="00410865" w:rsidP="00410865">
            <w:pPr>
              <w:pStyle w:val="TableTextCentre"/>
              <w:spacing w:after="0"/>
              <w:rPr>
                <w:rFonts w:ascii="Garamond" w:hAnsi="Garamond"/>
                <w:b/>
                <w:lang w:val="sq-AL" w:eastAsia="en-GB"/>
              </w:rPr>
            </w:pPr>
            <w:r w:rsidRPr="00445472">
              <w:rPr>
                <w:rFonts w:ascii="Garamond" w:hAnsi="Garamond"/>
                <w:b/>
                <w:lang w:val="sq-AL"/>
              </w:rPr>
              <w:t xml:space="preserve">Synimi: </w:t>
            </w:r>
            <w:r w:rsidRPr="00445472">
              <w:rPr>
                <w:rFonts w:ascii="Garamond" w:hAnsi="Garamond"/>
                <w:lang w:val="sq-AL"/>
              </w:rPr>
              <w:t>% e popullsisë së anketuar në zona urbane</w:t>
            </w:r>
          </w:p>
        </w:tc>
        <w:tc>
          <w:tcPr>
            <w:tcW w:w="1417" w:type="dxa"/>
            <w:gridSpan w:val="3"/>
            <w:shd w:val="clear" w:color="auto" w:fill="BFBFBF"/>
            <w:vAlign w:val="center"/>
          </w:tcPr>
          <w:p w14:paraId="070B77B5"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84</w:t>
            </w:r>
          </w:p>
        </w:tc>
        <w:tc>
          <w:tcPr>
            <w:tcW w:w="2410" w:type="dxa"/>
            <w:gridSpan w:val="6"/>
            <w:shd w:val="clear" w:color="auto" w:fill="BFBFBF"/>
            <w:vAlign w:val="center"/>
          </w:tcPr>
          <w:p w14:paraId="5DFC1FC3"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89</w:t>
            </w:r>
          </w:p>
        </w:tc>
        <w:tc>
          <w:tcPr>
            <w:tcW w:w="1701" w:type="dxa"/>
            <w:gridSpan w:val="4"/>
            <w:shd w:val="clear" w:color="auto" w:fill="BFBFBF"/>
            <w:vAlign w:val="center"/>
          </w:tcPr>
          <w:p w14:paraId="2C5B60D8"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94</w:t>
            </w:r>
          </w:p>
        </w:tc>
      </w:tr>
      <w:tr w:rsidR="00410865" w:rsidRPr="00445472" w14:paraId="04D59D41" w14:textId="77777777" w:rsidTr="00410865">
        <w:trPr>
          <w:gridAfter w:val="1"/>
          <w:wAfter w:w="14" w:type="dxa"/>
          <w:jc w:val="center"/>
        </w:trPr>
        <w:tc>
          <w:tcPr>
            <w:tcW w:w="9073" w:type="dxa"/>
            <w:gridSpan w:val="4"/>
            <w:shd w:val="clear" w:color="auto" w:fill="BFBFBF"/>
            <w:vAlign w:val="center"/>
          </w:tcPr>
          <w:p w14:paraId="1999EA34"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e popullsisë së anketuar në zona rurale</w:t>
            </w:r>
          </w:p>
        </w:tc>
        <w:tc>
          <w:tcPr>
            <w:tcW w:w="1417" w:type="dxa"/>
            <w:gridSpan w:val="3"/>
            <w:shd w:val="clear" w:color="auto" w:fill="BFBFBF"/>
            <w:vAlign w:val="center"/>
          </w:tcPr>
          <w:p w14:paraId="40BA8636"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35</w:t>
            </w:r>
          </w:p>
        </w:tc>
        <w:tc>
          <w:tcPr>
            <w:tcW w:w="2410" w:type="dxa"/>
            <w:gridSpan w:val="6"/>
            <w:shd w:val="clear" w:color="auto" w:fill="BFBFBF"/>
            <w:vAlign w:val="center"/>
          </w:tcPr>
          <w:p w14:paraId="4EBB9DBB"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40</w:t>
            </w:r>
          </w:p>
        </w:tc>
        <w:tc>
          <w:tcPr>
            <w:tcW w:w="1701" w:type="dxa"/>
            <w:gridSpan w:val="4"/>
            <w:shd w:val="clear" w:color="auto" w:fill="BFBFBF"/>
            <w:vAlign w:val="center"/>
          </w:tcPr>
          <w:p w14:paraId="0E9F0027"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58</w:t>
            </w:r>
          </w:p>
        </w:tc>
      </w:tr>
      <w:tr w:rsidR="00410865" w:rsidRPr="00445472" w14:paraId="6EA3B3A4" w14:textId="77777777" w:rsidTr="00410865">
        <w:trPr>
          <w:gridAfter w:val="1"/>
          <w:wAfter w:w="14" w:type="dxa"/>
          <w:jc w:val="center"/>
        </w:trPr>
        <w:tc>
          <w:tcPr>
            <w:tcW w:w="9073" w:type="dxa"/>
            <w:gridSpan w:val="4"/>
            <w:shd w:val="clear" w:color="auto" w:fill="BFBFBF"/>
            <w:vAlign w:val="center"/>
          </w:tcPr>
          <w:p w14:paraId="11FE8C3A"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Mesatarja e furnizimit me ujë (orë/ditë)</w:t>
            </w:r>
          </w:p>
        </w:tc>
        <w:tc>
          <w:tcPr>
            <w:tcW w:w="1417" w:type="dxa"/>
            <w:gridSpan w:val="3"/>
            <w:shd w:val="clear" w:color="auto" w:fill="BFBFBF"/>
            <w:vAlign w:val="center"/>
          </w:tcPr>
          <w:p w14:paraId="6D5636B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9</w:t>
            </w:r>
          </w:p>
        </w:tc>
        <w:tc>
          <w:tcPr>
            <w:tcW w:w="2410" w:type="dxa"/>
            <w:gridSpan w:val="6"/>
            <w:shd w:val="clear" w:color="auto" w:fill="BFBFBF"/>
            <w:vAlign w:val="center"/>
          </w:tcPr>
          <w:p w14:paraId="1F7E7D7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12</w:t>
            </w:r>
          </w:p>
        </w:tc>
        <w:tc>
          <w:tcPr>
            <w:tcW w:w="1701" w:type="dxa"/>
            <w:gridSpan w:val="4"/>
            <w:shd w:val="clear" w:color="auto" w:fill="BFBFBF"/>
            <w:vAlign w:val="center"/>
          </w:tcPr>
          <w:p w14:paraId="52A06731"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17</w:t>
            </w:r>
          </w:p>
        </w:tc>
      </w:tr>
      <w:tr w:rsidR="00410865" w:rsidRPr="00445472" w14:paraId="4FBC9A26" w14:textId="77777777" w:rsidTr="00410865">
        <w:trPr>
          <w:jc w:val="center"/>
        </w:trPr>
        <w:tc>
          <w:tcPr>
            <w:tcW w:w="14615" w:type="dxa"/>
            <w:gridSpan w:val="18"/>
            <w:shd w:val="clear" w:color="auto" w:fill="auto"/>
            <w:vAlign w:val="center"/>
          </w:tcPr>
          <w:p w14:paraId="192F898D"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 xml:space="preserve">1b) Grumbullimi i përmirësuar i ujit të ndotur </w:t>
            </w:r>
          </w:p>
        </w:tc>
      </w:tr>
      <w:tr w:rsidR="00410865" w:rsidRPr="00445472" w14:paraId="6B755EC1" w14:textId="77777777" w:rsidTr="00410865">
        <w:trPr>
          <w:gridAfter w:val="1"/>
          <w:wAfter w:w="14" w:type="dxa"/>
          <w:jc w:val="center"/>
        </w:trPr>
        <w:tc>
          <w:tcPr>
            <w:tcW w:w="3682" w:type="dxa"/>
            <w:shd w:val="clear" w:color="auto" w:fill="auto"/>
            <w:vAlign w:val="center"/>
          </w:tcPr>
          <w:p w14:paraId="117278ED" w14:textId="30DC5DD5"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Përgatitja e fizibilitetit, projekteve </w:t>
            </w:r>
            <w:r w:rsidR="004B51C9" w:rsidRPr="00445472">
              <w:rPr>
                <w:rFonts w:ascii="Garamond" w:hAnsi="Garamond"/>
                <w:lang w:val="sq-AL"/>
              </w:rPr>
              <w:t>për</w:t>
            </w:r>
            <w:r w:rsidRPr="00445472">
              <w:rPr>
                <w:rFonts w:ascii="Garamond" w:hAnsi="Garamond"/>
                <w:lang w:val="sq-AL"/>
              </w:rPr>
              <w:t xml:space="preserve"> rehabilitimin/zgjerimin/sistemin e ri të mbledhjes së ujërave të ndotura në zonat urbane dhe rurale. </w:t>
            </w:r>
          </w:p>
        </w:tc>
        <w:tc>
          <w:tcPr>
            <w:tcW w:w="1275" w:type="dxa"/>
            <w:shd w:val="clear" w:color="auto" w:fill="auto"/>
            <w:vAlign w:val="center"/>
          </w:tcPr>
          <w:p w14:paraId="6F95DCC2" w14:textId="77777777" w:rsidR="00410865" w:rsidRPr="00445472" w:rsidRDefault="00410865" w:rsidP="00410865">
            <w:pPr>
              <w:pStyle w:val="TableTextCentre"/>
              <w:spacing w:after="0"/>
              <w:rPr>
                <w:rFonts w:ascii="Garamond" w:hAnsi="Garamond"/>
                <w:lang w:val="sq-AL"/>
              </w:rPr>
            </w:pPr>
          </w:p>
          <w:p w14:paraId="6342F55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1.9</w:t>
            </w:r>
          </w:p>
        </w:tc>
        <w:tc>
          <w:tcPr>
            <w:tcW w:w="1560" w:type="dxa"/>
            <w:shd w:val="clear" w:color="auto" w:fill="auto"/>
            <w:vAlign w:val="center"/>
          </w:tcPr>
          <w:p w14:paraId="1AC9DB33" w14:textId="77777777" w:rsidR="00410865" w:rsidRPr="00445472" w:rsidRDefault="00410865" w:rsidP="00410865">
            <w:pPr>
              <w:pStyle w:val="TableTextCentre"/>
              <w:spacing w:after="0"/>
              <w:rPr>
                <w:rFonts w:ascii="Garamond" w:hAnsi="Garamond"/>
                <w:lang w:val="sq-AL"/>
              </w:rPr>
            </w:pPr>
          </w:p>
          <w:p w14:paraId="4CEB04E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 ZABU,</w:t>
            </w:r>
            <w:r w:rsidRPr="00445472" w:rsidDel="00B23E7D">
              <w:rPr>
                <w:rFonts w:ascii="Garamond" w:hAnsi="Garamond"/>
                <w:lang w:val="sq-AL"/>
              </w:rPr>
              <w:t xml:space="preserve"> </w:t>
            </w:r>
            <w:r w:rsidRPr="00445472">
              <w:rPr>
                <w:rFonts w:ascii="Garamond" w:hAnsi="Garamond"/>
                <w:lang w:val="sq-AL"/>
              </w:rPr>
              <w:t>(Bashkitë), ERRU</w:t>
            </w:r>
          </w:p>
        </w:tc>
        <w:tc>
          <w:tcPr>
            <w:tcW w:w="2556" w:type="dxa"/>
            <w:shd w:val="clear" w:color="auto" w:fill="auto"/>
            <w:vAlign w:val="center"/>
          </w:tcPr>
          <w:p w14:paraId="6F27CF6E" w14:textId="77777777" w:rsidR="00410865" w:rsidRPr="00445472" w:rsidRDefault="00410865" w:rsidP="00410865">
            <w:pPr>
              <w:pStyle w:val="TableTextCentre"/>
              <w:spacing w:after="0"/>
              <w:rPr>
                <w:rFonts w:ascii="Garamond" w:hAnsi="Garamond"/>
                <w:lang w:val="sq-AL"/>
              </w:rPr>
            </w:pPr>
          </w:p>
          <w:p w14:paraId="654DB408"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71008785"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3C5BF9B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F88D4C0"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F56A4B7"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29F9C797"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6E6AADC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D9A189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BAE3C95"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6571745"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26245E5A"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C446395"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46AD3082"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7D2ABBD9" w14:textId="77777777" w:rsidR="00410865" w:rsidRPr="00445472" w:rsidRDefault="00410865" w:rsidP="00410865">
            <w:pPr>
              <w:pStyle w:val="TableTextCentre"/>
              <w:spacing w:after="0"/>
              <w:rPr>
                <w:rFonts w:ascii="Garamond" w:hAnsi="Garamond"/>
                <w:lang w:val="sq-AL"/>
              </w:rPr>
            </w:pPr>
          </w:p>
        </w:tc>
      </w:tr>
      <w:tr w:rsidR="00410865" w:rsidRPr="00445472" w14:paraId="300E5C5A" w14:textId="77777777" w:rsidTr="00410865">
        <w:trPr>
          <w:gridAfter w:val="1"/>
          <w:wAfter w:w="14" w:type="dxa"/>
          <w:jc w:val="center"/>
        </w:trPr>
        <w:tc>
          <w:tcPr>
            <w:tcW w:w="3682" w:type="dxa"/>
            <w:shd w:val="clear" w:color="auto" w:fill="auto"/>
            <w:vAlign w:val="center"/>
          </w:tcPr>
          <w:p w14:paraId="10C0F3C0"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Rehabilitimi/zhvillimi i rrjetit të ujërave të ndotura në zonat urbane dhe rurale &lt;50,000 banorë. </w:t>
            </w:r>
          </w:p>
        </w:tc>
        <w:tc>
          <w:tcPr>
            <w:tcW w:w="1275" w:type="dxa"/>
            <w:shd w:val="clear" w:color="auto" w:fill="auto"/>
            <w:vAlign w:val="center"/>
          </w:tcPr>
          <w:p w14:paraId="5553B3F0" w14:textId="77777777" w:rsidR="00410865" w:rsidRPr="00445472" w:rsidRDefault="00410865" w:rsidP="00410865">
            <w:pPr>
              <w:pStyle w:val="TableTextCentre"/>
              <w:spacing w:after="0"/>
              <w:rPr>
                <w:rFonts w:ascii="Garamond" w:hAnsi="Garamond"/>
                <w:lang w:val="sq-AL"/>
              </w:rPr>
            </w:pPr>
          </w:p>
          <w:p w14:paraId="072AD7F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34.6</w:t>
            </w:r>
          </w:p>
        </w:tc>
        <w:tc>
          <w:tcPr>
            <w:tcW w:w="1560" w:type="dxa"/>
            <w:shd w:val="clear" w:color="auto" w:fill="auto"/>
            <w:vAlign w:val="center"/>
          </w:tcPr>
          <w:p w14:paraId="11AB765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 ZABU,</w:t>
            </w:r>
          </w:p>
          <w:p w14:paraId="79E7EB7A" w14:textId="77777777" w:rsidR="00410865" w:rsidRPr="00445472" w:rsidRDefault="00410865" w:rsidP="00410865">
            <w:pPr>
              <w:pStyle w:val="TableTextCentre"/>
              <w:spacing w:after="0"/>
              <w:rPr>
                <w:rFonts w:ascii="Garamond" w:hAnsi="Garamond"/>
                <w:lang w:val="sq-AL"/>
              </w:rPr>
            </w:pPr>
            <w:r w:rsidRPr="00445472" w:rsidDel="00B23E7D">
              <w:rPr>
                <w:rFonts w:ascii="Garamond" w:hAnsi="Garamond"/>
                <w:lang w:val="sq-AL"/>
              </w:rPr>
              <w:t xml:space="preserve"> </w:t>
            </w:r>
            <w:r w:rsidRPr="00445472">
              <w:rPr>
                <w:rFonts w:ascii="Garamond" w:hAnsi="Garamond"/>
                <w:lang w:val="sq-AL"/>
              </w:rPr>
              <w:t>(Bashkitë)</w:t>
            </w:r>
          </w:p>
        </w:tc>
        <w:tc>
          <w:tcPr>
            <w:tcW w:w="2556" w:type="dxa"/>
            <w:vMerge w:val="restart"/>
            <w:shd w:val="clear" w:color="auto" w:fill="auto"/>
            <w:vAlign w:val="center"/>
          </w:tcPr>
          <w:p w14:paraId="51419B89" w14:textId="77777777" w:rsidR="00410865" w:rsidRPr="00445472" w:rsidRDefault="00410865" w:rsidP="00410865">
            <w:pPr>
              <w:pStyle w:val="TableTextCentre"/>
              <w:spacing w:after="0"/>
              <w:rPr>
                <w:rFonts w:ascii="Garamond" w:hAnsi="Garamond"/>
                <w:lang w:val="sq-AL"/>
              </w:rPr>
            </w:pPr>
          </w:p>
          <w:p w14:paraId="5CF8A61E" w14:textId="77777777" w:rsidR="00410865" w:rsidRPr="00445472" w:rsidRDefault="00410865" w:rsidP="00410865">
            <w:pPr>
              <w:pStyle w:val="TableTextCentre"/>
              <w:spacing w:after="0"/>
              <w:rPr>
                <w:rFonts w:ascii="Garamond" w:hAnsi="Garamond"/>
                <w:lang w:val="sq-AL"/>
              </w:rPr>
            </w:pPr>
          </w:p>
          <w:p w14:paraId="4A09B47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Hua +</w:t>
            </w:r>
          </w:p>
          <w:p w14:paraId="715C7AA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Fonde kombëtare dhe/ose nga donatorë </w:t>
            </w:r>
          </w:p>
          <w:p w14:paraId="03DAB244" w14:textId="077FB094" w:rsidR="00410865" w:rsidRPr="00445472" w:rsidRDefault="00410865" w:rsidP="00410865">
            <w:pPr>
              <w:pStyle w:val="TableTextCentre"/>
              <w:spacing w:after="0"/>
              <w:rPr>
                <w:rFonts w:ascii="Garamond" w:hAnsi="Garamond"/>
                <w:lang w:val="sq-AL"/>
              </w:rPr>
            </w:pPr>
            <w:r w:rsidRPr="00445472">
              <w:rPr>
                <w:rFonts w:ascii="Garamond" w:hAnsi="Garamond"/>
                <w:lang w:val="sq-AL"/>
              </w:rPr>
              <w:t>(Studime bazë</w:t>
            </w:r>
            <w:r w:rsidR="001D340B" w:rsidRPr="00445472">
              <w:rPr>
                <w:rFonts w:ascii="Garamond" w:hAnsi="Garamond"/>
                <w:lang w:val="sq-AL"/>
              </w:rPr>
              <w:t>/</w:t>
            </w:r>
            <w:r w:rsidRPr="00445472">
              <w:rPr>
                <w:rFonts w:ascii="Garamond" w:hAnsi="Garamond"/>
                <w:lang w:val="sq-AL"/>
              </w:rPr>
              <w:t>fizibiliteti)</w:t>
            </w:r>
          </w:p>
        </w:tc>
        <w:tc>
          <w:tcPr>
            <w:tcW w:w="566" w:type="dxa"/>
            <w:shd w:val="clear" w:color="auto" w:fill="D2E7F6"/>
            <w:vAlign w:val="center"/>
          </w:tcPr>
          <w:p w14:paraId="77F57A65"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1F656E87"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114DF202"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649FCB5"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F709E9F"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6E81FEC5"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C17B09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3DDA530"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6916D53D" w14:textId="77777777" w:rsidR="00410865" w:rsidRPr="00445472" w:rsidRDefault="00410865" w:rsidP="0080598D">
            <w:pPr>
              <w:pStyle w:val="TableTextCentre"/>
              <w:keepNext/>
              <w:numPr>
                <w:ilvl w:val="2"/>
                <w:numId w:val="2"/>
              </w:numPr>
              <w:spacing w:after="0"/>
              <w:outlineLvl w:val="2"/>
              <w:rPr>
                <w:rFonts w:ascii="Garamond" w:hAnsi="Garamond"/>
                <w:lang w:val="sq-AL"/>
              </w:rPr>
            </w:pPr>
          </w:p>
        </w:tc>
        <w:tc>
          <w:tcPr>
            <w:tcW w:w="491" w:type="dxa"/>
            <w:shd w:val="clear" w:color="auto" w:fill="276F9A"/>
            <w:vAlign w:val="center"/>
          </w:tcPr>
          <w:p w14:paraId="2BFF64D8"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31" w:type="dxa"/>
            <w:shd w:val="clear" w:color="auto" w:fill="276F9A"/>
            <w:vAlign w:val="center"/>
          </w:tcPr>
          <w:p w14:paraId="7FCC8A95"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276F9A"/>
            <w:vAlign w:val="center"/>
          </w:tcPr>
          <w:p w14:paraId="64ED6758"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57" w:type="dxa"/>
            <w:shd w:val="clear" w:color="auto" w:fill="276F9A"/>
            <w:vAlign w:val="center"/>
          </w:tcPr>
          <w:p w14:paraId="02A2867F"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r>
      <w:tr w:rsidR="00410865" w:rsidRPr="00445472" w14:paraId="054EE724" w14:textId="77777777" w:rsidTr="00410865">
        <w:trPr>
          <w:gridAfter w:val="1"/>
          <w:wAfter w:w="14" w:type="dxa"/>
          <w:jc w:val="center"/>
        </w:trPr>
        <w:tc>
          <w:tcPr>
            <w:tcW w:w="3682" w:type="dxa"/>
            <w:shd w:val="clear" w:color="auto" w:fill="auto"/>
            <w:vAlign w:val="center"/>
          </w:tcPr>
          <w:p w14:paraId="31F9B49A" w14:textId="4747A5AE"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Rehabilitimi/zhvillimi i rrjeteve të ujërave të ndotura në zonat urbane dhe rurale 50.000</w:t>
            </w:r>
            <w:r w:rsidR="00C83744" w:rsidRPr="00C83744">
              <w:rPr>
                <w:rFonts w:ascii="Garamond" w:hAnsi="Garamond"/>
              </w:rPr>
              <w:t>–</w:t>
            </w:r>
            <w:r w:rsidRPr="00445472">
              <w:rPr>
                <w:rFonts w:ascii="Garamond" w:hAnsi="Garamond"/>
                <w:lang w:val="sq-AL"/>
              </w:rPr>
              <w:t>100.000 banorë.</w:t>
            </w:r>
          </w:p>
        </w:tc>
        <w:tc>
          <w:tcPr>
            <w:tcW w:w="1275" w:type="dxa"/>
            <w:shd w:val="clear" w:color="auto" w:fill="auto"/>
            <w:vAlign w:val="center"/>
          </w:tcPr>
          <w:p w14:paraId="53924280" w14:textId="77777777" w:rsidR="00410865" w:rsidRPr="00445472" w:rsidRDefault="00410865" w:rsidP="00410865">
            <w:pPr>
              <w:pStyle w:val="TableTextCentre"/>
              <w:spacing w:after="0"/>
              <w:rPr>
                <w:rFonts w:ascii="Garamond" w:hAnsi="Garamond"/>
                <w:lang w:val="sq-AL"/>
              </w:rPr>
            </w:pPr>
          </w:p>
          <w:p w14:paraId="2D0DF81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109.0</w:t>
            </w:r>
          </w:p>
        </w:tc>
        <w:tc>
          <w:tcPr>
            <w:tcW w:w="1560" w:type="dxa"/>
            <w:shd w:val="clear" w:color="auto" w:fill="auto"/>
            <w:vAlign w:val="center"/>
          </w:tcPr>
          <w:p w14:paraId="0BF2C700" w14:textId="77777777" w:rsidR="00410865" w:rsidRPr="00445472" w:rsidRDefault="00410865" w:rsidP="00410865">
            <w:pPr>
              <w:pStyle w:val="TableTextCentre"/>
              <w:spacing w:after="0"/>
              <w:rPr>
                <w:rFonts w:ascii="Garamond" w:hAnsi="Garamond"/>
                <w:lang w:val="sq-AL"/>
              </w:rPr>
            </w:pPr>
          </w:p>
          <w:p w14:paraId="7BC8F32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 ZABU,</w:t>
            </w:r>
          </w:p>
          <w:p w14:paraId="67255385" w14:textId="77777777" w:rsidR="00410865" w:rsidRPr="00445472" w:rsidRDefault="00410865" w:rsidP="00410865">
            <w:pPr>
              <w:pStyle w:val="TableTextCentre"/>
              <w:spacing w:after="0"/>
              <w:rPr>
                <w:rFonts w:ascii="Garamond" w:hAnsi="Garamond"/>
                <w:lang w:val="sq-AL"/>
              </w:rPr>
            </w:pPr>
            <w:r w:rsidRPr="00445472" w:rsidDel="00B23E7D">
              <w:rPr>
                <w:rFonts w:ascii="Garamond" w:hAnsi="Garamond"/>
                <w:lang w:val="sq-AL"/>
              </w:rPr>
              <w:t xml:space="preserve"> </w:t>
            </w:r>
            <w:r w:rsidRPr="00445472">
              <w:rPr>
                <w:rFonts w:ascii="Garamond" w:hAnsi="Garamond"/>
                <w:lang w:val="sq-AL"/>
              </w:rPr>
              <w:t>(Bashkitë)</w:t>
            </w:r>
          </w:p>
        </w:tc>
        <w:tc>
          <w:tcPr>
            <w:tcW w:w="2556" w:type="dxa"/>
            <w:vMerge/>
            <w:shd w:val="clear" w:color="auto" w:fill="auto"/>
            <w:vAlign w:val="center"/>
          </w:tcPr>
          <w:p w14:paraId="1E01F740"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4C77153C"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0F76877A"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5137FD48"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BFC823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511BF6E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38DCF3F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0F88D720"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0FB1B288"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44" w:type="dxa"/>
            <w:shd w:val="clear" w:color="auto" w:fill="99C8E5"/>
            <w:vAlign w:val="center"/>
          </w:tcPr>
          <w:p w14:paraId="2F1ABEF5"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91" w:type="dxa"/>
            <w:shd w:val="clear" w:color="auto" w:fill="276F9A"/>
            <w:vAlign w:val="center"/>
          </w:tcPr>
          <w:p w14:paraId="301C95A5" w14:textId="77777777" w:rsidR="00410865" w:rsidRPr="00445472" w:rsidRDefault="00410865" w:rsidP="0080598D">
            <w:pPr>
              <w:pStyle w:val="TableTextCentre"/>
              <w:keepNext/>
              <w:numPr>
                <w:ilvl w:val="2"/>
                <w:numId w:val="2"/>
              </w:numPr>
              <w:spacing w:after="0"/>
              <w:outlineLvl w:val="2"/>
              <w:rPr>
                <w:rFonts w:ascii="Garamond" w:hAnsi="Garamond"/>
                <w:lang w:val="sq-AL"/>
              </w:rPr>
            </w:pPr>
          </w:p>
        </w:tc>
        <w:tc>
          <w:tcPr>
            <w:tcW w:w="431" w:type="dxa"/>
            <w:shd w:val="clear" w:color="auto" w:fill="276F9A"/>
            <w:vAlign w:val="center"/>
          </w:tcPr>
          <w:p w14:paraId="53A5B035" w14:textId="77777777" w:rsidR="00410865" w:rsidRPr="00445472" w:rsidRDefault="00410865" w:rsidP="0080598D">
            <w:pPr>
              <w:pStyle w:val="TableTextCentre"/>
              <w:keepNext/>
              <w:numPr>
                <w:ilvl w:val="2"/>
                <w:numId w:val="2"/>
              </w:numPr>
              <w:spacing w:after="0"/>
              <w:outlineLvl w:val="2"/>
              <w:rPr>
                <w:rFonts w:ascii="Garamond" w:hAnsi="Garamond"/>
                <w:lang w:val="sq-AL"/>
              </w:rPr>
            </w:pPr>
          </w:p>
        </w:tc>
        <w:tc>
          <w:tcPr>
            <w:tcW w:w="422" w:type="dxa"/>
            <w:shd w:val="clear" w:color="auto" w:fill="276F9A"/>
            <w:vAlign w:val="center"/>
          </w:tcPr>
          <w:p w14:paraId="1665D638"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BD7EA93" w14:textId="77777777" w:rsidR="00410865" w:rsidRPr="00445472" w:rsidRDefault="00410865" w:rsidP="00410865">
            <w:pPr>
              <w:pStyle w:val="TableTextCentre"/>
              <w:spacing w:after="0"/>
              <w:rPr>
                <w:rFonts w:ascii="Garamond" w:hAnsi="Garamond"/>
                <w:lang w:val="sq-AL"/>
              </w:rPr>
            </w:pPr>
          </w:p>
        </w:tc>
      </w:tr>
      <w:tr w:rsidR="00410865" w:rsidRPr="00445472" w14:paraId="4989C11C" w14:textId="77777777" w:rsidTr="00410865">
        <w:trPr>
          <w:gridAfter w:val="1"/>
          <w:wAfter w:w="14" w:type="dxa"/>
          <w:jc w:val="center"/>
        </w:trPr>
        <w:tc>
          <w:tcPr>
            <w:tcW w:w="3682" w:type="dxa"/>
            <w:tcBorders>
              <w:bottom w:val="single" w:sz="2" w:space="0" w:color="9FA2A1"/>
            </w:tcBorders>
            <w:shd w:val="clear" w:color="auto" w:fill="auto"/>
            <w:vAlign w:val="center"/>
          </w:tcPr>
          <w:p w14:paraId="3F060C79"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Rehabilitimi/zhvillimi i rrjetit të ujërave të ndotura në zonat urbane dhe rurale &gt;100.000 banorë. </w:t>
            </w:r>
          </w:p>
        </w:tc>
        <w:tc>
          <w:tcPr>
            <w:tcW w:w="1275" w:type="dxa"/>
            <w:tcBorders>
              <w:bottom w:val="single" w:sz="2" w:space="0" w:color="9FA2A1"/>
            </w:tcBorders>
            <w:shd w:val="clear" w:color="auto" w:fill="auto"/>
            <w:vAlign w:val="center"/>
          </w:tcPr>
          <w:p w14:paraId="661940DE" w14:textId="77777777" w:rsidR="00410865" w:rsidRPr="00445472" w:rsidRDefault="00410865" w:rsidP="00410865">
            <w:pPr>
              <w:pStyle w:val="TableTextCentre"/>
              <w:spacing w:after="0"/>
              <w:rPr>
                <w:rFonts w:ascii="Garamond" w:hAnsi="Garamond"/>
                <w:lang w:val="sq-AL"/>
              </w:rPr>
            </w:pPr>
          </w:p>
          <w:p w14:paraId="71DA665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84.0</w:t>
            </w:r>
          </w:p>
        </w:tc>
        <w:tc>
          <w:tcPr>
            <w:tcW w:w="1560" w:type="dxa"/>
            <w:tcBorders>
              <w:bottom w:val="single" w:sz="2" w:space="0" w:color="9FA2A1"/>
            </w:tcBorders>
            <w:shd w:val="clear" w:color="auto" w:fill="auto"/>
            <w:vAlign w:val="center"/>
          </w:tcPr>
          <w:p w14:paraId="62958580" w14:textId="77777777" w:rsidR="00410865" w:rsidRPr="00445472" w:rsidRDefault="00410865" w:rsidP="00410865">
            <w:pPr>
              <w:pStyle w:val="TableTextCentre"/>
              <w:spacing w:after="0"/>
              <w:rPr>
                <w:rFonts w:ascii="Garamond" w:hAnsi="Garamond"/>
                <w:lang w:val="sq-AL"/>
              </w:rPr>
            </w:pPr>
          </w:p>
          <w:p w14:paraId="1D2F749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 ZABU,</w:t>
            </w:r>
          </w:p>
          <w:p w14:paraId="40998134" w14:textId="13AC810E" w:rsidR="00410865" w:rsidRPr="00445472" w:rsidRDefault="00410865" w:rsidP="00410865">
            <w:pPr>
              <w:pStyle w:val="TableTextCentre"/>
              <w:spacing w:after="0"/>
              <w:rPr>
                <w:rFonts w:ascii="Garamond" w:hAnsi="Garamond"/>
                <w:lang w:val="sq-AL"/>
              </w:rPr>
            </w:pPr>
            <w:r w:rsidRPr="00445472" w:rsidDel="00B23E7D">
              <w:rPr>
                <w:rFonts w:ascii="Garamond" w:hAnsi="Garamond"/>
                <w:lang w:val="sq-AL"/>
              </w:rPr>
              <w:t xml:space="preserve"> </w:t>
            </w:r>
            <w:r w:rsidRPr="00445472">
              <w:rPr>
                <w:rFonts w:ascii="Garamond" w:hAnsi="Garamond"/>
                <w:lang w:val="sq-AL"/>
              </w:rPr>
              <w:t>(</w:t>
            </w:r>
            <w:r w:rsidR="004B51C9" w:rsidRPr="00445472">
              <w:rPr>
                <w:rFonts w:ascii="Garamond" w:hAnsi="Garamond"/>
                <w:lang w:val="sq-AL"/>
              </w:rPr>
              <w:t>bashkitë</w:t>
            </w:r>
            <w:r w:rsidRPr="00445472">
              <w:rPr>
                <w:rFonts w:ascii="Garamond" w:hAnsi="Garamond"/>
                <w:lang w:val="sq-AL"/>
              </w:rPr>
              <w:t>), ERRU</w:t>
            </w:r>
          </w:p>
        </w:tc>
        <w:tc>
          <w:tcPr>
            <w:tcW w:w="2556" w:type="dxa"/>
            <w:vMerge/>
            <w:tcBorders>
              <w:bottom w:val="single" w:sz="2" w:space="0" w:color="9FA2A1"/>
            </w:tcBorders>
            <w:shd w:val="clear" w:color="auto" w:fill="auto"/>
            <w:vAlign w:val="center"/>
          </w:tcPr>
          <w:p w14:paraId="5BFE7D62" w14:textId="77777777" w:rsidR="00410865" w:rsidRPr="00445472" w:rsidRDefault="00410865" w:rsidP="00410865">
            <w:pPr>
              <w:pStyle w:val="TableTextCentre"/>
              <w:spacing w:after="0"/>
              <w:rPr>
                <w:rFonts w:ascii="Garamond" w:hAnsi="Garamond"/>
                <w:lang w:val="sq-AL"/>
              </w:rPr>
            </w:pPr>
          </w:p>
        </w:tc>
        <w:tc>
          <w:tcPr>
            <w:tcW w:w="566" w:type="dxa"/>
            <w:tcBorders>
              <w:bottom w:val="single" w:sz="2" w:space="0" w:color="9FA2A1"/>
            </w:tcBorders>
            <w:shd w:val="clear" w:color="auto" w:fill="D2E7F6"/>
            <w:vAlign w:val="center"/>
          </w:tcPr>
          <w:p w14:paraId="4D1CFC1B" w14:textId="77777777" w:rsidR="00410865" w:rsidRPr="00445472" w:rsidRDefault="00410865" w:rsidP="00410865">
            <w:pPr>
              <w:pStyle w:val="TableTextCentre"/>
              <w:spacing w:after="0"/>
              <w:rPr>
                <w:rFonts w:ascii="Garamond" w:hAnsi="Garamond"/>
                <w:lang w:val="sq-AL"/>
              </w:rPr>
            </w:pPr>
          </w:p>
        </w:tc>
        <w:tc>
          <w:tcPr>
            <w:tcW w:w="426" w:type="dxa"/>
            <w:tcBorders>
              <w:bottom w:val="single" w:sz="2" w:space="0" w:color="9FA2A1"/>
            </w:tcBorders>
            <w:shd w:val="clear" w:color="auto" w:fill="D2E7F6"/>
            <w:vAlign w:val="center"/>
          </w:tcPr>
          <w:p w14:paraId="6C007A0A"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D2E7F6"/>
            <w:vAlign w:val="center"/>
          </w:tcPr>
          <w:p w14:paraId="6956B07D"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3DBDAA1D"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5" w:type="dxa"/>
            <w:tcBorders>
              <w:bottom w:val="single" w:sz="2" w:space="0" w:color="9FA2A1"/>
            </w:tcBorders>
            <w:shd w:val="clear" w:color="auto" w:fill="99C8E5"/>
            <w:vAlign w:val="center"/>
          </w:tcPr>
          <w:p w14:paraId="3033FA4B"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72" w:type="dxa"/>
            <w:tcBorders>
              <w:bottom w:val="single" w:sz="2" w:space="0" w:color="9FA2A1"/>
            </w:tcBorders>
            <w:shd w:val="clear" w:color="auto" w:fill="99C8E5"/>
            <w:vAlign w:val="center"/>
          </w:tcPr>
          <w:p w14:paraId="5515EE54"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tcBorders>
              <w:bottom w:val="single" w:sz="2" w:space="0" w:color="9FA2A1"/>
            </w:tcBorders>
            <w:shd w:val="clear" w:color="auto" w:fill="99C8E5"/>
            <w:vAlign w:val="center"/>
          </w:tcPr>
          <w:p w14:paraId="4564F99C"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422" w:type="dxa"/>
            <w:tcBorders>
              <w:bottom w:val="single" w:sz="2" w:space="0" w:color="9FA2A1"/>
            </w:tcBorders>
            <w:shd w:val="clear" w:color="auto" w:fill="99C8E5"/>
            <w:vAlign w:val="center"/>
          </w:tcPr>
          <w:p w14:paraId="4DC8C17E" w14:textId="77777777" w:rsidR="00410865" w:rsidRPr="00445472" w:rsidRDefault="00410865" w:rsidP="00410865">
            <w:pPr>
              <w:pStyle w:val="TableTextCentre"/>
              <w:keepNext/>
              <w:pageBreakBefore/>
              <w:spacing w:after="0"/>
              <w:outlineLvl w:val="0"/>
              <w:rPr>
                <w:rFonts w:ascii="Garamond" w:hAnsi="Garamond"/>
                <w:lang w:val="sq-AL"/>
              </w:rPr>
            </w:pPr>
            <w:r w:rsidRPr="00445472">
              <w:rPr>
                <w:rFonts w:ascii="Segoe UI Symbol" w:eastAsia="MS Gothic" w:hAnsi="Segoe UI Symbol" w:cs="Segoe UI Symbol"/>
                <w:highlight w:val="red"/>
                <w:lang w:val="sq-AL"/>
              </w:rPr>
              <w:t>✓</w:t>
            </w:r>
          </w:p>
        </w:tc>
        <w:tc>
          <w:tcPr>
            <w:tcW w:w="344" w:type="dxa"/>
            <w:tcBorders>
              <w:bottom w:val="single" w:sz="2" w:space="0" w:color="9FA2A1"/>
            </w:tcBorders>
            <w:shd w:val="clear" w:color="auto" w:fill="99C8E5"/>
            <w:vAlign w:val="center"/>
          </w:tcPr>
          <w:p w14:paraId="29B3E73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91" w:type="dxa"/>
            <w:tcBorders>
              <w:bottom w:val="single" w:sz="2" w:space="0" w:color="9FA2A1"/>
            </w:tcBorders>
            <w:shd w:val="clear" w:color="auto" w:fill="276F9A"/>
            <w:vAlign w:val="center"/>
          </w:tcPr>
          <w:p w14:paraId="75BA577C" w14:textId="77777777" w:rsidR="00410865" w:rsidRPr="00445472" w:rsidRDefault="00410865" w:rsidP="00410865">
            <w:pPr>
              <w:pStyle w:val="TableTextCentre"/>
              <w:spacing w:after="0"/>
              <w:rPr>
                <w:rFonts w:ascii="Garamond" w:hAnsi="Garamond"/>
                <w:lang w:val="sq-AL"/>
              </w:rPr>
            </w:pPr>
          </w:p>
        </w:tc>
        <w:tc>
          <w:tcPr>
            <w:tcW w:w="431" w:type="dxa"/>
            <w:tcBorders>
              <w:bottom w:val="single" w:sz="2" w:space="0" w:color="9FA2A1"/>
            </w:tcBorders>
            <w:shd w:val="clear" w:color="auto" w:fill="276F9A"/>
            <w:vAlign w:val="center"/>
          </w:tcPr>
          <w:p w14:paraId="08BB31D4"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276F9A"/>
            <w:vAlign w:val="center"/>
          </w:tcPr>
          <w:p w14:paraId="10733636" w14:textId="77777777" w:rsidR="00410865" w:rsidRPr="00445472" w:rsidRDefault="00410865" w:rsidP="00410865">
            <w:pPr>
              <w:pStyle w:val="TableTextCentre"/>
              <w:spacing w:after="0"/>
              <w:rPr>
                <w:rFonts w:ascii="Garamond" w:hAnsi="Garamond"/>
                <w:lang w:val="sq-AL"/>
              </w:rPr>
            </w:pPr>
          </w:p>
        </w:tc>
        <w:tc>
          <w:tcPr>
            <w:tcW w:w="357" w:type="dxa"/>
            <w:tcBorders>
              <w:bottom w:val="single" w:sz="2" w:space="0" w:color="9FA2A1"/>
            </w:tcBorders>
            <w:shd w:val="clear" w:color="auto" w:fill="276F9A"/>
            <w:vAlign w:val="center"/>
          </w:tcPr>
          <w:p w14:paraId="2EF35ED4" w14:textId="77777777" w:rsidR="00410865" w:rsidRPr="00445472" w:rsidRDefault="00410865" w:rsidP="00410865">
            <w:pPr>
              <w:pStyle w:val="TableTextCentre"/>
              <w:spacing w:after="0"/>
              <w:rPr>
                <w:rFonts w:ascii="Garamond" w:hAnsi="Garamond"/>
                <w:lang w:val="sq-AL"/>
              </w:rPr>
            </w:pPr>
          </w:p>
        </w:tc>
      </w:tr>
      <w:tr w:rsidR="00410865" w:rsidRPr="00445472" w14:paraId="6258F66D" w14:textId="77777777" w:rsidTr="00410865">
        <w:trPr>
          <w:gridAfter w:val="1"/>
          <w:wAfter w:w="14" w:type="dxa"/>
          <w:jc w:val="center"/>
        </w:trPr>
        <w:tc>
          <w:tcPr>
            <w:tcW w:w="9073" w:type="dxa"/>
            <w:gridSpan w:val="4"/>
            <w:shd w:val="clear" w:color="auto" w:fill="BFBFBF"/>
            <w:vAlign w:val="center"/>
          </w:tcPr>
          <w:p w14:paraId="44C21DB2"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e popullsisë së anketuar në zona urbane</w:t>
            </w:r>
          </w:p>
        </w:tc>
        <w:tc>
          <w:tcPr>
            <w:tcW w:w="1417" w:type="dxa"/>
            <w:gridSpan w:val="3"/>
            <w:shd w:val="clear" w:color="auto" w:fill="BFBFBF"/>
            <w:vAlign w:val="center"/>
          </w:tcPr>
          <w:p w14:paraId="65FA1D4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64</w:t>
            </w:r>
          </w:p>
        </w:tc>
        <w:tc>
          <w:tcPr>
            <w:tcW w:w="2410" w:type="dxa"/>
            <w:gridSpan w:val="6"/>
            <w:shd w:val="clear" w:color="auto" w:fill="BFBFBF"/>
            <w:vAlign w:val="center"/>
          </w:tcPr>
          <w:p w14:paraId="474281BD"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65</w:t>
            </w:r>
          </w:p>
        </w:tc>
        <w:tc>
          <w:tcPr>
            <w:tcW w:w="1701" w:type="dxa"/>
            <w:gridSpan w:val="4"/>
            <w:shd w:val="clear" w:color="auto" w:fill="BFBFBF"/>
            <w:vAlign w:val="center"/>
          </w:tcPr>
          <w:p w14:paraId="5D78120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70</w:t>
            </w:r>
          </w:p>
        </w:tc>
      </w:tr>
      <w:tr w:rsidR="00410865" w:rsidRPr="00445472" w14:paraId="1301875B" w14:textId="77777777" w:rsidTr="00410865">
        <w:trPr>
          <w:gridAfter w:val="1"/>
          <w:wAfter w:w="14" w:type="dxa"/>
          <w:jc w:val="center"/>
        </w:trPr>
        <w:tc>
          <w:tcPr>
            <w:tcW w:w="9073" w:type="dxa"/>
            <w:gridSpan w:val="4"/>
            <w:shd w:val="clear" w:color="auto" w:fill="BFBFBF"/>
            <w:vAlign w:val="center"/>
          </w:tcPr>
          <w:p w14:paraId="09F2A9EA"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e popullsisë së anketuar në zona rurale</w:t>
            </w:r>
          </w:p>
        </w:tc>
        <w:tc>
          <w:tcPr>
            <w:tcW w:w="1417" w:type="dxa"/>
            <w:gridSpan w:val="3"/>
            <w:shd w:val="clear" w:color="auto" w:fill="BFBFBF"/>
            <w:vAlign w:val="center"/>
          </w:tcPr>
          <w:p w14:paraId="3D6D2237"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18</w:t>
            </w:r>
          </w:p>
        </w:tc>
        <w:tc>
          <w:tcPr>
            <w:tcW w:w="2410" w:type="dxa"/>
            <w:gridSpan w:val="6"/>
            <w:shd w:val="clear" w:color="auto" w:fill="BFBFBF"/>
            <w:vAlign w:val="center"/>
          </w:tcPr>
          <w:p w14:paraId="1EC67844"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24</w:t>
            </w:r>
          </w:p>
        </w:tc>
        <w:tc>
          <w:tcPr>
            <w:tcW w:w="1701" w:type="dxa"/>
            <w:gridSpan w:val="4"/>
            <w:shd w:val="clear" w:color="auto" w:fill="BFBFBF"/>
            <w:vAlign w:val="center"/>
          </w:tcPr>
          <w:p w14:paraId="3F008BD7"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30</w:t>
            </w:r>
          </w:p>
        </w:tc>
      </w:tr>
      <w:tr w:rsidR="00410865" w:rsidRPr="00445472" w14:paraId="256B12E1" w14:textId="77777777" w:rsidTr="00410865">
        <w:trPr>
          <w:jc w:val="center"/>
        </w:trPr>
        <w:tc>
          <w:tcPr>
            <w:tcW w:w="14615" w:type="dxa"/>
            <w:gridSpan w:val="18"/>
            <w:shd w:val="clear" w:color="auto" w:fill="auto"/>
            <w:vAlign w:val="center"/>
          </w:tcPr>
          <w:p w14:paraId="3CB27624" w14:textId="77777777" w:rsidR="00410865" w:rsidRPr="00445472" w:rsidRDefault="00410865" w:rsidP="00410865">
            <w:pPr>
              <w:pStyle w:val="TableTextCentre"/>
              <w:spacing w:after="0"/>
              <w:jc w:val="left"/>
              <w:rPr>
                <w:rFonts w:ascii="Garamond" w:hAnsi="Garamond"/>
                <w:b/>
                <w:i/>
                <w:lang w:val="sq-AL"/>
              </w:rPr>
            </w:pPr>
            <w:r w:rsidRPr="00445472">
              <w:rPr>
                <w:rFonts w:ascii="Garamond" w:hAnsi="Garamond"/>
                <w:b/>
                <w:i/>
                <w:lang w:val="sq-AL"/>
              </w:rPr>
              <w:t xml:space="preserve">1c) Uji për ujitje për tokën bujqësore </w:t>
            </w:r>
          </w:p>
        </w:tc>
      </w:tr>
      <w:tr w:rsidR="00410865" w:rsidRPr="00445472" w14:paraId="02A630CA" w14:textId="77777777" w:rsidTr="00410865">
        <w:trPr>
          <w:gridAfter w:val="1"/>
          <w:wAfter w:w="14" w:type="dxa"/>
          <w:jc w:val="center"/>
        </w:trPr>
        <w:tc>
          <w:tcPr>
            <w:tcW w:w="3682" w:type="dxa"/>
            <w:shd w:val="clear" w:color="auto" w:fill="auto"/>
            <w:vAlign w:val="center"/>
          </w:tcPr>
          <w:p w14:paraId="17C00660"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Studim fizibiliteti për mundësinë e rritjes së disponueshmërisë dhe eficiencës së përdorimit të ujit në ujitje, duke pasur parasysh metodën e re të ujitjes, forcimin e SHPU-së, prezantimin e reformës bujqësore të tokës etj. </w:t>
            </w:r>
          </w:p>
        </w:tc>
        <w:tc>
          <w:tcPr>
            <w:tcW w:w="1275" w:type="dxa"/>
            <w:shd w:val="clear" w:color="auto" w:fill="auto"/>
            <w:vAlign w:val="center"/>
          </w:tcPr>
          <w:p w14:paraId="3CC1530A" w14:textId="77777777" w:rsidR="00410865" w:rsidRPr="00445472" w:rsidRDefault="00410865" w:rsidP="00410865">
            <w:pPr>
              <w:pStyle w:val="TableTextCentre"/>
              <w:spacing w:after="0"/>
              <w:rPr>
                <w:rFonts w:ascii="Garamond" w:hAnsi="Garamond"/>
                <w:lang w:val="sq-AL"/>
              </w:rPr>
            </w:pPr>
          </w:p>
          <w:p w14:paraId="5F9B6905" w14:textId="77777777" w:rsidR="00410865" w:rsidRPr="00445472" w:rsidRDefault="00410865" w:rsidP="00410865">
            <w:pPr>
              <w:pStyle w:val="TableTextCentre"/>
              <w:spacing w:after="0"/>
              <w:rPr>
                <w:rFonts w:ascii="Garamond" w:hAnsi="Garamond"/>
                <w:b/>
                <w:lang w:val="sq-AL"/>
              </w:rPr>
            </w:pPr>
          </w:p>
          <w:p w14:paraId="6818BC1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2.5</w:t>
            </w:r>
          </w:p>
        </w:tc>
        <w:tc>
          <w:tcPr>
            <w:tcW w:w="1560" w:type="dxa"/>
            <w:shd w:val="clear" w:color="auto" w:fill="auto"/>
            <w:vAlign w:val="center"/>
          </w:tcPr>
          <w:p w14:paraId="17F5491A" w14:textId="77777777" w:rsidR="00410865" w:rsidRPr="00445472" w:rsidRDefault="00410865" w:rsidP="00410865">
            <w:pPr>
              <w:pStyle w:val="TableTextCentre"/>
              <w:spacing w:after="0"/>
              <w:jc w:val="left"/>
              <w:rPr>
                <w:rFonts w:ascii="Garamond" w:hAnsi="Garamond"/>
                <w:lang w:val="sq-AL"/>
              </w:rPr>
            </w:pPr>
          </w:p>
          <w:p w14:paraId="38023680" w14:textId="77777777" w:rsidR="00410865" w:rsidRPr="00445472" w:rsidRDefault="00410865" w:rsidP="00410865">
            <w:pPr>
              <w:pStyle w:val="TableTextCentre"/>
              <w:spacing w:after="0"/>
              <w:rPr>
                <w:rFonts w:ascii="Garamond" w:hAnsi="Garamond"/>
                <w:b/>
                <w:lang w:val="sq-AL"/>
              </w:rPr>
            </w:pPr>
          </w:p>
          <w:p w14:paraId="47F18DF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p>
          <w:p w14:paraId="18E0F35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(SHPU)</w:t>
            </w:r>
          </w:p>
        </w:tc>
        <w:tc>
          <w:tcPr>
            <w:tcW w:w="2556" w:type="dxa"/>
            <w:shd w:val="clear" w:color="auto" w:fill="auto"/>
            <w:vAlign w:val="center"/>
          </w:tcPr>
          <w:p w14:paraId="08E2F3B8" w14:textId="77777777" w:rsidR="00410865" w:rsidRPr="00445472" w:rsidRDefault="00410865" w:rsidP="00410865">
            <w:pPr>
              <w:pStyle w:val="TableTextCentre"/>
              <w:spacing w:after="0"/>
              <w:jc w:val="left"/>
              <w:rPr>
                <w:rFonts w:ascii="Garamond" w:hAnsi="Garamond"/>
                <w:lang w:val="sq-AL"/>
              </w:rPr>
            </w:pPr>
          </w:p>
          <w:p w14:paraId="05ACA167" w14:textId="77777777" w:rsidR="00410865" w:rsidRPr="00445472" w:rsidRDefault="00410865" w:rsidP="00410865">
            <w:pPr>
              <w:pStyle w:val="TableTextCentre"/>
              <w:spacing w:after="0"/>
              <w:rPr>
                <w:rFonts w:ascii="Garamond" w:hAnsi="Garamond"/>
                <w:lang w:val="sq-AL"/>
              </w:rPr>
            </w:pPr>
          </w:p>
          <w:p w14:paraId="4AB8B1C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2A89E6F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076E048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2B12389"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0AD0CD9"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9D29EA7"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701D1A8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78F725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5215163"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A3C132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DB70D30"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281E4B8"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C305177"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44B22E47" w14:textId="77777777" w:rsidR="00410865" w:rsidRPr="00445472" w:rsidRDefault="00410865" w:rsidP="00410865">
            <w:pPr>
              <w:pStyle w:val="TableTextCentre"/>
              <w:spacing w:after="0"/>
              <w:rPr>
                <w:rFonts w:ascii="Garamond" w:hAnsi="Garamond"/>
                <w:lang w:val="sq-AL"/>
              </w:rPr>
            </w:pPr>
          </w:p>
        </w:tc>
      </w:tr>
      <w:tr w:rsidR="00410865" w:rsidRPr="00445472" w14:paraId="6B05F98A" w14:textId="77777777" w:rsidTr="00410865">
        <w:trPr>
          <w:gridAfter w:val="1"/>
          <w:wAfter w:w="14" w:type="dxa"/>
          <w:jc w:val="center"/>
        </w:trPr>
        <w:tc>
          <w:tcPr>
            <w:tcW w:w="3682" w:type="dxa"/>
            <w:shd w:val="clear" w:color="auto" w:fill="auto"/>
            <w:vAlign w:val="center"/>
          </w:tcPr>
          <w:p w14:paraId="3CAA6470"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Rehabilitimi/zhvillimi i rrjetit të ujitjes, duke përfshirë diga për rritjen e tokës së ujitur bujqësore në terren. </w:t>
            </w:r>
          </w:p>
        </w:tc>
        <w:tc>
          <w:tcPr>
            <w:tcW w:w="1275" w:type="dxa"/>
            <w:shd w:val="clear" w:color="auto" w:fill="auto"/>
            <w:vAlign w:val="center"/>
          </w:tcPr>
          <w:p w14:paraId="6FDBF939" w14:textId="77777777" w:rsidR="00410865" w:rsidRPr="00445472" w:rsidRDefault="00410865" w:rsidP="00410865">
            <w:pPr>
              <w:pStyle w:val="TableTextCentre"/>
              <w:spacing w:after="0"/>
              <w:rPr>
                <w:rFonts w:ascii="Garamond" w:hAnsi="Garamond"/>
                <w:lang w:val="sq-AL"/>
              </w:rPr>
            </w:pPr>
          </w:p>
          <w:p w14:paraId="64F4FD0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18.0</w:t>
            </w:r>
          </w:p>
        </w:tc>
        <w:tc>
          <w:tcPr>
            <w:tcW w:w="1560" w:type="dxa"/>
            <w:shd w:val="clear" w:color="auto" w:fill="auto"/>
            <w:vAlign w:val="center"/>
          </w:tcPr>
          <w:p w14:paraId="259D244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p>
          <w:p w14:paraId="1886A7D8" w14:textId="77777777" w:rsidR="00410865" w:rsidRPr="00445472" w:rsidRDefault="00410865" w:rsidP="00410865">
            <w:pPr>
              <w:pStyle w:val="TableTextCentre"/>
              <w:spacing w:after="0"/>
              <w:rPr>
                <w:rFonts w:ascii="Garamond" w:hAnsi="Garamond"/>
                <w:lang w:val="sq-AL"/>
              </w:rPr>
            </w:pPr>
            <w:r w:rsidRPr="00445472" w:rsidDel="00B23E7D">
              <w:rPr>
                <w:rFonts w:ascii="Garamond" w:hAnsi="Garamond"/>
                <w:lang w:val="sq-AL"/>
              </w:rPr>
              <w:t xml:space="preserve"> </w:t>
            </w:r>
            <w:r w:rsidRPr="00445472">
              <w:rPr>
                <w:rFonts w:ascii="Garamond" w:hAnsi="Garamond"/>
                <w:lang w:val="sq-AL"/>
              </w:rPr>
              <w:t>(SHPU)</w:t>
            </w:r>
          </w:p>
        </w:tc>
        <w:tc>
          <w:tcPr>
            <w:tcW w:w="2556" w:type="dxa"/>
            <w:shd w:val="clear" w:color="auto" w:fill="auto"/>
            <w:vAlign w:val="center"/>
          </w:tcPr>
          <w:p w14:paraId="00E1C55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Hua + Fonde nga donatorë</w:t>
            </w:r>
          </w:p>
          <w:p w14:paraId="705C5319" w14:textId="1DC8F8A5" w:rsidR="00410865" w:rsidRPr="00445472" w:rsidRDefault="00410865" w:rsidP="00410865">
            <w:pPr>
              <w:pStyle w:val="TableTextCentre"/>
              <w:spacing w:after="0"/>
              <w:ind w:right="0"/>
              <w:rPr>
                <w:rFonts w:ascii="Garamond" w:hAnsi="Garamond"/>
                <w:lang w:val="sq-AL"/>
              </w:rPr>
            </w:pPr>
            <w:r w:rsidRPr="00445472">
              <w:rPr>
                <w:rFonts w:ascii="Garamond" w:hAnsi="Garamond"/>
                <w:lang w:val="sq-AL"/>
              </w:rPr>
              <w:t>(Studime bazë</w:t>
            </w:r>
            <w:r w:rsidR="001D340B" w:rsidRPr="00445472">
              <w:rPr>
                <w:rFonts w:ascii="Garamond" w:hAnsi="Garamond"/>
                <w:lang w:val="sq-AL"/>
              </w:rPr>
              <w:t>/</w:t>
            </w:r>
            <w:r w:rsidRPr="00445472">
              <w:rPr>
                <w:rFonts w:ascii="Garamond" w:hAnsi="Garamond"/>
                <w:lang w:val="sq-AL"/>
              </w:rPr>
              <w:t>fizibiliteti)</w:t>
            </w:r>
          </w:p>
        </w:tc>
        <w:tc>
          <w:tcPr>
            <w:tcW w:w="566" w:type="dxa"/>
            <w:shd w:val="clear" w:color="auto" w:fill="D2E7F6"/>
            <w:vAlign w:val="center"/>
          </w:tcPr>
          <w:p w14:paraId="20ECE4A4"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B0C1EA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5B00B38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44F4FB9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0565BC9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2B0168D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701FD47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0271408"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63823F0"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72C78E65"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CAE9B38"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0185AE28"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076DCEC" w14:textId="77777777" w:rsidR="00410865" w:rsidRPr="00445472" w:rsidRDefault="00410865" w:rsidP="00410865">
            <w:pPr>
              <w:pStyle w:val="TableTextCentre"/>
              <w:spacing w:after="0"/>
              <w:rPr>
                <w:rFonts w:ascii="Garamond" w:hAnsi="Garamond"/>
                <w:lang w:val="sq-AL"/>
              </w:rPr>
            </w:pPr>
          </w:p>
        </w:tc>
      </w:tr>
      <w:tr w:rsidR="00410865" w:rsidRPr="00445472" w14:paraId="73758C9C" w14:textId="77777777" w:rsidTr="00410865">
        <w:trPr>
          <w:gridAfter w:val="1"/>
          <w:wAfter w:w="14" w:type="dxa"/>
          <w:jc w:val="center"/>
        </w:trPr>
        <w:tc>
          <w:tcPr>
            <w:tcW w:w="3682" w:type="dxa"/>
            <w:tcBorders>
              <w:bottom w:val="single" w:sz="2" w:space="0" w:color="9FA2A1"/>
            </w:tcBorders>
            <w:shd w:val="clear" w:color="auto" w:fill="auto"/>
            <w:vAlign w:val="center"/>
          </w:tcPr>
          <w:p w14:paraId="5F430420"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Forcimi i Bordeve Rajonale të Kullimit dhe Ujitjes në Bashkitë përkatëse. </w:t>
            </w:r>
          </w:p>
        </w:tc>
        <w:tc>
          <w:tcPr>
            <w:tcW w:w="1275" w:type="dxa"/>
            <w:tcBorders>
              <w:bottom w:val="single" w:sz="2" w:space="0" w:color="9FA2A1"/>
            </w:tcBorders>
            <w:shd w:val="clear" w:color="auto" w:fill="auto"/>
            <w:vAlign w:val="center"/>
          </w:tcPr>
          <w:p w14:paraId="29021AD1" w14:textId="77777777" w:rsidR="00410865" w:rsidRPr="00445472" w:rsidRDefault="00410865" w:rsidP="00410865">
            <w:pPr>
              <w:pStyle w:val="TableTextCentre"/>
              <w:spacing w:after="0"/>
              <w:rPr>
                <w:rFonts w:ascii="Garamond" w:hAnsi="Garamond"/>
                <w:lang w:val="sq-AL"/>
              </w:rPr>
            </w:pPr>
          </w:p>
          <w:p w14:paraId="50CB799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2.0</w:t>
            </w:r>
          </w:p>
        </w:tc>
        <w:tc>
          <w:tcPr>
            <w:tcW w:w="1560" w:type="dxa"/>
            <w:tcBorders>
              <w:bottom w:val="single" w:sz="2" w:space="0" w:color="9FA2A1"/>
            </w:tcBorders>
            <w:shd w:val="clear" w:color="auto" w:fill="auto"/>
            <w:vAlign w:val="center"/>
          </w:tcPr>
          <w:p w14:paraId="2903D85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p>
          <w:p w14:paraId="138F5694" w14:textId="04A18E19" w:rsidR="00410865" w:rsidRPr="00445472" w:rsidRDefault="001D340B" w:rsidP="00410865">
            <w:pPr>
              <w:pStyle w:val="TableTextCentre"/>
              <w:spacing w:after="0"/>
              <w:rPr>
                <w:rFonts w:ascii="Garamond" w:hAnsi="Garamond"/>
                <w:lang w:val="sq-AL"/>
              </w:rPr>
            </w:pPr>
            <w:r w:rsidRPr="00445472">
              <w:rPr>
                <w:rFonts w:ascii="Garamond" w:hAnsi="Garamond"/>
                <w:lang w:val="sq-AL"/>
              </w:rPr>
              <w:t>/</w:t>
            </w:r>
            <w:r w:rsidR="00410865" w:rsidRPr="00445472">
              <w:rPr>
                <w:rFonts w:ascii="Garamond" w:hAnsi="Garamond"/>
                <w:lang w:val="sq-AL"/>
              </w:rPr>
              <w:t>ZABU/</w:t>
            </w:r>
          </w:p>
          <w:p w14:paraId="7CF91E7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Bordet e Kullimit </w:t>
            </w:r>
          </w:p>
          <w:p w14:paraId="7C13A07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(Bashkitë)</w:t>
            </w:r>
          </w:p>
        </w:tc>
        <w:tc>
          <w:tcPr>
            <w:tcW w:w="2556" w:type="dxa"/>
            <w:tcBorders>
              <w:bottom w:val="single" w:sz="2" w:space="0" w:color="9FA2A1"/>
            </w:tcBorders>
            <w:shd w:val="clear" w:color="auto" w:fill="auto"/>
            <w:vAlign w:val="center"/>
          </w:tcPr>
          <w:p w14:paraId="1800B7A6" w14:textId="77777777" w:rsidR="00410865" w:rsidRPr="00445472" w:rsidRDefault="00410865" w:rsidP="00410865">
            <w:pPr>
              <w:pStyle w:val="TableTextCentre"/>
              <w:spacing w:after="0"/>
              <w:rPr>
                <w:rFonts w:ascii="Garamond" w:hAnsi="Garamond"/>
                <w:lang w:val="sq-AL"/>
              </w:rPr>
            </w:pPr>
          </w:p>
          <w:p w14:paraId="6E9225D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tcBorders>
              <w:bottom w:val="single" w:sz="2" w:space="0" w:color="9FA2A1"/>
            </w:tcBorders>
            <w:shd w:val="clear" w:color="auto" w:fill="D2E7F6"/>
            <w:vAlign w:val="center"/>
          </w:tcPr>
          <w:p w14:paraId="77C3387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tcBorders>
              <w:bottom w:val="single" w:sz="2" w:space="0" w:color="9FA2A1"/>
            </w:tcBorders>
            <w:shd w:val="clear" w:color="auto" w:fill="D2E7F6"/>
            <w:vAlign w:val="center"/>
          </w:tcPr>
          <w:p w14:paraId="175B366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D2E7F6"/>
            <w:vAlign w:val="center"/>
          </w:tcPr>
          <w:p w14:paraId="214203C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99C8E5"/>
            <w:vAlign w:val="center"/>
          </w:tcPr>
          <w:p w14:paraId="7C97A947"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61460DA4" w14:textId="77777777" w:rsidR="00410865" w:rsidRPr="00445472" w:rsidRDefault="00410865" w:rsidP="00410865">
            <w:pPr>
              <w:pStyle w:val="TableTextCentre"/>
              <w:spacing w:after="0"/>
              <w:rPr>
                <w:rFonts w:ascii="Garamond" w:hAnsi="Garamond"/>
                <w:lang w:val="sq-AL"/>
              </w:rPr>
            </w:pPr>
          </w:p>
        </w:tc>
        <w:tc>
          <w:tcPr>
            <w:tcW w:w="372" w:type="dxa"/>
            <w:tcBorders>
              <w:bottom w:val="single" w:sz="2" w:space="0" w:color="9FA2A1"/>
            </w:tcBorders>
            <w:shd w:val="clear" w:color="auto" w:fill="99C8E5"/>
            <w:vAlign w:val="center"/>
          </w:tcPr>
          <w:p w14:paraId="5786285D"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50C7652E"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0C81770C" w14:textId="77777777" w:rsidR="00410865" w:rsidRPr="00445472" w:rsidRDefault="00410865" w:rsidP="00410865">
            <w:pPr>
              <w:pStyle w:val="TableTextCentre"/>
              <w:spacing w:after="0"/>
              <w:rPr>
                <w:rFonts w:ascii="Garamond" w:hAnsi="Garamond"/>
                <w:lang w:val="sq-AL"/>
              </w:rPr>
            </w:pPr>
          </w:p>
        </w:tc>
        <w:tc>
          <w:tcPr>
            <w:tcW w:w="344" w:type="dxa"/>
            <w:tcBorders>
              <w:bottom w:val="single" w:sz="2" w:space="0" w:color="9FA2A1"/>
            </w:tcBorders>
            <w:shd w:val="clear" w:color="auto" w:fill="99C8E5"/>
            <w:vAlign w:val="center"/>
          </w:tcPr>
          <w:p w14:paraId="5DC0B8F6" w14:textId="77777777" w:rsidR="00410865" w:rsidRPr="00445472" w:rsidRDefault="00410865" w:rsidP="00410865">
            <w:pPr>
              <w:pStyle w:val="TableTextCentre"/>
              <w:spacing w:after="0"/>
              <w:rPr>
                <w:rFonts w:ascii="Garamond" w:hAnsi="Garamond"/>
                <w:lang w:val="sq-AL"/>
              </w:rPr>
            </w:pPr>
          </w:p>
        </w:tc>
        <w:tc>
          <w:tcPr>
            <w:tcW w:w="491" w:type="dxa"/>
            <w:tcBorders>
              <w:bottom w:val="single" w:sz="2" w:space="0" w:color="9FA2A1"/>
            </w:tcBorders>
            <w:shd w:val="clear" w:color="auto" w:fill="276F9A"/>
            <w:vAlign w:val="center"/>
          </w:tcPr>
          <w:p w14:paraId="458498A6" w14:textId="77777777" w:rsidR="00410865" w:rsidRPr="00445472" w:rsidRDefault="00410865" w:rsidP="00410865">
            <w:pPr>
              <w:pStyle w:val="TableTextCentre"/>
              <w:spacing w:after="0"/>
              <w:rPr>
                <w:rFonts w:ascii="Garamond" w:hAnsi="Garamond"/>
                <w:lang w:val="sq-AL"/>
              </w:rPr>
            </w:pPr>
          </w:p>
        </w:tc>
        <w:tc>
          <w:tcPr>
            <w:tcW w:w="431" w:type="dxa"/>
            <w:tcBorders>
              <w:bottom w:val="single" w:sz="2" w:space="0" w:color="9FA2A1"/>
            </w:tcBorders>
            <w:shd w:val="clear" w:color="auto" w:fill="276F9A"/>
            <w:vAlign w:val="center"/>
          </w:tcPr>
          <w:p w14:paraId="0AE0E5A2"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276F9A"/>
            <w:vAlign w:val="center"/>
          </w:tcPr>
          <w:p w14:paraId="70D63CB5" w14:textId="77777777" w:rsidR="00410865" w:rsidRPr="00445472" w:rsidRDefault="00410865" w:rsidP="00410865">
            <w:pPr>
              <w:pStyle w:val="TableTextCentre"/>
              <w:spacing w:after="0"/>
              <w:rPr>
                <w:rFonts w:ascii="Garamond" w:hAnsi="Garamond"/>
                <w:lang w:val="sq-AL"/>
              </w:rPr>
            </w:pPr>
          </w:p>
        </w:tc>
        <w:tc>
          <w:tcPr>
            <w:tcW w:w="357" w:type="dxa"/>
            <w:tcBorders>
              <w:bottom w:val="single" w:sz="2" w:space="0" w:color="9FA2A1"/>
            </w:tcBorders>
            <w:shd w:val="clear" w:color="auto" w:fill="276F9A"/>
            <w:vAlign w:val="center"/>
          </w:tcPr>
          <w:p w14:paraId="65E3E92F" w14:textId="77777777" w:rsidR="00410865" w:rsidRPr="00445472" w:rsidRDefault="00410865" w:rsidP="00410865">
            <w:pPr>
              <w:pStyle w:val="TableTextCentre"/>
              <w:spacing w:after="0"/>
              <w:rPr>
                <w:rFonts w:ascii="Garamond" w:hAnsi="Garamond"/>
                <w:lang w:val="sq-AL"/>
              </w:rPr>
            </w:pPr>
          </w:p>
        </w:tc>
      </w:tr>
      <w:tr w:rsidR="00410865" w:rsidRPr="00445472" w14:paraId="5CC0ED90" w14:textId="77777777" w:rsidTr="00410865">
        <w:trPr>
          <w:gridAfter w:val="1"/>
          <w:wAfter w:w="14" w:type="dxa"/>
          <w:jc w:val="center"/>
        </w:trPr>
        <w:tc>
          <w:tcPr>
            <w:tcW w:w="9073" w:type="dxa"/>
            <w:gridSpan w:val="4"/>
            <w:shd w:val="clear" w:color="auto" w:fill="D9D9D9"/>
            <w:vAlign w:val="center"/>
          </w:tcPr>
          <w:p w14:paraId="7FA02305" w14:textId="5BDFC150"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Tokë bujqësore e ujitur (000</w:t>
            </w:r>
            <w:r w:rsidR="004B51C9" w:rsidRPr="00445472">
              <w:rPr>
                <w:rFonts w:ascii="Garamond" w:hAnsi="Garamond"/>
                <w:lang w:val="sq-AL"/>
              </w:rPr>
              <w:t xml:space="preserve"> </w:t>
            </w:r>
            <w:r w:rsidRPr="00445472">
              <w:rPr>
                <w:rFonts w:ascii="Garamond" w:hAnsi="Garamond"/>
                <w:lang w:val="sq-AL"/>
              </w:rPr>
              <w:t>ha)</w:t>
            </w:r>
          </w:p>
        </w:tc>
        <w:tc>
          <w:tcPr>
            <w:tcW w:w="1417" w:type="dxa"/>
            <w:gridSpan w:val="3"/>
            <w:shd w:val="clear" w:color="auto" w:fill="D9D9D9"/>
            <w:vAlign w:val="center"/>
          </w:tcPr>
          <w:p w14:paraId="3D6C7BD1"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28</w:t>
            </w:r>
          </w:p>
        </w:tc>
        <w:tc>
          <w:tcPr>
            <w:tcW w:w="2410" w:type="dxa"/>
            <w:gridSpan w:val="6"/>
            <w:shd w:val="clear" w:color="auto" w:fill="D9D9D9"/>
            <w:vAlign w:val="center"/>
          </w:tcPr>
          <w:p w14:paraId="05D6C44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35</w:t>
            </w:r>
          </w:p>
        </w:tc>
        <w:tc>
          <w:tcPr>
            <w:tcW w:w="1701" w:type="dxa"/>
            <w:gridSpan w:val="4"/>
            <w:shd w:val="clear" w:color="auto" w:fill="D9D9D9"/>
            <w:vAlign w:val="center"/>
          </w:tcPr>
          <w:p w14:paraId="1B3509AD"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45</w:t>
            </w:r>
          </w:p>
        </w:tc>
      </w:tr>
      <w:tr w:rsidR="00410865" w:rsidRPr="00445472" w14:paraId="2CC56204" w14:textId="77777777" w:rsidTr="00410865">
        <w:trPr>
          <w:jc w:val="center"/>
        </w:trPr>
        <w:tc>
          <w:tcPr>
            <w:tcW w:w="14615" w:type="dxa"/>
            <w:gridSpan w:val="18"/>
            <w:shd w:val="clear" w:color="auto" w:fill="auto"/>
            <w:vAlign w:val="center"/>
          </w:tcPr>
          <w:p w14:paraId="7066A499" w14:textId="77777777" w:rsidR="00410865" w:rsidRPr="00445472" w:rsidRDefault="00410865" w:rsidP="00410865">
            <w:pPr>
              <w:pStyle w:val="TableTextCentre"/>
              <w:spacing w:after="0"/>
              <w:jc w:val="left"/>
              <w:rPr>
                <w:rFonts w:ascii="Garamond" w:hAnsi="Garamond"/>
                <w:b/>
                <w:i/>
                <w:lang w:val="sq-AL"/>
              </w:rPr>
            </w:pPr>
            <w:r w:rsidRPr="00445472">
              <w:rPr>
                <w:rFonts w:ascii="Garamond" w:hAnsi="Garamond"/>
                <w:b/>
                <w:i/>
                <w:lang w:val="sq-AL"/>
              </w:rPr>
              <w:t xml:space="preserve">1d) Përmirësimi i rrjetit të kullimit për tokën e ujitur bujqësore </w:t>
            </w:r>
          </w:p>
        </w:tc>
      </w:tr>
      <w:tr w:rsidR="00410865" w:rsidRPr="00445472" w14:paraId="30E97BB5" w14:textId="77777777" w:rsidTr="00410865">
        <w:trPr>
          <w:gridAfter w:val="1"/>
          <w:wAfter w:w="14" w:type="dxa"/>
          <w:jc w:val="center"/>
        </w:trPr>
        <w:tc>
          <w:tcPr>
            <w:tcW w:w="3682" w:type="dxa"/>
            <w:shd w:val="clear" w:color="auto" w:fill="auto"/>
            <w:vAlign w:val="center"/>
          </w:tcPr>
          <w:p w14:paraId="2B4E049A"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Studim fizibiliteti për përmirësimin e rrjetit të kullimit për zonat që do të ujiten dhe modernizimi i stacionit të pompimit të kullimit (hidrovor). </w:t>
            </w:r>
          </w:p>
        </w:tc>
        <w:tc>
          <w:tcPr>
            <w:tcW w:w="1275" w:type="dxa"/>
            <w:shd w:val="clear" w:color="auto" w:fill="auto"/>
            <w:vAlign w:val="center"/>
          </w:tcPr>
          <w:p w14:paraId="6B1356EB" w14:textId="77777777" w:rsidR="00410865" w:rsidRPr="00445472" w:rsidRDefault="00410865" w:rsidP="00410865">
            <w:pPr>
              <w:pStyle w:val="TableTextCentre"/>
              <w:spacing w:after="0"/>
              <w:rPr>
                <w:rFonts w:ascii="Garamond" w:hAnsi="Garamond"/>
                <w:lang w:val="sq-AL"/>
              </w:rPr>
            </w:pPr>
          </w:p>
          <w:p w14:paraId="5FFA607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1.5</w:t>
            </w:r>
          </w:p>
        </w:tc>
        <w:tc>
          <w:tcPr>
            <w:tcW w:w="1560" w:type="dxa"/>
            <w:vMerge w:val="restart"/>
            <w:shd w:val="clear" w:color="auto" w:fill="auto"/>
            <w:vAlign w:val="center"/>
          </w:tcPr>
          <w:p w14:paraId="2352BE9F" w14:textId="77777777" w:rsidR="00410865" w:rsidRPr="00445472" w:rsidRDefault="00410865" w:rsidP="00410865">
            <w:pPr>
              <w:pStyle w:val="TableTextCentre"/>
              <w:spacing w:after="0"/>
              <w:rPr>
                <w:rFonts w:ascii="Garamond" w:hAnsi="Garamond"/>
                <w:lang w:val="sq-AL"/>
              </w:rPr>
            </w:pPr>
          </w:p>
          <w:p w14:paraId="38679EFF" w14:textId="77777777" w:rsidR="00410865" w:rsidRPr="00445472" w:rsidRDefault="00410865" w:rsidP="00410865">
            <w:pPr>
              <w:pStyle w:val="TableTextCentre"/>
              <w:spacing w:after="0"/>
              <w:rPr>
                <w:rFonts w:ascii="Garamond" w:hAnsi="Garamond"/>
                <w:lang w:val="sq-AL"/>
              </w:rPr>
            </w:pPr>
          </w:p>
          <w:p w14:paraId="7A4B702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p>
          <w:p w14:paraId="3B1B82D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p w14:paraId="2977E60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Bordet e Kullimit</w:t>
            </w:r>
          </w:p>
          <w:p w14:paraId="77BF4AB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(Bashkitë)</w:t>
            </w:r>
          </w:p>
        </w:tc>
        <w:tc>
          <w:tcPr>
            <w:tcW w:w="2556" w:type="dxa"/>
            <w:shd w:val="clear" w:color="auto" w:fill="auto"/>
            <w:vAlign w:val="center"/>
          </w:tcPr>
          <w:p w14:paraId="00A14717" w14:textId="77777777" w:rsidR="00410865" w:rsidRPr="00445472" w:rsidRDefault="00410865" w:rsidP="00410865">
            <w:pPr>
              <w:pStyle w:val="TableTextCentre"/>
              <w:spacing w:after="0"/>
              <w:rPr>
                <w:rFonts w:ascii="Garamond" w:hAnsi="Garamond"/>
                <w:lang w:val="sq-AL"/>
              </w:rPr>
            </w:pPr>
          </w:p>
          <w:p w14:paraId="4630E84A" w14:textId="77777777" w:rsidR="00410865" w:rsidRPr="00445472" w:rsidRDefault="00410865" w:rsidP="00410865">
            <w:pPr>
              <w:pStyle w:val="TableTextCentre"/>
              <w:spacing w:after="0"/>
              <w:rPr>
                <w:rFonts w:ascii="Garamond" w:hAnsi="Garamond"/>
                <w:b/>
                <w:lang w:val="sq-AL"/>
              </w:rPr>
            </w:pPr>
            <w:r w:rsidRPr="00445472">
              <w:rPr>
                <w:rFonts w:ascii="Garamond" w:hAnsi="Garamond"/>
                <w:lang w:val="sq-AL"/>
              </w:rPr>
              <w:t>Fonde kombëtare dhe/ose nga donatorë</w:t>
            </w:r>
            <w:r w:rsidRPr="00445472">
              <w:rPr>
                <w:rFonts w:ascii="Garamond" w:hAnsi="Garamond"/>
                <w:b/>
                <w:lang w:val="sq-AL"/>
              </w:rPr>
              <w:t xml:space="preserve"> </w:t>
            </w:r>
          </w:p>
        </w:tc>
        <w:tc>
          <w:tcPr>
            <w:tcW w:w="566" w:type="dxa"/>
            <w:shd w:val="clear" w:color="auto" w:fill="D2E7F6"/>
            <w:vAlign w:val="center"/>
          </w:tcPr>
          <w:p w14:paraId="5D4C3BC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509EC90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76936CD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10C400C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4A5F7A09"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BD982A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275791C"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FB41578"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AA85E7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83C7B62"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13562004"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A1702E1"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FD6723E" w14:textId="77777777" w:rsidR="00410865" w:rsidRPr="00445472" w:rsidRDefault="00410865" w:rsidP="00410865">
            <w:pPr>
              <w:pStyle w:val="TableTextCentre"/>
              <w:spacing w:after="0"/>
              <w:rPr>
                <w:rFonts w:ascii="Garamond" w:hAnsi="Garamond"/>
                <w:lang w:val="sq-AL"/>
              </w:rPr>
            </w:pPr>
          </w:p>
        </w:tc>
      </w:tr>
      <w:tr w:rsidR="00410865" w:rsidRPr="00445472" w14:paraId="252C9608" w14:textId="77777777" w:rsidTr="00410865">
        <w:trPr>
          <w:gridAfter w:val="1"/>
          <w:wAfter w:w="14" w:type="dxa"/>
          <w:jc w:val="center"/>
        </w:trPr>
        <w:tc>
          <w:tcPr>
            <w:tcW w:w="3682" w:type="dxa"/>
            <w:tcBorders>
              <w:bottom w:val="single" w:sz="2" w:space="0" w:color="9FA2A1"/>
            </w:tcBorders>
            <w:shd w:val="clear" w:color="auto" w:fill="auto"/>
            <w:vAlign w:val="center"/>
          </w:tcPr>
          <w:p w14:paraId="083B97AA"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Rehabilitimi/zhvillimi i rrjetit të kullimit, duke pasur parasysh rritjen e tokës së ujitur dhe modernizimi i stacionit të pompimit të kullimit </w:t>
            </w:r>
          </w:p>
        </w:tc>
        <w:tc>
          <w:tcPr>
            <w:tcW w:w="1275" w:type="dxa"/>
            <w:tcBorders>
              <w:bottom w:val="single" w:sz="2" w:space="0" w:color="9FA2A1"/>
            </w:tcBorders>
            <w:shd w:val="clear" w:color="auto" w:fill="auto"/>
            <w:vAlign w:val="center"/>
          </w:tcPr>
          <w:p w14:paraId="7135FE1E" w14:textId="77777777" w:rsidR="00410865" w:rsidRPr="00445472" w:rsidRDefault="00410865" w:rsidP="00410865">
            <w:pPr>
              <w:pStyle w:val="TableTextCentre"/>
              <w:spacing w:after="0"/>
              <w:jc w:val="left"/>
              <w:rPr>
                <w:rFonts w:ascii="Garamond" w:hAnsi="Garamond"/>
                <w:lang w:val="sq-AL"/>
              </w:rPr>
            </w:pPr>
          </w:p>
          <w:p w14:paraId="3F62A8E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32.0</w:t>
            </w:r>
          </w:p>
        </w:tc>
        <w:tc>
          <w:tcPr>
            <w:tcW w:w="1560" w:type="dxa"/>
            <w:vMerge/>
            <w:tcBorders>
              <w:bottom w:val="single" w:sz="2" w:space="0" w:color="9FA2A1"/>
            </w:tcBorders>
            <w:shd w:val="clear" w:color="auto" w:fill="auto"/>
            <w:vAlign w:val="center"/>
          </w:tcPr>
          <w:p w14:paraId="46F778D2" w14:textId="77777777" w:rsidR="00410865" w:rsidRPr="00445472" w:rsidRDefault="00410865" w:rsidP="00410865">
            <w:pPr>
              <w:pStyle w:val="TableTextCentre"/>
              <w:spacing w:after="0"/>
              <w:jc w:val="left"/>
              <w:rPr>
                <w:rFonts w:ascii="Garamond" w:hAnsi="Garamond"/>
                <w:lang w:val="sq-AL"/>
              </w:rPr>
            </w:pPr>
          </w:p>
        </w:tc>
        <w:tc>
          <w:tcPr>
            <w:tcW w:w="2556" w:type="dxa"/>
            <w:tcBorders>
              <w:bottom w:val="single" w:sz="2" w:space="0" w:color="9FA2A1"/>
            </w:tcBorders>
            <w:shd w:val="clear" w:color="auto" w:fill="auto"/>
            <w:vAlign w:val="center"/>
          </w:tcPr>
          <w:p w14:paraId="1EE2D946"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Hua + Fonde nga donatorë</w:t>
            </w:r>
          </w:p>
          <w:p w14:paraId="7FB602C1" w14:textId="214C129A"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 xml:space="preserve">studime </w:t>
            </w:r>
            <w:r w:rsidRPr="00445472">
              <w:rPr>
                <w:rFonts w:ascii="Garamond" w:hAnsi="Garamond"/>
                <w:lang w:val="sq-AL"/>
              </w:rPr>
              <w:t>fizibiliteti)</w:t>
            </w:r>
          </w:p>
        </w:tc>
        <w:tc>
          <w:tcPr>
            <w:tcW w:w="566" w:type="dxa"/>
            <w:tcBorders>
              <w:bottom w:val="single" w:sz="2" w:space="0" w:color="9FA2A1"/>
            </w:tcBorders>
            <w:shd w:val="clear" w:color="auto" w:fill="D2E7F6"/>
            <w:vAlign w:val="center"/>
          </w:tcPr>
          <w:p w14:paraId="0494AC64" w14:textId="77777777" w:rsidR="00410865" w:rsidRPr="00445472" w:rsidRDefault="00410865" w:rsidP="00410865">
            <w:pPr>
              <w:pStyle w:val="TableTextCentre"/>
              <w:spacing w:after="0"/>
              <w:rPr>
                <w:rFonts w:ascii="Garamond" w:hAnsi="Garamond"/>
                <w:lang w:val="sq-AL"/>
              </w:rPr>
            </w:pPr>
          </w:p>
        </w:tc>
        <w:tc>
          <w:tcPr>
            <w:tcW w:w="426" w:type="dxa"/>
            <w:tcBorders>
              <w:bottom w:val="single" w:sz="2" w:space="0" w:color="9FA2A1"/>
            </w:tcBorders>
            <w:shd w:val="clear" w:color="auto" w:fill="D2E7F6"/>
            <w:vAlign w:val="center"/>
          </w:tcPr>
          <w:p w14:paraId="56A6189F"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D2E7F6"/>
            <w:vAlign w:val="center"/>
          </w:tcPr>
          <w:p w14:paraId="3D0B709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99C8E5"/>
            <w:vAlign w:val="center"/>
          </w:tcPr>
          <w:p w14:paraId="7AEC239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99C8E5"/>
            <w:vAlign w:val="center"/>
          </w:tcPr>
          <w:p w14:paraId="501ED2B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tcBorders>
              <w:bottom w:val="single" w:sz="2" w:space="0" w:color="9FA2A1"/>
            </w:tcBorders>
            <w:shd w:val="clear" w:color="auto" w:fill="99C8E5"/>
            <w:vAlign w:val="center"/>
          </w:tcPr>
          <w:p w14:paraId="4986956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tcBorders>
              <w:bottom w:val="single" w:sz="2" w:space="0" w:color="9FA2A1"/>
            </w:tcBorders>
            <w:shd w:val="clear" w:color="auto" w:fill="99C8E5"/>
            <w:vAlign w:val="center"/>
          </w:tcPr>
          <w:p w14:paraId="4B1EE2A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tcBorders>
              <w:bottom w:val="single" w:sz="2" w:space="0" w:color="9FA2A1"/>
            </w:tcBorders>
            <w:shd w:val="clear" w:color="auto" w:fill="99C8E5"/>
            <w:vAlign w:val="center"/>
          </w:tcPr>
          <w:p w14:paraId="7AEA87D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44" w:type="dxa"/>
            <w:tcBorders>
              <w:bottom w:val="single" w:sz="2" w:space="0" w:color="9FA2A1"/>
            </w:tcBorders>
            <w:shd w:val="clear" w:color="auto" w:fill="99C8E5"/>
            <w:vAlign w:val="center"/>
          </w:tcPr>
          <w:p w14:paraId="12696AF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91" w:type="dxa"/>
            <w:tcBorders>
              <w:bottom w:val="single" w:sz="2" w:space="0" w:color="9FA2A1"/>
            </w:tcBorders>
            <w:shd w:val="clear" w:color="auto" w:fill="276F9A"/>
            <w:vAlign w:val="center"/>
          </w:tcPr>
          <w:p w14:paraId="713A54BB" w14:textId="77777777" w:rsidR="00410865" w:rsidRPr="00445472" w:rsidRDefault="00410865" w:rsidP="00410865">
            <w:pPr>
              <w:pStyle w:val="TableTextCentre"/>
              <w:spacing w:after="0"/>
              <w:rPr>
                <w:rFonts w:ascii="Garamond" w:hAnsi="Garamond"/>
                <w:lang w:val="sq-AL"/>
              </w:rPr>
            </w:pPr>
          </w:p>
        </w:tc>
        <w:tc>
          <w:tcPr>
            <w:tcW w:w="431" w:type="dxa"/>
            <w:tcBorders>
              <w:bottom w:val="single" w:sz="2" w:space="0" w:color="9FA2A1"/>
            </w:tcBorders>
            <w:shd w:val="clear" w:color="auto" w:fill="276F9A"/>
            <w:vAlign w:val="center"/>
          </w:tcPr>
          <w:p w14:paraId="65D18E8E"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276F9A"/>
            <w:vAlign w:val="center"/>
          </w:tcPr>
          <w:p w14:paraId="3356CAE8" w14:textId="77777777" w:rsidR="00410865" w:rsidRPr="00445472" w:rsidRDefault="00410865" w:rsidP="00410865">
            <w:pPr>
              <w:pStyle w:val="TableTextCentre"/>
              <w:spacing w:after="0"/>
              <w:rPr>
                <w:rFonts w:ascii="Garamond" w:hAnsi="Garamond"/>
                <w:lang w:val="sq-AL"/>
              </w:rPr>
            </w:pPr>
          </w:p>
        </w:tc>
        <w:tc>
          <w:tcPr>
            <w:tcW w:w="357" w:type="dxa"/>
            <w:tcBorders>
              <w:bottom w:val="single" w:sz="2" w:space="0" w:color="9FA2A1"/>
            </w:tcBorders>
            <w:shd w:val="clear" w:color="auto" w:fill="276F9A"/>
            <w:vAlign w:val="center"/>
          </w:tcPr>
          <w:p w14:paraId="23B300A6" w14:textId="77777777" w:rsidR="00410865" w:rsidRPr="00445472" w:rsidRDefault="00410865" w:rsidP="00410865">
            <w:pPr>
              <w:pStyle w:val="TableTextCentre"/>
              <w:spacing w:after="0"/>
              <w:rPr>
                <w:rFonts w:ascii="Garamond" w:hAnsi="Garamond"/>
                <w:lang w:val="sq-AL"/>
              </w:rPr>
            </w:pPr>
          </w:p>
        </w:tc>
      </w:tr>
      <w:tr w:rsidR="00410865" w:rsidRPr="00445472" w14:paraId="3A137C6E" w14:textId="77777777" w:rsidTr="00410865">
        <w:trPr>
          <w:gridAfter w:val="1"/>
          <w:wAfter w:w="14" w:type="dxa"/>
          <w:jc w:val="center"/>
        </w:trPr>
        <w:tc>
          <w:tcPr>
            <w:tcW w:w="9073" w:type="dxa"/>
            <w:gridSpan w:val="4"/>
            <w:shd w:val="clear" w:color="auto" w:fill="D9D9D9"/>
            <w:vAlign w:val="center"/>
          </w:tcPr>
          <w:p w14:paraId="3A846D73" w14:textId="320801FD"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Zonë me rrjet kullimi (000</w:t>
            </w:r>
            <w:r w:rsidR="004B51C9" w:rsidRPr="00445472">
              <w:rPr>
                <w:rFonts w:ascii="Garamond" w:hAnsi="Garamond"/>
                <w:lang w:val="sq-AL"/>
              </w:rPr>
              <w:t xml:space="preserve"> </w:t>
            </w:r>
            <w:r w:rsidRPr="00445472">
              <w:rPr>
                <w:rFonts w:ascii="Garamond" w:hAnsi="Garamond"/>
                <w:lang w:val="sq-AL"/>
              </w:rPr>
              <w:t>ha)</w:t>
            </w:r>
          </w:p>
        </w:tc>
        <w:tc>
          <w:tcPr>
            <w:tcW w:w="1417" w:type="dxa"/>
            <w:gridSpan w:val="3"/>
            <w:shd w:val="clear" w:color="auto" w:fill="D9D9D9"/>
            <w:vAlign w:val="center"/>
          </w:tcPr>
          <w:p w14:paraId="0567A5A1"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40</w:t>
            </w:r>
          </w:p>
        </w:tc>
        <w:tc>
          <w:tcPr>
            <w:tcW w:w="2410" w:type="dxa"/>
            <w:gridSpan w:val="6"/>
            <w:shd w:val="clear" w:color="auto" w:fill="D9D9D9"/>
            <w:vAlign w:val="center"/>
          </w:tcPr>
          <w:p w14:paraId="7449C496"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50</w:t>
            </w:r>
          </w:p>
        </w:tc>
        <w:tc>
          <w:tcPr>
            <w:tcW w:w="1701" w:type="dxa"/>
            <w:gridSpan w:val="4"/>
            <w:shd w:val="clear" w:color="auto" w:fill="D9D9D9"/>
            <w:vAlign w:val="center"/>
          </w:tcPr>
          <w:p w14:paraId="4D07AA0C"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60</w:t>
            </w:r>
          </w:p>
        </w:tc>
      </w:tr>
      <w:tr w:rsidR="00410865" w:rsidRPr="00445472" w14:paraId="4E4FB265" w14:textId="77777777" w:rsidTr="00410865">
        <w:trPr>
          <w:jc w:val="center"/>
        </w:trPr>
        <w:tc>
          <w:tcPr>
            <w:tcW w:w="14615" w:type="dxa"/>
            <w:gridSpan w:val="18"/>
            <w:shd w:val="clear" w:color="auto" w:fill="auto"/>
            <w:vAlign w:val="center"/>
          </w:tcPr>
          <w:p w14:paraId="18995B49" w14:textId="75335BB0" w:rsidR="00410865" w:rsidRPr="00445472" w:rsidRDefault="00410865" w:rsidP="00410865">
            <w:pPr>
              <w:pStyle w:val="TableTextCentre"/>
              <w:spacing w:after="0"/>
              <w:jc w:val="left"/>
              <w:rPr>
                <w:rFonts w:ascii="Garamond" w:hAnsi="Garamond"/>
                <w:b/>
                <w:i/>
                <w:lang w:val="sq-AL"/>
              </w:rPr>
            </w:pPr>
            <w:r w:rsidRPr="00445472">
              <w:rPr>
                <w:rFonts w:ascii="Garamond" w:hAnsi="Garamond"/>
                <w:b/>
                <w:i/>
                <w:lang w:val="sq-AL"/>
              </w:rPr>
              <w:t xml:space="preserve">1e) Akuakulturë me zhvillim të </w:t>
            </w:r>
            <w:r w:rsidR="004B51C9" w:rsidRPr="00445472">
              <w:rPr>
                <w:rFonts w:ascii="Garamond" w:hAnsi="Garamond"/>
                <w:b/>
                <w:i/>
                <w:lang w:val="sq-AL"/>
              </w:rPr>
              <w:t>qëndrueshëm</w:t>
            </w:r>
            <w:r w:rsidRPr="00445472">
              <w:rPr>
                <w:rFonts w:ascii="Garamond" w:hAnsi="Garamond"/>
                <w:b/>
                <w:i/>
                <w:lang w:val="sq-AL"/>
              </w:rPr>
              <w:t xml:space="preserve"> në zona të caktuara. </w:t>
            </w:r>
          </w:p>
        </w:tc>
      </w:tr>
      <w:tr w:rsidR="00410865" w:rsidRPr="00445472" w14:paraId="04B8BF11" w14:textId="77777777" w:rsidTr="00410865">
        <w:trPr>
          <w:gridAfter w:val="1"/>
          <w:wAfter w:w="14" w:type="dxa"/>
          <w:jc w:val="center"/>
        </w:trPr>
        <w:tc>
          <w:tcPr>
            <w:tcW w:w="3682" w:type="dxa"/>
            <w:shd w:val="clear" w:color="auto" w:fill="auto"/>
            <w:vAlign w:val="center"/>
          </w:tcPr>
          <w:p w14:paraId="627BB357"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Studim për përcaktimin e zonës së dedikuar të akuakulturës </w:t>
            </w:r>
          </w:p>
        </w:tc>
        <w:tc>
          <w:tcPr>
            <w:tcW w:w="1275" w:type="dxa"/>
            <w:shd w:val="clear" w:color="auto" w:fill="auto"/>
            <w:vAlign w:val="center"/>
          </w:tcPr>
          <w:p w14:paraId="3E9C0AF7" w14:textId="77777777" w:rsidR="00410865" w:rsidRPr="00445472" w:rsidRDefault="00410865" w:rsidP="00410865">
            <w:pPr>
              <w:pStyle w:val="TableTextCentre"/>
              <w:spacing w:after="0"/>
              <w:rPr>
                <w:rFonts w:ascii="Garamond" w:hAnsi="Garamond"/>
                <w:lang w:val="sq-AL"/>
              </w:rPr>
            </w:pPr>
          </w:p>
          <w:p w14:paraId="035D70F6" w14:textId="77777777" w:rsidR="00410865" w:rsidRPr="00445472" w:rsidRDefault="00410865" w:rsidP="00410865">
            <w:pPr>
              <w:pStyle w:val="TableTextCentre"/>
              <w:spacing w:after="0"/>
              <w:rPr>
                <w:rFonts w:ascii="Garamond" w:hAnsi="Garamond"/>
                <w:b/>
                <w:lang w:val="sq-AL" w:eastAsia="en-GB"/>
              </w:rPr>
            </w:pPr>
            <w:r w:rsidRPr="00445472">
              <w:rPr>
                <w:rFonts w:ascii="Garamond" w:hAnsi="Garamond"/>
                <w:lang w:val="sq-AL"/>
              </w:rPr>
              <w:t>0.1</w:t>
            </w:r>
          </w:p>
        </w:tc>
        <w:tc>
          <w:tcPr>
            <w:tcW w:w="1560" w:type="dxa"/>
            <w:shd w:val="clear" w:color="auto" w:fill="auto"/>
            <w:vAlign w:val="center"/>
          </w:tcPr>
          <w:p w14:paraId="32C34EEE" w14:textId="5124DBC4"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Ministria përgjegjëse për Ujitjen dhe Kullimin</w:t>
            </w:r>
            <w:r w:rsidR="001D340B" w:rsidRPr="00445472">
              <w:rPr>
                <w:rFonts w:ascii="Garamond" w:hAnsi="Garamond"/>
                <w:lang w:val="sq-AL"/>
              </w:rPr>
              <w:t>/</w:t>
            </w:r>
            <w:r w:rsidRPr="00445472">
              <w:rPr>
                <w:rFonts w:ascii="Garamond" w:hAnsi="Garamond"/>
                <w:lang w:val="sq-AL"/>
              </w:rPr>
              <w:t>AMBU</w:t>
            </w:r>
          </w:p>
          <w:p w14:paraId="09B7D7D5" w14:textId="77777777" w:rsidR="00410865" w:rsidRPr="00445472" w:rsidRDefault="00410865" w:rsidP="00410865">
            <w:pPr>
              <w:pStyle w:val="TableTextCentre"/>
              <w:spacing w:after="0"/>
              <w:rPr>
                <w:rFonts w:ascii="Garamond" w:hAnsi="Garamond"/>
                <w:lang w:val="sq-AL"/>
              </w:rPr>
            </w:pPr>
          </w:p>
        </w:tc>
        <w:tc>
          <w:tcPr>
            <w:tcW w:w="2556" w:type="dxa"/>
            <w:shd w:val="clear" w:color="auto" w:fill="auto"/>
            <w:vAlign w:val="center"/>
          </w:tcPr>
          <w:p w14:paraId="6CDFB1E9" w14:textId="77777777" w:rsidR="00410865" w:rsidRPr="00445472" w:rsidRDefault="00410865" w:rsidP="00410865">
            <w:pPr>
              <w:pStyle w:val="TableTextCentre"/>
              <w:spacing w:after="0"/>
              <w:rPr>
                <w:rFonts w:ascii="Garamond" w:hAnsi="Garamond"/>
                <w:b/>
                <w:lang w:val="sq-AL"/>
              </w:rPr>
            </w:pPr>
          </w:p>
          <w:p w14:paraId="5CB925F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w:t>
            </w:r>
          </w:p>
        </w:tc>
        <w:tc>
          <w:tcPr>
            <w:tcW w:w="566" w:type="dxa"/>
            <w:shd w:val="clear" w:color="auto" w:fill="D2E7F6"/>
            <w:vAlign w:val="center"/>
          </w:tcPr>
          <w:p w14:paraId="45F1506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55A6BF62"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7908FA60"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87A24AA"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0DD8E43"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EA7678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73B489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85C7236"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0D968C03"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63861572"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9F1A5C2"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670DA2B"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26E8388" w14:textId="77777777" w:rsidR="00410865" w:rsidRPr="00445472" w:rsidRDefault="00410865" w:rsidP="00410865">
            <w:pPr>
              <w:pStyle w:val="TableTextCentre"/>
              <w:spacing w:after="0"/>
              <w:rPr>
                <w:rFonts w:ascii="Garamond" w:hAnsi="Garamond"/>
                <w:lang w:val="sq-AL"/>
              </w:rPr>
            </w:pPr>
          </w:p>
        </w:tc>
      </w:tr>
      <w:tr w:rsidR="00410865" w:rsidRPr="00445472" w14:paraId="7F615190" w14:textId="77777777" w:rsidTr="00410865">
        <w:trPr>
          <w:gridAfter w:val="1"/>
          <w:wAfter w:w="14" w:type="dxa"/>
          <w:jc w:val="center"/>
        </w:trPr>
        <w:tc>
          <w:tcPr>
            <w:tcW w:w="3682" w:type="dxa"/>
            <w:shd w:val="clear" w:color="auto" w:fill="auto"/>
            <w:vAlign w:val="center"/>
          </w:tcPr>
          <w:p w14:paraId="3E86ADAB"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Studim fizibiliteti për kapacitetin e burimeve ujore në dispozicion të akuakulturës, teknologjia e përdorur për uljen e ndotjes dhe përmirësimi i gjendjes së ekosistemit për kushtet përkatëse. </w:t>
            </w:r>
          </w:p>
        </w:tc>
        <w:tc>
          <w:tcPr>
            <w:tcW w:w="1275" w:type="dxa"/>
            <w:shd w:val="clear" w:color="auto" w:fill="auto"/>
            <w:vAlign w:val="center"/>
          </w:tcPr>
          <w:p w14:paraId="4FC13F54" w14:textId="77777777" w:rsidR="00410865" w:rsidRPr="00445472" w:rsidRDefault="00410865" w:rsidP="00410865">
            <w:pPr>
              <w:pStyle w:val="TableTextCentre"/>
              <w:spacing w:after="0"/>
              <w:rPr>
                <w:rFonts w:ascii="Garamond" w:hAnsi="Garamond"/>
                <w:lang w:val="sq-AL"/>
              </w:rPr>
            </w:pPr>
          </w:p>
          <w:p w14:paraId="43A75AEC" w14:textId="77777777" w:rsidR="00410865" w:rsidRPr="00445472" w:rsidRDefault="00410865" w:rsidP="00410865">
            <w:pPr>
              <w:pStyle w:val="TableTextCentre"/>
              <w:spacing w:after="0"/>
              <w:rPr>
                <w:rFonts w:ascii="Garamond" w:hAnsi="Garamond"/>
                <w:b/>
                <w:lang w:val="sq-AL"/>
              </w:rPr>
            </w:pPr>
          </w:p>
          <w:p w14:paraId="0657EEA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0.5</w:t>
            </w:r>
          </w:p>
        </w:tc>
        <w:tc>
          <w:tcPr>
            <w:tcW w:w="1560" w:type="dxa"/>
            <w:shd w:val="clear" w:color="auto" w:fill="auto"/>
            <w:vAlign w:val="center"/>
          </w:tcPr>
          <w:p w14:paraId="766BF547" w14:textId="77777777" w:rsidR="00410865" w:rsidRPr="00445472" w:rsidRDefault="00410865" w:rsidP="00410865">
            <w:pPr>
              <w:pStyle w:val="TableTextCentre"/>
              <w:spacing w:after="0"/>
              <w:rPr>
                <w:rFonts w:ascii="Garamond" w:hAnsi="Garamond"/>
                <w:lang w:val="sq-AL"/>
              </w:rPr>
            </w:pPr>
          </w:p>
          <w:p w14:paraId="26AD98DC" w14:textId="77777777" w:rsidR="00410865" w:rsidRPr="00445472" w:rsidRDefault="00410865" w:rsidP="00410865">
            <w:pPr>
              <w:pStyle w:val="TableTextCentre"/>
              <w:spacing w:after="0"/>
              <w:rPr>
                <w:rFonts w:ascii="Garamond" w:hAnsi="Garamond"/>
                <w:lang w:val="sq-AL"/>
              </w:rPr>
            </w:pPr>
          </w:p>
          <w:p w14:paraId="6CCDF155" w14:textId="0DCDA76E"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r w:rsidR="001D340B" w:rsidRPr="00445472">
              <w:rPr>
                <w:rFonts w:ascii="Garamond" w:hAnsi="Garamond"/>
                <w:lang w:val="sq-AL"/>
              </w:rPr>
              <w:t>/</w:t>
            </w:r>
            <w:r w:rsidRPr="00445472">
              <w:rPr>
                <w:rFonts w:ascii="Garamond" w:hAnsi="Garamond"/>
                <w:lang w:val="sq-AL"/>
              </w:rPr>
              <w:t>AMBU</w:t>
            </w:r>
          </w:p>
          <w:p w14:paraId="33B039AC" w14:textId="77777777" w:rsidR="00410865" w:rsidRPr="00445472" w:rsidRDefault="00410865" w:rsidP="00410865">
            <w:pPr>
              <w:pStyle w:val="TableTextCentre"/>
              <w:spacing w:after="0"/>
              <w:jc w:val="left"/>
              <w:rPr>
                <w:rFonts w:ascii="Garamond" w:hAnsi="Garamond"/>
                <w:lang w:val="sq-AL"/>
              </w:rPr>
            </w:pPr>
          </w:p>
        </w:tc>
        <w:tc>
          <w:tcPr>
            <w:tcW w:w="2556" w:type="dxa"/>
            <w:shd w:val="clear" w:color="auto" w:fill="auto"/>
            <w:vAlign w:val="center"/>
          </w:tcPr>
          <w:p w14:paraId="0AA155A0" w14:textId="77777777" w:rsidR="00410865" w:rsidRPr="00445472" w:rsidRDefault="00410865" w:rsidP="00410865">
            <w:pPr>
              <w:pStyle w:val="TableTextCentre"/>
              <w:spacing w:after="0"/>
              <w:jc w:val="left"/>
              <w:rPr>
                <w:rFonts w:ascii="Garamond" w:hAnsi="Garamond"/>
                <w:lang w:val="sq-AL"/>
              </w:rPr>
            </w:pPr>
          </w:p>
          <w:p w14:paraId="6A5EA24E" w14:textId="77777777" w:rsidR="00410865" w:rsidRPr="00445472" w:rsidRDefault="00410865" w:rsidP="00410865">
            <w:pPr>
              <w:pStyle w:val="TableTextCentre"/>
              <w:spacing w:after="0"/>
              <w:rPr>
                <w:rFonts w:ascii="Garamond" w:hAnsi="Garamond"/>
                <w:b/>
                <w:lang w:val="sq-AL"/>
              </w:rPr>
            </w:pPr>
          </w:p>
          <w:p w14:paraId="4B85799B" w14:textId="77777777" w:rsidR="00410865" w:rsidRPr="00445472" w:rsidRDefault="00410865" w:rsidP="00410865">
            <w:pPr>
              <w:pStyle w:val="TableTextCentre"/>
              <w:spacing w:after="0"/>
              <w:rPr>
                <w:rFonts w:ascii="Garamond" w:hAnsi="Garamond"/>
                <w:b/>
                <w:lang w:val="sq-AL"/>
              </w:rPr>
            </w:pPr>
            <w:r w:rsidRPr="00445472">
              <w:rPr>
                <w:rFonts w:ascii="Garamond" w:hAnsi="Garamond"/>
                <w:lang w:val="sq-AL"/>
              </w:rPr>
              <w:t>Fonde kombëtare</w:t>
            </w:r>
          </w:p>
        </w:tc>
        <w:tc>
          <w:tcPr>
            <w:tcW w:w="566" w:type="dxa"/>
            <w:shd w:val="clear" w:color="auto" w:fill="D2E7F6"/>
            <w:vAlign w:val="center"/>
          </w:tcPr>
          <w:p w14:paraId="5A96FF08"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6DC2B9EF"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6263F278"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2F59CE1F"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23453DA6"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25AE09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367188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52425A5"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6C4EC6D"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BAF085C"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4E08770"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14B8C19C"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EE8430F" w14:textId="77777777" w:rsidR="00410865" w:rsidRPr="00445472" w:rsidRDefault="00410865" w:rsidP="00410865">
            <w:pPr>
              <w:pStyle w:val="TableTextCentre"/>
              <w:spacing w:after="0"/>
              <w:rPr>
                <w:rFonts w:ascii="Garamond" w:hAnsi="Garamond"/>
                <w:lang w:val="sq-AL"/>
              </w:rPr>
            </w:pPr>
          </w:p>
        </w:tc>
      </w:tr>
      <w:tr w:rsidR="00410865" w:rsidRPr="00445472" w14:paraId="018C19E0" w14:textId="77777777" w:rsidTr="00410865">
        <w:trPr>
          <w:gridAfter w:val="1"/>
          <w:wAfter w:w="14" w:type="dxa"/>
          <w:jc w:val="center"/>
        </w:trPr>
        <w:tc>
          <w:tcPr>
            <w:tcW w:w="9073" w:type="dxa"/>
            <w:gridSpan w:val="4"/>
            <w:shd w:val="clear" w:color="auto" w:fill="D9D9D9"/>
            <w:vAlign w:val="center"/>
          </w:tcPr>
          <w:p w14:paraId="53830D94"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 e ekonomisë aktive në zona të caktuara</w:t>
            </w:r>
          </w:p>
        </w:tc>
        <w:tc>
          <w:tcPr>
            <w:tcW w:w="1417" w:type="dxa"/>
            <w:gridSpan w:val="3"/>
            <w:shd w:val="clear" w:color="auto" w:fill="D9D9D9"/>
            <w:vAlign w:val="center"/>
          </w:tcPr>
          <w:p w14:paraId="65ACC1CD"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10</w:t>
            </w:r>
          </w:p>
        </w:tc>
        <w:tc>
          <w:tcPr>
            <w:tcW w:w="2410" w:type="dxa"/>
            <w:gridSpan w:val="6"/>
            <w:shd w:val="clear" w:color="auto" w:fill="D9D9D9"/>
            <w:vAlign w:val="center"/>
          </w:tcPr>
          <w:p w14:paraId="2F93C9E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30</w:t>
            </w:r>
          </w:p>
        </w:tc>
        <w:tc>
          <w:tcPr>
            <w:tcW w:w="1701" w:type="dxa"/>
            <w:gridSpan w:val="4"/>
            <w:shd w:val="clear" w:color="auto" w:fill="D9D9D9"/>
            <w:vAlign w:val="center"/>
          </w:tcPr>
          <w:p w14:paraId="53B5D3D3"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60</w:t>
            </w:r>
          </w:p>
        </w:tc>
      </w:tr>
      <w:tr w:rsidR="00410865" w:rsidRPr="00445472" w14:paraId="267A4702" w14:textId="77777777" w:rsidTr="00410865">
        <w:trPr>
          <w:jc w:val="center"/>
        </w:trPr>
        <w:tc>
          <w:tcPr>
            <w:tcW w:w="14615" w:type="dxa"/>
            <w:gridSpan w:val="18"/>
            <w:shd w:val="clear" w:color="auto" w:fill="auto"/>
            <w:vAlign w:val="center"/>
          </w:tcPr>
          <w:p w14:paraId="76C96024" w14:textId="77777777" w:rsidR="00410865" w:rsidRPr="00445472" w:rsidRDefault="00410865" w:rsidP="00410865">
            <w:pPr>
              <w:pStyle w:val="TableTextCentre"/>
              <w:spacing w:after="0"/>
              <w:jc w:val="left"/>
              <w:rPr>
                <w:rFonts w:ascii="Garamond" w:hAnsi="Garamond"/>
                <w:b/>
                <w:i/>
                <w:lang w:val="sq-AL"/>
              </w:rPr>
            </w:pPr>
            <w:r w:rsidRPr="00445472">
              <w:rPr>
                <w:rFonts w:ascii="Garamond" w:hAnsi="Garamond"/>
                <w:b/>
                <w:i/>
                <w:lang w:val="sq-AL"/>
              </w:rPr>
              <w:t xml:space="preserve">1f) Përdorimi i potencialit hidroenergjetik </w:t>
            </w:r>
          </w:p>
        </w:tc>
      </w:tr>
      <w:tr w:rsidR="00410865" w:rsidRPr="00445472" w14:paraId="2F7ED3D8" w14:textId="77777777" w:rsidTr="00410865">
        <w:trPr>
          <w:gridAfter w:val="1"/>
          <w:wAfter w:w="14" w:type="dxa"/>
          <w:jc w:val="center"/>
        </w:trPr>
        <w:tc>
          <w:tcPr>
            <w:tcW w:w="3682" w:type="dxa"/>
            <w:shd w:val="clear" w:color="auto" w:fill="auto"/>
            <w:vAlign w:val="center"/>
          </w:tcPr>
          <w:p w14:paraId="3C02D565"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Përfundimi i studimeve përkatëse për potencialin e prodhimit hidroenergjetik për çdo degë të lumenjve, duke filluar nga rrjedha e sipërme dhe duke pasur parasysh HEC-et e vegjël tashmë të ndërtuar</w:t>
            </w:r>
          </w:p>
        </w:tc>
        <w:tc>
          <w:tcPr>
            <w:tcW w:w="1275" w:type="dxa"/>
            <w:shd w:val="clear" w:color="auto" w:fill="auto"/>
            <w:vAlign w:val="center"/>
          </w:tcPr>
          <w:p w14:paraId="53C149F9" w14:textId="77777777" w:rsidR="00410865" w:rsidRPr="00445472" w:rsidRDefault="00410865" w:rsidP="00410865">
            <w:pPr>
              <w:pStyle w:val="TableTextCentre"/>
              <w:spacing w:after="0"/>
              <w:rPr>
                <w:rFonts w:ascii="Garamond" w:hAnsi="Garamond"/>
                <w:lang w:val="sq-AL"/>
              </w:rPr>
            </w:pPr>
          </w:p>
          <w:p w14:paraId="393FBDD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3.0</w:t>
            </w:r>
          </w:p>
        </w:tc>
        <w:tc>
          <w:tcPr>
            <w:tcW w:w="1560" w:type="dxa"/>
            <w:shd w:val="clear" w:color="auto" w:fill="auto"/>
            <w:vAlign w:val="center"/>
          </w:tcPr>
          <w:p w14:paraId="5D626F31" w14:textId="77777777" w:rsidR="00410865" w:rsidRPr="00445472" w:rsidRDefault="00410865" w:rsidP="00410865">
            <w:pPr>
              <w:pStyle w:val="TableTextCentre"/>
              <w:spacing w:after="0"/>
              <w:jc w:val="left"/>
              <w:rPr>
                <w:rFonts w:ascii="Garamond" w:hAnsi="Garamond"/>
                <w:lang w:val="sq-AL"/>
              </w:rPr>
            </w:pPr>
          </w:p>
          <w:p w14:paraId="24508A56" w14:textId="61CFDFC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energjinë</w:t>
            </w:r>
            <w:r w:rsidR="001D340B" w:rsidRPr="00445472">
              <w:rPr>
                <w:rFonts w:ascii="Garamond" w:hAnsi="Garamond"/>
                <w:lang w:val="sq-AL"/>
              </w:rPr>
              <w:t>/</w:t>
            </w:r>
            <w:r w:rsidRPr="00445472">
              <w:rPr>
                <w:rFonts w:ascii="Garamond" w:hAnsi="Garamond"/>
                <w:lang w:val="sq-AL"/>
              </w:rPr>
              <w:t>AMBU</w:t>
            </w:r>
          </w:p>
          <w:p w14:paraId="40D7CF6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(SKDM)</w:t>
            </w:r>
          </w:p>
        </w:tc>
        <w:tc>
          <w:tcPr>
            <w:tcW w:w="2556" w:type="dxa"/>
            <w:shd w:val="clear" w:color="auto" w:fill="auto"/>
            <w:vAlign w:val="center"/>
          </w:tcPr>
          <w:p w14:paraId="323D3555" w14:textId="77777777" w:rsidR="00410865" w:rsidRPr="00445472" w:rsidRDefault="00410865" w:rsidP="00410865">
            <w:pPr>
              <w:pStyle w:val="TableTextCentre"/>
              <w:spacing w:after="0"/>
              <w:rPr>
                <w:rFonts w:ascii="Garamond" w:hAnsi="Garamond"/>
                <w:lang w:val="sq-AL"/>
              </w:rPr>
            </w:pPr>
          </w:p>
          <w:p w14:paraId="7133C23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69AE84A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67230DC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46D527DF"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A676AE7"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C7D1866"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161E044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8960D8E"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F92AF31"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957C3E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702DA8B"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386E2BB"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8B510C6"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5516AE6" w14:textId="77777777" w:rsidR="00410865" w:rsidRPr="00445472" w:rsidRDefault="00410865" w:rsidP="00410865">
            <w:pPr>
              <w:pStyle w:val="TableTextCentre"/>
              <w:spacing w:after="0"/>
              <w:rPr>
                <w:rFonts w:ascii="Garamond" w:hAnsi="Garamond"/>
                <w:lang w:val="sq-AL"/>
              </w:rPr>
            </w:pPr>
          </w:p>
        </w:tc>
      </w:tr>
      <w:tr w:rsidR="00410865" w:rsidRPr="00445472" w14:paraId="2705B22B" w14:textId="77777777" w:rsidTr="00410865">
        <w:trPr>
          <w:gridAfter w:val="1"/>
          <w:wAfter w:w="14" w:type="dxa"/>
          <w:jc w:val="center"/>
        </w:trPr>
        <w:tc>
          <w:tcPr>
            <w:tcW w:w="3682" w:type="dxa"/>
            <w:shd w:val="clear" w:color="auto" w:fill="auto"/>
            <w:vAlign w:val="center"/>
          </w:tcPr>
          <w:p w14:paraId="2F91DA97"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Studim mbi optimizimin e skemës ekzistuese të prodhimit hidroenergjetik </w:t>
            </w:r>
          </w:p>
        </w:tc>
        <w:tc>
          <w:tcPr>
            <w:tcW w:w="1275" w:type="dxa"/>
            <w:shd w:val="clear" w:color="auto" w:fill="auto"/>
            <w:vAlign w:val="center"/>
          </w:tcPr>
          <w:p w14:paraId="097B938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1.1</w:t>
            </w:r>
          </w:p>
        </w:tc>
        <w:tc>
          <w:tcPr>
            <w:tcW w:w="1560" w:type="dxa"/>
            <w:shd w:val="clear" w:color="auto" w:fill="auto"/>
            <w:vAlign w:val="center"/>
          </w:tcPr>
          <w:p w14:paraId="64D725CA" w14:textId="7862E9F0"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energjinë</w:t>
            </w:r>
            <w:r w:rsidR="001D340B" w:rsidRPr="00445472">
              <w:rPr>
                <w:rFonts w:ascii="Garamond" w:hAnsi="Garamond"/>
                <w:lang w:val="sq-AL"/>
              </w:rPr>
              <w:t>/</w:t>
            </w:r>
            <w:r w:rsidRPr="00445472">
              <w:rPr>
                <w:rFonts w:ascii="Garamond" w:hAnsi="Garamond"/>
                <w:lang w:val="sq-AL"/>
              </w:rPr>
              <w:t>SKDM</w:t>
            </w:r>
          </w:p>
        </w:tc>
        <w:tc>
          <w:tcPr>
            <w:tcW w:w="2556" w:type="dxa"/>
            <w:shd w:val="clear" w:color="auto" w:fill="auto"/>
            <w:vAlign w:val="center"/>
          </w:tcPr>
          <w:p w14:paraId="2CD1935F" w14:textId="77777777"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Fonde kombëtare dhe/ose nga donatorë</w:t>
            </w:r>
          </w:p>
        </w:tc>
        <w:tc>
          <w:tcPr>
            <w:tcW w:w="566" w:type="dxa"/>
            <w:shd w:val="clear" w:color="auto" w:fill="D2E7F6"/>
            <w:vAlign w:val="center"/>
          </w:tcPr>
          <w:p w14:paraId="7F0F66F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0CED3E0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0471BD4F"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A78319B"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013B9BD"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5FC94480"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755CF3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1FB86B0"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696AE4A1"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4D1D466"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40CE13B6"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CD711F9"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1D943AB" w14:textId="77777777" w:rsidR="00410865" w:rsidRPr="00445472" w:rsidRDefault="00410865" w:rsidP="00410865">
            <w:pPr>
              <w:pStyle w:val="TableTextCentre"/>
              <w:spacing w:after="0"/>
              <w:rPr>
                <w:rFonts w:ascii="Garamond" w:hAnsi="Garamond"/>
                <w:lang w:val="sq-AL"/>
              </w:rPr>
            </w:pPr>
          </w:p>
        </w:tc>
      </w:tr>
      <w:tr w:rsidR="00410865" w:rsidRPr="00445472" w14:paraId="076BCDFC" w14:textId="77777777" w:rsidTr="00410865">
        <w:trPr>
          <w:gridAfter w:val="1"/>
          <w:wAfter w:w="14" w:type="dxa"/>
          <w:trHeight w:val="583"/>
          <w:jc w:val="center"/>
        </w:trPr>
        <w:tc>
          <w:tcPr>
            <w:tcW w:w="3682" w:type="dxa"/>
            <w:shd w:val="clear" w:color="auto" w:fill="auto"/>
            <w:vAlign w:val="center"/>
          </w:tcPr>
          <w:p w14:paraId="2090D432"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vlerësimin e Kontratës ekzistuese Koncesionare të HEC-it, ende të pandërtuar, mbi koherencën midis potencialit natyror dhe atij të instaluar për çdo rast.</w:t>
            </w:r>
          </w:p>
        </w:tc>
        <w:tc>
          <w:tcPr>
            <w:tcW w:w="1275" w:type="dxa"/>
            <w:shd w:val="clear" w:color="auto" w:fill="auto"/>
            <w:vAlign w:val="center"/>
          </w:tcPr>
          <w:p w14:paraId="6F293AF5" w14:textId="77777777" w:rsidR="00410865" w:rsidRPr="00445472" w:rsidRDefault="00410865" w:rsidP="00410865">
            <w:pPr>
              <w:pStyle w:val="TableTextCentre"/>
              <w:spacing w:after="0"/>
              <w:rPr>
                <w:rFonts w:ascii="Garamond" w:hAnsi="Garamond"/>
                <w:lang w:val="sq-AL"/>
              </w:rPr>
            </w:pPr>
          </w:p>
          <w:p w14:paraId="1BC7BD1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0.6</w:t>
            </w:r>
          </w:p>
        </w:tc>
        <w:tc>
          <w:tcPr>
            <w:tcW w:w="1560" w:type="dxa"/>
            <w:shd w:val="clear" w:color="auto" w:fill="auto"/>
            <w:vAlign w:val="center"/>
          </w:tcPr>
          <w:p w14:paraId="58AD1CF3" w14:textId="77777777" w:rsidR="00410865" w:rsidRPr="00445472" w:rsidRDefault="00410865" w:rsidP="00410865">
            <w:pPr>
              <w:pStyle w:val="TableTextCentre"/>
              <w:spacing w:after="0"/>
              <w:rPr>
                <w:rFonts w:ascii="Garamond" w:hAnsi="Garamond"/>
                <w:b/>
                <w:lang w:val="sq-AL"/>
              </w:rPr>
            </w:pPr>
          </w:p>
          <w:p w14:paraId="043C8613" w14:textId="3D489584"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r w:rsidR="001D340B" w:rsidRPr="00445472">
              <w:rPr>
                <w:rFonts w:ascii="Garamond" w:hAnsi="Garamond"/>
                <w:lang w:val="sq-AL"/>
              </w:rPr>
              <w:t>/</w:t>
            </w:r>
            <w:r w:rsidRPr="00445472">
              <w:rPr>
                <w:rFonts w:ascii="Garamond" w:hAnsi="Garamond"/>
                <w:lang w:val="sq-AL"/>
              </w:rPr>
              <w:t>Ministria përgjegjëse për energjinë</w:t>
            </w:r>
          </w:p>
          <w:p w14:paraId="20F03AA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tc>
        <w:tc>
          <w:tcPr>
            <w:tcW w:w="2556" w:type="dxa"/>
            <w:shd w:val="clear" w:color="auto" w:fill="auto"/>
            <w:vAlign w:val="center"/>
          </w:tcPr>
          <w:p w14:paraId="3B07EC65" w14:textId="77777777" w:rsidR="00410865" w:rsidRPr="00445472" w:rsidRDefault="00410865" w:rsidP="00410865">
            <w:pPr>
              <w:pStyle w:val="TableTextCentre"/>
              <w:spacing w:after="0"/>
              <w:jc w:val="left"/>
              <w:rPr>
                <w:rFonts w:ascii="Garamond" w:hAnsi="Garamond"/>
                <w:lang w:val="sq-AL"/>
              </w:rPr>
            </w:pPr>
          </w:p>
          <w:p w14:paraId="3A04A79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5F9E684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5B145C5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3728486F"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F6F8C57"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5679A0F"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28DEA9F"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96E9FF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3FAB3A6"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3CAABA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1277F3B"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348CD4D"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4AF8FF21"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4D606E14" w14:textId="77777777" w:rsidR="00410865" w:rsidRPr="00445472" w:rsidRDefault="00410865" w:rsidP="00410865">
            <w:pPr>
              <w:pStyle w:val="TableTextCentre"/>
              <w:spacing w:after="0"/>
              <w:rPr>
                <w:rFonts w:ascii="Garamond" w:hAnsi="Garamond"/>
                <w:lang w:val="sq-AL"/>
              </w:rPr>
            </w:pPr>
          </w:p>
        </w:tc>
      </w:tr>
      <w:tr w:rsidR="00410865" w:rsidRPr="00445472" w14:paraId="199A5970" w14:textId="77777777" w:rsidTr="00410865">
        <w:trPr>
          <w:gridAfter w:val="1"/>
          <w:wAfter w:w="14" w:type="dxa"/>
          <w:jc w:val="center"/>
        </w:trPr>
        <w:tc>
          <w:tcPr>
            <w:tcW w:w="3682" w:type="dxa"/>
            <w:tcBorders>
              <w:bottom w:val="single" w:sz="2" w:space="0" w:color="9FA2A1"/>
            </w:tcBorders>
            <w:shd w:val="clear" w:color="auto" w:fill="auto"/>
            <w:vAlign w:val="center"/>
          </w:tcPr>
          <w:p w14:paraId="4DC9F26B"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Rishikimi i të gjitha lejeve dhe projekteve ekzistuese hidroenergjetike për masat e rivendosjes dhe krijimi i një rrjedhe ekologjike në rrjedhën e poshtme të hidrocentraleve, rrugëkalimet e peshqve dhe masa të tjera lehtësuese për rivendosjen e vazhdimësisë së lumit. </w:t>
            </w:r>
          </w:p>
        </w:tc>
        <w:tc>
          <w:tcPr>
            <w:tcW w:w="1275" w:type="dxa"/>
            <w:tcBorders>
              <w:bottom w:val="single" w:sz="2" w:space="0" w:color="9FA2A1"/>
            </w:tcBorders>
            <w:shd w:val="clear" w:color="auto" w:fill="auto"/>
            <w:vAlign w:val="center"/>
          </w:tcPr>
          <w:p w14:paraId="5765E3B6" w14:textId="77777777" w:rsidR="00410865" w:rsidRPr="00445472" w:rsidRDefault="00410865" w:rsidP="00410865">
            <w:pPr>
              <w:pStyle w:val="TableTextCentre"/>
              <w:spacing w:after="0"/>
              <w:rPr>
                <w:rFonts w:ascii="Garamond" w:hAnsi="Garamond"/>
                <w:lang w:val="sq-AL"/>
              </w:rPr>
            </w:pPr>
          </w:p>
          <w:p w14:paraId="7ADDAC1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1.1</w:t>
            </w:r>
          </w:p>
        </w:tc>
        <w:tc>
          <w:tcPr>
            <w:tcW w:w="1560" w:type="dxa"/>
            <w:tcBorders>
              <w:bottom w:val="single" w:sz="2" w:space="0" w:color="9FA2A1"/>
            </w:tcBorders>
            <w:shd w:val="clear" w:color="auto" w:fill="auto"/>
            <w:vAlign w:val="center"/>
          </w:tcPr>
          <w:p w14:paraId="251FA235" w14:textId="77777777" w:rsidR="00410865" w:rsidRPr="00445472" w:rsidRDefault="00410865" w:rsidP="00410865">
            <w:pPr>
              <w:pStyle w:val="TableTextCentre"/>
              <w:spacing w:after="0"/>
              <w:rPr>
                <w:rFonts w:ascii="Garamond" w:hAnsi="Garamond"/>
                <w:b/>
                <w:lang w:val="sq-AL"/>
              </w:rPr>
            </w:pPr>
          </w:p>
          <w:p w14:paraId="499E9967" w14:textId="2C9EFAC8" w:rsidR="00410865" w:rsidRPr="00445472" w:rsidRDefault="00410865" w:rsidP="00410865">
            <w:pPr>
              <w:pStyle w:val="TableTextCentre"/>
              <w:spacing w:after="0"/>
              <w:rPr>
                <w:rFonts w:ascii="Garamond" w:hAnsi="Garamond"/>
                <w:lang w:val="sq-AL"/>
              </w:rPr>
            </w:pPr>
            <w:r w:rsidRPr="00445472">
              <w:rPr>
                <w:rFonts w:ascii="Garamond" w:hAnsi="Garamond"/>
                <w:lang w:val="sq-AL"/>
              </w:rPr>
              <w:t>AMBU/AKBN</w:t>
            </w:r>
            <w:r w:rsidR="001D340B" w:rsidRPr="00445472">
              <w:rPr>
                <w:rFonts w:ascii="Garamond" w:hAnsi="Garamond"/>
                <w:lang w:val="sq-AL"/>
              </w:rPr>
              <w:t>/</w:t>
            </w:r>
            <w:r w:rsidRPr="00445472">
              <w:rPr>
                <w:rFonts w:ascii="Garamond" w:hAnsi="Garamond"/>
                <w:lang w:val="sq-AL"/>
              </w:rPr>
              <w:t>Ministria përgjegjëse për energjinë</w:t>
            </w:r>
          </w:p>
          <w:p w14:paraId="646FEF9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tc>
        <w:tc>
          <w:tcPr>
            <w:tcW w:w="2556" w:type="dxa"/>
            <w:tcBorders>
              <w:bottom w:val="single" w:sz="2" w:space="0" w:color="9FA2A1"/>
            </w:tcBorders>
            <w:shd w:val="clear" w:color="auto" w:fill="auto"/>
            <w:vAlign w:val="center"/>
          </w:tcPr>
          <w:p w14:paraId="35465DC6" w14:textId="77777777" w:rsidR="00410865" w:rsidRPr="00445472" w:rsidRDefault="00410865" w:rsidP="00410865">
            <w:pPr>
              <w:pStyle w:val="TableTextCentre"/>
              <w:spacing w:after="0"/>
              <w:jc w:val="left"/>
              <w:rPr>
                <w:rFonts w:ascii="Garamond" w:hAnsi="Garamond"/>
                <w:lang w:val="sq-AL"/>
              </w:rPr>
            </w:pPr>
          </w:p>
          <w:p w14:paraId="6788556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tcBorders>
              <w:bottom w:val="single" w:sz="2" w:space="0" w:color="9FA2A1"/>
            </w:tcBorders>
            <w:shd w:val="clear" w:color="auto" w:fill="D2E7F6"/>
            <w:vAlign w:val="center"/>
          </w:tcPr>
          <w:p w14:paraId="744281B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tcBorders>
              <w:bottom w:val="single" w:sz="2" w:space="0" w:color="9FA2A1"/>
            </w:tcBorders>
            <w:shd w:val="clear" w:color="auto" w:fill="D2E7F6"/>
            <w:vAlign w:val="center"/>
          </w:tcPr>
          <w:p w14:paraId="3677A6D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D2E7F6"/>
            <w:vAlign w:val="center"/>
          </w:tcPr>
          <w:p w14:paraId="27478FA5"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7F5E801C"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6765A3D6" w14:textId="77777777" w:rsidR="00410865" w:rsidRPr="00445472" w:rsidRDefault="00410865" w:rsidP="00410865">
            <w:pPr>
              <w:pStyle w:val="TableTextCentre"/>
              <w:spacing w:after="0"/>
              <w:rPr>
                <w:rFonts w:ascii="Garamond" w:hAnsi="Garamond"/>
                <w:lang w:val="sq-AL"/>
              </w:rPr>
            </w:pPr>
          </w:p>
        </w:tc>
        <w:tc>
          <w:tcPr>
            <w:tcW w:w="372" w:type="dxa"/>
            <w:tcBorders>
              <w:bottom w:val="single" w:sz="2" w:space="0" w:color="9FA2A1"/>
            </w:tcBorders>
            <w:shd w:val="clear" w:color="auto" w:fill="99C8E5"/>
            <w:vAlign w:val="center"/>
          </w:tcPr>
          <w:p w14:paraId="414B37B6"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7DA51B54"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42165A08" w14:textId="77777777" w:rsidR="00410865" w:rsidRPr="00445472" w:rsidRDefault="00410865" w:rsidP="00410865">
            <w:pPr>
              <w:pStyle w:val="TableTextCentre"/>
              <w:spacing w:after="0"/>
              <w:rPr>
                <w:rFonts w:ascii="Garamond" w:hAnsi="Garamond"/>
                <w:lang w:val="sq-AL"/>
              </w:rPr>
            </w:pPr>
          </w:p>
        </w:tc>
        <w:tc>
          <w:tcPr>
            <w:tcW w:w="344" w:type="dxa"/>
            <w:tcBorders>
              <w:bottom w:val="single" w:sz="2" w:space="0" w:color="9FA2A1"/>
            </w:tcBorders>
            <w:shd w:val="clear" w:color="auto" w:fill="99C8E5"/>
            <w:vAlign w:val="center"/>
          </w:tcPr>
          <w:p w14:paraId="6E88A9C3" w14:textId="77777777" w:rsidR="00410865" w:rsidRPr="00445472" w:rsidRDefault="00410865" w:rsidP="00410865">
            <w:pPr>
              <w:pStyle w:val="TableTextCentre"/>
              <w:spacing w:after="0"/>
              <w:rPr>
                <w:rFonts w:ascii="Garamond" w:hAnsi="Garamond"/>
                <w:lang w:val="sq-AL"/>
              </w:rPr>
            </w:pPr>
          </w:p>
        </w:tc>
        <w:tc>
          <w:tcPr>
            <w:tcW w:w="491" w:type="dxa"/>
            <w:tcBorders>
              <w:bottom w:val="single" w:sz="2" w:space="0" w:color="9FA2A1"/>
            </w:tcBorders>
            <w:shd w:val="clear" w:color="auto" w:fill="276F9A"/>
            <w:vAlign w:val="center"/>
          </w:tcPr>
          <w:p w14:paraId="0BE59B46" w14:textId="77777777" w:rsidR="00410865" w:rsidRPr="00445472" w:rsidRDefault="00410865" w:rsidP="00410865">
            <w:pPr>
              <w:pStyle w:val="TableTextCentre"/>
              <w:spacing w:after="0"/>
              <w:rPr>
                <w:rFonts w:ascii="Garamond" w:hAnsi="Garamond"/>
                <w:lang w:val="sq-AL"/>
              </w:rPr>
            </w:pPr>
          </w:p>
        </w:tc>
        <w:tc>
          <w:tcPr>
            <w:tcW w:w="431" w:type="dxa"/>
            <w:tcBorders>
              <w:bottom w:val="single" w:sz="2" w:space="0" w:color="9FA2A1"/>
            </w:tcBorders>
            <w:shd w:val="clear" w:color="auto" w:fill="276F9A"/>
            <w:vAlign w:val="center"/>
          </w:tcPr>
          <w:p w14:paraId="0282829B"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276F9A"/>
            <w:vAlign w:val="center"/>
          </w:tcPr>
          <w:p w14:paraId="63D9344C" w14:textId="77777777" w:rsidR="00410865" w:rsidRPr="00445472" w:rsidRDefault="00410865" w:rsidP="00410865">
            <w:pPr>
              <w:pStyle w:val="TableTextCentre"/>
              <w:spacing w:after="0"/>
              <w:rPr>
                <w:rFonts w:ascii="Garamond" w:hAnsi="Garamond"/>
                <w:lang w:val="sq-AL"/>
              </w:rPr>
            </w:pPr>
          </w:p>
        </w:tc>
        <w:tc>
          <w:tcPr>
            <w:tcW w:w="357" w:type="dxa"/>
            <w:tcBorders>
              <w:bottom w:val="single" w:sz="2" w:space="0" w:color="9FA2A1"/>
            </w:tcBorders>
            <w:shd w:val="clear" w:color="auto" w:fill="276F9A"/>
            <w:vAlign w:val="center"/>
          </w:tcPr>
          <w:p w14:paraId="1EB82619" w14:textId="77777777" w:rsidR="00410865" w:rsidRPr="00445472" w:rsidRDefault="00410865" w:rsidP="00410865">
            <w:pPr>
              <w:pStyle w:val="TableTextCentre"/>
              <w:spacing w:after="0"/>
              <w:rPr>
                <w:rFonts w:ascii="Garamond" w:hAnsi="Garamond"/>
                <w:lang w:val="sq-AL"/>
              </w:rPr>
            </w:pPr>
          </w:p>
        </w:tc>
      </w:tr>
      <w:tr w:rsidR="00410865" w:rsidRPr="00445472" w14:paraId="6D638254" w14:textId="77777777" w:rsidTr="00410865">
        <w:trPr>
          <w:gridAfter w:val="1"/>
          <w:wAfter w:w="14" w:type="dxa"/>
          <w:jc w:val="center"/>
        </w:trPr>
        <w:tc>
          <w:tcPr>
            <w:tcW w:w="9073" w:type="dxa"/>
            <w:gridSpan w:val="4"/>
            <w:shd w:val="clear" w:color="auto" w:fill="D9D9D9"/>
            <w:vAlign w:val="center"/>
          </w:tcPr>
          <w:p w14:paraId="5165D4AF"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 në krahasim me kapacitetin maksimal të vendit</w:t>
            </w:r>
          </w:p>
        </w:tc>
        <w:tc>
          <w:tcPr>
            <w:tcW w:w="1417" w:type="dxa"/>
            <w:gridSpan w:val="3"/>
            <w:shd w:val="clear" w:color="auto" w:fill="D9D9D9"/>
            <w:vAlign w:val="center"/>
          </w:tcPr>
          <w:p w14:paraId="4A9D23D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70</w:t>
            </w:r>
          </w:p>
        </w:tc>
        <w:tc>
          <w:tcPr>
            <w:tcW w:w="2410" w:type="dxa"/>
            <w:gridSpan w:val="6"/>
            <w:shd w:val="clear" w:color="auto" w:fill="D9D9D9"/>
            <w:vAlign w:val="center"/>
          </w:tcPr>
          <w:p w14:paraId="097539B7"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80</w:t>
            </w:r>
          </w:p>
        </w:tc>
        <w:tc>
          <w:tcPr>
            <w:tcW w:w="1701" w:type="dxa"/>
            <w:gridSpan w:val="4"/>
            <w:shd w:val="clear" w:color="auto" w:fill="D9D9D9"/>
            <w:vAlign w:val="center"/>
          </w:tcPr>
          <w:p w14:paraId="7133DAF3"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95</w:t>
            </w:r>
          </w:p>
        </w:tc>
      </w:tr>
      <w:tr w:rsidR="00410865" w:rsidRPr="00445472" w14:paraId="145D9C6D" w14:textId="77777777" w:rsidTr="00410865">
        <w:trPr>
          <w:jc w:val="center"/>
        </w:trPr>
        <w:tc>
          <w:tcPr>
            <w:tcW w:w="14615" w:type="dxa"/>
            <w:gridSpan w:val="18"/>
            <w:shd w:val="clear" w:color="auto" w:fill="auto"/>
            <w:vAlign w:val="center"/>
          </w:tcPr>
          <w:p w14:paraId="1D8BB9A4" w14:textId="77777777" w:rsidR="00410865" w:rsidRPr="00445472" w:rsidRDefault="00410865" w:rsidP="00410865">
            <w:pPr>
              <w:pStyle w:val="TableTextCentre"/>
              <w:spacing w:after="0"/>
              <w:jc w:val="left"/>
              <w:rPr>
                <w:rFonts w:ascii="Garamond" w:hAnsi="Garamond"/>
                <w:b/>
                <w:i/>
                <w:lang w:val="sq-AL"/>
              </w:rPr>
            </w:pPr>
            <w:r w:rsidRPr="00445472">
              <w:rPr>
                <w:rFonts w:ascii="Garamond" w:hAnsi="Garamond"/>
                <w:b/>
                <w:i/>
                <w:lang w:val="sq-AL"/>
              </w:rPr>
              <w:t xml:space="preserve">1g) Përmbushja e kërkesës industriale të ujit </w:t>
            </w:r>
          </w:p>
        </w:tc>
      </w:tr>
      <w:tr w:rsidR="00410865" w:rsidRPr="00445472" w14:paraId="0C60B75A" w14:textId="77777777" w:rsidTr="00410865">
        <w:trPr>
          <w:gridAfter w:val="1"/>
          <w:wAfter w:w="14" w:type="dxa"/>
          <w:jc w:val="center"/>
        </w:trPr>
        <w:tc>
          <w:tcPr>
            <w:tcW w:w="3682" w:type="dxa"/>
            <w:shd w:val="clear" w:color="auto" w:fill="auto"/>
            <w:vAlign w:val="center"/>
          </w:tcPr>
          <w:p w14:paraId="6646BEE3" w14:textId="4E515D4E"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Forcimi i personelit dhe kapacitetit për zbatimin e parimit </w:t>
            </w:r>
            <w:r w:rsidR="00D62EDF" w:rsidRPr="00445472">
              <w:rPr>
                <w:rFonts w:ascii="Garamond" w:hAnsi="Garamond"/>
                <w:lang w:val="sq-AL"/>
              </w:rPr>
              <w:t>“</w:t>
            </w:r>
            <w:r w:rsidRPr="00445472">
              <w:rPr>
                <w:rFonts w:ascii="Garamond" w:hAnsi="Garamond"/>
                <w:lang w:val="sq-AL"/>
              </w:rPr>
              <w:t>ndotësi paguan</w:t>
            </w:r>
            <w:r w:rsidR="00D62EDF" w:rsidRPr="00445472">
              <w:rPr>
                <w:rFonts w:ascii="Garamond" w:hAnsi="Garamond"/>
                <w:lang w:val="sq-AL"/>
              </w:rPr>
              <w:t>”</w:t>
            </w:r>
            <w:r w:rsidR="004B51C9" w:rsidRPr="00445472">
              <w:rPr>
                <w:rFonts w:ascii="Garamond" w:hAnsi="Garamond"/>
                <w:lang w:val="sq-AL"/>
              </w:rPr>
              <w:t xml:space="preserve"> </w:t>
            </w:r>
            <w:r w:rsidRPr="00445472">
              <w:rPr>
                <w:rFonts w:ascii="Garamond" w:hAnsi="Garamond"/>
                <w:lang w:val="sq-AL"/>
              </w:rPr>
              <w:t xml:space="preserve">për industritë, përfshin në sistemin e lejeve kërkesën që uji i ndotur industrial duhet të trajtohet paraprakisht në terren. </w:t>
            </w:r>
          </w:p>
        </w:tc>
        <w:tc>
          <w:tcPr>
            <w:tcW w:w="1275" w:type="dxa"/>
            <w:shd w:val="clear" w:color="auto" w:fill="auto"/>
            <w:vAlign w:val="center"/>
          </w:tcPr>
          <w:p w14:paraId="4315FAA2" w14:textId="77777777" w:rsidR="00410865" w:rsidRPr="00445472" w:rsidRDefault="00410865" w:rsidP="00410865">
            <w:pPr>
              <w:pStyle w:val="TableTextCentre"/>
              <w:spacing w:after="0"/>
              <w:rPr>
                <w:rFonts w:ascii="Garamond" w:hAnsi="Garamond"/>
                <w:lang w:val="sq-AL"/>
              </w:rPr>
            </w:pPr>
          </w:p>
          <w:p w14:paraId="3D3CEF7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0.1</w:t>
            </w:r>
          </w:p>
        </w:tc>
        <w:tc>
          <w:tcPr>
            <w:tcW w:w="1560" w:type="dxa"/>
            <w:shd w:val="clear" w:color="auto" w:fill="auto"/>
            <w:vAlign w:val="center"/>
          </w:tcPr>
          <w:p w14:paraId="65BBA788" w14:textId="77777777" w:rsidR="00410865" w:rsidRPr="00445472" w:rsidRDefault="00410865" w:rsidP="00410865">
            <w:pPr>
              <w:pStyle w:val="TableTextCentre"/>
              <w:spacing w:after="0"/>
              <w:jc w:val="left"/>
              <w:rPr>
                <w:rFonts w:ascii="Garamond" w:hAnsi="Garamond"/>
                <w:lang w:val="sq-AL"/>
              </w:rPr>
            </w:pPr>
          </w:p>
          <w:p w14:paraId="6B16FD8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p>
          <w:p w14:paraId="6C09C85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(Operatorë Industrialë)</w:t>
            </w:r>
          </w:p>
        </w:tc>
        <w:tc>
          <w:tcPr>
            <w:tcW w:w="2556" w:type="dxa"/>
            <w:shd w:val="clear" w:color="auto" w:fill="auto"/>
            <w:vAlign w:val="center"/>
          </w:tcPr>
          <w:p w14:paraId="4E577B69" w14:textId="77777777" w:rsidR="00410865" w:rsidRPr="00445472" w:rsidRDefault="00410865" w:rsidP="00410865">
            <w:pPr>
              <w:pStyle w:val="TableTextCentre"/>
              <w:spacing w:after="0"/>
              <w:rPr>
                <w:rFonts w:ascii="Garamond" w:hAnsi="Garamond"/>
                <w:lang w:val="sq-AL"/>
              </w:rPr>
            </w:pPr>
          </w:p>
          <w:p w14:paraId="0D2641D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0FB88EA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3645635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F004C02"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970AEEF"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22F3E83C"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0220FE5F"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6CB3B4F"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DAF1366"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0882EC2"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376A84F"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3A23C4C1"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093FE2BA"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72E9BF67" w14:textId="77777777" w:rsidR="00410865" w:rsidRPr="00445472" w:rsidRDefault="00410865" w:rsidP="00410865">
            <w:pPr>
              <w:pStyle w:val="TableTextCentre"/>
              <w:spacing w:after="0"/>
              <w:rPr>
                <w:rFonts w:ascii="Garamond" w:hAnsi="Garamond"/>
                <w:lang w:val="sq-AL"/>
              </w:rPr>
            </w:pPr>
          </w:p>
        </w:tc>
      </w:tr>
      <w:tr w:rsidR="00410865" w:rsidRPr="00445472" w14:paraId="76275CB2" w14:textId="77777777" w:rsidTr="00410865">
        <w:trPr>
          <w:gridAfter w:val="1"/>
          <w:wAfter w:w="14" w:type="dxa"/>
          <w:jc w:val="center"/>
        </w:trPr>
        <w:tc>
          <w:tcPr>
            <w:tcW w:w="3682" w:type="dxa"/>
            <w:shd w:val="clear" w:color="auto" w:fill="auto"/>
            <w:vAlign w:val="center"/>
          </w:tcPr>
          <w:p w14:paraId="75669E95"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Vlerësimi kadastral i burimit potencial të ujit që do të përdoret në industri të ndryshme </w:t>
            </w:r>
          </w:p>
        </w:tc>
        <w:tc>
          <w:tcPr>
            <w:tcW w:w="1275" w:type="dxa"/>
            <w:shd w:val="clear" w:color="auto" w:fill="auto"/>
            <w:vAlign w:val="center"/>
          </w:tcPr>
          <w:p w14:paraId="7CDE9E61" w14:textId="77777777" w:rsidR="00410865" w:rsidRPr="00445472" w:rsidRDefault="00410865" w:rsidP="00410865">
            <w:pPr>
              <w:pStyle w:val="TableTextCentre"/>
              <w:spacing w:after="0"/>
              <w:rPr>
                <w:rFonts w:ascii="Garamond" w:hAnsi="Garamond"/>
                <w:b/>
                <w:lang w:val="sq-AL"/>
              </w:rPr>
            </w:pPr>
          </w:p>
          <w:p w14:paraId="036EF0F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shd w:val="clear" w:color="auto" w:fill="auto"/>
            <w:vAlign w:val="center"/>
          </w:tcPr>
          <w:p w14:paraId="521E1136" w14:textId="77777777" w:rsidR="00410865" w:rsidRPr="00445472" w:rsidRDefault="00410865" w:rsidP="00410865">
            <w:pPr>
              <w:pStyle w:val="TableTextCentre"/>
              <w:spacing w:after="0"/>
              <w:jc w:val="left"/>
              <w:rPr>
                <w:rFonts w:ascii="Garamond" w:hAnsi="Garamond"/>
                <w:lang w:val="sq-AL"/>
              </w:rPr>
            </w:pPr>
          </w:p>
          <w:p w14:paraId="66871F4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p>
          <w:p w14:paraId="68C7DEC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p w14:paraId="56B96489" w14:textId="77777777" w:rsidR="00410865" w:rsidRPr="00445472" w:rsidRDefault="00410865" w:rsidP="00410865">
            <w:pPr>
              <w:pStyle w:val="TableTextCentre"/>
              <w:spacing w:after="0"/>
              <w:jc w:val="left"/>
              <w:rPr>
                <w:rFonts w:ascii="Garamond" w:hAnsi="Garamond"/>
                <w:lang w:val="sq-AL"/>
              </w:rPr>
            </w:pPr>
          </w:p>
        </w:tc>
        <w:tc>
          <w:tcPr>
            <w:tcW w:w="2556" w:type="dxa"/>
            <w:shd w:val="clear" w:color="auto" w:fill="auto"/>
            <w:vAlign w:val="center"/>
          </w:tcPr>
          <w:p w14:paraId="2152AE1E" w14:textId="77777777" w:rsidR="00410865" w:rsidRPr="00445472" w:rsidRDefault="00410865" w:rsidP="00410865">
            <w:pPr>
              <w:pStyle w:val="TableTextCentre"/>
              <w:spacing w:after="0"/>
              <w:rPr>
                <w:rFonts w:ascii="Garamond" w:hAnsi="Garamond"/>
                <w:lang w:val="sq-AL"/>
              </w:rPr>
            </w:pPr>
          </w:p>
          <w:p w14:paraId="7BEE804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shd w:val="clear" w:color="auto" w:fill="D2E7F6"/>
            <w:vAlign w:val="center"/>
          </w:tcPr>
          <w:p w14:paraId="07BBF34C"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071537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69B1608"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6A8EDA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9B2C53D"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1A45824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7A31AA7"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7428276"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D93C43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8DAE8D8"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12353CD"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352B531"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6FDEAD9" w14:textId="77777777" w:rsidR="00410865" w:rsidRPr="00445472" w:rsidRDefault="00410865" w:rsidP="00410865">
            <w:pPr>
              <w:pStyle w:val="TableTextCentre"/>
              <w:spacing w:after="0"/>
              <w:rPr>
                <w:rFonts w:ascii="Garamond" w:hAnsi="Garamond"/>
                <w:lang w:val="sq-AL"/>
              </w:rPr>
            </w:pPr>
          </w:p>
        </w:tc>
      </w:tr>
      <w:tr w:rsidR="00410865" w:rsidRPr="00445472" w14:paraId="5988CB3C" w14:textId="77777777" w:rsidTr="00410865">
        <w:trPr>
          <w:gridAfter w:val="1"/>
          <w:wAfter w:w="14" w:type="dxa"/>
          <w:jc w:val="center"/>
        </w:trPr>
        <w:tc>
          <w:tcPr>
            <w:tcW w:w="3682" w:type="dxa"/>
            <w:shd w:val="clear" w:color="auto" w:fill="auto"/>
            <w:vAlign w:val="center"/>
          </w:tcPr>
          <w:p w14:paraId="5F1C1F02"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Studim mbi ripërdorimin e ujit, duke pasur parasysh kërkesën e cilësisë së ujit nga industri të ndryshme dhe rezervuarë ekzistues të ujit në zonë. </w:t>
            </w:r>
          </w:p>
        </w:tc>
        <w:tc>
          <w:tcPr>
            <w:tcW w:w="1275" w:type="dxa"/>
            <w:shd w:val="clear" w:color="auto" w:fill="auto"/>
            <w:vAlign w:val="center"/>
          </w:tcPr>
          <w:p w14:paraId="54DE83CA" w14:textId="77777777" w:rsidR="00410865" w:rsidRPr="00445472" w:rsidRDefault="00410865" w:rsidP="00410865">
            <w:pPr>
              <w:pStyle w:val="TableTextCentre"/>
              <w:spacing w:after="0"/>
              <w:rPr>
                <w:rFonts w:ascii="Garamond" w:hAnsi="Garamond"/>
                <w:lang w:val="sq-AL"/>
              </w:rPr>
            </w:pPr>
          </w:p>
          <w:p w14:paraId="7772C41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0.7</w:t>
            </w:r>
          </w:p>
        </w:tc>
        <w:tc>
          <w:tcPr>
            <w:tcW w:w="1560" w:type="dxa"/>
            <w:shd w:val="clear" w:color="auto" w:fill="auto"/>
            <w:vAlign w:val="center"/>
          </w:tcPr>
          <w:p w14:paraId="08D94275" w14:textId="77777777" w:rsidR="00410865" w:rsidRPr="00445472" w:rsidRDefault="00410865" w:rsidP="00410865">
            <w:pPr>
              <w:pStyle w:val="TableTextCentre"/>
              <w:spacing w:after="0"/>
              <w:jc w:val="left"/>
              <w:rPr>
                <w:rFonts w:ascii="Garamond" w:hAnsi="Garamond"/>
                <w:lang w:val="sq-AL"/>
              </w:rPr>
            </w:pPr>
          </w:p>
          <w:p w14:paraId="11D73A7A" w14:textId="0FF2EFA7"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r w:rsidR="001D340B" w:rsidRPr="00445472">
              <w:rPr>
                <w:rFonts w:ascii="Garamond" w:hAnsi="Garamond"/>
                <w:lang w:val="sq-AL"/>
              </w:rPr>
              <w:t>/</w:t>
            </w:r>
            <w:r w:rsidRPr="00445472">
              <w:rPr>
                <w:rFonts w:ascii="Garamond" w:hAnsi="Garamond"/>
                <w:lang w:val="sq-AL"/>
              </w:rPr>
              <w:t>MIE</w:t>
            </w:r>
          </w:p>
          <w:p w14:paraId="08EB281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tc>
        <w:tc>
          <w:tcPr>
            <w:tcW w:w="2556" w:type="dxa"/>
            <w:shd w:val="clear" w:color="auto" w:fill="auto"/>
            <w:vAlign w:val="center"/>
          </w:tcPr>
          <w:p w14:paraId="406E0F63" w14:textId="77777777" w:rsidR="00410865" w:rsidRPr="00445472" w:rsidRDefault="00410865" w:rsidP="00410865">
            <w:pPr>
              <w:pStyle w:val="TableTextCentre"/>
              <w:spacing w:after="0"/>
              <w:rPr>
                <w:rFonts w:ascii="Garamond" w:hAnsi="Garamond"/>
                <w:lang w:val="sq-AL"/>
              </w:rPr>
            </w:pPr>
          </w:p>
          <w:p w14:paraId="59512DAB" w14:textId="77777777"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Fonde kombëtare dhe/ose nga donatorë</w:t>
            </w:r>
          </w:p>
        </w:tc>
        <w:tc>
          <w:tcPr>
            <w:tcW w:w="566" w:type="dxa"/>
            <w:shd w:val="clear" w:color="auto" w:fill="D2E7F6"/>
            <w:vAlign w:val="center"/>
          </w:tcPr>
          <w:p w14:paraId="1A51D7C2"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0CEF0C3"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2DF7470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26C9763"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AF85B27"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4CDA4C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036A32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B1E18F5"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CB070A0"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7DDB39F"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F409A3A"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C697723"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50C7246" w14:textId="77777777" w:rsidR="00410865" w:rsidRPr="00445472" w:rsidRDefault="00410865" w:rsidP="00410865">
            <w:pPr>
              <w:pStyle w:val="TableTextCentre"/>
              <w:spacing w:after="0"/>
              <w:rPr>
                <w:rFonts w:ascii="Garamond" w:hAnsi="Garamond"/>
                <w:lang w:val="sq-AL"/>
              </w:rPr>
            </w:pPr>
          </w:p>
        </w:tc>
      </w:tr>
      <w:tr w:rsidR="00410865" w:rsidRPr="00445472" w14:paraId="7B424992" w14:textId="77777777" w:rsidTr="00410865">
        <w:trPr>
          <w:gridAfter w:val="1"/>
          <w:wAfter w:w="14" w:type="dxa"/>
          <w:jc w:val="center"/>
        </w:trPr>
        <w:tc>
          <w:tcPr>
            <w:tcW w:w="3682" w:type="dxa"/>
            <w:tcBorders>
              <w:bottom w:val="single" w:sz="2" w:space="0" w:color="9FA2A1"/>
            </w:tcBorders>
            <w:shd w:val="clear" w:color="auto" w:fill="auto"/>
            <w:vAlign w:val="center"/>
          </w:tcPr>
          <w:p w14:paraId="6FE99489"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Studim mbi ujin sipërfaqësor dhe mundësi mbi përdorimin e ujit të reshjeve nga industri të ndryshme. </w:t>
            </w:r>
          </w:p>
        </w:tc>
        <w:tc>
          <w:tcPr>
            <w:tcW w:w="1275" w:type="dxa"/>
            <w:tcBorders>
              <w:bottom w:val="single" w:sz="2" w:space="0" w:color="9FA2A1"/>
            </w:tcBorders>
            <w:shd w:val="clear" w:color="auto" w:fill="auto"/>
            <w:vAlign w:val="center"/>
          </w:tcPr>
          <w:p w14:paraId="6EF44081" w14:textId="77777777" w:rsidR="00410865" w:rsidRPr="00445472" w:rsidRDefault="00410865" w:rsidP="00410865">
            <w:pPr>
              <w:pStyle w:val="TableTextCentre"/>
              <w:spacing w:after="0"/>
              <w:rPr>
                <w:rFonts w:ascii="Garamond" w:hAnsi="Garamond"/>
                <w:b/>
                <w:lang w:val="sq-AL"/>
              </w:rPr>
            </w:pPr>
          </w:p>
          <w:p w14:paraId="2B5B951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0.5</w:t>
            </w:r>
          </w:p>
        </w:tc>
        <w:tc>
          <w:tcPr>
            <w:tcW w:w="1560" w:type="dxa"/>
            <w:tcBorders>
              <w:bottom w:val="single" w:sz="2" w:space="0" w:color="9FA2A1"/>
            </w:tcBorders>
            <w:shd w:val="clear" w:color="auto" w:fill="auto"/>
            <w:vAlign w:val="center"/>
          </w:tcPr>
          <w:p w14:paraId="73727EEB" w14:textId="77777777" w:rsidR="00410865" w:rsidRPr="00445472" w:rsidRDefault="00410865" w:rsidP="00410865">
            <w:pPr>
              <w:pStyle w:val="TableTextCentre"/>
              <w:spacing w:after="0"/>
              <w:jc w:val="left"/>
              <w:rPr>
                <w:rFonts w:ascii="Garamond" w:hAnsi="Garamond"/>
                <w:lang w:val="sq-AL"/>
              </w:rPr>
            </w:pPr>
          </w:p>
          <w:p w14:paraId="0A7C041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p>
          <w:p w14:paraId="52B5D6F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tc>
        <w:tc>
          <w:tcPr>
            <w:tcW w:w="2556" w:type="dxa"/>
            <w:tcBorders>
              <w:bottom w:val="single" w:sz="2" w:space="0" w:color="9FA2A1"/>
            </w:tcBorders>
            <w:shd w:val="clear" w:color="auto" w:fill="auto"/>
            <w:vAlign w:val="center"/>
          </w:tcPr>
          <w:p w14:paraId="2504E886" w14:textId="77777777" w:rsidR="00410865" w:rsidRPr="00445472" w:rsidRDefault="00410865" w:rsidP="00410865">
            <w:pPr>
              <w:pStyle w:val="TableTextCentre"/>
              <w:spacing w:after="0"/>
              <w:rPr>
                <w:rFonts w:ascii="Garamond" w:hAnsi="Garamond"/>
                <w:lang w:val="sq-AL"/>
              </w:rPr>
            </w:pPr>
          </w:p>
          <w:p w14:paraId="48591CE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tc>
        <w:tc>
          <w:tcPr>
            <w:tcW w:w="566" w:type="dxa"/>
            <w:tcBorders>
              <w:bottom w:val="single" w:sz="2" w:space="0" w:color="9FA2A1"/>
            </w:tcBorders>
            <w:shd w:val="clear" w:color="auto" w:fill="D2E7F6"/>
            <w:vAlign w:val="center"/>
          </w:tcPr>
          <w:p w14:paraId="1DB64A38" w14:textId="77777777" w:rsidR="00410865" w:rsidRPr="00445472" w:rsidRDefault="00410865" w:rsidP="00410865">
            <w:pPr>
              <w:pStyle w:val="TableTextCentre"/>
              <w:spacing w:after="0"/>
              <w:rPr>
                <w:rFonts w:ascii="Garamond" w:hAnsi="Garamond"/>
                <w:lang w:val="sq-AL"/>
              </w:rPr>
            </w:pPr>
          </w:p>
        </w:tc>
        <w:tc>
          <w:tcPr>
            <w:tcW w:w="426" w:type="dxa"/>
            <w:tcBorders>
              <w:bottom w:val="single" w:sz="2" w:space="0" w:color="9FA2A1"/>
            </w:tcBorders>
            <w:shd w:val="clear" w:color="auto" w:fill="D2E7F6"/>
            <w:vAlign w:val="center"/>
          </w:tcPr>
          <w:p w14:paraId="754A15B1"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D2E7F6"/>
            <w:vAlign w:val="center"/>
          </w:tcPr>
          <w:p w14:paraId="362F0ED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99C8E5"/>
            <w:vAlign w:val="center"/>
          </w:tcPr>
          <w:p w14:paraId="46599C3C"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76CB77DE" w14:textId="77777777" w:rsidR="00410865" w:rsidRPr="00445472" w:rsidRDefault="00410865" w:rsidP="00410865">
            <w:pPr>
              <w:pStyle w:val="TableTextCentre"/>
              <w:spacing w:after="0"/>
              <w:rPr>
                <w:rFonts w:ascii="Garamond" w:hAnsi="Garamond"/>
                <w:lang w:val="sq-AL"/>
              </w:rPr>
            </w:pPr>
          </w:p>
        </w:tc>
        <w:tc>
          <w:tcPr>
            <w:tcW w:w="372" w:type="dxa"/>
            <w:tcBorders>
              <w:bottom w:val="single" w:sz="2" w:space="0" w:color="9FA2A1"/>
            </w:tcBorders>
            <w:shd w:val="clear" w:color="auto" w:fill="99C8E5"/>
            <w:vAlign w:val="center"/>
          </w:tcPr>
          <w:p w14:paraId="76C28A30"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203C4E19"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448CD5E5" w14:textId="77777777" w:rsidR="00410865" w:rsidRPr="00445472" w:rsidRDefault="00410865" w:rsidP="00410865">
            <w:pPr>
              <w:pStyle w:val="TableTextCentre"/>
              <w:spacing w:after="0"/>
              <w:rPr>
                <w:rFonts w:ascii="Garamond" w:hAnsi="Garamond"/>
                <w:lang w:val="sq-AL"/>
              </w:rPr>
            </w:pPr>
          </w:p>
        </w:tc>
        <w:tc>
          <w:tcPr>
            <w:tcW w:w="344" w:type="dxa"/>
            <w:tcBorders>
              <w:bottom w:val="single" w:sz="2" w:space="0" w:color="9FA2A1"/>
            </w:tcBorders>
            <w:shd w:val="clear" w:color="auto" w:fill="99C8E5"/>
            <w:vAlign w:val="center"/>
          </w:tcPr>
          <w:p w14:paraId="69F69099" w14:textId="77777777" w:rsidR="00410865" w:rsidRPr="00445472" w:rsidRDefault="00410865" w:rsidP="00410865">
            <w:pPr>
              <w:pStyle w:val="TableTextCentre"/>
              <w:spacing w:after="0"/>
              <w:rPr>
                <w:rFonts w:ascii="Garamond" w:hAnsi="Garamond"/>
                <w:lang w:val="sq-AL"/>
              </w:rPr>
            </w:pPr>
          </w:p>
        </w:tc>
        <w:tc>
          <w:tcPr>
            <w:tcW w:w="491" w:type="dxa"/>
            <w:tcBorders>
              <w:bottom w:val="single" w:sz="2" w:space="0" w:color="9FA2A1"/>
            </w:tcBorders>
            <w:shd w:val="clear" w:color="auto" w:fill="276F9A"/>
            <w:vAlign w:val="center"/>
          </w:tcPr>
          <w:p w14:paraId="331638B1" w14:textId="77777777" w:rsidR="00410865" w:rsidRPr="00445472" w:rsidRDefault="00410865" w:rsidP="00410865">
            <w:pPr>
              <w:pStyle w:val="TableTextCentre"/>
              <w:spacing w:after="0"/>
              <w:rPr>
                <w:rFonts w:ascii="Garamond" w:hAnsi="Garamond"/>
                <w:lang w:val="sq-AL"/>
              </w:rPr>
            </w:pPr>
          </w:p>
        </w:tc>
        <w:tc>
          <w:tcPr>
            <w:tcW w:w="431" w:type="dxa"/>
            <w:tcBorders>
              <w:bottom w:val="single" w:sz="2" w:space="0" w:color="9FA2A1"/>
            </w:tcBorders>
            <w:shd w:val="clear" w:color="auto" w:fill="276F9A"/>
            <w:vAlign w:val="center"/>
          </w:tcPr>
          <w:p w14:paraId="7689A27C"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276F9A"/>
            <w:vAlign w:val="center"/>
          </w:tcPr>
          <w:p w14:paraId="192B5421" w14:textId="77777777" w:rsidR="00410865" w:rsidRPr="00445472" w:rsidRDefault="00410865" w:rsidP="00410865">
            <w:pPr>
              <w:pStyle w:val="TableTextCentre"/>
              <w:spacing w:after="0"/>
              <w:rPr>
                <w:rFonts w:ascii="Garamond" w:hAnsi="Garamond"/>
                <w:lang w:val="sq-AL"/>
              </w:rPr>
            </w:pPr>
          </w:p>
        </w:tc>
        <w:tc>
          <w:tcPr>
            <w:tcW w:w="357" w:type="dxa"/>
            <w:tcBorders>
              <w:bottom w:val="single" w:sz="2" w:space="0" w:color="9FA2A1"/>
            </w:tcBorders>
            <w:shd w:val="clear" w:color="auto" w:fill="276F9A"/>
            <w:vAlign w:val="center"/>
          </w:tcPr>
          <w:p w14:paraId="2E472AD0" w14:textId="77777777" w:rsidR="00410865" w:rsidRPr="00445472" w:rsidRDefault="00410865" w:rsidP="00410865">
            <w:pPr>
              <w:pStyle w:val="TableTextCentre"/>
              <w:spacing w:after="0"/>
              <w:rPr>
                <w:rFonts w:ascii="Garamond" w:hAnsi="Garamond"/>
                <w:lang w:val="sq-AL"/>
              </w:rPr>
            </w:pPr>
          </w:p>
        </w:tc>
      </w:tr>
      <w:tr w:rsidR="00410865" w:rsidRPr="00445472" w14:paraId="5268A6A6" w14:textId="77777777" w:rsidTr="00410865">
        <w:trPr>
          <w:jc w:val="center"/>
        </w:trPr>
        <w:tc>
          <w:tcPr>
            <w:tcW w:w="14615" w:type="dxa"/>
            <w:gridSpan w:val="18"/>
            <w:shd w:val="clear" w:color="auto" w:fill="auto"/>
            <w:vAlign w:val="center"/>
          </w:tcPr>
          <w:p w14:paraId="390D6857" w14:textId="2275689B"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2.</w:t>
            </w:r>
            <w:r w:rsidR="004B51C9" w:rsidRPr="00445472">
              <w:rPr>
                <w:rFonts w:ascii="Garamond" w:hAnsi="Garamond"/>
                <w:b/>
                <w:lang w:val="sq-AL"/>
              </w:rPr>
              <w:t xml:space="preserve"> </w:t>
            </w:r>
            <w:r w:rsidRPr="00445472">
              <w:rPr>
                <w:rFonts w:ascii="Garamond" w:hAnsi="Garamond"/>
                <w:b/>
                <w:lang w:val="sq-AL"/>
              </w:rPr>
              <w:t xml:space="preserve">Ruajtja dhe arritja e statusit kimik dhe ekologjik minimal </w:t>
            </w:r>
            <w:r w:rsidR="00D62EDF" w:rsidRPr="00445472">
              <w:rPr>
                <w:rFonts w:ascii="Garamond" w:hAnsi="Garamond"/>
                <w:b/>
                <w:lang w:val="sq-AL"/>
              </w:rPr>
              <w:t>“</w:t>
            </w:r>
            <w:r w:rsidRPr="00445472">
              <w:rPr>
                <w:rFonts w:ascii="Garamond" w:hAnsi="Garamond"/>
                <w:b/>
                <w:lang w:val="sq-AL"/>
              </w:rPr>
              <w:t>i mirë</w:t>
            </w:r>
            <w:r w:rsidR="00D62EDF" w:rsidRPr="00445472">
              <w:rPr>
                <w:rFonts w:ascii="Garamond" w:hAnsi="Garamond"/>
                <w:b/>
                <w:lang w:val="sq-AL"/>
              </w:rPr>
              <w:t>”</w:t>
            </w:r>
            <w:r w:rsidRPr="00445472">
              <w:rPr>
                <w:rFonts w:ascii="Garamond" w:hAnsi="Garamond"/>
                <w:b/>
                <w:lang w:val="sq-AL"/>
              </w:rPr>
              <w:t xml:space="preserve"> për trupat ujorë sipërfaqësorë që kanë status </w:t>
            </w:r>
            <w:r w:rsidR="00D62EDF" w:rsidRPr="00445472">
              <w:rPr>
                <w:rFonts w:ascii="Garamond" w:hAnsi="Garamond"/>
                <w:b/>
                <w:lang w:val="sq-AL"/>
              </w:rPr>
              <w:t>“</w:t>
            </w:r>
            <w:r w:rsidRPr="00445472">
              <w:rPr>
                <w:rFonts w:ascii="Garamond" w:hAnsi="Garamond"/>
                <w:b/>
                <w:lang w:val="sq-AL"/>
              </w:rPr>
              <w:t>mesatar</w:t>
            </w:r>
            <w:r w:rsidR="00D62EDF" w:rsidRPr="00445472">
              <w:rPr>
                <w:rFonts w:ascii="Garamond" w:hAnsi="Garamond"/>
                <w:b/>
                <w:lang w:val="sq-AL"/>
              </w:rPr>
              <w:t>”</w:t>
            </w:r>
            <w:r w:rsidRPr="00445472">
              <w:rPr>
                <w:rFonts w:ascii="Garamond" w:hAnsi="Garamond"/>
                <w:b/>
                <w:lang w:val="sq-AL"/>
              </w:rPr>
              <w:t xml:space="preserve">, </w:t>
            </w:r>
            <w:r w:rsidR="00D62EDF" w:rsidRPr="00445472">
              <w:rPr>
                <w:rFonts w:ascii="Garamond" w:hAnsi="Garamond"/>
                <w:b/>
                <w:lang w:val="sq-AL"/>
              </w:rPr>
              <w:t>“</w:t>
            </w:r>
            <w:r w:rsidRPr="00445472">
              <w:rPr>
                <w:rFonts w:ascii="Garamond" w:hAnsi="Garamond"/>
                <w:b/>
                <w:lang w:val="sq-AL"/>
              </w:rPr>
              <w:t>të keq</w:t>
            </w:r>
            <w:r w:rsidR="00D62EDF" w:rsidRPr="00445472">
              <w:rPr>
                <w:rFonts w:ascii="Garamond" w:hAnsi="Garamond"/>
                <w:b/>
                <w:lang w:val="sq-AL"/>
              </w:rPr>
              <w:t>”</w:t>
            </w:r>
            <w:r w:rsidRPr="00445472">
              <w:rPr>
                <w:rFonts w:ascii="Garamond" w:hAnsi="Garamond"/>
                <w:b/>
                <w:lang w:val="sq-AL"/>
              </w:rPr>
              <w:t xml:space="preserve"> ose </w:t>
            </w:r>
            <w:r w:rsidR="00D62EDF" w:rsidRPr="00445472">
              <w:rPr>
                <w:rFonts w:ascii="Garamond" w:hAnsi="Garamond"/>
                <w:b/>
                <w:lang w:val="sq-AL"/>
              </w:rPr>
              <w:t>“</w:t>
            </w:r>
            <w:r w:rsidRPr="00445472">
              <w:rPr>
                <w:rFonts w:ascii="Garamond" w:hAnsi="Garamond"/>
                <w:b/>
                <w:lang w:val="sq-AL"/>
              </w:rPr>
              <w:t>shumë të keq</w:t>
            </w:r>
            <w:r w:rsidR="00D62EDF" w:rsidRPr="00445472">
              <w:rPr>
                <w:rFonts w:ascii="Garamond" w:hAnsi="Garamond"/>
                <w:b/>
                <w:lang w:val="sq-AL"/>
              </w:rPr>
              <w:t>”</w:t>
            </w:r>
            <w:r w:rsidRPr="00445472">
              <w:rPr>
                <w:rFonts w:ascii="Garamond" w:hAnsi="Garamond"/>
                <w:b/>
                <w:lang w:val="sq-AL"/>
              </w:rPr>
              <w:t>.  (Lumenjtë, liqenet, ujërat kalimtare, trupat ujorë tepër të modifikuar dhe artificialë, bregdetarë).</w:t>
            </w:r>
          </w:p>
        </w:tc>
      </w:tr>
      <w:tr w:rsidR="00410865" w:rsidRPr="00445472" w14:paraId="6309DA61" w14:textId="77777777" w:rsidTr="00410865">
        <w:trPr>
          <w:jc w:val="center"/>
        </w:trPr>
        <w:tc>
          <w:tcPr>
            <w:tcW w:w="14615" w:type="dxa"/>
            <w:gridSpan w:val="18"/>
            <w:shd w:val="clear" w:color="auto" w:fill="auto"/>
            <w:vAlign w:val="center"/>
          </w:tcPr>
          <w:p w14:paraId="13CE0E5E"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2a)Përmirësimi i monitorimit për të gjithë trupat ujorë.</w:t>
            </w:r>
          </w:p>
        </w:tc>
      </w:tr>
      <w:tr w:rsidR="00410865" w:rsidRPr="00445472" w14:paraId="4165691B" w14:textId="77777777" w:rsidTr="00410865">
        <w:trPr>
          <w:gridAfter w:val="1"/>
          <w:wAfter w:w="14" w:type="dxa"/>
          <w:jc w:val="center"/>
        </w:trPr>
        <w:tc>
          <w:tcPr>
            <w:tcW w:w="3682" w:type="dxa"/>
            <w:shd w:val="clear" w:color="auto" w:fill="auto"/>
            <w:vAlign w:val="center"/>
          </w:tcPr>
          <w:p w14:paraId="0C0B97DA"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Studim mbi përfundimin e stacioneve të nevojshëm të ujërave sipërfaqësorë dhe nëntokësorë, përfshirë zonat  bregdetare.</w:t>
            </w:r>
          </w:p>
        </w:tc>
        <w:tc>
          <w:tcPr>
            <w:tcW w:w="1275" w:type="dxa"/>
            <w:shd w:val="clear" w:color="auto" w:fill="auto"/>
            <w:vAlign w:val="center"/>
          </w:tcPr>
          <w:p w14:paraId="33CD4D27" w14:textId="77777777" w:rsidR="00410865" w:rsidRPr="00445472" w:rsidRDefault="00410865" w:rsidP="00410865">
            <w:pPr>
              <w:pStyle w:val="TableTextCentre"/>
              <w:spacing w:after="0"/>
              <w:rPr>
                <w:rFonts w:ascii="Garamond" w:hAnsi="Garamond"/>
                <w:lang w:val="sq-AL"/>
              </w:rPr>
            </w:pPr>
          </w:p>
          <w:p w14:paraId="6615AB8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0.3</w:t>
            </w:r>
          </w:p>
        </w:tc>
        <w:tc>
          <w:tcPr>
            <w:tcW w:w="1560" w:type="dxa"/>
            <w:shd w:val="clear" w:color="auto" w:fill="auto"/>
            <w:vAlign w:val="center"/>
          </w:tcPr>
          <w:p w14:paraId="68625C7E" w14:textId="77777777" w:rsidR="00410865" w:rsidRPr="00445472" w:rsidRDefault="00410865" w:rsidP="00410865">
            <w:pPr>
              <w:pStyle w:val="TableTextCentre"/>
              <w:spacing w:after="0"/>
              <w:jc w:val="left"/>
              <w:rPr>
                <w:rFonts w:ascii="Garamond" w:hAnsi="Garamond"/>
                <w:lang w:val="sq-AL"/>
              </w:rPr>
            </w:pPr>
          </w:p>
          <w:p w14:paraId="208330AE" w14:textId="40FC7C4B"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AMBU</w:t>
            </w:r>
          </w:p>
          <w:p w14:paraId="63EF540F" w14:textId="7820935E" w:rsidR="00410865" w:rsidRPr="00445472" w:rsidRDefault="00410865" w:rsidP="00410865">
            <w:pPr>
              <w:pStyle w:val="TableTextCentre"/>
              <w:spacing w:after="0"/>
              <w:rPr>
                <w:rFonts w:ascii="Garamond" w:hAnsi="Garamond"/>
                <w:b/>
                <w:lang w:val="sq-AL"/>
              </w:rPr>
            </w:pPr>
            <w:r w:rsidRPr="00445472">
              <w:rPr>
                <w:rFonts w:ascii="Garamond" w:hAnsi="Garamond"/>
                <w:lang w:val="sq-AL"/>
              </w:rPr>
              <w:t>(ZABU</w:t>
            </w:r>
            <w:r w:rsidR="001D340B" w:rsidRPr="00445472">
              <w:rPr>
                <w:rFonts w:ascii="Garamond" w:hAnsi="Garamond"/>
                <w:lang w:val="sq-AL"/>
              </w:rPr>
              <w:t>/</w:t>
            </w:r>
            <w:r w:rsidRPr="00445472">
              <w:rPr>
                <w:rFonts w:ascii="Garamond" w:hAnsi="Garamond"/>
                <w:lang w:val="sq-AL"/>
              </w:rPr>
              <w:t>SHGJSH)</w:t>
            </w:r>
          </w:p>
        </w:tc>
        <w:tc>
          <w:tcPr>
            <w:tcW w:w="2556" w:type="dxa"/>
            <w:shd w:val="clear" w:color="auto" w:fill="auto"/>
            <w:vAlign w:val="center"/>
          </w:tcPr>
          <w:p w14:paraId="6F789CE9" w14:textId="77777777" w:rsidR="00410865" w:rsidRPr="00445472" w:rsidRDefault="00410865" w:rsidP="00410865">
            <w:pPr>
              <w:pStyle w:val="TableTextCentre"/>
              <w:spacing w:after="0"/>
              <w:jc w:val="left"/>
              <w:rPr>
                <w:rFonts w:ascii="Garamond" w:hAnsi="Garamond"/>
                <w:lang w:val="sq-AL"/>
              </w:rPr>
            </w:pPr>
          </w:p>
          <w:p w14:paraId="0128923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0C7D9C9A"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49ED6CE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3477BEA9"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70DA285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7C4B8938"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8DC18E9"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2EB48E5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FC4940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36F2816"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A61842C"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7A185DF4"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13D94EE8"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12B4D81A"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3ED30B4D" w14:textId="77777777" w:rsidR="00410865" w:rsidRPr="00445472" w:rsidRDefault="00410865" w:rsidP="00410865">
            <w:pPr>
              <w:pStyle w:val="TableTextCentre"/>
              <w:spacing w:after="0"/>
              <w:rPr>
                <w:rFonts w:ascii="Garamond" w:hAnsi="Garamond"/>
                <w:lang w:val="sq-AL"/>
              </w:rPr>
            </w:pPr>
          </w:p>
        </w:tc>
      </w:tr>
      <w:tr w:rsidR="00410865" w:rsidRPr="00445472" w14:paraId="7B06D3C3" w14:textId="77777777" w:rsidTr="00410865">
        <w:trPr>
          <w:gridAfter w:val="1"/>
          <w:wAfter w:w="14" w:type="dxa"/>
          <w:jc w:val="center"/>
        </w:trPr>
        <w:tc>
          <w:tcPr>
            <w:tcW w:w="3682" w:type="dxa"/>
            <w:shd w:val="clear" w:color="auto" w:fill="auto"/>
            <w:vAlign w:val="center"/>
          </w:tcPr>
          <w:p w14:paraId="6A7E0C5E"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Krijimi dhe mbikëqyrja e stacioneve monitoruese për të gjitha trupat ujorë sipërfaqësorë dhe nëntokësorë të shënuar, në përputhje me kërkesat e BE-së (kërkesë 6-vjeçare</w:t>
            </w:r>
            <w:r w:rsidRPr="00445472">
              <w:rPr>
                <w:rStyle w:val="FootnoteReference"/>
                <w:rFonts w:ascii="Garamond" w:hAnsi="Garamond"/>
                <w:color w:val="auto"/>
                <w:szCs w:val="16"/>
                <w:lang w:val="sq-AL"/>
              </w:rPr>
              <w:footnoteReference w:id="213"/>
            </w:r>
          </w:p>
        </w:tc>
        <w:tc>
          <w:tcPr>
            <w:tcW w:w="1275" w:type="dxa"/>
            <w:shd w:val="clear" w:color="auto" w:fill="auto"/>
            <w:vAlign w:val="center"/>
          </w:tcPr>
          <w:p w14:paraId="00AD7102" w14:textId="77777777" w:rsidR="00410865" w:rsidRPr="00445472" w:rsidRDefault="00410865" w:rsidP="00410865">
            <w:pPr>
              <w:pStyle w:val="TableTextCentre"/>
              <w:spacing w:after="0"/>
              <w:rPr>
                <w:rFonts w:ascii="Garamond" w:hAnsi="Garamond"/>
                <w:b/>
                <w:lang w:val="sq-AL"/>
              </w:rPr>
            </w:pPr>
          </w:p>
          <w:p w14:paraId="18D4FAB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12.0</w:t>
            </w:r>
          </w:p>
        </w:tc>
        <w:tc>
          <w:tcPr>
            <w:tcW w:w="1560" w:type="dxa"/>
            <w:shd w:val="clear" w:color="auto" w:fill="auto"/>
            <w:vAlign w:val="center"/>
          </w:tcPr>
          <w:p w14:paraId="3DA2558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p>
          <w:p w14:paraId="17B72F3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 MSHMS/MIE/MM, MFE, SHGJSH, Operatorë industrialë)</w:t>
            </w:r>
          </w:p>
        </w:tc>
        <w:tc>
          <w:tcPr>
            <w:tcW w:w="2556" w:type="dxa"/>
            <w:shd w:val="clear" w:color="auto" w:fill="auto"/>
            <w:vAlign w:val="center"/>
          </w:tcPr>
          <w:p w14:paraId="699AF7A4" w14:textId="77777777" w:rsidR="00410865" w:rsidRPr="00445472" w:rsidRDefault="00410865" w:rsidP="00410865">
            <w:pPr>
              <w:pStyle w:val="TableTextCentre"/>
              <w:spacing w:after="0"/>
              <w:jc w:val="left"/>
              <w:rPr>
                <w:rFonts w:ascii="Garamond" w:hAnsi="Garamond"/>
                <w:lang w:val="sq-AL"/>
              </w:rPr>
            </w:pPr>
          </w:p>
          <w:p w14:paraId="791B444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617B270"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7625275C"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0A63E8D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D2E7F6"/>
            <w:vAlign w:val="center"/>
          </w:tcPr>
          <w:p w14:paraId="35E9244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4C208D68"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17DDA6A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372" w:type="dxa"/>
            <w:shd w:val="clear" w:color="auto" w:fill="99C8E5"/>
            <w:vAlign w:val="center"/>
          </w:tcPr>
          <w:p w14:paraId="2D4FF0C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2" w:type="dxa"/>
            <w:shd w:val="clear" w:color="auto" w:fill="99C8E5"/>
            <w:vAlign w:val="center"/>
          </w:tcPr>
          <w:p w14:paraId="6ED5938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2" w:type="dxa"/>
            <w:shd w:val="clear" w:color="auto" w:fill="99C8E5"/>
            <w:vAlign w:val="center"/>
          </w:tcPr>
          <w:p w14:paraId="128A997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44" w:type="dxa"/>
            <w:shd w:val="clear" w:color="auto" w:fill="99C8E5"/>
            <w:vAlign w:val="center"/>
          </w:tcPr>
          <w:p w14:paraId="6A2D120F"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91" w:type="dxa"/>
            <w:shd w:val="clear" w:color="auto" w:fill="276F9A"/>
            <w:vAlign w:val="center"/>
          </w:tcPr>
          <w:p w14:paraId="5E1AC86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31" w:type="dxa"/>
            <w:shd w:val="clear" w:color="auto" w:fill="276F9A"/>
            <w:vAlign w:val="center"/>
          </w:tcPr>
          <w:p w14:paraId="4485FF8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276F9A"/>
            <w:vAlign w:val="center"/>
          </w:tcPr>
          <w:p w14:paraId="63A923D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57" w:type="dxa"/>
            <w:shd w:val="clear" w:color="auto" w:fill="276F9A"/>
            <w:vAlign w:val="center"/>
          </w:tcPr>
          <w:p w14:paraId="6AD1506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r>
      <w:tr w:rsidR="00410865" w:rsidRPr="00445472" w14:paraId="1A7DAAB1" w14:textId="77777777" w:rsidTr="00410865">
        <w:trPr>
          <w:gridAfter w:val="1"/>
          <w:wAfter w:w="14" w:type="dxa"/>
          <w:jc w:val="center"/>
        </w:trPr>
        <w:tc>
          <w:tcPr>
            <w:tcW w:w="3682" w:type="dxa"/>
            <w:shd w:val="clear" w:color="auto" w:fill="auto"/>
            <w:vAlign w:val="center"/>
          </w:tcPr>
          <w:p w14:paraId="4FF6D75A"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Rritja e kapacitetit të personelit dhe i pajisjeve të tyre për faktorët e cilësisë së ujit dhe monitorimin e tyre, veçanërisht në zonat e plazheve.</w:t>
            </w:r>
          </w:p>
        </w:tc>
        <w:tc>
          <w:tcPr>
            <w:tcW w:w="1275" w:type="dxa"/>
            <w:shd w:val="clear" w:color="auto" w:fill="auto"/>
            <w:vAlign w:val="center"/>
          </w:tcPr>
          <w:p w14:paraId="4BB066BF" w14:textId="77777777" w:rsidR="00410865" w:rsidRPr="00445472" w:rsidRDefault="00410865" w:rsidP="00410865">
            <w:pPr>
              <w:pStyle w:val="TableTextCentre"/>
              <w:spacing w:after="0"/>
              <w:rPr>
                <w:rFonts w:ascii="Garamond" w:hAnsi="Garamond"/>
                <w:lang w:val="sq-AL"/>
              </w:rPr>
            </w:pPr>
          </w:p>
          <w:p w14:paraId="49627910" w14:textId="77777777" w:rsidR="00410865" w:rsidRPr="00445472" w:rsidRDefault="00410865" w:rsidP="00410865">
            <w:pPr>
              <w:pStyle w:val="TableTextCentre"/>
              <w:spacing w:after="0"/>
              <w:rPr>
                <w:rFonts w:ascii="Garamond" w:hAnsi="Garamond"/>
                <w:b/>
                <w:lang w:val="sq-AL"/>
              </w:rPr>
            </w:pPr>
            <w:r w:rsidRPr="00445472">
              <w:rPr>
                <w:rFonts w:ascii="Garamond" w:hAnsi="Garamond"/>
                <w:lang w:val="sq-AL"/>
              </w:rPr>
              <w:t>0.7</w:t>
            </w:r>
          </w:p>
        </w:tc>
        <w:tc>
          <w:tcPr>
            <w:tcW w:w="1560" w:type="dxa"/>
            <w:shd w:val="clear" w:color="auto" w:fill="auto"/>
            <w:vAlign w:val="center"/>
          </w:tcPr>
          <w:p w14:paraId="61CB462F" w14:textId="77777777" w:rsidR="00410865" w:rsidRPr="00445472" w:rsidRDefault="00410865" w:rsidP="00410865">
            <w:pPr>
              <w:pStyle w:val="TableTextCentre"/>
              <w:spacing w:after="0"/>
              <w:rPr>
                <w:rFonts w:ascii="Garamond" w:hAnsi="Garamond"/>
                <w:b/>
                <w:lang w:val="sq-AL"/>
              </w:rPr>
            </w:pPr>
          </w:p>
          <w:p w14:paraId="4E505E14" w14:textId="20B3D74E"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ISHP</w:t>
            </w:r>
          </w:p>
          <w:p w14:paraId="7C35F96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tc>
        <w:tc>
          <w:tcPr>
            <w:tcW w:w="2556" w:type="dxa"/>
            <w:shd w:val="clear" w:color="auto" w:fill="auto"/>
            <w:vAlign w:val="center"/>
          </w:tcPr>
          <w:p w14:paraId="3DAE0A4F" w14:textId="77777777" w:rsidR="00410865" w:rsidRPr="00445472" w:rsidRDefault="00410865" w:rsidP="00410865">
            <w:pPr>
              <w:pStyle w:val="TableTextCentre"/>
              <w:spacing w:after="0"/>
              <w:jc w:val="left"/>
              <w:rPr>
                <w:rFonts w:ascii="Garamond" w:hAnsi="Garamond"/>
                <w:lang w:val="sq-AL"/>
              </w:rPr>
            </w:pPr>
          </w:p>
          <w:p w14:paraId="58CE588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F273F74" w14:textId="77777777" w:rsidR="00410865" w:rsidRPr="00445472" w:rsidRDefault="00410865" w:rsidP="00410865">
            <w:pPr>
              <w:pStyle w:val="TableTextCentre"/>
              <w:spacing w:after="0"/>
              <w:jc w:val="left"/>
              <w:rPr>
                <w:rFonts w:ascii="Garamond" w:hAnsi="Garamond"/>
                <w:lang w:val="sq-AL"/>
              </w:rPr>
            </w:pPr>
          </w:p>
        </w:tc>
        <w:tc>
          <w:tcPr>
            <w:tcW w:w="566" w:type="dxa"/>
            <w:shd w:val="clear" w:color="auto" w:fill="D2E7F6"/>
            <w:vAlign w:val="center"/>
          </w:tcPr>
          <w:p w14:paraId="1FBA547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4A47B897" w14:textId="77777777" w:rsidR="00410865" w:rsidRPr="00445472" w:rsidRDefault="00410865" w:rsidP="00410865">
            <w:pPr>
              <w:pStyle w:val="TableTextCentre"/>
              <w:spacing w:after="0"/>
              <w:rPr>
                <w:rFonts w:ascii="Garamond" w:hAnsi="Garamond"/>
                <w:highlight w:val="re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3C8164C1" w14:textId="77777777" w:rsidR="00410865" w:rsidRPr="00445472" w:rsidRDefault="00410865" w:rsidP="00410865">
            <w:pPr>
              <w:pStyle w:val="TableTextCentre"/>
              <w:spacing w:after="0"/>
              <w:rPr>
                <w:rFonts w:ascii="Garamond" w:hAnsi="Garamond"/>
                <w:highlight w:val="re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B03092B" w14:textId="77777777" w:rsidR="00410865" w:rsidRPr="00445472" w:rsidRDefault="00410865" w:rsidP="00410865">
            <w:pPr>
              <w:pStyle w:val="TableTextCentre"/>
              <w:spacing w:after="0"/>
              <w:rPr>
                <w:rFonts w:ascii="Garamond" w:hAnsi="Garamond"/>
                <w:highlight w:val="blue"/>
                <w:lang w:val="sq-AL"/>
              </w:rPr>
            </w:pPr>
          </w:p>
        </w:tc>
        <w:tc>
          <w:tcPr>
            <w:tcW w:w="425" w:type="dxa"/>
            <w:shd w:val="clear" w:color="auto" w:fill="99C8E5"/>
            <w:vAlign w:val="center"/>
          </w:tcPr>
          <w:p w14:paraId="4E839448" w14:textId="77777777" w:rsidR="00410865" w:rsidRPr="00445472" w:rsidRDefault="00410865" w:rsidP="00410865">
            <w:pPr>
              <w:pStyle w:val="TableTextCentre"/>
              <w:spacing w:after="0"/>
              <w:rPr>
                <w:rFonts w:ascii="Garamond" w:hAnsi="Garamond"/>
                <w:highlight w:val="blue"/>
                <w:lang w:val="sq-AL"/>
              </w:rPr>
            </w:pPr>
          </w:p>
        </w:tc>
        <w:tc>
          <w:tcPr>
            <w:tcW w:w="372" w:type="dxa"/>
            <w:shd w:val="clear" w:color="auto" w:fill="99C8E5"/>
            <w:vAlign w:val="center"/>
          </w:tcPr>
          <w:p w14:paraId="28DC69F2" w14:textId="77777777" w:rsidR="00410865" w:rsidRPr="00445472" w:rsidRDefault="00410865" w:rsidP="00410865">
            <w:pPr>
              <w:pStyle w:val="TableTextCentre"/>
              <w:spacing w:after="0"/>
              <w:rPr>
                <w:rFonts w:ascii="Garamond" w:hAnsi="Garamond"/>
                <w:highlight w:val="blue"/>
                <w:lang w:val="sq-AL"/>
              </w:rPr>
            </w:pPr>
          </w:p>
        </w:tc>
        <w:tc>
          <w:tcPr>
            <w:tcW w:w="422" w:type="dxa"/>
            <w:shd w:val="clear" w:color="auto" w:fill="99C8E5"/>
            <w:vAlign w:val="center"/>
          </w:tcPr>
          <w:p w14:paraId="2AD92FF3" w14:textId="77777777" w:rsidR="00410865" w:rsidRPr="00445472" w:rsidRDefault="00410865" w:rsidP="00410865">
            <w:pPr>
              <w:pStyle w:val="TableTextCentre"/>
              <w:spacing w:after="0"/>
              <w:rPr>
                <w:rFonts w:ascii="Garamond" w:hAnsi="Garamond"/>
                <w:highlight w:val="blue"/>
                <w:lang w:val="sq-AL"/>
              </w:rPr>
            </w:pPr>
          </w:p>
        </w:tc>
        <w:tc>
          <w:tcPr>
            <w:tcW w:w="422" w:type="dxa"/>
            <w:shd w:val="clear" w:color="auto" w:fill="99C8E5"/>
            <w:vAlign w:val="center"/>
          </w:tcPr>
          <w:p w14:paraId="6911383E" w14:textId="77777777" w:rsidR="00410865" w:rsidRPr="00445472" w:rsidRDefault="00410865" w:rsidP="00410865">
            <w:pPr>
              <w:pStyle w:val="TableTextCentre"/>
              <w:spacing w:after="0"/>
              <w:rPr>
                <w:rFonts w:ascii="Garamond" w:hAnsi="Garamond"/>
                <w:highlight w:val="red"/>
                <w:lang w:val="sq-AL"/>
              </w:rPr>
            </w:pPr>
          </w:p>
        </w:tc>
        <w:tc>
          <w:tcPr>
            <w:tcW w:w="344" w:type="dxa"/>
            <w:shd w:val="clear" w:color="auto" w:fill="99C8E5"/>
            <w:vAlign w:val="center"/>
          </w:tcPr>
          <w:p w14:paraId="54A7A0DA" w14:textId="77777777" w:rsidR="00410865" w:rsidRPr="00445472" w:rsidRDefault="00410865" w:rsidP="00410865">
            <w:pPr>
              <w:pStyle w:val="TableTextCentre"/>
              <w:spacing w:after="0"/>
              <w:rPr>
                <w:rFonts w:ascii="Garamond" w:hAnsi="Garamond"/>
                <w:highlight w:val="red"/>
                <w:lang w:val="sq-AL"/>
              </w:rPr>
            </w:pPr>
          </w:p>
        </w:tc>
        <w:tc>
          <w:tcPr>
            <w:tcW w:w="491" w:type="dxa"/>
            <w:shd w:val="clear" w:color="auto" w:fill="276F9A"/>
            <w:vAlign w:val="center"/>
          </w:tcPr>
          <w:p w14:paraId="3DD2AE7A" w14:textId="77777777" w:rsidR="00410865" w:rsidRPr="00445472" w:rsidRDefault="00410865" w:rsidP="00410865">
            <w:pPr>
              <w:pStyle w:val="TableTextCentre"/>
              <w:spacing w:after="0"/>
              <w:rPr>
                <w:rFonts w:ascii="Garamond" w:hAnsi="Garamond"/>
                <w:highlight w:val="red"/>
                <w:lang w:val="sq-AL"/>
              </w:rPr>
            </w:pPr>
          </w:p>
        </w:tc>
        <w:tc>
          <w:tcPr>
            <w:tcW w:w="431" w:type="dxa"/>
            <w:shd w:val="clear" w:color="auto" w:fill="276F9A"/>
            <w:vAlign w:val="center"/>
          </w:tcPr>
          <w:p w14:paraId="567C4BA5" w14:textId="77777777" w:rsidR="00410865" w:rsidRPr="00445472" w:rsidRDefault="00410865" w:rsidP="00410865">
            <w:pPr>
              <w:pStyle w:val="TableTextCentre"/>
              <w:spacing w:after="0"/>
              <w:rPr>
                <w:rFonts w:ascii="Garamond" w:hAnsi="Garamond"/>
                <w:highlight w:val="red"/>
                <w:lang w:val="sq-AL"/>
              </w:rPr>
            </w:pPr>
          </w:p>
        </w:tc>
        <w:tc>
          <w:tcPr>
            <w:tcW w:w="422" w:type="dxa"/>
            <w:shd w:val="clear" w:color="auto" w:fill="276F9A"/>
            <w:vAlign w:val="center"/>
          </w:tcPr>
          <w:p w14:paraId="796EE429" w14:textId="77777777" w:rsidR="00410865" w:rsidRPr="00445472" w:rsidRDefault="00410865" w:rsidP="00410865">
            <w:pPr>
              <w:pStyle w:val="TableTextCentre"/>
              <w:spacing w:after="0"/>
              <w:rPr>
                <w:rFonts w:ascii="Garamond" w:hAnsi="Garamond"/>
                <w:highlight w:val="red"/>
                <w:lang w:val="sq-AL"/>
              </w:rPr>
            </w:pPr>
          </w:p>
        </w:tc>
        <w:tc>
          <w:tcPr>
            <w:tcW w:w="357" w:type="dxa"/>
            <w:shd w:val="clear" w:color="auto" w:fill="276F9A"/>
            <w:vAlign w:val="center"/>
          </w:tcPr>
          <w:p w14:paraId="2E33F653" w14:textId="77777777" w:rsidR="00410865" w:rsidRPr="00445472" w:rsidRDefault="00410865" w:rsidP="00410865">
            <w:pPr>
              <w:pStyle w:val="TableTextCentre"/>
              <w:spacing w:after="0"/>
              <w:rPr>
                <w:rFonts w:ascii="Garamond" w:hAnsi="Garamond"/>
                <w:highlight w:val="red"/>
                <w:lang w:val="sq-AL"/>
              </w:rPr>
            </w:pPr>
          </w:p>
        </w:tc>
      </w:tr>
      <w:tr w:rsidR="00410865" w:rsidRPr="00445472" w14:paraId="40D68F63" w14:textId="77777777" w:rsidTr="00410865">
        <w:trPr>
          <w:gridAfter w:val="1"/>
          <w:wAfter w:w="14" w:type="dxa"/>
          <w:jc w:val="center"/>
        </w:trPr>
        <w:tc>
          <w:tcPr>
            <w:tcW w:w="3682" w:type="dxa"/>
            <w:tcBorders>
              <w:bottom w:val="single" w:sz="2" w:space="0" w:color="9FA2A1"/>
            </w:tcBorders>
            <w:shd w:val="clear" w:color="auto" w:fill="auto"/>
            <w:vAlign w:val="center"/>
          </w:tcPr>
          <w:p w14:paraId="620A084A"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 xml:space="preserve">Plotësimi i të dhënave dhe krijimi i regjistrit për parametrat e monitorimit të ujit (cilësore &amp; sasiore) të të gjitha trupave ujorë, veçanërisht për zonat sensitive. </w:t>
            </w:r>
          </w:p>
        </w:tc>
        <w:tc>
          <w:tcPr>
            <w:tcW w:w="1275" w:type="dxa"/>
            <w:tcBorders>
              <w:bottom w:val="single" w:sz="2" w:space="0" w:color="9FA2A1"/>
            </w:tcBorders>
            <w:shd w:val="clear" w:color="auto" w:fill="auto"/>
            <w:vAlign w:val="center"/>
          </w:tcPr>
          <w:p w14:paraId="35ECDD5E" w14:textId="77777777" w:rsidR="00410865" w:rsidRPr="00445472" w:rsidRDefault="00410865" w:rsidP="00410865">
            <w:pPr>
              <w:pStyle w:val="TableTextCentre"/>
              <w:spacing w:after="0"/>
              <w:rPr>
                <w:rFonts w:ascii="Garamond" w:hAnsi="Garamond"/>
                <w:lang w:val="sq-AL"/>
              </w:rPr>
            </w:pPr>
          </w:p>
          <w:p w14:paraId="5AF53ADC" w14:textId="77777777"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0.1</w:t>
            </w:r>
          </w:p>
        </w:tc>
        <w:tc>
          <w:tcPr>
            <w:tcW w:w="1560" w:type="dxa"/>
            <w:tcBorders>
              <w:bottom w:val="single" w:sz="2" w:space="0" w:color="9FA2A1"/>
            </w:tcBorders>
            <w:shd w:val="clear" w:color="auto" w:fill="auto"/>
            <w:vAlign w:val="center"/>
          </w:tcPr>
          <w:p w14:paraId="0CDFF05A" w14:textId="77777777" w:rsidR="00410865" w:rsidRPr="00445472" w:rsidRDefault="00410865" w:rsidP="00410865">
            <w:pPr>
              <w:pStyle w:val="TableTextCentre"/>
              <w:spacing w:after="0"/>
              <w:jc w:val="left"/>
              <w:rPr>
                <w:rFonts w:ascii="Garamond" w:hAnsi="Garamond"/>
                <w:lang w:val="sq-AL"/>
              </w:rPr>
            </w:pPr>
          </w:p>
          <w:p w14:paraId="06146BCA" w14:textId="43628CCD"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AMBU</w:t>
            </w:r>
            <w:r w:rsidRPr="00445472" w:rsidDel="006838BF">
              <w:rPr>
                <w:rFonts w:ascii="Garamond" w:hAnsi="Garamond"/>
                <w:lang w:val="sq-AL"/>
              </w:rPr>
              <w:t xml:space="preserve"> </w:t>
            </w:r>
            <w:r w:rsidRPr="00445472">
              <w:rPr>
                <w:rFonts w:ascii="Garamond" w:hAnsi="Garamond"/>
                <w:lang w:val="sq-AL"/>
              </w:rPr>
              <w:t>(AKBN/ARM)</w:t>
            </w:r>
          </w:p>
          <w:p w14:paraId="5877D59C" w14:textId="77777777" w:rsidR="00410865" w:rsidRPr="00445472" w:rsidRDefault="00410865" w:rsidP="00410865">
            <w:pPr>
              <w:pStyle w:val="TableTextCentre"/>
              <w:spacing w:after="0"/>
              <w:jc w:val="left"/>
              <w:rPr>
                <w:rFonts w:ascii="Garamond" w:hAnsi="Garamond"/>
                <w:lang w:val="sq-AL"/>
              </w:rPr>
            </w:pPr>
          </w:p>
        </w:tc>
        <w:tc>
          <w:tcPr>
            <w:tcW w:w="2556" w:type="dxa"/>
            <w:tcBorders>
              <w:bottom w:val="single" w:sz="2" w:space="0" w:color="9FA2A1"/>
            </w:tcBorders>
            <w:shd w:val="clear" w:color="auto" w:fill="auto"/>
            <w:vAlign w:val="center"/>
          </w:tcPr>
          <w:p w14:paraId="084AA87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332E0BE4" w14:textId="77777777" w:rsidR="00410865" w:rsidRPr="00445472" w:rsidRDefault="00410865" w:rsidP="00410865">
            <w:pPr>
              <w:pStyle w:val="TableTextCentre"/>
              <w:spacing w:after="0"/>
              <w:rPr>
                <w:rFonts w:ascii="Garamond" w:hAnsi="Garamond"/>
                <w:lang w:val="sq-AL"/>
              </w:rPr>
            </w:pPr>
          </w:p>
        </w:tc>
        <w:tc>
          <w:tcPr>
            <w:tcW w:w="566" w:type="dxa"/>
            <w:tcBorders>
              <w:bottom w:val="single" w:sz="2" w:space="0" w:color="9FA2A1"/>
            </w:tcBorders>
            <w:shd w:val="clear" w:color="auto" w:fill="D2E7F6"/>
            <w:vAlign w:val="center"/>
          </w:tcPr>
          <w:p w14:paraId="088AECD1" w14:textId="77777777" w:rsidR="00410865" w:rsidRPr="00445472" w:rsidRDefault="00410865" w:rsidP="00410865">
            <w:pPr>
              <w:pStyle w:val="TableTextCentre"/>
              <w:spacing w:after="0"/>
              <w:rPr>
                <w:rFonts w:ascii="Garamond" w:hAnsi="Garamond"/>
                <w:lang w:val="sq-AL"/>
              </w:rPr>
            </w:pPr>
          </w:p>
        </w:tc>
        <w:tc>
          <w:tcPr>
            <w:tcW w:w="426" w:type="dxa"/>
            <w:tcBorders>
              <w:bottom w:val="single" w:sz="2" w:space="0" w:color="9FA2A1"/>
            </w:tcBorders>
            <w:shd w:val="clear" w:color="auto" w:fill="D2E7F6"/>
            <w:vAlign w:val="center"/>
          </w:tcPr>
          <w:p w14:paraId="54ABD03D"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D2E7F6"/>
            <w:vAlign w:val="center"/>
          </w:tcPr>
          <w:p w14:paraId="5E60847B"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37C75819"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99C8E5"/>
            <w:vAlign w:val="center"/>
          </w:tcPr>
          <w:p w14:paraId="758B82C2" w14:textId="77777777" w:rsidR="00410865" w:rsidRPr="00445472" w:rsidRDefault="00410865" w:rsidP="00410865">
            <w:pPr>
              <w:pStyle w:val="TableTextCentre"/>
              <w:spacing w:after="0"/>
              <w:rPr>
                <w:rFonts w:ascii="Garamond" w:hAnsi="Garamond"/>
                <w:lang w:val="sq-AL"/>
              </w:rPr>
            </w:pPr>
          </w:p>
        </w:tc>
        <w:tc>
          <w:tcPr>
            <w:tcW w:w="372" w:type="dxa"/>
            <w:tcBorders>
              <w:bottom w:val="single" w:sz="2" w:space="0" w:color="9FA2A1"/>
            </w:tcBorders>
            <w:shd w:val="clear" w:color="auto" w:fill="99C8E5"/>
            <w:vAlign w:val="center"/>
          </w:tcPr>
          <w:p w14:paraId="042437DA"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7C7F64E8" w14:textId="77777777" w:rsidR="00410865" w:rsidRPr="00445472" w:rsidRDefault="00410865" w:rsidP="00410865">
            <w:pPr>
              <w:pStyle w:val="TableTextCentre"/>
              <w:spacing w:after="0"/>
              <w:rPr>
                <w:rFonts w:ascii="Garamond" w:hAnsi="Garamond"/>
                <w:lang w:val="sq-AL"/>
              </w:rPr>
            </w:pPr>
          </w:p>
        </w:tc>
        <w:tc>
          <w:tcPr>
            <w:tcW w:w="422" w:type="dxa"/>
            <w:tcBorders>
              <w:bottom w:val="single" w:sz="2" w:space="0" w:color="9FA2A1"/>
            </w:tcBorders>
            <w:shd w:val="clear" w:color="auto" w:fill="99C8E5"/>
            <w:vAlign w:val="center"/>
          </w:tcPr>
          <w:p w14:paraId="3E4F19C2" w14:textId="77777777" w:rsidR="00410865" w:rsidRPr="00445472" w:rsidRDefault="00410865" w:rsidP="00410865">
            <w:pPr>
              <w:pStyle w:val="TableTextCentre"/>
              <w:spacing w:after="0"/>
              <w:rPr>
                <w:rFonts w:ascii="Garamond" w:hAnsi="Garamond"/>
                <w:lang w:val="sq-AL"/>
              </w:rPr>
            </w:pPr>
          </w:p>
        </w:tc>
        <w:tc>
          <w:tcPr>
            <w:tcW w:w="344" w:type="dxa"/>
            <w:tcBorders>
              <w:bottom w:val="single" w:sz="2" w:space="0" w:color="9FA2A1"/>
            </w:tcBorders>
            <w:shd w:val="clear" w:color="auto" w:fill="99C8E5"/>
            <w:vAlign w:val="center"/>
          </w:tcPr>
          <w:p w14:paraId="7B9BFC8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91" w:type="dxa"/>
            <w:tcBorders>
              <w:bottom w:val="single" w:sz="2" w:space="0" w:color="9FA2A1"/>
            </w:tcBorders>
            <w:shd w:val="clear" w:color="auto" w:fill="276F9A"/>
            <w:vAlign w:val="center"/>
          </w:tcPr>
          <w:p w14:paraId="2A335A6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31" w:type="dxa"/>
            <w:tcBorders>
              <w:bottom w:val="single" w:sz="2" w:space="0" w:color="9FA2A1"/>
            </w:tcBorders>
            <w:shd w:val="clear" w:color="auto" w:fill="276F9A"/>
            <w:vAlign w:val="center"/>
          </w:tcPr>
          <w:p w14:paraId="0F1EE99F"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2" w:type="dxa"/>
            <w:tcBorders>
              <w:bottom w:val="single" w:sz="2" w:space="0" w:color="9FA2A1"/>
            </w:tcBorders>
            <w:shd w:val="clear" w:color="auto" w:fill="276F9A"/>
            <w:vAlign w:val="center"/>
          </w:tcPr>
          <w:p w14:paraId="2FF53CF3"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357" w:type="dxa"/>
            <w:tcBorders>
              <w:bottom w:val="single" w:sz="2" w:space="0" w:color="9FA2A1"/>
            </w:tcBorders>
            <w:shd w:val="clear" w:color="auto" w:fill="276F9A"/>
            <w:vAlign w:val="center"/>
          </w:tcPr>
          <w:p w14:paraId="6E2FF4F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r>
      <w:tr w:rsidR="00410865" w:rsidRPr="00445472" w14:paraId="3B4DBBA2" w14:textId="77777777" w:rsidTr="00410865">
        <w:trPr>
          <w:gridAfter w:val="1"/>
          <w:wAfter w:w="14" w:type="dxa"/>
          <w:jc w:val="center"/>
        </w:trPr>
        <w:tc>
          <w:tcPr>
            <w:tcW w:w="9073" w:type="dxa"/>
            <w:gridSpan w:val="4"/>
            <w:shd w:val="clear" w:color="auto" w:fill="D9D9D9"/>
            <w:vAlign w:val="center"/>
          </w:tcPr>
          <w:p w14:paraId="02479E03" w14:textId="249860F0"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xml:space="preserve">: % e stacioneve monitoruese në vendndodhjet e </w:t>
            </w:r>
            <w:r w:rsidR="004B51C9" w:rsidRPr="00445472">
              <w:rPr>
                <w:rFonts w:ascii="Garamond" w:hAnsi="Garamond"/>
                <w:lang w:val="sq-AL"/>
              </w:rPr>
              <w:t>dakordësuar</w:t>
            </w:r>
            <w:r w:rsidRPr="00445472">
              <w:rPr>
                <w:rFonts w:ascii="Garamond" w:hAnsi="Garamond"/>
                <w:lang w:val="sq-AL"/>
              </w:rPr>
              <w:t xml:space="preserve"> që ofrojnë të dhëna të përshtatshme</w:t>
            </w:r>
          </w:p>
        </w:tc>
        <w:tc>
          <w:tcPr>
            <w:tcW w:w="1417" w:type="dxa"/>
            <w:gridSpan w:val="3"/>
            <w:shd w:val="clear" w:color="auto" w:fill="D9D9D9"/>
            <w:vAlign w:val="center"/>
          </w:tcPr>
          <w:p w14:paraId="108592CA"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20</w:t>
            </w:r>
          </w:p>
        </w:tc>
        <w:tc>
          <w:tcPr>
            <w:tcW w:w="2410" w:type="dxa"/>
            <w:gridSpan w:val="6"/>
            <w:shd w:val="clear" w:color="auto" w:fill="D9D9D9"/>
            <w:vAlign w:val="center"/>
          </w:tcPr>
          <w:p w14:paraId="6F5CFD9D"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50</w:t>
            </w:r>
          </w:p>
        </w:tc>
        <w:tc>
          <w:tcPr>
            <w:tcW w:w="1701" w:type="dxa"/>
            <w:gridSpan w:val="4"/>
            <w:shd w:val="clear" w:color="auto" w:fill="D9D9D9"/>
            <w:vAlign w:val="center"/>
          </w:tcPr>
          <w:p w14:paraId="5D7A63A6"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100</w:t>
            </w:r>
          </w:p>
        </w:tc>
      </w:tr>
      <w:tr w:rsidR="00410865" w:rsidRPr="00445472" w14:paraId="73B9DC9D" w14:textId="77777777" w:rsidTr="00410865">
        <w:trPr>
          <w:jc w:val="center"/>
        </w:trPr>
        <w:tc>
          <w:tcPr>
            <w:tcW w:w="14615" w:type="dxa"/>
            <w:gridSpan w:val="18"/>
            <w:shd w:val="clear" w:color="auto" w:fill="auto"/>
            <w:vAlign w:val="center"/>
          </w:tcPr>
          <w:p w14:paraId="30241802"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2b) Përmirësimi i statusit ekologjik dhe cilësisë kimike për të gjitha llojet e trupave ujorë sipërfaqësorë</w:t>
            </w:r>
          </w:p>
        </w:tc>
      </w:tr>
      <w:tr w:rsidR="00410865" w:rsidRPr="00445472" w14:paraId="17C881AD" w14:textId="77777777" w:rsidTr="00410865">
        <w:trPr>
          <w:gridAfter w:val="1"/>
          <w:wAfter w:w="14" w:type="dxa"/>
          <w:jc w:val="center"/>
        </w:trPr>
        <w:tc>
          <w:tcPr>
            <w:tcW w:w="3682" w:type="dxa"/>
            <w:shd w:val="clear" w:color="auto" w:fill="auto"/>
            <w:vAlign w:val="center"/>
          </w:tcPr>
          <w:p w14:paraId="3C5175B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Zbatimi dhe realizimi i Regjimit të Lejeve Mjedisore në lidhje me shkarkimin e përdorimit të ujit.</w:t>
            </w:r>
          </w:p>
          <w:p w14:paraId="1C1D9891" w14:textId="77777777" w:rsidR="00410865" w:rsidRPr="00445472" w:rsidRDefault="00410865" w:rsidP="00410865">
            <w:pPr>
              <w:pStyle w:val="TableTextCentre"/>
              <w:spacing w:after="0"/>
              <w:jc w:val="left"/>
              <w:rPr>
                <w:rFonts w:ascii="Garamond" w:hAnsi="Garamond"/>
                <w:lang w:val="sq-AL"/>
              </w:rPr>
            </w:pPr>
          </w:p>
        </w:tc>
        <w:tc>
          <w:tcPr>
            <w:tcW w:w="1275" w:type="dxa"/>
            <w:shd w:val="clear" w:color="auto" w:fill="auto"/>
            <w:vAlign w:val="center"/>
          </w:tcPr>
          <w:p w14:paraId="3672B729" w14:textId="77777777" w:rsidR="00410865" w:rsidRPr="00445472" w:rsidRDefault="00410865" w:rsidP="00410865">
            <w:pPr>
              <w:pStyle w:val="TableTextCentre"/>
              <w:spacing w:after="0"/>
              <w:rPr>
                <w:rFonts w:ascii="Garamond" w:hAnsi="Garamond"/>
                <w:lang w:val="sq-AL"/>
              </w:rPr>
            </w:pPr>
          </w:p>
          <w:p w14:paraId="69E97A7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1.15</w:t>
            </w:r>
          </w:p>
        </w:tc>
        <w:tc>
          <w:tcPr>
            <w:tcW w:w="1560" w:type="dxa"/>
            <w:shd w:val="clear" w:color="auto" w:fill="auto"/>
            <w:vAlign w:val="center"/>
          </w:tcPr>
          <w:p w14:paraId="3D0CB1AD" w14:textId="77777777" w:rsidR="00410865" w:rsidRPr="00445472" w:rsidRDefault="00410865" w:rsidP="00410865">
            <w:pPr>
              <w:pStyle w:val="TableTextCentre"/>
              <w:spacing w:after="0"/>
              <w:rPr>
                <w:rFonts w:ascii="Garamond" w:hAnsi="Garamond"/>
                <w:lang w:val="sq-AL"/>
              </w:rPr>
            </w:pPr>
          </w:p>
          <w:p w14:paraId="2B091064"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mjedisin/KKU</w:t>
            </w:r>
          </w:p>
          <w:p w14:paraId="15C69E4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p>
          <w:p w14:paraId="7FB3BEDE" w14:textId="77777777" w:rsidR="00410865" w:rsidRPr="00445472" w:rsidRDefault="00410865" w:rsidP="00410865">
            <w:pPr>
              <w:pStyle w:val="TableTextCentre"/>
              <w:spacing w:after="0"/>
              <w:jc w:val="left"/>
              <w:rPr>
                <w:rFonts w:ascii="Garamond" w:hAnsi="Garamond"/>
                <w:lang w:val="sq-AL"/>
              </w:rPr>
            </w:pPr>
          </w:p>
        </w:tc>
        <w:tc>
          <w:tcPr>
            <w:tcW w:w="2556" w:type="dxa"/>
            <w:shd w:val="clear" w:color="auto" w:fill="auto"/>
            <w:vAlign w:val="center"/>
          </w:tcPr>
          <w:p w14:paraId="2DAE551E" w14:textId="77777777" w:rsidR="00410865" w:rsidRPr="00445472" w:rsidRDefault="00410865" w:rsidP="00410865">
            <w:pPr>
              <w:pStyle w:val="TableTextCentre"/>
              <w:spacing w:after="0"/>
              <w:jc w:val="left"/>
              <w:rPr>
                <w:rFonts w:ascii="Garamond" w:hAnsi="Garamond"/>
                <w:lang w:val="sq-AL"/>
              </w:rPr>
            </w:pPr>
          </w:p>
          <w:p w14:paraId="14042D2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F44EF0E"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1293EDA4"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010624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F9806E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64CB696"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80571F4"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3F1993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68F012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72C4E3F"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09C2A440"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B23EB2B"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C0181C5"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0DC68C3"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2ABE6F9" w14:textId="77777777" w:rsidR="00410865" w:rsidRPr="00445472" w:rsidRDefault="00410865" w:rsidP="00410865">
            <w:pPr>
              <w:pStyle w:val="TableTextCentre"/>
              <w:spacing w:after="0"/>
              <w:rPr>
                <w:rFonts w:ascii="Garamond" w:hAnsi="Garamond"/>
                <w:lang w:val="sq-AL"/>
              </w:rPr>
            </w:pPr>
          </w:p>
        </w:tc>
      </w:tr>
      <w:tr w:rsidR="00410865" w:rsidRPr="00445472" w14:paraId="1509BDEB" w14:textId="77777777" w:rsidTr="00410865">
        <w:trPr>
          <w:gridAfter w:val="1"/>
          <w:wAfter w:w="14" w:type="dxa"/>
          <w:jc w:val="center"/>
        </w:trPr>
        <w:tc>
          <w:tcPr>
            <w:tcW w:w="3682" w:type="dxa"/>
            <w:shd w:val="clear" w:color="auto" w:fill="auto"/>
            <w:vAlign w:val="center"/>
          </w:tcPr>
          <w:p w14:paraId="02238B9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Funksionimi i ITUZ-së ekzistuese në koherencë me kushtet/kriteret e DKU 200/60/KE </w:t>
            </w:r>
          </w:p>
          <w:p w14:paraId="28ADE942" w14:textId="77777777" w:rsidR="00410865" w:rsidRPr="00445472" w:rsidRDefault="00410865" w:rsidP="00410865">
            <w:pPr>
              <w:pStyle w:val="TableTextCentre"/>
              <w:spacing w:after="0"/>
              <w:jc w:val="left"/>
              <w:rPr>
                <w:rFonts w:ascii="Garamond" w:hAnsi="Garamond"/>
                <w:i/>
                <w:lang w:val="sq-AL"/>
              </w:rPr>
            </w:pPr>
          </w:p>
        </w:tc>
        <w:tc>
          <w:tcPr>
            <w:tcW w:w="1275" w:type="dxa"/>
            <w:shd w:val="clear" w:color="auto" w:fill="auto"/>
            <w:vAlign w:val="center"/>
          </w:tcPr>
          <w:p w14:paraId="32DA4991" w14:textId="77777777" w:rsidR="00410865" w:rsidRPr="00445472" w:rsidRDefault="00410865" w:rsidP="00410865">
            <w:pPr>
              <w:pStyle w:val="TableTextCentre"/>
              <w:spacing w:after="0"/>
              <w:rPr>
                <w:rFonts w:ascii="Garamond" w:hAnsi="Garamond"/>
                <w:lang w:val="sq-AL"/>
              </w:rPr>
            </w:pPr>
          </w:p>
          <w:p w14:paraId="7B45202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3.0</w:t>
            </w:r>
          </w:p>
        </w:tc>
        <w:tc>
          <w:tcPr>
            <w:tcW w:w="1560" w:type="dxa"/>
            <w:shd w:val="clear" w:color="auto" w:fill="auto"/>
            <w:vAlign w:val="center"/>
          </w:tcPr>
          <w:p w14:paraId="25F0831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infrastrukturën</w:t>
            </w:r>
          </w:p>
          <w:p w14:paraId="16E2D9DC" w14:textId="706C63D0"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4B51C9" w:rsidRPr="00445472">
              <w:rPr>
                <w:rFonts w:ascii="Garamond" w:hAnsi="Garamond"/>
                <w:lang w:val="sq-AL"/>
              </w:rPr>
              <w:t>bashkitë</w:t>
            </w:r>
            <w:r w:rsidR="001D340B" w:rsidRPr="00445472">
              <w:rPr>
                <w:rFonts w:ascii="Garamond" w:hAnsi="Garamond"/>
                <w:lang w:val="sq-AL"/>
              </w:rPr>
              <w:t>/</w:t>
            </w:r>
            <w:r w:rsidRPr="00445472">
              <w:rPr>
                <w:rFonts w:ascii="Garamond" w:hAnsi="Garamond"/>
                <w:lang w:val="sq-AL"/>
              </w:rPr>
              <w:t>ARM)</w:t>
            </w:r>
          </w:p>
        </w:tc>
        <w:tc>
          <w:tcPr>
            <w:tcW w:w="2556" w:type="dxa"/>
            <w:shd w:val="clear" w:color="auto" w:fill="auto"/>
            <w:vAlign w:val="center"/>
          </w:tcPr>
          <w:p w14:paraId="17CC9D1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Hua + </w:t>
            </w:r>
          </w:p>
          <w:p w14:paraId="1FB3893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45A31715"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1CB96B41"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1054624D"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104BD49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4827ED5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3EC9E55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626F612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5EE8090"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9C6F007"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FF2FC9C"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7D1ABC4"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1B72F6E"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4BA375C3"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8E99BC5" w14:textId="77777777" w:rsidR="00410865" w:rsidRPr="00445472" w:rsidRDefault="00410865" w:rsidP="00410865">
            <w:pPr>
              <w:pStyle w:val="TableTextCentre"/>
              <w:spacing w:after="0"/>
              <w:rPr>
                <w:rFonts w:ascii="Garamond" w:hAnsi="Garamond"/>
                <w:lang w:val="sq-AL"/>
              </w:rPr>
            </w:pPr>
          </w:p>
        </w:tc>
      </w:tr>
      <w:tr w:rsidR="00410865" w:rsidRPr="00445472" w14:paraId="2BB41974" w14:textId="77777777" w:rsidTr="00410865">
        <w:trPr>
          <w:gridAfter w:val="1"/>
          <w:wAfter w:w="14" w:type="dxa"/>
          <w:jc w:val="center"/>
        </w:trPr>
        <w:tc>
          <w:tcPr>
            <w:tcW w:w="3682" w:type="dxa"/>
            <w:shd w:val="clear" w:color="auto" w:fill="auto"/>
            <w:vAlign w:val="center"/>
          </w:tcPr>
          <w:p w14:paraId="31C7A2AF"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Përgatitja e studimit të Fizibilitetit për zona të ndryshme për zgjidhjen e trajtimit të ujërave të ndotura për Bashkitë dhe familje të ndryshme.</w:t>
            </w:r>
          </w:p>
        </w:tc>
        <w:tc>
          <w:tcPr>
            <w:tcW w:w="1275" w:type="dxa"/>
            <w:shd w:val="clear" w:color="auto" w:fill="auto"/>
            <w:vAlign w:val="center"/>
          </w:tcPr>
          <w:p w14:paraId="52B8E3E6" w14:textId="77777777" w:rsidR="00410865" w:rsidRPr="00445472" w:rsidRDefault="00410865" w:rsidP="00410865">
            <w:pPr>
              <w:pStyle w:val="TableTextCentre"/>
              <w:spacing w:after="0"/>
              <w:rPr>
                <w:rFonts w:ascii="Garamond" w:hAnsi="Garamond"/>
                <w:lang w:val="sq-AL"/>
              </w:rPr>
            </w:pPr>
          </w:p>
          <w:p w14:paraId="1A0BBD9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5.0</w:t>
            </w:r>
          </w:p>
        </w:tc>
        <w:tc>
          <w:tcPr>
            <w:tcW w:w="1560" w:type="dxa"/>
            <w:shd w:val="clear" w:color="auto" w:fill="auto"/>
            <w:vAlign w:val="center"/>
          </w:tcPr>
          <w:p w14:paraId="4F75AEFC" w14:textId="77777777" w:rsidR="00410865" w:rsidRPr="00445472" w:rsidRDefault="00410865" w:rsidP="00410865">
            <w:pPr>
              <w:pStyle w:val="TableTextCentre"/>
              <w:spacing w:after="0"/>
              <w:rPr>
                <w:rFonts w:ascii="Garamond" w:hAnsi="Garamond"/>
                <w:lang w:val="sq-AL"/>
              </w:rPr>
            </w:pPr>
          </w:p>
          <w:p w14:paraId="70C6E4E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MIE/AMBU</w:t>
            </w:r>
          </w:p>
          <w:p w14:paraId="1948F06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(ARM)</w:t>
            </w:r>
          </w:p>
        </w:tc>
        <w:tc>
          <w:tcPr>
            <w:tcW w:w="2556" w:type="dxa"/>
            <w:shd w:val="clear" w:color="auto" w:fill="auto"/>
            <w:vAlign w:val="center"/>
          </w:tcPr>
          <w:p w14:paraId="1E3A670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Hua +</w:t>
            </w:r>
          </w:p>
          <w:p w14:paraId="418F03F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69893DE"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466D83C4"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7264C10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E4F2189"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5CC64A87"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E25FB01"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521B26A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6A6FE4D"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F76D92A"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0D76109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566BC09"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1485692"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F2E0CCF"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4AE3F03" w14:textId="77777777" w:rsidR="00410865" w:rsidRPr="00445472" w:rsidRDefault="00410865" w:rsidP="00410865">
            <w:pPr>
              <w:pStyle w:val="TableTextCentre"/>
              <w:spacing w:after="0"/>
              <w:rPr>
                <w:rFonts w:ascii="Garamond" w:hAnsi="Garamond"/>
                <w:lang w:val="sq-AL"/>
              </w:rPr>
            </w:pPr>
          </w:p>
        </w:tc>
      </w:tr>
      <w:tr w:rsidR="00410865" w:rsidRPr="00445472" w14:paraId="0F7E2B6C" w14:textId="77777777" w:rsidTr="00410865">
        <w:trPr>
          <w:gridAfter w:val="1"/>
          <w:wAfter w:w="14" w:type="dxa"/>
          <w:jc w:val="center"/>
        </w:trPr>
        <w:tc>
          <w:tcPr>
            <w:tcW w:w="3682" w:type="dxa"/>
            <w:shd w:val="clear" w:color="auto" w:fill="auto"/>
            <w:vAlign w:val="center"/>
          </w:tcPr>
          <w:p w14:paraId="374135EE"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Përgatitja e një regjistri të pikave të burimeve të ndotjes në RB, përgatitja dhe zbatimi i një programi të kontrollit të pikave të burimeve, përgatitja e programeve të masave për uljen e ndotjes.</w:t>
            </w:r>
          </w:p>
        </w:tc>
        <w:tc>
          <w:tcPr>
            <w:tcW w:w="1275" w:type="dxa"/>
            <w:shd w:val="clear" w:color="auto" w:fill="auto"/>
            <w:vAlign w:val="center"/>
          </w:tcPr>
          <w:p w14:paraId="5BBECD8A" w14:textId="77777777" w:rsidR="00410865" w:rsidRPr="00445472" w:rsidRDefault="00410865" w:rsidP="00410865">
            <w:pPr>
              <w:pStyle w:val="TableTextCentre"/>
              <w:spacing w:after="0"/>
              <w:rPr>
                <w:rFonts w:ascii="Garamond" w:hAnsi="Garamond"/>
                <w:lang w:val="sq-AL"/>
              </w:rPr>
            </w:pPr>
          </w:p>
          <w:p w14:paraId="41E01E6B" w14:textId="77777777"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0.05</w:t>
            </w:r>
          </w:p>
        </w:tc>
        <w:tc>
          <w:tcPr>
            <w:tcW w:w="1560" w:type="dxa"/>
            <w:shd w:val="clear" w:color="auto" w:fill="auto"/>
            <w:vAlign w:val="center"/>
          </w:tcPr>
          <w:p w14:paraId="4DFBCF4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ZABU/AMBU/</w:t>
            </w:r>
          </w:p>
          <w:p w14:paraId="504CB46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p>
          <w:p w14:paraId="29B1E82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(Operatorë industrialë)</w:t>
            </w:r>
          </w:p>
        </w:tc>
        <w:tc>
          <w:tcPr>
            <w:tcW w:w="2556" w:type="dxa"/>
            <w:shd w:val="clear" w:color="auto" w:fill="auto"/>
            <w:vAlign w:val="center"/>
          </w:tcPr>
          <w:p w14:paraId="2923E900" w14:textId="77777777" w:rsidR="00410865" w:rsidRPr="00445472" w:rsidRDefault="00410865" w:rsidP="00410865">
            <w:pPr>
              <w:pStyle w:val="TableTextCentre"/>
              <w:spacing w:after="0"/>
              <w:jc w:val="left"/>
              <w:rPr>
                <w:rFonts w:ascii="Garamond" w:hAnsi="Garamond"/>
                <w:lang w:val="sq-AL"/>
              </w:rPr>
            </w:pPr>
          </w:p>
          <w:p w14:paraId="61AE6DC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BB56D43"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7A2D8F9C"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40EB3FA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BF56D0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164F924"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9B6B21F"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0DC132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5D7620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2D7D253"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6CAC8DB2"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32C4D3CF"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43FE86A3"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167FFE46"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474A7BDA" w14:textId="77777777" w:rsidR="00410865" w:rsidRPr="00445472" w:rsidRDefault="00410865" w:rsidP="00410865">
            <w:pPr>
              <w:pStyle w:val="TableTextCentre"/>
              <w:spacing w:after="0"/>
              <w:rPr>
                <w:rFonts w:ascii="Garamond" w:hAnsi="Garamond"/>
                <w:lang w:val="sq-AL"/>
              </w:rPr>
            </w:pPr>
          </w:p>
        </w:tc>
      </w:tr>
      <w:tr w:rsidR="00410865" w:rsidRPr="00445472" w14:paraId="05BDEA61" w14:textId="77777777" w:rsidTr="00410865">
        <w:trPr>
          <w:gridAfter w:val="1"/>
          <w:wAfter w:w="14" w:type="dxa"/>
          <w:jc w:val="center"/>
        </w:trPr>
        <w:tc>
          <w:tcPr>
            <w:tcW w:w="3682" w:type="dxa"/>
            <w:shd w:val="clear" w:color="auto" w:fill="auto"/>
            <w:vAlign w:val="center"/>
          </w:tcPr>
          <w:p w14:paraId="76547DD0"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Ndërtimi i impiantit të trajtimit të ujit për zonën urbane dhe rurale me më shumë se &gt;2,000 banorë.</w:t>
            </w:r>
          </w:p>
        </w:tc>
        <w:tc>
          <w:tcPr>
            <w:tcW w:w="1275" w:type="dxa"/>
            <w:shd w:val="clear" w:color="auto" w:fill="auto"/>
            <w:vAlign w:val="center"/>
          </w:tcPr>
          <w:p w14:paraId="226B7B84" w14:textId="77777777" w:rsidR="00410865" w:rsidRPr="00445472" w:rsidRDefault="00410865" w:rsidP="00410865">
            <w:pPr>
              <w:pStyle w:val="TableTextCentre"/>
              <w:spacing w:after="0"/>
              <w:rPr>
                <w:rFonts w:ascii="Garamond" w:hAnsi="Garamond"/>
                <w:lang w:val="sq-AL"/>
              </w:rPr>
            </w:pPr>
          </w:p>
          <w:p w14:paraId="106E409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38.0</w:t>
            </w:r>
          </w:p>
        </w:tc>
        <w:tc>
          <w:tcPr>
            <w:tcW w:w="1560" w:type="dxa"/>
            <w:shd w:val="clear" w:color="auto" w:fill="auto"/>
            <w:vAlign w:val="center"/>
          </w:tcPr>
          <w:p w14:paraId="70B1695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p>
          <w:p w14:paraId="612382E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(AMBU/MTM)</w:t>
            </w:r>
          </w:p>
          <w:p w14:paraId="2A60BBD8" w14:textId="77777777" w:rsidR="00410865" w:rsidRPr="00445472" w:rsidRDefault="00410865" w:rsidP="00410865">
            <w:pPr>
              <w:pStyle w:val="TableTextCentre"/>
              <w:spacing w:after="0"/>
              <w:jc w:val="left"/>
              <w:rPr>
                <w:rFonts w:ascii="Garamond" w:hAnsi="Garamond"/>
                <w:lang w:val="sq-AL"/>
              </w:rPr>
            </w:pPr>
          </w:p>
        </w:tc>
        <w:tc>
          <w:tcPr>
            <w:tcW w:w="2556" w:type="dxa"/>
            <w:shd w:val="clear" w:color="auto" w:fill="auto"/>
            <w:vAlign w:val="center"/>
          </w:tcPr>
          <w:p w14:paraId="5C13199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Hua +</w:t>
            </w:r>
          </w:p>
          <w:p w14:paraId="63C9CB0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4F7F0AE9"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57D26309"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D2E3AAB"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318D8944"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DD7B2B2"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6EF2AF5"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504FE01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2" w:type="dxa"/>
            <w:shd w:val="clear" w:color="auto" w:fill="99C8E5"/>
            <w:vAlign w:val="center"/>
          </w:tcPr>
          <w:p w14:paraId="2355434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2" w:type="dxa"/>
            <w:shd w:val="clear" w:color="auto" w:fill="99C8E5"/>
            <w:vAlign w:val="center"/>
          </w:tcPr>
          <w:p w14:paraId="1901C71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44" w:type="dxa"/>
            <w:shd w:val="clear" w:color="auto" w:fill="99C8E5"/>
            <w:vAlign w:val="center"/>
          </w:tcPr>
          <w:p w14:paraId="74408DB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91" w:type="dxa"/>
            <w:shd w:val="clear" w:color="auto" w:fill="276F9A"/>
            <w:vAlign w:val="center"/>
          </w:tcPr>
          <w:p w14:paraId="6B89415A"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31" w:type="dxa"/>
            <w:shd w:val="clear" w:color="auto" w:fill="276F9A"/>
            <w:vAlign w:val="center"/>
          </w:tcPr>
          <w:p w14:paraId="0B9D096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276F9A"/>
            <w:vAlign w:val="center"/>
          </w:tcPr>
          <w:p w14:paraId="227EFAC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57" w:type="dxa"/>
            <w:shd w:val="clear" w:color="auto" w:fill="276F9A"/>
            <w:vAlign w:val="center"/>
          </w:tcPr>
          <w:p w14:paraId="7C66906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r>
      <w:tr w:rsidR="00410865" w:rsidRPr="00445472" w14:paraId="1DD774A4" w14:textId="77777777" w:rsidTr="00410865">
        <w:trPr>
          <w:gridAfter w:val="1"/>
          <w:wAfter w:w="14" w:type="dxa"/>
          <w:jc w:val="center"/>
        </w:trPr>
        <w:tc>
          <w:tcPr>
            <w:tcW w:w="3682" w:type="dxa"/>
            <w:shd w:val="clear" w:color="auto" w:fill="auto"/>
            <w:vAlign w:val="center"/>
          </w:tcPr>
          <w:p w14:paraId="61D53891"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Ndërtimi i rezervuarëve septikë për familje të veçanta që nuk mund të lidhen me rrjetin e përbashkët të grumbullimit të ujërave të ndotura.</w:t>
            </w:r>
          </w:p>
        </w:tc>
        <w:tc>
          <w:tcPr>
            <w:tcW w:w="1275" w:type="dxa"/>
            <w:shd w:val="clear" w:color="auto" w:fill="auto"/>
            <w:vAlign w:val="center"/>
          </w:tcPr>
          <w:p w14:paraId="4BE80EC2" w14:textId="77777777" w:rsidR="00410865" w:rsidRPr="00445472" w:rsidRDefault="00410865" w:rsidP="00410865">
            <w:pPr>
              <w:pStyle w:val="TableTextCentre"/>
              <w:spacing w:after="0"/>
              <w:rPr>
                <w:rFonts w:ascii="Garamond" w:hAnsi="Garamond"/>
                <w:lang w:val="sq-AL"/>
              </w:rPr>
            </w:pPr>
          </w:p>
          <w:p w14:paraId="208AFA8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3.5</w:t>
            </w:r>
          </w:p>
        </w:tc>
        <w:tc>
          <w:tcPr>
            <w:tcW w:w="1560" w:type="dxa"/>
            <w:shd w:val="clear" w:color="auto" w:fill="auto"/>
            <w:vAlign w:val="center"/>
          </w:tcPr>
          <w:p w14:paraId="0EB9BC8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p>
          <w:p w14:paraId="068326D9" w14:textId="163E9F54" w:rsidR="00410865" w:rsidRPr="00445472" w:rsidRDefault="00410865" w:rsidP="00410865">
            <w:pPr>
              <w:pStyle w:val="TableTextCentre"/>
              <w:spacing w:after="0"/>
              <w:rPr>
                <w:rFonts w:ascii="Garamond" w:hAnsi="Garamond"/>
                <w:lang w:val="sq-AL"/>
              </w:rPr>
            </w:pPr>
            <w:r w:rsidRPr="00445472" w:rsidDel="00F716A2">
              <w:rPr>
                <w:rFonts w:ascii="Garamond" w:hAnsi="Garamond"/>
                <w:lang w:val="sq-AL"/>
              </w:rPr>
              <w:t xml:space="preserve"> </w:t>
            </w:r>
            <w:r w:rsidRPr="00445472">
              <w:rPr>
                <w:rFonts w:ascii="Garamond" w:hAnsi="Garamond"/>
                <w:lang w:val="sq-AL"/>
              </w:rPr>
              <w:t>(MTM</w:t>
            </w:r>
            <w:r w:rsidR="001D340B" w:rsidRPr="00445472">
              <w:rPr>
                <w:rFonts w:ascii="Garamond" w:hAnsi="Garamond"/>
                <w:lang w:val="sq-AL"/>
              </w:rPr>
              <w:t>/</w:t>
            </w:r>
            <w:r w:rsidRPr="00445472">
              <w:rPr>
                <w:rFonts w:ascii="Garamond" w:hAnsi="Garamond"/>
                <w:lang w:val="sq-AL"/>
              </w:rPr>
              <w:t>SHGJSH</w:t>
            </w:r>
          </w:p>
          <w:p w14:paraId="7075FA1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Qeveria vendore)</w:t>
            </w:r>
          </w:p>
        </w:tc>
        <w:tc>
          <w:tcPr>
            <w:tcW w:w="2556" w:type="dxa"/>
            <w:shd w:val="clear" w:color="auto" w:fill="auto"/>
            <w:vAlign w:val="center"/>
          </w:tcPr>
          <w:p w14:paraId="79084B73" w14:textId="77777777" w:rsidR="00410865" w:rsidRPr="00445472" w:rsidRDefault="00410865" w:rsidP="00410865">
            <w:pPr>
              <w:pStyle w:val="TableTextCentre"/>
              <w:spacing w:after="0"/>
              <w:jc w:val="left"/>
              <w:rPr>
                <w:rFonts w:ascii="Garamond" w:hAnsi="Garamond"/>
                <w:b/>
                <w:lang w:val="sq-AL"/>
              </w:rPr>
            </w:pPr>
          </w:p>
          <w:p w14:paraId="4E4367C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0AF1E20B"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7C7966CE"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869F07C"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733BA46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521FF29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2EA98004"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7A0DD0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14C9C5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316183B"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61AC87D7"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32E43F56"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95EA639"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F1BCCB2"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888A966" w14:textId="77777777" w:rsidR="00410865" w:rsidRPr="00445472" w:rsidRDefault="00410865" w:rsidP="00410865">
            <w:pPr>
              <w:pStyle w:val="TableTextCentre"/>
              <w:spacing w:after="0"/>
              <w:rPr>
                <w:rFonts w:ascii="Garamond" w:hAnsi="Garamond"/>
                <w:lang w:val="sq-AL"/>
              </w:rPr>
            </w:pPr>
          </w:p>
        </w:tc>
      </w:tr>
      <w:tr w:rsidR="00410865" w:rsidRPr="00445472" w14:paraId="66FD8C34" w14:textId="77777777" w:rsidTr="00410865">
        <w:trPr>
          <w:gridAfter w:val="1"/>
          <w:wAfter w:w="14" w:type="dxa"/>
          <w:jc w:val="center"/>
        </w:trPr>
        <w:tc>
          <w:tcPr>
            <w:tcW w:w="3682" w:type="dxa"/>
            <w:shd w:val="clear" w:color="auto" w:fill="auto"/>
            <w:vAlign w:val="center"/>
          </w:tcPr>
          <w:p w14:paraId="6DA26F19"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përmirësimin/mbylljen e zonës urbane të lartpërmendur, pa kushte higjieno-sanitare dhe krijimi i faqes së Impiantit të Trajtimit të Kullimit të Vend-depozitimit.</w:t>
            </w:r>
          </w:p>
        </w:tc>
        <w:tc>
          <w:tcPr>
            <w:tcW w:w="1275" w:type="dxa"/>
            <w:shd w:val="clear" w:color="auto" w:fill="auto"/>
            <w:vAlign w:val="center"/>
          </w:tcPr>
          <w:p w14:paraId="0B8D02C7" w14:textId="77777777" w:rsidR="00410865" w:rsidRPr="00445472" w:rsidRDefault="00410865" w:rsidP="00410865">
            <w:pPr>
              <w:pStyle w:val="TableTextCentre"/>
              <w:spacing w:after="0"/>
              <w:rPr>
                <w:rFonts w:ascii="Garamond" w:hAnsi="Garamond"/>
                <w:lang w:val="sq-AL"/>
              </w:rPr>
            </w:pPr>
          </w:p>
          <w:p w14:paraId="3BB046F6" w14:textId="77777777" w:rsidR="00410865" w:rsidRPr="00445472" w:rsidRDefault="00410865" w:rsidP="00410865">
            <w:pPr>
              <w:pStyle w:val="TableTextCentre"/>
              <w:spacing w:after="0"/>
              <w:rPr>
                <w:rFonts w:ascii="Garamond" w:hAnsi="Garamond"/>
                <w:i/>
                <w:lang w:val="sq-AL"/>
              </w:rPr>
            </w:pPr>
            <w:r w:rsidRPr="00445472">
              <w:rPr>
                <w:rFonts w:ascii="Garamond" w:hAnsi="Garamond"/>
                <w:lang w:val="sq-AL"/>
              </w:rPr>
              <w:t>1.0</w:t>
            </w:r>
          </w:p>
        </w:tc>
        <w:tc>
          <w:tcPr>
            <w:tcW w:w="1560" w:type="dxa"/>
            <w:shd w:val="clear" w:color="auto" w:fill="auto"/>
            <w:vAlign w:val="center"/>
          </w:tcPr>
          <w:p w14:paraId="749F2DD2" w14:textId="0BB170D0" w:rsidR="00410865" w:rsidRPr="00445472" w:rsidRDefault="00410865" w:rsidP="00410865">
            <w:pPr>
              <w:pStyle w:val="TableTextCentre"/>
              <w:spacing w:after="0"/>
              <w:rPr>
                <w:rFonts w:ascii="Garamond" w:hAnsi="Garamond"/>
                <w:lang w:val="sq-AL"/>
              </w:rPr>
            </w:pPr>
            <w:r w:rsidRPr="00445472">
              <w:rPr>
                <w:rFonts w:ascii="Garamond" w:hAnsi="Garamond"/>
                <w:lang w:val="sq-AL"/>
              </w:rPr>
              <w:t>MIE</w:t>
            </w:r>
            <w:r w:rsidR="001D340B" w:rsidRPr="00445472">
              <w:rPr>
                <w:rFonts w:ascii="Garamond" w:hAnsi="Garamond"/>
                <w:lang w:val="sq-AL"/>
              </w:rPr>
              <w:t>/</w:t>
            </w:r>
            <w:r w:rsidRPr="00445472">
              <w:rPr>
                <w:rFonts w:ascii="Garamond" w:hAnsi="Garamond"/>
                <w:lang w:val="sq-AL"/>
              </w:rPr>
              <w:t>Ministria përgjegjëse për mjedisin</w:t>
            </w:r>
          </w:p>
          <w:p w14:paraId="19ADC50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MSHMS, (Bashkitë)</w:t>
            </w:r>
          </w:p>
        </w:tc>
        <w:tc>
          <w:tcPr>
            <w:tcW w:w="2556" w:type="dxa"/>
            <w:shd w:val="clear" w:color="auto" w:fill="auto"/>
            <w:vAlign w:val="center"/>
          </w:tcPr>
          <w:p w14:paraId="3A6D75FD" w14:textId="77777777" w:rsidR="00410865" w:rsidRPr="00445472" w:rsidRDefault="00410865" w:rsidP="00410865">
            <w:pPr>
              <w:pStyle w:val="TableTextCentre"/>
              <w:spacing w:after="0"/>
              <w:rPr>
                <w:rFonts w:ascii="Garamond" w:hAnsi="Garamond"/>
                <w:lang w:val="sq-AL"/>
              </w:rPr>
            </w:pPr>
          </w:p>
          <w:p w14:paraId="145444D4"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FE12B4A" w14:textId="77777777" w:rsidR="00410865" w:rsidRPr="00445472" w:rsidRDefault="00410865" w:rsidP="00410865">
            <w:pPr>
              <w:pStyle w:val="TableTextCentre"/>
              <w:spacing w:after="0"/>
              <w:rPr>
                <w:rFonts w:ascii="Garamond" w:hAnsi="Garamond"/>
                <w:i/>
                <w:lang w:val="sq-AL"/>
              </w:rPr>
            </w:pPr>
          </w:p>
        </w:tc>
        <w:tc>
          <w:tcPr>
            <w:tcW w:w="566" w:type="dxa"/>
            <w:shd w:val="clear" w:color="auto" w:fill="D2E7F6"/>
            <w:vAlign w:val="center"/>
          </w:tcPr>
          <w:p w14:paraId="7C46B183"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F14E3B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F7046A3"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1529150"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479D8972"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01AEBD0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796442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AC1761E"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ADD4798"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610853D"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12D421BF"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F1F52C8"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FB7BDEA" w14:textId="77777777" w:rsidR="00410865" w:rsidRPr="00445472" w:rsidRDefault="00410865" w:rsidP="00410865">
            <w:pPr>
              <w:pStyle w:val="TableTextCentre"/>
              <w:spacing w:after="0"/>
              <w:rPr>
                <w:rFonts w:ascii="Garamond" w:hAnsi="Garamond"/>
                <w:lang w:val="sq-AL"/>
              </w:rPr>
            </w:pPr>
          </w:p>
        </w:tc>
      </w:tr>
      <w:tr w:rsidR="00410865" w:rsidRPr="00445472" w14:paraId="32C45742" w14:textId="77777777" w:rsidTr="00410865">
        <w:trPr>
          <w:gridAfter w:val="1"/>
          <w:wAfter w:w="14" w:type="dxa"/>
          <w:jc w:val="center"/>
        </w:trPr>
        <w:tc>
          <w:tcPr>
            <w:tcW w:w="3682" w:type="dxa"/>
            <w:tcBorders>
              <w:bottom w:val="single" w:sz="2" w:space="0" w:color="9FA2A1"/>
            </w:tcBorders>
            <w:shd w:val="clear" w:color="auto" w:fill="auto"/>
            <w:vAlign w:val="center"/>
          </w:tcPr>
          <w:p w14:paraId="27F88AB2"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mbi rehabilitimin e minierave dhe zonave në minierat ekzistuese dhe të braktisura.</w:t>
            </w:r>
          </w:p>
        </w:tc>
        <w:tc>
          <w:tcPr>
            <w:tcW w:w="1275" w:type="dxa"/>
            <w:tcBorders>
              <w:bottom w:val="single" w:sz="2" w:space="0" w:color="9FA2A1"/>
            </w:tcBorders>
            <w:shd w:val="clear" w:color="auto" w:fill="auto"/>
            <w:vAlign w:val="center"/>
          </w:tcPr>
          <w:p w14:paraId="04EDA669" w14:textId="77777777" w:rsidR="00410865" w:rsidRPr="00445472" w:rsidRDefault="00410865" w:rsidP="00410865">
            <w:pPr>
              <w:pStyle w:val="TableTextCentre"/>
              <w:spacing w:after="0"/>
              <w:rPr>
                <w:rFonts w:ascii="Garamond" w:hAnsi="Garamond"/>
                <w:lang w:val="sq-AL"/>
              </w:rPr>
            </w:pPr>
          </w:p>
          <w:p w14:paraId="2C15B22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0.4</w:t>
            </w:r>
          </w:p>
        </w:tc>
        <w:tc>
          <w:tcPr>
            <w:tcW w:w="1560" w:type="dxa"/>
            <w:tcBorders>
              <w:bottom w:val="single" w:sz="2" w:space="0" w:color="9FA2A1"/>
            </w:tcBorders>
            <w:shd w:val="clear" w:color="auto" w:fill="auto"/>
            <w:vAlign w:val="center"/>
          </w:tcPr>
          <w:p w14:paraId="57608238" w14:textId="3DF92333" w:rsidR="00410865" w:rsidRPr="00445472" w:rsidRDefault="00410865" w:rsidP="00410865">
            <w:pPr>
              <w:pStyle w:val="TableTextCentre"/>
              <w:spacing w:after="0"/>
              <w:rPr>
                <w:rFonts w:ascii="Garamond" w:hAnsi="Garamond"/>
                <w:lang w:val="sq-AL"/>
              </w:rPr>
            </w:pPr>
            <w:r w:rsidRPr="00445472">
              <w:rPr>
                <w:rFonts w:ascii="Garamond" w:hAnsi="Garamond"/>
                <w:lang w:val="sq-AL"/>
              </w:rPr>
              <w:t>MIE</w:t>
            </w:r>
            <w:r w:rsidR="001D340B" w:rsidRPr="00445472">
              <w:rPr>
                <w:rFonts w:ascii="Garamond" w:hAnsi="Garamond"/>
                <w:lang w:val="sq-AL"/>
              </w:rPr>
              <w:t>/</w:t>
            </w:r>
            <w:r w:rsidRPr="00445472">
              <w:rPr>
                <w:rFonts w:ascii="Garamond" w:hAnsi="Garamond"/>
                <w:lang w:val="sq-AL"/>
              </w:rPr>
              <w:t>Ministria përgjegjëse për mjedisin</w:t>
            </w:r>
          </w:p>
          <w:p w14:paraId="2C708872" w14:textId="2DC30AB5" w:rsidR="00410865" w:rsidRPr="00445472" w:rsidRDefault="00410865" w:rsidP="00410865">
            <w:pPr>
              <w:pStyle w:val="TableTextCentre"/>
              <w:spacing w:after="0"/>
              <w:rPr>
                <w:rFonts w:ascii="Garamond" w:hAnsi="Garamond"/>
                <w:lang w:val="sq-AL"/>
              </w:rPr>
            </w:pPr>
            <w:r w:rsidRPr="00445472">
              <w:rPr>
                <w:rFonts w:ascii="Garamond" w:hAnsi="Garamond"/>
                <w:lang w:val="sq-AL"/>
              </w:rPr>
              <w:t>(SHGJSH</w:t>
            </w:r>
            <w:r w:rsidR="001D340B" w:rsidRPr="00445472">
              <w:rPr>
                <w:rFonts w:ascii="Garamond" w:hAnsi="Garamond"/>
                <w:lang w:val="sq-AL"/>
              </w:rPr>
              <w:t>/</w:t>
            </w:r>
            <w:r w:rsidRPr="00445472">
              <w:rPr>
                <w:rFonts w:ascii="Garamond" w:hAnsi="Garamond"/>
                <w:lang w:val="sq-AL"/>
              </w:rPr>
              <w:t>ARM)</w:t>
            </w:r>
          </w:p>
        </w:tc>
        <w:tc>
          <w:tcPr>
            <w:tcW w:w="2556" w:type="dxa"/>
            <w:tcBorders>
              <w:bottom w:val="single" w:sz="2" w:space="0" w:color="9FA2A1"/>
            </w:tcBorders>
            <w:shd w:val="clear" w:color="auto" w:fill="auto"/>
            <w:vAlign w:val="center"/>
          </w:tcPr>
          <w:p w14:paraId="742F38A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529E5F0D" w14:textId="77777777" w:rsidR="00410865" w:rsidRPr="00445472" w:rsidRDefault="00410865" w:rsidP="00410865">
            <w:pPr>
              <w:pStyle w:val="TableTextCentre"/>
              <w:spacing w:after="0"/>
              <w:rPr>
                <w:rFonts w:ascii="Garamond" w:hAnsi="Garamond"/>
                <w:lang w:val="sq-AL"/>
              </w:rPr>
            </w:pPr>
          </w:p>
        </w:tc>
        <w:tc>
          <w:tcPr>
            <w:tcW w:w="566" w:type="dxa"/>
            <w:tcBorders>
              <w:bottom w:val="single" w:sz="2" w:space="0" w:color="9FA2A1"/>
            </w:tcBorders>
            <w:shd w:val="clear" w:color="auto" w:fill="D2E7F6"/>
            <w:vAlign w:val="center"/>
          </w:tcPr>
          <w:p w14:paraId="20B148AC" w14:textId="77777777" w:rsidR="00410865" w:rsidRPr="00445472" w:rsidRDefault="00410865" w:rsidP="00410865">
            <w:pPr>
              <w:pStyle w:val="TableTextCentre"/>
              <w:spacing w:after="0"/>
              <w:rPr>
                <w:rFonts w:ascii="Garamond" w:hAnsi="Garamond"/>
                <w:lang w:val="sq-AL"/>
              </w:rPr>
            </w:pPr>
          </w:p>
        </w:tc>
        <w:tc>
          <w:tcPr>
            <w:tcW w:w="426" w:type="dxa"/>
            <w:tcBorders>
              <w:bottom w:val="single" w:sz="2" w:space="0" w:color="9FA2A1"/>
            </w:tcBorders>
            <w:shd w:val="clear" w:color="auto" w:fill="D2E7F6"/>
            <w:vAlign w:val="center"/>
          </w:tcPr>
          <w:p w14:paraId="4C3DA4E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tcBorders>
              <w:bottom w:val="single" w:sz="2" w:space="0" w:color="9FA2A1"/>
            </w:tcBorders>
            <w:shd w:val="clear" w:color="auto" w:fill="D2E7F6"/>
            <w:vAlign w:val="center"/>
          </w:tcPr>
          <w:p w14:paraId="73EB46F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40F76C3"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04BCD51"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771051EC"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823BF1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E670DC2"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2877FA0"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3380726"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777178B"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1ECF0810"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7751C1E" w14:textId="77777777" w:rsidR="00410865" w:rsidRPr="00445472" w:rsidRDefault="00410865" w:rsidP="00410865">
            <w:pPr>
              <w:pStyle w:val="TableTextCentre"/>
              <w:spacing w:after="0"/>
              <w:rPr>
                <w:rFonts w:ascii="Garamond" w:hAnsi="Garamond"/>
                <w:lang w:val="sq-AL"/>
              </w:rPr>
            </w:pPr>
          </w:p>
        </w:tc>
      </w:tr>
      <w:tr w:rsidR="00410865" w:rsidRPr="00445472" w14:paraId="39C2FFC5" w14:textId="77777777" w:rsidTr="00410865">
        <w:trPr>
          <w:gridAfter w:val="1"/>
          <w:wAfter w:w="14" w:type="dxa"/>
          <w:jc w:val="center"/>
        </w:trPr>
        <w:tc>
          <w:tcPr>
            <w:tcW w:w="9073" w:type="dxa"/>
            <w:gridSpan w:val="4"/>
            <w:shd w:val="clear" w:color="auto" w:fill="D9D9D9"/>
            <w:vAlign w:val="center"/>
          </w:tcPr>
          <w:p w14:paraId="315446D6"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b/>
                <w:lang w:val="sq-AL"/>
              </w:rPr>
              <w:t>Synimi</w:t>
            </w:r>
            <w:r w:rsidRPr="00445472">
              <w:rPr>
                <w:rFonts w:ascii="Garamond" w:hAnsi="Garamond"/>
                <w:lang w:val="sq-AL"/>
              </w:rPr>
              <w:t>: % e uljes së shkarkimit të ujërave të ndotura të patrajtuara nga qytetet me &gt;2,000 PE</w:t>
            </w:r>
          </w:p>
        </w:tc>
        <w:tc>
          <w:tcPr>
            <w:tcW w:w="1417" w:type="dxa"/>
            <w:gridSpan w:val="3"/>
            <w:shd w:val="clear" w:color="auto" w:fill="D9D9D9"/>
            <w:vAlign w:val="center"/>
          </w:tcPr>
          <w:p w14:paraId="092E3AA4"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10</w:t>
            </w:r>
          </w:p>
        </w:tc>
        <w:tc>
          <w:tcPr>
            <w:tcW w:w="2410" w:type="dxa"/>
            <w:gridSpan w:val="6"/>
            <w:shd w:val="clear" w:color="auto" w:fill="D9D9D9"/>
            <w:vAlign w:val="center"/>
          </w:tcPr>
          <w:p w14:paraId="4D8C5036" w14:textId="77777777" w:rsidR="00410865" w:rsidRPr="00445472" w:rsidRDefault="00410865" w:rsidP="00410865">
            <w:pPr>
              <w:pStyle w:val="TableTextCentre"/>
              <w:spacing w:after="0"/>
              <w:rPr>
                <w:rFonts w:ascii="Garamond" w:hAnsi="Garamond"/>
                <w:b/>
                <w:lang w:val="sq-AL" w:eastAsia="en-GB"/>
              </w:rPr>
            </w:pPr>
            <w:r w:rsidRPr="00445472">
              <w:rPr>
                <w:rFonts w:ascii="Garamond" w:hAnsi="Garamond"/>
                <w:b/>
                <w:lang w:val="sq-AL"/>
              </w:rPr>
              <w:t>50</w:t>
            </w:r>
          </w:p>
        </w:tc>
        <w:tc>
          <w:tcPr>
            <w:tcW w:w="1701" w:type="dxa"/>
            <w:gridSpan w:val="4"/>
            <w:shd w:val="clear" w:color="auto" w:fill="D9D9D9"/>
            <w:vAlign w:val="center"/>
          </w:tcPr>
          <w:p w14:paraId="1AEE0F05"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95</w:t>
            </w:r>
          </w:p>
        </w:tc>
      </w:tr>
      <w:tr w:rsidR="00410865" w:rsidRPr="00445472" w14:paraId="31B518B4" w14:textId="77777777" w:rsidTr="00410865">
        <w:trPr>
          <w:gridAfter w:val="1"/>
          <w:wAfter w:w="14" w:type="dxa"/>
          <w:jc w:val="center"/>
        </w:trPr>
        <w:tc>
          <w:tcPr>
            <w:tcW w:w="9073" w:type="dxa"/>
            <w:gridSpan w:val="4"/>
            <w:shd w:val="clear" w:color="auto" w:fill="D9D9D9"/>
            <w:vAlign w:val="center"/>
          </w:tcPr>
          <w:p w14:paraId="08DAF0F3"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b/>
                <w:lang w:val="sq-AL"/>
              </w:rPr>
              <w:t>Synimi</w:t>
            </w:r>
            <w:r w:rsidRPr="00445472">
              <w:rPr>
                <w:rFonts w:ascii="Garamond" w:hAnsi="Garamond"/>
                <w:lang w:val="sq-AL"/>
              </w:rPr>
              <w:t>: % e popullsisë së lidhur me impiantin për trajtimin e ujit</w:t>
            </w:r>
          </w:p>
        </w:tc>
        <w:tc>
          <w:tcPr>
            <w:tcW w:w="1417" w:type="dxa"/>
            <w:gridSpan w:val="3"/>
            <w:shd w:val="clear" w:color="auto" w:fill="D9D9D9"/>
            <w:vAlign w:val="center"/>
          </w:tcPr>
          <w:p w14:paraId="525A5F96"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22</w:t>
            </w:r>
          </w:p>
        </w:tc>
        <w:tc>
          <w:tcPr>
            <w:tcW w:w="2410" w:type="dxa"/>
            <w:gridSpan w:val="6"/>
            <w:shd w:val="clear" w:color="auto" w:fill="D9D9D9"/>
            <w:vAlign w:val="center"/>
          </w:tcPr>
          <w:p w14:paraId="7011D801"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40</w:t>
            </w:r>
          </w:p>
        </w:tc>
        <w:tc>
          <w:tcPr>
            <w:tcW w:w="1701" w:type="dxa"/>
            <w:gridSpan w:val="4"/>
            <w:shd w:val="clear" w:color="auto" w:fill="D9D9D9"/>
            <w:vAlign w:val="center"/>
          </w:tcPr>
          <w:p w14:paraId="77988862"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70</w:t>
            </w:r>
          </w:p>
        </w:tc>
      </w:tr>
      <w:tr w:rsidR="00410865" w:rsidRPr="00445472" w14:paraId="46EE40F6" w14:textId="77777777" w:rsidTr="00410865">
        <w:trPr>
          <w:gridAfter w:val="1"/>
          <w:wAfter w:w="14" w:type="dxa"/>
          <w:jc w:val="center"/>
        </w:trPr>
        <w:tc>
          <w:tcPr>
            <w:tcW w:w="9073" w:type="dxa"/>
            <w:gridSpan w:val="4"/>
            <w:shd w:val="clear" w:color="auto" w:fill="D9D9D9"/>
            <w:vAlign w:val="center"/>
          </w:tcPr>
          <w:p w14:paraId="0B818A09"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b/>
                <w:lang w:val="sq-AL"/>
              </w:rPr>
              <w:t>Synimi</w:t>
            </w:r>
            <w:r w:rsidRPr="00445472">
              <w:rPr>
                <w:rFonts w:ascii="Garamond" w:hAnsi="Garamond"/>
                <w:lang w:val="sq-AL"/>
              </w:rPr>
              <w:t>: Ndërtimi i rezervuarëve septikë për % e popullsisë që nuk është pjesë e rrjetit për grumbullimin e ujërave të ndotura</w:t>
            </w:r>
          </w:p>
        </w:tc>
        <w:tc>
          <w:tcPr>
            <w:tcW w:w="1417" w:type="dxa"/>
            <w:gridSpan w:val="3"/>
            <w:shd w:val="clear" w:color="auto" w:fill="D9D9D9"/>
            <w:vAlign w:val="center"/>
          </w:tcPr>
          <w:p w14:paraId="03992A2E" w14:textId="77777777" w:rsidR="00410865" w:rsidRPr="00445472" w:rsidRDefault="00410865" w:rsidP="00410865">
            <w:pPr>
              <w:pStyle w:val="TableTextCentre"/>
              <w:spacing w:after="0"/>
              <w:rPr>
                <w:rFonts w:ascii="Garamond" w:hAnsi="Garamond"/>
                <w:highlight w:val="blue"/>
                <w:lang w:val="sq-AL" w:eastAsia="en-GB"/>
              </w:rPr>
            </w:pPr>
            <w:r w:rsidRPr="00445472">
              <w:rPr>
                <w:rFonts w:ascii="Garamond" w:hAnsi="Garamond"/>
                <w:b/>
                <w:lang w:val="sq-AL"/>
              </w:rPr>
              <w:t>15</w:t>
            </w:r>
          </w:p>
        </w:tc>
        <w:tc>
          <w:tcPr>
            <w:tcW w:w="2410" w:type="dxa"/>
            <w:gridSpan w:val="6"/>
            <w:shd w:val="clear" w:color="auto" w:fill="D9D9D9"/>
            <w:vAlign w:val="center"/>
          </w:tcPr>
          <w:p w14:paraId="25F3CEF3"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25</w:t>
            </w:r>
          </w:p>
        </w:tc>
        <w:tc>
          <w:tcPr>
            <w:tcW w:w="1701" w:type="dxa"/>
            <w:gridSpan w:val="4"/>
            <w:shd w:val="clear" w:color="auto" w:fill="D9D9D9"/>
            <w:vAlign w:val="center"/>
          </w:tcPr>
          <w:p w14:paraId="15570883"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r>
      <w:tr w:rsidR="00410865" w:rsidRPr="00445472" w14:paraId="041690E2" w14:textId="77777777" w:rsidTr="00410865">
        <w:trPr>
          <w:gridAfter w:val="1"/>
          <w:wAfter w:w="14" w:type="dxa"/>
          <w:jc w:val="center"/>
        </w:trPr>
        <w:tc>
          <w:tcPr>
            <w:tcW w:w="9073" w:type="dxa"/>
            <w:gridSpan w:val="4"/>
            <w:shd w:val="clear" w:color="auto" w:fill="D9D9D9"/>
            <w:vAlign w:val="center"/>
          </w:tcPr>
          <w:p w14:paraId="3D3F0020"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b/>
                <w:lang w:val="sq-AL"/>
              </w:rPr>
              <w:t>Synimi</w:t>
            </w:r>
            <w:r w:rsidRPr="00445472">
              <w:rPr>
                <w:rFonts w:ascii="Garamond" w:hAnsi="Garamond"/>
                <w:lang w:val="sq-AL"/>
              </w:rPr>
              <w:t>: % e uljes së shkarkimit të ujërave të ndotura të patrajtuara nga industria &amp; bujqësia</w:t>
            </w:r>
          </w:p>
        </w:tc>
        <w:tc>
          <w:tcPr>
            <w:tcW w:w="1417" w:type="dxa"/>
            <w:gridSpan w:val="3"/>
            <w:shd w:val="clear" w:color="auto" w:fill="D9D9D9"/>
            <w:vAlign w:val="center"/>
          </w:tcPr>
          <w:p w14:paraId="34F48E89"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10</w:t>
            </w:r>
          </w:p>
        </w:tc>
        <w:tc>
          <w:tcPr>
            <w:tcW w:w="2410" w:type="dxa"/>
            <w:gridSpan w:val="6"/>
            <w:shd w:val="clear" w:color="auto" w:fill="D9D9D9"/>
            <w:vAlign w:val="center"/>
          </w:tcPr>
          <w:p w14:paraId="250CFF7A"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c>
          <w:tcPr>
            <w:tcW w:w="1701" w:type="dxa"/>
            <w:gridSpan w:val="4"/>
            <w:shd w:val="clear" w:color="auto" w:fill="D9D9D9"/>
            <w:vAlign w:val="center"/>
          </w:tcPr>
          <w:p w14:paraId="7EB1BFC3"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95</w:t>
            </w:r>
          </w:p>
        </w:tc>
      </w:tr>
      <w:tr w:rsidR="00410865" w:rsidRPr="00445472" w14:paraId="31084E8B" w14:textId="77777777" w:rsidTr="00410865">
        <w:trPr>
          <w:jc w:val="center"/>
        </w:trPr>
        <w:tc>
          <w:tcPr>
            <w:tcW w:w="14615" w:type="dxa"/>
            <w:gridSpan w:val="18"/>
            <w:shd w:val="clear" w:color="auto" w:fill="auto"/>
            <w:vAlign w:val="center"/>
          </w:tcPr>
          <w:p w14:paraId="70C0D716"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2c) Prezantimi i praktikave të mira bujqësore, si vlerësimi, monitorimi dhe menaxhimi</w:t>
            </w:r>
          </w:p>
        </w:tc>
      </w:tr>
      <w:tr w:rsidR="00410865" w:rsidRPr="00445472" w14:paraId="75F7B825" w14:textId="77777777" w:rsidTr="00410865">
        <w:trPr>
          <w:gridAfter w:val="1"/>
          <w:wAfter w:w="14" w:type="dxa"/>
          <w:jc w:val="center"/>
        </w:trPr>
        <w:tc>
          <w:tcPr>
            <w:tcW w:w="3682" w:type="dxa"/>
            <w:shd w:val="clear" w:color="auto" w:fill="auto"/>
            <w:vAlign w:val="center"/>
          </w:tcPr>
          <w:p w14:paraId="26BA0589"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fizibiliteti për konsolidimin e tokave bujqësore</w:t>
            </w:r>
          </w:p>
        </w:tc>
        <w:tc>
          <w:tcPr>
            <w:tcW w:w="1275" w:type="dxa"/>
            <w:shd w:val="clear" w:color="auto" w:fill="auto"/>
            <w:vAlign w:val="center"/>
          </w:tcPr>
          <w:p w14:paraId="497326D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0.35</w:t>
            </w:r>
          </w:p>
        </w:tc>
        <w:tc>
          <w:tcPr>
            <w:tcW w:w="1560" w:type="dxa"/>
            <w:shd w:val="clear" w:color="auto" w:fill="auto"/>
            <w:vAlign w:val="center"/>
          </w:tcPr>
          <w:p w14:paraId="61A610A5" w14:textId="6DCA8781"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 xml:space="preserve">Ministria përgjegjëse për </w:t>
            </w:r>
            <w:r w:rsidR="00F2273F" w:rsidRPr="00445472">
              <w:rPr>
                <w:rFonts w:ascii="Garamond" w:hAnsi="Garamond"/>
                <w:lang w:val="sq-AL"/>
              </w:rPr>
              <w:t>ujitjen dhe kullimin</w:t>
            </w:r>
            <w:r w:rsidRPr="00445472">
              <w:rPr>
                <w:rFonts w:ascii="Garamond" w:hAnsi="Garamond"/>
                <w:lang w:val="sq-AL"/>
              </w:rPr>
              <w:t>/AMBU (</w:t>
            </w:r>
            <w:r w:rsidR="00F2273F" w:rsidRPr="00445472">
              <w:rPr>
                <w:rFonts w:ascii="Garamond" w:hAnsi="Garamond"/>
                <w:lang w:val="sq-AL"/>
              </w:rPr>
              <w:t xml:space="preserve">qeveria </w:t>
            </w:r>
            <w:r w:rsidRPr="00445472">
              <w:rPr>
                <w:rFonts w:ascii="Garamond" w:hAnsi="Garamond"/>
                <w:lang w:val="sq-AL"/>
              </w:rPr>
              <w:t>vendore/</w:t>
            </w:r>
          </w:p>
          <w:p w14:paraId="3AD9848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bashkitë)</w:t>
            </w:r>
          </w:p>
        </w:tc>
        <w:tc>
          <w:tcPr>
            <w:tcW w:w="2556" w:type="dxa"/>
            <w:shd w:val="clear" w:color="auto" w:fill="auto"/>
            <w:vAlign w:val="center"/>
          </w:tcPr>
          <w:p w14:paraId="45BDE8D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1994F21"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117D571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1083E13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E646B47"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5D744A46"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51524435"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5C0F8ADB"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B4ED91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AEAFF8C"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45AA6E8"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4C1CE4D"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A142667"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21233BB"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F575F82" w14:textId="77777777" w:rsidR="00410865" w:rsidRPr="00445472" w:rsidRDefault="00410865" w:rsidP="00410865">
            <w:pPr>
              <w:pStyle w:val="TableTextCentre"/>
              <w:spacing w:after="0"/>
              <w:rPr>
                <w:rFonts w:ascii="Garamond" w:hAnsi="Garamond"/>
                <w:lang w:val="sq-AL"/>
              </w:rPr>
            </w:pPr>
          </w:p>
        </w:tc>
      </w:tr>
      <w:tr w:rsidR="00410865" w:rsidRPr="00445472" w14:paraId="7E9CF4F5" w14:textId="77777777" w:rsidTr="00410865">
        <w:trPr>
          <w:gridAfter w:val="1"/>
          <w:wAfter w:w="14" w:type="dxa"/>
          <w:jc w:val="center"/>
        </w:trPr>
        <w:tc>
          <w:tcPr>
            <w:tcW w:w="3682" w:type="dxa"/>
            <w:shd w:val="clear" w:color="auto" w:fill="auto"/>
            <w:vAlign w:val="center"/>
          </w:tcPr>
          <w:p w14:paraId="3B604CF1"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Zbatimi i kufizimeve të detyrueshme të përdorimit të plehëruesve kimikë në zona me puse me ujë të pijshëm.</w:t>
            </w:r>
          </w:p>
        </w:tc>
        <w:tc>
          <w:tcPr>
            <w:tcW w:w="1275" w:type="dxa"/>
            <w:shd w:val="clear" w:color="auto" w:fill="auto"/>
            <w:vAlign w:val="center"/>
          </w:tcPr>
          <w:p w14:paraId="787489CC" w14:textId="77777777" w:rsidR="00410865" w:rsidRPr="00445472" w:rsidRDefault="00410865" w:rsidP="00410865">
            <w:pPr>
              <w:pStyle w:val="TableTextCentre"/>
              <w:spacing w:after="0"/>
              <w:rPr>
                <w:rFonts w:ascii="Garamond" w:hAnsi="Garamond"/>
                <w:lang w:val="sq-AL"/>
              </w:rPr>
            </w:pPr>
          </w:p>
          <w:p w14:paraId="29D7458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0.1</w:t>
            </w:r>
          </w:p>
        </w:tc>
        <w:tc>
          <w:tcPr>
            <w:tcW w:w="1560" w:type="dxa"/>
            <w:shd w:val="clear" w:color="auto" w:fill="auto"/>
            <w:vAlign w:val="center"/>
          </w:tcPr>
          <w:p w14:paraId="42942889" w14:textId="56B26219"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Ministria përgjegjëse për </w:t>
            </w:r>
            <w:r w:rsidR="00F2273F" w:rsidRPr="00445472">
              <w:rPr>
                <w:rFonts w:ascii="Garamond" w:hAnsi="Garamond"/>
                <w:lang w:val="sq-AL"/>
              </w:rPr>
              <w:t>ujitjen dhe kullimin</w:t>
            </w:r>
            <w:r w:rsidRPr="00445472">
              <w:rPr>
                <w:rFonts w:ascii="Garamond" w:hAnsi="Garamond"/>
                <w:lang w:val="sq-AL"/>
              </w:rPr>
              <w:t>/AMBU (</w:t>
            </w:r>
            <w:r w:rsidR="00F2273F" w:rsidRPr="00445472">
              <w:rPr>
                <w:rFonts w:ascii="Garamond" w:hAnsi="Garamond"/>
                <w:lang w:val="sq-AL"/>
              </w:rPr>
              <w:t xml:space="preserve">qeveria </w:t>
            </w:r>
            <w:r w:rsidRPr="00445472">
              <w:rPr>
                <w:rFonts w:ascii="Garamond" w:hAnsi="Garamond"/>
                <w:lang w:val="sq-AL"/>
              </w:rPr>
              <w:t>vendore</w:t>
            </w:r>
            <w:r w:rsidR="001D340B" w:rsidRPr="00445472">
              <w:rPr>
                <w:rFonts w:ascii="Garamond" w:hAnsi="Garamond"/>
                <w:lang w:val="sq-AL"/>
              </w:rPr>
              <w:t>/</w:t>
            </w:r>
            <w:r w:rsidRPr="00445472">
              <w:rPr>
                <w:rFonts w:ascii="Garamond" w:hAnsi="Garamond"/>
                <w:lang w:val="sq-AL"/>
              </w:rPr>
              <w:t>SHPU)</w:t>
            </w:r>
          </w:p>
        </w:tc>
        <w:tc>
          <w:tcPr>
            <w:tcW w:w="2556" w:type="dxa"/>
            <w:shd w:val="clear" w:color="auto" w:fill="auto"/>
            <w:vAlign w:val="center"/>
          </w:tcPr>
          <w:p w14:paraId="48E3E257" w14:textId="77777777" w:rsidR="00410865" w:rsidRPr="00445472" w:rsidRDefault="00410865" w:rsidP="00410865">
            <w:pPr>
              <w:pStyle w:val="TableTextCentre"/>
              <w:spacing w:after="0"/>
              <w:rPr>
                <w:rFonts w:ascii="Garamond" w:hAnsi="Garamond"/>
                <w:lang w:val="sq-AL"/>
              </w:rPr>
            </w:pPr>
          </w:p>
          <w:p w14:paraId="696F03E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62F504F6"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6CCC47FA"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73F23043"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D3270A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3188951"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5F58A950"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6764477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D15A1AE"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1E84BB5"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7AD1AC6"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66E8E45C"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0F8D93BD"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456965DE"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7775D5EE" w14:textId="77777777" w:rsidR="00410865" w:rsidRPr="00445472" w:rsidRDefault="00410865" w:rsidP="00410865">
            <w:pPr>
              <w:pStyle w:val="TableTextCentre"/>
              <w:spacing w:after="0"/>
              <w:rPr>
                <w:rFonts w:ascii="Garamond" w:hAnsi="Garamond"/>
                <w:lang w:val="sq-AL"/>
              </w:rPr>
            </w:pPr>
          </w:p>
        </w:tc>
      </w:tr>
      <w:tr w:rsidR="00410865" w:rsidRPr="00445472" w14:paraId="1DBBB516" w14:textId="77777777" w:rsidTr="00410865">
        <w:trPr>
          <w:gridAfter w:val="1"/>
          <w:wAfter w:w="14" w:type="dxa"/>
          <w:trHeight w:val="679"/>
          <w:jc w:val="center"/>
        </w:trPr>
        <w:tc>
          <w:tcPr>
            <w:tcW w:w="3682" w:type="dxa"/>
            <w:shd w:val="clear" w:color="auto" w:fill="auto"/>
            <w:vAlign w:val="center"/>
          </w:tcPr>
          <w:p w14:paraId="666E519D"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Përgatitja e projekteve pilot për avantazhet e shoqatës së përbashkët bujqësore.</w:t>
            </w:r>
          </w:p>
        </w:tc>
        <w:tc>
          <w:tcPr>
            <w:tcW w:w="1275" w:type="dxa"/>
            <w:shd w:val="clear" w:color="auto" w:fill="auto"/>
            <w:vAlign w:val="center"/>
          </w:tcPr>
          <w:p w14:paraId="313DE28E" w14:textId="77777777" w:rsidR="00410865" w:rsidRPr="00445472" w:rsidRDefault="00410865" w:rsidP="00410865">
            <w:pPr>
              <w:pStyle w:val="TableTextCentre"/>
              <w:spacing w:after="0"/>
              <w:rPr>
                <w:rFonts w:ascii="Garamond" w:hAnsi="Garamond"/>
                <w:lang w:val="sq-AL"/>
              </w:rPr>
            </w:pPr>
          </w:p>
          <w:p w14:paraId="2E29385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0.3</w:t>
            </w:r>
          </w:p>
        </w:tc>
        <w:tc>
          <w:tcPr>
            <w:tcW w:w="1560" w:type="dxa"/>
            <w:shd w:val="clear" w:color="auto" w:fill="auto"/>
            <w:vAlign w:val="center"/>
          </w:tcPr>
          <w:p w14:paraId="7E63BB92" w14:textId="3A569B7F"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Ministria përgjegjëse për </w:t>
            </w:r>
            <w:r w:rsidR="00F2273F" w:rsidRPr="00445472">
              <w:rPr>
                <w:rFonts w:ascii="Garamond" w:hAnsi="Garamond"/>
                <w:lang w:val="sq-AL"/>
              </w:rPr>
              <w:t xml:space="preserve">ujitjen </w:t>
            </w:r>
            <w:r w:rsidRPr="00445472">
              <w:rPr>
                <w:rFonts w:ascii="Garamond" w:hAnsi="Garamond"/>
                <w:lang w:val="sq-AL"/>
              </w:rPr>
              <w:t xml:space="preserve">dhe </w:t>
            </w:r>
            <w:r w:rsidR="00F2273F" w:rsidRPr="00445472">
              <w:rPr>
                <w:rFonts w:ascii="Garamond" w:hAnsi="Garamond"/>
                <w:lang w:val="sq-AL"/>
              </w:rPr>
              <w:t>kullimin</w:t>
            </w:r>
            <w:r w:rsidRPr="00445472">
              <w:rPr>
                <w:rFonts w:ascii="Garamond" w:hAnsi="Garamond"/>
                <w:lang w:val="sq-AL"/>
              </w:rPr>
              <w:t>/AMBU (ZABU/</w:t>
            </w:r>
            <w:r w:rsidR="00F2273F" w:rsidRPr="00445472">
              <w:rPr>
                <w:rFonts w:ascii="Garamond" w:hAnsi="Garamond"/>
                <w:lang w:val="sq-AL"/>
              </w:rPr>
              <w:t xml:space="preserve">bordet </w:t>
            </w:r>
            <w:r w:rsidRPr="00445472">
              <w:rPr>
                <w:rFonts w:ascii="Garamond" w:hAnsi="Garamond"/>
                <w:lang w:val="sq-AL"/>
              </w:rPr>
              <w:t>e kullimit/OJQ)</w:t>
            </w:r>
          </w:p>
        </w:tc>
        <w:tc>
          <w:tcPr>
            <w:tcW w:w="2556" w:type="dxa"/>
            <w:shd w:val="clear" w:color="auto" w:fill="auto"/>
            <w:vAlign w:val="center"/>
          </w:tcPr>
          <w:p w14:paraId="531FB8F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0306B46B"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33442F8F"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9E14DC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3370B69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61876C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3924AB2"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E487FA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E56269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A12A75F"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8ABDCC7"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4417C09"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F403286"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4CDEFC92"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18C483B" w14:textId="77777777" w:rsidR="00410865" w:rsidRPr="00445472" w:rsidRDefault="00410865" w:rsidP="00410865">
            <w:pPr>
              <w:pStyle w:val="TableTextCentre"/>
              <w:spacing w:after="0"/>
              <w:rPr>
                <w:rFonts w:ascii="Garamond" w:hAnsi="Garamond"/>
                <w:lang w:val="sq-AL"/>
              </w:rPr>
            </w:pPr>
          </w:p>
        </w:tc>
      </w:tr>
      <w:tr w:rsidR="00410865" w:rsidRPr="00445472" w14:paraId="280895BA" w14:textId="77777777" w:rsidTr="00410865">
        <w:trPr>
          <w:gridAfter w:val="1"/>
          <w:wAfter w:w="14" w:type="dxa"/>
          <w:jc w:val="center"/>
        </w:trPr>
        <w:tc>
          <w:tcPr>
            <w:tcW w:w="3682" w:type="dxa"/>
            <w:tcBorders>
              <w:bottom w:val="single" w:sz="2" w:space="0" w:color="9FA2A1"/>
            </w:tcBorders>
            <w:shd w:val="clear" w:color="auto" w:fill="auto"/>
            <w:vAlign w:val="center"/>
          </w:tcPr>
          <w:p w14:paraId="451EC291"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Përgatitja dhe zbatimi i programeve ndërgjegjësuese të fermerëve në lidhje me ndikimet negative të përdorimit të pesticideve dhe për disponueshmërinë e alternativave.</w:t>
            </w:r>
          </w:p>
        </w:tc>
        <w:tc>
          <w:tcPr>
            <w:tcW w:w="1275" w:type="dxa"/>
            <w:tcBorders>
              <w:bottom w:val="single" w:sz="2" w:space="0" w:color="9FA2A1"/>
            </w:tcBorders>
            <w:shd w:val="clear" w:color="auto" w:fill="auto"/>
            <w:vAlign w:val="center"/>
          </w:tcPr>
          <w:p w14:paraId="481B09A5" w14:textId="77777777" w:rsidR="00410865" w:rsidRPr="00445472" w:rsidRDefault="00410865" w:rsidP="00410865">
            <w:pPr>
              <w:pStyle w:val="TableTextCentre"/>
              <w:spacing w:after="0"/>
              <w:rPr>
                <w:rFonts w:ascii="Garamond" w:hAnsi="Garamond"/>
                <w:lang w:val="sq-AL"/>
              </w:rPr>
            </w:pPr>
          </w:p>
          <w:p w14:paraId="504DD80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0.4</w:t>
            </w:r>
          </w:p>
        </w:tc>
        <w:tc>
          <w:tcPr>
            <w:tcW w:w="1560" w:type="dxa"/>
            <w:tcBorders>
              <w:bottom w:val="single" w:sz="2" w:space="0" w:color="9FA2A1"/>
            </w:tcBorders>
            <w:shd w:val="clear" w:color="auto" w:fill="auto"/>
            <w:vAlign w:val="center"/>
          </w:tcPr>
          <w:p w14:paraId="5565839F" w14:textId="1F244D0F"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Ministria përgjegjëse për </w:t>
            </w:r>
            <w:r w:rsidR="00F2273F" w:rsidRPr="00445472">
              <w:rPr>
                <w:rFonts w:ascii="Garamond" w:hAnsi="Garamond"/>
                <w:lang w:val="sq-AL"/>
              </w:rPr>
              <w:t xml:space="preserve">ujitjen dhe kullimin </w:t>
            </w:r>
            <w:r w:rsidRPr="00445472">
              <w:rPr>
                <w:rFonts w:ascii="Garamond" w:hAnsi="Garamond"/>
                <w:lang w:val="sq-AL"/>
              </w:rPr>
              <w:t>(ZABU/OJQ)</w:t>
            </w:r>
          </w:p>
        </w:tc>
        <w:tc>
          <w:tcPr>
            <w:tcW w:w="2556" w:type="dxa"/>
            <w:tcBorders>
              <w:bottom w:val="single" w:sz="2" w:space="0" w:color="9FA2A1"/>
            </w:tcBorders>
            <w:shd w:val="clear" w:color="auto" w:fill="auto"/>
            <w:vAlign w:val="center"/>
          </w:tcPr>
          <w:p w14:paraId="32774700" w14:textId="77777777" w:rsidR="00410865" w:rsidRPr="00445472" w:rsidRDefault="00410865" w:rsidP="00410865">
            <w:pPr>
              <w:pStyle w:val="TableTextCentre"/>
              <w:spacing w:after="0"/>
              <w:jc w:val="left"/>
              <w:rPr>
                <w:rFonts w:ascii="Garamond" w:hAnsi="Garamond"/>
                <w:lang w:val="sq-AL"/>
              </w:rPr>
            </w:pPr>
          </w:p>
          <w:p w14:paraId="24EB957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CD25849" w14:textId="77777777" w:rsidR="00410865" w:rsidRPr="00445472" w:rsidRDefault="00410865" w:rsidP="00410865">
            <w:pPr>
              <w:pStyle w:val="TableTextCentre"/>
              <w:spacing w:after="0"/>
              <w:rPr>
                <w:rFonts w:ascii="Garamond" w:hAnsi="Garamond"/>
                <w:lang w:val="sq-AL"/>
              </w:rPr>
            </w:pPr>
          </w:p>
        </w:tc>
        <w:tc>
          <w:tcPr>
            <w:tcW w:w="566" w:type="dxa"/>
            <w:tcBorders>
              <w:bottom w:val="single" w:sz="2" w:space="0" w:color="9FA2A1"/>
            </w:tcBorders>
            <w:shd w:val="clear" w:color="auto" w:fill="D2E7F6"/>
            <w:vAlign w:val="center"/>
          </w:tcPr>
          <w:p w14:paraId="2C91E919" w14:textId="77777777" w:rsidR="00410865" w:rsidRPr="00445472" w:rsidRDefault="00410865" w:rsidP="00410865">
            <w:pPr>
              <w:pStyle w:val="TableTextCentre"/>
              <w:spacing w:after="0"/>
              <w:rPr>
                <w:rFonts w:ascii="Garamond" w:hAnsi="Garamond"/>
                <w:lang w:val="sq-AL"/>
              </w:rPr>
            </w:pPr>
          </w:p>
        </w:tc>
        <w:tc>
          <w:tcPr>
            <w:tcW w:w="426" w:type="dxa"/>
            <w:tcBorders>
              <w:bottom w:val="single" w:sz="2" w:space="0" w:color="9FA2A1"/>
            </w:tcBorders>
            <w:shd w:val="clear" w:color="auto" w:fill="D2E7F6"/>
            <w:vAlign w:val="center"/>
          </w:tcPr>
          <w:p w14:paraId="74A8323B" w14:textId="77777777" w:rsidR="00410865" w:rsidRPr="00445472" w:rsidRDefault="00410865" w:rsidP="00410865">
            <w:pPr>
              <w:pStyle w:val="TableTextCentre"/>
              <w:spacing w:after="0"/>
              <w:rPr>
                <w:rFonts w:ascii="Garamond" w:hAnsi="Garamond"/>
                <w:lang w:val="sq-AL"/>
              </w:rPr>
            </w:pPr>
          </w:p>
        </w:tc>
        <w:tc>
          <w:tcPr>
            <w:tcW w:w="425" w:type="dxa"/>
            <w:tcBorders>
              <w:bottom w:val="single" w:sz="2" w:space="0" w:color="9FA2A1"/>
            </w:tcBorders>
            <w:shd w:val="clear" w:color="auto" w:fill="D2E7F6"/>
            <w:vAlign w:val="center"/>
          </w:tcPr>
          <w:p w14:paraId="739BEC9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FCFE06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4DFB165"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4A5467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38CDD6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E15BB24"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2B912F1"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118909A"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67030E5"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910AFEF"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03A4F80" w14:textId="77777777" w:rsidR="00410865" w:rsidRPr="00445472" w:rsidRDefault="00410865" w:rsidP="00410865">
            <w:pPr>
              <w:pStyle w:val="TableTextCentre"/>
              <w:spacing w:after="0"/>
              <w:rPr>
                <w:rFonts w:ascii="Garamond" w:hAnsi="Garamond"/>
                <w:lang w:val="sq-AL"/>
              </w:rPr>
            </w:pPr>
          </w:p>
        </w:tc>
      </w:tr>
      <w:tr w:rsidR="00410865" w:rsidRPr="00445472" w14:paraId="38E95F5A" w14:textId="77777777" w:rsidTr="00410865">
        <w:trPr>
          <w:gridAfter w:val="1"/>
          <w:wAfter w:w="14" w:type="dxa"/>
          <w:jc w:val="center"/>
        </w:trPr>
        <w:tc>
          <w:tcPr>
            <w:tcW w:w="9073" w:type="dxa"/>
            <w:gridSpan w:val="4"/>
            <w:shd w:val="clear" w:color="auto" w:fill="D9D9D9"/>
            <w:vAlign w:val="center"/>
          </w:tcPr>
          <w:p w14:paraId="6C64CB32"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b/>
                <w:lang w:val="sq-AL"/>
              </w:rPr>
              <w:t>Synimi</w:t>
            </w:r>
            <w:r w:rsidRPr="00445472">
              <w:rPr>
                <w:rFonts w:ascii="Garamond" w:hAnsi="Garamond"/>
                <w:lang w:val="sq-AL"/>
              </w:rPr>
              <w:t xml:space="preserve"> % e rasteve të përputhshmërisë së treguesve të cilësisë së ujit për lëndët ushqyese (shpërndarja e burimeve)</w:t>
            </w:r>
          </w:p>
        </w:tc>
        <w:tc>
          <w:tcPr>
            <w:tcW w:w="1417" w:type="dxa"/>
            <w:gridSpan w:val="3"/>
            <w:shd w:val="clear" w:color="auto" w:fill="D9D9D9"/>
            <w:vAlign w:val="center"/>
          </w:tcPr>
          <w:p w14:paraId="71D43A11"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30</w:t>
            </w:r>
          </w:p>
        </w:tc>
        <w:tc>
          <w:tcPr>
            <w:tcW w:w="2410" w:type="dxa"/>
            <w:gridSpan w:val="6"/>
            <w:shd w:val="clear" w:color="auto" w:fill="D9D9D9"/>
            <w:vAlign w:val="center"/>
          </w:tcPr>
          <w:p w14:paraId="75C49695"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c>
          <w:tcPr>
            <w:tcW w:w="1701" w:type="dxa"/>
            <w:gridSpan w:val="4"/>
            <w:shd w:val="clear" w:color="auto" w:fill="D9D9D9"/>
            <w:vAlign w:val="center"/>
          </w:tcPr>
          <w:p w14:paraId="11D1CE70"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95</w:t>
            </w:r>
          </w:p>
        </w:tc>
      </w:tr>
      <w:tr w:rsidR="00410865" w:rsidRPr="00445472" w14:paraId="366DDE9C" w14:textId="77777777" w:rsidTr="00410865">
        <w:trPr>
          <w:jc w:val="center"/>
        </w:trPr>
        <w:tc>
          <w:tcPr>
            <w:tcW w:w="14615" w:type="dxa"/>
            <w:gridSpan w:val="18"/>
            <w:shd w:val="clear" w:color="auto" w:fill="auto"/>
            <w:vAlign w:val="center"/>
          </w:tcPr>
          <w:p w14:paraId="6BFBD02A"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2d) Ulja e ndotjes nga përdorimi i pesticideve në bujqësi</w:t>
            </w:r>
          </w:p>
        </w:tc>
      </w:tr>
      <w:tr w:rsidR="00410865" w:rsidRPr="00445472" w14:paraId="281EBE21" w14:textId="77777777" w:rsidTr="00410865">
        <w:trPr>
          <w:gridAfter w:val="1"/>
          <w:wAfter w:w="14" w:type="dxa"/>
          <w:jc w:val="center"/>
        </w:trPr>
        <w:tc>
          <w:tcPr>
            <w:tcW w:w="3682" w:type="dxa"/>
            <w:shd w:val="clear" w:color="auto" w:fill="auto"/>
            <w:vAlign w:val="center"/>
          </w:tcPr>
          <w:p w14:paraId="3001CA2F"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Studim për vlerësimin e ndotjes së ujërave nëntokësore nga praktikat bujqësore.</w:t>
            </w:r>
          </w:p>
        </w:tc>
        <w:tc>
          <w:tcPr>
            <w:tcW w:w="1275" w:type="dxa"/>
            <w:shd w:val="clear" w:color="auto" w:fill="auto"/>
            <w:vAlign w:val="center"/>
          </w:tcPr>
          <w:p w14:paraId="4FB639CD" w14:textId="77777777" w:rsidR="00410865" w:rsidRPr="00445472" w:rsidRDefault="00410865" w:rsidP="00410865">
            <w:pPr>
              <w:pStyle w:val="TableTextCentre"/>
              <w:spacing w:after="0"/>
              <w:rPr>
                <w:rFonts w:ascii="Garamond" w:hAnsi="Garamond"/>
                <w:lang w:val="sq-AL"/>
              </w:rPr>
            </w:pPr>
          </w:p>
          <w:p w14:paraId="1CD4475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1.2</w:t>
            </w:r>
          </w:p>
        </w:tc>
        <w:tc>
          <w:tcPr>
            <w:tcW w:w="1560" w:type="dxa"/>
            <w:shd w:val="clear" w:color="auto" w:fill="auto"/>
            <w:vAlign w:val="center"/>
          </w:tcPr>
          <w:p w14:paraId="16C099BD" w14:textId="703B059E"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r w:rsidR="001D340B" w:rsidRPr="00445472">
              <w:rPr>
                <w:rFonts w:ascii="Garamond" w:hAnsi="Garamond"/>
                <w:lang w:val="sq-AL"/>
              </w:rPr>
              <w:t>/</w:t>
            </w:r>
            <w:r w:rsidRPr="00445472">
              <w:rPr>
                <w:rFonts w:ascii="Garamond" w:hAnsi="Garamond"/>
                <w:lang w:val="sq-AL"/>
              </w:rPr>
              <w:t>MTM</w:t>
            </w:r>
          </w:p>
          <w:p w14:paraId="75D69AAF" w14:textId="4E21EB8A" w:rsidR="00410865" w:rsidRPr="00445472" w:rsidRDefault="00410865" w:rsidP="00410865">
            <w:pPr>
              <w:pStyle w:val="TableTextCentre"/>
              <w:spacing w:after="0"/>
              <w:rPr>
                <w:rFonts w:ascii="Garamond" w:hAnsi="Garamond"/>
                <w:lang w:val="sq-AL"/>
              </w:rPr>
            </w:pPr>
            <w:r w:rsidRPr="00445472">
              <w:rPr>
                <w:rFonts w:ascii="Garamond" w:hAnsi="Garamond"/>
                <w:lang w:val="sq-AL"/>
              </w:rPr>
              <w:t>/AMBU (SHGJSH</w:t>
            </w:r>
            <w:r w:rsidR="001D340B" w:rsidRPr="00445472">
              <w:rPr>
                <w:rFonts w:ascii="Garamond" w:hAnsi="Garamond"/>
                <w:lang w:val="sq-AL"/>
              </w:rPr>
              <w:t>/</w:t>
            </w:r>
            <w:r w:rsidRPr="00445472">
              <w:rPr>
                <w:rFonts w:ascii="Garamond" w:hAnsi="Garamond"/>
                <w:lang w:val="sq-AL"/>
              </w:rPr>
              <w:t>ARM)</w:t>
            </w:r>
          </w:p>
        </w:tc>
        <w:tc>
          <w:tcPr>
            <w:tcW w:w="2556" w:type="dxa"/>
            <w:shd w:val="clear" w:color="auto" w:fill="auto"/>
            <w:vAlign w:val="center"/>
          </w:tcPr>
          <w:p w14:paraId="44F9202A" w14:textId="77777777" w:rsidR="00410865" w:rsidRPr="00445472" w:rsidRDefault="00410865" w:rsidP="00410865">
            <w:pPr>
              <w:pStyle w:val="TableTextCentre"/>
              <w:spacing w:after="0"/>
              <w:jc w:val="left"/>
              <w:rPr>
                <w:rFonts w:ascii="Garamond" w:hAnsi="Garamond"/>
                <w:lang w:val="sq-AL"/>
              </w:rPr>
            </w:pPr>
          </w:p>
          <w:p w14:paraId="2453B70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3AA0BA11"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430EFF0F"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15BB6F8"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6871DB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288CA6B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6E57AA6"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1C9F11E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D7F0F2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E754082"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63387FEF"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990E352"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166D7F0F"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01B013C2"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AF29A85" w14:textId="77777777" w:rsidR="00410865" w:rsidRPr="00445472" w:rsidRDefault="00410865" w:rsidP="00410865">
            <w:pPr>
              <w:pStyle w:val="TableTextCentre"/>
              <w:spacing w:after="0"/>
              <w:rPr>
                <w:rFonts w:ascii="Garamond" w:hAnsi="Garamond"/>
                <w:lang w:val="sq-AL"/>
              </w:rPr>
            </w:pPr>
          </w:p>
        </w:tc>
      </w:tr>
      <w:tr w:rsidR="00410865" w:rsidRPr="00445472" w14:paraId="5500E04C" w14:textId="77777777" w:rsidTr="00410865">
        <w:trPr>
          <w:gridAfter w:val="1"/>
          <w:wAfter w:w="14" w:type="dxa"/>
          <w:trHeight w:val="940"/>
          <w:jc w:val="center"/>
        </w:trPr>
        <w:tc>
          <w:tcPr>
            <w:tcW w:w="3682" w:type="dxa"/>
            <w:shd w:val="clear" w:color="auto" w:fill="auto"/>
            <w:vAlign w:val="center"/>
          </w:tcPr>
          <w:p w14:paraId="3E70D25A"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Forcimi i aftësisë së Autoritetit Vendor për kontrollin dhe monitorimin e përdorimit të kontributeve në bujqësi.</w:t>
            </w:r>
          </w:p>
        </w:tc>
        <w:tc>
          <w:tcPr>
            <w:tcW w:w="1275" w:type="dxa"/>
            <w:shd w:val="clear" w:color="auto" w:fill="auto"/>
            <w:vAlign w:val="center"/>
          </w:tcPr>
          <w:p w14:paraId="0942A2C9" w14:textId="77777777" w:rsidR="00410865" w:rsidRPr="00445472" w:rsidRDefault="00410865" w:rsidP="00410865">
            <w:pPr>
              <w:pStyle w:val="TableTextCentre"/>
              <w:spacing w:after="0"/>
              <w:rPr>
                <w:rFonts w:ascii="Garamond" w:hAnsi="Garamond"/>
                <w:lang w:val="sq-AL"/>
              </w:rPr>
            </w:pPr>
          </w:p>
          <w:p w14:paraId="5C6BB58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0.5</w:t>
            </w:r>
          </w:p>
        </w:tc>
        <w:tc>
          <w:tcPr>
            <w:tcW w:w="1560" w:type="dxa"/>
            <w:shd w:val="clear" w:color="auto" w:fill="auto"/>
            <w:vAlign w:val="center"/>
          </w:tcPr>
          <w:p w14:paraId="2B212629" w14:textId="02AB535E"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Ministria përgjegjëse për </w:t>
            </w:r>
            <w:r w:rsidR="00F2273F" w:rsidRPr="00445472">
              <w:rPr>
                <w:rFonts w:ascii="Garamond" w:hAnsi="Garamond"/>
                <w:lang w:val="sq-AL"/>
              </w:rPr>
              <w:t>ujitjen dhe kullimin/</w:t>
            </w:r>
          </w:p>
          <w:p w14:paraId="31C1CC5C" w14:textId="3BC471AF"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bashkitë</w:t>
            </w:r>
            <w:r w:rsidRPr="00445472">
              <w:rPr>
                <w:rFonts w:ascii="Garamond" w:hAnsi="Garamond"/>
                <w:lang w:val="sq-AL"/>
              </w:rPr>
              <w:t>)</w:t>
            </w:r>
          </w:p>
        </w:tc>
        <w:tc>
          <w:tcPr>
            <w:tcW w:w="2556" w:type="dxa"/>
            <w:shd w:val="clear" w:color="auto" w:fill="auto"/>
            <w:vAlign w:val="center"/>
          </w:tcPr>
          <w:p w14:paraId="72C9BA9D" w14:textId="77777777" w:rsidR="00410865" w:rsidRPr="00445472" w:rsidRDefault="00410865" w:rsidP="00410865">
            <w:pPr>
              <w:pStyle w:val="TableTextCentre"/>
              <w:spacing w:after="0"/>
              <w:jc w:val="left"/>
              <w:rPr>
                <w:rFonts w:ascii="Garamond" w:hAnsi="Garamond"/>
                <w:lang w:val="sq-AL"/>
              </w:rPr>
            </w:pPr>
          </w:p>
          <w:p w14:paraId="4009070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355F8A42" w14:textId="77777777" w:rsidR="00410865" w:rsidRPr="00445472" w:rsidRDefault="00410865" w:rsidP="00410865">
            <w:pPr>
              <w:pStyle w:val="TableTextCentre"/>
              <w:spacing w:after="0"/>
              <w:rPr>
                <w:rFonts w:ascii="Garamond" w:hAnsi="Garamond"/>
                <w:b/>
                <w:lang w:val="sq-AL"/>
              </w:rPr>
            </w:pPr>
          </w:p>
        </w:tc>
        <w:tc>
          <w:tcPr>
            <w:tcW w:w="566" w:type="dxa"/>
            <w:shd w:val="clear" w:color="auto" w:fill="D2E7F6"/>
            <w:vAlign w:val="center"/>
          </w:tcPr>
          <w:p w14:paraId="2D47E357"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9E9408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445D05D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FB59C36"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536A9AC"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0D17EE1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A15FAE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847C7EF"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4CE0F5E"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0304013"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616D1DA"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47D4D78"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6611D40D" w14:textId="77777777" w:rsidR="00410865" w:rsidRPr="00445472" w:rsidRDefault="00410865" w:rsidP="00410865">
            <w:pPr>
              <w:pStyle w:val="TableTextCentre"/>
              <w:spacing w:after="0"/>
              <w:rPr>
                <w:rFonts w:ascii="Garamond" w:hAnsi="Garamond"/>
                <w:lang w:val="sq-AL"/>
              </w:rPr>
            </w:pPr>
          </w:p>
        </w:tc>
      </w:tr>
      <w:tr w:rsidR="00410865" w:rsidRPr="00445472" w14:paraId="5E09ACBE" w14:textId="77777777" w:rsidTr="00410865">
        <w:trPr>
          <w:gridAfter w:val="1"/>
          <w:wAfter w:w="14" w:type="dxa"/>
          <w:trHeight w:val="205"/>
          <w:jc w:val="center"/>
        </w:trPr>
        <w:tc>
          <w:tcPr>
            <w:tcW w:w="9073" w:type="dxa"/>
            <w:gridSpan w:val="4"/>
            <w:shd w:val="clear" w:color="auto" w:fill="D9D9D9"/>
            <w:vAlign w:val="center"/>
          </w:tcPr>
          <w:p w14:paraId="1DA99AD4"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 e uljes së kontaminimit</w:t>
            </w:r>
          </w:p>
        </w:tc>
        <w:tc>
          <w:tcPr>
            <w:tcW w:w="1417" w:type="dxa"/>
            <w:gridSpan w:val="3"/>
            <w:shd w:val="clear" w:color="auto" w:fill="D9D9D9"/>
            <w:vAlign w:val="center"/>
          </w:tcPr>
          <w:p w14:paraId="0EA57AFB"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50</w:t>
            </w:r>
          </w:p>
        </w:tc>
        <w:tc>
          <w:tcPr>
            <w:tcW w:w="2410" w:type="dxa"/>
            <w:gridSpan w:val="6"/>
            <w:shd w:val="clear" w:color="auto" w:fill="D9D9D9"/>
            <w:vAlign w:val="center"/>
          </w:tcPr>
          <w:p w14:paraId="7D6B98FD" w14:textId="77777777" w:rsidR="00410865" w:rsidRPr="00445472" w:rsidRDefault="00410865" w:rsidP="00410865">
            <w:pPr>
              <w:pStyle w:val="TableTextCentre"/>
              <w:spacing w:after="0"/>
              <w:rPr>
                <w:rFonts w:ascii="Garamond" w:hAnsi="Garamond"/>
                <w:lang w:val="sq-AL"/>
              </w:rPr>
            </w:pPr>
          </w:p>
        </w:tc>
        <w:tc>
          <w:tcPr>
            <w:tcW w:w="1701" w:type="dxa"/>
            <w:gridSpan w:val="4"/>
            <w:shd w:val="clear" w:color="auto" w:fill="D9D9D9"/>
            <w:vAlign w:val="center"/>
          </w:tcPr>
          <w:p w14:paraId="23D92FC0" w14:textId="77777777" w:rsidR="00410865" w:rsidRPr="00445472" w:rsidRDefault="00410865" w:rsidP="00410865">
            <w:pPr>
              <w:pStyle w:val="TableTextCentre"/>
              <w:spacing w:after="0"/>
              <w:rPr>
                <w:rFonts w:ascii="Garamond" w:hAnsi="Garamond"/>
                <w:b/>
                <w:lang w:val="sq-AL"/>
              </w:rPr>
            </w:pPr>
            <w:r w:rsidRPr="00445472">
              <w:rPr>
                <w:rFonts w:ascii="Garamond" w:hAnsi="Garamond"/>
                <w:b/>
                <w:lang w:val="sq-AL"/>
              </w:rPr>
              <w:t>80</w:t>
            </w:r>
          </w:p>
        </w:tc>
      </w:tr>
      <w:tr w:rsidR="00410865" w:rsidRPr="00445472" w14:paraId="6C7FFCF5" w14:textId="77777777" w:rsidTr="00410865">
        <w:trPr>
          <w:jc w:val="center"/>
        </w:trPr>
        <w:tc>
          <w:tcPr>
            <w:tcW w:w="14615" w:type="dxa"/>
            <w:gridSpan w:val="18"/>
            <w:shd w:val="clear" w:color="auto" w:fill="auto"/>
            <w:vAlign w:val="center"/>
          </w:tcPr>
          <w:p w14:paraId="3434E69E"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2e) Ulja e përdorimit të paligjshëm të inerteve dhe zhavorrit lumor.</w:t>
            </w:r>
          </w:p>
        </w:tc>
      </w:tr>
      <w:tr w:rsidR="00410865" w:rsidRPr="00445472" w14:paraId="4910D25C" w14:textId="77777777" w:rsidTr="00410865">
        <w:trPr>
          <w:gridAfter w:val="1"/>
          <w:wAfter w:w="14" w:type="dxa"/>
          <w:jc w:val="center"/>
        </w:trPr>
        <w:tc>
          <w:tcPr>
            <w:tcW w:w="3682" w:type="dxa"/>
            <w:shd w:val="clear" w:color="auto" w:fill="auto"/>
            <w:vAlign w:val="center"/>
          </w:tcPr>
          <w:p w14:paraId="051840BD" w14:textId="38BC7C7E"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Zbatimi dhe realizimi i </w:t>
            </w:r>
            <w:r w:rsidR="00F2273F" w:rsidRPr="00445472">
              <w:rPr>
                <w:rFonts w:ascii="Garamond" w:hAnsi="Garamond"/>
                <w:lang w:val="sq-AL"/>
              </w:rPr>
              <w:t xml:space="preserve">regjimit të lejeve </w:t>
            </w:r>
            <w:r w:rsidRPr="00445472">
              <w:rPr>
                <w:rFonts w:ascii="Garamond" w:hAnsi="Garamond"/>
                <w:lang w:val="sq-AL"/>
              </w:rPr>
              <w:t>në lidhje me përdorimin e zhavorrit lumor dhe inerteve.</w:t>
            </w:r>
          </w:p>
        </w:tc>
        <w:tc>
          <w:tcPr>
            <w:tcW w:w="1275" w:type="dxa"/>
            <w:shd w:val="clear" w:color="auto" w:fill="auto"/>
            <w:vAlign w:val="center"/>
          </w:tcPr>
          <w:p w14:paraId="0E783E59" w14:textId="77777777" w:rsidR="00410865" w:rsidRPr="00445472" w:rsidRDefault="00410865" w:rsidP="00410865">
            <w:pPr>
              <w:pStyle w:val="TableTextCentre"/>
              <w:spacing w:after="0"/>
              <w:rPr>
                <w:rFonts w:ascii="Garamond" w:hAnsi="Garamond"/>
                <w:lang w:val="sq-AL"/>
              </w:rPr>
            </w:pPr>
          </w:p>
          <w:p w14:paraId="35FC8BD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shd w:val="clear" w:color="auto" w:fill="auto"/>
            <w:vAlign w:val="center"/>
          </w:tcPr>
          <w:p w14:paraId="348D70B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mjedisin/KKU/AMBU</w:t>
            </w:r>
          </w:p>
          <w:p w14:paraId="312A5D3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(AKM)</w:t>
            </w:r>
          </w:p>
        </w:tc>
        <w:tc>
          <w:tcPr>
            <w:tcW w:w="2556" w:type="dxa"/>
            <w:shd w:val="clear" w:color="auto" w:fill="auto"/>
            <w:vAlign w:val="center"/>
          </w:tcPr>
          <w:p w14:paraId="414627E6" w14:textId="77777777" w:rsidR="00410865" w:rsidRPr="00445472" w:rsidRDefault="00410865" w:rsidP="00410865">
            <w:pPr>
              <w:pStyle w:val="TableTextCentre"/>
              <w:spacing w:after="0"/>
              <w:rPr>
                <w:rFonts w:ascii="Garamond" w:hAnsi="Garamond"/>
                <w:lang w:val="sq-AL"/>
              </w:rPr>
            </w:pPr>
          </w:p>
          <w:p w14:paraId="3B75692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24F419A"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55947B46"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C4A0D76"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7FF34A5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3771F8E"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C02567C"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00BCD35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703EFC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D131405"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FF3B783"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3D42988"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3D4A1382"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DDB388B"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3E150FED" w14:textId="77777777" w:rsidR="00410865" w:rsidRPr="00445472" w:rsidRDefault="00410865" w:rsidP="00410865">
            <w:pPr>
              <w:pStyle w:val="TableTextCentre"/>
              <w:spacing w:after="0"/>
              <w:rPr>
                <w:rFonts w:ascii="Garamond" w:hAnsi="Garamond"/>
                <w:lang w:val="sq-AL"/>
              </w:rPr>
            </w:pPr>
          </w:p>
        </w:tc>
      </w:tr>
      <w:tr w:rsidR="00410865" w:rsidRPr="00445472" w14:paraId="11C6C76D" w14:textId="77777777" w:rsidTr="00410865">
        <w:trPr>
          <w:gridAfter w:val="1"/>
          <w:wAfter w:w="14" w:type="dxa"/>
          <w:jc w:val="center"/>
        </w:trPr>
        <w:tc>
          <w:tcPr>
            <w:tcW w:w="3682" w:type="dxa"/>
            <w:shd w:val="clear" w:color="auto" w:fill="auto"/>
            <w:vAlign w:val="center"/>
          </w:tcPr>
          <w:p w14:paraId="2562F667"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rehabilitimin/normalizimin e shtratit të lumit (kur kërkohet).</w:t>
            </w:r>
          </w:p>
        </w:tc>
        <w:tc>
          <w:tcPr>
            <w:tcW w:w="1275" w:type="dxa"/>
            <w:shd w:val="clear" w:color="auto" w:fill="auto"/>
            <w:vAlign w:val="center"/>
          </w:tcPr>
          <w:p w14:paraId="6093A53B" w14:textId="77777777" w:rsidR="00410865" w:rsidRPr="00445472" w:rsidRDefault="00410865" w:rsidP="00410865">
            <w:pPr>
              <w:pStyle w:val="TableTextCentre"/>
              <w:spacing w:after="0"/>
              <w:rPr>
                <w:rFonts w:ascii="Garamond" w:hAnsi="Garamond"/>
                <w:lang w:val="sq-AL"/>
              </w:rPr>
            </w:pPr>
          </w:p>
          <w:p w14:paraId="1B36C42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0.6</w:t>
            </w:r>
          </w:p>
        </w:tc>
        <w:tc>
          <w:tcPr>
            <w:tcW w:w="1560" w:type="dxa"/>
            <w:shd w:val="clear" w:color="auto" w:fill="auto"/>
            <w:vAlign w:val="center"/>
          </w:tcPr>
          <w:p w14:paraId="1F0F6EA6" w14:textId="77777777" w:rsidR="00410865" w:rsidRPr="00445472" w:rsidRDefault="00410865" w:rsidP="00410865">
            <w:pPr>
              <w:pStyle w:val="TableTextCentre"/>
              <w:spacing w:after="0"/>
              <w:rPr>
                <w:rFonts w:ascii="Garamond" w:hAnsi="Garamond"/>
                <w:lang w:val="sq-AL"/>
              </w:rPr>
            </w:pPr>
          </w:p>
          <w:p w14:paraId="2E149A6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Pr="00445472" w:rsidDel="00F716A2">
              <w:rPr>
                <w:rFonts w:ascii="Garamond" w:hAnsi="Garamond"/>
                <w:lang w:val="sq-AL"/>
              </w:rPr>
              <w:t xml:space="preserve"> </w:t>
            </w:r>
            <w:r w:rsidRPr="00445472">
              <w:rPr>
                <w:rFonts w:ascii="Garamond" w:hAnsi="Garamond"/>
                <w:lang w:val="sq-AL"/>
              </w:rPr>
              <w:t>(ARM)</w:t>
            </w:r>
          </w:p>
        </w:tc>
        <w:tc>
          <w:tcPr>
            <w:tcW w:w="2556" w:type="dxa"/>
            <w:shd w:val="clear" w:color="auto" w:fill="auto"/>
            <w:vAlign w:val="center"/>
          </w:tcPr>
          <w:p w14:paraId="6774B29E" w14:textId="77777777" w:rsidR="00410865" w:rsidRPr="00445472" w:rsidRDefault="00410865" w:rsidP="00410865">
            <w:pPr>
              <w:pStyle w:val="TableTextCentre"/>
              <w:spacing w:after="0"/>
              <w:rPr>
                <w:rFonts w:ascii="Garamond" w:hAnsi="Garamond"/>
                <w:lang w:val="sq-AL"/>
              </w:rPr>
            </w:pPr>
          </w:p>
          <w:p w14:paraId="02F536A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143DB986" w14:textId="77777777" w:rsidR="00410865" w:rsidRPr="00445472" w:rsidRDefault="00410865" w:rsidP="00410865">
            <w:pPr>
              <w:pStyle w:val="TableTextCentre"/>
              <w:spacing w:after="0"/>
              <w:jc w:val="left"/>
              <w:rPr>
                <w:rFonts w:ascii="Garamond" w:hAnsi="Garamond"/>
                <w:lang w:val="sq-AL"/>
              </w:rPr>
            </w:pPr>
          </w:p>
        </w:tc>
        <w:tc>
          <w:tcPr>
            <w:tcW w:w="566" w:type="dxa"/>
            <w:shd w:val="clear" w:color="auto" w:fill="D2E7F6"/>
            <w:vAlign w:val="center"/>
          </w:tcPr>
          <w:p w14:paraId="1F0306E7"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22C7F6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020175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A2D242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0D1A092"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509F32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9C21195"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52968FC"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0AD3595"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2FED6B26"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4234585D"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D2EAD2B"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32B62C1B" w14:textId="77777777" w:rsidR="00410865" w:rsidRPr="00445472" w:rsidRDefault="00410865" w:rsidP="00410865">
            <w:pPr>
              <w:pStyle w:val="TableTextCentre"/>
              <w:spacing w:after="0"/>
              <w:rPr>
                <w:rFonts w:ascii="Garamond" w:hAnsi="Garamond"/>
                <w:lang w:val="sq-AL"/>
              </w:rPr>
            </w:pPr>
          </w:p>
        </w:tc>
      </w:tr>
      <w:tr w:rsidR="00410865" w:rsidRPr="00445472" w14:paraId="693B0A2B" w14:textId="77777777" w:rsidTr="00410865">
        <w:trPr>
          <w:gridAfter w:val="1"/>
          <w:wAfter w:w="14" w:type="dxa"/>
          <w:jc w:val="center"/>
        </w:trPr>
        <w:tc>
          <w:tcPr>
            <w:tcW w:w="9073" w:type="dxa"/>
            <w:gridSpan w:val="4"/>
            <w:shd w:val="clear" w:color="auto" w:fill="D9D9D9"/>
            <w:vAlign w:val="center"/>
          </w:tcPr>
          <w:p w14:paraId="11DD5C3E"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 e uljes së numrit të kompanive që kryejnë punime të jashtëligjshme në shtratin e lumenjve</w:t>
            </w:r>
          </w:p>
        </w:tc>
        <w:tc>
          <w:tcPr>
            <w:tcW w:w="1417" w:type="dxa"/>
            <w:gridSpan w:val="3"/>
            <w:shd w:val="clear" w:color="auto" w:fill="D9D9D9"/>
            <w:vAlign w:val="center"/>
          </w:tcPr>
          <w:p w14:paraId="7428807A"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5</w:t>
            </w:r>
          </w:p>
        </w:tc>
        <w:tc>
          <w:tcPr>
            <w:tcW w:w="2410" w:type="dxa"/>
            <w:gridSpan w:val="6"/>
            <w:shd w:val="clear" w:color="auto" w:fill="D9D9D9"/>
            <w:vAlign w:val="center"/>
          </w:tcPr>
          <w:p w14:paraId="50D5ACE0"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c>
          <w:tcPr>
            <w:tcW w:w="1701" w:type="dxa"/>
            <w:gridSpan w:val="4"/>
            <w:shd w:val="clear" w:color="auto" w:fill="D9D9D9"/>
            <w:vAlign w:val="center"/>
          </w:tcPr>
          <w:p w14:paraId="3055DE39"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100</w:t>
            </w:r>
          </w:p>
        </w:tc>
      </w:tr>
      <w:tr w:rsidR="00410865" w:rsidRPr="00445472" w14:paraId="7F0D1F57" w14:textId="77777777" w:rsidTr="00410865">
        <w:trPr>
          <w:jc w:val="center"/>
        </w:trPr>
        <w:tc>
          <w:tcPr>
            <w:tcW w:w="14615" w:type="dxa"/>
            <w:gridSpan w:val="18"/>
            <w:shd w:val="clear" w:color="auto" w:fill="auto"/>
            <w:vAlign w:val="center"/>
          </w:tcPr>
          <w:p w14:paraId="19020F2E"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3. Parandalimi i ndotjes, me qëllim shmangien e përkeqësimit të cilësisë së ujërave nëntokësore dhe për arritjen e një statusi pozitiv kimik në TUN.</w:t>
            </w:r>
          </w:p>
        </w:tc>
      </w:tr>
      <w:tr w:rsidR="00410865" w:rsidRPr="00445472" w14:paraId="61220A39" w14:textId="77777777" w:rsidTr="00410865">
        <w:trPr>
          <w:jc w:val="center"/>
        </w:trPr>
        <w:tc>
          <w:tcPr>
            <w:tcW w:w="14615" w:type="dxa"/>
            <w:gridSpan w:val="18"/>
            <w:shd w:val="clear" w:color="auto" w:fill="auto"/>
            <w:vAlign w:val="center"/>
          </w:tcPr>
          <w:p w14:paraId="35783F52"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3a) Eliminimi/ulja e sasisë së substancave dhe nitrateve të rrezikshme që hyjnë në trupat e ujërave nëntokësore.</w:t>
            </w:r>
          </w:p>
        </w:tc>
      </w:tr>
      <w:tr w:rsidR="00410865" w:rsidRPr="00445472" w14:paraId="41DCB1B5" w14:textId="77777777" w:rsidTr="00410865">
        <w:trPr>
          <w:gridAfter w:val="1"/>
          <w:wAfter w:w="14" w:type="dxa"/>
          <w:jc w:val="center"/>
        </w:trPr>
        <w:tc>
          <w:tcPr>
            <w:tcW w:w="3682" w:type="dxa"/>
            <w:shd w:val="clear" w:color="auto" w:fill="auto"/>
            <w:vAlign w:val="center"/>
          </w:tcPr>
          <w:p w14:paraId="71EF19F3"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Regjistri i të gjitha fermave industriale dhe sipërfaqja e tyre e tokës bujqësore.</w:t>
            </w:r>
          </w:p>
        </w:tc>
        <w:tc>
          <w:tcPr>
            <w:tcW w:w="1275" w:type="dxa"/>
            <w:shd w:val="clear" w:color="auto" w:fill="auto"/>
            <w:vAlign w:val="center"/>
          </w:tcPr>
          <w:p w14:paraId="7CC37908" w14:textId="77777777" w:rsidR="00410865" w:rsidRPr="00445472" w:rsidRDefault="00410865" w:rsidP="00410865">
            <w:pPr>
              <w:pStyle w:val="TableTextCentre"/>
              <w:spacing w:after="0"/>
              <w:rPr>
                <w:rFonts w:ascii="Garamond" w:hAnsi="Garamond"/>
                <w:lang w:val="sq-AL"/>
              </w:rPr>
            </w:pPr>
          </w:p>
          <w:p w14:paraId="72072E8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0.05</w:t>
            </w:r>
          </w:p>
        </w:tc>
        <w:tc>
          <w:tcPr>
            <w:tcW w:w="1560" w:type="dxa"/>
            <w:shd w:val="clear" w:color="auto" w:fill="auto"/>
            <w:vAlign w:val="center"/>
          </w:tcPr>
          <w:p w14:paraId="1891C0C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p>
          <w:p w14:paraId="2A9E2967" w14:textId="10D033AB"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r w:rsidR="001D340B" w:rsidRPr="00445472">
              <w:rPr>
                <w:rFonts w:ascii="Garamond" w:hAnsi="Garamond"/>
                <w:lang w:val="sq-AL"/>
              </w:rPr>
              <w:t>/</w:t>
            </w:r>
            <w:r w:rsidRPr="00445472">
              <w:rPr>
                <w:rFonts w:ascii="Garamond" w:hAnsi="Garamond"/>
                <w:lang w:val="sq-AL"/>
              </w:rPr>
              <w:t>ZABU)</w:t>
            </w:r>
          </w:p>
        </w:tc>
        <w:tc>
          <w:tcPr>
            <w:tcW w:w="2556" w:type="dxa"/>
            <w:shd w:val="clear" w:color="auto" w:fill="auto"/>
            <w:vAlign w:val="center"/>
          </w:tcPr>
          <w:p w14:paraId="10A71F59" w14:textId="77777777" w:rsidR="00410865" w:rsidRPr="00445472" w:rsidRDefault="00410865" w:rsidP="00410865">
            <w:pPr>
              <w:pStyle w:val="TableTextCentre"/>
              <w:spacing w:after="0"/>
              <w:rPr>
                <w:rFonts w:ascii="Garamond" w:hAnsi="Garamond"/>
                <w:lang w:val="sq-AL"/>
              </w:rPr>
            </w:pPr>
          </w:p>
          <w:p w14:paraId="766A656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6AC04873"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6DA85AB0"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6EABF5E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560511A8"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1B832E2E"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28F4D84"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1E9D7A47"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A68A78C"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BF070B7"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220E191"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27A3D4A"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68DE98A"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D455309"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78F5C82" w14:textId="77777777" w:rsidR="00410865" w:rsidRPr="00445472" w:rsidRDefault="00410865" w:rsidP="00410865">
            <w:pPr>
              <w:pStyle w:val="TableTextCentre"/>
              <w:spacing w:after="0"/>
              <w:rPr>
                <w:rFonts w:ascii="Garamond" w:hAnsi="Garamond"/>
                <w:lang w:val="sq-AL"/>
              </w:rPr>
            </w:pPr>
          </w:p>
        </w:tc>
      </w:tr>
      <w:tr w:rsidR="00410865" w:rsidRPr="00445472" w14:paraId="32776EE8" w14:textId="77777777" w:rsidTr="00410865">
        <w:trPr>
          <w:gridAfter w:val="1"/>
          <w:wAfter w:w="14" w:type="dxa"/>
          <w:jc w:val="center"/>
        </w:trPr>
        <w:tc>
          <w:tcPr>
            <w:tcW w:w="3682" w:type="dxa"/>
            <w:shd w:val="clear" w:color="auto" w:fill="auto"/>
            <w:vAlign w:val="center"/>
          </w:tcPr>
          <w:p w14:paraId="4A9A355C"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Shtimi i personelit dhe i aftësive për autoritetin vendor për kontrollin dhe monitorimin e kontributeve bujqësore.</w:t>
            </w:r>
          </w:p>
        </w:tc>
        <w:tc>
          <w:tcPr>
            <w:tcW w:w="1275" w:type="dxa"/>
            <w:shd w:val="clear" w:color="auto" w:fill="auto"/>
            <w:vAlign w:val="center"/>
          </w:tcPr>
          <w:p w14:paraId="18FDE4A3" w14:textId="77777777" w:rsidR="00410865" w:rsidRPr="00445472" w:rsidRDefault="00410865" w:rsidP="00410865">
            <w:pPr>
              <w:pStyle w:val="TableTextCentre"/>
              <w:spacing w:after="0"/>
              <w:rPr>
                <w:rFonts w:ascii="Garamond" w:hAnsi="Garamond"/>
                <w:lang w:val="sq-AL"/>
              </w:rPr>
            </w:pPr>
          </w:p>
          <w:p w14:paraId="5F390F5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0.3</w:t>
            </w:r>
          </w:p>
        </w:tc>
        <w:tc>
          <w:tcPr>
            <w:tcW w:w="1560" w:type="dxa"/>
            <w:shd w:val="clear" w:color="auto" w:fill="auto"/>
            <w:vAlign w:val="center"/>
          </w:tcPr>
          <w:p w14:paraId="2B0F4DEF" w14:textId="41585031"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Ministria përgjegjëse për </w:t>
            </w:r>
            <w:r w:rsidR="00F2273F" w:rsidRPr="00445472">
              <w:rPr>
                <w:rFonts w:ascii="Garamond" w:hAnsi="Garamond"/>
                <w:lang w:val="sq-AL"/>
              </w:rPr>
              <w:t xml:space="preserve">ujitjen dhe kullimin/ministria </w:t>
            </w:r>
            <w:r w:rsidRPr="00445472">
              <w:rPr>
                <w:rFonts w:ascii="Garamond" w:hAnsi="Garamond"/>
                <w:lang w:val="sq-AL"/>
              </w:rPr>
              <w:t>përgjegjëse për mjedisin</w:t>
            </w:r>
          </w:p>
          <w:p w14:paraId="052D99ED" w14:textId="4DD68DB8"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bashkitë</w:t>
            </w:r>
            <w:r w:rsidRPr="00445472">
              <w:rPr>
                <w:rFonts w:ascii="Garamond" w:hAnsi="Garamond"/>
                <w:lang w:val="sq-AL"/>
              </w:rPr>
              <w:t>)</w:t>
            </w:r>
          </w:p>
        </w:tc>
        <w:tc>
          <w:tcPr>
            <w:tcW w:w="2556" w:type="dxa"/>
            <w:shd w:val="clear" w:color="auto" w:fill="auto"/>
            <w:vAlign w:val="center"/>
          </w:tcPr>
          <w:p w14:paraId="4176D33E" w14:textId="77777777" w:rsidR="00410865" w:rsidRPr="00445472" w:rsidRDefault="00410865" w:rsidP="00410865">
            <w:pPr>
              <w:pStyle w:val="TableTextCentre"/>
              <w:spacing w:after="0"/>
              <w:rPr>
                <w:rFonts w:ascii="Garamond" w:hAnsi="Garamond"/>
                <w:lang w:val="sq-AL"/>
              </w:rPr>
            </w:pPr>
          </w:p>
          <w:p w14:paraId="0692C99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484B8390"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1402F48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506B578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410A8FC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D3A4059"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EC3709F"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AC458E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99296C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7AEADAE"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349A2D5"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6AF8AF2D"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1653D78"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03F402A2"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4315B2C1" w14:textId="77777777" w:rsidR="00410865" w:rsidRPr="00445472" w:rsidRDefault="00410865" w:rsidP="00410865">
            <w:pPr>
              <w:pStyle w:val="TableTextCentre"/>
              <w:spacing w:after="0"/>
              <w:rPr>
                <w:rFonts w:ascii="Garamond" w:hAnsi="Garamond"/>
                <w:lang w:val="sq-AL"/>
              </w:rPr>
            </w:pPr>
          </w:p>
        </w:tc>
      </w:tr>
      <w:tr w:rsidR="00410865" w:rsidRPr="00445472" w14:paraId="62662134" w14:textId="77777777" w:rsidTr="00410865">
        <w:trPr>
          <w:gridAfter w:val="1"/>
          <w:wAfter w:w="14" w:type="dxa"/>
          <w:jc w:val="center"/>
        </w:trPr>
        <w:tc>
          <w:tcPr>
            <w:tcW w:w="9073" w:type="dxa"/>
            <w:gridSpan w:val="4"/>
            <w:shd w:val="clear" w:color="auto" w:fill="D9D9D9"/>
            <w:vAlign w:val="center"/>
          </w:tcPr>
          <w:p w14:paraId="2AE67720"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e uljes së kontaminimit</w:t>
            </w:r>
          </w:p>
        </w:tc>
        <w:tc>
          <w:tcPr>
            <w:tcW w:w="1417" w:type="dxa"/>
            <w:gridSpan w:val="3"/>
            <w:shd w:val="clear" w:color="auto" w:fill="D9D9D9"/>
            <w:vAlign w:val="center"/>
          </w:tcPr>
          <w:p w14:paraId="6674CCFB" w14:textId="77777777" w:rsidR="00410865" w:rsidRPr="00445472" w:rsidRDefault="00410865" w:rsidP="00410865">
            <w:pPr>
              <w:pStyle w:val="TableTextCentre"/>
              <w:spacing w:after="0"/>
              <w:rPr>
                <w:rFonts w:ascii="Garamond" w:hAnsi="Garamond"/>
                <w:highlight w:val="blue"/>
                <w:lang w:val="sq-AL"/>
              </w:rPr>
            </w:pPr>
            <w:r w:rsidRPr="00445472">
              <w:rPr>
                <w:rFonts w:ascii="Garamond" w:hAnsi="Garamond"/>
                <w:lang w:val="sq-AL"/>
              </w:rPr>
              <w:t>-</w:t>
            </w:r>
          </w:p>
        </w:tc>
        <w:tc>
          <w:tcPr>
            <w:tcW w:w="2410" w:type="dxa"/>
            <w:gridSpan w:val="6"/>
            <w:shd w:val="clear" w:color="auto" w:fill="D9D9D9"/>
            <w:vAlign w:val="center"/>
          </w:tcPr>
          <w:p w14:paraId="29E8A887"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c>
          <w:tcPr>
            <w:tcW w:w="1701" w:type="dxa"/>
            <w:gridSpan w:val="4"/>
            <w:shd w:val="clear" w:color="auto" w:fill="D9D9D9"/>
            <w:vAlign w:val="center"/>
          </w:tcPr>
          <w:p w14:paraId="5D9619BC"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80</w:t>
            </w:r>
          </w:p>
        </w:tc>
      </w:tr>
      <w:tr w:rsidR="00410865" w:rsidRPr="00445472" w14:paraId="4C6D337F" w14:textId="77777777" w:rsidTr="00410865">
        <w:trPr>
          <w:jc w:val="center"/>
        </w:trPr>
        <w:tc>
          <w:tcPr>
            <w:tcW w:w="14615" w:type="dxa"/>
            <w:gridSpan w:val="18"/>
            <w:shd w:val="clear" w:color="auto" w:fill="auto"/>
            <w:vAlign w:val="center"/>
          </w:tcPr>
          <w:p w14:paraId="0314B4EA"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3b) Rritja e efikasitetit të trajtimit të ujërave të ndotura, me qëllim shmangien e ndotjes së UN-ve nga burimet e ndotjeve urbane dhe industriale</w:t>
            </w:r>
          </w:p>
        </w:tc>
      </w:tr>
      <w:tr w:rsidR="00410865" w:rsidRPr="00445472" w14:paraId="2C0DD4B7" w14:textId="77777777" w:rsidTr="00410865">
        <w:trPr>
          <w:gridAfter w:val="1"/>
          <w:wAfter w:w="14" w:type="dxa"/>
          <w:jc w:val="center"/>
        </w:trPr>
        <w:tc>
          <w:tcPr>
            <w:tcW w:w="3682" w:type="dxa"/>
            <w:shd w:val="clear" w:color="auto" w:fill="auto"/>
            <w:vAlign w:val="center"/>
          </w:tcPr>
          <w:p w14:paraId="145D7BB7"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Funksionimi i ITUN-ve ekzistuese në përputhje me kushtet/kriteret e DKU 200/60/KE</w:t>
            </w:r>
          </w:p>
        </w:tc>
        <w:tc>
          <w:tcPr>
            <w:tcW w:w="1275" w:type="dxa"/>
            <w:shd w:val="clear" w:color="auto" w:fill="auto"/>
            <w:vAlign w:val="center"/>
          </w:tcPr>
          <w:p w14:paraId="615FC729" w14:textId="77777777" w:rsidR="00410865" w:rsidRPr="00445472" w:rsidRDefault="00410865" w:rsidP="00410865">
            <w:pPr>
              <w:pStyle w:val="TableTextCentre"/>
              <w:spacing w:after="0"/>
              <w:rPr>
                <w:rFonts w:ascii="Garamond" w:hAnsi="Garamond"/>
                <w:lang w:val="sq-AL"/>
              </w:rPr>
            </w:pPr>
          </w:p>
          <w:p w14:paraId="32686C2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7.0</w:t>
            </w:r>
          </w:p>
        </w:tc>
        <w:tc>
          <w:tcPr>
            <w:tcW w:w="1560" w:type="dxa"/>
            <w:shd w:val="clear" w:color="auto" w:fill="auto"/>
            <w:vAlign w:val="center"/>
          </w:tcPr>
          <w:p w14:paraId="6B08E79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MIE</w:t>
            </w:r>
          </w:p>
          <w:p w14:paraId="4FAA194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(ARM)</w:t>
            </w:r>
          </w:p>
        </w:tc>
        <w:tc>
          <w:tcPr>
            <w:tcW w:w="2556" w:type="dxa"/>
            <w:shd w:val="clear" w:color="auto" w:fill="auto"/>
            <w:vAlign w:val="center"/>
          </w:tcPr>
          <w:p w14:paraId="4B99595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Hua + Fonde kombëtare dhe/ose nga donatorë</w:t>
            </w:r>
          </w:p>
          <w:p w14:paraId="55054B8D" w14:textId="77777777" w:rsidR="00410865" w:rsidRPr="00445472" w:rsidRDefault="00410865" w:rsidP="00410865">
            <w:pPr>
              <w:pStyle w:val="TableTextCentre"/>
              <w:spacing w:after="0"/>
              <w:rPr>
                <w:rFonts w:ascii="Garamond" w:hAnsi="Garamond"/>
                <w:lang w:val="sq-AL"/>
              </w:rPr>
            </w:pPr>
          </w:p>
          <w:p w14:paraId="47303E1C"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20CB8281"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3A5A4988"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34C3C8D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55FD93AF"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5" w:type="dxa"/>
            <w:shd w:val="clear" w:color="auto" w:fill="99C8E5"/>
            <w:vAlign w:val="center"/>
          </w:tcPr>
          <w:p w14:paraId="7C1792C3"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2F663C26"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001E5AA5"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7882171"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C77BA0E"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8297053"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38C6CD56"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DC02406"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F32D479" w14:textId="77777777" w:rsidR="00410865" w:rsidRPr="00445472" w:rsidRDefault="00410865" w:rsidP="00410865">
            <w:pPr>
              <w:pStyle w:val="TableTextCentre"/>
              <w:spacing w:after="0"/>
              <w:rPr>
                <w:rFonts w:ascii="Garamond" w:hAnsi="Garamond"/>
                <w:lang w:val="sq-AL"/>
              </w:rPr>
            </w:pPr>
          </w:p>
        </w:tc>
      </w:tr>
      <w:tr w:rsidR="00410865" w:rsidRPr="00445472" w14:paraId="0C8C0E86" w14:textId="77777777" w:rsidTr="00410865">
        <w:trPr>
          <w:gridAfter w:val="1"/>
          <w:wAfter w:w="14" w:type="dxa"/>
          <w:jc w:val="center"/>
        </w:trPr>
        <w:tc>
          <w:tcPr>
            <w:tcW w:w="3682" w:type="dxa"/>
            <w:shd w:val="clear" w:color="auto" w:fill="auto"/>
            <w:vAlign w:val="center"/>
          </w:tcPr>
          <w:p w14:paraId="29A63125"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Studim fizibiliteti për përdorimin e teknologjisë efikase të ITUN-së, mbështetur në kapacitetin dhe kushtet vendore.</w:t>
            </w:r>
          </w:p>
        </w:tc>
        <w:tc>
          <w:tcPr>
            <w:tcW w:w="1275" w:type="dxa"/>
            <w:shd w:val="clear" w:color="auto" w:fill="auto"/>
            <w:vAlign w:val="center"/>
          </w:tcPr>
          <w:p w14:paraId="67B828EA" w14:textId="77777777" w:rsidR="00410865" w:rsidRPr="00445472" w:rsidRDefault="00410865" w:rsidP="00410865">
            <w:pPr>
              <w:pStyle w:val="TableTextCentre"/>
              <w:spacing w:after="0"/>
              <w:rPr>
                <w:rFonts w:ascii="Garamond" w:hAnsi="Garamond"/>
                <w:lang w:val="sq-AL"/>
              </w:rPr>
            </w:pPr>
          </w:p>
          <w:p w14:paraId="1F0675F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0.8</w:t>
            </w:r>
          </w:p>
        </w:tc>
        <w:tc>
          <w:tcPr>
            <w:tcW w:w="1560" w:type="dxa"/>
            <w:shd w:val="clear" w:color="auto" w:fill="auto"/>
            <w:vAlign w:val="center"/>
          </w:tcPr>
          <w:p w14:paraId="55E97B12" w14:textId="7D9F54B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AMBU</w:t>
            </w:r>
          </w:p>
          <w:p w14:paraId="79234DA8" w14:textId="77777777" w:rsidR="00410865" w:rsidRPr="00445472" w:rsidRDefault="00410865" w:rsidP="00410865">
            <w:pPr>
              <w:pStyle w:val="TableTextCentre"/>
              <w:spacing w:after="0"/>
              <w:rPr>
                <w:rFonts w:ascii="Garamond" w:hAnsi="Garamond"/>
                <w:lang w:val="sq-AL"/>
              </w:rPr>
            </w:pPr>
            <w:r w:rsidRPr="00445472" w:rsidDel="00941AA5">
              <w:rPr>
                <w:rFonts w:ascii="Garamond" w:hAnsi="Garamond"/>
                <w:lang w:val="sq-AL"/>
              </w:rPr>
              <w:t xml:space="preserve"> </w:t>
            </w:r>
            <w:r w:rsidRPr="00445472">
              <w:rPr>
                <w:rFonts w:ascii="Garamond" w:hAnsi="Garamond"/>
                <w:lang w:val="sq-AL"/>
              </w:rPr>
              <w:t>(ARM)</w:t>
            </w:r>
          </w:p>
        </w:tc>
        <w:tc>
          <w:tcPr>
            <w:tcW w:w="2556" w:type="dxa"/>
            <w:shd w:val="clear" w:color="auto" w:fill="auto"/>
            <w:vAlign w:val="center"/>
          </w:tcPr>
          <w:p w14:paraId="5A672A5A" w14:textId="77777777" w:rsidR="00410865" w:rsidRPr="00445472" w:rsidRDefault="00410865" w:rsidP="00410865">
            <w:pPr>
              <w:pStyle w:val="TableTextCentre"/>
              <w:spacing w:after="0"/>
              <w:jc w:val="left"/>
              <w:rPr>
                <w:rFonts w:ascii="Garamond" w:hAnsi="Garamond"/>
                <w:b/>
                <w:lang w:val="sq-AL"/>
              </w:rPr>
            </w:pPr>
          </w:p>
          <w:p w14:paraId="42D0B68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5BF65DB6" w14:textId="77777777" w:rsidR="00410865" w:rsidRPr="00445472" w:rsidRDefault="00410865" w:rsidP="00410865">
            <w:pPr>
              <w:pStyle w:val="TableTextCentre"/>
              <w:spacing w:after="0"/>
              <w:jc w:val="left"/>
              <w:rPr>
                <w:rFonts w:ascii="Garamond" w:hAnsi="Garamond"/>
                <w:b/>
                <w:lang w:val="sq-AL"/>
              </w:rPr>
            </w:pPr>
          </w:p>
        </w:tc>
        <w:tc>
          <w:tcPr>
            <w:tcW w:w="566" w:type="dxa"/>
            <w:shd w:val="clear" w:color="auto" w:fill="D2E7F6"/>
            <w:vAlign w:val="center"/>
          </w:tcPr>
          <w:p w14:paraId="1575E9B5"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67938F61"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2F07925"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7E645269"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9BA7B68"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21D28F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3B93997"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3E30FA1"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08DB48B1"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F80606D"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5B00234B"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2F56CB17"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FB9F8D7" w14:textId="77777777" w:rsidR="00410865" w:rsidRPr="00445472" w:rsidRDefault="00410865" w:rsidP="00410865">
            <w:pPr>
              <w:pStyle w:val="TableTextCentre"/>
              <w:spacing w:after="0"/>
              <w:rPr>
                <w:rFonts w:ascii="Garamond" w:hAnsi="Garamond"/>
                <w:lang w:val="sq-AL"/>
              </w:rPr>
            </w:pPr>
          </w:p>
        </w:tc>
      </w:tr>
      <w:tr w:rsidR="00410865" w:rsidRPr="00445472" w14:paraId="50717F3E" w14:textId="77777777" w:rsidTr="00410865">
        <w:trPr>
          <w:gridAfter w:val="1"/>
          <w:wAfter w:w="14" w:type="dxa"/>
          <w:jc w:val="center"/>
        </w:trPr>
        <w:tc>
          <w:tcPr>
            <w:tcW w:w="3682" w:type="dxa"/>
            <w:shd w:val="clear" w:color="auto" w:fill="auto"/>
            <w:vAlign w:val="center"/>
          </w:tcPr>
          <w:p w14:paraId="7415E9EB"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përcaktimin e teknologjisë së duhur të rezervuarëve septikë për mbrojtjen e UN-ve.</w:t>
            </w:r>
          </w:p>
        </w:tc>
        <w:tc>
          <w:tcPr>
            <w:tcW w:w="1275" w:type="dxa"/>
            <w:shd w:val="clear" w:color="auto" w:fill="auto"/>
            <w:vAlign w:val="center"/>
          </w:tcPr>
          <w:p w14:paraId="07BBC1E7" w14:textId="77777777" w:rsidR="00410865" w:rsidRPr="00445472" w:rsidRDefault="00410865" w:rsidP="00410865">
            <w:pPr>
              <w:pStyle w:val="TableTextCentre"/>
              <w:spacing w:after="0"/>
              <w:rPr>
                <w:rFonts w:ascii="Garamond" w:hAnsi="Garamond"/>
                <w:b/>
                <w:lang w:val="sq-AL"/>
              </w:rPr>
            </w:pPr>
          </w:p>
          <w:p w14:paraId="490A733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shd w:val="clear" w:color="auto" w:fill="auto"/>
            <w:vAlign w:val="center"/>
          </w:tcPr>
          <w:p w14:paraId="30F1E216" w14:textId="65D913E4"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AMBU</w:t>
            </w:r>
          </w:p>
          <w:p w14:paraId="4A7B442D" w14:textId="2AC99644" w:rsidR="00410865" w:rsidRPr="00445472" w:rsidRDefault="00410865" w:rsidP="00410865">
            <w:pPr>
              <w:pStyle w:val="TableTextCentre"/>
              <w:spacing w:after="0"/>
              <w:rPr>
                <w:rFonts w:ascii="Garamond" w:hAnsi="Garamond"/>
                <w:lang w:val="sq-AL"/>
              </w:rPr>
            </w:pPr>
            <w:r w:rsidRPr="00445472">
              <w:rPr>
                <w:rFonts w:ascii="Garamond" w:hAnsi="Garamond"/>
                <w:lang w:val="sq-AL"/>
              </w:rPr>
              <w:t>(SHGJSH</w:t>
            </w:r>
            <w:r w:rsidR="001D340B" w:rsidRPr="00445472">
              <w:rPr>
                <w:rFonts w:ascii="Garamond" w:hAnsi="Garamond"/>
                <w:lang w:val="sq-AL"/>
              </w:rPr>
              <w:t>/</w:t>
            </w:r>
            <w:r w:rsidRPr="00445472">
              <w:rPr>
                <w:rFonts w:ascii="Garamond" w:hAnsi="Garamond"/>
                <w:lang w:val="sq-AL"/>
              </w:rPr>
              <w:t>MSHMS</w:t>
            </w:r>
          </w:p>
          <w:p w14:paraId="75F3588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Bashkitë)</w:t>
            </w:r>
          </w:p>
        </w:tc>
        <w:tc>
          <w:tcPr>
            <w:tcW w:w="2556" w:type="dxa"/>
            <w:shd w:val="clear" w:color="auto" w:fill="auto"/>
            <w:vAlign w:val="center"/>
          </w:tcPr>
          <w:p w14:paraId="1398E9C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6C4D0E98"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6335C9DD"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218E0BD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6167ECF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6AF9FD91"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38194F8"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6D3CBA25"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DBE054B"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DDDDECC"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3B8F5B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39B6B9B5"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31FF1AE3"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22B750E8"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6DA790F9" w14:textId="77777777" w:rsidR="00410865" w:rsidRPr="00445472" w:rsidRDefault="00410865" w:rsidP="00410865">
            <w:pPr>
              <w:pStyle w:val="TableTextCentre"/>
              <w:spacing w:after="0"/>
              <w:rPr>
                <w:rFonts w:ascii="Garamond" w:hAnsi="Garamond"/>
                <w:lang w:val="sq-AL"/>
              </w:rPr>
            </w:pPr>
          </w:p>
        </w:tc>
      </w:tr>
      <w:tr w:rsidR="00410865" w:rsidRPr="00445472" w14:paraId="48E2F46E" w14:textId="77777777" w:rsidTr="00410865">
        <w:trPr>
          <w:gridAfter w:val="1"/>
          <w:wAfter w:w="14" w:type="dxa"/>
          <w:jc w:val="center"/>
        </w:trPr>
        <w:tc>
          <w:tcPr>
            <w:tcW w:w="9073" w:type="dxa"/>
            <w:gridSpan w:val="4"/>
            <w:shd w:val="clear" w:color="auto" w:fill="D9D9D9"/>
            <w:vAlign w:val="center"/>
          </w:tcPr>
          <w:p w14:paraId="2D2B3ED2" w14:textId="2D6FC60E"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xml:space="preserve">% e </w:t>
            </w:r>
            <w:r w:rsidR="004B51C9" w:rsidRPr="00445472">
              <w:rPr>
                <w:rFonts w:ascii="Garamond" w:hAnsi="Garamond"/>
                <w:lang w:val="sq-AL"/>
              </w:rPr>
              <w:t>uljes</w:t>
            </w:r>
            <w:r w:rsidRPr="00445472">
              <w:rPr>
                <w:rFonts w:ascii="Garamond" w:hAnsi="Garamond"/>
                <w:lang w:val="sq-AL"/>
              </w:rPr>
              <w:t xml:space="preserve"> së shkarkimeve të ujërave të ndotura të patrajtuara nga qytetet  me &gt;2,000 PE</w:t>
            </w:r>
          </w:p>
        </w:tc>
        <w:tc>
          <w:tcPr>
            <w:tcW w:w="1417" w:type="dxa"/>
            <w:gridSpan w:val="3"/>
            <w:shd w:val="clear" w:color="auto" w:fill="D9D9D9"/>
            <w:vAlign w:val="center"/>
          </w:tcPr>
          <w:p w14:paraId="6F15DB33"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10</w:t>
            </w:r>
          </w:p>
        </w:tc>
        <w:tc>
          <w:tcPr>
            <w:tcW w:w="2410" w:type="dxa"/>
            <w:gridSpan w:val="6"/>
            <w:shd w:val="clear" w:color="auto" w:fill="D9D9D9"/>
            <w:vAlign w:val="center"/>
          </w:tcPr>
          <w:p w14:paraId="3487165C"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c>
          <w:tcPr>
            <w:tcW w:w="1701" w:type="dxa"/>
            <w:gridSpan w:val="4"/>
            <w:shd w:val="clear" w:color="auto" w:fill="D9D9D9"/>
            <w:vAlign w:val="center"/>
          </w:tcPr>
          <w:p w14:paraId="3D719160"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95</w:t>
            </w:r>
          </w:p>
        </w:tc>
      </w:tr>
      <w:tr w:rsidR="00410865" w:rsidRPr="00445472" w14:paraId="22684EED" w14:textId="77777777" w:rsidTr="00410865">
        <w:trPr>
          <w:jc w:val="center"/>
        </w:trPr>
        <w:tc>
          <w:tcPr>
            <w:tcW w:w="14615" w:type="dxa"/>
            <w:gridSpan w:val="18"/>
            <w:shd w:val="clear" w:color="auto" w:fill="auto"/>
            <w:vAlign w:val="center"/>
          </w:tcPr>
          <w:p w14:paraId="45C7F0A9" w14:textId="03D007CE"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 xml:space="preserve">4. Ruajtja dhe arritja e cilësisë minimale </w:t>
            </w:r>
            <w:r w:rsidR="00D62EDF" w:rsidRPr="00445472">
              <w:rPr>
                <w:rFonts w:ascii="Garamond" w:hAnsi="Garamond"/>
                <w:b/>
                <w:lang w:val="sq-AL"/>
              </w:rPr>
              <w:t>“</w:t>
            </w:r>
            <w:r w:rsidRPr="00445472">
              <w:rPr>
                <w:rFonts w:ascii="Garamond" w:hAnsi="Garamond"/>
                <w:b/>
                <w:lang w:val="sq-AL"/>
              </w:rPr>
              <w:t>të mirë</w:t>
            </w:r>
            <w:r w:rsidR="00D62EDF" w:rsidRPr="00445472">
              <w:rPr>
                <w:rFonts w:ascii="Garamond" w:hAnsi="Garamond"/>
                <w:b/>
                <w:lang w:val="sq-AL"/>
              </w:rPr>
              <w:t>”</w:t>
            </w:r>
            <w:r w:rsidRPr="00445472">
              <w:rPr>
                <w:rFonts w:ascii="Garamond" w:hAnsi="Garamond"/>
                <w:b/>
                <w:lang w:val="sq-AL"/>
              </w:rPr>
              <w:t xml:space="preserve"> për ujërat larës (të brendshme, bregdetare dhe kalimtare)</w:t>
            </w:r>
          </w:p>
        </w:tc>
      </w:tr>
      <w:tr w:rsidR="00410865" w:rsidRPr="00445472" w14:paraId="5BD60BDD" w14:textId="77777777" w:rsidTr="00410865">
        <w:trPr>
          <w:jc w:val="center"/>
        </w:trPr>
        <w:tc>
          <w:tcPr>
            <w:tcW w:w="14615" w:type="dxa"/>
            <w:gridSpan w:val="18"/>
            <w:shd w:val="clear" w:color="auto" w:fill="auto"/>
            <w:vAlign w:val="center"/>
          </w:tcPr>
          <w:p w14:paraId="16A8912C" w14:textId="6636C4D2" w:rsidR="00410865" w:rsidRPr="00445472" w:rsidRDefault="00410865" w:rsidP="00E929FD">
            <w:pPr>
              <w:pStyle w:val="TableTextCentre"/>
              <w:spacing w:after="0"/>
              <w:jc w:val="left"/>
              <w:rPr>
                <w:rFonts w:ascii="Garamond" w:hAnsi="Garamond"/>
                <w:b/>
                <w:lang w:val="sq-AL"/>
              </w:rPr>
            </w:pPr>
            <w:r w:rsidRPr="00445472">
              <w:rPr>
                <w:rFonts w:ascii="Garamond" w:hAnsi="Garamond"/>
                <w:b/>
                <w:i/>
                <w:lang w:val="sq-AL"/>
              </w:rPr>
              <w:t>4a) Rritja e numrit të stacioneve bregdetare monitoruese për element</w:t>
            </w:r>
            <w:r w:rsidR="00E929FD">
              <w:rPr>
                <w:rFonts w:ascii="Garamond" w:hAnsi="Garamond"/>
                <w:b/>
                <w:i/>
                <w:lang w:val="sq-AL"/>
              </w:rPr>
              <w:t>e</w:t>
            </w:r>
            <w:r w:rsidRPr="00445472">
              <w:rPr>
                <w:rFonts w:ascii="Garamond" w:hAnsi="Garamond"/>
                <w:b/>
                <w:i/>
                <w:lang w:val="sq-AL"/>
              </w:rPr>
              <w:t xml:space="preserve"> mikrobiologjik</w:t>
            </w:r>
            <w:r w:rsidR="00E929FD">
              <w:rPr>
                <w:rFonts w:ascii="Garamond" w:hAnsi="Garamond"/>
                <w:b/>
                <w:i/>
                <w:lang w:val="sq-AL"/>
              </w:rPr>
              <w:t>e</w:t>
            </w:r>
            <w:r w:rsidRPr="00445472">
              <w:rPr>
                <w:rFonts w:ascii="Garamond" w:hAnsi="Garamond"/>
                <w:b/>
                <w:i/>
                <w:lang w:val="sq-AL"/>
              </w:rPr>
              <w:t>.</w:t>
            </w:r>
          </w:p>
        </w:tc>
      </w:tr>
      <w:tr w:rsidR="00410865" w:rsidRPr="00445472" w14:paraId="3A92FE5D" w14:textId="77777777" w:rsidTr="00410865">
        <w:trPr>
          <w:gridAfter w:val="1"/>
          <w:wAfter w:w="14" w:type="dxa"/>
          <w:jc w:val="center"/>
        </w:trPr>
        <w:tc>
          <w:tcPr>
            <w:tcW w:w="3682" w:type="dxa"/>
            <w:shd w:val="clear" w:color="auto" w:fill="auto"/>
            <w:vAlign w:val="center"/>
          </w:tcPr>
          <w:p w14:paraId="3D92170B"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Përfundimi i stacionit monitorues për zonat bregdetare.</w:t>
            </w:r>
          </w:p>
        </w:tc>
        <w:tc>
          <w:tcPr>
            <w:tcW w:w="1275" w:type="dxa"/>
            <w:shd w:val="clear" w:color="auto" w:fill="auto"/>
            <w:vAlign w:val="center"/>
          </w:tcPr>
          <w:p w14:paraId="288AE13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2.3</w:t>
            </w:r>
          </w:p>
        </w:tc>
        <w:tc>
          <w:tcPr>
            <w:tcW w:w="1560" w:type="dxa"/>
            <w:shd w:val="clear" w:color="auto" w:fill="auto"/>
            <w:vAlign w:val="center"/>
          </w:tcPr>
          <w:p w14:paraId="72EE6A6B" w14:textId="609F8A62"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AMBU</w:t>
            </w:r>
          </w:p>
          <w:p w14:paraId="3F75859B" w14:textId="77777777" w:rsidR="00410865" w:rsidRPr="00445472" w:rsidRDefault="00410865" w:rsidP="00410865">
            <w:pPr>
              <w:pStyle w:val="TableTextCentre"/>
              <w:spacing w:after="0"/>
              <w:rPr>
                <w:rFonts w:ascii="Garamond" w:hAnsi="Garamond"/>
                <w:lang w:val="sq-AL"/>
              </w:rPr>
            </w:pPr>
            <w:r w:rsidRPr="00445472" w:rsidDel="00941AA5">
              <w:rPr>
                <w:rFonts w:ascii="Garamond" w:hAnsi="Garamond"/>
                <w:lang w:val="sq-AL"/>
              </w:rPr>
              <w:t xml:space="preserve"> </w:t>
            </w:r>
          </w:p>
        </w:tc>
        <w:tc>
          <w:tcPr>
            <w:tcW w:w="2556" w:type="dxa"/>
            <w:shd w:val="clear" w:color="auto" w:fill="auto"/>
            <w:vAlign w:val="center"/>
          </w:tcPr>
          <w:p w14:paraId="1A93532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0EA5384"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5892BFF3"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10DAB4A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3152442A"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C0DC7A4"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7B0A3E2"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E8C15F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F3401D7"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9379622"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487681A"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79B16770"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5DA2428"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CA9DEBC"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BD2A1B8" w14:textId="77777777" w:rsidR="00410865" w:rsidRPr="00445472" w:rsidRDefault="00410865" w:rsidP="00410865">
            <w:pPr>
              <w:pStyle w:val="TableTextCentre"/>
              <w:spacing w:after="0"/>
              <w:rPr>
                <w:rFonts w:ascii="Garamond" w:hAnsi="Garamond"/>
                <w:lang w:val="sq-AL"/>
              </w:rPr>
            </w:pPr>
          </w:p>
        </w:tc>
      </w:tr>
      <w:tr w:rsidR="00410865" w:rsidRPr="00445472" w14:paraId="3CFA0F7E" w14:textId="77777777" w:rsidTr="00410865">
        <w:trPr>
          <w:gridAfter w:val="1"/>
          <w:wAfter w:w="14" w:type="dxa"/>
          <w:jc w:val="center"/>
        </w:trPr>
        <w:tc>
          <w:tcPr>
            <w:tcW w:w="3682" w:type="dxa"/>
            <w:shd w:val="clear" w:color="auto" w:fill="auto"/>
            <w:vAlign w:val="center"/>
          </w:tcPr>
          <w:p w14:paraId="34350C8E"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Zbatimi i aftësive dhe kapaciteteve në nivel vendor në lidhje me monitorimin e zonave bregdetare dhe të plazheve.</w:t>
            </w:r>
          </w:p>
        </w:tc>
        <w:tc>
          <w:tcPr>
            <w:tcW w:w="1275" w:type="dxa"/>
            <w:shd w:val="clear" w:color="auto" w:fill="auto"/>
            <w:vAlign w:val="center"/>
          </w:tcPr>
          <w:p w14:paraId="722F6419" w14:textId="77777777" w:rsidR="00410865" w:rsidRPr="00445472" w:rsidRDefault="00410865" w:rsidP="00410865">
            <w:pPr>
              <w:pStyle w:val="TableTextCentre"/>
              <w:spacing w:after="0"/>
              <w:rPr>
                <w:rFonts w:ascii="Garamond" w:hAnsi="Garamond"/>
                <w:lang w:val="sq-AL"/>
              </w:rPr>
            </w:pPr>
          </w:p>
          <w:p w14:paraId="1F1FFBF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0.4</w:t>
            </w:r>
          </w:p>
        </w:tc>
        <w:tc>
          <w:tcPr>
            <w:tcW w:w="1560" w:type="dxa"/>
            <w:shd w:val="clear" w:color="auto" w:fill="auto"/>
            <w:vAlign w:val="center"/>
          </w:tcPr>
          <w:p w14:paraId="2912B16A" w14:textId="27157A2A"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r w:rsidR="001D340B" w:rsidRPr="00445472">
              <w:rPr>
                <w:rFonts w:ascii="Garamond" w:hAnsi="Garamond"/>
                <w:lang w:val="sq-AL"/>
              </w:rPr>
              <w:t>/</w:t>
            </w:r>
            <w:r w:rsidRPr="00445472">
              <w:rPr>
                <w:rFonts w:ascii="Garamond" w:hAnsi="Garamond"/>
                <w:lang w:val="sq-AL"/>
              </w:rPr>
              <w:t>AMBU</w:t>
            </w:r>
          </w:p>
          <w:p w14:paraId="4D2CF23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ISHP</w:t>
            </w:r>
          </w:p>
          <w:p w14:paraId="505434F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(ARM)</w:t>
            </w:r>
          </w:p>
        </w:tc>
        <w:tc>
          <w:tcPr>
            <w:tcW w:w="2556" w:type="dxa"/>
            <w:shd w:val="clear" w:color="auto" w:fill="auto"/>
            <w:vAlign w:val="center"/>
          </w:tcPr>
          <w:p w14:paraId="4980C88A" w14:textId="77777777" w:rsidR="00410865" w:rsidRPr="00445472" w:rsidRDefault="00410865" w:rsidP="00410865">
            <w:pPr>
              <w:pStyle w:val="TableTextCentre"/>
              <w:spacing w:after="0"/>
              <w:jc w:val="left"/>
              <w:rPr>
                <w:rFonts w:ascii="Garamond" w:hAnsi="Garamond"/>
                <w:lang w:val="sq-AL"/>
              </w:rPr>
            </w:pPr>
          </w:p>
          <w:p w14:paraId="6C9A23A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057CA56"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72FA3675" w14:textId="77777777" w:rsidR="00410865" w:rsidRPr="00445472" w:rsidRDefault="00410865" w:rsidP="00410865">
            <w:pPr>
              <w:pStyle w:val="TableTextCentre"/>
              <w:spacing w:after="0"/>
              <w:rPr>
                <w:rFonts w:ascii="Garamond" w:hAnsi="Garamond"/>
                <w:highlight w:val="blue"/>
                <w:lang w:val="sq-AL"/>
              </w:rPr>
            </w:pPr>
          </w:p>
        </w:tc>
        <w:tc>
          <w:tcPr>
            <w:tcW w:w="426" w:type="dxa"/>
            <w:shd w:val="clear" w:color="auto" w:fill="D2E7F6"/>
            <w:vAlign w:val="center"/>
          </w:tcPr>
          <w:p w14:paraId="04081208"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44A8633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AF2480A"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BC25711"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3992D9D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1BB6BC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E21F833"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83B86A2"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3EA8C0FB"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B0025A3"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FB0D0DA"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3D49381A" w14:textId="77777777" w:rsidR="00410865" w:rsidRPr="00445472" w:rsidRDefault="00410865" w:rsidP="00410865">
            <w:pPr>
              <w:pStyle w:val="TableTextCentre"/>
              <w:spacing w:after="0"/>
              <w:rPr>
                <w:rFonts w:ascii="Garamond" w:hAnsi="Garamond"/>
                <w:lang w:val="sq-AL"/>
              </w:rPr>
            </w:pPr>
          </w:p>
        </w:tc>
      </w:tr>
      <w:tr w:rsidR="00410865" w:rsidRPr="00445472" w14:paraId="395E5A8C" w14:textId="77777777" w:rsidTr="00410865">
        <w:trPr>
          <w:gridAfter w:val="1"/>
          <w:wAfter w:w="14" w:type="dxa"/>
          <w:trHeight w:val="400"/>
          <w:jc w:val="center"/>
        </w:trPr>
        <w:tc>
          <w:tcPr>
            <w:tcW w:w="3682" w:type="dxa"/>
            <w:shd w:val="clear" w:color="auto" w:fill="auto"/>
            <w:vAlign w:val="center"/>
          </w:tcPr>
          <w:p w14:paraId="60312AA4"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Zbatimi i kërkesave për veprimtaritë e rrezikshme afër zonave bregdetare në raste katastrofash.</w:t>
            </w:r>
          </w:p>
        </w:tc>
        <w:tc>
          <w:tcPr>
            <w:tcW w:w="1275" w:type="dxa"/>
            <w:shd w:val="clear" w:color="auto" w:fill="auto"/>
            <w:vAlign w:val="center"/>
          </w:tcPr>
          <w:p w14:paraId="593DB58F" w14:textId="77777777" w:rsidR="00410865" w:rsidRPr="00445472" w:rsidRDefault="00410865" w:rsidP="00410865">
            <w:pPr>
              <w:pStyle w:val="TableTextCentre"/>
              <w:spacing w:after="0"/>
              <w:rPr>
                <w:rFonts w:ascii="Garamond" w:hAnsi="Garamond"/>
                <w:lang w:val="sq-AL"/>
              </w:rPr>
            </w:pPr>
          </w:p>
          <w:p w14:paraId="2F6B22F1" w14:textId="77777777" w:rsidR="00410865" w:rsidRPr="00445472" w:rsidRDefault="00410865" w:rsidP="00410865">
            <w:pPr>
              <w:pStyle w:val="TableTextCentre"/>
              <w:spacing w:after="0"/>
              <w:rPr>
                <w:rFonts w:ascii="Garamond" w:hAnsi="Garamond"/>
                <w:b/>
                <w:lang w:val="sq-AL"/>
              </w:rPr>
            </w:pPr>
          </w:p>
          <w:p w14:paraId="3C2831EC"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0.1</w:t>
            </w:r>
          </w:p>
        </w:tc>
        <w:tc>
          <w:tcPr>
            <w:tcW w:w="1560" w:type="dxa"/>
            <w:shd w:val="clear" w:color="auto" w:fill="auto"/>
            <w:vAlign w:val="center"/>
          </w:tcPr>
          <w:p w14:paraId="6D0FF150" w14:textId="3126EF05" w:rsidR="00410865" w:rsidRPr="00445472" w:rsidRDefault="00410865" w:rsidP="00410865">
            <w:pPr>
              <w:pStyle w:val="TableTextCentre"/>
              <w:spacing w:after="0"/>
              <w:rPr>
                <w:rFonts w:ascii="Garamond" w:hAnsi="Garamond"/>
                <w:lang w:val="sq-AL"/>
              </w:rPr>
            </w:pPr>
            <w:r w:rsidRPr="00445472">
              <w:rPr>
                <w:rFonts w:ascii="Garamond" w:hAnsi="Garamond"/>
                <w:lang w:val="sq-AL"/>
              </w:rPr>
              <w:t>MB</w:t>
            </w:r>
            <w:r w:rsidR="001D340B" w:rsidRPr="00445472">
              <w:rPr>
                <w:rFonts w:ascii="Garamond" w:hAnsi="Garamond"/>
                <w:lang w:val="sq-AL"/>
              </w:rPr>
              <w:t>/</w:t>
            </w:r>
            <w:r w:rsidRPr="00445472">
              <w:rPr>
                <w:rFonts w:ascii="Garamond" w:hAnsi="Garamond"/>
                <w:lang w:val="sq-AL"/>
              </w:rPr>
              <w:t>Ministria përgjegjëse për mjedisin</w:t>
            </w:r>
          </w:p>
          <w:p w14:paraId="17A98E50" w14:textId="77777777" w:rsidR="00410865" w:rsidRPr="00445472" w:rsidRDefault="00410865" w:rsidP="00410865">
            <w:pPr>
              <w:pStyle w:val="TableTextCentre"/>
              <w:spacing w:after="0"/>
              <w:jc w:val="left"/>
              <w:rPr>
                <w:rFonts w:ascii="Garamond" w:hAnsi="Garamond"/>
                <w:lang w:val="sq-AL"/>
              </w:rPr>
            </w:pPr>
            <w:r w:rsidRPr="00445472" w:rsidDel="00941AA5">
              <w:rPr>
                <w:rFonts w:ascii="Garamond" w:hAnsi="Garamond"/>
                <w:lang w:val="sq-AL"/>
              </w:rPr>
              <w:t xml:space="preserve"> </w:t>
            </w:r>
          </w:p>
        </w:tc>
        <w:tc>
          <w:tcPr>
            <w:tcW w:w="2556" w:type="dxa"/>
            <w:shd w:val="clear" w:color="auto" w:fill="auto"/>
            <w:vAlign w:val="center"/>
          </w:tcPr>
          <w:p w14:paraId="5EC55D77" w14:textId="77777777" w:rsidR="00410865" w:rsidRPr="00445472" w:rsidRDefault="00410865" w:rsidP="00410865">
            <w:pPr>
              <w:pStyle w:val="TableTextCentre"/>
              <w:spacing w:after="0"/>
              <w:jc w:val="left"/>
              <w:rPr>
                <w:rFonts w:ascii="Garamond" w:hAnsi="Garamond"/>
                <w:lang w:val="sq-AL"/>
              </w:rPr>
            </w:pPr>
          </w:p>
          <w:p w14:paraId="549F863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06ED63C6"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5C194A57"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145DA46"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7FD3942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72E6BAFC"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8A03F46"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56A81F4B"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AC5694D"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52655569"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48A7DF4"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200EC732"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1FC7C90"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E439160"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12D13D4" w14:textId="77777777" w:rsidR="00410865" w:rsidRPr="00445472" w:rsidRDefault="00410865" w:rsidP="00410865">
            <w:pPr>
              <w:pStyle w:val="TableTextCentre"/>
              <w:spacing w:after="0"/>
              <w:rPr>
                <w:rFonts w:ascii="Garamond" w:hAnsi="Garamond"/>
                <w:lang w:val="sq-AL"/>
              </w:rPr>
            </w:pPr>
          </w:p>
        </w:tc>
      </w:tr>
      <w:tr w:rsidR="00410865" w:rsidRPr="00445472" w14:paraId="4E9062B5" w14:textId="77777777" w:rsidTr="00410865">
        <w:trPr>
          <w:gridAfter w:val="1"/>
          <w:wAfter w:w="14" w:type="dxa"/>
          <w:jc w:val="center"/>
        </w:trPr>
        <w:tc>
          <w:tcPr>
            <w:tcW w:w="3682" w:type="dxa"/>
            <w:shd w:val="clear" w:color="auto" w:fill="auto"/>
            <w:vAlign w:val="center"/>
          </w:tcPr>
          <w:p w14:paraId="73C47EFB" w14:textId="340DD95C" w:rsidR="00410865" w:rsidRPr="00445472" w:rsidRDefault="00410865" w:rsidP="004B51C9">
            <w:pPr>
              <w:pStyle w:val="TableTextCentre"/>
              <w:spacing w:after="0"/>
              <w:jc w:val="left"/>
              <w:rPr>
                <w:rFonts w:ascii="Garamond" w:hAnsi="Garamond"/>
                <w:i/>
                <w:lang w:val="sq-AL"/>
              </w:rPr>
            </w:pPr>
            <w:r w:rsidRPr="00445472">
              <w:rPr>
                <w:rFonts w:ascii="Garamond" w:hAnsi="Garamond"/>
                <w:lang w:val="sq-AL"/>
              </w:rPr>
              <w:t>Studim për vlerësimin e rrezikut të ndotjes nga transporti detar.</w:t>
            </w:r>
          </w:p>
        </w:tc>
        <w:tc>
          <w:tcPr>
            <w:tcW w:w="1275" w:type="dxa"/>
            <w:shd w:val="clear" w:color="auto" w:fill="auto"/>
            <w:vAlign w:val="center"/>
          </w:tcPr>
          <w:p w14:paraId="54484B7C" w14:textId="77777777" w:rsidR="00410865" w:rsidRPr="00445472" w:rsidRDefault="00410865" w:rsidP="00410865">
            <w:pPr>
              <w:pStyle w:val="TableTextCentre"/>
              <w:spacing w:after="0"/>
              <w:rPr>
                <w:rFonts w:ascii="Garamond" w:hAnsi="Garamond"/>
                <w:lang w:val="sq-AL"/>
              </w:rPr>
            </w:pPr>
          </w:p>
          <w:p w14:paraId="7484A7E4"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shd w:val="clear" w:color="auto" w:fill="auto"/>
            <w:vAlign w:val="center"/>
          </w:tcPr>
          <w:p w14:paraId="2029B97C" w14:textId="16A3EAD1" w:rsidR="00410865" w:rsidRPr="00445472" w:rsidRDefault="00410865" w:rsidP="00410865">
            <w:pPr>
              <w:pStyle w:val="TableTextCentre"/>
              <w:spacing w:after="0"/>
              <w:rPr>
                <w:rFonts w:ascii="Garamond" w:hAnsi="Garamond"/>
                <w:lang w:val="sq-AL"/>
              </w:rPr>
            </w:pPr>
            <w:r w:rsidRPr="00445472">
              <w:rPr>
                <w:rFonts w:ascii="Garamond" w:hAnsi="Garamond"/>
                <w:lang w:val="sq-AL"/>
              </w:rPr>
              <w:t>MIE</w:t>
            </w:r>
            <w:r w:rsidR="001D340B" w:rsidRPr="00445472">
              <w:rPr>
                <w:rFonts w:ascii="Garamond" w:hAnsi="Garamond"/>
                <w:lang w:val="sq-AL"/>
              </w:rPr>
              <w:t>/</w:t>
            </w:r>
            <w:r w:rsidRPr="00445472">
              <w:rPr>
                <w:rFonts w:ascii="Garamond" w:hAnsi="Garamond"/>
                <w:lang w:val="sq-AL"/>
              </w:rPr>
              <w:t>Ministria përgjegjëse për mjedisin</w:t>
            </w:r>
          </w:p>
          <w:p w14:paraId="7BBD93F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(ARM)</w:t>
            </w:r>
          </w:p>
        </w:tc>
        <w:tc>
          <w:tcPr>
            <w:tcW w:w="2556" w:type="dxa"/>
            <w:shd w:val="clear" w:color="auto" w:fill="auto"/>
            <w:vAlign w:val="center"/>
          </w:tcPr>
          <w:p w14:paraId="32E3A88E" w14:textId="77777777" w:rsidR="00410865" w:rsidRPr="00445472" w:rsidRDefault="00410865" w:rsidP="00410865">
            <w:pPr>
              <w:pStyle w:val="TableTextCentre"/>
              <w:spacing w:after="0"/>
              <w:rPr>
                <w:rFonts w:ascii="Garamond" w:hAnsi="Garamond"/>
                <w:lang w:val="sq-AL"/>
              </w:rPr>
            </w:pPr>
          </w:p>
          <w:p w14:paraId="62C6206F"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65D71BC9"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0851E994"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497A9A66"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7F82076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3A62FE2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2BC9182"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1726E75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A84E605"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7792541"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D972DD8"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BC67B48"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28743B65"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0E175B0D"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310CAE88" w14:textId="77777777" w:rsidR="00410865" w:rsidRPr="00445472" w:rsidRDefault="00410865" w:rsidP="00410865">
            <w:pPr>
              <w:pStyle w:val="TableTextCentre"/>
              <w:spacing w:after="0"/>
              <w:rPr>
                <w:rFonts w:ascii="Garamond" w:hAnsi="Garamond"/>
                <w:lang w:val="sq-AL"/>
              </w:rPr>
            </w:pPr>
          </w:p>
        </w:tc>
      </w:tr>
      <w:tr w:rsidR="00410865" w:rsidRPr="00445472" w14:paraId="46925C7B" w14:textId="77777777" w:rsidTr="00410865">
        <w:trPr>
          <w:gridAfter w:val="1"/>
          <w:wAfter w:w="14" w:type="dxa"/>
          <w:jc w:val="center"/>
        </w:trPr>
        <w:tc>
          <w:tcPr>
            <w:tcW w:w="9073" w:type="dxa"/>
            <w:gridSpan w:val="4"/>
            <w:shd w:val="clear" w:color="auto" w:fill="D9D9D9"/>
            <w:vAlign w:val="center"/>
          </w:tcPr>
          <w:p w14:paraId="1427A8A7" w14:textId="77777777" w:rsidR="00410865" w:rsidRPr="00445472" w:rsidRDefault="00410865" w:rsidP="00410865">
            <w:pPr>
              <w:pStyle w:val="TableTextCentre"/>
              <w:spacing w:after="0"/>
              <w:jc w:val="right"/>
              <w:rPr>
                <w:rFonts w:ascii="Garamond" w:hAnsi="Garamond"/>
                <w:lang w:val="sq-AL"/>
              </w:rPr>
            </w:pPr>
            <w:r w:rsidRPr="00445472">
              <w:rPr>
                <w:rFonts w:ascii="Garamond" w:hAnsi="Garamond"/>
                <w:b/>
                <w:lang w:val="sq-AL"/>
              </w:rPr>
              <w:t xml:space="preserve">Synimi: </w:t>
            </w:r>
            <w:r w:rsidRPr="00445472">
              <w:rPr>
                <w:rFonts w:ascii="Garamond" w:hAnsi="Garamond"/>
                <w:lang w:val="sq-AL"/>
              </w:rPr>
              <w:t>Numri i stacioneve monitoruese</w:t>
            </w:r>
          </w:p>
        </w:tc>
        <w:tc>
          <w:tcPr>
            <w:tcW w:w="1417" w:type="dxa"/>
            <w:gridSpan w:val="3"/>
            <w:shd w:val="clear" w:color="auto" w:fill="D9D9D9"/>
            <w:vAlign w:val="center"/>
          </w:tcPr>
          <w:p w14:paraId="507DBB8D"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20</w:t>
            </w:r>
          </w:p>
        </w:tc>
        <w:tc>
          <w:tcPr>
            <w:tcW w:w="2410" w:type="dxa"/>
            <w:gridSpan w:val="6"/>
            <w:shd w:val="clear" w:color="auto" w:fill="D9D9D9"/>
            <w:vAlign w:val="center"/>
          </w:tcPr>
          <w:p w14:paraId="0290E27F"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30</w:t>
            </w:r>
          </w:p>
        </w:tc>
        <w:tc>
          <w:tcPr>
            <w:tcW w:w="1701" w:type="dxa"/>
            <w:gridSpan w:val="4"/>
            <w:shd w:val="clear" w:color="auto" w:fill="D9D9D9"/>
            <w:vAlign w:val="center"/>
          </w:tcPr>
          <w:p w14:paraId="0B4DE68D"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40</w:t>
            </w:r>
          </w:p>
        </w:tc>
      </w:tr>
      <w:tr w:rsidR="00410865" w:rsidRPr="00445472" w14:paraId="36CCF9C7" w14:textId="77777777" w:rsidTr="00410865">
        <w:trPr>
          <w:jc w:val="center"/>
        </w:trPr>
        <w:tc>
          <w:tcPr>
            <w:tcW w:w="14615" w:type="dxa"/>
            <w:gridSpan w:val="18"/>
            <w:shd w:val="clear" w:color="auto" w:fill="auto"/>
            <w:vAlign w:val="center"/>
          </w:tcPr>
          <w:p w14:paraId="77F2C06C" w14:textId="63D458FF" w:rsidR="00410865" w:rsidRPr="00445472" w:rsidRDefault="00410865" w:rsidP="004B51C9">
            <w:pPr>
              <w:pStyle w:val="TableTextCentre"/>
              <w:spacing w:after="0"/>
              <w:jc w:val="left"/>
              <w:rPr>
                <w:rFonts w:ascii="Garamond" w:hAnsi="Garamond"/>
                <w:b/>
                <w:lang w:val="sq-AL"/>
              </w:rPr>
            </w:pPr>
            <w:r w:rsidRPr="00445472">
              <w:rPr>
                <w:rFonts w:ascii="Garamond" w:hAnsi="Garamond"/>
                <w:b/>
                <w:i/>
                <w:lang w:val="sq-AL"/>
              </w:rPr>
              <w:t>4b) Rritja e numrit të parametrave monitoruese sipas kërkesave të Direktivave e</w:t>
            </w:r>
            <w:r w:rsidR="004B51C9" w:rsidRPr="00445472">
              <w:rPr>
                <w:rFonts w:ascii="Garamond" w:hAnsi="Garamond"/>
                <w:b/>
                <w:i/>
                <w:lang w:val="sq-AL"/>
              </w:rPr>
              <w:t>v</w:t>
            </w:r>
            <w:r w:rsidRPr="00445472">
              <w:rPr>
                <w:rFonts w:ascii="Garamond" w:hAnsi="Garamond"/>
                <w:b/>
                <w:i/>
                <w:lang w:val="sq-AL"/>
              </w:rPr>
              <w:t>ropiane</w:t>
            </w:r>
          </w:p>
        </w:tc>
      </w:tr>
      <w:tr w:rsidR="00410865" w:rsidRPr="00445472" w14:paraId="1439F093" w14:textId="77777777" w:rsidTr="00410865">
        <w:trPr>
          <w:gridAfter w:val="1"/>
          <w:wAfter w:w="14" w:type="dxa"/>
          <w:jc w:val="center"/>
        </w:trPr>
        <w:tc>
          <w:tcPr>
            <w:tcW w:w="3682" w:type="dxa"/>
            <w:shd w:val="clear" w:color="auto" w:fill="auto"/>
            <w:vAlign w:val="center"/>
          </w:tcPr>
          <w:p w14:paraId="70971B96"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Rritja graduale e parametrave monitorues në stacionet e zonave bregdetare.</w:t>
            </w:r>
          </w:p>
        </w:tc>
        <w:tc>
          <w:tcPr>
            <w:tcW w:w="1275" w:type="dxa"/>
            <w:shd w:val="clear" w:color="auto" w:fill="auto"/>
            <w:vAlign w:val="center"/>
          </w:tcPr>
          <w:p w14:paraId="700A3097" w14:textId="77777777" w:rsidR="00410865" w:rsidRPr="00445472" w:rsidRDefault="00410865" w:rsidP="00410865">
            <w:pPr>
              <w:pStyle w:val="TableTextCentre"/>
              <w:spacing w:after="0"/>
              <w:rPr>
                <w:rFonts w:ascii="Garamond" w:hAnsi="Garamond"/>
                <w:lang w:val="sq-AL"/>
              </w:rPr>
            </w:pPr>
          </w:p>
          <w:p w14:paraId="51F70EA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0.3</w:t>
            </w:r>
          </w:p>
        </w:tc>
        <w:tc>
          <w:tcPr>
            <w:tcW w:w="1560" w:type="dxa"/>
            <w:shd w:val="clear" w:color="auto" w:fill="auto"/>
            <w:vAlign w:val="center"/>
          </w:tcPr>
          <w:p w14:paraId="0DFA425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 (ARM/ISHP)</w:t>
            </w:r>
          </w:p>
        </w:tc>
        <w:tc>
          <w:tcPr>
            <w:tcW w:w="2556" w:type="dxa"/>
            <w:shd w:val="clear" w:color="auto" w:fill="auto"/>
            <w:vAlign w:val="center"/>
          </w:tcPr>
          <w:p w14:paraId="54CFA80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3D6DAC4C" w14:textId="77777777" w:rsidR="00410865" w:rsidRPr="00445472" w:rsidRDefault="00410865" w:rsidP="00410865">
            <w:pPr>
              <w:pStyle w:val="TableTextCentre"/>
              <w:spacing w:after="0"/>
              <w:rPr>
                <w:rFonts w:ascii="Garamond" w:hAnsi="Garamond"/>
                <w:lang w:val="sq-AL" w:eastAsia="en-GB"/>
              </w:rPr>
            </w:pPr>
          </w:p>
        </w:tc>
        <w:tc>
          <w:tcPr>
            <w:tcW w:w="566" w:type="dxa"/>
            <w:shd w:val="clear" w:color="auto" w:fill="D2E7F6"/>
            <w:vAlign w:val="center"/>
          </w:tcPr>
          <w:p w14:paraId="3377A957"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10A83E4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216920A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59175740"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6F7B1A3F"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372" w:type="dxa"/>
            <w:shd w:val="clear" w:color="auto" w:fill="99C8E5"/>
            <w:vAlign w:val="center"/>
          </w:tcPr>
          <w:p w14:paraId="60AAE79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2" w:type="dxa"/>
            <w:shd w:val="clear" w:color="auto" w:fill="99C8E5"/>
            <w:vAlign w:val="center"/>
          </w:tcPr>
          <w:p w14:paraId="1783335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F55863F"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2F0BD91B"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7494BFD1"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098F9B0F"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653C31BD"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514D0EB4" w14:textId="77777777" w:rsidR="00410865" w:rsidRPr="00445472" w:rsidRDefault="00410865" w:rsidP="00410865">
            <w:pPr>
              <w:pStyle w:val="TableTextCentre"/>
              <w:spacing w:after="0"/>
              <w:rPr>
                <w:rFonts w:ascii="Garamond" w:hAnsi="Garamond"/>
                <w:lang w:val="sq-AL"/>
              </w:rPr>
            </w:pPr>
          </w:p>
        </w:tc>
      </w:tr>
      <w:tr w:rsidR="00410865" w:rsidRPr="00445472" w14:paraId="6FCDB66A" w14:textId="77777777" w:rsidTr="00410865">
        <w:trPr>
          <w:gridAfter w:val="1"/>
          <w:wAfter w:w="14" w:type="dxa"/>
          <w:jc w:val="center"/>
        </w:trPr>
        <w:tc>
          <w:tcPr>
            <w:tcW w:w="3682" w:type="dxa"/>
            <w:shd w:val="clear" w:color="auto" w:fill="auto"/>
            <w:vAlign w:val="center"/>
          </w:tcPr>
          <w:p w14:paraId="0DCF016F"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Përmirësimi i shkëmbimit të informacionit ndërmjet Autoritetit Vendor dhe Agjencisë Rajonale Mjedisore.</w:t>
            </w:r>
          </w:p>
        </w:tc>
        <w:tc>
          <w:tcPr>
            <w:tcW w:w="1275" w:type="dxa"/>
            <w:shd w:val="clear" w:color="auto" w:fill="auto"/>
            <w:vAlign w:val="center"/>
          </w:tcPr>
          <w:p w14:paraId="5976C47B" w14:textId="77777777" w:rsidR="00410865" w:rsidRPr="00445472" w:rsidRDefault="00410865" w:rsidP="00410865">
            <w:pPr>
              <w:pStyle w:val="TableTextCentre"/>
              <w:spacing w:after="0"/>
              <w:jc w:val="left"/>
              <w:rPr>
                <w:rFonts w:ascii="Garamond" w:hAnsi="Garamond"/>
                <w:lang w:val="sq-AL"/>
              </w:rPr>
            </w:pPr>
          </w:p>
          <w:p w14:paraId="3C5C95A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0.1</w:t>
            </w:r>
          </w:p>
        </w:tc>
        <w:tc>
          <w:tcPr>
            <w:tcW w:w="1560" w:type="dxa"/>
            <w:shd w:val="clear" w:color="auto" w:fill="auto"/>
            <w:vAlign w:val="center"/>
          </w:tcPr>
          <w:p w14:paraId="46E4E70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ARM</w:t>
            </w:r>
          </w:p>
          <w:p w14:paraId="567FD175" w14:textId="2B0D1214"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 xml:space="preserve">autoriteti </w:t>
            </w:r>
            <w:r w:rsidRPr="00445472">
              <w:rPr>
                <w:rFonts w:ascii="Garamond" w:hAnsi="Garamond"/>
                <w:lang w:val="sq-AL"/>
              </w:rPr>
              <w:t>vendor)</w:t>
            </w:r>
          </w:p>
        </w:tc>
        <w:tc>
          <w:tcPr>
            <w:tcW w:w="2556" w:type="dxa"/>
            <w:shd w:val="clear" w:color="auto" w:fill="auto"/>
            <w:vAlign w:val="center"/>
          </w:tcPr>
          <w:p w14:paraId="00934E26" w14:textId="77777777" w:rsidR="00410865" w:rsidRPr="00445472" w:rsidRDefault="00410865" w:rsidP="00410865">
            <w:pPr>
              <w:pStyle w:val="TableTextCentre"/>
              <w:spacing w:after="0"/>
              <w:jc w:val="left"/>
              <w:rPr>
                <w:rFonts w:ascii="Garamond" w:hAnsi="Garamond"/>
                <w:b/>
                <w:lang w:val="sq-AL"/>
              </w:rPr>
            </w:pPr>
          </w:p>
          <w:p w14:paraId="2E29B6B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115332B9"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3FCD9094"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4C3043C9" w14:textId="77777777" w:rsidR="00410865" w:rsidRPr="00445472" w:rsidRDefault="00410865" w:rsidP="00410865">
            <w:pPr>
              <w:pStyle w:val="TableTextCentre"/>
              <w:spacing w:after="0"/>
              <w:rPr>
                <w:rFonts w:ascii="Garamond" w:hAnsi="Garamond"/>
                <w:highlight w:val="blue"/>
                <w:lang w:val="sq-AL"/>
              </w:rPr>
            </w:pPr>
          </w:p>
        </w:tc>
        <w:tc>
          <w:tcPr>
            <w:tcW w:w="425" w:type="dxa"/>
            <w:shd w:val="clear" w:color="auto" w:fill="D2E7F6"/>
            <w:vAlign w:val="center"/>
          </w:tcPr>
          <w:p w14:paraId="72A55939"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C5CCC6D"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1F1B6105" w14:textId="77777777" w:rsidR="00410865" w:rsidRPr="00445472" w:rsidRDefault="00410865" w:rsidP="00410865">
            <w:pPr>
              <w:pStyle w:val="TableTextCentre"/>
              <w:spacing w:after="0"/>
              <w:rPr>
                <w:rFonts w:ascii="Garamond" w:hAnsi="Garamond"/>
                <w:highlight w:val="blue"/>
                <w:lang w:val="sq-AL"/>
              </w:rPr>
            </w:pPr>
          </w:p>
        </w:tc>
        <w:tc>
          <w:tcPr>
            <w:tcW w:w="372" w:type="dxa"/>
            <w:shd w:val="clear" w:color="auto" w:fill="99C8E5"/>
            <w:vAlign w:val="center"/>
          </w:tcPr>
          <w:p w14:paraId="7865B41C" w14:textId="77777777" w:rsidR="00410865" w:rsidRPr="00445472" w:rsidRDefault="00410865" w:rsidP="00410865">
            <w:pPr>
              <w:pStyle w:val="TableTextCentre"/>
              <w:spacing w:after="0"/>
              <w:rPr>
                <w:rFonts w:ascii="Garamond" w:hAnsi="Garamond"/>
                <w:highlight w:val="blue"/>
                <w:lang w:val="sq-AL"/>
              </w:rPr>
            </w:pPr>
          </w:p>
        </w:tc>
        <w:tc>
          <w:tcPr>
            <w:tcW w:w="422" w:type="dxa"/>
            <w:shd w:val="clear" w:color="auto" w:fill="99C8E5"/>
            <w:vAlign w:val="center"/>
          </w:tcPr>
          <w:p w14:paraId="70BB985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7CF6F42"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BEC1F5B"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C7B9A82"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3CE34CC3"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7049F04"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075555EA" w14:textId="77777777" w:rsidR="00410865" w:rsidRPr="00445472" w:rsidRDefault="00410865" w:rsidP="00410865">
            <w:pPr>
              <w:pStyle w:val="TableTextCentre"/>
              <w:spacing w:after="0"/>
              <w:rPr>
                <w:rFonts w:ascii="Garamond" w:hAnsi="Garamond"/>
                <w:lang w:val="sq-AL"/>
              </w:rPr>
            </w:pPr>
          </w:p>
        </w:tc>
      </w:tr>
      <w:tr w:rsidR="00410865" w:rsidRPr="00445472" w14:paraId="44D449A8" w14:textId="77777777" w:rsidTr="00410865">
        <w:trPr>
          <w:gridAfter w:val="1"/>
          <w:wAfter w:w="14" w:type="dxa"/>
          <w:jc w:val="center"/>
        </w:trPr>
        <w:tc>
          <w:tcPr>
            <w:tcW w:w="9073" w:type="dxa"/>
            <w:gridSpan w:val="4"/>
            <w:shd w:val="clear" w:color="auto" w:fill="D9D9D9"/>
            <w:vAlign w:val="center"/>
          </w:tcPr>
          <w:p w14:paraId="41DBFA7E" w14:textId="44F047E8"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e parametrave të monitoruara rregullisht sipas Direktivës së BE-së për Ujërat Larës</w:t>
            </w:r>
            <w:r w:rsidR="00445472">
              <w:rPr>
                <w:rFonts w:ascii="Garamond" w:hAnsi="Garamond"/>
                <w:lang w:val="sq-AL"/>
              </w:rPr>
              <w:t>e</w:t>
            </w:r>
          </w:p>
        </w:tc>
        <w:tc>
          <w:tcPr>
            <w:tcW w:w="1417" w:type="dxa"/>
            <w:gridSpan w:val="3"/>
            <w:shd w:val="clear" w:color="auto" w:fill="D9D9D9"/>
            <w:vAlign w:val="center"/>
          </w:tcPr>
          <w:p w14:paraId="2F258286" w14:textId="77777777" w:rsidR="00410865" w:rsidRPr="00445472" w:rsidRDefault="00410865" w:rsidP="00410865">
            <w:pPr>
              <w:pStyle w:val="TableTextCentre"/>
              <w:spacing w:after="0"/>
              <w:rPr>
                <w:rFonts w:ascii="Garamond" w:hAnsi="Garamond"/>
                <w:highlight w:val="blue"/>
                <w:lang w:val="sq-AL"/>
              </w:rPr>
            </w:pPr>
            <w:r w:rsidRPr="00445472">
              <w:rPr>
                <w:rFonts w:ascii="Garamond" w:hAnsi="Garamond"/>
                <w:b/>
                <w:lang w:val="sq-AL"/>
              </w:rPr>
              <w:t>50</w:t>
            </w:r>
          </w:p>
        </w:tc>
        <w:tc>
          <w:tcPr>
            <w:tcW w:w="2410" w:type="dxa"/>
            <w:gridSpan w:val="6"/>
            <w:shd w:val="clear" w:color="auto" w:fill="D9D9D9"/>
            <w:vAlign w:val="center"/>
          </w:tcPr>
          <w:p w14:paraId="4D0D24D9"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75</w:t>
            </w:r>
          </w:p>
        </w:tc>
        <w:tc>
          <w:tcPr>
            <w:tcW w:w="1701" w:type="dxa"/>
            <w:gridSpan w:val="4"/>
            <w:shd w:val="clear" w:color="auto" w:fill="D9D9D9"/>
            <w:vAlign w:val="center"/>
          </w:tcPr>
          <w:p w14:paraId="0C4B6E54"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100</w:t>
            </w:r>
          </w:p>
        </w:tc>
      </w:tr>
      <w:tr w:rsidR="00410865" w:rsidRPr="00445472" w14:paraId="59B6AD33" w14:textId="77777777" w:rsidTr="00410865">
        <w:trPr>
          <w:jc w:val="center"/>
        </w:trPr>
        <w:tc>
          <w:tcPr>
            <w:tcW w:w="14615" w:type="dxa"/>
            <w:gridSpan w:val="18"/>
            <w:shd w:val="clear" w:color="auto" w:fill="auto"/>
            <w:vAlign w:val="center"/>
          </w:tcPr>
          <w:p w14:paraId="1F1A9444"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5. Ulja e rrezikut të përmbytjeve dhe humbjeve për jetën, mjetet e jetesës, shëndetin, ekonominë, asetet kulturore dhe mjedisore të personave, bizneseve dhe komuniteteve.</w:t>
            </w:r>
          </w:p>
        </w:tc>
      </w:tr>
      <w:tr w:rsidR="00410865" w:rsidRPr="00445472" w14:paraId="5D2845AA" w14:textId="77777777" w:rsidTr="00410865">
        <w:trPr>
          <w:jc w:val="center"/>
        </w:trPr>
        <w:tc>
          <w:tcPr>
            <w:tcW w:w="14615" w:type="dxa"/>
            <w:gridSpan w:val="18"/>
            <w:shd w:val="clear" w:color="auto" w:fill="auto"/>
            <w:vAlign w:val="center"/>
          </w:tcPr>
          <w:p w14:paraId="501F55B8"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5a) Ulja e numrit të banorëve të prekur nga përmbytjet.</w:t>
            </w:r>
          </w:p>
        </w:tc>
      </w:tr>
      <w:tr w:rsidR="00410865" w:rsidRPr="00445472" w14:paraId="70A4F918" w14:textId="77777777" w:rsidTr="00410865">
        <w:trPr>
          <w:gridAfter w:val="1"/>
          <w:wAfter w:w="14" w:type="dxa"/>
          <w:jc w:val="center"/>
        </w:trPr>
        <w:tc>
          <w:tcPr>
            <w:tcW w:w="3682" w:type="dxa"/>
            <w:shd w:val="clear" w:color="auto" w:fill="auto"/>
            <w:vAlign w:val="center"/>
          </w:tcPr>
          <w:p w14:paraId="6D057215"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Studim fizibiliteti për vlerësimin e rrezikut të përmbytjeve për zonën e Shkodrës dhe përgatitja e hartës së vlerësimit të rrezikut të përmbytjeve, mbrojtjes së tokës bujqësore dhe zonës urbane.</w:t>
            </w:r>
          </w:p>
        </w:tc>
        <w:tc>
          <w:tcPr>
            <w:tcW w:w="1275" w:type="dxa"/>
            <w:shd w:val="clear" w:color="auto" w:fill="auto"/>
            <w:vAlign w:val="center"/>
          </w:tcPr>
          <w:p w14:paraId="04F67BFB" w14:textId="77777777" w:rsidR="00410865" w:rsidRPr="00445472" w:rsidRDefault="00410865" w:rsidP="00410865">
            <w:pPr>
              <w:pStyle w:val="TableTextCentre"/>
              <w:spacing w:after="0"/>
              <w:rPr>
                <w:rFonts w:ascii="Garamond" w:hAnsi="Garamond"/>
                <w:lang w:val="sq-AL"/>
              </w:rPr>
            </w:pPr>
          </w:p>
          <w:p w14:paraId="7EFEF27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0.8</w:t>
            </w:r>
          </w:p>
        </w:tc>
        <w:tc>
          <w:tcPr>
            <w:tcW w:w="1560" w:type="dxa"/>
            <w:shd w:val="clear" w:color="auto" w:fill="auto"/>
            <w:vAlign w:val="center"/>
          </w:tcPr>
          <w:p w14:paraId="15A8DED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p>
          <w:p w14:paraId="0A7940F6" w14:textId="77777777" w:rsidR="00410865" w:rsidRPr="00445472" w:rsidRDefault="00410865" w:rsidP="00410865">
            <w:pPr>
              <w:pStyle w:val="TableTextCentre"/>
              <w:spacing w:after="0"/>
              <w:rPr>
                <w:rFonts w:ascii="Garamond" w:hAnsi="Garamond"/>
                <w:lang w:val="sq-AL"/>
              </w:rPr>
            </w:pPr>
            <w:r w:rsidRPr="00445472" w:rsidDel="00941AA5">
              <w:rPr>
                <w:rFonts w:ascii="Garamond" w:hAnsi="Garamond"/>
                <w:lang w:val="sq-AL"/>
              </w:rPr>
              <w:t xml:space="preserve"> </w:t>
            </w:r>
            <w:r w:rsidRPr="00445472">
              <w:rPr>
                <w:rFonts w:ascii="Garamond" w:hAnsi="Garamond"/>
                <w:lang w:val="sq-AL"/>
              </w:rPr>
              <w:t>ZABU        ARM             CE</w:t>
            </w:r>
          </w:p>
        </w:tc>
        <w:tc>
          <w:tcPr>
            <w:tcW w:w="2556" w:type="dxa"/>
            <w:shd w:val="clear" w:color="auto" w:fill="auto"/>
            <w:vAlign w:val="center"/>
          </w:tcPr>
          <w:p w14:paraId="68BDDDF4" w14:textId="77777777" w:rsidR="00410865" w:rsidRPr="00445472" w:rsidRDefault="00410865" w:rsidP="00410865">
            <w:pPr>
              <w:pStyle w:val="TableTextCentre"/>
              <w:spacing w:after="0"/>
              <w:jc w:val="left"/>
              <w:rPr>
                <w:rFonts w:ascii="Garamond" w:hAnsi="Garamond"/>
                <w:lang w:val="sq-AL"/>
              </w:rPr>
            </w:pPr>
          </w:p>
          <w:p w14:paraId="56F8C98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1576156"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303DE34E"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145F09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032CA99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6373485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58AC2CAB"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603A89E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0C8CDA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285CFF0"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2870F58"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62645ED6"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3F97169A"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224AEA23"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F05128A" w14:textId="77777777" w:rsidR="00410865" w:rsidRPr="00445472" w:rsidRDefault="00410865" w:rsidP="00410865">
            <w:pPr>
              <w:pStyle w:val="TableTextCentre"/>
              <w:spacing w:after="0"/>
              <w:rPr>
                <w:rFonts w:ascii="Garamond" w:hAnsi="Garamond"/>
                <w:lang w:val="sq-AL"/>
              </w:rPr>
            </w:pPr>
          </w:p>
        </w:tc>
      </w:tr>
      <w:tr w:rsidR="00410865" w:rsidRPr="00445472" w14:paraId="4659CC0C" w14:textId="77777777" w:rsidTr="00410865">
        <w:trPr>
          <w:gridAfter w:val="1"/>
          <w:wAfter w:w="14" w:type="dxa"/>
          <w:jc w:val="center"/>
        </w:trPr>
        <w:tc>
          <w:tcPr>
            <w:tcW w:w="3682" w:type="dxa"/>
            <w:shd w:val="clear" w:color="auto" w:fill="auto"/>
            <w:vAlign w:val="center"/>
          </w:tcPr>
          <w:p w14:paraId="03F4FA12"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vlerësimin e rrezikut të përmbytjeve për vendbanimet dhe uljen e rrezikut me të cilin përballet popullsia.</w:t>
            </w:r>
          </w:p>
        </w:tc>
        <w:tc>
          <w:tcPr>
            <w:tcW w:w="1275" w:type="dxa"/>
            <w:shd w:val="clear" w:color="auto" w:fill="auto"/>
            <w:vAlign w:val="center"/>
          </w:tcPr>
          <w:p w14:paraId="682A2AD3" w14:textId="77777777" w:rsidR="00410865" w:rsidRPr="00445472" w:rsidRDefault="00410865" w:rsidP="00410865">
            <w:pPr>
              <w:pStyle w:val="TableTextCentre"/>
              <w:spacing w:after="0"/>
              <w:rPr>
                <w:rFonts w:ascii="Garamond" w:hAnsi="Garamond"/>
                <w:lang w:val="sq-AL"/>
              </w:rPr>
            </w:pPr>
          </w:p>
          <w:p w14:paraId="34B9D9E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0.4</w:t>
            </w:r>
          </w:p>
        </w:tc>
        <w:tc>
          <w:tcPr>
            <w:tcW w:w="1560" w:type="dxa"/>
            <w:shd w:val="clear" w:color="auto" w:fill="auto"/>
            <w:vAlign w:val="center"/>
          </w:tcPr>
          <w:p w14:paraId="58E8AF4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mjedisin</w:t>
            </w:r>
          </w:p>
          <w:p w14:paraId="71984FFD" w14:textId="05CE499F" w:rsidR="00410865" w:rsidRPr="00445472" w:rsidRDefault="001D340B"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 xml:space="preserve">ministria </w:t>
            </w:r>
            <w:r w:rsidR="00410865" w:rsidRPr="00445472">
              <w:rPr>
                <w:rFonts w:ascii="Garamond" w:hAnsi="Garamond"/>
                <w:lang w:val="sq-AL"/>
              </w:rPr>
              <w:t>përgjegjëse për ujitjen dhe kullimin</w:t>
            </w:r>
            <w:r w:rsidRPr="00445472">
              <w:rPr>
                <w:rFonts w:ascii="Garamond" w:hAnsi="Garamond"/>
                <w:lang w:val="sq-AL"/>
              </w:rPr>
              <w:t>/</w:t>
            </w:r>
          </w:p>
          <w:p w14:paraId="7B419504"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Agjencia Kombëtare e Mbrojtjes Civile  </w:t>
            </w:r>
          </w:p>
          <w:p w14:paraId="1DFEC140" w14:textId="151A412A"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bashkitë</w:t>
            </w:r>
            <w:r w:rsidRPr="00445472">
              <w:rPr>
                <w:rFonts w:ascii="Garamond" w:hAnsi="Garamond"/>
                <w:lang w:val="sq-AL"/>
              </w:rPr>
              <w:t xml:space="preserve">) </w:t>
            </w:r>
          </w:p>
        </w:tc>
        <w:tc>
          <w:tcPr>
            <w:tcW w:w="2556" w:type="dxa"/>
            <w:shd w:val="clear" w:color="auto" w:fill="auto"/>
            <w:vAlign w:val="center"/>
          </w:tcPr>
          <w:p w14:paraId="5148856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66326907"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36F41C9E"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4DFAA287"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2339F9A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22C1328"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FE78692"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2022933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9767F6B"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2030EEE"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A6078E2"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720A4753"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0F5F281A"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092251E"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1A6C82B" w14:textId="77777777" w:rsidR="00410865" w:rsidRPr="00445472" w:rsidRDefault="00410865" w:rsidP="00410865">
            <w:pPr>
              <w:pStyle w:val="TableTextCentre"/>
              <w:spacing w:after="0"/>
              <w:rPr>
                <w:rFonts w:ascii="Garamond" w:hAnsi="Garamond"/>
                <w:lang w:val="sq-AL"/>
              </w:rPr>
            </w:pPr>
          </w:p>
        </w:tc>
      </w:tr>
      <w:tr w:rsidR="00410865" w:rsidRPr="00445472" w14:paraId="3F7277D8" w14:textId="77777777" w:rsidTr="00410865">
        <w:trPr>
          <w:gridAfter w:val="1"/>
          <w:wAfter w:w="14" w:type="dxa"/>
          <w:jc w:val="center"/>
        </w:trPr>
        <w:tc>
          <w:tcPr>
            <w:tcW w:w="3682" w:type="dxa"/>
            <w:shd w:val="clear" w:color="auto" w:fill="auto"/>
            <w:vAlign w:val="center"/>
          </w:tcPr>
          <w:p w14:paraId="7DF5CB90"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Përgatitja e një plani emergjence për përmirësimin e kapacitetit në lokal vendor për përmbytjet.</w:t>
            </w:r>
          </w:p>
        </w:tc>
        <w:tc>
          <w:tcPr>
            <w:tcW w:w="1275" w:type="dxa"/>
            <w:shd w:val="clear" w:color="auto" w:fill="auto"/>
            <w:vAlign w:val="center"/>
          </w:tcPr>
          <w:p w14:paraId="598F4008" w14:textId="77777777" w:rsidR="00410865" w:rsidRPr="00445472" w:rsidRDefault="00410865" w:rsidP="00410865">
            <w:pPr>
              <w:pStyle w:val="TableTextCentre"/>
              <w:spacing w:after="0"/>
              <w:rPr>
                <w:rFonts w:ascii="Garamond" w:hAnsi="Garamond"/>
                <w:lang w:val="sq-AL"/>
              </w:rPr>
            </w:pPr>
          </w:p>
          <w:p w14:paraId="6798625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shd w:val="clear" w:color="auto" w:fill="auto"/>
            <w:vAlign w:val="center"/>
          </w:tcPr>
          <w:p w14:paraId="5C00E7D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CE/MB</w:t>
            </w:r>
          </w:p>
          <w:p w14:paraId="29C9F25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Bashkitë</w:t>
            </w:r>
          </w:p>
        </w:tc>
        <w:tc>
          <w:tcPr>
            <w:tcW w:w="2556" w:type="dxa"/>
            <w:shd w:val="clear" w:color="auto" w:fill="auto"/>
            <w:vAlign w:val="center"/>
          </w:tcPr>
          <w:p w14:paraId="43632DB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4EDE19E7"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39948AE2"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12A0E36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413FF3E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D7DB652"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AC83EDA"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1F2033F3"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175A36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90A941E"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75E0F360"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51E597B8"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6FFA52C5"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146431A"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F89403F" w14:textId="77777777" w:rsidR="00410865" w:rsidRPr="00445472" w:rsidRDefault="00410865" w:rsidP="00410865">
            <w:pPr>
              <w:pStyle w:val="TableTextCentre"/>
              <w:spacing w:after="0"/>
              <w:rPr>
                <w:rFonts w:ascii="Garamond" w:hAnsi="Garamond"/>
                <w:lang w:val="sq-AL"/>
              </w:rPr>
            </w:pPr>
          </w:p>
        </w:tc>
      </w:tr>
      <w:tr w:rsidR="00410865" w:rsidRPr="00445472" w14:paraId="78091EC6" w14:textId="77777777" w:rsidTr="00410865">
        <w:trPr>
          <w:gridAfter w:val="1"/>
          <w:wAfter w:w="14" w:type="dxa"/>
          <w:jc w:val="center"/>
        </w:trPr>
        <w:tc>
          <w:tcPr>
            <w:tcW w:w="9073" w:type="dxa"/>
            <w:gridSpan w:val="4"/>
            <w:shd w:val="clear" w:color="auto" w:fill="D9D9D9"/>
            <w:vAlign w:val="center"/>
          </w:tcPr>
          <w:p w14:paraId="256C73D6"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 e popullsisë së prekur</w:t>
            </w:r>
          </w:p>
        </w:tc>
        <w:tc>
          <w:tcPr>
            <w:tcW w:w="1417" w:type="dxa"/>
            <w:gridSpan w:val="3"/>
            <w:shd w:val="clear" w:color="auto" w:fill="D9D9D9"/>
            <w:vAlign w:val="center"/>
          </w:tcPr>
          <w:p w14:paraId="4CA48E77" w14:textId="77777777" w:rsidR="00410865" w:rsidRPr="00445472" w:rsidRDefault="00410865" w:rsidP="00410865">
            <w:pPr>
              <w:pStyle w:val="TableTextCentre"/>
              <w:spacing w:after="0"/>
              <w:rPr>
                <w:rFonts w:ascii="Garamond" w:hAnsi="Garamond"/>
                <w:highlight w:val="blue"/>
                <w:lang w:val="sq-AL"/>
              </w:rPr>
            </w:pPr>
            <w:r w:rsidRPr="00445472">
              <w:rPr>
                <w:rFonts w:ascii="Garamond" w:hAnsi="Garamond"/>
                <w:b/>
                <w:lang w:val="sq-AL"/>
              </w:rPr>
              <w:t>&gt;10</w:t>
            </w:r>
          </w:p>
        </w:tc>
        <w:tc>
          <w:tcPr>
            <w:tcW w:w="2410" w:type="dxa"/>
            <w:gridSpan w:val="6"/>
            <w:shd w:val="clear" w:color="auto" w:fill="D9D9D9"/>
            <w:vAlign w:val="center"/>
          </w:tcPr>
          <w:p w14:paraId="5FFA4E22"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&gt;5</w:t>
            </w:r>
          </w:p>
        </w:tc>
        <w:tc>
          <w:tcPr>
            <w:tcW w:w="1701" w:type="dxa"/>
            <w:gridSpan w:val="4"/>
            <w:shd w:val="clear" w:color="auto" w:fill="D9D9D9"/>
            <w:vAlign w:val="center"/>
          </w:tcPr>
          <w:p w14:paraId="20946591"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&gt;1</w:t>
            </w:r>
          </w:p>
        </w:tc>
      </w:tr>
      <w:tr w:rsidR="00410865" w:rsidRPr="00445472" w14:paraId="2AB6BC1E" w14:textId="77777777" w:rsidTr="00410865">
        <w:trPr>
          <w:jc w:val="center"/>
        </w:trPr>
        <w:tc>
          <w:tcPr>
            <w:tcW w:w="14615" w:type="dxa"/>
            <w:gridSpan w:val="18"/>
            <w:shd w:val="clear" w:color="auto" w:fill="auto"/>
            <w:vAlign w:val="center"/>
          </w:tcPr>
          <w:p w14:paraId="10EE8D7D"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5b) Reduktimi i tokës bujqësore të prekur nga përmbytjet</w:t>
            </w:r>
          </w:p>
        </w:tc>
      </w:tr>
      <w:tr w:rsidR="00410865" w:rsidRPr="00445472" w14:paraId="26A567E9" w14:textId="77777777" w:rsidTr="00410865">
        <w:trPr>
          <w:gridAfter w:val="1"/>
          <w:wAfter w:w="14" w:type="dxa"/>
          <w:jc w:val="center"/>
        </w:trPr>
        <w:tc>
          <w:tcPr>
            <w:tcW w:w="3682" w:type="dxa"/>
            <w:tcBorders>
              <w:bottom w:val="single" w:sz="2" w:space="0" w:color="9FA2A1"/>
            </w:tcBorders>
            <w:shd w:val="clear" w:color="auto" w:fill="auto"/>
            <w:vAlign w:val="center"/>
          </w:tcPr>
          <w:p w14:paraId="3F5B9E38" w14:textId="454F4396"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 xml:space="preserve">Realizimi i infrastrukturës për mbrojtjen nga përmbytjet në lumin </w:t>
            </w:r>
            <w:r w:rsidR="007E76E3" w:rsidRPr="00445472">
              <w:rPr>
                <w:rFonts w:ascii="Garamond" w:hAnsi="Garamond"/>
                <w:lang w:val="sq-AL"/>
              </w:rPr>
              <w:t>Drin–Bunë</w:t>
            </w:r>
            <w:r w:rsidRPr="00445472">
              <w:rPr>
                <w:rFonts w:ascii="Garamond" w:hAnsi="Garamond"/>
                <w:lang w:val="sq-AL"/>
              </w:rPr>
              <w:t xml:space="preserve"> për mbrojtjen e tokës bujqësore dhe zonës urbane.</w:t>
            </w:r>
          </w:p>
        </w:tc>
        <w:tc>
          <w:tcPr>
            <w:tcW w:w="1275" w:type="dxa"/>
            <w:tcBorders>
              <w:bottom w:val="single" w:sz="2" w:space="0" w:color="9FA2A1"/>
            </w:tcBorders>
            <w:shd w:val="clear" w:color="auto" w:fill="auto"/>
            <w:vAlign w:val="center"/>
          </w:tcPr>
          <w:p w14:paraId="38D1A396" w14:textId="77777777" w:rsidR="00410865" w:rsidRPr="00445472" w:rsidRDefault="00410865" w:rsidP="00410865">
            <w:pPr>
              <w:pStyle w:val="TableTextCentre"/>
              <w:spacing w:after="0"/>
              <w:rPr>
                <w:rFonts w:ascii="Garamond" w:hAnsi="Garamond"/>
                <w:b/>
                <w:lang w:val="sq-AL"/>
              </w:rPr>
            </w:pPr>
          </w:p>
          <w:p w14:paraId="5D7D71C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80.0</w:t>
            </w:r>
          </w:p>
        </w:tc>
        <w:tc>
          <w:tcPr>
            <w:tcW w:w="1560" w:type="dxa"/>
            <w:tcBorders>
              <w:bottom w:val="single" w:sz="2" w:space="0" w:color="9FA2A1"/>
            </w:tcBorders>
            <w:shd w:val="clear" w:color="auto" w:fill="auto"/>
            <w:vAlign w:val="center"/>
          </w:tcPr>
          <w:p w14:paraId="3082D9A7" w14:textId="21A601DB" w:rsidR="00410865" w:rsidRPr="00445472" w:rsidRDefault="00410865" w:rsidP="00410865">
            <w:pPr>
              <w:pStyle w:val="TableTextCentre"/>
              <w:spacing w:after="0"/>
              <w:rPr>
                <w:rFonts w:ascii="Garamond" w:hAnsi="Garamond"/>
                <w:lang w:val="sq-AL"/>
              </w:rPr>
            </w:pPr>
            <w:r w:rsidRPr="00445472">
              <w:rPr>
                <w:rFonts w:ascii="Garamond" w:hAnsi="Garamond"/>
                <w:lang w:val="sq-AL"/>
              </w:rPr>
              <w:t>AMBU</w:t>
            </w:r>
            <w:r w:rsidR="001D340B" w:rsidRPr="00445472">
              <w:rPr>
                <w:rFonts w:ascii="Garamond" w:hAnsi="Garamond"/>
                <w:lang w:val="sq-AL"/>
              </w:rPr>
              <w:t>/</w:t>
            </w:r>
            <w:r w:rsidRPr="00445472">
              <w:rPr>
                <w:rFonts w:ascii="Garamond" w:hAnsi="Garamond"/>
                <w:lang w:val="sq-AL"/>
              </w:rPr>
              <w:t>Ministria përgjegjëse për ujitjen dhe kullimin</w:t>
            </w:r>
            <w:r w:rsidR="001D340B" w:rsidRPr="00445472">
              <w:rPr>
                <w:rFonts w:ascii="Garamond" w:hAnsi="Garamond"/>
                <w:lang w:val="sq-AL"/>
              </w:rPr>
              <w:t>/</w:t>
            </w:r>
          </w:p>
          <w:p w14:paraId="26E4A6E6"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 xml:space="preserve">Agjencia Kombëtare e Mbrojtjes Civile  </w:t>
            </w:r>
          </w:p>
          <w:p w14:paraId="2CE3871E" w14:textId="50D221A7"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r w:rsidR="00F2273F" w:rsidRPr="00445472">
              <w:rPr>
                <w:rFonts w:ascii="Garamond" w:hAnsi="Garamond"/>
                <w:lang w:val="sq-AL"/>
              </w:rPr>
              <w:t>bashkitë</w:t>
            </w:r>
            <w:r w:rsidRPr="00445472">
              <w:rPr>
                <w:rFonts w:ascii="Garamond" w:hAnsi="Garamond"/>
                <w:lang w:val="sq-AL"/>
              </w:rPr>
              <w:t>)</w:t>
            </w:r>
          </w:p>
        </w:tc>
        <w:tc>
          <w:tcPr>
            <w:tcW w:w="2556" w:type="dxa"/>
            <w:tcBorders>
              <w:bottom w:val="single" w:sz="2" w:space="0" w:color="9FA2A1"/>
            </w:tcBorders>
            <w:shd w:val="clear" w:color="auto" w:fill="auto"/>
            <w:vAlign w:val="center"/>
          </w:tcPr>
          <w:p w14:paraId="2FC36144"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Hua</w:t>
            </w:r>
          </w:p>
          <w:p w14:paraId="75773F99"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w:t>
            </w:r>
          </w:p>
          <w:p w14:paraId="7ACFBEE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nga donatorë (studime për planifikimin)</w:t>
            </w:r>
          </w:p>
        </w:tc>
        <w:tc>
          <w:tcPr>
            <w:tcW w:w="566" w:type="dxa"/>
            <w:shd w:val="clear" w:color="auto" w:fill="D2E7F6"/>
            <w:vAlign w:val="center"/>
          </w:tcPr>
          <w:p w14:paraId="0EDA7F9B"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6F5E03E5" w14:textId="77777777" w:rsidR="00410865" w:rsidRPr="00445472" w:rsidRDefault="00410865" w:rsidP="00410865">
            <w:pPr>
              <w:pStyle w:val="TableTextCentre"/>
              <w:spacing w:after="0"/>
              <w:jc w:val="left"/>
              <w:rPr>
                <w:rFonts w:ascii="Garamond" w:hAnsi="Garamond"/>
                <w:b/>
                <w:lang w:val="sq-AL"/>
              </w:rPr>
            </w:pPr>
          </w:p>
        </w:tc>
        <w:tc>
          <w:tcPr>
            <w:tcW w:w="425" w:type="dxa"/>
            <w:shd w:val="clear" w:color="auto" w:fill="D2E7F6"/>
            <w:vAlign w:val="center"/>
          </w:tcPr>
          <w:p w14:paraId="04C856F0"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14BBFAA6"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A8B746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72" w:type="dxa"/>
            <w:shd w:val="clear" w:color="auto" w:fill="99C8E5"/>
            <w:vAlign w:val="center"/>
          </w:tcPr>
          <w:p w14:paraId="22FD021D"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5F46C79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99C8E5"/>
            <w:vAlign w:val="center"/>
          </w:tcPr>
          <w:p w14:paraId="3963900C"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44" w:type="dxa"/>
            <w:shd w:val="clear" w:color="auto" w:fill="99C8E5"/>
            <w:vAlign w:val="center"/>
          </w:tcPr>
          <w:p w14:paraId="3B99EBEF"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91" w:type="dxa"/>
            <w:shd w:val="clear" w:color="auto" w:fill="276F9A"/>
            <w:vAlign w:val="center"/>
          </w:tcPr>
          <w:p w14:paraId="1AFD05E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31" w:type="dxa"/>
            <w:shd w:val="clear" w:color="auto" w:fill="276F9A"/>
            <w:vAlign w:val="center"/>
          </w:tcPr>
          <w:p w14:paraId="77D8D6E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422" w:type="dxa"/>
            <w:shd w:val="clear" w:color="auto" w:fill="276F9A"/>
            <w:vAlign w:val="center"/>
          </w:tcPr>
          <w:p w14:paraId="54B8F6D1"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c>
          <w:tcPr>
            <w:tcW w:w="357" w:type="dxa"/>
            <w:shd w:val="clear" w:color="auto" w:fill="276F9A"/>
            <w:vAlign w:val="center"/>
          </w:tcPr>
          <w:p w14:paraId="56E191DB"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red"/>
                <w:lang w:val="sq-AL"/>
              </w:rPr>
              <w:t>✓</w:t>
            </w:r>
          </w:p>
        </w:tc>
      </w:tr>
      <w:tr w:rsidR="00410865" w:rsidRPr="00445472" w14:paraId="175DCD12" w14:textId="77777777" w:rsidTr="00410865">
        <w:trPr>
          <w:gridAfter w:val="1"/>
          <w:wAfter w:w="14" w:type="dxa"/>
          <w:jc w:val="center"/>
        </w:trPr>
        <w:tc>
          <w:tcPr>
            <w:tcW w:w="9073" w:type="dxa"/>
            <w:gridSpan w:val="4"/>
            <w:shd w:val="clear" w:color="auto" w:fill="D9D9D9"/>
            <w:vAlign w:val="center"/>
          </w:tcPr>
          <w:p w14:paraId="329017F5" w14:textId="3B07B21F"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Sipërfaqja tokësore bujqësore e prekur (000</w:t>
            </w:r>
            <w:r w:rsidR="00F2273F" w:rsidRPr="00445472">
              <w:rPr>
                <w:rFonts w:ascii="Garamond" w:hAnsi="Garamond"/>
                <w:lang w:val="sq-AL"/>
              </w:rPr>
              <w:t xml:space="preserve"> </w:t>
            </w:r>
            <w:r w:rsidRPr="00445472">
              <w:rPr>
                <w:rFonts w:ascii="Garamond" w:hAnsi="Garamond"/>
                <w:lang w:val="sq-AL"/>
              </w:rPr>
              <w:t>ha)</w:t>
            </w:r>
          </w:p>
        </w:tc>
        <w:tc>
          <w:tcPr>
            <w:tcW w:w="1417" w:type="dxa"/>
            <w:gridSpan w:val="3"/>
            <w:shd w:val="clear" w:color="auto" w:fill="D9D9D9"/>
            <w:vAlign w:val="center"/>
          </w:tcPr>
          <w:p w14:paraId="5CF3E253"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3.0</w:t>
            </w:r>
          </w:p>
        </w:tc>
        <w:tc>
          <w:tcPr>
            <w:tcW w:w="2410" w:type="dxa"/>
            <w:gridSpan w:val="6"/>
            <w:shd w:val="clear" w:color="auto" w:fill="D9D9D9"/>
            <w:vAlign w:val="center"/>
          </w:tcPr>
          <w:p w14:paraId="133E7F91" w14:textId="77777777" w:rsidR="00410865" w:rsidRPr="00445472" w:rsidRDefault="00410865" w:rsidP="00410865">
            <w:pPr>
              <w:pStyle w:val="TableTextCentre"/>
              <w:spacing w:after="0"/>
              <w:rPr>
                <w:rFonts w:ascii="Garamond" w:hAnsi="Garamond"/>
                <w:b/>
                <w:highlight w:val="red"/>
                <w:lang w:val="sq-AL"/>
              </w:rPr>
            </w:pPr>
            <w:r w:rsidRPr="00445472">
              <w:rPr>
                <w:rFonts w:ascii="Garamond" w:hAnsi="Garamond"/>
                <w:b/>
                <w:lang w:val="sq-AL"/>
              </w:rPr>
              <w:t>1.7</w:t>
            </w:r>
          </w:p>
        </w:tc>
        <w:tc>
          <w:tcPr>
            <w:tcW w:w="1701" w:type="dxa"/>
            <w:gridSpan w:val="4"/>
            <w:shd w:val="clear" w:color="auto" w:fill="D9D9D9"/>
            <w:vAlign w:val="center"/>
          </w:tcPr>
          <w:p w14:paraId="5FB0A95A" w14:textId="77777777" w:rsidR="00410865" w:rsidRPr="00445472" w:rsidRDefault="00410865" w:rsidP="00410865">
            <w:pPr>
              <w:pStyle w:val="TableTextCentre"/>
              <w:spacing w:after="0"/>
              <w:rPr>
                <w:rFonts w:ascii="Garamond" w:hAnsi="Garamond"/>
                <w:b/>
                <w:highlight w:val="red"/>
                <w:lang w:val="sq-AL"/>
              </w:rPr>
            </w:pPr>
            <w:r w:rsidRPr="00445472">
              <w:rPr>
                <w:rFonts w:ascii="Garamond" w:hAnsi="Garamond"/>
                <w:b/>
                <w:lang w:val="sq-AL"/>
              </w:rPr>
              <w:t>1.0</w:t>
            </w:r>
          </w:p>
        </w:tc>
      </w:tr>
      <w:tr w:rsidR="00410865" w:rsidRPr="00445472" w14:paraId="4674BADB" w14:textId="77777777" w:rsidTr="00410865">
        <w:trPr>
          <w:jc w:val="center"/>
        </w:trPr>
        <w:tc>
          <w:tcPr>
            <w:tcW w:w="14615" w:type="dxa"/>
            <w:gridSpan w:val="18"/>
            <w:shd w:val="clear" w:color="auto" w:fill="auto"/>
            <w:vAlign w:val="center"/>
          </w:tcPr>
          <w:p w14:paraId="0490EA2F"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6. Përmirësimi i sigurisë se digave të ujitjes</w:t>
            </w:r>
          </w:p>
        </w:tc>
      </w:tr>
      <w:tr w:rsidR="00410865" w:rsidRPr="00445472" w14:paraId="06F364E5" w14:textId="77777777" w:rsidTr="00410865">
        <w:trPr>
          <w:jc w:val="center"/>
        </w:trPr>
        <w:tc>
          <w:tcPr>
            <w:tcW w:w="14615" w:type="dxa"/>
            <w:gridSpan w:val="18"/>
            <w:shd w:val="clear" w:color="auto" w:fill="auto"/>
            <w:vAlign w:val="center"/>
          </w:tcPr>
          <w:p w14:paraId="07313CBA"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6a) Vlerësimi dhe sigurimi i masave për përmirësimin e sigurisë së digave</w:t>
            </w:r>
          </w:p>
        </w:tc>
      </w:tr>
      <w:tr w:rsidR="00410865" w:rsidRPr="00445472" w14:paraId="752B7C56" w14:textId="77777777" w:rsidTr="00410865">
        <w:trPr>
          <w:gridAfter w:val="1"/>
          <w:wAfter w:w="14" w:type="dxa"/>
          <w:jc w:val="center"/>
        </w:trPr>
        <w:tc>
          <w:tcPr>
            <w:tcW w:w="3682" w:type="dxa"/>
            <w:shd w:val="clear" w:color="auto" w:fill="auto"/>
            <w:vAlign w:val="center"/>
          </w:tcPr>
          <w:p w14:paraId="427256F2"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Në bashkëpunim me DIRB përkatëse për përgatitjen e një liste për kushtet e digave dhe fillimin e një studimi për rehabilitimin për arsye sigurie</w:t>
            </w:r>
          </w:p>
        </w:tc>
        <w:tc>
          <w:tcPr>
            <w:tcW w:w="1275" w:type="dxa"/>
            <w:shd w:val="clear" w:color="auto" w:fill="auto"/>
            <w:vAlign w:val="center"/>
          </w:tcPr>
          <w:p w14:paraId="377E4CC5" w14:textId="77777777" w:rsidR="00410865" w:rsidRPr="00445472" w:rsidRDefault="00410865" w:rsidP="00410865">
            <w:pPr>
              <w:pStyle w:val="TableTextCentre"/>
              <w:spacing w:after="0"/>
              <w:rPr>
                <w:rFonts w:ascii="Garamond" w:hAnsi="Garamond"/>
                <w:lang w:val="sq-AL"/>
              </w:rPr>
            </w:pPr>
          </w:p>
          <w:p w14:paraId="0353E6A8"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0.2</w:t>
            </w:r>
          </w:p>
        </w:tc>
        <w:tc>
          <w:tcPr>
            <w:tcW w:w="1560" w:type="dxa"/>
            <w:shd w:val="clear" w:color="auto" w:fill="auto"/>
            <w:vAlign w:val="center"/>
          </w:tcPr>
          <w:p w14:paraId="44C45A47" w14:textId="7985559B"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KKDM</w:t>
            </w:r>
            <w:r w:rsidR="001D340B" w:rsidRPr="00445472">
              <w:rPr>
                <w:rFonts w:ascii="Garamond" w:hAnsi="Garamond"/>
                <w:lang w:val="sq-AL"/>
              </w:rPr>
              <w:t>/</w:t>
            </w:r>
            <w:r w:rsidRPr="00445472">
              <w:rPr>
                <w:rFonts w:ascii="Garamond" w:hAnsi="Garamond"/>
                <w:lang w:val="sq-AL"/>
              </w:rPr>
              <w:t xml:space="preserve">Ministria përgjegjëse për Ujitjen dhe Kullimin </w:t>
            </w:r>
          </w:p>
          <w:p w14:paraId="3BC825D2"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(SKDM)</w:t>
            </w:r>
          </w:p>
        </w:tc>
        <w:tc>
          <w:tcPr>
            <w:tcW w:w="2556" w:type="dxa"/>
            <w:shd w:val="clear" w:color="auto" w:fill="auto"/>
            <w:vAlign w:val="center"/>
          </w:tcPr>
          <w:p w14:paraId="085FB379" w14:textId="77777777" w:rsidR="00410865" w:rsidRPr="00445472" w:rsidRDefault="00410865" w:rsidP="00410865">
            <w:pPr>
              <w:pStyle w:val="TableTextCentre"/>
              <w:spacing w:after="0"/>
              <w:jc w:val="left"/>
              <w:rPr>
                <w:rFonts w:ascii="Garamond" w:hAnsi="Garamond"/>
                <w:lang w:val="sq-AL"/>
              </w:rPr>
            </w:pPr>
          </w:p>
          <w:p w14:paraId="5A74D5B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4F36ABA3"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7F6358DD"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21550F8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57413742"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7BF1C5E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054304F8"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772258E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BB9D309"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2E1EBCB"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01F9766"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66FFF6EC"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04B0B7E5"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0A8B7ED9"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248DF638" w14:textId="77777777" w:rsidR="00410865" w:rsidRPr="00445472" w:rsidRDefault="00410865" w:rsidP="00410865">
            <w:pPr>
              <w:pStyle w:val="TableTextCentre"/>
              <w:spacing w:after="0"/>
              <w:rPr>
                <w:rFonts w:ascii="Garamond" w:hAnsi="Garamond"/>
                <w:lang w:val="sq-AL"/>
              </w:rPr>
            </w:pPr>
          </w:p>
        </w:tc>
      </w:tr>
      <w:tr w:rsidR="00410865" w:rsidRPr="00445472" w14:paraId="092F64C1" w14:textId="77777777" w:rsidTr="00410865">
        <w:trPr>
          <w:gridAfter w:val="1"/>
          <w:wAfter w:w="14" w:type="dxa"/>
          <w:jc w:val="center"/>
        </w:trPr>
        <w:tc>
          <w:tcPr>
            <w:tcW w:w="3682" w:type="dxa"/>
            <w:tcBorders>
              <w:bottom w:val="single" w:sz="2" w:space="0" w:color="9FA2A1"/>
            </w:tcBorders>
            <w:shd w:val="clear" w:color="auto" w:fill="auto"/>
            <w:vAlign w:val="center"/>
          </w:tcPr>
          <w:p w14:paraId="204DDFB6"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Rritja e kapacitetit dhe njohurive të personelit për parametrat e sigurisë së digave, veçanërisht atyre në rrezik dhe në situatë të vështirë klimatike</w:t>
            </w:r>
          </w:p>
        </w:tc>
        <w:tc>
          <w:tcPr>
            <w:tcW w:w="1275" w:type="dxa"/>
            <w:tcBorders>
              <w:bottom w:val="single" w:sz="2" w:space="0" w:color="9FA2A1"/>
            </w:tcBorders>
            <w:shd w:val="clear" w:color="auto" w:fill="auto"/>
            <w:vAlign w:val="center"/>
          </w:tcPr>
          <w:p w14:paraId="668C1551" w14:textId="77777777" w:rsidR="00410865" w:rsidRPr="00445472" w:rsidRDefault="00410865" w:rsidP="00410865">
            <w:pPr>
              <w:pStyle w:val="TableTextCentre"/>
              <w:spacing w:after="0"/>
              <w:rPr>
                <w:rFonts w:ascii="Garamond" w:hAnsi="Garamond"/>
                <w:lang w:val="sq-AL"/>
              </w:rPr>
            </w:pPr>
          </w:p>
          <w:p w14:paraId="271ABA37"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0.3</w:t>
            </w:r>
          </w:p>
        </w:tc>
        <w:tc>
          <w:tcPr>
            <w:tcW w:w="1560" w:type="dxa"/>
            <w:tcBorders>
              <w:bottom w:val="single" w:sz="2" w:space="0" w:color="9FA2A1"/>
            </w:tcBorders>
            <w:shd w:val="clear" w:color="auto" w:fill="auto"/>
            <w:vAlign w:val="center"/>
          </w:tcPr>
          <w:p w14:paraId="47669823" w14:textId="1A735811" w:rsidR="00410865" w:rsidRPr="00445472" w:rsidRDefault="00410865" w:rsidP="00410865">
            <w:pPr>
              <w:pStyle w:val="TableTextCentre"/>
              <w:spacing w:after="0"/>
              <w:rPr>
                <w:rFonts w:ascii="Garamond" w:hAnsi="Garamond"/>
                <w:lang w:val="sq-AL"/>
              </w:rPr>
            </w:pPr>
            <w:r w:rsidRPr="00445472">
              <w:rPr>
                <w:rFonts w:ascii="Garamond" w:hAnsi="Garamond"/>
                <w:lang w:val="sq-AL"/>
              </w:rPr>
              <w:t>KKDM</w:t>
            </w:r>
            <w:r w:rsidR="001D340B" w:rsidRPr="00445472">
              <w:rPr>
                <w:rFonts w:ascii="Garamond" w:hAnsi="Garamond"/>
                <w:lang w:val="sq-AL"/>
              </w:rPr>
              <w:t>/</w:t>
            </w:r>
            <w:r w:rsidRPr="00445472">
              <w:rPr>
                <w:rFonts w:ascii="Garamond" w:hAnsi="Garamond"/>
                <w:lang w:val="sq-AL"/>
              </w:rPr>
              <w:t>Ministria përgjegjëse për Ujitjen dhe Kullimin</w:t>
            </w:r>
          </w:p>
          <w:p w14:paraId="45E74D7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(SKDM)</w:t>
            </w:r>
          </w:p>
        </w:tc>
        <w:tc>
          <w:tcPr>
            <w:tcW w:w="2556" w:type="dxa"/>
            <w:tcBorders>
              <w:bottom w:val="single" w:sz="2" w:space="0" w:color="9FA2A1"/>
            </w:tcBorders>
            <w:shd w:val="clear" w:color="auto" w:fill="auto"/>
            <w:vAlign w:val="center"/>
          </w:tcPr>
          <w:p w14:paraId="55944E8F" w14:textId="77777777" w:rsidR="00410865" w:rsidRPr="00445472" w:rsidRDefault="00410865" w:rsidP="00410865">
            <w:pPr>
              <w:pStyle w:val="TableTextCentre"/>
              <w:spacing w:after="0"/>
              <w:jc w:val="left"/>
              <w:rPr>
                <w:rFonts w:ascii="Garamond" w:hAnsi="Garamond"/>
                <w:lang w:val="sq-AL"/>
              </w:rPr>
            </w:pPr>
          </w:p>
          <w:p w14:paraId="3596ACDA"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7071E60F"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5C93B67F"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29CD1974"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3C563F86"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53CFBCFD"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392106C"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758CE941"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9DD63A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7D445C52"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296BC83"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2BCAB7D8"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1AFBB389"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45234EFC"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7699E692" w14:textId="77777777" w:rsidR="00410865" w:rsidRPr="00445472" w:rsidRDefault="00410865" w:rsidP="00410865">
            <w:pPr>
              <w:pStyle w:val="TableTextCentre"/>
              <w:spacing w:after="0"/>
              <w:rPr>
                <w:rFonts w:ascii="Garamond" w:hAnsi="Garamond"/>
                <w:lang w:val="sq-AL"/>
              </w:rPr>
            </w:pPr>
          </w:p>
        </w:tc>
      </w:tr>
      <w:tr w:rsidR="00410865" w:rsidRPr="00445472" w14:paraId="595F6D85" w14:textId="77777777" w:rsidTr="00410865">
        <w:trPr>
          <w:gridAfter w:val="1"/>
          <w:wAfter w:w="14" w:type="dxa"/>
          <w:jc w:val="center"/>
        </w:trPr>
        <w:tc>
          <w:tcPr>
            <w:tcW w:w="9073" w:type="dxa"/>
            <w:gridSpan w:val="4"/>
            <w:shd w:val="clear" w:color="auto" w:fill="D9D9D9"/>
            <w:vAlign w:val="center"/>
          </w:tcPr>
          <w:p w14:paraId="7A39015F"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Numri i digave të restauruara</w:t>
            </w:r>
          </w:p>
        </w:tc>
        <w:tc>
          <w:tcPr>
            <w:tcW w:w="1417" w:type="dxa"/>
            <w:gridSpan w:val="3"/>
            <w:shd w:val="clear" w:color="auto" w:fill="D9D9D9"/>
            <w:vAlign w:val="center"/>
          </w:tcPr>
          <w:p w14:paraId="77F6A1BA"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25</w:t>
            </w:r>
          </w:p>
        </w:tc>
        <w:tc>
          <w:tcPr>
            <w:tcW w:w="2410" w:type="dxa"/>
            <w:gridSpan w:val="6"/>
            <w:shd w:val="clear" w:color="auto" w:fill="D9D9D9"/>
            <w:vAlign w:val="center"/>
          </w:tcPr>
          <w:p w14:paraId="4BA76577"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50</w:t>
            </w:r>
          </w:p>
        </w:tc>
        <w:tc>
          <w:tcPr>
            <w:tcW w:w="1701" w:type="dxa"/>
            <w:gridSpan w:val="4"/>
            <w:shd w:val="clear" w:color="auto" w:fill="D9D9D9"/>
            <w:vAlign w:val="center"/>
          </w:tcPr>
          <w:p w14:paraId="6FEC5AAC"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100</w:t>
            </w:r>
          </w:p>
        </w:tc>
      </w:tr>
      <w:tr w:rsidR="00410865" w:rsidRPr="00445472" w14:paraId="4A3E5D18" w14:textId="77777777" w:rsidTr="00410865">
        <w:trPr>
          <w:jc w:val="center"/>
        </w:trPr>
        <w:tc>
          <w:tcPr>
            <w:tcW w:w="14615" w:type="dxa"/>
            <w:gridSpan w:val="18"/>
            <w:shd w:val="clear" w:color="auto" w:fill="auto"/>
            <w:vAlign w:val="center"/>
          </w:tcPr>
          <w:p w14:paraId="3CF97D07"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lang w:val="sq-AL"/>
              </w:rPr>
              <w:t>7. Ruajtja/Mbrojtja dhe/ose ulja e nivelit të erozionit në lumenj</w:t>
            </w:r>
          </w:p>
        </w:tc>
      </w:tr>
      <w:tr w:rsidR="00410865" w:rsidRPr="00445472" w14:paraId="19CFECD0" w14:textId="77777777" w:rsidTr="00410865">
        <w:trPr>
          <w:jc w:val="center"/>
        </w:trPr>
        <w:tc>
          <w:tcPr>
            <w:tcW w:w="14615" w:type="dxa"/>
            <w:gridSpan w:val="18"/>
            <w:shd w:val="clear" w:color="auto" w:fill="auto"/>
            <w:vAlign w:val="center"/>
          </w:tcPr>
          <w:p w14:paraId="55863C9B"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7a) Zona më pak vulnerabël (20% e territorit)</w:t>
            </w:r>
          </w:p>
        </w:tc>
      </w:tr>
      <w:tr w:rsidR="00410865" w:rsidRPr="00445472" w14:paraId="0CAB5F30" w14:textId="77777777" w:rsidTr="00410865">
        <w:trPr>
          <w:gridAfter w:val="1"/>
          <w:wAfter w:w="14" w:type="dxa"/>
          <w:jc w:val="center"/>
        </w:trPr>
        <w:tc>
          <w:tcPr>
            <w:tcW w:w="3682" w:type="dxa"/>
            <w:shd w:val="clear" w:color="auto" w:fill="auto"/>
            <w:vAlign w:val="center"/>
          </w:tcPr>
          <w:p w14:paraId="58BCAD9F"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Rritja e kapacitetit dhe njohurive të personelit për parametrat e sigurisë së digave, veçanërisht atyre në rrezik dhe në situatë të vështirë klimatike.</w:t>
            </w:r>
          </w:p>
        </w:tc>
        <w:tc>
          <w:tcPr>
            <w:tcW w:w="1275" w:type="dxa"/>
            <w:shd w:val="clear" w:color="auto" w:fill="auto"/>
            <w:vAlign w:val="center"/>
          </w:tcPr>
          <w:p w14:paraId="595D803B" w14:textId="77777777" w:rsidR="00410865" w:rsidRPr="00445472" w:rsidRDefault="00410865" w:rsidP="00410865">
            <w:pPr>
              <w:pStyle w:val="TableTextCentre"/>
              <w:spacing w:after="0"/>
              <w:rPr>
                <w:rFonts w:ascii="Garamond" w:hAnsi="Garamond"/>
                <w:lang w:val="sq-AL"/>
              </w:rPr>
            </w:pPr>
          </w:p>
          <w:p w14:paraId="730D3E9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0.05</w:t>
            </w:r>
          </w:p>
        </w:tc>
        <w:tc>
          <w:tcPr>
            <w:tcW w:w="1560" w:type="dxa"/>
            <w:shd w:val="clear" w:color="auto" w:fill="auto"/>
            <w:vAlign w:val="center"/>
          </w:tcPr>
          <w:p w14:paraId="5E27C514" w14:textId="26E3C8ED"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r w:rsidR="001D340B" w:rsidRPr="00445472">
              <w:rPr>
                <w:rFonts w:ascii="Garamond" w:hAnsi="Garamond"/>
                <w:lang w:val="sq-AL"/>
              </w:rPr>
              <w:t>/</w:t>
            </w:r>
            <w:r w:rsidRPr="00445472">
              <w:rPr>
                <w:rFonts w:ascii="Garamond" w:hAnsi="Garamond"/>
                <w:lang w:val="sq-AL"/>
              </w:rPr>
              <w:t>AKBN</w:t>
            </w:r>
          </w:p>
        </w:tc>
        <w:tc>
          <w:tcPr>
            <w:tcW w:w="2556" w:type="dxa"/>
            <w:shd w:val="clear" w:color="auto" w:fill="auto"/>
            <w:vAlign w:val="center"/>
          </w:tcPr>
          <w:p w14:paraId="36C08B6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13AFA610"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54827287"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6" w:type="dxa"/>
            <w:shd w:val="clear" w:color="auto" w:fill="D2E7F6"/>
            <w:vAlign w:val="center"/>
          </w:tcPr>
          <w:p w14:paraId="2B708028"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15F15394"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66200E75"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6D79975"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4827207A"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2015D5A5"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0B1CEF2"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405CCFA3"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4396831F"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00311894"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768890D9"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7029BFAE" w14:textId="77777777" w:rsidR="00410865" w:rsidRPr="00445472" w:rsidRDefault="00410865" w:rsidP="00410865">
            <w:pPr>
              <w:pStyle w:val="TableTextCentre"/>
              <w:spacing w:after="0"/>
              <w:rPr>
                <w:rFonts w:ascii="Garamond" w:hAnsi="Garamond"/>
                <w:lang w:val="sq-AL"/>
              </w:rPr>
            </w:pPr>
          </w:p>
        </w:tc>
      </w:tr>
      <w:tr w:rsidR="00410865" w:rsidRPr="00445472" w14:paraId="74050FF6" w14:textId="77777777" w:rsidTr="00410865">
        <w:trPr>
          <w:gridAfter w:val="1"/>
          <w:wAfter w:w="14" w:type="dxa"/>
          <w:jc w:val="center"/>
        </w:trPr>
        <w:tc>
          <w:tcPr>
            <w:tcW w:w="3682" w:type="dxa"/>
            <w:shd w:val="clear" w:color="auto" w:fill="auto"/>
            <w:vAlign w:val="center"/>
          </w:tcPr>
          <w:p w14:paraId="256F7A59"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projektet e pyllëzimit me kosto të ulët të zonave në rrezik erozioni, mbështetur në kushtet vendore.</w:t>
            </w:r>
          </w:p>
        </w:tc>
        <w:tc>
          <w:tcPr>
            <w:tcW w:w="1275" w:type="dxa"/>
            <w:shd w:val="clear" w:color="auto" w:fill="auto"/>
            <w:vAlign w:val="center"/>
          </w:tcPr>
          <w:p w14:paraId="40B56DDE" w14:textId="77777777" w:rsidR="00410865" w:rsidRPr="00445472" w:rsidRDefault="00410865" w:rsidP="00410865">
            <w:pPr>
              <w:pStyle w:val="TableTextCentre"/>
              <w:spacing w:after="0"/>
              <w:rPr>
                <w:rFonts w:ascii="Garamond" w:hAnsi="Garamond"/>
                <w:lang w:val="sq-AL"/>
              </w:rPr>
            </w:pPr>
          </w:p>
          <w:p w14:paraId="0B44A6B5"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0.4</w:t>
            </w:r>
          </w:p>
        </w:tc>
        <w:tc>
          <w:tcPr>
            <w:tcW w:w="1560" w:type="dxa"/>
            <w:shd w:val="clear" w:color="auto" w:fill="auto"/>
            <w:vAlign w:val="center"/>
          </w:tcPr>
          <w:p w14:paraId="63BC250D" w14:textId="77777777" w:rsidR="00410865" w:rsidRPr="00445472" w:rsidRDefault="00410865" w:rsidP="00410865">
            <w:pPr>
              <w:pStyle w:val="TableTextCentre"/>
              <w:spacing w:after="0"/>
              <w:rPr>
                <w:rFonts w:ascii="Garamond" w:hAnsi="Garamond"/>
                <w:lang w:val="sq-AL" w:eastAsia="en-GB"/>
              </w:rPr>
            </w:pPr>
            <w:r w:rsidRPr="00445472">
              <w:rPr>
                <w:rFonts w:ascii="Garamond" w:hAnsi="Garamond"/>
                <w:lang w:val="sq-AL"/>
              </w:rPr>
              <w:t xml:space="preserve">Ministria përgjegjëse për Ujitjen dhe Kullimin </w:t>
            </w:r>
          </w:p>
          <w:p w14:paraId="43E63F83"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(ZABU)</w:t>
            </w:r>
          </w:p>
        </w:tc>
        <w:tc>
          <w:tcPr>
            <w:tcW w:w="2556" w:type="dxa"/>
            <w:shd w:val="clear" w:color="auto" w:fill="auto"/>
            <w:vAlign w:val="center"/>
          </w:tcPr>
          <w:p w14:paraId="731F4B9E"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12A4F419" w14:textId="77777777" w:rsidR="00410865" w:rsidRPr="00445472" w:rsidRDefault="00410865" w:rsidP="00410865">
            <w:pPr>
              <w:pStyle w:val="TableTextCentre"/>
              <w:spacing w:after="0"/>
              <w:rPr>
                <w:rFonts w:ascii="Garamond" w:hAnsi="Garamond"/>
                <w:b/>
                <w:lang w:val="sq-AL" w:eastAsia="en-GB"/>
              </w:rPr>
            </w:pPr>
          </w:p>
        </w:tc>
        <w:tc>
          <w:tcPr>
            <w:tcW w:w="566" w:type="dxa"/>
            <w:shd w:val="clear" w:color="auto" w:fill="D2E7F6"/>
            <w:vAlign w:val="center"/>
          </w:tcPr>
          <w:p w14:paraId="5D3514C2"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586A40B9"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7F41E8C6"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1E8BDF87"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770B1196"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7EAE95A2"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AAF68A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064EB1CD"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1407C4DD"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09181F64"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7D78EF47"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23808097"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3D1D5D5" w14:textId="77777777" w:rsidR="00410865" w:rsidRPr="00445472" w:rsidRDefault="00410865" w:rsidP="00410865">
            <w:pPr>
              <w:pStyle w:val="TableTextCentre"/>
              <w:spacing w:after="0"/>
              <w:rPr>
                <w:rFonts w:ascii="Garamond" w:hAnsi="Garamond"/>
                <w:lang w:val="sq-AL"/>
              </w:rPr>
            </w:pPr>
          </w:p>
        </w:tc>
      </w:tr>
      <w:tr w:rsidR="00410865" w:rsidRPr="00445472" w14:paraId="46A1F40D" w14:textId="77777777" w:rsidTr="00410865">
        <w:trPr>
          <w:gridAfter w:val="1"/>
          <w:wAfter w:w="14" w:type="dxa"/>
          <w:jc w:val="center"/>
        </w:trPr>
        <w:tc>
          <w:tcPr>
            <w:tcW w:w="9073" w:type="dxa"/>
            <w:gridSpan w:val="4"/>
            <w:shd w:val="clear" w:color="auto" w:fill="D9D9D9"/>
            <w:vAlign w:val="center"/>
          </w:tcPr>
          <w:p w14:paraId="01424A6E"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 xml:space="preserve">Synimi: </w:t>
            </w:r>
            <w:r w:rsidRPr="00445472">
              <w:rPr>
                <w:rFonts w:ascii="Garamond" w:hAnsi="Garamond"/>
                <w:lang w:val="sq-AL"/>
              </w:rPr>
              <w:t>ton/ha/viti</w:t>
            </w:r>
          </w:p>
        </w:tc>
        <w:tc>
          <w:tcPr>
            <w:tcW w:w="1417" w:type="dxa"/>
            <w:gridSpan w:val="3"/>
            <w:shd w:val="clear" w:color="auto" w:fill="D9D9D9"/>
            <w:vAlign w:val="center"/>
          </w:tcPr>
          <w:p w14:paraId="672E0D63" w14:textId="77777777" w:rsidR="00410865" w:rsidRPr="00445472" w:rsidRDefault="00410865" w:rsidP="00410865">
            <w:pPr>
              <w:pStyle w:val="TableTextCentre"/>
              <w:spacing w:after="0"/>
              <w:rPr>
                <w:rFonts w:ascii="Garamond" w:hAnsi="Garamond"/>
                <w:b/>
                <w:highlight w:val="blue"/>
                <w:lang w:val="sq-AL"/>
              </w:rPr>
            </w:pPr>
            <w:r w:rsidRPr="00445472">
              <w:rPr>
                <w:rFonts w:ascii="Garamond" w:hAnsi="Garamond"/>
                <w:b/>
                <w:lang w:val="sq-AL"/>
              </w:rPr>
              <w:t>5</w:t>
            </w:r>
          </w:p>
        </w:tc>
        <w:tc>
          <w:tcPr>
            <w:tcW w:w="2410" w:type="dxa"/>
            <w:gridSpan w:val="6"/>
            <w:shd w:val="clear" w:color="auto" w:fill="D9D9D9"/>
            <w:vAlign w:val="center"/>
          </w:tcPr>
          <w:p w14:paraId="6CC48E57"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4.5</w:t>
            </w:r>
          </w:p>
        </w:tc>
        <w:tc>
          <w:tcPr>
            <w:tcW w:w="1701" w:type="dxa"/>
            <w:gridSpan w:val="4"/>
            <w:shd w:val="clear" w:color="auto" w:fill="D9D9D9"/>
            <w:vAlign w:val="center"/>
          </w:tcPr>
          <w:p w14:paraId="4B95A32E"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3</w:t>
            </w:r>
          </w:p>
        </w:tc>
      </w:tr>
      <w:tr w:rsidR="00410865" w:rsidRPr="00445472" w14:paraId="34FA2BC5" w14:textId="77777777" w:rsidTr="00410865">
        <w:trPr>
          <w:jc w:val="center"/>
        </w:trPr>
        <w:tc>
          <w:tcPr>
            <w:tcW w:w="14615" w:type="dxa"/>
            <w:gridSpan w:val="18"/>
            <w:shd w:val="clear" w:color="auto" w:fill="auto"/>
            <w:vAlign w:val="center"/>
          </w:tcPr>
          <w:p w14:paraId="4E1C767B" w14:textId="77777777" w:rsidR="00410865" w:rsidRPr="00445472" w:rsidRDefault="00410865" w:rsidP="00410865">
            <w:pPr>
              <w:pStyle w:val="TableTextCentre"/>
              <w:spacing w:after="0"/>
              <w:jc w:val="left"/>
              <w:rPr>
                <w:rFonts w:ascii="Garamond" w:hAnsi="Garamond"/>
                <w:b/>
                <w:lang w:val="sq-AL"/>
              </w:rPr>
            </w:pPr>
            <w:r w:rsidRPr="00445472">
              <w:rPr>
                <w:rFonts w:ascii="Garamond" w:hAnsi="Garamond"/>
                <w:b/>
                <w:i/>
                <w:lang w:val="sq-AL"/>
              </w:rPr>
              <w:t>7b) Zona tepër të rrezikuara (70% e territorit)</w:t>
            </w:r>
          </w:p>
        </w:tc>
      </w:tr>
      <w:tr w:rsidR="00410865" w:rsidRPr="00445472" w14:paraId="1B8EE05B" w14:textId="77777777" w:rsidTr="00410865">
        <w:trPr>
          <w:gridAfter w:val="1"/>
          <w:wAfter w:w="14" w:type="dxa"/>
          <w:trHeight w:val="277"/>
          <w:jc w:val="center"/>
        </w:trPr>
        <w:tc>
          <w:tcPr>
            <w:tcW w:w="3682" w:type="dxa"/>
            <w:shd w:val="clear" w:color="auto" w:fill="auto"/>
            <w:vAlign w:val="center"/>
          </w:tcPr>
          <w:p w14:paraId="7C6DEB4C" w14:textId="77777777" w:rsidR="00410865" w:rsidRPr="00445472" w:rsidRDefault="00410865" w:rsidP="00410865">
            <w:pPr>
              <w:pStyle w:val="TableTextCentre"/>
              <w:spacing w:after="0"/>
              <w:jc w:val="left"/>
              <w:rPr>
                <w:rFonts w:ascii="Garamond" w:hAnsi="Garamond"/>
                <w:i/>
                <w:lang w:val="sq-AL"/>
              </w:rPr>
            </w:pPr>
            <w:r w:rsidRPr="00445472">
              <w:rPr>
                <w:rFonts w:ascii="Garamond" w:hAnsi="Garamond"/>
                <w:lang w:val="sq-AL"/>
              </w:rPr>
              <w:t>Studim për projektet e pyllëzimit me kosto të ulët  dhe rregullimi i regjimit të përrenjve të vegjël të zonave në rrezik të lartë erozioni, mbështetur në kushtet vendore.</w:t>
            </w:r>
          </w:p>
        </w:tc>
        <w:tc>
          <w:tcPr>
            <w:tcW w:w="1275" w:type="dxa"/>
            <w:shd w:val="clear" w:color="auto" w:fill="auto"/>
            <w:vAlign w:val="center"/>
          </w:tcPr>
          <w:p w14:paraId="1FE8AE6F" w14:textId="77777777" w:rsidR="00410865" w:rsidRPr="00445472" w:rsidRDefault="00410865" w:rsidP="00410865">
            <w:pPr>
              <w:pStyle w:val="TableTextCentre"/>
              <w:spacing w:after="0"/>
              <w:rPr>
                <w:rFonts w:ascii="Garamond" w:hAnsi="Garamond"/>
                <w:lang w:val="sq-AL"/>
              </w:rPr>
            </w:pPr>
          </w:p>
          <w:p w14:paraId="3C789A7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0.5</w:t>
            </w:r>
          </w:p>
        </w:tc>
        <w:tc>
          <w:tcPr>
            <w:tcW w:w="1560" w:type="dxa"/>
            <w:shd w:val="clear" w:color="auto" w:fill="auto"/>
            <w:vAlign w:val="center"/>
          </w:tcPr>
          <w:p w14:paraId="79CB6FCB"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Ministria përgjegjëse për Ujitjen dhe Kullimin</w:t>
            </w:r>
          </w:p>
        </w:tc>
        <w:tc>
          <w:tcPr>
            <w:tcW w:w="2556" w:type="dxa"/>
            <w:shd w:val="clear" w:color="auto" w:fill="auto"/>
            <w:vAlign w:val="center"/>
          </w:tcPr>
          <w:p w14:paraId="0C8CBC68" w14:textId="77777777" w:rsidR="00410865" w:rsidRPr="00445472" w:rsidRDefault="00410865" w:rsidP="00410865">
            <w:pPr>
              <w:pStyle w:val="TableTextCentre"/>
              <w:spacing w:after="0"/>
              <w:rPr>
                <w:rFonts w:ascii="Garamond" w:hAnsi="Garamond"/>
                <w:lang w:val="sq-AL"/>
              </w:rPr>
            </w:pPr>
          </w:p>
          <w:p w14:paraId="0E24866D"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2A45B042" w14:textId="77777777" w:rsidR="00410865" w:rsidRPr="00445472" w:rsidRDefault="00410865" w:rsidP="00410865">
            <w:pPr>
              <w:pStyle w:val="TableTextCentre"/>
              <w:spacing w:after="0"/>
              <w:rPr>
                <w:rFonts w:ascii="Garamond" w:hAnsi="Garamond"/>
                <w:lang w:val="sq-AL"/>
              </w:rPr>
            </w:pPr>
          </w:p>
        </w:tc>
        <w:tc>
          <w:tcPr>
            <w:tcW w:w="566" w:type="dxa"/>
            <w:shd w:val="clear" w:color="auto" w:fill="D2E7F6"/>
            <w:vAlign w:val="center"/>
          </w:tcPr>
          <w:p w14:paraId="4E879158"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41DFADBE"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D2E7F6"/>
            <w:vAlign w:val="center"/>
          </w:tcPr>
          <w:p w14:paraId="3D192485" w14:textId="77777777" w:rsidR="00410865" w:rsidRPr="00445472" w:rsidRDefault="00410865" w:rsidP="00410865">
            <w:pPr>
              <w:pStyle w:val="TableTextCentre"/>
              <w:spacing w:after="0"/>
              <w:rPr>
                <w:rFonts w:ascii="Garamond" w:hAnsi="Garamond"/>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089ADBA2" w14:textId="77777777" w:rsidR="00410865" w:rsidRPr="00445472" w:rsidRDefault="00410865" w:rsidP="00410865">
            <w:pPr>
              <w:pStyle w:val="TableTextCentre"/>
              <w:spacing w:after="0"/>
              <w:rPr>
                <w:rFonts w:ascii="Garamond" w:hAnsi="Garamond"/>
                <w:lang w:val="sq-AL"/>
              </w:rPr>
            </w:pPr>
          </w:p>
        </w:tc>
        <w:tc>
          <w:tcPr>
            <w:tcW w:w="425" w:type="dxa"/>
            <w:shd w:val="clear" w:color="auto" w:fill="99C8E5"/>
            <w:vAlign w:val="center"/>
          </w:tcPr>
          <w:p w14:paraId="37E89D1C"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71E00B0B"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3B1496F6"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1FF03FD9"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5ECE318F"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275030F7"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4A732A6E"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3F2F885D"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D8F3FCA" w14:textId="77777777" w:rsidR="00410865" w:rsidRPr="00445472" w:rsidRDefault="00410865" w:rsidP="00410865">
            <w:pPr>
              <w:pStyle w:val="TableTextCentre"/>
              <w:spacing w:after="0"/>
              <w:rPr>
                <w:rFonts w:ascii="Garamond" w:hAnsi="Garamond"/>
                <w:lang w:val="sq-AL"/>
              </w:rPr>
            </w:pPr>
          </w:p>
        </w:tc>
      </w:tr>
      <w:tr w:rsidR="00410865" w:rsidRPr="00445472" w14:paraId="3259B44A" w14:textId="77777777" w:rsidTr="00410865">
        <w:trPr>
          <w:gridAfter w:val="1"/>
          <w:wAfter w:w="14" w:type="dxa"/>
          <w:trHeight w:val="277"/>
          <w:jc w:val="center"/>
        </w:trPr>
        <w:tc>
          <w:tcPr>
            <w:tcW w:w="3682" w:type="dxa"/>
            <w:shd w:val="clear" w:color="auto" w:fill="auto"/>
            <w:vAlign w:val="center"/>
          </w:tcPr>
          <w:p w14:paraId="5341D0D5" w14:textId="77777777" w:rsidR="00410865" w:rsidRPr="00445472" w:rsidRDefault="00410865" w:rsidP="00410865">
            <w:pPr>
              <w:pStyle w:val="TableTextCentre"/>
              <w:spacing w:after="0"/>
              <w:jc w:val="left"/>
              <w:rPr>
                <w:rFonts w:ascii="Garamond" w:hAnsi="Garamond"/>
                <w:lang w:val="sq-AL"/>
              </w:rPr>
            </w:pPr>
            <w:r w:rsidRPr="00445472">
              <w:rPr>
                <w:rFonts w:ascii="Garamond" w:hAnsi="Garamond"/>
                <w:lang w:val="sq-AL"/>
              </w:rPr>
              <w:t>Zbatimi i projekteve pilot për uljen e fenomeneve të erozionit.</w:t>
            </w:r>
          </w:p>
        </w:tc>
        <w:tc>
          <w:tcPr>
            <w:tcW w:w="1275" w:type="dxa"/>
            <w:shd w:val="clear" w:color="auto" w:fill="auto"/>
            <w:vAlign w:val="center"/>
          </w:tcPr>
          <w:p w14:paraId="1EF56A0D" w14:textId="77777777" w:rsidR="00410865" w:rsidRPr="00445472" w:rsidRDefault="00410865" w:rsidP="00410865">
            <w:pPr>
              <w:pStyle w:val="TableTextCentre"/>
              <w:spacing w:after="0"/>
              <w:rPr>
                <w:rFonts w:ascii="Garamond" w:hAnsi="Garamond"/>
                <w:lang w:val="sq-AL"/>
              </w:rPr>
            </w:pPr>
          </w:p>
          <w:p w14:paraId="47F23310"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1.0</w:t>
            </w:r>
          </w:p>
        </w:tc>
        <w:tc>
          <w:tcPr>
            <w:tcW w:w="1560" w:type="dxa"/>
            <w:shd w:val="clear" w:color="auto" w:fill="auto"/>
            <w:vAlign w:val="center"/>
          </w:tcPr>
          <w:p w14:paraId="319DCB73" w14:textId="77777777" w:rsidR="00410865" w:rsidRPr="00445472" w:rsidRDefault="00410865" w:rsidP="00410865">
            <w:pPr>
              <w:pStyle w:val="TableTextCentre"/>
              <w:spacing w:after="0"/>
              <w:rPr>
                <w:rFonts w:ascii="Garamond" w:hAnsi="Garamond"/>
                <w:b/>
                <w:lang w:val="sq-AL"/>
              </w:rPr>
            </w:pPr>
            <w:r w:rsidRPr="00445472">
              <w:rPr>
                <w:rFonts w:ascii="Garamond" w:hAnsi="Garamond"/>
                <w:lang w:val="sq-AL"/>
              </w:rPr>
              <w:t>Ministria përgjegjëse për Ujitjen dhe Kullimin/AMBU (ZABU)</w:t>
            </w:r>
          </w:p>
        </w:tc>
        <w:tc>
          <w:tcPr>
            <w:tcW w:w="2556" w:type="dxa"/>
            <w:shd w:val="clear" w:color="auto" w:fill="auto"/>
            <w:vAlign w:val="center"/>
          </w:tcPr>
          <w:p w14:paraId="0D92BE11" w14:textId="77777777" w:rsidR="00410865" w:rsidRPr="00445472" w:rsidRDefault="00410865" w:rsidP="00410865">
            <w:pPr>
              <w:pStyle w:val="TableTextCentre"/>
              <w:spacing w:after="0"/>
              <w:rPr>
                <w:rFonts w:ascii="Garamond" w:hAnsi="Garamond"/>
                <w:lang w:val="sq-AL"/>
              </w:rPr>
            </w:pPr>
            <w:r w:rsidRPr="00445472">
              <w:rPr>
                <w:rFonts w:ascii="Garamond" w:hAnsi="Garamond"/>
                <w:lang w:val="sq-AL"/>
              </w:rPr>
              <w:t>Fonde kombëtare dhe/ose nga donatorë</w:t>
            </w:r>
          </w:p>
          <w:p w14:paraId="519249FF" w14:textId="77777777" w:rsidR="00410865" w:rsidRPr="00445472" w:rsidRDefault="00410865" w:rsidP="00410865">
            <w:pPr>
              <w:pStyle w:val="TableTextCentre"/>
              <w:spacing w:after="0"/>
              <w:jc w:val="left"/>
              <w:rPr>
                <w:rFonts w:ascii="Garamond" w:hAnsi="Garamond"/>
                <w:lang w:val="sq-AL"/>
              </w:rPr>
            </w:pPr>
          </w:p>
        </w:tc>
        <w:tc>
          <w:tcPr>
            <w:tcW w:w="566" w:type="dxa"/>
            <w:shd w:val="clear" w:color="auto" w:fill="D2E7F6"/>
            <w:vAlign w:val="center"/>
          </w:tcPr>
          <w:p w14:paraId="742DA1D6" w14:textId="77777777" w:rsidR="00410865" w:rsidRPr="00445472" w:rsidRDefault="00410865" w:rsidP="00410865">
            <w:pPr>
              <w:pStyle w:val="TableTextCentre"/>
              <w:spacing w:after="0"/>
              <w:rPr>
                <w:rFonts w:ascii="Garamond" w:hAnsi="Garamond"/>
                <w:lang w:val="sq-AL"/>
              </w:rPr>
            </w:pPr>
          </w:p>
        </w:tc>
        <w:tc>
          <w:tcPr>
            <w:tcW w:w="426" w:type="dxa"/>
            <w:shd w:val="clear" w:color="auto" w:fill="D2E7F6"/>
            <w:vAlign w:val="center"/>
          </w:tcPr>
          <w:p w14:paraId="15A685A8" w14:textId="77777777" w:rsidR="00410865" w:rsidRPr="00445472" w:rsidRDefault="00410865" w:rsidP="00410865">
            <w:pPr>
              <w:pStyle w:val="TableTextCentre"/>
              <w:spacing w:after="0"/>
              <w:rPr>
                <w:rFonts w:ascii="Garamond" w:hAnsi="Garamond"/>
                <w:lang w:val="sq-AL"/>
              </w:rPr>
            </w:pPr>
          </w:p>
        </w:tc>
        <w:tc>
          <w:tcPr>
            <w:tcW w:w="425" w:type="dxa"/>
            <w:shd w:val="clear" w:color="auto" w:fill="D2E7F6"/>
            <w:vAlign w:val="center"/>
          </w:tcPr>
          <w:p w14:paraId="30623BB3"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4399084F" w14:textId="77777777" w:rsidR="00410865" w:rsidRPr="00445472" w:rsidRDefault="00410865" w:rsidP="00410865">
            <w:pPr>
              <w:pStyle w:val="TableTextCentre"/>
              <w:spacing w:after="0"/>
              <w:rPr>
                <w:rFonts w:ascii="Garamond" w:hAnsi="Garamond"/>
                <w:highlight w:val="blue"/>
                <w:lang w:val="sq-AL"/>
              </w:rPr>
            </w:pPr>
            <w:r w:rsidRPr="00445472">
              <w:rPr>
                <w:rFonts w:ascii="Segoe UI Symbol" w:eastAsia="MS Gothic" w:hAnsi="Segoe UI Symbol" w:cs="Segoe UI Symbol"/>
                <w:highlight w:val="blue"/>
                <w:lang w:val="sq-AL"/>
              </w:rPr>
              <w:t>✓</w:t>
            </w:r>
          </w:p>
        </w:tc>
        <w:tc>
          <w:tcPr>
            <w:tcW w:w="425" w:type="dxa"/>
            <w:shd w:val="clear" w:color="auto" w:fill="99C8E5"/>
            <w:vAlign w:val="center"/>
          </w:tcPr>
          <w:p w14:paraId="60E0A713" w14:textId="77777777" w:rsidR="00410865" w:rsidRPr="00445472" w:rsidRDefault="00410865" w:rsidP="00410865">
            <w:pPr>
              <w:pStyle w:val="TableTextCentre"/>
              <w:spacing w:after="0"/>
              <w:rPr>
                <w:rFonts w:ascii="Garamond" w:hAnsi="Garamond"/>
                <w:lang w:val="sq-AL"/>
              </w:rPr>
            </w:pPr>
          </w:p>
        </w:tc>
        <w:tc>
          <w:tcPr>
            <w:tcW w:w="372" w:type="dxa"/>
            <w:shd w:val="clear" w:color="auto" w:fill="99C8E5"/>
            <w:vAlign w:val="center"/>
          </w:tcPr>
          <w:p w14:paraId="25765EB8"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491C7204" w14:textId="77777777" w:rsidR="00410865" w:rsidRPr="00445472" w:rsidRDefault="00410865" w:rsidP="00410865">
            <w:pPr>
              <w:pStyle w:val="TableTextCentre"/>
              <w:spacing w:after="0"/>
              <w:rPr>
                <w:rFonts w:ascii="Garamond" w:hAnsi="Garamond"/>
                <w:lang w:val="sq-AL"/>
              </w:rPr>
            </w:pPr>
          </w:p>
        </w:tc>
        <w:tc>
          <w:tcPr>
            <w:tcW w:w="422" w:type="dxa"/>
            <w:shd w:val="clear" w:color="auto" w:fill="99C8E5"/>
            <w:vAlign w:val="center"/>
          </w:tcPr>
          <w:p w14:paraId="634ECDA1" w14:textId="77777777" w:rsidR="00410865" w:rsidRPr="00445472" w:rsidRDefault="00410865" w:rsidP="00410865">
            <w:pPr>
              <w:pStyle w:val="TableTextCentre"/>
              <w:spacing w:after="0"/>
              <w:rPr>
                <w:rFonts w:ascii="Garamond" w:hAnsi="Garamond"/>
                <w:lang w:val="sq-AL"/>
              </w:rPr>
            </w:pPr>
          </w:p>
        </w:tc>
        <w:tc>
          <w:tcPr>
            <w:tcW w:w="344" w:type="dxa"/>
            <w:shd w:val="clear" w:color="auto" w:fill="99C8E5"/>
            <w:vAlign w:val="center"/>
          </w:tcPr>
          <w:p w14:paraId="613392F2" w14:textId="77777777" w:rsidR="00410865" w:rsidRPr="00445472" w:rsidRDefault="00410865" w:rsidP="00410865">
            <w:pPr>
              <w:pStyle w:val="TableTextCentre"/>
              <w:spacing w:after="0"/>
              <w:rPr>
                <w:rFonts w:ascii="Garamond" w:hAnsi="Garamond"/>
                <w:lang w:val="sq-AL"/>
              </w:rPr>
            </w:pPr>
          </w:p>
        </w:tc>
        <w:tc>
          <w:tcPr>
            <w:tcW w:w="491" w:type="dxa"/>
            <w:shd w:val="clear" w:color="auto" w:fill="276F9A"/>
            <w:vAlign w:val="center"/>
          </w:tcPr>
          <w:p w14:paraId="1299389D" w14:textId="77777777" w:rsidR="00410865" w:rsidRPr="00445472" w:rsidRDefault="00410865" w:rsidP="00410865">
            <w:pPr>
              <w:pStyle w:val="TableTextCentre"/>
              <w:spacing w:after="0"/>
              <w:rPr>
                <w:rFonts w:ascii="Garamond" w:hAnsi="Garamond"/>
                <w:lang w:val="sq-AL"/>
              </w:rPr>
            </w:pPr>
          </w:p>
        </w:tc>
        <w:tc>
          <w:tcPr>
            <w:tcW w:w="431" w:type="dxa"/>
            <w:shd w:val="clear" w:color="auto" w:fill="276F9A"/>
            <w:vAlign w:val="center"/>
          </w:tcPr>
          <w:p w14:paraId="1B1DABB0" w14:textId="77777777" w:rsidR="00410865" w:rsidRPr="00445472" w:rsidRDefault="00410865" w:rsidP="00410865">
            <w:pPr>
              <w:pStyle w:val="TableTextCentre"/>
              <w:spacing w:after="0"/>
              <w:rPr>
                <w:rFonts w:ascii="Garamond" w:hAnsi="Garamond"/>
                <w:lang w:val="sq-AL"/>
              </w:rPr>
            </w:pPr>
          </w:p>
        </w:tc>
        <w:tc>
          <w:tcPr>
            <w:tcW w:w="422" w:type="dxa"/>
            <w:shd w:val="clear" w:color="auto" w:fill="276F9A"/>
            <w:vAlign w:val="center"/>
          </w:tcPr>
          <w:p w14:paraId="5C5051CF" w14:textId="77777777" w:rsidR="00410865" w:rsidRPr="00445472" w:rsidRDefault="00410865" w:rsidP="00410865">
            <w:pPr>
              <w:pStyle w:val="TableTextCentre"/>
              <w:spacing w:after="0"/>
              <w:rPr>
                <w:rFonts w:ascii="Garamond" w:hAnsi="Garamond"/>
                <w:lang w:val="sq-AL"/>
              </w:rPr>
            </w:pPr>
          </w:p>
        </w:tc>
        <w:tc>
          <w:tcPr>
            <w:tcW w:w="357" w:type="dxa"/>
            <w:shd w:val="clear" w:color="auto" w:fill="276F9A"/>
            <w:vAlign w:val="center"/>
          </w:tcPr>
          <w:p w14:paraId="105F47FF" w14:textId="77777777" w:rsidR="00410865" w:rsidRPr="00445472" w:rsidRDefault="00410865" w:rsidP="00410865">
            <w:pPr>
              <w:pStyle w:val="TableTextCentre"/>
              <w:spacing w:after="0"/>
              <w:rPr>
                <w:rFonts w:ascii="Garamond" w:hAnsi="Garamond"/>
                <w:lang w:val="sq-AL"/>
              </w:rPr>
            </w:pPr>
          </w:p>
        </w:tc>
      </w:tr>
      <w:tr w:rsidR="00410865" w:rsidRPr="00445472" w14:paraId="35BB0CE2" w14:textId="77777777" w:rsidTr="00410865">
        <w:trPr>
          <w:gridAfter w:val="1"/>
          <w:wAfter w:w="14" w:type="dxa"/>
          <w:jc w:val="center"/>
        </w:trPr>
        <w:tc>
          <w:tcPr>
            <w:tcW w:w="9073" w:type="dxa"/>
            <w:gridSpan w:val="4"/>
            <w:shd w:val="clear" w:color="auto" w:fill="D9D9D9"/>
            <w:vAlign w:val="center"/>
          </w:tcPr>
          <w:p w14:paraId="36664CA1"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Synimi</w:t>
            </w:r>
            <w:r w:rsidRPr="00445472">
              <w:rPr>
                <w:rFonts w:ascii="Garamond" w:hAnsi="Garamond"/>
                <w:lang w:val="sq-AL"/>
              </w:rPr>
              <w:t>: ton/ha/viti</w:t>
            </w:r>
          </w:p>
        </w:tc>
        <w:tc>
          <w:tcPr>
            <w:tcW w:w="1417" w:type="dxa"/>
            <w:gridSpan w:val="3"/>
            <w:shd w:val="clear" w:color="auto" w:fill="D9D9D9"/>
            <w:vAlign w:val="center"/>
          </w:tcPr>
          <w:p w14:paraId="0D969CD9" w14:textId="77777777" w:rsidR="00410865" w:rsidRPr="00445472" w:rsidRDefault="00410865" w:rsidP="00410865">
            <w:pPr>
              <w:pStyle w:val="TableTextCentre"/>
              <w:spacing w:after="0"/>
              <w:rPr>
                <w:rFonts w:ascii="Garamond" w:hAnsi="Garamond"/>
                <w:highlight w:val="blue"/>
                <w:lang w:val="sq-AL"/>
              </w:rPr>
            </w:pPr>
            <w:r w:rsidRPr="00445472">
              <w:rPr>
                <w:rFonts w:ascii="Garamond" w:hAnsi="Garamond"/>
                <w:b/>
                <w:lang w:val="sq-AL"/>
              </w:rPr>
              <w:t>15</w:t>
            </w:r>
          </w:p>
        </w:tc>
        <w:tc>
          <w:tcPr>
            <w:tcW w:w="2410" w:type="dxa"/>
            <w:gridSpan w:val="6"/>
            <w:shd w:val="clear" w:color="auto" w:fill="D9D9D9"/>
            <w:vAlign w:val="center"/>
          </w:tcPr>
          <w:p w14:paraId="660BFAEF"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13</w:t>
            </w:r>
          </w:p>
        </w:tc>
        <w:tc>
          <w:tcPr>
            <w:tcW w:w="1701" w:type="dxa"/>
            <w:gridSpan w:val="4"/>
            <w:shd w:val="clear" w:color="auto" w:fill="D9D9D9"/>
            <w:vAlign w:val="center"/>
          </w:tcPr>
          <w:p w14:paraId="74A69550" w14:textId="77777777" w:rsidR="00410865" w:rsidRPr="00445472" w:rsidRDefault="00410865" w:rsidP="00410865">
            <w:pPr>
              <w:pStyle w:val="TableTextCentre"/>
              <w:spacing w:after="0"/>
              <w:rPr>
                <w:rFonts w:ascii="Garamond" w:hAnsi="Garamond"/>
                <w:lang w:val="sq-AL"/>
              </w:rPr>
            </w:pPr>
            <w:r w:rsidRPr="00445472">
              <w:rPr>
                <w:rFonts w:ascii="Garamond" w:hAnsi="Garamond"/>
                <w:b/>
                <w:lang w:val="sq-AL"/>
              </w:rPr>
              <w:t>10</w:t>
            </w:r>
          </w:p>
        </w:tc>
      </w:tr>
    </w:tbl>
    <w:p w14:paraId="1F05D9FD" w14:textId="3B515010" w:rsidR="00591820" w:rsidRPr="00445472" w:rsidRDefault="00591820" w:rsidP="00E33351">
      <w:pPr>
        <w:pStyle w:val="TEKSTIIII"/>
      </w:pPr>
    </w:p>
    <w:p w14:paraId="68F6541F" w14:textId="77777777" w:rsidR="000819DD" w:rsidRPr="00445472" w:rsidRDefault="000819DD" w:rsidP="00E33351">
      <w:pPr>
        <w:pStyle w:val="TEKSTIIII"/>
      </w:pPr>
    </w:p>
    <w:p w14:paraId="30CA8C6B" w14:textId="77777777" w:rsidR="000819DD" w:rsidRPr="00445472" w:rsidRDefault="000819DD" w:rsidP="00E33351">
      <w:pPr>
        <w:pStyle w:val="TEKSTIIII"/>
        <w:sectPr w:rsidR="000819DD" w:rsidRPr="00445472" w:rsidSect="00B94C24">
          <w:pgSz w:w="16839" w:h="11907" w:orient="landscape" w:code="9"/>
          <w:pgMar w:top="1418" w:right="1418" w:bottom="1418" w:left="1418" w:header="1304" w:footer="1134" w:gutter="0"/>
          <w:cols w:space="720"/>
          <w:docGrid w:linePitch="360"/>
        </w:sectPr>
      </w:pPr>
    </w:p>
    <w:p w14:paraId="08CA3DFD" w14:textId="6D546B08" w:rsidR="000819DD" w:rsidRPr="00445472" w:rsidRDefault="000819DD" w:rsidP="000819DD">
      <w:pPr>
        <w:pStyle w:val="NENTITULL"/>
      </w:pPr>
      <w:r w:rsidRPr="00445472">
        <w:t xml:space="preserve">Tabela 12.4: Kostoja </w:t>
      </w:r>
      <w:r w:rsidR="00F2273F" w:rsidRPr="00445472">
        <w:t>paraprake e llogaritur për secilin prej objektivave mjedisor</w:t>
      </w:r>
      <w:r w:rsidR="00F2273F" w:rsidRPr="00445472">
        <w:rPr>
          <w:shd w:val="clear" w:color="auto" w:fill="FFFFFF"/>
        </w:rPr>
        <w:t>ë</w:t>
      </w:r>
      <w:r w:rsidR="00F2273F" w:rsidRPr="00445472">
        <w:t xml:space="preserve"> </w:t>
      </w:r>
      <w:r w:rsidRPr="00445472">
        <w:t>të ndar</w:t>
      </w:r>
      <w:r w:rsidRPr="00445472">
        <w:rPr>
          <w:shd w:val="clear" w:color="auto" w:fill="FFFFFF"/>
        </w:rPr>
        <w:t>ë</w:t>
      </w:r>
      <w:r w:rsidRPr="00445472">
        <w:t xml:space="preserve"> në </w:t>
      </w:r>
      <w:r w:rsidR="00F2273F" w:rsidRPr="00445472">
        <w:t>masa bazë dhe shtesë</w:t>
      </w:r>
      <w:r w:rsidRPr="00445472">
        <w:t>, duke filluar nga viti 2021</w:t>
      </w:r>
    </w:p>
    <w:tbl>
      <w:tblPr>
        <w:tblpPr w:leftFromText="180" w:rightFromText="180" w:vertAnchor="page" w:horzAnchor="margin" w:tblpY="2323"/>
        <w:tblW w:w="0" w:type="auto"/>
        <w:tblBorders>
          <w:top w:val="single" w:sz="4" w:space="0" w:color="009E9A"/>
          <w:left w:val="single" w:sz="4" w:space="0" w:color="009E9A"/>
          <w:bottom w:val="single" w:sz="4" w:space="0" w:color="009E9A"/>
          <w:right w:val="single" w:sz="4" w:space="0" w:color="009E9A"/>
          <w:insideH w:val="single" w:sz="4" w:space="0" w:color="009E9A"/>
          <w:insideV w:val="single" w:sz="4" w:space="0" w:color="009E9A"/>
        </w:tblBorders>
        <w:tblLook w:val="04A0" w:firstRow="1" w:lastRow="0" w:firstColumn="1" w:lastColumn="0" w:noHBand="0" w:noVBand="1"/>
      </w:tblPr>
      <w:tblGrid>
        <w:gridCol w:w="3133"/>
        <w:gridCol w:w="652"/>
        <w:gridCol w:w="724"/>
        <w:gridCol w:w="689"/>
        <w:gridCol w:w="1162"/>
        <w:gridCol w:w="2927"/>
      </w:tblGrid>
      <w:tr w:rsidR="000819DD" w:rsidRPr="00445472" w14:paraId="18FE4629" w14:textId="77777777" w:rsidTr="000819DD">
        <w:trPr>
          <w:trHeight w:val="283"/>
        </w:trPr>
        <w:tc>
          <w:tcPr>
            <w:tcW w:w="0" w:type="auto"/>
            <w:vMerge w:val="restart"/>
            <w:shd w:val="clear" w:color="auto" w:fill="D9D9D9"/>
            <w:vAlign w:val="center"/>
          </w:tcPr>
          <w:p w14:paraId="09B3045C" w14:textId="12F54B15" w:rsidR="000819DD" w:rsidRPr="00445472" w:rsidRDefault="000819DD" w:rsidP="00F2273F">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 xml:space="preserve">Objektivat </w:t>
            </w:r>
            <w:r w:rsidR="00F2273F" w:rsidRPr="00445472">
              <w:rPr>
                <w:rFonts w:ascii="Garamond" w:eastAsia="MS Mincho" w:hAnsi="Garamond" w:cs="Arial"/>
                <w:b/>
                <w:sz w:val="18"/>
                <w:szCs w:val="18"/>
              </w:rPr>
              <w:t>mjedisorë</w:t>
            </w:r>
          </w:p>
        </w:tc>
        <w:tc>
          <w:tcPr>
            <w:tcW w:w="0" w:type="auto"/>
            <w:gridSpan w:val="3"/>
            <w:shd w:val="clear" w:color="auto" w:fill="D9D9D9"/>
            <w:vAlign w:val="center"/>
          </w:tcPr>
          <w:p w14:paraId="33BAED3A"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Përfundimi i llogaritur</w:t>
            </w:r>
          </w:p>
        </w:tc>
        <w:tc>
          <w:tcPr>
            <w:tcW w:w="0" w:type="auto"/>
            <w:vMerge w:val="restart"/>
            <w:shd w:val="clear" w:color="auto" w:fill="D9D9D9"/>
            <w:vAlign w:val="center"/>
          </w:tcPr>
          <w:p w14:paraId="252B9F91" w14:textId="49678AC5"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Vlera e Llogaritur (</w:t>
            </w:r>
            <w:r w:rsidR="00F2273F" w:rsidRPr="00445472">
              <w:rPr>
                <w:rFonts w:ascii="Garamond" w:eastAsia="MS Mincho" w:hAnsi="Garamond" w:cs="Arial"/>
                <w:b/>
                <w:sz w:val="18"/>
                <w:szCs w:val="18"/>
              </w:rPr>
              <w:t>milion euro</w:t>
            </w:r>
            <w:r w:rsidRPr="00445472">
              <w:rPr>
                <w:rFonts w:ascii="Garamond" w:eastAsia="MS Mincho" w:hAnsi="Garamond" w:cs="Arial"/>
                <w:b/>
                <w:sz w:val="18"/>
                <w:szCs w:val="18"/>
              </w:rPr>
              <w:t>)</w:t>
            </w:r>
          </w:p>
        </w:tc>
        <w:tc>
          <w:tcPr>
            <w:tcW w:w="0" w:type="auto"/>
            <w:vMerge w:val="restart"/>
            <w:shd w:val="clear" w:color="auto" w:fill="D9D9D9"/>
            <w:vAlign w:val="center"/>
          </w:tcPr>
          <w:p w14:paraId="15953AD2"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Institucionet kryesore të përfshira</w:t>
            </w:r>
          </w:p>
        </w:tc>
      </w:tr>
      <w:tr w:rsidR="000819DD" w:rsidRPr="00445472" w14:paraId="7F57393D" w14:textId="77777777" w:rsidTr="000819DD">
        <w:trPr>
          <w:trHeight w:val="283"/>
        </w:trPr>
        <w:tc>
          <w:tcPr>
            <w:tcW w:w="0" w:type="auto"/>
            <w:vMerge/>
            <w:shd w:val="clear" w:color="auto" w:fill="auto"/>
            <w:vAlign w:val="center"/>
          </w:tcPr>
          <w:p w14:paraId="6DD64B63" w14:textId="77777777" w:rsidR="000819DD" w:rsidRPr="00445472" w:rsidRDefault="000819DD" w:rsidP="002A1F08">
            <w:pPr>
              <w:spacing w:before="67" w:after="89"/>
              <w:rPr>
                <w:rFonts w:ascii="Garamond" w:eastAsia="MS Mincho" w:hAnsi="Garamond" w:cs="Arial"/>
                <w:sz w:val="18"/>
                <w:szCs w:val="18"/>
              </w:rPr>
            </w:pPr>
          </w:p>
        </w:tc>
        <w:tc>
          <w:tcPr>
            <w:tcW w:w="0" w:type="auto"/>
            <w:shd w:val="clear" w:color="auto" w:fill="D9D9D9"/>
            <w:vAlign w:val="center"/>
          </w:tcPr>
          <w:p w14:paraId="51171385" w14:textId="457F6505"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2021 -</w:t>
            </w:r>
            <w:r w:rsidR="00F2273F" w:rsidRPr="00445472">
              <w:rPr>
                <w:rFonts w:ascii="Garamond" w:eastAsia="MS Mincho" w:hAnsi="Garamond" w:cs="Arial"/>
                <w:b/>
                <w:sz w:val="18"/>
                <w:szCs w:val="18"/>
              </w:rPr>
              <w:t xml:space="preserve"> </w:t>
            </w:r>
            <w:r w:rsidRPr="00445472">
              <w:rPr>
                <w:rFonts w:ascii="Garamond" w:eastAsia="MS Mincho" w:hAnsi="Garamond" w:cs="Arial"/>
                <w:b/>
                <w:sz w:val="18"/>
                <w:szCs w:val="18"/>
              </w:rPr>
              <w:t xml:space="preserve"> 2023</w:t>
            </w:r>
          </w:p>
        </w:tc>
        <w:tc>
          <w:tcPr>
            <w:tcW w:w="0" w:type="auto"/>
            <w:shd w:val="clear" w:color="auto" w:fill="D9D9D9"/>
            <w:vAlign w:val="center"/>
          </w:tcPr>
          <w:p w14:paraId="7D54A736"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2024 - 2029</w:t>
            </w:r>
          </w:p>
        </w:tc>
        <w:tc>
          <w:tcPr>
            <w:tcW w:w="0" w:type="auto"/>
            <w:shd w:val="clear" w:color="auto" w:fill="D9D9D9"/>
            <w:vAlign w:val="center"/>
          </w:tcPr>
          <w:p w14:paraId="339FB0EA"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2030 - 2033</w:t>
            </w:r>
          </w:p>
        </w:tc>
        <w:tc>
          <w:tcPr>
            <w:tcW w:w="0" w:type="auto"/>
            <w:vMerge/>
            <w:shd w:val="clear" w:color="auto" w:fill="auto"/>
            <w:vAlign w:val="center"/>
          </w:tcPr>
          <w:p w14:paraId="1052C2DF" w14:textId="77777777" w:rsidR="000819DD" w:rsidRPr="00445472" w:rsidRDefault="000819DD" w:rsidP="002A1F08">
            <w:pPr>
              <w:spacing w:before="67" w:after="89"/>
              <w:jc w:val="center"/>
              <w:rPr>
                <w:rFonts w:ascii="Garamond" w:eastAsia="MS Mincho" w:hAnsi="Garamond" w:cs="Arial"/>
                <w:sz w:val="18"/>
                <w:szCs w:val="18"/>
              </w:rPr>
            </w:pPr>
          </w:p>
        </w:tc>
        <w:tc>
          <w:tcPr>
            <w:tcW w:w="0" w:type="auto"/>
            <w:vMerge/>
            <w:vAlign w:val="center"/>
          </w:tcPr>
          <w:p w14:paraId="520AB1E3" w14:textId="77777777" w:rsidR="000819DD" w:rsidRPr="00445472" w:rsidRDefault="000819DD" w:rsidP="002A1F08">
            <w:pPr>
              <w:spacing w:before="67" w:after="89"/>
              <w:jc w:val="center"/>
              <w:rPr>
                <w:rFonts w:ascii="Garamond" w:eastAsia="MS Mincho" w:hAnsi="Garamond" w:cs="Arial"/>
                <w:sz w:val="18"/>
                <w:szCs w:val="18"/>
              </w:rPr>
            </w:pPr>
          </w:p>
        </w:tc>
      </w:tr>
      <w:tr w:rsidR="000819DD" w:rsidRPr="00445472" w14:paraId="60D77080" w14:textId="77777777" w:rsidTr="000819DD">
        <w:trPr>
          <w:trHeight w:val="283"/>
        </w:trPr>
        <w:tc>
          <w:tcPr>
            <w:tcW w:w="0" w:type="auto"/>
            <w:shd w:val="clear" w:color="auto" w:fill="auto"/>
            <w:vAlign w:val="center"/>
          </w:tcPr>
          <w:p w14:paraId="503BC8F4" w14:textId="77777777"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1. Nxitja e përdorimit të qëndrueshëm të burimeve ujore, shpërndarja e tyre e drejtë midis përdoruesve, maksimizimi i përfitimeve ekonomike në lidhje me kushtet mjedisore dhe parimet e menaxhimit të qëndrueshëm.</w:t>
            </w:r>
          </w:p>
        </w:tc>
        <w:tc>
          <w:tcPr>
            <w:tcW w:w="0" w:type="auto"/>
            <w:shd w:val="clear" w:color="auto" w:fill="auto"/>
            <w:vAlign w:val="center"/>
          </w:tcPr>
          <w:p w14:paraId="209912C8"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31.10</w:t>
            </w:r>
          </w:p>
        </w:tc>
        <w:tc>
          <w:tcPr>
            <w:tcW w:w="0" w:type="auto"/>
            <w:shd w:val="clear" w:color="auto" w:fill="auto"/>
            <w:vAlign w:val="center"/>
          </w:tcPr>
          <w:p w14:paraId="2B7249D7"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264.50</w:t>
            </w:r>
          </w:p>
        </w:tc>
        <w:tc>
          <w:tcPr>
            <w:tcW w:w="0" w:type="auto"/>
            <w:shd w:val="clear" w:color="auto" w:fill="auto"/>
            <w:vAlign w:val="center"/>
          </w:tcPr>
          <w:p w14:paraId="5A878602"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52.60</w:t>
            </w:r>
          </w:p>
        </w:tc>
        <w:tc>
          <w:tcPr>
            <w:tcW w:w="0" w:type="auto"/>
            <w:shd w:val="clear" w:color="auto" w:fill="auto"/>
            <w:vAlign w:val="center"/>
          </w:tcPr>
          <w:p w14:paraId="1C2CF0D1"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348.20</w:t>
            </w:r>
          </w:p>
        </w:tc>
        <w:tc>
          <w:tcPr>
            <w:tcW w:w="0" w:type="auto"/>
            <w:vAlign w:val="center"/>
          </w:tcPr>
          <w:p w14:paraId="031F3F99" w14:textId="48D0E4FC" w:rsidR="000819DD" w:rsidRPr="00445472" w:rsidRDefault="000819DD" w:rsidP="002A1F08">
            <w:pPr>
              <w:spacing w:before="67" w:after="89"/>
              <w:jc w:val="center"/>
              <w:rPr>
                <w:rFonts w:ascii="Garamond" w:eastAsia="MS Mincho" w:hAnsi="Garamond" w:cs="Arial"/>
                <w:sz w:val="18"/>
                <w:szCs w:val="18"/>
              </w:rPr>
            </w:pPr>
            <w:r w:rsidRPr="00445472">
              <w:rPr>
                <w:rFonts w:ascii="Garamond" w:hAnsi="Garamond"/>
                <w:sz w:val="18"/>
                <w:szCs w:val="18"/>
              </w:rPr>
              <w:t>AMBU</w:t>
            </w:r>
            <w:r w:rsidR="001D340B" w:rsidRPr="00445472">
              <w:rPr>
                <w:rFonts w:ascii="Garamond" w:hAnsi="Garamond"/>
                <w:sz w:val="18"/>
                <w:szCs w:val="18"/>
              </w:rPr>
              <w:t>/</w:t>
            </w:r>
            <w:r w:rsidRPr="00445472">
              <w:rPr>
                <w:rFonts w:ascii="Garamond" w:hAnsi="Garamond"/>
                <w:sz w:val="18"/>
                <w:szCs w:val="18"/>
              </w:rPr>
              <w:t>Ministria përgjegjëse për Ujitjen dhe Kullimin</w:t>
            </w:r>
            <w:r w:rsidR="001D340B" w:rsidRPr="00445472">
              <w:rPr>
                <w:rFonts w:ascii="Garamond" w:hAnsi="Garamond"/>
                <w:sz w:val="18"/>
                <w:szCs w:val="18"/>
              </w:rPr>
              <w:t>/</w:t>
            </w:r>
            <w:r w:rsidRPr="00445472">
              <w:rPr>
                <w:rFonts w:ascii="Garamond" w:hAnsi="Garamond"/>
                <w:sz w:val="18"/>
                <w:szCs w:val="18"/>
              </w:rPr>
              <w:t xml:space="preserve">Ministria përgjegjëse për mjedisin </w:t>
            </w:r>
          </w:p>
        </w:tc>
      </w:tr>
      <w:tr w:rsidR="000819DD" w:rsidRPr="00445472" w14:paraId="07859310" w14:textId="77777777" w:rsidTr="000819DD">
        <w:trPr>
          <w:trHeight w:val="283"/>
        </w:trPr>
        <w:tc>
          <w:tcPr>
            <w:tcW w:w="0" w:type="auto"/>
            <w:shd w:val="clear" w:color="auto" w:fill="auto"/>
            <w:vAlign w:val="center"/>
          </w:tcPr>
          <w:p w14:paraId="4403C6E1" w14:textId="0CB6D498"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 xml:space="preserve">2. Ruajtja dhe arritja e statusit kimik dhe ekologjik minimal </w:t>
            </w:r>
            <w:r w:rsidR="00D62EDF" w:rsidRPr="00445472">
              <w:rPr>
                <w:rFonts w:ascii="Garamond" w:eastAsia="MS Mincho" w:hAnsi="Garamond" w:cs="Arial"/>
                <w:sz w:val="18"/>
                <w:szCs w:val="18"/>
              </w:rPr>
              <w:t>“</w:t>
            </w:r>
            <w:r w:rsidRPr="00445472">
              <w:rPr>
                <w:rFonts w:ascii="Garamond" w:eastAsia="MS Mincho" w:hAnsi="Garamond" w:cs="Arial"/>
                <w:sz w:val="18"/>
                <w:szCs w:val="18"/>
              </w:rPr>
              <w:t>i mirë</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për masat e ujërave sipërfaqësorë që kanë status </w:t>
            </w:r>
            <w:r w:rsidR="00D62EDF" w:rsidRPr="00445472">
              <w:rPr>
                <w:rFonts w:ascii="Garamond" w:eastAsia="MS Mincho" w:hAnsi="Garamond" w:cs="Arial"/>
                <w:sz w:val="18"/>
                <w:szCs w:val="18"/>
              </w:rPr>
              <w:t>“</w:t>
            </w:r>
            <w:r w:rsidRPr="00445472">
              <w:rPr>
                <w:rFonts w:ascii="Garamond" w:eastAsia="MS Mincho" w:hAnsi="Garamond" w:cs="Arial"/>
                <w:sz w:val="18"/>
                <w:szCs w:val="18"/>
              </w:rPr>
              <w:t>mesatar</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w:t>
            </w:r>
            <w:r w:rsidR="00D62EDF" w:rsidRPr="00445472">
              <w:rPr>
                <w:rFonts w:ascii="Garamond" w:eastAsia="MS Mincho" w:hAnsi="Garamond" w:cs="Arial"/>
                <w:sz w:val="18"/>
                <w:szCs w:val="18"/>
              </w:rPr>
              <w:t>“</w:t>
            </w:r>
            <w:r w:rsidRPr="00445472">
              <w:rPr>
                <w:rFonts w:ascii="Garamond" w:eastAsia="MS Mincho" w:hAnsi="Garamond" w:cs="Arial"/>
                <w:sz w:val="18"/>
                <w:szCs w:val="18"/>
              </w:rPr>
              <w:t>të keq</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ose </w:t>
            </w:r>
            <w:r w:rsidR="00D62EDF" w:rsidRPr="00445472">
              <w:rPr>
                <w:rFonts w:ascii="Garamond" w:eastAsia="MS Mincho" w:hAnsi="Garamond" w:cs="Arial"/>
                <w:sz w:val="18"/>
                <w:szCs w:val="18"/>
              </w:rPr>
              <w:t>“</w:t>
            </w:r>
            <w:r w:rsidRPr="00445472">
              <w:rPr>
                <w:rFonts w:ascii="Garamond" w:eastAsia="MS Mincho" w:hAnsi="Garamond" w:cs="Arial"/>
                <w:sz w:val="18"/>
                <w:szCs w:val="18"/>
              </w:rPr>
              <w:t>shumë të keq</w:t>
            </w:r>
            <w:r w:rsidR="00D62EDF" w:rsidRPr="00445472">
              <w:rPr>
                <w:rFonts w:ascii="Garamond" w:eastAsia="MS Mincho" w:hAnsi="Garamond" w:cs="Arial"/>
                <w:sz w:val="18"/>
                <w:szCs w:val="18"/>
              </w:rPr>
              <w:t>”</w:t>
            </w:r>
            <w:r w:rsidRPr="00445472">
              <w:rPr>
                <w:rFonts w:ascii="Garamond" w:eastAsia="MS Mincho" w:hAnsi="Garamond" w:cs="Arial"/>
                <w:sz w:val="18"/>
                <w:szCs w:val="18"/>
              </w:rPr>
              <w:t>. (lumenj, liqene, ujëra kalimtare, trupa ujorë bregdetarë, artificialë dhe tepër të modifikuar).</w:t>
            </w:r>
          </w:p>
        </w:tc>
        <w:tc>
          <w:tcPr>
            <w:tcW w:w="0" w:type="auto"/>
            <w:shd w:val="clear" w:color="auto" w:fill="auto"/>
            <w:vAlign w:val="center"/>
          </w:tcPr>
          <w:p w14:paraId="5FF17130"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16.00</w:t>
            </w:r>
          </w:p>
        </w:tc>
        <w:tc>
          <w:tcPr>
            <w:tcW w:w="0" w:type="auto"/>
            <w:shd w:val="clear" w:color="auto" w:fill="auto"/>
            <w:vAlign w:val="center"/>
          </w:tcPr>
          <w:p w14:paraId="4C903B45"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23.80</w:t>
            </w:r>
          </w:p>
        </w:tc>
        <w:tc>
          <w:tcPr>
            <w:tcW w:w="0" w:type="auto"/>
            <w:shd w:val="clear" w:color="auto" w:fill="auto"/>
            <w:vAlign w:val="center"/>
          </w:tcPr>
          <w:p w14:paraId="543E9112"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29.05</w:t>
            </w:r>
          </w:p>
        </w:tc>
        <w:tc>
          <w:tcPr>
            <w:tcW w:w="0" w:type="auto"/>
            <w:shd w:val="clear" w:color="auto" w:fill="auto"/>
            <w:vAlign w:val="center"/>
          </w:tcPr>
          <w:p w14:paraId="7F50328E"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68.85</w:t>
            </w:r>
          </w:p>
        </w:tc>
        <w:tc>
          <w:tcPr>
            <w:tcW w:w="0" w:type="auto"/>
            <w:vAlign w:val="center"/>
          </w:tcPr>
          <w:p w14:paraId="42B07BAE" w14:textId="00829060"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AMBU</w:t>
            </w:r>
            <w:r w:rsidR="001D340B" w:rsidRPr="00445472">
              <w:rPr>
                <w:rFonts w:ascii="Garamond" w:eastAsia="MS Mincho" w:hAnsi="Garamond" w:cs="Arial"/>
                <w:sz w:val="18"/>
                <w:szCs w:val="18"/>
              </w:rPr>
              <w:t>/</w:t>
            </w:r>
            <w:r w:rsidRPr="00445472">
              <w:rPr>
                <w:rFonts w:ascii="Garamond" w:hAnsi="Garamond"/>
                <w:sz w:val="18"/>
                <w:szCs w:val="18"/>
              </w:rPr>
              <w:t>Ministria përgjegjëse për mjedisin</w:t>
            </w:r>
          </w:p>
        </w:tc>
      </w:tr>
      <w:tr w:rsidR="000819DD" w:rsidRPr="00445472" w14:paraId="1F34EEB4" w14:textId="77777777" w:rsidTr="000819DD">
        <w:trPr>
          <w:trHeight w:val="283"/>
        </w:trPr>
        <w:tc>
          <w:tcPr>
            <w:tcW w:w="0" w:type="auto"/>
            <w:shd w:val="clear" w:color="auto" w:fill="auto"/>
            <w:vAlign w:val="center"/>
          </w:tcPr>
          <w:p w14:paraId="2A677FEA" w14:textId="77777777"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3. Parandalimi i ndotjes, me qëllim shmangien e përkeqësimit të cilësisë së ujërave nëntokësore dhe për arritjen e një statusi pozitiv kimik në GWB.</w:t>
            </w:r>
          </w:p>
        </w:tc>
        <w:tc>
          <w:tcPr>
            <w:tcW w:w="0" w:type="auto"/>
            <w:shd w:val="clear" w:color="auto" w:fill="auto"/>
            <w:vAlign w:val="center"/>
          </w:tcPr>
          <w:p w14:paraId="5FA30933"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2.35</w:t>
            </w:r>
          </w:p>
        </w:tc>
        <w:tc>
          <w:tcPr>
            <w:tcW w:w="0" w:type="auto"/>
            <w:shd w:val="clear" w:color="auto" w:fill="auto"/>
            <w:vAlign w:val="center"/>
          </w:tcPr>
          <w:p w14:paraId="0CA4D787"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6.5</w:t>
            </w:r>
          </w:p>
        </w:tc>
        <w:tc>
          <w:tcPr>
            <w:tcW w:w="0" w:type="auto"/>
            <w:shd w:val="clear" w:color="auto" w:fill="auto"/>
            <w:vAlign w:val="center"/>
          </w:tcPr>
          <w:p w14:paraId="2AECFC09"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w:t>
            </w:r>
          </w:p>
        </w:tc>
        <w:tc>
          <w:tcPr>
            <w:tcW w:w="0" w:type="auto"/>
            <w:shd w:val="clear" w:color="auto" w:fill="auto"/>
            <w:vAlign w:val="center"/>
          </w:tcPr>
          <w:p w14:paraId="608D9C44"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8.40</w:t>
            </w:r>
          </w:p>
        </w:tc>
        <w:tc>
          <w:tcPr>
            <w:tcW w:w="0" w:type="auto"/>
            <w:vAlign w:val="center"/>
          </w:tcPr>
          <w:p w14:paraId="33B0C2FB" w14:textId="3A20A735" w:rsidR="000819DD" w:rsidRPr="00445472" w:rsidRDefault="000819DD" w:rsidP="002A1F08">
            <w:pPr>
              <w:spacing w:before="67" w:after="89"/>
              <w:jc w:val="center"/>
              <w:rPr>
                <w:rFonts w:ascii="Garamond" w:eastAsia="MS Mincho" w:hAnsi="Garamond" w:cs="Arial"/>
                <w:sz w:val="18"/>
                <w:szCs w:val="18"/>
              </w:rPr>
            </w:pPr>
            <w:r w:rsidRPr="00445472">
              <w:rPr>
                <w:rFonts w:ascii="Garamond" w:hAnsi="Garamond"/>
                <w:sz w:val="18"/>
                <w:szCs w:val="18"/>
              </w:rPr>
              <w:t>AMBU</w:t>
            </w:r>
            <w:r w:rsidR="001D340B" w:rsidRPr="00445472">
              <w:rPr>
                <w:rFonts w:ascii="Garamond" w:hAnsi="Garamond"/>
                <w:sz w:val="18"/>
                <w:szCs w:val="18"/>
              </w:rPr>
              <w:t>/</w:t>
            </w:r>
            <w:r w:rsidR="00F2273F" w:rsidRPr="00445472">
              <w:rPr>
                <w:rFonts w:ascii="Garamond" w:hAnsi="Garamond"/>
                <w:sz w:val="18"/>
                <w:szCs w:val="18"/>
              </w:rPr>
              <w:t>SHGJSH</w:t>
            </w:r>
            <w:r w:rsidR="001D340B" w:rsidRPr="00445472">
              <w:rPr>
                <w:rFonts w:ascii="Garamond" w:hAnsi="Garamond"/>
                <w:sz w:val="18"/>
                <w:szCs w:val="18"/>
              </w:rPr>
              <w:t>/</w:t>
            </w:r>
            <w:r w:rsidRPr="00445472">
              <w:rPr>
                <w:rFonts w:ascii="Garamond" w:hAnsi="Garamond"/>
                <w:sz w:val="18"/>
                <w:szCs w:val="18"/>
              </w:rPr>
              <w:t>Ministria përgjegjëse për mjedisin</w:t>
            </w:r>
          </w:p>
        </w:tc>
      </w:tr>
      <w:tr w:rsidR="000819DD" w:rsidRPr="00445472" w14:paraId="6033D8B7" w14:textId="77777777" w:rsidTr="000819DD">
        <w:trPr>
          <w:trHeight w:val="283"/>
        </w:trPr>
        <w:tc>
          <w:tcPr>
            <w:tcW w:w="0" w:type="auto"/>
            <w:shd w:val="clear" w:color="auto" w:fill="auto"/>
            <w:vAlign w:val="center"/>
          </w:tcPr>
          <w:p w14:paraId="4CB628DC" w14:textId="1DC2CE0E"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 xml:space="preserve">4. Ruajtja dhe arritja e cilësisë minimale </w:t>
            </w:r>
            <w:r w:rsidR="00D62EDF" w:rsidRPr="00445472">
              <w:rPr>
                <w:rFonts w:ascii="Garamond" w:eastAsia="MS Mincho" w:hAnsi="Garamond" w:cs="Arial"/>
                <w:sz w:val="18"/>
                <w:szCs w:val="18"/>
              </w:rPr>
              <w:t>“</w:t>
            </w:r>
            <w:r w:rsidRPr="00445472">
              <w:rPr>
                <w:rFonts w:ascii="Garamond" w:eastAsia="MS Mincho" w:hAnsi="Garamond" w:cs="Arial"/>
                <w:sz w:val="18"/>
                <w:szCs w:val="18"/>
              </w:rPr>
              <w:t>të mirë</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për ujërat e larjes (të brendshme, bregdetare dhe kalimtare)</w:t>
            </w:r>
          </w:p>
        </w:tc>
        <w:tc>
          <w:tcPr>
            <w:tcW w:w="0" w:type="auto"/>
            <w:shd w:val="clear" w:color="auto" w:fill="auto"/>
            <w:vAlign w:val="center"/>
          </w:tcPr>
          <w:p w14:paraId="034A65FA"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0.5</w:t>
            </w:r>
          </w:p>
        </w:tc>
        <w:tc>
          <w:tcPr>
            <w:tcW w:w="0" w:type="auto"/>
            <w:shd w:val="clear" w:color="auto" w:fill="auto"/>
            <w:vAlign w:val="center"/>
          </w:tcPr>
          <w:p w14:paraId="5836EA6E"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3.5</w:t>
            </w:r>
          </w:p>
        </w:tc>
        <w:tc>
          <w:tcPr>
            <w:tcW w:w="0" w:type="auto"/>
            <w:shd w:val="clear" w:color="auto" w:fill="auto"/>
            <w:vAlign w:val="center"/>
          </w:tcPr>
          <w:p w14:paraId="4DCC6A29"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w:t>
            </w:r>
          </w:p>
        </w:tc>
        <w:tc>
          <w:tcPr>
            <w:tcW w:w="0" w:type="auto"/>
            <w:shd w:val="clear" w:color="auto" w:fill="auto"/>
            <w:vAlign w:val="center"/>
          </w:tcPr>
          <w:p w14:paraId="36117C77"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3.40</w:t>
            </w:r>
          </w:p>
        </w:tc>
        <w:tc>
          <w:tcPr>
            <w:tcW w:w="0" w:type="auto"/>
            <w:vAlign w:val="center"/>
          </w:tcPr>
          <w:p w14:paraId="57E0A557"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Ministria përgjegjëse për shëndetësinë</w:t>
            </w:r>
          </w:p>
        </w:tc>
      </w:tr>
      <w:tr w:rsidR="000819DD" w:rsidRPr="00445472" w14:paraId="7893F462" w14:textId="77777777" w:rsidTr="000819DD">
        <w:trPr>
          <w:trHeight w:val="283"/>
        </w:trPr>
        <w:tc>
          <w:tcPr>
            <w:tcW w:w="0" w:type="auto"/>
            <w:shd w:val="clear" w:color="auto" w:fill="auto"/>
            <w:vAlign w:val="center"/>
          </w:tcPr>
          <w:p w14:paraId="400DC3B7" w14:textId="77777777"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5. Ulja e rrezikut të përmbytjeve dhe humbjeve për jetën, mjetet e jetesës, shëndetin, ekonominë, asetet kulturore dhe mjedisore të personave, bizneseve dhe komuniteteve.</w:t>
            </w:r>
          </w:p>
        </w:tc>
        <w:tc>
          <w:tcPr>
            <w:tcW w:w="0" w:type="auto"/>
            <w:shd w:val="clear" w:color="auto" w:fill="auto"/>
            <w:vAlign w:val="center"/>
          </w:tcPr>
          <w:p w14:paraId="6B1A1826"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1.20</w:t>
            </w:r>
          </w:p>
        </w:tc>
        <w:tc>
          <w:tcPr>
            <w:tcW w:w="0" w:type="auto"/>
            <w:shd w:val="clear" w:color="auto" w:fill="auto"/>
            <w:vAlign w:val="center"/>
          </w:tcPr>
          <w:p w14:paraId="631D4D62"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44.6</w:t>
            </w:r>
          </w:p>
        </w:tc>
        <w:tc>
          <w:tcPr>
            <w:tcW w:w="0" w:type="auto"/>
            <w:shd w:val="clear" w:color="auto" w:fill="auto"/>
            <w:vAlign w:val="center"/>
          </w:tcPr>
          <w:p w14:paraId="762E91DF"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35.56</w:t>
            </w:r>
          </w:p>
        </w:tc>
        <w:tc>
          <w:tcPr>
            <w:tcW w:w="0" w:type="auto"/>
            <w:shd w:val="clear" w:color="auto" w:fill="auto"/>
            <w:vAlign w:val="center"/>
          </w:tcPr>
          <w:p w14:paraId="739F2014"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81.40</w:t>
            </w:r>
          </w:p>
        </w:tc>
        <w:tc>
          <w:tcPr>
            <w:tcW w:w="0" w:type="auto"/>
            <w:vAlign w:val="center"/>
          </w:tcPr>
          <w:p w14:paraId="3A9E9A13" w14:textId="30D5213A"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Ministria përgjegjëse për ujitjen dhe kullimin Ministria përgjegjëse për mbrojtjen civile</w:t>
            </w:r>
            <w:r w:rsidR="001D340B" w:rsidRPr="00445472">
              <w:rPr>
                <w:rFonts w:ascii="Garamond" w:eastAsia="MS Mincho" w:hAnsi="Garamond" w:cs="Arial"/>
                <w:sz w:val="18"/>
                <w:szCs w:val="18"/>
              </w:rPr>
              <w:t>/</w:t>
            </w:r>
            <w:r w:rsidRPr="00445472">
              <w:rPr>
                <w:rFonts w:ascii="Garamond" w:eastAsia="MS Mincho" w:hAnsi="Garamond" w:cs="Arial"/>
                <w:sz w:val="18"/>
                <w:szCs w:val="18"/>
              </w:rPr>
              <w:t xml:space="preserve">Agjencia Kombëtare për Mbrojtjen Civile </w:t>
            </w:r>
          </w:p>
          <w:p w14:paraId="718999A6"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AMBU</w:t>
            </w:r>
          </w:p>
          <w:p w14:paraId="46D871D6" w14:textId="77777777" w:rsidR="000819DD" w:rsidRPr="00445472" w:rsidRDefault="000819DD" w:rsidP="002A1F08">
            <w:pPr>
              <w:spacing w:before="67" w:after="89"/>
              <w:jc w:val="center"/>
              <w:rPr>
                <w:rFonts w:ascii="Garamond" w:eastAsia="MS Mincho" w:hAnsi="Garamond" w:cs="Arial"/>
                <w:sz w:val="18"/>
                <w:szCs w:val="18"/>
              </w:rPr>
            </w:pPr>
          </w:p>
        </w:tc>
      </w:tr>
      <w:tr w:rsidR="000819DD" w:rsidRPr="00445472" w14:paraId="794A5BCC" w14:textId="77777777" w:rsidTr="000819DD">
        <w:trPr>
          <w:trHeight w:val="283"/>
        </w:trPr>
        <w:tc>
          <w:tcPr>
            <w:tcW w:w="0" w:type="auto"/>
            <w:shd w:val="clear" w:color="auto" w:fill="auto"/>
            <w:vAlign w:val="center"/>
          </w:tcPr>
          <w:p w14:paraId="5F13450B" w14:textId="77777777"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6. Përmirësimi i digave të sigurisë të ujitjes</w:t>
            </w:r>
          </w:p>
        </w:tc>
        <w:tc>
          <w:tcPr>
            <w:tcW w:w="0" w:type="auto"/>
            <w:shd w:val="clear" w:color="auto" w:fill="auto"/>
            <w:vAlign w:val="center"/>
          </w:tcPr>
          <w:p w14:paraId="014C9124"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0.50</w:t>
            </w:r>
          </w:p>
        </w:tc>
        <w:tc>
          <w:tcPr>
            <w:tcW w:w="0" w:type="auto"/>
            <w:shd w:val="clear" w:color="auto" w:fill="auto"/>
            <w:vAlign w:val="center"/>
          </w:tcPr>
          <w:p w14:paraId="7168B2E5"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w:t>
            </w:r>
          </w:p>
        </w:tc>
        <w:tc>
          <w:tcPr>
            <w:tcW w:w="0" w:type="auto"/>
            <w:shd w:val="clear" w:color="auto" w:fill="auto"/>
            <w:vAlign w:val="center"/>
          </w:tcPr>
          <w:p w14:paraId="58A3EA76"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w:t>
            </w:r>
          </w:p>
        </w:tc>
        <w:tc>
          <w:tcPr>
            <w:tcW w:w="0" w:type="auto"/>
            <w:shd w:val="clear" w:color="auto" w:fill="auto"/>
            <w:vAlign w:val="center"/>
          </w:tcPr>
          <w:p w14:paraId="23668C35"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0.50</w:t>
            </w:r>
          </w:p>
        </w:tc>
        <w:tc>
          <w:tcPr>
            <w:tcW w:w="0" w:type="auto"/>
            <w:vAlign w:val="center"/>
          </w:tcPr>
          <w:p w14:paraId="301D90D7"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KKDM</w:t>
            </w:r>
            <w:r w:rsidRPr="00445472">
              <w:rPr>
                <w:rFonts w:ascii="Garamond" w:eastAsia="MS Mincho" w:hAnsi="Garamond" w:cs="Arial"/>
                <w:sz w:val="18"/>
                <w:szCs w:val="18"/>
              </w:rPr>
              <w:br/>
            </w:r>
            <w:r w:rsidRPr="00445472">
              <w:rPr>
                <w:rFonts w:ascii="Garamond" w:hAnsi="Garamond"/>
                <w:sz w:val="18"/>
                <w:szCs w:val="18"/>
              </w:rPr>
              <w:t xml:space="preserve"> Ministria përgjegjëse për Ujitjen dhe Kullimin</w:t>
            </w:r>
          </w:p>
        </w:tc>
      </w:tr>
      <w:tr w:rsidR="000819DD" w:rsidRPr="00445472" w14:paraId="77D720F7" w14:textId="77777777" w:rsidTr="000819DD">
        <w:trPr>
          <w:trHeight w:val="283"/>
        </w:trPr>
        <w:tc>
          <w:tcPr>
            <w:tcW w:w="0" w:type="auto"/>
            <w:shd w:val="clear" w:color="auto" w:fill="auto"/>
            <w:vAlign w:val="center"/>
          </w:tcPr>
          <w:p w14:paraId="34B09D31" w14:textId="77777777" w:rsidR="000819DD" w:rsidRPr="00445472" w:rsidRDefault="000819DD" w:rsidP="002A1F08">
            <w:pPr>
              <w:spacing w:before="67" w:after="89"/>
              <w:rPr>
                <w:rFonts w:ascii="Garamond" w:eastAsia="MS Mincho" w:hAnsi="Garamond" w:cs="Arial"/>
                <w:sz w:val="18"/>
                <w:szCs w:val="18"/>
              </w:rPr>
            </w:pPr>
            <w:r w:rsidRPr="00445472">
              <w:rPr>
                <w:rFonts w:ascii="Garamond" w:eastAsia="MS Mincho" w:hAnsi="Garamond" w:cs="Arial"/>
                <w:sz w:val="18"/>
                <w:szCs w:val="18"/>
              </w:rPr>
              <w:t>7. Ruajtja/Mbrojtja dhe/ose ulja e nivelit të erozionit në lumenj</w:t>
            </w:r>
          </w:p>
        </w:tc>
        <w:tc>
          <w:tcPr>
            <w:tcW w:w="0" w:type="auto"/>
            <w:shd w:val="clear" w:color="auto" w:fill="auto"/>
            <w:vAlign w:val="center"/>
          </w:tcPr>
          <w:p w14:paraId="768B32D8"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1.45</w:t>
            </w:r>
          </w:p>
        </w:tc>
        <w:tc>
          <w:tcPr>
            <w:tcW w:w="0" w:type="auto"/>
            <w:shd w:val="clear" w:color="auto" w:fill="auto"/>
            <w:vAlign w:val="center"/>
          </w:tcPr>
          <w:p w14:paraId="552A84B3"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0.50</w:t>
            </w:r>
          </w:p>
        </w:tc>
        <w:tc>
          <w:tcPr>
            <w:tcW w:w="0" w:type="auto"/>
            <w:shd w:val="clear" w:color="auto" w:fill="auto"/>
            <w:vAlign w:val="center"/>
          </w:tcPr>
          <w:p w14:paraId="5B31A729" w14:textId="77777777" w:rsidR="000819DD" w:rsidRPr="00445472" w:rsidRDefault="000819DD" w:rsidP="002A1F08">
            <w:pPr>
              <w:spacing w:before="67" w:after="89"/>
              <w:jc w:val="center"/>
              <w:rPr>
                <w:rFonts w:ascii="Garamond" w:eastAsia="MS Mincho" w:hAnsi="Garamond" w:cs="Arial"/>
                <w:sz w:val="18"/>
                <w:szCs w:val="18"/>
              </w:rPr>
            </w:pPr>
          </w:p>
        </w:tc>
        <w:tc>
          <w:tcPr>
            <w:tcW w:w="0" w:type="auto"/>
            <w:shd w:val="clear" w:color="auto" w:fill="auto"/>
            <w:vAlign w:val="center"/>
          </w:tcPr>
          <w:p w14:paraId="1AE6AB76"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1.95</w:t>
            </w:r>
          </w:p>
        </w:tc>
        <w:tc>
          <w:tcPr>
            <w:tcW w:w="0" w:type="auto"/>
            <w:vAlign w:val="center"/>
          </w:tcPr>
          <w:p w14:paraId="1E4C7FFF" w14:textId="77777777" w:rsidR="000819DD" w:rsidRPr="00445472" w:rsidRDefault="000819DD"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AMBU</w:t>
            </w:r>
          </w:p>
        </w:tc>
      </w:tr>
      <w:tr w:rsidR="000819DD" w:rsidRPr="00445472" w14:paraId="3AC07764" w14:textId="77777777" w:rsidTr="000819DD">
        <w:trPr>
          <w:trHeight w:val="283"/>
        </w:trPr>
        <w:tc>
          <w:tcPr>
            <w:tcW w:w="0" w:type="auto"/>
            <w:shd w:val="clear" w:color="auto" w:fill="D9D9D9"/>
            <w:vAlign w:val="center"/>
          </w:tcPr>
          <w:p w14:paraId="1318A0F0" w14:textId="77777777" w:rsidR="000819DD" w:rsidRPr="00445472" w:rsidRDefault="000819DD" w:rsidP="002A1F08">
            <w:pPr>
              <w:spacing w:before="67" w:after="89"/>
              <w:rPr>
                <w:rFonts w:ascii="Garamond" w:eastAsia="MS Mincho" w:hAnsi="Garamond" w:cs="Arial"/>
                <w:b/>
                <w:sz w:val="18"/>
                <w:szCs w:val="18"/>
              </w:rPr>
            </w:pPr>
            <w:r w:rsidRPr="00445472">
              <w:rPr>
                <w:rFonts w:ascii="Garamond" w:eastAsia="MS Mincho" w:hAnsi="Garamond" w:cs="Arial"/>
                <w:b/>
                <w:sz w:val="18"/>
                <w:szCs w:val="18"/>
              </w:rPr>
              <w:t>Totali (Milion Euro)</w:t>
            </w:r>
          </w:p>
        </w:tc>
        <w:tc>
          <w:tcPr>
            <w:tcW w:w="0" w:type="auto"/>
            <w:shd w:val="clear" w:color="auto" w:fill="D9D9D9"/>
            <w:vAlign w:val="center"/>
          </w:tcPr>
          <w:p w14:paraId="32E2DEBF"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55.65</w:t>
            </w:r>
          </w:p>
        </w:tc>
        <w:tc>
          <w:tcPr>
            <w:tcW w:w="0" w:type="auto"/>
            <w:shd w:val="clear" w:color="auto" w:fill="D9D9D9"/>
            <w:vAlign w:val="center"/>
          </w:tcPr>
          <w:p w14:paraId="44880AC5"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339.84</w:t>
            </w:r>
          </w:p>
        </w:tc>
        <w:tc>
          <w:tcPr>
            <w:tcW w:w="0" w:type="auto"/>
            <w:shd w:val="clear" w:color="auto" w:fill="D9D9D9"/>
            <w:vAlign w:val="center"/>
          </w:tcPr>
          <w:p w14:paraId="3212090D"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117.21</w:t>
            </w:r>
          </w:p>
        </w:tc>
        <w:tc>
          <w:tcPr>
            <w:tcW w:w="0" w:type="auto"/>
            <w:shd w:val="clear" w:color="auto" w:fill="D9D9D9"/>
            <w:vAlign w:val="center"/>
          </w:tcPr>
          <w:p w14:paraId="78F1F742" w14:textId="77777777" w:rsidR="000819DD" w:rsidRPr="00445472" w:rsidRDefault="000819DD"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512.70</w:t>
            </w:r>
          </w:p>
        </w:tc>
        <w:tc>
          <w:tcPr>
            <w:tcW w:w="0" w:type="auto"/>
            <w:shd w:val="clear" w:color="auto" w:fill="D9D9D9"/>
            <w:vAlign w:val="center"/>
          </w:tcPr>
          <w:p w14:paraId="75A7A060" w14:textId="77777777" w:rsidR="000819DD" w:rsidRPr="00445472" w:rsidRDefault="000819DD" w:rsidP="002A1F08">
            <w:pPr>
              <w:spacing w:before="67" w:after="89"/>
              <w:jc w:val="center"/>
              <w:rPr>
                <w:rFonts w:ascii="Garamond" w:eastAsia="MS Mincho" w:hAnsi="Garamond" w:cs="Arial"/>
                <w:b/>
                <w:sz w:val="18"/>
                <w:szCs w:val="18"/>
              </w:rPr>
            </w:pPr>
          </w:p>
        </w:tc>
      </w:tr>
    </w:tbl>
    <w:p w14:paraId="4D062963" w14:textId="006EAC09" w:rsidR="000819DD" w:rsidRPr="00445472" w:rsidRDefault="000819DD" w:rsidP="00E33351">
      <w:pPr>
        <w:pStyle w:val="TEKSTIIII"/>
      </w:pPr>
    </w:p>
    <w:p w14:paraId="3E1937E8" w14:textId="77777777" w:rsidR="00F2273F" w:rsidRPr="00445472" w:rsidRDefault="00F2273F" w:rsidP="003E0CF6">
      <w:pPr>
        <w:pStyle w:val="NENTITULL"/>
      </w:pPr>
    </w:p>
    <w:p w14:paraId="6AB101F9" w14:textId="6BF5570B" w:rsidR="003E0CF6" w:rsidRPr="00445472" w:rsidRDefault="003E0CF6" w:rsidP="003E0CF6">
      <w:pPr>
        <w:pStyle w:val="NENTITULL"/>
      </w:pPr>
      <w:r w:rsidRPr="00445472">
        <w:t xml:space="preserve">Tabela 12.5: Kostoja </w:t>
      </w:r>
      <w:r w:rsidR="00F2273F" w:rsidRPr="00445472">
        <w:t xml:space="preserve">paraprake e llogaritur për secilin prej objektivave </w:t>
      </w:r>
      <w:r w:rsidRPr="00445472">
        <w:t>Mjedisor</w:t>
      </w:r>
      <w:r w:rsidRPr="00445472">
        <w:rPr>
          <w:shd w:val="clear" w:color="auto" w:fill="FFFFFF"/>
        </w:rPr>
        <w:t>ë</w:t>
      </w:r>
      <w:r w:rsidRPr="00445472">
        <w:rPr>
          <w:rStyle w:val="FootnoteReference"/>
          <w:rFonts w:ascii="Garamond" w:hAnsi="Garamond"/>
          <w:b w:val="0"/>
          <w:bCs/>
          <w:color w:val="auto"/>
        </w:rPr>
        <w:footnoteReference w:id="214"/>
      </w:r>
    </w:p>
    <w:tbl>
      <w:tblPr>
        <w:tblW w:w="5000" w:type="pct"/>
        <w:tblBorders>
          <w:top w:val="single" w:sz="4" w:space="0" w:color="009E9A"/>
          <w:left w:val="single" w:sz="4" w:space="0" w:color="009E9A"/>
          <w:bottom w:val="single" w:sz="4" w:space="0" w:color="009E9A"/>
          <w:right w:val="single" w:sz="4" w:space="0" w:color="009E9A"/>
          <w:insideH w:val="single" w:sz="4" w:space="0" w:color="009E9A"/>
          <w:insideV w:val="single" w:sz="4" w:space="0" w:color="009E9A"/>
        </w:tblBorders>
        <w:tblLook w:val="04A0" w:firstRow="1" w:lastRow="0" w:firstColumn="1" w:lastColumn="0" w:noHBand="0" w:noVBand="1"/>
      </w:tblPr>
      <w:tblGrid>
        <w:gridCol w:w="4928"/>
        <w:gridCol w:w="1276"/>
        <w:gridCol w:w="1417"/>
        <w:gridCol w:w="1666"/>
      </w:tblGrid>
      <w:tr w:rsidR="003E0CF6" w:rsidRPr="00445472" w14:paraId="29AAE34F" w14:textId="77777777" w:rsidTr="003E0CF6">
        <w:tc>
          <w:tcPr>
            <w:tcW w:w="2653" w:type="pct"/>
            <w:shd w:val="clear" w:color="auto" w:fill="D9D9D9"/>
            <w:vAlign w:val="center"/>
          </w:tcPr>
          <w:p w14:paraId="23A59622" w14:textId="51019691" w:rsidR="003E0CF6" w:rsidRPr="00445472" w:rsidRDefault="003E0CF6" w:rsidP="00504992">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 xml:space="preserve">Objektivat </w:t>
            </w:r>
            <w:r w:rsidR="00504992" w:rsidRPr="00445472">
              <w:rPr>
                <w:rFonts w:ascii="Garamond" w:eastAsia="MS Mincho" w:hAnsi="Garamond" w:cs="Arial"/>
                <w:b/>
                <w:sz w:val="18"/>
                <w:szCs w:val="18"/>
              </w:rPr>
              <w:t>mjedisorë</w:t>
            </w:r>
          </w:p>
        </w:tc>
        <w:tc>
          <w:tcPr>
            <w:tcW w:w="687" w:type="pct"/>
            <w:shd w:val="clear" w:color="auto" w:fill="D9D9D9"/>
            <w:vAlign w:val="center"/>
          </w:tcPr>
          <w:p w14:paraId="227D66AD" w14:textId="77777777" w:rsidR="003E0CF6" w:rsidRPr="00445472" w:rsidRDefault="003E0CF6"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Masa bazë</w:t>
            </w:r>
          </w:p>
          <w:p w14:paraId="3FD8C9E6" w14:textId="77777777" w:rsidR="003E0CF6" w:rsidRPr="00445472" w:rsidRDefault="003E0CF6"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(Milion Euro)</w:t>
            </w:r>
          </w:p>
        </w:tc>
        <w:tc>
          <w:tcPr>
            <w:tcW w:w="763" w:type="pct"/>
            <w:shd w:val="clear" w:color="auto" w:fill="D9D9D9"/>
            <w:vAlign w:val="center"/>
          </w:tcPr>
          <w:p w14:paraId="7AC6483B" w14:textId="77777777" w:rsidR="003E0CF6" w:rsidRPr="00445472" w:rsidRDefault="003E0CF6"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Masa shtesë</w:t>
            </w:r>
          </w:p>
          <w:p w14:paraId="23CDEACF" w14:textId="77777777" w:rsidR="003E0CF6" w:rsidRPr="00445472" w:rsidRDefault="003E0CF6"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(Milion Euro</w:t>
            </w:r>
          </w:p>
        </w:tc>
        <w:tc>
          <w:tcPr>
            <w:tcW w:w="897" w:type="pct"/>
            <w:shd w:val="clear" w:color="auto" w:fill="D9D9D9"/>
            <w:vAlign w:val="center"/>
          </w:tcPr>
          <w:p w14:paraId="2DB5C5EA" w14:textId="77777777" w:rsidR="003E0CF6" w:rsidRPr="00445472" w:rsidRDefault="003E0CF6"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Vlera e llogaritur</w:t>
            </w:r>
          </w:p>
          <w:p w14:paraId="31767D1F" w14:textId="77777777" w:rsidR="003E0CF6" w:rsidRPr="00445472" w:rsidRDefault="003E0CF6" w:rsidP="002A1F08">
            <w:pPr>
              <w:spacing w:before="67" w:after="89"/>
              <w:jc w:val="center"/>
              <w:rPr>
                <w:rFonts w:ascii="Garamond" w:eastAsia="MS Mincho" w:hAnsi="Garamond" w:cs="Arial"/>
                <w:b/>
                <w:sz w:val="18"/>
                <w:szCs w:val="18"/>
              </w:rPr>
            </w:pPr>
            <w:r w:rsidRPr="00445472">
              <w:rPr>
                <w:rFonts w:ascii="Garamond" w:eastAsia="MS Mincho" w:hAnsi="Garamond" w:cs="Arial"/>
                <w:b/>
                <w:sz w:val="18"/>
                <w:szCs w:val="18"/>
              </w:rPr>
              <w:t>(Milion Euro)</w:t>
            </w:r>
          </w:p>
        </w:tc>
      </w:tr>
      <w:tr w:rsidR="003E0CF6" w:rsidRPr="00445472" w14:paraId="35233310" w14:textId="77777777" w:rsidTr="003E0CF6">
        <w:tc>
          <w:tcPr>
            <w:tcW w:w="2653" w:type="pct"/>
            <w:shd w:val="clear" w:color="auto" w:fill="auto"/>
            <w:vAlign w:val="center"/>
          </w:tcPr>
          <w:p w14:paraId="1BDF0766" w14:textId="77777777" w:rsidR="003E0CF6" w:rsidRPr="00445472" w:rsidRDefault="003E0CF6" w:rsidP="002A1F08">
            <w:pPr>
              <w:spacing w:before="67" w:after="89"/>
              <w:rPr>
                <w:rFonts w:ascii="Garamond" w:eastAsia="MS Mincho" w:hAnsi="Garamond" w:cs="Arial"/>
                <w:sz w:val="18"/>
                <w:szCs w:val="18"/>
              </w:rPr>
            </w:pPr>
            <w:r w:rsidRPr="00445472">
              <w:rPr>
                <w:rFonts w:ascii="Garamond" w:eastAsia="MS Mincho" w:hAnsi="Garamond" w:cs="Arial"/>
                <w:sz w:val="18"/>
                <w:szCs w:val="18"/>
              </w:rPr>
              <w:t>1. Nxitja e përdorimit të qëndrueshëm të burimeve ujore, shpërndarja e tyre e drejtë midis përdoruesve, maksimizimi i përfitimeve ekonomike në lidhje me kushtet mjedisore dhe parimet e menaxhimit të qëndrueshëm.</w:t>
            </w:r>
          </w:p>
        </w:tc>
        <w:tc>
          <w:tcPr>
            <w:tcW w:w="687" w:type="pct"/>
            <w:shd w:val="clear" w:color="auto" w:fill="auto"/>
            <w:vAlign w:val="center"/>
          </w:tcPr>
          <w:p w14:paraId="562B8249" w14:textId="77777777" w:rsidR="003E0CF6" w:rsidRPr="00445472" w:rsidRDefault="003E0CF6"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318.32</w:t>
            </w:r>
          </w:p>
        </w:tc>
        <w:tc>
          <w:tcPr>
            <w:tcW w:w="763" w:type="pct"/>
            <w:shd w:val="clear" w:color="auto" w:fill="auto"/>
            <w:vAlign w:val="center"/>
          </w:tcPr>
          <w:p w14:paraId="5E320721" w14:textId="77777777" w:rsidR="003E0CF6" w:rsidRPr="00445472" w:rsidRDefault="003E0CF6"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29.88</w:t>
            </w:r>
          </w:p>
        </w:tc>
        <w:tc>
          <w:tcPr>
            <w:tcW w:w="897" w:type="pct"/>
            <w:shd w:val="clear" w:color="auto" w:fill="auto"/>
            <w:vAlign w:val="center"/>
          </w:tcPr>
          <w:p w14:paraId="40486A4F" w14:textId="77777777" w:rsidR="003E0CF6" w:rsidRPr="00445472" w:rsidRDefault="003E0CF6" w:rsidP="002A1F08">
            <w:pPr>
              <w:spacing w:before="67" w:after="89"/>
              <w:jc w:val="center"/>
              <w:rPr>
                <w:rFonts w:ascii="Garamond" w:eastAsia="MS Mincho" w:hAnsi="Garamond" w:cs="Arial"/>
                <w:sz w:val="18"/>
                <w:szCs w:val="18"/>
              </w:rPr>
            </w:pPr>
            <w:r w:rsidRPr="00445472">
              <w:rPr>
                <w:rFonts w:ascii="Garamond" w:eastAsia="MS Mincho" w:hAnsi="Garamond" w:cs="Arial"/>
                <w:sz w:val="18"/>
                <w:szCs w:val="18"/>
              </w:rPr>
              <w:t>348.20</w:t>
            </w:r>
          </w:p>
        </w:tc>
      </w:tr>
      <w:tr w:rsidR="003E0CF6" w:rsidRPr="00445472" w14:paraId="46A9CAFA" w14:textId="77777777" w:rsidTr="003E0CF6">
        <w:trPr>
          <w:trHeight w:val="50"/>
        </w:trPr>
        <w:tc>
          <w:tcPr>
            <w:tcW w:w="2653" w:type="pct"/>
            <w:shd w:val="clear" w:color="auto" w:fill="auto"/>
            <w:vAlign w:val="center"/>
          </w:tcPr>
          <w:p w14:paraId="226AC8E7" w14:textId="02D1AC61" w:rsidR="003E0CF6" w:rsidRPr="00445472" w:rsidRDefault="003E0CF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2. Ruajtja dhe arritja e statusit kimik dhe ekologjik minimal </w:t>
            </w:r>
            <w:r w:rsidR="00D62EDF" w:rsidRPr="00445472">
              <w:rPr>
                <w:rFonts w:ascii="Garamond" w:eastAsia="MS Mincho" w:hAnsi="Garamond" w:cs="Arial"/>
                <w:sz w:val="18"/>
                <w:szCs w:val="18"/>
              </w:rPr>
              <w:t>“</w:t>
            </w:r>
            <w:r w:rsidRPr="00445472">
              <w:rPr>
                <w:rFonts w:ascii="Garamond" w:eastAsia="MS Mincho" w:hAnsi="Garamond" w:cs="Arial"/>
                <w:sz w:val="18"/>
                <w:szCs w:val="18"/>
              </w:rPr>
              <w:t>i mirë</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për masat e ujërave sipërfaqësorë që kanë status </w:t>
            </w:r>
            <w:r w:rsidR="00D62EDF" w:rsidRPr="00445472">
              <w:rPr>
                <w:rFonts w:ascii="Garamond" w:eastAsia="MS Mincho" w:hAnsi="Garamond" w:cs="Arial"/>
                <w:sz w:val="18"/>
                <w:szCs w:val="18"/>
              </w:rPr>
              <w:t>“</w:t>
            </w:r>
            <w:r w:rsidRPr="00445472">
              <w:rPr>
                <w:rFonts w:ascii="Garamond" w:eastAsia="MS Mincho" w:hAnsi="Garamond" w:cs="Arial"/>
                <w:sz w:val="18"/>
                <w:szCs w:val="18"/>
              </w:rPr>
              <w:t>mesatar</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w:t>
            </w:r>
            <w:r w:rsidR="00D62EDF" w:rsidRPr="00445472">
              <w:rPr>
                <w:rFonts w:ascii="Garamond" w:eastAsia="MS Mincho" w:hAnsi="Garamond" w:cs="Arial"/>
                <w:sz w:val="18"/>
                <w:szCs w:val="18"/>
              </w:rPr>
              <w:t>“</w:t>
            </w:r>
            <w:r w:rsidRPr="00445472">
              <w:rPr>
                <w:rFonts w:ascii="Garamond" w:eastAsia="MS Mincho" w:hAnsi="Garamond" w:cs="Arial"/>
                <w:sz w:val="18"/>
                <w:szCs w:val="18"/>
              </w:rPr>
              <w:t>të keq</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ose </w:t>
            </w:r>
            <w:r w:rsidR="00D62EDF" w:rsidRPr="00445472">
              <w:rPr>
                <w:rFonts w:ascii="Garamond" w:eastAsia="MS Mincho" w:hAnsi="Garamond" w:cs="Arial"/>
                <w:sz w:val="18"/>
                <w:szCs w:val="18"/>
              </w:rPr>
              <w:t>“</w:t>
            </w:r>
            <w:r w:rsidRPr="00445472">
              <w:rPr>
                <w:rFonts w:ascii="Garamond" w:eastAsia="MS Mincho" w:hAnsi="Garamond" w:cs="Arial"/>
                <w:sz w:val="18"/>
                <w:szCs w:val="18"/>
              </w:rPr>
              <w:t>shumë të keq</w:t>
            </w:r>
            <w:r w:rsidR="00D62EDF" w:rsidRPr="00445472">
              <w:rPr>
                <w:rFonts w:ascii="Garamond" w:eastAsia="MS Mincho" w:hAnsi="Garamond" w:cs="Arial"/>
                <w:sz w:val="18"/>
                <w:szCs w:val="18"/>
              </w:rPr>
              <w:t>”</w:t>
            </w:r>
            <w:r w:rsidRPr="00445472">
              <w:rPr>
                <w:rFonts w:ascii="Garamond" w:eastAsia="MS Mincho" w:hAnsi="Garamond" w:cs="Arial"/>
                <w:sz w:val="18"/>
                <w:szCs w:val="18"/>
              </w:rPr>
              <w:t>. (lumenj, liqene, ujëra kalimtare, trupa ujorë bregdetarë, artificialë dhe tepër të modifikuar).</w:t>
            </w:r>
          </w:p>
        </w:tc>
        <w:tc>
          <w:tcPr>
            <w:tcW w:w="687" w:type="pct"/>
            <w:shd w:val="clear" w:color="auto" w:fill="auto"/>
            <w:vAlign w:val="center"/>
          </w:tcPr>
          <w:p w14:paraId="75AA0275"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54.25 </w:t>
            </w:r>
          </w:p>
        </w:tc>
        <w:tc>
          <w:tcPr>
            <w:tcW w:w="763" w:type="pct"/>
            <w:shd w:val="clear" w:color="auto" w:fill="auto"/>
            <w:vAlign w:val="center"/>
          </w:tcPr>
          <w:p w14:paraId="162D39B8"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14.60</w:t>
            </w:r>
          </w:p>
        </w:tc>
        <w:tc>
          <w:tcPr>
            <w:tcW w:w="897" w:type="pct"/>
            <w:shd w:val="clear" w:color="auto" w:fill="auto"/>
            <w:vAlign w:val="center"/>
          </w:tcPr>
          <w:p w14:paraId="600BFB05"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68.85</w:t>
            </w:r>
          </w:p>
        </w:tc>
      </w:tr>
      <w:tr w:rsidR="003E0CF6" w:rsidRPr="00445472" w14:paraId="467849A1" w14:textId="77777777" w:rsidTr="003E0CF6">
        <w:tc>
          <w:tcPr>
            <w:tcW w:w="2653" w:type="pct"/>
            <w:shd w:val="clear" w:color="auto" w:fill="auto"/>
            <w:vAlign w:val="center"/>
          </w:tcPr>
          <w:p w14:paraId="7ADCC2B1" w14:textId="77777777" w:rsidR="003E0CF6" w:rsidRPr="00445472" w:rsidRDefault="003E0CF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3. Parandalimi i ndotjes, me qëllim shmangien e përkeqësimit të cilësisë së ujërave nëntokësore dhe për arritjen e një statusi pozitiv kimik në GWB.</w:t>
            </w:r>
          </w:p>
        </w:tc>
        <w:tc>
          <w:tcPr>
            <w:tcW w:w="687" w:type="pct"/>
            <w:shd w:val="clear" w:color="auto" w:fill="auto"/>
            <w:vAlign w:val="center"/>
          </w:tcPr>
          <w:p w14:paraId="0225F365"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7.00</w:t>
            </w:r>
          </w:p>
        </w:tc>
        <w:tc>
          <w:tcPr>
            <w:tcW w:w="763" w:type="pct"/>
            <w:shd w:val="clear" w:color="auto" w:fill="auto"/>
            <w:vAlign w:val="center"/>
          </w:tcPr>
          <w:p w14:paraId="04F71D2C"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1.40</w:t>
            </w:r>
          </w:p>
        </w:tc>
        <w:tc>
          <w:tcPr>
            <w:tcW w:w="897" w:type="pct"/>
            <w:shd w:val="clear" w:color="auto" w:fill="auto"/>
            <w:vAlign w:val="center"/>
          </w:tcPr>
          <w:p w14:paraId="1726CC4C"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8.40</w:t>
            </w:r>
          </w:p>
        </w:tc>
      </w:tr>
      <w:tr w:rsidR="003E0CF6" w:rsidRPr="00445472" w14:paraId="45793DAB" w14:textId="77777777" w:rsidTr="003E0CF6">
        <w:tc>
          <w:tcPr>
            <w:tcW w:w="2653" w:type="pct"/>
            <w:shd w:val="clear" w:color="auto" w:fill="auto"/>
            <w:vAlign w:val="center"/>
          </w:tcPr>
          <w:p w14:paraId="0FAD81C4" w14:textId="2CF65BB2" w:rsidR="003E0CF6" w:rsidRPr="00445472" w:rsidRDefault="003E0CF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4. Ruajtja dhe arritja e cilësisë minimale </w:t>
            </w:r>
            <w:r w:rsidR="00D62EDF" w:rsidRPr="00445472">
              <w:rPr>
                <w:rFonts w:ascii="Garamond" w:eastAsia="MS Mincho" w:hAnsi="Garamond" w:cs="Arial"/>
                <w:sz w:val="18"/>
                <w:szCs w:val="18"/>
              </w:rPr>
              <w:t>“</w:t>
            </w:r>
            <w:r w:rsidRPr="00445472">
              <w:rPr>
                <w:rFonts w:ascii="Garamond" w:eastAsia="MS Mincho" w:hAnsi="Garamond" w:cs="Arial"/>
                <w:sz w:val="18"/>
                <w:szCs w:val="18"/>
              </w:rPr>
              <w:t>të mirë</w:t>
            </w:r>
            <w:r w:rsidR="00D62EDF" w:rsidRPr="00445472">
              <w:rPr>
                <w:rFonts w:ascii="Garamond" w:eastAsia="MS Mincho" w:hAnsi="Garamond" w:cs="Arial"/>
                <w:sz w:val="18"/>
                <w:szCs w:val="18"/>
              </w:rPr>
              <w:t>”</w:t>
            </w:r>
            <w:r w:rsidRPr="00445472">
              <w:rPr>
                <w:rFonts w:ascii="Garamond" w:eastAsia="MS Mincho" w:hAnsi="Garamond" w:cs="Arial"/>
                <w:sz w:val="18"/>
                <w:szCs w:val="18"/>
              </w:rPr>
              <w:t xml:space="preserve"> për ujërat e larjes (të brendshme, bregdetare dhe kalimtare)</w:t>
            </w:r>
          </w:p>
        </w:tc>
        <w:tc>
          <w:tcPr>
            <w:tcW w:w="687" w:type="pct"/>
            <w:shd w:val="clear" w:color="auto" w:fill="auto"/>
            <w:vAlign w:val="center"/>
          </w:tcPr>
          <w:p w14:paraId="0E57F6F3"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c>
          <w:tcPr>
            <w:tcW w:w="763" w:type="pct"/>
            <w:shd w:val="clear" w:color="auto" w:fill="auto"/>
            <w:vAlign w:val="center"/>
          </w:tcPr>
          <w:p w14:paraId="5FA98B56"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3.40</w:t>
            </w:r>
          </w:p>
        </w:tc>
        <w:tc>
          <w:tcPr>
            <w:tcW w:w="897" w:type="pct"/>
            <w:shd w:val="clear" w:color="auto" w:fill="auto"/>
            <w:vAlign w:val="center"/>
          </w:tcPr>
          <w:p w14:paraId="065351E4"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3.40</w:t>
            </w:r>
          </w:p>
        </w:tc>
      </w:tr>
      <w:tr w:rsidR="003E0CF6" w:rsidRPr="00445472" w14:paraId="4644633E" w14:textId="77777777" w:rsidTr="003E0CF6">
        <w:tc>
          <w:tcPr>
            <w:tcW w:w="2653" w:type="pct"/>
            <w:shd w:val="clear" w:color="auto" w:fill="auto"/>
            <w:vAlign w:val="center"/>
          </w:tcPr>
          <w:p w14:paraId="573F988B" w14:textId="77777777" w:rsidR="003E0CF6" w:rsidRPr="00445472" w:rsidRDefault="003E0CF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5. Ulja e rrezikut të përmbytjeve dhe humbjeve për jetën, mjetet e jetesës, shëndetin, ekonominë, asetet kulturore dhe mjedisore të personave, bizneseve dhe komuniteteve.</w:t>
            </w:r>
          </w:p>
        </w:tc>
        <w:tc>
          <w:tcPr>
            <w:tcW w:w="687" w:type="pct"/>
            <w:shd w:val="clear" w:color="auto" w:fill="auto"/>
            <w:vAlign w:val="center"/>
          </w:tcPr>
          <w:p w14:paraId="3DCBFB04"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80.00</w:t>
            </w:r>
          </w:p>
        </w:tc>
        <w:tc>
          <w:tcPr>
            <w:tcW w:w="763" w:type="pct"/>
            <w:shd w:val="clear" w:color="auto" w:fill="auto"/>
            <w:vAlign w:val="center"/>
          </w:tcPr>
          <w:p w14:paraId="55699F38"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1.40</w:t>
            </w:r>
          </w:p>
        </w:tc>
        <w:tc>
          <w:tcPr>
            <w:tcW w:w="897" w:type="pct"/>
            <w:shd w:val="clear" w:color="auto" w:fill="auto"/>
            <w:vAlign w:val="center"/>
          </w:tcPr>
          <w:p w14:paraId="500E0E38"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81.40</w:t>
            </w:r>
          </w:p>
        </w:tc>
      </w:tr>
      <w:tr w:rsidR="003E0CF6" w:rsidRPr="00445472" w14:paraId="17ACF0B7" w14:textId="77777777" w:rsidTr="003E0CF6">
        <w:tc>
          <w:tcPr>
            <w:tcW w:w="2653" w:type="pct"/>
            <w:shd w:val="clear" w:color="auto" w:fill="auto"/>
            <w:vAlign w:val="center"/>
          </w:tcPr>
          <w:p w14:paraId="48A026C0" w14:textId="77777777" w:rsidR="003E0CF6" w:rsidRPr="00445472" w:rsidRDefault="003E0CF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6. Përmirësimi i digave të sigurisë të ujitjes</w:t>
            </w:r>
          </w:p>
        </w:tc>
        <w:tc>
          <w:tcPr>
            <w:tcW w:w="687" w:type="pct"/>
            <w:shd w:val="clear" w:color="auto" w:fill="auto"/>
            <w:vAlign w:val="center"/>
          </w:tcPr>
          <w:p w14:paraId="42FB7CCD"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c>
          <w:tcPr>
            <w:tcW w:w="763" w:type="pct"/>
            <w:shd w:val="clear" w:color="auto" w:fill="auto"/>
            <w:vAlign w:val="center"/>
          </w:tcPr>
          <w:p w14:paraId="44EF9146"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0.50</w:t>
            </w:r>
          </w:p>
        </w:tc>
        <w:tc>
          <w:tcPr>
            <w:tcW w:w="897" w:type="pct"/>
            <w:shd w:val="clear" w:color="auto" w:fill="auto"/>
            <w:vAlign w:val="center"/>
          </w:tcPr>
          <w:p w14:paraId="35A50B3D"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0.50</w:t>
            </w:r>
          </w:p>
        </w:tc>
      </w:tr>
      <w:tr w:rsidR="003E0CF6" w:rsidRPr="00445472" w14:paraId="66CB5159" w14:textId="77777777" w:rsidTr="003E0CF6">
        <w:tc>
          <w:tcPr>
            <w:tcW w:w="2653" w:type="pct"/>
            <w:shd w:val="clear" w:color="auto" w:fill="auto"/>
            <w:vAlign w:val="center"/>
          </w:tcPr>
          <w:p w14:paraId="609B4FE1" w14:textId="77777777" w:rsidR="003E0CF6" w:rsidRPr="00445472" w:rsidRDefault="003E0CF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7. Ruajtja/Mbrojtja dhe/ose ulja e nivelit të erozionit në lumenj</w:t>
            </w:r>
          </w:p>
        </w:tc>
        <w:tc>
          <w:tcPr>
            <w:tcW w:w="687" w:type="pct"/>
            <w:shd w:val="clear" w:color="auto" w:fill="auto"/>
            <w:vAlign w:val="center"/>
          </w:tcPr>
          <w:p w14:paraId="41545BCE"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w:t>
            </w:r>
          </w:p>
        </w:tc>
        <w:tc>
          <w:tcPr>
            <w:tcW w:w="763" w:type="pct"/>
            <w:shd w:val="clear" w:color="auto" w:fill="auto"/>
            <w:vAlign w:val="center"/>
          </w:tcPr>
          <w:p w14:paraId="5C52CB58"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1.95</w:t>
            </w:r>
          </w:p>
        </w:tc>
        <w:tc>
          <w:tcPr>
            <w:tcW w:w="897" w:type="pct"/>
            <w:shd w:val="clear" w:color="auto" w:fill="auto"/>
            <w:vAlign w:val="center"/>
          </w:tcPr>
          <w:p w14:paraId="6F4FE32E"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1.95</w:t>
            </w:r>
          </w:p>
        </w:tc>
      </w:tr>
      <w:tr w:rsidR="003E0CF6" w:rsidRPr="00445472" w14:paraId="6F1AB991" w14:textId="77777777" w:rsidTr="003E0CF6">
        <w:tc>
          <w:tcPr>
            <w:tcW w:w="2653" w:type="pct"/>
            <w:shd w:val="clear" w:color="auto" w:fill="auto"/>
            <w:vAlign w:val="center"/>
          </w:tcPr>
          <w:p w14:paraId="20FCA411" w14:textId="77777777" w:rsidR="003E0CF6" w:rsidRPr="00445472" w:rsidRDefault="003E0CF6" w:rsidP="002A1F08">
            <w:pPr>
              <w:spacing w:before="22" w:after="22"/>
              <w:ind w:right="63"/>
              <w:jc w:val="right"/>
              <w:rPr>
                <w:rFonts w:ascii="Garamond" w:eastAsia="MS Mincho" w:hAnsi="Garamond" w:cs="Arial"/>
                <w:b/>
                <w:sz w:val="18"/>
                <w:szCs w:val="18"/>
              </w:rPr>
            </w:pPr>
            <w:r w:rsidRPr="00445472">
              <w:rPr>
                <w:rFonts w:ascii="Garamond" w:eastAsia="MS Mincho" w:hAnsi="Garamond" w:cs="Arial"/>
                <w:b/>
                <w:sz w:val="18"/>
                <w:szCs w:val="18"/>
              </w:rPr>
              <w:t>Totali</w:t>
            </w:r>
          </w:p>
        </w:tc>
        <w:tc>
          <w:tcPr>
            <w:tcW w:w="687" w:type="pct"/>
            <w:shd w:val="clear" w:color="auto" w:fill="auto"/>
            <w:vAlign w:val="center"/>
          </w:tcPr>
          <w:p w14:paraId="172EE6C3" w14:textId="77777777"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459.57</w:t>
            </w:r>
          </w:p>
        </w:tc>
        <w:tc>
          <w:tcPr>
            <w:tcW w:w="763" w:type="pct"/>
            <w:shd w:val="clear" w:color="auto" w:fill="auto"/>
            <w:vAlign w:val="center"/>
          </w:tcPr>
          <w:p w14:paraId="7D577E5C" w14:textId="77777777"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53.13</w:t>
            </w:r>
          </w:p>
        </w:tc>
        <w:tc>
          <w:tcPr>
            <w:tcW w:w="897" w:type="pct"/>
            <w:shd w:val="clear" w:color="auto" w:fill="auto"/>
            <w:vAlign w:val="center"/>
          </w:tcPr>
          <w:p w14:paraId="2097801E" w14:textId="77777777"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512.70</w:t>
            </w:r>
          </w:p>
        </w:tc>
      </w:tr>
    </w:tbl>
    <w:p w14:paraId="4E289DEA" w14:textId="77777777" w:rsidR="003E0CF6" w:rsidRPr="00445472" w:rsidRDefault="003E0CF6" w:rsidP="003E0CF6">
      <w:pPr>
        <w:pStyle w:val="TEKSTIIII"/>
      </w:pPr>
      <w:bookmarkStart w:id="292" w:name="_Toc11068883"/>
    </w:p>
    <w:p w14:paraId="17832FE8" w14:textId="4C3705B6" w:rsidR="003E0CF6" w:rsidRPr="00445472" w:rsidRDefault="003E0CF6" w:rsidP="003E0CF6">
      <w:pPr>
        <w:pStyle w:val="NENTITULL"/>
      </w:pPr>
      <w:r w:rsidRPr="00445472">
        <w:t xml:space="preserve">13. Përmbledhje e </w:t>
      </w:r>
      <w:r w:rsidR="00F2273F" w:rsidRPr="00445472">
        <w:t>aktiviteteve të konsultimit publik</w:t>
      </w:r>
      <w:bookmarkEnd w:id="292"/>
    </w:p>
    <w:p w14:paraId="1ED18AC2" w14:textId="3E664E1A" w:rsidR="003E0CF6" w:rsidRPr="00445472" w:rsidRDefault="003E0CF6" w:rsidP="003E0CF6">
      <w:pPr>
        <w:pStyle w:val="NENTITULL"/>
        <w:rPr>
          <w:sz w:val="20"/>
          <w:szCs w:val="20"/>
        </w:rPr>
      </w:pPr>
      <w:bookmarkStart w:id="293" w:name="_Toc11068884"/>
      <w:r w:rsidRPr="00445472">
        <w:t>13.1 Hyrje</w:t>
      </w:r>
      <w:bookmarkEnd w:id="293"/>
    </w:p>
    <w:p w14:paraId="67C50625" w14:textId="77777777" w:rsidR="003E0CF6" w:rsidRPr="00445472" w:rsidRDefault="003E0CF6" w:rsidP="003E0CF6">
      <w:pPr>
        <w:pStyle w:val="TEKSTIIII"/>
      </w:pPr>
      <w:r w:rsidRPr="00445472">
        <w:t>Procesi i përfshirjes së grupeve të interesit nëpërmjet konsultimit publik është një faktor i rëndësishëm i zbatimit të Direktivës Kuadër të Ujit, siç përcaktohet në nenin 17:</w:t>
      </w:r>
    </w:p>
    <w:p w14:paraId="0C89B933" w14:textId="2B3CF0E9" w:rsidR="003E0CF6" w:rsidRPr="00445472" w:rsidRDefault="00D62EDF" w:rsidP="003E0CF6">
      <w:pPr>
        <w:pStyle w:val="TEKSTIIII"/>
      </w:pPr>
      <w:r w:rsidRPr="00445472">
        <w:t>“</w:t>
      </w:r>
      <w:r w:rsidR="003E0CF6" w:rsidRPr="00445472">
        <w:t xml:space="preserve">Shtetet </w:t>
      </w:r>
      <w:r w:rsidR="00F2273F" w:rsidRPr="00445472">
        <w:t xml:space="preserve">anëtare </w:t>
      </w:r>
      <w:r w:rsidR="003E0CF6" w:rsidRPr="00445472">
        <w:t>duhet të inkurajojnë përfshirjen aktive të të gjitha palëve të interesuara në zbatimin e kësaj Direktive, në veçanti në prodhimin, rishikimin dhe përditësimin e planeve të menaxhimit të basenit ujor.</w:t>
      </w:r>
      <w:r w:rsidRPr="00445472">
        <w:t>”</w:t>
      </w:r>
    </w:p>
    <w:p w14:paraId="1A928164" w14:textId="680CC7F6" w:rsidR="003E0CF6" w:rsidRPr="00445472" w:rsidRDefault="003E0CF6" w:rsidP="003E0CF6">
      <w:pPr>
        <w:pStyle w:val="TEKSTIIII"/>
      </w:pPr>
      <w:r w:rsidRPr="00445472">
        <w:t>Procesi i përfshirjes së grupeve të interesit synon të sigurojë angazhimin e palëve të interesuara në nivel të autoriteteve kombëtare dhe vendore, shoqërisë civile (OJQ) dhe komuniteteve nëpërmjet informatorëve kyç dhe fokus grupeve që përfaqësojnë grupet vulnerabël (p.sh. gratë, të moshuarit, pakicat dhe</w:t>
      </w:r>
      <w:r w:rsidR="001D340B" w:rsidRPr="00445472">
        <w:t>/</w:t>
      </w:r>
      <w:r w:rsidRPr="00445472">
        <w:t xml:space="preserve">ose grupet etnike). </w:t>
      </w:r>
    </w:p>
    <w:p w14:paraId="017AA516" w14:textId="4D4237B1" w:rsidR="003E0CF6" w:rsidRPr="00445472" w:rsidRDefault="003E0CF6" w:rsidP="003E0CF6">
      <w:pPr>
        <w:pStyle w:val="TEKSTIIII"/>
      </w:pPr>
      <w:r w:rsidRPr="00445472">
        <w:t>Procesi i përfshirjes së grupeve të interesit në projektin e PMBU-së është realizuar</w:t>
      </w:r>
      <w:r w:rsidR="00F2273F" w:rsidRPr="00445472">
        <w:t>, bazuar në Planin e Aktivitete</w:t>
      </w:r>
      <w:r w:rsidRPr="00445472">
        <w:t>ve të Angazhimit të Grupeve të Interesit (</w:t>
      </w:r>
      <w:r w:rsidR="00F2273F" w:rsidRPr="00445472">
        <w:t xml:space="preserve">shtojca </w:t>
      </w:r>
      <w:r w:rsidRPr="00445472">
        <w:t>5), dhe u fokusua në dy procese kryesore, specifikisht trajnimet dhe menaxhimin.</w:t>
      </w:r>
    </w:p>
    <w:p w14:paraId="591BE29B" w14:textId="64552FF7" w:rsidR="003E0CF6" w:rsidRPr="00445472" w:rsidRDefault="003E0CF6" w:rsidP="003E0CF6">
      <w:pPr>
        <w:pStyle w:val="TEKSTIIII"/>
      </w:pPr>
      <w:r w:rsidRPr="00445472">
        <w:t>Këto përfshirje/angazhime u zhvilluan gjatë afatit kohor të planifikuar, me qëllim përgatitjen e një PMBU-je në periudhën prill 2016- qershor 2017 dhe përfshinë aktiv</w:t>
      </w:r>
      <w:r w:rsidR="00F2273F" w:rsidRPr="00445472">
        <w:t>it</w:t>
      </w:r>
      <w:r w:rsidRPr="00445472">
        <w:t>etet e mëposhtme:</w:t>
      </w:r>
    </w:p>
    <w:p w14:paraId="1DD13532" w14:textId="312A52DE" w:rsidR="003E0CF6" w:rsidRPr="00445472" w:rsidRDefault="008279F2" w:rsidP="003E0CF6">
      <w:pPr>
        <w:pStyle w:val="TEKSTIIII"/>
      </w:pPr>
      <w:r>
        <w:t xml:space="preserve">- </w:t>
      </w:r>
      <w:r w:rsidR="003E0CF6" w:rsidRPr="00445472">
        <w:t xml:space="preserve"> Organizimi i seminareve trajnuese në bashkëpunim të ngushtë me Drejtorinë e Politikave të Burimeve Ujore për tematikën e rënë dakord reciprokisht, të rëndësishme për zhvillimin e PMBU-ve për proceset e trajnimeve.</w:t>
      </w:r>
    </w:p>
    <w:p w14:paraId="7DF278C8" w14:textId="3FB9D023" w:rsidR="003E0CF6" w:rsidRPr="00445472" w:rsidRDefault="008279F2" w:rsidP="003E0CF6">
      <w:pPr>
        <w:pStyle w:val="TEKSTIIII"/>
      </w:pPr>
      <w:r>
        <w:t xml:space="preserve">- </w:t>
      </w:r>
      <w:r w:rsidR="003E0CF6" w:rsidRPr="00445472">
        <w:t>Organizimi i konsultimeve aktuale të grupeve të interesit për proceset e menaxhimit.</w:t>
      </w:r>
    </w:p>
    <w:p w14:paraId="5A1084A5" w14:textId="56729F1D" w:rsidR="003E0CF6" w:rsidRPr="00445472" w:rsidRDefault="008279F2" w:rsidP="003E0CF6">
      <w:pPr>
        <w:pStyle w:val="TEKSTIIII"/>
      </w:pPr>
      <w:r>
        <w:t xml:space="preserve">- </w:t>
      </w:r>
      <w:r w:rsidR="003E0CF6" w:rsidRPr="00445472">
        <w:t>Përfundimi i strategjisë së përfshirjes dhe listave të grupeve të interesit (kombëtare/rajonale);</w:t>
      </w:r>
    </w:p>
    <w:p w14:paraId="46BD8EAC" w14:textId="064EF18F" w:rsidR="003E0CF6" w:rsidRPr="00445472" w:rsidRDefault="008279F2" w:rsidP="003E0CF6">
      <w:pPr>
        <w:pStyle w:val="TEKSTIIII"/>
      </w:pPr>
      <w:r>
        <w:t xml:space="preserve">- </w:t>
      </w:r>
      <w:r w:rsidR="003E0CF6" w:rsidRPr="00445472">
        <w:t>Organizimi i mbledhjeve rajonale dhe kombëtare (për shembull njoftimi ndaj autoriteteve, ftesat dhe kontaktet me autoritetet rajonale dhe komunale);</w:t>
      </w:r>
    </w:p>
    <w:p w14:paraId="7117496D" w14:textId="1D959C25" w:rsidR="003E0CF6" w:rsidRPr="00445472" w:rsidRDefault="008279F2" w:rsidP="003E0CF6">
      <w:pPr>
        <w:pStyle w:val="TEKSTIIII"/>
      </w:pPr>
      <w:r>
        <w:t xml:space="preserve">- </w:t>
      </w:r>
      <w:r w:rsidR="003E0CF6" w:rsidRPr="00445472">
        <w:t xml:space="preserve">Organizimi i </w:t>
      </w:r>
      <w:r w:rsidR="00D62EDF" w:rsidRPr="00445472">
        <w:t>“</w:t>
      </w:r>
      <w:r w:rsidR="003E0CF6" w:rsidRPr="00445472">
        <w:t>mbajtjes së shënimeve</w:t>
      </w:r>
      <w:r w:rsidR="00D62EDF" w:rsidRPr="00445472">
        <w:t>”</w:t>
      </w:r>
      <w:r w:rsidR="003E0CF6" w:rsidRPr="00445472">
        <w:t xml:space="preserve"> gjatë takimeve konsultuese;</w:t>
      </w:r>
    </w:p>
    <w:p w14:paraId="2568DED9" w14:textId="0F93FCD4" w:rsidR="003E0CF6" w:rsidRPr="00445472" w:rsidRDefault="008279F2" w:rsidP="003E0CF6">
      <w:pPr>
        <w:pStyle w:val="TEKSTIIII"/>
      </w:pPr>
      <w:r>
        <w:t xml:space="preserve">- </w:t>
      </w:r>
      <w:r w:rsidR="003E0CF6" w:rsidRPr="00445472">
        <w:t>Përgatitja e rubrikës aktuale të PMBU-ve, duke përfshirë fletët sinjalizuese, fotografitë, pyetësorët me komente dhe MM-të.</w:t>
      </w:r>
    </w:p>
    <w:p w14:paraId="4339F53C" w14:textId="73C5B782" w:rsidR="003E0CF6" w:rsidRPr="00445472" w:rsidRDefault="003E0CF6" w:rsidP="003E0CF6">
      <w:pPr>
        <w:pStyle w:val="TEKSTIIII"/>
      </w:pPr>
      <w:r w:rsidRPr="00445472">
        <w:t xml:space="preserve">Për sa </w:t>
      </w:r>
      <w:r w:rsidR="00911750">
        <w:t>u</w:t>
      </w:r>
      <w:r w:rsidRPr="00445472">
        <w:t xml:space="preserve"> përket trajnimeve, ato synonin forcimin e kapacitetit të administratës për menaxhimin e burimeve ujore dhe përmirësimin në mënyrë të qëndrueshme të performancës së sistemeve të përdorimit të ujit në zonën e projektit. Veprimtaritë trajnuese të kryera që synonin një balancë gjinore në audiencën e synuar dhe me objektivin e përfshirjes së grave në nivel pjesëmarrës.</w:t>
      </w:r>
    </w:p>
    <w:p w14:paraId="2181E6CD" w14:textId="77777777" w:rsidR="003E0CF6" w:rsidRPr="00445472" w:rsidRDefault="003E0CF6" w:rsidP="003E0CF6">
      <w:pPr>
        <w:pStyle w:val="TEKSTIIII"/>
      </w:pPr>
      <w:r w:rsidRPr="00445472">
        <w:t>Zbatimit i planit të konsultimit të grupeve të interesit (dhënë më poshtë në Figurën 13.1),u garantua pjesëmarrja e përfshirjes së tyre në nivel të autoriteteve vendore dhe kombëtare, shoqërisë civile (OJQ-ve) dhe komuniteteve. Fazat e mëposhtme të konsultimeve u përfunduan në bazë të planit të grupeve të interesit:</w:t>
      </w:r>
    </w:p>
    <w:p w14:paraId="0F7FFE73" w14:textId="3B570C22" w:rsidR="003E0CF6" w:rsidRPr="00445472" w:rsidRDefault="008279F2" w:rsidP="003E0CF6">
      <w:pPr>
        <w:pStyle w:val="TEKSTIIII"/>
      </w:pPr>
      <w:r>
        <w:t xml:space="preserve">- </w:t>
      </w:r>
      <w:r w:rsidR="003E0CF6" w:rsidRPr="00445472">
        <w:t>Konsultimi i grupeve të interesit në nivel kombëtar;</w:t>
      </w:r>
    </w:p>
    <w:p w14:paraId="3C512931" w14:textId="15795A42" w:rsidR="003E0CF6" w:rsidRPr="00445472" w:rsidRDefault="008279F2" w:rsidP="003E0CF6">
      <w:pPr>
        <w:pStyle w:val="TEKSTIIII"/>
      </w:pPr>
      <w:r>
        <w:t xml:space="preserve">- </w:t>
      </w:r>
      <w:r w:rsidR="003E0CF6" w:rsidRPr="00445472">
        <w:t xml:space="preserve">Konsultimi i grupeve të interesit në nivel vendor dhe rajonal: </w:t>
      </w:r>
    </w:p>
    <w:p w14:paraId="10A6051C" w14:textId="6B884AA6" w:rsidR="003E0CF6" w:rsidRPr="00445472" w:rsidRDefault="008279F2" w:rsidP="003E0CF6">
      <w:pPr>
        <w:pStyle w:val="TEKSTIIII"/>
      </w:pPr>
      <w:r>
        <w:t xml:space="preserve">- </w:t>
      </w:r>
      <w:r w:rsidR="00F2273F" w:rsidRPr="00445472">
        <w:t xml:space="preserve">Fokus grupi i </w:t>
      </w:r>
      <w:r w:rsidR="003E0CF6" w:rsidRPr="00445472">
        <w:t>organizuar me grupet vulnerab</w:t>
      </w:r>
      <w:r w:rsidR="00F2273F" w:rsidRPr="00445472">
        <w:t>ë</w:t>
      </w:r>
      <w:r w:rsidR="003E0CF6" w:rsidRPr="00445472">
        <w:t xml:space="preserve">l (gra, të moshuar, komuniteti rom [nëse ka] dhe grupe të tjera). </w:t>
      </w:r>
    </w:p>
    <w:p w14:paraId="4C1EC183" w14:textId="66A4B6BE" w:rsidR="003E0CF6" w:rsidRPr="00445472" w:rsidRDefault="008279F2" w:rsidP="003E0CF6">
      <w:pPr>
        <w:pStyle w:val="TEKSTIIII"/>
      </w:pPr>
      <w:r>
        <w:t xml:space="preserve">- </w:t>
      </w:r>
      <w:r w:rsidR="003E0CF6" w:rsidRPr="00445472">
        <w:t>Intervistues kyç.</w:t>
      </w:r>
    </w:p>
    <w:p w14:paraId="52F29D39" w14:textId="77777777" w:rsidR="003E0CF6" w:rsidRPr="00445472" w:rsidRDefault="003E0CF6" w:rsidP="003E0CF6">
      <w:pPr>
        <w:pStyle w:val="TEKSTIIII"/>
      </w:pPr>
      <w:r w:rsidRPr="00445472">
        <w:t>Duke qenë një proces i përshtatshëm nga pikëpamja kulturore dhe gjithëpërfshirës, konsultimi i grupeve të interesit përfshiu shkëmbimin e informacionit dhe njohurive për të kuptuar shqetësimet e të tjerëve dhe për të krijuar marrëdhënie të bazuara në bashkëpunim. Kjo u mundësoi palëve të interesuara të kuptonin rreziqet, ndikimet dhe mundësitë e projektit për arritjen e rezultateve pozitive.</w:t>
      </w:r>
    </w:p>
    <w:p w14:paraId="40867D5B" w14:textId="310D180D" w:rsidR="003E0CF6" w:rsidRPr="00445472" w:rsidRDefault="003E0CF6" w:rsidP="003E0CF6">
      <w:pPr>
        <w:pStyle w:val="TEKSTIIII"/>
      </w:pPr>
      <w:r w:rsidRPr="00445472">
        <w:t>Objektivat kryesor</w:t>
      </w:r>
      <w:r w:rsidR="00F2273F" w:rsidRPr="00445472">
        <w:t>ë</w:t>
      </w:r>
      <w:r w:rsidRPr="00445472">
        <w:t xml:space="preserve"> të përfshirjes së grupeve të interesit ishin: </w:t>
      </w:r>
    </w:p>
    <w:p w14:paraId="0283EA3F" w14:textId="58037B5A" w:rsidR="003E0CF6" w:rsidRPr="00445472" w:rsidRDefault="008279F2" w:rsidP="003E0CF6">
      <w:pPr>
        <w:pStyle w:val="TEKSTIIII"/>
      </w:pPr>
      <w:r>
        <w:t xml:space="preserve">- </w:t>
      </w:r>
      <w:r w:rsidR="003E0CF6" w:rsidRPr="00445472">
        <w:t xml:space="preserve">Garantimi i sigurimit të informacionit të duhur në kohë për personat e prekur ose për ata që janë rrezikuar nga projekti. </w:t>
      </w:r>
    </w:p>
    <w:p w14:paraId="19BE32BA" w14:textId="18A00DDB" w:rsidR="003E0CF6" w:rsidRPr="00445472" w:rsidRDefault="008279F2" w:rsidP="003E0CF6">
      <w:pPr>
        <w:pStyle w:val="TEKSTIIII"/>
      </w:pPr>
      <w:r>
        <w:t xml:space="preserve">- </w:t>
      </w:r>
      <w:r w:rsidR="003E0CF6" w:rsidRPr="00445472">
        <w:t xml:space="preserve">Garantimi që këtyre grupeve </w:t>
      </w:r>
      <w:r w:rsidR="00B139CF" w:rsidRPr="00445472">
        <w:t>t’u</w:t>
      </w:r>
      <w:r w:rsidR="003E0CF6" w:rsidRPr="00445472">
        <w:t xml:space="preserve"> jepet një mundësi e nevojshme për shprehjen e opinioneve dhe shqetësimeve. </w:t>
      </w:r>
    </w:p>
    <w:p w14:paraId="30ACDA1F" w14:textId="4F403C16" w:rsidR="003E0CF6" w:rsidRPr="00445472" w:rsidRDefault="008279F2" w:rsidP="003E0CF6">
      <w:pPr>
        <w:pStyle w:val="TEKSTIIII"/>
      </w:pPr>
      <w:r>
        <w:t xml:space="preserve">- </w:t>
      </w:r>
      <w:r w:rsidR="003E0CF6" w:rsidRPr="00445472">
        <w:t>Garantimi që komentet të bëhen në kohë, në mënyrë që të mund të merren parasysh në vendimet e projekteve.</w:t>
      </w:r>
    </w:p>
    <w:p w14:paraId="7238ABDA" w14:textId="3FA225C9" w:rsidR="003E0CF6" w:rsidRPr="00445472" w:rsidRDefault="003E0CF6" w:rsidP="003E0CF6">
      <w:pPr>
        <w:pStyle w:val="TEKSTIIII"/>
      </w:pPr>
      <w:r w:rsidRPr="00445472">
        <w:t>Çështjet gjinore, ekonomike dhe sociale u trajtuan në takimet e konsultimeve, nëpërmjet përfshirjes së politikave kombëtare dhe strategjive të mëparshme për gjininë dhe gratë në vendimmarrjen vendore.</w:t>
      </w:r>
    </w:p>
    <w:p w14:paraId="0325CD2D" w14:textId="23792E51" w:rsidR="003E0CF6" w:rsidRPr="00445472" w:rsidRDefault="003E0CF6" w:rsidP="003E0CF6">
      <w:pPr>
        <w:pStyle w:val="NENTITULL"/>
        <w:rPr>
          <w:sz w:val="20"/>
          <w:szCs w:val="20"/>
        </w:rPr>
      </w:pPr>
      <w:bookmarkStart w:id="294" w:name="_Toc484608468"/>
      <w:bookmarkStart w:id="295" w:name="_Toc484677416"/>
      <w:bookmarkStart w:id="296" w:name="_Toc484679596"/>
      <w:bookmarkStart w:id="297" w:name="_Toc484689290"/>
      <w:bookmarkStart w:id="298" w:name="_Toc484689327"/>
      <w:bookmarkStart w:id="299" w:name="A._Trainings_will_be_held_in_order_to_cr"/>
      <w:bookmarkStart w:id="300" w:name="_Toc484696898"/>
      <w:bookmarkStart w:id="301" w:name="_Toc485715762"/>
      <w:bookmarkStart w:id="302" w:name="_Toc486503439"/>
      <w:bookmarkStart w:id="303" w:name="_Toc11068885"/>
      <w:bookmarkEnd w:id="294"/>
      <w:bookmarkEnd w:id="295"/>
      <w:bookmarkEnd w:id="296"/>
      <w:bookmarkEnd w:id="297"/>
      <w:bookmarkEnd w:id="298"/>
      <w:bookmarkEnd w:id="299"/>
      <w:r w:rsidRPr="00445472">
        <w:t>13.2 Trajnimet</w:t>
      </w:r>
      <w:bookmarkEnd w:id="300"/>
      <w:bookmarkEnd w:id="301"/>
      <w:bookmarkEnd w:id="302"/>
      <w:bookmarkEnd w:id="303"/>
    </w:p>
    <w:p w14:paraId="5C3CD7F1" w14:textId="70659DA8" w:rsidR="003E0CF6" w:rsidRPr="00445472" w:rsidRDefault="008279F2" w:rsidP="003E0CF6">
      <w:pPr>
        <w:pStyle w:val="TEKSTIIII"/>
      </w:pPr>
      <w:r>
        <w:t>-</w:t>
      </w:r>
      <w:r w:rsidR="003E0CF6" w:rsidRPr="00445472">
        <w:t xml:space="preserve">Trajnimet u zhvilluan me qëllim krijimin e një perceptimi të përbashkët midis Grupeve të Interesit të menaxhimit të ujërave në lidhje me hapat e kërkuara gjatë përgatitjes së Planit të Menaxhimit të Basenit Ujor. Këto trajnime do të ndihmojnë për forcimin e kapacitetit të Qeverisë për menaxhimin e burimeve ujore si në nivel kombëtar dhe në Basenin Ujor </w:t>
      </w:r>
      <w:r w:rsidR="007E76E3" w:rsidRPr="00445472">
        <w:t>Drin–Bunë</w:t>
      </w:r>
      <w:r w:rsidR="003E0CF6" w:rsidRPr="00445472">
        <w:t xml:space="preserve"> dhe për përmirësimin në mënyrë të qëndrueshme të performancës së sistemeve të ujitjes në zonën e projektit. Këto veprimtari do të kryhen me balancë gjinore dhe synimi ynë do të jetë përfshirja e të paktën 50% të grave në pjesëmarrjen në këto trajnime. </w:t>
      </w:r>
    </w:p>
    <w:p w14:paraId="253512EB" w14:textId="0D93A68A" w:rsidR="003E0CF6" w:rsidRPr="00445472" w:rsidRDefault="003E0CF6" w:rsidP="003E0CF6">
      <w:pPr>
        <w:pStyle w:val="TEKSTIIII"/>
      </w:pPr>
      <w:r w:rsidRPr="00445472">
        <w:t xml:space="preserve">Trajnimet iu drejtuan edhe subjekteve publike të administrimit vendor dhe rajonal të ujërave. Me qëllim krijimin e pjesëmarrjes së balancës gjinore në këto mbledhje, këtyre subjekteve do </w:t>
      </w:r>
      <w:r w:rsidR="00B139CF" w:rsidRPr="00445472">
        <w:t>t’u</w:t>
      </w:r>
      <w:r w:rsidRPr="00445472">
        <w:t xml:space="preserve"> kërkohet të paraqesin listën e të gjithë anëtarëve, pozicioneve dhe gjinisë të secilit prej departamenteve të synuara. Pjesëmarrja në trajnime do të caktohet të ketë të paktën 50% pjesëmarrje të grave. Nëse disa departamente nuk mund ta arrijnë këtë, do të kërkohet pjesëmarrja e eksperteve të tjera gra nga subjekte të tjera dhe shoqëria civile. Ekipi i projektit do të ftojë grupet e interesit në sesione trajnimi zyrtarisht me shkresë dhe gjithashtu me telefon. </w:t>
      </w:r>
    </w:p>
    <w:p w14:paraId="00238E1A" w14:textId="77777777" w:rsidR="003E0CF6" w:rsidRPr="00445472" w:rsidRDefault="003E0CF6" w:rsidP="003E0CF6">
      <w:pPr>
        <w:pStyle w:val="TEKSTIIII"/>
      </w:pPr>
      <w:r w:rsidRPr="00445472">
        <w:t>Temat e mbuluara nga trajnimi ishin si më poshtë:</w:t>
      </w:r>
    </w:p>
    <w:p w14:paraId="6F0F2EEB" w14:textId="055E3351" w:rsidR="003E0CF6" w:rsidRPr="00445472" w:rsidRDefault="008279F2" w:rsidP="003E0CF6">
      <w:pPr>
        <w:pStyle w:val="TEKSTIIII"/>
      </w:pPr>
      <w:r>
        <w:t xml:space="preserve">- </w:t>
      </w:r>
      <w:r w:rsidR="003E0CF6" w:rsidRPr="00445472">
        <w:t>Çfarë është plani i menaxhimit të integruar të burimeve ujore?</w:t>
      </w:r>
    </w:p>
    <w:p w14:paraId="3487E569" w14:textId="09E35284" w:rsidR="003E0CF6" w:rsidRPr="00445472" w:rsidRDefault="008279F2" w:rsidP="003E0CF6">
      <w:pPr>
        <w:pStyle w:val="TEKSTIIII"/>
      </w:pPr>
      <w:r>
        <w:t xml:space="preserve">- </w:t>
      </w:r>
      <w:r w:rsidR="003E0CF6" w:rsidRPr="00445472">
        <w:t>Çfarë janë Direktiva Kuadër e Ujit, Direktiva e Rrjedhjeve etj</w:t>
      </w:r>
      <w:r w:rsidR="00F2273F" w:rsidRPr="00445472">
        <w:t>.</w:t>
      </w:r>
      <w:r w:rsidR="003E0CF6" w:rsidRPr="00445472">
        <w:t>?</w:t>
      </w:r>
    </w:p>
    <w:p w14:paraId="5C78AE8E" w14:textId="70E14C3F" w:rsidR="003E0CF6" w:rsidRPr="00445472" w:rsidRDefault="008279F2" w:rsidP="003E0CF6">
      <w:pPr>
        <w:pStyle w:val="TEKSTIIII"/>
      </w:pPr>
      <w:r>
        <w:t xml:space="preserve">- </w:t>
      </w:r>
      <w:r w:rsidR="003E0CF6" w:rsidRPr="00445472">
        <w:t>Bashkëpunimi institucional, ruajtja, monitorimi dhe ndarja e të dhënave</w:t>
      </w:r>
    </w:p>
    <w:p w14:paraId="1CCD6D62" w14:textId="0E36F2DE" w:rsidR="003E0CF6" w:rsidRPr="00445472" w:rsidRDefault="008279F2" w:rsidP="003E0CF6">
      <w:pPr>
        <w:pStyle w:val="TEKSTIIII"/>
      </w:pPr>
      <w:r>
        <w:t xml:space="preserve">- </w:t>
      </w:r>
      <w:r w:rsidR="003E0CF6" w:rsidRPr="00445472">
        <w:t>Çfarë është modelimi i ujërave sipërfaqësore dhe tokësore?</w:t>
      </w:r>
    </w:p>
    <w:p w14:paraId="0FE9FC61" w14:textId="6D0FEA5D" w:rsidR="003E0CF6" w:rsidRPr="00445472" w:rsidRDefault="008279F2" w:rsidP="003E0CF6">
      <w:pPr>
        <w:pStyle w:val="TEKSTIIII"/>
      </w:pPr>
      <w:r>
        <w:t xml:space="preserve">- </w:t>
      </w:r>
      <w:r w:rsidR="003E0CF6" w:rsidRPr="00445472">
        <w:t>Çfarë është investimi i planifikimit të efikasitetit të kostos?</w:t>
      </w:r>
    </w:p>
    <w:p w14:paraId="1E83DC6C" w14:textId="77777777" w:rsidR="003E0CF6" w:rsidRPr="00445472" w:rsidRDefault="003E0CF6" w:rsidP="003E0CF6">
      <w:pPr>
        <w:pStyle w:val="TEKSTIIII"/>
      </w:pPr>
      <w:r w:rsidRPr="00445472">
        <w:t>Grupet e interesit që ishin pjesë e këtyre veprimtarive trajnuese ishin nga institucionet e mëposhtme:</w:t>
      </w:r>
    </w:p>
    <w:p w14:paraId="43ABE424" w14:textId="169EE913" w:rsidR="003E0CF6" w:rsidRPr="00445472" w:rsidRDefault="008279F2" w:rsidP="003E0CF6">
      <w:pPr>
        <w:pStyle w:val="TEKSTIIII"/>
      </w:pPr>
      <w:r>
        <w:t xml:space="preserve">- </w:t>
      </w:r>
      <w:r w:rsidR="003E0CF6" w:rsidRPr="00445472">
        <w:t>ZABU (ABU-të e mëparshme)</w:t>
      </w:r>
      <w:r w:rsidR="00F2273F" w:rsidRPr="00445472">
        <w:t>;</w:t>
      </w:r>
    </w:p>
    <w:p w14:paraId="345C08CE" w14:textId="696037F8" w:rsidR="003E0CF6" w:rsidRPr="00445472" w:rsidRDefault="008279F2" w:rsidP="003E0CF6">
      <w:pPr>
        <w:pStyle w:val="TEKSTIIII"/>
      </w:pPr>
      <w:r>
        <w:t xml:space="preserve">- </w:t>
      </w:r>
      <w:r w:rsidR="003E0CF6" w:rsidRPr="00445472">
        <w:t>KBU</w:t>
      </w:r>
      <w:r w:rsidR="00F2273F" w:rsidRPr="00445472">
        <w:t>;</w:t>
      </w:r>
    </w:p>
    <w:p w14:paraId="49CA8480" w14:textId="2B501C88" w:rsidR="003E0CF6" w:rsidRPr="00445472" w:rsidRDefault="008279F2" w:rsidP="003E0CF6">
      <w:pPr>
        <w:pStyle w:val="TEKSTIIII"/>
      </w:pPr>
      <w:r>
        <w:t xml:space="preserve">- </w:t>
      </w:r>
      <w:r w:rsidR="003E0CF6" w:rsidRPr="00445472">
        <w:t>Bashkitë</w:t>
      </w:r>
      <w:r w:rsidR="00F2273F" w:rsidRPr="00445472">
        <w:t>;</w:t>
      </w:r>
    </w:p>
    <w:p w14:paraId="794A0F25" w14:textId="3B63556A" w:rsidR="003E0CF6" w:rsidRPr="00445472" w:rsidRDefault="008279F2" w:rsidP="003E0CF6">
      <w:pPr>
        <w:pStyle w:val="TEKSTIIII"/>
      </w:pPr>
      <w:r>
        <w:t xml:space="preserve">- </w:t>
      </w:r>
      <w:r w:rsidR="003E0CF6" w:rsidRPr="00445472">
        <w:t xml:space="preserve">Shërbimet </w:t>
      </w:r>
      <w:r w:rsidR="00F2273F" w:rsidRPr="00445472">
        <w:t>publike të furnizimit me ujë;</w:t>
      </w:r>
    </w:p>
    <w:p w14:paraId="2933E6D1" w14:textId="6CD08C56" w:rsidR="003E0CF6" w:rsidRPr="00445472" w:rsidRDefault="008279F2" w:rsidP="003E0CF6">
      <w:pPr>
        <w:pStyle w:val="TEKSTIIII"/>
      </w:pPr>
      <w:r>
        <w:t xml:space="preserve">- </w:t>
      </w:r>
      <w:r w:rsidR="003E0CF6" w:rsidRPr="00445472">
        <w:t xml:space="preserve">Bordi i </w:t>
      </w:r>
      <w:r w:rsidR="00F2273F" w:rsidRPr="00445472">
        <w:t>kullimit;</w:t>
      </w:r>
    </w:p>
    <w:p w14:paraId="472ABAD0" w14:textId="17A4AE5D" w:rsidR="003E0CF6" w:rsidRPr="00445472" w:rsidRDefault="008279F2" w:rsidP="003E0CF6">
      <w:pPr>
        <w:pStyle w:val="TEKSTIIII"/>
      </w:pPr>
      <w:r>
        <w:t xml:space="preserve">- </w:t>
      </w:r>
      <w:r w:rsidR="003E0CF6" w:rsidRPr="00445472">
        <w:t>Organizata e përdorimit të ujit</w:t>
      </w:r>
      <w:r w:rsidR="00F2273F" w:rsidRPr="00445472">
        <w:t>;</w:t>
      </w:r>
    </w:p>
    <w:p w14:paraId="4D4DA410" w14:textId="23C1E7A6" w:rsidR="003E0CF6" w:rsidRPr="00445472" w:rsidRDefault="008279F2" w:rsidP="003E0CF6">
      <w:pPr>
        <w:pStyle w:val="TEKSTIIII"/>
      </w:pPr>
      <w:r>
        <w:t xml:space="preserve">- </w:t>
      </w:r>
      <w:r w:rsidR="003E0CF6" w:rsidRPr="00445472">
        <w:t xml:space="preserve">Industritë </w:t>
      </w:r>
      <w:r w:rsidR="00F2273F" w:rsidRPr="00445472">
        <w:t>kryesore të përdorimit të ujit;</w:t>
      </w:r>
    </w:p>
    <w:p w14:paraId="369BE63C" w14:textId="60E0982E" w:rsidR="003E0CF6" w:rsidRPr="00445472" w:rsidRDefault="008279F2" w:rsidP="003E0CF6">
      <w:pPr>
        <w:pStyle w:val="TEKSTIIII"/>
      </w:pPr>
      <w:r>
        <w:t xml:space="preserve">- </w:t>
      </w:r>
      <w:r w:rsidR="003E0CF6" w:rsidRPr="00445472">
        <w:t xml:space="preserve">Agjencia </w:t>
      </w:r>
      <w:r w:rsidR="00F2273F" w:rsidRPr="00445472">
        <w:t>rajonale mjedisore;</w:t>
      </w:r>
    </w:p>
    <w:p w14:paraId="15DC5F45" w14:textId="233B047D" w:rsidR="003E0CF6" w:rsidRPr="00445472" w:rsidRDefault="008279F2" w:rsidP="003E0CF6">
      <w:pPr>
        <w:pStyle w:val="TEKSTIIII"/>
      </w:pPr>
      <w:r>
        <w:t xml:space="preserve">- </w:t>
      </w:r>
      <w:r w:rsidR="003E0CF6" w:rsidRPr="00445472">
        <w:t xml:space="preserve">Autoriteti </w:t>
      </w:r>
      <w:r w:rsidR="00F2273F" w:rsidRPr="00445472">
        <w:t>rajonal shëndetësor;</w:t>
      </w:r>
    </w:p>
    <w:p w14:paraId="423F9AE1" w14:textId="2A27F8D7" w:rsidR="003E0CF6" w:rsidRPr="00445472" w:rsidRDefault="008279F2" w:rsidP="003E0CF6">
      <w:pPr>
        <w:pStyle w:val="TEKSTIIII"/>
      </w:pPr>
      <w:r>
        <w:t xml:space="preserve">- </w:t>
      </w:r>
      <w:r w:rsidR="003E0CF6" w:rsidRPr="00445472">
        <w:t xml:space="preserve">Departamenti i </w:t>
      </w:r>
      <w:r w:rsidR="00F2273F" w:rsidRPr="00445472">
        <w:t>politikave ujore;</w:t>
      </w:r>
    </w:p>
    <w:p w14:paraId="1D258826" w14:textId="5A822A3E" w:rsidR="003E0CF6" w:rsidRPr="00445472" w:rsidRDefault="008279F2" w:rsidP="003E0CF6">
      <w:pPr>
        <w:pStyle w:val="TEKSTIIII"/>
      </w:pPr>
      <w:r>
        <w:t xml:space="preserve">- </w:t>
      </w:r>
      <w:r w:rsidR="003E0CF6" w:rsidRPr="00445472">
        <w:t xml:space="preserve">Sekretariati i </w:t>
      </w:r>
      <w:r w:rsidR="00F2273F" w:rsidRPr="00445472">
        <w:t>ujit;</w:t>
      </w:r>
    </w:p>
    <w:p w14:paraId="43E4EE8C" w14:textId="4E9B7A11" w:rsidR="003E0CF6" w:rsidRPr="00445472" w:rsidRDefault="008279F2" w:rsidP="003E0CF6">
      <w:pPr>
        <w:pStyle w:val="TEKSTIIII"/>
      </w:pPr>
      <w:r>
        <w:t xml:space="preserve">- </w:t>
      </w:r>
      <w:r w:rsidR="003E0CF6" w:rsidRPr="00445472">
        <w:t xml:space="preserve">Shoqëria </w:t>
      </w:r>
      <w:r w:rsidR="00F2273F" w:rsidRPr="00445472">
        <w:t>civile.</w:t>
      </w:r>
    </w:p>
    <w:p w14:paraId="40A05B68" w14:textId="77777777" w:rsidR="003E0CF6" w:rsidRPr="00445472" w:rsidRDefault="003E0CF6" w:rsidP="003E0CF6">
      <w:pPr>
        <w:pStyle w:val="TEKSTIIII"/>
      </w:pPr>
    </w:p>
    <w:p w14:paraId="62DF89DC" w14:textId="050A7014" w:rsidR="003E0CF6" w:rsidRPr="00445472" w:rsidRDefault="003E0CF6" w:rsidP="003E0CF6">
      <w:pPr>
        <w:pStyle w:val="TEKSTIIII"/>
      </w:pPr>
      <w:r w:rsidRPr="00445472">
        <w:t xml:space="preserve">Tetë seminare trajnimi të zhvilluara për audiencën e synuar të Basenit Ujor </w:t>
      </w:r>
      <w:r w:rsidR="007E76E3" w:rsidRPr="00445472">
        <w:t>Drin–Bunë</w:t>
      </w:r>
      <w:r w:rsidRPr="00445472">
        <w:t xml:space="preserve"> dhe institucionet përkatëse qendrore, ishin sipas tabelës së mëposhtme:</w:t>
      </w:r>
    </w:p>
    <w:p w14:paraId="34B89809" w14:textId="77777777" w:rsidR="003E0CF6" w:rsidRPr="00445472" w:rsidRDefault="003E0CF6" w:rsidP="003E0CF6">
      <w:pPr>
        <w:pStyle w:val="TEKSTIIII"/>
      </w:pPr>
    </w:p>
    <w:p w14:paraId="325AD8DB" w14:textId="006F8A93" w:rsidR="003E0CF6" w:rsidRPr="00445472" w:rsidRDefault="003E0CF6" w:rsidP="003E0CF6">
      <w:pPr>
        <w:pStyle w:val="NENTITULL"/>
      </w:pPr>
      <w:r w:rsidRPr="00445472">
        <w:t xml:space="preserve">Tabela 13.1: Rezultatet e seminarit trajnues të përbashkët dhe Baseni Ujor </w:t>
      </w:r>
      <w:r w:rsidR="007E76E3" w:rsidRPr="00445472">
        <w:t>Drin–Bunë</w:t>
      </w:r>
    </w:p>
    <w:tbl>
      <w:tblPr>
        <w:tblW w:w="9757" w:type="dxa"/>
        <w:jc w:val="center"/>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ayout w:type="fixed"/>
        <w:tblCellMar>
          <w:left w:w="0" w:type="dxa"/>
          <w:right w:w="0" w:type="dxa"/>
        </w:tblCellMar>
        <w:tblLook w:val="04A0" w:firstRow="1" w:lastRow="0" w:firstColumn="1" w:lastColumn="0" w:noHBand="0" w:noVBand="1"/>
      </w:tblPr>
      <w:tblGrid>
        <w:gridCol w:w="991"/>
        <w:gridCol w:w="1836"/>
        <w:gridCol w:w="4949"/>
        <w:gridCol w:w="1981"/>
      </w:tblGrid>
      <w:tr w:rsidR="003E0CF6" w:rsidRPr="00445472" w14:paraId="7A4C5F9F" w14:textId="77777777" w:rsidTr="003E0CF6">
        <w:trPr>
          <w:tblHeader/>
          <w:jc w:val="center"/>
        </w:trPr>
        <w:tc>
          <w:tcPr>
            <w:tcW w:w="508" w:type="pct"/>
            <w:shd w:val="clear" w:color="auto" w:fill="auto"/>
            <w:vAlign w:val="center"/>
          </w:tcPr>
          <w:p w14:paraId="623E262B" w14:textId="77777777"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Seminari nr.</w:t>
            </w:r>
            <w:r w:rsidRPr="00445472">
              <w:rPr>
                <w:rFonts w:ascii="Garamond" w:eastAsia="MS Mincho" w:hAnsi="Garamond" w:cs="Arial"/>
                <w:b/>
                <w:sz w:val="18"/>
                <w:szCs w:val="18"/>
                <w:vertAlign w:val="superscript"/>
              </w:rPr>
              <w:footnoteReference w:id="215"/>
            </w:r>
          </w:p>
        </w:tc>
        <w:tc>
          <w:tcPr>
            <w:tcW w:w="941" w:type="pct"/>
            <w:shd w:val="clear" w:color="auto" w:fill="auto"/>
            <w:vAlign w:val="center"/>
          </w:tcPr>
          <w:p w14:paraId="054B2CF2" w14:textId="690764FF"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Titulli i </w:t>
            </w:r>
            <w:r w:rsidR="00F2273F" w:rsidRPr="00445472">
              <w:rPr>
                <w:rFonts w:ascii="Garamond" w:eastAsia="MS Mincho" w:hAnsi="Garamond" w:cs="Arial"/>
                <w:b/>
                <w:sz w:val="18"/>
                <w:szCs w:val="18"/>
              </w:rPr>
              <w:t>seminarit</w:t>
            </w:r>
          </w:p>
        </w:tc>
        <w:tc>
          <w:tcPr>
            <w:tcW w:w="2536" w:type="pct"/>
            <w:shd w:val="clear" w:color="auto" w:fill="auto"/>
            <w:vAlign w:val="center"/>
          </w:tcPr>
          <w:p w14:paraId="3007F3EA" w14:textId="2B105EDA"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    Objektivat e </w:t>
            </w:r>
            <w:r w:rsidR="00504992" w:rsidRPr="00445472">
              <w:rPr>
                <w:rFonts w:ascii="Garamond" w:eastAsia="MS Mincho" w:hAnsi="Garamond" w:cs="Arial"/>
                <w:b/>
                <w:sz w:val="18"/>
                <w:szCs w:val="18"/>
              </w:rPr>
              <w:t>trajnimit</w:t>
            </w:r>
          </w:p>
        </w:tc>
        <w:tc>
          <w:tcPr>
            <w:tcW w:w="1015" w:type="pct"/>
            <w:vAlign w:val="center"/>
          </w:tcPr>
          <w:p w14:paraId="3C253418" w14:textId="77777777"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Rezultati</w:t>
            </w:r>
          </w:p>
        </w:tc>
      </w:tr>
      <w:tr w:rsidR="003E0CF6" w:rsidRPr="00445472" w14:paraId="2C168A41" w14:textId="77777777" w:rsidTr="003E0CF6">
        <w:trPr>
          <w:jc w:val="center"/>
        </w:trPr>
        <w:tc>
          <w:tcPr>
            <w:tcW w:w="508" w:type="pct"/>
            <w:shd w:val="clear" w:color="auto" w:fill="DFDFDF"/>
            <w:vAlign w:val="center"/>
          </w:tcPr>
          <w:p w14:paraId="5EFD4DF9"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w:t>
            </w:r>
          </w:p>
        </w:tc>
        <w:tc>
          <w:tcPr>
            <w:tcW w:w="941" w:type="pct"/>
            <w:shd w:val="clear" w:color="auto" w:fill="DFDFDF"/>
            <w:vAlign w:val="center"/>
          </w:tcPr>
          <w:p w14:paraId="36A522FF" w14:textId="217DBB3E"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Seminar </w:t>
            </w:r>
            <w:r w:rsidR="00F2273F" w:rsidRPr="00445472">
              <w:rPr>
                <w:rFonts w:ascii="Garamond" w:eastAsia="MS Mincho" w:hAnsi="Garamond" w:cs="Arial"/>
                <w:sz w:val="18"/>
                <w:szCs w:val="18"/>
              </w:rPr>
              <w:t xml:space="preserve">trajnimi </w:t>
            </w:r>
            <w:r w:rsidRPr="00445472">
              <w:rPr>
                <w:rFonts w:ascii="Garamond" w:eastAsia="MS Mincho" w:hAnsi="Garamond" w:cs="Arial"/>
                <w:sz w:val="18"/>
                <w:szCs w:val="18"/>
              </w:rPr>
              <w:t xml:space="preserve">mbi </w:t>
            </w:r>
            <w:r w:rsidR="00F2273F" w:rsidRPr="00445472">
              <w:rPr>
                <w:rFonts w:ascii="Garamond" w:eastAsia="MS Mincho" w:hAnsi="Garamond" w:cs="Arial"/>
                <w:sz w:val="18"/>
                <w:szCs w:val="18"/>
              </w:rPr>
              <w:t>çështje të rëndësishme të menaxhimit të ujërave (përfshirja e grupeve të int</w:t>
            </w:r>
            <w:r w:rsidRPr="00445472">
              <w:rPr>
                <w:rFonts w:ascii="Garamond" w:eastAsia="MS Mincho" w:hAnsi="Garamond" w:cs="Arial"/>
                <w:sz w:val="18"/>
                <w:szCs w:val="18"/>
              </w:rPr>
              <w:t>eresit).</w:t>
            </w:r>
          </w:p>
        </w:tc>
        <w:tc>
          <w:tcPr>
            <w:tcW w:w="2536" w:type="pct"/>
            <w:shd w:val="clear" w:color="auto" w:fill="DFDFDF"/>
            <w:vAlign w:val="center"/>
          </w:tcPr>
          <w:p w14:paraId="783C6CCC"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Prezantimi i grupeve të interesit për konceptin e menaxhimit të integruar të ujërave, kërkesat e DKU-së dhe marrja e kontributeve për subjektin për:</w:t>
            </w:r>
          </w:p>
          <w:p w14:paraId="4126B7FC" w14:textId="7C08F7A0"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1.</w:t>
            </w:r>
            <w:r w:rsidR="00F2273F" w:rsidRPr="00445472">
              <w:rPr>
                <w:rFonts w:ascii="Garamond" w:eastAsia="MS Mincho" w:hAnsi="Garamond" w:cs="Arial"/>
                <w:sz w:val="18"/>
                <w:szCs w:val="18"/>
              </w:rPr>
              <w:t xml:space="preserve"> </w:t>
            </w:r>
            <w:r w:rsidRPr="00445472">
              <w:rPr>
                <w:rFonts w:ascii="Garamond" w:eastAsia="MS Mincho" w:hAnsi="Garamond" w:cs="Arial"/>
                <w:sz w:val="18"/>
                <w:szCs w:val="18"/>
              </w:rPr>
              <w:t>të njohur audiencën e synuar me konceptin e Menaxhimit të Integruar të Burimeve Ujore (MBIU) që përfshin përgatitjen e Planeve të Menaxhimi të Baseneve Ujore (PMBU),</w:t>
            </w:r>
          </w:p>
          <w:p w14:paraId="056D0B5A"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2. të marrë komente konstruktive nga organizatat vendore dhe rajonale të përfshira në menaxhimin e ujërave,</w:t>
            </w:r>
          </w:p>
          <w:p w14:paraId="43593624" w14:textId="0CDEA16C"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3. të kuptuar çështjet përkatëse të lidhura me përdorimet kryes</w:t>
            </w:r>
            <w:r w:rsidR="00911750">
              <w:rPr>
                <w:rFonts w:ascii="Garamond" w:eastAsia="MS Mincho" w:hAnsi="Garamond" w:cs="Arial"/>
                <w:sz w:val="18"/>
                <w:szCs w:val="18"/>
              </w:rPr>
              <w:t>ore të ujit dhe grupet vulnerabë</w:t>
            </w:r>
            <w:r w:rsidRPr="00445472">
              <w:rPr>
                <w:rFonts w:ascii="Garamond" w:eastAsia="MS Mincho" w:hAnsi="Garamond" w:cs="Arial"/>
                <w:sz w:val="18"/>
                <w:szCs w:val="18"/>
              </w:rPr>
              <w:t>l në çdo basen ujor.</w:t>
            </w:r>
          </w:p>
        </w:tc>
        <w:tc>
          <w:tcPr>
            <w:tcW w:w="1015" w:type="pct"/>
            <w:shd w:val="clear" w:color="auto" w:fill="DFDFDF"/>
            <w:vAlign w:val="center"/>
          </w:tcPr>
          <w:p w14:paraId="507ED0A1"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 25 prill 2016.</w:t>
            </w:r>
          </w:p>
        </w:tc>
      </w:tr>
      <w:tr w:rsidR="003E0CF6" w:rsidRPr="00445472" w14:paraId="4C8188DE" w14:textId="77777777" w:rsidTr="003E0CF6">
        <w:trPr>
          <w:jc w:val="center"/>
        </w:trPr>
        <w:tc>
          <w:tcPr>
            <w:tcW w:w="508" w:type="pct"/>
            <w:shd w:val="clear" w:color="auto" w:fill="auto"/>
            <w:vAlign w:val="center"/>
          </w:tcPr>
          <w:p w14:paraId="77C2AA50"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3</w:t>
            </w:r>
          </w:p>
        </w:tc>
        <w:tc>
          <w:tcPr>
            <w:tcW w:w="941" w:type="pct"/>
            <w:shd w:val="clear" w:color="auto" w:fill="auto"/>
            <w:vAlign w:val="center"/>
          </w:tcPr>
          <w:p w14:paraId="020CC2F1" w14:textId="4686E245"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Menaxhimi i Ujit në Basenin Ujor </w:t>
            </w:r>
            <w:r w:rsidR="007E76E3" w:rsidRPr="00445472">
              <w:rPr>
                <w:rFonts w:ascii="Garamond" w:eastAsia="MS Mincho" w:hAnsi="Garamond" w:cs="Arial"/>
                <w:sz w:val="18"/>
                <w:szCs w:val="18"/>
              </w:rPr>
              <w:t>Drin–Bunë</w:t>
            </w:r>
            <w:r w:rsidRPr="00445472">
              <w:rPr>
                <w:rFonts w:ascii="Garamond" w:eastAsia="MS Mincho" w:hAnsi="Garamond" w:cs="Arial"/>
                <w:sz w:val="18"/>
                <w:szCs w:val="18"/>
              </w:rPr>
              <w:t>- kërkesa aktuale dhe të ardhshme.</w:t>
            </w:r>
          </w:p>
        </w:tc>
        <w:tc>
          <w:tcPr>
            <w:tcW w:w="2536" w:type="pct"/>
            <w:shd w:val="clear" w:color="auto" w:fill="auto"/>
            <w:vAlign w:val="center"/>
          </w:tcPr>
          <w:p w14:paraId="3E9F3F0A"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Jep një përmbledhje nga grupet e interesit mbi situatën aktuale në menaxhimin e ujërave në nivel rajonal, duke identifikuar zonat problematike dhe ndërhyrjet e ardhshme që kërkohen për zbatimin e ligjit të ujit që përfshin kërkesat e Direktivës Kuadër të Ujit të BE-së.</w:t>
            </w:r>
          </w:p>
        </w:tc>
        <w:tc>
          <w:tcPr>
            <w:tcW w:w="1015" w:type="pct"/>
            <w:vAlign w:val="center"/>
          </w:tcPr>
          <w:p w14:paraId="7E4231E8"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 19 korrik 2016.</w:t>
            </w:r>
          </w:p>
        </w:tc>
      </w:tr>
      <w:tr w:rsidR="003E0CF6" w:rsidRPr="00445472" w14:paraId="740F157B" w14:textId="77777777" w:rsidTr="003E0CF6">
        <w:trPr>
          <w:jc w:val="center"/>
        </w:trPr>
        <w:tc>
          <w:tcPr>
            <w:tcW w:w="508" w:type="pct"/>
            <w:shd w:val="clear" w:color="auto" w:fill="D9D9D9"/>
            <w:vAlign w:val="center"/>
          </w:tcPr>
          <w:p w14:paraId="206C8298"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5</w:t>
            </w:r>
          </w:p>
        </w:tc>
        <w:tc>
          <w:tcPr>
            <w:tcW w:w="941" w:type="pct"/>
            <w:shd w:val="clear" w:color="auto" w:fill="D9D9D9"/>
            <w:vAlign w:val="center"/>
          </w:tcPr>
          <w:p w14:paraId="7DDAC1CE"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Monitorimi Biologjik dhe</w:t>
            </w:r>
          </w:p>
          <w:p w14:paraId="4C49EBB4"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Vlerësimi, Tipologjia dhe Vlerësimi i Riskut</w:t>
            </w:r>
          </w:p>
        </w:tc>
        <w:tc>
          <w:tcPr>
            <w:tcW w:w="2536" w:type="pct"/>
            <w:shd w:val="clear" w:color="auto" w:fill="D9D9D9"/>
            <w:vAlign w:val="center"/>
          </w:tcPr>
          <w:p w14:paraId="4AE43993"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Zhvillimi i kapacitetit të grupeve të interesit, me qëllim njohjen e personave përgjegjës për monitorimin e ujërave sipërfaqësore dhe/ose vendimmarrje me bazat e monitorimit ekologjik.</w:t>
            </w:r>
          </w:p>
        </w:tc>
        <w:tc>
          <w:tcPr>
            <w:tcW w:w="1015" w:type="pct"/>
            <w:shd w:val="clear" w:color="auto" w:fill="D9D9D9"/>
            <w:vAlign w:val="center"/>
          </w:tcPr>
          <w:p w14:paraId="3081866F"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Shkodër, 18 korrik 2016. </w:t>
            </w:r>
          </w:p>
        </w:tc>
      </w:tr>
      <w:tr w:rsidR="003E0CF6" w:rsidRPr="00445472" w14:paraId="40B37070" w14:textId="77777777" w:rsidTr="003E0CF6">
        <w:trPr>
          <w:jc w:val="center"/>
        </w:trPr>
        <w:tc>
          <w:tcPr>
            <w:tcW w:w="508" w:type="pct"/>
            <w:tcBorders>
              <w:bottom w:val="single" w:sz="8" w:space="0" w:color="27B1B0"/>
            </w:tcBorders>
            <w:shd w:val="clear" w:color="auto" w:fill="FFFFFF"/>
            <w:vAlign w:val="center"/>
          </w:tcPr>
          <w:p w14:paraId="01B802A1"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7</w:t>
            </w:r>
          </w:p>
        </w:tc>
        <w:tc>
          <w:tcPr>
            <w:tcW w:w="941" w:type="pct"/>
            <w:tcBorders>
              <w:bottom w:val="single" w:sz="8" w:space="0" w:color="27B1B0"/>
            </w:tcBorders>
            <w:shd w:val="clear" w:color="auto" w:fill="FFFFFF"/>
            <w:vAlign w:val="center"/>
          </w:tcPr>
          <w:p w14:paraId="0B49802E" w14:textId="6F37A32A"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Trajnim mbi </w:t>
            </w:r>
            <w:r w:rsidR="00F2273F" w:rsidRPr="00445472">
              <w:rPr>
                <w:rFonts w:ascii="Garamond" w:eastAsia="MS Mincho" w:hAnsi="Garamond" w:cs="Arial"/>
                <w:sz w:val="18"/>
                <w:szCs w:val="18"/>
              </w:rPr>
              <w:t>ekonominë</w:t>
            </w:r>
            <w:r w:rsidRPr="00445472">
              <w:rPr>
                <w:rFonts w:ascii="Garamond" w:eastAsia="MS Mincho" w:hAnsi="Garamond" w:cs="Arial"/>
                <w:sz w:val="18"/>
                <w:szCs w:val="18"/>
              </w:rPr>
              <w:t xml:space="preserve"> e </w:t>
            </w:r>
            <w:r w:rsidR="00F2273F" w:rsidRPr="00445472">
              <w:rPr>
                <w:rFonts w:ascii="Garamond" w:eastAsia="MS Mincho" w:hAnsi="Garamond" w:cs="Arial"/>
                <w:sz w:val="18"/>
                <w:szCs w:val="18"/>
              </w:rPr>
              <w:t>përdorimit</w:t>
            </w:r>
            <w:r w:rsidRPr="00445472">
              <w:rPr>
                <w:rFonts w:ascii="Garamond" w:eastAsia="MS Mincho" w:hAnsi="Garamond" w:cs="Arial"/>
                <w:sz w:val="18"/>
                <w:szCs w:val="18"/>
              </w:rPr>
              <w:t xml:space="preserve"> t</w:t>
            </w:r>
            <w:r w:rsidR="00F2273F" w:rsidRPr="00445472">
              <w:rPr>
                <w:rFonts w:ascii="Garamond" w:eastAsia="MS Mincho" w:hAnsi="Garamond" w:cs="Arial"/>
                <w:sz w:val="18"/>
                <w:szCs w:val="18"/>
              </w:rPr>
              <w:t>ë</w:t>
            </w:r>
            <w:r w:rsidRPr="00445472">
              <w:rPr>
                <w:rFonts w:ascii="Garamond" w:eastAsia="MS Mincho" w:hAnsi="Garamond" w:cs="Arial"/>
                <w:sz w:val="18"/>
                <w:szCs w:val="18"/>
              </w:rPr>
              <w:t xml:space="preserve"> ujit</w:t>
            </w:r>
          </w:p>
        </w:tc>
        <w:tc>
          <w:tcPr>
            <w:tcW w:w="2536" w:type="pct"/>
            <w:tcBorders>
              <w:bottom w:val="single" w:sz="8" w:space="0" w:color="27B1B0"/>
            </w:tcBorders>
            <w:shd w:val="clear" w:color="auto" w:fill="FFFFFF"/>
            <w:vAlign w:val="center"/>
          </w:tcPr>
          <w:p w14:paraId="1DC72634" w14:textId="4A9D64F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Njohja me personat përgjegjës </w:t>
            </w:r>
            <w:r w:rsidR="00F2273F" w:rsidRPr="00445472">
              <w:rPr>
                <w:rFonts w:ascii="Garamond" w:eastAsia="MS Mincho" w:hAnsi="Garamond" w:cs="Arial"/>
                <w:sz w:val="18"/>
                <w:szCs w:val="18"/>
              </w:rPr>
              <w:t>për</w:t>
            </w:r>
            <w:r w:rsidRPr="00445472">
              <w:rPr>
                <w:rFonts w:ascii="Garamond" w:eastAsia="MS Mincho" w:hAnsi="Garamond" w:cs="Arial"/>
                <w:sz w:val="18"/>
                <w:szCs w:val="18"/>
              </w:rPr>
              <w:t xml:space="preserve"> suportin në vendim-marrje në dy basenet ujore, me baza të ekonomisë së përdorimit të ujit </w:t>
            </w:r>
            <w:r w:rsidR="00F2273F" w:rsidRPr="00445472">
              <w:rPr>
                <w:rFonts w:ascii="Garamond" w:eastAsia="MS Mincho" w:hAnsi="Garamond" w:cs="Arial"/>
                <w:sz w:val="18"/>
                <w:szCs w:val="18"/>
              </w:rPr>
              <w:t>siç</w:t>
            </w:r>
            <w:r w:rsidRPr="00445472">
              <w:rPr>
                <w:rFonts w:ascii="Garamond" w:eastAsia="MS Mincho" w:hAnsi="Garamond" w:cs="Arial"/>
                <w:sz w:val="18"/>
                <w:szCs w:val="18"/>
              </w:rPr>
              <w:t xml:space="preserve"> parashihet nga Direktiva Kuadër e Ujit</w:t>
            </w:r>
          </w:p>
        </w:tc>
        <w:tc>
          <w:tcPr>
            <w:tcW w:w="1015" w:type="pct"/>
            <w:tcBorders>
              <w:bottom w:val="single" w:sz="8" w:space="0" w:color="27B1B0"/>
            </w:tcBorders>
            <w:shd w:val="clear" w:color="auto" w:fill="FFFFFF"/>
            <w:vAlign w:val="center"/>
          </w:tcPr>
          <w:p w14:paraId="7C1159EA" w14:textId="4880D3AF" w:rsidR="003E0CF6" w:rsidRPr="00445472" w:rsidRDefault="00F2273F"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Shkodër</w:t>
            </w:r>
            <w:r w:rsidR="003E0CF6" w:rsidRPr="00445472">
              <w:rPr>
                <w:rFonts w:ascii="Garamond" w:eastAsia="MS Mincho" w:hAnsi="Garamond" w:cs="Arial"/>
                <w:sz w:val="18"/>
                <w:szCs w:val="18"/>
              </w:rPr>
              <w:t>, 5 tetor 2016</w:t>
            </w:r>
          </w:p>
        </w:tc>
      </w:tr>
      <w:tr w:rsidR="003E0CF6" w:rsidRPr="00445472" w14:paraId="4F0C5569" w14:textId="77777777" w:rsidTr="003E0CF6">
        <w:trPr>
          <w:jc w:val="center"/>
        </w:trPr>
        <w:tc>
          <w:tcPr>
            <w:tcW w:w="508" w:type="pct"/>
            <w:tcBorders>
              <w:bottom w:val="single" w:sz="8" w:space="0" w:color="27B1B0"/>
            </w:tcBorders>
            <w:shd w:val="clear" w:color="auto" w:fill="FFFFFF"/>
            <w:vAlign w:val="center"/>
          </w:tcPr>
          <w:p w14:paraId="3EED55AD"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8</w:t>
            </w:r>
          </w:p>
        </w:tc>
        <w:tc>
          <w:tcPr>
            <w:tcW w:w="941" w:type="pct"/>
            <w:tcBorders>
              <w:bottom w:val="single" w:sz="8" w:space="0" w:color="27B1B0"/>
            </w:tcBorders>
            <w:shd w:val="clear" w:color="auto" w:fill="FFFFFF"/>
            <w:vAlign w:val="center"/>
          </w:tcPr>
          <w:p w14:paraId="31FC9149" w14:textId="7777777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Prezantim i Modelimit të Basenit Ujor</w:t>
            </w:r>
          </w:p>
        </w:tc>
        <w:tc>
          <w:tcPr>
            <w:tcW w:w="2536" w:type="pct"/>
            <w:tcBorders>
              <w:bottom w:val="single" w:sz="8" w:space="0" w:color="27B1B0"/>
            </w:tcBorders>
            <w:shd w:val="clear" w:color="auto" w:fill="FFFFFF"/>
            <w:vAlign w:val="center"/>
          </w:tcPr>
          <w:p w14:paraId="415E6347" w14:textId="71ED43C1"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Jep një përmbledhje të kapaciteteve të paketës së softuerit modelues të Basenit </w:t>
            </w:r>
            <w:r w:rsidR="000A1B7F" w:rsidRPr="00445472">
              <w:rPr>
                <w:rFonts w:ascii="Garamond" w:eastAsia="MS Mincho" w:hAnsi="Garamond" w:cs="Arial"/>
                <w:sz w:val="18"/>
                <w:szCs w:val="18"/>
              </w:rPr>
              <w:t>Mike Hydro</w:t>
            </w:r>
            <w:r w:rsidRPr="00445472">
              <w:rPr>
                <w:rFonts w:ascii="Garamond" w:eastAsia="MS Mincho" w:hAnsi="Garamond" w:cs="Arial"/>
                <w:sz w:val="18"/>
                <w:szCs w:val="18"/>
              </w:rPr>
              <w:t>, me synim që</w:t>
            </w:r>
            <w:r w:rsidR="00C26856" w:rsidRPr="00445472">
              <w:rPr>
                <w:rFonts w:ascii="Garamond" w:eastAsia="MS Mincho" w:hAnsi="Garamond" w:cs="Arial"/>
                <w:sz w:val="18"/>
                <w:szCs w:val="18"/>
              </w:rPr>
              <w:t xml:space="preserve"> t’u </w:t>
            </w:r>
            <w:r w:rsidRPr="00445472">
              <w:rPr>
                <w:rFonts w:ascii="Garamond" w:eastAsia="MS Mincho" w:hAnsi="Garamond" w:cs="Arial"/>
                <w:sz w:val="18"/>
                <w:szCs w:val="18"/>
              </w:rPr>
              <w:t>mundësojë pjesëmarrësve të krijojnë modele për projektet e operacioneve të rezervuarëve dhe shpërndarjes së ujit.</w:t>
            </w:r>
          </w:p>
        </w:tc>
        <w:tc>
          <w:tcPr>
            <w:tcW w:w="1015" w:type="pct"/>
            <w:tcBorders>
              <w:bottom w:val="single" w:sz="8" w:space="0" w:color="27B1B0"/>
            </w:tcBorders>
            <w:shd w:val="clear" w:color="auto" w:fill="FFFFFF"/>
            <w:vAlign w:val="center"/>
          </w:tcPr>
          <w:p w14:paraId="5D1378C0"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Tiranë, 17-18 janar 2017</w:t>
            </w:r>
          </w:p>
        </w:tc>
      </w:tr>
      <w:tr w:rsidR="003E0CF6" w:rsidRPr="00445472" w14:paraId="331C54A3" w14:textId="77777777" w:rsidTr="003E0CF6">
        <w:trPr>
          <w:jc w:val="center"/>
        </w:trPr>
        <w:tc>
          <w:tcPr>
            <w:tcW w:w="508" w:type="pct"/>
            <w:shd w:val="clear" w:color="auto" w:fill="auto"/>
            <w:vAlign w:val="center"/>
          </w:tcPr>
          <w:p w14:paraId="27357A0F"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10</w:t>
            </w:r>
          </w:p>
        </w:tc>
        <w:tc>
          <w:tcPr>
            <w:tcW w:w="941" w:type="pct"/>
            <w:shd w:val="clear" w:color="auto" w:fill="auto"/>
            <w:vAlign w:val="center"/>
          </w:tcPr>
          <w:p w14:paraId="49984DEB" w14:textId="78B97E37"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Programi Monitorues i Ujit në Përputhje me DKU-në në Basenin Ujor </w:t>
            </w:r>
            <w:r w:rsidR="007E76E3" w:rsidRPr="00445472">
              <w:rPr>
                <w:rFonts w:ascii="Garamond" w:eastAsia="MS Mincho" w:hAnsi="Garamond" w:cs="Arial"/>
                <w:sz w:val="18"/>
                <w:szCs w:val="18"/>
              </w:rPr>
              <w:t>Drin–Bunë</w:t>
            </w:r>
            <w:r w:rsidRPr="00445472">
              <w:rPr>
                <w:rFonts w:ascii="Garamond" w:eastAsia="MS Mincho" w:hAnsi="Garamond" w:cs="Arial"/>
                <w:sz w:val="18"/>
                <w:szCs w:val="18"/>
              </w:rPr>
              <w:t>.</w:t>
            </w:r>
          </w:p>
        </w:tc>
        <w:tc>
          <w:tcPr>
            <w:tcW w:w="2536" w:type="pct"/>
            <w:shd w:val="clear" w:color="auto" w:fill="auto"/>
            <w:vAlign w:val="center"/>
          </w:tcPr>
          <w:p w14:paraId="72F1FA3F" w14:textId="546D4A7B" w:rsidR="003E0CF6" w:rsidRPr="00445472" w:rsidRDefault="003E0CF6" w:rsidP="00F2273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I jep pjesëmarrësve një përmbledhje të kërkesave të DKU-së për monitorimin e ujit dhe gjithashtu për të diskutuar me ta udhëzuesin për monitorimin e ujit në Basenin Ujor </w:t>
            </w:r>
            <w:r w:rsidR="007E76E3" w:rsidRPr="00445472">
              <w:rPr>
                <w:rFonts w:ascii="Garamond" w:eastAsia="MS Mincho" w:hAnsi="Garamond" w:cs="Arial"/>
                <w:sz w:val="18"/>
                <w:szCs w:val="18"/>
              </w:rPr>
              <w:t>Drin–Bunë</w:t>
            </w:r>
            <w:r w:rsidRPr="00445472">
              <w:rPr>
                <w:rFonts w:ascii="Garamond" w:eastAsia="MS Mincho" w:hAnsi="Garamond" w:cs="Arial"/>
                <w:sz w:val="18"/>
                <w:szCs w:val="18"/>
              </w:rPr>
              <w:t xml:space="preserve"> në përputhje me DKU-në.</w:t>
            </w:r>
          </w:p>
        </w:tc>
        <w:tc>
          <w:tcPr>
            <w:tcW w:w="1015" w:type="pct"/>
            <w:shd w:val="clear" w:color="auto" w:fill="auto"/>
            <w:vAlign w:val="center"/>
          </w:tcPr>
          <w:p w14:paraId="481A46D6"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Tiranë, 29 maj 2017</w:t>
            </w:r>
          </w:p>
        </w:tc>
      </w:tr>
      <w:tr w:rsidR="003E0CF6" w:rsidRPr="00445472" w14:paraId="0E4D1033" w14:textId="77777777" w:rsidTr="003E0CF6">
        <w:trPr>
          <w:jc w:val="center"/>
        </w:trPr>
        <w:tc>
          <w:tcPr>
            <w:tcW w:w="508" w:type="pct"/>
            <w:shd w:val="clear" w:color="auto" w:fill="D9D9D9"/>
            <w:vAlign w:val="center"/>
          </w:tcPr>
          <w:p w14:paraId="60E7C356"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11</w:t>
            </w:r>
          </w:p>
        </w:tc>
        <w:tc>
          <w:tcPr>
            <w:tcW w:w="941" w:type="pct"/>
            <w:shd w:val="clear" w:color="auto" w:fill="D9D9D9"/>
            <w:vAlign w:val="center"/>
          </w:tcPr>
          <w:p w14:paraId="363D9714"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Seminari i Trajnimit për Basenin/Mike Hydro vlerëson bilancet e kërkesës për furnizimin me ujë në kushtet aktuale dhe të ardhshme. </w:t>
            </w:r>
          </w:p>
        </w:tc>
        <w:tc>
          <w:tcPr>
            <w:tcW w:w="2536" w:type="pct"/>
            <w:shd w:val="clear" w:color="auto" w:fill="D9D9D9"/>
            <w:vAlign w:val="center"/>
          </w:tcPr>
          <w:p w14:paraId="73D9B620" w14:textId="6EF46614"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I jep pjesëmarrësve një ushtrim të kryer për llogaritjen e bilanceve midis ofertës dhe kërkesës për ujë në </w:t>
            </w:r>
            <w:r w:rsidR="007E76E3" w:rsidRPr="00445472">
              <w:rPr>
                <w:rFonts w:ascii="Garamond" w:eastAsia="MS Mincho" w:hAnsi="Garamond" w:cs="Arial"/>
                <w:sz w:val="18"/>
                <w:szCs w:val="18"/>
              </w:rPr>
              <w:t>Drin–Bunë</w:t>
            </w:r>
            <w:r w:rsidRPr="00445472">
              <w:rPr>
                <w:rFonts w:ascii="Garamond" w:eastAsia="MS Mincho" w:hAnsi="Garamond" w:cs="Arial"/>
                <w:sz w:val="18"/>
                <w:szCs w:val="18"/>
              </w:rPr>
              <w:t xml:space="preserve"> dhe basenin </w:t>
            </w:r>
            <w:r w:rsidR="007E76E3" w:rsidRPr="00445472">
              <w:rPr>
                <w:rFonts w:ascii="Garamond" w:eastAsia="MS Mincho" w:hAnsi="Garamond" w:cs="Arial"/>
                <w:sz w:val="18"/>
                <w:szCs w:val="18"/>
              </w:rPr>
              <w:t>Drin–Bunë</w:t>
            </w:r>
            <w:r w:rsidRPr="00445472">
              <w:rPr>
                <w:rFonts w:ascii="Garamond" w:eastAsia="MS Mincho" w:hAnsi="Garamond" w:cs="Arial"/>
                <w:sz w:val="18"/>
                <w:szCs w:val="18"/>
              </w:rPr>
              <w:t>. Ushtrimi përfshin përgatitjen e skenarëve që janë përdorur për të karakterizuar ofertën dhe kërkesën në kushtet aktuale dhe të ardhshme.</w:t>
            </w:r>
          </w:p>
        </w:tc>
        <w:tc>
          <w:tcPr>
            <w:tcW w:w="1015" w:type="pct"/>
            <w:shd w:val="clear" w:color="auto" w:fill="D9D9D9"/>
            <w:vAlign w:val="center"/>
          </w:tcPr>
          <w:p w14:paraId="022CDDFE"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Tiranë, 8 qershor 2017</w:t>
            </w:r>
          </w:p>
        </w:tc>
      </w:tr>
      <w:tr w:rsidR="003E0CF6" w:rsidRPr="00445472" w14:paraId="1171F6B4" w14:textId="77777777" w:rsidTr="003E0CF6">
        <w:trPr>
          <w:jc w:val="center"/>
        </w:trPr>
        <w:tc>
          <w:tcPr>
            <w:tcW w:w="508" w:type="pct"/>
            <w:shd w:val="clear" w:color="auto" w:fill="auto"/>
            <w:vAlign w:val="center"/>
          </w:tcPr>
          <w:p w14:paraId="3D732D7A"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12</w:t>
            </w:r>
          </w:p>
        </w:tc>
        <w:tc>
          <w:tcPr>
            <w:tcW w:w="941" w:type="pct"/>
            <w:shd w:val="clear" w:color="auto" w:fill="auto"/>
            <w:vAlign w:val="center"/>
          </w:tcPr>
          <w:p w14:paraId="06A46D9A" w14:textId="403E5F78"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Seminari i Trajnimit për Basenin/Mike Hydro -prezantimi i skenarëve dhe vazhdimi i </w:t>
            </w:r>
            <w:r w:rsidR="00F2273F" w:rsidRPr="00445472">
              <w:rPr>
                <w:rFonts w:ascii="Garamond" w:eastAsia="MS Mincho" w:hAnsi="Garamond" w:cs="Arial"/>
                <w:sz w:val="18"/>
                <w:szCs w:val="18"/>
              </w:rPr>
              <w:t>Mike Hydro.</w:t>
            </w:r>
          </w:p>
        </w:tc>
        <w:tc>
          <w:tcPr>
            <w:tcW w:w="2536" w:type="pct"/>
            <w:shd w:val="clear" w:color="auto" w:fill="auto"/>
            <w:vAlign w:val="center"/>
          </w:tcPr>
          <w:p w14:paraId="6D0D5CF9" w14:textId="2D1F812E"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 xml:space="preserve">Rezultatet aktuale paraprake të analizës së bilancit të ujit në kushtet aktuale në të ardhmen, në mënyrë që përdoruesit përfundimtarë të kuptojnë sesi kuadri i softuerit  </w:t>
            </w:r>
            <w:r w:rsidR="00F2273F" w:rsidRPr="00445472">
              <w:rPr>
                <w:rFonts w:ascii="Garamond" w:eastAsia="MS Mincho" w:hAnsi="Garamond" w:cs="Arial"/>
                <w:sz w:val="18"/>
                <w:szCs w:val="18"/>
              </w:rPr>
              <w:t xml:space="preserve">Mike Hydro </w:t>
            </w:r>
            <w:r w:rsidRPr="00445472">
              <w:rPr>
                <w:rFonts w:ascii="Garamond" w:eastAsia="MS Mincho" w:hAnsi="Garamond" w:cs="Arial"/>
                <w:sz w:val="18"/>
                <w:szCs w:val="18"/>
              </w:rPr>
              <w:t>Basin mund të përdoret për të përcaktuar bilancet e ofertës dhe kërkesës.</w:t>
            </w:r>
          </w:p>
        </w:tc>
        <w:tc>
          <w:tcPr>
            <w:tcW w:w="1015" w:type="pct"/>
            <w:shd w:val="clear" w:color="auto" w:fill="auto"/>
            <w:vAlign w:val="center"/>
          </w:tcPr>
          <w:p w14:paraId="34B4A6DB"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Tiranë, 9 qershor 2017</w:t>
            </w:r>
          </w:p>
        </w:tc>
      </w:tr>
    </w:tbl>
    <w:p w14:paraId="5C121462" w14:textId="77777777" w:rsidR="003E0CF6" w:rsidRPr="00445472" w:rsidRDefault="003E0CF6" w:rsidP="003E0CF6">
      <w:pPr>
        <w:pStyle w:val="TEKSTIIII"/>
      </w:pPr>
    </w:p>
    <w:p w14:paraId="3CA4C7E5" w14:textId="15DC5002" w:rsidR="003E0CF6" w:rsidRPr="00445472" w:rsidRDefault="003E0CF6" w:rsidP="003E0CF6">
      <w:pPr>
        <w:pStyle w:val="TEKSTIIII"/>
      </w:pPr>
      <w:r w:rsidRPr="00445472">
        <w:t xml:space="preserve">Seminaret e trajnimit të organizuara në Tiranë me audiencë të synuar nga Baseni Ujor </w:t>
      </w:r>
      <w:r w:rsidR="007E76E3" w:rsidRPr="00445472">
        <w:t>Drin–Bunë</w:t>
      </w:r>
      <w:r w:rsidR="008F0A9F" w:rsidRPr="00445472">
        <w:t>, si dhe</w:t>
      </w:r>
      <w:r w:rsidRPr="00445472">
        <w:t xml:space="preserve"> përfaqësues të institucioneve qendrore.</w:t>
      </w:r>
    </w:p>
    <w:p w14:paraId="1895834C" w14:textId="2CD8B2E0" w:rsidR="003E0CF6" w:rsidRPr="00445472" w:rsidRDefault="003E0CF6" w:rsidP="003E0CF6">
      <w:pPr>
        <w:pStyle w:val="NENTITULL"/>
        <w:rPr>
          <w:sz w:val="20"/>
          <w:szCs w:val="20"/>
        </w:rPr>
      </w:pPr>
      <w:bookmarkStart w:id="304" w:name="_Toc486503440"/>
      <w:bookmarkStart w:id="305" w:name="_Toc11068886"/>
      <w:r w:rsidRPr="00445472">
        <w:t>13.3 Konsultimet e palëve të interesit</w:t>
      </w:r>
      <w:bookmarkEnd w:id="304"/>
      <w:bookmarkEnd w:id="305"/>
    </w:p>
    <w:p w14:paraId="3ADAABB0" w14:textId="7F0B6479" w:rsidR="003E0CF6" w:rsidRPr="00445472" w:rsidRDefault="003E0CF6" w:rsidP="003E0CF6">
      <w:pPr>
        <w:pStyle w:val="TEKSTIIII"/>
      </w:pPr>
      <w:r w:rsidRPr="00445472">
        <w:t xml:space="preserve">Planifikimi i menaxhimit të baseneve ujore kërkon që projekti të sigurojë angazhimet e palëve të </w:t>
      </w:r>
      <w:r w:rsidR="00F2273F" w:rsidRPr="00445472">
        <w:t>interesit</w:t>
      </w:r>
      <w:r w:rsidRPr="00445472">
        <w:t xml:space="preserve"> në nivel të autoriteteve kombëtare dhe lokale, shoqërisë civile (OJQ) dhe komuniteteve përmes informatorëve, agjentëve kryesorë</w:t>
      </w:r>
      <w:r w:rsidR="008F0A9F" w:rsidRPr="00445472">
        <w:t>, si dhe</w:t>
      </w:r>
      <w:r w:rsidRPr="00445472">
        <w:t xml:space="preserve"> fokus grupeve që përfaqësojnë grupet e pambrojtura, vulnerab</w:t>
      </w:r>
      <w:r w:rsidR="00F2273F" w:rsidRPr="00445472">
        <w:t>ë</w:t>
      </w:r>
      <w:r w:rsidRPr="00445472">
        <w:t>l (p.sh.</w:t>
      </w:r>
      <w:r w:rsidR="00F2273F" w:rsidRPr="00445472">
        <w:t>,</w:t>
      </w:r>
      <w:r w:rsidRPr="00445472">
        <w:t xml:space="preserve"> gratë, të moshuarit, minoritetet dhe</w:t>
      </w:r>
      <w:r w:rsidR="001D340B" w:rsidRPr="00445472">
        <w:t>/</w:t>
      </w:r>
      <w:r w:rsidRPr="00445472">
        <w:t>ose grupet etnike). Këto angazhime do të mbahen gjatë hartimit të Planit të Menaxhimit të Baseneve Ujore (PMBU) për të marrë në konsideratë mendimet, komentet nga nivele të ndryshme të grupeve të interesit që do të përdoren për finalizimin e Planit të Menaxhimit të Baseneve Ujor dhe në projektin e Planit të Menaxhimit të Baseneve Ujore për të shpalosur planin për të gjithë aktorët dhe për të mbledhur mendimet dhe komentet e tyre. Pyetësorët e palëve të interesit janë ato në Planin e Aktiviteteve të Grupeve të Interesit dhe pyetësorët e përdorur janë të gatshëm sapo të kërkohen për shkak të volumit të madh.</w:t>
      </w:r>
    </w:p>
    <w:p w14:paraId="71F957CD" w14:textId="6FEC054E" w:rsidR="003E0CF6" w:rsidRPr="00445472" w:rsidRDefault="003E0CF6" w:rsidP="003E0CF6">
      <w:pPr>
        <w:pStyle w:val="TEKSTIIII"/>
      </w:pPr>
      <w:r w:rsidRPr="00445472">
        <w:t xml:space="preserve">U hartua Plani i Angazhimit të palëve të interesit dhe u përfshinë fazat e </w:t>
      </w:r>
      <w:r w:rsidR="00F2273F" w:rsidRPr="00445472">
        <w:t>mëposhtme</w:t>
      </w:r>
      <w:r w:rsidRPr="00445472">
        <w:t xml:space="preserve"> të cilat u përfshinë edhe në Planin e Veprimit si më poshtë: </w:t>
      </w:r>
    </w:p>
    <w:p w14:paraId="05AA3DA6" w14:textId="3DA6CD72" w:rsidR="003E0CF6" w:rsidRPr="00445472" w:rsidRDefault="008279F2" w:rsidP="003E0CF6">
      <w:pPr>
        <w:pStyle w:val="TEKSTIIII"/>
      </w:pPr>
      <w:r>
        <w:t xml:space="preserve">- </w:t>
      </w:r>
      <w:r w:rsidR="003E0CF6" w:rsidRPr="00445472">
        <w:t>Angazhimi, i Grupeve të Nivelit Kombëtar: palët e interesit (aktorët) në nivel qendror do të informohen për rezultatet e arritura në vlerësimin e alternativave gjatë takimeve ballë për ballë;</w:t>
      </w:r>
    </w:p>
    <w:p w14:paraId="6F0BCB9D" w14:textId="43245E23" w:rsidR="003E0CF6" w:rsidRPr="00445472" w:rsidRDefault="008279F2" w:rsidP="003E0CF6">
      <w:pPr>
        <w:pStyle w:val="TEKSTIIII"/>
      </w:pPr>
      <w:r>
        <w:t xml:space="preserve">- </w:t>
      </w:r>
      <w:r w:rsidR="003E0CF6" w:rsidRPr="00445472">
        <w:t>Angazhimi i palëve të interesit në nivel rajonal dhe lokal: një mbledhje plenare e palëve të interesit do të organizohet në secilën prej rajoneve</w:t>
      </w:r>
    </w:p>
    <w:p w14:paraId="328F3CB9" w14:textId="653C48BE" w:rsidR="003E0CF6" w:rsidRPr="00445472" w:rsidRDefault="008279F2" w:rsidP="003E0CF6">
      <w:pPr>
        <w:pStyle w:val="TEKSTIIII"/>
      </w:pPr>
      <w:r>
        <w:t xml:space="preserve">- </w:t>
      </w:r>
      <w:r w:rsidR="003E0CF6" w:rsidRPr="00445472">
        <w:t>Intervistuesit kryesorë</w:t>
      </w:r>
    </w:p>
    <w:p w14:paraId="3C195442" w14:textId="54BF8DAB" w:rsidR="003E0CF6" w:rsidRPr="00445472" w:rsidRDefault="008279F2" w:rsidP="003E0CF6">
      <w:pPr>
        <w:pStyle w:val="TEKSTIIII"/>
      </w:pPr>
      <w:r>
        <w:t xml:space="preserve">- </w:t>
      </w:r>
      <w:r w:rsidR="003E0CF6" w:rsidRPr="00445472">
        <w:t xml:space="preserve">Fokus Grupi i organizuar me grupet e cenuara (gra, të moshuar, romë (nëse ka) dhe grupeve të tjera) </w:t>
      </w:r>
    </w:p>
    <w:p w14:paraId="5F44790A" w14:textId="77777777" w:rsidR="003E0CF6" w:rsidRPr="00445472" w:rsidRDefault="003E0CF6" w:rsidP="003E0CF6">
      <w:pPr>
        <w:pStyle w:val="TEKSTIIII"/>
      </w:pPr>
      <w:r w:rsidRPr="00445472">
        <w:t>Në secilën fazë do të plotësohen detyrat e mëposhtme:</w:t>
      </w:r>
    </w:p>
    <w:p w14:paraId="60E459A2" w14:textId="53AAC17F" w:rsidR="003E0CF6" w:rsidRPr="00445472" w:rsidRDefault="008279F2" w:rsidP="003E0CF6">
      <w:pPr>
        <w:pStyle w:val="TEKSTIIII"/>
      </w:pPr>
      <w:r>
        <w:t xml:space="preserve">- </w:t>
      </w:r>
      <w:r w:rsidR="003E0CF6" w:rsidRPr="00445472">
        <w:t xml:space="preserve">Përgatitja e </w:t>
      </w:r>
      <w:r w:rsidR="00F2273F" w:rsidRPr="00445472">
        <w:t>aktiviteteve;</w:t>
      </w:r>
    </w:p>
    <w:p w14:paraId="334F965C" w14:textId="58CDFFF3" w:rsidR="003E0CF6" w:rsidRPr="00445472" w:rsidRDefault="008279F2" w:rsidP="003E0CF6">
      <w:pPr>
        <w:pStyle w:val="TEKSTIIII"/>
      </w:pPr>
      <w:r>
        <w:t xml:space="preserve">- </w:t>
      </w:r>
      <w:r w:rsidR="003E0CF6" w:rsidRPr="00445472">
        <w:t>Njoftimi i palëve të interesit</w:t>
      </w:r>
      <w:r w:rsidR="00F2273F" w:rsidRPr="00445472">
        <w:t>;</w:t>
      </w:r>
    </w:p>
    <w:p w14:paraId="0F482097" w14:textId="71E0ECCF" w:rsidR="003E0CF6" w:rsidRPr="00445472" w:rsidRDefault="008279F2" w:rsidP="003E0CF6">
      <w:pPr>
        <w:pStyle w:val="TEKSTIIII"/>
      </w:pPr>
      <w:r>
        <w:t xml:space="preserve">- </w:t>
      </w:r>
      <w:r w:rsidR="003E0CF6" w:rsidRPr="00445472">
        <w:t xml:space="preserve">Materialet e </w:t>
      </w:r>
      <w:r w:rsidR="00F2273F" w:rsidRPr="00445472">
        <w:t xml:space="preserve">informuese </w:t>
      </w:r>
      <w:r w:rsidR="003E0CF6" w:rsidRPr="00445472">
        <w:t>(</w:t>
      </w:r>
      <w:r w:rsidR="00F2273F" w:rsidRPr="00445472">
        <w:t>prezantimet</w:t>
      </w:r>
      <w:r w:rsidR="003E0CF6" w:rsidRPr="00445472">
        <w:t>)</w:t>
      </w:r>
      <w:r w:rsidR="00F2273F" w:rsidRPr="00445472">
        <w:t>;</w:t>
      </w:r>
    </w:p>
    <w:p w14:paraId="5D16FA2D" w14:textId="5CE9B1BD" w:rsidR="003E0CF6" w:rsidRPr="00445472" w:rsidRDefault="008279F2" w:rsidP="003E0CF6">
      <w:pPr>
        <w:pStyle w:val="TEKSTIIII"/>
      </w:pPr>
      <w:r>
        <w:t xml:space="preserve">- </w:t>
      </w:r>
      <w:r w:rsidR="003E0CF6" w:rsidRPr="00445472">
        <w:t>Mbledhjet e dhënies së informacionit</w:t>
      </w:r>
      <w:r w:rsidR="00F2273F" w:rsidRPr="00445472">
        <w:t>;</w:t>
      </w:r>
    </w:p>
    <w:p w14:paraId="55886876" w14:textId="0C549946" w:rsidR="003E0CF6" w:rsidRPr="00445472" w:rsidRDefault="008279F2" w:rsidP="003E0CF6">
      <w:pPr>
        <w:pStyle w:val="TEKSTIIII"/>
      </w:pPr>
      <w:r>
        <w:t xml:space="preserve">- </w:t>
      </w:r>
      <w:r w:rsidR="003E0CF6" w:rsidRPr="00445472">
        <w:t xml:space="preserve">Organizimi i </w:t>
      </w:r>
      <w:r w:rsidR="00D62EDF" w:rsidRPr="00445472">
        <w:t>“</w:t>
      </w:r>
      <w:r w:rsidR="003E0CF6" w:rsidRPr="00445472">
        <w:t>marrjes së shënimeve</w:t>
      </w:r>
      <w:r w:rsidR="00D62EDF" w:rsidRPr="00445472">
        <w:t>”</w:t>
      </w:r>
      <w:r w:rsidR="003E0CF6" w:rsidRPr="00445472">
        <w:t xml:space="preserve"> dhe regjistrimi gjatë aktiviteteve shpalosëse (dhënies së informacionit)</w:t>
      </w:r>
      <w:r w:rsidR="00F2273F" w:rsidRPr="00445472">
        <w:t>;</w:t>
      </w:r>
    </w:p>
    <w:p w14:paraId="6D1C6815" w14:textId="1BCFC0BB" w:rsidR="003E0CF6" w:rsidRPr="00445472" w:rsidRDefault="003E0CF6" w:rsidP="003E0CF6">
      <w:pPr>
        <w:pStyle w:val="TEKSTIIII"/>
      </w:pPr>
      <w:r w:rsidRPr="00445472">
        <w:t>Regjistrimi i pjesëmarrësve</w:t>
      </w:r>
      <w:r w:rsidR="00F2273F" w:rsidRPr="00445472">
        <w:t>.</w:t>
      </w:r>
    </w:p>
    <w:p w14:paraId="75D1D913" w14:textId="77777777" w:rsidR="003E0CF6" w:rsidRPr="00445472" w:rsidRDefault="003E0CF6" w:rsidP="003E0CF6">
      <w:pPr>
        <w:pStyle w:val="TEKSTIIII"/>
      </w:pPr>
    </w:p>
    <w:p w14:paraId="1CFEB638" w14:textId="77777777" w:rsidR="003E0CF6" w:rsidRPr="00445472" w:rsidRDefault="003E0CF6" w:rsidP="003E0CF6">
      <w:pPr>
        <w:pStyle w:val="TEKSTIIII"/>
      </w:pPr>
      <w:r w:rsidRPr="00445472">
        <w:rPr>
          <w:noProof/>
          <w:lang w:val="en-US"/>
        </w:rPr>
        <w:drawing>
          <wp:inline distT="0" distB="0" distL="0" distR="0" wp14:anchorId="15A06B15" wp14:editId="4FB7E63F">
            <wp:extent cx="5605850" cy="4723075"/>
            <wp:effectExtent l="0" t="0" r="0" b="1905"/>
            <wp:docPr id="4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08401" cy="4725225"/>
                    </a:xfrm>
                    <a:prstGeom prst="rect">
                      <a:avLst/>
                    </a:prstGeom>
                    <a:noFill/>
                    <a:ln>
                      <a:noFill/>
                    </a:ln>
                  </pic:spPr>
                </pic:pic>
              </a:graphicData>
            </a:graphic>
          </wp:inline>
        </w:drawing>
      </w:r>
    </w:p>
    <w:p w14:paraId="72A1343E" w14:textId="77777777" w:rsidR="003E0CF6" w:rsidRPr="00445472" w:rsidRDefault="003E0CF6" w:rsidP="003E0CF6">
      <w:pPr>
        <w:pStyle w:val="NENTITULL"/>
        <w:jc w:val="center"/>
      </w:pPr>
      <w:r w:rsidRPr="00445472">
        <w:t>Figura 13.1: Skema e angazhimit të palëve të interesit</w:t>
      </w:r>
    </w:p>
    <w:p w14:paraId="5D08EA8F" w14:textId="77777777" w:rsidR="003E0CF6" w:rsidRPr="00445472" w:rsidRDefault="003E0CF6" w:rsidP="003E0CF6">
      <w:pPr>
        <w:pStyle w:val="TEKSTIIII"/>
      </w:pPr>
    </w:p>
    <w:p w14:paraId="2D5E2DAE" w14:textId="77777777" w:rsidR="003E0CF6" w:rsidRPr="00445472" w:rsidRDefault="003E0CF6" w:rsidP="003E0CF6">
      <w:pPr>
        <w:pStyle w:val="TEKSTIIII"/>
      </w:pPr>
      <w:r w:rsidRPr="00445472">
        <w:t>Përfshirja e palëve të interesit është një element kyç në planifikimin strategjik. Qëllimi i përfshirjes së palëve të interesit është të lejojë ndërveprimin e palëve të interesit në procesin e vendimmarrjes, në mënyre që të shprehin pikëpamjet e tyre dhe të lehtësojë riskun nëpërmjet zgjidhjeve teknike të bazuara në shqetësimet e shfaqura gjatë procesit.</w:t>
      </w:r>
    </w:p>
    <w:p w14:paraId="110B2921" w14:textId="77777777" w:rsidR="003E0CF6" w:rsidRPr="00445472" w:rsidRDefault="003E0CF6" w:rsidP="003E0CF6">
      <w:pPr>
        <w:pStyle w:val="TEKSTIIII"/>
      </w:pPr>
      <w:r w:rsidRPr="00445472">
        <w:t>Angazhimi i grupeve të interesit u konceptua si një proces gjithëpërfshirës dhe i përshtatur nga ana kulturore, duke përfshirë shkëmbimin e informacionit dhe njohurive, të cilët janë në gjendje për të kuptuar shqetësimet e të tjerëve dhe për të ndërtuar marrëdhënie të bazuara në bashkëpunim.</w:t>
      </w:r>
    </w:p>
    <w:p w14:paraId="7435A450" w14:textId="1C73A544" w:rsidR="003E0CF6" w:rsidRPr="00445472" w:rsidRDefault="003E0CF6" w:rsidP="003E0CF6">
      <w:pPr>
        <w:pStyle w:val="TEKSTIIII"/>
      </w:pPr>
      <w:r w:rsidRPr="00445472">
        <w:t>Objektivat kryesor</w:t>
      </w:r>
      <w:r w:rsidR="00504992" w:rsidRPr="00445472">
        <w:t>ë</w:t>
      </w:r>
      <w:r w:rsidRPr="00445472">
        <w:t xml:space="preserve"> të përfshirjes së palëve të interesit janë: i</w:t>
      </w:r>
      <w:r w:rsidR="0023702F" w:rsidRPr="00445472">
        <w:t>.</w:t>
      </w:r>
      <w:r w:rsidRPr="00445472">
        <w:t xml:space="preserve"> të sigurojë dhënien e informacionit të duhur në kohën e duhur për ata që janë prekur ose që kanë një interes në këtë projekt</w:t>
      </w:r>
      <w:r w:rsidR="0023702F" w:rsidRPr="00445472">
        <w:t>;</w:t>
      </w:r>
      <w:r w:rsidRPr="00445472">
        <w:t xml:space="preserve"> ii</w:t>
      </w:r>
      <w:r w:rsidR="0023702F" w:rsidRPr="00445472">
        <w:t>.</w:t>
      </w:r>
      <w:r w:rsidRPr="00445472">
        <w:t xml:space="preserve"> të sigurojë që këtyre grupeve t’ju jepet një mundësi e nevojshme për të shprehur mendimet dhe shqetësimet dhe iii</w:t>
      </w:r>
      <w:r w:rsidR="0023702F" w:rsidRPr="00445472">
        <w:t>.</w:t>
      </w:r>
      <w:r w:rsidRPr="00445472">
        <w:t xml:space="preserve"> të sigurojë që komentet e bëra në kohë të mund të konsiderohen në vendimet e projektit.</w:t>
      </w:r>
    </w:p>
    <w:p w14:paraId="48ED7C49" w14:textId="758B5EFA" w:rsidR="003E0CF6" w:rsidRPr="00445472" w:rsidRDefault="003E0CF6" w:rsidP="003E0CF6">
      <w:pPr>
        <w:pStyle w:val="TEKSTIIII"/>
      </w:pPr>
      <w:r w:rsidRPr="00445472">
        <w:t>Vizitat në terren dhe procesi i angazhimit të palëve të interesit u projektua për të trajtuar disa objektiva të ndryshme. Puna në terren u projektua për të përdorur njohuritë ekzistuese në vlerësimin e çështjeve me rëndësi dhe të planifikojnë planin e menaxhimit</w:t>
      </w:r>
      <w:r w:rsidR="008F0A9F" w:rsidRPr="00445472">
        <w:t>, si dhe</w:t>
      </w:r>
      <w:r w:rsidRPr="00445472">
        <w:t xml:space="preserve"> të sigurojë që projekti i propozuar do të trajtojë në mënyrë efektive kërkesat kryesore të detyrës të caktuar në koordinim me grupet e interesit. Puna në terren duhet të sigurojnë se të gjitha çështjet janë adresuar dhe janë konsultuar me të gjitha palët e interesit, duke përfshirë të gjitha komunitetet e prekura direkt (palët e interesit, u konsultuan duke përfshirë të gjitha komunitetet e prekura dhe vendbanimet e tyre, grupe të veçanta të tilla si fermerët dhe informatorët (agjentët) kryesorë, si zyrat rajonale, gratë dhe faktorë të përfshirë drejtpërdrejt.</w:t>
      </w:r>
    </w:p>
    <w:p w14:paraId="59C5D3A9" w14:textId="49FAE272" w:rsidR="003E0CF6" w:rsidRPr="00445472" w:rsidRDefault="003E0CF6" w:rsidP="003E0CF6">
      <w:pPr>
        <w:pStyle w:val="TEKSTIIII"/>
      </w:pPr>
      <w:r w:rsidRPr="00445472">
        <w:t xml:space="preserve">Metodologjitë e përshkruara më poshtë u përshtatën me kërkesat e lartpërmendura, ku vëmendje e veçantë u jepet anëtarëve më të </w:t>
      </w:r>
      <w:r w:rsidR="0023702F" w:rsidRPr="00445472">
        <w:t>cenueshëm</w:t>
      </w:r>
      <w:r w:rsidRPr="00445472">
        <w:t xml:space="preserve"> të shoqërisë.</w:t>
      </w:r>
    </w:p>
    <w:p w14:paraId="1555DDC1" w14:textId="77777777" w:rsidR="003E0CF6" w:rsidRPr="00445472" w:rsidRDefault="003E0CF6" w:rsidP="003E0CF6">
      <w:pPr>
        <w:pStyle w:val="TEKSTIIII"/>
      </w:pPr>
      <w:r w:rsidRPr="00445472">
        <w:t>Këto aktivitete të angazhimit do të ndërmerren në kuadrin e mëposhtëm:</w:t>
      </w:r>
    </w:p>
    <w:p w14:paraId="1A28E30C" w14:textId="62E50F59" w:rsidR="003E0CF6" w:rsidRPr="00445472" w:rsidRDefault="00DE3163" w:rsidP="003E0CF6">
      <w:pPr>
        <w:pStyle w:val="TEKSTIIII"/>
      </w:pPr>
      <w:r>
        <w:t xml:space="preserve">- </w:t>
      </w:r>
      <w:r w:rsidR="003E0CF6" w:rsidRPr="00445472">
        <w:t xml:space="preserve">Faza 1: Konsultimi i nivelit të lartë me agjencitë kombëtare </w:t>
      </w:r>
    </w:p>
    <w:p w14:paraId="2D9B0419" w14:textId="088AA340" w:rsidR="003E0CF6" w:rsidRPr="00445472" w:rsidRDefault="00DE3163" w:rsidP="003E0CF6">
      <w:pPr>
        <w:pStyle w:val="TEKSTIIII"/>
      </w:pPr>
      <w:r>
        <w:t xml:space="preserve">- </w:t>
      </w:r>
      <w:r w:rsidR="003E0CF6" w:rsidRPr="00445472">
        <w:t xml:space="preserve">Faza 2: Konsultimi me autoritetet rajonale </w:t>
      </w:r>
    </w:p>
    <w:p w14:paraId="2EF90A86" w14:textId="49A58087" w:rsidR="003E0CF6" w:rsidRPr="00445472" w:rsidRDefault="00DE3163" w:rsidP="003E0CF6">
      <w:pPr>
        <w:pStyle w:val="TEKSTIIII"/>
      </w:pPr>
      <w:r>
        <w:t xml:space="preserve">- </w:t>
      </w:r>
      <w:r w:rsidR="003E0CF6" w:rsidRPr="00445472">
        <w:t xml:space="preserve">Faza 3: Intervista me informues kryesorë </w:t>
      </w:r>
    </w:p>
    <w:p w14:paraId="23158F8C" w14:textId="6D40904F" w:rsidR="003E0CF6" w:rsidRPr="00445472" w:rsidRDefault="00DE3163" w:rsidP="003E0CF6">
      <w:pPr>
        <w:pStyle w:val="TEKSTIIII"/>
      </w:pPr>
      <w:r>
        <w:t xml:space="preserve">- </w:t>
      </w:r>
      <w:r w:rsidR="003E0CF6" w:rsidRPr="00445472">
        <w:t>Faza 4: Fokus Grupi me pjesëmarrës nga grupet e prekshme/</w:t>
      </w:r>
      <w:r w:rsidR="0023702F" w:rsidRPr="00445472">
        <w:t>cenuara</w:t>
      </w:r>
      <w:r w:rsidR="003E0CF6" w:rsidRPr="00445472">
        <w:t xml:space="preserve"> </w:t>
      </w:r>
    </w:p>
    <w:p w14:paraId="0D30B1AC" w14:textId="2990E1A1" w:rsidR="003E0CF6" w:rsidRPr="00445472" w:rsidRDefault="003E0CF6" w:rsidP="003E0CF6">
      <w:pPr>
        <w:pStyle w:val="TEKSTIIII"/>
      </w:pPr>
      <w:r w:rsidRPr="00445472">
        <w:t xml:space="preserve">Të gjithë aktorët përkatës, të cilët u përfshinë tashmë në konsultimet e mëparshme gjatë mbledhjeve të punës/seminaret të projektit dhe aktorë të rinj të identifikuar, u ftuan të marrin pjesë në takime për </w:t>
      </w:r>
      <w:r w:rsidR="00B139CF" w:rsidRPr="00445472">
        <w:t>t’u</w:t>
      </w:r>
      <w:r w:rsidRPr="00445472">
        <w:t xml:space="preserve"> informuar për gjetjet dhe rekomandimet e ekipit të studimit. Lista e detajuar e palëve të interesit është dhënë në </w:t>
      </w:r>
      <w:r w:rsidR="0023702F" w:rsidRPr="00445472">
        <w:t xml:space="preserve">tabelën </w:t>
      </w:r>
      <w:r w:rsidRPr="00445472">
        <w:t>13.2.</w:t>
      </w:r>
    </w:p>
    <w:p w14:paraId="201CD5B9" w14:textId="77777777" w:rsidR="003E0CF6" w:rsidRPr="00445472" w:rsidRDefault="003E0CF6" w:rsidP="003E0CF6">
      <w:pPr>
        <w:pStyle w:val="NENTITULL"/>
      </w:pPr>
    </w:p>
    <w:p w14:paraId="0D3FE391" w14:textId="77777777" w:rsidR="003E0CF6" w:rsidRPr="00445472" w:rsidRDefault="003E0CF6" w:rsidP="003E0CF6">
      <w:pPr>
        <w:pStyle w:val="NENTITULL"/>
      </w:pPr>
      <w:r w:rsidRPr="00445472">
        <w:t>Tabela 13.2: Lista e palëve të interesit në nivel kombëtar dhe rajonal</w:t>
      </w: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2426"/>
        <w:gridCol w:w="3973"/>
        <w:gridCol w:w="2888"/>
      </w:tblGrid>
      <w:tr w:rsidR="003E0CF6" w:rsidRPr="00445472" w14:paraId="00A9065B" w14:textId="77777777" w:rsidTr="002A1F08">
        <w:trPr>
          <w:jc w:val="center"/>
        </w:trPr>
        <w:tc>
          <w:tcPr>
            <w:tcW w:w="0" w:type="auto"/>
            <w:gridSpan w:val="3"/>
            <w:shd w:val="clear" w:color="auto" w:fill="D4D4D4"/>
            <w:vAlign w:val="center"/>
          </w:tcPr>
          <w:p w14:paraId="6709DE7B" w14:textId="77777777" w:rsidR="003E0CF6" w:rsidRPr="00445472" w:rsidRDefault="003E0CF6" w:rsidP="002A1F08">
            <w:pPr>
              <w:spacing w:before="22" w:after="22"/>
              <w:ind w:right="63"/>
              <w:jc w:val="center"/>
              <w:rPr>
                <w:rFonts w:ascii="Garamond" w:eastAsia="MS Mincho" w:hAnsi="Garamond" w:cs="Arial"/>
                <w:sz w:val="18"/>
                <w:szCs w:val="18"/>
              </w:rPr>
            </w:pPr>
            <w:r w:rsidRPr="00445472">
              <w:rPr>
                <w:rFonts w:ascii="Garamond" w:eastAsia="MS Mincho" w:hAnsi="Garamond" w:cs="Arial"/>
                <w:b/>
                <w:sz w:val="18"/>
                <w:szCs w:val="18"/>
              </w:rPr>
              <w:t>Institucionet dhe palët e interesit në nivel kombëtar</w:t>
            </w:r>
          </w:p>
        </w:tc>
      </w:tr>
      <w:tr w:rsidR="003E0CF6" w:rsidRPr="00445472" w14:paraId="6005CD43" w14:textId="77777777" w:rsidTr="002A1F08">
        <w:trPr>
          <w:jc w:val="center"/>
        </w:trPr>
        <w:tc>
          <w:tcPr>
            <w:tcW w:w="0" w:type="auto"/>
            <w:tcBorders>
              <w:right w:val="nil"/>
            </w:tcBorders>
            <w:vAlign w:val="center"/>
          </w:tcPr>
          <w:p w14:paraId="6F657339"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Ministria e Bujqësisë</w:t>
            </w:r>
          </w:p>
          <w:p w14:paraId="22024B52"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Zhvillimit Rural </w:t>
            </w:r>
          </w:p>
          <w:p w14:paraId="4D10404F" w14:textId="62714626"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Agjencia e Menaxhimit t</w:t>
            </w:r>
            <w:r w:rsidR="00034FBB">
              <w:rPr>
                <w:rFonts w:ascii="Garamond" w:eastAsia="MS Mincho" w:hAnsi="Garamond" w:cs="Arial"/>
                <w:sz w:val="18"/>
                <w:szCs w:val="18"/>
              </w:rPr>
              <w:t>ë</w:t>
            </w:r>
            <w:r w:rsidRPr="00445472">
              <w:rPr>
                <w:rFonts w:ascii="Garamond" w:eastAsia="MS Mincho" w:hAnsi="Garamond" w:cs="Arial"/>
                <w:sz w:val="18"/>
                <w:szCs w:val="18"/>
              </w:rPr>
              <w:t xml:space="preserve"> Burimeve Ujore</w:t>
            </w:r>
          </w:p>
          <w:p w14:paraId="03800765"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Ministria e Turizmit dhe Mjedisit</w:t>
            </w:r>
          </w:p>
          <w:p w14:paraId="61A8685C"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Ministria e Infrastrukturës dhe Energjisë </w:t>
            </w:r>
          </w:p>
          <w:p w14:paraId="14B873E1"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Ministria e Shëndetësisë dhe Mbrojtjes Sociale</w:t>
            </w:r>
          </w:p>
          <w:p w14:paraId="03424C25"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Ministria e Brendshme</w:t>
            </w:r>
          </w:p>
          <w:p w14:paraId="216FCCE8" w14:textId="77777777" w:rsidR="003E0CF6" w:rsidRPr="00445472" w:rsidRDefault="003E0CF6" w:rsidP="0023702F">
            <w:pPr>
              <w:spacing w:before="22" w:after="22"/>
              <w:ind w:right="63"/>
              <w:jc w:val="both"/>
              <w:rPr>
                <w:rFonts w:ascii="Garamond" w:eastAsia="MS Mincho" w:hAnsi="Garamond" w:cs="Arial"/>
                <w:sz w:val="18"/>
                <w:szCs w:val="18"/>
              </w:rPr>
            </w:pPr>
          </w:p>
        </w:tc>
        <w:tc>
          <w:tcPr>
            <w:tcW w:w="0" w:type="auto"/>
            <w:tcBorders>
              <w:left w:val="nil"/>
              <w:right w:val="nil"/>
            </w:tcBorders>
            <w:vAlign w:val="center"/>
          </w:tcPr>
          <w:p w14:paraId="5914B33A"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Ministria e Mbrojtjes</w:t>
            </w:r>
          </w:p>
          <w:p w14:paraId="0A2CABD7"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Ministria e Financave dhe Ekonomisë</w:t>
            </w:r>
          </w:p>
          <w:p w14:paraId="6EC8FC91"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Drejtoria për Përfshirjen Sociale dhe Barazinë Gjinore nën Ministrinë e Shëndetësisë dhe Mbrojtjes Sociale</w:t>
            </w:r>
          </w:p>
          <w:p w14:paraId="2F8E3FFC"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Autoriteti Rregullator i Ujit</w:t>
            </w:r>
          </w:p>
          <w:p w14:paraId="7F398361" w14:textId="362C9FE0"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Instituti Shqiptar i GjeoShkencave, Mjedisit, Ujit dhe Energjisë</w:t>
            </w:r>
          </w:p>
          <w:p w14:paraId="5C722276"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The Drin Core Group</w:t>
            </w:r>
          </w:p>
          <w:p w14:paraId="21A0FD62"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Agjencia Kombëtare e Burimeve Natyrore</w:t>
            </w:r>
          </w:p>
          <w:p w14:paraId="38255D63" w14:textId="77777777" w:rsidR="003E0CF6" w:rsidRPr="00445472" w:rsidRDefault="003E0CF6" w:rsidP="0023702F">
            <w:pPr>
              <w:spacing w:before="22" w:after="22"/>
              <w:ind w:right="63"/>
              <w:jc w:val="both"/>
              <w:rPr>
                <w:rFonts w:ascii="Garamond" w:eastAsia="MS Mincho" w:hAnsi="Garamond" w:cs="Arial"/>
                <w:sz w:val="18"/>
                <w:szCs w:val="18"/>
              </w:rPr>
            </w:pPr>
          </w:p>
        </w:tc>
        <w:tc>
          <w:tcPr>
            <w:tcW w:w="0" w:type="auto"/>
            <w:tcBorders>
              <w:left w:val="nil"/>
            </w:tcBorders>
            <w:vAlign w:val="center"/>
          </w:tcPr>
          <w:p w14:paraId="0C7C6F11"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Shërbimi Gjeologjike Shqiptare</w:t>
            </w:r>
          </w:p>
          <w:p w14:paraId="1CBD9953" w14:textId="563460C6"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Drejtoria e Përgjithshme e Ujësjellës</w:t>
            </w:r>
            <w:r w:rsidR="0023702F" w:rsidRPr="00445472">
              <w:rPr>
                <w:rFonts w:ascii="Garamond" w:eastAsia="MS Mincho" w:hAnsi="Garamond" w:cs="Arial"/>
                <w:sz w:val="18"/>
                <w:szCs w:val="18"/>
              </w:rPr>
              <w:t>-</w:t>
            </w:r>
            <w:r w:rsidRPr="00445472">
              <w:rPr>
                <w:rFonts w:ascii="Garamond" w:eastAsia="MS Mincho" w:hAnsi="Garamond" w:cs="Arial"/>
                <w:sz w:val="18"/>
                <w:szCs w:val="18"/>
              </w:rPr>
              <w:t xml:space="preserve"> Kanalizimeve, </w:t>
            </w:r>
            <w:r w:rsidR="0023702F" w:rsidRPr="00445472">
              <w:rPr>
                <w:rFonts w:ascii="Garamond" w:eastAsia="MS Mincho" w:hAnsi="Garamond" w:cs="Arial"/>
                <w:sz w:val="18"/>
                <w:szCs w:val="18"/>
              </w:rPr>
              <w:t>Inspektorati</w:t>
            </w:r>
            <w:r w:rsidRPr="00445472">
              <w:rPr>
                <w:rFonts w:ascii="Garamond" w:eastAsia="MS Mincho" w:hAnsi="Garamond" w:cs="Arial"/>
                <w:sz w:val="18"/>
                <w:szCs w:val="18"/>
              </w:rPr>
              <w:t xml:space="preserve"> Shtetëror Shëndetësor</w:t>
            </w:r>
          </w:p>
          <w:p w14:paraId="30AFB6D5"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Agjencia Kombëtare e Zonave të Mbrojtura</w:t>
            </w:r>
          </w:p>
        </w:tc>
      </w:tr>
      <w:tr w:rsidR="003E0CF6" w:rsidRPr="00445472" w14:paraId="7B6519E0" w14:textId="77777777" w:rsidTr="002A1F08">
        <w:trPr>
          <w:jc w:val="center"/>
        </w:trPr>
        <w:tc>
          <w:tcPr>
            <w:tcW w:w="0" w:type="auto"/>
            <w:gridSpan w:val="3"/>
            <w:shd w:val="clear" w:color="auto" w:fill="D4D4D4"/>
            <w:vAlign w:val="center"/>
          </w:tcPr>
          <w:p w14:paraId="59A072E8" w14:textId="223C9234" w:rsidR="003E0CF6" w:rsidRPr="00445472" w:rsidRDefault="003E0CF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 xml:space="preserve">Institucionet dhe Pjesëmarrësit në basenin ujor </w:t>
            </w:r>
            <w:r w:rsidR="007E76E3" w:rsidRPr="00445472">
              <w:rPr>
                <w:rFonts w:ascii="Garamond" w:eastAsia="MS Mincho" w:hAnsi="Garamond" w:cs="Arial"/>
                <w:b/>
                <w:sz w:val="18"/>
                <w:szCs w:val="18"/>
              </w:rPr>
              <w:t>Drin–Bunë</w:t>
            </w:r>
          </w:p>
        </w:tc>
      </w:tr>
      <w:tr w:rsidR="003E0CF6" w:rsidRPr="00445472" w14:paraId="092CC579" w14:textId="77777777" w:rsidTr="002A1F08">
        <w:trPr>
          <w:jc w:val="center"/>
        </w:trPr>
        <w:tc>
          <w:tcPr>
            <w:tcW w:w="0" w:type="auto"/>
            <w:tcBorders>
              <w:right w:val="nil"/>
            </w:tcBorders>
            <w:vAlign w:val="center"/>
          </w:tcPr>
          <w:p w14:paraId="709EA048" w14:textId="054B5C4C"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Zyrat e Administrimit të Basenit Ujor </w:t>
            </w:r>
            <w:r w:rsidR="007E76E3" w:rsidRPr="00445472">
              <w:rPr>
                <w:rFonts w:ascii="Garamond" w:eastAsia="MS Mincho" w:hAnsi="Garamond" w:cs="Arial"/>
                <w:sz w:val="18"/>
                <w:szCs w:val="18"/>
              </w:rPr>
              <w:t>Drin–Bunë</w:t>
            </w:r>
          </w:p>
          <w:p w14:paraId="1077D861"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Bordi i Kullimit dhe Ujitjes së Korçës dhe Lezhës </w:t>
            </w:r>
          </w:p>
          <w:p w14:paraId="60B4BC35"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Agjencia (Agjencitë) Rajonale të Mjedisit të Lezhës dhe Shkodrës</w:t>
            </w:r>
          </w:p>
        </w:tc>
        <w:tc>
          <w:tcPr>
            <w:tcW w:w="0" w:type="auto"/>
            <w:tcBorders>
              <w:left w:val="nil"/>
              <w:right w:val="nil"/>
            </w:tcBorders>
            <w:vAlign w:val="center"/>
          </w:tcPr>
          <w:p w14:paraId="10A51539" w14:textId="4B8CC9D0"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Bashkitë Dibër, </w:t>
            </w:r>
            <w:r w:rsidR="00852D7A" w:rsidRPr="00445472">
              <w:rPr>
                <w:rFonts w:ascii="Garamond" w:eastAsia="MS Mincho" w:hAnsi="Garamond" w:cs="Arial"/>
                <w:sz w:val="18"/>
                <w:szCs w:val="18"/>
              </w:rPr>
              <w:t xml:space="preserve">Fushë-Arrëz </w:t>
            </w:r>
            <w:r w:rsidRPr="00445472">
              <w:rPr>
                <w:rFonts w:ascii="Garamond" w:eastAsia="MS Mincho" w:hAnsi="Garamond" w:cs="Arial"/>
                <w:sz w:val="18"/>
                <w:szCs w:val="18"/>
              </w:rPr>
              <w:t>, Has, Kukës, Lezhë, Librazhd, Malësi e Madhe, Pogradec, Pukë, Pustec, Shkodër, Tropojë Vau i Dejës</w:t>
            </w:r>
          </w:p>
          <w:p w14:paraId="282BE8A0" w14:textId="793C0F96"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Korporata </w:t>
            </w:r>
            <w:r w:rsidR="0023702F" w:rsidRPr="00445472">
              <w:rPr>
                <w:rFonts w:ascii="Garamond" w:eastAsia="MS Mincho" w:hAnsi="Garamond" w:cs="Arial"/>
                <w:sz w:val="18"/>
                <w:szCs w:val="18"/>
              </w:rPr>
              <w:t>hidroenergjitike</w:t>
            </w:r>
          </w:p>
          <w:p w14:paraId="37880F74"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hAnsi="Garamond"/>
                <w:sz w:val="18"/>
              </w:rPr>
              <w:t xml:space="preserve">Strukturat përgjegjëse për kontrollin e mjedisit, Qarku i Dibrës, Kukësit, Lezhës dhe Shkodrës </w:t>
            </w:r>
          </w:p>
        </w:tc>
        <w:tc>
          <w:tcPr>
            <w:tcW w:w="0" w:type="auto"/>
            <w:tcBorders>
              <w:left w:val="nil"/>
            </w:tcBorders>
            <w:vAlign w:val="center"/>
          </w:tcPr>
          <w:p w14:paraId="79C599FF" w14:textId="77777777"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Inspektorati Shtetëror i Shëndetësisë (për të gjitha komunat)</w:t>
            </w:r>
          </w:p>
          <w:p w14:paraId="2CB1C911" w14:textId="1D0B4378" w:rsidR="003E0CF6" w:rsidRPr="00445472" w:rsidRDefault="003E0CF6" w:rsidP="0023702F">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Ndërmarrjet e </w:t>
            </w:r>
            <w:r w:rsidR="00E14B89">
              <w:rPr>
                <w:rFonts w:ascii="Garamond" w:eastAsia="MS Mincho" w:hAnsi="Garamond" w:cs="Arial"/>
                <w:sz w:val="18"/>
                <w:szCs w:val="18"/>
              </w:rPr>
              <w:t>ujësjellës-</w:t>
            </w:r>
            <w:r w:rsidR="00E14B89" w:rsidRPr="00445472">
              <w:rPr>
                <w:rFonts w:ascii="Garamond" w:eastAsia="MS Mincho" w:hAnsi="Garamond" w:cs="Arial"/>
                <w:sz w:val="18"/>
                <w:szCs w:val="18"/>
              </w:rPr>
              <w:t>kanalizimeve</w:t>
            </w:r>
          </w:p>
          <w:p w14:paraId="3B7B6DB6" w14:textId="77777777" w:rsidR="003E0CF6" w:rsidRPr="00445472" w:rsidRDefault="003E0CF6" w:rsidP="0023702F">
            <w:pPr>
              <w:spacing w:before="22" w:after="22"/>
              <w:ind w:right="63"/>
              <w:jc w:val="both"/>
              <w:rPr>
                <w:rFonts w:ascii="Garamond" w:eastAsia="MS Mincho" w:hAnsi="Garamond" w:cs="Arial"/>
                <w:sz w:val="18"/>
                <w:szCs w:val="18"/>
              </w:rPr>
            </w:pPr>
          </w:p>
        </w:tc>
      </w:tr>
    </w:tbl>
    <w:p w14:paraId="65EDB120" w14:textId="77777777" w:rsidR="003E0CF6" w:rsidRPr="00445472" w:rsidRDefault="003E0CF6" w:rsidP="00E33351">
      <w:pPr>
        <w:pStyle w:val="TEKSTIIII"/>
      </w:pPr>
    </w:p>
    <w:p w14:paraId="5ED74CDF" w14:textId="7C7CB78D" w:rsidR="002A52E2" w:rsidRPr="00445472" w:rsidRDefault="002A52E2" w:rsidP="002A52E2">
      <w:pPr>
        <w:pStyle w:val="NENTITULL"/>
      </w:pPr>
      <w:bookmarkStart w:id="306" w:name="_Toc11068887"/>
      <w:r w:rsidRPr="00445472">
        <w:t>13.3.1 Faza 1 dhe Faza 2 e konsultimeve (të nivelit të lartë dhe nivelit rajonal)</w:t>
      </w:r>
      <w:bookmarkEnd w:id="306"/>
    </w:p>
    <w:p w14:paraId="04ACFCCE" w14:textId="46063825" w:rsidR="002A52E2" w:rsidRPr="00445472" w:rsidRDefault="00DE3163" w:rsidP="002A52E2">
      <w:pPr>
        <w:pStyle w:val="TEKSTIIII"/>
      </w:pPr>
      <w:r>
        <w:t xml:space="preserve"> </w:t>
      </w:r>
      <w:r w:rsidR="002A52E2" w:rsidRPr="00445472">
        <w:t>U organizuan formatet e mëposhtme të takimeve:</w:t>
      </w:r>
    </w:p>
    <w:p w14:paraId="7B6B0CA0" w14:textId="034B1111" w:rsidR="002A52E2" w:rsidRPr="00445472" w:rsidRDefault="00DE3163" w:rsidP="002A52E2">
      <w:pPr>
        <w:pStyle w:val="TEKSTIIII"/>
      </w:pPr>
      <w:r>
        <w:t xml:space="preserve">- </w:t>
      </w:r>
      <w:r w:rsidR="002A52E2" w:rsidRPr="00445472">
        <w:t>Takime ballë për ballë me palët e interesit në nivel kombëtar. Departamentet e ndryshme përfaqësuese të institucioneve u ftuan të marrin pjesë në të njëjtin takim;</w:t>
      </w:r>
    </w:p>
    <w:p w14:paraId="54D05341" w14:textId="71DA7783" w:rsidR="002A52E2" w:rsidRPr="00445472" w:rsidRDefault="00DE3163" w:rsidP="002A52E2">
      <w:pPr>
        <w:pStyle w:val="TEKSTIIII"/>
      </w:pPr>
      <w:r>
        <w:t xml:space="preserve">- </w:t>
      </w:r>
      <w:r w:rsidR="002A52E2" w:rsidRPr="00445472">
        <w:t>Takimet plenare në nivel rajonal</w:t>
      </w:r>
      <w:r w:rsidR="001D340B" w:rsidRPr="00445472">
        <w:t>/</w:t>
      </w:r>
      <w:r w:rsidR="002A52E2" w:rsidRPr="00445472">
        <w:t>e në nivel qarku:  Këto takimet u organizuan në nivel rajonal</w:t>
      </w:r>
      <w:r w:rsidR="001D340B" w:rsidRPr="00445472">
        <w:t>/</w:t>
      </w:r>
      <w:r w:rsidR="002A52E2" w:rsidRPr="00445472">
        <w:t>qarku në fushën e studimit të vlerësimit të alternativave.</w:t>
      </w:r>
    </w:p>
    <w:p w14:paraId="5716CBA3" w14:textId="6527E197" w:rsidR="002A52E2" w:rsidRPr="00445472" w:rsidRDefault="00DE3163" w:rsidP="002A52E2">
      <w:pPr>
        <w:pStyle w:val="TEKSTIIII"/>
      </w:pPr>
      <w:r>
        <w:t xml:space="preserve">- </w:t>
      </w:r>
      <w:r w:rsidR="002A52E2" w:rsidRPr="00445472">
        <w:t xml:space="preserve">Vendi i organizimit për secilën prej takimeve rajonale u përzgjodh në bashkëpunim me të pranishmit kryesorë. Lista përfundimtare e të ftuarve u ra dakord me përfaqësuesit përkatës rajonalë dhe lokalë. Ngjarjet e mëposhtme të takimit u organizuan si pjesë e konsultimeve të Fazës 1 dhe Fazës 2, për komponentin e Planit të Menaxhimit të Basenit Ujor PMBU </w:t>
      </w:r>
      <w:r w:rsidR="007E76E3" w:rsidRPr="00445472">
        <w:t>Drin–Bunë</w:t>
      </w:r>
      <w:r w:rsidR="002A52E2" w:rsidRPr="00445472">
        <w:t>:</w:t>
      </w:r>
    </w:p>
    <w:p w14:paraId="208F230E" w14:textId="711CF188" w:rsidR="002A52E2" w:rsidRPr="00445472" w:rsidRDefault="002A52E2" w:rsidP="002A52E2">
      <w:pPr>
        <w:pStyle w:val="TEKSTIIII"/>
      </w:pPr>
      <w:r w:rsidRPr="00445472">
        <w:t xml:space="preserve">Diskutim mbi Planin e përkohshëm të Menaxhimit të Basenit Ujor </w:t>
      </w:r>
      <w:r w:rsidR="007E76E3" w:rsidRPr="00445472">
        <w:t>Drin–Bunë</w:t>
      </w:r>
      <w:r w:rsidRPr="00445472">
        <w:t>, në 12 dhjetor 2016, në mjediset e Ministrisë së Bujqësisë (konsultimi i përbashkët në nivel të lartë dhe nivel rajonal)</w:t>
      </w:r>
      <w:r w:rsidR="0023702F" w:rsidRPr="00445472">
        <w:t>.</w:t>
      </w:r>
    </w:p>
    <w:p w14:paraId="6988B7FF" w14:textId="77A4B88F" w:rsidR="002A52E2" w:rsidRPr="00445472" w:rsidRDefault="00DE3163" w:rsidP="002A52E2">
      <w:pPr>
        <w:pStyle w:val="TEKSTIIII"/>
      </w:pPr>
      <w:r>
        <w:t xml:space="preserve">- </w:t>
      </w:r>
      <w:r w:rsidR="002A52E2" w:rsidRPr="00445472">
        <w:t>Takimi në Prefekturën e Shkodrës në kuadër të Basenit Ujor</w:t>
      </w:r>
      <w:r w:rsidR="0023702F" w:rsidRPr="00445472">
        <w:t xml:space="preserve"> </w:t>
      </w:r>
      <w:r w:rsidR="002A52E2" w:rsidRPr="00445472">
        <w:t xml:space="preserve">mbi Planin e përkohshëm të Menaxhimit të Basenit Ujor </w:t>
      </w:r>
      <w:r w:rsidR="007E76E3" w:rsidRPr="00445472">
        <w:t>Drin–Bunë</w:t>
      </w:r>
      <w:r w:rsidR="002A52E2" w:rsidRPr="00445472">
        <w:t xml:space="preserve">, në datën 12 shkurt 2017 në ambientet e Prefekturës së Shkodrës (konsultimi në nivel rajonal). </w:t>
      </w:r>
    </w:p>
    <w:p w14:paraId="3D079E5C" w14:textId="05492CFB" w:rsidR="002A52E2" w:rsidRPr="00445472" w:rsidRDefault="00DE3163" w:rsidP="002A52E2">
      <w:pPr>
        <w:pStyle w:val="TEKSTIIII"/>
      </w:pPr>
      <w:r>
        <w:t xml:space="preserve">- </w:t>
      </w:r>
      <w:r w:rsidR="002A52E2" w:rsidRPr="00445472">
        <w:t>Takime me përfaqësues të OJQ-ve, në 20 dhe 24 mars 2017.</w:t>
      </w:r>
    </w:p>
    <w:p w14:paraId="6852F866" w14:textId="5A0B230E" w:rsidR="002A52E2" w:rsidRPr="00445472" w:rsidRDefault="002A52E2" w:rsidP="002A52E2">
      <w:pPr>
        <w:pStyle w:val="NENTITULL"/>
      </w:pPr>
      <w:r w:rsidRPr="00445472">
        <w:t xml:space="preserve">13.3.1.1 Takimi 1: Diskutim mbi draftplanin e Menaxhimit të Basenit Ujor </w:t>
      </w:r>
      <w:r w:rsidR="007E76E3" w:rsidRPr="00445472">
        <w:t>Drin–Bunë</w:t>
      </w:r>
    </w:p>
    <w:p w14:paraId="52105E1C" w14:textId="3FE95AC2" w:rsidR="002A52E2" w:rsidRPr="00445472" w:rsidRDefault="002A52E2" w:rsidP="002A52E2">
      <w:pPr>
        <w:pStyle w:val="TEKSTIIII"/>
      </w:pPr>
      <w:r w:rsidRPr="00445472">
        <w:t xml:space="preserve">Takimi u organizua nga konsorciumi </w:t>
      </w:r>
      <w:r w:rsidR="0023702F" w:rsidRPr="00445472">
        <w:t>m</w:t>
      </w:r>
      <w:r w:rsidRPr="00445472">
        <w:t>ë 12 dhjetor 2016, në ambientet e Ministrisë së Bujqësisë. Objektivat e takimit ishin:</w:t>
      </w:r>
    </w:p>
    <w:p w14:paraId="6EE9832E" w14:textId="77777777" w:rsidR="002A52E2" w:rsidRPr="00445472" w:rsidRDefault="002A52E2" w:rsidP="002A52E2">
      <w:pPr>
        <w:pStyle w:val="TEKSTIIII"/>
      </w:pPr>
    </w:p>
    <w:p w14:paraId="29F5863E" w14:textId="056A83CC" w:rsidR="002A52E2" w:rsidRPr="00445472" w:rsidRDefault="002A52E2" w:rsidP="002A52E2">
      <w:pPr>
        <w:pStyle w:val="TEKSTIIII"/>
      </w:pPr>
      <w:r w:rsidRPr="00445472">
        <w:rPr>
          <w:noProof/>
          <w:lang w:val="en-US"/>
        </w:rPr>
        <w:drawing>
          <wp:inline distT="0" distB="0" distL="0" distR="0" wp14:anchorId="66D6BDA2" wp14:editId="11FF2CE8">
            <wp:extent cx="3002280" cy="19431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02280" cy="1943100"/>
                    </a:xfrm>
                    <a:prstGeom prst="rect">
                      <a:avLst/>
                    </a:prstGeom>
                    <a:noFill/>
                  </pic:spPr>
                </pic:pic>
              </a:graphicData>
            </a:graphic>
          </wp:inline>
        </w:drawing>
      </w:r>
    </w:p>
    <w:p w14:paraId="624ECF79" w14:textId="77777777" w:rsidR="002A52E2" w:rsidRPr="00445472" w:rsidRDefault="002A52E2" w:rsidP="002A52E2">
      <w:pPr>
        <w:pStyle w:val="TEKSTIIII"/>
      </w:pPr>
    </w:p>
    <w:p w14:paraId="75B89089" w14:textId="634F435E" w:rsidR="002A52E2" w:rsidRPr="00445472" w:rsidRDefault="00DE3163" w:rsidP="002A52E2">
      <w:pPr>
        <w:pStyle w:val="TEKSTIIII"/>
      </w:pPr>
      <w:r>
        <w:t xml:space="preserve">- </w:t>
      </w:r>
      <w:r w:rsidR="002A52E2" w:rsidRPr="00445472">
        <w:t>Të prezantojë dhe diskutojë me palët e interesit në nivel kombëtar mbi konceptin themelor të MIBU (Menaxhimi i Integruar i Burimeve Ujore) dhe PMBU (Plani i Menaxhimit të Baseneve Ujore) si procese që promovojnë zhvillimin e koordinuar dhe menaxhimin e ujit në mënyrë që të maksimizohet mirëqenia ekonomike dhe sociale në një mënyrë të arsyeshme pa kompromentuar qëndrueshmërinë e ekosistemeve jetësore, të cilat duhet absolutisht të merren në konsideratë,</w:t>
      </w:r>
    </w:p>
    <w:p w14:paraId="448DC71D" w14:textId="72D8511A" w:rsidR="002A52E2" w:rsidRPr="00445472" w:rsidRDefault="00DE3163" w:rsidP="002A52E2">
      <w:pPr>
        <w:pStyle w:val="TEKSTIIII"/>
      </w:pPr>
      <w:r>
        <w:t xml:space="preserve">- </w:t>
      </w:r>
      <w:r w:rsidR="002A52E2" w:rsidRPr="00445472">
        <w:t xml:space="preserve">Të paraqesë gjetjet paraprake dhe konkluzionet e Planit të Menaxhimit të Basenit Ujor </w:t>
      </w:r>
      <w:r w:rsidR="007E76E3" w:rsidRPr="00445472">
        <w:t>Drin–Bunë</w:t>
      </w:r>
      <w:r w:rsidR="002A52E2" w:rsidRPr="00445472">
        <w:t>.</w:t>
      </w:r>
    </w:p>
    <w:p w14:paraId="0E1C7A61" w14:textId="6FAC381F" w:rsidR="002A52E2" w:rsidRPr="00445472" w:rsidRDefault="00DE3163" w:rsidP="002A52E2">
      <w:pPr>
        <w:pStyle w:val="TEKSTIIII"/>
      </w:pPr>
      <w:r>
        <w:t xml:space="preserve">- </w:t>
      </w:r>
      <w:r w:rsidR="002A52E2" w:rsidRPr="00445472">
        <w:t xml:space="preserve">Për </w:t>
      </w:r>
      <w:r w:rsidR="001F68B2" w:rsidRPr="00445472">
        <w:t>t’i</w:t>
      </w:r>
      <w:r w:rsidR="002A52E2" w:rsidRPr="00445472">
        <w:t>u përgjigjur të gjitha pyetjeve dhe shqetësimeve të ngritura nga aktorët pjesëmarrës dhe për të mbledhur pikëpamjet e tyre në lidhje me aspektet e paraqitura.</w:t>
      </w:r>
    </w:p>
    <w:p w14:paraId="0D0DA09D" w14:textId="6AB0EAD2" w:rsidR="002A52E2" w:rsidRPr="00445472" w:rsidRDefault="00DE3163" w:rsidP="00DE3163">
      <w:pPr>
        <w:pStyle w:val="TEKSTIIII"/>
      </w:pPr>
      <w:r>
        <w:t xml:space="preserve">- </w:t>
      </w:r>
      <w:r w:rsidR="002A52E2" w:rsidRPr="00445472">
        <w:t xml:space="preserve">Gjatë takimit u ngritën pyetje dhe komente lidhur me temat e </w:t>
      </w:r>
      <w:r w:rsidR="0023702F" w:rsidRPr="00445472">
        <w:t>sipërpërmendura</w:t>
      </w:r>
      <w:r w:rsidR="002A52E2" w:rsidRPr="00445472">
        <w:t>. Më poshtë do të jepen disa nga përgjigjet</w:t>
      </w:r>
      <w:r w:rsidR="008F0A9F" w:rsidRPr="00445472">
        <w:t>, si dhe</w:t>
      </w:r>
      <w:r w:rsidR="002A52E2" w:rsidRPr="00445472">
        <w:t xml:space="preserve"> komentet e vëzhgimet e marra:</w:t>
      </w:r>
    </w:p>
    <w:p w14:paraId="066382A9" w14:textId="27A471DD" w:rsidR="009F7AB8" w:rsidRPr="00445472" w:rsidRDefault="00DE3163" w:rsidP="009F7AB8">
      <w:pPr>
        <w:pStyle w:val="TEKSTIIII"/>
      </w:pPr>
      <w:r>
        <w:t xml:space="preserve">- </w:t>
      </w:r>
      <w:r w:rsidR="009F7AB8" w:rsidRPr="00445472">
        <w:t xml:space="preserve">Shpjegimet e elementeve dhe </w:t>
      </w:r>
      <w:r w:rsidR="0023702F" w:rsidRPr="00445472">
        <w:t xml:space="preserve">i </w:t>
      </w:r>
      <w:r w:rsidR="009F7AB8" w:rsidRPr="00445472">
        <w:t>komponentëve kryesorë që janë marrë në konsideratë për hartimin e Raportit</w:t>
      </w:r>
    </w:p>
    <w:p w14:paraId="329831BC" w14:textId="202D7BB1" w:rsidR="009F7AB8" w:rsidRPr="00445472" w:rsidRDefault="00DE3163" w:rsidP="009F7AB8">
      <w:pPr>
        <w:pStyle w:val="TEKSTIIII"/>
      </w:pPr>
      <w:r>
        <w:t xml:space="preserve">- </w:t>
      </w:r>
      <w:r w:rsidR="009F7AB8" w:rsidRPr="00445472">
        <w:t xml:space="preserve">Të gjitha </w:t>
      </w:r>
      <w:r w:rsidR="0023702F" w:rsidRPr="00445472">
        <w:t xml:space="preserve">direktivat ndërkombëtare dhe kombëtare </w:t>
      </w:r>
      <w:r w:rsidR="009F7AB8" w:rsidRPr="00445472">
        <w:t xml:space="preserve">ishin duke u studiuar dhe matur gjatë fazës përgatitore të Raportit. </w:t>
      </w:r>
    </w:p>
    <w:p w14:paraId="18944C24" w14:textId="77777777" w:rsidR="009F7AB8" w:rsidRPr="00445472" w:rsidRDefault="009F7AB8" w:rsidP="009F7AB8">
      <w:pPr>
        <w:pStyle w:val="TEKSTIIII"/>
      </w:pPr>
    </w:p>
    <w:p w14:paraId="0C39B8E7" w14:textId="2DDD8FE0" w:rsidR="009F7AB8" w:rsidRPr="00445472" w:rsidRDefault="009F7AB8" w:rsidP="009F7AB8">
      <w:pPr>
        <w:pStyle w:val="TEKSTIIII"/>
      </w:pPr>
      <w:r w:rsidRPr="00445472">
        <w:rPr>
          <w:noProof/>
          <w:lang w:val="en-US"/>
        </w:rPr>
        <w:drawing>
          <wp:inline distT="0" distB="0" distL="0" distR="0" wp14:anchorId="01562407" wp14:editId="40806119">
            <wp:extent cx="3333492" cy="2107096"/>
            <wp:effectExtent l="0" t="0" r="63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42419" cy="2112739"/>
                    </a:xfrm>
                    <a:prstGeom prst="rect">
                      <a:avLst/>
                    </a:prstGeom>
                    <a:noFill/>
                  </pic:spPr>
                </pic:pic>
              </a:graphicData>
            </a:graphic>
          </wp:inline>
        </w:drawing>
      </w:r>
    </w:p>
    <w:p w14:paraId="13B8D6CF" w14:textId="0BEF0361" w:rsidR="009F7AB8" w:rsidRPr="00445472" w:rsidRDefault="00DE3163" w:rsidP="009F7AB8">
      <w:pPr>
        <w:pStyle w:val="TEKSTIIII"/>
      </w:pPr>
      <w:r>
        <w:t xml:space="preserve">- </w:t>
      </w:r>
      <w:r w:rsidR="009F7AB8" w:rsidRPr="00445472">
        <w:t xml:space="preserve">Analiza ekonomike përfshihet në </w:t>
      </w:r>
      <w:r w:rsidR="0023702F" w:rsidRPr="00445472">
        <w:t>raport,</w:t>
      </w:r>
      <w:r w:rsidR="009F7AB8" w:rsidRPr="00445472">
        <w:t xml:space="preserve"> për shkak se rezultatet janë të nevojshme për të kuptuar kostot aktuale të shërbimeve të ujit dhe kanalizimeve dhe nivelin e shërbimit të ofruar.</w:t>
      </w:r>
    </w:p>
    <w:p w14:paraId="3515910D" w14:textId="6B615E0D" w:rsidR="009F7AB8" w:rsidRPr="00445472" w:rsidRDefault="00DE3163" w:rsidP="009F7AB8">
      <w:pPr>
        <w:pStyle w:val="TEKSTIIII"/>
      </w:pPr>
      <w:r>
        <w:t xml:space="preserve">- </w:t>
      </w:r>
      <w:r w:rsidR="009F7AB8" w:rsidRPr="00445472">
        <w:t>Erozioni përmendet në raport. Ka të dhëna të mbledhura për këtë aspekt që do të përpunohen në të ardhmen.</w:t>
      </w:r>
    </w:p>
    <w:p w14:paraId="005C81D8" w14:textId="46A0084E" w:rsidR="009F7AB8" w:rsidRPr="00445472" w:rsidRDefault="009F7AB8" w:rsidP="009F7AB8">
      <w:pPr>
        <w:pStyle w:val="TEKSTIIII"/>
      </w:pPr>
      <w:r w:rsidRPr="00445472">
        <w:rPr>
          <w:noProof/>
          <w:lang w:val="en-US"/>
        </w:rPr>
        <w:drawing>
          <wp:inline distT="0" distB="0" distL="0" distR="0" wp14:anchorId="0238F6E5" wp14:editId="5B37439D">
            <wp:extent cx="3228230" cy="2124490"/>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32623" cy="2127381"/>
                    </a:xfrm>
                    <a:prstGeom prst="rect">
                      <a:avLst/>
                    </a:prstGeom>
                    <a:noFill/>
                  </pic:spPr>
                </pic:pic>
              </a:graphicData>
            </a:graphic>
          </wp:inline>
        </w:drawing>
      </w:r>
    </w:p>
    <w:p w14:paraId="77EDF250" w14:textId="77777777" w:rsidR="009F7AB8" w:rsidRPr="00445472" w:rsidRDefault="009F7AB8" w:rsidP="009F7AB8">
      <w:pPr>
        <w:pStyle w:val="TEKSTIIII"/>
      </w:pPr>
    </w:p>
    <w:p w14:paraId="176A6F00" w14:textId="1162134F" w:rsidR="009F7AB8" w:rsidRPr="00445472" w:rsidRDefault="00DE3163" w:rsidP="009F7AB8">
      <w:pPr>
        <w:pStyle w:val="TEKSTIIII"/>
      </w:pPr>
      <w:r>
        <w:t xml:space="preserve">- </w:t>
      </w:r>
      <w:r w:rsidR="009F7AB8" w:rsidRPr="00445472">
        <w:t>Humbjet e shkaktuara të ujit janë marrë parasysh dhe është hartuar një raport i detajuar e i konsoliduar mbi çështjet problematike të ujit dhe menaxhimit të tyre. Gjithashtu, përmendet se studimet</w:t>
      </w:r>
      <w:r w:rsidR="001D340B" w:rsidRPr="00445472">
        <w:t>/</w:t>
      </w:r>
      <w:r w:rsidR="009F7AB8" w:rsidRPr="00445472">
        <w:t>projektet e financuara nga BE duhet të mbulojnë financiarisht këtë aspekt të Planeve të Menaxhimit të Baseneve Ujore.</w:t>
      </w:r>
    </w:p>
    <w:p w14:paraId="69310D38" w14:textId="7A8B7777" w:rsidR="009F7AB8" w:rsidRPr="00445472" w:rsidRDefault="00DE3163" w:rsidP="009F7AB8">
      <w:pPr>
        <w:pStyle w:val="TEKSTIIII"/>
      </w:pPr>
      <w:r>
        <w:t xml:space="preserve">- </w:t>
      </w:r>
      <w:r w:rsidR="009F7AB8" w:rsidRPr="00445472">
        <w:t xml:space="preserve">Statusi ekologjik i ujërave sipërfaqësorë aktualisht nuk matet për shkak të mungesës së përvojës në vend në qasjen metodologjike. Rëndësia e </w:t>
      </w:r>
      <w:r w:rsidR="00D62EDF" w:rsidRPr="00445472">
        <w:t>“</w:t>
      </w:r>
      <w:r w:rsidR="009F7AB8" w:rsidRPr="00445472">
        <w:t>vlerësimit biologjik</w:t>
      </w:r>
      <w:r w:rsidR="00D62EDF" w:rsidRPr="00445472">
        <w:t>”</w:t>
      </w:r>
      <w:r w:rsidR="009F7AB8" w:rsidRPr="00445472">
        <w:t xml:space="preserve"> të shpejtë u dha në mënyrë që audienca të kuptojë se ky është një</w:t>
      </w:r>
      <w:r w:rsidR="00445472">
        <w:t xml:space="preserve"> hap paraprak i kërkuar për të </w:t>
      </w:r>
      <w:r w:rsidR="009F7AB8" w:rsidRPr="00445472">
        <w:t>identifikuar ujërat sipërfaqësor</w:t>
      </w:r>
      <w:r w:rsidR="00445472">
        <w:t>e</w:t>
      </w:r>
      <w:r w:rsidR="009F7AB8" w:rsidRPr="00445472">
        <w:t xml:space="preserve"> të ndotur.</w:t>
      </w:r>
    </w:p>
    <w:p w14:paraId="19D4FC5B" w14:textId="53731228" w:rsidR="009F7AB8" w:rsidRPr="00445472" w:rsidRDefault="00DE3163" w:rsidP="009F7AB8">
      <w:pPr>
        <w:pStyle w:val="TEKSTIIII"/>
      </w:pPr>
      <w:r>
        <w:t xml:space="preserve">- </w:t>
      </w:r>
      <w:r w:rsidR="009F7AB8" w:rsidRPr="00445472">
        <w:t xml:space="preserve">Gjatë konsultimit u vërejt se ekziston pakënaqësi ndërmjet opinionit  të qeverisë </w:t>
      </w:r>
      <w:r w:rsidR="003A2E19" w:rsidRPr="00445472">
        <w:t>qendrore</w:t>
      </w:r>
      <w:r w:rsidR="009F7AB8" w:rsidRPr="00445472">
        <w:t xml:space="preserve"> dhe realiteteve lokale në lidhje me  nivelin administrimit të basenit ujor. Disa nga vështirësitë e përshkruara mund </w:t>
      </w:r>
      <w:r w:rsidR="001F68B2" w:rsidRPr="00445472">
        <w:t>t’i</w:t>
      </w:r>
      <w:r w:rsidR="009F7AB8" w:rsidRPr="00445472">
        <w:t xml:space="preserve"> përkasin krijimit së fundmi (tremujori i fundit i vitit 2015) të strukturave institucionale të përshkruara më sipër. Raporti mashkull - femër në takim ishte 66%</w:t>
      </w:r>
      <w:r w:rsidR="001D340B" w:rsidRPr="00445472">
        <w:t>/</w:t>
      </w:r>
      <w:r w:rsidR="009F7AB8" w:rsidRPr="00445472">
        <w:t>34%.</w:t>
      </w:r>
    </w:p>
    <w:p w14:paraId="1AE1EED3" w14:textId="008C612D" w:rsidR="009F7AB8" w:rsidRPr="00DE3163" w:rsidRDefault="00DE3163" w:rsidP="009F7AB8">
      <w:pPr>
        <w:pStyle w:val="TEKSTIIII"/>
        <w:rPr>
          <w:b/>
        </w:rPr>
      </w:pPr>
      <w:r w:rsidRPr="00DE3163">
        <w:rPr>
          <w:b/>
        </w:rPr>
        <w:t xml:space="preserve">13.3.1.2 </w:t>
      </w:r>
      <w:r w:rsidR="009F7AB8" w:rsidRPr="00DE3163">
        <w:rPr>
          <w:b/>
        </w:rPr>
        <w:t xml:space="preserve">Takimi 2: Takimi në Prefekturën e Shkodrës në kuadër të Planit të Përkohshëm të Menaxhimit të Basenit Ujor të </w:t>
      </w:r>
      <w:r w:rsidR="007E76E3" w:rsidRPr="00DE3163">
        <w:rPr>
          <w:b/>
        </w:rPr>
        <w:t>Drin–Bunë</w:t>
      </w:r>
      <w:r w:rsidR="009F7AB8" w:rsidRPr="00DE3163">
        <w:rPr>
          <w:b/>
        </w:rPr>
        <w:t>s</w:t>
      </w:r>
    </w:p>
    <w:p w14:paraId="6893DE3B" w14:textId="77777777" w:rsidR="009F7AB8" w:rsidRPr="00445472" w:rsidRDefault="009F7AB8" w:rsidP="009F7AB8">
      <w:pPr>
        <w:pStyle w:val="TEKSTIIII"/>
      </w:pPr>
      <w:r w:rsidRPr="00445472">
        <w:t>Takimi u zhvillua më 12 shkurt 2017 në ambientet e Prefekturës së Shkodrës. Objektivat e takimit ishin:</w:t>
      </w:r>
    </w:p>
    <w:p w14:paraId="1C5C0180" w14:textId="070754CE" w:rsidR="009F7AB8" w:rsidRPr="00445472" w:rsidRDefault="009F7AB8" w:rsidP="009F7AB8">
      <w:pPr>
        <w:pStyle w:val="TEKSTIIII"/>
      </w:pPr>
      <w:r w:rsidRPr="00445472">
        <w:rPr>
          <w:noProof/>
          <w:lang w:val="en-US"/>
        </w:rPr>
        <w:drawing>
          <wp:inline distT="0" distB="0" distL="0" distR="0" wp14:anchorId="42D5B12D" wp14:editId="0D09DD0C">
            <wp:extent cx="3140010" cy="2258170"/>
            <wp:effectExtent l="0" t="0" r="381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141085" cy="2258943"/>
                    </a:xfrm>
                    <a:prstGeom prst="rect">
                      <a:avLst/>
                    </a:prstGeom>
                    <a:noFill/>
                  </pic:spPr>
                </pic:pic>
              </a:graphicData>
            </a:graphic>
          </wp:inline>
        </w:drawing>
      </w:r>
    </w:p>
    <w:p w14:paraId="10B24E6A" w14:textId="77777777" w:rsidR="009F7AB8" w:rsidRPr="00445472" w:rsidRDefault="009F7AB8" w:rsidP="009F7AB8">
      <w:pPr>
        <w:pStyle w:val="TEKSTIIII"/>
      </w:pPr>
    </w:p>
    <w:p w14:paraId="2376F3DA" w14:textId="77777777" w:rsidR="009F7AB8" w:rsidRPr="00445472" w:rsidRDefault="009F7AB8" w:rsidP="009F7AB8">
      <w:pPr>
        <w:pStyle w:val="TEKSTIIII"/>
      </w:pPr>
    </w:p>
    <w:p w14:paraId="2575C6A4" w14:textId="77777777" w:rsidR="009F7AB8" w:rsidRPr="00445472" w:rsidRDefault="009F7AB8" w:rsidP="009F7AB8">
      <w:pPr>
        <w:pStyle w:val="TEKSTIIII"/>
      </w:pPr>
    </w:p>
    <w:p w14:paraId="0BC16583" w14:textId="2F11A8E8" w:rsidR="009F7AB8" w:rsidRPr="00445472" w:rsidRDefault="00B321BE" w:rsidP="009F7AB8">
      <w:pPr>
        <w:pStyle w:val="TEKSTIIII"/>
      </w:pPr>
      <w:r>
        <w:t xml:space="preserve">- </w:t>
      </w:r>
      <w:r w:rsidR="009F7AB8" w:rsidRPr="00445472">
        <w:t>Të prezantojë dhe diskutojë me aktorët vendorë konceptin bazë të MIBU (Menaxhimi i Integruar i Burimeve Ujore) dhe PMBU (Plani i Menaxhimit të Baseneve Ujore)</w:t>
      </w:r>
      <w:r w:rsidR="003A2E19" w:rsidRPr="00445472">
        <w:t>,</w:t>
      </w:r>
      <w:r w:rsidR="009F7AB8" w:rsidRPr="00445472">
        <w:t xml:space="preserve"> si procese që promovojnë zhvillimin e koordinuar dhe menaxhimin e ujit në mënyrë që të maksimizojë mirëqenien ekonomike dhe sociale në një mënyrë të arsyeshme, pa kompromentuar qëndrueshmërinë e ekosistemeve jetësore, të cilat duhet absolutisht të merren në konsideratë,</w:t>
      </w:r>
    </w:p>
    <w:p w14:paraId="15601188" w14:textId="5389A838" w:rsidR="009F7AB8" w:rsidRPr="00445472" w:rsidRDefault="00B321BE" w:rsidP="009F7AB8">
      <w:pPr>
        <w:pStyle w:val="TEKSTIIII"/>
      </w:pPr>
      <w:r>
        <w:t xml:space="preserve">- </w:t>
      </w:r>
      <w:r w:rsidR="009F7AB8" w:rsidRPr="00445472">
        <w:t xml:space="preserve">Të prezantojë përfundimet dhe konkluzionet paraprake të Planit të Menaxhimit të Basenit Ujor </w:t>
      </w:r>
      <w:r w:rsidR="007E76E3" w:rsidRPr="00445472">
        <w:t>Drin–Bunë</w:t>
      </w:r>
      <w:r w:rsidR="008F0A9F" w:rsidRPr="00445472">
        <w:t>, si dhe</w:t>
      </w:r>
      <w:r w:rsidR="009F7AB8" w:rsidRPr="00445472">
        <w:t xml:space="preserve"> </w:t>
      </w:r>
      <w:r w:rsidR="001F68B2" w:rsidRPr="00445472">
        <w:t>t’i</w:t>
      </w:r>
      <w:r w:rsidR="009F7AB8" w:rsidRPr="00445472">
        <w:t>u përgjigjet të gjitha pyetjeve  dhe shqetësimeve të ngritura nga palët e interesuara pjesëmarrëse.</w:t>
      </w:r>
    </w:p>
    <w:p w14:paraId="7EA7BA88" w14:textId="52B78A4D" w:rsidR="009F7AB8" w:rsidRPr="00445472" w:rsidRDefault="009F7AB8" w:rsidP="009F7AB8">
      <w:pPr>
        <w:pStyle w:val="TEKSTIIII"/>
      </w:pPr>
      <w:r w:rsidRPr="00445472">
        <w:rPr>
          <w:noProof/>
          <w:lang w:val="en-US"/>
        </w:rPr>
        <w:drawing>
          <wp:inline distT="0" distB="0" distL="0" distR="0" wp14:anchorId="6568670B" wp14:editId="7A66BEED">
            <wp:extent cx="2918460" cy="19583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18460" cy="1958340"/>
                    </a:xfrm>
                    <a:prstGeom prst="rect">
                      <a:avLst/>
                    </a:prstGeom>
                    <a:noFill/>
                  </pic:spPr>
                </pic:pic>
              </a:graphicData>
            </a:graphic>
          </wp:inline>
        </w:drawing>
      </w:r>
    </w:p>
    <w:p w14:paraId="03ABE6BA" w14:textId="77777777" w:rsidR="009F7AB8" w:rsidRPr="00445472" w:rsidRDefault="009F7AB8" w:rsidP="009F7AB8">
      <w:pPr>
        <w:pStyle w:val="TEKSTIIII"/>
      </w:pPr>
    </w:p>
    <w:p w14:paraId="218D5810" w14:textId="63074150" w:rsidR="009F7AB8" w:rsidRPr="00445472" w:rsidRDefault="00B321BE" w:rsidP="009F7AB8">
      <w:pPr>
        <w:pStyle w:val="TEKSTIIII"/>
      </w:pPr>
      <w:r>
        <w:t xml:space="preserve">- </w:t>
      </w:r>
      <w:r w:rsidR="009F7AB8" w:rsidRPr="00445472">
        <w:t xml:space="preserve">Gjatë këtij takimi përfaqësuesit e ekipit të projektit mbajtën një prezantim lidhur me planin e </w:t>
      </w:r>
      <w:r w:rsidR="003A2E19" w:rsidRPr="00445472">
        <w:t>përkohshëm</w:t>
      </w:r>
      <w:r w:rsidR="009F7AB8" w:rsidRPr="00445472">
        <w:t xml:space="preserve"> të menaxhimit të basenit  </w:t>
      </w:r>
      <w:r w:rsidR="007E76E3" w:rsidRPr="00445472">
        <w:t>Drin–Bunë</w:t>
      </w:r>
      <w:r w:rsidR="009F7AB8" w:rsidRPr="00445472">
        <w:t xml:space="preserve"> dhe integrimin e tij në konceptin më të gjerë të Menaxhimit të Integruar të Burimeve Ujore. Gjatë prezantimit u ngritën disa pyetje dhe komente, të cilat u përgjigjën dhe</w:t>
      </w:r>
      <w:r w:rsidR="001D340B" w:rsidRPr="00445472">
        <w:t>/</w:t>
      </w:r>
      <w:r w:rsidR="009F7AB8" w:rsidRPr="00445472">
        <w:t>ose u theksuan si më poshtë:</w:t>
      </w:r>
    </w:p>
    <w:p w14:paraId="4678267E" w14:textId="28617327" w:rsidR="009F7AB8" w:rsidRPr="00445472" w:rsidRDefault="00B321BE" w:rsidP="009F7AB8">
      <w:pPr>
        <w:pStyle w:val="TEKSTIIII"/>
      </w:pPr>
      <w:r>
        <w:t xml:space="preserve">- </w:t>
      </w:r>
      <w:r w:rsidR="009F7AB8" w:rsidRPr="00445472">
        <w:t>Gjatë fazës përgatitore për draft PMBU-në, a ka ndonjë udhëzues të aktiviteteve të biznesit dhe private/lokale përgjatë basenit të lumit? Përgjigja: Plani i menaxhimit bazohet në: Konsiderata të hotspoteve të ndërmarrjeve aktive dhe jo aktive private, aktiviteteve përfshirë zonën industriale dhe urbane dhe rezultatin e tyre në ndotjen urbane</w:t>
      </w:r>
      <w:r w:rsidR="008F0A9F" w:rsidRPr="00445472">
        <w:t>, si dhe</w:t>
      </w:r>
      <w:r w:rsidR="009F7AB8" w:rsidRPr="00445472">
        <w:t xml:space="preserve"> në një tregues të aktivitetit privat ku përdoren burime ujore natyrale të cilat përfundojnë duke e ndotur mjedisin (gjë e gjallë, përpunim lëkure etj</w:t>
      </w:r>
      <w:r w:rsidR="003A2E19" w:rsidRPr="00445472">
        <w:t>.</w:t>
      </w:r>
      <w:r w:rsidR="009F7AB8" w:rsidRPr="00445472">
        <w:t>).</w:t>
      </w:r>
    </w:p>
    <w:p w14:paraId="0A6990F6" w14:textId="13727D41" w:rsidR="009F7AB8" w:rsidRPr="00445472" w:rsidRDefault="00902D9D" w:rsidP="00902D9D">
      <w:pPr>
        <w:pStyle w:val="NENTITULL"/>
      </w:pPr>
      <w:r w:rsidRPr="00445472">
        <w:t xml:space="preserve">13.3.1.3 </w:t>
      </w:r>
      <w:r w:rsidR="009F7AB8" w:rsidRPr="00445472">
        <w:t>Angazhimi i OJQ-ve</w:t>
      </w:r>
    </w:p>
    <w:p w14:paraId="0EEAD109" w14:textId="77777777" w:rsidR="009F7AB8" w:rsidRPr="00445472" w:rsidRDefault="009F7AB8" w:rsidP="009F7AB8">
      <w:pPr>
        <w:pStyle w:val="TEKSTIIII"/>
      </w:pPr>
      <w:r w:rsidRPr="00445472">
        <w:t>Para takimeve me OJQ-të u organizua një listë me të gjitha OJQ-të përkatëse me fushëveprime të ndryshme që mund të jenë të dobishme për zhvillimin e PMBU-së. Disa nga OJQ-të u janë përgjigjur kërkesave për organizime takimi.</w:t>
      </w:r>
    </w:p>
    <w:p w14:paraId="61620B6D" w14:textId="29D7C457" w:rsidR="009F7AB8" w:rsidRPr="00445472" w:rsidRDefault="009F7AB8" w:rsidP="009F7AB8">
      <w:pPr>
        <w:pStyle w:val="TEKSTIIII"/>
      </w:pPr>
      <w:r w:rsidRPr="00445472">
        <w:t xml:space="preserve">Takimet u organizuan më 20 dhe 24 mars 2017 në zyrat e tyre përkatëse. Përfaqësuesit e ekipit bënë një prezantim të shkurtër të planit të menaxhimit të basenit ujor, me një fokus kryesor në objektivin dhe qëllimin e projektit. Në përgjithësi, ata mbështetin planin e menaxhimit të ujit dhe pajtohen me qasjen, por ata gjithashtu bënë disa sugjerime, siç tregohet në </w:t>
      </w:r>
      <w:r w:rsidR="003A2E19" w:rsidRPr="00445472">
        <w:t xml:space="preserve">tabelën </w:t>
      </w:r>
      <w:r w:rsidRPr="00445472">
        <w:t>13.3 më poshtë.</w:t>
      </w:r>
    </w:p>
    <w:p w14:paraId="6FD1C7D4" w14:textId="77777777" w:rsidR="009468D4" w:rsidRPr="00445472" w:rsidRDefault="009468D4" w:rsidP="009468D4">
      <w:pPr>
        <w:pStyle w:val="NENTITULL"/>
      </w:pPr>
    </w:p>
    <w:p w14:paraId="4C2F46B9" w14:textId="77777777" w:rsidR="009468D4" w:rsidRPr="00445472" w:rsidRDefault="009468D4" w:rsidP="009468D4">
      <w:pPr>
        <w:pStyle w:val="NENTITULL"/>
      </w:pPr>
      <w:r w:rsidRPr="00445472">
        <w:t>Tabela 13.3: Pyetjet dhe përgjigjet e OJQ-ve</w:t>
      </w:r>
    </w:p>
    <w:tbl>
      <w:tblP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3986"/>
        <w:gridCol w:w="5301"/>
      </w:tblGrid>
      <w:tr w:rsidR="009468D4" w:rsidRPr="00445472" w14:paraId="695A53AA" w14:textId="77777777" w:rsidTr="009468D4">
        <w:trPr>
          <w:trHeight w:val="300"/>
          <w:tblHeader/>
        </w:trPr>
        <w:tc>
          <w:tcPr>
            <w:tcW w:w="2024" w:type="pct"/>
            <w:shd w:val="clear" w:color="auto" w:fill="auto"/>
            <w:noWrap/>
            <w:vAlign w:val="center"/>
            <w:hideMark/>
          </w:tcPr>
          <w:p w14:paraId="4CB9155A" w14:textId="64ADE102" w:rsidR="009468D4" w:rsidRPr="00445472" w:rsidRDefault="009468D4"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Pyetje</w:t>
            </w:r>
            <w:r w:rsidR="001D340B" w:rsidRPr="00445472">
              <w:rPr>
                <w:rFonts w:ascii="Garamond" w:eastAsia="MS Mincho" w:hAnsi="Garamond" w:cs="Arial"/>
                <w:b/>
                <w:sz w:val="18"/>
                <w:szCs w:val="18"/>
              </w:rPr>
              <w:t>/</w:t>
            </w:r>
            <w:r w:rsidR="003A2E19" w:rsidRPr="00445472">
              <w:rPr>
                <w:rFonts w:ascii="Garamond" w:eastAsia="MS Mincho" w:hAnsi="Garamond" w:cs="Arial"/>
                <w:b/>
                <w:sz w:val="18"/>
                <w:szCs w:val="18"/>
              </w:rPr>
              <w:t>sugjerime</w:t>
            </w:r>
          </w:p>
        </w:tc>
        <w:tc>
          <w:tcPr>
            <w:tcW w:w="2976" w:type="pct"/>
            <w:shd w:val="clear" w:color="auto" w:fill="auto"/>
            <w:noWrap/>
            <w:vAlign w:val="center"/>
            <w:hideMark/>
          </w:tcPr>
          <w:p w14:paraId="7374F7FB" w14:textId="77777777" w:rsidR="009468D4" w:rsidRPr="00445472" w:rsidRDefault="009468D4"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Përgjigje</w:t>
            </w:r>
          </w:p>
        </w:tc>
      </w:tr>
      <w:tr w:rsidR="009468D4" w:rsidRPr="00445472" w14:paraId="27CF90C3" w14:textId="77777777" w:rsidTr="009468D4">
        <w:trPr>
          <w:trHeight w:val="1200"/>
        </w:trPr>
        <w:tc>
          <w:tcPr>
            <w:tcW w:w="2024" w:type="pct"/>
            <w:shd w:val="clear" w:color="auto" w:fill="D9D9D9"/>
            <w:vAlign w:val="center"/>
            <w:hideMark/>
          </w:tcPr>
          <w:p w14:paraId="494887C9"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Meqë uji është një aset i pazëvendësueshëm, a mund të eksportohet? Kjo mund të rrisë të ardhurat dhe gjithashtu mund të ndihmojë vendet e tjera që kanë nevojë për ujë.</w:t>
            </w:r>
          </w:p>
        </w:tc>
        <w:tc>
          <w:tcPr>
            <w:tcW w:w="2976" w:type="pct"/>
            <w:shd w:val="clear" w:color="auto" w:fill="D9D9D9"/>
            <w:vAlign w:val="center"/>
            <w:hideMark/>
          </w:tcPr>
          <w:p w14:paraId="7E8DFA7D"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Kjo është një çështje që plani i menaxhimit të ujit nuk mund të japë një përgjigje të saktë për shkak se, së pari ne duhet të përcaktojmë nëse uji është produkt apo burim. Ky është një vendim që duhet të merret nga qeveria dhe komuniteti i Shqipërisë.</w:t>
            </w:r>
          </w:p>
        </w:tc>
      </w:tr>
      <w:tr w:rsidR="009468D4" w:rsidRPr="00445472" w14:paraId="51103A13" w14:textId="77777777" w:rsidTr="009468D4">
        <w:trPr>
          <w:trHeight w:val="770"/>
        </w:trPr>
        <w:tc>
          <w:tcPr>
            <w:tcW w:w="2024" w:type="pct"/>
            <w:shd w:val="clear" w:color="auto" w:fill="auto"/>
            <w:vAlign w:val="center"/>
            <w:hideMark/>
          </w:tcPr>
          <w:p w14:paraId="60F14C59"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Pyetja e ngritur është se përpara se ne të përcaktojmë vizionin a është vlerësuar statusi aktual dhe i vërtetë i basenit?</w:t>
            </w:r>
          </w:p>
        </w:tc>
        <w:tc>
          <w:tcPr>
            <w:tcW w:w="2976" w:type="pct"/>
            <w:shd w:val="clear" w:color="auto" w:fill="auto"/>
            <w:vAlign w:val="center"/>
            <w:hideMark/>
          </w:tcPr>
          <w:p w14:paraId="240AE56D"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 xml:space="preserve">Është bërë një inventar i përgjithshëm i baseneve dhe kjo strategji është si një çadër dhe më pas, do të hartohen plane individuale të menaxhimit. </w:t>
            </w:r>
          </w:p>
        </w:tc>
      </w:tr>
      <w:tr w:rsidR="009468D4" w:rsidRPr="00445472" w14:paraId="5A86360B" w14:textId="77777777" w:rsidTr="009468D4">
        <w:trPr>
          <w:trHeight w:val="300"/>
        </w:trPr>
        <w:tc>
          <w:tcPr>
            <w:tcW w:w="2024" w:type="pct"/>
            <w:shd w:val="clear" w:color="auto" w:fill="D9D9D9"/>
            <w:vAlign w:val="center"/>
            <w:hideMark/>
          </w:tcPr>
          <w:p w14:paraId="7690BC92"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Si do të menaxhohet uji?</w:t>
            </w:r>
          </w:p>
        </w:tc>
        <w:tc>
          <w:tcPr>
            <w:tcW w:w="2976" w:type="pct"/>
            <w:vMerge w:val="restart"/>
            <w:shd w:val="clear" w:color="auto" w:fill="D9D9D9"/>
            <w:vAlign w:val="center"/>
            <w:hideMark/>
          </w:tcPr>
          <w:p w14:paraId="330CA5F3" w14:textId="77777777" w:rsidR="003A2E19" w:rsidRPr="00445472" w:rsidRDefault="009468D4" w:rsidP="003A2E19">
            <w:pPr>
              <w:spacing w:before="22" w:after="22"/>
              <w:ind w:right="63"/>
              <w:rPr>
                <w:rFonts w:ascii="Garamond" w:eastAsia="MS Mincho" w:hAnsi="Garamond" w:cs="Arial"/>
                <w:sz w:val="18"/>
                <w:szCs w:val="18"/>
              </w:rPr>
            </w:pPr>
            <w:r w:rsidRPr="00445472">
              <w:rPr>
                <w:rFonts w:ascii="Garamond" w:eastAsia="MS Mincho" w:hAnsi="Garamond" w:cs="Arial"/>
                <w:sz w:val="18"/>
                <w:szCs w:val="18"/>
              </w:rPr>
              <w:t>Menaxhimi i ujit është paraqitur në strategjinë e finalizuar në bazë të:</w:t>
            </w:r>
          </w:p>
          <w:p w14:paraId="299F2CCB" w14:textId="62909AB0" w:rsidR="009468D4" w:rsidRPr="00445472" w:rsidRDefault="009468D4" w:rsidP="003A2E19">
            <w:pPr>
              <w:spacing w:before="22" w:after="22"/>
              <w:ind w:right="63"/>
              <w:rPr>
                <w:rFonts w:ascii="Garamond" w:eastAsia="MS Mincho" w:hAnsi="Garamond" w:cs="Arial"/>
                <w:sz w:val="18"/>
                <w:szCs w:val="18"/>
              </w:rPr>
            </w:pPr>
            <w:r w:rsidRPr="00445472">
              <w:rPr>
                <w:rFonts w:ascii="Garamond" w:eastAsia="MS Mincho" w:hAnsi="Garamond" w:cs="Arial"/>
                <w:sz w:val="18"/>
                <w:szCs w:val="18"/>
              </w:rPr>
              <w:t xml:space="preserve">- </w:t>
            </w:r>
            <w:r w:rsidR="003A2E19" w:rsidRPr="00445472">
              <w:rPr>
                <w:rFonts w:ascii="Garamond" w:eastAsia="MS Mincho" w:hAnsi="Garamond" w:cs="Arial"/>
                <w:sz w:val="18"/>
                <w:szCs w:val="18"/>
              </w:rPr>
              <w:t>u</w:t>
            </w:r>
            <w:r w:rsidRPr="00445472">
              <w:rPr>
                <w:rFonts w:ascii="Garamond" w:eastAsia="MS Mincho" w:hAnsi="Garamond" w:cs="Arial"/>
                <w:sz w:val="18"/>
                <w:szCs w:val="18"/>
              </w:rPr>
              <w:t>ji pë</w:t>
            </w:r>
            <w:r w:rsidR="003A2E19" w:rsidRPr="00445472">
              <w:rPr>
                <w:rFonts w:ascii="Garamond" w:eastAsia="MS Mincho" w:hAnsi="Garamond" w:cs="Arial"/>
                <w:sz w:val="18"/>
                <w:szCs w:val="18"/>
              </w:rPr>
              <w:t>r njerëzit;</w:t>
            </w:r>
            <w:r w:rsidR="003A2E19" w:rsidRPr="00445472">
              <w:rPr>
                <w:rFonts w:ascii="Garamond" w:eastAsia="MS Mincho" w:hAnsi="Garamond" w:cs="Arial"/>
                <w:sz w:val="18"/>
                <w:szCs w:val="18"/>
              </w:rPr>
              <w:br/>
            </w:r>
            <w:r w:rsidRPr="00445472">
              <w:rPr>
                <w:rFonts w:ascii="Garamond" w:eastAsia="MS Mincho" w:hAnsi="Garamond" w:cs="Arial"/>
                <w:sz w:val="18"/>
                <w:szCs w:val="18"/>
              </w:rPr>
              <w:t xml:space="preserve">- </w:t>
            </w:r>
            <w:r w:rsidR="003A2E19" w:rsidRPr="00445472">
              <w:rPr>
                <w:rFonts w:ascii="Garamond" w:eastAsia="MS Mincho" w:hAnsi="Garamond" w:cs="Arial"/>
                <w:sz w:val="18"/>
                <w:szCs w:val="18"/>
              </w:rPr>
              <w:t>u</w:t>
            </w:r>
            <w:r w:rsidRPr="00445472">
              <w:rPr>
                <w:rFonts w:ascii="Garamond" w:eastAsia="MS Mincho" w:hAnsi="Garamond" w:cs="Arial"/>
                <w:sz w:val="18"/>
                <w:szCs w:val="18"/>
              </w:rPr>
              <w:t>ji pë</w:t>
            </w:r>
            <w:r w:rsidR="003A2E19" w:rsidRPr="00445472">
              <w:rPr>
                <w:rFonts w:ascii="Garamond" w:eastAsia="MS Mincho" w:hAnsi="Garamond" w:cs="Arial"/>
                <w:sz w:val="18"/>
                <w:szCs w:val="18"/>
              </w:rPr>
              <w:t>r ushqimin;</w:t>
            </w:r>
            <w:r w:rsidR="003A2E19" w:rsidRPr="00445472">
              <w:rPr>
                <w:rFonts w:ascii="Garamond" w:eastAsia="MS Mincho" w:hAnsi="Garamond" w:cs="Arial"/>
                <w:sz w:val="18"/>
                <w:szCs w:val="18"/>
              </w:rPr>
              <w:br/>
              <w:t>- uji për mjedisin;</w:t>
            </w:r>
            <w:r w:rsidR="003A2E19" w:rsidRPr="00445472">
              <w:rPr>
                <w:rFonts w:ascii="Garamond" w:eastAsia="MS Mincho" w:hAnsi="Garamond" w:cs="Arial"/>
                <w:sz w:val="18"/>
                <w:szCs w:val="18"/>
              </w:rPr>
              <w:br/>
            </w:r>
            <w:r w:rsidRPr="00445472">
              <w:rPr>
                <w:rFonts w:ascii="Garamond" w:eastAsia="MS Mincho" w:hAnsi="Garamond" w:cs="Arial"/>
                <w:sz w:val="18"/>
                <w:szCs w:val="18"/>
              </w:rPr>
              <w:t xml:space="preserve">- </w:t>
            </w:r>
            <w:r w:rsidR="003A2E19" w:rsidRPr="00445472">
              <w:rPr>
                <w:rFonts w:ascii="Garamond" w:eastAsia="MS Mincho" w:hAnsi="Garamond" w:cs="Arial"/>
                <w:sz w:val="18"/>
                <w:szCs w:val="18"/>
              </w:rPr>
              <w:t>u</w:t>
            </w:r>
            <w:r w:rsidRPr="00445472">
              <w:rPr>
                <w:rFonts w:ascii="Garamond" w:eastAsia="MS Mincho" w:hAnsi="Garamond" w:cs="Arial"/>
                <w:sz w:val="18"/>
                <w:szCs w:val="18"/>
              </w:rPr>
              <w:t xml:space="preserve">ji për </w:t>
            </w:r>
            <w:r w:rsidR="003A2E19" w:rsidRPr="00445472">
              <w:rPr>
                <w:rFonts w:ascii="Garamond" w:eastAsia="MS Mincho" w:hAnsi="Garamond" w:cs="Arial"/>
                <w:sz w:val="18"/>
                <w:szCs w:val="18"/>
              </w:rPr>
              <w:t>industrinë.</w:t>
            </w:r>
            <w:r w:rsidRPr="00445472">
              <w:rPr>
                <w:rFonts w:ascii="Garamond" w:eastAsia="MS Mincho" w:hAnsi="Garamond" w:cs="Arial"/>
                <w:sz w:val="18"/>
                <w:szCs w:val="18"/>
              </w:rPr>
              <w:br/>
              <w:t>Problemet individuale me të cilat përballet çdo basen duhet të jenë pjesë e planit të menaxhimit të çdo baseni.</w:t>
            </w:r>
          </w:p>
        </w:tc>
      </w:tr>
      <w:tr w:rsidR="009468D4" w:rsidRPr="00445472" w14:paraId="18C3744E" w14:textId="77777777" w:rsidTr="009468D4">
        <w:trPr>
          <w:trHeight w:val="600"/>
        </w:trPr>
        <w:tc>
          <w:tcPr>
            <w:tcW w:w="2024" w:type="pct"/>
            <w:shd w:val="clear" w:color="auto" w:fill="auto"/>
            <w:vAlign w:val="center"/>
            <w:hideMark/>
          </w:tcPr>
          <w:p w14:paraId="69D43D14"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Përveç studimit, nevojitet edhe një demonstrim në praktikë dhe monitorim.</w:t>
            </w:r>
          </w:p>
        </w:tc>
        <w:tc>
          <w:tcPr>
            <w:tcW w:w="2976" w:type="pct"/>
            <w:vMerge/>
            <w:vAlign w:val="center"/>
            <w:hideMark/>
          </w:tcPr>
          <w:p w14:paraId="0E38167D" w14:textId="77777777" w:rsidR="009468D4" w:rsidRPr="00445472" w:rsidRDefault="009468D4" w:rsidP="003A2E19">
            <w:pPr>
              <w:spacing w:before="22" w:after="22"/>
              <w:ind w:right="63"/>
              <w:jc w:val="both"/>
              <w:rPr>
                <w:rFonts w:ascii="Garamond" w:eastAsia="MS Mincho" w:hAnsi="Garamond" w:cs="Arial"/>
                <w:sz w:val="18"/>
                <w:szCs w:val="18"/>
              </w:rPr>
            </w:pPr>
          </w:p>
        </w:tc>
      </w:tr>
      <w:tr w:rsidR="009468D4" w:rsidRPr="00445472" w14:paraId="28ABB81C" w14:textId="77777777" w:rsidTr="009468D4">
        <w:trPr>
          <w:trHeight w:val="660"/>
        </w:trPr>
        <w:tc>
          <w:tcPr>
            <w:tcW w:w="2024" w:type="pct"/>
            <w:shd w:val="clear" w:color="auto" w:fill="D9D9D9"/>
            <w:vAlign w:val="center"/>
            <w:hideMark/>
          </w:tcPr>
          <w:p w14:paraId="1D51A556"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Si prioritet, duhet të ketë ujë të pijshëm për njerëzit, siç tregohet në strategjinë tuaj.</w:t>
            </w:r>
          </w:p>
        </w:tc>
        <w:tc>
          <w:tcPr>
            <w:tcW w:w="2976" w:type="pct"/>
            <w:vMerge/>
            <w:vAlign w:val="center"/>
            <w:hideMark/>
          </w:tcPr>
          <w:p w14:paraId="60409547" w14:textId="77777777" w:rsidR="009468D4" w:rsidRPr="00445472" w:rsidRDefault="009468D4" w:rsidP="003A2E19">
            <w:pPr>
              <w:spacing w:before="22" w:after="22"/>
              <w:ind w:right="63"/>
              <w:jc w:val="both"/>
              <w:rPr>
                <w:rFonts w:ascii="Garamond" w:eastAsia="MS Mincho" w:hAnsi="Garamond" w:cs="Arial"/>
                <w:sz w:val="18"/>
                <w:szCs w:val="18"/>
              </w:rPr>
            </w:pPr>
          </w:p>
        </w:tc>
      </w:tr>
      <w:tr w:rsidR="009468D4" w:rsidRPr="00445472" w14:paraId="6E5669B4" w14:textId="77777777" w:rsidTr="009468D4">
        <w:trPr>
          <w:trHeight w:val="600"/>
        </w:trPr>
        <w:tc>
          <w:tcPr>
            <w:tcW w:w="2024" w:type="pct"/>
            <w:shd w:val="clear" w:color="auto" w:fill="auto"/>
            <w:vAlign w:val="center"/>
            <w:hideMark/>
          </w:tcPr>
          <w:p w14:paraId="5EC2D28D"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A është amortizuar sistemi i ujitjes?</w:t>
            </w:r>
          </w:p>
        </w:tc>
        <w:tc>
          <w:tcPr>
            <w:tcW w:w="2976" w:type="pct"/>
            <w:vMerge/>
            <w:vAlign w:val="center"/>
            <w:hideMark/>
          </w:tcPr>
          <w:p w14:paraId="731456E4" w14:textId="77777777" w:rsidR="009468D4" w:rsidRPr="00445472" w:rsidRDefault="009468D4" w:rsidP="003A2E19">
            <w:pPr>
              <w:spacing w:before="22" w:after="22"/>
              <w:ind w:right="63"/>
              <w:jc w:val="both"/>
              <w:rPr>
                <w:rFonts w:ascii="Garamond" w:eastAsia="MS Mincho" w:hAnsi="Garamond" w:cs="Arial"/>
                <w:sz w:val="18"/>
                <w:szCs w:val="18"/>
              </w:rPr>
            </w:pPr>
          </w:p>
        </w:tc>
      </w:tr>
      <w:tr w:rsidR="009468D4" w:rsidRPr="00445472" w14:paraId="0F353A75" w14:textId="77777777" w:rsidTr="009468D4">
        <w:trPr>
          <w:trHeight w:val="536"/>
        </w:trPr>
        <w:tc>
          <w:tcPr>
            <w:tcW w:w="2024" w:type="pct"/>
            <w:shd w:val="clear" w:color="auto" w:fill="auto"/>
            <w:noWrap/>
            <w:vAlign w:val="center"/>
            <w:hideMark/>
          </w:tcPr>
          <w:p w14:paraId="0422086B"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Ka shumë mungesa të ujit të pijshëm në shumë zona.</w:t>
            </w:r>
          </w:p>
        </w:tc>
        <w:tc>
          <w:tcPr>
            <w:tcW w:w="2976" w:type="pct"/>
            <w:shd w:val="clear" w:color="auto" w:fill="auto"/>
            <w:noWrap/>
            <w:vAlign w:val="center"/>
            <w:hideMark/>
          </w:tcPr>
          <w:p w14:paraId="28A9A53F" w14:textId="77777777" w:rsidR="009468D4" w:rsidRPr="00445472" w:rsidRDefault="009468D4" w:rsidP="003A2E19">
            <w:pPr>
              <w:spacing w:before="22" w:after="22"/>
              <w:ind w:right="63"/>
              <w:jc w:val="both"/>
              <w:rPr>
                <w:rFonts w:ascii="Garamond" w:eastAsia="MS Mincho" w:hAnsi="Garamond" w:cs="Arial"/>
                <w:sz w:val="18"/>
                <w:szCs w:val="18"/>
              </w:rPr>
            </w:pPr>
            <w:r w:rsidRPr="00445472">
              <w:rPr>
                <w:rFonts w:ascii="Garamond" w:eastAsia="MS Mincho" w:hAnsi="Garamond" w:cs="Arial"/>
                <w:sz w:val="18"/>
                <w:szCs w:val="18"/>
              </w:rPr>
              <w:t>Uji duhet të jetë një burim natyror dhe një shërbim komuniteti.</w:t>
            </w:r>
          </w:p>
        </w:tc>
      </w:tr>
    </w:tbl>
    <w:p w14:paraId="523ABDB6" w14:textId="77777777" w:rsidR="009468D4" w:rsidRPr="00445472" w:rsidRDefault="009468D4" w:rsidP="009468D4">
      <w:pPr>
        <w:pStyle w:val="NENTITULL"/>
      </w:pPr>
      <w:bookmarkStart w:id="307" w:name="_Toc11068888"/>
    </w:p>
    <w:p w14:paraId="08104272" w14:textId="4633716C" w:rsidR="009468D4" w:rsidRPr="00445472" w:rsidRDefault="009468D4" w:rsidP="009468D4">
      <w:pPr>
        <w:pStyle w:val="NENTITULL"/>
      </w:pPr>
      <w:r w:rsidRPr="00445472">
        <w:t xml:space="preserve">13.3.2 Konsultimet e </w:t>
      </w:r>
      <w:r w:rsidR="003A2E19" w:rsidRPr="00445472">
        <w:t xml:space="preserve">fazës 3 dhe fazës </w:t>
      </w:r>
      <w:r w:rsidRPr="00445472">
        <w:t>4 (</w:t>
      </w:r>
      <w:r w:rsidR="003A2E19" w:rsidRPr="00445472">
        <w:t xml:space="preserve">informatorët </w:t>
      </w:r>
      <w:r w:rsidRPr="00445472">
        <w:t>kryesorë dhe grupet e fokusit)</w:t>
      </w:r>
      <w:bookmarkEnd w:id="307"/>
    </w:p>
    <w:p w14:paraId="72D1BBC5" w14:textId="77777777" w:rsidR="009468D4" w:rsidRPr="00445472" w:rsidRDefault="009468D4" w:rsidP="009468D4">
      <w:pPr>
        <w:pStyle w:val="TEKSTIIII"/>
      </w:pPr>
      <w:r w:rsidRPr="00445472">
        <w:t>Procesi i angazhimit të palëve të interesit përfshinte intervistimin e një numri grupesh të fokusit dhe informatorëve kryesorë për çështjet e ujit. Veçanërisht  gratë, i përkasin një grupi që ndikohet direkt nga menaxhimi i ujit. Grupet e tjera që ishin në qendër të këtij procesi të angazhimit të palëve të interesuara janë minoritetet të tilla si pakicat rome ose egjiptiane, të moshuarit dhe informatorë të tjerë të rëndësishëm si fermerët, të cilët përdorin dhe menaxhojnë ujin dhe punonjësit e shëndetësisë, të cilët gjithashtu kanë nevojë thelbësore të përdorimit të ujit në procesin e tyre të përditshëm të punës.</w:t>
      </w:r>
    </w:p>
    <w:p w14:paraId="731D62C8" w14:textId="77777777" w:rsidR="009468D4" w:rsidRPr="00445472" w:rsidRDefault="009468D4" w:rsidP="009468D4">
      <w:pPr>
        <w:pStyle w:val="TEKSTIIII"/>
      </w:pPr>
      <w:r w:rsidRPr="00445472">
        <w:t xml:space="preserve">Qëllimi i intervistave të informatorëve kryesorë ishte mbledhja e informacionit cilësor nga një individ i cili ka njohuri të thellë për një lëndë apo fushë të caktuar në fjalë. Intervistat me informatorin kryesor do të kryhen në secilën komunë; Megjithatë, çështjet specifike me të cilat përballen fushat e ndryshme të projektit do të diktojnë vendndodhjen dhe numrin e saktë të intervistave. Intervistat e informatorëve kryesorë u zhvilluan kryesisht në nivel rajonal dhe lokal për të arritur informacionin më të mirë. </w:t>
      </w:r>
    </w:p>
    <w:p w14:paraId="49639A5A" w14:textId="77777777" w:rsidR="009468D4" w:rsidRPr="00445472" w:rsidRDefault="009468D4" w:rsidP="009468D4">
      <w:pPr>
        <w:pStyle w:val="TEKSTIIII"/>
      </w:pPr>
      <w:r w:rsidRPr="00445472">
        <w:t>Janë organizuar një sërë takimesh të grupeve të fokusit me qëllim të targetimit të audiencave të ndryshme në fusha të ndryshme të projektit. Grupet e ndryshme të fokusit u zgjodhën në bazë të nivelit të tyre të pozicionit të interesit, margjinalizimit, specialistëve të informacionit ose aftësisë për të ndikuar në procesin e planifikimit të projektit.</w:t>
      </w:r>
    </w:p>
    <w:p w14:paraId="0D2546BD" w14:textId="43FF666C" w:rsidR="009468D4" w:rsidRPr="00445472" w:rsidRDefault="009468D4" w:rsidP="009468D4">
      <w:pPr>
        <w:pStyle w:val="TEKSTIIII"/>
      </w:pPr>
      <w:r w:rsidRPr="00445472">
        <w:t xml:space="preserve">Grupet e margjinalizuara në nevojë janë individë ose komunitete të cilët janë veçanërisht të ndjeshëm ndaj margjinalizimit për shkak të gjinisë, moshës, racës, fesë, paaftësisë së jetesës, ose vendndodhjes. Me këto grupe u organizua një takim për anëtarët e shoqërisë, u dëgjuan dhe u lejuan diskutime të hapura rreth projektit, qëllimit dhe sugjerimeve të tij. Në çdo komunë të zonës së studimit të gjitha grupet e margjinalizuara si gratë, të moshuarit, prodhuesit, të moshuarit dhe grupet bujqësore të subvencionuara u konsultuan për </w:t>
      </w:r>
      <w:r w:rsidR="003A2E19" w:rsidRPr="00445472">
        <w:t>mendimet</w:t>
      </w:r>
      <w:r w:rsidRPr="00445472">
        <w:t xml:space="preserve"> e tyre. Në çdo komunë të madhe u kryen diskutime në grupet e grave dhe të moshuarve dhe grupeve të tjera vulnerabël si me prodhuesit bujqësorë në vende të caktuara në fshat u identifikuan grupe specifike të margjinalizuara.</w:t>
      </w:r>
    </w:p>
    <w:p w14:paraId="6A17848B" w14:textId="509F6E2F" w:rsidR="009468D4" w:rsidRPr="00445472" w:rsidRDefault="009468D4" w:rsidP="009468D4">
      <w:pPr>
        <w:pStyle w:val="TEKSTIIII"/>
      </w:pPr>
      <w:r w:rsidRPr="00445472">
        <w:t>Ekipi i projektit i udhëhoqi pjesëmarrësit për të hapur një sërë pyetjesh që kanë të bëjnë me këtë temë. Të gjitha informatat janë regjistruar dhe gjetjet kryesore janë përmbledhur në këtë kapitull. Numri i përgjithshëm i personave të kontaktuar në të dy</w:t>
      </w:r>
      <w:r w:rsidR="00905530">
        <w:t>ja</w:t>
      </w:r>
      <w:r w:rsidRPr="00445472">
        <w:t xml:space="preserve"> basenet e lumenjve është 67, nga të cilat 30 janë gra. Në basenin e lumit </w:t>
      </w:r>
      <w:r w:rsidR="007E76E3" w:rsidRPr="00445472">
        <w:t>Drin–Bunë</w:t>
      </w:r>
      <w:r w:rsidRPr="00445472">
        <w:t xml:space="preserve">, nga 24 persona të kontaktuar, 12 ishin gra. Numri i përgjithshëm i intervistave është i ndarë në </w:t>
      </w:r>
      <w:r w:rsidR="00905530" w:rsidRPr="00445472">
        <w:t xml:space="preserve">tabelën </w:t>
      </w:r>
      <w:r w:rsidRPr="00445472">
        <w:t>13.4</w:t>
      </w:r>
    </w:p>
    <w:p w14:paraId="1E562969" w14:textId="77777777" w:rsidR="009468D4" w:rsidRPr="00445472" w:rsidRDefault="009468D4" w:rsidP="009468D4">
      <w:pPr>
        <w:pStyle w:val="NENTITULL"/>
      </w:pPr>
    </w:p>
    <w:p w14:paraId="6A7F74B0" w14:textId="460CAB3C" w:rsidR="009468D4" w:rsidRPr="00445472" w:rsidRDefault="009468D4" w:rsidP="009468D4">
      <w:pPr>
        <w:pStyle w:val="NENTITULL"/>
      </w:pPr>
      <w:r w:rsidRPr="00445472">
        <w:t xml:space="preserve">Tabela 13.4: Grupet e fokusit dhe informuesit kryesorë në basenin ujor </w:t>
      </w:r>
      <w:r w:rsidR="007E76E3" w:rsidRPr="00445472">
        <w:t>Drin–Bunë</w:t>
      </w:r>
    </w:p>
    <w:tbl>
      <w:tblP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013"/>
        <w:gridCol w:w="830"/>
        <w:gridCol w:w="1963"/>
        <w:gridCol w:w="3299"/>
        <w:gridCol w:w="2182"/>
      </w:tblGrid>
      <w:tr w:rsidR="009468D4" w:rsidRPr="00445472" w14:paraId="784FBDE1" w14:textId="77777777" w:rsidTr="009468D4">
        <w:trPr>
          <w:trHeight w:val="57"/>
          <w:tblHeader/>
        </w:trPr>
        <w:tc>
          <w:tcPr>
            <w:tcW w:w="545" w:type="pct"/>
            <w:shd w:val="clear" w:color="auto" w:fill="D4D4D4"/>
            <w:noWrap/>
            <w:vAlign w:val="center"/>
            <w:hideMark/>
          </w:tcPr>
          <w:p w14:paraId="36AC7215" w14:textId="77777777" w:rsidR="009468D4" w:rsidRPr="00445472" w:rsidRDefault="009468D4" w:rsidP="002A1F08">
            <w:pPr>
              <w:spacing w:before="44" w:after="22"/>
              <w:jc w:val="center"/>
              <w:rPr>
                <w:rFonts w:ascii="Garamond" w:eastAsia="MS Mincho" w:hAnsi="Garamond" w:cs="Arial"/>
                <w:b/>
                <w:sz w:val="18"/>
                <w:szCs w:val="18"/>
              </w:rPr>
            </w:pPr>
            <w:r w:rsidRPr="00445472">
              <w:rPr>
                <w:rFonts w:ascii="Garamond" w:eastAsia="MS Mincho" w:hAnsi="Garamond" w:cs="Arial"/>
                <w:b/>
                <w:sz w:val="18"/>
                <w:szCs w:val="18"/>
              </w:rPr>
              <w:t>Baseni</w:t>
            </w:r>
          </w:p>
        </w:tc>
        <w:tc>
          <w:tcPr>
            <w:tcW w:w="447" w:type="pct"/>
            <w:tcBorders>
              <w:bottom w:val="single" w:sz="4" w:space="0" w:color="27B1B0"/>
            </w:tcBorders>
            <w:shd w:val="clear" w:color="auto" w:fill="D4D4D4"/>
            <w:noWrap/>
            <w:vAlign w:val="center"/>
            <w:hideMark/>
          </w:tcPr>
          <w:p w14:paraId="10A169EC" w14:textId="77777777" w:rsidR="009468D4" w:rsidRPr="00445472" w:rsidRDefault="009468D4" w:rsidP="002A1F08">
            <w:pPr>
              <w:spacing w:before="44" w:after="22"/>
              <w:jc w:val="center"/>
              <w:rPr>
                <w:rFonts w:ascii="Garamond" w:eastAsia="MS Mincho" w:hAnsi="Garamond" w:cs="Arial"/>
                <w:b/>
                <w:sz w:val="18"/>
                <w:szCs w:val="18"/>
              </w:rPr>
            </w:pPr>
            <w:r w:rsidRPr="00445472">
              <w:rPr>
                <w:rFonts w:ascii="Garamond" w:eastAsia="MS Mincho" w:hAnsi="Garamond" w:cs="Arial"/>
                <w:b/>
                <w:sz w:val="18"/>
                <w:szCs w:val="18"/>
              </w:rPr>
              <w:t>Qyteti</w:t>
            </w:r>
          </w:p>
        </w:tc>
        <w:tc>
          <w:tcPr>
            <w:tcW w:w="1057" w:type="pct"/>
            <w:tcBorders>
              <w:bottom w:val="single" w:sz="4" w:space="0" w:color="27B1B0"/>
            </w:tcBorders>
            <w:shd w:val="clear" w:color="auto" w:fill="D4D4D4"/>
            <w:vAlign w:val="center"/>
            <w:hideMark/>
          </w:tcPr>
          <w:p w14:paraId="1B69317E" w14:textId="77777777" w:rsidR="009468D4" w:rsidRPr="00445472" w:rsidRDefault="009468D4" w:rsidP="002A1F08">
            <w:pPr>
              <w:spacing w:before="44" w:after="22"/>
              <w:jc w:val="center"/>
              <w:rPr>
                <w:rFonts w:ascii="Garamond" w:eastAsia="MS Mincho" w:hAnsi="Garamond" w:cs="Arial"/>
                <w:b/>
                <w:sz w:val="18"/>
                <w:szCs w:val="18"/>
              </w:rPr>
            </w:pPr>
            <w:r w:rsidRPr="00445472">
              <w:rPr>
                <w:rFonts w:ascii="Garamond" w:eastAsia="MS Mincho" w:hAnsi="Garamond" w:cs="Arial"/>
                <w:b/>
                <w:sz w:val="18"/>
                <w:szCs w:val="18"/>
              </w:rPr>
              <w:t>Njësia Administrative</w:t>
            </w:r>
          </w:p>
        </w:tc>
        <w:tc>
          <w:tcPr>
            <w:tcW w:w="1776" w:type="pct"/>
            <w:tcBorders>
              <w:bottom w:val="single" w:sz="4" w:space="0" w:color="27B1B0"/>
            </w:tcBorders>
            <w:shd w:val="clear" w:color="auto" w:fill="D4D4D4"/>
            <w:vAlign w:val="center"/>
            <w:hideMark/>
          </w:tcPr>
          <w:p w14:paraId="2D9C6F70" w14:textId="77777777" w:rsidR="009468D4" w:rsidRPr="00445472" w:rsidRDefault="009468D4" w:rsidP="002A1F08">
            <w:pPr>
              <w:spacing w:before="44" w:after="22"/>
              <w:jc w:val="center"/>
              <w:rPr>
                <w:rFonts w:ascii="Garamond" w:eastAsia="MS Mincho" w:hAnsi="Garamond" w:cs="Arial"/>
                <w:b/>
                <w:sz w:val="18"/>
                <w:szCs w:val="18"/>
              </w:rPr>
            </w:pPr>
            <w:r w:rsidRPr="00445472">
              <w:rPr>
                <w:rFonts w:ascii="Garamond" w:eastAsia="MS Mincho" w:hAnsi="Garamond" w:cs="Arial"/>
                <w:b/>
                <w:sz w:val="18"/>
                <w:szCs w:val="18"/>
              </w:rPr>
              <w:t>Fokus Grupi ose informatorët kryesorë</w:t>
            </w:r>
          </w:p>
        </w:tc>
        <w:tc>
          <w:tcPr>
            <w:tcW w:w="1175" w:type="pct"/>
            <w:tcBorders>
              <w:bottom w:val="single" w:sz="4" w:space="0" w:color="27B1B0"/>
            </w:tcBorders>
            <w:shd w:val="clear" w:color="auto" w:fill="D4D4D4"/>
            <w:vAlign w:val="center"/>
            <w:hideMark/>
          </w:tcPr>
          <w:p w14:paraId="656BEC29" w14:textId="77777777" w:rsidR="009468D4" w:rsidRPr="00445472" w:rsidRDefault="009468D4" w:rsidP="002A1F08">
            <w:pPr>
              <w:spacing w:before="44" w:after="22"/>
              <w:jc w:val="center"/>
              <w:rPr>
                <w:rFonts w:ascii="Garamond" w:eastAsia="MS Mincho" w:hAnsi="Garamond" w:cs="Arial"/>
                <w:b/>
                <w:sz w:val="18"/>
                <w:szCs w:val="18"/>
              </w:rPr>
            </w:pPr>
            <w:r w:rsidRPr="00445472">
              <w:rPr>
                <w:rFonts w:ascii="Garamond" w:eastAsia="MS Mincho" w:hAnsi="Garamond" w:cs="Arial"/>
                <w:b/>
                <w:sz w:val="18"/>
                <w:szCs w:val="18"/>
              </w:rPr>
              <w:t>Numri i të intervistuarve</w:t>
            </w:r>
          </w:p>
        </w:tc>
      </w:tr>
      <w:tr w:rsidR="009468D4" w:rsidRPr="00445472" w14:paraId="38688B18" w14:textId="77777777" w:rsidTr="009468D4">
        <w:trPr>
          <w:trHeight w:val="57"/>
        </w:trPr>
        <w:tc>
          <w:tcPr>
            <w:tcW w:w="545" w:type="pct"/>
            <w:vMerge w:val="restart"/>
            <w:shd w:val="clear" w:color="auto" w:fill="auto"/>
            <w:noWrap/>
            <w:vAlign w:val="center"/>
            <w:hideMark/>
          </w:tcPr>
          <w:p w14:paraId="26344A8A" w14:textId="1F40DC1D" w:rsidR="009468D4" w:rsidRPr="00445472" w:rsidRDefault="007E76E3" w:rsidP="002A1F08">
            <w:pPr>
              <w:spacing w:before="44" w:after="22"/>
              <w:rPr>
                <w:rFonts w:ascii="Garamond" w:eastAsia="MS Mincho" w:hAnsi="Garamond" w:cs="Arial"/>
                <w:sz w:val="18"/>
                <w:szCs w:val="18"/>
              </w:rPr>
            </w:pPr>
            <w:r w:rsidRPr="00445472">
              <w:rPr>
                <w:rFonts w:ascii="Garamond" w:eastAsia="MS Mincho" w:hAnsi="Garamond" w:cs="Arial"/>
                <w:sz w:val="18"/>
                <w:szCs w:val="18"/>
              </w:rPr>
              <w:t>Drin–Bunë</w:t>
            </w:r>
          </w:p>
        </w:tc>
        <w:tc>
          <w:tcPr>
            <w:tcW w:w="447" w:type="pct"/>
            <w:vMerge w:val="restart"/>
            <w:shd w:val="clear" w:color="auto" w:fill="auto"/>
            <w:noWrap/>
            <w:vAlign w:val="center"/>
            <w:hideMark/>
          </w:tcPr>
          <w:p w14:paraId="3F1C55E4"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Shkodër</w:t>
            </w:r>
          </w:p>
        </w:tc>
        <w:tc>
          <w:tcPr>
            <w:tcW w:w="1057" w:type="pct"/>
            <w:vMerge w:val="restart"/>
            <w:shd w:val="clear" w:color="auto" w:fill="auto"/>
            <w:noWrap/>
            <w:vAlign w:val="center"/>
            <w:hideMark/>
          </w:tcPr>
          <w:p w14:paraId="3D17E9CA"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Shirq</w:t>
            </w:r>
          </w:p>
        </w:tc>
        <w:tc>
          <w:tcPr>
            <w:tcW w:w="1776" w:type="pct"/>
            <w:shd w:val="clear" w:color="auto" w:fill="auto"/>
            <w:noWrap/>
            <w:vAlign w:val="center"/>
            <w:hideMark/>
          </w:tcPr>
          <w:p w14:paraId="5970BBAE" w14:textId="2B9CBA0D"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 xml:space="preserve">Komuniteti </w:t>
            </w:r>
            <w:r w:rsidR="003A2E19" w:rsidRPr="00445472">
              <w:rPr>
                <w:rFonts w:ascii="Garamond" w:eastAsia="MS Mincho" w:hAnsi="Garamond" w:cs="Arial"/>
                <w:sz w:val="18"/>
                <w:szCs w:val="18"/>
              </w:rPr>
              <w:t>rom</w:t>
            </w:r>
          </w:p>
        </w:tc>
        <w:tc>
          <w:tcPr>
            <w:tcW w:w="1175" w:type="pct"/>
            <w:shd w:val="clear" w:color="auto" w:fill="auto"/>
            <w:noWrap/>
            <w:vAlign w:val="center"/>
            <w:hideMark/>
          </w:tcPr>
          <w:p w14:paraId="54DCDF1F" w14:textId="77777777" w:rsidR="009468D4" w:rsidRPr="00445472" w:rsidRDefault="009468D4" w:rsidP="002A1F08">
            <w:pPr>
              <w:spacing w:before="44" w:after="22"/>
              <w:rPr>
                <w:rFonts w:ascii="Garamond" w:eastAsia="MS Mincho" w:hAnsi="Garamond" w:cs="Arial"/>
                <w:sz w:val="18"/>
                <w:szCs w:val="18"/>
              </w:rPr>
            </w:pPr>
          </w:p>
        </w:tc>
      </w:tr>
      <w:tr w:rsidR="009468D4" w:rsidRPr="00445472" w14:paraId="18F8EF52" w14:textId="77777777" w:rsidTr="009468D4">
        <w:trPr>
          <w:trHeight w:val="57"/>
        </w:trPr>
        <w:tc>
          <w:tcPr>
            <w:tcW w:w="545" w:type="pct"/>
            <w:vMerge/>
            <w:vAlign w:val="center"/>
            <w:hideMark/>
          </w:tcPr>
          <w:p w14:paraId="1DACE19A"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0C57882C"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D9D9D9"/>
            <w:vAlign w:val="center"/>
            <w:hideMark/>
          </w:tcPr>
          <w:p w14:paraId="150FAE71"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15A3F035"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Të moshuarit</w:t>
            </w:r>
          </w:p>
        </w:tc>
        <w:tc>
          <w:tcPr>
            <w:tcW w:w="1175" w:type="pct"/>
            <w:shd w:val="clear" w:color="auto" w:fill="auto"/>
            <w:noWrap/>
            <w:vAlign w:val="center"/>
            <w:hideMark/>
          </w:tcPr>
          <w:p w14:paraId="4D42DBD9"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3</w:t>
            </w:r>
          </w:p>
        </w:tc>
      </w:tr>
      <w:tr w:rsidR="009468D4" w:rsidRPr="00445472" w14:paraId="7B628170" w14:textId="77777777" w:rsidTr="009468D4">
        <w:trPr>
          <w:trHeight w:val="57"/>
        </w:trPr>
        <w:tc>
          <w:tcPr>
            <w:tcW w:w="545" w:type="pct"/>
            <w:vMerge/>
            <w:vAlign w:val="center"/>
            <w:hideMark/>
          </w:tcPr>
          <w:p w14:paraId="2101EE50"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62203E83"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D9D9D9"/>
            <w:vAlign w:val="center"/>
            <w:hideMark/>
          </w:tcPr>
          <w:p w14:paraId="0A0B246D"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68810E3C"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Gratë</w:t>
            </w:r>
          </w:p>
        </w:tc>
        <w:tc>
          <w:tcPr>
            <w:tcW w:w="1175" w:type="pct"/>
            <w:shd w:val="clear" w:color="auto" w:fill="auto"/>
            <w:noWrap/>
            <w:vAlign w:val="center"/>
            <w:hideMark/>
          </w:tcPr>
          <w:p w14:paraId="3A0C0D2E"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3</w:t>
            </w:r>
          </w:p>
        </w:tc>
      </w:tr>
      <w:tr w:rsidR="009468D4" w:rsidRPr="00445472" w14:paraId="35C90824" w14:textId="77777777" w:rsidTr="009468D4">
        <w:trPr>
          <w:trHeight w:val="57"/>
        </w:trPr>
        <w:tc>
          <w:tcPr>
            <w:tcW w:w="545" w:type="pct"/>
            <w:vMerge/>
            <w:vAlign w:val="center"/>
            <w:hideMark/>
          </w:tcPr>
          <w:p w14:paraId="0D0C9CD4"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37E91D4D"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D9D9D9"/>
            <w:vAlign w:val="center"/>
            <w:hideMark/>
          </w:tcPr>
          <w:p w14:paraId="0515D3DD"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316D844D"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Fermerët</w:t>
            </w:r>
          </w:p>
        </w:tc>
        <w:tc>
          <w:tcPr>
            <w:tcW w:w="1175" w:type="pct"/>
            <w:shd w:val="clear" w:color="auto" w:fill="auto"/>
            <w:noWrap/>
            <w:vAlign w:val="center"/>
            <w:hideMark/>
          </w:tcPr>
          <w:p w14:paraId="51794E98"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2</w:t>
            </w:r>
          </w:p>
        </w:tc>
      </w:tr>
      <w:tr w:rsidR="009468D4" w:rsidRPr="00445472" w14:paraId="25C1CC22" w14:textId="77777777" w:rsidTr="009468D4">
        <w:trPr>
          <w:trHeight w:val="57"/>
        </w:trPr>
        <w:tc>
          <w:tcPr>
            <w:tcW w:w="545" w:type="pct"/>
            <w:vMerge/>
            <w:vAlign w:val="center"/>
            <w:hideMark/>
          </w:tcPr>
          <w:p w14:paraId="7C4A2EA2"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44EBE9B9" w14:textId="77777777" w:rsidR="009468D4" w:rsidRPr="00445472" w:rsidRDefault="009468D4" w:rsidP="002A1F08">
            <w:pPr>
              <w:spacing w:before="44" w:after="22"/>
              <w:rPr>
                <w:rFonts w:ascii="Garamond" w:eastAsia="MS Mincho" w:hAnsi="Garamond" w:cs="Arial"/>
                <w:sz w:val="18"/>
                <w:szCs w:val="18"/>
              </w:rPr>
            </w:pPr>
          </w:p>
        </w:tc>
        <w:tc>
          <w:tcPr>
            <w:tcW w:w="1057" w:type="pct"/>
            <w:vMerge/>
            <w:tcBorders>
              <w:bottom w:val="single" w:sz="4" w:space="0" w:color="27B1B0"/>
            </w:tcBorders>
            <w:shd w:val="clear" w:color="auto" w:fill="D9D9D9"/>
            <w:vAlign w:val="center"/>
            <w:hideMark/>
          </w:tcPr>
          <w:p w14:paraId="29723533" w14:textId="77777777" w:rsidR="009468D4" w:rsidRPr="00445472" w:rsidRDefault="009468D4" w:rsidP="002A1F08">
            <w:pPr>
              <w:spacing w:before="44" w:after="22"/>
              <w:rPr>
                <w:rFonts w:ascii="Garamond" w:eastAsia="MS Mincho" w:hAnsi="Garamond" w:cs="Arial"/>
                <w:sz w:val="18"/>
                <w:szCs w:val="18"/>
              </w:rPr>
            </w:pPr>
          </w:p>
        </w:tc>
        <w:tc>
          <w:tcPr>
            <w:tcW w:w="1776" w:type="pct"/>
            <w:tcBorders>
              <w:bottom w:val="single" w:sz="4" w:space="0" w:color="27B1B0"/>
            </w:tcBorders>
            <w:shd w:val="clear" w:color="auto" w:fill="auto"/>
            <w:noWrap/>
            <w:vAlign w:val="center"/>
            <w:hideMark/>
          </w:tcPr>
          <w:p w14:paraId="1D6FBAF3"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Punonjësit e shëndetësisë</w:t>
            </w:r>
          </w:p>
        </w:tc>
        <w:tc>
          <w:tcPr>
            <w:tcW w:w="1175" w:type="pct"/>
            <w:tcBorders>
              <w:bottom w:val="single" w:sz="4" w:space="0" w:color="27B1B0"/>
            </w:tcBorders>
            <w:shd w:val="clear" w:color="auto" w:fill="auto"/>
            <w:noWrap/>
            <w:vAlign w:val="center"/>
            <w:hideMark/>
          </w:tcPr>
          <w:p w14:paraId="6263B273"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2 (2 gra)</w:t>
            </w:r>
          </w:p>
        </w:tc>
      </w:tr>
      <w:tr w:rsidR="009468D4" w:rsidRPr="00445472" w14:paraId="0A83D0A4" w14:textId="77777777" w:rsidTr="009468D4">
        <w:trPr>
          <w:trHeight w:val="57"/>
        </w:trPr>
        <w:tc>
          <w:tcPr>
            <w:tcW w:w="545" w:type="pct"/>
            <w:vMerge/>
            <w:vAlign w:val="center"/>
            <w:hideMark/>
          </w:tcPr>
          <w:p w14:paraId="16C0EC7A"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023CB9AC" w14:textId="77777777" w:rsidR="009468D4" w:rsidRPr="00445472" w:rsidRDefault="009468D4" w:rsidP="002A1F08">
            <w:pPr>
              <w:spacing w:before="44" w:after="22"/>
              <w:rPr>
                <w:rFonts w:ascii="Garamond" w:eastAsia="MS Mincho" w:hAnsi="Garamond" w:cs="Arial"/>
                <w:sz w:val="18"/>
                <w:szCs w:val="18"/>
              </w:rPr>
            </w:pPr>
          </w:p>
        </w:tc>
        <w:tc>
          <w:tcPr>
            <w:tcW w:w="1057" w:type="pct"/>
            <w:vMerge w:val="restart"/>
            <w:shd w:val="clear" w:color="auto" w:fill="auto"/>
            <w:noWrap/>
            <w:vAlign w:val="center"/>
            <w:hideMark/>
          </w:tcPr>
          <w:p w14:paraId="6EABBB8C"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Dajç</w:t>
            </w:r>
          </w:p>
        </w:tc>
        <w:tc>
          <w:tcPr>
            <w:tcW w:w="1776" w:type="pct"/>
            <w:shd w:val="clear" w:color="auto" w:fill="auto"/>
            <w:noWrap/>
            <w:vAlign w:val="center"/>
            <w:hideMark/>
          </w:tcPr>
          <w:p w14:paraId="4D46CF50"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Komuniteti Rom</w:t>
            </w:r>
          </w:p>
        </w:tc>
        <w:tc>
          <w:tcPr>
            <w:tcW w:w="1175" w:type="pct"/>
            <w:shd w:val="clear" w:color="auto" w:fill="auto"/>
            <w:noWrap/>
            <w:vAlign w:val="center"/>
            <w:hideMark/>
          </w:tcPr>
          <w:p w14:paraId="308C1EBC"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1</w:t>
            </w:r>
          </w:p>
        </w:tc>
      </w:tr>
      <w:tr w:rsidR="009468D4" w:rsidRPr="00445472" w14:paraId="0899AF63" w14:textId="77777777" w:rsidTr="009468D4">
        <w:trPr>
          <w:trHeight w:val="57"/>
        </w:trPr>
        <w:tc>
          <w:tcPr>
            <w:tcW w:w="545" w:type="pct"/>
            <w:vMerge/>
            <w:vAlign w:val="center"/>
            <w:hideMark/>
          </w:tcPr>
          <w:p w14:paraId="7DE7DBD9"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42E9FD7B"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25AE3605"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275B2B98"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Të moshuarit</w:t>
            </w:r>
          </w:p>
        </w:tc>
        <w:tc>
          <w:tcPr>
            <w:tcW w:w="1175" w:type="pct"/>
            <w:shd w:val="clear" w:color="auto" w:fill="auto"/>
            <w:noWrap/>
            <w:vAlign w:val="center"/>
            <w:hideMark/>
          </w:tcPr>
          <w:p w14:paraId="6FA42E86"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2</w:t>
            </w:r>
          </w:p>
        </w:tc>
      </w:tr>
      <w:tr w:rsidR="009468D4" w:rsidRPr="00445472" w14:paraId="0459FFA3" w14:textId="77777777" w:rsidTr="009468D4">
        <w:trPr>
          <w:trHeight w:val="57"/>
        </w:trPr>
        <w:tc>
          <w:tcPr>
            <w:tcW w:w="545" w:type="pct"/>
            <w:vMerge/>
            <w:vAlign w:val="center"/>
            <w:hideMark/>
          </w:tcPr>
          <w:p w14:paraId="0AEA213D"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5309E472"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3D8DC799"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032F1ECA"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Gratë</w:t>
            </w:r>
          </w:p>
        </w:tc>
        <w:tc>
          <w:tcPr>
            <w:tcW w:w="1175" w:type="pct"/>
            <w:shd w:val="clear" w:color="auto" w:fill="auto"/>
            <w:noWrap/>
            <w:vAlign w:val="center"/>
            <w:hideMark/>
          </w:tcPr>
          <w:p w14:paraId="41BCD591"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3</w:t>
            </w:r>
          </w:p>
        </w:tc>
      </w:tr>
      <w:tr w:rsidR="009468D4" w:rsidRPr="00445472" w14:paraId="283ED344" w14:textId="77777777" w:rsidTr="009468D4">
        <w:trPr>
          <w:trHeight w:val="57"/>
        </w:trPr>
        <w:tc>
          <w:tcPr>
            <w:tcW w:w="545" w:type="pct"/>
            <w:vMerge/>
            <w:vAlign w:val="center"/>
            <w:hideMark/>
          </w:tcPr>
          <w:p w14:paraId="0BB0C02C"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16C9150E"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3B396EFC"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25639C87"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Fermerët</w:t>
            </w:r>
          </w:p>
        </w:tc>
        <w:tc>
          <w:tcPr>
            <w:tcW w:w="1175" w:type="pct"/>
            <w:shd w:val="clear" w:color="auto" w:fill="auto"/>
            <w:noWrap/>
            <w:vAlign w:val="center"/>
            <w:hideMark/>
          </w:tcPr>
          <w:p w14:paraId="7978BEDB"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3 (1 grua)</w:t>
            </w:r>
          </w:p>
        </w:tc>
      </w:tr>
      <w:tr w:rsidR="009468D4" w:rsidRPr="00445472" w14:paraId="151CC3EE" w14:textId="77777777" w:rsidTr="009468D4">
        <w:trPr>
          <w:trHeight w:val="57"/>
        </w:trPr>
        <w:tc>
          <w:tcPr>
            <w:tcW w:w="545" w:type="pct"/>
            <w:vMerge/>
            <w:vAlign w:val="center"/>
            <w:hideMark/>
          </w:tcPr>
          <w:p w14:paraId="0D3BAD59" w14:textId="77777777" w:rsidR="009468D4" w:rsidRPr="00445472" w:rsidRDefault="009468D4" w:rsidP="002A1F08">
            <w:pPr>
              <w:spacing w:before="44" w:after="22"/>
              <w:rPr>
                <w:rFonts w:ascii="Garamond" w:eastAsia="MS Mincho" w:hAnsi="Garamond" w:cs="Arial"/>
                <w:sz w:val="18"/>
                <w:szCs w:val="18"/>
              </w:rPr>
            </w:pPr>
          </w:p>
        </w:tc>
        <w:tc>
          <w:tcPr>
            <w:tcW w:w="447" w:type="pct"/>
            <w:vMerge/>
            <w:shd w:val="clear" w:color="auto" w:fill="D9D9D9"/>
            <w:vAlign w:val="center"/>
            <w:hideMark/>
          </w:tcPr>
          <w:p w14:paraId="4575FA69"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5A146822" w14:textId="77777777" w:rsidR="009468D4" w:rsidRPr="00445472" w:rsidRDefault="009468D4" w:rsidP="002A1F08">
            <w:pPr>
              <w:spacing w:before="44" w:after="22"/>
              <w:rPr>
                <w:rFonts w:ascii="Garamond" w:eastAsia="MS Mincho" w:hAnsi="Garamond" w:cs="Arial"/>
                <w:sz w:val="18"/>
                <w:szCs w:val="18"/>
              </w:rPr>
            </w:pPr>
          </w:p>
        </w:tc>
        <w:tc>
          <w:tcPr>
            <w:tcW w:w="1776" w:type="pct"/>
            <w:tcBorders>
              <w:bottom w:val="single" w:sz="4" w:space="0" w:color="27B1B0"/>
            </w:tcBorders>
            <w:shd w:val="clear" w:color="auto" w:fill="auto"/>
            <w:noWrap/>
            <w:vAlign w:val="center"/>
            <w:hideMark/>
          </w:tcPr>
          <w:p w14:paraId="5BEBBFF5"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Punonjësit e shëndetësisë</w:t>
            </w:r>
          </w:p>
        </w:tc>
        <w:tc>
          <w:tcPr>
            <w:tcW w:w="1175" w:type="pct"/>
            <w:tcBorders>
              <w:bottom w:val="single" w:sz="4" w:space="0" w:color="27B1B0"/>
            </w:tcBorders>
            <w:shd w:val="clear" w:color="auto" w:fill="auto"/>
            <w:noWrap/>
            <w:vAlign w:val="center"/>
            <w:hideMark/>
          </w:tcPr>
          <w:p w14:paraId="7E301183" w14:textId="77777777" w:rsidR="009468D4" w:rsidRPr="00445472" w:rsidRDefault="009468D4" w:rsidP="002A1F08">
            <w:pPr>
              <w:spacing w:before="44" w:after="22"/>
              <w:rPr>
                <w:rFonts w:ascii="Garamond" w:eastAsia="MS Mincho" w:hAnsi="Garamond" w:cs="Arial"/>
                <w:sz w:val="18"/>
                <w:szCs w:val="18"/>
              </w:rPr>
            </w:pPr>
            <w:r w:rsidRPr="00445472">
              <w:rPr>
                <w:rFonts w:ascii="Garamond" w:hAnsi="Garamond" w:cs="Arial"/>
                <w:sz w:val="18"/>
                <w:szCs w:val="18"/>
              </w:rPr>
              <w:t>1 (1 grua)</w:t>
            </w:r>
          </w:p>
        </w:tc>
      </w:tr>
      <w:tr w:rsidR="009468D4" w:rsidRPr="00445472" w14:paraId="1F714361" w14:textId="77777777" w:rsidTr="009468D4">
        <w:trPr>
          <w:trHeight w:val="57"/>
        </w:trPr>
        <w:tc>
          <w:tcPr>
            <w:tcW w:w="545" w:type="pct"/>
            <w:vMerge/>
            <w:vAlign w:val="center"/>
            <w:hideMark/>
          </w:tcPr>
          <w:p w14:paraId="0B954653" w14:textId="77777777" w:rsidR="009468D4" w:rsidRPr="00445472" w:rsidRDefault="009468D4" w:rsidP="002A1F08">
            <w:pPr>
              <w:spacing w:before="44" w:after="22"/>
              <w:rPr>
                <w:rFonts w:ascii="Garamond" w:eastAsia="MS Mincho" w:hAnsi="Garamond" w:cs="Arial"/>
                <w:sz w:val="18"/>
                <w:szCs w:val="18"/>
              </w:rPr>
            </w:pPr>
          </w:p>
        </w:tc>
        <w:tc>
          <w:tcPr>
            <w:tcW w:w="447" w:type="pct"/>
            <w:vMerge w:val="restart"/>
            <w:shd w:val="clear" w:color="auto" w:fill="auto"/>
            <w:noWrap/>
            <w:vAlign w:val="center"/>
            <w:hideMark/>
          </w:tcPr>
          <w:p w14:paraId="78B78EDA"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Lezhë</w:t>
            </w:r>
          </w:p>
        </w:tc>
        <w:tc>
          <w:tcPr>
            <w:tcW w:w="1057" w:type="pct"/>
            <w:vMerge w:val="restart"/>
            <w:shd w:val="clear" w:color="auto" w:fill="auto"/>
            <w:noWrap/>
            <w:vAlign w:val="center"/>
            <w:hideMark/>
          </w:tcPr>
          <w:p w14:paraId="34F043F2"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Gjadër</w:t>
            </w:r>
          </w:p>
        </w:tc>
        <w:tc>
          <w:tcPr>
            <w:tcW w:w="1776" w:type="pct"/>
            <w:shd w:val="clear" w:color="auto" w:fill="auto"/>
            <w:noWrap/>
            <w:vAlign w:val="center"/>
            <w:hideMark/>
          </w:tcPr>
          <w:p w14:paraId="006B7369"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Komuniteti Rom</w:t>
            </w:r>
          </w:p>
        </w:tc>
        <w:tc>
          <w:tcPr>
            <w:tcW w:w="1175" w:type="pct"/>
            <w:shd w:val="clear" w:color="auto" w:fill="auto"/>
            <w:noWrap/>
            <w:vAlign w:val="center"/>
            <w:hideMark/>
          </w:tcPr>
          <w:p w14:paraId="3537241D" w14:textId="77777777" w:rsidR="009468D4" w:rsidRPr="00445472" w:rsidRDefault="009468D4" w:rsidP="002A1F08">
            <w:pPr>
              <w:spacing w:before="44" w:after="22"/>
              <w:rPr>
                <w:rFonts w:ascii="Garamond" w:eastAsia="MS Mincho" w:hAnsi="Garamond" w:cs="Arial"/>
                <w:sz w:val="18"/>
                <w:szCs w:val="18"/>
              </w:rPr>
            </w:pPr>
          </w:p>
        </w:tc>
      </w:tr>
      <w:tr w:rsidR="009468D4" w:rsidRPr="00445472" w14:paraId="46AA27AF" w14:textId="77777777" w:rsidTr="009468D4">
        <w:trPr>
          <w:trHeight w:val="57"/>
        </w:trPr>
        <w:tc>
          <w:tcPr>
            <w:tcW w:w="545" w:type="pct"/>
            <w:vMerge/>
            <w:vAlign w:val="center"/>
            <w:hideMark/>
          </w:tcPr>
          <w:p w14:paraId="5732B338" w14:textId="77777777" w:rsidR="009468D4" w:rsidRPr="00445472" w:rsidRDefault="009468D4" w:rsidP="002A1F08">
            <w:pPr>
              <w:spacing w:before="44" w:after="22"/>
              <w:rPr>
                <w:rFonts w:ascii="Garamond" w:eastAsia="MS Mincho" w:hAnsi="Garamond" w:cs="Arial"/>
                <w:sz w:val="18"/>
                <w:szCs w:val="18"/>
              </w:rPr>
            </w:pPr>
          </w:p>
        </w:tc>
        <w:tc>
          <w:tcPr>
            <w:tcW w:w="447" w:type="pct"/>
            <w:vMerge/>
            <w:vAlign w:val="center"/>
            <w:hideMark/>
          </w:tcPr>
          <w:p w14:paraId="4F125EC5"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0ECA919F"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0C414360"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Të moshuarit</w:t>
            </w:r>
          </w:p>
        </w:tc>
        <w:tc>
          <w:tcPr>
            <w:tcW w:w="1175" w:type="pct"/>
            <w:shd w:val="clear" w:color="auto" w:fill="auto"/>
            <w:noWrap/>
            <w:vAlign w:val="center"/>
            <w:hideMark/>
          </w:tcPr>
          <w:p w14:paraId="3EC27FB5"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1</w:t>
            </w:r>
          </w:p>
        </w:tc>
      </w:tr>
      <w:tr w:rsidR="009468D4" w:rsidRPr="00445472" w14:paraId="6CA269F2" w14:textId="77777777" w:rsidTr="009468D4">
        <w:trPr>
          <w:trHeight w:val="57"/>
        </w:trPr>
        <w:tc>
          <w:tcPr>
            <w:tcW w:w="545" w:type="pct"/>
            <w:vMerge/>
            <w:vAlign w:val="center"/>
            <w:hideMark/>
          </w:tcPr>
          <w:p w14:paraId="08C131C1" w14:textId="77777777" w:rsidR="009468D4" w:rsidRPr="00445472" w:rsidRDefault="009468D4" w:rsidP="002A1F08">
            <w:pPr>
              <w:spacing w:before="44" w:after="22"/>
              <w:rPr>
                <w:rFonts w:ascii="Garamond" w:eastAsia="MS Mincho" w:hAnsi="Garamond" w:cs="Arial"/>
                <w:sz w:val="18"/>
                <w:szCs w:val="18"/>
              </w:rPr>
            </w:pPr>
          </w:p>
        </w:tc>
        <w:tc>
          <w:tcPr>
            <w:tcW w:w="447" w:type="pct"/>
            <w:vMerge/>
            <w:vAlign w:val="center"/>
            <w:hideMark/>
          </w:tcPr>
          <w:p w14:paraId="769E7008"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373CE894"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36B35167"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Gratë</w:t>
            </w:r>
          </w:p>
        </w:tc>
        <w:tc>
          <w:tcPr>
            <w:tcW w:w="1175" w:type="pct"/>
            <w:shd w:val="clear" w:color="auto" w:fill="auto"/>
            <w:noWrap/>
            <w:vAlign w:val="center"/>
            <w:hideMark/>
          </w:tcPr>
          <w:p w14:paraId="1846BBE1"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2</w:t>
            </w:r>
          </w:p>
        </w:tc>
      </w:tr>
      <w:tr w:rsidR="009468D4" w:rsidRPr="00445472" w14:paraId="5A9607EC" w14:textId="77777777" w:rsidTr="009468D4">
        <w:trPr>
          <w:trHeight w:val="57"/>
        </w:trPr>
        <w:tc>
          <w:tcPr>
            <w:tcW w:w="545" w:type="pct"/>
            <w:vMerge/>
            <w:vAlign w:val="center"/>
            <w:hideMark/>
          </w:tcPr>
          <w:p w14:paraId="2DC7667F" w14:textId="77777777" w:rsidR="009468D4" w:rsidRPr="00445472" w:rsidRDefault="009468D4" w:rsidP="002A1F08">
            <w:pPr>
              <w:spacing w:before="44" w:after="22"/>
              <w:rPr>
                <w:rFonts w:ascii="Garamond" w:eastAsia="MS Mincho" w:hAnsi="Garamond" w:cs="Arial"/>
                <w:sz w:val="18"/>
                <w:szCs w:val="18"/>
              </w:rPr>
            </w:pPr>
          </w:p>
        </w:tc>
        <w:tc>
          <w:tcPr>
            <w:tcW w:w="447" w:type="pct"/>
            <w:vMerge/>
            <w:vAlign w:val="center"/>
            <w:hideMark/>
          </w:tcPr>
          <w:p w14:paraId="55B3DA18" w14:textId="77777777" w:rsidR="009468D4" w:rsidRPr="00445472" w:rsidRDefault="009468D4" w:rsidP="002A1F08">
            <w:pPr>
              <w:spacing w:before="44" w:after="22"/>
              <w:rPr>
                <w:rFonts w:ascii="Garamond" w:eastAsia="MS Mincho" w:hAnsi="Garamond" w:cs="Arial"/>
                <w:sz w:val="18"/>
                <w:szCs w:val="18"/>
              </w:rPr>
            </w:pPr>
          </w:p>
        </w:tc>
        <w:tc>
          <w:tcPr>
            <w:tcW w:w="1057" w:type="pct"/>
            <w:vMerge/>
            <w:shd w:val="clear" w:color="auto" w:fill="auto"/>
            <w:vAlign w:val="center"/>
            <w:hideMark/>
          </w:tcPr>
          <w:p w14:paraId="6FC2C141" w14:textId="77777777" w:rsidR="009468D4" w:rsidRPr="00445472" w:rsidRDefault="009468D4" w:rsidP="002A1F08">
            <w:pPr>
              <w:spacing w:before="44" w:after="22"/>
              <w:rPr>
                <w:rFonts w:ascii="Garamond" w:eastAsia="MS Mincho" w:hAnsi="Garamond" w:cs="Arial"/>
                <w:sz w:val="18"/>
                <w:szCs w:val="18"/>
              </w:rPr>
            </w:pPr>
          </w:p>
        </w:tc>
        <w:tc>
          <w:tcPr>
            <w:tcW w:w="1776" w:type="pct"/>
            <w:shd w:val="clear" w:color="auto" w:fill="auto"/>
            <w:noWrap/>
            <w:vAlign w:val="center"/>
            <w:hideMark/>
          </w:tcPr>
          <w:p w14:paraId="1D7CC217"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Fermerët</w:t>
            </w:r>
          </w:p>
        </w:tc>
        <w:tc>
          <w:tcPr>
            <w:tcW w:w="1175" w:type="pct"/>
            <w:shd w:val="clear" w:color="auto" w:fill="auto"/>
            <w:noWrap/>
            <w:vAlign w:val="center"/>
            <w:hideMark/>
          </w:tcPr>
          <w:p w14:paraId="562EC059"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1</w:t>
            </w:r>
          </w:p>
        </w:tc>
      </w:tr>
      <w:tr w:rsidR="009468D4" w:rsidRPr="00445472" w14:paraId="17292D82" w14:textId="77777777" w:rsidTr="009468D4">
        <w:trPr>
          <w:trHeight w:val="57"/>
        </w:trPr>
        <w:tc>
          <w:tcPr>
            <w:tcW w:w="545" w:type="pct"/>
            <w:vMerge/>
            <w:vAlign w:val="center"/>
            <w:hideMark/>
          </w:tcPr>
          <w:p w14:paraId="48BAD0A9" w14:textId="77777777" w:rsidR="009468D4" w:rsidRPr="00445472" w:rsidRDefault="009468D4" w:rsidP="002A1F08">
            <w:pPr>
              <w:spacing w:before="44" w:after="22"/>
              <w:rPr>
                <w:rFonts w:ascii="Garamond" w:eastAsia="MS Mincho" w:hAnsi="Garamond" w:cs="Arial"/>
                <w:sz w:val="18"/>
                <w:szCs w:val="18"/>
              </w:rPr>
            </w:pPr>
          </w:p>
        </w:tc>
        <w:tc>
          <w:tcPr>
            <w:tcW w:w="447" w:type="pct"/>
            <w:vMerge/>
            <w:vAlign w:val="center"/>
            <w:hideMark/>
          </w:tcPr>
          <w:p w14:paraId="41E3BAC3" w14:textId="77777777" w:rsidR="009468D4" w:rsidRPr="00445472" w:rsidRDefault="009468D4" w:rsidP="002A1F08">
            <w:pPr>
              <w:spacing w:before="44" w:after="22"/>
              <w:rPr>
                <w:rFonts w:ascii="Garamond" w:eastAsia="MS Mincho" w:hAnsi="Garamond" w:cs="Arial"/>
                <w:sz w:val="18"/>
                <w:szCs w:val="18"/>
              </w:rPr>
            </w:pPr>
          </w:p>
        </w:tc>
        <w:tc>
          <w:tcPr>
            <w:tcW w:w="1057" w:type="pct"/>
            <w:vMerge/>
            <w:tcBorders>
              <w:bottom w:val="single" w:sz="4" w:space="0" w:color="27B1B0"/>
            </w:tcBorders>
            <w:shd w:val="clear" w:color="auto" w:fill="auto"/>
            <w:vAlign w:val="center"/>
            <w:hideMark/>
          </w:tcPr>
          <w:p w14:paraId="58809CBC" w14:textId="77777777" w:rsidR="009468D4" w:rsidRPr="00445472" w:rsidRDefault="009468D4" w:rsidP="002A1F08">
            <w:pPr>
              <w:spacing w:before="44" w:after="22"/>
              <w:rPr>
                <w:rFonts w:ascii="Garamond" w:eastAsia="MS Mincho" w:hAnsi="Garamond" w:cs="Arial"/>
                <w:sz w:val="18"/>
                <w:szCs w:val="18"/>
              </w:rPr>
            </w:pPr>
          </w:p>
        </w:tc>
        <w:tc>
          <w:tcPr>
            <w:tcW w:w="1776" w:type="pct"/>
            <w:tcBorders>
              <w:bottom w:val="single" w:sz="4" w:space="0" w:color="27B1B0"/>
            </w:tcBorders>
            <w:shd w:val="clear" w:color="auto" w:fill="auto"/>
            <w:noWrap/>
            <w:vAlign w:val="center"/>
            <w:hideMark/>
          </w:tcPr>
          <w:p w14:paraId="5909C697" w14:textId="77777777" w:rsidR="009468D4" w:rsidRPr="00445472" w:rsidRDefault="009468D4" w:rsidP="002A1F08">
            <w:pPr>
              <w:spacing w:before="44" w:after="22"/>
              <w:rPr>
                <w:rFonts w:ascii="Garamond" w:eastAsia="MS Mincho" w:hAnsi="Garamond" w:cs="Arial"/>
                <w:sz w:val="18"/>
                <w:szCs w:val="18"/>
              </w:rPr>
            </w:pPr>
            <w:r w:rsidRPr="00445472">
              <w:rPr>
                <w:rFonts w:ascii="Garamond" w:eastAsia="MS Mincho" w:hAnsi="Garamond" w:cs="Arial"/>
                <w:sz w:val="18"/>
                <w:szCs w:val="18"/>
              </w:rPr>
              <w:t>Punonjësit e shëndetësisë</w:t>
            </w:r>
          </w:p>
        </w:tc>
        <w:tc>
          <w:tcPr>
            <w:tcW w:w="1175" w:type="pct"/>
            <w:tcBorders>
              <w:bottom w:val="single" w:sz="4" w:space="0" w:color="27B1B0"/>
            </w:tcBorders>
            <w:shd w:val="clear" w:color="auto" w:fill="auto"/>
            <w:noWrap/>
            <w:vAlign w:val="center"/>
            <w:hideMark/>
          </w:tcPr>
          <w:p w14:paraId="67147714" w14:textId="77777777" w:rsidR="009468D4" w:rsidRPr="00445472" w:rsidRDefault="009468D4" w:rsidP="002A1F08">
            <w:pPr>
              <w:spacing w:before="44" w:after="22"/>
              <w:rPr>
                <w:rFonts w:ascii="Garamond" w:eastAsia="MS Mincho" w:hAnsi="Garamond" w:cs="Arial"/>
                <w:sz w:val="18"/>
                <w:szCs w:val="18"/>
              </w:rPr>
            </w:pPr>
          </w:p>
        </w:tc>
      </w:tr>
    </w:tbl>
    <w:p w14:paraId="21C395A4" w14:textId="77777777" w:rsidR="009468D4" w:rsidRPr="00445472" w:rsidRDefault="009468D4" w:rsidP="009468D4">
      <w:pPr>
        <w:pStyle w:val="TEKSTIIII"/>
      </w:pPr>
    </w:p>
    <w:p w14:paraId="67507E01" w14:textId="0A594601" w:rsidR="009468D4" w:rsidRPr="00445472" w:rsidRDefault="009468D4" w:rsidP="009468D4">
      <w:pPr>
        <w:pStyle w:val="TEKSTIIII"/>
      </w:pPr>
      <w:r w:rsidRPr="00445472">
        <w:t xml:space="preserve">Shpërndarja e grave në numrin e intervistave të bëra është 45% e totalit, me një përfaqësim të mirë në secilin basen. Për basenin ujor </w:t>
      </w:r>
      <w:r w:rsidR="007E76E3" w:rsidRPr="00445472">
        <w:t>Drin–Bunë</w:t>
      </w:r>
      <w:r w:rsidRPr="00445472">
        <w:t>, përfaqësimi i femrave ishte 50%. Siç shihet në tabelën e mësipërme, gratë kanë marrë pjesë në këtë proces jo vetëm për të diskutuar çështjet gjinore, por edhe si punonjës shëndetësie dhe fermerë.</w:t>
      </w:r>
    </w:p>
    <w:p w14:paraId="15FEECDE" w14:textId="77777777" w:rsidR="009468D4" w:rsidRPr="00445472" w:rsidRDefault="009468D4" w:rsidP="009468D4">
      <w:pPr>
        <w:pStyle w:val="TEKSTIIII"/>
      </w:pPr>
    </w:p>
    <w:p w14:paraId="66207633" w14:textId="4B3F8914" w:rsidR="009F7AB8" w:rsidRPr="00445472" w:rsidRDefault="00CB38B8" w:rsidP="009468D4">
      <w:pPr>
        <w:pStyle w:val="TEKSTIIII"/>
      </w:pPr>
      <w:r w:rsidRPr="00445472">
        <w:rPr>
          <w:noProof/>
          <w:lang w:val="en-US"/>
        </w:rPr>
        <w:drawing>
          <wp:inline distT="0" distB="0" distL="0" distR="0" wp14:anchorId="5F7A9CAE" wp14:editId="50625FA1">
            <wp:extent cx="3395207" cy="3128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a:srcRect l="29822" t="28888" r="47072" b="33266"/>
                    <a:stretch/>
                  </pic:blipFill>
                  <pic:spPr bwMode="auto">
                    <a:xfrm>
                      <a:off x="0" y="0"/>
                      <a:ext cx="3419994" cy="3151087"/>
                    </a:xfrm>
                    <a:prstGeom prst="rect">
                      <a:avLst/>
                    </a:prstGeom>
                    <a:ln>
                      <a:noFill/>
                    </a:ln>
                    <a:extLst>
                      <a:ext uri="{53640926-AAD7-44D8-BBD7-CCE9431645EC}">
                        <a14:shadowObscured xmlns:a14="http://schemas.microsoft.com/office/drawing/2010/main"/>
                      </a:ext>
                    </a:extLst>
                  </pic:spPr>
                </pic:pic>
              </a:graphicData>
            </a:graphic>
          </wp:inline>
        </w:drawing>
      </w:r>
    </w:p>
    <w:p w14:paraId="784B3769" w14:textId="1A4C8F59" w:rsidR="000F597B" w:rsidRPr="00445472" w:rsidRDefault="000F597B" w:rsidP="000F597B">
      <w:pPr>
        <w:pStyle w:val="NENTITULL"/>
        <w:jc w:val="center"/>
      </w:pPr>
      <w:r w:rsidRPr="00445472">
        <w:t xml:space="preserve">Figura 13.2:  Pjesëmarrja e grave në fokus grupet ose si informatorë kryesorë në basenin ujor </w:t>
      </w:r>
      <w:r w:rsidR="007E76E3" w:rsidRPr="00445472">
        <w:t>Drin–Bunë</w:t>
      </w:r>
    </w:p>
    <w:p w14:paraId="19AC0BBE" w14:textId="77777777" w:rsidR="000F597B" w:rsidRPr="00445472" w:rsidRDefault="000F597B" w:rsidP="009468D4">
      <w:pPr>
        <w:pStyle w:val="TEKSTIIII"/>
      </w:pPr>
    </w:p>
    <w:p w14:paraId="063A5849" w14:textId="5FF6B420" w:rsidR="007956E6" w:rsidRPr="00445472" w:rsidRDefault="007956E6" w:rsidP="007956E6">
      <w:pPr>
        <w:pStyle w:val="NENTITULL"/>
      </w:pPr>
      <w:bookmarkStart w:id="308" w:name="_Toc11068889"/>
      <w:r w:rsidRPr="00445472">
        <w:t xml:space="preserve">13.3.3 Rezultatet dhe çështjet kryesore </w:t>
      </w:r>
      <w:bookmarkEnd w:id="308"/>
    </w:p>
    <w:p w14:paraId="0759ABCF" w14:textId="411B16DF" w:rsidR="007956E6" w:rsidRPr="00445472" w:rsidRDefault="007956E6" w:rsidP="007956E6">
      <w:pPr>
        <w:pStyle w:val="TEKSTIIII"/>
      </w:pPr>
      <w:r w:rsidRPr="00445472">
        <w:t>Në përgjithësi, shumica e qyteteve të kontaktuara në këtë proces të palëve të interesuara kanë qasje të kufizuar në ujë. Orari i furnizimit me ujë në shtëpi varion nga 2</w:t>
      </w:r>
      <w:r w:rsidR="003A2E19" w:rsidRPr="00445472">
        <w:t>–</w:t>
      </w:r>
      <w:r w:rsidRPr="00445472">
        <w:t>12 orë në ditë dhe është edhe më i kufizuar gjatë periudhës së verës, që është një sezon i thatë në Shqipëri.</w:t>
      </w:r>
    </w:p>
    <w:p w14:paraId="1620DC06" w14:textId="77777777" w:rsidR="007956E6" w:rsidRPr="00445472" w:rsidRDefault="007956E6" w:rsidP="007956E6">
      <w:pPr>
        <w:pStyle w:val="TEKSTIIII"/>
      </w:pPr>
    </w:p>
    <w:p w14:paraId="05A59206" w14:textId="77777777" w:rsidR="007956E6" w:rsidRPr="00445472" w:rsidRDefault="007956E6" w:rsidP="007956E6">
      <w:pPr>
        <w:pStyle w:val="NENTITULL"/>
      </w:pPr>
      <w:r w:rsidRPr="00445472">
        <w:t>Table 13.5: Problemet kryesore</w:t>
      </w:r>
    </w:p>
    <w:tbl>
      <w:tblPr>
        <w:tblpPr w:leftFromText="180" w:rightFromText="180" w:vertAnchor="text" w:tblpY="1"/>
        <w:tblOverlap w:val="neve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067"/>
        <w:gridCol w:w="958"/>
        <w:gridCol w:w="1403"/>
        <w:gridCol w:w="1530"/>
        <w:gridCol w:w="4329"/>
      </w:tblGrid>
      <w:tr w:rsidR="007956E6" w:rsidRPr="00445472" w14:paraId="01DD7081" w14:textId="77777777" w:rsidTr="007956E6">
        <w:trPr>
          <w:trHeight w:val="480"/>
          <w:tblHeader/>
        </w:trPr>
        <w:tc>
          <w:tcPr>
            <w:tcW w:w="463" w:type="pct"/>
            <w:tcBorders>
              <w:bottom w:val="single" w:sz="4" w:space="0" w:color="27B1B0"/>
            </w:tcBorders>
            <w:shd w:val="clear" w:color="auto" w:fill="D4D4D4"/>
            <w:noWrap/>
            <w:vAlign w:val="center"/>
            <w:hideMark/>
          </w:tcPr>
          <w:p w14:paraId="3BDF9A5D"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Baseni</w:t>
            </w:r>
          </w:p>
        </w:tc>
        <w:tc>
          <w:tcPr>
            <w:tcW w:w="544" w:type="pct"/>
            <w:tcBorders>
              <w:bottom w:val="single" w:sz="4" w:space="0" w:color="27B1B0"/>
            </w:tcBorders>
            <w:shd w:val="clear" w:color="auto" w:fill="D4D4D4"/>
            <w:noWrap/>
            <w:vAlign w:val="center"/>
            <w:hideMark/>
          </w:tcPr>
          <w:p w14:paraId="0C31C5BE"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Qyteti</w:t>
            </w:r>
          </w:p>
        </w:tc>
        <w:tc>
          <w:tcPr>
            <w:tcW w:w="777" w:type="pct"/>
            <w:tcBorders>
              <w:bottom w:val="single" w:sz="4" w:space="0" w:color="27B1B0"/>
            </w:tcBorders>
            <w:shd w:val="clear" w:color="auto" w:fill="D4D4D4"/>
            <w:vAlign w:val="center"/>
            <w:hideMark/>
          </w:tcPr>
          <w:p w14:paraId="6C7BC956"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Njësia Administrative</w:t>
            </w:r>
          </w:p>
        </w:tc>
        <w:tc>
          <w:tcPr>
            <w:tcW w:w="858" w:type="pct"/>
            <w:tcBorders>
              <w:bottom w:val="single" w:sz="4" w:space="0" w:color="27B1B0"/>
            </w:tcBorders>
            <w:shd w:val="clear" w:color="auto" w:fill="D4D4D4"/>
            <w:vAlign w:val="center"/>
            <w:hideMark/>
          </w:tcPr>
          <w:p w14:paraId="63E7D4BD"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Furnizimi me ujë në shtëpi</w:t>
            </w:r>
          </w:p>
          <w:p w14:paraId="4FD93119"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(Orët mesatare)</w:t>
            </w:r>
          </w:p>
        </w:tc>
        <w:tc>
          <w:tcPr>
            <w:tcW w:w="2358" w:type="pct"/>
            <w:tcBorders>
              <w:bottom w:val="single" w:sz="4" w:space="0" w:color="27B1B0"/>
            </w:tcBorders>
            <w:shd w:val="clear" w:color="auto" w:fill="D4D4D4"/>
            <w:vAlign w:val="center"/>
            <w:hideMark/>
          </w:tcPr>
          <w:p w14:paraId="5A3D6F23"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Problemet me furnizimin me ujë</w:t>
            </w:r>
          </w:p>
        </w:tc>
      </w:tr>
      <w:tr w:rsidR="007956E6" w:rsidRPr="00445472" w14:paraId="7A79B88E" w14:textId="77777777" w:rsidTr="007956E6">
        <w:trPr>
          <w:trHeight w:val="408"/>
        </w:trPr>
        <w:tc>
          <w:tcPr>
            <w:tcW w:w="463" w:type="pct"/>
            <w:vMerge w:val="restart"/>
            <w:shd w:val="clear" w:color="auto" w:fill="auto"/>
            <w:noWrap/>
            <w:vAlign w:val="center"/>
            <w:hideMark/>
          </w:tcPr>
          <w:p w14:paraId="2731AFB9" w14:textId="3063C351" w:rsidR="007956E6" w:rsidRPr="00445472" w:rsidRDefault="007E76E3" w:rsidP="002A1F08">
            <w:pPr>
              <w:spacing w:before="22" w:after="22"/>
              <w:ind w:right="63"/>
              <w:jc w:val="center"/>
              <w:rPr>
                <w:rFonts w:ascii="Garamond" w:hAnsi="Garamond" w:cs="Arial"/>
                <w:sz w:val="18"/>
                <w:szCs w:val="18"/>
              </w:rPr>
            </w:pPr>
            <w:r w:rsidRPr="00445472">
              <w:rPr>
                <w:rFonts w:ascii="Garamond" w:hAnsi="Garamond" w:cs="Arial"/>
                <w:sz w:val="18"/>
                <w:szCs w:val="18"/>
              </w:rPr>
              <w:t>Drin–Bunë</w:t>
            </w:r>
          </w:p>
        </w:tc>
        <w:tc>
          <w:tcPr>
            <w:tcW w:w="544" w:type="pct"/>
            <w:vMerge w:val="restart"/>
            <w:shd w:val="clear" w:color="auto" w:fill="auto"/>
            <w:noWrap/>
            <w:vAlign w:val="center"/>
            <w:hideMark/>
          </w:tcPr>
          <w:p w14:paraId="382F2227"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Shkodër</w:t>
            </w:r>
          </w:p>
        </w:tc>
        <w:tc>
          <w:tcPr>
            <w:tcW w:w="777" w:type="pct"/>
            <w:vMerge w:val="restart"/>
            <w:shd w:val="clear" w:color="auto" w:fill="auto"/>
            <w:noWrap/>
            <w:vAlign w:val="center"/>
            <w:hideMark/>
          </w:tcPr>
          <w:p w14:paraId="033E09C3" w14:textId="77777777" w:rsidR="007956E6" w:rsidRPr="00445472" w:rsidRDefault="007956E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Shirq</w:t>
            </w:r>
          </w:p>
        </w:tc>
        <w:tc>
          <w:tcPr>
            <w:tcW w:w="858" w:type="pct"/>
            <w:vMerge w:val="restart"/>
            <w:shd w:val="clear" w:color="auto" w:fill="auto"/>
            <w:noWrap/>
            <w:vAlign w:val="center"/>
            <w:hideMark/>
          </w:tcPr>
          <w:p w14:paraId="7E093E46"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0 orë</w:t>
            </w:r>
          </w:p>
        </w:tc>
        <w:tc>
          <w:tcPr>
            <w:tcW w:w="2358" w:type="pct"/>
            <w:vMerge w:val="restart"/>
            <w:shd w:val="clear" w:color="auto" w:fill="auto"/>
            <w:vAlign w:val="center"/>
            <w:hideMark/>
          </w:tcPr>
          <w:p w14:paraId="43A70BBA" w14:textId="5F20C7AE" w:rsidR="007956E6" w:rsidRPr="00445472" w:rsidRDefault="007956E6" w:rsidP="002A1F08">
            <w:pPr>
              <w:spacing w:before="22" w:after="22"/>
              <w:ind w:right="63"/>
              <w:rPr>
                <w:rFonts w:ascii="Garamond" w:hAnsi="Garamond" w:cs="Arial"/>
                <w:sz w:val="18"/>
                <w:szCs w:val="18"/>
              </w:rPr>
            </w:pPr>
            <w:r w:rsidRPr="00445472">
              <w:rPr>
                <w:rFonts w:ascii="Garamond" w:hAnsi="Garamond" w:cs="Arial"/>
                <w:sz w:val="18"/>
                <w:szCs w:val="18"/>
              </w:rPr>
              <w:t>Banorët përmes përdorimit të puseve zgjidhin personalisht mungesën e furnizimit me ujë</w:t>
            </w:r>
            <w:r w:rsidR="003A2E19" w:rsidRPr="00445472">
              <w:rPr>
                <w:rFonts w:ascii="Garamond" w:hAnsi="Garamond" w:cs="Arial"/>
                <w:sz w:val="18"/>
                <w:szCs w:val="18"/>
              </w:rPr>
              <w:t>, ujë i cili, megjithatë, nuk ë</w:t>
            </w:r>
            <w:r w:rsidRPr="00445472">
              <w:rPr>
                <w:rFonts w:ascii="Garamond" w:hAnsi="Garamond" w:cs="Arial"/>
                <w:sz w:val="18"/>
                <w:szCs w:val="18"/>
              </w:rPr>
              <w:t>shtë i pijshëm.</w:t>
            </w:r>
          </w:p>
        </w:tc>
      </w:tr>
      <w:tr w:rsidR="007956E6" w:rsidRPr="00445472" w14:paraId="7841DACE" w14:textId="77777777" w:rsidTr="007956E6">
        <w:trPr>
          <w:trHeight w:val="408"/>
        </w:trPr>
        <w:tc>
          <w:tcPr>
            <w:tcW w:w="463" w:type="pct"/>
            <w:vMerge/>
            <w:shd w:val="clear" w:color="auto" w:fill="auto"/>
            <w:vAlign w:val="center"/>
            <w:hideMark/>
          </w:tcPr>
          <w:p w14:paraId="2AAA258F"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5C6FB018"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43C37E0E"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3DC7CA29"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34A35007" w14:textId="77777777" w:rsidR="007956E6" w:rsidRPr="00445472" w:rsidRDefault="007956E6" w:rsidP="002A1F08">
            <w:pPr>
              <w:spacing w:before="22" w:after="22"/>
              <w:ind w:right="63"/>
              <w:rPr>
                <w:rFonts w:ascii="Garamond" w:hAnsi="Garamond" w:cs="Arial"/>
                <w:sz w:val="18"/>
                <w:szCs w:val="18"/>
              </w:rPr>
            </w:pPr>
          </w:p>
        </w:tc>
      </w:tr>
      <w:tr w:rsidR="007956E6" w:rsidRPr="00445472" w14:paraId="3ACB2DB7" w14:textId="77777777" w:rsidTr="007956E6">
        <w:trPr>
          <w:trHeight w:val="408"/>
        </w:trPr>
        <w:tc>
          <w:tcPr>
            <w:tcW w:w="463" w:type="pct"/>
            <w:vMerge/>
            <w:shd w:val="clear" w:color="auto" w:fill="auto"/>
            <w:vAlign w:val="center"/>
            <w:hideMark/>
          </w:tcPr>
          <w:p w14:paraId="11740EDE"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2C6B2235"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val="restart"/>
            <w:shd w:val="clear" w:color="auto" w:fill="auto"/>
            <w:vAlign w:val="center"/>
            <w:hideMark/>
          </w:tcPr>
          <w:p w14:paraId="250C10A4" w14:textId="77777777" w:rsidR="007956E6" w:rsidRPr="00445472" w:rsidRDefault="007956E6" w:rsidP="002A1F08">
            <w:pPr>
              <w:spacing w:before="22" w:after="22"/>
              <w:ind w:right="63"/>
              <w:jc w:val="center"/>
              <w:rPr>
                <w:rFonts w:ascii="Garamond" w:eastAsia="MS Mincho" w:hAnsi="Garamond" w:cs="Arial"/>
                <w:sz w:val="18"/>
                <w:szCs w:val="18"/>
              </w:rPr>
            </w:pPr>
            <w:r w:rsidRPr="00445472">
              <w:rPr>
                <w:rFonts w:ascii="Garamond" w:eastAsia="MS Mincho" w:hAnsi="Garamond" w:cs="Arial"/>
                <w:sz w:val="18"/>
                <w:szCs w:val="18"/>
              </w:rPr>
              <w:t>Dajç</w:t>
            </w:r>
          </w:p>
        </w:tc>
        <w:tc>
          <w:tcPr>
            <w:tcW w:w="858" w:type="pct"/>
            <w:vMerge w:val="restart"/>
            <w:shd w:val="clear" w:color="auto" w:fill="auto"/>
            <w:noWrap/>
            <w:vAlign w:val="center"/>
            <w:hideMark/>
          </w:tcPr>
          <w:p w14:paraId="5AE71EB2"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0 orë</w:t>
            </w:r>
          </w:p>
        </w:tc>
        <w:tc>
          <w:tcPr>
            <w:tcW w:w="2358" w:type="pct"/>
            <w:vMerge w:val="restart"/>
            <w:shd w:val="clear" w:color="auto" w:fill="auto"/>
            <w:vAlign w:val="center"/>
            <w:hideMark/>
          </w:tcPr>
          <w:p w14:paraId="6F917890"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Nuk ka shërbim të furnizimit me ujë. Popullsia ka ndërmarrë hapa për këtë problem duke hapur puse personale në shtëpinë e tyre. Nga analizat e kryera ky ujë nuk është i pijshëm sepse është i pasur me nitrate. Nga një studim eksperimental i kryer nga qendra shëndetësore mbi banorët, përdorimi i këtij uji lidhet drejtpërdrejt me probleme të ndryshme shëndetësore</w:t>
            </w:r>
            <w:r w:rsidRPr="00445472">
              <w:rPr>
                <w:rFonts w:ascii="Garamond" w:hAnsi="Garamond" w:cs="Arial"/>
                <w:sz w:val="18"/>
                <w:szCs w:val="18"/>
              </w:rPr>
              <w:t>.</w:t>
            </w:r>
          </w:p>
        </w:tc>
      </w:tr>
      <w:tr w:rsidR="007956E6" w:rsidRPr="00445472" w14:paraId="481BE697" w14:textId="77777777" w:rsidTr="007956E6">
        <w:trPr>
          <w:trHeight w:val="408"/>
        </w:trPr>
        <w:tc>
          <w:tcPr>
            <w:tcW w:w="463" w:type="pct"/>
            <w:vMerge/>
            <w:shd w:val="clear" w:color="auto" w:fill="auto"/>
            <w:vAlign w:val="center"/>
            <w:hideMark/>
          </w:tcPr>
          <w:p w14:paraId="1FA593A2"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2E1D72A3"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3AC3A750"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7EF68891"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52E22114" w14:textId="77777777" w:rsidR="007956E6" w:rsidRPr="00445472" w:rsidRDefault="007956E6" w:rsidP="002A1F08">
            <w:pPr>
              <w:spacing w:before="22" w:after="22"/>
              <w:ind w:right="63"/>
              <w:rPr>
                <w:rFonts w:ascii="Garamond" w:hAnsi="Garamond" w:cs="Arial"/>
                <w:sz w:val="18"/>
                <w:szCs w:val="18"/>
              </w:rPr>
            </w:pPr>
          </w:p>
        </w:tc>
      </w:tr>
      <w:tr w:rsidR="007956E6" w:rsidRPr="00445472" w14:paraId="5DA95310" w14:textId="77777777" w:rsidTr="007956E6">
        <w:trPr>
          <w:trHeight w:val="408"/>
        </w:trPr>
        <w:tc>
          <w:tcPr>
            <w:tcW w:w="463" w:type="pct"/>
            <w:vMerge/>
            <w:shd w:val="clear" w:color="auto" w:fill="auto"/>
            <w:vAlign w:val="center"/>
            <w:hideMark/>
          </w:tcPr>
          <w:p w14:paraId="7169FF07"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0A699706"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0FD36ED0"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3D4EECCA"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17DEE950" w14:textId="77777777" w:rsidR="007956E6" w:rsidRPr="00445472" w:rsidRDefault="007956E6" w:rsidP="002A1F08">
            <w:pPr>
              <w:spacing w:before="22" w:after="22"/>
              <w:ind w:right="63"/>
              <w:rPr>
                <w:rFonts w:ascii="Garamond" w:hAnsi="Garamond" w:cs="Arial"/>
                <w:sz w:val="18"/>
                <w:szCs w:val="18"/>
              </w:rPr>
            </w:pPr>
          </w:p>
        </w:tc>
      </w:tr>
      <w:tr w:rsidR="007956E6" w:rsidRPr="00445472" w14:paraId="71E1C916" w14:textId="77777777" w:rsidTr="007956E6">
        <w:trPr>
          <w:trHeight w:val="408"/>
        </w:trPr>
        <w:tc>
          <w:tcPr>
            <w:tcW w:w="463" w:type="pct"/>
            <w:vMerge/>
            <w:shd w:val="clear" w:color="auto" w:fill="auto"/>
            <w:vAlign w:val="center"/>
            <w:hideMark/>
          </w:tcPr>
          <w:p w14:paraId="43E48513"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30D1F1D6"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0137609C"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4481E72F"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468EDDDA" w14:textId="77777777" w:rsidR="007956E6" w:rsidRPr="00445472" w:rsidRDefault="007956E6" w:rsidP="002A1F08">
            <w:pPr>
              <w:spacing w:before="22" w:after="22"/>
              <w:ind w:right="63"/>
              <w:rPr>
                <w:rFonts w:ascii="Garamond" w:hAnsi="Garamond" w:cs="Arial"/>
                <w:sz w:val="18"/>
                <w:szCs w:val="18"/>
              </w:rPr>
            </w:pPr>
          </w:p>
        </w:tc>
      </w:tr>
      <w:tr w:rsidR="007956E6" w:rsidRPr="00445472" w14:paraId="2F2DA706" w14:textId="77777777" w:rsidTr="007956E6">
        <w:trPr>
          <w:trHeight w:val="408"/>
        </w:trPr>
        <w:tc>
          <w:tcPr>
            <w:tcW w:w="463" w:type="pct"/>
            <w:vMerge/>
            <w:shd w:val="clear" w:color="auto" w:fill="auto"/>
            <w:vAlign w:val="center"/>
            <w:hideMark/>
          </w:tcPr>
          <w:p w14:paraId="7DEC4979"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val="restart"/>
            <w:shd w:val="clear" w:color="auto" w:fill="auto"/>
            <w:noWrap/>
            <w:vAlign w:val="center"/>
            <w:hideMark/>
          </w:tcPr>
          <w:p w14:paraId="6CCBAA27"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Lezhë</w:t>
            </w:r>
          </w:p>
        </w:tc>
        <w:tc>
          <w:tcPr>
            <w:tcW w:w="777" w:type="pct"/>
            <w:vMerge w:val="restart"/>
            <w:shd w:val="clear" w:color="auto" w:fill="auto"/>
            <w:noWrap/>
            <w:vAlign w:val="center"/>
            <w:hideMark/>
          </w:tcPr>
          <w:p w14:paraId="5C4B9C78"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Gjadër</w:t>
            </w:r>
          </w:p>
        </w:tc>
        <w:tc>
          <w:tcPr>
            <w:tcW w:w="858" w:type="pct"/>
            <w:vMerge w:val="restart"/>
            <w:shd w:val="clear" w:color="auto" w:fill="auto"/>
            <w:noWrap/>
            <w:vAlign w:val="center"/>
            <w:hideMark/>
          </w:tcPr>
          <w:p w14:paraId="5BBE7CA3"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 xml:space="preserve">6 orë  </w:t>
            </w:r>
          </w:p>
        </w:tc>
        <w:tc>
          <w:tcPr>
            <w:tcW w:w="2358" w:type="pct"/>
            <w:vMerge w:val="restart"/>
            <w:shd w:val="clear" w:color="auto" w:fill="auto"/>
            <w:vAlign w:val="center"/>
            <w:hideMark/>
          </w:tcPr>
          <w:p w14:paraId="35C05946"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Furnizimi me ujë ndodh dy herë në ditë, për rreth 3 orë secila. Kjo mungesë është një shqetësim serioz për fermerët lokalë, të cilët kanë investuar personalisht me hapjen e puseve private në vendin e tyre. Në të njëjtën kohë, ata gjithashtu përmendin mungesën e funksionimit të kanaleve të ujitjes</w:t>
            </w:r>
            <w:r w:rsidRPr="00445472">
              <w:rPr>
                <w:rFonts w:ascii="Garamond" w:hAnsi="Garamond" w:cs="Arial"/>
                <w:sz w:val="18"/>
                <w:szCs w:val="18"/>
              </w:rPr>
              <w:t xml:space="preserve">. </w:t>
            </w:r>
          </w:p>
        </w:tc>
      </w:tr>
      <w:tr w:rsidR="007956E6" w:rsidRPr="00445472" w14:paraId="376D602C" w14:textId="77777777" w:rsidTr="007956E6">
        <w:trPr>
          <w:trHeight w:val="408"/>
        </w:trPr>
        <w:tc>
          <w:tcPr>
            <w:tcW w:w="463" w:type="pct"/>
            <w:vMerge/>
            <w:shd w:val="clear" w:color="auto" w:fill="auto"/>
            <w:vAlign w:val="center"/>
            <w:hideMark/>
          </w:tcPr>
          <w:p w14:paraId="056D6DCC"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5219CBB4"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42A892C1"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5812D233"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6516D16E" w14:textId="77777777" w:rsidR="007956E6" w:rsidRPr="00445472" w:rsidRDefault="007956E6" w:rsidP="002A1F08">
            <w:pPr>
              <w:spacing w:before="22" w:after="22"/>
              <w:ind w:right="63"/>
              <w:rPr>
                <w:rFonts w:ascii="Garamond" w:hAnsi="Garamond" w:cs="Arial"/>
                <w:sz w:val="18"/>
                <w:szCs w:val="18"/>
              </w:rPr>
            </w:pPr>
          </w:p>
        </w:tc>
      </w:tr>
      <w:tr w:rsidR="007956E6" w:rsidRPr="00445472" w14:paraId="6758AB17" w14:textId="77777777" w:rsidTr="007956E6">
        <w:trPr>
          <w:trHeight w:val="408"/>
        </w:trPr>
        <w:tc>
          <w:tcPr>
            <w:tcW w:w="463" w:type="pct"/>
            <w:vMerge/>
            <w:shd w:val="clear" w:color="auto" w:fill="auto"/>
            <w:vAlign w:val="center"/>
            <w:hideMark/>
          </w:tcPr>
          <w:p w14:paraId="7A0F5172"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38B47DF9"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7F518129"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74D4FB93"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29C43602" w14:textId="77777777" w:rsidR="007956E6" w:rsidRPr="00445472" w:rsidRDefault="007956E6" w:rsidP="002A1F08">
            <w:pPr>
              <w:spacing w:before="22" w:after="22"/>
              <w:ind w:right="63"/>
              <w:jc w:val="center"/>
              <w:rPr>
                <w:rFonts w:ascii="Garamond" w:hAnsi="Garamond" w:cs="Arial"/>
                <w:sz w:val="18"/>
                <w:szCs w:val="18"/>
              </w:rPr>
            </w:pPr>
          </w:p>
        </w:tc>
      </w:tr>
      <w:tr w:rsidR="007956E6" w:rsidRPr="00445472" w14:paraId="16F9D5E5" w14:textId="77777777" w:rsidTr="007956E6">
        <w:trPr>
          <w:trHeight w:val="408"/>
        </w:trPr>
        <w:tc>
          <w:tcPr>
            <w:tcW w:w="463" w:type="pct"/>
            <w:vMerge/>
            <w:shd w:val="clear" w:color="auto" w:fill="auto"/>
            <w:vAlign w:val="center"/>
            <w:hideMark/>
          </w:tcPr>
          <w:p w14:paraId="4FA86C51" w14:textId="77777777" w:rsidR="007956E6" w:rsidRPr="00445472" w:rsidRDefault="007956E6" w:rsidP="002A1F08">
            <w:pPr>
              <w:spacing w:before="22" w:after="22"/>
              <w:ind w:right="63"/>
              <w:jc w:val="center"/>
              <w:rPr>
                <w:rFonts w:ascii="Garamond" w:hAnsi="Garamond" w:cs="Arial"/>
                <w:sz w:val="18"/>
                <w:szCs w:val="18"/>
              </w:rPr>
            </w:pPr>
          </w:p>
        </w:tc>
        <w:tc>
          <w:tcPr>
            <w:tcW w:w="544" w:type="pct"/>
            <w:vMerge/>
            <w:shd w:val="clear" w:color="auto" w:fill="auto"/>
            <w:vAlign w:val="center"/>
            <w:hideMark/>
          </w:tcPr>
          <w:p w14:paraId="0B504CE6" w14:textId="77777777" w:rsidR="007956E6" w:rsidRPr="00445472" w:rsidRDefault="007956E6" w:rsidP="002A1F08">
            <w:pPr>
              <w:spacing w:before="22" w:after="22"/>
              <w:ind w:right="63"/>
              <w:jc w:val="center"/>
              <w:rPr>
                <w:rFonts w:ascii="Garamond" w:hAnsi="Garamond" w:cs="Arial"/>
                <w:sz w:val="18"/>
                <w:szCs w:val="18"/>
              </w:rPr>
            </w:pPr>
          </w:p>
        </w:tc>
        <w:tc>
          <w:tcPr>
            <w:tcW w:w="777" w:type="pct"/>
            <w:vMerge/>
            <w:shd w:val="clear" w:color="auto" w:fill="auto"/>
            <w:vAlign w:val="center"/>
            <w:hideMark/>
          </w:tcPr>
          <w:p w14:paraId="22A2D57E" w14:textId="77777777" w:rsidR="007956E6" w:rsidRPr="00445472" w:rsidRDefault="007956E6" w:rsidP="002A1F08">
            <w:pPr>
              <w:spacing w:before="22" w:after="22"/>
              <w:ind w:right="63"/>
              <w:jc w:val="center"/>
              <w:rPr>
                <w:rFonts w:ascii="Garamond" w:hAnsi="Garamond" w:cs="Arial"/>
                <w:sz w:val="18"/>
                <w:szCs w:val="18"/>
              </w:rPr>
            </w:pPr>
          </w:p>
        </w:tc>
        <w:tc>
          <w:tcPr>
            <w:tcW w:w="858" w:type="pct"/>
            <w:vMerge/>
            <w:shd w:val="clear" w:color="auto" w:fill="auto"/>
            <w:vAlign w:val="center"/>
            <w:hideMark/>
          </w:tcPr>
          <w:p w14:paraId="5BE5169E" w14:textId="77777777" w:rsidR="007956E6" w:rsidRPr="00445472" w:rsidRDefault="007956E6" w:rsidP="002A1F08">
            <w:pPr>
              <w:spacing w:before="22" w:after="22"/>
              <w:ind w:right="63"/>
              <w:jc w:val="center"/>
              <w:rPr>
                <w:rFonts w:ascii="Garamond" w:hAnsi="Garamond" w:cs="Arial"/>
                <w:sz w:val="18"/>
                <w:szCs w:val="18"/>
              </w:rPr>
            </w:pPr>
          </w:p>
        </w:tc>
        <w:tc>
          <w:tcPr>
            <w:tcW w:w="2358" w:type="pct"/>
            <w:vMerge/>
            <w:shd w:val="clear" w:color="auto" w:fill="auto"/>
            <w:vAlign w:val="center"/>
            <w:hideMark/>
          </w:tcPr>
          <w:p w14:paraId="7EA18F0D" w14:textId="77777777" w:rsidR="007956E6" w:rsidRPr="00445472" w:rsidRDefault="007956E6" w:rsidP="002A1F08">
            <w:pPr>
              <w:spacing w:before="22" w:after="22"/>
              <w:ind w:right="63"/>
              <w:jc w:val="center"/>
              <w:rPr>
                <w:rFonts w:ascii="Garamond" w:hAnsi="Garamond" w:cs="Arial"/>
                <w:sz w:val="18"/>
                <w:szCs w:val="18"/>
              </w:rPr>
            </w:pPr>
          </w:p>
        </w:tc>
      </w:tr>
    </w:tbl>
    <w:p w14:paraId="098F6286" w14:textId="77777777" w:rsidR="007956E6" w:rsidRPr="00445472" w:rsidRDefault="007956E6" w:rsidP="007956E6">
      <w:pPr>
        <w:pStyle w:val="TEKSTIIII"/>
      </w:pPr>
    </w:p>
    <w:p w14:paraId="5CC36839" w14:textId="0A1D3831" w:rsidR="007956E6" w:rsidRPr="00445472" w:rsidRDefault="007956E6" w:rsidP="007956E6">
      <w:pPr>
        <w:pStyle w:val="TEKSTIIII"/>
      </w:pPr>
      <w:r w:rsidRPr="00445472">
        <w:t xml:space="preserve">Në Tabelën 13.6 më poshtë identifikohen çështjet në bazë të grupeve të </w:t>
      </w:r>
      <w:r w:rsidR="00034FBB">
        <w:t>veçanta, me fokus të veçantë te</w:t>
      </w:r>
      <w:r w:rsidRPr="00445472">
        <w:t xml:space="preserve"> gratë dhe fermerët, por gjithashtu identifikohen edhe grupe të tjera.</w:t>
      </w:r>
    </w:p>
    <w:p w14:paraId="4F823FBA" w14:textId="77777777" w:rsidR="007956E6" w:rsidRPr="00445472" w:rsidRDefault="007956E6" w:rsidP="007956E6">
      <w:pPr>
        <w:pStyle w:val="TEKSTIIII"/>
      </w:pPr>
    </w:p>
    <w:p w14:paraId="52D3A76C" w14:textId="77777777" w:rsidR="007956E6" w:rsidRPr="00445472" w:rsidRDefault="007956E6" w:rsidP="007956E6">
      <w:pPr>
        <w:pStyle w:val="NENTITULL"/>
      </w:pPr>
      <w:r w:rsidRPr="00445472">
        <w:t>Tabela 13.6: Çështjet kryesore të grupeve të veçanta</w:t>
      </w:r>
    </w:p>
    <w:tbl>
      <w:tblPr>
        <w:tblW w:w="9542"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920"/>
        <w:gridCol w:w="1000"/>
        <w:gridCol w:w="1580"/>
        <w:gridCol w:w="1931"/>
        <w:gridCol w:w="4111"/>
      </w:tblGrid>
      <w:tr w:rsidR="007956E6" w:rsidRPr="00445472" w14:paraId="4D0A0C35" w14:textId="77777777" w:rsidTr="002A1F08">
        <w:trPr>
          <w:trHeight w:val="480"/>
          <w:tblHeader/>
          <w:jc w:val="center"/>
        </w:trPr>
        <w:tc>
          <w:tcPr>
            <w:tcW w:w="920" w:type="dxa"/>
            <w:shd w:val="clear" w:color="auto" w:fill="D4D4D4"/>
            <w:noWrap/>
            <w:vAlign w:val="center"/>
            <w:hideMark/>
          </w:tcPr>
          <w:p w14:paraId="1CCAC6CF"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Baseni</w:t>
            </w:r>
          </w:p>
        </w:tc>
        <w:tc>
          <w:tcPr>
            <w:tcW w:w="1000" w:type="dxa"/>
            <w:shd w:val="clear" w:color="auto" w:fill="D4D4D4"/>
            <w:noWrap/>
            <w:vAlign w:val="center"/>
            <w:hideMark/>
          </w:tcPr>
          <w:p w14:paraId="2A39AE3F"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Qyteti</w:t>
            </w:r>
          </w:p>
        </w:tc>
        <w:tc>
          <w:tcPr>
            <w:tcW w:w="1580" w:type="dxa"/>
            <w:shd w:val="clear" w:color="auto" w:fill="D4D4D4"/>
            <w:vAlign w:val="center"/>
            <w:hideMark/>
          </w:tcPr>
          <w:p w14:paraId="01DE5F76"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Njësia Administrative</w:t>
            </w:r>
          </w:p>
        </w:tc>
        <w:tc>
          <w:tcPr>
            <w:tcW w:w="1931" w:type="dxa"/>
            <w:shd w:val="clear" w:color="auto" w:fill="D4D4D4"/>
            <w:vAlign w:val="center"/>
            <w:hideMark/>
          </w:tcPr>
          <w:p w14:paraId="4B00EAAA"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Grupi i fokusit ose informatorët kryesorë</w:t>
            </w:r>
          </w:p>
        </w:tc>
        <w:tc>
          <w:tcPr>
            <w:tcW w:w="4111" w:type="dxa"/>
            <w:shd w:val="clear" w:color="auto" w:fill="D4D4D4"/>
            <w:noWrap/>
            <w:vAlign w:val="center"/>
            <w:hideMark/>
          </w:tcPr>
          <w:p w14:paraId="7D374975" w14:textId="77777777" w:rsidR="007956E6" w:rsidRPr="00445472" w:rsidRDefault="007956E6" w:rsidP="002A1F08">
            <w:pPr>
              <w:spacing w:before="22" w:after="22"/>
              <w:ind w:right="63"/>
              <w:jc w:val="center"/>
              <w:rPr>
                <w:rFonts w:ascii="Garamond" w:eastAsia="MS Mincho" w:hAnsi="Garamond" w:cs="Arial"/>
                <w:b/>
                <w:sz w:val="18"/>
                <w:szCs w:val="18"/>
              </w:rPr>
            </w:pPr>
            <w:r w:rsidRPr="00445472">
              <w:rPr>
                <w:rFonts w:ascii="Garamond" w:eastAsia="MS Mincho" w:hAnsi="Garamond" w:cs="Arial"/>
                <w:b/>
                <w:sz w:val="18"/>
                <w:szCs w:val="18"/>
              </w:rPr>
              <w:t>Çështjet kryesore</w:t>
            </w:r>
          </w:p>
        </w:tc>
      </w:tr>
      <w:tr w:rsidR="007956E6" w:rsidRPr="00445472" w14:paraId="62C1AEBD" w14:textId="77777777" w:rsidTr="002A1F08">
        <w:trPr>
          <w:trHeight w:val="977"/>
          <w:jc w:val="center"/>
        </w:trPr>
        <w:tc>
          <w:tcPr>
            <w:tcW w:w="920" w:type="dxa"/>
            <w:vMerge w:val="restart"/>
            <w:shd w:val="clear" w:color="auto" w:fill="auto"/>
            <w:noWrap/>
            <w:vAlign w:val="center"/>
            <w:hideMark/>
          </w:tcPr>
          <w:p w14:paraId="15832D17" w14:textId="49BC551E" w:rsidR="007956E6" w:rsidRPr="00445472" w:rsidRDefault="007E76E3" w:rsidP="002A1F08">
            <w:pPr>
              <w:spacing w:before="22" w:after="22"/>
              <w:ind w:right="63"/>
              <w:jc w:val="center"/>
              <w:rPr>
                <w:rFonts w:ascii="Garamond" w:hAnsi="Garamond" w:cs="Arial"/>
                <w:sz w:val="18"/>
                <w:szCs w:val="18"/>
              </w:rPr>
            </w:pPr>
            <w:r w:rsidRPr="00445472">
              <w:rPr>
                <w:rFonts w:ascii="Garamond" w:hAnsi="Garamond" w:cs="Arial"/>
                <w:sz w:val="18"/>
                <w:szCs w:val="18"/>
              </w:rPr>
              <w:t>Drin–Bunë</w:t>
            </w:r>
          </w:p>
        </w:tc>
        <w:tc>
          <w:tcPr>
            <w:tcW w:w="1000" w:type="dxa"/>
            <w:vMerge w:val="restart"/>
            <w:shd w:val="clear" w:color="auto" w:fill="auto"/>
            <w:noWrap/>
            <w:vAlign w:val="center"/>
            <w:hideMark/>
          </w:tcPr>
          <w:p w14:paraId="64658B0B" w14:textId="77777777" w:rsidR="007956E6" w:rsidRPr="00445472" w:rsidRDefault="007956E6" w:rsidP="002A1F08">
            <w:pPr>
              <w:spacing w:before="22" w:after="22"/>
              <w:ind w:right="63"/>
              <w:jc w:val="center"/>
              <w:rPr>
                <w:rFonts w:ascii="Garamond" w:hAnsi="Garamond" w:cs="Arial"/>
                <w:sz w:val="18"/>
                <w:szCs w:val="18"/>
                <w:lang w:eastAsia="zh-CN"/>
              </w:rPr>
            </w:pPr>
            <w:r w:rsidRPr="00445472">
              <w:rPr>
                <w:rFonts w:ascii="Garamond" w:hAnsi="Garamond" w:cs="Arial"/>
                <w:sz w:val="18"/>
                <w:szCs w:val="18"/>
              </w:rPr>
              <w:t>Shkodër</w:t>
            </w:r>
          </w:p>
        </w:tc>
        <w:tc>
          <w:tcPr>
            <w:tcW w:w="1580" w:type="dxa"/>
            <w:vMerge w:val="restart"/>
            <w:shd w:val="clear" w:color="auto" w:fill="auto"/>
            <w:noWrap/>
            <w:vAlign w:val="center"/>
            <w:hideMark/>
          </w:tcPr>
          <w:p w14:paraId="26940DF9"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Shirq</w:t>
            </w:r>
          </w:p>
        </w:tc>
        <w:tc>
          <w:tcPr>
            <w:tcW w:w="1931" w:type="dxa"/>
            <w:shd w:val="clear" w:color="auto" w:fill="auto"/>
            <w:noWrap/>
            <w:vAlign w:val="center"/>
            <w:hideMark/>
          </w:tcPr>
          <w:p w14:paraId="18E8CF4B"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Të moshuarit</w:t>
            </w:r>
          </w:p>
        </w:tc>
        <w:tc>
          <w:tcPr>
            <w:tcW w:w="4111" w:type="dxa"/>
            <w:shd w:val="clear" w:color="auto" w:fill="auto"/>
            <w:vAlign w:val="center"/>
            <w:hideMark/>
          </w:tcPr>
          <w:p w14:paraId="36652ED0"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Numri i të moshuarve në vitet e fundit ka ndryshuar që kur fëmijët e tyre duan të jetojnë me ta. Ata marrin pensione pleqërie nga qeveria, të cilat nuk janë të mjaftueshme për të përballuar shpenzimet e nevojshme. Disa prej tyre ndihmohen ekonomikisht nga fëmijët që punojnë në vende të tjera. Problemi është shërbimi i kujdesit shëndetësor deri në orën 2, në vend që të ishte 24 orësh. Shërbimi për këtë zonë mbulohet nga qendra shëndetësore Dajç 16/24</w:t>
            </w:r>
          </w:p>
        </w:tc>
      </w:tr>
      <w:tr w:rsidR="007956E6" w:rsidRPr="00445472" w14:paraId="57189517" w14:textId="77777777" w:rsidTr="002A1F08">
        <w:trPr>
          <w:trHeight w:val="1481"/>
          <w:jc w:val="center"/>
        </w:trPr>
        <w:tc>
          <w:tcPr>
            <w:tcW w:w="920" w:type="dxa"/>
            <w:vMerge/>
            <w:shd w:val="clear" w:color="auto" w:fill="auto"/>
            <w:vAlign w:val="center"/>
            <w:hideMark/>
          </w:tcPr>
          <w:p w14:paraId="3B5965F2"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6FA8D438"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3AE26A58"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1B169181"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Gratë</w:t>
            </w:r>
          </w:p>
        </w:tc>
        <w:tc>
          <w:tcPr>
            <w:tcW w:w="4111" w:type="dxa"/>
            <w:shd w:val="clear" w:color="auto" w:fill="auto"/>
            <w:vAlign w:val="center"/>
            <w:hideMark/>
          </w:tcPr>
          <w:p w14:paraId="4BD8CC0B"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Roli i grave konsiderohet të jetë i njëjtë me atë të burrave, madje edhe që gratë bëjnë më shumë aktivitete shtëpiake. Pozicioni shoqëror i grave është përmirësuar në vitet e fundit, ka më shumë të drejtë për të folur, arsim dhe më shumë liri. Zakonisht mundësitë e punës janë të drejta, pasi ato zakonisht merren me bujqësinë. Gratë dhe burrat përfundojnë shkollën e mesme. Gratë kanë njëfarë kontrolli në vendimin ekonomik të familjes, por kanë më pak rol në marrjen e vendimeve në familje dhe në komunitet.</w:t>
            </w:r>
          </w:p>
        </w:tc>
      </w:tr>
      <w:tr w:rsidR="007956E6" w:rsidRPr="00445472" w14:paraId="64BA923E" w14:textId="77777777" w:rsidTr="002A1F08">
        <w:trPr>
          <w:trHeight w:val="1203"/>
          <w:jc w:val="center"/>
        </w:trPr>
        <w:tc>
          <w:tcPr>
            <w:tcW w:w="920" w:type="dxa"/>
            <w:vMerge/>
            <w:shd w:val="clear" w:color="auto" w:fill="auto"/>
            <w:vAlign w:val="center"/>
            <w:hideMark/>
          </w:tcPr>
          <w:p w14:paraId="651C7E0D"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111CABBE"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13F54489"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4352EB33"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Fermerët</w:t>
            </w:r>
          </w:p>
        </w:tc>
        <w:tc>
          <w:tcPr>
            <w:tcW w:w="4111" w:type="dxa"/>
            <w:shd w:val="clear" w:color="auto" w:fill="auto"/>
            <w:vAlign w:val="center"/>
            <w:hideMark/>
          </w:tcPr>
          <w:p w14:paraId="5F15DC8A"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Fermerët po punojnë për më shumë se 15 vjet. Kanë probleme me ujin e ujitjes por ata e kanë zgjidhur atë me puse private. Kanalet ekzistuese të ujitjes janë prishur. Ata përdorin pesticide dhe këshillojnë specialistë për këtë</w:t>
            </w:r>
          </w:p>
        </w:tc>
      </w:tr>
      <w:tr w:rsidR="007956E6" w:rsidRPr="00445472" w14:paraId="6961C9D5" w14:textId="77777777" w:rsidTr="002A1F08">
        <w:trPr>
          <w:trHeight w:val="1157"/>
          <w:jc w:val="center"/>
        </w:trPr>
        <w:tc>
          <w:tcPr>
            <w:tcW w:w="920" w:type="dxa"/>
            <w:vMerge/>
            <w:shd w:val="clear" w:color="auto" w:fill="auto"/>
            <w:vAlign w:val="center"/>
            <w:hideMark/>
          </w:tcPr>
          <w:p w14:paraId="648934E1"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7EBE8C34"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6F159961"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2AAA0D0F"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Punonjësit e shëndetësisë</w:t>
            </w:r>
          </w:p>
        </w:tc>
        <w:tc>
          <w:tcPr>
            <w:tcW w:w="4111" w:type="dxa"/>
            <w:shd w:val="clear" w:color="auto" w:fill="auto"/>
            <w:vAlign w:val="center"/>
            <w:hideMark/>
          </w:tcPr>
          <w:p w14:paraId="58C3C4CD" w14:textId="07993641"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Çështjet shëndetësore që trajtohen në këtë qendër shëndetësore janë të llojeve të ndryshme. Ato ndryshojnë për shkak të moshës, zonave gjeografike, etj</w:t>
            </w:r>
            <w:r w:rsidR="003A2E19" w:rsidRPr="00445472">
              <w:rPr>
                <w:rFonts w:ascii="Garamond" w:eastAsia="MS Mincho" w:hAnsi="Garamond" w:cs="Arial"/>
                <w:sz w:val="18"/>
                <w:szCs w:val="18"/>
              </w:rPr>
              <w:t>.</w:t>
            </w:r>
            <w:r w:rsidRPr="00445472">
              <w:rPr>
                <w:rFonts w:ascii="Garamond" w:eastAsia="MS Mincho" w:hAnsi="Garamond" w:cs="Arial"/>
                <w:sz w:val="18"/>
                <w:szCs w:val="18"/>
              </w:rPr>
              <w:t>, por jo komuniteteve të ndryshme. Qendra shëndetësore ka disa probleme higjienike dhe vuan mungesën e ujit. Vdekshmëria foshnjore dhe amtare rezulton të jetë zero. Disa njerëz ende përdorin ilaçe popullore si çaji</w:t>
            </w:r>
            <w:r w:rsidR="00084DB9" w:rsidRPr="00445472">
              <w:rPr>
                <w:rFonts w:ascii="Garamond" w:eastAsia="MS Mincho" w:hAnsi="Garamond" w:cs="Arial"/>
                <w:sz w:val="18"/>
                <w:szCs w:val="18"/>
              </w:rPr>
              <w:t xml:space="preserve"> etj.</w:t>
            </w:r>
          </w:p>
        </w:tc>
      </w:tr>
      <w:tr w:rsidR="007956E6" w:rsidRPr="00445472" w14:paraId="47DFAD51" w14:textId="77777777" w:rsidTr="002A1F08">
        <w:trPr>
          <w:trHeight w:val="887"/>
          <w:jc w:val="center"/>
        </w:trPr>
        <w:tc>
          <w:tcPr>
            <w:tcW w:w="920" w:type="dxa"/>
            <w:vMerge/>
            <w:shd w:val="clear" w:color="auto" w:fill="auto"/>
            <w:vAlign w:val="center"/>
            <w:hideMark/>
          </w:tcPr>
          <w:p w14:paraId="6788D6A7"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079FC28D"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val="restart"/>
            <w:shd w:val="clear" w:color="auto" w:fill="auto"/>
            <w:vAlign w:val="center"/>
            <w:hideMark/>
          </w:tcPr>
          <w:p w14:paraId="16F754B2"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Dajç</w:t>
            </w:r>
          </w:p>
        </w:tc>
        <w:tc>
          <w:tcPr>
            <w:tcW w:w="1931" w:type="dxa"/>
            <w:shd w:val="clear" w:color="auto" w:fill="auto"/>
            <w:noWrap/>
            <w:vAlign w:val="center"/>
            <w:hideMark/>
          </w:tcPr>
          <w:p w14:paraId="2978F05B"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Të moshuarit</w:t>
            </w:r>
          </w:p>
        </w:tc>
        <w:tc>
          <w:tcPr>
            <w:tcW w:w="4111" w:type="dxa"/>
            <w:shd w:val="clear" w:color="auto" w:fill="auto"/>
            <w:vAlign w:val="center"/>
            <w:hideMark/>
          </w:tcPr>
          <w:p w14:paraId="1FA995AC"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Numri i të moshuarve në këtë qytet është rritur kohët e fundit për shkak të imigrimit të disa familjeve që vijnë nga zonat malore. Njerëzit e moshuar që kanë punuar kur kanë qenë të rinj marrin pension pleqërie. Problemet kryesore me të cilat ballafaqohet shoqëria janë papunësia dhe problemet ekonomike.</w:t>
            </w:r>
          </w:p>
        </w:tc>
      </w:tr>
      <w:tr w:rsidR="007956E6" w:rsidRPr="00445472" w14:paraId="39D39084" w14:textId="77777777" w:rsidTr="002A1F08">
        <w:trPr>
          <w:trHeight w:val="1076"/>
          <w:jc w:val="center"/>
        </w:trPr>
        <w:tc>
          <w:tcPr>
            <w:tcW w:w="920" w:type="dxa"/>
            <w:vMerge/>
            <w:shd w:val="clear" w:color="auto" w:fill="auto"/>
            <w:vAlign w:val="center"/>
            <w:hideMark/>
          </w:tcPr>
          <w:p w14:paraId="6B08E15A"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4EBA2D3C"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5766343B"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06EEA8AF"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 xml:space="preserve">Gratë </w:t>
            </w:r>
          </w:p>
        </w:tc>
        <w:tc>
          <w:tcPr>
            <w:tcW w:w="4111" w:type="dxa"/>
            <w:shd w:val="clear" w:color="auto" w:fill="auto"/>
            <w:noWrap/>
            <w:vAlign w:val="center"/>
            <w:hideMark/>
          </w:tcPr>
          <w:p w14:paraId="0CC9EE9C" w14:textId="7442EB3F"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Gratë në zonë janë kryesisht amvise nëse nuk punojnë në njësinë e administratës, arsim ose qendrat shëndetësore. Ato do të punonin sezonalisht në industrinë e hoteleve duke lënë shtëpitë e tyre me qira për turistët e pushimeve verore. Në varësi të familjes gratë mund të sjellin shumicën e të ardhurave të familjes ose më pak se 20% nëse nuk punojnë. Ata zakonisht ndjehen pothuajse të barabarta me burrat e tyre dhe bashkëpunojnë në vendimmarrje, por të tjerë mendojnë se janë më pak të fuqishme se burrat dhe kanë një zë më të vogël në vendimmarrjen e familjes ose të komunitetit. Megjithatë, gratë kalojnë nëpër nivele më të larta të arsimit. Problemet kryesore me të cilat përballen gratë janë problemet ekonomike, papunësia, dhuna në familje në disa raste dhe divorci</w:t>
            </w:r>
            <w:r w:rsidR="008F0A9F" w:rsidRPr="00445472">
              <w:rPr>
                <w:rFonts w:ascii="Garamond" w:eastAsia="MS Mincho" w:hAnsi="Garamond" w:cs="Arial"/>
                <w:sz w:val="18"/>
                <w:szCs w:val="18"/>
              </w:rPr>
              <w:t>, si dhe</w:t>
            </w:r>
            <w:r w:rsidRPr="00445472">
              <w:rPr>
                <w:rFonts w:ascii="Garamond" w:eastAsia="MS Mincho" w:hAnsi="Garamond" w:cs="Arial"/>
                <w:sz w:val="18"/>
                <w:szCs w:val="18"/>
              </w:rPr>
              <w:t xml:space="preserve"> mentaliteti i ngurtë.</w:t>
            </w:r>
          </w:p>
        </w:tc>
      </w:tr>
      <w:tr w:rsidR="007956E6" w:rsidRPr="00445472" w14:paraId="1D5C3316" w14:textId="77777777" w:rsidTr="002A1F08">
        <w:trPr>
          <w:trHeight w:val="583"/>
          <w:jc w:val="center"/>
        </w:trPr>
        <w:tc>
          <w:tcPr>
            <w:tcW w:w="920" w:type="dxa"/>
            <w:vMerge/>
            <w:shd w:val="clear" w:color="auto" w:fill="auto"/>
            <w:vAlign w:val="center"/>
            <w:hideMark/>
          </w:tcPr>
          <w:p w14:paraId="045BFA7D"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val="restart"/>
            <w:shd w:val="clear" w:color="auto" w:fill="auto"/>
            <w:noWrap/>
            <w:vAlign w:val="center"/>
            <w:hideMark/>
          </w:tcPr>
          <w:p w14:paraId="57A53B6A" w14:textId="77777777" w:rsidR="007956E6" w:rsidRPr="00445472" w:rsidRDefault="007956E6" w:rsidP="002A1F08">
            <w:pPr>
              <w:spacing w:before="22" w:after="22"/>
              <w:ind w:right="63"/>
              <w:rPr>
                <w:rFonts w:ascii="Garamond" w:hAnsi="Garamond" w:cs="Arial"/>
                <w:sz w:val="18"/>
                <w:szCs w:val="18"/>
              </w:rPr>
            </w:pPr>
            <w:r w:rsidRPr="00445472">
              <w:rPr>
                <w:rFonts w:ascii="Garamond" w:hAnsi="Garamond" w:cs="Arial"/>
                <w:sz w:val="18"/>
                <w:szCs w:val="18"/>
              </w:rPr>
              <w:t>Lezhë</w:t>
            </w:r>
          </w:p>
        </w:tc>
        <w:tc>
          <w:tcPr>
            <w:tcW w:w="1580" w:type="dxa"/>
            <w:vMerge w:val="restart"/>
            <w:shd w:val="clear" w:color="auto" w:fill="auto"/>
            <w:noWrap/>
            <w:vAlign w:val="center"/>
            <w:hideMark/>
          </w:tcPr>
          <w:p w14:paraId="78E53F93"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0DC4E417"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Fermerët</w:t>
            </w:r>
          </w:p>
        </w:tc>
        <w:tc>
          <w:tcPr>
            <w:tcW w:w="4111" w:type="dxa"/>
            <w:shd w:val="clear" w:color="auto" w:fill="auto"/>
            <w:vAlign w:val="center"/>
            <w:hideMark/>
          </w:tcPr>
          <w:p w14:paraId="556EF93B" w14:textId="77777777"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Fermerët në zonë po punojnë për një kohë të gjatë. Kanë një problem të madh me ujitje për shkak të mungesës së kanaleve. Probleme të tjera që lidhen me ujin janë cilësia e ujit, e cila nuk është filtruar, por vjen direkt nga pompat dhe nganjëherë nuk ka furnizim me ujë në varësi të zonës gjeografike. Bujqësia është aktiviteti kryesor ekonomik në zonë për shumicën e familjeve. Gratë ndihmojnë gjithashtu në punët bujqësore në pjesën më të madhe të detyrave. Pesticidet janë duke u përdorur dhe konsultuar me një specialist</w:t>
            </w:r>
            <w:r w:rsidRPr="00445472">
              <w:rPr>
                <w:rFonts w:ascii="Garamond" w:hAnsi="Garamond" w:cs="Arial"/>
                <w:sz w:val="18"/>
                <w:szCs w:val="18"/>
              </w:rPr>
              <w:t>.</w:t>
            </w:r>
          </w:p>
        </w:tc>
      </w:tr>
      <w:tr w:rsidR="007956E6" w:rsidRPr="00445472" w14:paraId="4BE0AB94" w14:textId="77777777" w:rsidTr="002A1F08">
        <w:trPr>
          <w:trHeight w:val="1031"/>
          <w:jc w:val="center"/>
        </w:trPr>
        <w:tc>
          <w:tcPr>
            <w:tcW w:w="920" w:type="dxa"/>
            <w:vMerge/>
            <w:shd w:val="clear" w:color="auto" w:fill="auto"/>
            <w:vAlign w:val="center"/>
            <w:hideMark/>
          </w:tcPr>
          <w:p w14:paraId="7520A6FC"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00B30324"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6E8C3DA3"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152593F3"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Punonjësit e shëndetësisë</w:t>
            </w:r>
          </w:p>
        </w:tc>
        <w:tc>
          <w:tcPr>
            <w:tcW w:w="4111" w:type="dxa"/>
            <w:shd w:val="clear" w:color="auto" w:fill="auto"/>
            <w:vAlign w:val="center"/>
            <w:hideMark/>
          </w:tcPr>
          <w:p w14:paraId="5DA98859" w14:textId="1BC31F80" w:rsidR="007956E6" w:rsidRPr="00445472" w:rsidRDefault="007956E6" w:rsidP="002A1F08">
            <w:pPr>
              <w:spacing w:before="22" w:after="22"/>
              <w:ind w:right="63"/>
              <w:rPr>
                <w:rFonts w:ascii="Garamond" w:hAnsi="Garamond" w:cs="Arial"/>
                <w:sz w:val="18"/>
                <w:szCs w:val="18"/>
              </w:rPr>
            </w:pPr>
            <w:r w:rsidRPr="00445472">
              <w:rPr>
                <w:rFonts w:ascii="Garamond" w:eastAsia="MS Mincho" w:hAnsi="Garamond" w:cs="Arial"/>
                <w:sz w:val="18"/>
                <w:szCs w:val="18"/>
              </w:rPr>
              <w:t>Çështjet shëndetësore që trajtohen në këtë qendër shëndetësore janë të llojeve të ndryshme. Ato ndryshojnë për shkak të moshës, zonave gjeografike, etj</w:t>
            </w:r>
            <w:r w:rsidR="003A2E19" w:rsidRPr="00445472">
              <w:rPr>
                <w:rFonts w:ascii="Garamond" w:eastAsia="MS Mincho" w:hAnsi="Garamond" w:cs="Arial"/>
                <w:sz w:val="18"/>
                <w:szCs w:val="18"/>
              </w:rPr>
              <w:t>.</w:t>
            </w:r>
            <w:r w:rsidRPr="00445472">
              <w:rPr>
                <w:rFonts w:ascii="Garamond" w:eastAsia="MS Mincho" w:hAnsi="Garamond" w:cs="Arial"/>
                <w:sz w:val="18"/>
                <w:szCs w:val="18"/>
              </w:rPr>
              <w:t>, por jo komuniteteve të ndryshme. Qendra shëndetësore ka disa probleme higjienike dhe vuan mungesën e ujit. Vdekshmëria foshnjore dhe amtare rezulton të jetë zero. Disa njerëz ende përdorin disa ilaçe popullore si çaji</w:t>
            </w:r>
            <w:r w:rsidR="00084DB9" w:rsidRPr="00445472">
              <w:rPr>
                <w:rFonts w:ascii="Garamond" w:eastAsia="MS Mincho" w:hAnsi="Garamond" w:cs="Arial"/>
                <w:sz w:val="18"/>
                <w:szCs w:val="18"/>
              </w:rPr>
              <w:t xml:space="preserve"> etj.</w:t>
            </w:r>
            <w:r w:rsidRPr="00445472">
              <w:rPr>
                <w:rFonts w:ascii="Garamond" w:hAnsi="Garamond" w:cs="Arial"/>
                <w:sz w:val="18"/>
                <w:szCs w:val="18"/>
              </w:rPr>
              <w:t xml:space="preserve"> </w:t>
            </w:r>
          </w:p>
        </w:tc>
      </w:tr>
      <w:tr w:rsidR="007956E6" w:rsidRPr="00445472" w14:paraId="752E3019" w14:textId="77777777" w:rsidTr="002A1F08">
        <w:trPr>
          <w:trHeight w:val="1031"/>
          <w:jc w:val="center"/>
        </w:trPr>
        <w:tc>
          <w:tcPr>
            <w:tcW w:w="920" w:type="dxa"/>
            <w:vMerge/>
            <w:shd w:val="clear" w:color="auto" w:fill="auto"/>
            <w:vAlign w:val="center"/>
            <w:hideMark/>
          </w:tcPr>
          <w:p w14:paraId="0523202A"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2F95A51B"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val="restart"/>
            <w:shd w:val="clear" w:color="auto" w:fill="auto"/>
            <w:noWrap/>
            <w:vAlign w:val="center"/>
            <w:hideMark/>
          </w:tcPr>
          <w:p w14:paraId="1AEBB8FB"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Gjadër</w:t>
            </w:r>
          </w:p>
          <w:p w14:paraId="60242330"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6566D681"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Të moshuarit</w:t>
            </w:r>
          </w:p>
        </w:tc>
        <w:tc>
          <w:tcPr>
            <w:tcW w:w="4111" w:type="dxa"/>
            <w:shd w:val="clear" w:color="auto" w:fill="auto"/>
            <w:noWrap/>
            <w:vAlign w:val="center"/>
            <w:hideMark/>
          </w:tcPr>
          <w:p w14:paraId="35400C8C" w14:textId="77777777" w:rsidR="007956E6" w:rsidRPr="00445472" w:rsidRDefault="007956E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Ka një problem të madh me ujitjen për shkak të mungesës së kanaleve. Probleme të tjera që lidhen me ujin janë cilësia e ujit, e cila nuk është filtruar, por vjen direkt nga pompat dhe nganjëherë nuk ka furnizim me ujë në varësi të zonës gjeografike.</w:t>
            </w:r>
          </w:p>
        </w:tc>
      </w:tr>
      <w:tr w:rsidR="007956E6" w:rsidRPr="00445472" w14:paraId="4A81E73A" w14:textId="77777777" w:rsidTr="002A1F08">
        <w:trPr>
          <w:trHeight w:val="1058"/>
          <w:jc w:val="center"/>
        </w:trPr>
        <w:tc>
          <w:tcPr>
            <w:tcW w:w="920" w:type="dxa"/>
            <w:vMerge/>
            <w:shd w:val="clear" w:color="auto" w:fill="auto"/>
            <w:vAlign w:val="center"/>
            <w:hideMark/>
          </w:tcPr>
          <w:p w14:paraId="07F815BD"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5366A171"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234C4538"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40082EAA"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Gratë</w:t>
            </w:r>
          </w:p>
        </w:tc>
        <w:tc>
          <w:tcPr>
            <w:tcW w:w="4111" w:type="dxa"/>
            <w:shd w:val="clear" w:color="auto" w:fill="auto"/>
            <w:vAlign w:val="center"/>
            <w:hideMark/>
          </w:tcPr>
          <w:p w14:paraId="14F307E0" w14:textId="1CA3A77A" w:rsidR="007956E6" w:rsidRPr="00445472" w:rsidRDefault="007956E6" w:rsidP="00034FBB">
            <w:pPr>
              <w:spacing w:before="22" w:after="22"/>
              <w:ind w:right="63"/>
              <w:rPr>
                <w:rFonts w:ascii="Garamond" w:eastAsia="MS Mincho" w:hAnsi="Garamond" w:cs="Arial"/>
                <w:sz w:val="18"/>
                <w:szCs w:val="18"/>
              </w:rPr>
            </w:pPr>
            <w:r w:rsidRPr="00445472">
              <w:rPr>
                <w:rFonts w:ascii="Garamond" w:eastAsia="MS Mincho" w:hAnsi="Garamond" w:cs="Arial"/>
                <w:sz w:val="18"/>
                <w:szCs w:val="18"/>
              </w:rPr>
              <w:t>Gratë në zonë janë kryesisht amvise. Jo shumë ka ndryshuar në vitet e fundit. Disa gra mendojnë se kanë rol t</w:t>
            </w:r>
            <w:r w:rsidR="00034FBB">
              <w:rPr>
                <w:rFonts w:ascii="Garamond" w:eastAsia="MS Mincho" w:hAnsi="Garamond" w:cs="Arial"/>
                <w:sz w:val="18"/>
                <w:szCs w:val="18"/>
              </w:rPr>
              <w:t>ë</w:t>
            </w:r>
            <w:r w:rsidRPr="00445472">
              <w:rPr>
                <w:rFonts w:ascii="Garamond" w:eastAsia="MS Mincho" w:hAnsi="Garamond" w:cs="Arial"/>
                <w:sz w:val="18"/>
                <w:szCs w:val="18"/>
              </w:rPr>
              <w:t xml:space="preserve"> njëjtë në familje ndërsa të tjerët mendojnë se burrat janë më të favorshëm. Vetëm disa nga të ardhurat e familjeve gjenerohen nga gratë. Ato nuk kanë një llogari bankare dhe kanë qasje në vendimet financiare të familjes vetëm nëse janë në punë. Gratë kalojnë nëpër një nivel arsimi më të lartë sesa burrat. Shumica e problemeve me të cilat përballen gratë në ditët e sotme janë papunësia dhe ekonomia e dobët.</w:t>
            </w:r>
          </w:p>
        </w:tc>
      </w:tr>
      <w:tr w:rsidR="007956E6" w:rsidRPr="00445472" w14:paraId="2439F4EE" w14:textId="77777777" w:rsidTr="002A1F08">
        <w:trPr>
          <w:trHeight w:val="1211"/>
          <w:jc w:val="center"/>
        </w:trPr>
        <w:tc>
          <w:tcPr>
            <w:tcW w:w="920" w:type="dxa"/>
            <w:vMerge/>
            <w:shd w:val="clear" w:color="auto" w:fill="auto"/>
            <w:vAlign w:val="center"/>
            <w:hideMark/>
          </w:tcPr>
          <w:p w14:paraId="74908784" w14:textId="77777777" w:rsidR="007956E6" w:rsidRPr="00445472" w:rsidRDefault="007956E6" w:rsidP="002A1F08">
            <w:pPr>
              <w:spacing w:before="22" w:after="22"/>
              <w:ind w:right="63"/>
              <w:jc w:val="center"/>
              <w:rPr>
                <w:rFonts w:ascii="Garamond" w:hAnsi="Garamond" w:cs="Arial"/>
                <w:sz w:val="18"/>
                <w:szCs w:val="18"/>
              </w:rPr>
            </w:pPr>
          </w:p>
        </w:tc>
        <w:tc>
          <w:tcPr>
            <w:tcW w:w="1000" w:type="dxa"/>
            <w:vMerge/>
            <w:shd w:val="clear" w:color="auto" w:fill="auto"/>
            <w:vAlign w:val="center"/>
            <w:hideMark/>
          </w:tcPr>
          <w:p w14:paraId="67ABBEEC" w14:textId="77777777" w:rsidR="007956E6" w:rsidRPr="00445472" w:rsidRDefault="007956E6" w:rsidP="002A1F08">
            <w:pPr>
              <w:spacing w:before="22" w:after="22"/>
              <w:ind w:right="63"/>
              <w:jc w:val="center"/>
              <w:rPr>
                <w:rFonts w:ascii="Garamond" w:hAnsi="Garamond" w:cs="Arial"/>
                <w:sz w:val="18"/>
                <w:szCs w:val="18"/>
              </w:rPr>
            </w:pPr>
          </w:p>
        </w:tc>
        <w:tc>
          <w:tcPr>
            <w:tcW w:w="1580" w:type="dxa"/>
            <w:vMerge/>
            <w:shd w:val="clear" w:color="auto" w:fill="auto"/>
            <w:vAlign w:val="center"/>
            <w:hideMark/>
          </w:tcPr>
          <w:p w14:paraId="42C85A32" w14:textId="77777777" w:rsidR="007956E6" w:rsidRPr="00445472" w:rsidRDefault="007956E6" w:rsidP="002A1F08">
            <w:pPr>
              <w:spacing w:before="22" w:after="22"/>
              <w:ind w:right="63"/>
              <w:jc w:val="center"/>
              <w:rPr>
                <w:rFonts w:ascii="Garamond" w:hAnsi="Garamond" w:cs="Arial"/>
                <w:sz w:val="18"/>
                <w:szCs w:val="18"/>
              </w:rPr>
            </w:pPr>
          </w:p>
        </w:tc>
        <w:tc>
          <w:tcPr>
            <w:tcW w:w="1931" w:type="dxa"/>
            <w:shd w:val="clear" w:color="auto" w:fill="auto"/>
            <w:noWrap/>
            <w:vAlign w:val="center"/>
            <w:hideMark/>
          </w:tcPr>
          <w:p w14:paraId="1B3910AD" w14:textId="77777777" w:rsidR="007956E6" w:rsidRPr="00445472" w:rsidRDefault="007956E6" w:rsidP="002A1F08">
            <w:pPr>
              <w:spacing w:before="22" w:after="22"/>
              <w:ind w:right="63"/>
              <w:jc w:val="center"/>
              <w:rPr>
                <w:rFonts w:ascii="Garamond" w:hAnsi="Garamond" w:cs="Arial"/>
                <w:sz w:val="18"/>
                <w:szCs w:val="18"/>
              </w:rPr>
            </w:pPr>
            <w:r w:rsidRPr="00445472">
              <w:rPr>
                <w:rFonts w:ascii="Garamond" w:hAnsi="Garamond" w:cs="Arial"/>
                <w:sz w:val="18"/>
                <w:szCs w:val="18"/>
              </w:rPr>
              <w:t>Fermerët</w:t>
            </w:r>
          </w:p>
        </w:tc>
        <w:tc>
          <w:tcPr>
            <w:tcW w:w="4111" w:type="dxa"/>
            <w:shd w:val="clear" w:color="auto" w:fill="auto"/>
            <w:vAlign w:val="center"/>
            <w:hideMark/>
          </w:tcPr>
          <w:p w14:paraId="77416E86" w14:textId="77777777" w:rsidR="007956E6" w:rsidRPr="00445472" w:rsidRDefault="007956E6" w:rsidP="002A1F08">
            <w:pPr>
              <w:spacing w:before="22" w:after="22"/>
              <w:ind w:right="63"/>
              <w:rPr>
                <w:rFonts w:ascii="Garamond" w:eastAsia="MS Mincho" w:hAnsi="Garamond" w:cs="Arial"/>
                <w:sz w:val="18"/>
                <w:szCs w:val="18"/>
              </w:rPr>
            </w:pPr>
            <w:r w:rsidRPr="00445472">
              <w:rPr>
                <w:rFonts w:ascii="Garamond" w:eastAsia="MS Mincho" w:hAnsi="Garamond" w:cs="Arial"/>
                <w:sz w:val="18"/>
                <w:szCs w:val="18"/>
              </w:rPr>
              <w:t>Për një numër familjesh bujqësia është aktiviteti kryesor i të ardhurave. Gratë janë të përfshira pothuajse në çdo aktivitet bujqësor njësoj me burrat.</w:t>
            </w:r>
          </w:p>
        </w:tc>
      </w:tr>
    </w:tbl>
    <w:p w14:paraId="70187DB7" w14:textId="77777777" w:rsidR="002D1530" w:rsidRPr="00445472" w:rsidRDefault="002D1530" w:rsidP="002D1530">
      <w:pPr>
        <w:pStyle w:val="NENTITULL"/>
      </w:pPr>
      <w:bookmarkStart w:id="309" w:name="_Toc11068890"/>
    </w:p>
    <w:p w14:paraId="5E7617D0" w14:textId="0D00BB27" w:rsidR="007956E6" w:rsidRPr="00445472" w:rsidRDefault="002D1530" w:rsidP="002D1530">
      <w:pPr>
        <w:pStyle w:val="NENTITULL"/>
      </w:pPr>
      <w:r w:rsidRPr="00445472">
        <w:t xml:space="preserve">13.4 </w:t>
      </w:r>
      <w:r w:rsidR="007956E6" w:rsidRPr="00445472">
        <w:t>Specifikat e Vendit mbi Aspektet Gjinore</w:t>
      </w:r>
      <w:bookmarkEnd w:id="309"/>
    </w:p>
    <w:p w14:paraId="737C8018" w14:textId="77777777" w:rsidR="007956E6" w:rsidRPr="00445472" w:rsidRDefault="007956E6" w:rsidP="002D1530">
      <w:pPr>
        <w:pStyle w:val="TEKSTIIII"/>
      </w:pPr>
      <w:r w:rsidRPr="00445472">
        <w:t>Përcaktuar si barazia midis burrave dhe grave në të gjitha sferat e jetës, si në sferën publike ashtu edhe në atë private, barazia gjinore nënkupton qasje dhe kontroll të barabartë në burimet dhe përfitimet, pjesëmarrjen e barabartë në vendimmarrjen politike dhe barazinë sipas ligjit për gratë dhe burrat.</w:t>
      </w:r>
    </w:p>
    <w:p w14:paraId="0A4B0A63" w14:textId="1B041B75" w:rsidR="007956E6" w:rsidRPr="00445472" w:rsidRDefault="007956E6" w:rsidP="002D1530">
      <w:pPr>
        <w:pStyle w:val="TEKSTIIII"/>
      </w:pPr>
      <w:r w:rsidRPr="00445472">
        <w:t>Qeveria e Shqipërisë e ka vendosur çështjen e barazisë gjinore në qendër të a</w:t>
      </w:r>
      <w:r w:rsidR="003A2E19" w:rsidRPr="00445472">
        <w:t>gj</w:t>
      </w:r>
      <w:r w:rsidRPr="00445472">
        <w:t>endës së saj prioritare, duke marrë parasysh të drejtat e grave si pjesë integrale e të drejtave të njeriut. Në këtë kuadër miratohen ligje dhe politika të rëndësishme që synojnë eliminimin e diskriminimit gjinor.</w:t>
      </w:r>
    </w:p>
    <w:p w14:paraId="7BDA4091" w14:textId="4EFA9F04" w:rsidR="007956E6" w:rsidRPr="00445472" w:rsidRDefault="002D1530" w:rsidP="002D1530">
      <w:pPr>
        <w:pStyle w:val="NENTITULL"/>
      </w:pPr>
      <w:bookmarkStart w:id="310" w:name="_Toc484696903"/>
      <w:bookmarkStart w:id="311" w:name="_Toc11068891"/>
      <w:r w:rsidRPr="00445472">
        <w:t xml:space="preserve">13.4.1 </w:t>
      </w:r>
      <w:r w:rsidR="007956E6" w:rsidRPr="00445472">
        <w:t>Kuadri ligjor</w:t>
      </w:r>
      <w:bookmarkEnd w:id="310"/>
      <w:r w:rsidR="007956E6" w:rsidRPr="00445472">
        <w:t xml:space="preserve"> i aspektit gjinor</w:t>
      </w:r>
      <w:bookmarkEnd w:id="311"/>
    </w:p>
    <w:p w14:paraId="7EEBFB40" w14:textId="181D57A1" w:rsidR="007956E6" w:rsidRPr="00445472" w:rsidRDefault="007956E6" w:rsidP="002D1530">
      <w:pPr>
        <w:pStyle w:val="TEKSTIIII"/>
      </w:pPr>
      <w:r w:rsidRPr="00445472">
        <w:t xml:space="preserve">Parimi i barazisë së grave dhe burrave zë një vend të rëndësishëm në Kushtetutën e Republikës së Shqipërisë dhe në legjislacionin kombëtar. Kushtetuta [në nenin 18, pika 2] formulon parimin e mosdiskriminimit në këtë mënyrë </w:t>
      </w:r>
      <w:r w:rsidR="00D62EDF" w:rsidRPr="00445472">
        <w:t>“</w:t>
      </w:r>
      <w:r w:rsidRPr="00445472">
        <w:t>Askush nuk mund të diskriminohet për arsye të tilla si gjinia, raca dhe feja...</w:t>
      </w:r>
      <w:r w:rsidR="00D62EDF" w:rsidRPr="00445472">
        <w:t>”</w:t>
      </w:r>
      <w:r w:rsidRPr="00445472">
        <w:t xml:space="preserve">.  </w:t>
      </w:r>
    </w:p>
    <w:p w14:paraId="3E12BAC4" w14:textId="58230DCF" w:rsidR="007956E6" w:rsidRPr="00445472" w:rsidRDefault="007956E6" w:rsidP="002D1530">
      <w:pPr>
        <w:pStyle w:val="TEKSTIIII"/>
      </w:pPr>
      <w:r w:rsidRPr="00445472">
        <w:t>Barazia gjinore dhe të drejtat e grave në Shqipëri janë ndër çështjet kryesore kombëtare. Ratifikimi i Konventës për Eliminimin e të Gjitha Formave të Diskriminimit ndaj Grave (CEDAW)</w:t>
      </w:r>
      <w:r w:rsidR="008F0A9F" w:rsidRPr="00445472">
        <w:t>, si dhe</w:t>
      </w:r>
      <w:r w:rsidRPr="00445472">
        <w:t xml:space="preserve"> miratimi i ligjeve për barazinë gjinore, antidiskriminimi dhe antidhuna janë dëshmi për këtë vullnet, së bashku me miratimin e strategjisë kombëtare mbi barazinë gjinore. Parimet e barazisë dhe mosdiskriminimit gjenden edhe në Kodin e Punës, Kodin Civil, Kodin Penal, Kodin e Familjes dhe pjesë të tjera të legjislacionit shqiptar. </w:t>
      </w:r>
    </w:p>
    <w:p w14:paraId="6F93B60F" w14:textId="77777777" w:rsidR="007956E6" w:rsidRPr="00445472" w:rsidRDefault="007956E6" w:rsidP="002D1530">
      <w:pPr>
        <w:pStyle w:val="TEKSTIIII"/>
      </w:pPr>
      <w:r w:rsidRPr="00445472">
        <w:t>Gjatë dy dekadave të fundit janë miratuar shumë ligje, të cilët janë gjithashtu mjete të rëndësishëm në ndryshimin e balancës së barazisë gjinore në Shqipëri.</w:t>
      </w:r>
    </w:p>
    <w:p w14:paraId="10BC5AE2" w14:textId="3D8B77E2" w:rsidR="007956E6" w:rsidRPr="00445472" w:rsidRDefault="00B321BE" w:rsidP="002D1530">
      <w:pPr>
        <w:pStyle w:val="TEKSTIIII"/>
      </w:pPr>
      <w:r>
        <w:t xml:space="preserve">- </w:t>
      </w:r>
      <w:r w:rsidR="007956E6" w:rsidRPr="00445472">
        <w:t xml:space="preserve">Ligji </w:t>
      </w:r>
      <w:r w:rsidR="003A2E19" w:rsidRPr="00445472">
        <w:t>nr</w:t>
      </w:r>
      <w:r w:rsidR="007956E6" w:rsidRPr="00445472">
        <w:t>. 7961</w:t>
      </w:r>
      <w:r w:rsidR="001D340B" w:rsidRPr="00445472">
        <w:t>/</w:t>
      </w:r>
      <w:r w:rsidR="003A2E19" w:rsidRPr="00445472">
        <w:t>12.</w:t>
      </w:r>
      <w:r w:rsidR="007956E6" w:rsidRPr="00445472">
        <w:t>7.1995</w:t>
      </w:r>
      <w:r w:rsidR="003A2E19" w:rsidRPr="00445472">
        <w:t>,</w:t>
      </w:r>
      <w:r w:rsidR="007956E6" w:rsidRPr="00445472">
        <w:t xml:space="preserve"> amendament specifik i </w:t>
      </w:r>
      <w:r w:rsidR="00D62EDF" w:rsidRPr="00445472">
        <w:t>“</w:t>
      </w:r>
      <w:r w:rsidR="007956E6" w:rsidRPr="00445472">
        <w:t>Kodit të Punës së Republikës së Shqipërisë</w:t>
      </w:r>
      <w:r w:rsidR="00D62EDF" w:rsidRPr="00445472">
        <w:t>”</w:t>
      </w:r>
    </w:p>
    <w:p w14:paraId="24F74647" w14:textId="2A82F557" w:rsidR="007956E6" w:rsidRPr="00445472" w:rsidRDefault="00B321BE" w:rsidP="002D1530">
      <w:pPr>
        <w:pStyle w:val="TEKSTIIII"/>
      </w:pPr>
      <w:r>
        <w:t xml:space="preserve">- </w:t>
      </w:r>
      <w:r w:rsidR="007956E6" w:rsidRPr="00445472">
        <w:t xml:space="preserve">Ligji </w:t>
      </w:r>
      <w:r w:rsidR="003A2E19" w:rsidRPr="00445472">
        <w:t>nr</w:t>
      </w:r>
      <w:r w:rsidR="007956E6" w:rsidRPr="00445472">
        <w:t>. 7995</w:t>
      </w:r>
      <w:r w:rsidR="001D340B" w:rsidRPr="00445472">
        <w:t>/</w:t>
      </w:r>
      <w:r w:rsidR="003A2E19" w:rsidRPr="00445472">
        <w:t>20.</w:t>
      </w:r>
      <w:r w:rsidR="007956E6" w:rsidRPr="00445472">
        <w:t>9.1995</w:t>
      </w:r>
      <w:r w:rsidR="00D62EDF" w:rsidRPr="00445472">
        <w:t xml:space="preserve">, “Për </w:t>
      </w:r>
      <w:r w:rsidR="007956E6" w:rsidRPr="00445472">
        <w:t>nxitjen e punësimit</w:t>
      </w:r>
      <w:r w:rsidR="00D62EDF" w:rsidRPr="00445472">
        <w:t>”</w:t>
      </w:r>
      <w:r w:rsidR="007956E6" w:rsidRPr="00445472">
        <w:t>.</w:t>
      </w:r>
    </w:p>
    <w:p w14:paraId="3D4FD1C8" w14:textId="7D0AD515" w:rsidR="007956E6" w:rsidRPr="00445472" w:rsidRDefault="00B321BE" w:rsidP="002D1530">
      <w:pPr>
        <w:pStyle w:val="TEKSTIIII"/>
      </w:pPr>
      <w:r>
        <w:t xml:space="preserve">- </w:t>
      </w:r>
      <w:r w:rsidR="007956E6" w:rsidRPr="00445472">
        <w:t xml:space="preserve">Ligji </w:t>
      </w:r>
      <w:r w:rsidR="003A2E19" w:rsidRPr="00445472">
        <w:t>nr</w:t>
      </w:r>
      <w:r w:rsidR="007956E6" w:rsidRPr="00445472">
        <w:t>. 8876</w:t>
      </w:r>
      <w:r w:rsidR="001D340B" w:rsidRPr="00445472">
        <w:t>/</w:t>
      </w:r>
      <w:r w:rsidR="003A2E19" w:rsidRPr="00445472">
        <w:t>4.</w:t>
      </w:r>
      <w:r w:rsidR="007956E6" w:rsidRPr="00445472">
        <w:t>4.2002</w:t>
      </w:r>
      <w:r w:rsidR="00D62EDF" w:rsidRPr="00445472">
        <w:t xml:space="preserve">, “Për </w:t>
      </w:r>
      <w:r w:rsidR="007956E6" w:rsidRPr="00445472">
        <w:t>të drejtat riprodhuese</w:t>
      </w:r>
      <w:r w:rsidR="00D62EDF" w:rsidRPr="00445472">
        <w:t>”</w:t>
      </w:r>
      <w:r w:rsidR="007956E6" w:rsidRPr="00445472">
        <w:t>.</w:t>
      </w:r>
    </w:p>
    <w:p w14:paraId="3A2FC424" w14:textId="239D759A" w:rsidR="007956E6" w:rsidRPr="00445472" w:rsidRDefault="00B321BE" w:rsidP="002D1530">
      <w:pPr>
        <w:pStyle w:val="TEKSTIIII"/>
      </w:pPr>
      <w:r>
        <w:t xml:space="preserve">- </w:t>
      </w:r>
      <w:r w:rsidR="007956E6" w:rsidRPr="00445472">
        <w:t xml:space="preserve">Ligji </w:t>
      </w:r>
      <w:r w:rsidR="003A2E19" w:rsidRPr="00445472">
        <w:t>nr</w:t>
      </w:r>
      <w:r w:rsidR="007956E6" w:rsidRPr="00445472">
        <w:t>. 9398</w:t>
      </w:r>
      <w:r w:rsidR="001D340B" w:rsidRPr="00445472">
        <w:t>/</w:t>
      </w:r>
      <w:r w:rsidR="003A2E19" w:rsidRPr="00445472">
        <w:t>12.</w:t>
      </w:r>
      <w:r w:rsidR="007956E6" w:rsidRPr="00445472">
        <w:t>5.2005</w:t>
      </w:r>
      <w:r w:rsidR="00D62EDF" w:rsidRPr="00445472">
        <w:t xml:space="preserve">, “Për </w:t>
      </w:r>
      <w:r w:rsidR="007956E6" w:rsidRPr="00445472">
        <w:t>disa ndryshime dhe plotësime të Ligjit për Avokatin e Popullit</w:t>
      </w:r>
      <w:r w:rsidR="00D62EDF" w:rsidRPr="00445472">
        <w:t>”</w:t>
      </w:r>
      <w:r w:rsidR="007956E6" w:rsidRPr="00445472">
        <w:t>.</w:t>
      </w:r>
    </w:p>
    <w:p w14:paraId="558474CA" w14:textId="6AB548DE" w:rsidR="007956E6" w:rsidRPr="00445472" w:rsidRDefault="00B321BE" w:rsidP="002D1530">
      <w:pPr>
        <w:pStyle w:val="TEKSTIIII"/>
      </w:pPr>
      <w:r>
        <w:t xml:space="preserve">- </w:t>
      </w:r>
      <w:r w:rsidR="007956E6" w:rsidRPr="00445472">
        <w:t>Ligji Nr. 9669</w:t>
      </w:r>
      <w:r w:rsidR="001D340B" w:rsidRPr="00445472">
        <w:t>/</w:t>
      </w:r>
      <w:r w:rsidR="007956E6" w:rsidRPr="00445472">
        <w:t>18.12.2006</w:t>
      </w:r>
      <w:r w:rsidR="00D62EDF" w:rsidRPr="00445472">
        <w:t xml:space="preserve">, “Për </w:t>
      </w:r>
      <w:r w:rsidR="007956E6" w:rsidRPr="00445472">
        <w:t>disa masa për dhunën në familje</w:t>
      </w:r>
      <w:r w:rsidR="00D62EDF" w:rsidRPr="00445472">
        <w:t>”</w:t>
      </w:r>
      <w:r w:rsidR="007956E6" w:rsidRPr="00445472">
        <w:t xml:space="preserve"> - Strategjia e Parë Kombëtare për Barazinë Gjinore dhe Eliminimin e Dhunës në Familje.</w:t>
      </w:r>
    </w:p>
    <w:p w14:paraId="55814FCF" w14:textId="47B96821" w:rsidR="007956E6" w:rsidRPr="00445472" w:rsidRDefault="00B321BE" w:rsidP="002D1530">
      <w:pPr>
        <w:pStyle w:val="TEKSTIIII"/>
      </w:pPr>
      <w:r>
        <w:t xml:space="preserve">- </w:t>
      </w:r>
      <w:r w:rsidR="007956E6" w:rsidRPr="00445472">
        <w:t>Ligji nr. 9914</w:t>
      </w:r>
      <w:r w:rsidR="001D340B" w:rsidRPr="00445472">
        <w:t>/</w:t>
      </w:r>
      <w:r w:rsidR="003A2E19" w:rsidRPr="00445472">
        <w:t>12.</w:t>
      </w:r>
      <w:r w:rsidR="007956E6" w:rsidRPr="00445472">
        <w:t>5.2008</w:t>
      </w:r>
      <w:r w:rsidR="00D62EDF" w:rsidRPr="00445472">
        <w:t xml:space="preserve">, “Për </w:t>
      </w:r>
      <w:r w:rsidR="007956E6" w:rsidRPr="00445472">
        <w:t>disa ndryshi</w:t>
      </w:r>
      <w:r w:rsidR="00A22CE0">
        <w:t>me në ligjin nr. 9669, datë 19.</w:t>
      </w:r>
      <w:r w:rsidR="007956E6" w:rsidRPr="00445472">
        <w:t>2.2006</w:t>
      </w:r>
      <w:r w:rsidR="00D62EDF" w:rsidRPr="00445472">
        <w:t xml:space="preserve">, “Për </w:t>
      </w:r>
      <w:r w:rsidR="007956E6" w:rsidRPr="00445472">
        <w:t>disa masa për dhunën në familje</w:t>
      </w:r>
      <w:r w:rsidR="00D62EDF" w:rsidRPr="00445472">
        <w:t>”</w:t>
      </w:r>
      <w:r w:rsidR="007956E6" w:rsidRPr="00445472">
        <w:t>.</w:t>
      </w:r>
    </w:p>
    <w:p w14:paraId="5CDF9DA7" w14:textId="2EDCA104" w:rsidR="007956E6" w:rsidRPr="00445472" w:rsidRDefault="00B321BE" w:rsidP="002D1530">
      <w:pPr>
        <w:pStyle w:val="TEKSTIIII"/>
      </w:pPr>
      <w:r>
        <w:t xml:space="preserve">- </w:t>
      </w:r>
      <w:r w:rsidR="007956E6" w:rsidRPr="00445472">
        <w:t>Ligji nr. 9970</w:t>
      </w:r>
      <w:r w:rsidR="001D340B" w:rsidRPr="00445472">
        <w:t>/</w:t>
      </w:r>
      <w:r w:rsidR="003A2E19" w:rsidRPr="00445472">
        <w:t>24.</w:t>
      </w:r>
      <w:r w:rsidR="007956E6" w:rsidRPr="00445472">
        <w:t>7.2008</w:t>
      </w:r>
      <w:r w:rsidR="00D62EDF" w:rsidRPr="00445472">
        <w:t xml:space="preserve">, “Për </w:t>
      </w:r>
      <w:r w:rsidR="007956E6" w:rsidRPr="00445472">
        <w:t>barazinë gjinore në shoqëri</w:t>
      </w:r>
      <w:r w:rsidR="00D62EDF" w:rsidRPr="00445472">
        <w:t>”</w:t>
      </w:r>
      <w:r w:rsidR="007956E6" w:rsidRPr="00445472">
        <w:t xml:space="preserve"> (GEL)</w:t>
      </w:r>
    </w:p>
    <w:p w14:paraId="09AFE743" w14:textId="6119E6ED" w:rsidR="007956E6" w:rsidRPr="00445472" w:rsidRDefault="00B321BE" w:rsidP="002D1530">
      <w:pPr>
        <w:pStyle w:val="TEKSTIIII"/>
      </w:pPr>
      <w:r>
        <w:t xml:space="preserve">- </w:t>
      </w:r>
      <w:r w:rsidR="007956E6" w:rsidRPr="00445472">
        <w:t>Ligji nr. 10039</w:t>
      </w:r>
      <w:r w:rsidR="001D340B" w:rsidRPr="00445472">
        <w:t>/</w:t>
      </w:r>
      <w:r w:rsidR="007956E6" w:rsidRPr="00445472">
        <w:t>22.12.2008</w:t>
      </w:r>
      <w:r w:rsidR="00D62EDF" w:rsidRPr="00445472">
        <w:t xml:space="preserve">, “Për </w:t>
      </w:r>
      <w:r w:rsidR="007956E6" w:rsidRPr="00445472">
        <w:t>vlerësimin ligjor</w:t>
      </w:r>
      <w:r w:rsidR="00D62EDF" w:rsidRPr="00445472">
        <w:t>”</w:t>
      </w:r>
      <w:r w:rsidR="007956E6" w:rsidRPr="00445472">
        <w:t>.</w:t>
      </w:r>
    </w:p>
    <w:p w14:paraId="3C47B5C7" w14:textId="39BCEF16" w:rsidR="007956E6" w:rsidRPr="00445472" w:rsidRDefault="00B321BE" w:rsidP="002D1530">
      <w:pPr>
        <w:pStyle w:val="TEKSTIIII"/>
      </w:pPr>
      <w:r>
        <w:t xml:space="preserve">- </w:t>
      </w:r>
      <w:r w:rsidR="007956E6" w:rsidRPr="00445472">
        <w:t>Ligji Nr. 10221</w:t>
      </w:r>
      <w:r w:rsidR="001D340B" w:rsidRPr="00445472">
        <w:t>/</w:t>
      </w:r>
      <w:r w:rsidR="003A2E19" w:rsidRPr="00445472">
        <w:t>04.</w:t>
      </w:r>
      <w:r w:rsidR="007956E6" w:rsidRPr="00445472">
        <w:t>2.2010</w:t>
      </w:r>
      <w:r w:rsidR="00D62EDF" w:rsidRPr="00445472">
        <w:t xml:space="preserve">, “Për </w:t>
      </w:r>
      <w:r w:rsidR="007956E6" w:rsidRPr="00445472">
        <w:t>mbrojtjen kundër diskriminimit</w:t>
      </w:r>
      <w:r w:rsidR="00D62EDF" w:rsidRPr="00445472">
        <w:t>”</w:t>
      </w:r>
      <w:r w:rsidR="007956E6" w:rsidRPr="00445472">
        <w:t>,</w:t>
      </w:r>
    </w:p>
    <w:p w14:paraId="2615753A" w14:textId="77777777" w:rsidR="007956E6" w:rsidRPr="00445472" w:rsidRDefault="007956E6" w:rsidP="002D1530">
      <w:pPr>
        <w:pStyle w:val="TEKSTIIII"/>
      </w:pPr>
    </w:p>
    <w:p w14:paraId="203EF50F" w14:textId="75564E65" w:rsidR="007956E6" w:rsidRPr="00445472" w:rsidRDefault="007956E6" w:rsidP="002D1530">
      <w:pPr>
        <w:pStyle w:val="TEKSTIIII"/>
      </w:pPr>
      <w:r w:rsidRPr="00445472">
        <w:t>Qeveria Shqiptare ka krijuar një Strategji Kombëtare dhe Planin e Veprimit për Barazinë Gjinore (PVBGJ) miratuar me Vendim të Këshillit të Ministrave, nr.</w:t>
      </w:r>
      <w:r w:rsidR="003A2E19" w:rsidRPr="00445472">
        <w:t xml:space="preserve"> </w:t>
      </w:r>
      <w:r w:rsidRPr="00445472">
        <w:t xml:space="preserve">733, më 20.10.2016, një dokument i rëndësishëm që bashkon shumë sektorë dhe partnerë që do të kontribuojnë për më tej në zhvillimin e këtyre çështjeve. Qeveria e Shqipërisë ka pasur një bashkëpunim të vazhdueshëm e të ngushtë me të gjithë aktorët që besojnë se promovimi i barazisë gjinore dhe misioni i saj për tolerancë zero ndaj dhunës në familje dhe dhunës me bazë gjinore është një kontribut kyç për një shoqëri demokratike dhe të emancipuar. </w:t>
      </w:r>
    </w:p>
    <w:p w14:paraId="2A4C02C3" w14:textId="77777777" w:rsidR="007956E6" w:rsidRPr="00445472" w:rsidRDefault="007956E6" w:rsidP="002D1530">
      <w:pPr>
        <w:pStyle w:val="TEKSTIIII"/>
      </w:pPr>
      <w:r w:rsidRPr="00445472">
        <w:t xml:space="preserve">Parimet kryesore që udhëheqin strategjinë e cila duhet të njihet nga donatorët me qëllim që të gjitha projektet të çojnë në një ndikim maksimal në barazinë gjinore janë: </w:t>
      </w:r>
    </w:p>
    <w:p w14:paraId="4112C32A" w14:textId="202CE26E" w:rsidR="007956E6" w:rsidRPr="00445472" w:rsidRDefault="00B321BE" w:rsidP="002D1530">
      <w:pPr>
        <w:pStyle w:val="TEKSTIIII"/>
      </w:pPr>
      <w:r>
        <w:t xml:space="preserve">- </w:t>
      </w:r>
      <w:r w:rsidR="007956E6" w:rsidRPr="00445472">
        <w:t xml:space="preserve">Barazia gjinore, një parakusht për një shoqëri të drejtë dhe socio-ekonomike </w:t>
      </w:r>
    </w:p>
    <w:p w14:paraId="07D5F150" w14:textId="74F75BB7" w:rsidR="007956E6" w:rsidRPr="00445472" w:rsidRDefault="00B321BE" w:rsidP="002D1530">
      <w:pPr>
        <w:pStyle w:val="TEKSTIIII"/>
      </w:pPr>
      <w:r>
        <w:t xml:space="preserve">- </w:t>
      </w:r>
      <w:r w:rsidR="007956E6" w:rsidRPr="00445472">
        <w:t>Ndjeshmëria dhe trajtimi i barabartë ndaj: grave dhe vajzave me aftësi të kufizuara, romëve, egjiptianëve, të moshuarve, grave emigrante, nënave të fëmijëve, personave me nevoja të veçanta të të dy</w:t>
      </w:r>
      <w:r w:rsidR="003A2E19" w:rsidRPr="00445472">
        <w:t>ja</w:t>
      </w:r>
      <w:r w:rsidR="007956E6" w:rsidRPr="00445472">
        <w:t xml:space="preserve"> gjinive. </w:t>
      </w:r>
    </w:p>
    <w:p w14:paraId="35972F61" w14:textId="50867FCE" w:rsidR="007956E6" w:rsidRPr="00445472" w:rsidRDefault="00B321BE" w:rsidP="002D1530">
      <w:pPr>
        <w:pStyle w:val="TEKSTIIII"/>
      </w:pPr>
      <w:r>
        <w:t xml:space="preserve">- </w:t>
      </w:r>
      <w:r w:rsidR="007956E6" w:rsidRPr="00445472">
        <w:t>Njohja, vlerësimi dhe respektimi i diversitetit - midis vajzave dhe grave, djemve dhe burrave, në lidhje me moshën, aftësitë, orientimin seksual, identitetin gjinor, prejardhjen etnike dhe sociale, praktikat fetare dhe zgjedhjet e jetës.</w:t>
      </w:r>
    </w:p>
    <w:p w14:paraId="04016140" w14:textId="52E1D348" w:rsidR="007956E6" w:rsidRPr="00445472" w:rsidRDefault="00B321BE" w:rsidP="002D1530">
      <w:pPr>
        <w:pStyle w:val="TEKSTIIII"/>
      </w:pPr>
      <w:r>
        <w:t xml:space="preserve">- </w:t>
      </w:r>
      <w:r w:rsidR="007956E6" w:rsidRPr="00445472">
        <w:t>Toleranca zero ndaj dhunës ndaj grave dhe dhunës në familje - mbrojtja e jetës, dinjitetit njerëzor dhe integritetit është parakusht për zhvillimin e një vendi.</w:t>
      </w:r>
    </w:p>
    <w:p w14:paraId="43FC92E4" w14:textId="3C735C01" w:rsidR="007956E6" w:rsidRPr="00445472" w:rsidRDefault="00B321BE" w:rsidP="002D1530">
      <w:pPr>
        <w:pStyle w:val="TEKSTIIII"/>
      </w:pPr>
      <w:r>
        <w:t xml:space="preserve">- </w:t>
      </w:r>
      <w:r w:rsidR="007956E6" w:rsidRPr="00445472">
        <w:t>Koordinimi dhe bashkëpunimi ndërkulturor - derivues nga karakteristikat dhe natyra e çështjeve që përbëjnë shtyllat e kësaj strategjie, institucionet shtetërore, organizatat e shoqërisë civile</w:t>
      </w:r>
      <w:r w:rsidR="008F0A9F" w:rsidRPr="00445472">
        <w:t>, si dhe</w:t>
      </w:r>
      <w:r w:rsidR="007956E6" w:rsidRPr="00445472">
        <w:t xml:space="preserve"> të gjithë aktorët e interesuar dhe partnerët, t</w:t>
      </w:r>
      <w:r w:rsidR="003A2E19" w:rsidRPr="00445472">
        <w:t>ë</w:t>
      </w:r>
      <w:r w:rsidR="007956E6" w:rsidRPr="00445472">
        <w:t xml:space="preserve"> </w:t>
      </w:r>
      <w:r w:rsidR="003A2E19" w:rsidRPr="00445472">
        <w:t>cilët</w:t>
      </w:r>
      <w:r w:rsidR="007956E6" w:rsidRPr="00445472">
        <w:t xml:space="preserve"> duhet të punojnë së bashku duke koordinuar veprimet e tyre me qëllim trajtimin më efektivisht të pabarazive dhe padrejtësive në bazë gjinore për vajzat</w:t>
      </w:r>
      <w:r w:rsidR="001D340B" w:rsidRPr="00445472">
        <w:t>/</w:t>
      </w:r>
      <w:r w:rsidR="007956E6" w:rsidRPr="00445472">
        <w:t>gratë dhe djemtë</w:t>
      </w:r>
      <w:r w:rsidR="001D340B" w:rsidRPr="00445472">
        <w:t>/</w:t>
      </w:r>
      <w:r w:rsidR="007956E6" w:rsidRPr="00445472">
        <w:t>burrat.</w:t>
      </w:r>
    </w:p>
    <w:p w14:paraId="4B9C08F9" w14:textId="77777777" w:rsidR="007956E6" w:rsidRPr="00B321BE" w:rsidRDefault="007956E6" w:rsidP="002D1530">
      <w:pPr>
        <w:pStyle w:val="TEKSTIIII"/>
      </w:pPr>
      <w:r w:rsidRPr="00B321BE">
        <w:rPr>
          <w:rStyle w:val="BodyTextChar"/>
          <w:rFonts w:ascii="Garamond" w:eastAsiaTheme="minorEastAsia" w:hAnsi="Garamond"/>
          <w:sz w:val="24"/>
          <w:szCs w:val="24"/>
          <w:lang w:val="sq-AL"/>
        </w:rPr>
        <w:t>Një ndër parimet që synon integrimin gjinor është rritja e pjesëmarrjes së grave në vendimmarrje nëpërmjet</w:t>
      </w:r>
      <w:r w:rsidRPr="00B321BE">
        <w:t xml:space="preserve">: </w:t>
      </w:r>
    </w:p>
    <w:p w14:paraId="3C11119F" w14:textId="48F05ADE" w:rsidR="007956E6" w:rsidRPr="00445472" w:rsidRDefault="00B321BE" w:rsidP="002D1530">
      <w:pPr>
        <w:pStyle w:val="TEKSTIIII"/>
      </w:pPr>
      <w:r>
        <w:t xml:space="preserve">- </w:t>
      </w:r>
      <w:r w:rsidR="007956E6" w:rsidRPr="00445472">
        <w:t xml:space="preserve">Marrjes së masave të cilat sigurojnë qasje të plotë të grave në politikë; </w:t>
      </w:r>
    </w:p>
    <w:p w14:paraId="75DDE071" w14:textId="47DADAE7" w:rsidR="007956E6" w:rsidRPr="00445472" w:rsidRDefault="00B321BE" w:rsidP="002D1530">
      <w:pPr>
        <w:pStyle w:val="TEKSTIIII"/>
      </w:pPr>
      <w:r>
        <w:t xml:space="preserve">- </w:t>
      </w:r>
      <w:r w:rsidR="007956E6" w:rsidRPr="00445472">
        <w:t xml:space="preserve">Rritjes së përfaqësimit dhe pjesëmarrjes së grave në vendimmarrje në 30% në të gjitha nivelet përmes masave të përkohshme të posaçme; </w:t>
      </w:r>
    </w:p>
    <w:p w14:paraId="5BF84D87" w14:textId="320CAB1B" w:rsidR="007956E6" w:rsidRPr="00445472" w:rsidRDefault="00B321BE" w:rsidP="002D1530">
      <w:pPr>
        <w:pStyle w:val="TEKSTIIII"/>
      </w:pPr>
      <w:r>
        <w:t xml:space="preserve">- </w:t>
      </w:r>
      <w:r w:rsidR="007956E6" w:rsidRPr="00445472">
        <w:t xml:space="preserve">Rritjes së pjesëmarrjes së grave në strukturat paqeruajtëse dhe policore; dhe </w:t>
      </w:r>
    </w:p>
    <w:p w14:paraId="5FC32542" w14:textId="2B0D06D2" w:rsidR="007956E6" w:rsidRPr="00445472" w:rsidRDefault="00B321BE" w:rsidP="002D1530">
      <w:pPr>
        <w:pStyle w:val="TEKSTIIII"/>
      </w:pPr>
      <w:r>
        <w:t xml:space="preserve">- </w:t>
      </w:r>
      <w:r w:rsidR="007956E6" w:rsidRPr="00445472">
        <w:t>Rritjes së aftësive të grave si qytetare për të marrë pjesë në vendimmarrje dhe udhëheqje.</w:t>
      </w:r>
    </w:p>
    <w:p w14:paraId="32A95B35" w14:textId="7FB34114" w:rsidR="007956E6" w:rsidRPr="00445472" w:rsidRDefault="002D1530" w:rsidP="002D1530">
      <w:pPr>
        <w:pStyle w:val="NENTITULL"/>
      </w:pPr>
      <w:bookmarkStart w:id="312" w:name="_Toc484696904"/>
      <w:bookmarkStart w:id="313" w:name="_Toc11068892"/>
      <w:r w:rsidRPr="00445472">
        <w:rPr>
          <w:rStyle w:val="Heading3Char"/>
          <w:rFonts w:ascii="Garamond" w:eastAsiaTheme="minorEastAsia" w:hAnsi="Garamond" w:cstheme="minorBidi"/>
          <w:b/>
          <w:bCs w:val="0"/>
          <w:color w:val="auto"/>
          <w:sz w:val="24"/>
          <w:szCs w:val="24"/>
          <w:lang w:val="sq-AL" w:eastAsia="en-US"/>
        </w:rPr>
        <w:t xml:space="preserve">13.4.2 </w:t>
      </w:r>
      <w:r w:rsidR="007956E6" w:rsidRPr="00445472">
        <w:rPr>
          <w:rStyle w:val="Heading3Char"/>
          <w:rFonts w:ascii="Garamond" w:eastAsiaTheme="minorEastAsia" w:hAnsi="Garamond" w:cstheme="minorBidi"/>
          <w:b/>
          <w:bCs w:val="0"/>
          <w:color w:val="auto"/>
          <w:sz w:val="24"/>
          <w:szCs w:val="24"/>
          <w:lang w:val="sq-AL" w:eastAsia="en-US"/>
        </w:rPr>
        <w:t>Të dhënat statistikore gjinore në përputhje me masat legjislative</w:t>
      </w:r>
      <w:r w:rsidR="007956E6" w:rsidRPr="00445472">
        <w:rPr>
          <w:rStyle w:val="FootnoteReference"/>
          <w:rFonts w:ascii="Garamond" w:hAnsi="Garamond"/>
          <w:color w:val="auto"/>
          <w:szCs w:val="24"/>
          <w:vertAlign w:val="baseline"/>
        </w:rPr>
        <w:footnoteReference w:id="216"/>
      </w:r>
      <w:bookmarkEnd w:id="312"/>
      <w:bookmarkEnd w:id="313"/>
    </w:p>
    <w:p w14:paraId="261CD047" w14:textId="77777777" w:rsidR="007956E6" w:rsidRPr="00445472" w:rsidRDefault="007956E6" w:rsidP="002D1530">
      <w:pPr>
        <w:pStyle w:val="TEKSTIIII"/>
      </w:pPr>
      <w:r w:rsidRPr="00445472">
        <w:t>Pas zbatimit të kuotave gjinore dhe masave të ndërgjegjësimit, zhvillimi i situatës në zgjedhjet e përgjithshme është sipas statistikave në vijim:</w:t>
      </w:r>
    </w:p>
    <w:p w14:paraId="3A6F0D55" w14:textId="2DCB823A" w:rsidR="007956E6" w:rsidRPr="00445472" w:rsidRDefault="00B321BE" w:rsidP="002D1530">
      <w:pPr>
        <w:pStyle w:val="TEKSTIIII"/>
      </w:pPr>
      <w:r>
        <w:t xml:space="preserve">- </w:t>
      </w:r>
      <w:r w:rsidR="007956E6" w:rsidRPr="00445472">
        <w:t>Zgjedhjet Parlamentare 2005: përfaqësimi i grave ishte vetëm 10 nga 140. Në kabinetin qeveritar, nga zgjedhjet e vitit 2005 përfaqësimi i grave ishte 2 ministra nga 14 në total ose 14% dhe 7 gra zëvendësministre nga 21 në total. Në nivel prefekture, kishte një gr</w:t>
      </w:r>
      <w:r w:rsidR="003A2E19" w:rsidRPr="00445472">
        <w:t>ua në 12 rrethe të emëruar si p</w:t>
      </w:r>
      <w:r w:rsidR="007956E6" w:rsidRPr="00445472">
        <w:t>e</w:t>
      </w:r>
      <w:r w:rsidR="003A2E19" w:rsidRPr="00445472">
        <w:t>r</w:t>
      </w:r>
      <w:r w:rsidR="007956E6" w:rsidRPr="00445472">
        <w:t>fekte.</w:t>
      </w:r>
    </w:p>
    <w:p w14:paraId="515F520A" w14:textId="734FC009" w:rsidR="007956E6" w:rsidRPr="00445472" w:rsidRDefault="00B321BE" w:rsidP="002D1530">
      <w:pPr>
        <w:pStyle w:val="TEKSTIIII"/>
      </w:pPr>
      <w:r>
        <w:t xml:space="preserve">- </w:t>
      </w:r>
      <w:r w:rsidR="007956E6" w:rsidRPr="00445472">
        <w:t>Zgjedhjet Parlamentare 2009: si rezultat i zbatimit të kuotës së parashikuar në Kodin Zgjedhor gjatë fushatës zgjedhore për zgjedhjet parlamentare të qershorit 2009, listat e kandidatëve përfshinin 30% të grave deputete. Vlerat e kandidateve gra dhe vajza u promovuan përmes takimeve, shfaqjeve televizive etj. Në Parlamentin e Republikës së Shqipërisë, gratë mbajnë 23 vende nga gjithsej 140, ose 16.4% të vendeve ose dyfishin e grave krahasuar me numrin e mëparshëm të tyre në zgjedhjet parlamentare. Në kabinetin qeveritar, kishte një post të një ministreje grua ose 7.1% e kabinetit qeveritar. Zëvendësministrat janë gjithsej 35, nga të cilët 8 gra ose 23%. Një grua në 12 rrethe ishte pe</w:t>
      </w:r>
      <w:r w:rsidR="003A2E19" w:rsidRPr="00445472">
        <w:t>r</w:t>
      </w:r>
      <w:r w:rsidR="007956E6" w:rsidRPr="00445472">
        <w:t>fekte.</w:t>
      </w:r>
    </w:p>
    <w:p w14:paraId="50DB3381" w14:textId="558718B9" w:rsidR="007956E6" w:rsidRPr="00445472" w:rsidRDefault="00B321BE" w:rsidP="002D1530">
      <w:pPr>
        <w:pStyle w:val="TEKSTIIII"/>
      </w:pPr>
      <w:r>
        <w:t xml:space="preserve">- </w:t>
      </w:r>
      <w:r w:rsidR="007956E6" w:rsidRPr="00445472">
        <w:t>Zgjedhjet Parlamentare 2013: në të vërtetë, janë 33 gra nga gjithsej 140 anëtarë të parlamentit. Kjo paraqet një normë prej 24% të përfshirjes së grave. Ligji</w:t>
      </w:r>
      <w:r w:rsidR="00D62EDF" w:rsidRPr="00445472">
        <w:t xml:space="preserve">, “Për </w:t>
      </w:r>
      <w:r w:rsidR="007956E6" w:rsidRPr="00445472">
        <w:t>barazinë gjinore në shoqëri</w:t>
      </w:r>
      <w:r w:rsidR="00D62EDF" w:rsidRPr="00445472">
        <w:t>”</w:t>
      </w:r>
      <w:r w:rsidR="007956E6" w:rsidRPr="00445472">
        <w:t xml:space="preserve"> (miratuar në vitin 2008) paraqiti një pritje prej 30% të kuotës së përfaqësimit të grave në listat e kandidatëve për zgjedhje, e cila akoma nuk është plotësuar</w:t>
      </w:r>
      <w:r w:rsidR="007956E6" w:rsidRPr="00445472">
        <w:rPr>
          <w:rStyle w:val="FootnoteReference"/>
          <w:rFonts w:ascii="Garamond" w:hAnsi="Garamond"/>
          <w:color w:val="auto"/>
        </w:rPr>
        <w:footnoteReference w:id="217"/>
      </w:r>
      <w:r w:rsidR="007956E6" w:rsidRPr="00445472">
        <w:footnoteReference w:id="218"/>
      </w:r>
      <w:r w:rsidR="007956E6" w:rsidRPr="00445472">
        <w:t>. Qeveria e krijuar pas zgjedhjeve të përgjithshme të vitit 2013 kishte një rritje të konsiderueshme në përfaqësimin e grave, me 8 (tetë) ministra femra (ose 42%) dhe 10 (dhjetë) zëvendësministra (ose 34.4%). Roli i grave u forcua me krijimin e Aleancës së Grave Deputete (A</w:t>
      </w:r>
      <w:r w:rsidR="003A2E19" w:rsidRPr="00445472">
        <w:t>W</w:t>
      </w:r>
      <w:r w:rsidR="007956E6" w:rsidRPr="00445472">
        <w:t>MP) në vitin 2013, një grup që inkurajon integrimin gjinor të ligjeve dhe promovimin e barazisë gjinore. Në vitin 2011, gratë dhe vajzat zinin 64.9% të pozicioneve në nivel specialistësh dhe 39.2% të pozicioneve të menaxhimit të mesëm. Gjatë viteve 2007-2012 u organizuan një sërë fushatash ndërgjegjësimi për barazinë gjinore dhe luftën kundër dhunës në familje. Ekziston një strehimore kombëtare për viktimat e dhunës në familje. Gjithashtu, është plotësisht funksional një mekanizëm koordinimi për referimin e rasteve të dhunës në familje.</w:t>
      </w:r>
    </w:p>
    <w:p w14:paraId="0453CEF5" w14:textId="77777777" w:rsidR="007956E6" w:rsidRPr="00445472" w:rsidRDefault="007956E6" w:rsidP="002D1530">
      <w:pPr>
        <w:pStyle w:val="TEKSTIIII"/>
      </w:pPr>
      <w:r w:rsidRPr="00445472">
        <w:t>Sa i përket zgjedhjeve lokale, evoluimi i situatës është si më poshtë:</w:t>
      </w:r>
    </w:p>
    <w:p w14:paraId="1E37407B" w14:textId="3ACC49FF" w:rsidR="007956E6" w:rsidRPr="00445472" w:rsidRDefault="00B321BE" w:rsidP="002D1530">
      <w:pPr>
        <w:pStyle w:val="TEKSTIIII"/>
      </w:pPr>
      <w:r>
        <w:t xml:space="preserve">- </w:t>
      </w:r>
      <w:r w:rsidR="007956E6" w:rsidRPr="00445472">
        <w:t>Zgjedhjet Lokale 2007: Në qeverinë lokale duke iu referuar zgjedhjeve të fundit të vitit 2007, rezultatet ishin: Një grua, kryebashkiake e komunës nga 65 komuna ose 1.5%, 9 gra janë kryetarë të këshillave bashkiake ose 16%, anëtare gra të këshillave bashkiake janë 157 nga gjith</w:t>
      </w:r>
      <w:r w:rsidR="003A2E19" w:rsidRPr="00445472">
        <w:t>sej 1178 ose 13.3%, Nga 11 mini</w:t>
      </w:r>
      <w:r w:rsidR="007956E6" w:rsidRPr="00445472">
        <w:t>bashkitë e Tiranës 3 kryetare bashkie janë gra, ose 27.3%, janë 6 kryetare të komunave nga 309 në total, ose 1.9%.</w:t>
      </w:r>
    </w:p>
    <w:p w14:paraId="48B1805B" w14:textId="4A3F9ED7" w:rsidR="007956E6" w:rsidRPr="00445472" w:rsidRDefault="00B321BE" w:rsidP="002D1530">
      <w:pPr>
        <w:pStyle w:val="TEKSTIIII"/>
      </w:pPr>
      <w:r>
        <w:t xml:space="preserve">- </w:t>
      </w:r>
      <w:r w:rsidR="007956E6" w:rsidRPr="00445472">
        <w:t>Zgjedhjet Lokale 2011: Nga 65 komuna - 3 gra ishin kryetare Bashkie ose 7.7% (Burre</w:t>
      </w:r>
      <w:r w:rsidR="003A2E19" w:rsidRPr="00445472">
        <w:t>l, Konispol, Patos) nga 11 mini</w:t>
      </w:r>
      <w:r w:rsidR="007956E6" w:rsidRPr="00445472">
        <w:t>bashkitë e Tiranës - 2 janë kryetare minibashkie ose 18% (Njësia bashkiake 1 dhe 5), Anëtare të Këshillit Bashkiak janë 760 nga një total prej 6152 ose 12%.</w:t>
      </w:r>
    </w:p>
    <w:p w14:paraId="01029602" w14:textId="77777777" w:rsidR="007956E6" w:rsidRPr="00445472" w:rsidRDefault="007956E6" w:rsidP="002D1530">
      <w:pPr>
        <w:pStyle w:val="TEKSTIIII"/>
      </w:pPr>
      <w:r w:rsidRPr="00445472">
        <w:t>Për më tepër, gratë mbajnë pozitat e Kryetarit të Parlamentit, të Gjykatës së Lartë dhe të Prokurorit të Përgjithshëm Gjithashtu, gratë mbajnë disa pozita udhëheqëse të institucioneve të tjera qendrore të rëndësishme. Bazuar në statistikat e DAP, në administratat publike ka një pjesëmarrje të lartë të grave dhe vajzave në nivel ekspertësh, ky raport ishte 2008 ose 58.8% dhe është rritur në 64% në vitin 2010.</w:t>
      </w:r>
    </w:p>
    <w:p w14:paraId="5B41701D" w14:textId="2DDD6078" w:rsidR="007956E6" w:rsidRPr="00445472" w:rsidRDefault="007956E6" w:rsidP="002D1530">
      <w:pPr>
        <w:pStyle w:val="TEKSTIIII"/>
      </w:pPr>
      <w:r w:rsidRPr="00445472">
        <w:t>Në nivelin e menaxhimit të mesëm, pjesëmarrja ishte 42% gra për vitin 2010. Në nivelin e menaxhimit të lartë përfaqësimi i grave dhe vajzave është 25%. Në Universitete, 43.6% gra krahasuar me 56.4% meshkuj përbëjnë fakultetin akademik. Ndërkohë gratë me gradë shkencore janë 38% (viti 2008). Nga 10 rektorë asnjë nuk është një grua, nga 10 zëvendësrektorë, 3 janë femra ose 23%. Në gradën e dekanëve, gratë janë 11 ose 27% krahasuar me 29 burra që përbëjnë 72%.</w:t>
      </w:r>
    </w:p>
    <w:p w14:paraId="7876FAE0" w14:textId="1A4EC54E" w:rsidR="007956E6" w:rsidRPr="00445472" w:rsidRDefault="007956E6" w:rsidP="002D1530">
      <w:pPr>
        <w:pStyle w:val="TEKSTIIII"/>
      </w:pPr>
      <w:r w:rsidRPr="00445472">
        <w:t>Megjithëse prania e grave në administratën publike është inkurajuese, burrat mbizotërojnë në pozita udhëheqëse Analiza e punësimit sipas grupeve të profesioneve (bazuar në klasifikimin ndërkombëtar të profesioneve, ISCO 88) dhe e gjinisë tregon se për disa grupe të profesioneve ka dallime të dukshme në shkallën e punësimit të meshkujve dhe femrave Në grupin e ligjvënësve, zyrtarëve të lartë dhe udhëheqësve, 23.7 për</w:t>
      </w:r>
      <w:r w:rsidR="003A2E19" w:rsidRPr="00445472">
        <w:t xml:space="preserve"> </w:t>
      </w:r>
      <w:r w:rsidRPr="00445472">
        <w:t>qind e të punësuarve janë femra dhe 76.3 për</w:t>
      </w:r>
      <w:r w:rsidR="003A2E19" w:rsidRPr="00445472">
        <w:t xml:space="preserve"> </w:t>
      </w:r>
      <w:r w:rsidRPr="00445472">
        <w:t>qind meshkuj</w:t>
      </w:r>
    </w:p>
    <w:p w14:paraId="07834FBA" w14:textId="16595688" w:rsidR="007956E6" w:rsidRPr="00445472" w:rsidRDefault="007956E6" w:rsidP="002D1530">
      <w:pPr>
        <w:pStyle w:val="TEKSTIIII"/>
      </w:pPr>
      <w:r w:rsidRPr="00445472">
        <w:t xml:space="preserve">Niveli i pjesëmarrjes në fuqinë punëtore për popullsinë meshkuj dhe femra të moshës 15-64 vjeç është përkatësisht 72.2% dhe 51.3% </w:t>
      </w:r>
      <w:r w:rsidRPr="00445472">
        <w:rPr>
          <w:rStyle w:val="FootnoteReference"/>
          <w:rFonts w:ascii="Garamond" w:hAnsi="Garamond"/>
          <w:color w:val="auto"/>
        </w:rPr>
        <w:footnoteReference w:id="219"/>
      </w:r>
      <w:r w:rsidRPr="00445472">
        <w:t>. Ekziston një hendek prej 20.9% ndërmjet meshkujve dhe femrave në pjesëmarrjen e fuqisë punëtore. Sipas INSTAT</w:t>
      </w:r>
      <w:r w:rsidR="003A2E19" w:rsidRPr="00445472">
        <w:t>-it</w:t>
      </w:r>
      <w:r w:rsidRPr="00445472">
        <w:t xml:space="preserve"> kjo do të thotë se meshkujt janë më aktivë në tregun e punës sesa femrat. Objektiva e rritjes së pjesëmarrjes së grave në fuqinë punëtore në 65% nuk është arritur siç pritej. Struktura e punësimit në përputhje me statusin e punësimit tregon se 42.6% e të punësuarve janë punëmarrës, 31.8% janë punonjës që kontribuojnë në familjet e tyre dhe 25.6% janë të vetëpunësuar. Meshkujt dominojnë ndërmjet të vetëpunësuarve dhe femrat janë 1.3 herë më shumë se meshkujt punonjëse që kontribuojnë në familjet e tyre, një situatë që i vë ato në varësi ekonomike dhe pengon fuqizimin e tyre ekonomik.</w:t>
      </w:r>
    </w:p>
    <w:p w14:paraId="451022CB" w14:textId="1AD49A4C" w:rsidR="007956E6" w:rsidRPr="00445472" w:rsidRDefault="002D1530" w:rsidP="002D1530">
      <w:pPr>
        <w:pStyle w:val="NENTITULL"/>
      </w:pPr>
      <w:bookmarkStart w:id="314" w:name="_Toc484696905"/>
      <w:bookmarkStart w:id="315" w:name="_Toc11068893"/>
      <w:r w:rsidRPr="00445472">
        <w:t xml:space="preserve">13.4.3 </w:t>
      </w:r>
      <w:r w:rsidR="007956E6" w:rsidRPr="00445472">
        <w:t>Barazia gjinore në institucionet në nivel qendror</w:t>
      </w:r>
      <w:bookmarkEnd w:id="314"/>
      <w:bookmarkEnd w:id="315"/>
    </w:p>
    <w:p w14:paraId="17139B8B" w14:textId="77777777" w:rsidR="007956E6" w:rsidRPr="00445472" w:rsidRDefault="007956E6" w:rsidP="002D1530">
      <w:pPr>
        <w:pStyle w:val="TEKSTIIII"/>
      </w:pPr>
      <w:r w:rsidRPr="00445472">
        <w:t xml:space="preserve">Struktura institucionale për Barazinë Gjinore përbëhet nga një numër i strukturave shtetërore të projektuara për të nxitur përparimin e barazisë gjinore dhe për të siguruar gëzimin e të drejtave të njeriut të grave. Ky mekanizëm u krijua në zbatimin e rekomandimit të CEDAW, Platforma për Veprim e Pekinit (PVP) dhe GEL. Funksioni i tij kryesor është të monitorojë dhe të sigurojë zbatimin e ligjeve, zbatimin e parimit të mosdiskriminimit dhe të barazisë midis burrave dhe grave. </w:t>
      </w:r>
    </w:p>
    <w:p w14:paraId="6642D625" w14:textId="77777777" w:rsidR="007956E6" w:rsidRPr="00445472" w:rsidRDefault="007956E6" w:rsidP="002D1530">
      <w:pPr>
        <w:pStyle w:val="TEKSTIIII"/>
      </w:pPr>
      <w:r w:rsidRPr="00445472">
        <w:t>Strukturat dhe përgjegjësitë që zbatohen janë:</w:t>
      </w:r>
    </w:p>
    <w:p w14:paraId="2D1E418E" w14:textId="05BD8AD5" w:rsidR="007956E6" w:rsidRPr="00445472" w:rsidRDefault="00B321BE" w:rsidP="002D1530">
      <w:pPr>
        <w:pStyle w:val="TEKSTIIII"/>
      </w:pPr>
      <w:r>
        <w:t xml:space="preserve">- </w:t>
      </w:r>
      <w:r w:rsidR="007956E6" w:rsidRPr="00445472">
        <w:t>Në nivel parlamentar, Komisioni Parlamentar për Shëndetësi, Punë dhe Çështje Sociale ndjek dhe trajton çështjet e barazisë gjinore. Ky Komision shqyrton projektligjet, ndërmerr iniciativa ligjore në fushat e ekspertizës së tij dhe krijon bashkëpunim me  autoritetin përkatës për çështjet e barazisë gjinore.</w:t>
      </w:r>
    </w:p>
    <w:p w14:paraId="7CC59E94" w14:textId="5383AFFF" w:rsidR="007956E6" w:rsidRPr="00445472" w:rsidRDefault="00B321BE" w:rsidP="002D1530">
      <w:pPr>
        <w:pStyle w:val="TEKSTIIII"/>
      </w:pPr>
      <w:r>
        <w:t xml:space="preserve">- </w:t>
      </w:r>
      <w:r w:rsidR="007956E6" w:rsidRPr="00445472">
        <w:t>GEL specifikon që Ministria e mëparshme e Mirëqenies Sociale dhe Rinisë si autoriteti përgjegjës për çështjet e barazisë gjinore, pas zhvillimit të konsultimeve me përfaqësues të organizatave të shoqërisë civile dhe organizatave kombëtare dhe ndërkombëtare që po punojnë për të arritur barazinë gjinore dhe për të reduktuar çështjet më bazë gjinore në Shqipëri, SKBGJ (aktualisht çështjet sociale janë përgjegjësi e Ministrisë së Shëndetësisë dhe Mbrojtjes Sociale)</w:t>
      </w:r>
    </w:p>
    <w:p w14:paraId="4461843C" w14:textId="573354C5" w:rsidR="007956E6" w:rsidRPr="00445472" w:rsidRDefault="00B321BE" w:rsidP="002D1530">
      <w:pPr>
        <w:pStyle w:val="TEKSTIIII"/>
      </w:pPr>
      <w:r>
        <w:t xml:space="preserve">- </w:t>
      </w:r>
      <w:r w:rsidR="007956E6" w:rsidRPr="00445472">
        <w:t>Ministritë e linjës dhe Institucionet Filiale - Ministritë (dhe institucionet e tyre përkatëse) monitorojnë dhe implementojnë angazhimin e Qeverisë ndaj çështjes së barazisë gjinore.</w:t>
      </w:r>
    </w:p>
    <w:p w14:paraId="6C1ABDFF" w14:textId="6747E8F3" w:rsidR="007956E6" w:rsidRPr="00445472" w:rsidRDefault="00B321BE" w:rsidP="002D1530">
      <w:pPr>
        <w:pStyle w:val="TEKSTIIII"/>
      </w:pPr>
      <w:r>
        <w:t xml:space="preserve">- </w:t>
      </w:r>
      <w:r w:rsidR="007956E6" w:rsidRPr="00445472">
        <w:t xml:space="preserve">Këshilli Kombëtar për Barazinë Gjinore (KKBGJ) është themeluar me </w:t>
      </w:r>
      <w:r w:rsidR="003A2E19" w:rsidRPr="00445472">
        <w:t xml:space="preserve">urdhër </w:t>
      </w:r>
      <w:r w:rsidR="007956E6" w:rsidRPr="00445472">
        <w:t xml:space="preserve">të Kryeministrit </w:t>
      </w:r>
      <w:r w:rsidR="003A2E19" w:rsidRPr="00445472">
        <w:t>nr</w:t>
      </w:r>
      <w:r w:rsidR="007956E6" w:rsidRPr="00445472">
        <w:t>.</w:t>
      </w:r>
      <w:r w:rsidR="003A2E19" w:rsidRPr="00445472">
        <w:t xml:space="preserve"> </w:t>
      </w:r>
      <w:r w:rsidR="007956E6" w:rsidRPr="00445472">
        <w:t>3, dat</w:t>
      </w:r>
      <w:r w:rsidR="00C83744">
        <w:t>ë 8.</w:t>
      </w:r>
      <w:r w:rsidR="007956E6" w:rsidRPr="00445472">
        <w:t xml:space="preserve">1.2009 </w:t>
      </w:r>
      <w:r w:rsidR="003A2E19" w:rsidRPr="00445472">
        <w:t>mbikëqyr</w:t>
      </w:r>
      <w:r w:rsidR="007956E6" w:rsidRPr="00445472">
        <w:t xml:space="preserve"> reformat lidhur me fuqizimin e grave.</w:t>
      </w:r>
    </w:p>
    <w:p w14:paraId="58F7D56C" w14:textId="2A020FE9" w:rsidR="007956E6" w:rsidRPr="00445472" w:rsidRDefault="00B321BE" w:rsidP="002D1530">
      <w:pPr>
        <w:pStyle w:val="NENTITULL"/>
      </w:pPr>
      <w:bookmarkStart w:id="316" w:name="_Toc10806501"/>
      <w:bookmarkStart w:id="317" w:name="_Toc484696906"/>
      <w:bookmarkStart w:id="318" w:name="_Toc11068894"/>
      <w:bookmarkEnd w:id="316"/>
      <w:r>
        <w:t>13.4.4</w:t>
      </w:r>
      <w:r w:rsidR="002D1530" w:rsidRPr="00445472">
        <w:t xml:space="preserve"> </w:t>
      </w:r>
      <w:r w:rsidR="007956E6" w:rsidRPr="00445472">
        <w:t>Barazia gjinore në institucionet në nivel lokal</w:t>
      </w:r>
      <w:bookmarkEnd w:id="317"/>
      <w:bookmarkEnd w:id="318"/>
    </w:p>
    <w:p w14:paraId="36C37EC1" w14:textId="77777777" w:rsidR="007956E6" w:rsidRPr="00445472" w:rsidRDefault="007956E6" w:rsidP="002D1530">
      <w:pPr>
        <w:pStyle w:val="TEKSTIIII"/>
      </w:pPr>
      <w:r w:rsidRPr="00445472">
        <w:t xml:space="preserve">Njësitë e qeverisjes vendore në prefektura, bashki dhe komuna zbatojnë Strategjinë (SKBGJ) në nivel lokal. Koordinimi ndodh përmes GEE në nivelin e Qeverisjes Vendore. </w:t>
      </w:r>
    </w:p>
    <w:p w14:paraId="04E288E2" w14:textId="05E4EE28" w:rsidR="007956E6" w:rsidRPr="00445472" w:rsidRDefault="007956E6" w:rsidP="002D1530">
      <w:pPr>
        <w:pStyle w:val="TEKSTIIII"/>
      </w:pPr>
      <w:r w:rsidRPr="00445472">
        <w:t xml:space="preserve">Qeverisja lokale përgjegjëse për çështjet gjinore gjithashtu siguron që të gjitha proceset, </w:t>
      </w:r>
      <w:r w:rsidR="003A2E19" w:rsidRPr="00445472">
        <w:t>procedurat</w:t>
      </w:r>
      <w:r w:rsidRPr="00445472">
        <w:t xml:space="preserve"> dhe sistemet e qeverisjes lokale të zhvillohen dhe zbatohen në mënyra që marrin parasysh nevojat e ndryshme të grave dhe burrave. Pra, nuk ka të bëjë vetëm me përfshirjen e më shumë grave në proceset e qeverisjes lokale - edhe pse arritja e barazisë gjinore në të gjitha nivelet e qeverisjes lokale është një hap i rëndësishëm. Kjo ka të bëjë me sigurimin që në të gjitha aktivitetet e tyre, qeveritë lokale të marrin në konsideratë pabarazitë gjinore dhe të adresojnë</w:t>
      </w:r>
      <w:r w:rsidR="008F0A9F" w:rsidRPr="00445472">
        <w:t>, si dhe</w:t>
      </w:r>
      <w:r w:rsidRPr="00445472">
        <w:t xml:space="preserve"> </w:t>
      </w:r>
      <w:r w:rsidR="001F68B2" w:rsidRPr="00445472">
        <w:t>t’i</w:t>
      </w:r>
      <w:r w:rsidRPr="00445472">
        <w:t xml:space="preserve"> reduktojnë këto përmes politikave, programeve dhe aktiviteteve të tyre.</w:t>
      </w:r>
    </w:p>
    <w:p w14:paraId="01AA069E" w14:textId="443DB66D" w:rsidR="007956E6" w:rsidRPr="00445472" w:rsidRDefault="007956E6" w:rsidP="002D1530">
      <w:pPr>
        <w:pStyle w:val="TEKSTIIII"/>
      </w:pPr>
      <w:r w:rsidRPr="00445472">
        <w:t>Në Shqipëri, procesi i decentralizimit i ka vendosur Njësitë e Qeverisjes Vendore (</w:t>
      </w:r>
      <w:r w:rsidR="00034FBB">
        <w:t>NJQV</w:t>
      </w:r>
      <w:r w:rsidRPr="00445472">
        <w:t xml:space="preserve">) në një pozicion të fuqishëm për të ndikuar drejtpërdrejt në mirëqenien e grave dhe burrave, vajzave dhe djemve. </w:t>
      </w:r>
      <w:r w:rsidR="00034FBB">
        <w:t>NJQV</w:t>
      </w:r>
      <w:r w:rsidRPr="00445472">
        <w:t xml:space="preserve">-të luajnë një rol kyç në hartimin e politikave lokale, ngritjen dhe alokimin e burimeve buxhetore dhe ofrimin e shërbimeve publike për komunitetet. Kur </w:t>
      </w:r>
      <w:r w:rsidR="00034FBB">
        <w:t>NJQV</w:t>
      </w:r>
      <w:r w:rsidRPr="00445472">
        <w:t xml:space="preserve">-të i japin përparësi barazisë gjinore si një objektiv politike dhe kur </w:t>
      </w:r>
      <w:r w:rsidR="00034FBB">
        <w:t>NJQV</w:t>
      </w:r>
      <w:r w:rsidRPr="00445472">
        <w:t>-të përfshijnë drejtpërsëdrejti gratë dhe burrat në proceset e qeverisjes lokale, komunitetet dhe qytetarët - si gratë dhe burrat - përfitojnë në mënyrë të qartë.</w:t>
      </w:r>
    </w:p>
    <w:p w14:paraId="72CC9DEF" w14:textId="77777777" w:rsidR="007956E6" w:rsidRPr="00445472" w:rsidRDefault="007956E6" w:rsidP="002D1530">
      <w:pPr>
        <w:pStyle w:val="TEKSTIIII"/>
      </w:pPr>
      <w:r w:rsidRPr="00445472">
        <w:t>Mekanizmi i Barazisë Gjinore është krijuar përmes Punonjësve të Barazisë Gjinore (PBGJ) në nivel të njësive të qeverisjes vendore, të cilët janë të mandatuar nga Këshilli Bashkiak për të udhëhequr përpjekjet e integrimit gjinor dhe janë paraparë të marrin rolin e promotorëve dhe monitoruesve të zbatimit të politikës kombëtare gjinore.</w:t>
      </w:r>
    </w:p>
    <w:p w14:paraId="2ED3BF0E" w14:textId="77777777" w:rsidR="007956E6" w:rsidRPr="00445472" w:rsidRDefault="007956E6" w:rsidP="002D1530">
      <w:pPr>
        <w:pStyle w:val="TEKSTIIII"/>
      </w:pPr>
      <w:r w:rsidRPr="00445472">
        <w:t>Neni 13/3 i Ligjit për Barazinë Gjinore përcakton caktimin e Punonjësve të Barazisë Gjinore (PBGJ) në çdo ministri të linjës dhe Neni 14 detyron emërimin e PBGJ-ve në të gjitha organet drejtuese vendore. Në parim, kjo përfshin bashkitë, komunat, prefekturat dhe rrethet.</w:t>
      </w:r>
    </w:p>
    <w:p w14:paraId="0C554A64" w14:textId="77777777" w:rsidR="007956E6" w:rsidRPr="00445472" w:rsidRDefault="007956E6" w:rsidP="002D1530">
      <w:pPr>
        <w:pStyle w:val="TEKSTIIII"/>
      </w:pPr>
      <w:r w:rsidRPr="00445472">
        <w:t>Pikat fokale të Gjinisë nuk janë përcaktuar, por roli i tyre është përcaktuar mirë përmes PBGJ të cilët janë parashikuar për të mbështetur përfshirjen e çështjeve të barazisë gjinore në politikat, programet dhe planet dhe për të monitoruar zbatimin e angazhimeve të barazisë gjinore të qeverisë qendrore dhe vendore. PBGJ-të parashihen gjithashtu të luajnë një rol kyç në mbledhjen dhe analizimin e të dhënave, veçanërisht të dhënave të ndara sipas gjinisë, kryerjen e analizave gjinore për të informuar zhvillimin e politikave lokale dhe zhvillimin e partneriteteve me aktorët e tjerë gjinorë.</w:t>
      </w:r>
    </w:p>
    <w:p w14:paraId="3F138AB0" w14:textId="328DA40C" w:rsidR="007956E6" w:rsidRPr="00445472" w:rsidRDefault="007956E6" w:rsidP="002D1530">
      <w:pPr>
        <w:pStyle w:val="TEKSTIIII"/>
      </w:pPr>
      <w:r w:rsidRPr="00445472">
        <w:t xml:space="preserve">Para zgjedhjeve vendore të muajit maj 2011, vetëm 14 komuna kishin caktuar PBGJ (nga 65 komuna) Duke pasur parasysh përqindjen e ulët të PBGJ-ve, këto dy pozicione - PBGJ dhe eksperti i dhunës në familje - shpesh janë bashkuar dhe plotësuar nga i njëjti individ - për shembull, në komunat pilot të mbështetura përmes aktorëve të tillë si projekti </w:t>
      </w:r>
      <w:r w:rsidR="00D62EDF" w:rsidRPr="00445472">
        <w:t>“</w:t>
      </w:r>
      <w:r w:rsidRPr="00445472">
        <w:t>Ekuiteti në Qeverisje</w:t>
      </w:r>
      <w:r w:rsidR="00D62EDF" w:rsidRPr="00445472">
        <w:t>”</w:t>
      </w:r>
      <w:r w:rsidRPr="00445472">
        <w:t xml:space="preserve"> dhe subjektet e OKB-së.</w:t>
      </w:r>
    </w:p>
    <w:p w14:paraId="3167D201" w14:textId="643C8F72" w:rsidR="007956E6" w:rsidRPr="00445472" w:rsidRDefault="002D1530" w:rsidP="002D1530">
      <w:pPr>
        <w:pStyle w:val="NENTITULL"/>
      </w:pPr>
      <w:bookmarkStart w:id="319" w:name="_Toc484696907"/>
      <w:bookmarkStart w:id="320" w:name="_Toc11068895"/>
      <w:r w:rsidRPr="00445472">
        <w:t xml:space="preserve">13.4.5 </w:t>
      </w:r>
      <w:r w:rsidR="007956E6" w:rsidRPr="00445472">
        <w:t>Niveli i organizimit të shoqërisë civile dhe i OJQ-ve</w:t>
      </w:r>
      <w:bookmarkEnd w:id="319"/>
      <w:bookmarkEnd w:id="320"/>
    </w:p>
    <w:p w14:paraId="76F04182" w14:textId="77777777" w:rsidR="007956E6" w:rsidRPr="00445472" w:rsidRDefault="007956E6" w:rsidP="002D1530">
      <w:pPr>
        <w:pStyle w:val="TEKSTIIII"/>
      </w:pPr>
      <w:r w:rsidRPr="00445472">
        <w:t>Organizatat e shoqërisë civile, sidomos OJQ-të e specializuara në ofrimin e shërbimeve kanë luajtur dhe vazhdojnë të luajnë një rol të rëndësishëm. Në një pjesë të konsiderueshme të rasteve ata jo vetëm përmbushin detyrimet që i përkasin shtetit, por edhe parandalojnë disa prej tyre duke pilotuar shërbime të ndryshme ose duke organizuar aktivitete informuese, ndërgjegjësuese dhe trajnimi. Sa i përket arritjes së barazisë gjinore, përvoja e bashkëpunimit me OJQ-të dhe modelet zbatuese të propozuara prej tyre ka lehtësuar vazhdimisht ndërhyrjen e shtetit, veçanërisht në rastin e njësive të qeverisjes vendore.</w:t>
      </w:r>
    </w:p>
    <w:p w14:paraId="7A0E0D90" w14:textId="3A91368B" w:rsidR="007956E6" w:rsidRPr="00445472" w:rsidRDefault="007956E6" w:rsidP="002D1530">
      <w:pPr>
        <w:pStyle w:val="TEKSTIIII"/>
      </w:pPr>
      <w:r w:rsidRPr="00445472">
        <w:t>Shërbimet e ofruara nga OJQ-të e specializuara në menaxhimin dhe trajtimin e dhunës me bazë gjinore dhe rastet e dhunës në familje janë shpesh alternativa e vetme për viktimat. Shërbimet e strehimit, këshillimit, ndihmës juridike falas etj</w:t>
      </w:r>
      <w:r w:rsidR="003A2E19" w:rsidRPr="00445472">
        <w:t>.</w:t>
      </w:r>
      <w:r w:rsidRPr="00445472">
        <w:t>, vazhdojnë të ofrohen kryesisht nga këto organizata. Ekziston një bashkëpunim shumë i mirë me donatorët dhe organizatat ndërkombëtare, të cilat janë gjithashtu burimi kryesor i financimit të shumë aktiviteteve të ndërgjegjësimit të organizuara jo vetëm nga OJQ-të por edhe nga institucionet publike.</w:t>
      </w:r>
    </w:p>
    <w:p w14:paraId="082B388A" w14:textId="77777777" w:rsidR="007956E6" w:rsidRPr="00445472" w:rsidRDefault="007956E6" w:rsidP="002D1530">
      <w:pPr>
        <w:pStyle w:val="TEKSTIIII"/>
      </w:pPr>
      <w:r w:rsidRPr="00445472">
        <w:t>Ka OJQ, të cilat luajnë një rol të rëndësishëm në zbatimin e SKBGJ-së. OJQ-të, veçanërisht organizata e grave, kanë qenë në ballë të përpjekjeve dhe mobilizimit për të realizuar të drejtat e grave dhe vendosjen e rendit të ditës për barazinë gjinore. Disa nga më të rëndësishmet, janë:</w:t>
      </w:r>
    </w:p>
    <w:p w14:paraId="7D24B6E8" w14:textId="2C29335D" w:rsidR="007956E6" w:rsidRPr="00445472" w:rsidRDefault="00B321BE" w:rsidP="002D1530">
      <w:pPr>
        <w:pStyle w:val="TEKSTIIII"/>
      </w:pPr>
      <w:r>
        <w:t xml:space="preserve">- </w:t>
      </w:r>
      <w:r w:rsidR="00D62EDF" w:rsidRPr="00445472">
        <w:t>“</w:t>
      </w:r>
      <w:r w:rsidR="007956E6" w:rsidRPr="00445472">
        <w:t>Qendra për Zhvillimin e Grave Rurale</w:t>
      </w:r>
      <w:r w:rsidR="00D62EDF" w:rsidRPr="00445472">
        <w:t>”</w:t>
      </w:r>
      <w:r w:rsidR="007956E6" w:rsidRPr="00445472">
        <w:t xml:space="preserve">, Tiranë </w:t>
      </w:r>
    </w:p>
    <w:p w14:paraId="0489EC01" w14:textId="43A448D5" w:rsidR="007956E6" w:rsidRPr="00445472" w:rsidRDefault="00B321BE" w:rsidP="002D1530">
      <w:pPr>
        <w:pStyle w:val="TEKSTIIII"/>
      </w:pPr>
      <w:r>
        <w:t xml:space="preserve">- </w:t>
      </w:r>
      <w:r w:rsidR="007956E6" w:rsidRPr="00445472">
        <w:t xml:space="preserve">Shoqata </w:t>
      </w:r>
      <w:r w:rsidR="00D62EDF" w:rsidRPr="00445472">
        <w:t>“</w:t>
      </w:r>
      <w:r w:rsidR="007956E6" w:rsidRPr="00445472">
        <w:t xml:space="preserve">Zëri i </w:t>
      </w:r>
      <w:r w:rsidR="004070F6" w:rsidRPr="00445472">
        <w:t>fëmijës që na thërret</w:t>
      </w:r>
      <w:r w:rsidR="00D62EDF" w:rsidRPr="00445472">
        <w:t>”</w:t>
      </w:r>
      <w:r w:rsidR="007956E6" w:rsidRPr="00445472">
        <w:t xml:space="preserve">, </w:t>
      </w:r>
    </w:p>
    <w:p w14:paraId="3A2F9072" w14:textId="108AE940" w:rsidR="007956E6" w:rsidRPr="00445472" w:rsidRDefault="00B321BE" w:rsidP="002D1530">
      <w:pPr>
        <w:pStyle w:val="TEKSTIIII"/>
      </w:pPr>
      <w:r>
        <w:t xml:space="preserve">- </w:t>
      </w:r>
      <w:r w:rsidR="007956E6" w:rsidRPr="00445472">
        <w:t>Shoqata</w:t>
      </w:r>
      <w:r w:rsidR="00D62EDF" w:rsidRPr="00445472">
        <w:t xml:space="preserve">, “Për </w:t>
      </w:r>
      <w:r w:rsidR="007956E6" w:rsidRPr="00445472">
        <w:t>gratë dhe fëmijët</w:t>
      </w:r>
      <w:r w:rsidR="00D62EDF" w:rsidRPr="00445472">
        <w:t>”</w:t>
      </w:r>
      <w:r w:rsidR="007956E6" w:rsidRPr="00445472">
        <w:t xml:space="preserve">, Tiranë </w:t>
      </w:r>
    </w:p>
    <w:p w14:paraId="4DC53417" w14:textId="3C22F5DF" w:rsidR="007956E6" w:rsidRPr="00445472" w:rsidRDefault="00B321BE" w:rsidP="002D1530">
      <w:pPr>
        <w:pStyle w:val="TEKSTIIII"/>
      </w:pPr>
      <w:r>
        <w:t xml:space="preserve">- </w:t>
      </w:r>
      <w:r w:rsidR="007956E6" w:rsidRPr="00445472">
        <w:t xml:space="preserve">Linja e Këshillimit për Gratë dhe Vajzat në Tiranë </w:t>
      </w:r>
    </w:p>
    <w:p w14:paraId="216C258F" w14:textId="243F39A4" w:rsidR="007956E6" w:rsidRPr="00445472" w:rsidRDefault="00B321BE" w:rsidP="002D1530">
      <w:pPr>
        <w:pStyle w:val="TEKSTIIII"/>
      </w:pPr>
      <w:r>
        <w:t xml:space="preserve">- </w:t>
      </w:r>
      <w:r w:rsidR="007956E6" w:rsidRPr="00445472">
        <w:t xml:space="preserve">Qendra Shqiptare për Popullsinë dhe Zhvillimin (ACPD) </w:t>
      </w:r>
    </w:p>
    <w:p w14:paraId="4CE99233" w14:textId="289302F3" w:rsidR="007956E6" w:rsidRPr="00445472" w:rsidRDefault="00B321BE" w:rsidP="002D1530">
      <w:pPr>
        <w:pStyle w:val="TEKSTIIII"/>
      </w:pPr>
      <w:r>
        <w:t xml:space="preserve">- </w:t>
      </w:r>
      <w:r w:rsidR="007956E6" w:rsidRPr="00445472">
        <w:t xml:space="preserve">Qendra </w:t>
      </w:r>
      <w:r w:rsidR="004070F6" w:rsidRPr="00445472">
        <w:t xml:space="preserve">kulturore </w:t>
      </w:r>
      <w:r w:rsidR="00D62EDF" w:rsidRPr="00445472">
        <w:t>“</w:t>
      </w:r>
      <w:r w:rsidR="007956E6" w:rsidRPr="00445472">
        <w:t xml:space="preserve">Horizonti i </w:t>
      </w:r>
      <w:r w:rsidR="004070F6" w:rsidRPr="00445472">
        <w:t>ri</w:t>
      </w:r>
      <w:r w:rsidR="00D62EDF" w:rsidRPr="00445472">
        <w:t>”</w:t>
      </w:r>
      <w:r w:rsidR="007956E6" w:rsidRPr="00445472">
        <w:t>, Tiranë</w:t>
      </w:r>
    </w:p>
    <w:p w14:paraId="379A91A9" w14:textId="2AE4EADD" w:rsidR="007956E6" w:rsidRPr="00445472" w:rsidRDefault="00B321BE" w:rsidP="002D1530">
      <w:pPr>
        <w:pStyle w:val="TEKSTIIII"/>
      </w:pPr>
      <w:r>
        <w:t xml:space="preserve">- </w:t>
      </w:r>
      <w:r w:rsidR="007956E6" w:rsidRPr="00445472">
        <w:t xml:space="preserve">ARSIS, Tiranë </w:t>
      </w:r>
    </w:p>
    <w:p w14:paraId="3FD2BFC9" w14:textId="2B12D7CF" w:rsidR="007956E6" w:rsidRPr="00445472" w:rsidRDefault="00B321BE" w:rsidP="002D1530">
      <w:pPr>
        <w:pStyle w:val="TEKSTIIII"/>
      </w:pPr>
      <w:r>
        <w:t xml:space="preserve">- </w:t>
      </w:r>
      <w:r w:rsidR="007956E6" w:rsidRPr="00445472">
        <w:t xml:space="preserve">Shoqata </w:t>
      </w:r>
      <w:r w:rsidR="00D62EDF" w:rsidRPr="00445472">
        <w:t>“</w:t>
      </w:r>
      <w:r w:rsidR="007956E6" w:rsidRPr="00445472">
        <w:t>Të dobishme për gratë shqiptare</w:t>
      </w:r>
      <w:r w:rsidR="00D62EDF" w:rsidRPr="00445472">
        <w:t>”</w:t>
      </w:r>
      <w:r w:rsidR="007956E6" w:rsidRPr="00445472">
        <w:t xml:space="preserve">, Tiranë 49 </w:t>
      </w:r>
    </w:p>
    <w:p w14:paraId="13144F20" w14:textId="0CEDEA88" w:rsidR="007956E6" w:rsidRPr="00445472" w:rsidRDefault="00B321BE" w:rsidP="002D1530">
      <w:pPr>
        <w:pStyle w:val="TEKSTIIII"/>
      </w:pPr>
      <w:r>
        <w:t xml:space="preserve">- </w:t>
      </w:r>
      <w:r w:rsidR="007956E6" w:rsidRPr="00445472">
        <w:t xml:space="preserve">Shoqata e Grave me Probleme Sociale, Durrës </w:t>
      </w:r>
    </w:p>
    <w:p w14:paraId="0D2C2E95" w14:textId="1E4B1E14" w:rsidR="007956E6" w:rsidRPr="00445472" w:rsidRDefault="00B321BE" w:rsidP="002D1530">
      <w:pPr>
        <w:pStyle w:val="TEKSTIIII"/>
      </w:pPr>
      <w:r>
        <w:t xml:space="preserve">- </w:t>
      </w:r>
      <w:r w:rsidR="007956E6" w:rsidRPr="00445472">
        <w:t xml:space="preserve">Qendra </w:t>
      </w:r>
      <w:r w:rsidR="00D62EDF" w:rsidRPr="00445472">
        <w:t>“</w:t>
      </w:r>
      <w:r w:rsidR="007956E6" w:rsidRPr="00445472">
        <w:t xml:space="preserve">Të </w:t>
      </w:r>
      <w:r w:rsidR="004070F6" w:rsidRPr="00445472">
        <w:t xml:space="preserve">ndryshëm </w:t>
      </w:r>
      <w:r w:rsidR="007956E6" w:rsidRPr="00445472">
        <w:t xml:space="preserve">dhe të </w:t>
      </w:r>
      <w:r w:rsidR="004070F6" w:rsidRPr="00445472">
        <w:t>barabartë</w:t>
      </w:r>
      <w:r w:rsidR="00D62EDF" w:rsidRPr="00445472">
        <w:t>”</w:t>
      </w:r>
      <w:r w:rsidR="007956E6" w:rsidRPr="00445472">
        <w:t xml:space="preserve">, Tiranë </w:t>
      </w:r>
    </w:p>
    <w:p w14:paraId="7303C731" w14:textId="42CDA15C" w:rsidR="007956E6" w:rsidRPr="00445472" w:rsidRDefault="00B321BE" w:rsidP="002D1530">
      <w:pPr>
        <w:pStyle w:val="TEKSTIIII"/>
      </w:pPr>
      <w:r>
        <w:t xml:space="preserve">- </w:t>
      </w:r>
      <w:r w:rsidR="007956E6" w:rsidRPr="00445472">
        <w:t xml:space="preserve">Qendra </w:t>
      </w:r>
      <w:r w:rsidR="00D62EDF" w:rsidRPr="00445472">
        <w:t>“</w:t>
      </w:r>
      <w:r w:rsidR="007956E6" w:rsidRPr="00445472">
        <w:t>Të drejtat e njeriut në demokraci</w:t>
      </w:r>
      <w:r w:rsidR="00D62EDF" w:rsidRPr="00445472">
        <w:t>”</w:t>
      </w:r>
      <w:r w:rsidR="007956E6" w:rsidRPr="00445472">
        <w:t xml:space="preserve">, Tiranë </w:t>
      </w:r>
    </w:p>
    <w:p w14:paraId="72FDA46D" w14:textId="65B413D2" w:rsidR="007956E6" w:rsidRPr="00445472" w:rsidRDefault="00B321BE" w:rsidP="002D1530">
      <w:pPr>
        <w:pStyle w:val="TEKSTIIII"/>
      </w:pPr>
      <w:r>
        <w:t xml:space="preserve">- </w:t>
      </w:r>
      <w:r w:rsidR="00D62EDF" w:rsidRPr="00445472">
        <w:t>“</w:t>
      </w:r>
      <w:r w:rsidR="007956E6" w:rsidRPr="00445472">
        <w:t xml:space="preserve">Forumi i </w:t>
      </w:r>
      <w:r w:rsidR="004070F6" w:rsidRPr="00445472">
        <w:t>gruas Elbasan</w:t>
      </w:r>
      <w:r w:rsidR="00D62EDF" w:rsidRPr="00445472">
        <w:t>”</w:t>
      </w:r>
      <w:r w:rsidR="007956E6" w:rsidRPr="00445472">
        <w:t xml:space="preserve">, Elbasan </w:t>
      </w:r>
    </w:p>
    <w:p w14:paraId="0799CCBB" w14:textId="4869517B" w:rsidR="007956E6" w:rsidRPr="00445472" w:rsidRDefault="00B321BE" w:rsidP="002D1530">
      <w:pPr>
        <w:pStyle w:val="TEKSTIIII"/>
      </w:pPr>
      <w:r>
        <w:t xml:space="preserve">- </w:t>
      </w:r>
      <w:r w:rsidR="007956E6" w:rsidRPr="00445472">
        <w:t>Qendra për Mbrojtjen e të Drejtave të Fëmijëve të Shqipërisë (CRCA)</w:t>
      </w:r>
    </w:p>
    <w:p w14:paraId="324FE166" w14:textId="77777777" w:rsidR="007956E6" w:rsidRPr="00445472" w:rsidRDefault="007956E6" w:rsidP="002D1530">
      <w:pPr>
        <w:pStyle w:val="TEKSTIIII"/>
      </w:pPr>
      <w:r w:rsidRPr="00445472">
        <w:t>Disa nga këto OJQ ishin pjesë e angazhimit të palëve dhe konsultimeve në projektin e PMBU.</w:t>
      </w:r>
    </w:p>
    <w:p w14:paraId="796ACFD1" w14:textId="304E1B84" w:rsidR="007956E6" w:rsidRPr="00445472" w:rsidRDefault="002D1530" w:rsidP="002D1530">
      <w:pPr>
        <w:pStyle w:val="NENTITULL"/>
      </w:pPr>
      <w:bookmarkStart w:id="321" w:name="_Toc484696908"/>
      <w:bookmarkStart w:id="322" w:name="_Toc11068896"/>
      <w:r w:rsidRPr="00445472">
        <w:t xml:space="preserve">13.4.6 </w:t>
      </w:r>
      <w:r w:rsidR="007956E6" w:rsidRPr="00445472">
        <w:t xml:space="preserve">Aplikimi i </w:t>
      </w:r>
      <w:r w:rsidR="004070F6" w:rsidRPr="00445472">
        <w:t xml:space="preserve">gjinisë </w:t>
      </w:r>
      <w:r w:rsidR="007956E6" w:rsidRPr="00445472">
        <w:t>në menaxhimin e burimeve ujore dhe zhvillimin e Planeve të Menaxhimit të Baseneve Ujore.</w:t>
      </w:r>
      <w:bookmarkEnd w:id="321"/>
      <w:bookmarkEnd w:id="322"/>
    </w:p>
    <w:p w14:paraId="11B38F19" w14:textId="77777777" w:rsidR="007956E6" w:rsidRPr="00445472" w:rsidRDefault="007956E6" w:rsidP="002D1530">
      <w:pPr>
        <w:pStyle w:val="TEKSTIIII"/>
      </w:pPr>
      <w:r w:rsidRPr="00445472">
        <w:t>Procesi i hartimit të Planit të Integruar të Menaxhimit të Burimeve Ujore për Shqipërinë është hartuar në mënyrë të tillë që të sigurojë një kornizë për menaxhimin gjithëpërfshirës të burimeve ujore, ku të gjitha palët e përfshira, përfshirë sektorin privat, shoqërinë civile dhe komunitetet përdorues të luajnë një rol aktiv pavarësisht nga gjinia e tyre. Konventat e OKB-së dhe dokumentet e tjera lidhur me barazinë gjinore në të gjitha fushat e jetës, gjithashtu i japin rëndësi të madhe çështjes së menaxhimit të ujërave. Në të gjitha situatat e jetës përmendet rëndësia e perspektivës së integruar gjinore në menaxhimin e burimeve ujore. Gjatë dekadave të fundit, është konstatuar se vetëm zgjidhjet teknike nuk janë të mjaftueshme që popullsia e botës të ketë një përdorim të barabartë dhe të sigurt të burimeve ujore.</w:t>
      </w:r>
    </w:p>
    <w:p w14:paraId="30856376" w14:textId="77777777" w:rsidR="007956E6" w:rsidRPr="00445472" w:rsidRDefault="007956E6" w:rsidP="002D1530">
      <w:pPr>
        <w:pStyle w:val="TEKSTIIII"/>
      </w:pPr>
      <w:r w:rsidRPr="00445472">
        <w:t>Politikat qeverisëse dhe kombëtare mbi barazinë gjinore synojnë të aktivizojnë gratë në të gjitha fushat e jetës shoqërore dhe ekonomike. Planit të Menaxhimit të Integruar të Burimeve Ujore i kushtohet shumë vëmendje për faktin se gratë janë një grup i madh i konsumatorëve të ujit dhe për këtë arsye kërkon zgjidhje afatgjata.</w:t>
      </w:r>
    </w:p>
    <w:p w14:paraId="0845743F" w14:textId="58015BE2" w:rsidR="007956E6" w:rsidRPr="00445472" w:rsidRDefault="007956E6" w:rsidP="002D1530">
      <w:pPr>
        <w:pStyle w:val="TEKSTIIII"/>
      </w:pPr>
      <w:r w:rsidRPr="00445472">
        <w:t xml:space="preserve">Janë bërë përpjekje për përfshirjen e grave në vendimmarrje dhe pjesëmarrje të zgjeruar në të gjithë sektorët, për </w:t>
      </w:r>
      <w:r w:rsidR="001F68B2" w:rsidRPr="00445472">
        <w:t>t’i</w:t>
      </w:r>
      <w:r w:rsidRPr="00445472">
        <w:t xml:space="preserve">u përgjigjur kërkesës në rritje për ujë dhe menaxhimit të burimeve. Angazhimi dhe konsultimi i palëve të interesit i jep rëndësi perspektivës gjinore dhe synon të zbatojë barazinë gjinore në çështjet e menaxhimit të burimeve ujore, projekteve, analizave dhe statistikave të ujit. Megjithatë, në Shqipëri ende mbetet real plani për përfshirjen e grave si burrat në të gjitha çështjet dhe përvojat në përpunimin, zbatimin e monitorimit dhe vlerësimit të të gjitha sferave politike, ekonomike dhe sociale, në mënyrë që gratë dhe burrat të përfitojnë në mënyrë të barabartë dhe jo në mënyrë të pabarabartë. </w:t>
      </w:r>
    </w:p>
    <w:p w14:paraId="6B894836" w14:textId="2EF6CC77" w:rsidR="007956E6" w:rsidRPr="00445472" w:rsidRDefault="007956E6" w:rsidP="002D1530">
      <w:pPr>
        <w:pStyle w:val="TEKSTIIII"/>
      </w:pPr>
      <w:r w:rsidRPr="00445472">
        <w:t xml:space="preserve">Sidoqoftë, duhet të theksohet se tradicionalisht gratë në Shqipëri kanë rol vendimtar dhe të rëndësishëm në familje (që nga pikëpamja e PMBU-ve është veçanërisht e lidhur me përdorimin e ujit), por burrat janë ata që </w:t>
      </w:r>
      <w:r w:rsidR="008B0B47" w:rsidRPr="00445472">
        <w:t>përgjithësisht</w:t>
      </w:r>
      <w:r w:rsidRPr="00445472">
        <w:t xml:space="preserve"> </w:t>
      </w:r>
      <w:r w:rsidR="008B0B47" w:rsidRPr="00445472">
        <w:t>marrin</w:t>
      </w:r>
      <w:r w:rsidRPr="00445472">
        <w:t xml:space="preserve"> vendimet jashtë familjes tradicionale, duke vepruar si zëdhënës. Kjo </w:t>
      </w:r>
      <w:r w:rsidR="008B0B47" w:rsidRPr="00445472">
        <w:t>është</w:t>
      </w:r>
      <w:r w:rsidRPr="00445472">
        <w:t xml:space="preserve"> më shumë një ndarje e roleve ndërmjet burrave dhe grave sesa diskriminimit të qartë dhe</w:t>
      </w:r>
      <w:r w:rsidR="001D340B" w:rsidRPr="00445472">
        <w:t>/</w:t>
      </w:r>
      <w:r w:rsidRPr="00445472">
        <w:t>ose përjashtimit të grave nga vendimmarrja, që do të thotë se gratë nuk kanë nevojë vetëm për mbështetje ligjore për të marrë një rol më aktiv në shoqërinë shqiptare.</w:t>
      </w:r>
    </w:p>
    <w:p w14:paraId="10E1331D" w14:textId="4D0EBD95" w:rsidR="007956E6" w:rsidRPr="00445472" w:rsidRDefault="002D1530" w:rsidP="002D1530">
      <w:pPr>
        <w:pStyle w:val="NENTITULL"/>
      </w:pPr>
      <w:bookmarkStart w:id="323" w:name="_Toc484696909"/>
      <w:bookmarkStart w:id="324" w:name="_Toc485917402"/>
      <w:bookmarkStart w:id="325" w:name="_Toc11068897"/>
      <w:r w:rsidRPr="00445472">
        <w:t xml:space="preserve">13.5 </w:t>
      </w:r>
      <w:r w:rsidR="007956E6" w:rsidRPr="00445472">
        <w:t>Konkluzione</w:t>
      </w:r>
      <w:bookmarkEnd w:id="323"/>
      <w:bookmarkEnd w:id="324"/>
      <w:r w:rsidR="008B0B47" w:rsidRPr="00445472">
        <w:t xml:space="preserve"> </w:t>
      </w:r>
      <w:r w:rsidR="007956E6" w:rsidRPr="00445472">
        <w:t>dhe rekomandime</w:t>
      </w:r>
      <w:bookmarkEnd w:id="325"/>
    </w:p>
    <w:p w14:paraId="2A72AD03" w14:textId="1549D3B1" w:rsidR="007956E6" w:rsidRPr="00445472" w:rsidRDefault="007956E6" w:rsidP="002D1530">
      <w:pPr>
        <w:pStyle w:val="TEKSTIIII"/>
      </w:pPr>
      <w:r w:rsidRPr="00445472">
        <w:rPr>
          <w:rStyle w:val="BodyTextChar"/>
          <w:rFonts w:ascii="Garamond" w:eastAsiaTheme="minorEastAsia" w:hAnsi="Garamond" w:cstheme="minorBidi"/>
          <w:sz w:val="24"/>
          <w:szCs w:val="24"/>
          <w:lang w:val="sq-AL" w:eastAsia="en-US"/>
        </w:rPr>
        <w:t xml:space="preserve">Konkluzionet kryesore të mëposhtme mund të nxirren nga </w:t>
      </w:r>
      <w:r w:rsidR="008B0B47" w:rsidRPr="00445472">
        <w:rPr>
          <w:rStyle w:val="BodyTextChar"/>
          <w:rFonts w:ascii="Garamond" w:eastAsiaTheme="minorEastAsia" w:hAnsi="Garamond" w:cstheme="minorBidi"/>
          <w:sz w:val="24"/>
          <w:szCs w:val="24"/>
          <w:lang w:val="sq-AL" w:eastAsia="en-US"/>
        </w:rPr>
        <w:t>procesi</w:t>
      </w:r>
      <w:r w:rsidRPr="00445472">
        <w:rPr>
          <w:rStyle w:val="BodyTextChar"/>
          <w:rFonts w:ascii="Garamond" w:eastAsiaTheme="minorEastAsia" w:hAnsi="Garamond" w:cstheme="minorBidi"/>
          <w:sz w:val="24"/>
          <w:szCs w:val="24"/>
          <w:lang w:val="sq-AL" w:eastAsia="en-US"/>
        </w:rPr>
        <w:t xml:space="preserve"> i konsultimit të palëve të interesuara</w:t>
      </w:r>
      <w:r w:rsidRPr="00445472">
        <w:t>:</w:t>
      </w:r>
    </w:p>
    <w:p w14:paraId="0C641EE4" w14:textId="7E21761F" w:rsidR="007956E6" w:rsidRPr="00445472" w:rsidRDefault="009901D2" w:rsidP="002D1530">
      <w:pPr>
        <w:pStyle w:val="TEKSTIIII"/>
      </w:pPr>
      <w:r>
        <w:t xml:space="preserve">- </w:t>
      </w:r>
      <w:r w:rsidR="007956E6" w:rsidRPr="00445472">
        <w:t>Të informuar mbi projektin, të gjitha grupet e synuara u ndjenë pozitivë se shumica e problemeve të ujit me të cilat përballen sot mund të adresohen. Sugjerimi kryesor në studimin e projektit, kryesisht në çdo rreth me rrezik të lartë nga përmbytjet, është që të ketë specialistë dhe inxhinierë për shpërndarjen e ujit dhe kanalet e ujitjes dhe kullimit.</w:t>
      </w:r>
    </w:p>
    <w:p w14:paraId="7801B949" w14:textId="64BD6D96" w:rsidR="007956E6" w:rsidRPr="00445472" w:rsidRDefault="009901D2" w:rsidP="002D1530">
      <w:pPr>
        <w:pStyle w:val="TEKSTIIII"/>
      </w:pPr>
      <w:r>
        <w:t xml:space="preserve">- </w:t>
      </w:r>
      <w:r w:rsidR="007956E6" w:rsidRPr="00445472">
        <w:t xml:space="preserve">Fermerët shpresojnë për </w:t>
      </w:r>
      <w:r w:rsidR="008B0B47" w:rsidRPr="00445472">
        <w:t>përmirësimin</w:t>
      </w:r>
      <w:r w:rsidR="007956E6" w:rsidRPr="00445472">
        <w:t xml:space="preserve"> e sistemit t</w:t>
      </w:r>
      <w:r w:rsidR="00034FBB">
        <w:t>ë</w:t>
      </w:r>
      <w:r w:rsidR="007956E6" w:rsidRPr="00445472">
        <w:t xml:space="preserve"> ujitjes dhe </w:t>
      </w:r>
      <w:r w:rsidR="00034FBB">
        <w:t xml:space="preserve">të </w:t>
      </w:r>
      <w:r w:rsidR="007956E6" w:rsidRPr="00445472">
        <w:t xml:space="preserve">kullimit. Ata besojnë se projekti mund të sjellë shumë fitim për bujqësinë. </w:t>
      </w:r>
    </w:p>
    <w:p w14:paraId="752E2904" w14:textId="5221FAAB" w:rsidR="007956E6" w:rsidRPr="00445472" w:rsidRDefault="009901D2" w:rsidP="002D1530">
      <w:pPr>
        <w:pStyle w:val="TEKSTIIII"/>
      </w:pPr>
      <w:r>
        <w:t xml:space="preserve">- </w:t>
      </w:r>
      <w:r w:rsidR="007956E6" w:rsidRPr="00445472">
        <w:t xml:space="preserve">Familjet, gratë dhe të moshuarit shpresojnë se do të </w:t>
      </w:r>
      <w:r w:rsidR="008B0B47" w:rsidRPr="00445472">
        <w:t>sigurojnë</w:t>
      </w:r>
      <w:r w:rsidR="007956E6" w:rsidRPr="00445472">
        <w:t xml:space="preserve"> furnizim me ujë të vazhdueshëm gjatë gjithë ditës. </w:t>
      </w:r>
    </w:p>
    <w:p w14:paraId="06E87644" w14:textId="7C9A5087" w:rsidR="007956E6" w:rsidRPr="00445472" w:rsidRDefault="009901D2" w:rsidP="002D1530">
      <w:pPr>
        <w:pStyle w:val="TEKSTIIII"/>
      </w:pPr>
      <w:r>
        <w:t xml:space="preserve">- </w:t>
      </w:r>
      <w:r w:rsidR="007956E6" w:rsidRPr="00445472">
        <w:t>Edhe pse baza themelore ligjore dhe institucionale për barazinë gjinore është ngritur në Shqipëri, gratë pretendojnë se nuk kanë barazi me burrat në përgjithësi në shoqëri, por kanë qasje të barabartë ndaj ujit.</w:t>
      </w:r>
    </w:p>
    <w:p w14:paraId="1F0DD344" w14:textId="47104626" w:rsidR="007956E6" w:rsidRPr="00445472" w:rsidRDefault="009901D2" w:rsidP="002D1530">
      <w:pPr>
        <w:pStyle w:val="TEKSTIIII"/>
      </w:pPr>
      <w:r>
        <w:t xml:space="preserve">- </w:t>
      </w:r>
      <w:r w:rsidR="007956E6" w:rsidRPr="00445472">
        <w:t>Procesi i angazhimit të aktorëve ishte përshtatur për të dhënë një pamje të përgjithshme mbi aspektet lokale pavarësisht nga përfshirja e gjinive të ndryshme ose grupeve sociale, por një konsideratë e veçantë i është kushtuar faktit se gratë janë një grup i madh konsumatorësh</w:t>
      </w:r>
    </w:p>
    <w:p w14:paraId="706E92E5" w14:textId="56600A6D" w:rsidR="007956E6" w:rsidRPr="00445472" w:rsidRDefault="009901D2" w:rsidP="002D1530">
      <w:pPr>
        <w:pStyle w:val="TEKSTIIII"/>
      </w:pPr>
      <w:r>
        <w:t xml:space="preserve">- </w:t>
      </w:r>
      <w:r w:rsidR="007956E6" w:rsidRPr="00445472">
        <w:t>Përfshirja gjinore dhe barazia gjinore janë gjithashtu pjesë e Strategjisë Kombëtare të Menaxhimit të Ndërthurur të Ujërave dhe është përshtatur me specifikat e kontekstit për të gjithë çështjen e menaxhimit të ujit. Kjo është marrë në konsideratë edhe në hartimin e Planeve të Menaxhimit të Baseneve Ujore.</w:t>
      </w:r>
    </w:p>
    <w:p w14:paraId="550764CE" w14:textId="77777777" w:rsidR="007956E6" w:rsidRPr="00445472" w:rsidRDefault="007956E6" w:rsidP="002D1530">
      <w:pPr>
        <w:pStyle w:val="TEKSTIIII"/>
      </w:pPr>
      <w:r w:rsidRPr="00445472">
        <w:t>Sipas të gjitha pyetësorëve dhe takimeve ballë për ballë, pyetjet kryesore që u ngritën ishin si më poshtë:</w:t>
      </w:r>
    </w:p>
    <w:p w14:paraId="17B30842" w14:textId="3D7CE3A5" w:rsidR="007956E6" w:rsidRPr="00445472" w:rsidRDefault="009901D2" w:rsidP="002D1530">
      <w:pPr>
        <w:pStyle w:val="TEKSTIIII"/>
      </w:pPr>
      <w:r>
        <w:t xml:space="preserve">- </w:t>
      </w:r>
      <w:r w:rsidR="007956E6" w:rsidRPr="00445472">
        <w:t>A e përfshin plani menaxhimin të ujërave përmbytjen?</w:t>
      </w:r>
    </w:p>
    <w:p w14:paraId="4A508226" w14:textId="7B3607EE" w:rsidR="007956E6" w:rsidRPr="00445472" w:rsidRDefault="009901D2" w:rsidP="002D1530">
      <w:pPr>
        <w:pStyle w:val="TEKSTIIII"/>
      </w:pPr>
      <w:r>
        <w:t xml:space="preserve">- </w:t>
      </w:r>
      <w:r w:rsidR="007956E6" w:rsidRPr="00445472">
        <w:t>A e minimizon plani mungesën e furnizimit me ujë?</w:t>
      </w:r>
    </w:p>
    <w:p w14:paraId="0D9DD229" w14:textId="62DB313E" w:rsidR="007956E6" w:rsidRPr="00445472" w:rsidRDefault="009901D2" w:rsidP="002D1530">
      <w:pPr>
        <w:pStyle w:val="TEKSTIIII"/>
      </w:pPr>
      <w:r>
        <w:t xml:space="preserve">- </w:t>
      </w:r>
      <w:r w:rsidR="007956E6" w:rsidRPr="00445472">
        <w:t>A pritet që plani të ndikojë në rritjen ekonomike dhe punësimin?</w:t>
      </w:r>
    </w:p>
    <w:p w14:paraId="7A942703" w14:textId="0DFCF410" w:rsidR="007956E6" w:rsidRPr="00445472" w:rsidRDefault="009901D2" w:rsidP="002D1530">
      <w:pPr>
        <w:pStyle w:val="TEKSTIIII"/>
      </w:pPr>
      <w:r>
        <w:t xml:space="preserve">- </w:t>
      </w:r>
      <w:r w:rsidR="007956E6" w:rsidRPr="00445472">
        <w:t xml:space="preserve">A do të </w:t>
      </w:r>
      <w:r w:rsidR="008B0B47" w:rsidRPr="00445472">
        <w:t>përmirësojë</w:t>
      </w:r>
      <w:r w:rsidR="007956E6" w:rsidRPr="00445472">
        <w:t xml:space="preserve"> plani keqpërdorimin e burimeve ujore? </w:t>
      </w:r>
    </w:p>
    <w:p w14:paraId="20A9A02B" w14:textId="3C2BC9CD" w:rsidR="007956E6" w:rsidRPr="00445472" w:rsidRDefault="009901D2" w:rsidP="002D1530">
      <w:pPr>
        <w:pStyle w:val="TEKSTIIII"/>
      </w:pPr>
      <w:r>
        <w:t xml:space="preserve">- </w:t>
      </w:r>
      <w:r w:rsidR="007956E6" w:rsidRPr="00445472">
        <w:t>A do të zgjerojë plani infrastrukturën e ujit dhe përmirësimin e cilësisë së tij?</w:t>
      </w:r>
    </w:p>
    <w:p w14:paraId="267251B0" w14:textId="76E99BF4" w:rsidR="007956E6" w:rsidRPr="00445472" w:rsidRDefault="009901D2" w:rsidP="002D1530">
      <w:pPr>
        <w:pStyle w:val="TEKSTIIII"/>
      </w:pPr>
      <w:r>
        <w:t xml:space="preserve">- </w:t>
      </w:r>
      <w:r w:rsidR="007956E6" w:rsidRPr="00445472">
        <w:t>A përfshin plani i menaxhimit të ujit edhe sistemet e ujitjes?</w:t>
      </w:r>
    </w:p>
    <w:p w14:paraId="0AB48C08" w14:textId="71457BBD" w:rsidR="007956E6" w:rsidRPr="00445472" w:rsidRDefault="007956E6" w:rsidP="002D1530">
      <w:pPr>
        <w:pStyle w:val="TEKSTIIII"/>
      </w:pPr>
      <w:r w:rsidRPr="00445472">
        <w:t xml:space="preserve">Siç mund të shihet nga kapitulli 12, masat e propozuara, megjithëse janë fokusuar si prioritet i vendit në përmbushjen e objektivave mjedisore të lidhura me pranimin e Shqipërisë në BE, japin një përgjigje </w:t>
      </w:r>
      <w:r w:rsidR="00D62EDF" w:rsidRPr="00445472">
        <w:t>“</w:t>
      </w:r>
      <w:r w:rsidRPr="00445472">
        <w:t>po</w:t>
      </w:r>
      <w:r w:rsidR="00D62EDF" w:rsidRPr="00445472">
        <w:t>”</w:t>
      </w:r>
      <w:r w:rsidRPr="00445472">
        <w:t xml:space="preserve"> për të gjitha pyetjet e ngritura.</w:t>
      </w:r>
    </w:p>
    <w:p w14:paraId="4B6CC022" w14:textId="77777777" w:rsidR="007956E6" w:rsidRPr="00445472" w:rsidRDefault="007956E6" w:rsidP="002D1530">
      <w:pPr>
        <w:pStyle w:val="TEKSTIIII"/>
      </w:pPr>
      <w:r w:rsidRPr="00445472">
        <w:t>Lidhur me procesin e PMBU-ve, mund të formulohen rekomandimet e mëposhtme, për ciklet e programit në vijim:</w:t>
      </w:r>
    </w:p>
    <w:p w14:paraId="2613BF28" w14:textId="7348C046" w:rsidR="007956E6" w:rsidRPr="00445472" w:rsidRDefault="007956E6" w:rsidP="002D1530">
      <w:pPr>
        <w:pStyle w:val="TEKSTIIII"/>
      </w:pPr>
      <w:r w:rsidRPr="00445472">
        <w:t>Një kornizë për menaxhimin gjithëpërfshirës të burimeve ujore, në të cilat duhet të sigurohen të gjitha palët e interesuara, duke përfshirë sektorin privat, shoqërinë civile dhe komunitetet përdorues, pavarësisht nga gjinia</w:t>
      </w:r>
      <w:r w:rsidR="001F075B" w:rsidRPr="00445472">
        <w:t>;</w:t>
      </w:r>
    </w:p>
    <w:p w14:paraId="5E991D19" w14:textId="65712BC2" w:rsidR="007956E6" w:rsidRPr="00445472" w:rsidRDefault="007956E6" w:rsidP="002D1530">
      <w:pPr>
        <w:pStyle w:val="TEKSTIIII"/>
      </w:pPr>
      <w:r w:rsidRPr="00445472">
        <w:t>Fuqizimi i rëndësisë së perspektivës së integruar gjinore në menaxhimin e burimeve ujore në të gjitha situatat e jetës dhe përfshirja aktive e grave në procesin e vendimmarrjes përtej ndarjes tradicionale të rolit gjinor</w:t>
      </w:r>
      <w:r w:rsidR="001F075B" w:rsidRPr="00445472">
        <w:t>;</w:t>
      </w:r>
    </w:p>
    <w:p w14:paraId="32FE316F" w14:textId="77777777" w:rsidR="007956E6" w:rsidRPr="00445472" w:rsidRDefault="007956E6" w:rsidP="002D1530">
      <w:pPr>
        <w:pStyle w:val="TEKSTIIII"/>
      </w:pPr>
      <w:r w:rsidRPr="00445472">
        <w:t>Të bëhet e qartë (në mbarë vendin) se barazia gjinore në institucionet në të gjitha nivelet e shoqërisë (në familje, organizatat e komunitetit, shoqatat e përdorimit të ujit, qeverisja vendore, shërbimet kombëtare nacionale etj.), Për aspektet e përmirësimit social në përgjithësi dhe për menaxhimin e pasurive ujore në veçanti.</w:t>
      </w:r>
    </w:p>
    <w:p w14:paraId="146C0A8A" w14:textId="5137C22F" w:rsidR="007956E6" w:rsidRPr="009901D2" w:rsidRDefault="002D1530" w:rsidP="002D1530">
      <w:pPr>
        <w:pStyle w:val="TEKSTIIII"/>
        <w:rPr>
          <w:b/>
        </w:rPr>
      </w:pPr>
      <w:bookmarkStart w:id="326" w:name="_Toc10806506"/>
      <w:bookmarkStart w:id="327" w:name="_Toc10806507"/>
      <w:bookmarkStart w:id="328" w:name="_Toc10806508"/>
      <w:bookmarkStart w:id="329" w:name="_Toc11068898"/>
      <w:bookmarkEnd w:id="326"/>
      <w:bookmarkEnd w:id="327"/>
      <w:bookmarkEnd w:id="328"/>
      <w:r w:rsidRPr="009901D2">
        <w:rPr>
          <w:b/>
        </w:rPr>
        <w:t xml:space="preserve">14. </w:t>
      </w:r>
      <w:r w:rsidR="007956E6" w:rsidRPr="009901D2">
        <w:rPr>
          <w:b/>
        </w:rPr>
        <w:t xml:space="preserve">Objektiva dhe </w:t>
      </w:r>
      <w:r w:rsidR="008B0B47" w:rsidRPr="009901D2">
        <w:rPr>
          <w:b/>
        </w:rPr>
        <w:t>rekomandime</w:t>
      </w:r>
      <w:bookmarkEnd w:id="329"/>
    </w:p>
    <w:p w14:paraId="0FDD1F2F" w14:textId="61320BA1" w:rsidR="007956E6" w:rsidRPr="00445472" w:rsidRDefault="007956E6" w:rsidP="002D1530">
      <w:pPr>
        <w:pStyle w:val="TEKSTIIII"/>
      </w:pPr>
      <w:r w:rsidRPr="00445472">
        <w:t xml:space="preserve">Ky dokument përfaqëson Planin e parë të Menaxhimit të Baseneve Ujore (PMBU) për basenin ujor </w:t>
      </w:r>
      <w:r w:rsidR="007E76E3" w:rsidRPr="00445472">
        <w:t>Drin–Bunë</w:t>
      </w:r>
      <w:r w:rsidRPr="00445472">
        <w:t xml:space="preserve">. Me qëllim vazhdimin me zhvillimin e një PMBU-je më të plotë, raporti identifikon fusha të veçanta dhe ofron rekomandime ku përmirësime janë jo vetëm të domosdoshme, por konsiderohen thelbësore për planifikimin efektiv të basenit ujor në të ardhmen në basenin ujor </w:t>
      </w:r>
      <w:r w:rsidR="007E76E3" w:rsidRPr="00445472">
        <w:t>Drin–Bunë</w:t>
      </w:r>
      <w:r w:rsidRPr="00445472">
        <w:t>, në përputhje me kërkesat e Direktivës Kuadër të Ujit të BE-së (2000/60</w:t>
      </w:r>
      <w:r w:rsidR="001D340B" w:rsidRPr="00445472">
        <w:t>/</w:t>
      </w:r>
      <w:r w:rsidRPr="00445472">
        <w:t xml:space="preserve">EC). </w:t>
      </w:r>
    </w:p>
    <w:p w14:paraId="310219C1" w14:textId="72B7DC7C" w:rsidR="007956E6" w:rsidRPr="00445472" w:rsidRDefault="007956E6" w:rsidP="002D1530">
      <w:pPr>
        <w:pStyle w:val="TEKSTIIII"/>
      </w:pPr>
      <w:r w:rsidRPr="00445472">
        <w:t>Ky seksion ka të bëjë me objektivat strategjik</w:t>
      </w:r>
      <w:r w:rsidR="00504992" w:rsidRPr="00445472">
        <w:t>ë</w:t>
      </w:r>
      <w:r w:rsidRPr="00445472">
        <w:t xml:space="preserve"> të paraqitur në strategjinë e fundit të ujit (Tabela 14.1), e cila përmban objektiva specifike ekonomike, mjedisore, institucionale dhe sociale, për çështjet me rëndësi për sasinë e ujit, cilësinë e ujit, rreziqet e ujit, dhe menaxhimit të ujit në basenin ujor </w:t>
      </w:r>
      <w:r w:rsidR="007E76E3" w:rsidRPr="00445472">
        <w:t>Drin–Bunë</w:t>
      </w:r>
      <w:r w:rsidRPr="00445472">
        <w:t xml:space="preserve"> (Tabelat 14.2 - 14.6).</w:t>
      </w:r>
    </w:p>
    <w:p w14:paraId="38A2C61F" w14:textId="1571F635" w:rsidR="007956E6" w:rsidRPr="00445472" w:rsidRDefault="00403ED1" w:rsidP="002D1530">
      <w:pPr>
        <w:pStyle w:val="TEKSTIIII"/>
      </w:pPr>
      <w:r>
        <w:t xml:space="preserve">- </w:t>
      </w:r>
      <w:r w:rsidR="007956E6" w:rsidRPr="00445472">
        <w:t xml:space="preserve">Sasia e ujit: Sigurimi i një përdorimi të drejtë dhe të </w:t>
      </w:r>
      <w:r w:rsidR="008B0B47" w:rsidRPr="00445472">
        <w:t>qëndrueshëm</w:t>
      </w:r>
      <w:r w:rsidR="007956E6" w:rsidRPr="00445472">
        <w:t xml:space="preserve"> të të gjitha burimeve ujore, duke i shërbyer të gjitha interesave;</w:t>
      </w:r>
    </w:p>
    <w:p w14:paraId="57977844" w14:textId="4FFEFF0F" w:rsidR="007956E6" w:rsidRPr="00445472" w:rsidRDefault="00403ED1" w:rsidP="002D1530">
      <w:pPr>
        <w:pStyle w:val="TEKSTIIII"/>
      </w:pPr>
      <w:r>
        <w:t xml:space="preserve">- </w:t>
      </w:r>
      <w:r w:rsidR="007956E6" w:rsidRPr="00445472">
        <w:t>Cilësia e ujit: Sigurimi i cilësisë së të gjitha burimeve ujore, duke arritur status të mirë deri në vitin 2030;</w:t>
      </w:r>
    </w:p>
    <w:p w14:paraId="68ED9CD8" w14:textId="048BB7F2" w:rsidR="007956E6" w:rsidRPr="00445472" w:rsidRDefault="00403ED1" w:rsidP="002D1530">
      <w:pPr>
        <w:pStyle w:val="TEKSTIIII"/>
      </w:pPr>
      <w:r>
        <w:t xml:space="preserve">- </w:t>
      </w:r>
      <w:r w:rsidR="007956E6" w:rsidRPr="00445472">
        <w:t>Rreziqet e ujit: Përmbytjet dhe thatësirat janë të përfshira përmes menaxhimit dhe investimeve;</w:t>
      </w:r>
    </w:p>
    <w:p w14:paraId="7EA709FE" w14:textId="7F1C7C0D" w:rsidR="007956E6" w:rsidRPr="00445472" w:rsidRDefault="00403ED1" w:rsidP="002D1530">
      <w:pPr>
        <w:pStyle w:val="TEKSTIIII"/>
      </w:pPr>
      <w:r>
        <w:t xml:space="preserve">- </w:t>
      </w:r>
      <w:r w:rsidR="007956E6" w:rsidRPr="00445472">
        <w:t>Informacioni i ujit: Të dhënat dhe modelet e besueshme të ujit dhe klimës në përgjithësi janë të siguruara për të gjithë palët e interesuara dhe këshilla të përshtatshme e politika të bazuara në këto të dhëna dhe modele sigurohen nga qeveria nga zotëruesit përkatës të të dhënave institucionale;</w:t>
      </w:r>
    </w:p>
    <w:p w14:paraId="69375B51" w14:textId="02D00752" w:rsidR="007956E6" w:rsidRPr="00445472" w:rsidRDefault="00403ED1" w:rsidP="002D1530">
      <w:pPr>
        <w:pStyle w:val="TEKSTIIII"/>
      </w:pPr>
      <w:r>
        <w:t xml:space="preserve">- </w:t>
      </w:r>
      <w:r w:rsidR="007956E6" w:rsidRPr="00445472">
        <w:t>Menaxhimi i ujit: Uji menaxhohet në mënyrë të qëndrueshme dhe gjithëpërfshirëse, duke i shërbyer të gjitha interesave.</w:t>
      </w:r>
    </w:p>
    <w:p w14:paraId="0DDEDF02" w14:textId="01B58D5D" w:rsidR="007956E6" w:rsidRPr="00445472" w:rsidRDefault="00403ED1" w:rsidP="002D1530">
      <w:pPr>
        <w:pStyle w:val="TEKSTIIII"/>
      </w:pPr>
      <w:r>
        <w:t xml:space="preserve">- </w:t>
      </w:r>
      <w:r w:rsidR="007956E6" w:rsidRPr="00445472">
        <w:t>Rekomandimet për zhvillimin e mëtejshëm të planifikimit të baseneve ujore do të ndërmerren nga Autoritetet Kompetente gjatë gjashtë viteve të ardhshme, të cilat janë në përputhje me PMBU-të dhe objektivat strategjik</w:t>
      </w:r>
      <w:r w:rsidR="00504992" w:rsidRPr="00445472">
        <w:t>ë</w:t>
      </w:r>
      <w:r w:rsidR="008B0B47" w:rsidRPr="00445472">
        <w:t xml:space="preserve"> për ujin në basenin ujor Drin–</w:t>
      </w:r>
      <w:r w:rsidR="007956E6" w:rsidRPr="00445472">
        <w:t xml:space="preserve">Bunë, dhe paraqiten në tabelën 14.7. </w:t>
      </w:r>
    </w:p>
    <w:p w14:paraId="116FB9DF" w14:textId="77777777" w:rsidR="007956E6" w:rsidRPr="00445472" w:rsidRDefault="007956E6" w:rsidP="002D1530">
      <w:pPr>
        <w:pStyle w:val="TEKSTIIII"/>
      </w:pPr>
    </w:p>
    <w:p w14:paraId="3CAA2A4C" w14:textId="77777777" w:rsidR="002D1530" w:rsidRPr="00445472" w:rsidRDefault="002D1530" w:rsidP="002D1530">
      <w:pPr>
        <w:pStyle w:val="TEKSTIIII"/>
      </w:pPr>
    </w:p>
    <w:p w14:paraId="672567EB" w14:textId="77777777" w:rsidR="002D1530" w:rsidRPr="00445472" w:rsidRDefault="002D1530" w:rsidP="002D1530">
      <w:pPr>
        <w:pStyle w:val="TEKSTIIII"/>
      </w:pPr>
    </w:p>
    <w:p w14:paraId="456785B5" w14:textId="77777777" w:rsidR="002C3ECB" w:rsidRPr="00445472" w:rsidRDefault="002C3ECB" w:rsidP="002D1530">
      <w:pPr>
        <w:pStyle w:val="TEKSTIIII"/>
        <w:sectPr w:rsidR="002C3ECB" w:rsidRPr="00445472" w:rsidSect="000819DD">
          <w:pgSz w:w="11907" w:h="16839" w:code="9"/>
          <w:pgMar w:top="1418" w:right="1418" w:bottom="1418" w:left="1418" w:header="1304" w:footer="1134" w:gutter="0"/>
          <w:cols w:space="720"/>
          <w:docGrid w:linePitch="360"/>
        </w:sectPr>
      </w:pPr>
    </w:p>
    <w:p w14:paraId="79E21014" w14:textId="13C14BAF" w:rsidR="00E43879" w:rsidRPr="00445472" w:rsidRDefault="00E43879" w:rsidP="00E43879">
      <w:pPr>
        <w:pStyle w:val="NENTITULL"/>
      </w:pPr>
      <w:r w:rsidRPr="00445472">
        <w:t xml:space="preserve">Tabela 14.1: Objektivat strategjikë për basenin ujor </w:t>
      </w:r>
      <w:r w:rsidR="007E76E3" w:rsidRPr="00445472">
        <w:t>Drin–Bunë</w:t>
      </w:r>
      <w:r w:rsidRPr="00445472">
        <w:rPr>
          <w:vertAlign w:val="superscript"/>
        </w:rPr>
        <w:footnoteReference w:id="220"/>
      </w:r>
    </w:p>
    <w:tbl>
      <w:tblPr>
        <w:tblW w:w="14600" w:type="dxa"/>
        <w:jc w:val="center"/>
        <w:tblBorders>
          <w:top w:val="single" w:sz="8" w:space="0" w:color="auto"/>
          <w:bottom w:val="single" w:sz="8" w:space="0" w:color="auto"/>
          <w:insideH w:val="single" w:sz="2" w:space="0" w:color="27BDBE"/>
        </w:tblBorders>
        <w:tblLayout w:type="fixed"/>
        <w:tblCellMar>
          <w:left w:w="0" w:type="dxa"/>
          <w:right w:w="0" w:type="dxa"/>
        </w:tblCellMar>
        <w:tblLook w:val="0620" w:firstRow="1" w:lastRow="0" w:firstColumn="0" w:lastColumn="0" w:noHBand="1" w:noVBand="1"/>
      </w:tblPr>
      <w:tblGrid>
        <w:gridCol w:w="2089"/>
        <w:gridCol w:w="2089"/>
        <w:gridCol w:w="2069"/>
        <w:gridCol w:w="2089"/>
        <w:gridCol w:w="2088"/>
        <w:gridCol w:w="2088"/>
        <w:gridCol w:w="2088"/>
      </w:tblGrid>
      <w:tr w:rsidR="00E43879" w:rsidRPr="00445472" w14:paraId="20F44BC4" w14:textId="77777777" w:rsidTr="00E43879">
        <w:trPr>
          <w:jc w:val="center"/>
        </w:trPr>
        <w:tc>
          <w:tcPr>
            <w:tcW w:w="0" w:type="pct"/>
            <w:gridSpan w:val="3"/>
            <w:tcBorders>
              <w:bottom w:val="single" w:sz="8" w:space="0" w:color="000000"/>
            </w:tcBorders>
            <w:shd w:val="clear" w:color="auto" w:fill="auto"/>
            <w:vAlign w:val="center"/>
          </w:tcPr>
          <w:p w14:paraId="708FD216" w14:textId="77777777" w:rsidR="00E43879" w:rsidRPr="00445472" w:rsidRDefault="00E43879" w:rsidP="002A1F08">
            <w:pPr>
              <w:pStyle w:val="TableHeadingLeft"/>
              <w:rPr>
                <w:rFonts w:ascii="Garamond" w:hAnsi="Garamond"/>
                <w:color w:val="auto"/>
                <w:lang w:val="sq-AL"/>
              </w:rPr>
            </w:pPr>
          </w:p>
        </w:tc>
        <w:tc>
          <w:tcPr>
            <w:tcW w:w="0" w:type="pct"/>
            <w:tcBorders>
              <w:bottom w:val="single" w:sz="8" w:space="0" w:color="000000"/>
            </w:tcBorders>
            <w:shd w:val="clear" w:color="auto" w:fill="auto"/>
            <w:vAlign w:val="center"/>
          </w:tcPr>
          <w:p w14:paraId="587B9BE3"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Rezultatet kryesore</w:t>
            </w:r>
          </w:p>
        </w:tc>
        <w:tc>
          <w:tcPr>
            <w:tcW w:w="0" w:type="pct"/>
            <w:tcBorders>
              <w:bottom w:val="single" w:sz="8" w:space="0" w:color="000000"/>
            </w:tcBorders>
            <w:shd w:val="clear" w:color="auto" w:fill="auto"/>
            <w:vAlign w:val="center"/>
          </w:tcPr>
          <w:p w14:paraId="19184416"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Mënyrat e verifikimit</w:t>
            </w:r>
          </w:p>
        </w:tc>
        <w:tc>
          <w:tcPr>
            <w:tcW w:w="0" w:type="pct"/>
            <w:tcBorders>
              <w:bottom w:val="single" w:sz="8" w:space="0" w:color="000000"/>
            </w:tcBorders>
            <w:shd w:val="clear" w:color="auto" w:fill="auto"/>
            <w:vAlign w:val="center"/>
          </w:tcPr>
          <w:p w14:paraId="52F8B3B1"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Supozimet</w:t>
            </w:r>
          </w:p>
        </w:tc>
        <w:tc>
          <w:tcPr>
            <w:tcW w:w="0" w:type="pct"/>
            <w:tcBorders>
              <w:bottom w:val="single" w:sz="8" w:space="0" w:color="000000"/>
            </w:tcBorders>
            <w:shd w:val="clear" w:color="auto" w:fill="auto"/>
            <w:vAlign w:val="center"/>
          </w:tcPr>
          <w:p w14:paraId="2A1273E1"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Treguesit OZHQ</w:t>
            </w:r>
            <w:r w:rsidRPr="00445472">
              <w:rPr>
                <w:rFonts w:ascii="Garamond" w:hAnsi="Garamond"/>
                <w:color w:val="auto"/>
                <w:vertAlign w:val="superscript"/>
                <w:lang w:val="sq-AL"/>
              </w:rPr>
              <w:footnoteReference w:id="221"/>
            </w:r>
          </w:p>
        </w:tc>
      </w:tr>
      <w:tr w:rsidR="00E43879" w:rsidRPr="00445472" w14:paraId="1E2903D2" w14:textId="77777777" w:rsidTr="00E43879">
        <w:trPr>
          <w:jc w:val="center"/>
        </w:trPr>
        <w:tc>
          <w:tcPr>
            <w:tcW w:w="0" w:type="pct"/>
            <w:tcBorders>
              <w:top w:val="single" w:sz="8" w:space="0" w:color="000000"/>
            </w:tcBorders>
            <w:shd w:val="clear" w:color="auto" w:fill="auto"/>
            <w:vAlign w:val="center"/>
          </w:tcPr>
          <w:p w14:paraId="570B6D8D" w14:textId="77777777" w:rsidR="00E43879" w:rsidRPr="00445472" w:rsidRDefault="00E43879" w:rsidP="002A1F08">
            <w:pPr>
              <w:pStyle w:val="TableTextLeft"/>
              <w:rPr>
                <w:rFonts w:ascii="Garamond" w:hAnsi="Garamond"/>
                <w:lang w:val="sq-AL"/>
              </w:rPr>
            </w:pPr>
            <w:r w:rsidRPr="00445472">
              <w:rPr>
                <w:rFonts w:ascii="Garamond" w:hAnsi="Garamond"/>
                <w:b/>
                <w:lang w:val="sq-AL"/>
              </w:rPr>
              <w:t>Vizioni</w:t>
            </w:r>
          </w:p>
        </w:tc>
        <w:tc>
          <w:tcPr>
            <w:tcW w:w="0" w:type="pct"/>
            <w:gridSpan w:val="6"/>
            <w:tcBorders>
              <w:top w:val="single" w:sz="8" w:space="0" w:color="000000"/>
            </w:tcBorders>
            <w:shd w:val="clear" w:color="auto" w:fill="auto"/>
            <w:vAlign w:val="center"/>
          </w:tcPr>
          <w:p w14:paraId="6C76A1C5" w14:textId="77777777" w:rsidR="00E43879" w:rsidRPr="00445472" w:rsidRDefault="00E43879" w:rsidP="002A1F08">
            <w:pPr>
              <w:pStyle w:val="TableTextLeft"/>
              <w:rPr>
                <w:rFonts w:ascii="Garamond" w:hAnsi="Garamond"/>
                <w:lang w:val="sq-AL"/>
              </w:rPr>
            </w:pPr>
            <w:r w:rsidRPr="00445472">
              <w:rPr>
                <w:rFonts w:ascii="Garamond" w:hAnsi="Garamond"/>
                <w:b/>
                <w:lang w:val="sq-AL"/>
              </w:rPr>
              <w:t>Deri në vitin 2030 Shqipëria do të bëhet një vend me efikasitet ujor, me një menaxhim të integruar funksional të burimeve ujore, përfshirë edhe një sistem të konsoliduar monitorimi përfshirë rrezikun nga përmbytjet dhe mungesa e ujit. Përdorimi i ujit bazohet në parimet e barazisë dhe qëndrueshmërisë për përfitime të barabarta ekonomike, shoqërore dhe gjinore dhe drejtësi mjedisore për brezat e sotëm dhe të ardhshëm.</w:t>
            </w:r>
          </w:p>
        </w:tc>
      </w:tr>
      <w:tr w:rsidR="00E43879" w:rsidRPr="00445472" w14:paraId="17F5FE2E" w14:textId="77777777" w:rsidTr="00E43879">
        <w:trPr>
          <w:jc w:val="center"/>
        </w:trPr>
        <w:tc>
          <w:tcPr>
            <w:tcW w:w="0" w:type="pct"/>
            <w:shd w:val="clear" w:color="auto" w:fill="auto"/>
            <w:vAlign w:val="center"/>
          </w:tcPr>
          <w:p w14:paraId="26844F81" w14:textId="77777777" w:rsidR="00E43879" w:rsidRPr="00445472" w:rsidRDefault="00E43879" w:rsidP="002A1F08">
            <w:pPr>
              <w:pStyle w:val="TableTextLeft"/>
              <w:rPr>
                <w:rFonts w:ascii="Garamond" w:hAnsi="Garamond"/>
                <w:lang w:val="sq-AL"/>
              </w:rPr>
            </w:pPr>
            <w:r w:rsidRPr="00445472">
              <w:rPr>
                <w:rFonts w:ascii="Garamond" w:hAnsi="Garamond"/>
                <w:b/>
                <w:lang w:val="sq-AL"/>
              </w:rPr>
              <w:t>Misioni</w:t>
            </w:r>
          </w:p>
        </w:tc>
        <w:tc>
          <w:tcPr>
            <w:tcW w:w="0" w:type="pct"/>
            <w:gridSpan w:val="6"/>
            <w:shd w:val="clear" w:color="auto" w:fill="auto"/>
            <w:vAlign w:val="center"/>
          </w:tcPr>
          <w:p w14:paraId="3CEAD4E4" w14:textId="53022D37" w:rsidR="00E43879" w:rsidRPr="00445472" w:rsidRDefault="00E43879" w:rsidP="002A1F08">
            <w:pPr>
              <w:pStyle w:val="TableTextLeft"/>
              <w:rPr>
                <w:rFonts w:ascii="Garamond" w:hAnsi="Garamond"/>
                <w:lang w:val="sq-AL"/>
              </w:rPr>
            </w:pPr>
            <w:r w:rsidRPr="00445472">
              <w:rPr>
                <w:rFonts w:ascii="Garamond" w:hAnsi="Garamond"/>
                <w:b/>
                <w:lang w:val="sq-AL"/>
              </w:rPr>
              <w:t xml:space="preserve">Krijimi i të gjitha kuadrove të nevojshme ligjore, ekonomike, institucionale, teknike dhe shoqërore, bazuar në legjislacionin mjedisor të BE-së dhe parimet e MIBU-së për menaxhim të integruar e të drejtë, me </w:t>
            </w:r>
            <w:r w:rsidR="008B0B47" w:rsidRPr="00445472">
              <w:rPr>
                <w:rFonts w:ascii="Garamond" w:hAnsi="Garamond"/>
                <w:b/>
                <w:lang w:val="sq-AL"/>
              </w:rPr>
              <w:t>përfshirje</w:t>
            </w:r>
            <w:r w:rsidRPr="00445472">
              <w:rPr>
                <w:rFonts w:ascii="Garamond" w:hAnsi="Garamond"/>
                <w:b/>
                <w:lang w:val="sq-AL"/>
              </w:rPr>
              <w:t xml:space="preserve"> gjinore të arsyeshme në të gjitha burimet ujore në vend.</w:t>
            </w:r>
          </w:p>
        </w:tc>
      </w:tr>
      <w:tr w:rsidR="00E43879" w:rsidRPr="00445472" w14:paraId="3B43E2B7" w14:textId="77777777" w:rsidTr="00E43879">
        <w:trPr>
          <w:jc w:val="center"/>
        </w:trPr>
        <w:tc>
          <w:tcPr>
            <w:tcW w:w="0" w:type="pct"/>
            <w:vMerge w:val="restart"/>
            <w:shd w:val="clear" w:color="auto" w:fill="auto"/>
            <w:textDirection w:val="btLr"/>
            <w:vAlign w:val="center"/>
          </w:tcPr>
          <w:p w14:paraId="5324EBE6"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    Objektivat strategjikë (1-5) </w:t>
            </w:r>
          </w:p>
        </w:tc>
        <w:tc>
          <w:tcPr>
            <w:tcW w:w="0" w:type="pct"/>
            <w:shd w:val="clear" w:color="auto" w:fill="auto"/>
            <w:vAlign w:val="center"/>
          </w:tcPr>
          <w:p w14:paraId="4A7AB171" w14:textId="77777777" w:rsidR="00E43879" w:rsidRPr="00445472" w:rsidRDefault="00E43879" w:rsidP="002A1F08">
            <w:pPr>
              <w:pStyle w:val="TableTextLeft"/>
              <w:rPr>
                <w:rFonts w:ascii="Garamond" w:hAnsi="Garamond"/>
                <w:lang w:val="sq-AL"/>
              </w:rPr>
            </w:pPr>
            <w:r w:rsidRPr="00445472">
              <w:rPr>
                <w:rFonts w:ascii="Garamond" w:hAnsi="Garamond"/>
                <w:b/>
                <w:lang w:val="sq-AL"/>
              </w:rPr>
              <w:t>Sasia e ujit</w:t>
            </w:r>
            <w:r w:rsidRPr="00445472">
              <w:rPr>
                <w:rFonts w:ascii="Garamond" w:hAnsi="Garamond"/>
                <w:lang w:val="sq-AL"/>
              </w:rPr>
              <w:t>:</w:t>
            </w:r>
          </w:p>
          <w:p w14:paraId="5FF6228D" w14:textId="77777777" w:rsidR="00E43879" w:rsidRPr="00445472" w:rsidRDefault="00E43879" w:rsidP="002A1F08">
            <w:pPr>
              <w:pStyle w:val="TableTextLeft"/>
              <w:rPr>
                <w:rFonts w:ascii="Garamond" w:hAnsi="Garamond"/>
                <w:lang w:val="sq-AL"/>
              </w:rPr>
            </w:pPr>
            <w:r w:rsidRPr="00445472">
              <w:rPr>
                <w:rFonts w:ascii="Garamond" w:hAnsi="Garamond"/>
                <w:lang w:val="sq-AL"/>
              </w:rPr>
              <w:t>Sigurohet përdorimi i drejtë dhe i qëndrueshëm i të gjitha burimeve ujore, duke i shërbyer të gjitha interesave</w:t>
            </w:r>
          </w:p>
        </w:tc>
        <w:tc>
          <w:tcPr>
            <w:tcW w:w="0" w:type="pct"/>
            <w:gridSpan w:val="2"/>
            <w:shd w:val="clear" w:color="auto" w:fill="auto"/>
            <w:vAlign w:val="center"/>
          </w:tcPr>
          <w:p w14:paraId="009867A6" w14:textId="1312BF01" w:rsidR="00E43879" w:rsidRPr="00445472" w:rsidRDefault="00E43879" w:rsidP="002A1F08">
            <w:pPr>
              <w:pStyle w:val="TableTextLeft"/>
              <w:rPr>
                <w:rFonts w:ascii="Garamond" w:hAnsi="Garamond"/>
                <w:lang w:val="sq-AL"/>
              </w:rPr>
            </w:pPr>
            <w:r w:rsidRPr="00445472">
              <w:rPr>
                <w:rFonts w:ascii="Garamond" w:hAnsi="Garamond"/>
                <w:lang w:val="sq-AL"/>
              </w:rPr>
              <w:t xml:space="preserve">Shpërndarje efikase dhe e </w:t>
            </w:r>
            <w:r w:rsidR="008B0B47" w:rsidRPr="00445472">
              <w:rPr>
                <w:rFonts w:ascii="Garamond" w:hAnsi="Garamond"/>
                <w:lang w:val="sq-AL"/>
              </w:rPr>
              <w:t>njëjtë</w:t>
            </w:r>
            <w:r w:rsidRPr="00445472">
              <w:rPr>
                <w:rFonts w:ascii="Garamond" w:hAnsi="Garamond"/>
                <w:lang w:val="sq-AL"/>
              </w:rPr>
              <w:t xml:space="preserve"> e ujit dhe rritje domethënëse e efikasitetit në përdorimin e ujit në të gjithë sektorët dhe sigurimi i thithjes, riciklimit dhe ripërdorimit të </w:t>
            </w:r>
            <w:r w:rsidR="008B0B47" w:rsidRPr="00445472">
              <w:rPr>
                <w:rFonts w:ascii="Garamond" w:hAnsi="Garamond"/>
                <w:lang w:val="sq-AL"/>
              </w:rPr>
              <w:t>qëndrueshëm</w:t>
            </w:r>
            <w:r w:rsidRPr="00445472">
              <w:rPr>
                <w:rFonts w:ascii="Garamond" w:hAnsi="Garamond"/>
                <w:lang w:val="sq-AL"/>
              </w:rPr>
              <w:t xml:space="preserve"> </w:t>
            </w:r>
          </w:p>
        </w:tc>
        <w:tc>
          <w:tcPr>
            <w:tcW w:w="0" w:type="pct"/>
            <w:shd w:val="clear" w:color="auto" w:fill="auto"/>
            <w:vAlign w:val="center"/>
          </w:tcPr>
          <w:p w14:paraId="71CCF869" w14:textId="77777777" w:rsidR="00E43879" w:rsidRPr="00445472" w:rsidRDefault="00E43879" w:rsidP="002A1F08">
            <w:pPr>
              <w:pStyle w:val="TableTextLeft"/>
              <w:rPr>
                <w:rFonts w:ascii="Garamond" w:hAnsi="Garamond"/>
                <w:lang w:val="sq-AL"/>
              </w:rPr>
            </w:pPr>
            <w:r w:rsidRPr="00445472">
              <w:rPr>
                <w:rFonts w:ascii="Garamond" w:hAnsi="Garamond"/>
                <w:lang w:val="sq-AL"/>
              </w:rPr>
              <w:t>Baza e të dhënave e kadastrës së ujit</w:t>
            </w:r>
          </w:p>
          <w:p w14:paraId="5F62BB52"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në lidhje me sektorin e ujit</w:t>
            </w:r>
          </w:p>
          <w:p w14:paraId="69B922CF" w14:textId="77777777" w:rsidR="00E43879" w:rsidRPr="00445472" w:rsidRDefault="00E43879" w:rsidP="002A1F08">
            <w:pPr>
              <w:pStyle w:val="TableTextLeft"/>
              <w:rPr>
                <w:rFonts w:ascii="Garamond" w:hAnsi="Garamond"/>
                <w:lang w:val="sq-AL"/>
              </w:rPr>
            </w:pPr>
            <w:r w:rsidRPr="00445472">
              <w:rPr>
                <w:rFonts w:ascii="Garamond" w:hAnsi="Garamond"/>
                <w:lang w:val="sq-AL"/>
              </w:rPr>
              <w:t>Regjistra zyrtarë qeveritarë</w:t>
            </w:r>
          </w:p>
        </w:tc>
        <w:tc>
          <w:tcPr>
            <w:tcW w:w="0" w:type="pct"/>
            <w:shd w:val="clear" w:color="auto" w:fill="auto"/>
            <w:vAlign w:val="center"/>
          </w:tcPr>
          <w:p w14:paraId="7E796039"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direktivave të BE-së</w:t>
            </w:r>
          </w:p>
          <w:p w14:paraId="116D62AC"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funksionimi i kadastrës së ujit </w:t>
            </w:r>
          </w:p>
        </w:tc>
        <w:tc>
          <w:tcPr>
            <w:tcW w:w="0" w:type="pct"/>
            <w:shd w:val="clear" w:color="auto" w:fill="auto"/>
            <w:vAlign w:val="center"/>
          </w:tcPr>
          <w:p w14:paraId="2C6F0C9E"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6.1, 15.6, </w:t>
            </w:r>
          </w:p>
        </w:tc>
      </w:tr>
      <w:tr w:rsidR="00E43879" w:rsidRPr="00445472" w14:paraId="11E2230B" w14:textId="77777777" w:rsidTr="00E43879">
        <w:trPr>
          <w:jc w:val="center"/>
        </w:trPr>
        <w:tc>
          <w:tcPr>
            <w:tcW w:w="0" w:type="pct"/>
            <w:vMerge/>
            <w:shd w:val="clear" w:color="auto" w:fill="auto"/>
            <w:vAlign w:val="center"/>
          </w:tcPr>
          <w:p w14:paraId="365D4DBD" w14:textId="77777777" w:rsidR="00E43879" w:rsidRPr="00445472" w:rsidRDefault="00E43879" w:rsidP="002A1F08">
            <w:pPr>
              <w:pStyle w:val="TableTextLeft"/>
              <w:rPr>
                <w:rFonts w:ascii="Garamond" w:hAnsi="Garamond"/>
                <w:lang w:val="sq-AL"/>
              </w:rPr>
            </w:pPr>
          </w:p>
        </w:tc>
        <w:tc>
          <w:tcPr>
            <w:tcW w:w="0" w:type="pct"/>
            <w:shd w:val="clear" w:color="auto" w:fill="auto"/>
            <w:vAlign w:val="center"/>
          </w:tcPr>
          <w:p w14:paraId="347C1B89" w14:textId="77777777" w:rsidR="00E43879" w:rsidRPr="00445472" w:rsidRDefault="00E43879" w:rsidP="002A1F08">
            <w:pPr>
              <w:pStyle w:val="TableTextLeft"/>
              <w:rPr>
                <w:rFonts w:ascii="Garamond" w:hAnsi="Garamond"/>
                <w:lang w:val="sq-AL"/>
              </w:rPr>
            </w:pPr>
            <w:r w:rsidRPr="00445472">
              <w:rPr>
                <w:rFonts w:ascii="Garamond" w:hAnsi="Garamond"/>
                <w:b/>
                <w:lang w:val="sq-AL"/>
              </w:rPr>
              <w:t>Cilësia e ujit</w:t>
            </w:r>
            <w:r w:rsidRPr="00445472">
              <w:rPr>
                <w:rFonts w:ascii="Garamond" w:hAnsi="Garamond"/>
                <w:lang w:val="sq-AL"/>
              </w:rPr>
              <w:t>: është siguruar cilësia e të gjitha burimeve të ujit, duke arritur një gjendje të mirë deri në vitin 2027</w:t>
            </w:r>
          </w:p>
        </w:tc>
        <w:tc>
          <w:tcPr>
            <w:tcW w:w="0" w:type="pct"/>
            <w:gridSpan w:val="2"/>
            <w:shd w:val="clear" w:color="auto" w:fill="auto"/>
            <w:vAlign w:val="center"/>
          </w:tcPr>
          <w:p w14:paraId="18392260" w14:textId="77777777" w:rsidR="00E43879" w:rsidRPr="00445472" w:rsidRDefault="00E43879" w:rsidP="002A1F08">
            <w:pPr>
              <w:pStyle w:val="TableTextLeft"/>
              <w:rPr>
                <w:rFonts w:ascii="Garamond" w:hAnsi="Garamond"/>
                <w:lang w:val="sq-AL"/>
              </w:rPr>
            </w:pPr>
            <w:r w:rsidRPr="00445472">
              <w:rPr>
                <w:rFonts w:ascii="Garamond" w:hAnsi="Garamond"/>
                <w:lang w:val="sq-AL"/>
              </w:rPr>
              <w:t>Ulja e ndotjes, eliminimi i derdhjeve dhe zvogëlimi i hedhjes së materialeve dhe kimikateve të rrezikshme</w:t>
            </w:r>
          </w:p>
        </w:tc>
        <w:tc>
          <w:tcPr>
            <w:tcW w:w="0" w:type="pct"/>
            <w:shd w:val="clear" w:color="auto" w:fill="auto"/>
            <w:vAlign w:val="center"/>
          </w:tcPr>
          <w:p w14:paraId="62E87AEA" w14:textId="77777777" w:rsidR="00E43879" w:rsidRPr="00445472" w:rsidRDefault="00E43879" w:rsidP="002A1F08">
            <w:pPr>
              <w:pStyle w:val="TableTextLeft"/>
              <w:rPr>
                <w:rFonts w:ascii="Garamond" w:hAnsi="Garamond"/>
                <w:lang w:val="sq-AL"/>
              </w:rPr>
            </w:pPr>
            <w:r w:rsidRPr="00445472">
              <w:rPr>
                <w:rFonts w:ascii="Garamond" w:hAnsi="Garamond"/>
                <w:lang w:val="sq-AL"/>
              </w:rPr>
              <w:t>Raportim AKM</w:t>
            </w:r>
          </w:p>
          <w:p w14:paraId="0BC04C23" w14:textId="77777777" w:rsidR="00E43879" w:rsidRPr="00445472" w:rsidRDefault="00E43879" w:rsidP="002A1F08">
            <w:pPr>
              <w:pStyle w:val="TableTextLeft"/>
              <w:rPr>
                <w:rFonts w:ascii="Garamond" w:hAnsi="Garamond"/>
                <w:lang w:val="sq-AL"/>
              </w:rPr>
            </w:pPr>
            <w:r w:rsidRPr="00445472">
              <w:rPr>
                <w:rFonts w:ascii="Garamond" w:hAnsi="Garamond"/>
                <w:lang w:val="sq-AL"/>
              </w:rPr>
              <w:t>Kadastra e Ujit</w:t>
            </w:r>
          </w:p>
          <w:p w14:paraId="6B35881E" w14:textId="77777777" w:rsidR="00E43879" w:rsidRPr="00445472" w:rsidRDefault="00E43879" w:rsidP="002A1F08">
            <w:pPr>
              <w:pStyle w:val="TableTextLeft"/>
              <w:rPr>
                <w:rFonts w:ascii="Garamond" w:hAnsi="Garamond"/>
                <w:lang w:val="sq-AL"/>
              </w:rPr>
            </w:pPr>
            <w:r w:rsidRPr="00445472">
              <w:rPr>
                <w:rFonts w:ascii="Garamond" w:hAnsi="Garamond"/>
                <w:lang w:val="sq-AL"/>
              </w:rPr>
              <w:t>Raportet e Institutit të Shëndetit Publik</w:t>
            </w:r>
          </w:p>
          <w:p w14:paraId="7FB3E9F2" w14:textId="77777777" w:rsidR="00E43879" w:rsidRPr="00445472" w:rsidRDefault="00E43879" w:rsidP="002A1F08">
            <w:pPr>
              <w:pStyle w:val="TableTextLeft"/>
              <w:rPr>
                <w:rFonts w:ascii="Garamond" w:hAnsi="Garamond"/>
                <w:lang w:val="sq-AL"/>
              </w:rPr>
            </w:pPr>
            <w:r w:rsidRPr="00445472">
              <w:rPr>
                <w:rFonts w:ascii="Garamond" w:hAnsi="Garamond"/>
                <w:lang w:val="sq-AL"/>
              </w:rPr>
              <w:t>Planet e Menaxhimit të Baseneve Ujore (DKU)</w:t>
            </w:r>
          </w:p>
        </w:tc>
        <w:tc>
          <w:tcPr>
            <w:tcW w:w="0" w:type="pct"/>
            <w:shd w:val="clear" w:color="auto" w:fill="auto"/>
            <w:vAlign w:val="center"/>
          </w:tcPr>
          <w:p w14:paraId="3422DD47"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direktivave të BE-së</w:t>
            </w:r>
          </w:p>
          <w:p w14:paraId="388FCA14"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monitorimi dhe vlerësimi i cilësisë së ujit sipas standardit </w:t>
            </w:r>
          </w:p>
        </w:tc>
        <w:tc>
          <w:tcPr>
            <w:tcW w:w="0" w:type="pct"/>
            <w:shd w:val="clear" w:color="auto" w:fill="auto"/>
            <w:vAlign w:val="center"/>
          </w:tcPr>
          <w:p w14:paraId="7F484092" w14:textId="77777777" w:rsidR="00E43879" w:rsidRPr="00445472" w:rsidRDefault="00E43879" w:rsidP="002A1F08">
            <w:pPr>
              <w:pStyle w:val="TableTextLeft"/>
              <w:rPr>
                <w:rFonts w:ascii="Garamond" w:hAnsi="Garamond"/>
                <w:lang w:val="sq-AL"/>
              </w:rPr>
            </w:pPr>
            <w:r w:rsidRPr="00445472">
              <w:rPr>
                <w:rFonts w:ascii="Garamond" w:hAnsi="Garamond"/>
                <w:lang w:val="sq-AL"/>
              </w:rPr>
              <w:t>6.3, 6.6, 14.1, 14.2, 14.5, 15.1</w:t>
            </w:r>
          </w:p>
        </w:tc>
      </w:tr>
      <w:tr w:rsidR="00E43879" w:rsidRPr="00445472" w14:paraId="318F841B" w14:textId="77777777" w:rsidTr="00E43879">
        <w:trPr>
          <w:jc w:val="center"/>
        </w:trPr>
        <w:tc>
          <w:tcPr>
            <w:tcW w:w="0" w:type="pct"/>
            <w:vMerge/>
            <w:shd w:val="clear" w:color="auto" w:fill="auto"/>
            <w:vAlign w:val="center"/>
          </w:tcPr>
          <w:p w14:paraId="2B67162B" w14:textId="77777777" w:rsidR="00E43879" w:rsidRPr="00445472" w:rsidRDefault="00E43879" w:rsidP="002A1F08">
            <w:pPr>
              <w:pStyle w:val="TableTextLeft"/>
              <w:rPr>
                <w:rFonts w:ascii="Garamond" w:hAnsi="Garamond"/>
                <w:lang w:val="sq-AL"/>
              </w:rPr>
            </w:pPr>
          </w:p>
        </w:tc>
        <w:tc>
          <w:tcPr>
            <w:tcW w:w="0" w:type="pct"/>
            <w:shd w:val="clear" w:color="auto" w:fill="auto"/>
            <w:vAlign w:val="center"/>
          </w:tcPr>
          <w:p w14:paraId="2CCA39CD" w14:textId="77777777" w:rsidR="00E43879" w:rsidRPr="00445472" w:rsidRDefault="00E43879" w:rsidP="002A1F08">
            <w:pPr>
              <w:pStyle w:val="TableTextLeft"/>
              <w:rPr>
                <w:rFonts w:ascii="Garamond" w:hAnsi="Garamond"/>
                <w:lang w:val="sq-AL"/>
              </w:rPr>
            </w:pPr>
            <w:r w:rsidRPr="00445472">
              <w:rPr>
                <w:rFonts w:ascii="Garamond" w:hAnsi="Garamond"/>
                <w:b/>
                <w:lang w:val="sq-AL"/>
              </w:rPr>
              <w:t>Rreziqet e ujit</w:t>
            </w:r>
            <w:r w:rsidRPr="00445472">
              <w:rPr>
                <w:rFonts w:ascii="Garamond" w:hAnsi="Garamond"/>
                <w:lang w:val="sq-AL"/>
              </w:rPr>
              <w:t xml:space="preserve">: </w:t>
            </w:r>
          </w:p>
          <w:p w14:paraId="65184091" w14:textId="77777777" w:rsidR="00E43879" w:rsidRPr="00445472" w:rsidRDefault="00E43879" w:rsidP="002A1F08">
            <w:pPr>
              <w:pStyle w:val="TableTextLeft"/>
              <w:rPr>
                <w:rFonts w:ascii="Garamond" w:hAnsi="Garamond"/>
                <w:lang w:val="sq-AL"/>
              </w:rPr>
            </w:pPr>
            <w:r w:rsidRPr="00445472">
              <w:rPr>
                <w:rFonts w:ascii="Garamond" w:hAnsi="Garamond"/>
                <w:lang w:val="sq-AL"/>
              </w:rPr>
              <w:t>Rreziqet qe vijnë nga uji (përmbytje dhe thatësira) përballohen përmes menaxhimit dhe investimeve</w:t>
            </w:r>
          </w:p>
        </w:tc>
        <w:tc>
          <w:tcPr>
            <w:tcW w:w="0" w:type="pct"/>
            <w:gridSpan w:val="2"/>
            <w:shd w:val="clear" w:color="auto" w:fill="auto"/>
            <w:vAlign w:val="center"/>
          </w:tcPr>
          <w:p w14:paraId="6E71E55F" w14:textId="77777777" w:rsidR="00E43879" w:rsidRPr="00445472" w:rsidRDefault="00E43879" w:rsidP="002A1F08">
            <w:pPr>
              <w:pStyle w:val="TableTextLeft"/>
              <w:rPr>
                <w:rFonts w:ascii="Garamond" w:hAnsi="Garamond"/>
                <w:lang w:val="sq-AL"/>
              </w:rPr>
            </w:pPr>
            <w:r w:rsidRPr="00445472">
              <w:rPr>
                <w:rFonts w:ascii="Garamond" w:hAnsi="Garamond"/>
                <w:lang w:val="sq-AL"/>
              </w:rPr>
              <w:t>Përforcohet mbrojtja dhe kapaciteti për përshtatjen me zhvillimet klimatike, rreziqet dhe katastrofat natyrore</w:t>
            </w:r>
          </w:p>
        </w:tc>
        <w:tc>
          <w:tcPr>
            <w:tcW w:w="0" w:type="pct"/>
            <w:shd w:val="clear" w:color="auto" w:fill="auto"/>
            <w:vAlign w:val="center"/>
          </w:tcPr>
          <w:p w14:paraId="22796087" w14:textId="77777777" w:rsidR="00E43879" w:rsidRPr="00445472" w:rsidRDefault="00E43879" w:rsidP="002A1F08">
            <w:pPr>
              <w:pStyle w:val="TableTextLeft"/>
              <w:rPr>
                <w:rFonts w:ascii="Garamond" w:hAnsi="Garamond"/>
                <w:lang w:val="sq-AL"/>
              </w:rPr>
            </w:pPr>
            <w:r w:rsidRPr="00445472">
              <w:rPr>
                <w:rFonts w:ascii="Garamond" w:hAnsi="Garamond"/>
                <w:lang w:val="sq-AL"/>
              </w:rPr>
              <w:t>Plane të Menaxhimit të Katastrofave</w:t>
            </w:r>
          </w:p>
          <w:p w14:paraId="2578EDFE" w14:textId="77777777" w:rsidR="00E43879" w:rsidRPr="00445472" w:rsidRDefault="00E43879" w:rsidP="002A1F08">
            <w:pPr>
              <w:pStyle w:val="TableTextLeft"/>
              <w:rPr>
                <w:rFonts w:ascii="Garamond" w:hAnsi="Garamond"/>
                <w:lang w:val="sq-AL"/>
              </w:rPr>
            </w:pPr>
            <w:r w:rsidRPr="00445472">
              <w:rPr>
                <w:rFonts w:ascii="Garamond" w:hAnsi="Garamond"/>
                <w:lang w:val="sq-AL"/>
              </w:rPr>
              <w:t>Plane të Menaxhimit të Përmbytjeve</w:t>
            </w:r>
          </w:p>
          <w:p w14:paraId="2B4EDFAC" w14:textId="77777777" w:rsidR="00E43879" w:rsidRPr="00445472" w:rsidRDefault="00E43879" w:rsidP="002A1F08">
            <w:pPr>
              <w:pStyle w:val="TableTextLeft"/>
              <w:rPr>
                <w:rFonts w:ascii="Garamond" w:hAnsi="Garamond"/>
                <w:lang w:val="sq-AL"/>
              </w:rPr>
            </w:pPr>
            <w:r w:rsidRPr="00445472">
              <w:rPr>
                <w:rFonts w:ascii="Garamond" w:hAnsi="Garamond"/>
                <w:lang w:val="sq-AL"/>
              </w:rPr>
              <w:t>Plane të Menaxhimit të Thatësirave</w:t>
            </w:r>
          </w:p>
          <w:p w14:paraId="0BE79E62" w14:textId="77777777" w:rsidR="00E43879" w:rsidRPr="00445472" w:rsidRDefault="00E43879" w:rsidP="002A1F08">
            <w:pPr>
              <w:pStyle w:val="TableTextLeft"/>
              <w:rPr>
                <w:rFonts w:ascii="Garamond" w:hAnsi="Garamond"/>
                <w:lang w:val="sq-AL"/>
              </w:rPr>
            </w:pPr>
            <w:r w:rsidRPr="00445472">
              <w:rPr>
                <w:rFonts w:ascii="Garamond" w:hAnsi="Garamond"/>
                <w:lang w:val="sq-AL"/>
              </w:rPr>
              <w:t>Komunikimi shqiptar PNNK</w:t>
            </w:r>
          </w:p>
        </w:tc>
        <w:tc>
          <w:tcPr>
            <w:tcW w:w="0" w:type="pct"/>
            <w:shd w:val="clear" w:color="auto" w:fill="auto"/>
            <w:vAlign w:val="center"/>
          </w:tcPr>
          <w:p w14:paraId="4FB3C15C"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direktivave të BE-së</w:t>
            </w:r>
          </w:p>
          <w:p w14:paraId="3E0DC342" w14:textId="77777777" w:rsidR="00E43879" w:rsidRPr="00445472" w:rsidRDefault="00E43879" w:rsidP="002A1F08">
            <w:pPr>
              <w:pStyle w:val="TableTextLeft"/>
              <w:rPr>
                <w:rFonts w:ascii="Garamond" w:hAnsi="Garamond"/>
                <w:lang w:val="sq-AL"/>
              </w:rPr>
            </w:pPr>
            <w:r w:rsidRPr="00445472">
              <w:rPr>
                <w:rFonts w:ascii="Garamond" w:hAnsi="Garamond"/>
                <w:lang w:val="sq-AL"/>
              </w:rPr>
              <w:t>Zhvillimi i kapaciteteve dhe sigurimi i financimeve për të pasur aftësinë të hartohen dhe zbatohen planet</w:t>
            </w:r>
          </w:p>
        </w:tc>
        <w:tc>
          <w:tcPr>
            <w:tcW w:w="0" w:type="pct"/>
            <w:shd w:val="clear" w:color="auto" w:fill="auto"/>
            <w:vAlign w:val="center"/>
          </w:tcPr>
          <w:p w14:paraId="310896D7" w14:textId="77777777" w:rsidR="00E43879" w:rsidRPr="00445472" w:rsidRDefault="00E43879" w:rsidP="002A1F08">
            <w:pPr>
              <w:pStyle w:val="TableTextLeft"/>
              <w:rPr>
                <w:rFonts w:ascii="Garamond" w:hAnsi="Garamond"/>
                <w:lang w:val="sq-AL"/>
              </w:rPr>
            </w:pPr>
            <w:r w:rsidRPr="00445472">
              <w:rPr>
                <w:rFonts w:ascii="Garamond" w:hAnsi="Garamond"/>
                <w:lang w:val="sq-AL"/>
              </w:rPr>
              <w:t>3.9, 13.1, 13.2, 15.3</w:t>
            </w:r>
          </w:p>
        </w:tc>
      </w:tr>
      <w:tr w:rsidR="00E43879" w:rsidRPr="00445472" w14:paraId="096EC734" w14:textId="77777777" w:rsidTr="00E43879">
        <w:trPr>
          <w:jc w:val="center"/>
        </w:trPr>
        <w:tc>
          <w:tcPr>
            <w:tcW w:w="0" w:type="pct"/>
            <w:vMerge/>
            <w:shd w:val="clear" w:color="auto" w:fill="auto"/>
            <w:vAlign w:val="center"/>
          </w:tcPr>
          <w:p w14:paraId="69CBDD04" w14:textId="77777777" w:rsidR="00E43879" w:rsidRPr="00445472" w:rsidRDefault="00E43879" w:rsidP="002A1F08">
            <w:pPr>
              <w:pStyle w:val="TableTextLeft"/>
              <w:rPr>
                <w:rFonts w:ascii="Garamond" w:hAnsi="Garamond"/>
                <w:lang w:val="sq-AL"/>
              </w:rPr>
            </w:pPr>
          </w:p>
        </w:tc>
        <w:tc>
          <w:tcPr>
            <w:tcW w:w="0" w:type="pct"/>
            <w:shd w:val="clear" w:color="auto" w:fill="auto"/>
            <w:vAlign w:val="center"/>
          </w:tcPr>
          <w:p w14:paraId="4CEAE128" w14:textId="77777777" w:rsidR="00E43879" w:rsidRPr="00445472" w:rsidRDefault="00E43879" w:rsidP="002A1F08">
            <w:pPr>
              <w:pStyle w:val="TableTextLeft"/>
              <w:rPr>
                <w:rFonts w:ascii="Garamond" w:hAnsi="Garamond"/>
                <w:lang w:val="sq-AL"/>
              </w:rPr>
            </w:pPr>
            <w:r w:rsidRPr="00445472">
              <w:rPr>
                <w:rFonts w:ascii="Garamond" w:hAnsi="Garamond"/>
                <w:b/>
                <w:lang w:val="sq-AL"/>
              </w:rPr>
              <w:t>Informacioni mbi ujin</w:t>
            </w:r>
            <w:r w:rsidRPr="00445472">
              <w:rPr>
                <w:rFonts w:ascii="Garamond" w:hAnsi="Garamond"/>
                <w:lang w:val="sq-AL"/>
              </w:rPr>
              <w:t xml:space="preserve">: </w:t>
            </w:r>
          </w:p>
          <w:p w14:paraId="69CC9B4A" w14:textId="77777777" w:rsidR="00E43879" w:rsidRPr="00445472" w:rsidRDefault="00E43879" w:rsidP="002A1F08">
            <w:pPr>
              <w:pStyle w:val="TableTextLeft"/>
              <w:rPr>
                <w:rFonts w:ascii="Garamond" w:hAnsi="Garamond"/>
                <w:lang w:val="sq-AL"/>
              </w:rPr>
            </w:pPr>
            <w:r w:rsidRPr="00445472">
              <w:rPr>
                <w:rFonts w:ascii="Garamond" w:hAnsi="Garamond"/>
                <w:lang w:val="sq-AL"/>
              </w:rPr>
              <w:t>Të dhëna dhe modele të besueshme për ujin dhe klimën, të siguruara për të gjitha palët e interesit dhe këshillat adekuate të politikave të bazuara në këto të dhëna dhe modele sigurohen nga qeveria nga institucionet përkatëse të të dhënave institucionale</w:t>
            </w:r>
          </w:p>
        </w:tc>
        <w:tc>
          <w:tcPr>
            <w:tcW w:w="0" w:type="pct"/>
            <w:gridSpan w:val="2"/>
            <w:shd w:val="clear" w:color="auto" w:fill="auto"/>
            <w:vAlign w:val="center"/>
          </w:tcPr>
          <w:p w14:paraId="696E44F7" w14:textId="77777777" w:rsidR="00E43879" w:rsidRPr="00445472" w:rsidRDefault="00E43879" w:rsidP="002A1F08">
            <w:pPr>
              <w:pStyle w:val="TableTextLeft"/>
              <w:rPr>
                <w:rFonts w:ascii="Garamond" w:hAnsi="Garamond"/>
                <w:lang w:val="sq-AL"/>
              </w:rPr>
            </w:pPr>
            <w:r w:rsidRPr="00445472">
              <w:rPr>
                <w:rFonts w:ascii="Garamond" w:hAnsi="Garamond"/>
                <w:lang w:val="sq-AL"/>
              </w:rPr>
              <w:t>Njohuri më të mira mbi të gjitha burimet ujore si një bazë e njohurive publike për menaxhimin e integruar të ujit për politikat vendimmarrëse</w:t>
            </w:r>
          </w:p>
        </w:tc>
        <w:tc>
          <w:tcPr>
            <w:tcW w:w="0" w:type="pct"/>
            <w:shd w:val="clear" w:color="auto" w:fill="auto"/>
            <w:vAlign w:val="center"/>
          </w:tcPr>
          <w:p w14:paraId="4658A4D3" w14:textId="77777777" w:rsidR="00E43879" w:rsidRPr="00445472" w:rsidRDefault="00E43879" w:rsidP="002A1F08">
            <w:pPr>
              <w:pStyle w:val="TableTextLeft"/>
              <w:rPr>
                <w:rFonts w:ascii="Garamond" w:hAnsi="Garamond"/>
                <w:lang w:val="sq-AL"/>
              </w:rPr>
            </w:pPr>
            <w:r w:rsidRPr="00445472">
              <w:rPr>
                <w:rFonts w:ascii="Garamond" w:hAnsi="Garamond"/>
                <w:lang w:val="sq-AL"/>
              </w:rPr>
              <w:t>Kadastra e ujit</w:t>
            </w:r>
          </w:p>
          <w:p w14:paraId="51B81E79"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Raportet e AKM-së </w:t>
            </w:r>
          </w:p>
          <w:p w14:paraId="1F75F069" w14:textId="77777777" w:rsidR="00E43879" w:rsidRPr="00445472" w:rsidRDefault="00E43879" w:rsidP="002A1F08">
            <w:pPr>
              <w:pStyle w:val="TableTextLeft"/>
              <w:rPr>
                <w:rFonts w:ascii="Garamond" w:hAnsi="Garamond"/>
                <w:lang w:val="sq-AL"/>
              </w:rPr>
            </w:pPr>
            <w:r w:rsidRPr="00445472">
              <w:rPr>
                <w:rFonts w:ascii="Garamond" w:hAnsi="Garamond"/>
                <w:lang w:val="sq-AL"/>
              </w:rPr>
              <w:t>Raportet e BE-së (AEM, DKU)</w:t>
            </w:r>
          </w:p>
        </w:tc>
        <w:tc>
          <w:tcPr>
            <w:tcW w:w="0" w:type="pct"/>
            <w:shd w:val="clear" w:color="auto" w:fill="auto"/>
            <w:vAlign w:val="center"/>
          </w:tcPr>
          <w:p w14:paraId="0A94A791"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direktivave të BE-së</w:t>
            </w:r>
          </w:p>
          <w:p w14:paraId="03ED1ABB" w14:textId="77777777" w:rsidR="00E43879" w:rsidRPr="00445472" w:rsidRDefault="00E43879" w:rsidP="002A1F08">
            <w:pPr>
              <w:pStyle w:val="TableTextLeft"/>
              <w:rPr>
                <w:rFonts w:ascii="Garamond" w:hAnsi="Garamond"/>
                <w:lang w:val="sq-AL"/>
              </w:rPr>
            </w:pPr>
            <w:r w:rsidRPr="00445472">
              <w:rPr>
                <w:rFonts w:ascii="Garamond" w:hAnsi="Garamond"/>
                <w:lang w:val="sq-AL"/>
              </w:rPr>
              <w:t>monitorim dhe vlerësim i cilësisë së ujit sipas standardeve</w:t>
            </w:r>
          </w:p>
        </w:tc>
        <w:tc>
          <w:tcPr>
            <w:tcW w:w="0" w:type="pct"/>
            <w:shd w:val="clear" w:color="auto" w:fill="auto"/>
            <w:vAlign w:val="center"/>
          </w:tcPr>
          <w:p w14:paraId="3A271C20" w14:textId="77777777" w:rsidR="00E43879" w:rsidRPr="00445472" w:rsidRDefault="00E43879" w:rsidP="002A1F08">
            <w:pPr>
              <w:pStyle w:val="TableTextLeft"/>
              <w:rPr>
                <w:rFonts w:ascii="Garamond" w:hAnsi="Garamond"/>
                <w:lang w:val="sq-AL"/>
              </w:rPr>
            </w:pPr>
            <w:r w:rsidRPr="00445472">
              <w:rPr>
                <w:rFonts w:ascii="Garamond" w:hAnsi="Garamond"/>
                <w:lang w:val="sq-AL"/>
              </w:rPr>
              <w:t>6.a, 12.8</w:t>
            </w:r>
          </w:p>
        </w:tc>
      </w:tr>
      <w:tr w:rsidR="00E43879" w:rsidRPr="00445472" w14:paraId="00A226EF" w14:textId="77777777" w:rsidTr="00E43879">
        <w:trPr>
          <w:jc w:val="center"/>
        </w:trPr>
        <w:tc>
          <w:tcPr>
            <w:tcW w:w="0" w:type="pct"/>
            <w:vMerge/>
            <w:shd w:val="clear" w:color="auto" w:fill="auto"/>
            <w:vAlign w:val="center"/>
          </w:tcPr>
          <w:p w14:paraId="79DCC59E" w14:textId="77777777" w:rsidR="00E43879" w:rsidRPr="00445472" w:rsidRDefault="00E43879" w:rsidP="002A1F08">
            <w:pPr>
              <w:pStyle w:val="TableTextLeft"/>
              <w:rPr>
                <w:rFonts w:ascii="Garamond" w:hAnsi="Garamond"/>
                <w:lang w:val="sq-AL"/>
              </w:rPr>
            </w:pPr>
          </w:p>
        </w:tc>
        <w:tc>
          <w:tcPr>
            <w:tcW w:w="0" w:type="pct"/>
            <w:shd w:val="clear" w:color="auto" w:fill="auto"/>
            <w:vAlign w:val="center"/>
          </w:tcPr>
          <w:p w14:paraId="2596334A" w14:textId="77777777" w:rsidR="00E43879" w:rsidRPr="00445472" w:rsidRDefault="00E43879" w:rsidP="002A1F08">
            <w:pPr>
              <w:pStyle w:val="TableTextLeft"/>
              <w:rPr>
                <w:rFonts w:ascii="Garamond" w:hAnsi="Garamond"/>
                <w:lang w:val="sq-AL"/>
              </w:rPr>
            </w:pPr>
            <w:r w:rsidRPr="00445472">
              <w:rPr>
                <w:rFonts w:ascii="Garamond" w:hAnsi="Garamond"/>
                <w:b/>
                <w:lang w:val="sq-AL"/>
              </w:rPr>
              <w:t>Menaxhimi i ujit</w:t>
            </w:r>
            <w:r w:rsidRPr="00445472">
              <w:rPr>
                <w:rFonts w:ascii="Garamond" w:hAnsi="Garamond"/>
                <w:lang w:val="sq-AL"/>
              </w:rPr>
              <w:t>:</w:t>
            </w:r>
          </w:p>
          <w:p w14:paraId="0E3A5F26" w14:textId="2CAE48E7" w:rsidR="00E43879" w:rsidRPr="00445472" w:rsidRDefault="00E43879" w:rsidP="002A1F08">
            <w:pPr>
              <w:pStyle w:val="TableTextLeft"/>
              <w:rPr>
                <w:rFonts w:ascii="Garamond" w:hAnsi="Garamond"/>
                <w:lang w:val="sq-AL"/>
              </w:rPr>
            </w:pPr>
            <w:r w:rsidRPr="00445472">
              <w:rPr>
                <w:rFonts w:ascii="Garamond" w:hAnsi="Garamond"/>
                <w:lang w:val="sq-AL"/>
              </w:rPr>
              <w:t xml:space="preserve">Uji menaxhohet në mënyrë të </w:t>
            </w:r>
            <w:r w:rsidR="008B0B47" w:rsidRPr="00445472">
              <w:rPr>
                <w:rFonts w:ascii="Garamond" w:hAnsi="Garamond"/>
                <w:lang w:val="sq-AL"/>
              </w:rPr>
              <w:t>qëndrueshme</w:t>
            </w:r>
            <w:r w:rsidRPr="00445472">
              <w:rPr>
                <w:rFonts w:ascii="Garamond" w:hAnsi="Garamond"/>
                <w:lang w:val="sq-AL"/>
              </w:rPr>
              <w:t xml:space="preserve"> dhe gjithëpërfshirëse, duke i shërbyer të gjitha interesave, duke ofruar përfitime të barabarta socio-ekonomike dhe përfshirje në vendimmarrje për gjeneratat e ardhshme</w:t>
            </w:r>
          </w:p>
        </w:tc>
        <w:tc>
          <w:tcPr>
            <w:tcW w:w="0" w:type="pct"/>
            <w:gridSpan w:val="2"/>
            <w:shd w:val="clear" w:color="auto" w:fill="auto"/>
            <w:vAlign w:val="center"/>
          </w:tcPr>
          <w:p w14:paraId="7060F04C" w14:textId="77777777" w:rsidR="00E43879" w:rsidRPr="00445472" w:rsidRDefault="00E43879" w:rsidP="002A1F08">
            <w:pPr>
              <w:pStyle w:val="TableTextLeft"/>
              <w:rPr>
                <w:rFonts w:ascii="Garamond" w:hAnsi="Garamond"/>
                <w:lang w:val="sq-AL"/>
              </w:rPr>
            </w:pPr>
            <w:r w:rsidRPr="00445472">
              <w:rPr>
                <w:rFonts w:ascii="Garamond" w:hAnsi="Garamond"/>
                <w:lang w:val="sq-AL"/>
              </w:rPr>
              <w:t>Politika të qarta MIBU dhe zbatim i PMBU-ve të cilat synojnë qëllime të matshme në afatet kohore të para caktuara dhe shkallën e përshtatshme, përcaktim i qartë i detyrave për autoritetet përgjegjëse, bazuar në monitorim dhe vlerësim të drejtë</w:t>
            </w:r>
          </w:p>
        </w:tc>
        <w:tc>
          <w:tcPr>
            <w:tcW w:w="0" w:type="pct"/>
            <w:shd w:val="clear" w:color="auto" w:fill="auto"/>
            <w:vAlign w:val="center"/>
          </w:tcPr>
          <w:p w14:paraId="51EF75FD" w14:textId="0100B2B3" w:rsidR="00E43879" w:rsidRPr="00445472" w:rsidRDefault="00E43879" w:rsidP="002A1F08">
            <w:pPr>
              <w:pStyle w:val="TableTextLeft"/>
              <w:rPr>
                <w:rFonts w:ascii="Garamond" w:hAnsi="Garamond"/>
                <w:lang w:val="sq-AL"/>
              </w:rPr>
            </w:pPr>
            <w:r w:rsidRPr="00445472">
              <w:rPr>
                <w:rFonts w:ascii="Garamond" w:hAnsi="Garamond"/>
                <w:lang w:val="sq-AL"/>
              </w:rPr>
              <w:t xml:space="preserve">Legjislacioni, </w:t>
            </w:r>
            <w:r w:rsidR="006302B2" w:rsidRPr="00445472">
              <w:rPr>
                <w:rFonts w:ascii="Garamond" w:hAnsi="Garamond"/>
                <w:lang w:val="sq-AL"/>
              </w:rPr>
              <w:t>urdhra ministrorë</w:t>
            </w:r>
            <w:r w:rsidRPr="00445472">
              <w:rPr>
                <w:rFonts w:ascii="Garamond" w:hAnsi="Garamond"/>
                <w:lang w:val="sq-AL"/>
              </w:rPr>
              <w:t xml:space="preserve">, </w:t>
            </w:r>
            <w:r w:rsidR="006302B2" w:rsidRPr="00445472">
              <w:rPr>
                <w:rFonts w:ascii="Garamond" w:hAnsi="Garamond"/>
                <w:lang w:val="sq-AL"/>
              </w:rPr>
              <w:t xml:space="preserve">vendime </w:t>
            </w:r>
            <w:r w:rsidRPr="00445472">
              <w:rPr>
                <w:rFonts w:ascii="Garamond" w:hAnsi="Garamond"/>
                <w:lang w:val="sq-AL"/>
              </w:rPr>
              <w:t>të KKU-së dhe akte nënligjore</w:t>
            </w:r>
          </w:p>
          <w:p w14:paraId="6A8E57C7" w14:textId="77777777" w:rsidR="00E43879" w:rsidRPr="00445472" w:rsidRDefault="00E43879" w:rsidP="002A1F08">
            <w:pPr>
              <w:pStyle w:val="TableTextLeft"/>
              <w:rPr>
                <w:rFonts w:ascii="Garamond" w:hAnsi="Garamond"/>
                <w:lang w:val="sq-AL"/>
              </w:rPr>
            </w:pPr>
            <w:r w:rsidRPr="00445472">
              <w:rPr>
                <w:rFonts w:ascii="Garamond" w:hAnsi="Garamond"/>
                <w:lang w:val="sq-AL"/>
              </w:rPr>
              <w:t>Shkalla e harmonizimit të legjislacionit dhe akteve nënligjore</w:t>
            </w:r>
          </w:p>
        </w:tc>
        <w:tc>
          <w:tcPr>
            <w:tcW w:w="0" w:type="pct"/>
            <w:shd w:val="clear" w:color="auto" w:fill="auto"/>
            <w:vAlign w:val="center"/>
          </w:tcPr>
          <w:p w14:paraId="71CA6A92" w14:textId="77777777" w:rsidR="00E43879" w:rsidRPr="00445472" w:rsidRDefault="00E43879" w:rsidP="002A1F08">
            <w:pPr>
              <w:pStyle w:val="TableTextLeft"/>
              <w:rPr>
                <w:rFonts w:ascii="Garamond" w:hAnsi="Garamond"/>
                <w:lang w:val="sq-AL"/>
              </w:rPr>
            </w:pPr>
            <w:r w:rsidRPr="00445472">
              <w:rPr>
                <w:rFonts w:ascii="Garamond" w:hAnsi="Garamond"/>
                <w:lang w:val="sq-AL"/>
              </w:rPr>
              <w:t>Zbatim i parimeve të OECD-së dhe BE-së; parimet mjedisore të kujdesit, plotësueshmërisë, proporcionalitetit dhe solidaritetit dhe legjislacioni i harmonizuar</w:t>
            </w:r>
          </w:p>
        </w:tc>
        <w:tc>
          <w:tcPr>
            <w:tcW w:w="0" w:type="pct"/>
            <w:shd w:val="clear" w:color="auto" w:fill="auto"/>
            <w:vAlign w:val="center"/>
          </w:tcPr>
          <w:p w14:paraId="7D6757D9" w14:textId="77777777" w:rsidR="00E43879" w:rsidRPr="00445472" w:rsidRDefault="00E43879" w:rsidP="002A1F08">
            <w:pPr>
              <w:pStyle w:val="TableTextLeft"/>
              <w:rPr>
                <w:rFonts w:ascii="Garamond" w:hAnsi="Garamond"/>
                <w:lang w:val="sq-AL"/>
              </w:rPr>
            </w:pPr>
            <w:r w:rsidRPr="00445472">
              <w:rPr>
                <w:rFonts w:ascii="Garamond" w:hAnsi="Garamond"/>
                <w:lang w:val="sq-AL"/>
              </w:rPr>
              <w:t>5.5, 5.a, 5.c, 6.4, 6.5, 16.7</w:t>
            </w:r>
          </w:p>
        </w:tc>
      </w:tr>
    </w:tbl>
    <w:p w14:paraId="028886FA" w14:textId="77777777" w:rsidR="00E43879" w:rsidRPr="00445472" w:rsidRDefault="00E43879" w:rsidP="00E43879">
      <w:pPr>
        <w:rPr>
          <w:rFonts w:ascii="Garamond" w:hAnsi="Garamond"/>
          <w:b/>
        </w:rPr>
      </w:pPr>
    </w:p>
    <w:p w14:paraId="3BCE46C1" w14:textId="77777777" w:rsidR="00E43879" w:rsidRPr="00445472" w:rsidRDefault="00E43879" w:rsidP="00E43879">
      <w:pPr>
        <w:pStyle w:val="NENTITULL"/>
      </w:pPr>
      <w:r w:rsidRPr="00445472">
        <w:t>Tabela 14.2.  Sasia e ujit</w:t>
      </w:r>
    </w:p>
    <w:tbl>
      <w:tblPr>
        <w:tblW w:w="14600" w:type="dxa"/>
        <w:jc w:val="center"/>
        <w:tblBorders>
          <w:top w:val="single" w:sz="8" w:space="0" w:color="auto"/>
          <w:bottom w:val="single" w:sz="8" w:space="0" w:color="auto"/>
          <w:insideH w:val="single" w:sz="2" w:space="0" w:color="27BDBE"/>
        </w:tblBorders>
        <w:tblLayout w:type="fixed"/>
        <w:tblCellMar>
          <w:left w:w="0" w:type="dxa"/>
          <w:right w:w="0" w:type="dxa"/>
        </w:tblCellMar>
        <w:tblLook w:val="0620" w:firstRow="1" w:lastRow="0" w:firstColumn="0" w:lastColumn="0" w:noHBand="1" w:noVBand="1"/>
      </w:tblPr>
      <w:tblGrid>
        <w:gridCol w:w="2920"/>
        <w:gridCol w:w="2920"/>
        <w:gridCol w:w="2920"/>
        <w:gridCol w:w="2920"/>
        <w:gridCol w:w="2920"/>
      </w:tblGrid>
      <w:tr w:rsidR="00E43879" w:rsidRPr="00445472" w14:paraId="2E06114C" w14:textId="77777777" w:rsidTr="00E43879">
        <w:trPr>
          <w:jc w:val="center"/>
        </w:trPr>
        <w:tc>
          <w:tcPr>
            <w:tcW w:w="0" w:type="pct"/>
            <w:tcBorders>
              <w:bottom w:val="single" w:sz="8" w:space="0" w:color="000000"/>
            </w:tcBorders>
            <w:shd w:val="clear" w:color="auto" w:fill="auto"/>
            <w:vAlign w:val="center"/>
            <w:hideMark/>
          </w:tcPr>
          <w:p w14:paraId="737D2BC8"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Objektivat e politikave</w:t>
            </w:r>
            <w:r w:rsidRPr="00445472">
              <w:rPr>
                <w:rFonts w:ascii="Garamond" w:hAnsi="Garamond"/>
                <w:color w:val="auto"/>
                <w:vertAlign w:val="superscript"/>
                <w:lang w:val="sq-AL"/>
              </w:rPr>
              <w:footnoteReference w:id="222"/>
            </w:r>
          </w:p>
        </w:tc>
        <w:tc>
          <w:tcPr>
            <w:tcW w:w="0" w:type="pct"/>
            <w:tcBorders>
              <w:bottom w:val="single" w:sz="8" w:space="0" w:color="000000"/>
            </w:tcBorders>
            <w:shd w:val="clear" w:color="auto" w:fill="auto"/>
            <w:vAlign w:val="center"/>
            <w:hideMark/>
          </w:tcPr>
          <w:p w14:paraId="24059769"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Rezultatet kryesore</w:t>
            </w:r>
          </w:p>
        </w:tc>
        <w:tc>
          <w:tcPr>
            <w:tcW w:w="0" w:type="pct"/>
            <w:tcBorders>
              <w:bottom w:val="single" w:sz="8" w:space="0" w:color="000000"/>
            </w:tcBorders>
            <w:shd w:val="clear" w:color="auto" w:fill="auto"/>
            <w:vAlign w:val="center"/>
            <w:hideMark/>
          </w:tcPr>
          <w:p w14:paraId="058E6573"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Verifikimi</w:t>
            </w:r>
          </w:p>
        </w:tc>
        <w:tc>
          <w:tcPr>
            <w:tcW w:w="0" w:type="pct"/>
            <w:tcBorders>
              <w:bottom w:val="single" w:sz="8" w:space="0" w:color="000000"/>
            </w:tcBorders>
            <w:shd w:val="clear" w:color="auto" w:fill="auto"/>
            <w:vAlign w:val="center"/>
            <w:hideMark/>
          </w:tcPr>
          <w:p w14:paraId="42D69923"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Aktorët</w:t>
            </w:r>
          </w:p>
        </w:tc>
        <w:tc>
          <w:tcPr>
            <w:tcW w:w="0" w:type="pct"/>
            <w:tcBorders>
              <w:bottom w:val="single" w:sz="8" w:space="0" w:color="000000"/>
            </w:tcBorders>
            <w:shd w:val="clear" w:color="auto" w:fill="auto"/>
            <w:vAlign w:val="center"/>
            <w:hideMark/>
          </w:tcPr>
          <w:p w14:paraId="3DBD9B92"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Rekomandimet për Planifikimin e Menaxhimit të Basenit Ujor</w:t>
            </w:r>
          </w:p>
        </w:tc>
      </w:tr>
      <w:tr w:rsidR="00E43879" w:rsidRPr="00445472" w14:paraId="6D5EB3E9" w14:textId="77777777" w:rsidTr="00E43879">
        <w:trPr>
          <w:jc w:val="center"/>
        </w:trPr>
        <w:tc>
          <w:tcPr>
            <w:tcW w:w="0" w:type="pct"/>
            <w:tcBorders>
              <w:top w:val="single" w:sz="8" w:space="0" w:color="000000"/>
            </w:tcBorders>
            <w:shd w:val="clear" w:color="auto" w:fill="auto"/>
            <w:vAlign w:val="center"/>
            <w:hideMark/>
          </w:tcPr>
          <w:p w14:paraId="39D2619C" w14:textId="77777777" w:rsidR="00E43879" w:rsidRPr="00445472" w:rsidRDefault="00E43879" w:rsidP="002A1F08">
            <w:pPr>
              <w:pStyle w:val="TableTextLeft"/>
              <w:rPr>
                <w:rFonts w:ascii="Garamond" w:hAnsi="Garamond"/>
                <w:lang w:val="sq-AL"/>
              </w:rPr>
            </w:pPr>
            <w:r w:rsidRPr="00445472">
              <w:rPr>
                <w:rFonts w:ascii="Garamond" w:hAnsi="Garamond"/>
                <w:lang w:val="sq-AL"/>
              </w:rPr>
              <w:t>Menaxhimi i burimeve ujore në nivel baseni</w:t>
            </w:r>
          </w:p>
          <w:p w14:paraId="56F75EB5" w14:textId="77777777" w:rsidR="00E43879" w:rsidRPr="00445472" w:rsidRDefault="00E43879" w:rsidP="002A1F08">
            <w:pPr>
              <w:pStyle w:val="TableTextLeft"/>
              <w:rPr>
                <w:rFonts w:ascii="Garamond" w:hAnsi="Garamond"/>
                <w:lang w:val="sq-AL"/>
              </w:rPr>
            </w:pPr>
            <w:r w:rsidRPr="00445472">
              <w:rPr>
                <w:rFonts w:ascii="Garamond" w:hAnsi="Garamond"/>
                <w:lang w:val="sq-AL"/>
              </w:rPr>
              <w:t>(gjithashtu lidhur me cilësinë)</w:t>
            </w:r>
          </w:p>
        </w:tc>
        <w:tc>
          <w:tcPr>
            <w:tcW w:w="0" w:type="pct"/>
            <w:tcBorders>
              <w:top w:val="single" w:sz="8" w:space="0" w:color="000000"/>
            </w:tcBorders>
            <w:shd w:val="clear" w:color="auto" w:fill="auto"/>
            <w:vAlign w:val="center"/>
            <w:hideMark/>
          </w:tcPr>
          <w:p w14:paraId="6AF93911" w14:textId="77777777" w:rsidR="00E43879" w:rsidRPr="00445472" w:rsidRDefault="00E43879" w:rsidP="002A1F08">
            <w:pPr>
              <w:pStyle w:val="TableTextLeft"/>
              <w:rPr>
                <w:rFonts w:ascii="Garamond" w:hAnsi="Garamond"/>
                <w:lang w:val="sq-AL"/>
              </w:rPr>
            </w:pPr>
            <w:r w:rsidRPr="00445472">
              <w:rPr>
                <w:rFonts w:ascii="Garamond" w:hAnsi="Garamond"/>
                <w:lang w:val="sq-AL"/>
              </w:rPr>
              <w:t>Hartohen Planet për Menaxhimin e Integruar të basenit ujor dhe PM-të të cilat nënkuptojnë kritere të qarta dhe me përparësi për përdorimin e ujit bazuar në kushtet e burimit ujor në secilin basen</w:t>
            </w:r>
          </w:p>
        </w:tc>
        <w:tc>
          <w:tcPr>
            <w:tcW w:w="0" w:type="pct"/>
            <w:tcBorders>
              <w:top w:val="single" w:sz="8" w:space="0" w:color="000000"/>
            </w:tcBorders>
            <w:shd w:val="clear" w:color="auto" w:fill="auto"/>
            <w:vAlign w:val="center"/>
            <w:hideMark/>
          </w:tcPr>
          <w:p w14:paraId="760F2FEB"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 PMBU dhe PM</w:t>
            </w:r>
          </w:p>
          <w:p w14:paraId="3FAE3631" w14:textId="77777777" w:rsidR="00E43879" w:rsidRPr="00445472" w:rsidRDefault="00E43879" w:rsidP="002A1F08">
            <w:pPr>
              <w:pStyle w:val="TableTextLeft"/>
              <w:rPr>
                <w:rFonts w:ascii="Garamond" w:hAnsi="Garamond"/>
                <w:lang w:val="sq-AL"/>
              </w:rPr>
            </w:pPr>
            <w:r w:rsidRPr="00445472">
              <w:rPr>
                <w:rFonts w:ascii="Garamond" w:hAnsi="Garamond"/>
                <w:lang w:val="sq-AL"/>
              </w:rPr>
              <w:t>Çështjet që lidhen me Ujin, në PAMP</w:t>
            </w:r>
          </w:p>
        </w:tc>
        <w:tc>
          <w:tcPr>
            <w:tcW w:w="0" w:type="pct"/>
            <w:tcBorders>
              <w:top w:val="single" w:sz="8" w:space="0" w:color="000000"/>
            </w:tcBorders>
            <w:shd w:val="clear" w:color="auto" w:fill="auto"/>
            <w:vAlign w:val="center"/>
            <w:hideMark/>
          </w:tcPr>
          <w:p w14:paraId="1961DE54" w14:textId="77777777" w:rsidR="00E43879" w:rsidRPr="00445472" w:rsidRDefault="00E43879" w:rsidP="002A1F08">
            <w:pPr>
              <w:pStyle w:val="TableTextLeft"/>
              <w:rPr>
                <w:rFonts w:ascii="Garamond" w:hAnsi="Garamond"/>
                <w:lang w:val="sq-AL"/>
              </w:rPr>
            </w:pPr>
            <w:r w:rsidRPr="00445472">
              <w:rPr>
                <w:rFonts w:ascii="Garamond" w:hAnsi="Garamond"/>
                <w:lang w:val="sq-AL"/>
              </w:rPr>
              <w:t>Organet përgjegjëse për administrimin dhe menaxhimin e burimeve ujore</w:t>
            </w:r>
            <w:r w:rsidRPr="00445472" w:rsidDel="00BF63AF">
              <w:rPr>
                <w:rFonts w:ascii="Garamond" w:hAnsi="Garamond"/>
                <w:lang w:val="sq-AL"/>
              </w:rPr>
              <w:t xml:space="preserve"> </w:t>
            </w:r>
          </w:p>
        </w:tc>
        <w:tc>
          <w:tcPr>
            <w:tcW w:w="0" w:type="pct"/>
            <w:tcBorders>
              <w:top w:val="single" w:sz="8" w:space="0" w:color="000000"/>
            </w:tcBorders>
            <w:shd w:val="clear" w:color="auto" w:fill="auto"/>
            <w:vAlign w:val="center"/>
          </w:tcPr>
          <w:p w14:paraId="5A9AFEE7" w14:textId="208F8944" w:rsidR="00E43879" w:rsidRPr="00445472" w:rsidRDefault="00E43879" w:rsidP="002A1F08">
            <w:pPr>
              <w:pStyle w:val="TableTextLeft"/>
              <w:rPr>
                <w:rFonts w:ascii="Garamond" w:hAnsi="Garamond"/>
                <w:lang w:val="sq-AL"/>
              </w:rPr>
            </w:pPr>
            <w:r w:rsidRPr="00445472">
              <w:rPr>
                <w:rFonts w:ascii="Garamond" w:hAnsi="Garamond"/>
                <w:lang w:val="sq-AL"/>
              </w:rPr>
              <w:t xml:space="preserve">Identifikimi dhe trajnimi teknik i stafit kyç për përdorim e modelin </w:t>
            </w:r>
            <w:r w:rsidR="008B0B47" w:rsidRPr="00445472">
              <w:rPr>
                <w:rFonts w:ascii="Garamond" w:hAnsi="Garamond"/>
                <w:lang w:val="sq-AL"/>
              </w:rPr>
              <w:t xml:space="preserve">Mike Hydro </w:t>
            </w:r>
            <w:r w:rsidRPr="00445472">
              <w:rPr>
                <w:rFonts w:ascii="Garamond" w:hAnsi="Garamond"/>
                <w:lang w:val="sq-AL"/>
              </w:rPr>
              <w:t>në:</w:t>
            </w:r>
          </w:p>
          <w:p w14:paraId="0731BB37" w14:textId="5A67CBD1" w:rsidR="00E43879" w:rsidRPr="00445472" w:rsidRDefault="00E43879" w:rsidP="002A1F08">
            <w:pPr>
              <w:pStyle w:val="TableTextLeft"/>
              <w:rPr>
                <w:rFonts w:ascii="Garamond" w:hAnsi="Garamond"/>
                <w:lang w:val="sq-AL"/>
              </w:rPr>
            </w:pPr>
            <w:r w:rsidRPr="00445472">
              <w:rPr>
                <w:rFonts w:ascii="Garamond" w:hAnsi="Garamond"/>
                <w:lang w:val="sq-AL"/>
              </w:rPr>
              <w:t>i</w:t>
            </w:r>
            <w:r w:rsidR="008B0B47" w:rsidRPr="00445472">
              <w:rPr>
                <w:rFonts w:ascii="Garamond" w:hAnsi="Garamond"/>
                <w:lang w:val="sq-AL"/>
              </w:rPr>
              <w:t>.</w:t>
            </w:r>
            <w:r w:rsidRPr="00445472">
              <w:rPr>
                <w:rFonts w:ascii="Garamond" w:hAnsi="Garamond"/>
                <w:lang w:val="sq-AL"/>
              </w:rPr>
              <w:t xml:space="preserve"> Aplikacionet e planifikimit afatgjatë, të cilat përfshijnë futjen e modelit për periudha të gjata (20-30 vjet) me qëllim që të vlerësohet se si do të performohen në terma afatgjatë projektet ose masat e politikave.</w:t>
            </w:r>
          </w:p>
          <w:p w14:paraId="19E7D18C" w14:textId="0C2DDA95" w:rsidR="00E43879" w:rsidRPr="00445472" w:rsidRDefault="00E43879" w:rsidP="008B0B47">
            <w:pPr>
              <w:pStyle w:val="TableTextLeft"/>
              <w:rPr>
                <w:rFonts w:ascii="Garamond" w:hAnsi="Garamond"/>
                <w:lang w:val="sq-AL"/>
              </w:rPr>
            </w:pPr>
            <w:r w:rsidRPr="00445472">
              <w:rPr>
                <w:rFonts w:ascii="Garamond" w:hAnsi="Garamond"/>
                <w:lang w:val="sq-AL"/>
              </w:rPr>
              <w:t>ii</w:t>
            </w:r>
            <w:r w:rsidR="008B0B47" w:rsidRPr="00445472">
              <w:rPr>
                <w:rFonts w:ascii="Garamond" w:hAnsi="Garamond"/>
                <w:lang w:val="sq-AL"/>
              </w:rPr>
              <w:t>.</w:t>
            </w:r>
            <w:r w:rsidRPr="00445472">
              <w:rPr>
                <w:rFonts w:ascii="Garamond" w:hAnsi="Garamond"/>
                <w:lang w:val="sq-AL"/>
              </w:rPr>
              <w:t xml:space="preserve"> Aplikacionet operacionale, ku përfshihet përdorimi i modelit për të ndihmuar në operacionet e sistemit në shkallë sezonale ose më të shkurtër kohe. Modelet operacionale zgjasin deri në një vit për të ndihmuar në marrjen e vendimeve për përdorimin e ujit dhe për të siguruar informacion për përdoruesit e ujit.</w:t>
            </w:r>
          </w:p>
        </w:tc>
      </w:tr>
      <w:tr w:rsidR="00E43879" w:rsidRPr="00445472" w14:paraId="0B7F7608" w14:textId="77777777" w:rsidTr="00E43879">
        <w:trPr>
          <w:jc w:val="center"/>
        </w:trPr>
        <w:tc>
          <w:tcPr>
            <w:tcW w:w="0" w:type="pct"/>
            <w:shd w:val="clear" w:color="auto" w:fill="auto"/>
            <w:vAlign w:val="center"/>
            <w:hideMark/>
          </w:tcPr>
          <w:p w14:paraId="6528D97E" w14:textId="77777777" w:rsidR="00E43879" w:rsidRPr="00445472" w:rsidRDefault="00E43879" w:rsidP="002A1F08">
            <w:pPr>
              <w:pStyle w:val="TableTextLeft"/>
              <w:rPr>
                <w:rFonts w:ascii="Garamond" w:hAnsi="Garamond"/>
                <w:lang w:val="sq-AL"/>
              </w:rPr>
            </w:pPr>
            <w:r w:rsidRPr="00445472">
              <w:rPr>
                <w:rFonts w:ascii="Garamond" w:hAnsi="Garamond"/>
                <w:lang w:val="sq-AL"/>
              </w:rPr>
              <w:t>Përcaktimi i masave të rezistencës ndaj ndryshimeve klimatike</w:t>
            </w:r>
          </w:p>
          <w:p w14:paraId="6B2CADAF" w14:textId="77777777" w:rsidR="00E43879" w:rsidRPr="00445472" w:rsidRDefault="00E43879" w:rsidP="002A1F08">
            <w:pPr>
              <w:pStyle w:val="TableTextLeft"/>
              <w:rPr>
                <w:rFonts w:ascii="Garamond" w:hAnsi="Garamond"/>
                <w:lang w:val="sq-AL"/>
              </w:rPr>
            </w:pPr>
            <w:r w:rsidRPr="00445472">
              <w:rPr>
                <w:rFonts w:ascii="Garamond" w:hAnsi="Garamond"/>
                <w:lang w:val="sq-AL"/>
              </w:rPr>
              <w:t>(gjithashtu lidhur me cilësinë)</w:t>
            </w:r>
          </w:p>
        </w:tc>
        <w:tc>
          <w:tcPr>
            <w:tcW w:w="0" w:type="pct"/>
            <w:shd w:val="clear" w:color="auto" w:fill="auto"/>
            <w:vAlign w:val="center"/>
            <w:hideMark/>
          </w:tcPr>
          <w:p w14:paraId="2C0FF688" w14:textId="77777777" w:rsidR="00E43879" w:rsidRPr="00445472" w:rsidRDefault="00E43879" w:rsidP="002A1F08">
            <w:pPr>
              <w:pStyle w:val="TableTextLeft"/>
              <w:rPr>
                <w:rFonts w:ascii="Garamond" w:hAnsi="Garamond"/>
                <w:lang w:val="sq-AL"/>
              </w:rPr>
            </w:pPr>
            <w:r w:rsidRPr="00445472">
              <w:rPr>
                <w:rFonts w:ascii="Garamond" w:hAnsi="Garamond"/>
                <w:lang w:val="sq-AL"/>
              </w:rPr>
              <w:t>PM-të përputhen me legjislacionin e BE-së për Ndryshimet Klimatike</w:t>
            </w:r>
          </w:p>
        </w:tc>
        <w:tc>
          <w:tcPr>
            <w:tcW w:w="0" w:type="pct"/>
            <w:shd w:val="clear" w:color="auto" w:fill="auto"/>
            <w:vAlign w:val="center"/>
            <w:hideMark/>
          </w:tcPr>
          <w:p w14:paraId="7B717EDE"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të hartuara të brendshme ose të jashtme</w:t>
            </w:r>
            <w:r w:rsidRPr="00445472">
              <w:rPr>
                <w:rFonts w:ascii="Garamond" w:hAnsi="Garamond"/>
                <w:vertAlign w:val="superscript"/>
                <w:lang w:val="sq-AL"/>
              </w:rPr>
              <w:footnoteReference w:id="223"/>
            </w:r>
          </w:p>
        </w:tc>
        <w:tc>
          <w:tcPr>
            <w:tcW w:w="0" w:type="pct"/>
            <w:shd w:val="clear" w:color="auto" w:fill="auto"/>
            <w:vAlign w:val="center"/>
            <w:hideMark/>
          </w:tcPr>
          <w:p w14:paraId="4C1D0515"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w:t>
            </w:r>
          </w:p>
        </w:tc>
        <w:tc>
          <w:tcPr>
            <w:tcW w:w="0" w:type="pct"/>
            <w:shd w:val="clear" w:color="auto" w:fill="auto"/>
            <w:vAlign w:val="center"/>
          </w:tcPr>
          <w:p w14:paraId="1058C8FA" w14:textId="7066DE94" w:rsidR="00E43879" w:rsidRPr="00445472" w:rsidRDefault="00E43879" w:rsidP="002A1F08">
            <w:pPr>
              <w:pStyle w:val="TableTextLeft"/>
              <w:rPr>
                <w:rFonts w:ascii="Garamond" w:hAnsi="Garamond"/>
                <w:lang w:val="sq-AL"/>
              </w:rPr>
            </w:pPr>
            <w:r w:rsidRPr="00445472">
              <w:rPr>
                <w:rFonts w:ascii="Garamond" w:hAnsi="Garamond"/>
                <w:lang w:val="sq-AL"/>
              </w:rPr>
              <w:t xml:space="preserve">Trajnimi teknik i stafit kyç për përdorimin e modelit </w:t>
            </w:r>
            <w:r w:rsidR="008B0B47" w:rsidRPr="00445472">
              <w:rPr>
                <w:rFonts w:ascii="Garamond" w:hAnsi="Garamond"/>
                <w:lang w:val="sq-AL"/>
              </w:rPr>
              <w:t xml:space="preserve">Mike Hydro </w:t>
            </w:r>
            <w:r w:rsidRPr="00445472">
              <w:rPr>
                <w:rFonts w:ascii="Garamond" w:hAnsi="Garamond"/>
                <w:lang w:val="sq-AL"/>
              </w:rPr>
              <w:t>në zhvillimin e skenarëve të ardhshëm për planifikim afatgjatë. Kjo do të duhet të zhvillohet paralelisht me trajnime specifike teknike në modelimin e ndryshimeve klimatike.</w:t>
            </w:r>
          </w:p>
          <w:p w14:paraId="3922EA33" w14:textId="77777777" w:rsidR="00E43879" w:rsidRPr="00445472" w:rsidRDefault="00E43879" w:rsidP="002A1F08">
            <w:pPr>
              <w:pStyle w:val="TableTextLeft"/>
              <w:rPr>
                <w:rFonts w:ascii="Garamond" w:hAnsi="Garamond"/>
                <w:lang w:val="sq-AL"/>
              </w:rPr>
            </w:pPr>
          </w:p>
        </w:tc>
      </w:tr>
      <w:tr w:rsidR="00E43879" w:rsidRPr="00445472" w14:paraId="0D8C85BC" w14:textId="77777777" w:rsidTr="00E43879">
        <w:trPr>
          <w:jc w:val="center"/>
        </w:trPr>
        <w:tc>
          <w:tcPr>
            <w:tcW w:w="0" w:type="pct"/>
            <w:shd w:val="clear" w:color="auto" w:fill="auto"/>
            <w:vAlign w:val="center"/>
            <w:hideMark/>
          </w:tcPr>
          <w:p w14:paraId="33DFB9AB" w14:textId="77777777" w:rsidR="00E43879" w:rsidRPr="00445472" w:rsidRDefault="00E43879" w:rsidP="002A1F08">
            <w:pPr>
              <w:pStyle w:val="TableTextLeft"/>
              <w:rPr>
                <w:rFonts w:ascii="Garamond" w:hAnsi="Garamond"/>
                <w:lang w:val="sq-AL"/>
              </w:rPr>
            </w:pPr>
            <w:r w:rsidRPr="00445472">
              <w:rPr>
                <w:rFonts w:ascii="Garamond" w:hAnsi="Garamond"/>
                <w:lang w:val="sq-AL"/>
              </w:rPr>
              <w:t>Përmirësimi i shpërndarjes së ujit (infrastruktura) dhe marrja e masave konservative për alokimin efikas dhe me barazi të ujit</w:t>
            </w:r>
          </w:p>
        </w:tc>
        <w:tc>
          <w:tcPr>
            <w:tcW w:w="0" w:type="pct"/>
            <w:shd w:val="clear" w:color="auto" w:fill="auto"/>
            <w:vAlign w:val="center"/>
            <w:hideMark/>
          </w:tcPr>
          <w:p w14:paraId="28E2A7C5" w14:textId="77777777" w:rsidR="00E43879" w:rsidRPr="00445472" w:rsidRDefault="00E43879" w:rsidP="002A1F08">
            <w:pPr>
              <w:pStyle w:val="TableTextLeft"/>
              <w:rPr>
                <w:rFonts w:ascii="Garamond" w:hAnsi="Garamond"/>
                <w:lang w:val="sq-AL"/>
              </w:rPr>
            </w:pPr>
            <w:r w:rsidRPr="00445472">
              <w:rPr>
                <w:rFonts w:ascii="Garamond" w:hAnsi="Garamond"/>
                <w:lang w:val="sq-AL"/>
              </w:rPr>
              <w:t>Përmirësimi i Infrastrukturës</w:t>
            </w:r>
          </w:p>
          <w:p w14:paraId="1A4AF175" w14:textId="77777777" w:rsidR="00E43879" w:rsidRPr="00445472" w:rsidRDefault="00E43879" w:rsidP="002A1F08">
            <w:pPr>
              <w:pStyle w:val="TableTextLeft"/>
              <w:rPr>
                <w:rFonts w:ascii="Garamond" w:hAnsi="Garamond"/>
                <w:lang w:val="sq-AL"/>
              </w:rPr>
            </w:pPr>
            <w:r w:rsidRPr="00445472">
              <w:rPr>
                <w:rFonts w:ascii="Garamond" w:hAnsi="Garamond"/>
                <w:lang w:val="sq-AL"/>
              </w:rPr>
              <w:t>Përdorimi i ujit në mënyrë më efikase</w:t>
            </w:r>
          </w:p>
          <w:p w14:paraId="481DD485" w14:textId="393BA818" w:rsidR="00E43879" w:rsidRPr="00445472" w:rsidRDefault="00E43879" w:rsidP="002A1F08">
            <w:pPr>
              <w:pStyle w:val="TableTextLeft"/>
              <w:rPr>
                <w:rFonts w:ascii="Garamond" w:hAnsi="Garamond"/>
                <w:lang w:val="sq-AL"/>
              </w:rPr>
            </w:pPr>
            <w:r w:rsidRPr="00445472">
              <w:rPr>
                <w:rFonts w:ascii="Garamond" w:hAnsi="Garamond"/>
                <w:lang w:val="sq-AL"/>
              </w:rPr>
              <w:t xml:space="preserve">Nis menaxhimi bazuar në kërkesën </w:t>
            </w:r>
            <w:r w:rsidR="008B0B47" w:rsidRPr="00445472">
              <w:rPr>
                <w:rFonts w:ascii="Garamond" w:hAnsi="Garamond"/>
                <w:lang w:val="sq-AL"/>
              </w:rPr>
              <w:t>për</w:t>
            </w:r>
            <w:r w:rsidRPr="00445472">
              <w:rPr>
                <w:rFonts w:ascii="Garamond" w:hAnsi="Garamond"/>
                <w:lang w:val="sq-AL"/>
              </w:rPr>
              <w:t xml:space="preserve"> ujë;</w:t>
            </w:r>
          </w:p>
          <w:p w14:paraId="3B6EC2F1" w14:textId="77777777" w:rsidR="00E43879" w:rsidRPr="00445472" w:rsidRDefault="00E43879" w:rsidP="002A1F08">
            <w:pPr>
              <w:pStyle w:val="TableTextLeft"/>
              <w:rPr>
                <w:rFonts w:ascii="Garamond" w:hAnsi="Garamond"/>
                <w:lang w:val="sq-AL"/>
              </w:rPr>
            </w:pPr>
            <w:r w:rsidRPr="00445472">
              <w:rPr>
                <w:rFonts w:ascii="Garamond" w:hAnsi="Garamond"/>
                <w:lang w:val="sq-AL"/>
              </w:rPr>
              <w:t>Përdorimi i ujit (i jepet përparësi e lartë ujit të pijshëm) si prioritet</w:t>
            </w:r>
          </w:p>
        </w:tc>
        <w:tc>
          <w:tcPr>
            <w:tcW w:w="0" w:type="pct"/>
            <w:shd w:val="clear" w:color="auto" w:fill="auto"/>
            <w:vAlign w:val="center"/>
            <w:hideMark/>
          </w:tcPr>
          <w:p w14:paraId="23395C1D"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PMBU, Dokumentacion projekti, Raporte vjetore të brendshme të MBU </w:t>
            </w:r>
          </w:p>
          <w:p w14:paraId="6A8F7FBA" w14:textId="77777777" w:rsidR="00E43879" w:rsidRPr="00445472" w:rsidRDefault="00E43879" w:rsidP="002A1F08">
            <w:pPr>
              <w:pStyle w:val="TableTextLeft"/>
              <w:rPr>
                <w:rFonts w:ascii="Garamond" w:hAnsi="Garamond"/>
                <w:lang w:val="sq-AL"/>
              </w:rPr>
            </w:pPr>
            <w:r w:rsidRPr="00445472">
              <w:rPr>
                <w:rFonts w:ascii="Garamond" w:hAnsi="Garamond"/>
                <w:lang w:val="sq-AL"/>
              </w:rPr>
              <w:t>Çështjet që lidhen me Ujin, në PMZM</w:t>
            </w:r>
          </w:p>
        </w:tc>
        <w:tc>
          <w:tcPr>
            <w:tcW w:w="0" w:type="pct"/>
            <w:shd w:val="clear" w:color="auto" w:fill="auto"/>
            <w:vAlign w:val="center"/>
            <w:hideMark/>
          </w:tcPr>
          <w:p w14:paraId="1E23EF72" w14:textId="77777777" w:rsidR="00E43879" w:rsidRPr="00445472" w:rsidRDefault="00E43879" w:rsidP="002A1F08">
            <w:pPr>
              <w:pStyle w:val="TableTextLeft"/>
              <w:rPr>
                <w:rFonts w:ascii="Garamond" w:hAnsi="Garamond"/>
                <w:lang w:val="sq-AL"/>
              </w:rPr>
            </w:pPr>
            <w:r w:rsidRPr="00445472">
              <w:rPr>
                <w:rFonts w:ascii="Garamond" w:hAnsi="Garamond"/>
                <w:lang w:val="sq-AL"/>
              </w:rPr>
              <w:t>Organet përgjegjëse për administrimin dhe menaxhimin e burimeve ujore, Prefekturat,  autoritetet vendore</w:t>
            </w:r>
          </w:p>
        </w:tc>
        <w:tc>
          <w:tcPr>
            <w:tcW w:w="0" w:type="pct"/>
            <w:shd w:val="clear" w:color="auto" w:fill="auto"/>
            <w:vAlign w:val="center"/>
          </w:tcPr>
          <w:p w14:paraId="63A598F7" w14:textId="3FACB658" w:rsidR="00E43879" w:rsidRPr="00445472" w:rsidRDefault="008B0B47" w:rsidP="002A1F08">
            <w:pPr>
              <w:pStyle w:val="TableTextLeft"/>
              <w:rPr>
                <w:rFonts w:ascii="Garamond" w:hAnsi="Garamond"/>
                <w:lang w:val="sq-AL"/>
              </w:rPr>
            </w:pPr>
            <w:r w:rsidRPr="00445472">
              <w:rPr>
                <w:rFonts w:ascii="Garamond" w:hAnsi="Garamond"/>
                <w:lang w:val="sq-AL"/>
              </w:rPr>
              <w:t>T</w:t>
            </w:r>
            <w:r w:rsidR="00E43879" w:rsidRPr="00445472">
              <w:rPr>
                <w:rFonts w:ascii="Garamond" w:hAnsi="Garamond"/>
                <w:lang w:val="sq-AL"/>
              </w:rPr>
              <w:t xml:space="preserve">rajnimi teknik i stafit kyç për modelin </w:t>
            </w:r>
            <w:r w:rsidR="006302B2" w:rsidRPr="00445472">
              <w:rPr>
                <w:rFonts w:ascii="Garamond" w:hAnsi="Garamond"/>
                <w:lang w:val="sq-AL"/>
              </w:rPr>
              <w:t xml:space="preserve">Mike Hydro </w:t>
            </w:r>
            <w:r w:rsidR="00E43879" w:rsidRPr="00445472">
              <w:rPr>
                <w:rFonts w:ascii="Garamond" w:hAnsi="Garamond"/>
                <w:lang w:val="sq-AL"/>
              </w:rPr>
              <w:t>nën aplikimet operacionale afatshkurtra për të përcaktuar:</w:t>
            </w:r>
          </w:p>
          <w:p w14:paraId="62EA308B" w14:textId="19ED7906"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Parashikimin e disponueshmërisë së ujit të ujitjes për një sezon në rritje.</w:t>
            </w:r>
          </w:p>
          <w:p w14:paraId="4D552527" w14:textId="69D4A658"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Vlerësimin e sasisë së ujit që mund të devijohet për ujitje gjatë një sezoni të ardhshëm në rritje, duke pasur parasysh kufizimet mjedisore.</w:t>
            </w:r>
          </w:p>
          <w:p w14:paraId="567F2F25" w14:textId="479A0B63"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Planifikimin e operacioneve të hidrocentraleve, duke pasur parasysh parashikimet e ngarkesës, kapacitetin gjenerues, nevojat e ujitjes në drejtim të rrymës dhe kërkesat për ujin për mjedisin.</w:t>
            </w:r>
          </w:p>
          <w:p w14:paraId="68408072" w14:textId="39D26927"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Parashikimin sezonal të përdorimit të ujit (qershor-shtator). Hetimet e mëtejshme hidrogjeologjike për të përcaktuar disponueshmërinë e plotë dhe të vërtetë të burimeve të ujërave nëntokësore në kuptim e sasisë dhe cilësisë. Duhet të iniciohet zhvillimi i infrastrukturës, siç propozohet në PM, në përputhje me PKSU-në.</w:t>
            </w:r>
          </w:p>
        </w:tc>
      </w:tr>
      <w:tr w:rsidR="00E43879" w:rsidRPr="00445472" w14:paraId="22185154" w14:textId="77777777" w:rsidTr="00E43879">
        <w:trPr>
          <w:jc w:val="center"/>
        </w:trPr>
        <w:tc>
          <w:tcPr>
            <w:tcW w:w="0" w:type="pct"/>
            <w:shd w:val="clear" w:color="auto" w:fill="auto"/>
            <w:vAlign w:val="center"/>
          </w:tcPr>
          <w:p w14:paraId="62F33B7C"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Arritja e shpërndarjes së barabartë të përfitimeve </w:t>
            </w:r>
          </w:p>
          <w:p w14:paraId="283DFB1C" w14:textId="77777777" w:rsidR="00E43879" w:rsidRPr="00445472" w:rsidRDefault="00E43879" w:rsidP="002A1F08">
            <w:pPr>
              <w:pStyle w:val="TableTextLeft"/>
              <w:rPr>
                <w:rFonts w:ascii="Garamond" w:hAnsi="Garamond"/>
                <w:lang w:val="sq-AL"/>
              </w:rPr>
            </w:pPr>
          </w:p>
        </w:tc>
        <w:tc>
          <w:tcPr>
            <w:tcW w:w="0" w:type="pct"/>
            <w:shd w:val="clear" w:color="auto" w:fill="auto"/>
            <w:vAlign w:val="center"/>
          </w:tcPr>
          <w:p w14:paraId="6CD72CB2" w14:textId="77777777" w:rsidR="00E43879" w:rsidRPr="00445472" w:rsidRDefault="00E43879" w:rsidP="002A1F08">
            <w:pPr>
              <w:pStyle w:val="TableTextLeft"/>
              <w:rPr>
                <w:rFonts w:ascii="Garamond" w:hAnsi="Garamond"/>
                <w:lang w:val="sq-AL"/>
              </w:rPr>
            </w:pPr>
            <w:r w:rsidRPr="00445472">
              <w:rPr>
                <w:rFonts w:ascii="Garamond" w:hAnsi="Garamond"/>
                <w:lang w:val="sq-AL"/>
              </w:rPr>
              <w:t>Investimeve u jepet përparësi bazuar në nevoja sociale dhe vlerësime ekonomike</w:t>
            </w:r>
          </w:p>
          <w:p w14:paraId="15DAAC77"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projekteve në zonat e pa privilegjuara</w:t>
            </w:r>
          </w:p>
          <w:p w14:paraId="01171831" w14:textId="689B3BCC" w:rsidR="00E43879" w:rsidRPr="00445472" w:rsidRDefault="00E43879" w:rsidP="002A1F08">
            <w:pPr>
              <w:pStyle w:val="TableTextLeft"/>
              <w:rPr>
                <w:rFonts w:ascii="Garamond" w:hAnsi="Garamond"/>
                <w:lang w:val="sq-AL"/>
              </w:rPr>
            </w:pPr>
            <w:r w:rsidRPr="00445472">
              <w:rPr>
                <w:rFonts w:ascii="Garamond" w:hAnsi="Garamond"/>
                <w:lang w:val="sq-AL"/>
              </w:rPr>
              <w:t xml:space="preserve">Prioritarizimi i investimeve bazuar në vlerësimin e vullnetit për të paguar për F dhe M (ndarë sipas gjinisë, moshës dhe </w:t>
            </w:r>
            <w:r w:rsidR="008E14CA" w:rsidRPr="00445472">
              <w:rPr>
                <w:rFonts w:ascii="Garamond" w:hAnsi="Garamond"/>
                <w:lang w:val="sq-AL"/>
              </w:rPr>
              <w:t>vendndodhje</w:t>
            </w:r>
            <w:r w:rsidRPr="00445472">
              <w:rPr>
                <w:rFonts w:ascii="Garamond" w:hAnsi="Garamond"/>
                <w:lang w:val="sq-AL"/>
              </w:rPr>
              <w:t>s)</w:t>
            </w:r>
          </w:p>
        </w:tc>
        <w:tc>
          <w:tcPr>
            <w:tcW w:w="0" w:type="pct"/>
            <w:shd w:val="clear" w:color="auto" w:fill="auto"/>
            <w:vAlign w:val="center"/>
            <w:hideMark/>
          </w:tcPr>
          <w:p w14:paraId="6E07C3CC" w14:textId="229C083E" w:rsidR="00E43879" w:rsidRPr="00445472" w:rsidRDefault="00E43879" w:rsidP="002A1F08">
            <w:pPr>
              <w:pStyle w:val="TableTextLeft"/>
              <w:rPr>
                <w:rFonts w:ascii="Garamond" w:hAnsi="Garamond"/>
                <w:lang w:val="sq-AL"/>
              </w:rPr>
            </w:pPr>
            <w:r w:rsidRPr="00445472">
              <w:rPr>
                <w:rFonts w:ascii="Garamond" w:hAnsi="Garamond"/>
                <w:lang w:val="sq-AL"/>
              </w:rPr>
              <w:t>Treguesit social</w:t>
            </w:r>
            <w:r w:rsidR="006302B2" w:rsidRPr="00445472">
              <w:rPr>
                <w:rFonts w:ascii="Garamond" w:hAnsi="Garamond"/>
                <w:lang w:val="sq-AL"/>
              </w:rPr>
              <w:t>-</w:t>
            </w:r>
            <w:r w:rsidRPr="00445472">
              <w:rPr>
                <w:rFonts w:ascii="Garamond" w:hAnsi="Garamond"/>
                <w:lang w:val="sq-AL"/>
              </w:rPr>
              <w:t>ekonomik</w:t>
            </w:r>
            <w:r w:rsidR="006302B2" w:rsidRPr="00445472">
              <w:rPr>
                <w:rFonts w:ascii="Garamond" w:hAnsi="Garamond"/>
                <w:lang w:val="sq-AL"/>
              </w:rPr>
              <w:t>ë</w:t>
            </w:r>
            <w:r w:rsidRPr="00445472">
              <w:rPr>
                <w:rFonts w:ascii="Garamond" w:hAnsi="Garamond"/>
                <w:lang w:val="sq-AL"/>
              </w:rPr>
              <w:t xml:space="preserve"> të INSTAT</w:t>
            </w:r>
          </w:p>
          <w:p w14:paraId="3AEF6B90" w14:textId="77777777" w:rsidR="00E43879" w:rsidRPr="00445472" w:rsidRDefault="00E43879" w:rsidP="002A1F08">
            <w:pPr>
              <w:pStyle w:val="TableTextLeft"/>
              <w:rPr>
                <w:rFonts w:ascii="Garamond" w:hAnsi="Garamond"/>
                <w:lang w:val="sq-AL"/>
              </w:rPr>
            </w:pPr>
            <w:r w:rsidRPr="00445472">
              <w:rPr>
                <w:rFonts w:ascii="Garamond" w:hAnsi="Garamond"/>
                <w:lang w:val="sq-AL"/>
              </w:rPr>
              <w:t>PMBU</w:t>
            </w:r>
          </w:p>
          <w:p w14:paraId="0DFE3B79" w14:textId="77777777" w:rsidR="00E43879" w:rsidRPr="00445472" w:rsidRDefault="00E43879" w:rsidP="002A1F08">
            <w:pPr>
              <w:pStyle w:val="TableTextLeft"/>
              <w:rPr>
                <w:rFonts w:ascii="Garamond" w:hAnsi="Garamond"/>
                <w:lang w:val="sq-AL"/>
              </w:rPr>
            </w:pPr>
            <w:r w:rsidRPr="00445472">
              <w:rPr>
                <w:rFonts w:ascii="Garamond" w:hAnsi="Garamond"/>
                <w:lang w:val="sq-AL"/>
              </w:rPr>
              <w:t>Raportet e Planeve Sektoriale</w:t>
            </w:r>
          </w:p>
          <w:p w14:paraId="6D3C415C" w14:textId="77777777" w:rsidR="00E43879" w:rsidRPr="00445472" w:rsidRDefault="00E43879" w:rsidP="002A1F08">
            <w:pPr>
              <w:pStyle w:val="TableTextLeft"/>
              <w:rPr>
                <w:rFonts w:ascii="Garamond" w:hAnsi="Garamond"/>
                <w:lang w:val="sq-AL"/>
              </w:rPr>
            </w:pPr>
            <w:r w:rsidRPr="00445472">
              <w:rPr>
                <w:rFonts w:ascii="Garamond" w:hAnsi="Garamond"/>
                <w:lang w:val="sq-AL"/>
              </w:rPr>
              <w:t>Studime Sociale Bazike (përfshirë gjininë)</w:t>
            </w:r>
          </w:p>
        </w:tc>
        <w:tc>
          <w:tcPr>
            <w:tcW w:w="0" w:type="pct"/>
            <w:shd w:val="clear" w:color="auto" w:fill="auto"/>
            <w:vAlign w:val="center"/>
            <w:hideMark/>
          </w:tcPr>
          <w:p w14:paraId="3BA44D4D"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 në bashkëpunim me ministritë e linjës, OJQ-të, prefekturat, autoritetet vendore</w:t>
            </w:r>
          </w:p>
        </w:tc>
        <w:tc>
          <w:tcPr>
            <w:tcW w:w="0" w:type="pct"/>
            <w:shd w:val="clear" w:color="auto" w:fill="auto"/>
            <w:vAlign w:val="center"/>
          </w:tcPr>
          <w:p w14:paraId="29364596" w14:textId="69BAEFE6" w:rsidR="00E43879" w:rsidRPr="00445472" w:rsidRDefault="00E43879" w:rsidP="002A1F08">
            <w:pPr>
              <w:pStyle w:val="TableTextLeft"/>
              <w:rPr>
                <w:rFonts w:ascii="Garamond" w:hAnsi="Garamond"/>
                <w:lang w:val="sq-AL"/>
              </w:rPr>
            </w:pPr>
            <w:r w:rsidRPr="00445472">
              <w:rPr>
                <w:rFonts w:ascii="Garamond" w:hAnsi="Garamond"/>
                <w:lang w:val="sq-AL"/>
              </w:rPr>
              <w:t xml:space="preserve">Marrëveshja e kritereve prioritare për zhvillimin e infrastrukturës, siç propozohet në PM, në përputhje me PKSU-në. Kriteret duhet të marrin parasysh politikat afatgjata për përdorimin e ujit dhe zhvillimin e planifikuar sektorial. Të gjitha planet kërkojnë vlerësim të pavarur teknik dhe duhet </w:t>
            </w:r>
            <w:r w:rsidR="001F68B2" w:rsidRPr="00445472">
              <w:rPr>
                <w:rFonts w:ascii="Garamond" w:hAnsi="Garamond"/>
                <w:lang w:val="sq-AL"/>
              </w:rPr>
              <w:t>t’i</w:t>
            </w:r>
            <w:r w:rsidRPr="00445472">
              <w:rPr>
                <w:rFonts w:ascii="Garamond" w:hAnsi="Garamond"/>
                <w:lang w:val="sq-AL"/>
              </w:rPr>
              <w:t xml:space="preserve"> nënshtrohen konsultimeve publike në fazën më të hershme.</w:t>
            </w:r>
          </w:p>
        </w:tc>
      </w:tr>
      <w:tr w:rsidR="00E43879" w:rsidRPr="00445472" w14:paraId="2B5C5DE9" w14:textId="77777777" w:rsidTr="00E43879">
        <w:trPr>
          <w:jc w:val="center"/>
        </w:trPr>
        <w:tc>
          <w:tcPr>
            <w:tcW w:w="0" w:type="pct"/>
            <w:shd w:val="clear" w:color="auto" w:fill="auto"/>
            <w:vAlign w:val="center"/>
            <w:hideMark/>
          </w:tcPr>
          <w:p w14:paraId="19F4C215" w14:textId="77777777" w:rsidR="00E43879" w:rsidRPr="00445472" w:rsidRDefault="00E43879" w:rsidP="002A1F08">
            <w:pPr>
              <w:pStyle w:val="TableTextLeft"/>
              <w:rPr>
                <w:rFonts w:ascii="Garamond" w:hAnsi="Garamond"/>
                <w:lang w:val="sq-AL"/>
              </w:rPr>
            </w:pPr>
            <w:r w:rsidRPr="00445472">
              <w:rPr>
                <w:rFonts w:ascii="Garamond" w:hAnsi="Garamond"/>
                <w:lang w:val="sq-AL"/>
              </w:rPr>
              <w:t>Sigurimi i përfshirjes publike informimit dhe debatit (në kuadrin e qeverisjes së ujit)</w:t>
            </w:r>
          </w:p>
        </w:tc>
        <w:tc>
          <w:tcPr>
            <w:tcW w:w="0" w:type="pct"/>
            <w:shd w:val="clear" w:color="auto" w:fill="auto"/>
            <w:vAlign w:val="center"/>
            <w:hideMark/>
          </w:tcPr>
          <w:p w14:paraId="5DC66CCE" w14:textId="77777777" w:rsidR="00E43879" w:rsidRPr="00445472" w:rsidRDefault="00E43879" w:rsidP="002A1F08">
            <w:pPr>
              <w:pStyle w:val="TableTextLeft"/>
              <w:rPr>
                <w:rFonts w:ascii="Garamond" w:hAnsi="Garamond"/>
                <w:lang w:val="sq-AL"/>
              </w:rPr>
            </w:pPr>
            <w:r w:rsidRPr="00445472">
              <w:rPr>
                <w:rFonts w:ascii="Garamond" w:hAnsi="Garamond"/>
                <w:lang w:val="sq-AL"/>
              </w:rPr>
              <w:t>Mekanizma duke përfshirë pjesëmarrje të barabartë gjinore në konsultimet me publikun dhe në proceset vendimmarrëse</w:t>
            </w:r>
          </w:p>
        </w:tc>
        <w:tc>
          <w:tcPr>
            <w:tcW w:w="0" w:type="pct"/>
            <w:shd w:val="clear" w:color="auto" w:fill="auto"/>
            <w:vAlign w:val="center"/>
            <w:hideMark/>
          </w:tcPr>
          <w:p w14:paraId="2048F820" w14:textId="77777777" w:rsidR="00E43879" w:rsidRPr="00445472" w:rsidRDefault="00E43879" w:rsidP="002A1F08">
            <w:pPr>
              <w:pStyle w:val="TableTextLeft"/>
              <w:rPr>
                <w:rFonts w:ascii="Garamond" w:hAnsi="Garamond"/>
                <w:lang w:val="sq-AL"/>
              </w:rPr>
            </w:pPr>
            <w:r w:rsidRPr="00445472">
              <w:rPr>
                <w:rFonts w:ascii="Garamond" w:hAnsi="Garamond"/>
                <w:lang w:val="sq-AL"/>
              </w:rPr>
              <w:t>Legjislacioni</w:t>
            </w:r>
          </w:p>
          <w:p w14:paraId="2A639C92" w14:textId="77777777" w:rsidR="00E43879" w:rsidRPr="00445472" w:rsidRDefault="00E43879" w:rsidP="002A1F08">
            <w:pPr>
              <w:pStyle w:val="TableTextLeft"/>
              <w:rPr>
                <w:rFonts w:ascii="Garamond" w:hAnsi="Garamond"/>
                <w:lang w:val="sq-AL"/>
              </w:rPr>
            </w:pPr>
            <w:r w:rsidRPr="00445472">
              <w:rPr>
                <w:rFonts w:ascii="Garamond" w:hAnsi="Garamond"/>
                <w:lang w:val="sq-AL"/>
              </w:rPr>
              <w:t>këshillime raportim</w:t>
            </w:r>
          </w:p>
        </w:tc>
        <w:tc>
          <w:tcPr>
            <w:tcW w:w="0" w:type="pct"/>
            <w:shd w:val="clear" w:color="auto" w:fill="auto"/>
            <w:vAlign w:val="center"/>
            <w:hideMark/>
          </w:tcPr>
          <w:p w14:paraId="4A7A68AD" w14:textId="77777777" w:rsidR="00E43879" w:rsidRPr="00445472" w:rsidRDefault="00E43879" w:rsidP="002A1F08">
            <w:pPr>
              <w:pStyle w:val="TableTextLeft"/>
              <w:rPr>
                <w:rFonts w:ascii="Garamond" w:hAnsi="Garamond"/>
                <w:lang w:val="sq-AL"/>
              </w:rPr>
            </w:pPr>
            <w:r w:rsidRPr="00445472">
              <w:rPr>
                <w:rFonts w:ascii="Garamond" w:hAnsi="Garamond"/>
                <w:lang w:val="sq-AL"/>
              </w:rPr>
              <w:t>Zyrat e Administrimit të Baseneve Ujore, prefekturat, në bashkëpunim me autoritetet vendore</w:t>
            </w:r>
          </w:p>
        </w:tc>
        <w:tc>
          <w:tcPr>
            <w:tcW w:w="0" w:type="pct"/>
            <w:shd w:val="clear" w:color="auto" w:fill="auto"/>
            <w:vAlign w:val="center"/>
          </w:tcPr>
          <w:p w14:paraId="550E944E" w14:textId="334E387A" w:rsidR="00E43879" w:rsidRPr="00445472" w:rsidRDefault="00E43879" w:rsidP="002A1F08">
            <w:pPr>
              <w:pStyle w:val="TableTextLeft"/>
              <w:rPr>
                <w:rFonts w:ascii="Garamond" w:hAnsi="Garamond"/>
                <w:lang w:val="sq-AL"/>
              </w:rPr>
            </w:pPr>
            <w:r w:rsidRPr="00445472">
              <w:rPr>
                <w:rFonts w:ascii="Garamond" w:hAnsi="Garamond"/>
                <w:lang w:val="sq-AL"/>
              </w:rPr>
              <w:t xml:space="preserve">Ndërmerrni veprimet e propozuara të përfshira në planin e njohjes me PMBU-të për të siguruar informacion për të gjithë aktorët. Të sigurohet pjesëmarrja dhe </w:t>
            </w:r>
            <w:r w:rsidR="008B0B47" w:rsidRPr="00445472">
              <w:rPr>
                <w:rFonts w:ascii="Garamond" w:hAnsi="Garamond"/>
                <w:lang w:val="sq-AL"/>
              </w:rPr>
              <w:t>regjistrimi</w:t>
            </w:r>
            <w:r w:rsidRPr="00445472">
              <w:rPr>
                <w:rFonts w:ascii="Garamond" w:hAnsi="Garamond"/>
                <w:lang w:val="sq-AL"/>
              </w:rPr>
              <w:t xml:space="preserve"> i publikut dhe reagimet në të gjitha çështjet që lidhen me menaxhimin e burimeve ujore dhe me çështjet e ndjeshme gjinore. Ndiqni të gjitha udhëzimet për veprimet e propozuara në planin njohjes me PMBU-ve.</w:t>
            </w:r>
          </w:p>
        </w:tc>
      </w:tr>
    </w:tbl>
    <w:p w14:paraId="4AAECE1B" w14:textId="77777777" w:rsidR="00E43879" w:rsidRPr="00445472" w:rsidRDefault="00E43879" w:rsidP="00E43879">
      <w:pPr>
        <w:rPr>
          <w:rFonts w:ascii="Garamond" w:hAnsi="Garamond"/>
          <w:b/>
        </w:rPr>
      </w:pPr>
    </w:p>
    <w:p w14:paraId="2F25BEE0" w14:textId="77777777" w:rsidR="00E43879" w:rsidRPr="00445472" w:rsidRDefault="00E43879" w:rsidP="00E43879">
      <w:pPr>
        <w:rPr>
          <w:rFonts w:ascii="Garamond" w:hAnsi="Garamond"/>
          <w:b/>
        </w:rPr>
      </w:pPr>
    </w:p>
    <w:p w14:paraId="5618526B" w14:textId="77777777" w:rsidR="00E43879" w:rsidRPr="00445472" w:rsidRDefault="00E43879" w:rsidP="00E43879">
      <w:pPr>
        <w:rPr>
          <w:rFonts w:ascii="Garamond" w:hAnsi="Garamond"/>
          <w:b/>
        </w:rPr>
      </w:pPr>
    </w:p>
    <w:p w14:paraId="7E1EB1CD" w14:textId="77777777" w:rsidR="00E43879" w:rsidRPr="00445472" w:rsidRDefault="00E43879" w:rsidP="00E43879">
      <w:pPr>
        <w:rPr>
          <w:rFonts w:ascii="Garamond" w:hAnsi="Garamond"/>
          <w:b/>
        </w:rPr>
      </w:pPr>
    </w:p>
    <w:p w14:paraId="7A980AFE" w14:textId="77777777" w:rsidR="00E43879" w:rsidRPr="00445472" w:rsidRDefault="00E43879" w:rsidP="00E43879">
      <w:pPr>
        <w:rPr>
          <w:rFonts w:ascii="Garamond" w:hAnsi="Garamond"/>
          <w:b/>
        </w:rPr>
      </w:pPr>
    </w:p>
    <w:p w14:paraId="35EAA67D" w14:textId="77777777" w:rsidR="00E43879" w:rsidRPr="00445472" w:rsidRDefault="00E43879" w:rsidP="00E43879">
      <w:pPr>
        <w:rPr>
          <w:rFonts w:ascii="Garamond" w:hAnsi="Garamond"/>
          <w:b/>
        </w:rPr>
      </w:pPr>
    </w:p>
    <w:p w14:paraId="0601D8C3" w14:textId="77777777" w:rsidR="00E43879" w:rsidRPr="00445472" w:rsidRDefault="00E43879" w:rsidP="00E43879">
      <w:pPr>
        <w:rPr>
          <w:rFonts w:ascii="Garamond" w:hAnsi="Garamond"/>
          <w:b/>
        </w:rPr>
      </w:pPr>
    </w:p>
    <w:p w14:paraId="315B043F" w14:textId="77777777" w:rsidR="00E43879" w:rsidRPr="00445472" w:rsidRDefault="00E43879" w:rsidP="00E43879">
      <w:pPr>
        <w:pStyle w:val="NENTITULL"/>
      </w:pPr>
      <w:r w:rsidRPr="00445472">
        <w:t>Tabela 14.3.  Cilësia e ujit</w:t>
      </w:r>
    </w:p>
    <w:tbl>
      <w:tblPr>
        <w:tblW w:w="14459" w:type="dxa"/>
        <w:jc w:val="center"/>
        <w:tblBorders>
          <w:top w:val="single" w:sz="8" w:space="0" w:color="auto"/>
          <w:bottom w:val="single" w:sz="8" w:space="0" w:color="auto"/>
          <w:insideH w:val="single" w:sz="2" w:space="0" w:color="27BDBE"/>
        </w:tblBorders>
        <w:tblLayout w:type="fixed"/>
        <w:tblCellMar>
          <w:left w:w="0" w:type="dxa"/>
          <w:right w:w="0" w:type="dxa"/>
        </w:tblCellMar>
        <w:tblLook w:val="0620" w:firstRow="1" w:lastRow="0" w:firstColumn="0" w:lastColumn="0" w:noHBand="1" w:noVBand="1"/>
      </w:tblPr>
      <w:tblGrid>
        <w:gridCol w:w="2269"/>
        <w:gridCol w:w="3262"/>
        <w:gridCol w:w="1559"/>
        <w:gridCol w:w="2551"/>
        <w:gridCol w:w="4818"/>
      </w:tblGrid>
      <w:tr w:rsidR="00E43879" w:rsidRPr="00445472" w14:paraId="31E76845" w14:textId="77777777" w:rsidTr="00E43879">
        <w:trPr>
          <w:jc w:val="center"/>
        </w:trPr>
        <w:tc>
          <w:tcPr>
            <w:tcW w:w="0" w:type="pct"/>
            <w:tcBorders>
              <w:bottom w:val="single" w:sz="8" w:space="0" w:color="000000"/>
            </w:tcBorders>
            <w:shd w:val="clear" w:color="auto" w:fill="auto"/>
            <w:vAlign w:val="center"/>
            <w:hideMark/>
          </w:tcPr>
          <w:p w14:paraId="0BBEB510" w14:textId="5EF5FE96"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Objektivat strategjik</w:t>
            </w:r>
            <w:r w:rsidR="00504992" w:rsidRPr="00445472">
              <w:rPr>
                <w:rFonts w:ascii="Garamond" w:hAnsi="Garamond"/>
                <w:color w:val="auto"/>
                <w:lang w:val="sq-AL"/>
              </w:rPr>
              <w:t>ë</w:t>
            </w:r>
            <w:r w:rsidRPr="00445472">
              <w:rPr>
                <w:rFonts w:ascii="Garamond" w:hAnsi="Garamond"/>
                <w:color w:val="auto"/>
                <w:vertAlign w:val="superscript"/>
                <w:lang w:val="sq-AL"/>
              </w:rPr>
              <w:footnoteReference w:id="224"/>
            </w:r>
            <w:r w:rsidRPr="00445472">
              <w:rPr>
                <w:rFonts w:ascii="Garamond" w:hAnsi="Garamond"/>
                <w:color w:val="auto"/>
                <w:lang w:val="sq-AL"/>
              </w:rPr>
              <w:t xml:space="preserve"> </w:t>
            </w:r>
          </w:p>
        </w:tc>
        <w:tc>
          <w:tcPr>
            <w:tcW w:w="0" w:type="pct"/>
            <w:tcBorders>
              <w:bottom w:val="single" w:sz="8" w:space="0" w:color="000000"/>
            </w:tcBorders>
            <w:shd w:val="clear" w:color="auto" w:fill="auto"/>
            <w:vAlign w:val="center"/>
            <w:hideMark/>
          </w:tcPr>
          <w:p w14:paraId="2E34E7ED"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Rezultatet kryesore</w:t>
            </w:r>
          </w:p>
        </w:tc>
        <w:tc>
          <w:tcPr>
            <w:tcW w:w="0" w:type="pct"/>
            <w:tcBorders>
              <w:bottom w:val="single" w:sz="8" w:space="0" w:color="000000"/>
            </w:tcBorders>
            <w:shd w:val="clear" w:color="auto" w:fill="auto"/>
            <w:vAlign w:val="center"/>
            <w:hideMark/>
          </w:tcPr>
          <w:p w14:paraId="3EB24305"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Verifikimi</w:t>
            </w:r>
          </w:p>
        </w:tc>
        <w:tc>
          <w:tcPr>
            <w:tcW w:w="0" w:type="pct"/>
            <w:tcBorders>
              <w:bottom w:val="single" w:sz="8" w:space="0" w:color="000000"/>
            </w:tcBorders>
            <w:shd w:val="clear" w:color="auto" w:fill="auto"/>
            <w:vAlign w:val="center"/>
            <w:hideMark/>
          </w:tcPr>
          <w:p w14:paraId="57C1DB13"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Aktorët</w:t>
            </w:r>
          </w:p>
        </w:tc>
        <w:tc>
          <w:tcPr>
            <w:tcW w:w="0" w:type="pct"/>
            <w:tcBorders>
              <w:bottom w:val="single" w:sz="8" w:space="0" w:color="000000"/>
            </w:tcBorders>
            <w:shd w:val="clear" w:color="auto" w:fill="auto"/>
            <w:vAlign w:val="center"/>
            <w:hideMark/>
          </w:tcPr>
          <w:p w14:paraId="42FE53F3"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Rekomandimet për Planifikimin e Menaxhimit të Basenit Ujor</w:t>
            </w:r>
          </w:p>
        </w:tc>
      </w:tr>
      <w:tr w:rsidR="00E43879" w:rsidRPr="00445472" w14:paraId="7CBBD70F" w14:textId="77777777" w:rsidTr="00E43879">
        <w:trPr>
          <w:jc w:val="center"/>
        </w:trPr>
        <w:tc>
          <w:tcPr>
            <w:tcW w:w="785" w:type="pct"/>
            <w:tcBorders>
              <w:top w:val="single" w:sz="8" w:space="0" w:color="000000"/>
            </w:tcBorders>
            <w:shd w:val="clear" w:color="auto" w:fill="auto"/>
            <w:vAlign w:val="center"/>
            <w:hideMark/>
          </w:tcPr>
          <w:p w14:paraId="1597F47D" w14:textId="77777777" w:rsidR="00E43879" w:rsidRPr="00445472" w:rsidRDefault="00E43879" w:rsidP="002A1F08">
            <w:pPr>
              <w:pStyle w:val="TableTextLeft"/>
              <w:rPr>
                <w:rFonts w:ascii="Garamond" w:hAnsi="Garamond"/>
                <w:lang w:val="sq-AL"/>
              </w:rPr>
            </w:pPr>
            <w:r w:rsidRPr="00445472">
              <w:rPr>
                <w:rFonts w:ascii="Garamond" w:hAnsi="Garamond"/>
                <w:lang w:val="sq-AL"/>
              </w:rPr>
              <w:t>Përcaktimi i masave parandaluese ndaj ndryshimeve klimatike</w:t>
            </w:r>
          </w:p>
          <w:p w14:paraId="018B1596" w14:textId="77777777" w:rsidR="00E43879" w:rsidRPr="00445472" w:rsidRDefault="00E43879" w:rsidP="002A1F08">
            <w:pPr>
              <w:pStyle w:val="TableTextLeft"/>
              <w:rPr>
                <w:rFonts w:ascii="Garamond" w:hAnsi="Garamond"/>
                <w:lang w:val="sq-AL"/>
              </w:rPr>
            </w:pPr>
            <w:r w:rsidRPr="00445472">
              <w:rPr>
                <w:rFonts w:ascii="Garamond" w:hAnsi="Garamond"/>
                <w:lang w:val="sq-AL"/>
              </w:rPr>
              <w:t>(gjithashtu lidhur me sasinë e ujit)</w:t>
            </w:r>
          </w:p>
        </w:tc>
        <w:tc>
          <w:tcPr>
            <w:tcW w:w="1128" w:type="pct"/>
            <w:tcBorders>
              <w:top w:val="single" w:sz="8" w:space="0" w:color="000000"/>
            </w:tcBorders>
            <w:shd w:val="clear" w:color="auto" w:fill="auto"/>
            <w:vAlign w:val="center"/>
            <w:hideMark/>
          </w:tcPr>
          <w:p w14:paraId="4FC7DB7B" w14:textId="77777777" w:rsidR="00E43879" w:rsidRPr="00445472" w:rsidRDefault="00E43879" w:rsidP="002A1F08">
            <w:pPr>
              <w:pStyle w:val="TableTextLeft"/>
              <w:rPr>
                <w:rFonts w:ascii="Garamond" w:hAnsi="Garamond"/>
                <w:lang w:val="sq-AL"/>
              </w:rPr>
            </w:pPr>
            <w:r w:rsidRPr="00445472">
              <w:rPr>
                <w:rFonts w:ascii="Garamond" w:hAnsi="Garamond"/>
                <w:lang w:val="sq-AL"/>
              </w:rPr>
              <w:t>PM-të në përputhje me legjislacionin e BE-së për ndryshimet klimatike</w:t>
            </w:r>
          </w:p>
        </w:tc>
        <w:tc>
          <w:tcPr>
            <w:tcW w:w="539" w:type="pct"/>
            <w:tcBorders>
              <w:top w:val="single" w:sz="8" w:space="0" w:color="000000"/>
            </w:tcBorders>
            <w:shd w:val="clear" w:color="auto" w:fill="auto"/>
            <w:vAlign w:val="center"/>
            <w:hideMark/>
          </w:tcPr>
          <w:p w14:paraId="413BDC2B"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Raporte të brendshme ose të jashtme </w:t>
            </w:r>
          </w:p>
        </w:tc>
        <w:tc>
          <w:tcPr>
            <w:tcW w:w="882" w:type="pct"/>
            <w:tcBorders>
              <w:top w:val="single" w:sz="8" w:space="0" w:color="000000"/>
            </w:tcBorders>
            <w:shd w:val="clear" w:color="auto" w:fill="auto"/>
            <w:vAlign w:val="center"/>
            <w:hideMark/>
          </w:tcPr>
          <w:p w14:paraId="307A44CC"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w:t>
            </w:r>
          </w:p>
        </w:tc>
        <w:tc>
          <w:tcPr>
            <w:tcW w:w="1666" w:type="pct"/>
            <w:tcBorders>
              <w:top w:val="single" w:sz="8" w:space="0" w:color="000000"/>
            </w:tcBorders>
            <w:shd w:val="clear" w:color="auto" w:fill="auto"/>
            <w:vAlign w:val="center"/>
            <w:hideMark/>
          </w:tcPr>
          <w:p w14:paraId="5DAE2484" w14:textId="2130B683" w:rsidR="00E43879" w:rsidRPr="00445472" w:rsidRDefault="00E43879" w:rsidP="002A1F08">
            <w:pPr>
              <w:pStyle w:val="TableTextLeft"/>
              <w:rPr>
                <w:rFonts w:ascii="Garamond" w:hAnsi="Garamond"/>
                <w:lang w:val="sq-AL"/>
              </w:rPr>
            </w:pPr>
            <w:r w:rsidRPr="00445472">
              <w:rPr>
                <w:rFonts w:ascii="Garamond" w:hAnsi="Garamond"/>
                <w:lang w:val="sq-AL"/>
              </w:rPr>
              <w:t xml:space="preserve">Trajnim teknik i stafit kyç për modelin </w:t>
            </w:r>
            <w:r w:rsidR="008B0B47" w:rsidRPr="00445472">
              <w:rPr>
                <w:rFonts w:ascii="Garamond" w:hAnsi="Garamond"/>
                <w:lang w:val="sq-AL"/>
              </w:rPr>
              <w:t xml:space="preserve">Mike Hydro </w:t>
            </w:r>
            <w:r w:rsidRPr="00445472">
              <w:rPr>
                <w:rFonts w:ascii="Garamond" w:hAnsi="Garamond"/>
                <w:lang w:val="sq-AL"/>
              </w:rPr>
              <w:t>për përdorim në zhvillimin e skenarëve të ardhshëm për planifikim afatshkurtër</w:t>
            </w:r>
            <w:r w:rsidR="00E14B89">
              <w:rPr>
                <w:rFonts w:ascii="Garamond" w:hAnsi="Garamond"/>
                <w:lang w:val="sq-AL"/>
              </w:rPr>
              <w:t xml:space="preserve"> dhe afatgjatë në të gjitha nën</w:t>
            </w:r>
            <w:r w:rsidRPr="00445472">
              <w:rPr>
                <w:rFonts w:ascii="Garamond" w:hAnsi="Garamond"/>
                <w:lang w:val="sq-AL"/>
              </w:rPr>
              <w:t>pellgjet e basenit ujor. Theksi për cilësinë e ujit duhet të jetë në ruajtjen e rrjedhës ekologjike të mjaftueshme dhe me theks të veçantë në mbrojtjen e grupit trofik të nivelit 1, p</w:t>
            </w:r>
            <w:r w:rsidR="008B0B47" w:rsidRPr="00445472">
              <w:rPr>
                <w:rFonts w:ascii="Garamond" w:hAnsi="Garamond"/>
                <w:lang w:val="sq-AL"/>
              </w:rPr>
              <w:t>.</w:t>
            </w:r>
            <w:r w:rsidRPr="00445472">
              <w:rPr>
                <w:rFonts w:ascii="Garamond" w:hAnsi="Garamond"/>
                <w:lang w:val="sq-AL"/>
              </w:rPr>
              <w:t>sh. peshku.</w:t>
            </w:r>
          </w:p>
        </w:tc>
      </w:tr>
      <w:tr w:rsidR="00E43879" w:rsidRPr="00445472" w14:paraId="5FF56117" w14:textId="77777777" w:rsidTr="00E43879">
        <w:trPr>
          <w:jc w:val="center"/>
        </w:trPr>
        <w:tc>
          <w:tcPr>
            <w:tcW w:w="785" w:type="pct"/>
            <w:shd w:val="clear" w:color="auto" w:fill="auto"/>
            <w:vAlign w:val="center"/>
            <w:hideMark/>
          </w:tcPr>
          <w:p w14:paraId="4D3644FF" w14:textId="77777777" w:rsidR="00E43879" w:rsidRPr="00445472" w:rsidRDefault="00E43879" w:rsidP="002A1F08">
            <w:pPr>
              <w:pStyle w:val="TableTextLeft"/>
              <w:rPr>
                <w:rFonts w:ascii="Garamond" w:hAnsi="Garamond"/>
                <w:lang w:val="sq-AL"/>
              </w:rPr>
            </w:pPr>
            <w:r w:rsidRPr="00445472">
              <w:rPr>
                <w:rFonts w:ascii="Garamond" w:hAnsi="Garamond"/>
                <w:lang w:val="sq-AL"/>
              </w:rPr>
              <w:t>Përcaktimi i statusit të ujërave sipërfaqësore dhe nëntokësore në përputhje me DKU-në e BE-së.</w:t>
            </w:r>
          </w:p>
        </w:tc>
        <w:tc>
          <w:tcPr>
            <w:tcW w:w="1128" w:type="pct"/>
            <w:shd w:val="clear" w:color="auto" w:fill="auto"/>
            <w:vAlign w:val="center"/>
            <w:hideMark/>
          </w:tcPr>
          <w:p w14:paraId="3601CFDE" w14:textId="029EB6B0" w:rsidR="00E43879" w:rsidRPr="00445472" w:rsidRDefault="00E43879" w:rsidP="002A1F08">
            <w:pPr>
              <w:pStyle w:val="TableTextLeft"/>
              <w:rPr>
                <w:rFonts w:ascii="Garamond" w:hAnsi="Garamond"/>
                <w:lang w:val="sq-AL"/>
              </w:rPr>
            </w:pPr>
            <w:r w:rsidRPr="00445472">
              <w:rPr>
                <w:rFonts w:ascii="Garamond" w:hAnsi="Garamond"/>
                <w:lang w:val="sq-AL"/>
              </w:rPr>
              <w:t xml:space="preserve">Një dokument praktik (akt nënligjor) që përcakton standardet e cilësisë kimike dhe biologjike të ujit si edhe </w:t>
            </w:r>
            <w:r w:rsidR="008B0B47" w:rsidRPr="00445472">
              <w:rPr>
                <w:rFonts w:ascii="Garamond" w:hAnsi="Garamond"/>
                <w:lang w:val="sq-AL"/>
              </w:rPr>
              <w:t>protokollin</w:t>
            </w:r>
            <w:r w:rsidRPr="00445472">
              <w:rPr>
                <w:rFonts w:ascii="Garamond" w:hAnsi="Garamond"/>
                <w:lang w:val="sq-AL"/>
              </w:rPr>
              <w:t xml:space="preserve"> për monitorimin hidromorfologjik. </w:t>
            </w:r>
          </w:p>
        </w:tc>
        <w:tc>
          <w:tcPr>
            <w:tcW w:w="539" w:type="pct"/>
            <w:shd w:val="clear" w:color="auto" w:fill="auto"/>
            <w:vAlign w:val="center"/>
            <w:hideMark/>
          </w:tcPr>
          <w:p w14:paraId="7E903A55" w14:textId="77777777" w:rsidR="00E43879" w:rsidRPr="00445472" w:rsidRDefault="00E43879" w:rsidP="002A1F08">
            <w:pPr>
              <w:pStyle w:val="TableTextLeft"/>
              <w:rPr>
                <w:rFonts w:ascii="Garamond" w:hAnsi="Garamond"/>
                <w:lang w:val="sq-AL"/>
              </w:rPr>
            </w:pPr>
            <w:r w:rsidRPr="00445472">
              <w:rPr>
                <w:rFonts w:ascii="Garamond" w:hAnsi="Garamond"/>
                <w:lang w:val="sq-AL"/>
              </w:rPr>
              <w:t>Aktet nënligjore përkatëse, të cilat përfshijnë metodologjitë pajtuese të DKU-së për analizimin kimik, monitorimin biologjik (5 grupet) dhe vlerësimin hidromorfologjik.</w:t>
            </w:r>
          </w:p>
        </w:tc>
        <w:tc>
          <w:tcPr>
            <w:tcW w:w="882" w:type="pct"/>
            <w:shd w:val="clear" w:color="auto" w:fill="auto"/>
            <w:vAlign w:val="center"/>
            <w:hideMark/>
          </w:tcPr>
          <w:p w14:paraId="7E1AC20A"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w:t>
            </w:r>
          </w:p>
        </w:tc>
        <w:tc>
          <w:tcPr>
            <w:tcW w:w="1666" w:type="pct"/>
            <w:shd w:val="clear" w:color="auto" w:fill="auto"/>
            <w:vAlign w:val="center"/>
            <w:hideMark/>
          </w:tcPr>
          <w:p w14:paraId="639300E0" w14:textId="77777777" w:rsidR="00E43879" w:rsidRPr="00445472" w:rsidRDefault="00E43879" w:rsidP="002A1F08">
            <w:pPr>
              <w:pStyle w:val="TableTextLeft"/>
              <w:rPr>
                <w:rFonts w:ascii="Garamond" w:hAnsi="Garamond"/>
                <w:lang w:val="sq-AL"/>
              </w:rPr>
            </w:pPr>
            <w:r w:rsidRPr="00445472">
              <w:rPr>
                <w:rFonts w:ascii="Garamond" w:hAnsi="Garamond"/>
                <w:lang w:val="sq-AL"/>
              </w:rPr>
              <w:t>Për të përcaktuar statusin e ujërave sipërfaqësorë dhe nëntokësore është e nevojshme të ndërmerren hapat e mëposhtëm, të cilat janë edhe porta për hapjen e negociatave të kapitullit 27, siç kërkohet nga DKU-ja</w:t>
            </w:r>
          </w:p>
          <w:p w14:paraId="19958C56" w14:textId="27D99B8A"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Zgjerimi i përkufizimit të trupave ujorë sipërfaqësor në &gt;100</w:t>
            </w:r>
            <w:r w:rsidRPr="00445472">
              <w:rPr>
                <w:rFonts w:ascii="Garamond" w:hAnsi="Garamond"/>
                <w:lang w:val="sq-AL"/>
              </w:rPr>
              <w:t xml:space="preserve"> </w:t>
            </w:r>
            <w:r w:rsidR="00E43879" w:rsidRPr="00445472">
              <w:rPr>
                <w:rFonts w:ascii="Garamond" w:hAnsi="Garamond"/>
                <w:lang w:val="sq-AL"/>
              </w:rPr>
              <w:t>km</w:t>
            </w:r>
            <w:r w:rsidR="00E43879" w:rsidRPr="00445472">
              <w:rPr>
                <w:rFonts w:ascii="Garamond" w:hAnsi="Garamond"/>
                <w:vertAlign w:val="superscript"/>
                <w:lang w:val="sq-AL"/>
              </w:rPr>
              <w:t>2</w:t>
            </w:r>
            <w:r w:rsidR="00E43879" w:rsidRPr="00445472">
              <w:rPr>
                <w:rFonts w:ascii="Garamond" w:hAnsi="Garamond"/>
                <w:lang w:val="sq-AL"/>
              </w:rPr>
              <w:t>, d</w:t>
            </w:r>
            <w:r w:rsidRPr="00445472">
              <w:rPr>
                <w:rFonts w:ascii="Garamond" w:hAnsi="Garamond"/>
                <w:lang w:val="sq-AL"/>
              </w:rPr>
              <w:t>.</w:t>
            </w:r>
            <w:r w:rsidR="00E43879" w:rsidRPr="00445472">
              <w:rPr>
                <w:rFonts w:ascii="Garamond" w:hAnsi="Garamond"/>
                <w:lang w:val="sq-AL"/>
              </w:rPr>
              <w:t>m</w:t>
            </w:r>
            <w:r w:rsidRPr="00445472">
              <w:rPr>
                <w:rFonts w:ascii="Garamond" w:hAnsi="Garamond"/>
                <w:lang w:val="sq-AL"/>
              </w:rPr>
              <w:t>.</w:t>
            </w:r>
            <w:r w:rsidR="00E43879" w:rsidRPr="00445472">
              <w:rPr>
                <w:rFonts w:ascii="Garamond" w:hAnsi="Garamond"/>
                <w:lang w:val="sq-AL"/>
              </w:rPr>
              <w:t>th. Për lumenjtë dhe liqenet dhe ujërat bregdetare sipas sistemit të tipologjisë A. Përcaktoni tipologjinë e trupave të ujit sipërfaqësor në tranzicion, sipas sistemit tipologjik B.</w:t>
            </w:r>
          </w:p>
          <w:p w14:paraId="1935757E" w14:textId="5B68BDED"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Të përshkruani dhe të karakterizoni të gjitha trupat e ujërave nëntokësore sipas kërkesave të DKU-së</w:t>
            </w:r>
          </w:p>
          <w:p w14:paraId="32E929BB" w14:textId="4474510D"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Të ndërmerrni një vlerësim të rrezikut dhe rrezikut të të gjitha sipërfaqeve dhe ujërave nëntokësore në basenet ujore.</w:t>
            </w:r>
          </w:p>
          <w:p w14:paraId="35F2C54C" w14:textId="2D1C7B51"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Përcaktoni  zonat e rrezikuara në basenin ujor.</w:t>
            </w:r>
          </w:p>
          <w:p w14:paraId="3D87D0B2" w14:textId="5EFE88B8"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 ujërat sipërfaqësore theksi i rrezikut dhe vlerësimi i rrezikut duhet të përqendrohet në të gjitha burimet e pikës dhe të shpërndarjes së ndotjes, licencimin e shkarkimeve komunale dhe industriale dhe përdorimin e ujërave sipërfaqësore, përfshirë aktivitetet bujqësore, industriale, komunale, turistike, zonat e mbrojtura dhe të ndjeshme erozioni.</w:t>
            </w:r>
          </w:p>
          <w:p w14:paraId="1E5E1F92" w14:textId="7477A8B4"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 ujërat nëntokësore, theksimi i rrezikut dhe vlerësimi i rrezikut duhet të përqendrohet në ndjeshmërinë e akuiferit në zonat e mbrojtura, burimin e pikës dhe të shpërndarjes së ndotjes në zonat e ndjeshme, buxhetin e ujërave nëntokësore dhe vlerësimin e burimeve, shfrytëzimin aktual të ujërave nëntokësore, monitorimin aktual të ujërave nëntokësore.</w:t>
            </w:r>
          </w:p>
          <w:p w14:paraId="1BEDF4E4" w14:textId="08777785"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Përcaktimi i pajisjeve dhe trajnimit teknik për një </w:t>
            </w:r>
            <w:r w:rsidR="00D62EDF" w:rsidRPr="00445472">
              <w:rPr>
                <w:rFonts w:ascii="Garamond" w:hAnsi="Garamond"/>
                <w:lang w:val="sq-AL"/>
              </w:rPr>
              <w:t>“</w:t>
            </w:r>
            <w:r w:rsidR="00E43879" w:rsidRPr="00445472">
              <w:rPr>
                <w:rFonts w:ascii="Garamond" w:hAnsi="Garamond"/>
                <w:lang w:val="sq-AL"/>
              </w:rPr>
              <w:t>laborator referimi</w:t>
            </w:r>
            <w:r w:rsidR="00D62EDF" w:rsidRPr="00445472">
              <w:rPr>
                <w:rFonts w:ascii="Garamond" w:hAnsi="Garamond"/>
                <w:lang w:val="sq-AL"/>
              </w:rPr>
              <w:t>”</w:t>
            </w:r>
            <w:r w:rsidR="00E43879" w:rsidRPr="00445472">
              <w:rPr>
                <w:rFonts w:ascii="Garamond" w:hAnsi="Garamond"/>
                <w:lang w:val="sq-AL"/>
              </w:rPr>
              <w:t xml:space="preserve"> në lidhje me marrjen e mostrave dhe analizat kimike për të përmbushur kërkesat e Direktivës së EQS, përfshirë stërvitjen ndër-laboratorike dhe procedurën për të fituar akreditimin ndërkombëtar.</w:t>
            </w:r>
          </w:p>
          <w:p w14:paraId="12D881EF" w14:textId="7236AB06"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Ndërmarrja e trajnimeve teknike për marrjen e mostrave, analizave dhe raportimit të elementeve biologjike (5 grupe), sipas udhëzimeve dhe rekomandimeve të DKU-së.</w:t>
            </w:r>
          </w:p>
          <w:p w14:paraId="16FD5CA8" w14:textId="1BFEC338"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Përcaktimi i rregulloreve ligjore për analiza kimike, monitorim biologjik (5 grupe) dhe vlerësim hidromorfologjik.</w:t>
            </w:r>
          </w:p>
          <w:p w14:paraId="10D860AA" w14:textId="33B60D6C" w:rsidR="00E43879" w:rsidRPr="00445472" w:rsidRDefault="006302B2"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Zhvillimi i një programi monitorimi </w:t>
            </w:r>
            <w:r w:rsidR="00F17E7E" w:rsidRPr="00445472">
              <w:rPr>
                <w:rFonts w:ascii="Garamond" w:hAnsi="Garamond"/>
                <w:lang w:val="sq-AL"/>
              </w:rPr>
              <w:t>“</w:t>
            </w:r>
            <w:r w:rsidR="00E43879" w:rsidRPr="00445472">
              <w:rPr>
                <w:rFonts w:ascii="Garamond" w:hAnsi="Garamond"/>
                <w:lang w:val="sq-AL"/>
              </w:rPr>
              <w:t>realist</w:t>
            </w:r>
            <w:r w:rsidR="00F17E7E" w:rsidRPr="00445472">
              <w:rPr>
                <w:rFonts w:ascii="Garamond" w:hAnsi="Garamond"/>
                <w:lang w:val="sq-AL"/>
              </w:rPr>
              <w:t>”</w:t>
            </w:r>
            <w:r w:rsidR="00E43879" w:rsidRPr="00445472">
              <w:rPr>
                <w:rFonts w:ascii="Garamond" w:hAnsi="Garamond"/>
                <w:lang w:val="sq-AL"/>
              </w:rPr>
              <w:t xml:space="preserve"> për sipërfaqen dhe ujërat nëntokësore, duke marrë parasysh aftësitë e tanishme teknike për të kryer monitorimin në përputhje me DKU-në në lidhje me kërkesat e aftësisë teknike, instrumentimit dhe trajnimit.</w:t>
            </w:r>
          </w:p>
          <w:p w14:paraId="5801261C" w14:textId="48663F54" w:rsidR="00E43879" w:rsidRPr="00445472" w:rsidRDefault="004C3294"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Kryerja e monitorimit të organeve të përcaktuara të ujit (sipërfaqja dhe ujërat nëntokësore) sipas kërkesave të DKU-së</w:t>
            </w:r>
            <w:r w:rsidR="00F17E7E" w:rsidRPr="00445472">
              <w:rPr>
                <w:rFonts w:ascii="Garamond" w:hAnsi="Garamond"/>
                <w:lang w:val="sq-AL"/>
              </w:rPr>
              <w:t>,</w:t>
            </w:r>
            <w:r w:rsidR="00E43879" w:rsidRPr="00445472">
              <w:rPr>
                <w:rFonts w:ascii="Garamond" w:hAnsi="Garamond"/>
                <w:lang w:val="sq-AL"/>
              </w:rPr>
              <w:t xml:space="preserve"> me qëllim të vendosjes së statusit ekologjik dhe vlerësimit hidromorfologjik të ujërave sipërfaqësore (përfshirë TUSHM dhe TUA)</w:t>
            </w:r>
            <w:r w:rsidR="00F17E7E" w:rsidRPr="00445472">
              <w:rPr>
                <w:rFonts w:ascii="Garamond" w:hAnsi="Garamond"/>
                <w:lang w:val="sq-AL"/>
              </w:rPr>
              <w:t>;</w:t>
            </w:r>
            <w:r w:rsidR="00E43879" w:rsidRPr="00445472">
              <w:rPr>
                <w:rFonts w:ascii="Garamond" w:hAnsi="Garamond"/>
                <w:lang w:val="sq-AL"/>
              </w:rPr>
              <w:t xml:space="preserve"> ii</w:t>
            </w:r>
            <w:r w:rsidR="00F17E7E" w:rsidRPr="00445472">
              <w:rPr>
                <w:rFonts w:ascii="Garamond" w:hAnsi="Garamond"/>
                <w:lang w:val="sq-AL"/>
              </w:rPr>
              <w:t>.</w:t>
            </w:r>
            <w:r w:rsidR="00E43879" w:rsidRPr="00445472">
              <w:rPr>
                <w:rFonts w:ascii="Garamond" w:hAnsi="Garamond"/>
                <w:lang w:val="sq-AL"/>
              </w:rPr>
              <w:t xml:space="preserve"> statusi kimik dhe vlerësimi cilësor i ujërave nëntokësore. Ky monitorim mund të jepet prioritet duke marrë parasysh sipërfaqet e cenueshme të sipërfaqeve dhe të ujërave nëntokësore, kapacitetin teknik dhe aftësinë për të kryer monitorimin, instrumentacionin e kërkuar për analiza kimike dhe kërkesat e trajnimit.</w:t>
            </w:r>
          </w:p>
          <w:p w14:paraId="3F1FDD88" w14:textId="754229B0"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Zhvillimi i procedurave për regjistrimin e të dhënave dhe analizën e të dhënave siç kërkohet nga AEM.</w:t>
            </w:r>
          </w:p>
          <w:p w14:paraId="448290AF" w14:textId="56448436"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Përcaktojnë më tej të gjitha trupat e ujërave sipërfaqësore nga 10</w:t>
            </w:r>
            <w:r w:rsidRPr="00445472">
              <w:rPr>
                <w:rFonts w:ascii="Garamond" w:hAnsi="Garamond"/>
                <w:lang w:val="sq-AL"/>
              </w:rPr>
              <w:t>–</w:t>
            </w:r>
            <w:r w:rsidR="00E43879" w:rsidRPr="00445472">
              <w:rPr>
                <w:rFonts w:ascii="Garamond" w:hAnsi="Garamond"/>
                <w:lang w:val="sq-AL"/>
              </w:rPr>
              <w:t>100 km</w:t>
            </w:r>
            <w:r w:rsidR="00E43879" w:rsidRPr="00445472">
              <w:rPr>
                <w:rFonts w:ascii="Garamond" w:hAnsi="Garamond"/>
                <w:vertAlign w:val="superscript"/>
                <w:lang w:val="sq-AL"/>
              </w:rPr>
              <w:t>2</w:t>
            </w:r>
            <w:r w:rsidR="00E43879" w:rsidRPr="00445472">
              <w:rPr>
                <w:rFonts w:ascii="Garamond" w:hAnsi="Garamond"/>
                <w:lang w:val="sq-AL"/>
              </w:rPr>
              <w:t xml:space="preserve"> dhe përditësojnë programin e monitorimit në përputhje me rrethanat.</w:t>
            </w:r>
          </w:p>
        </w:tc>
      </w:tr>
      <w:tr w:rsidR="00E43879" w:rsidRPr="00445472" w14:paraId="56B35CE6" w14:textId="77777777" w:rsidTr="00E43879">
        <w:trPr>
          <w:jc w:val="center"/>
        </w:trPr>
        <w:tc>
          <w:tcPr>
            <w:tcW w:w="785" w:type="pct"/>
            <w:shd w:val="clear" w:color="auto" w:fill="auto"/>
            <w:vAlign w:val="center"/>
            <w:hideMark/>
          </w:tcPr>
          <w:p w14:paraId="639A8F30" w14:textId="77777777" w:rsidR="00E43879" w:rsidRPr="00445472" w:rsidRDefault="00E43879" w:rsidP="002A1F08">
            <w:pPr>
              <w:pStyle w:val="TableTextLeft"/>
              <w:rPr>
                <w:rFonts w:ascii="Garamond" w:hAnsi="Garamond"/>
                <w:lang w:val="sq-AL"/>
              </w:rPr>
            </w:pPr>
            <w:r w:rsidRPr="00445472">
              <w:rPr>
                <w:rFonts w:ascii="Garamond" w:hAnsi="Garamond"/>
                <w:lang w:val="sq-AL"/>
              </w:rPr>
              <w:t>Hartimi dhe zbatimi i PMBU-ve të DKU-së dhe Programeve të Masave (PM)</w:t>
            </w:r>
          </w:p>
        </w:tc>
        <w:tc>
          <w:tcPr>
            <w:tcW w:w="1128" w:type="pct"/>
            <w:shd w:val="clear" w:color="auto" w:fill="auto"/>
            <w:vAlign w:val="center"/>
          </w:tcPr>
          <w:p w14:paraId="3B740A7E" w14:textId="77777777" w:rsidR="00E43879" w:rsidRPr="00445472" w:rsidRDefault="00E43879" w:rsidP="002A1F08">
            <w:pPr>
              <w:pStyle w:val="TableTextLeft"/>
              <w:rPr>
                <w:rFonts w:ascii="Garamond" w:hAnsi="Garamond"/>
                <w:lang w:val="sq-AL"/>
              </w:rPr>
            </w:pPr>
            <w:r w:rsidRPr="00445472">
              <w:rPr>
                <w:rFonts w:ascii="Garamond" w:hAnsi="Garamond"/>
                <w:lang w:val="sq-AL"/>
              </w:rPr>
              <w:t>Implementimi i masave të propozuara në PMBU-të</w:t>
            </w:r>
          </w:p>
          <w:p w14:paraId="6DC34662" w14:textId="77777777" w:rsidR="00E43879" w:rsidRPr="00445472" w:rsidRDefault="00E43879" w:rsidP="002A1F08">
            <w:pPr>
              <w:pStyle w:val="TableTextLeft"/>
              <w:rPr>
                <w:rFonts w:ascii="Garamond" w:hAnsi="Garamond"/>
                <w:lang w:val="sq-AL"/>
              </w:rPr>
            </w:pPr>
          </w:p>
        </w:tc>
        <w:tc>
          <w:tcPr>
            <w:tcW w:w="539" w:type="pct"/>
            <w:shd w:val="clear" w:color="auto" w:fill="auto"/>
            <w:vAlign w:val="center"/>
            <w:hideMark/>
          </w:tcPr>
          <w:p w14:paraId="777009CC" w14:textId="77777777" w:rsidR="00E43879" w:rsidRPr="00445472" w:rsidRDefault="00E43879" w:rsidP="002A1F08">
            <w:pPr>
              <w:pStyle w:val="TableTextLeft"/>
              <w:rPr>
                <w:rFonts w:ascii="Garamond" w:hAnsi="Garamond"/>
                <w:lang w:val="sq-AL"/>
              </w:rPr>
            </w:pPr>
            <w:r w:rsidRPr="00445472">
              <w:rPr>
                <w:rFonts w:ascii="Garamond" w:hAnsi="Garamond"/>
                <w:lang w:val="sq-AL"/>
              </w:rPr>
              <w:t>Implementimi i masave të PM-ve dhe PMBU-ve (në %) dhe në reference me skemën kohore të propozuar.</w:t>
            </w:r>
          </w:p>
          <w:p w14:paraId="2034BC0A" w14:textId="77777777" w:rsidR="00E43879" w:rsidRPr="00445472" w:rsidRDefault="00E43879" w:rsidP="002A1F08">
            <w:pPr>
              <w:pStyle w:val="TableTextLeft"/>
              <w:rPr>
                <w:rFonts w:ascii="Garamond" w:hAnsi="Garamond"/>
                <w:lang w:val="sq-AL"/>
              </w:rPr>
            </w:pPr>
            <w:r w:rsidRPr="00445472">
              <w:rPr>
                <w:rFonts w:ascii="Garamond" w:hAnsi="Garamond"/>
                <w:lang w:val="sq-AL"/>
              </w:rPr>
              <w:t>Përfshirja e çështjeve që lidhen me PAMP.</w:t>
            </w:r>
          </w:p>
        </w:tc>
        <w:tc>
          <w:tcPr>
            <w:tcW w:w="882" w:type="pct"/>
            <w:shd w:val="clear" w:color="auto" w:fill="auto"/>
            <w:vAlign w:val="center"/>
            <w:hideMark/>
          </w:tcPr>
          <w:p w14:paraId="221E98E3" w14:textId="77777777" w:rsidR="00E43879" w:rsidRPr="00445472" w:rsidRDefault="00E43879" w:rsidP="002A1F08">
            <w:pPr>
              <w:pStyle w:val="TableTextLeft"/>
              <w:rPr>
                <w:rFonts w:ascii="Garamond" w:hAnsi="Garamond"/>
                <w:lang w:val="sq-AL"/>
              </w:rPr>
            </w:pPr>
            <w:r w:rsidRPr="00445472">
              <w:rPr>
                <w:rFonts w:ascii="Garamond" w:hAnsi="Garamond"/>
                <w:lang w:val="sq-AL"/>
              </w:rPr>
              <w:t>Organet përgjegjëse për administrimin dhe menaxhimin e burimeve ujore</w:t>
            </w:r>
          </w:p>
        </w:tc>
        <w:tc>
          <w:tcPr>
            <w:tcW w:w="1666" w:type="pct"/>
            <w:shd w:val="clear" w:color="auto" w:fill="auto"/>
            <w:vAlign w:val="center"/>
            <w:hideMark/>
          </w:tcPr>
          <w:p w14:paraId="0ADBFA5C" w14:textId="2AF62F2F" w:rsidR="00E43879" w:rsidRPr="00445472" w:rsidRDefault="00E43879" w:rsidP="002A1F08">
            <w:pPr>
              <w:pStyle w:val="TableTextLeft"/>
              <w:rPr>
                <w:rFonts w:ascii="Garamond" w:hAnsi="Garamond"/>
                <w:lang w:val="sq-AL"/>
              </w:rPr>
            </w:pPr>
            <w:r w:rsidRPr="00445472">
              <w:rPr>
                <w:rFonts w:ascii="Garamond" w:hAnsi="Garamond"/>
                <w:lang w:val="sq-AL"/>
              </w:rPr>
              <w:t xml:space="preserve">Të ndërmarrë zbatimin e PM-ve siç parashikohet në tabelën 12.3. Autoriteti Kompetent do të sigurojë menaxhimin e përgjithshëm të secilës prej </w:t>
            </w:r>
            <w:r w:rsidR="00D62EDF" w:rsidRPr="00445472">
              <w:rPr>
                <w:rFonts w:ascii="Garamond" w:hAnsi="Garamond"/>
                <w:lang w:val="sq-AL"/>
              </w:rPr>
              <w:t>“</w:t>
            </w:r>
            <w:r w:rsidRPr="00445472">
              <w:rPr>
                <w:rFonts w:ascii="Garamond" w:hAnsi="Garamond"/>
                <w:lang w:val="sq-AL"/>
              </w:rPr>
              <w:t>masave plotësuese</w:t>
            </w:r>
            <w:r w:rsidR="00D62EDF" w:rsidRPr="00445472">
              <w:rPr>
                <w:rFonts w:ascii="Garamond" w:hAnsi="Garamond"/>
                <w:lang w:val="sq-AL"/>
              </w:rPr>
              <w:t>”</w:t>
            </w:r>
            <w:r w:rsidRPr="00445472">
              <w:rPr>
                <w:rFonts w:ascii="Garamond" w:hAnsi="Garamond"/>
                <w:lang w:val="sq-AL"/>
              </w:rPr>
              <w:t>, të cilat përfshijnë: i</w:t>
            </w:r>
            <w:r w:rsidR="00F17E7E" w:rsidRPr="00445472">
              <w:rPr>
                <w:rFonts w:ascii="Garamond" w:hAnsi="Garamond"/>
                <w:lang w:val="sq-AL"/>
              </w:rPr>
              <w:t>.</w:t>
            </w:r>
            <w:r w:rsidRPr="00445472">
              <w:rPr>
                <w:rFonts w:ascii="Garamond" w:hAnsi="Garamond"/>
                <w:lang w:val="sq-AL"/>
              </w:rPr>
              <w:t xml:space="preserve"> instrumentet legjislative; ii</w:t>
            </w:r>
            <w:r w:rsidR="00F17E7E" w:rsidRPr="00445472">
              <w:rPr>
                <w:rFonts w:ascii="Garamond" w:hAnsi="Garamond"/>
                <w:lang w:val="sq-AL"/>
              </w:rPr>
              <w:t xml:space="preserve">. instrumentet administrative; </w:t>
            </w:r>
            <w:r w:rsidRPr="00445472">
              <w:rPr>
                <w:rFonts w:ascii="Garamond" w:hAnsi="Garamond"/>
                <w:lang w:val="sq-AL"/>
              </w:rPr>
              <w:t>iii</w:t>
            </w:r>
            <w:r w:rsidR="00F17E7E" w:rsidRPr="00445472">
              <w:rPr>
                <w:rFonts w:ascii="Garamond" w:hAnsi="Garamond"/>
                <w:lang w:val="sq-AL"/>
              </w:rPr>
              <w:t>.</w:t>
            </w:r>
            <w:r w:rsidRPr="00445472">
              <w:rPr>
                <w:rFonts w:ascii="Garamond" w:hAnsi="Garamond"/>
                <w:lang w:val="sq-AL"/>
              </w:rPr>
              <w:t xml:space="preserve"> inst</w:t>
            </w:r>
            <w:r w:rsidR="00F17E7E" w:rsidRPr="00445472">
              <w:rPr>
                <w:rFonts w:ascii="Garamond" w:hAnsi="Garamond"/>
                <w:lang w:val="sq-AL"/>
              </w:rPr>
              <w:t xml:space="preserve">rumentet ekonomike ose fiskale; </w:t>
            </w:r>
            <w:r w:rsidRPr="00445472">
              <w:rPr>
                <w:rFonts w:ascii="Garamond" w:hAnsi="Garamond"/>
                <w:lang w:val="sq-AL"/>
              </w:rPr>
              <w:t>iv</w:t>
            </w:r>
            <w:r w:rsidR="00F17E7E" w:rsidRPr="00445472">
              <w:rPr>
                <w:rFonts w:ascii="Garamond" w:hAnsi="Garamond"/>
                <w:lang w:val="sq-AL"/>
              </w:rPr>
              <w:t>.</w:t>
            </w:r>
            <w:r w:rsidRPr="00445472">
              <w:rPr>
                <w:rFonts w:ascii="Garamond" w:hAnsi="Garamond"/>
                <w:lang w:val="sq-AL"/>
              </w:rPr>
              <w:t xml:space="preserve"> marrëveshjet mjedisore të negociuara; v</w:t>
            </w:r>
            <w:r w:rsidR="00F17E7E" w:rsidRPr="00445472">
              <w:rPr>
                <w:rFonts w:ascii="Garamond" w:hAnsi="Garamond"/>
                <w:lang w:val="sq-AL"/>
              </w:rPr>
              <w:t xml:space="preserve">. kontrollet e emetimeve; vi. kodet e praktikës së mirë; </w:t>
            </w:r>
            <w:r w:rsidRPr="00445472">
              <w:rPr>
                <w:rFonts w:ascii="Garamond" w:hAnsi="Garamond"/>
                <w:lang w:val="sq-AL"/>
              </w:rPr>
              <w:t>vii</w:t>
            </w:r>
            <w:r w:rsidR="00F17E7E" w:rsidRPr="00445472">
              <w:rPr>
                <w:rFonts w:ascii="Garamond" w:hAnsi="Garamond"/>
                <w:lang w:val="sq-AL"/>
              </w:rPr>
              <w:t>.</w:t>
            </w:r>
            <w:r w:rsidRPr="00445472">
              <w:rPr>
                <w:rFonts w:ascii="Garamond" w:hAnsi="Garamond"/>
                <w:lang w:val="sq-AL"/>
              </w:rPr>
              <w:t xml:space="preserve"> rikrijimi dhe restaurimi i zonave të ligatinave; viii</w:t>
            </w:r>
            <w:r w:rsidR="00F17E7E" w:rsidRPr="00445472">
              <w:rPr>
                <w:rFonts w:ascii="Garamond" w:hAnsi="Garamond"/>
                <w:lang w:val="sq-AL"/>
              </w:rPr>
              <w:t>.</w:t>
            </w:r>
            <w:r w:rsidRPr="00445472">
              <w:rPr>
                <w:rFonts w:ascii="Garamond" w:hAnsi="Garamond"/>
                <w:lang w:val="sq-AL"/>
              </w:rPr>
              <w:t xml:space="preserve"> kontrollet e abstragimit; ix</w:t>
            </w:r>
            <w:r w:rsidR="00F17E7E" w:rsidRPr="00445472">
              <w:rPr>
                <w:rFonts w:ascii="Garamond" w:hAnsi="Garamond"/>
                <w:lang w:val="sq-AL"/>
              </w:rPr>
              <w:t>.</w:t>
            </w:r>
            <w:r w:rsidRPr="00445472">
              <w:rPr>
                <w:rFonts w:ascii="Garamond" w:hAnsi="Garamond"/>
                <w:lang w:val="sq-AL"/>
              </w:rPr>
              <w:t xml:space="preserve"> masat e menaxhimit të kërkesës, ndër të tjera, promovimin e prodhimit bujqësor të përshtatur, si p.sh. ujë të ulët që kërkon kultura në zonat e prekura nga thatësira; x</w:t>
            </w:r>
            <w:r w:rsidR="00F17E7E" w:rsidRPr="00445472">
              <w:rPr>
                <w:rFonts w:ascii="Garamond" w:hAnsi="Garamond"/>
                <w:lang w:val="sq-AL"/>
              </w:rPr>
              <w:t>.</w:t>
            </w:r>
            <w:r w:rsidRPr="00445472">
              <w:rPr>
                <w:rFonts w:ascii="Garamond" w:hAnsi="Garamond"/>
                <w:lang w:val="sq-AL"/>
              </w:rPr>
              <w:t xml:space="preserve"> efikasiteti dhe ripërdorimi; xi</w:t>
            </w:r>
            <w:r w:rsidR="00F17E7E" w:rsidRPr="00445472">
              <w:rPr>
                <w:rFonts w:ascii="Garamond" w:hAnsi="Garamond"/>
                <w:lang w:val="sq-AL"/>
              </w:rPr>
              <w:t>.</w:t>
            </w:r>
            <w:r w:rsidRPr="00445472">
              <w:rPr>
                <w:rFonts w:ascii="Garamond" w:hAnsi="Garamond"/>
                <w:lang w:val="sq-AL"/>
              </w:rPr>
              <w:t xml:space="preserve"> projektet e ndërtimit</w:t>
            </w:r>
            <w:r w:rsidR="001D340B" w:rsidRPr="00445472">
              <w:rPr>
                <w:rFonts w:ascii="Garamond" w:hAnsi="Garamond"/>
                <w:lang w:val="sq-AL"/>
              </w:rPr>
              <w:t>/</w:t>
            </w:r>
            <w:r w:rsidRPr="00445472">
              <w:rPr>
                <w:rFonts w:ascii="Garamond" w:hAnsi="Garamond"/>
                <w:lang w:val="sq-AL"/>
              </w:rPr>
              <w:t>projektet e rehabilitimit; xiv</w:t>
            </w:r>
            <w:r w:rsidR="00F17E7E" w:rsidRPr="00445472">
              <w:rPr>
                <w:rFonts w:ascii="Garamond" w:hAnsi="Garamond"/>
                <w:lang w:val="sq-AL"/>
              </w:rPr>
              <w:t>.</w:t>
            </w:r>
            <w:r w:rsidRPr="00445472">
              <w:rPr>
                <w:rFonts w:ascii="Garamond" w:hAnsi="Garamond"/>
                <w:lang w:val="sq-AL"/>
              </w:rPr>
              <w:t xml:space="preserve"> rimbushja artificiale e akuifereve; xv</w:t>
            </w:r>
            <w:r w:rsidR="00F17E7E" w:rsidRPr="00445472">
              <w:rPr>
                <w:rFonts w:ascii="Garamond" w:hAnsi="Garamond"/>
                <w:lang w:val="sq-AL"/>
              </w:rPr>
              <w:t xml:space="preserve">. projektet arsimore; </w:t>
            </w:r>
            <w:r w:rsidRPr="00445472">
              <w:rPr>
                <w:rFonts w:ascii="Garamond" w:hAnsi="Garamond"/>
                <w:lang w:val="sq-AL"/>
              </w:rPr>
              <w:t>xvi</w:t>
            </w:r>
            <w:r w:rsidR="00F17E7E" w:rsidRPr="00445472">
              <w:rPr>
                <w:rFonts w:ascii="Garamond" w:hAnsi="Garamond"/>
                <w:lang w:val="sq-AL"/>
              </w:rPr>
              <w:t>.</w:t>
            </w:r>
            <w:r w:rsidRPr="00445472">
              <w:rPr>
                <w:rFonts w:ascii="Garamond" w:hAnsi="Garamond"/>
                <w:lang w:val="sq-AL"/>
              </w:rPr>
              <w:t xml:space="preserve"> projekte kërkimi, zhvillimi dhe demonstrimi.</w:t>
            </w:r>
          </w:p>
          <w:p w14:paraId="3420503F" w14:textId="77777777" w:rsidR="00E43879" w:rsidRPr="00445472" w:rsidRDefault="00E43879" w:rsidP="002A1F08">
            <w:pPr>
              <w:pStyle w:val="TableTextLeft"/>
              <w:rPr>
                <w:rFonts w:ascii="Garamond" w:hAnsi="Garamond"/>
                <w:lang w:val="sq-AL"/>
              </w:rPr>
            </w:pPr>
            <w:r w:rsidRPr="00445472">
              <w:rPr>
                <w:rFonts w:ascii="Garamond" w:hAnsi="Garamond"/>
                <w:lang w:val="sq-AL"/>
              </w:rPr>
              <w:t>Për 'masat bazë', Autoriteti Kompetent ose do të menaxhojë, aty ku është e përshtatshme, ose do të marrë një rol kyç në përcaktimin dhe monitorimin e progresit të projektit.</w:t>
            </w:r>
          </w:p>
        </w:tc>
      </w:tr>
      <w:tr w:rsidR="00E43879" w:rsidRPr="00445472" w14:paraId="776F7B60" w14:textId="77777777" w:rsidTr="00E43879">
        <w:trPr>
          <w:jc w:val="center"/>
        </w:trPr>
        <w:tc>
          <w:tcPr>
            <w:tcW w:w="785" w:type="pct"/>
            <w:shd w:val="clear" w:color="auto" w:fill="auto"/>
            <w:vAlign w:val="center"/>
            <w:hideMark/>
          </w:tcPr>
          <w:p w14:paraId="39FFBF7E" w14:textId="77777777" w:rsidR="00E43879" w:rsidRPr="00445472" w:rsidRDefault="00E43879" w:rsidP="002A1F08">
            <w:pPr>
              <w:pStyle w:val="TableTextLeft"/>
              <w:rPr>
                <w:rFonts w:ascii="Garamond" w:hAnsi="Garamond"/>
                <w:lang w:val="sq-AL"/>
              </w:rPr>
            </w:pPr>
            <w:r w:rsidRPr="00445472">
              <w:rPr>
                <w:rFonts w:ascii="Garamond" w:hAnsi="Garamond"/>
                <w:lang w:val="sq-AL"/>
              </w:rPr>
              <w:t>Sigurimi i përfshirjes publike, informimit dhe debatit (në kuadër të Menaxhimit të Ujit)</w:t>
            </w:r>
          </w:p>
        </w:tc>
        <w:tc>
          <w:tcPr>
            <w:tcW w:w="1128" w:type="pct"/>
            <w:shd w:val="clear" w:color="auto" w:fill="auto"/>
            <w:vAlign w:val="center"/>
            <w:hideMark/>
          </w:tcPr>
          <w:p w14:paraId="236219BF" w14:textId="109B16FB" w:rsidR="00E43879" w:rsidRPr="00445472" w:rsidRDefault="00E43879" w:rsidP="00554D3B">
            <w:pPr>
              <w:pStyle w:val="TableTextLeft"/>
              <w:rPr>
                <w:rFonts w:ascii="Garamond" w:hAnsi="Garamond"/>
                <w:lang w:val="sq-AL"/>
              </w:rPr>
            </w:pPr>
            <w:r w:rsidRPr="00445472">
              <w:rPr>
                <w:rFonts w:ascii="Garamond" w:hAnsi="Garamond"/>
                <w:lang w:val="sq-AL"/>
              </w:rPr>
              <w:t xml:space="preserve">Mekanizma duke përfshirë </w:t>
            </w:r>
            <w:r w:rsidR="00F17E7E" w:rsidRPr="00445472">
              <w:rPr>
                <w:rFonts w:ascii="Garamond" w:hAnsi="Garamond"/>
                <w:lang w:val="sq-AL"/>
              </w:rPr>
              <w:t>pjesëmarrje</w:t>
            </w:r>
            <w:r w:rsidRPr="00445472">
              <w:rPr>
                <w:rFonts w:ascii="Garamond" w:hAnsi="Garamond"/>
                <w:lang w:val="sq-AL"/>
              </w:rPr>
              <w:t xml:space="preserve"> të barabartë gjinore n</w:t>
            </w:r>
            <w:r w:rsidR="00554D3B">
              <w:rPr>
                <w:rFonts w:ascii="Garamond" w:hAnsi="Garamond"/>
                <w:lang w:val="sq-AL"/>
              </w:rPr>
              <w:t>ë</w:t>
            </w:r>
            <w:r w:rsidRPr="00445472">
              <w:rPr>
                <w:rFonts w:ascii="Garamond" w:hAnsi="Garamond"/>
                <w:lang w:val="sq-AL"/>
              </w:rPr>
              <w:t xml:space="preserve"> konsultimet me publikun dhe në proceset vendimmarrëse</w:t>
            </w:r>
          </w:p>
        </w:tc>
        <w:tc>
          <w:tcPr>
            <w:tcW w:w="539" w:type="pct"/>
            <w:shd w:val="clear" w:color="auto" w:fill="auto"/>
            <w:vAlign w:val="center"/>
            <w:hideMark/>
          </w:tcPr>
          <w:p w14:paraId="0582671E" w14:textId="77777777" w:rsidR="00E43879" w:rsidRPr="00445472" w:rsidRDefault="00E43879" w:rsidP="002A1F08">
            <w:pPr>
              <w:pStyle w:val="TableTextLeft"/>
              <w:rPr>
                <w:rFonts w:ascii="Garamond" w:hAnsi="Garamond"/>
                <w:lang w:val="sq-AL"/>
              </w:rPr>
            </w:pPr>
            <w:r w:rsidRPr="00445472">
              <w:rPr>
                <w:rFonts w:ascii="Garamond" w:hAnsi="Garamond"/>
                <w:lang w:val="sq-AL"/>
              </w:rPr>
              <w:t>Legjislacioni</w:t>
            </w:r>
          </w:p>
          <w:p w14:paraId="76BA9C3F" w14:textId="77777777" w:rsidR="00E43879" w:rsidRPr="00445472" w:rsidRDefault="00E43879" w:rsidP="002A1F08">
            <w:pPr>
              <w:pStyle w:val="TableTextLeft"/>
              <w:rPr>
                <w:rFonts w:ascii="Garamond" w:hAnsi="Garamond"/>
                <w:lang w:val="sq-AL"/>
              </w:rPr>
            </w:pPr>
            <w:r w:rsidRPr="00445472">
              <w:rPr>
                <w:rFonts w:ascii="Garamond" w:hAnsi="Garamond"/>
                <w:lang w:val="sq-AL"/>
              </w:rPr>
              <w:t>Këshillime</w:t>
            </w:r>
          </w:p>
        </w:tc>
        <w:tc>
          <w:tcPr>
            <w:tcW w:w="882" w:type="pct"/>
            <w:shd w:val="clear" w:color="auto" w:fill="auto"/>
            <w:vAlign w:val="center"/>
            <w:hideMark/>
          </w:tcPr>
          <w:p w14:paraId="70091F7C" w14:textId="77777777" w:rsidR="00E43879" w:rsidRPr="00445472" w:rsidRDefault="00E43879" w:rsidP="002A1F08">
            <w:pPr>
              <w:pStyle w:val="TableTextLeft"/>
              <w:rPr>
                <w:rFonts w:ascii="Garamond" w:hAnsi="Garamond"/>
                <w:lang w:val="sq-AL"/>
              </w:rPr>
            </w:pPr>
            <w:r w:rsidRPr="00445472">
              <w:rPr>
                <w:rFonts w:ascii="Garamond" w:hAnsi="Garamond"/>
                <w:lang w:val="sq-AL"/>
              </w:rPr>
              <w:t>Zyrat e Administrimit të Baseneve Ujore, prefekturat, në bashkëpunim me autoritetet vendore</w:t>
            </w:r>
          </w:p>
        </w:tc>
        <w:tc>
          <w:tcPr>
            <w:tcW w:w="1666" w:type="pct"/>
            <w:shd w:val="clear" w:color="auto" w:fill="auto"/>
            <w:vAlign w:val="center"/>
            <w:hideMark/>
          </w:tcPr>
          <w:p w14:paraId="2909C8F7" w14:textId="6FD2C51D" w:rsidR="00E43879" w:rsidRPr="00445472" w:rsidRDefault="00E43879" w:rsidP="002A1F08">
            <w:pPr>
              <w:pStyle w:val="TableTextLeft"/>
              <w:rPr>
                <w:rFonts w:ascii="Garamond" w:hAnsi="Garamond"/>
                <w:lang w:val="sq-AL"/>
              </w:rPr>
            </w:pPr>
            <w:r w:rsidRPr="00445472">
              <w:rPr>
                <w:rFonts w:ascii="Garamond" w:hAnsi="Garamond"/>
                <w:lang w:val="sq-AL"/>
              </w:rPr>
              <w:t xml:space="preserve">Ndërmerrni veprimet e propozuara të përfshira në planin e njohjes me PMBU-të për të siguruar informacion për të gjithë aktorët. Të sigurohet pjesëmarrja dhe </w:t>
            </w:r>
            <w:r w:rsidR="00F17E7E" w:rsidRPr="00445472">
              <w:rPr>
                <w:rFonts w:ascii="Garamond" w:hAnsi="Garamond"/>
                <w:lang w:val="sq-AL"/>
              </w:rPr>
              <w:t>regjistrimi</w:t>
            </w:r>
            <w:r w:rsidRPr="00445472">
              <w:rPr>
                <w:rFonts w:ascii="Garamond" w:hAnsi="Garamond"/>
                <w:lang w:val="sq-AL"/>
              </w:rPr>
              <w:t xml:space="preserve"> i publikut dhe reagimet në të gjitha çështjet që lidhen me menaxhimin e burimeve ujore dhe me çështjet e ndjeshme gjinore. Ndiqni të gjitha udhëzimet për veprimet e propozuara në planin njohjes me PMBU-ve.</w:t>
            </w:r>
          </w:p>
        </w:tc>
      </w:tr>
    </w:tbl>
    <w:p w14:paraId="7054516E" w14:textId="77777777" w:rsidR="00E43879" w:rsidRPr="00445472" w:rsidRDefault="00E43879" w:rsidP="00E43879">
      <w:pPr>
        <w:rPr>
          <w:rFonts w:ascii="Garamond" w:hAnsi="Garamond"/>
          <w:b/>
        </w:rPr>
      </w:pPr>
    </w:p>
    <w:p w14:paraId="6DC4CF76" w14:textId="77777777" w:rsidR="00E43879" w:rsidRPr="00445472" w:rsidRDefault="00E43879" w:rsidP="00E43879">
      <w:pPr>
        <w:rPr>
          <w:rFonts w:ascii="Garamond" w:hAnsi="Garamond"/>
          <w:b/>
        </w:rPr>
      </w:pPr>
    </w:p>
    <w:p w14:paraId="3257CE4A" w14:textId="77777777" w:rsidR="00E43879" w:rsidRPr="00445472" w:rsidRDefault="00E43879" w:rsidP="00E43879">
      <w:pPr>
        <w:rPr>
          <w:rFonts w:ascii="Garamond" w:hAnsi="Garamond"/>
          <w:b/>
        </w:rPr>
      </w:pPr>
    </w:p>
    <w:p w14:paraId="6D91C06D" w14:textId="77777777" w:rsidR="00E43879" w:rsidRPr="00445472" w:rsidRDefault="00E43879" w:rsidP="00E43879">
      <w:pPr>
        <w:rPr>
          <w:rFonts w:ascii="Garamond" w:hAnsi="Garamond"/>
          <w:b/>
        </w:rPr>
      </w:pPr>
    </w:p>
    <w:p w14:paraId="0B9003BF" w14:textId="77777777" w:rsidR="00E43879" w:rsidRPr="00445472" w:rsidRDefault="00E43879" w:rsidP="00E43879">
      <w:pPr>
        <w:rPr>
          <w:rFonts w:ascii="Garamond" w:hAnsi="Garamond"/>
          <w:b/>
        </w:rPr>
      </w:pPr>
    </w:p>
    <w:p w14:paraId="2EEC6A77" w14:textId="77777777" w:rsidR="00E43879" w:rsidRPr="00445472" w:rsidRDefault="00E43879" w:rsidP="00E43879">
      <w:pPr>
        <w:rPr>
          <w:rFonts w:ascii="Garamond" w:hAnsi="Garamond"/>
          <w:b/>
        </w:rPr>
      </w:pPr>
    </w:p>
    <w:p w14:paraId="3EBD13EC" w14:textId="77777777" w:rsidR="00E43879" w:rsidRPr="00445472" w:rsidRDefault="00E43879" w:rsidP="00E43879">
      <w:pPr>
        <w:rPr>
          <w:rFonts w:ascii="Garamond" w:hAnsi="Garamond"/>
          <w:b/>
        </w:rPr>
      </w:pPr>
    </w:p>
    <w:p w14:paraId="5E86F586" w14:textId="77777777" w:rsidR="00E43879" w:rsidRPr="00445472" w:rsidRDefault="00E43879" w:rsidP="00E43879">
      <w:pPr>
        <w:pStyle w:val="NENTITULL"/>
      </w:pPr>
      <w:r w:rsidRPr="00445472">
        <w:t>Tabela 14.4 Rreziqet që vijnë nga uji</w:t>
      </w:r>
    </w:p>
    <w:tbl>
      <w:tblPr>
        <w:tblW w:w="14317" w:type="dxa"/>
        <w:jc w:val="center"/>
        <w:tblBorders>
          <w:top w:val="single" w:sz="8" w:space="0" w:color="auto"/>
          <w:bottom w:val="single" w:sz="8" w:space="0" w:color="auto"/>
          <w:insideH w:val="single" w:sz="2" w:space="0" w:color="27BDBE"/>
        </w:tblBorders>
        <w:tblLayout w:type="fixed"/>
        <w:tblCellMar>
          <w:left w:w="0" w:type="dxa"/>
          <w:right w:w="0" w:type="dxa"/>
        </w:tblCellMar>
        <w:tblLook w:val="0620" w:firstRow="1" w:lastRow="0" w:firstColumn="0" w:lastColumn="0" w:noHBand="1" w:noVBand="1"/>
      </w:tblPr>
      <w:tblGrid>
        <w:gridCol w:w="2270"/>
        <w:gridCol w:w="3121"/>
        <w:gridCol w:w="1558"/>
        <w:gridCol w:w="2411"/>
        <w:gridCol w:w="4957"/>
      </w:tblGrid>
      <w:tr w:rsidR="00E43879" w:rsidRPr="00445472" w14:paraId="49BEB140" w14:textId="77777777" w:rsidTr="00E43879">
        <w:trPr>
          <w:jc w:val="center"/>
        </w:trPr>
        <w:tc>
          <w:tcPr>
            <w:tcW w:w="793" w:type="pct"/>
            <w:tcBorders>
              <w:bottom w:val="single" w:sz="8" w:space="0" w:color="000000"/>
            </w:tcBorders>
            <w:shd w:val="clear" w:color="auto" w:fill="auto"/>
            <w:vAlign w:val="center"/>
            <w:hideMark/>
          </w:tcPr>
          <w:p w14:paraId="7A860B9D" w14:textId="4B3BE133" w:rsidR="00E43879" w:rsidRPr="00445472" w:rsidRDefault="000E4E18" w:rsidP="002A1F08">
            <w:pPr>
              <w:pStyle w:val="TableHeadingLeft"/>
              <w:rPr>
                <w:rFonts w:ascii="Garamond" w:hAnsi="Garamond"/>
                <w:color w:val="auto"/>
                <w:lang w:val="sq-AL"/>
              </w:rPr>
            </w:pPr>
            <w:r w:rsidRPr="00445472">
              <w:rPr>
                <w:rFonts w:ascii="Garamond" w:hAnsi="Garamond"/>
                <w:color w:val="auto"/>
                <w:lang w:val="sq-AL"/>
              </w:rPr>
              <w:t>Objektivat</w:t>
            </w:r>
            <w:r w:rsidR="00E43879" w:rsidRPr="00445472">
              <w:rPr>
                <w:rFonts w:ascii="Garamond" w:hAnsi="Garamond"/>
                <w:color w:val="auto"/>
                <w:lang w:val="sq-AL"/>
              </w:rPr>
              <w:t xml:space="preserve"> e politikave</w:t>
            </w:r>
          </w:p>
        </w:tc>
        <w:tc>
          <w:tcPr>
            <w:tcW w:w="1090" w:type="pct"/>
            <w:tcBorders>
              <w:bottom w:val="single" w:sz="8" w:space="0" w:color="000000"/>
            </w:tcBorders>
            <w:shd w:val="clear" w:color="auto" w:fill="auto"/>
            <w:vAlign w:val="center"/>
            <w:hideMark/>
          </w:tcPr>
          <w:p w14:paraId="0378827F"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Rezultatet kryesore</w:t>
            </w:r>
          </w:p>
        </w:tc>
        <w:tc>
          <w:tcPr>
            <w:tcW w:w="544" w:type="pct"/>
            <w:tcBorders>
              <w:bottom w:val="single" w:sz="8" w:space="0" w:color="000000"/>
            </w:tcBorders>
            <w:shd w:val="clear" w:color="auto" w:fill="auto"/>
            <w:vAlign w:val="center"/>
            <w:hideMark/>
          </w:tcPr>
          <w:p w14:paraId="4132EA60"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Verifikimi</w:t>
            </w:r>
          </w:p>
        </w:tc>
        <w:tc>
          <w:tcPr>
            <w:tcW w:w="842" w:type="pct"/>
            <w:tcBorders>
              <w:bottom w:val="single" w:sz="8" w:space="0" w:color="000000"/>
            </w:tcBorders>
            <w:shd w:val="clear" w:color="auto" w:fill="auto"/>
            <w:vAlign w:val="center"/>
            <w:hideMark/>
          </w:tcPr>
          <w:p w14:paraId="59562D1B"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Aktorët</w:t>
            </w:r>
          </w:p>
        </w:tc>
        <w:tc>
          <w:tcPr>
            <w:tcW w:w="1732" w:type="pct"/>
            <w:tcBorders>
              <w:bottom w:val="single" w:sz="8" w:space="0" w:color="000000"/>
            </w:tcBorders>
            <w:shd w:val="clear" w:color="auto" w:fill="auto"/>
            <w:vAlign w:val="center"/>
            <w:hideMark/>
          </w:tcPr>
          <w:p w14:paraId="5A0D428B"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Rekomandimet për Planifikimin e Menaxhimit të Basenit Ujor</w:t>
            </w:r>
          </w:p>
        </w:tc>
      </w:tr>
      <w:tr w:rsidR="00E43879" w:rsidRPr="00445472" w14:paraId="70100486" w14:textId="77777777" w:rsidTr="00E43879">
        <w:trPr>
          <w:jc w:val="center"/>
        </w:trPr>
        <w:tc>
          <w:tcPr>
            <w:tcW w:w="793" w:type="pct"/>
            <w:shd w:val="clear" w:color="auto" w:fill="auto"/>
            <w:vAlign w:val="center"/>
            <w:hideMark/>
          </w:tcPr>
          <w:p w14:paraId="33A2CD86" w14:textId="77777777" w:rsidR="00E43879" w:rsidRPr="00445472" w:rsidRDefault="00E43879" w:rsidP="002A1F08">
            <w:pPr>
              <w:pStyle w:val="TableTextLeft"/>
              <w:rPr>
                <w:rFonts w:ascii="Garamond" w:hAnsi="Garamond"/>
                <w:lang w:val="sq-AL"/>
              </w:rPr>
            </w:pPr>
            <w:r w:rsidRPr="00445472">
              <w:rPr>
                <w:rFonts w:ascii="Garamond" w:hAnsi="Garamond"/>
                <w:lang w:val="sq-AL"/>
              </w:rPr>
              <w:t>Menaxhim i integruar i ujërave efikas për minimizimin e katastrofave kombëtare.</w:t>
            </w:r>
          </w:p>
        </w:tc>
        <w:tc>
          <w:tcPr>
            <w:tcW w:w="1090" w:type="pct"/>
            <w:shd w:val="clear" w:color="auto" w:fill="auto"/>
            <w:vAlign w:val="center"/>
            <w:hideMark/>
          </w:tcPr>
          <w:p w14:paraId="07B36F64"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një plani efikas kombëtar për menaxhimin e katastrofave që pasqyron dhe i jep përparësi katastrofave dhe sëmundjeve të lidhura me ujin.</w:t>
            </w:r>
          </w:p>
        </w:tc>
        <w:tc>
          <w:tcPr>
            <w:tcW w:w="544" w:type="pct"/>
            <w:shd w:val="clear" w:color="auto" w:fill="auto"/>
            <w:vAlign w:val="center"/>
            <w:hideMark/>
          </w:tcPr>
          <w:p w14:paraId="09C4FD6A" w14:textId="77777777" w:rsidR="00E43879" w:rsidRPr="00445472" w:rsidRDefault="00E43879" w:rsidP="002A1F08">
            <w:pPr>
              <w:pStyle w:val="TableTextLeft"/>
              <w:rPr>
                <w:rFonts w:ascii="Garamond" w:hAnsi="Garamond"/>
                <w:lang w:val="sq-AL"/>
              </w:rPr>
            </w:pPr>
            <w:r w:rsidRPr="00445472">
              <w:rPr>
                <w:rFonts w:ascii="Garamond" w:hAnsi="Garamond"/>
                <w:lang w:val="sq-AL"/>
              </w:rPr>
              <w:t>Hyrja në fuqi e planit kombëtar të menaxhimit të katastrofave</w:t>
            </w:r>
          </w:p>
        </w:tc>
        <w:tc>
          <w:tcPr>
            <w:tcW w:w="842" w:type="pct"/>
            <w:shd w:val="clear" w:color="auto" w:fill="auto"/>
            <w:vAlign w:val="center"/>
            <w:hideMark/>
          </w:tcPr>
          <w:p w14:paraId="653A73D1"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 ministritë e linjës, prefekturat  institutet, autoritetet vendore</w:t>
            </w:r>
          </w:p>
        </w:tc>
        <w:tc>
          <w:tcPr>
            <w:tcW w:w="1732" w:type="pct"/>
            <w:shd w:val="clear" w:color="auto" w:fill="auto"/>
            <w:vAlign w:val="center"/>
            <w:hideMark/>
          </w:tcPr>
          <w:p w14:paraId="0E7A0E7E" w14:textId="77777777" w:rsidR="00E43879" w:rsidRPr="00445472" w:rsidRDefault="00E43879" w:rsidP="002A1F08">
            <w:pPr>
              <w:pStyle w:val="TableTextLeft"/>
              <w:rPr>
                <w:rFonts w:ascii="Garamond" w:hAnsi="Garamond"/>
                <w:lang w:val="sq-AL"/>
              </w:rPr>
            </w:pPr>
            <w:r w:rsidRPr="00445472">
              <w:rPr>
                <w:rFonts w:ascii="Garamond" w:hAnsi="Garamond"/>
                <w:lang w:val="sq-AL"/>
              </w:rPr>
              <w:t>Zhvillimi i mjaftueshëm i një sistemi paralajmërues të hershëm dhe integrimi i menaxhimit të fatkeqësive në MIBU.</w:t>
            </w:r>
          </w:p>
          <w:p w14:paraId="7B8AAB05" w14:textId="77777777" w:rsidR="00E43879" w:rsidRPr="00445472" w:rsidRDefault="00E43879" w:rsidP="002A1F08">
            <w:pPr>
              <w:pStyle w:val="TableTextLeft"/>
              <w:rPr>
                <w:rFonts w:ascii="Garamond" w:hAnsi="Garamond"/>
                <w:lang w:val="sq-AL"/>
              </w:rPr>
            </w:pPr>
            <w:r w:rsidRPr="00445472">
              <w:rPr>
                <w:rFonts w:ascii="Garamond" w:hAnsi="Garamond"/>
                <w:lang w:val="sq-AL"/>
              </w:rPr>
              <w:t>Rivendosni shërbime efikase hidrometeriologjike.</w:t>
            </w:r>
          </w:p>
          <w:p w14:paraId="11CFE850" w14:textId="77777777" w:rsidR="00E43879" w:rsidRPr="00445472" w:rsidRDefault="00E43879" w:rsidP="002A1F08">
            <w:pPr>
              <w:pStyle w:val="TableTextLeft"/>
              <w:rPr>
                <w:rFonts w:ascii="Garamond" w:hAnsi="Garamond"/>
                <w:lang w:val="sq-AL"/>
              </w:rPr>
            </w:pPr>
          </w:p>
        </w:tc>
      </w:tr>
      <w:tr w:rsidR="00E43879" w:rsidRPr="00445472" w14:paraId="64DCA604" w14:textId="77777777" w:rsidTr="00E43879">
        <w:trPr>
          <w:jc w:val="center"/>
        </w:trPr>
        <w:tc>
          <w:tcPr>
            <w:tcW w:w="793" w:type="pct"/>
            <w:shd w:val="clear" w:color="auto" w:fill="auto"/>
            <w:vAlign w:val="center"/>
            <w:hideMark/>
          </w:tcPr>
          <w:p w14:paraId="318A831D" w14:textId="77777777" w:rsidR="00E43879" w:rsidRPr="00445472" w:rsidRDefault="00E43879" w:rsidP="002A1F08">
            <w:pPr>
              <w:pStyle w:val="TableTextLeft"/>
              <w:rPr>
                <w:rFonts w:ascii="Garamond" w:hAnsi="Garamond"/>
                <w:lang w:val="sq-AL"/>
              </w:rPr>
            </w:pPr>
            <w:r w:rsidRPr="00445472">
              <w:rPr>
                <w:rFonts w:ascii="Garamond" w:hAnsi="Garamond"/>
                <w:lang w:val="sq-AL"/>
              </w:rPr>
              <w:t>Sigurimi i Mbrojtjes nga përmbytjet</w:t>
            </w:r>
          </w:p>
        </w:tc>
        <w:tc>
          <w:tcPr>
            <w:tcW w:w="1090" w:type="pct"/>
            <w:shd w:val="clear" w:color="auto" w:fill="auto"/>
            <w:vAlign w:val="center"/>
            <w:hideMark/>
          </w:tcPr>
          <w:p w14:paraId="29D4C1E2" w14:textId="1B74A7CE" w:rsidR="00E43879" w:rsidRPr="00445472" w:rsidRDefault="00E43879" w:rsidP="002A1F08">
            <w:pPr>
              <w:pStyle w:val="TableTextLeft"/>
              <w:rPr>
                <w:rFonts w:ascii="Garamond" w:hAnsi="Garamond"/>
                <w:lang w:val="sq-AL"/>
              </w:rPr>
            </w:pPr>
            <w:r w:rsidRPr="00445472">
              <w:rPr>
                <w:rFonts w:ascii="Garamond" w:hAnsi="Garamond"/>
                <w:lang w:val="sq-AL"/>
              </w:rPr>
              <w:t xml:space="preserve">Hartimi dhe zbatimi i planeve të Menaxhimit të Rrezikut nga Përmbytjet duke </w:t>
            </w:r>
            <w:r w:rsidR="00F17E7E" w:rsidRPr="00445472">
              <w:rPr>
                <w:rFonts w:ascii="Garamond" w:hAnsi="Garamond"/>
                <w:lang w:val="sq-AL"/>
              </w:rPr>
              <w:t>përfshirë</w:t>
            </w:r>
            <w:r w:rsidRPr="00445472">
              <w:rPr>
                <w:rFonts w:ascii="Garamond" w:hAnsi="Garamond"/>
                <w:lang w:val="sq-AL"/>
              </w:rPr>
              <w:t xml:space="preserve"> mekanizmin e angazhimit nëpërmjet komunikimit dhe me përfshirjen e burrave, grave, djemve dhe vajzave.</w:t>
            </w:r>
          </w:p>
        </w:tc>
        <w:tc>
          <w:tcPr>
            <w:tcW w:w="544" w:type="pct"/>
            <w:shd w:val="clear" w:color="auto" w:fill="auto"/>
            <w:vAlign w:val="center"/>
            <w:hideMark/>
          </w:tcPr>
          <w:p w14:paraId="621EC67A"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të brendshme ose të jashtme</w:t>
            </w:r>
          </w:p>
        </w:tc>
        <w:tc>
          <w:tcPr>
            <w:tcW w:w="842" w:type="pct"/>
            <w:shd w:val="clear" w:color="auto" w:fill="auto"/>
            <w:vAlign w:val="center"/>
            <w:hideMark/>
          </w:tcPr>
          <w:p w14:paraId="51B12C2F"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 ministritë e linjës, prefektura, Zyrat e Administrimit të Baseneve Ujore dhe KBU-të</w:t>
            </w:r>
          </w:p>
        </w:tc>
        <w:tc>
          <w:tcPr>
            <w:tcW w:w="1732" w:type="pct"/>
            <w:shd w:val="clear" w:color="auto" w:fill="auto"/>
            <w:vAlign w:val="center"/>
            <w:hideMark/>
          </w:tcPr>
          <w:p w14:paraId="14F8D634" w14:textId="0C35E878"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Kryerja e një </w:t>
            </w:r>
            <w:r w:rsidRPr="00445472">
              <w:rPr>
                <w:rFonts w:ascii="Garamond" w:hAnsi="Garamond"/>
                <w:lang w:val="sq-AL"/>
              </w:rPr>
              <w:t>vlerësimi paraprak të rrezikut nga përmbytjet</w:t>
            </w:r>
          </w:p>
          <w:p w14:paraId="293E352D" w14:textId="009E9EA0"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Përgatitja e Hartave të Rrezikut nga Ushqimit</w:t>
            </w:r>
          </w:p>
          <w:p w14:paraId="528AC03C" w14:textId="242C2788"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Përgatitja e Hartave të Rrezikut nga Përmbytjet</w:t>
            </w:r>
          </w:p>
          <w:p w14:paraId="2FFDA32D" w14:textId="7821ECF3"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Përgatitja e Planeve për Menaxhimin të Përmbytjeve</w:t>
            </w:r>
          </w:p>
          <w:p w14:paraId="3069C5F9" w14:textId="4490244A" w:rsidR="00E43879" w:rsidRPr="00445472" w:rsidRDefault="00F17E7E" w:rsidP="002A1F08">
            <w:pPr>
              <w:pStyle w:val="TableTextLeft"/>
              <w:rPr>
                <w:rFonts w:ascii="Garamond" w:hAnsi="Garamond"/>
                <w:lang w:val="sq-AL"/>
              </w:rPr>
            </w:pPr>
            <w:r w:rsidRPr="00445472">
              <w:rPr>
                <w:rFonts w:ascii="Garamond" w:hAnsi="Garamond"/>
                <w:lang w:val="sq-AL"/>
              </w:rPr>
              <w:t>-</w:t>
            </w:r>
            <w:r w:rsidR="00E43879" w:rsidRPr="00445472">
              <w:rPr>
                <w:rFonts w:ascii="Garamond" w:hAnsi="Garamond"/>
                <w:lang w:val="sq-AL"/>
              </w:rPr>
              <w:t xml:space="preserve"> Zbatimi i fushatave të ndërgjegjësimit ndaj përmbytjeve dhe një plani veprimi për sigurinë në zonat e prekshme përmes KBU-të, OJQ-ve dhe CSO-ve me komunikim për të gjithë aktorët përmes të gjitha mjeteve të mundshme.</w:t>
            </w:r>
          </w:p>
        </w:tc>
      </w:tr>
      <w:tr w:rsidR="00E43879" w:rsidRPr="00445472" w14:paraId="219CD1ED" w14:textId="77777777" w:rsidTr="00E43879">
        <w:trPr>
          <w:jc w:val="center"/>
        </w:trPr>
        <w:tc>
          <w:tcPr>
            <w:tcW w:w="793" w:type="pct"/>
            <w:shd w:val="clear" w:color="auto" w:fill="auto"/>
            <w:vAlign w:val="center"/>
          </w:tcPr>
          <w:p w14:paraId="7FD9C902" w14:textId="77777777" w:rsidR="00E43879" w:rsidRPr="00445472" w:rsidRDefault="00E43879" w:rsidP="002A1F08">
            <w:pPr>
              <w:pStyle w:val="TableTextLeft"/>
              <w:rPr>
                <w:rFonts w:ascii="Garamond" w:hAnsi="Garamond"/>
                <w:lang w:val="sq-AL"/>
              </w:rPr>
            </w:pPr>
            <w:r w:rsidRPr="00445472">
              <w:rPr>
                <w:rFonts w:ascii="Garamond" w:hAnsi="Garamond"/>
                <w:lang w:val="sq-AL"/>
              </w:rPr>
              <w:t>Përgatitja për thatësirat dhe mungesën e ujit</w:t>
            </w:r>
          </w:p>
          <w:p w14:paraId="61013E98" w14:textId="77777777" w:rsidR="00E43879" w:rsidRPr="00445472" w:rsidRDefault="00E43879" w:rsidP="002A1F08">
            <w:pPr>
              <w:pStyle w:val="TableTextLeft"/>
              <w:rPr>
                <w:rFonts w:ascii="Garamond" w:hAnsi="Garamond"/>
                <w:lang w:val="sq-AL"/>
              </w:rPr>
            </w:pPr>
          </w:p>
        </w:tc>
        <w:tc>
          <w:tcPr>
            <w:tcW w:w="1090" w:type="pct"/>
            <w:shd w:val="clear" w:color="auto" w:fill="auto"/>
            <w:vAlign w:val="center"/>
            <w:hideMark/>
          </w:tcPr>
          <w:p w14:paraId="07CB4A94" w14:textId="77777777" w:rsidR="00E43879" w:rsidRPr="00445472" w:rsidRDefault="00E43879" w:rsidP="002A1F08">
            <w:pPr>
              <w:pStyle w:val="TableTextLeft"/>
              <w:rPr>
                <w:rFonts w:ascii="Garamond" w:hAnsi="Garamond"/>
                <w:lang w:val="sq-AL"/>
              </w:rPr>
            </w:pPr>
            <w:r w:rsidRPr="00445472">
              <w:rPr>
                <w:rFonts w:ascii="Garamond" w:hAnsi="Garamond"/>
                <w:lang w:val="sq-AL"/>
              </w:rPr>
              <w:t>Hartimi dhe zbatimi i Planeve të Menaxhimit të Thatësirave në përputhje me standardet ndërkombëtare, duke përfshirë mekanizmin e angazhimit nëpërmjet komunikimit dhe me përfshirjen e burrave, grave, djemve dhe vajzave.</w:t>
            </w:r>
          </w:p>
        </w:tc>
        <w:tc>
          <w:tcPr>
            <w:tcW w:w="544" w:type="pct"/>
            <w:shd w:val="clear" w:color="auto" w:fill="auto"/>
            <w:vAlign w:val="center"/>
            <w:hideMark/>
          </w:tcPr>
          <w:p w14:paraId="1CF8BED3"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të brendshme ose të jashtme</w:t>
            </w:r>
          </w:p>
        </w:tc>
        <w:tc>
          <w:tcPr>
            <w:tcW w:w="842" w:type="pct"/>
            <w:shd w:val="clear" w:color="auto" w:fill="auto"/>
            <w:vAlign w:val="center"/>
            <w:hideMark/>
          </w:tcPr>
          <w:p w14:paraId="0DBD5AD4"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 ministritë e linjës, prefektura, Zyrat e Administrimit të Baseneve Ujore dhe KBU-të</w:t>
            </w:r>
          </w:p>
        </w:tc>
        <w:tc>
          <w:tcPr>
            <w:tcW w:w="1732" w:type="pct"/>
            <w:shd w:val="clear" w:color="auto" w:fill="auto"/>
            <w:vAlign w:val="center"/>
            <w:hideMark/>
          </w:tcPr>
          <w:p w14:paraId="34523701" w14:textId="141E682D" w:rsidR="00E43879" w:rsidRPr="00445472" w:rsidRDefault="00E43879" w:rsidP="002A1F08">
            <w:pPr>
              <w:pStyle w:val="TableTextLeft"/>
              <w:rPr>
                <w:rFonts w:ascii="Garamond" w:hAnsi="Garamond"/>
                <w:lang w:val="sq-AL"/>
              </w:rPr>
            </w:pPr>
            <w:r w:rsidRPr="00445472">
              <w:rPr>
                <w:rFonts w:ascii="Garamond" w:hAnsi="Garamond"/>
                <w:lang w:val="sq-AL"/>
              </w:rPr>
              <w:t xml:space="preserve">Trajnimi teknik i stafit kyç për modelin </w:t>
            </w:r>
            <w:r w:rsidR="000A1B7F" w:rsidRPr="00445472">
              <w:rPr>
                <w:rFonts w:ascii="Garamond" w:hAnsi="Garamond"/>
                <w:lang w:val="sq-AL"/>
              </w:rPr>
              <w:t xml:space="preserve">Mike Hydro </w:t>
            </w:r>
            <w:r w:rsidRPr="00445472">
              <w:rPr>
                <w:rFonts w:ascii="Garamond" w:hAnsi="Garamond"/>
                <w:lang w:val="sq-AL"/>
              </w:rPr>
              <w:t>nën aplikimet operacionale afatshkurtra për të përcaktuar disponueshmërinë sezonale të ujit</w:t>
            </w:r>
          </w:p>
          <w:p w14:paraId="5114FFD9" w14:textId="77777777" w:rsidR="00E43879" w:rsidRPr="00445472" w:rsidRDefault="00E43879" w:rsidP="002A1F08">
            <w:pPr>
              <w:pStyle w:val="TableTextLeft"/>
              <w:rPr>
                <w:rFonts w:ascii="Garamond" w:hAnsi="Garamond"/>
                <w:lang w:val="sq-AL"/>
              </w:rPr>
            </w:pPr>
            <w:r w:rsidRPr="00445472">
              <w:rPr>
                <w:rFonts w:ascii="Garamond" w:hAnsi="Garamond"/>
                <w:lang w:val="sq-AL"/>
              </w:rPr>
              <w:t>Përgatitja, miratimi dhe zbatimi i Planeve të Menaxhimit të Thatësirës</w:t>
            </w:r>
          </w:p>
          <w:p w14:paraId="2DA8038C"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Zbatimi i fushatave të ndërgjegjësimit ndaj thatësirës dhe një plani veprimi për përdorimin e ujit në zonat e prekshme përmes KBU-ve, OJQ-ve dhe CSO-ve me komunikim për të gjitha palët e interesuara përmes të gjitha mjeteve të mundshme. </w:t>
            </w:r>
          </w:p>
        </w:tc>
      </w:tr>
      <w:tr w:rsidR="00E43879" w:rsidRPr="00445472" w14:paraId="27C44798" w14:textId="77777777" w:rsidTr="00E43879">
        <w:trPr>
          <w:jc w:val="center"/>
        </w:trPr>
        <w:tc>
          <w:tcPr>
            <w:tcW w:w="793" w:type="pct"/>
            <w:shd w:val="clear" w:color="auto" w:fill="auto"/>
            <w:vAlign w:val="center"/>
          </w:tcPr>
          <w:p w14:paraId="182E3031" w14:textId="623240F6" w:rsidR="00E43879" w:rsidRPr="00445472" w:rsidRDefault="00E43879" w:rsidP="002A1F08">
            <w:pPr>
              <w:pStyle w:val="TableTextLeft"/>
              <w:rPr>
                <w:rFonts w:ascii="Garamond" w:hAnsi="Garamond"/>
                <w:lang w:val="sq-AL"/>
              </w:rPr>
            </w:pPr>
            <w:r w:rsidRPr="00445472">
              <w:rPr>
                <w:rFonts w:ascii="Garamond" w:hAnsi="Garamond"/>
                <w:lang w:val="sq-AL"/>
              </w:rPr>
              <w:t xml:space="preserve">Siguri e </w:t>
            </w:r>
            <w:r w:rsidR="000E4E18" w:rsidRPr="00445472">
              <w:rPr>
                <w:rFonts w:ascii="Garamond" w:hAnsi="Garamond"/>
                <w:lang w:val="sq-AL"/>
              </w:rPr>
              <w:t>qëndrueshme</w:t>
            </w:r>
            <w:r w:rsidRPr="00445472">
              <w:rPr>
                <w:rFonts w:ascii="Garamond" w:hAnsi="Garamond"/>
                <w:lang w:val="sq-AL"/>
              </w:rPr>
              <w:t xml:space="preserve"> dhe efikase. Program Masash i ndryshueshëm sipas klimës (në lidhje me sasinë dhe cilësinë)</w:t>
            </w:r>
          </w:p>
        </w:tc>
        <w:tc>
          <w:tcPr>
            <w:tcW w:w="1090" w:type="pct"/>
            <w:shd w:val="clear" w:color="auto" w:fill="auto"/>
            <w:vAlign w:val="center"/>
          </w:tcPr>
          <w:p w14:paraId="3EFB7907" w14:textId="77777777" w:rsidR="00E43879" w:rsidRPr="00445472" w:rsidRDefault="00E43879" w:rsidP="002A1F08">
            <w:pPr>
              <w:pStyle w:val="TableTextLeft"/>
              <w:rPr>
                <w:rFonts w:ascii="Garamond" w:hAnsi="Garamond"/>
                <w:lang w:val="sq-AL"/>
              </w:rPr>
            </w:pPr>
            <w:r w:rsidRPr="00445472">
              <w:rPr>
                <w:rFonts w:ascii="Garamond" w:hAnsi="Garamond"/>
                <w:lang w:val="sq-AL"/>
              </w:rPr>
              <w:t>Planet e Menaxhimit janë në përputhje me legjislacionin e BE-së për ndryshimet klimatike</w:t>
            </w:r>
            <w:r w:rsidRPr="00445472" w:rsidDel="00D60368">
              <w:rPr>
                <w:rFonts w:ascii="Garamond" w:hAnsi="Garamond"/>
                <w:lang w:val="sq-AL"/>
              </w:rPr>
              <w:t xml:space="preserve"> </w:t>
            </w:r>
          </w:p>
        </w:tc>
        <w:tc>
          <w:tcPr>
            <w:tcW w:w="544" w:type="pct"/>
            <w:shd w:val="clear" w:color="auto" w:fill="auto"/>
            <w:vAlign w:val="center"/>
          </w:tcPr>
          <w:p w14:paraId="505EE858"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të brendshme ose të jashtme</w:t>
            </w:r>
          </w:p>
        </w:tc>
        <w:tc>
          <w:tcPr>
            <w:tcW w:w="842" w:type="pct"/>
            <w:shd w:val="clear" w:color="auto" w:fill="auto"/>
            <w:vAlign w:val="center"/>
          </w:tcPr>
          <w:p w14:paraId="640459E6"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w:t>
            </w:r>
          </w:p>
        </w:tc>
        <w:tc>
          <w:tcPr>
            <w:tcW w:w="1732" w:type="pct"/>
            <w:shd w:val="clear" w:color="auto" w:fill="auto"/>
            <w:vAlign w:val="center"/>
          </w:tcPr>
          <w:p w14:paraId="15F9B5E8" w14:textId="77777777" w:rsidR="00E43879" w:rsidRPr="00445472" w:rsidRDefault="00E43879" w:rsidP="002A1F08">
            <w:pPr>
              <w:pStyle w:val="TableTextLeft"/>
              <w:rPr>
                <w:rFonts w:ascii="Garamond" w:hAnsi="Garamond"/>
                <w:lang w:val="sq-AL"/>
              </w:rPr>
            </w:pPr>
            <w:r w:rsidRPr="00445472">
              <w:rPr>
                <w:rFonts w:ascii="Garamond" w:hAnsi="Garamond"/>
                <w:lang w:val="sq-AL"/>
              </w:rPr>
              <w:t>Ku është e përshtatshme, sigurohuni që të gjitha masat themelore dhe plotësuese në PM për PMBU-të të jenë efikase.</w:t>
            </w:r>
          </w:p>
        </w:tc>
      </w:tr>
    </w:tbl>
    <w:p w14:paraId="2FFB628B" w14:textId="77777777" w:rsidR="00E43879" w:rsidRPr="00445472" w:rsidRDefault="00E43879" w:rsidP="00E43879">
      <w:pPr>
        <w:rPr>
          <w:rFonts w:ascii="Garamond" w:hAnsi="Garamond"/>
          <w:b/>
        </w:rPr>
      </w:pPr>
    </w:p>
    <w:p w14:paraId="76B22384" w14:textId="77777777" w:rsidR="00E43879" w:rsidRPr="00445472" w:rsidRDefault="00E43879" w:rsidP="00E43879">
      <w:pPr>
        <w:rPr>
          <w:rFonts w:ascii="Garamond" w:hAnsi="Garamond"/>
          <w:b/>
        </w:rPr>
      </w:pPr>
    </w:p>
    <w:p w14:paraId="2B09768A" w14:textId="77777777" w:rsidR="00E43879" w:rsidRPr="00445472" w:rsidRDefault="00E43879" w:rsidP="00E43879">
      <w:pPr>
        <w:rPr>
          <w:rFonts w:ascii="Garamond" w:hAnsi="Garamond"/>
          <w:b/>
        </w:rPr>
      </w:pPr>
    </w:p>
    <w:p w14:paraId="25156214" w14:textId="77777777" w:rsidR="00E43879" w:rsidRPr="00445472" w:rsidRDefault="00E43879" w:rsidP="00E43879">
      <w:pPr>
        <w:rPr>
          <w:rFonts w:ascii="Garamond" w:hAnsi="Garamond"/>
          <w:b/>
        </w:rPr>
      </w:pPr>
    </w:p>
    <w:p w14:paraId="406059DB" w14:textId="77777777" w:rsidR="00E43879" w:rsidRPr="00445472" w:rsidRDefault="00E43879" w:rsidP="00E43879">
      <w:pPr>
        <w:rPr>
          <w:rFonts w:ascii="Garamond" w:hAnsi="Garamond"/>
          <w:b/>
        </w:rPr>
      </w:pPr>
    </w:p>
    <w:p w14:paraId="4B63F010" w14:textId="77777777" w:rsidR="00E43879" w:rsidRPr="00445472" w:rsidRDefault="00E43879" w:rsidP="00E43879">
      <w:pPr>
        <w:rPr>
          <w:rFonts w:ascii="Garamond" w:hAnsi="Garamond"/>
          <w:b/>
        </w:rPr>
      </w:pPr>
    </w:p>
    <w:p w14:paraId="53FD76EB" w14:textId="77777777" w:rsidR="00E43879" w:rsidRPr="00445472" w:rsidRDefault="00E43879" w:rsidP="00E43879">
      <w:pPr>
        <w:rPr>
          <w:rFonts w:ascii="Garamond" w:hAnsi="Garamond"/>
          <w:b/>
        </w:rPr>
      </w:pPr>
    </w:p>
    <w:p w14:paraId="3DC7FECC" w14:textId="77777777" w:rsidR="00E43879" w:rsidRPr="00445472" w:rsidRDefault="00E43879" w:rsidP="00E43879">
      <w:pPr>
        <w:rPr>
          <w:rFonts w:ascii="Garamond" w:hAnsi="Garamond"/>
          <w:b/>
        </w:rPr>
      </w:pPr>
    </w:p>
    <w:p w14:paraId="3C86A164" w14:textId="77777777" w:rsidR="00E43879" w:rsidRPr="00445472" w:rsidRDefault="00E43879" w:rsidP="00E43879">
      <w:pPr>
        <w:rPr>
          <w:rFonts w:ascii="Garamond" w:hAnsi="Garamond"/>
          <w:b/>
        </w:rPr>
      </w:pPr>
    </w:p>
    <w:p w14:paraId="5645EF89" w14:textId="77777777" w:rsidR="00E43879" w:rsidRPr="00445472" w:rsidRDefault="00E43879" w:rsidP="00E43879">
      <w:pPr>
        <w:pStyle w:val="NENTITULL"/>
      </w:pPr>
      <w:r w:rsidRPr="00445472">
        <w:t>Tabela 14.5 Informacioni për ujin</w:t>
      </w:r>
    </w:p>
    <w:tbl>
      <w:tblPr>
        <w:tblW w:w="14317" w:type="dxa"/>
        <w:jc w:val="center"/>
        <w:tblBorders>
          <w:top w:val="single" w:sz="8" w:space="0" w:color="auto"/>
          <w:bottom w:val="single" w:sz="8" w:space="0" w:color="auto"/>
          <w:insideH w:val="single" w:sz="2" w:space="0" w:color="27BDBE"/>
        </w:tblBorders>
        <w:tblLayout w:type="fixed"/>
        <w:tblCellMar>
          <w:left w:w="0" w:type="dxa"/>
          <w:right w:w="0" w:type="dxa"/>
        </w:tblCellMar>
        <w:tblLook w:val="0620" w:firstRow="1" w:lastRow="0" w:firstColumn="0" w:lastColumn="0" w:noHBand="1" w:noVBand="1"/>
      </w:tblPr>
      <w:tblGrid>
        <w:gridCol w:w="2270"/>
        <w:gridCol w:w="3121"/>
        <w:gridCol w:w="1558"/>
        <w:gridCol w:w="2411"/>
        <w:gridCol w:w="4957"/>
      </w:tblGrid>
      <w:tr w:rsidR="00E43879" w:rsidRPr="00445472" w14:paraId="0A77618A" w14:textId="77777777" w:rsidTr="00E43879">
        <w:trPr>
          <w:jc w:val="center"/>
        </w:trPr>
        <w:tc>
          <w:tcPr>
            <w:tcW w:w="793" w:type="pct"/>
            <w:tcBorders>
              <w:bottom w:val="single" w:sz="8" w:space="0" w:color="000000"/>
            </w:tcBorders>
            <w:shd w:val="clear" w:color="auto" w:fill="auto"/>
            <w:vAlign w:val="center"/>
          </w:tcPr>
          <w:p w14:paraId="54034624"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Objektivat e politikave</w:t>
            </w:r>
            <w:r w:rsidRPr="00445472">
              <w:rPr>
                <w:rFonts w:ascii="Garamond" w:hAnsi="Garamond"/>
                <w:color w:val="auto"/>
                <w:vertAlign w:val="superscript"/>
                <w:lang w:val="sq-AL"/>
              </w:rPr>
              <w:footnoteReference w:id="225"/>
            </w:r>
          </w:p>
        </w:tc>
        <w:tc>
          <w:tcPr>
            <w:tcW w:w="1090" w:type="pct"/>
            <w:tcBorders>
              <w:bottom w:val="single" w:sz="8" w:space="0" w:color="000000"/>
            </w:tcBorders>
            <w:shd w:val="clear" w:color="auto" w:fill="auto"/>
            <w:vAlign w:val="center"/>
          </w:tcPr>
          <w:p w14:paraId="1CA6B815"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Rezultatet kryesore</w:t>
            </w:r>
          </w:p>
        </w:tc>
        <w:tc>
          <w:tcPr>
            <w:tcW w:w="544" w:type="pct"/>
            <w:tcBorders>
              <w:bottom w:val="single" w:sz="8" w:space="0" w:color="000000"/>
            </w:tcBorders>
            <w:shd w:val="clear" w:color="auto" w:fill="auto"/>
            <w:vAlign w:val="center"/>
          </w:tcPr>
          <w:p w14:paraId="42F0D1C6"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Verifikimi</w:t>
            </w:r>
          </w:p>
        </w:tc>
        <w:tc>
          <w:tcPr>
            <w:tcW w:w="842" w:type="pct"/>
            <w:tcBorders>
              <w:bottom w:val="single" w:sz="8" w:space="0" w:color="000000"/>
            </w:tcBorders>
            <w:shd w:val="clear" w:color="auto" w:fill="auto"/>
            <w:vAlign w:val="center"/>
          </w:tcPr>
          <w:p w14:paraId="2BAC7219"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Aktorët</w:t>
            </w:r>
          </w:p>
        </w:tc>
        <w:tc>
          <w:tcPr>
            <w:tcW w:w="1732" w:type="pct"/>
            <w:tcBorders>
              <w:bottom w:val="single" w:sz="8" w:space="0" w:color="000000"/>
            </w:tcBorders>
            <w:shd w:val="clear" w:color="auto" w:fill="auto"/>
            <w:vAlign w:val="center"/>
          </w:tcPr>
          <w:p w14:paraId="11A1E268"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Rekomandimet për Planifikimin e Menaxhimit të Basenit Ujor</w:t>
            </w:r>
          </w:p>
        </w:tc>
      </w:tr>
      <w:tr w:rsidR="00E43879" w:rsidRPr="00445472" w14:paraId="0E7EFB54" w14:textId="77777777" w:rsidTr="00E43879">
        <w:trPr>
          <w:jc w:val="center"/>
        </w:trPr>
        <w:tc>
          <w:tcPr>
            <w:tcW w:w="793" w:type="pct"/>
            <w:vMerge w:val="restart"/>
            <w:shd w:val="clear" w:color="auto" w:fill="auto"/>
            <w:vAlign w:val="center"/>
          </w:tcPr>
          <w:p w14:paraId="20E58FA0"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Sigurimi i sistemeve të monitorimit të ujit </w:t>
            </w:r>
          </w:p>
        </w:tc>
        <w:tc>
          <w:tcPr>
            <w:tcW w:w="1090" w:type="pct"/>
            <w:shd w:val="clear" w:color="auto" w:fill="auto"/>
            <w:vAlign w:val="center"/>
          </w:tcPr>
          <w:p w14:paraId="21C3B236" w14:textId="77777777" w:rsidR="00E43879" w:rsidRPr="00445472" w:rsidRDefault="00E43879" w:rsidP="002A1F08">
            <w:pPr>
              <w:pStyle w:val="TableTextLeft"/>
              <w:rPr>
                <w:rFonts w:ascii="Garamond" w:hAnsi="Garamond"/>
                <w:lang w:val="sq-AL"/>
              </w:rPr>
            </w:pPr>
            <w:r w:rsidRPr="00445472">
              <w:rPr>
                <w:rFonts w:ascii="Garamond" w:hAnsi="Garamond"/>
                <w:lang w:val="sq-AL"/>
              </w:rPr>
              <w:t>Harmonizimi i planeve funksionale të monitorimit në përputhje me legjislacionin dhe përcaktimin ku, sa shpesh dhe çfarë do të monitorohet (përfshirë gjithashtu në cilësinë e ujit)</w:t>
            </w:r>
          </w:p>
        </w:tc>
        <w:tc>
          <w:tcPr>
            <w:tcW w:w="544" w:type="pct"/>
            <w:shd w:val="clear" w:color="auto" w:fill="auto"/>
            <w:vAlign w:val="center"/>
          </w:tcPr>
          <w:p w14:paraId="6B988739" w14:textId="77777777" w:rsidR="00E43879" w:rsidRPr="00445472" w:rsidRDefault="00E43879" w:rsidP="002A1F08">
            <w:pPr>
              <w:pStyle w:val="TableTextLeft"/>
              <w:rPr>
                <w:rFonts w:ascii="Garamond" w:hAnsi="Garamond"/>
                <w:lang w:val="sq-AL"/>
              </w:rPr>
            </w:pPr>
            <w:r w:rsidRPr="00445472">
              <w:rPr>
                <w:rFonts w:ascii="Garamond" w:hAnsi="Garamond"/>
                <w:lang w:val="sq-AL"/>
              </w:rPr>
              <w:t>Strategjia e monitorimit/planet e monitorimit, identifikimi i pikave të monitorimit, shpeshtia dhe treguesit</w:t>
            </w:r>
          </w:p>
        </w:tc>
        <w:tc>
          <w:tcPr>
            <w:tcW w:w="842" w:type="pct"/>
            <w:shd w:val="clear" w:color="auto" w:fill="auto"/>
            <w:vAlign w:val="center"/>
          </w:tcPr>
          <w:p w14:paraId="55888C18" w14:textId="3AC83D39" w:rsidR="00E43879" w:rsidRPr="00445472" w:rsidRDefault="00E43879" w:rsidP="002A1F08">
            <w:pPr>
              <w:pStyle w:val="TableTextLeft"/>
              <w:rPr>
                <w:rFonts w:ascii="Garamond" w:hAnsi="Garamond"/>
                <w:lang w:val="sq-AL"/>
              </w:rPr>
            </w:pPr>
            <w:r w:rsidRPr="00445472">
              <w:rPr>
                <w:rFonts w:ascii="Garamond" w:hAnsi="Garamond"/>
                <w:lang w:val="sq-AL"/>
              </w:rPr>
              <w:t xml:space="preserve">Agjencia e Menaxhimit të Burimeve Ujore në bashkëpunim me </w:t>
            </w:r>
            <w:r w:rsidR="00F17E7E" w:rsidRPr="00445472">
              <w:rPr>
                <w:rFonts w:ascii="Garamond" w:hAnsi="Garamond"/>
                <w:lang w:val="sq-AL"/>
              </w:rPr>
              <w:t>institucionet</w:t>
            </w:r>
            <w:r w:rsidRPr="00445472">
              <w:rPr>
                <w:rFonts w:ascii="Garamond" w:hAnsi="Garamond"/>
                <w:lang w:val="sq-AL"/>
              </w:rPr>
              <w:t xml:space="preserve"> e ujit</w:t>
            </w:r>
          </w:p>
          <w:p w14:paraId="72734E41" w14:textId="77777777" w:rsidR="00E43879" w:rsidRPr="00445472" w:rsidRDefault="00E43879" w:rsidP="002A1F08">
            <w:pPr>
              <w:pStyle w:val="TableTextLeft"/>
              <w:rPr>
                <w:rFonts w:ascii="Garamond" w:hAnsi="Garamond"/>
                <w:lang w:val="sq-AL"/>
              </w:rPr>
            </w:pPr>
          </w:p>
        </w:tc>
        <w:tc>
          <w:tcPr>
            <w:tcW w:w="1732" w:type="pct"/>
            <w:shd w:val="clear" w:color="auto" w:fill="auto"/>
            <w:vAlign w:val="center"/>
          </w:tcPr>
          <w:p w14:paraId="4C8E1623" w14:textId="5BFDDD24" w:rsidR="00E43879" w:rsidRPr="00445472" w:rsidRDefault="00E43879" w:rsidP="002A1F08">
            <w:pPr>
              <w:pStyle w:val="TableTextLeft"/>
              <w:rPr>
                <w:rFonts w:ascii="Garamond" w:hAnsi="Garamond"/>
                <w:lang w:val="sq-AL"/>
              </w:rPr>
            </w:pPr>
            <w:r w:rsidRPr="00445472">
              <w:rPr>
                <w:rFonts w:ascii="Garamond" w:hAnsi="Garamond"/>
                <w:lang w:val="sq-AL"/>
              </w:rPr>
              <w:t>Zhvillimi i një programi monitorimi 'realist' për ujërat sipërfaqësor</w:t>
            </w:r>
            <w:r w:rsidR="00445472">
              <w:rPr>
                <w:rFonts w:ascii="Garamond" w:hAnsi="Garamond"/>
                <w:lang w:val="sq-AL"/>
              </w:rPr>
              <w:t>e</w:t>
            </w:r>
            <w:r w:rsidRPr="00445472">
              <w:rPr>
                <w:rFonts w:ascii="Garamond" w:hAnsi="Garamond"/>
                <w:lang w:val="sq-AL"/>
              </w:rPr>
              <w:t xml:space="preserve"> dhe nëntokësorë, duke marrë parasysh aftësitë e tanishme teknike për të kryer monitorimin në përputhje me DKU-në, në lidhje me aftësitë teknike, instrumentet dhe kërkesat e trajnimit.</w:t>
            </w:r>
          </w:p>
          <w:p w14:paraId="01F426BE" w14:textId="77777777" w:rsidR="00E43879" w:rsidRPr="00445472" w:rsidRDefault="00E43879" w:rsidP="002A1F08">
            <w:pPr>
              <w:pStyle w:val="TableTextLeft"/>
              <w:rPr>
                <w:rFonts w:ascii="Garamond" w:hAnsi="Garamond"/>
                <w:lang w:val="sq-AL"/>
              </w:rPr>
            </w:pPr>
            <w:r w:rsidRPr="00445472">
              <w:rPr>
                <w:rFonts w:ascii="Garamond" w:hAnsi="Garamond"/>
                <w:lang w:val="sq-AL"/>
              </w:rPr>
              <w:t>Zhvillimi i procedurave për regjistrimin e të dhënave në kadastrën e ujit dhe analizimin e të dhënave dhe raportimin siç kërkohet nga AEM.</w:t>
            </w:r>
          </w:p>
        </w:tc>
      </w:tr>
      <w:tr w:rsidR="00E43879" w:rsidRPr="00445472" w14:paraId="6EEEEE52" w14:textId="77777777" w:rsidTr="00E43879">
        <w:trPr>
          <w:jc w:val="center"/>
        </w:trPr>
        <w:tc>
          <w:tcPr>
            <w:tcW w:w="793" w:type="pct"/>
            <w:vMerge/>
            <w:shd w:val="clear" w:color="auto" w:fill="auto"/>
            <w:vAlign w:val="center"/>
          </w:tcPr>
          <w:p w14:paraId="387C70C1" w14:textId="77777777" w:rsidR="00E43879" w:rsidRPr="00445472" w:rsidRDefault="00E43879" w:rsidP="002A1F08">
            <w:pPr>
              <w:pStyle w:val="TableTextLeft"/>
              <w:rPr>
                <w:rFonts w:ascii="Garamond" w:hAnsi="Garamond"/>
                <w:lang w:val="sq-AL"/>
              </w:rPr>
            </w:pPr>
          </w:p>
        </w:tc>
        <w:tc>
          <w:tcPr>
            <w:tcW w:w="1090" w:type="pct"/>
            <w:shd w:val="clear" w:color="auto" w:fill="auto"/>
            <w:vAlign w:val="center"/>
          </w:tcPr>
          <w:p w14:paraId="18FE5F2D" w14:textId="77777777" w:rsidR="00E43879" w:rsidRPr="00445472" w:rsidRDefault="00E43879" w:rsidP="002A1F08">
            <w:pPr>
              <w:pStyle w:val="TableTextLeft"/>
              <w:rPr>
                <w:rFonts w:ascii="Garamond" w:hAnsi="Garamond"/>
                <w:lang w:val="sq-AL"/>
              </w:rPr>
            </w:pPr>
            <w:r w:rsidRPr="00445472">
              <w:rPr>
                <w:rFonts w:ascii="Garamond" w:hAnsi="Garamond"/>
                <w:lang w:val="sq-AL"/>
              </w:rPr>
              <w:t>Ngritja e rrjeteve të monitorimit të ujërave nëntokësore (përfshirë gjithashtu në cilësinë e ujit)</w:t>
            </w:r>
          </w:p>
        </w:tc>
        <w:tc>
          <w:tcPr>
            <w:tcW w:w="544" w:type="pct"/>
            <w:shd w:val="clear" w:color="auto" w:fill="auto"/>
            <w:vAlign w:val="center"/>
          </w:tcPr>
          <w:p w14:paraId="71960AA0"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standarde monitorimi në përputhje me DKU-në</w:t>
            </w:r>
          </w:p>
        </w:tc>
        <w:tc>
          <w:tcPr>
            <w:tcW w:w="842" w:type="pct"/>
            <w:shd w:val="clear" w:color="auto" w:fill="auto"/>
            <w:vAlign w:val="center"/>
          </w:tcPr>
          <w:p w14:paraId="24228EB1" w14:textId="77777777" w:rsidR="00E43879" w:rsidRPr="00445472" w:rsidRDefault="00E43879" w:rsidP="002A1F08">
            <w:pPr>
              <w:pStyle w:val="TableTextLeft"/>
              <w:rPr>
                <w:rFonts w:ascii="Garamond" w:hAnsi="Garamond"/>
                <w:lang w:val="sq-AL"/>
              </w:rPr>
            </w:pPr>
            <w:r w:rsidRPr="00445472">
              <w:rPr>
                <w:rFonts w:ascii="Garamond" w:hAnsi="Garamond"/>
                <w:lang w:val="sq-AL"/>
              </w:rPr>
              <w:t>Bashkëpunim midis institucioneve të ujit</w:t>
            </w:r>
          </w:p>
        </w:tc>
        <w:tc>
          <w:tcPr>
            <w:tcW w:w="1732" w:type="pct"/>
            <w:shd w:val="clear" w:color="auto" w:fill="auto"/>
            <w:vAlign w:val="center"/>
          </w:tcPr>
          <w:p w14:paraId="5CC8EBCC" w14:textId="0A8EA55E" w:rsidR="00E43879" w:rsidRPr="00445472" w:rsidRDefault="00E43879" w:rsidP="002A1F08">
            <w:pPr>
              <w:pStyle w:val="TableTextLeft"/>
              <w:rPr>
                <w:rFonts w:ascii="Garamond" w:hAnsi="Garamond"/>
                <w:lang w:val="sq-AL"/>
              </w:rPr>
            </w:pPr>
            <w:r w:rsidRPr="00445472">
              <w:rPr>
                <w:rFonts w:ascii="Garamond" w:hAnsi="Garamond"/>
                <w:lang w:val="sq-AL"/>
              </w:rPr>
              <w:t xml:space="preserve">Përcaktimi i monitorimit të ujërave nëntokësore (sipas Direktivës Kuadër të BE-së për Ujërat, </w:t>
            </w:r>
            <w:r w:rsidR="00445472" w:rsidRPr="00445472">
              <w:rPr>
                <w:rFonts w:ascii="Garamond" w:hAnsi="Garamond"/>
                <w:lang w:val="sq-AL"/>
              </w:rPr>
              <w:t xml:space="preserve">shtojca </w:t>
            </w:r>
            <w:r w:rsidRPr="00445472">
              <w:rPr>
                <w:rFonts w:ascii="Garamond" w:hAnsi="Garamond"/>
                <w:lang w:val="sq-AL"/>
              </w:rPr>
              <w:t>II, 1.2.1 Direktiva Kuadër e Ujërave të BE-së, Shtojca II, 1.2.1) bazuar në anketën hidrogeologjike, procedurat e vlerësimit të rrezikut për frekuencën dhe mbulimin e zonës së përshtatshme, p.sh. stacionet për km</w:t>
            </w:r>
            <w:r w:rsidRPr="00445472">
              <w:rPr>
                <w:rFonts w:ascii="Garamond" w:hAnsi="Garamond"/>
                <w:vertAlign w:val="superscript"/>
                <w:lang w:val="sq-AL"/>
              </w:rPr>
              <w:t>2</w:t>
            </w:r>
            <w:r w:rsidRPr="00445472">
              <w:rPr>
                <w:rFonts w:ascii="Garamond" w:hAnsi="Garamond"/>
                <w:lang w:val="sq-AL"/>
              </w:rPr>
              <w:t>.</w:t>
            </w:r>
          </w:p>
          <w:p w14:paraId="230AE699" w14:textId="77777777" w:rsidR="00E43879" w:rsidRPr="00445472" w:rsidRDefault="00E43879" w:rsidP="002A1F08">
            <w:pPr>
              <w:pStyle w:val="TableTextLeft"/>
              <w:rPr>
                <w:rFonts w:ascii="Garamond" w:hAnsi="Garamond"/>
                <w:lang w:val="sq-AL"/>
              </w:rPr>
            </w:pPr>
            <w:r w:rsidRPr="00445472">
              <w:rPr>
                <w:rFonts w:ascii="Garamond" w:hAnsi="Garamond"/>
                <w:lang w:val="sq-AL"/>
              </w:rPr>
              <w:t>Pajisni siç duhet të gjitha stacionet monitoruese të ujërave nëntokësore dhe zbatoni monitorimin dhe raportimin e të dhënave në përputhje me DKU-në.</w:t>
            </w:r>
          </w:p>
          <w:p w14:paraId="743D4E3A"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rregulloreve për ujësjellësin dhe koncesionarët për të matur dhe siguruar të dhëna për sasinë dhe cilësinë e ujërave nëntokësore.</w:t>
            </w:r>
          </w:p>
        </w:tc>
      </w:tr>
      <w:tr w:rsidR="00E43879" w:rsidRPr="00445472" w14:paraId="423496C6" w14:textId="77777777" w:rsidTr="00E43879">
        <w:trPr>
          <w:jc w:val="center"/>
        </w:trPr>
        <w:tc>
          <w:tcPr>
            <w:tcW w:w="793" w:type="pct"/>
            <w:vMerge/>
            <w:shd w:val="clear" w:color="auto" w:fill="auto"/>
            <w:vAlign w:val="center"/>
          </w:tcPr>
          <w:p w14:paraId="5F39A551" w14:textId="77777777" w:rsidR="00E43879" w:rsidRPr="00445472" w:rsidRDefault="00E43879" w:rsidP="002A1F08">
            <w:pPr>
              <w:pStyle w:val="TableTextLeft"/>
              <w:rPr>
                <w:rFonts w:ascii="Garamond" w:hAnsi="Garamond"/>
                <w:lang w:val="sq-AL"/>
              </w:rPr>
            </w:pPr>
          </w:p>
        </w:tc>
        <w:tc>
          <w:tcPr>
            <w:tcW w:w="1090" w:type="pct"/>
            <w:shd w:val="clear" w:color="auto" w:fill="auto"/>
            <w:vAlign w:val="center"/>
          </w:tcPr>
          <w:p w14:paraId="4187F30F" w14:textId="4D3DE4B9" w:rsidR="00E43879" w:rsidRPr="00445472" w:rsidRDefault="00E43879" w:rsidP="002A1F08">
            <w:pPr>
              <w:pStyle w:val="TableTextLeft"/>
              <w:rPr>
                <w:rFonts w:ascii="Garamond" w:hAnsi="Garamond"/>
                <w:lang w:val="sq-AL"/>
              </w:rPr>
            </w:pPr>
            <w:r w:rsidRPr="00445472">
              <w:rPr>
                <w:rFonts w:ascii="Garamond" w:hAnsi="Garamond"/>
                <w:lang w:val="sq-AL"/>
              </w:rPr>
              <w:t xml:space="preserve">Rrjete monitorimi funksionale për </w:t>
            </w:r>
            <w:r w:rsidR="00F17E7E" w:rsidRPr="00445472">
              <w:rPr>
                <w:rFonts w:ascii="Garamond" w:hAnsi="Garamond"/>
                <w:lang w:val="sq-AL"/>
              </w:rPr>
              <w:t>cilësinë</w:t>
            </w:r>
            <w:r w:rsidRPr="00445472">
              <w:rPr>
                <w:rFonts w:ascii="Garamond" w:hAnsi="Garamond"/>
                <w:lang w:val="sq-AL"/>
              </w:rPr>
              <w:t xml:space="preserve"> e </w:t>
            </w:r>
            <w:r w:rsidR="00F17E7E" w:rsidRPr="00445472">
              <w:rPr>
                <w:rFonts w:ascii="Garamond" w:hAnsi="Garamond"/>
                <w:lang w:val="sq-AL"/>
              </w:rPr>
              <w:t>ujërave</w:t>
            </w:r>
            <w:r w:rsidRPr="00445472">
              <w:rPr>
                <w:rFonts w:ascii="Garamond" w:hAnsi="Garamond"/>
                <w:lang w:val="sq-AL"/>
              </w:rPr>
              <w:t xml:space="preserve"> të lumenjve (përfshirë gjithashtu në cilësinë e ujit)</w:t>
            </w:r>
          </w:p>
        </w:tc>
        <w:tc>
          <w:tcPr>
            <w:tcW w:w="544" w:type="pct"/>
            <w:shd w:val="clear" w:color="auto" w:fill="auto"/>
            <w:vAlign w:val="center"/>
          </w:tcPr>
          <w:p w14:paraId="1784701A" w14:textId="77777777" w:rsidR="00E43879" w:rsidRPr="00445472" w:rsidRDefault="00E43879" w:rsidP="002A1F08">
            <w:pPr>
              <w:pStyle w:val="TableTextLeft"/>
              <w:rPr>
                <w:rFonts w:ascii="Garamond" w:hAnsi="Garamond"/>
                <w:lang w:val="sq-AL"/>
              </w:rPr>
            </w:pPr>
            <w:r w:rsidRPr="00445472">
              <w:rPr>
                <w:rFonts w:ascii="Garamond" w:hAnsi="Garamond"/>
                <w:lang w:val="sq-AL"/>
              </w:rPr>
              <w:t>Procedura në përputhje me DKU-në në rregulloren kombëtare</w:t>
            </w:r>
          </w:p>
        </w:tc>
        <w:tc>
          <w:tcPr>
            <w:tcW w:w="842" w:type="pct"/>
            <w:vMerge w:val="restart"/>
            <w:shd w:val="clear" w:color="auto" w:fill="auto"/>
            <w:vAlign w:val="center"/>
          </w:tcPr>
          <w:p w14:paraId="4ECD4D44" w14:textId="77777777" w:rsidR="00E43879" w:rsidRPr="00445472" w:rsidRDefault="00E43879" w:rsidP="002A1F08">
            <w:pPr>
              <w:pStyle w:val="TableTextLeft"/>
              <w:rPr>
                <w:rFonts w:ascii="Garamond" w:hAnsi="Garamond"/>
                <w:lang w:val="sq-AL"/>
              </w:rPr>
            </w:pPr>
            <w:r w:rsidRPr="00445472">
              <w:rPr>
                <w:rFonts w:ascii="Garamond" w:hAnsi="Garamond"/>
                <w:lang w:val="sq-AL"/>
              </w:rPr>
              <w:t>Bashkëpunim midis Institucioneve të Ujit</w:t>
            </w:r>
          </w:p>
        </w:tc>
        <w:tc>
          <w:tcPr>
            <w:tcW w:w="1732" w:type="pct"/>
            <w:vMerge w:val="restart"/>
            <w:shd w:val="clear" w:color="auto" w:fill="auto"/>
            <w:vAlign w:val="center"/>
          </w:tcPr>
          <w:p w14:paraId="351A0FE8" w14:textId="6CD416B3" w:rsidR="00E43879" w:rsidRPr="00445472" w:rsidRDefault="00E43879" w:rsidP="002A1F08">
            <w:pPr>
              <w:pStyle w:val="TableTextLeft"/>
              <w:rPr>
                <w:rFonts w:ascii="Garamond" w:hAnsi="Garamond"/>
                <w:lang w:val="sq-AL"/>
              </w:rPr>
            </w:pPr>
            <w:r w:rsidRPr="00445472">
              <w:rPr>
                <w:rFonts w:ascii="Garamond" w:hAnsi="Garamond"/>
                <w:lang w:val="sq-AL"/>
              </w:rPr>
              <w:t xml:space="preserve">Përcaktimi i planit të monitorimit, bazuar në tipologjinë, </w:t>
            </w:r>
            <w:r w:rsidR="00F17E7E" w:rsidRPr="00445472">
              <w:rPr>
                <w:rFonts w:ascii="Garamond" w:hAnsi="Garamond"/>
                <w:lang w:val="sq-AL"/>
              </w:rPr>
              <w:t>përcaktimin</w:t>
            </w:r>
            <w:r w:rsidRPr="00445472">
              <w:rPr>
                <w:rFonts w:ascii="Garamond" w:hAnsi="Garamond"/>
                <w:lang w:val="sq-AL"/>
              </w:rPr>
              <w:t xml:space="preserve"> dhe prioritizimin e burimeve të ndotjes.</w:t>
            </w:r>
          </w:p>
          <w:p w14:paraId="43E107D4" w14:textId="77777777" w:rsidR="00E43879" w:rsidRPr="00445472" w:rsidRDefault="00E43879" w:rsidP="002A1F08">
            <w:pPr>
              <w:pStyle w:val="TableTextLeft"/>
              <w:rPr>
                <w:rFonts w:ascii="Garamond" w:hAnsi="Garamond"/>
                <w:lang w:val="sq-AL"/>
              </w:rPr>
            </w:pPr>
            <w:r w:rsidRPr="00445472">
              <w:rPr>
                <w:rFonts w:ascii="Garamond" w:hAnsi="Garamond"/>
                <w:lang w:val="sq-AL"/>
              </w:rPr>
              <w:t>Në përputhje me DKU-në, të ndërmerret monitorimi për të gjitha trupat ujorë sipërfaqësorë (lumenj, liqene, kalimtare dhe bregdetare) sipas detyrimeve të DKU-së</w:t>
            </w:r>
          </w:p>
          <w:p w14:paraId="2AF633F9" w14:textId="52B3D567" w:rsidR="00E43879" w:rsidRPr="00445472" w:rsidRDefault="00F17E7E" w:rsidP="002A1F08">
            <w:pPr>
              <w:pStyle w:val="TableTextLeft"/>
              <w:rPr>
                <w:rFonts w:ascii="Garamond" w:hAnsi="Garamond"/>
                <w:lang w:val="sq-AL"/>
              </w:rPr>
            </w:pPr>
            <w:r w:rsidRPr="00445472">
              <w:rPr>
                <w:rFonts w:ascii="Garamond" w:hAnsi="Garamond"/>
                <w:lang w:val="sq-AL"/>
              </w:rPr>
              <w:t>Ndërmarrja</w:t>
            </w:r>
            <w:r w:rsidR="00E43879" w:rsidRPr="00445472">
              <w:rPr>
                <w:rFonts w:ascii="Garamond" w:hAnsi="Garamond"/>
                <w:lang w:val="sq-AL"/>
              </w:rPr>
              <w:t xml:space="preserve"> e një analize hidromorfologjike të basenit ujor.</w:t>
            </w:r>
          </w:p>
        </w:tc>
      </w:tr>
      <w:tr w:rsidR="00E43879" w:rsidRPr="00445472" w14:paraId="5E65FBF4" w14:textId="77777777" w:rsidTr="00E43879">
        <w:trPr>
          <w:jc w:val="center"/>
        </w:trPr>
        <w:tc>
          <w:tcPr>
            <w:tcW w:w="793" w:type="pct"/>
            <w:vMerge/>
            <w:shd w:val="clear" w:color="auto" w:fill="auto"/>
            <w:vAlign w:val="center"/>
          </w:tcPr>
          <w:p w14:paraId="7688F00F" w14:textId="77777777" w:rsidR="00E43879" w:rsidRPr="00445472" w:rsidRDefault="00E43879" w:rsidP="002A1F08">
            <w:pPr>
              <w:pStyle w:val="TableTextLeft"/>
              <w:rPr>
                <w:rFonts w:ascii="Garamond" w:hAnsi="Garamond"/>
                <w:lang w:val="sq-AL"/>
              </w:rPr>
            </w:pPr>
          </w:p>
        </w:tc>
        <w:tc>
          <w:tcPr>
            <w:tcW w:w="1090" w:type="pct"/>
            <w:shd w:val="clear" w:color="auto" w:fill="auto"/>
            <w:vAlign w:val="center"/>
          </w:tcPr>
          <w:p w14:paraId="7E6E703F" w14:textId="77777777" w:rsidR="00E43879" w:rsidRPr="00445472" w:rsidRDefault="00E43879" w:rsidP="002A1F08">
            <w:pPr>
              <w:pStyle w:val="TableTextLeft"/>
              <w:rPr>
                <w:rFonts w:ascii="Garamond" w:hAnsi="Garamond"/>
                <w:lang w:val="sq-AL"/>
              </w:rPr>
            </w:pPr>
            <w:r w:rsidRPr="00445472">
              <w:rPr>
                <w:rFonts w:ascii="Garamond" w:hAnsi="Garamond"/>
                <w:lang w:val="sq-AL"/>
              </w:rPr>
              <w:t>Krijimi i rrjeteve të monitorimit të liqeneve/rezervuarëve Raporte standarde monitorimi në përputhje me DKU-në</w:t>
            </w:r>
          </w:p>
        </w:tc>
        <w:tc>
          <w:tcPr>
            <w:tcW w:w="544" w:type="pct"/>
            <w:vMerge w:val="restart"/>
            <w:shd w:val="clear" w:color="auto" w:fill="auto"/>
            <w:vAlign w:val="center"/>
          </w:tcPr>
          <w:p w14:paraId="6DD52A61"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monitorimi në përputhje me kërkesat e DKU-së</w:t>
            </w:r>
          </w:p>
        </w:tc>
        <w:tc>
          <w:tcPr>
            <w:tcW w:w="842" w:type="pct"/>
            <w:vMerge/>
            <w:shd w:val="clear" w:color="auto" w:fill="auto"/>
            <w:vAlign w:val="center"/>
          </w:tcPr>
          <w:p w14:paraId="25C7B111" w14:textId="77777777" w:rsidR="00E43879" w:rsidRPr="00445472" w:rsidRDefault="00E43879" w:rsidP="002A1F08">
            <w:pPr>
              <w:pStyle w:val="TableTextLeft"/>
              <w:rPr>
                <w:rFonts w:ascii="Garamond" w:hAnsi="Garamond"/>
                <w:lang w:val="sq-AL"/>
              </w:rPr>
            </w:pPr>
          </w:p>
        </w:tc>
        <w:tc>
          <w:tcPr>
            <w:tcW w:w="1732" w:type="pct"/>
            <w:vMerge/>
            <w:shd w:val="clear" w:color="auto" w:fill="auto"/>
            <w:vAlign w:val="center"/>
          </w:tcPr>
          <w:p w14:paraId="78E0AD51" w14:textId="77777777" w:rsidR="00E43879" w:rsidRPr="00445472" w:rsidRDefault="00E43879" w:rsidP="002A1F08">
            <w:pPr>
              <w:pStyle w:val="TableTextLeft"/>
              <w:rPr>
                <w:rFonts w:ascii="Garamond" w:hAnsi="Garamond"/>
                <w:lang w:val="sq-AL"/>
              </w:rPr>
            </w:pPr>
          </w:p>
        </w:tc>
      </w:tr>
      <w:tr w:rsidR="00E43879" w:rsidRPr="00445472" w14:paraId="0BCD70DC" w14:textId="77777777" w:rsidTr="00E43879">
        <w:trPr>
          <w:jc w:val="center"/>
        </w:trPr>
        <w:tc>
          <w:tcPr>
            <w:tcW w:w="793" w:type="pct"/>
            <w:vMerge/>
            <w:shd w:val="clear" w:color="auto" w:fill="auto"/>
            <w:vAlign w:val="center"/>
          </w:tcPr>
          <w:p w14:paraId="097F9F7A" w14:textId="77777777" w:rsidR="00E43879" w:rsidRPr="00445472" w:rsidRDefault="00E43879" w:rsidP="002A1F08">
            <w:pPr>
              <w:pStyle w:val="TableTextLeft"/>
              <w:rPr>
                <w:rFonts w:ascii="Garamond" w:hAnsi="Garamond"/>
                <w:lang w:val="sq-AL"/>
              </w:rPr>
            </w:pPr>
          </w:p>
        </w:tc>
        <w:tc>
          <w:tcPr>
            <w:tcW w:w="1090" w:type="pct"/>
            <w:shd w:val="clear" w:color="auto" w:fill="auto"/>
            <w:vAlign w:val="center"/>
          </w:tcPr>
          <w:p w14:paraId="0015CB03" w14:textId="77777777" w:rsidR="00E43879" w:rsidRPr="00445472" w:rsidRDefault="00E43879" w:rsidP="002A1F08">
            <w:pPr>
              <w:pStyle w:val="TableTextLeft"/>
              <w:rPr>
                <w:rFonts w:ascii="Garamond" w:hAnsi="Garamond"/>
                <w:lang w:val="sq-AL"/>
              </w:rPr>
            </w:pPr>
            <w:r w:rsidRPr="00445472">
              <w:rPr>
                <w:rFonts w:ascii="Garamond" w:hAnsi="Garamond"/>
                <w:lang w:val="sq-AL"/>
              </w:rPr>
              <w:t>Krijimi i rrjeteve të monitorimit në zonën kalimtare dhe bregdetare</w:t>
            </w:r>
          </w:p>
        </w:tc>
        <w:tc>
          <w:tcPr>
            <w:tcW w:w="544" w:type="pct"/>
            <w:vMerge/>
            <w:shd w:val="clear" w:color="auto" w:fill="auto"/>
            <w:vAlign w:val="center"/>
          </w:tcPr>
          <w:p w14:paraId="5F19F4B3" w14:textId="77777777" w:rsidR="00E43879" w:rsidRPr="00445472" w:rsidRDefault="00E43879" w:rsidP="002A1F08">
            <w:pPr>
              <w:pStyle w:val="TableTextLeft"/>
              <w:rPr>
                <w:rFonts w:ascii="Garamond" w:hAnsi="Garamond"/>
                <w:lang w:val="sq-AL"/>
              </w:rPr>
            </w:pPr>
          </w:p>
        </w:tc>
        <w:tc>
          <w:tcPr>
            <w:tcW w:w="842" w:type="pct"/>
            <w:vMerge/>
            <w:shd w:val="clear" w:color="auto" w:fill="auto"/>
            <w:vAlign w:val="center"/>
          </w:tcPr>
          <w:p w14:paraId="01CD633B" w14:textId="77777777" w:rsidR="00E43879" w:rsidRPr="00445472" w:rsidRDefault="00E43879" w:rsidP="002A1F08">
            <w:pPr>
              <w:pStyle w:val="TableTextLeft"/>
              <w:rPr>
                <w:rFonts w:ascii="Garamond" w:hAnsi="Garamond"/>
                <w:lang w:val="sq-AL"/>
              </w:rPr>
            </w:pPr>
          </w:p>
        </w:tc>
        <w:tc>
          <w:tcPr>
            <w:tcW w:w="1732" w:type="pct"/>
            <w:vMerge/>
            <w:shd w:val="clear" w:color="auto" w:fill="auto"/>
            <w:vAlign w:val="center"/>
          </w:tcPr>
          <w:p w14:paraId="3F647446" w14:textId="77777777" w:rsidR="00E43879" w:rsidRPr="00445472" w:rsidRDefault="00E43879" w:rsidP="002A1F08">
            <w:pPr>
              <w:pStyle w:val="TableTextLeft"/>
              <w:rPr>
                <w:rFonts w:ascii="Garamond" w:hAnsi="Garamond"/>
                <w:lang w:val="sq-AL"/>
              </w:rPr>
            </w:pPr>
          </w:p>
        </w:tc>
      </w:tr>
      <w:tr w:rsidR="00E43879" w:rsidRPr="00445472" w14:paraId="39A01C50" w14:textId="77777777" w:rsidTr="00E43879">
        <w:trPr>
          <w:jc w:val="center"/>
        </w:trPr>
        <w:tc>
          <w:tcPr>
            <w:tcW w:w="793" w:type="pct"/>
            <w:shd w:val="clear" w:color="auto" w:fill="auto"/>
            <w:vAlign w:val="center"/>
          </w:tcPr>
          <w:p w14:paraId="636F60B7" w14:textId="77777777" w:rsidR="00E43879" w:rsidRPr="00445472" w:rsidRDefault="00E43879" w:rsidP="002A1F08">
            <w:pPr>
              <w:pStyle w:val="TableTextLeft"/>
              <w:rPr>
                <w:rFonts w:ascii="Garamond" w:hAnsi="Garamond"/>
                <w:lang w:val="sq-AL"/>
              </w:rPr>
            </w:pPr>
            <w:r w:rsidRPr="00445472">
              <w:rPr>
                <w:rFonts w:ascii="Garamond" w:hAnsi="Garamond"/>
                <w:lang w:val="sq-AL"/>
              </w:rPr>
              <w:t>Lehtësimi i sistemeve të kërkimit dhe krijimin e kapaciteteve për të zhvilluar njohurinë e nevojshme bazë për monitorimin, vlerësimin e burimeve ujore dhe formulimin dhe zbatimin e masave</w:t>
            </w:r>
          </w:p>
        </w:tc>
        <w:tc>
          <w:tcPr>
            <w:tcW w:w="1090" w:type="pct"/>
            <w:shd w:val="clear" w:color="auto" w:fill="auto"/>
            <w:vAlign w:val="center"/>
          </w:tcPr>
          <w:p w14:paraId="42DE408B" w14:textId="77777777" w:rsidR="00E43879" w:rsidRPr="00445472" w:rsidRDefault="00E43879" w:rsidP="002A1F08">
            <w:pPr>
              <w:pStyle w:val="TableTextLeft"/>
              <w:rPr>
                <w:rFonts w:ascii="Garamond" w:hAnsi="Garamond"/>
                <w:lang w:val="sq-AL"/>
              </w:rPr>
            </w:pPr>
            <w:r w:rsidRPr="00445472">
              <w:rPr>
                <w:rFonts w:ascii="Garamond" w:hAnsi="Garamond"/>
                <w:lang w:val="sq-AL"/>
              </w:rPr>
              <w:t>Planifikimi dhe buxhetimi për përmirësimin e aftësive MIBU dhe zhvillimin e kapaciteteve institucionale, duke përfshirë logjistikën dhe duke marrë në konsideratë mundësitë e barabarta për ngritjen e kapaciteteve për meshkuj dhe femra</w:t>
            </w:r>
          </w:p>
        </w:tc>
        <w:tc>
          <w:tcPr>
            <w:tcW w:w="544" w:type="pct"/>
            <w:shd w:val="clear" w:color="auto" w:fill="auto"/>
            <w:vAlign w:val="center"/>
          </w:tcPr>
          <w:p w14:paraId="635EFC32" w14:textId="7E463947" w:rsidR="00E43879" w:rsidRPr="00445472" w:rsidRDefault="00E43879" w:rsidP="002A1F08">
            <w:pPr>
              <w:pStyle w:val="TableTextLeft"/>
              <w:rPr>
                <w:rFonts w:ascii="Garamond" w:hAnsi="Garamond"/>
                <w:lang w:val="sq-AL"/>
              </w:rPr>
            </w:pPr>
            <w:r w:rsidRPr="00445472">
              <w:rPr>
                <w:rFonts w:ascii="Garamond" w:hAnsi="Garamond"/>
                <w:lang w:val="sq-AL"/>
              </w:rPr>
              <w:t xml:space="preserve">Përmirësim i ndjeshëm i </w:t>
            </w:r>
            <w:r w:rsidR="00F17E7E" w:rsidRPr="00445472">
              <w:rPr>
                <w:rFonts w:ascii="Garamond" w:hAnsi="Garamond"/>
                <w:lang w:val="sq-AL"/>
              </w:rPr>
              <w:t>cilësisë së</w:t>
            </w:r>
            <w:r w:rsidRPr="00445472">
              <w:rPr>
                <w:rFonts w:ascii="Garamond" w:hAnsi="Garamond"/>
                <w:lang w:val="sq-AL"/>
              </w:rPr>
              <w:t xml:space="preserve"> raportimit </w:t>
            </w:r>
          </w:p>
        </w:tc>
        <w:tc>
          <w:tcPr>
            <w:tcW w:w="842" w:type="pct"/>
            <w:shd w:val="clear" w:color="auto" w:fill="auto"/>
            <w:vAlign w:val="center"/>
          </w:tcPr>
          <w:p w14:paraId="4DFDF2FD"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Ministria përgjegjëse për çështjet e arsimit në bashkëpunim me institucionet e ujit, partnerët për zhvillim </w:t>
            </w:r>
          </w:p>
        </w:tc>
        <w:tc>
          <w:tcPr>
            <w:tcW w:w="1732" w:type="pct"/>
            <w:shd w:val="clear" w:color="auto" w:fill="auto"/>
            <w:vAlign w:val="center"/>
          </w:tcPr>
          <w:p w14:paraId="225FB22C" w14:textId="374BB79E" w:rsidR="00E43879" w:rsidRPr="00445472" w:rsidRDefault="00E43879" w:rsidP="002A1F08">
            <w:pPr>
              <w:pStyle w:val="TableTextLeft"/>
              <w:rPr>
                <w:rFonts w:ascii="Garamond" w:hAnsi="Garamond"/>
                <w:lang w:val="sq-AL"/>
              </w:rPr>
            </w:pPr>
            <w:r w:rsidRPr="00445472">
              <w:rPr>
                <w:rFonts w:ascii="Garamond" w:hAnsi="Garamond"/>
                <w:lang w:val="sq-AL"/>
              </w:rPr>
              <w:t>Zhvillimi i programeve të strukturuara arsimore dhe trajnuese në lidhje me menaxhimin e ujit për të gjithë aktorët (</w:t>
            </w:r>
            <w:r w:rsidR="00F17E7E" w:rsidRPr="00445472">
              <w:rPr>
                <w:rFonts w:ascii="Garamond" w:hAnsi="Garamond"/>
                <w:lang w:val="sq-AL"/>
              </w:rPr>
              <w:t xml:space="preserve">grupet </w:t>
            </w:r>
            <w:r w:rsidRPr="00445472">
              <w:rPr>
                <w:rFonts w:ascii="Garamond" w:hAnsi="Garamond"/>
                <w:lang w:val="sq-AL"/>
              </w:rPr>
              <w:t>1</w:t>
            </w:r>
            <w:r w:rsidR="00F17E7E" w:rsidRPr="00445472">
              <w:rPr>
                <w:rFonts w:ascii="Garamond" w:hAnsi="Garamond"/>
                <w:lang w:val="sq-AL"/>
              </w:rPr>
              <w:t>–</w:t>
            </w:r>
            <w:r w:rsidRPr="00445472">
              <w:rPr>
                <w:rFonts w:ascii="Garamond" w:hAnsi="Garamond"/>
                <w:lang w:val="sq-AL"/>
              </w:rPr>
              <w:t>4</w:t>
            </w:r>
            <w:r w:rsidRPr="00445472">
              <w:rPr>
                <w:rFonts w:ascii="Garamond" w:hAnsi="Garamond"/>
                <w:vertAlign w:val="superscript"/>
                <w:lang w:val="sq-AL"/>
              </w:rPr>
              <w:footnoteReference w:id="226"/>
            </w:r>
            <w:r w:rsidRPr="00445472">
              <w:rPr>
                <w:rFonts w:ascii="Garamond" w:hAnsi="Garamond"/>
                <w:lang w:val="sq-AL"/>
              </w:rPr>
              <w:t>).</w:t>
            </w:r>
          </w:p>
          <w:p w14:paraId="4C4308CB" w14:textId="77777777" w:rsidR="00E43879" w:rsidRPr="00445472" w:rsidRDefault="00E43879" w:rsidP="002A1F08">
            <w:pPr>
              <w:pStyle w:val="TableTextLeft"/>
              <w:rPr>
                <w:rFonts w:ascii="Garamond" w:hAnsi="Garamond"/>
                <w:lang w:val="sq-AL"/>
              </w:rPr>
            </w:pPr>
            <w:r w:rsidRPr="00445472">
              <w:rPr>
                <w:rFonts w:ascii="Garamond" w:hAnsi="Garamond"/>
                <w:lang w:val="sq-AL"/>
              </w:rPr>
              <w:t>Rritja e kapaciteteve dhe njohurive teknike të institucioneve publike përgjegjëse për menaxhimin e ujërave në përputhje me të gjitha detyrimet legjislative.</w:t>
            </w:r>
          </w:p>
          <w:p w14:paraId="42B5202C" w14:textId="77777777" w:rsidR="00E43879" w:rsidRPr="00445472" w:rsidRDefault="00E43879" w:rsidP="002A1F08">
            <w:pPr>
              <w:pStyle w:val="TableTextLeft"/>
              <w:rPr>
                <w:rFonts w:ascii="Garamond" w:hAnsi="Garamond"/>
                <w:lang w:val="sq-AL"/>
              </w:rPr>
            </w:pPr>
          </w:p>
        </w:tc>
      </w:tr>
      <w:tr w:rsidR="00E43879" w:rsidRPr="00445472" w14:paraId="4CE8ADD2" w14:textId="77777777" w:rsidTr="00E43879">
        <w:trPr>
          <w:jc w:val="center"/>
        </w:trPr>
        <w:tc>
          <w:tcPr>
            <w:tcW w:w="793" w:type="pct"/>
            <w:vMerge w:val="restart"/>
            <w:shd w:val="clear" w:color="auto" w:fill="auto"/>
            <w:vAlign w:val="center"/>
          </w:tcPr>
          <w:p w14:paraId="4E6B0B38" w14:textId="77777777" w:rsidR="00E43879" w:rsidRPr="00445472" w:rsidRDefault="00E43879" w:rsidP="002A1F08">
            <w:pPr>
              <w:pStyle w:val="TableTextLeft"/>
              <w:rPr>
                <w:rFonts w:ascii="Garamond" w:hAnsi="Garamond"/>
                <w:lang w:val="sq-AL"/>
              </w:rPr>
            </w:pPr>
            <w:r w:rsidRPr="00445472">
              <w:rPr>
                <w:rFonts w:ascii="Garamond" w:hAnsi="Garamond"/>
                <w:lang w:val="sq-AL"/>
              </w:rPr>
              <w:t>Përmirësimi i aksesit në informacion dhe mbledhjes së të dhënave</w:t>
            </w:r>
          </w:p>
        </w:tc>
        <w:tc>
          <w:tcPr>
            <w:tcW w:w="1090" w:type="pct"/>
            <w:shd w:val="clear" w:color="auto" w:fill="auto"/>
            <w:vAlign w:val="center"/>
          </w:tcPr>
          <w:p w14:paraId="7B9A3B3B"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Ngritja e laboratorëve të akredituar të analizave (ekologjike dhe kimike) për testime të cilësisë së ujit </w:t>
            </w:r>
          </w:p>
        </w:tc>
        <w:tc>
          <w:tcPr>
            <w:tcW w:w="544" w:type="pct"/>
            <w:shd w:val="clear" w:color="auto" w:fill="auto"/>
            <w:vAlign w:val="center"/>
          </w:tcPr>
          <w:p w14:paraId="66DF491B"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akreditimi</w:t>
            </w:r>
          </w:p>
        </w:tc>
        <w:tc>
          <w:tcPr>
            <w:tcW w:w="842" w:type="pct"/>
            <w:shd w:val="clear" w:color="auto" w:fill="auto"/>
            <w:vAlign w:val="center"/>
          </w:tcPr>
          <w:p w14:paraId="1F04889F"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 Ministria përgjegjëse për çështjet mjedisore</w:t>
            </w:r>
          </w:p>
          <w:p w14:paraId="0BFA0040" w14:textId="5428271D" w:rsidR="00E43879" w:rsidRPr="00445472" w:rsidRDefault="00E43879" w:rsidP="002A1F08">
            <w:pPr>
              <w:pStyle w:val="TableTextLeft"/>
              <w:rPr>
                <w:rFonts w:ascii="Garamond" w:hAnsi="Garamond"/>
                <w:lang w:val="sq-AL"/>
              </w:rPr>
            </w:pPr>
            <w:r w:rsidRPr="00445472">
              <w:rPr>
                <w:rFonts w:ascii="Garamond" w:hAnsi="Garamond"/>
                <w:lang w:val="sq-AL"/>
              </w:rPr>
              <w:t xml:space="preserve">në bashkëpunim me ministrinë përgjegjëse për shëndetësinë, Agjencia e Menaxhimit të Burimeve Ujore, ministria përgjegjëse për çështjet e infrastrukturës së </w:t>
            </w:r>
            <w:r w:rsidR="00F17E7E" w:rsidRPr="00445472">
              <w:rPr>
                <w:rFonts w:ascii="Garamond" w:hAnsi="Garamond"/>
                <w:lang w:val="sq-AL"/>
              </w:rPr>
              <w:t>ujësjellës-</w:t>
            </w:r>
            <w:r w:rsidRPr="00445472">
              <w:rPr>
                <w:rFonts w:ascii="Garamond" w:hAnsi="Garamond"/>
                <w:lang w:val="sq-AL"/>
              </w:rPr>
              <w:t>kanalizimeve. Ministria përgjegjëse për mbrojtjen civile</w:t>
            </w:r>
          </w:p>
        </w:tc>
        <w:tc>
          <w:tcPr>
            <w:tcW w:w="1732" w:type="pct"/>
            <w:shd w:val="clear" w:color="auto" w:fill="auto"/>
            <w:vAlign w:val="center"/>
          </w:tcPr>
          <w:p w14:paraId="10E84B7A" w14:textId="61918AE6" w:rsidR="00E43879" w:rsidRPr="00445472" w:rsidRDefault="00E43879" w:rsidP="002A1F08">
            <w:pPr>
              <w:pStyle w:val="TableTextLeft"/>
              <w:rPr>
                <w:rFonts w:ascii="Garamond" w:hAnsi="Garamond"/>
                <w:lang w:val="sq-AL"/>
              </w:rPr>
            </w:pPr>
            <w:r w:rsidRPr="00445472">
              <w:rPr>
                <w:rFonts w:ascii="Garamond" w:hAnsi="Garamond"/>
                <w:lang w:val="sq-AL"/>
              </w:rPr>
              <w:t xml:space="preserve">Përcaktimi i pajisjeve dhe trajnimit teknik për një </w:t>
            </w:r>
            <w:r w:rsidR="00D62EDF" w:rsidRPr="00445472">
              <w:rPr>
                <w:rFonts w:ascii="Garamond" w:hAnsi="Garamond"/>
                <w:lang w:val="sq-AL"/>
              </w:rPr>
              <w:t>“</w:t>
            </w:r>
            <w:r w:rsidRPr="00445472">
              <w:rPr>
                <w:rFonts w:ascii="Garamond" w:hAnsi="Garamond"/>
                <w:lang w:val="sq-AL"/>
              </w:rPr>
              <w:t>laborator referimi</w:t>
            </w:r>
            <w:r w:rsidR="00D62EDF" w:rsidRPr="00445472">
              <w:rPr>
                <w:rFonts w:ascii="Garamond" w:hAnsi="Garamond"/>
                <w:lang w:val="sq-AL"/>
              </w:rPr>
              <w:t>”</w:t>
            </w:r>
            <w:r w:rsidRPr="00445472">
              <w:rPr>
                <w:rFonts w:ascii="Garamond" w:hAnsi="Garamond"/>
                <w:lang w:val="sq-AL"/>
              </w:rPr>
              <w:t xml:space="preserve"> kimik në lidhje me marrjen e mostrave dhe analizave për të përmbushur kërkesat e Direktivës së EQS-së, duke përfshirë stërvitjen ndër-laboratorike dhe procedurën për të fituar akreditimin ndërkombëtar.</w:t>
            </w:r>
          </w:p>
          <w:p w14:paraId="3AA451F3" w14:textId="77777777" w:rsidR="00E43879" w:rsidRPr="00445472" w:rsidRDefault="00E43879" w:rsidP="002A1F08">
            <w:pPr>
              <w:pStyle w:val="TableTextLeft"/>
              <w:rPr>
                <w:rFonts w:ascii="Garamond" w:hAnsi="Garamond"/>
                <w:lang w:val="sq-AL"/>
              </w:rPr>
            </w:pPr>
          </w:p>
        </w:tc>
      </w:tr>
      <w:tr w:rsidR="00E43879" w:rsidRPr="00445472" w14:paraId="037C8D41" w14:textId="77777777" w:rsidTr="00E43879">
        <w:trPr>
          <w:jc w:val="center"/>
        </w:trPr>
        <w:tc>
          <w:tcPr>
            <w:tcW w:w="793" w:type="pct"/>
            <w:vMerge/>
            <w:shd w:val="clear" w:color="auto" w:fill="auto"/>
            <w:vAlign w:val="center"/>
          </w:tcPr>
          <w:p w14:paraId="15612343" w14:textId="77777777" w:rsidR="00E43879" w:rsidRPr="00445472" w:rsidRDefault="00E43879" w:rsidP="002A1F08">
            <w:pPr>
              <w:pStyle w:val="TableTextLeft"/>
              <w:rPr>
                <w:rFonts w:ascii="Garamond" w:hAnsi="Garamond"/>
                <w:lang w:val="sq-AL"/>
              </w:rPr>
            </w:pPr>
          </w:p>
        </w:tc>
        <w:tc>
          <w:tcPr>
            <w:tcW w:w="1090" w:type="pct"/>
            <w:shd w:val="clear" w:color="auto" w:fill="auto"/>
            <w:vAlign w:val="center"/>
          </w:tcPr>
          <w:p w14:paraId="4A92903D" w14:textId="6ECFED41" w:rsidR="00E43879" w:rsidRPr="00445472" w:rsidRDefault="00E43879" w:rsidP="002A1F08">
            <w:pPr>
              <w:pStyle w:val="TableTextLeft"/>
              <w:rPr>
                <w:rFonts w:ascii="Garamond" w:hAnsi="Garamond"/>
                <w:lang w:val="sq-AL"/>
              </w:rPr>
            </w:pPr>
            <w:r w:rsidRPr="00445472">
              <w:rPr>
                <w:rFonts w:ascii="Garamond" w:hAnsi="Garamond"/>
                <w:lang w:val="sq-AL"/>
              </w:rPr>
              <w:t>Bërja funksionale e Kad</w:t>
            </w:r>
            <w:r w:rsidR="00F17E7E" w:rsidRPr="00445472">
              <w:rPr>
                <w:rFonts w:ascii="Garamond" w:hAnsi="Garamond"/>
                <w:lang w:val="sq-AL"/>
              </w:rPr>
              <w:t>a</w:t>
            </w:r>
            <w:r w:rsidRPr="00445472">
              <w:rPr>
                <w:rFonts w:ascii="Garamond" w:hAnsi="Garamond"/>
                <w:lang w:val="sq-AL"/>
              </w:rPr>
              <w:t>strës së Ujit</w:t>
            </w:r>
          </w:p>
        </w:tc>
        <w:tc>
          <w:tcPr>
            <w:tcW w:w="544" w:type="pct"/>
            <w:shd w:val="clear" w:color="auto" w:fill="auto"/>
            <w:vAlign w:val="center"/>
          </w:tcPr>
          <w:p w14:paraId="73B45843"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Raportimi mbi Kadastrën </w:t>
            </w:r>
          </w:p>
        </w:tc>
        <w:tc>
          <w:tcPr>
            <w:tcW w:w="842" w:type="pct"/>
            <w:shd w:val="clear" w:color="auto" w:fill="auto"/>
            <w:vAlign w:val="center"/>
          </w:tcPr>
          <w:p w14:paraId="68AAF5F4"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w:t>
            </w:r>
          </w:p>
        </w:tc>
        <w:tc>
          <w:tcPr>
            <w:tcW w:w="1732" w:type="pct"/>
            <w:shd w:val="clear" w:color="auto" w:fill="auto"/>
            <w:vAlign w:val="center"/>
          </w:tcPr>
          <w:p w14:paraId="01AA75F9" w14:textId="77777777" w:rsidR="00E43879" w:rsidRPr="00445472" w:rsidRDefault="00E43879" w:rsidP="002A1F08">
            <w:pPr>
              <w:pStyle w:val="TableTextLeft"/>
              <w:rPr>
                <w:rFonts w:ascii="Garamond" w:hAnsi="Garamond"/>
                <w:lang w:val="sq-AL"/>
              </w:rPr>
            </w:pPr>
            <w:r w:rsidRPr="00445472">
              <w:rPr>
                <w:rFonts w:ascii="Garamond" w:hAnsi="Garamond"/>
                <w:lang w:val="sq-AL"/>
              </w:rPr>
              <w:t>Fillimi i bashkëpunimit ndër-ministror në lidhje me shkëmbimin e të dhënave dhe përfshirjen e tyre në kadastrën e ujit.</w:t>
            </w:r>
          </w:p>
        </w:tc>
      </w:tr>
      <w:tr w:rsidR="00E43879" w:rsidRPr="00445472" w14:paraId="6191F3B3" w14:textId="77777777" w:rsidTr="00E43879">
        <w:trPr>
          <w:jc w:val="center"/>
        </w:trPr>
        <w:tc>
          <w:tcPr>
            <w:tcW w:w="793" w:type="pct"/>
            <w:shd w:val="clear" w:color="auto" w:fill="auto"/>
            <w:vAlign w:val="center"/>
          </w:tcPr>
          <w:p w14:paraId="5C43A824" w14:textId="77777777" w:rsidR="00E43879" w:rsidRPr="00445472" w:rsidRDefault="00E43879" w:rsidP="002A1F08">
            <w:pPr>
              <w:pStyle w:val="TableTextLeft"/>
              <w:spacing w:before="0" w:after="0"/>
              <w:rPr>
                <w:rFonts w:ascii="Garamond" w:hAnsi="Garamond"/>
                <w:lang w:val="sq-AL"/>
              </w:rPr>
            </w:pPr>
            <w:r w:rsidRPr="00445472">
              <w:rPr>
                <w:rFonts w:ascii="Garamond" w:hAnsi="Garamond"/>
                <w:lang w:val="sq-AL"/>
              </w:rPr>
              <w:t>Ngritja e një strukture organizative (koordinuese) të ujit dhe klimës në kuadrin institucional ekzistues.</w:t>
            </w:r>
          </w:p>
        </w:tc>
        <w:tc>
          <w:tcPr>
            <w:tcW w:w="1090" w:type="pct"/>
            <w:shd w:val="clear" w:color="auto" w:fill="auto"/>
            <w:vAlign w:val="center"/>
          </w:tcPr>
          <w:p w14:paraId="2A966063" w14:textId="77777777" w:rsidR="00E43879" w:rsidRPr="00445472" w:rsidRDefault="00E43879" w:rsidP="002A1F08">
            <w:pPr>
              <w:pStyle w:val="TableTextLeft"/>
              <w:spacing w:before="0" w:after="0"/>
              <w:rPr>
                <w:rFonts w:ascii="Garamond" w:hAnsi="Garamond"/>
                <w:lang w:val="sq-AL"/>
              </w:rPr>
            </w:pPr>
            <w:r w:rsidRPr="00445472">
              <w:rPr>
                <w:rFonts w:ascii="Garamond" w:hAnsi="Garamond"/>
                <w:lang w:val="sq-AL"/>
              </w:rPr>
              <w:t xml:space="preserve">Bashkëpunim efikas midis institucioneve kërkimore </w:t>
            </w:r>
          </w:p>
        </w:tc>
        <w:tc>
          <w:tcPr>
            <w:tcW w:w="544" w:type="pct"/>
            <w:shd w:val="clear" w:color="auto" w:fill="auto"/>
            <w:vAlign w:val="center"/>
          </w:tcPr>
          <w:p w14:paraId="65FC6F0F" w14:textId="77777777" w:rsidR="00E43879" w:rsidRPr="00445472" w:rsidRDefault="00E43879" w:rsidP="002A1F08">
            <w:pPr>
              <w:pStyle w:val="TableTextLeft"/>
              <w:spacing w:before="0" w:after="0"/>
              <w:rPr>
                <w:rFonts w:ascii="Garamond" w:hAnsi="Garamond"/>
                <w:lang w:val="sq-AL"/>
              </w:rPr>
            </w:pPr>
            <w:r w:rsidRPr="00445472">
              <w:rPr>
                <w:rFonts w:ascii="Garamond" w:hAnsi="Garamond"/>
                <w:lang w:val="sq-AL"/>
              </w:rPr>
              <w:t>MT për bashkëpunim</w:t>
            </w:r>
          </w:p>
          <w:p w14:paraId="203D7C07" w14:textId="77777777" w:rsidR="00E43879" w:rsidRPr="00445472" w:rsidRDefault="00E43879" w:rsidP="002A1F08">
            <w:pPr>
              <w:pStyle w:val="TableTextLeft"/>
              <w:spacing w:before="0" w:after="0"/>
              <w:rPr>
                <w:rFonts w:ascii="Garamond" w:hAnsi="Garamond"/>
                <w:lang w:val="sq-AL"/>
              </w:rPr>
            </w:pPr>
            <w:r w:rsidRPr="00445472">
              <w:rPr>
                <w:rFonts w:ascii="Garamond" w:hAnsi="Garamond"/>
                <w:lang w:val="sq-AL"/>
              </w:rPr>
              <w:t>MT për krijimin e një instituti (koordinues) të ujit dhe klimës</w:t>
            </w:r>
          </w:p>
        </w:tc>
        <w:tc>
          <w:tcPr>
            <w:tcW w:w="842" w:type="pct"/>
            <w:shd w:val="clear" w:color="auto" w:fill="auto"/>
            <w:vAlign w:val="center"/>
          </w:tcPr>
          <w:p w14:paraId="71CBC965" w14:textId="77777777" w:rsidR="00E43879" w:rsidRPr="00445472" w:rsidRDefault="00E43879" w:rsidP="002A1F08">
            <w:pPr>
              <w:pStyle w:val="TableTextLeft"/>
              <w:spacing w:before="0" w:after="0"/>
              <w:rPr>
                <w:rFonts w:ascii="Garamond" w:hAnsi="Garamond"/>
                <w:lang w:val="sq-AL"/>
              </w:rPr>
            </w:pPr>
            <w:r w:rsidRPr="00445472">
              <w:rPr>
                <w:rFonts w:ascii="Garamond" w:hAnsi="Garamond"/>
                <w:lang w:val="sq-AL"/>
              </w:rPr>
              <w:t>Agjencia e Menaxhimit të Burimeve Ujore në bashkëpunim me institutet e ujit</w:t>
            </w:r>
          </w:p>
        </w:tc>
        <w:tc>
          <w:tcPr>
            <w:tcW w:w="1732" w:type="pct"/>
            <w:shd w:val="clear" w:color="auto" w:fill="auto"/>
            <w:vAlign w:val="center"/>
          </w:tcPr>
          <w:p w14:paraId="31FA1204" w14:textId="77777777" w:rsidR="00E43879" w:rsidRPr="00445472" w:rsidRDefault="00E43879" w:rsidP="002A1F08">
            <w:pPr>
              <w:pStyle w:val="TableTextLeft"/>
              <w:spacing w:before="0" w:after="0"/>
              <w:rPr>
                <w:rFonts w:ascii="Garamond" w:hAnsi="Garamond"/>
                <w:lang w:val="sq-AL"/>
              </w:rPr>
            </w:pPr>
            <w:r w:rsidRPr="00445472">
              <w:rPr>
                <w:rFonts w:ascii="Garamond" w:hAnsi="Garamond"/>
                <w:lang w:val="sq-AL"/>
              </w:rPr>
              <w:t>Të ripërcaktojë dhe të operojë një komision ndërministror përkatës, duke përfshirë të gjitha ministritë e ujit dhe mjedisit.</w:t>
            </w:r>
          </w:p>
        </w:tc>
      </w:tr>
    </w:tbl>
    <w:p w14:paraId="373F0879" w14:textId="77777777" w:rsidR="00E43879" w:rsidRPr="00445472" w:rsidRDefault="00E43879" w:rsidP="00E43879">
      <w:pPr>
        <w:pStyle w:val="NENTITULL"/>
      </w:pPr>
    </w:p>
    <w:p w14:paraId="0BE196B3" w14:textId="40BBCE2B" w:rsidR="00E43879" w:rsidRPr="00445472" w:rsidRDefault="00E43879" w:rsidP="00E43879">
      <w:pPr>
        <w:pStyle w:val="NENTITULL"/>
      </w:pPr>
      <w:r w:rsidRPr="00445472">
        <w:t xml:space="preserve">Tabela 14.6 Menaxhimi i </w:t>
      </w:r>
      <w:r w:rsidR="000E4E18" w:rsidRPr="00445472">
        <w:t>ujit</w:t>
      </w:r>
    </w:p>
    <w:tbl>
      <w:tblPr>
        <w:tblW w:w="14317" w:type="dxa"/>
        <w:jc w:val="center"/>
        <w:tblBorders>
          <w:top w:val="single" w:sz="8" w:space="0" w:color="auto"/>
          <w:bottom w:val="single" w:sz="8" w:space="0" w:color="auto"/>
          <w:insideH w:val="single" w:sz="2" w:space="0" w:color="27BDBE"/>
        </w:tblBorders>
        <w:tblLayout w:type="fixed"/>
        <w:tblCellMar>
          <w:left w:w="0" w:type="dxa"/>
          <w:right w:w="0" w:type="dxa"/>
        </w:tblCellMar>
        <w:tblLook w:val="0620" w:firstRow="1" w:lastRow="0" w:firstColumn="0" w:lastColumn="0" w:noHBand="1" w:noVBand="1"/>
      </w:tblPr>
      <w:tblGrid>
        <w:gridCol w:w="2265"/>
        <w:gridCol w:w="3121"/>
        <w:gridCol w:w="1561"/>
        <w:gridCol w:w="2411"/>
        <w:gridCol w:w="4959"/>
      </w:tblGrid>
      <w:tr w:rsidR="00E43879" w:rsidRPr="00445472" w14:paraId="253421CC" w14:textId="77777777" w:rsidTr="00E43879">
        <w:trPr>
          <w:jc w:val="center"/>
        </w:trPr>
        <w:tc>
          <w:tcPr>
            <w:tcW w:w="791" w:type="pct"/>
            <w:tcBorders>
              <w:bottom w:val="single" w:sz="8" w:space="0" w:color="000000"/>
            </w:tcBorders>
            <w:shd w:val="clear" w:color="auto" w:fill="auto"/>
            <w:vAlign w:val="center"/>
            <w:hideMark/>
          </w:tcPr>
          <w:p w14:paraId="685F137D"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Objektivat e politikave</w:t>
            </w:r>
            <w:r w:rsidRPr="00445472">
              <w:rPr>
                <w:rFonts w:ascii="Garamond" w:hAnsi="Garamond"/>
                <w:color w:val="auto"/>
                <w:vertAlign w:val="superscript"/>
                <w:lang w:val="sq-AL"/>
              </w:rPr>
              <w:footnoteReference w:id="227"/>
            </w:r>
          </w:p>
        </w:tc>
        <w:tc>
          <w:tcPr>
            <w:tcW w:w="1090" w:type="pct"/>
            <w:tcBorders>
              <w:bottom w:val="single" w:sz="8" w:space="0" w:color="000000"/>
            </w:tcBorders>
            <w:shd w:val="clear" w:color="auto" w:fill="auto"/>
            <w:vAlign w:val="center"/>
            <w:hideMark/>
          </w:tcPr>
          <w:p w14:paraId="227B80AC"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Rezultatet kryesore</w:t>
            </w:r>
          </w:p>
        </w:tc>
        <w:tc>
          <w:tcPr>
            <w:tcW w:w="545" w:type="pct"/>
            <w:tcBorders>
              <w:bottom w:val="single" w:sz="8" w:space="0" w:color="000000"/>
            </w:tcBorders>
            <w:shd w:val="clear" w:color="auto" w:fill="auto"/>
            <w:vAlign w:val="center"/>
            <w:hideMark/>
          </w:tcPr>
          <w:p w14:paraId="77040D4A"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Verifikimi</w:t>
            </w:r>
          </w:p>
        </w:tc>
        <w:tc>
          <w:tcPr>
            <w:tcW w:w="842" w:type="pct"/>
            <w:tcBorders>
              <w:bottom w:val="single" w:sz="8" w:space="0" w:color="000000"/>
            </w:tcBorders>
            <w:shd w:val="clear" w:color="auto" w:fill="auto"/>
            <w:vAlign w:val="center"/>
            <w:hideMark/>
          </w:tcPr>
          <w:p w14:paraId="717EC2AC" w14:textId="77777777"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Aktorët</w:t>
            </w:r>
          </w:p>
        </w:tc>
        <w:tc>
          <w:tcPr>
            <w:tcW w:w="1732" w:type="pct"/>
            <w:tcBorders>
              <w:bottom w:val="single" w:sz="8" w:space="0" w:color="000000"/>
            </w:tcBorders>
            <w:shd w:val="clear" w:color="auto" w:fill="auto"/>
            <w:vAlign w:val="center"/>
          </w:tcPr>
          <w:p w14:paraId="26FF24D1" w14:textId="2DA5C05D" w:rsidR="00E43879" w:rsidRPr="00445472" w:rsidRDefault="00E43879" w:rsidP="002A1F08">
            <w:pPr>
              <w:pStyle w:val="TableHeadingLeft"/>
              <w:rPr>
                <w:rFonts w:ascii="Garamond" w:hAnsi="Garamond"/>
                <w:color w:val="auto"/>
                <w:lang w:val="sq-AL"/>
              </w:rPr>
            </w:pPr>
            <w:r w:rsidRPr="00445472">
              <w:rPr>
                <w:rFonts w:ascii="Garamond" w:hAnsi="Garamond"/>
                <w:color w:val="auto"/>
                <w:lang w:val="sq-AL"/>
              </w:rPr>
              <w:t xml:space="preserve">Rekomandimet për </w:t>
            </w:r>
            <w:r w:rsidR="000E4E18" w:rsidRPr="00445472">
              <w:rPr>
                <w:rFonts w:ascii="Garamond" w:hAnsi="Garamond"/>
                <w:color w:val="auto"/>
                <w:lang w:val="sq-AL"/>
              </w:rPr>
              <w:t xml:space="preserve">planifikimin e menaxhimit </w:t>
            </w:r>
            <w:r w:rsidRPr="00445472">
              <w:rPr>
                <w:rFonts w:ascii="Garamond" w:hAnsi="Garamond"/>
                <w:color w:val="auto"/>
                <w:lang w:val="sq-AL"/>
              </w:rPr>
              <w:t>të Basenit Ujor</w:t>
            </w:r>
          </w:p>
        </w:tc>
      </w:tr>
      <w:tr w:rsidR="00E43879" w:rsidRPr="00445472" w14:paraId="42272479" w14:textId="77777777" w:rsidTr="00E43879">
        <w:trPr>
          <w:jc w:val="center"/>
        </w:trPr>
        <w:tc>
          <w:tcPr>
            <w:tcW w:w="791" w:type="pct"/>
            <w:tcBorders>
              <w:top w:val="single" w:sz="8" w:space="0" w:color="000000"/>
            </w:tcBorders>
            <w:shd w:val="clear" w:color="auto" w:fill="auto"/>
            <w:vAlign w:val="center"/>
            <w:hideMark/>
          </w:tcPr>
          <w:p w14:paraId="5C01479B" w14:textId="77777777" w:rsidR="00E43879" w:rsidRPr="00445472" w:rsidRDefault="00E43879" w:rsidP="002A1F08">
            <w:pPr>
              <w:pStyle w:val="TableTextLeft"/>
              <w:rPr>
                <w:rFonts w:ascii="Garamond" w:hAnsi="Garamond"/>
                <w:lang w:val="sq-AL"/>
              </w:rPr>
            </w:pPr>
            <w:r w:rsidRPr="00445472">
              <w:rPr>
                <w:rFonts w:ascii="Garamond" w:hAnsi="Garamond"/>
                <w:lang w:val="sq-AL"/>
              </w:rPr>
              <w:t>Përcaktimi i roleve dhe përgjegjësive të qarta për MIBU-në</w:t>
            </w:r>
          </w:p>
        </w:tc>
        <w:tc>
          <w:tcPr>
            <w:tcW w:w="1090" w:type="pct"/>
            <w:tcBorders>
              <w:top w:val="single" w:sz="8" w:space="0" w:color="000000"/>
            </w:tcBorders>
            <w:shd w:val="clear" w:color="auto" w:fill="auto"/>
            <w:vAlign w:val="center"/>
            <w:hideMark/>
          </w:tcPr>
          <w:p w14:paraId="3824DD80" w14:textId="284C8689" w:rsidR="00E43879" w:rsidRPr="00445472" w:rsidRDefault="00E43879" w:rsidP="002A1F08">
            <w:pPr>
              <w:pStyle w:val="TableTextLeft"/>
              <w:rPr>
                <w:rFonts w:ascii="Garamond" w:hAnsi="Garamond"/>
                <w:lang w:val="sq-AL"/>
              </w:rPr>
            </w:pPr>
            <w:r w:rsidRPr="00445472">
              <w:rPr>
                <w:rFonts w:ascii="Garamond" w:hAnsi="Garamond"/>
                <w:lang w:val="sq-AL"/>
              </w:rPr>
              <w:t>Konsolidimi i përgjegjësive institucionale</w:t>
            </w:r>
            <w:r w:rsidRPr="00445472">
              <w:rPr>
                <w:rFonts w:ascii="Garamond" w:hAnsi="Garamond"/>
                <w:vertAlign w:val="superscript"/>
                <w:lang w:val="sq-AL"/>
              </w:rPr>
              <w:footnoteReference w:id="228"/>
            </w:r>
            <w:r w:rsidRPr="00445472">
              <w:rPr>
                <w:rFonts w:ascii="Garamond" w:hAnsi="Garamond"/>
                <w:lang w:val="sq-AL"/>
              </w:rPr>
              <w:t xml:space="preserve"> (p</w:t>
            </w:r>
            <w:r w:rsidR="00F17E7E" w:rsidRPr="00445472">
              <w:rPr>
                <w:rFonts w:ascii="Garamond" w:hAnsi="Garamond"/>
                <w:lang w:val="sq-AL"/>
              </w:rPr>
              <w:t>.</w:t>
            </w:r>
            <w:r w:rsidRPr="00445472">
              <w:rPr>
                <w:rFonts w:ascii="Garamond" w:hAnsi="Garamond"/>
                <w:lang w:val="sq-AL"/>
              </w:rPr>
              <w:t>sh</w:t>
            </w:r>
            <w:r w:rsidR="00F17E7E" w:rsidRPr="00445472">
              <w:rPr>
                <w:rFonts w:ascii="Garamond" w:hAnsi="Garamond"/>
                <w:lang w:val="sq-AL"/>
              </w:rPr>
              <w:t>.,</w:t>
            </w:r>
            <w:r w:rsidRPr="00445472">
              <w:rPr>
                <w:rFonts w:ascii="Garamond" w:hAnsi="Garamond"/>
                <w:lang w:val="sq-AL"/>
              </w:rPr>
              <w:t xml:space="preserve"> planifikimi, shpërndarja, monitorimi, zbatimi dhe aplikimi).</w:t>
            </w:r>
          </w:p>
        </w:tc>
        <w:tc>
          <w:tcPr>
            <w:tcW w:w="545" w:type="pct"/>
            <w:tcBorders>
              <w:top w:val="single" w:sz="8" w:space="0" w:color="000000"/>
            </w:tcBorders>
            <w:shd w:val="clear" w:color="auto" w:fill="auto"/>
            <w:vAlign w:val="center"/>
            <w:hideMark/>
          </w:tcPr>
          <w:p w14:paraId="79524952" w14:textId="77777777" w:rsidR="00E43879" w:rsidRPr="00445472" w:rsidRDefault="00E43879" w:rsidP="002A1F08">
            <w:pPr>
              <w:pStyle w:val="TableTextLeft"/>
              <w:rPr>
                <w:rFonts w:ascii="Garamond" w:hAnsi="Garamond"/>
                <w:lang w:val="sq-AL"/>
              </w:rPr>
            </w:pPr>
            <w:r w:rsidRPr="00445472">
              <w:rPr>
                <w:rFonts w:ascii="Garamond" w:hAnsi="Garamond"/>
                <w:lang w:val="sq-AL"/>
              </w:rPr>
              <w:t>Legjislacioni, urdhrat e ministrave, vendimet e KKU-së dhe aktet nënligjore</w:t>
            </w:r>
          </w:p>
        </w:tc>
        <w:tc>
          <w:tcPr>
            <w:tcW w:w="842" w:type="pct"/>
            <w:tcBorders>
              <w:top w:val="single" w:sz="8" w:space="0" w:color="000000"/>
            </w:tcBorders>
            <w:shd w:val="clear" w:color="auto" w:fill="auto"/>
            <w:vAlign w:val="center"/>
            <w:hideMark/>
          </w:tcPr>
          <w:p w14:paraId="64D3B61D" w14:textId="77777777" w:rsidR="00E43879" w:rsidRPr="00445472" w:rsidRDefault="00E43879" w:rsidP="002A1F08">
            <w:pPr>
              <w:pStyle w:val="TableTextLeft"/>
              <w:rPr>
                <w:rFonts w:ascii="Garamond" w:hAnsi="Garamond"/>
                <w:lang w:val="sq-AL"/>
              </w:rPr>
            </w:pPr>
            <w:r w:rsidRPr="00445472">
              <w:rPr>
                <w:rFonts w:ascii="Garamond" w:hAnsi="Garamond"/>
                <w:lang w:val="sq-AL"/>
              </w:rPr>
              <w:t>Qeveria e Shqipërisë</w:t>
            </w:r>
          </w:p>
        </w:tc>
        <w:tc>
          <w:tcPr>
            <w:tcW w:w="1732" w:type="pct"/>
            <w:tcBorders>
              <w:top w:val="single" w:sz="8" w:space="0" w:color="000000"/>
            </w:tcBorders>
            <w:shd w:val="clear" w:color="auto" w:fill="auto"/>
            <w:vAlign w:val="center"/>
          </w:tcPr>
          <w:p w14:paraId="28FE62F5" w14:textId="77777777" w:rsidR="00E43879" w:rsidRPr="00445472" w:rsidRDefault="00E43879" w:rsidP="002A1F08">
            <w:pPr>
              <w:pStyle w:val="TableTextLeft"/>
              <w:rPr>
                <w:rFonts w:ascii="Garamond" w:hAnsi="Garamond"/>
                <w:lang w:val="sq-AL"/>
              </w:rPr>
            </w:pPr>
            <w:r w:rsidRPr="00445472">
              <w:rPr>
                <w:rFonts w:ascii="Garamond" w:hAnsi="Garamond"/>
                <w:lang w:val="sq-AL"/>
              </w:rPr>
              <w:t>Përcaktimi i funksioneve specifike dhe kapaciteteve përkatëse të të gjitha institucioneve publike të lidhura me ujin sipas strategjisë së ujit (2018)</w:t>
            </w:r>
          </w:p>
        </w:tc>
      </w:tr>
      <w:tr w:rsidR="00E43879" w:rsidRPr="00445472" w14:paraId="0B12A988" w14:textId="77777777" w:rsidTr="00E43879">
        <w:trPr>
          <w:jc w:val="center"/>
        </w:trPr>
        <w:tc>
          <w:tcPr>
            <w:tcW w:w="791" w:type="pct"/>
            <w:shd w:val="clear" w:color="auto" w:fill="auto"/>
            <w:vAlign w:val="center"/>
            <w:hideMark/>
          </w:tcPr>
          <w:p w14:paraId="72AF1D21" w14:textId="77777777" w:rsidR="00E43879" w:rsidRPr="00445472" w:rsidRDefault="00E43879" w:rsidP="002A1F08">
            <w:pPr>
              <w:pStyle w:val="TableTextLeft"/>
              <w:rPr>
                <w:rFonts w:ascii="Garamond" w:hAnsi="Garamond"/>
                <w:lang w:val="sq-AL"/>
              </w:rPr>
            </w:pPr>
            <w:r w:rsidRPr="00445472">
              <w:rPr>
                <w:rFonts w:ascii="Garamond" w:hAnsi="Garamond"/>
                <w:lang w:val="sq-AL"/>
              </w:rPr>
              <w:t>Arritja e përputhshmërisë së plotë me parimet e BE-së për ujin dhe mjedisin në lidhje me parandalimin, subvencionimin, proporcionalitetin dhe solidaritetin që duhet të njihen mirë dhe të zbatohen</w:t>
            </w:r>
          </w:p>
        </w:tc>
        <w:tc>
          <w:tcPr>
            <w:tcW w:w="1090" w:type="pct"/>
            <w:shd w:val="clear" w:color="auto" w:fill="auto"/>
            <w:vAlign w:val="center"/>
            <w:hideMark/>
          </w:tcPr>
          <w:p w14:paraId="42FD7FC3" w14:textId="77777777" w:rsidR="00E43879" w:rsidRPr="00445472" w:rsidRDefault="00E43879" w:rsidP="002A1F08">
            <w:pPr>
              <w:pStyle w:val="TableTextLeft"/>
              <w:rPr>
                <w:rFonts w:ascii="Garamond" w:hAnsi="Garamond"/>
                <w:lang w:val="sq-AL"/>
              </w:rPr>
            </w:pPr>
            <w:r w:rsidRPr="00445472">
              <w:rPr>
                <w:rFonts w:ascii="Garamond" w:hAnsi="Garamond"/>
                <w:lang w:val="sq-AL"/>
              </w:rPr>
              <w:t>Përpunimi i udhëzimeve të trajnimit dhe raporteve</w:t>
            </w:r>
          </w:p>
          <w:p w14:paraId="121B3096" w14:textId="77777777" w:rsidR="00E43879" w:rsidRPr="00445472" w:rsidRDefault="00E43879" w:rsidP="002A1F08">
            <w:pPr>
              <w:pStyle w:val="TableTextLeft"/>
              <w:rPr>
                <w:rFonts w:ascii="Garamond" w:hAnsi="Garamond"/>
                <w:lang w:val="sq-AL"/>
              </w:rPr>
            </w:pPr>
            <w:r w:rsidRPr="00445472">
              <w:rPr>
                <w:rFonts w:ascii="Garamond" w:hAnsi="Garamond"/>
                <w:lang w:val="sq-AL"/>
              </w:rPr>
              <w:t>Kryerja e vlerësimeve mbi zbatimin e parimeve</w:t>
            </w:r>
          </w:p>
        </w:tc>
        <w:tc>
          <w:tcPr>
            <w:tcW w:w="545" w:type="pct"/>
            <w:shd w:val="clear" w:color="auto" w:fill="auto"/>
            <w:vAlign w:val="center"/>
            <w:hideMark/>
          </w:tcPr>
          <w:p w14:paraId="3823AEAE" w14:textId="77777777" w:rsidR="00E43879" w:rsidRPr="00445472" w:rsidRDefault="00E43879" w:rsidP="002A1F08">
            <w:pPr>
              <w:pStyle w:val="TableTextLeft"/>
              <w:rPr>
                <w:rFonts w:ascii="Garamond" w:hAnsi="Garamond"/>
                <w:lang w:val="sq-AL"/>
              </w:rPr>
            </w:pPr>
            <w:r w:rsidRPr="00445472">
              <w:rPr>
                <w:rFonts w:ascii="Garamond" w:hAnsi="Garamond"/>
                <w:lang w:val="sq-AL"/>
              </w:rPr>
              <w:t>PMBU-të, auditime, raporte të jashtme</w:t>
            </w:r>
          </w:p>
        </w:tc>
        <w:tc>
          <w:tcPr>
            <w:tcW w:w="842" w:type="pct"/>
            <w:shd w:val="clear" w:color="auto" w:fill="auto"/>
            <w:vAlign w:val="center"/>
            <w:hideMark/>
          </w:tcPr>
          <w:p w14:paraId="4BF107ED"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 ministria përgjegjëse për çështjet mjedisore, Prefekturat, Zyrat e Administrimit të Baseneve Ujore dhe KBU-të</w:t>
            </w:r>
          </w:p>
        </w:tc>
        <w:tc>
          <w:tcPr>
            <w:tcW w:w="1732" w:type="pct"/>
            <w:shd w:val="clear" w:color="auto" w:fill="auto"/>
            <w:vAlign w:val="center"/>
          </w:tcPr>
          <w:p w14:paraId="78C9EA35" w14:textId="77777777" w:rsidR="00E43879" w:rsidRPr="00445472" w:rsidRDefault="00E43879" w:rsidP="002A1F08">
            <w:pPr>
              <w:pStyle w:val="TableTextLeft"/>
              <w:rPr>
                <w:rFonts w:ascii="Garamond" w:hAnsi="Garamond"/>
                <w:lang w:val="sq-AL"/>
              </w:rPr>
            </w:pPr>
            <w:r w:rsidRPr="00445472">
              <w:rPr>
                <w:rFonts w:ascii="Garamond" w:hAnsi="Garamond"/>
                <w:lang w:val="sq-AL"/>
              </w:rPr>
              <w:t>Të sigurojnë që të gjitha direktivat përkatëse të DKU-së të transpozohen në legjislacionin kombëtar. Me rëndësi të veçantë është Direktiva për Ujëra nëntokësorë dhe Direktiva e Nitrateve.</w:t>
            </w:r>
          </w:p>
          <w:p w14:paraId="752AEEA8" w14:textId="0F8254A5" w:rsidR="00E43879" w:rsidRPr="00445472" w:rsidRDefault="00E43879" w:rsidP="00504992">
            <w:pPr>
              <w:pStyle w:val="TableTextLeft"/>
              <w:rPr>
                <w:rFonts w:ascii="Garamond" w:hAnsi="Garamond"/>
                <w:lang w:val="sq-AL"/>
              </w:rPr>
            </w:pPr>
            <w:r w:rsidRPr="00445472">
              <w:rPr>
                <w:rFonts w:ascii="Garamond" w:hAnsi="Garamond"/>
                <w:lang w:val="sq-AL"/>
              </w:rPr>
              <w:t>Të ndërmerren të gjitha kërkesat dhe rekomandimet e DKU-së lidhur me objektivat mjedisor</w:t>
            </w:r>
            <w:r w:rsidR="00504992" w:rsidRPr="00445472">
              <w:rPr>
                <w:rFonts w:ascii="Garamond" w:hAnsi="Garamond"/>
                <w:lang w:val="sq-AL"/>
              </w:rPr>
              <w:t>ë</w:t>
            </w:r>
            <w:r w:rsidRPr="00445472">
              <w:rPr>
                <w:rFonts w:ascii="Garamond" w:hAnsi="Garamond"/>
                <w:lang w:val="sq-AL"/>
              </w:rPr>
              <w:t>, programet e monitorimit në përputhje dhe analizat socio-ekonomike të përdorimit të ujit dhe rikuperimin efektiv të kostove.</w:t>
            </w:r>
          </w:p>
        </w:tc>
      </w:tr>
      <w:tr w:rsidR="00E43879" w:rsidRPr="00445472" w14:paraId="4AA62CFD" w14:textId="77777777" w:rsidTr="00E43879">
        <w:trPr>
          <w:jc w:val="center"/>
        </w:trPr>
        <w:tc>
          <w:tcPr>
            <w:tcW w:w="791" w:type="pct"/>
            <w:shd w:val="clear" w:color="auto" w:fill="auto"/>
            <w:vAlign w:val="center"/>
            <w:hideMark/>
          </w:tcPr>
          <w:p w14:paraId="65FE7BAE" w14:textId="77777777" w:rsidR="00E43879" w:rsidRPr="00445472" w:rsidRDefault="00E43879" w:rsidP="002A1F08">
            <w:pPr>
              <w:pStyle w:val="TableTextLeft"/>
              <w:rPr>
                <w:rFonts w:ascii="Garamond" w:hAnsi="Garamond"/>
                <w:lang w:val="sq-AL"/>
              </w:rPr>
            </w:pPr>
            <w:r w:rsidRPr="00445472">
              <w:rPr>
                <w:rFonts w:ascii="Garamond" w:hAnsi="Garamond"/>
                <w:lang w:val="sq-AL"/>
              </w:rPr>
              <w:t>Arritja e zhvillimit të vazhdueshëm të kapaciteteve nëpërmjet punës për të plotësuar njohuritë e nevojshme të roleve dhe përgjegjësive të reja</w:t>
            </w:r>
          </w:p>
        </w:tc>
        <w:tc>
          <w:tcPr>
            <w:tcW w:w="1090" w:type="pct"/>
            <w:shd w:val="clear" w:color="auto" w:fill="auto"/>
            <w:vAlign w:val="center"/>
            <w:hideMark/>
          </w:tcPr>
          <w:p w14:paraId="6EDBA1AB" w14:textId="77777777" w:rsidR="00E43879" w:rsidRPr="00445472" w:rsidRDefault="00E43879" w:rsidP="002A1F08">
            <w:pPr>
              <w:pStyle w:val="TableTextLeft"/>
              <w:rPr>
                <w:rFonts w:ascii="Garamond" w:hAnsi="Garamond"/>
                <w:lang w:val="sq-AL"/>
              </w:rPr>
            </w:pPr>
            <w:r w:rsidRPr="00445472">
              <w:rPr>
                <w:rFonts w:ascii="Garamond" w:hAnsi="Garamond"/>
                <w:lang w:val="sq-AL"/>
              </w:rPr>
              <w:t>Mundësimi i materialeve të trajnimit dhe kurseve për personelin e nivelit të lartë, të mesëm dhe të ulët, ofruar në mënyrë të barabartë si për femrat ashtu edhe për meshkujt.</w:t>
            </w:r>
          </w:p>
        </w:tc>
        <w:tc>
          <w:tcPr>
            <w:tcW w:w="545" w:type="pct"/>
            <w:shd w:val="clear" w:color="auto" w:fill="auto"/>
            <w:vAlign w:val="center"/>
            <w:hideMark/>
          </w:tcPr>
          <w:p w14:paraId="7AD606B1"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Trajnimet mbulojnë shumicën ose të gjitha nevojat e punës së përditshme </w:t>
            </w:r>
          </w:p>
        </w:tc>
        <w:tc>
          <w:tcPr>
            <w:tcW w:w="842" w:type="pct"/>
            <w:shd w:val="clear" w:color="auto" w:fill="auto"/>
            <w:vAlign w:val="center"/>
            <w:hideMark/>
          </w:tcPr>
          <w:p w14:paraId="7FCBB1F4" w14:textId="77777777" w:rsidR="00E43879" w:rsidRPr="00445472" w:rsidRDefault="00E43879" w:rsidP="002A1F08">
            <w:pPr>
              <w:pStyle w:val="TableTextLeft"/>
              <w:rPr>
                <w:rFonts w:ascii="Garamond" w:hAnsi="Garamond"/>
                <w:lang w:val="sq-AL"/>
              </w:rPr>
            </w:pPr>
            <w:r w:rsidRPr="00445472">
              <w:rPr>
                <w:rFonts w:ascii="Garamond" w:hAnsi="Garamond"/>
                <w:lang w:val="sq-AL"/>
              </w:rPr>
              <w:t>Çdo ministri, agjenci, drejtori</w:t>
            </w:r>
          </w:p>
        </w:tc>
        <w:tc>
          <w:tcPr>
            <w:tcW w:w="1732" w:type="pct"/>
            <w:shd w:val="clear" w:color="auto" w:fill="auto"/>
            <w:vAlign w:val="center"/>
          </w:tcPr>
          <w:p w14:paraId="4476CF02" w14:textId="77777777" w:rsidR="00E43879" w:rsidRPr="00445472" w:rsidRDefault="00E43879" w:rsidP="002A1F08">
            <w:pPr>
              <w:pStyle w:val="TableTextLeft"/>
              <w:rPr>
                <w:rFonts w:ascii="Garamond" w:hAnsi="Garamond"/>
                <w:lang w:val="sq-AL"/>
              </w:rPr>
            </w:pPr>
            <w:r w:rsidRPr="00445472">
              <w:rPr>
                <w:rFonts w:ascii="Garamond" w:hAnsi="Garamond"/>
                <w:lang w:val="sq-AL"/>
              </w:rPr>
              <w:t>Zhvillimi i programeve të edukimit dhe trajnimit të strukturuar për personelin në të gjitha institucionet publike të përfshira në aktivitetet e menaxhimit të ujit sipas rregullave kombëtare.</w:t>
            </w:r>
          </w:p>
          <w:p w14:paraId="1CF052D3" w14:textId="77777777" w:rsidR="00E43879" w:rsidRPr="00445472" w:rsidRDefault="00E43879" w:rsidP="002A1F08">
            <w:pPr>
              <w:pStyle w:val="TableTextLeft"/>
              <w:rPr>
                <w:rFonts w:ascii="Garamond" w:hAnsi="Garamond"/>
                <w:lang w:val="sq-AL"/>
              </w:rPr>
            </w:pPr>
          </w:p>
        </w:tc>
      </w:tr>
      <w:tr w:rsidR="00E43879" w:rsidRPr="00445472" w14:paraId="0E85A6D1" w14:textId="77777777" w:rsidTr="00E43879">
        <w:trPr>
          <w:jc w:val="center"/>
        </w:trPr>
        <w:tc>
          <w:tcPr>
            <w:tcW w:w="791" w:type="pct"/>
            <w:shd w:val="clear" w:color="auto" w:fill="auto"/>
            <w:vAlign w:val="center"/>
            <w:hideMark/>
          </w:tcPr>
          <w:p w14:paraId="6418B28F" w14:textId="77777777" w:rsidR="00E43879" w:rsidRPr="00445472" w:rsidRDefault="00E43879" w:rsidP="002A1F08">
            <w:pPr>
              <w:pStyle w:val="TableTextLeft"/>
              <w:rPr>
                <w:rFonts w:ascii="Garamond" w:hAnsi="Garamond"/>
                <w:lang w:val="sq-AL"/>
              </w:rPr>
            </w:pPr>
            <w:r w:rsidRPr="00445472">
              <w:rPr>
                <w:rFonts w:ascii="Garamond" w:hAnsi="Garamond"/>
                <w:lang w:val="sq-AL"/>
              </w:rPr>
              <w:t>Vendosja e bashkërendimit dhe planifikimit ndërsektorial</w:t>
            </w:r>
          </w:p>
        </w:tc>
        <w:tc>
          <w:tcPr>
            <w:tcW w:w="1090" w:type="pct"/>
            <w:shd w:val="clear" w:color="auto" w:fill="auto"/>
            <w:vAlign w:val="center"/>
            <w:hideMark/>
          </w:tcPr>
          <w:p w14:paraId="2287112F" w14:textId="77777777" w:rsidR="00E43879" w:rsidRPr="00445472" w:rsidRDefault="00E43879" w:rsidP="002A1F08">
            <w:pPr>
              <w:pStyle w:val="TableTextLeft"/>
              <w:rPr>
                <w:rFonts w:ascii="Garamond" w:hAnsi="Garamond"/>
                <w:lang w:val="sq-AL"/>
              </w:rPr>
            </w:pPr>
            <w:r w:rsidRPr="00445472">
              <w:rPr>
                <w:rFonts w:ascii="Garamond" w:hAnsi="Garamond"/>
                <w:lang w:val="sq-AL"/>
              </w:rPr>
              <w:t>Planet sektoriale janë bazuar në kuptimin e përbashkët të parimeve të pranuara të MIBU-së dhe disponueshmërisë së ujit për sektor</w:t>
            </w:r>
          </w:p>
        </w:tc>
        <w:tc>
          <w:tcPr>
            <w:tcW w:w="545" w:type="pct"/>
            <w:shd w:val="clear" w:color="auto" w:fill="auto"/>
            <w:vAlign w:val="center"/>
            <w:hideMark/>
          </w:tcPr>
          <w:p w14:paraId="32AB0DDE" w14:textId="77777777" w:rsidR="00E43879" w:rsidRPr="00445472" w:rsidRDefault="00E43879" w:rsidP="002A1F08">
            <w:pPr>
              <w:pStyle w:val="TableTextLeft"/>
              <w:rPr>
                <w:rFonts w:ascii="Garamond" w:hAnsi="Garamond"/>
                <w:lang w:val="sq-AL"/>
              </w:rPr>
            </w:pPr>
            <w:r w:rsidRPr="00445472">
              <w:rPr>
                <w:rFonts w:ascii="Garamond" w:hAnsi="Garamond"/>
                <w:lang w:val="sq-AL"/>
              </w:rPr>
              <w:t>Plane ndërsektorial për secilin basen ujor</w:t>
            </w:r>
          </w:p>
        </w:tc>
        <w:tc>
          <w:tcPr>
            <w:tcW w:w="842" w:type="pct"/>
            <w:shd w:val="clear" w:color="auto" w:fill="auto"/>
            <w:vAlign w:val="center"/>
            <w:hideMark/>
          </w:tcPr>
          <w:p w14:paraId="673FD6A9"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Agjencia e Menaxhimit të Burimeve Ujore në bashkëpunim me </w:t>
            </w:r>
          </w:p>
          <w:p w14:paraId="171B0982" w14:textId="0EC84615" w:rsidR="00E43879" w:rsidRPr="00445472" w:rsidRDefault="00E43879" w:rsidP="002A1F08">
            <w:pPr>
              <w:pStyle w:val="TableTextLeft"/>
              <w:rPr>
                <w:rFonts w:ascii="Garamond" w:hAnsi="Garamond"/>
                <w:lang w:val="sq-AL"/>
              </w:rPr>
            </w:pPr>
            <w:r w:rsidRPr="00445472">
              <w:rPr>
                <w:rFonts w:ascii="Garamond" w:hAnsi="Garamond"/>
                <w:lang w:val="sq-AL"/>
              </w:rPr>
              <w:t xml:space="preserve">ministritë përgjegjëse për </w:t>
            </w:r>
            <w:r w:rsidR="00F17E7E" w:rsidRPr="00445472">
              <w:rPr>
                <w:rFonts w:ascii="Garamond" w:hAnsi="Garamond"/>
                <w:lang w:val="sq-AL"/>
              </w:rPr>
              <w:t>sektorët</w:t>
            </w:r>
            <w:r w:rsidRPr="00445472">
              <w:rPr>
                <w:rFonts w:ascii="Garamond" w:hAnsi="Garamond"/>
                <w:lang w:val="sq-AL"/>
              </w:rPr>
              <w:t xml:space="preserve"> </w:t>
            </w:r>
          </w:p>
        </w:tc>
        <w:tc>
          <w:tcPr>
            <w:tcW w:w="1732" w:type="pct"/>
            <w:shd w:val="clear" w:color="auto" w:fill="auto"/>
            <w:vAlign w:val="center"/>
          </w:tcPr>
          <w:p w14:paraId="03487A3A" w14:textId="77777777" w:rsidR="00E43879" w:rsidRPr="00445472" w:rsidRDefault="00E43879" w:rsidP="002A1F08">
            <w:pPr>
              <w:pStyle w:val="TableTextLeft"/>
              <w:rPr>
                <w:rFonts w:ascii="Garamond" w:hAnsi="Garamond"/>
                <w:lang w:val="sq-AL"/>
              </w:rPr>
            </w:pPr>
          </w:p>
        </w:tc>
      </w:tr>
      <w:tr w:rsidR="00E43879" w:rsidRPr="00445472" w14:paraId="0C12ABA8" w14:textId="77777777" w:rsidTr="00E43879">
        <w:trPr>
          <w:jc w:val="center"/>
        </w:trPr>
        <w:tc>
          <w:tcPr>
            <w:tcW w:w="791" w:type="pct"/>
            <w:shd w:val="clear" w:color="auto" w:fill="auto"/>
            <w:vAlign w:val="center"/>
            <w:hideMark/>
          </w:tcPr>
          <w:p w14:paraId="385D45B1"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Krijimi i instrumenteve ekonomike dhe financiare për rikuperimin e kostos </w:t>
            </w:r>
          </w:p>
        </w:tc>
        <w:tc>
          <w:tcPr>
            <w:tcW w:w="1090" w:type="pct"/>
            <w:shd w:val="clear" w:color="auto" w:fill="auto"/>
            <w:vAlign w:val="center"/>
            <w:hideMark/>
          </w:tcPr>
          <w:p w14:paraId="6D4776C2" w14:textId="77777777" w:rsidR="00E43879" w:rsidRPr="00445472" w:rsidRDefault="00E43879" w:rsidP="002A1F08">
            <w:pPr>
              <w:pStyle w:val="TableTextLeft"/>
              <w:rPr>
                <w:rFonts w:ascii="Garamond" w:hAnsi="Garamond"/>
                <w:lang w:val="sq-AL"/>
              </w:rPr>
            </w:pPr>
            <w:r w:rsidRPr="00445472">
              <w:rPr>
                <w:rFonts w:ascii="Garamond" w:hAnsi="Garamond"/>
                <w:lang w:val="sq-AL"/>
              </w:rPr>
              <w:t>Kuadri ligjor lejon instrumente ekonomike si tarifa, detyrime për prodhim uji, pagesë për ndotje dhe subvencione.</w:t>
            </w:r>
          </w:p>
        </w:tc>
        <w:tc>
          <w:tcPr>
            <w:tcW w:w="545" w:type="pct"/>
            <w:shd w:val="clear" w:color="auto" w:fill="auto"/>
            <w:vAlign w:val="center"/>
            <w:hideMark/>
          </w:tcPr>
          <w:p w14:paraId="69A3DA0C" w14:textId="77777777" w:rsidR="00E43879" w:rsidRPr="00445472" w:rsidRDefault="00E43879" w:rsidP="002A1F08">
            <w:pPr>
              <w:pStyle w:val="TableTextLeft"/>
              <w:rPr>
                <w:rFonts w:ascii="Garamond" w:hAnsi="Garamond"/>
                <w:lang w:val="sq-AL"/>
              </w:rPr>
            </w:pPr>
            <w:r w:rsidRPr="00445472">
              <w:rPr>
                <w:rFonts w:ascii="Garamond" w:hAnsi="Garamond"/>
                <w:lang w:val="sq-AL"/>
              </w:rPr>
              <w:t>Vlera e përgjithshme e instrumenteve të ndryshme në lidhje me subjektet specifike</w:t>
            </w:r>
          </w:p>
        </w:tc>
        <w:tc>
          <w:tcPr>
            <w:tcW w:w="842" w:type="pct"/>
            <w:shd w:val="clear" w:color="auto" w:fill="auto"/>
            <w:vAlign w:val="center"/>
            <w:hideMark/>
          </w:tcPr>
          <w:p w14:paraId="4DF0FC03" w14:textId="77777777" w:rsidR="00E43879" w:rsidRPr="00445472" w:rsidRDefault="00E43879" w:rsidP="002A1F08">
            <w:pPr>
              <w:pStyle w:val="TableTextLeft"/>
              <w:rPr>
                <w:rFonts w:ascii="Garamond" w:hAnsi="Garamond"/>
                <w:lang w:val="sq-AL"/>
              </w:rPr>
            </w:pPr>
            <w:r w:rsidRPr="00445472">
              <w:rPr>
                <w:rFonts w:ascii="Garamond" w:hAnsi="Garamond"/>
                <w:lang w:val="sq-AL"/>
              </w:rPr>
              <w:t>Ministritë përgjegjëse</w:t>
            </w:r>
          </w:p>
        </w:tc>
        <w:tc>
          <w:tcPr>
            <w:tcW w:w="1732" w:type="pct"/>
            <w:shd w:val="clear" w:color="auto" w:fill="auto"/>
            <w:vAlign w:val="center"/>
          </w:tcPr>
          <w:p w14:paraId="3100F062" w14:textId="1B82CDB5" w:rsidR="00E43879" w:rsidRPr="00445472" w:rsidRDefault="00E43879" w:rsidP="00F17E7E">
            <w:pPr>
              <w:pStyle w:val="TableTextLeft"/>
              <w:rPr>
                <w:rFonts w:ascii="Garamond" w:hAnsi="Garamond"/>
                <w:lang w:val="sq-AL"/>
              </w:rPr>
            </w:pPr>
            <w:r w:rsidRPr="00445472">
              <w:rPr>
                <w:rFonts w:ascii="Garamond" w:hAnsi="Garamond"/>
                <w:lang w:val="sq-AL"/>
              </w:rPr>
              <w:t>Ndryshoni politikat e çmimeve aktuale për të përmbushur kërkesat e Direktivës Kuadër të Ujit për të kundërshtuar faktin se marrëveshjet e tanishme japin pagesa nga shërbimet e ujit dhe kanalizimit që nuk mbulojnë kostot e këtyre shërbimeve. Merr parasysh parimet dhe objektivat e nenit 9 të DKU-së në veçanti.</w:t>
            </w:r>
            <w:r w:rsidR="00F17E7E" w:rsidRPr="00445472">
              <w:rPr>
                <w:rFonts w:ascii="Garamond" w:hAnsi="Garamond"/>
                <w:lang w:val="sq-AL"/>
              </w:rPr>
              <w:t xml:space="preserve"> </w:t>
            </w:r>
            <w:r w:rsidRPr="00445472">
              <w:rPr>
                <w:rFonts w:ascii="Garamond" w:hAnsi="Garamond"/>
                <w:lang w:val="sq-AL"/>
              </w:rPr>
              <w:t>Përcaktoni rikuperimin e kostove të shërbimeve të ujitjes.</w:t>
            </w:r>
          </w:p>
        </w:tc>
      </w:tr>
      <w:tr w:rsidR="00E43879" w:rsidRPr="00445472" w14:paraId="7A1EA1B5" w14:textId="77777777" w:rsidTr="00E43879">
        <w:trPr>
          <w:jc w:val="center"/>
        </w:trPr>
        <w:tc>
          <w:tcPr>
            <w:tcW w:w="791" w:type="pct"/>
            <w:shd w:val="clear" w:color="auto" w:fill="auto"/>
            <w:vAlign w:val="center"/>
            <w:hideMark/>
          </w:tcPr>
          <w:p w14:paraId="43500D85" w14:textId="77777777" w:rsidR="00E43879" w:rsidRPr="00445472" w:rsidRDefault="00E43879" w:rsidP="002A1F08">
            <w:pPr>
              <w:pStyle w:val="TableTextLeft"/>
              <w:rPr>
                <w:rFonts w:ascii="Garamond" w:hAnsi="Garamond"/>
                <w:lang w:val="sq-AL"/>
              </w:rPr>
            </w:pPr>
            <w:r w:rsidRPr="00445472">
              <w:rPr>
                <w:rFonts w:ascii="Garamond" w:hAnsi="Garamond"/>
                <w:lang w:val="sq-AL"/>
              </w:rPr>
              <w:t>Praktikimi i integritetit dhe transparencës në të gjitha politikat ujore, institucioneve të ujit dhe kuadrove të qeverisjes së ujit për të rritur përgjegjshmërinë dhe besimin në vendimmarrje</w:t>
            </w:r>
          </w:p>
        </w:tc>
        <w:tc>
          <w:tcPr>
            <w:tcW w:w="1090" w:type="pct"/>
            <w:shd w:val="clear" w:color="auto" w:fill="auto"/>
            <w:vAlign w:val="center"/>
            <w:hideMark/>
          </w:tcPr>
          <w:p w14:paraId="712377B6" w14:textId="77777777" w:rsidR="00E43879" w:rsidRPr="00445472" w:rsidRDefault="00E43879" w:rsidP="002A1F08">
            <w:pPr>
              <w:pStyle w:val="TableTextLeft"/>
              <w:rPr>
                <w:rFonts w:ascii="Garamond" w:hAnsi="Garamond"/>
                <w:lang w:val="sq-AL"/>
              </w:rPr>
            </w:pPr>
            <w:r w:rsidRPr="00445472">
              <w:rPr>
                <w:rFonts w:ascii="Garamond" w:hAnsi="Garamond"/>
                <w:lang w:val="sq-AL"/>
              </w:rPr>
              <w:t>Hartimi i politikave të MIBU dhe PMBU-ve me përfshirjen e qartë të palëve të interesit dhe autoriteteve qendrore për të siguruar transparencë në lidhje me marrëveshjet dhe  angazhimet</w:t>
            </w:r>
          </w:p>
        </w:tc>
        <w:tc>
          <w:tcPr>
            <w:tcW w:w="545" w:type="pct"/>
            <w:shd w:val="clear" w:color="auto" w:fill="auto"/>
            <w:vAlign w:val="center"/>
            <w:hideMark/>
          </w:tcPr>
          <w:p w14:paraId="78B47D7F" w14:textId="77777777" w:rsidR="00E43879" w:rsidRPr="00445472" w:rsidRDefault="00E43879" w:rsidP="002A1F08">
            <w:pPr>
              <w:pStyle w:val="TableTextLeft"/>
              <w:rPr>
                <w:rFonts w:ascii="Garamond" w:hAnsi="Garamond"/>
                <w:lang w:val="sq-AL"/>
              </w:rPr>
            </w:pPr>
            <w:r w:rsidRPr="00445472">
              <w:rPr>
                <w:rFonts w:ascii="Garamond" w:hAnsi="Garamond"/>
                <w:lang w:val="sq-AL"/>
              </w:rPr>
              <w:t>Treguesit e besimit</w:t>
            </w:r>
          </w:p>
          <w:p w14:paraId="3F3F5F0F" w14:textId="77777777" w:rsidR="00E43879" w:rsidRPr="00445472" w:rsidRDefault="00E43879" w:rsidP="002A1F08">
            <w:pPr>
              <w:pStyle w:val="TableTextLeft"/>
              <w:rPr>
                <w:rFonts w:ascii="Garamond" w:hAnsi="Garamond"/>
                <w:lang w:val="sq-AL"/>
              </w:rPr>
            </w:pPr>
            <w:r w:rsidRPr="00445472">
              <w:rPr>
                <w:rFonts w:ascii="Garamond" w:hAnsi="Garamond"/>
                <w:lang w:val="sq-AL"/>
              </w:rPr>
              <w:t>Vullneti për të dhënë kontribut</w:t>
            </w:r>
          </w:p>
        </w:tc>
        <w:tc>
          <w:tcPr>
            <w:tcW w:w="842" w:type="pct"/>
            <w:shd w:val="clear" w:color="auto" w:fill="auto"/>
            <w:vAlign w:val="center"/>
            <w:hideMark/>
          </w:tcPr>
          <w:p w14:paraId="7D2E87E8" w14:textId="77777777" w:rsidR="00E43879" w:rsidRPr="00445472" w:rsidRDefault="00E43879" w:rsidP="002A1F08">
            <w:pPr>
              <w:pStyle w:val="TableTextLeft"/>
              <w:rPr>
                <w:rFonts w:ascii="Garamond" w:hAnsi="Garamond"/>
                <w:lang w:val="sq-AL"/>
              </w:rPr>
            </w:pPr>
            <w:r w:rsidRPr="00445472">
              <w:rPr>
                <w:rFonts w:ascii="Garamond" w:hAnsi="Garamond"/>
                <w:lang w:val="sq-AL"/>
              </w:rPr>
              <w:t>Të gjithë</w:t>
            </w:r>
          </w:p>
        </w:tc>
        <w:tc>
          <w:tcPr>
            <w:tcW w:w="1732" w:type="pct"/>
            <w:vMerge w:val="restart"/>
            <w:shd w:val="clear" w:color="auto" w:fill="auto"/>
            <w:vAlign w:val="center"/>
          </w:tcPr>
          <w:p w14:paraId="7D20B7BA"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të gjitha veprimeve të propozuara në planin e njohjes me PMBU-të, duke përfshirë monitorimin dhe vlerësimin.</w:t>
            </w:r>
          </w:p>
          <w:p w14:paraId="6B3562DD" w14:textId="77777777" w:rsidR="00E43879" w:rsidRPr="00445472" w:rsidRDefault="00E43879" w:rsidP="002A1F08">
            <w:pPr>
              <w:pStyle w:val="TableTextLeft"/>
              <w:rPr>
                <w:rFonts w:ascii="Garamond" w:hAnsi="Garamond"/>
                <w:lang w:val="sq-AL"/>
              </w:rPr>
            </w:pPr>
          </w:p>
        </w:tc>
      </w:tr>
      <w:tr w:rsidR="00E43879" w:rsidRPr="00445472" w14:paraId="7B3163E7" w14:textId="77777777" w:rsidTr="00E43879">
        <w:trPr>
          <w:jc w:val="center"/>
        </w:trPr>
        <w:tc>
          <w:tcPr>
            <w:tcW w:w="791" w:type="pct"/>
            <w:shd w:val="clear" w:color="auto" w:fill="auto"/>
            <w:vAlign w:val="center"/>
            <w:hideMark/>
          </w:tcPr>
          <w:p w14:paraId="042E8C7A" w14:textId="77777777" w:rsidR="00E43879" w:rsidRPr="00445472" w:rsidRDefault="00E43879" w:rsidP="002A1F08">
            <w:pPr>
              <w:pStyle w:val="TableTextLeft"/>
              <w:rPr>
                <w:rFonts w:ascii="Garamond" w:hAnsi="Garamond"/>
                <w:lang w:val="sq-AL"/>
              </w:rPr>
            </w:pPr>
            <w:r w:rsidRPr="00445472">
              <w:rPr>
                <w:rFonts w:ascii="Garamond" w:hAnsi="Garamond"/>
                <w:lang w:val="sq-AL"/>
              </w:rPr>
              <w:t>Sigurimi i pjesëmarrjes aktive të të gjitha palëve të interesit (përfshirë OJQ-të, komunitetet vendore dhe gratë në veçanti) në veprimtaritë e menaxhimit të burimeve ujore dhe promovimi i përfshirjes publike dhe ndryshimit shoqëror në lidhje me kulturën e përdorimit të integruar të ujit</w:t>
            </w:r>
          </w:p>
        </w:tc>
        <w:tc>
          <w:tcPr>
            <w:tcW w:w="1090" w:type="pct"/>
            <w:shd w:val="clear" w:color="auto" w:fill="auto"/>
            <w:vAlign w:val="center"/>
            <w:hideMark/>
          </w:tcPr>
          <w:p w14:paraId="08CFD135" w14:textId="041A5945" w:rsidR="00E43879" w:rsidRPr="00445472" w:rsidRDefault="00E43879" w:rsidP="002A1F08">
            <w:pPr>
              <w:pStyle w:val="TableTextLeft"/>
              <w:rPr>
                <w:rFonts w:ascii="Garamond" w:hAnsi="Garamond"/>
                <w:lang w:val="sq-AL"/>
              </w:rPr>
            </w:pPr>
            <w:r w:rsidRPr="00445472">
              <w:rPr>
                <w:rFonts w:ascii="Garamond" w:hAnsi="Garamond"/>
                <w:lang w:val="sq-AL"/>
              </w:rPr>
              <w:t>Pranimi dhe miratimi i ndërsjellë i Strategjisë MIBU dhe PMBU-ve nga palët e interesit</w:t>
            </w:r>
          </w:p>
          <w:p w14:paraId="27998A2A" w14:textId="77777777" w:rsidR="00E43879" w:rsidRPr="00445472" w:rsidRDefault="00E43879" w:rsidP="002A1F08">
            <w:pPr>
              <w:pStyle w:val="TableTextLeft"/>
              <w:rPr>
                <w:rFonts w:ascii="Garamond" w:hAnsi="Garamond"/>
                <w:lang w:val="sq-AL"/>
              </w:rPr>
            </w:pPr>
            <w:r w:rsidRPr="00445472">
              <w:rPr>
                <w:rFonts w:ascii="Garamond" w:hAnsi="Garamond"/>
                <w:lang w:val="sq-AL"/>
              </w:rPr>
              <w:t>Fushata ndërgjegjësimi mbi interesat konkurruese, kryerja e informimit  sistematik, programeve arsimore funksionale edukative për një kulturë të menaxhimit të integruar të ujit.</w:t>
            </w:r>
          </w:p>
        </w:tc>
        <w:tc>
          <w:tcPr>
            <w:tcW w:w="545" w:type="pct"/>
            <w:shd w:val="clear" w:color="auto" w:fill="auto"/>
            <w:vAlign w:val="center"/>
            <w:hideMark/>
          </w:tcPr>
          <w:p w14:paraId="485631AB"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Përshkrime të proceseve dhe masat e pranuara </w:t>
            </w:r>
          </w:p>
          <w:p w14:paraId="2DBC40BE"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Udhëzime </w:t>
            </w:r>
          </w:p>
          <w:p w14:paraId="2A0C87C6" w14:textId="77777777" w:rsidR="00E43879" w:rsidRPr="00445472" w:rsidRDefault="00E43879" w:rsidP="002A1F08">
            <w:pPr>
              <w:pStyle w:val="TableTextLeft"/>
              <w:rPr>
                <w:rFonts w:ascii="Garamond" w:hAnsi="Garamond"/>
                <w:lang w:val="sq-AL"/>
              </w:rPr>
            </w:pPr>
            <w:r w:rsidRPr="00445472">
              <w:rPr>
                <w:rFonts w:ascii="Garamond" w:hAnsi="Garamond"/>
                <w:lang w:val="sq-AL"/>
              </w:rPr>
              <w:t>Akte nënligjore</w:t>
            </w:r>
          </w:p>
        </w:tc>
        <w:tc>
          <w:tcPr>
            <w:tcW w:w="842" w:type="pct"/>
            <w:shd w:val="clear" w:color="auto" w:fill="auto"/>
            <w:vAlign w:val="center"/>
            <w:hideMark/>
          </w:tcPr>
          <w:p w14:paraId="3DC18D19" w14:textId="77777777" w:rsidR="00E43879" w:rsidRPr="00445472" w:rsidRDefault="00E43879" w:rsidP="002A1F08">
            <w:pPr>
              <w:pStyle w:val="TableTextLeft"/>
              <w:rPr>
                <w:rFonts w:ascii="Garamond" w:hAnsi="Garamond"/>
                <w:lang w:val="sq-AL"/>
              </w:rPr>
            </w:pPr>
            <w:r w:rsidRPr="00445472">
              <w:rPr>
                <w:rFonts w:ascii="Garamond" w:hAnsi="Garamond"/>
                <w:lang w:val="sq-AL"/>
              </w:rPr>
              <w:t>Organet përgjegjëse për administrimin dhe menaxhimin e burimeve ujore</w:t>
            </w:r>
          </w:p>
        </w:tc>
        <w:tc>
          <w:tcPr>
            <w:tcW w:w="1732" w:type="pct"/>
            <w:vMerge/>
            <w:shd w:val="clear" w:color="auto" w:fill="auto"/>
            <w:vAlign w:val="center"/>
          </w:tcPr>
          <w:p w14:paraId="454ECD93" w14:textId="77777777" w:rsidR="00E43879" w:rsidRPr="00445472" w:rsidRDefault="00E43879" w:rsidP="002A1F08">
            <w:pPr>
              <w:pStyle w:val="TableTextLeft"/>
              <w:rPr>
                <w:rFonts w:ascii="Garamond" w:hAnsi="Garamond"/>
                <w:lang w:val="sq-AL"/>
              </w:rPr>
            </w:pPr>
          </w:p>
        </w:tc>
      </w:tr>
      <w:tr w:rsidR="00E43879" w:rsidRPr="00445472" w14:paraId="2342E399" w14:textId="77777777" w:rsidTr="00E43879">
        <w:trPr>
          <w:jc w:val="center"/>
        </w:trPr>
        <w:tc>
          <w:tcPr>
            <w:tcW w:w="791" w:type="pct"/>
            <w:shd w:val="clear" w:color="auto" w:fill="auto"/>
            <w:vAlign w:val="center"/>
            <w:hideMark/>
          </w:tcPr>
          <w:p w14:paraId="30D29D83" w14:textId="77777777" w:rsidR="00E43879" w:rsidRPr="00445472" w:rsidRDefault="00E43879" w:rsidP="002A1F08">
            <w:pPr>
              <w:pStyle w:val="TableTextLeft"/>
              <w:rPr>
                <w:rFonts w:ascii="Garamond" w:hAnsi="Garamond"/>
                <w:lang w:val="sq-AL"/>
              </w:rPr>
            </w:pPr>
            <w:r w:rsidRPr="00445472">
              <w:rPr>
                <w:rFonts w:ascii="Garamond" w:hAnsi="Garamond"/>
                <w:lang w:val="sq-AL"/>
              </w:rPr>
              <w:t>Arritja e marrëveshjeve të përshtatshme ndërkufitare (BE dhe UNECE)</w:t>
            </w:r>
          </w:p>
        </w:tc>
        <w:tc>
          <w:tcPr>
            <w:tcW w:w="1090" w:type="pct"/>
            <w:shd w:val="clear" w:color="auto" w:fill="auto"/>
            <w:vAlign w:val="center"/>
            <w:hideMark/>
          </w:tcPr>
          <w:p w14:paraId="1AF18987" w14:textId="77777777" w:rsidR="00E43879" w:rsidRPr="00445472" w:rsidRDefault="00E43879" w:rsidP="002A1F08">
            <w:pPr>
              <w:pStyle w:val="TableTextLeft"/>
              <w:rPr>
                <w:rFonts w:ascii="Garamond" w:hAnsi="Garamond"/>
                <w:lang w:val="sq-AL"/>
              </w:rPr>
            </w:pPr>
            <w:r w:rsidRPr="00445472">
              <w:rPr>
                <w:rFonts w:ascii="Garamond" w:hAnsi="Garamond"/>
                <w:lang w:val="sq-AL"/>
              </w:rPr>
              <w:t>Arritja e Marrëveshjeve Ndërkufitare, Zhvillimi i PMBU-ve të përbashkëta.</w:t>
            </w:r>
          </w:p>
        </w:tc>
        <w:tc>
          <w:tcPr>
            <w:tcW w:w="545" w:type="pct"/>
            <w:shd w:val="clear" w:color="auto" w:fill="auto"/>
            <w:vAlign w:val="center"/>
            <w:hideMark/>
          </w:tcPr>
          <w:p w14:paraId="3F35B8D7" w14:textId="77777777" w:rsidR="00E43879" w:rsidRPr="00445472" w:rsidRDefault="00E43879" w:rsidP="002A1F08">
            <w:pPr>
              <w:pStyle w:val="TableTextLeft"/>
              <w:rPr>
                <w:rFonts w:ascii="Garamond" w:hAnsi="Garamond"/>
                <w:lang w:val="sq-AL"/>
              </w:rPr>
            </w:pPr>
            <w:r w:rsidRPr="00445472">
              <w:rPr>
                <w:rFonts w:ascii="Garamond" w:hAnsi="Garamond"/>
                <w:lang w:val="sq-AL"/>
              </w:rPr>
              <w:t xml:space="preserve">Marrëveshjet Ndërkufitare të përbashkëta mbi PMBU-të </w:t>
            </w:r>
          </w:p>
        </w:tc>
        <w:tc>
          <w:tcPr>
            <w:tcW w:w="842" w:type="pct"/>
            <w:shd w:val="clear" w:color="auto" w:fill="auto"/>
            <w:vAlign w:val="center"/>
            <w:hideMark/>
          </w:tcPr>
          <w:p w14:paraId="0B00DDCF" w14:textId="77777777" w:rsidR="00E43879" w:rsidRPr="00445472" w:rsidRDefault="00E43879" w:rsidP="002A1F08">
            <w:pPr>
              <w:pStyle w:val="TableTextLeft"/>
              <w:rPr>
                <w:rFonts w:ascii="Garamond" w:hAnsi="Garamond"/>
                <w:lang w:val="sq-AL"/>
              </w:rPr>
            </w:pPr>
            <w:r w:rsidRPr="00445472">
              <w:rPr>
                <w:rFonts w:ascii="Garamond" w:hAnsi="Garamond"/>
                <w:lang w:val="sq-AL"/>
              </w:rPr>
              <w:t>Ministria  përgjegjëse për punët e jashtme në bashkëpunim me Agjencinë e Menaxhimit të Burimeve Ujore</w:t>
            </w:r>
          </w:p>
        </w:tc>
        <w:tc>
          <w:tcPr>
            <w:tcW w:w="1732" w:type="pct"/>
            <w:shd w:val="clear" w:color="auto" w:fill="auto"/>
            <w:vAlign w:val="center"/>
            <w:hideMark/>
          </w:tcPr>
          <w:p w14:paraId="3B4A0F8A" w14:textId="77777777" w:rsidR="00E43879" w:rsidRPr="00445472" w:rsidRDefault="00E43879" w:rsidP="002A1F08">
            <w:pPr>
              <w:pStyle w:val="TableTextLeft"/>
              <w:rPr>
                <w:rFonts w:ascii="Garamond" w:hAnsi="Garamond"/>
                <w:lang w:val="sq-AL"/>
              </w:rPr>
            </w:pPr>
            <w:r w:rsidRPr="00445472">
              <w:rPr>
                <w:rFonts w:ascii="Garamond" w:hAnsi="Garamond"/>
                <w:lang w:val="sq-AL"/>
              </w:rPr>
              <w:t>Nisja e monitorimit ndërkufitar të ujërave sipërfaqësorë dhe nëntokësore dhe ndër-krahasimin ndërlaboratorik për të gjitha kriteret e monitorimit. Fillimi i shkëmbimit të të dhënave midis vendeve ndërkufitare. Fillimi i monitorimit nga grupet teknike ndërkufitare të punës të ujërave sipërfaqësorë dhe nëntokësore. Nxjerrja e një forumi efektiv të menaxhimit ndërkufitar të ujit të nivelit të lartë.</w:t>
            </w:r>
          </w:p>
        </w:tc>
      </w:tr>
      <w:tr w:rsidR="00E43879" w:rsidRPr="00445472" w14:paraId="575AAA85" w14:textId="77777777" w:rsidTr="00E43879">
        <w:trPr>
          <w:jc w:val="center"/>
        </w:trPr>
        <w:tc>
          <w:tcPr>
            <w:tcW w:w="791" w:type="pct"/>
            <w:shd w:val="clear" w:color="auto" w:fill="auto"/>
            <w:vAlign w:val="center"/>
            <w:hideMark/>
          </w:tcPr>
          <w:p w14:paraId="58221C7A" w14:textId="77777777" w:rsidR="00E43879" w:rsidRPr="00445472" w:rsidRDefault="00E43879" w:rsidP="002A1F08">
            <w:pPr>
              <w:pStyle w:val="TableTextLeft"/>
              <w:rPr>
                <w:rFonts w:ascii="Garamond" w:hAnsi="Garamond"/>
                <w:lang w:val="sq-AL"/>
              </w:rPr>
            </w:pPr>
            <w:r w:rsidRPr="00445472">
              <w:rPr>
                <w:rFonts w:ascii="Garamond" w:hAnsi="Garamond"/>
                <w:lang w:val="sq-AL"/>
              </w:rPr>
              <w:t>Zbatimi i monitorimit dhe vlerësimit të administrimit të ujit aty ku është e përshtatshme, ndarja e rezultateve me publikun e gjerë</w:t>
            </w:r>
          </w:p>
        </w:tc>
        <w:tc>
          <w:tcPr>
            <w:tcW w:w="1090" w:type="pct"/>
            <w:shd w:val="clear" w:color="auto" w:fill="auto"/>
            <w:vAlign w:val="center"/>
            <w:hideMark/>
          </w:tcPr>
          <w:p w14:paraId="2FAB617E" w14:textId="77777777" w:rsidR="00E43879" w:rsidRPr="00445472" w:rsidRDefault="00E43879" w:rsidP="002A1F08">
            <w:pPr>
              <w:pStyle w:val="TableTextLeft"/>
              <w:rPr>
                <w:rFonts w:ascii="Garamond" w:hAnsi="Garamond"/>
                <w:lang w:val="sq-AL"/>
              </w:rPr>
            </w:pPr>
            <w:r w:rsidRPr="00445472">
              <w:rPr>
                <w:rFonts w:ascii="Garamond" w:hAnsi="Garamond"/>
                <w:lang w:val="sq-AL"/>
              </w:rPr>
              <w:t>Hartimi dhe zbatimi i raporteve vjetore dhe 6-vjeçare të monitorimit; zhvillimi dhe/ose zbatimi i mësimeve të nxjerra</w:t>
            </w:r>
          </w:p>
        </w:tc>
        <w:tc>
          <w:tcPr>
            <w:tcW w:w="545" w:type="pct"/>
            <w:shd w:val="clear" w:color="auto" w:fill="auto"/>
            <w:vAlign w:val="center"/>
            <w:hideMark/>
          </w:tcPr>
          <w:p w14:paraId="5CC7EB33" w14:textId="77777777" w:rsidR="00E43879" w:rsidRPr="00445472" w:rsidRDefault="00E43879" w:rsidP="002A1F08">
            <w:pPr>
              <w:pStyle w:val="TableTextLeft"/>
              <w:rPr>
                <w:rFonts w:ascii="Garamond" w:hAnsi="Garamond"/>
                <w:lang w:val="sq-AL"/>
              </w:rPr>
            </w:pPr>
            <w:r w:rsidRPr="00445472">
              <w:rPr>
                <w:rFonts w:ascii="Garamond" w:hAnsi="Garamond"/>
                <w:lang w:val="sq-AL"/>
              </w:rPr>
              <w:t>Raporte të brendshme ose të jashtme monitorimi</w:t>
            </w:r>
          </w:p>
        </w:tc>
        <w:tc>
          <w:tcPr>
            <w:tcW w:w="842" w:type="pct"/>
            <w:shd w:val="clear" w:color="auto" w:fill="auto"/>
            <w:vAlign w:val="center"/>
            <w:hideMark/>
          </w:tcPr>
          <w:p w14:paraId="7C96E7DA" w14:textId="77777777" w:rsidR="00E43879" w:rsidRPr="00445472" w:rsidRDefault="00E43879" w:rsidP="002A1F08">
            <w:pPr>
              <w:pStyle w:val="TableTextLeft"/>
              <w:rPr>
                <w:rFonts w:ascii="Garamond" w:hAnsi="Garamond"/>
                <w:lang w:val="sq-AL"/>
              </w:rPr>
            </w:pPr>
            <w:r w:rsidRPr="00445472">
              <w:rPr>
                <w:rFonts w:ascii="Garamond" w:hAnsi="Garamond"/>
                <w:lang w:val="sq-AL"/>
              </w:rPr>
              <w:t>Agjencia e Menaxhimit të Burimeve Ujore</w:t>
            </w:r>
          </w:p>
        </w:tc>
        <w:tc>
          <w:tcPr>
            <w:tcW w:w="1732" w:type="pct"/>
            <w:shd w:val="clear" w:color="auto" w:fill="auto"/>
            <w:vAlign w:val="center"/>
          </w:tcPr>
          <w:p w14:paraId="44499EB7" w14:textId="31C2A80B" w:rsidR="00E43879" w:rsidRPr="00445472" w:rsidRDefault="00E43879" w:rsidP="00E14B89">
            <w:pPr>
              <w:pStyle w:val="TableTextLeft"/>
              <w:rPr>
                <w:rFonts w:ascii="Garamond" w:hAnsi="Garamond"/>
                <w:lang w:val="sq-AL"/>
              </w:rPr>
            </w:pPr>
            <w:r w:rsidRPr="00445472">
              <w:rPr>
                <w:rFonts w:ascii="Garamond" w:hAnsi="Garamond"/>
                <w:lang w:val="sq-AL"/>
              </w:rPr>
              <w:t>Përgatitja fillestare (3 vjet) dhe 6</w:t>
            </w:r>
            <w:r w:rsidR="00E14B89">
              <w:rPr>
                <w:rFonts w:ascii="Garamond" w:hAnsi="Garamond"/>
                <w:lang w:val="sq-AL"/>
              </w:rPr>
              <w:t>-</w:t>
            </w:r>
            <w:r w:rsidRPr="00445472">
              <w:rPr>
                <w:rFonts w:ascii="Garamond" w:hAnsi="Garamond"/>
                <w:lang w:val="sq-AL"/>
              </w:rPr>
              <w:t>vjeçare e PMBU-ve.</w:t>
            </w:r>
          </w:p>
        </w:tc>
      </w:tr>
    </w:tbl>
    <w:p w14:paraId="4C4C9A90" w14:textId="77777777" w:rsidR="00E43879" w:rsidRPr="00445472" w:rsidRDefault="00E43879" w:rsidP="00E43879">
      <w:pPr>
        <w:rPr>
          <w:rFonts w:ascii="Garamond" w:hAnsi="Garamond"/>
        </w:rPr>
      </w:pPr>
    </w:p>
    <w:p w14:paraId="31D275E2" w14:textId="77777777" w:rsidR="00E43879" w:rsidRPr="00445472" w:rsidRDefault="00E43879" w:rsidP="00E43879">
      <w:pPr>
        <w:rPr>
          <w:rFonts w:ascii="Garamond" w:hAnsi="Garamond"/>
          <w:b/>
        </w:rPr>
      </w:pPr>
    </w:p>
    <w:p w14:paraId="566B6631" w14:textId="77777777" w:rsidR="00E43879" w:rsidRPr="00445472" w:rsidRDefault="00E43879" w:rsidP="00E43879">
      <w:pPr>
        <w:rPr>
          <w:rFonts w:ascii="Garamond" w:hAnsi="Garamond"/>
          <w:b/>
        </w:rPr>
        <w:sectPr w:rsidR="00E43879" w:rsidRPr="00445472" w:rsidSect="002A1F08">
          <w:pgSz w:w="16860" w:h="11920" w:orient="landscape"/>
          <w:pgMar w:top="1276" w:right="1276" w:bottom="1134" w:left="993" w:header="811" w:footer="0" w:gutter="0"/>
          <w:cols w:space="720"/>
          <w:docGrid w:linePitch="272"/>
        </w:sectPr>
      </w:pPr>
    </w:p>
    <w:p w14:paraId="72012455" w14:textId="637416DE" w:rsidR="00E43879" w:rsidRPr="00445472" w:rsidRDefault="00E43879" w:rsidP="00E43879">
      <w:pPr>
        <w:pStyle w:val="NENTITULL"/>
      </w:pPr>
      <w:r w:rsidRPr="00445472">
        <w:t>Tabela 14.7 Plani 6</w:t>
      </w:r>
      <w:r w:rsidR="00A76C09" w:rsidRPr="00445472">
        <w:t>-</w:t>
      </w:r>
      <w:r w:rsidRPr="00445472">
        <w:t xml:space="preserve">vjeçar i </w:t>
      </w:r>
      <w:r w:rsidR="000E4E18" w:rsidRPr="00445472">
        <w:t>veprimit për institucionet përgjegjëse</w:t>
      </w:r>
      <w:r w:rsidRPr="00445472">
        <w:rPr>
          <w:vertAlign w:val="superscript"/>
        </w:rPr>
        <w:footnoteReference w:id="229"/>
      </w:r>
    </w:p>
    <w:tbl>
      <w:tblPr>
        <w:tblW w:w="14600" w:type="dxa"/>
        <w:jc w:val="center"/>
        <w:tblBorders>
          <w:top w:val="single" w:sz="8" w:space="0" w:color="auto"/>
          <w:bottom w:val="single" w:sz="8" w:space="0" w:color="auto"/>
          <w:insideH w:val="single" w:sz="2" w:space="0" w:color="27BDBE"/>
        </w:tblBorders>
        <w:tblLayout w:type="fixed"/>
        <w:tblCellMar>
          <w:left w:w="0" w:type="dxa"/>
          <w:right w:w="0" w:type="dxa"/>
        </w:tblCellMar>
        <w:tblLook w:val="0420" w:firstRow="1" w:lastRow="0" w:firstColumn="0" w:lastColumn="0" w:noHBand="0" w:noVBand="1"/>
      </w:tblPr>
      <w:tblGrid>
        <w:gridCol w:w="1623"/>
        <w:gridCol w:w="1623"/>
        <w:gridCol w:w="1622"/>
        <w:gridCol w:w="1622"/>
        <w:gridCol w:w="1622"/>
        <w:gridCol w:w="1622"/>
        <w:gridCol w:w="1622"/>
        <w:gridCol w:w="1622"/>
        <w:gridCol w:w="1622"/>
      </w:tblGrid>
      <w:tr w:rsidR="00E43879" w:rsidRPr="00445472" w14:paraId="7AFF6F3C" w14:textId="77777777" w:rsidTr="00E43879">
        <w:trPr>
          <w:jc w:val="center"/>
        </w:trPr>
        <w:tc>
          <w:tcPr>
            <w:tcW w:w="0" w:type="pct"/>
            <w:gridSpan w:val="9"/>
            <w:tcBorders>
              <w:bottom w:val="single" w:sz="8" w:space="0" w:color="000000"/>
            </w:tcBorders>
            <w:shd w:val="clear" w:color="auto" w:fill="auto"/>
            <w:hideMark/>
          </w:tcPr>
          <w:p w14:paraId="30DBCACA" w14:textId="77777777" w:rsidR="00E43879" w:rsidRPr="00445472" w:rsidRDefault="00E43879" w:rsidP="00E43879">
            <w:pPr>
              <w:pStyle w:val="TableHeadingLeft"/>
              <w:spacing w:after="0"/>
              <w:rPr>
                <w:rFonts w:ascii="Garamond" w:hAnsi="Garamond"/>
                <w:color w:val="auto"/>
                <w:spacing w:val="-4"/>
                <w:lang w:val="sq-AL"/>
              </w:rPr>
            </w:pPr>
          </w:p>
        </w:tc>
      </w:tr>
      <w:tr w:rsidR="00E43879" w:rsidRPr="00445472" w14:paraId="534459B5" w14:textId="77777777" w:rsidTr="00E43879">
        <w:trPr>
          <w:jc w:val="center"/>
        </w:trPr>
        <w:tc>
          <w:tcPr>
            <w:tcW w:w="0" w:type="pct"/>
            <w:vMerge w:val="restart"/>
            <w:tcBorders>
              <w:top w:val="single" w:sz="8" w:space="0" w:color="000000"/>
            </w:tcBorders>
            <w:shd w:val="clear" w:color="auto" w:fill="auto"/>
            <w:vAlign w:val="center"/>
            <w:hideMark/>
          </w:tcPr>
          <w:p w14:paraId="345B586B" w14:textId="32DCB167"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 xml:space="preserve">Objektivat </w:t>
            </w:r>
            <w:r w:rsidR="00504992" w:rsidRPr="00445472">
              <w:rPr>
                <w:rFonts w:ascii="Garamond" w:hAnsi="Garamond"/>
                <w:b/>
                <w:spacing w:val="-4"/>
                <w:lang w:val="sq-AL"/>
              </w:rPr>
              <w:t>strategjikë</w:t>
            </w:r>
            <w:r w:rsidRPr="00445472">
              <w:rPr>
                <w:rFonts w:ascii="Garamond" w:hAnsi="Garamond"/>
                <w:b/>
                <w:spacing w:val="-4"/>
                <w:vertAlign w:val="superscript"/>
                <w:lang w:val="sq-AL"/>
              </w:rPr>
              <w:footnoteReference w:id="230"/>
            </w:r>
          </w:p>
        </w:tc>
        <w:tc>
          <w:tcPr>
            <w:tcW w:w="0" w:type="pct"/>
            <w:vMerge w:val="restart"/>
            <w:tcBorders>
              <w:top w:val="single" w:sz="8" w:space="0" w:color="000000"/>
            </w:tcBorders>
            <w:shd w:val="clear" w:color="auto" w:fill="auto"/>
            <w:vAlign w:val="center"/>
            <w:hideMark/>
          </w:tcPr>
          <w:p w14:paraId="2F5BD205"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Detyrat kryesore</w:t>
            </w:r>
          </w:p>
        </w:tc>
        <w:tc>
          <w:tcPr>
            <w:tcW w:w="0" w:type="pct"/>
            <w:vMerge w:val="restart"/>
            <w:tcBorders>
              <w:top w:val="single" w:sz="8" w:space="0" w:color="000000"/>
            </w:tcBorders>
            <w:shd w:val="clear" w:color="auto" w:fill="auto"/>
            <w:vAlign w:val="center"/>
            <w:hideMark/>
          </w:tcPr>
          <w:p w14:paraId="7094D8CA" w14:textId="7ECE54CD"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b/>
                <w:spacing w:val="-4"/>
                <w:lang w:val="sq-AL"/>
              </w:rPr>
              <w:t xml:space="preserve">Institucioni </w:t>
            </w:r>
            <w:r w:rsidR="00504992" w:rsidRPr="00445472">
              <w:rPr>
                <w:rFonts w:ascii="Garamond" w:hAnsi="Garamond"/>
                <w:b/>
                <w:spacing w:val="-4"/>
                <w:lang w:val="sq-AL"/>
              </w:rPr>
              <w:t>përgjegjës</w:t>
            </w:r>
          </w:p>
        </w:tc>
        <w:tc>
          <w:tcPr>
            <w:tcW w:w="0" w:type="pct"/>
            <w:gridSpan w:val="6"/>
            <w:tcBorders>
              <w:top w:val="single" w:sz="8" w:space="0" w:color="000000"/>
            </w:tcBorders>
            <w:shd w:val="clear" w:color="auto" w:fill="auto"/>
            <w:vAlign w:val="center"/>
            <w:hideMark/>
          </w:tcPr>
          <w:p w14:paraId="194DA875" w14:textId="30DA5634" w:rsidR="00E43879" w:rsidRPr="00445472" w:rsidRDefault="00E43879" w:rsidP="00504992">
            <w:pPr>
              <w:pStyle w:val="TableTextLeft"/>
              <w:spacing w:after="0"/>
              <w:jc w:val="center"/>
              <w:rPr>
                <w:rFonts w:ascii="Garamond" w:hAnsi="Garamond"/>
                <w:spacing w:val="-4"/>
                <w:lang w:val="sq-AL"/>
              </w:rPr>
            </w:pPr>
            <w:r w:rsidRPr="00445472">
              <w:rPr>
                <w:rFonts w:ascii="Garamond" w:hAnsi="Garamond"/>
                <w:b/>
                <w:spacing w:val="-4"/>
                <w:lang w:val="sq-AL"/>
              </w:rPr>
              <w:t xml:space="preserve">Afatet  </w:t>
            </w:r>
            <w:r w:rsidR="00504992" w:rsidRPr="00445472">
              <w:rPr>
                <w:rFonts w:ascii="Garamond" w:hAnsi="Garamond"/>
                <w:b/>
                <w:spacing w:val="-4"/>
                <w:lang w:val="sq-AL"/>
              </w:rPr>
              <w:t>kohore</w:t>
            </w:r>
          </w:p>
        </w:tc>
      </w:tr>
      <w:tr w:rsidR="00E43879" w:rsidRPr="00445472" w14:paraId="51F03F2B" w14:textId="77777777" w:rsidTr="00E43879">
        <w:trPr>
          <w:jc w:val="center"/>
        </w:trPr>
        <w:tc>
          <w:tcPr>
            <w:tcW w:w="0" w:type="pct"/>
            <w:vMerge/>
            <w:shd w:val="clear" w:color="auto" w:fill="auto"/>
            <w:vAlign w:val="center"/>
            <w:hideMark/>
          </w:tcPr>
          <w:p w14:paraId="0032605B" w14:textId="77777777" w:rsidR="00E43879" w:rsidRPr="00445472" w:rsidRDefault="00E43879" w:rsidP="00E43879">
            <w:pPr>
              <w:pStyle w:val="TableTextLeft"/>
              <w:spacing w:before="0" w:after="0"/>
              <w:rPr>
                <w:rFonts w:ascii="Garamond" w:hAnsi="Garamond"/>
                <w:spacing w:val="-4"/>
                <w:lang w:val="sq-AL"/>
              </w:rPr>
            </w:pPr>
          </w:p>
        </w:tc>
        <w:tc>
          <w:tcPr>
            <w:tcW w:w="0" w:type="pct"/>
            <w:vMerge/>
            <w:shd w:val="clear" w:color="auto" w:fill="auto"/>
            <w:vAlign w:val="center"/>
          </w:tcPr>
          <w:p w14:paraId="27A7303E" w14:textId="77777777" w:rsidR="00E43879" w:rsidRPr="00445472" w:rsidRDefault="00E43879" w:rsidP="00E43879">
            <w:pPr>
              <w:pStyle w:val="TableTextLeft"/>
              <w:spacing w:before="0" w:after="0"/>
              <w:rPr>
                <w:rFonts w:ascii="Garamond" w:hAnsi="Garamond"/>
                <w:spacing w:val="-4"/>
                <w:lang w:val="sq-AL"/>
              </w:rPr>
            </w:pPr>
          </w:p>
        </w:tc>
        <w:tc>
          <w:tcPr>
            <w:tcW w:w="0" w:type="pct"/>
            <w:vMerge/>
            <w:shd w:val="clear" w:color="auto" w:fill="auto"/>
            <w:vAlign w:val="center"/>
          </w:tcPr>
          <w:p w14:paraId="53F2824E" w14:textId="77777777" w:rsidR="00E43879" w:rsidRPr="00445472" w:rsidRDefault="00E43879" w:rsidP="00E43879">
            <w:pPr>
              <w:pStyle w:val="TableTextLeft"/>
              <w:spacing w:before="0" w:after="0"/>
              <w:jc w:val="center"/>
              <w:rPr>
                <w:rFonts w:ascii="Garamond" w:hAnsi="Garamond"/>
                <w:spacing w:val="-4"/>
                <w:lang w:val="sq-AL"/>
              </w:rPr>
            </w:pPr>
          </w:p>
        </w:tc>
        <w:tc>
          <w:tcPr>
            <w:tcW w:w="0" w:type="pct"/>
            <w:shd w:val="clear" w:color="auto" w:fill="auto"/>
            <w:vAlign w:val="center"/>
            <w:hideMark/>
          </w:tcPr>
          <w:p w14:paraId="197DD303" w14:textId="77777777" w:rsidR="00E43879" w:rsidRPr="00445472" w:rsidRDefault="00E43879" w:rsidP="00E43879">
            <w:pPr>
              <w:pStyle w:val="TableTextLeft"/>
              <w:spacing w:before="0" w:after="0"/>
              <w:jc w:val="center"/>
              <w:rPr>
                <w:rFonts w:ascii="Garamond" w:hAnsi="Garamond"/>
                <w:spacing w:val="-4"/>
                <w:lang w:val="sq-AL"/>
              </w:rPr>
            </w:pPr>
            <w:r w:rsidRPr="00445472">
              <w:rPr>
                <w:rFonts w:ascii="Garamond" w:hAnsi="Garamond"/>
                <w:spacing w:val="-4"/>
                <w:lang w:val="sq-AL"/>
              </w:rPr>
              <w:t>2021</w:t>
            </w:r>
          </w:p>
        </w:tc>
        <w:tc>
          <w:tcPr>
            <w:tcW w:w="0" w:type="pct"/>
            <w:shd w:val="clear" w:color="auto" w:fill="auto"/>
            <w:vAlign w:val="center"/>
          </w:tcPr>
          <w:p w14:paraId="0B14EA6B" w14:textId="77777777" w:rsidR="00E43879" w:rsidRPr="00445472" w:rsidRDefault="00E43879" w:rsidP="00E43879">
            <w:pPr>
              <w:pStyle w:val="TableTextLeft"/>
              <w:spacing w:before="0" w:after="0"/>
              <w:jc w:val="center"/>
              <w:rPr>
                <w:rFonts w:ascii="Garamond" w:hAnsi="Garamond"/>
                <w:spacing w:val="-4"/>
                <w:lang w:val="sq-AL"/>
              </w:rPr>
            </w:pPr>
            <w:r w:rsidRPr="00445472">
              <w:rPr>
                <w:rFonts w:ascii="Garamond" w:hAnsi="Garamond"/>
                <w:spacing w:val="-4"/>
                <w:lang w:val="sq-AL"/>
              </w:rPr>
              <w:t>2022</w:t>
            </w:r>
          </w:p>
        </w:tc>
        <w:tc>
          <w:tcPr>
            <w:tcW w:w="0" w:type="pct"/>
            <w:shd w:val="clear" w:color="auto" w:fill="auto"/>
            <w:vAlign w:val="center"/>
          </w:tcPr>
          <w:p w14:paraId="3C71B38F" w14:textId="77777777" w:rsidR="00E43879" w:rsidRPr="00445472" w:rsidRDefault="00E43879" w:rsidP="00E43879">
            <w:pPr>
              <w:pStyle w:val="TableTextLeft"/>
              <w:spacing w:before="0" w:after="0"/>
              <w:jc w:val="center"/>
              <w:rPr>
                <w:rFonts w:ascii="Garamond" w:hAnsi="Garamond"/>
                <w:spacing w:val="-4"/>
                <w:lang w:val="sq-AL"/>
              </w:rPr>
            </w:pPr>
            <w:r w:rsidRPr="00445472">
              <w:rPr>
                <w:rFonts w:ascii="Garamond" w:hAnsi="Garamond"/>
                <w:spacing w:val="-4"/>
                <w:lang w:val="sq-AL"/>
              </w:rPr>
              <w:t>2023</w:t>
            </w:r>
          </w:p>
        </w:tc>
        <w:tc>
          <w:tcPr>
            <w:tcW w:w="0" w:type="pct"/>
            <w:shd w:val="clear" w:color="auto" w:fill="auto"/>
            <w:vAlign w:val="center"/>
          </w:tcPr>
          <w:p w14:paraId="710240A0" w14:textId="77777777" w:rsidR="00E43879" w:rsidRPr="00445472" w:rsidRDefault="00E43879" w:rsidP="00E43879">
            <w:pPr>
              <w:pStyle w:val="TableTextLeft"/>
              <w:spacing w:before="0" w:after="0"/>
              <w:jc w:val="center"/>
              <w:rPr>
                <w:rFonts w:ascii="Garamond" w:hAnsi="Garamond"/>
                <w:spacing w:val="-4"/>
                <w:lang w:val="sq-AL"/>
              </w:rPr>
            </w:pPr>
            <w:r w:rsidRPr="00445472">
              <w:rPr>
                <w:rFonts w:ascii="Garamond" w:hAnsi="Garamond"/>
                <w:spacing w:val="-4"/>
                <w:lang w:val="sq-AL"/>
              </w:rPr>
              <w:t>2024</w:t>
            </w:r>
          </w:p>
        </w:tc>
        <w:tc>
          <w:tcPr>
            <w:tcW w:w="0" w:type="pct"/>
            <w:shd w:val="clear" w:color="auto" w:fill="auto"/>
            <w:vAlign w:val="center"/>
          </w:tcPr>
          <w:p w14:paraId="7E76257E" w14:textId="77777777" w:rsidR="00E43879" w:rsidRPr="00445472" w:rsidRDefault="00E43879" w:rsidP="00E43879">
            <w:pPr>
              <w:pStyle w:val="TableTextLeft"/>
              <w:spacing w:before="0" w:after="0"/>
              <w:jc w:val="center"/>
              <w:rPr>
                <w:rFonts w:ascii="Garamond" w:hAnsi="Garamond"/>
                <w:spacing w:val="-4"/>
                <w:lang w:val="sq-AL"/>
              </w:rPr>
            </w:pPr>
            <w:r w:rsidRPr="00445472">
              <w:rPr>
                <w:rFonts w:ascii="Garamond" w:hAnsi="Garamond"/>
                <w:spacing w:val="-4"/>
                <w:lang w:val="sq-AL"/>
              </w:rPr>
              <w:t>2025</w:t>
            </w:r>
          </w:p>
        </w:tc>
        <w:tc>
          <w:tcPr>
            <w:tcW w:w="0" w:type="pct"/>
            <w:shd w:val="clear" w:color="auto" w:fill="auto"/>
            <w:vAlign w:val="center"/>
          </w:tcPr>
          <w:p w14:paraId="15895E38" w14:textId="77777777" w:rsidR="00E43879" w:rsidRPr="00445472" w:rsidRDefault="00E43879" w:rsidP="00E43879">
            <w:pPr>
              <w:pStyle w:val="TableTextLeft"/>
              <w:spacing w:before="0" w:after="0"/>
              <w:jc w:val="center"/>
              <w:rPr>
                <w:rFonts w:ascii="Garamond" w:hAnsi="Garamond"/>
                <w:spacing w:val="-4"/>
                <w:lang w:val="sq-AL"/>
              </w:rPr>
            </w:pPr>
            <w:r w:rsidRPr="00445472">
              <w:rPr>
                <w:rFonts w:ascii="Garamond" w:hAnsi="Garamond"/>
                <w:spacing w:val="-4"/>
                <w:lang w:val="sq-AL"/>
              </w:rPr>
              <w:t>2026</w:t>
            </w:r>
          </w:p>
        </w:tc>
      </w:tr>
      <w:tr w:rsidR="00E43879" w:rsidRPr="00445472" w14:paraId="73B411DC" w14:textId="77777777" w:rsidTr="00E43879">
        <w:trPr>
          <w:jc w:val="center"/>
        </w:trPr>
        <w:tc>
          <w:tcPr>
            <w:tcW w:w="0" w:type="pct"/>
            <w:vMerge w:val="restart"/>
            <w:shd w:val="clear" w:color="auto" w:fill="auto"/>
            <w:vAlign w:val="center"/>
          </w:tcPr>
          <w:p w14:paraId="08B430A3" w14:textId="7728B959"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 xml:space="preserve">Sasia e </w:t>
            </w:r>
            <w:r w:rsidR="000E4E18" w:rsidRPr="00445472">
              <w:rPr>
                <w:rFonts w:ascii="Garamond" w:hAnsi="Garamond"/>
                <w:b/>
                <w:spacing w:val="-4"/>
                <w:lang w:val="sq-AL"/>
              </w:rPr>
              <w:t>u</w:t>
            </w:r>
            <w:r w:rsidRPr="00445472">
              <w:rPr>
                <w:rFonts w:ascii="Garamond" w:hAnsi="Garamond"/>
                <w:b/>
                <w:spacing w:val="-4"/>
                <w:lang w:val="sq-AL"/>
              </w:rPr>
              <w:t>jit</w:t>
            </w:r>
          </w:p>
        </w:tc>
        <w:tc>
          <w:tcPr>
            <w:tcW w:w="0" w:type="pct"/>
            <w:shd w:val="clear" w:color="auto" w:fill="auto"/>
            <w:vAlign w:val="center"/>
          </w:tcPr>
          <w:p w14:paraId="03BA92CB" w14:textId="2724D44C"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Identifikimi dhe trajnimi teknik i stafit kyç për përdorimin e modelit </w:t>
            </w:r>
            <w:r w:rsidR="00F17E7E" w:rsidRPr="00445472">
              <w:rPr>
                <w:rFonts w:ascii="Garamond" w:hAnsi="Garamond"/>
                <w:spacing w:val="-4"/>
                <w:lang w:val="sq-AL"/>
              </w:rPr>
              <w:t xml:space="preserve">Mike Hydro </w:t>
            </w:r>
            <w:r w:rsidRPr="00445472">
              <w:rPr>
                <w:rFonts w:ascii="Garamond" w:hAnsi="Garamond"/>
                <w:spacing w:val="-4"/>
                <w:lang w:val="sq-AL"/>
              </w:rPr>
              <w:t xml:space="preserve">në terma </w:t>
            </w:r>
            <w:r w:rsidR="00F17E7E" w:rsidRPr="00445472">
              <w:rPr>
                <w:rFonts w:ascii="Garamond" w:hAnsi="Garamond"/>
                <w:spacing w:val="-4"/>
                <w:lang w:val="sq-AL"/>
              </w:rPr>
              <w:t>afatgjatë</w:t>
            </w:r>
            <w:r w:rsidRPr="00445472">
              <w:rPr>
                <w:rFonts w:ascii="Garamond" w:hAnsi="Garamond"/>
                <w:spacing w:val="-4"/>
                <w:lang w:val="sq-AL"/>
              </w:rPr>
              <w:t xml:space="preserve">  dhe procedura operacionale afat-shkurtra.</w:t>
            </w:r>
          </w:p>
        </w:tc>
        <w:tc>
          <w:tcPr>
            <w:tcW w:w="0" w:type="pct"/>
            <w:shd w:val="clear" w:color="auto" w:fill="auto"/>
            <w:vAlign w:val="center"/>
          </w:tcPr>
          <w:p w14:paraId="279E245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78E569C8"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4181CB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C133488"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7D3364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CD4FE0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2215484"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3940077" w14:textId="77777777" w:rsidTr="00E43879">
        <w:trPr>
          <w:jc w:val="center"/>
        </w:trPr>
        <w:tc>
          <w:tcPr>
            <w:tcW w:w="0" w:type="pct"/>
            <w:vMerge/>
            <w:shd w:val="clear" w:color="auto" w:fill="auto"/>
            <w:vAlign w:val="center"/>
          </w:tcPr>
          <w:p w14:paraId="5E1E10D1"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42781158" w14:textId="3805188D"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Përcaktimi i kritereve prioritare për zhvillimin e inf</w:t>
            </w:r>
            <w:r w:rsidR="00034FBB">
              <w:rPr>
                <w:rFonts w:ascii="Garamond" w:hAnsi="Garamond"/>
                <w:spacing w:val="-4"/>
                <w:lang w:val="sq-AL"/>
              </w:rPr>
              <w:t>rastrukturës, siç propozohet te</w:t>
            </w:r>
            <w:r w:rsidRPr="00445472">
              <w:rPr>
                <w:rFonts w:ascii="Garamond" w:hAnsi="Garamond"/>
                <w:spacing w:val="-4"/>
                <w:lang w:val="sq-AL"/>
              </w:rPr>
              <w:t xml:space="preserve"> PM, në përputhje me PKSU-në</w:t>
            </w:r>
          </w:p>
        </w:tc>
        <w:tc>
          <w:tcPr>
            <w:tcW w:w="0" w:type="pct"/>
            <w:shd w:val="clear" w:color="auto" w:fill="auto"/>
            <w:vAlign w:val="center"/>
          </w:tcPr>
          <w:p w14:paraId="133E3AA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555C0E4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479C80D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A06FFF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9973E8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A460AD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C1BDA57"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9519FCD" w14:textId="77777777" w:rsidTr="00E43879">
        <w:trPr>
          <w:jc w:val="center"/>
        </w:trPr>
        <w:tc>
          <w:tcPr>
            <w:tcW w:w="0" w:type="pct"/>
            <w:vMerge/>
            <w:shd w:val="clear" w:color="auto" w:fill="auto"/>
            <w:vAlign w:val="center"/>
          </w:tcPr>
          <w:p w14:paraId="7FE2AC4B"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35F8BBFF" w14:textId="4AF13ADB"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Sigurimi i pjesëmarrjes së publikut dhe i një diskutimi informues (në kontekstin e Qeverisjes së Ujit) bazuar në planin e veprimit pë</w:t>
            </w:r>
            <w:r w:rsidR="00F17E7E" w:rsidRPr="00445472">
              <w:rPr>
                <w:rFonts w:ascii="Garamond" w:hAnsi="Garamond"/>
                <w:spacing w:val="-4"/>
                <w:lang w:val="sq-AL"/>
              </w:rPr>
              <w:t>r</w:t>
            </w:r>
            <w:r w:rsidRPr="00445472">
              <w:rPr>
                <w:rFonts w:ascii="Garamond" w:hAnsi="Garamond"/>
                <w:spacing w:val="-4"/>
                <w:lang w:val="sq-AL"/>
              </w:rPr>
              <w:t xml:space="preserve"> njohjen me PMBU-të.  </w:t>
            </w:r>
          </w:p>
        </w:tc>
        <w:tc>
          <w:tcPr>
            <w:tcW w:w="0" w:type="pct"/>
            <w:shd w:val="clear" w:color="auto" w:fill="auto"/>
            <w:vAlign w:val="center"/>
          </w:tcPr>
          <w:p w14:paraId="2250FE2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1831FF5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11CC3A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789E555"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02FD2A8"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5B15CA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03B9862"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09AFBC8B" w14:textId="77777777" w:rsidTr="00E43879">
        <w:trPr>
          <w:jc w:val="center"/>
        </w:trPr>
        <w:tc>
          <w:tcPr>
            <w:tcW w:w="0" w:type="pct"/>
            <w:vMerge w:val="restart"/>
            <w:shd w:val="clear" w:color="auto" w:fill="auto"/>
            <w:vAlign w:val="center"/>
            <w:hideMark/>
          </w:tcPr>
          <w:p w14:paraId="3B6C37CA" w14:textId="7FD47D3E"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 xml:space="preserve">Cilësia e </w:t>
            </w:r>
            <w:r w:rsidR="000E4E18" w:rsidRPr="00445472">
              <w:rPr>
                <w:rFonts w:ascii="Garamond" w:hAnsi="Garamond"/>
                <w:b/>
                <w:spacing w:val="-4"/>
                <w:lang w:val="sq-AL"/>
              </w:rPr>
              <w:t>u</w:t>
            </w:r>
            <w:r w:rsidRPr="00445472">
              <w:rPr>
                <w:rFonts w:ascii="Garamond" w:hAnsi="Garamond"/>
                <w:b/>
                <w:spacing w:val="-4"/>
                <w:lang w:val="sq-AL"/>
              </w:rPr>
              <w:t xml:space="preserve">jit </w:t>
            </w:r>
          </w:p>
        </w:tc>
        <w:tc>
          <w:tcPr>
            <w:tcW w:w="0" w:type="pct"/>
            <w:shd w:val="clear" w:color="auto" w:fill="auto"/>
            <w:vAlign w:val="center"/>
            <w:hideMark/>
          </w:tcPr>
          <w:p w14:paraId="41A522B0" w14:textId="1298DE62"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Sigurimi i trajnimit teknik për stafin kyç në përdorimin e modelit </w:t>
            </w:r>
            <w:r w:rsidR="00F17E7E" w:rsidRPr="00445472">
              <w:rPr>
                <w:rFonts w:ascii="Garamond" w:hAnsi="Garamond"/>
                <w:spacing w:val="-4"/>
                <w:lang w:val="sq-AL"/>
              </w:rPr>
              <w:t xml:space="preserve">Mike Hydro </w:t>
            </w:r>
            <w:r w:rsidRPr="00445472">
              <w:rPr>
                <w:rFonts w:ascii="Garamond" w:hAnsi="Garamond"/>
                <w:spacing w:val="-4"/>
                <w:lang w:val="sq-AL"/>
              </w:rPr>
              <w:t xml:space="preserve">për zhvillimet e skenarëve të ardhshëm në planifikimin </w:t>
            </w:r>
            <w:r w:rsidR="00E14B89">
              <w:rPr>
                <w:rFonts w:ascii="Garamond" w:hAnsi="Garamond"/>
                <w:spacing w:val="-4"/>
                <w:lang w:val="sq-AL"/>
              </w:rPr>
              <w:t>afat-shkurtër për të gjitha nën</w:t>
            </w:r>
            <w:r w:rsidRPr="00445472">
              <w:rPr>
                <w:rFonts w:ascii="Garamond" w:hAnsi="Garamond"/>
                <w:spacing w:val="-4"/>
                <w:lang w:val="sq-AL"/>
              </w:rPr>
              <w:t>basenet e basenit ujor.</w:t>
            </w:r>
          </w:p>
        </w:tc>
        <w:tc>
          <w:tcPr>
            <w:tcW w:w="0" w:type="pct"/>
            <w:shd w:val="clear" w:color="auto" w:fill="auto"/>
            <w:vAlign w:val="center"/>
            <w:hideMark/>
          </w:tcPr>
          <w:p w14:paraId="77309FC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MBZHR</w:t>
            </w:r>
          </w:p>
          <w:p w14:paraId="1F6DF64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hideMark/>
          </w:tcPr>
          <w:p w14:paraId="588DADC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4E5076A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FE573F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09F59A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C3FEE2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B9F4F3D"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47996EC8" w14:textId="77777777" w:rsidTr="00E43879">
        <w:trPr>
          <w:jc w:val="center"/>
        </w:trPr>
        <w:tc>
          <w:tcPr>
            <w:tcW w:w="0" w:type="pct"/>
            <w:vMerge/>
            <w:shd w:val="clear" w:color="auto" w:fill="auto"/>
            <w:vAlign w:val="center"/>
          </w:tcPr>
          <w:p w14:paraId="35E0CAC2"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0BCF390A" w14:textId="36C900C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Zgjerimi në përcaktimin e trupave sipërfaqësor të ujërave në&gt; 100</w:t>
            </w:r>
            <w:r w:rsidR="00F17E7E" w:rsidRPr="00445472">
              <w:rPr>
                <w:rFonts w:ascii="Garamond" w:hAnsi="Garamond"/>
                <w:spacing w:val="-4"/>
                <w:lang w:val="sq-AL"/>
              </w:rPr>
              <w:t xml:space="preserve"> </w:t>
            </w:r>
            <w:r w:rsidRPr="00445472">
              <w:rPr>
                <w:rFonts w:ascii="Garamond" w:hAnsi="Garamond"/>
                <w:spacing w:val="-4"/>
                <w:lang w:val="sq-AL"/>
              </w:rPr>
              <w:t>km</w:t>
            </w:r>
            <w:r w:rsidRPr="00445472">
              <w:rPr>
                <w:rFonts w:ascii="Garamond" w:hAnsi="Garamond"/>
                <w:spacing w:val="-4"/>
                <w:vertAlign w:val="superscript"/>
                <w:lang w:val="sq-AL"/>
              </w:rPr>
              <w:t>2</w:t>
            </w:r>
            <w:r w:rsidRPr="00445472">
              <w:rPr>
                <w:rFonts w:ascii="Garamond" w:hAnsi="Garamond"/>
                <w:spacing w:val="-4"/>
                <w:lang w:val="sq-AL"/>
              </w:rPr>
              <w:t>, gjerësisht për lumenjtë dhe liqenet dhe ujërat bregdetare sipas sistemeve tipologjike A ose B</w:t>
            </w:r>
            <w:r w:rsidRPr="00445472">
              <w:rPr>
                <w:rFonts w:ascii="Garamond" w:hAnsi="Garamond"/>
                <w:spacing w:val="-4"/>
                <w:vertAlign w:val="superscript"/>
                <w:lang w:val="sq-AL"/>
              </w:rPr>
              <w:footnoteReference w:id="231"/>
            </w:r>
            <w:r w:rsidRPr="00445472">
              <w:rPr>
                <w:rFonts w:ascii="Garamond" w:hAnsi="Garamond"/>
                <w:spacing w:val="-4"/>
                <w:lang w:val="sq-AL"/>
              </w:rPr>
              <w:t>.</w:t>
            </w:r>
          </w:p>
        </w:tc>
        <w:tc>
          <w:tcPr>
            <w:tcW w:w="0" w:type="pct"/>
            <w:shd w:val="clear" w:color="auto" w:fill="auto"/>
            <w:vAlign w:val="center"/>
          </w:tcPr>
          <w:p w14:paraId="27CBEFD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55BC5E8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683119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D46E908"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466B89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3C3524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738C2E4"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6D232ADF" w14:textId="77777777" w:rsidTr="00E43879">
        <w:trPr>
          <w:jc w:val="center"/>
        </w:trPr>
        <w:tc>
          <w:tcPr>
            <w:tcW w:w="0" w:type="pct"/>
            <w:vMerge/>
            <w:shd w:val="clear" w:color="auto" w:fill="auto"/>
            <w:vAlign w:val="center"/>
          </w:tcPr>
          <w:p w14:paraId="643BD335"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66228F50"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 Përshkruaj dhe karakterizo të gjitha trupat ujorë sipas kërkesave të DKU-së. </w:t>
            </w:r>
          </w:p>
        </w:tc>
        <w:tc>
          <w:tcPr>
            <w:tcW w:w="0" w:type="pct"/>
            <w:shd w:val="clear" w:color="auto" w:fill="auto"/>
            <w:vAlign w:val="center"/>
          </w:tcPr>
          <w:p w14:paraId="56E0E1F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SHGJSH/ZABU</w:t>
            </w:r>
          </w:p>
        </w:tc>
        <w:tc>
          <w:tcPr>
            <w:tcW w:w="0" w:type="pct"/>
            <w:shd w:val="clear" w:color="auto" w:fill="auto"/>
            <w:vAlign w:val="center"/>
          </w:tcPr>
          <w:p w14:paraId="0C492B1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E06652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663363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72322D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9FB48B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820CB47"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6C9A61FA" w14:textId="77777777" w:rsidTr="00E43879">
        <w:trPr>
          <w:jc w:val="center"/>
        </w:trPr>
        <w:tc>
          <w:tcPr>
            <w:tcW w:w="0" w:type="pct"/>
            <w:vMerge/>
            <w:shd w:val="clear" w:color="auto" w:fill="auto"/>
            <w:vAlign w:val="center"/>
          </w:tcPr>
          <w:p w14:paraId="7930A32C"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59F0BA0E" w14:textId="259FBA1B" w:rsidR="00E43879" w:rsidRPr="00445472" w:rsidRDefault="00F17E7E" w:rsidP="00445472">
            <w:pPr>
              <w:pStyle w:val="TableTextLeft"/>
              <w:spacing w:after="0"/>
              <w:rPr>
                <w:rFonts w:ascii="Garamond" w:hAnsi="Garamond"/>
                <w:spacing w:val="-4"/>
                <w:lang w:val="sq-AL"/>
              </w:rPr>
            </w:pPr>
            <w:r w:rsidRPr="00445472">
              <w:rPr>
                <w:rFonts w:ascii="Garamond" w:hAnsi="Garamond"/>
                <w:spacing w:val="-4"/>
                <w:lang w:val="sq-AL"/>
              </w:rPr>
              <w:t>Ndërmarrja</w:t>
            </w:r>
            <w:r w:rsidR="00E43879" w:rsidRPr="00445472">
              <w:rPr>
                <w:rFonts w:ascii="Garamond" w:hAnsi="Garamond"/>
                <w:spacing w:val="-4"/>
                <w:lang w:val="sq-AL"/>
              </w:rPr>
              <w:t xml:space="preserve"> e një vlerësimi të rrezikut për ujërat sipërfaqësor</w:t>
            </w:r>
            <w:r w:rsidR="00445472">
              <w:rPr>
                <w:rFonts w:ascii="Garamond" w:hAnsi="Garamond"/>
                <w:spacing w:val="-4"/>
                <w:lang w:val="sq-AL"/>
              </w:rPr>
              <w:t>e</w:t>
            </w:r>
            <w:r w:rsidR="00E43879" w:rsidRPr="00445472">
              <w:rPr>
                <w:rFonts w:ascii="Garamond" w:hAnsi="Garamond"/>
                <w:spacing w:val="-4"/>
                <w:lang w:val="sq-AL"/>
              </w:rPr>
              <w:t xml:space="preserve"> dhe nëntokësorë në Basenin Ujor. </w:t>
            </w:r>
          </w:p>
        </w:tc>
        <w:tc>
          <w:tcPr>
            <w:tcW w:w="0" w:type="pct"/>
            <w:shd w:val="clear" w:color="auto" w:fill="auto"/>
            <w:vAlign w:val="center"/>
          </w:tcPr>
          <w:p w14:paraId="031E9AA9"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SHGJSH/ZABU</w:t>
            </w:r>
          </w:p>
        </w:tc>
        <w:tc>
          <w:tcPr>
            <w:tcW w:w="0" w:type="pct"/>
            <w:shd w:val="clear" w:color="auto" w:fill="auto"/>
            <w:vAlign w:val="center"/>
          </w:tcPr>
          <w:p w14:paraId="481FE44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A84D84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568EE0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580A07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299D7B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2F56E6F"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43AD82E7" w14:textId="77777777" w:rsidTr="00E43879">
        <w:trPr>
          <w:jc w:val="center"/>
        </w:trPr>
        <w:tc>
          <w:tcPr>
            <w:tcW w:w="0" w:type="pct"/>
            <w:vMerge/>
            <w:shd w:val="clear" w:color="auto" w:fill="auto"/>
            <w:vAlign w:val="center"/>
          </w:tcPr>
          <w:p w14:paraId="79ADA2DC"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154DD99F"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Përcaktimi i zonave vulnerabël në Basenin Ujor </w:t>
            </w:r>
          </w:p>
        </w:tc>
        <w:tc>
          <w:tcPr>
            <w:tcW w:w="0" w:type="pct"/>
            <w:shd w:val="clear" w:color="auto" w:fill="auto"/>
            <w:vAlign w:val="center"/>
          </w:tcPr>
          <w:p w14:paraId="66A25A70"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ZABU/Bashkitë</w:t>
            </w:r>
          </w:p>
        </w:tc>
        <w:tc>
          <w:tcPr>
            <w:tcW w:w="0" w:type="pct"/>
            <w:shd w:val="clear" w:color="auto" w:fill="auto"/>
            <w:vAlign w:val="center"/>
          </w:tcPr>
          <w:p w14:paraId="7D7464E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7551146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2882C0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D0CD69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091297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BF15098"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55F44889" w14:textId="77777777" w:rsidTr="00E43879">
        <w:trPr>
          <w:jc w:val="center"/>
        </w:trPr>
        <w:tc>
          <w:tcPr>
            <w:tcW w:w="0" w:type="pct"/>
            <w:vMerge/>
            <w:shd w:val="clear" w:color="auto" w:fill="auto"/>
            <w:vAlign w:val="center"/>
          </w:tcPr>
          <w:p w14:paraId="7283ADC8"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40AED801" w14:textId="2B3658B1" w:rsidR="00E43879" w:rsidRPr="00445472" w:rsidRDefault="00F17E7E" w:rsidP="00445472">
            <w:pPr>
              <w:pStyle w:val="TableTextLeft"/>
              <w:spacing w:after="0"/>
              <w:rPr>
                <w:rFonts w:ascii="Garamond" w:hAnsi="Garamond"/>
                <w:spacing w:val="-4"/>
                <w:lang w:val="sq-AL"/>
              </w:rPr>
            </w:pPr>
            <w:r w:rsidRPr="00445472">
              <w:rPr>
                <w:rFonts w:ascii="Garamond" w:hAnsi="Garamond"/>
                <w:spacing w:val="-4"/>
                <w:lang w:val="sq-AL"/>
              </w:rPr>
              <w:t>Ndërmarrja</w:t>
            </w:r>
            <w:r w:rsidR="00E43879" w:rsidRPr="00445472">
              <w:rPr>
                <w:rFonts w:ascii="Garamond" w:hAnsi="Garamond"/>
                <w:spacing w:val="-4"/>
                <w:lang w:val="sq-AL"/>
              </w:rPr>
              <w:t xml:space="preserve"> e një vlerësimi të rrezikut për ujërat sipërfaqësor</w:t>
            </w:r>
            <w:r w:rsidR="00445472">
              <w:rPr>
                <w:rFonts w:ascii="Garamond" w:hAnsi="Garamond"/>
                <w:spacing w:val="-4"/>
                <w:lang w:val="sq-AL"/>
              </w:rPr>
              <w:t>e</w:t>
            </w:r>
            <w:r w:rsidR="00E43879" w:rsidRPr="00445472">
              <w:rPr>
                <w:rFonts w:ascii="Garamond" w:hAnsi="Garamond"/>
                <w:spacing w:val="-4"/>
                <w:lang w:val="sq-AL"/>
              </w:rPr>
              <w:t xml:space="preserve"> fokusuar në të gjitha pikat dhe burimet e shpërndarjes së ndotjes.  </w:t>
            </w:r>
          </w:p>
        </w:tc>
        <w:tc>
          <w:tcPr>
            <w:tcW w:w="0" w:type="pct"/>
            <w:shd w:val="clear" w:color="auto" w:fill="auto"/>
            <w:vAlign w:val="center"/>
          </w:tcPr>
          <w:p w14:paraId="0EA16C1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MBZHR/ZABU</w:t>
            </w:r>
          </w:p>
        </w:tc>
        <w:tc>
          <w:tcPr>
            <w:tcW w:w="0" w:type="pct"/>
            <w:shd w:val="clear" w:color="auto" w:fill="auto"/>
            <w:vAlign w:val="center"/>
          </w:tcPr>
          <w:p w14:paraId="61BB898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72974F6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1CE73C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83C138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3C5D60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7B14016"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6FAA0CF3" w14:textId="77777777" w:rsidTr="00E43879">
        <w:trPr>
          <w:jc w:val="center"/>
        </w:trPr>
        <w:tc>
          <w:tcPr>
            <w:tcW w:w="0" w:type="pct"/>
            <w:vMerge/>
            <w:shd w:val="clear" w:color="auto" w:fill="auto"/>
            <w:vAlign w:val="center"/>
          </w:tcPr>
          <w:p w14:paraId="178F809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74606DC"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Sigurimi që të gjitha metodologjitë e DKU-së janë transpozuar në rregulloren kombëtare. </w:t>
            </w:r>
          </w:p>
        </w:tc>
        <w:tc>
          <w:tcPr>
            <w:tcW w:w="0" w:type="pct"/>
            <w:shd w:val="clear" w:color="auto" w:fill="auto"/>
            <w:vAlign w:val="center"/>
          </w:tcPr>
          <w:p w14:paraId="5482217A"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F4B336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22FF56A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8ABF78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844762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57563C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3827AB3"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08311DA2" w14:textId="77777777" w:rsidTr="00E43879">
        <w:trPr>
          <w:jc w:val="center"/>
        </w:trPr>
        <w:tc>
          <w:tcPr>
            <w:tcW w:w="0" w:type="pct"/>
            <w:vMerge/>
            <w:shd w:val="clear" w:color="auto" w:fill="auto"/>
            <w:vAlign w:val="center"/>
          </w:tcPr>
          <w:p w14:paraId="69BFC414"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CD23291" w14:textId="67EB802F"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Mbikëqyrja e krijimit dhe caktimit të pajisjeve dhe trajnimin teknik për një </w:t>
            </w:r>
            <w:r w:rsidR="00D62EDF" w:rsidRPr="00445472">
              <w:rPr>
                <w:rFonts w:ascii="Garamond" w:hAnsi="Garamond"/>
                <w:spacing w:val="-4"/>
                <w:lang w:val="sq-AL"/>
              </w:rPr>
              <w:t>“</w:t>
            </w:r>
            <w:r w:rsidRPr="00445472">
              <w:rPr>
                <w:rFonts w:ascii="Garamond" w:hAnsi="Garamond"/>
                <w:spacing w:val="-4"/>
                <w:lang w:val="sq-AL"/>
              </w:rPr>
              <w:t>laborator referimi</w:t>
            </w:r>
            <w:r w:rsidR="00D62EDF" w:rsidRPr="00445472">
              <w:rPr>
                <w:rFonts w:ascii="Garamond" w:hAnsi="Garamond"/>
                <w:spacing w:val="-4"/>
                <w:lang w:val="sq-AL"/>
              </w:rPr>
              <w:t>”</w:t>
            </w:r>
            <w:r w:rsidRPr="00445472">
              <w:rPr>
                <w:rFonts w:ascii="Garamond" w:hAnsi="Garamond"/>
                <w:spacing w:val="-4"/>
                <w:lang w:val="sq-AL"/>
              </w:rPr>
              <w:t xml:space="preserve"> në lidhje me marrjen e mostrave dhe analizat kimike për të përmbushur kërkesat e Direktivës së EQS</w:t>
            </w:r>
          </w:p>
        </w:tc>
        <w:tc>
          <w:tcPr>
            <w:tcW w:w="0" w:type="pct"/>
            <w:shd w:val="clear" w:color="auto" w:fill="auto"/>
            <w:vAlign w:val="center"/>
          </w:tcPr>
          <w:p w14:paraId="26EAD5D2" w14:textId="73A47DB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Laboratorët e përcaktuar si referencë</w:t>
            </w:r>
          </w:p>
        </w:tc>
        <w:tc>
          <w:tcPr>
            <w:tcW w:w="0" w:type="pct"/>
            <w:shd w:val="clear" w:color="auto" w:fill="auto"/>
            <w:vAlign w:val="center"/>
          </w:tcPr>
          <w:p w14:paraId="1A19978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2D7FA40"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2A8570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F1F38A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BCC3BD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520D8FB"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54929A68" w14:textId="77777777" w:rsidTr="00E43879">
        <w:trPr>
          <w:jc w:val="center"/>
        </w:trPr>
        <w:tc>
          <w:tcPr>
            <w:tcW w:w="0" w:type="pct"/>
            <w:vMerge/>
            <w:shd w:val="clear" w:color="auto" w:fill="auto"/>
            <w:vAlign w:val="center"/>
          </w:tcPr>
          <w:p w14:paraId="5F4A7A7C"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4749CE73"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Mbikëqyrja e një ushtrimi ndër-laboratorik dhe e procedurave për të fituar akreditim ndërkombëtar për monitorimin kimik dhe biologjik sipas kërkesave të DKU-së.</w:t>
            </w:r>
          </w:p>
        </w:tc>
        <w:tc>
          <w:tcPr>
            <w:tcW w:w="0" w:type="pct"/>
            <w:shd w:val="clear" w:color="auto" w:fill="auto"/>
            <w:vAlign w:val="center"/>
          </w:tcPr>
          <w:p w14:paraId="7581DEB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Laboratorët e përcaktuar si referencë</w:t>
            </w:r>
          </w:p>
        </w:tc>
        <w:tc>
          <w:tcPr>
            <w:tcW w:w="0" w:type="pct"/>
            <w:shd w:val="clear" w:color="auto" w:fill="auto"/>
            <w:vAlign w:val="center"/>
          </w:tcPr>
          <w:p w14:paraId="124A745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D5D0CE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5C4228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06E5D0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4F2CAC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159FED8"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EBD778A" w14:textId="77777777" w:rsidTr="00E43879">
        <w:trPr>
          <w:jc w:val="center"/>
        </w:trPr>
        <w:tc>
          <w:tcPr>
            <w:tcW w:w="0" w:type="pct"/>
            <w:vMerge/>
            <w:shd w:val="clear" w:color="auto" w:fill="auto"/>
            <w:vAlign w:val="center"/>
          </w:tcPr>
          <w:p w14:paraId="173A5DE0"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353028E7" w14:textId="5C857BB4"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Mbikëqyrja e trajnimit teknik, analizimi dhe raportimi i elementeve biologjik</w:t>
            </w:r>
            <w:r w:rsidR="00BA6493">
              <w:rPr>
                <w:rFonts w:ascii="Garamond" w:hAnsi="Garamond"/>
                <w:spacing w:val="-4"/>
                <w:lang w:val="sq-AL"/>
              </w:rPr>
              <w:t>e</w:t>
            </w:r>
            <w:r w:rsidRPr="00445472">
              <w:rPr>
                <w:rFonts w:ascii="Garamond" w:hAnsi="Garamond"/>
                <w:spacing w:val="-4"/>
                <w:lang w:val="sq-AL"/>
              </w:rPr>
              <w:t xml:space="preserve"> (5 grupe), sipas udhëzimeve dhe rekomandimeve të DKU-së </w:t>
            </w:r>
          </w:p>
        </w:tc>
        <w:tc>
          <w:tcPr>
            <w:tcW w:w="0" w:type="pct"/>
            <w:shd w:val="clear" w:color="auto" w:fill="auto"/>
            <w:vAlign w:val="center"/>
          </w:tcPr>
          <w:p w14:paraId="139DE72F" w14:textId="7733B8FE"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Laboratorët e përcaktuar si referencë</w:t>
            </w:r>
          </w:p>
        </w:tc>
        <w:tc>
          <w:tcPr>
            <w:tcW w:w="0" w:type="pct"/>
            <w:shd w:val="clear" w:color="auto" w:fill="auto"/>
            <w:vAlign w:val="center"/>
          </w:tcPr>
          <w:p w14:paraId="2BBAB19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43AEA0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33207E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165390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34A7A4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B426F88"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766FC9C" w14:textId="77777777" w:rsidTr="00E43879">
        <w:trPr>
          <w:jc w:val="center"/>
        </w:trPr>
        <w:tc>
          <w:tcPr>
            <w:tcW w:w="0" w:type="pct"/>
            <w:vMerge/>
            <w:shd w:val="clear" w:color="auto" w:fill="auto"/>
            <w:vAlign w:val="center"/>
          </w:tcPr>
          <w:p w14:paraId="459FDFB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21576A8B" w14:textId="01385D50" w:rsidR="00E43879" w:rsidRPr="00445472" w:rsidRDefault="00E43879" w:rsidP="00445472">
            <w:pPr>
              <w:pStyle w:val="TableTextLeft"/>
              <w:spacing w:after="0"/>
              <w:rPr>
                <w:rFonts w:ascii="Garamond" w:hAnsi="Garamond"/>
                <w:spacing w:val="-4"/>
                <w:lang w:val="sq-AL"/>
              </w:rPr>
            </w:pPr>
            <w:r w:rsidRPr="00445472">
              <w:rPr>
                <w:rFonts w:ascii="Garamond" w:hAnsi="Garamond"/>
                <w:spacing w:val="-4"/>
                <w:lang w:val="sq-AL"/>
              </w:rPr>
              <w:t xml:space="preserve">Zhvillimi i një programi monitorimi </w:t>
            </w:r>
            <w:r w:rsidR="00D62EDF" w:rsidRPr="00445472">
              <w:rPr>
                <w:rFonts w:ascii="Garamond" w:hAnsi="Garamond"/>
                <w:spacing w:val="-4"/>
                <w:lang w:val="sq-AL"/>
              </w:rPr>
              <w:t>“</w:t>
            </w:r>
            <w:r w:rsidRPr="00445472">
              <w:rPr>
                <w:rFonts w:ascii="Garamond" w:hAnsi="Garamond"/>
                <w:spacing w:val="-4"/>
                <w:lang w:val="sq-AL"/>
              </w:rPr>
              <w:t>realist</w:t>
            </w:r>
            <w:r w:rsidR="00D62EDF" w:rsidRPr="00445472">
              <w:rPr>
                <w:rFonts w:ascii="Garamond" w:hAnsi="Garamond"/>
                <w:spacing w:val="-4"/>
                <w:lang w:val="sq-AL"/>
              </w:rPr>
              <w:t>”</w:t>
            </w:r>
            <w:r w:rsidRPr="00445472">
              <w:rPr>
                <w:rFonts w:ascii="Garamond" w:hAnsi="Garamond"/>
                <w:spacing w:val="-4"/>
                <w:lang w:val="sq-AL"/>
              </w:rPr>
              <w:t xml:space="preserve"> për ujërat sipërfaqësor</w:t>
            </w:r>
            <w:r w:rsidR="00445472">
              <w:rPr>
                <w:rFonts w:ascii="Garamond" w:hAnsi="Garamond"/>
                <w:spacing w:val="-4"/>
                <w:lang w:val="sq-AL"/>
              </w:rPr>
              <w:t>e</w:t>
            </w:r>
            <w:r w:rsidRPr="00445472">
              <w:rPr>
                <w:rFonts w:ascii="Garamond" w:hAnsi="Garamond"/>
                <w:spacing w:val="-4"/>
                <w:lang w:val="sq-AL"/>
              </w:rPr>
              <w:t xml:space="preserve"> dhe nëntokësorë, duke marrë parasysh aftësitë e tanishme teknike për të kryer monitorimin në përputhje me DKU-në, në lidhje me aftësinë teknike, instrumentet dhe kërkesat e trajnimit.</w:t>
            </w:r>
          </w:p>
        </w:tc>
        <w:tc>
          <w:tcPr>
            <w:tcW w:w="0" w:type="pct"/>
            <w:shd w:val="clear" w:color="auto" w:fill="auto"/>
            <w:vAlign w:val="center"/>
          </w:tcPr>
          <w:p w14:paraId="319F2D44" w14:textId="1DC1D60A"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Laboratorët e përcaktuar si referencë</w:t>
            </w:r>
          </w:p>
        </w:tc>
        <w:tc>
          <w:tcPr>
            <w:tcW w:w="0" w:type="pct"/>
            <w:shd w:val="clear" w:color="auto" w:fill="auto"/>
            <w:vAlign w:val="center"/>
          </w:tcPr>
          <w:p w14:paraId="42984A3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76408E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3B584F8"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5BAE0C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D4E257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9FFDA50"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12E8B744" w14:textId="77777777" w:rsidTr="00E43879">
        <w:trPr>
          <w:jc w:val="center"/>
        </w:trPr>
        <w:tc>
          <w:tcPr>
            <w:tcW w:w="0" w:type="pct"/>
            <w:vMerge/>
            <w:shd w:val="clear" w:color="auto" w:fill="auto"/>
            <w:vAlign w:val="center"/>
          </w:tcPr>
          <w:p w14:paraId="44F5ECCD"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298A3F54" w14:textId="6A606C80" w:rsidR="00E43879" w:rsidRPr="00445472" w:rsidRDefault="000E4E18" w:rsidP="00F17E7E">
            <w:pPr>
              <w:pStyle w:val="TableTextLeft"/>
              <w:spacing w:after="0"/>
              <w:rPr>
                <w:rFonts w:ascii="Garamond" w:hAnsi="Garamond"/>
                <w:spacing w:val="-4"/>
                <w:lang w:val="sq-AL"/>
              </w:rPr>
            </w:pPr>
            <w:r w:rsidRPr="00445472">
              <w:rPr>
                <w:rFonts w:ascii="Garamond" w:hAnsi="Garamond"/>
                <w:spacing w:val="-4"/>
                <w:lang w:val="sq-AL"/>
              </w:rPr>
              <w:t>Mbikëqyrja</w:t>
            </w:r>
            <w:r w:rsidR="00E43879" w:rsidRPr="00445472">
              <w:rPr>
                <w:rFonts w:ascii="Garamond" w:hAnsi="Garamond"/>
                <w:spacing w:val="-4"/>
                <w:lang w:val="sq-AL"/>
              </w:rPr>
              <w:t xml:space="preserve"> e monitorimit të trupave të caktuar ujor (ujërat sipërfaqësor</w:t>
            </w:r>
            <w:r w:rsidR="00445472">
              <w:rPr>
                <w:rFonts w:ascii="Garamond" w:hAnsi="Garamond"/>
                <w:spacing w:val="-4"/>
                <w:lang w:val="sq-AL"/>
              </w:rPr>
              <w:t>e</w:t>
            </w:r>
            <w:r w:rsidR="00E43879" w:rsidRPr="00445472">
              <w:rPr>
                <w:rFonts w:ascii="Garamond" w:hAnsi="Garamond"/>
                <w:spacing w:val="-4"/>
                <w:lang w:val="sq-AL"/>
              </w:rPr>
              <w:t xml:space="preserve"> dhe nëntokësor) sipas kërkesave të DKU-së</w:t>
            </w:r>
            <w:r w:rsidR="00E43879" w:rsidRPr="00445472">
              <w:rPr>
                <w:rFonts w:ascii="Garamond" w:hAnsi="Garamond"/>
                <w:spacing w:val="-4"/>
                <w:vertAlign w:val="superscript"/>
                <w:lang w:val="sq-AL"/>
              </w:rPr>
              <w:footnoteReference w:id="232"/>
            </w:r>
            <w:r w:rsidR="00E43879" w:rsidRPr="00445472">
              <w:rPr>
                <w:rFonts w:ascii="Garamond" w:hAnsi="Garamond"/>
                <w:spacing w:val="-4"/>
                <w:lang w:val="sq-AL"/>
              </w:rPr>
              <w:t xml:space="preserve"> në mënyrë që të vendoset) statusi ekologjik dhe vlerësimi hidromorfologjik i ujërave sipërfaqësor (përfshirë TUSHM dhe TUA)</w:t>
            </w:r>
            <w:r w:rsidR="00F17E7E" w:rsidRPr="00445472">
              <w:rPr>
                <w:rFonts w:ascii="Garamond" w:hAnsi="Garamond"/>
                <w:spacing w:val="-4"/>
                <w:lang w:val="sq-AL"/>
              </w:rPr>
              <w:t>;</w:t>
            </w:r>
            <w:r w:rsidR="00E43879" w:rsidRPr="00445472">
              <w:rPr>
                <w:rFonts w:ascii="Garamond" w:hAnsi="Garamond"/>
                <w:spacing w:val="-4"/>
                <w:lang w:val="sq-AL"/>
              </w:rPr>
              <w:t xml:space="preserve"> ii</w:t>
            </w:r>
            <w:r w:rsidR="00F17E7E" w:rsidRPr="00445472">
              <w:rPr>
                <w:rFonts w:ascii="Garamond" w:hAnsi="Garamond"/>
                <w:spacing w:val="-4"/>
                <w:lang w:val="sq-AL"/>
              </w:rPr>
              <w:t>.</w:t>
            </w:r>
            <w:r w:rsidR="00E43879" w:rsidRPr="00445472">
              <w:rPr>
                <w:rFonts w:ascii="Garamond" w:hAnsi="Garamond"/>
                <w:spacing w:val="-4"/>
                <w:lang w:val="sq-AL"/>
              </w:rPr>
              <w:t xml:space="preserve"> statusi kimik dhe vlerësimi cilësor i ujërave nëntokësore   </w:t>
            </w:r>
          </w:p>
        </w:tc>
        <w:tc>
          <w:tcPr>
            <w:tcW w:w="0" w:type="pct"/>
            <w:shd w:val="clear" w:color="auto" w:fill="auto"/>
            <w:vAlign w:val="center"/>
          </w:tcPr>
          <w:p w14:paraId="37AC3E9A" w14:textId="30A6868E"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Laboratorët e përcaktuar si referencë</w:t>
            </w:r>
            <w:r w:rsidR="001D340B" w:rsidRPr="00445472">
              <w:rPr>
                <w:rFonts w:ascii="Garamond" w:hAnsi="Garamond"/>
                <w:spacing w:val="-4"/>
                <w:lang w:val="sq-AL"/>
              </w:rPr>
              <w:t>/</w:t>
            </w:r>
            <w:r w:rsidRPr="00445472">
              <w:rPr>
                <w:rFonts w:ascii="Garamond" w:hAnsi="Garamond"/>
                <w:spacing w:val="-4"/>
                <w:lang w:val="sq-AL"/>
              </w:rPr>
              <w:t>SHGJSH</w:t>
            </w:r>
          </w:p>
        </w:tc>
        <w:tc>
          <w:tcPr>
            <w:tcW w:w="0" w:type="pct"/>
            <w:shd w:val="clear" w:color="auto" w:fill="auto"/>
            <w:vAlign w:val="center"/>
          </w:tcPr>
          <w:p w14:paraId="65EA5F8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B609A9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4182C35"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E64EFD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1526F1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27D7B1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r>
      <w:tr w:rsidR="00E43879" w:rsidRPr="00445472" w14:paraId="4CCD7231" w14:textId="77777777" w:rsidTr="00E43879">
        <w:trPr>
          <w:jc w:val="center"/>
        </w:trPr>
        <w:tc>
          <w:tcPr>
            <w:tcW w:w="0" w:type="pct"/>
            <w:vMerge/>
            <w:shd w:val="clear" w:color="auto" w:fill="auto"/>
            <w:vAlign w:val="center"/>
          </w:tcPr>
          <w:p w14:paraId="04CB7A3B"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0D1CEAB3"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Zhvillimi i procedurave për mbledhjen e të dhënave dhe analizimin e tyre siç kërkohen AEM</w:t>
            </w:r>
          </w:p>
        </w:tc>
        <w:tc>
          <w:tcPr>
            <w:tcW w:w="0" w:type="pct"/>
            <w:shd w:val="clear" w:color="auto" w:fill="auto"/>
            <w:vAlign w:val="center"/>
          </w:tcPr>
          <w:p w14:paraId="29649086" w14:textId="244A4374"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Laboratorët e përcaktuar si referencë</w:t>
            </w:r>
            <w:r w:rsidR="001D340B" w:rsidRPr="00445472">
              <w:rPr>
                <w:rFonts w:ascii="Garamond" w:hAnsi="Garamond"/>
                <w:spacing w:val="-4"/>
                <w:lang w:val="sq-AL"/>
              </w:rPr>
              <w:t>/</w:t>
            </w:r>
            <w:r w:rsidRPr="00445472">
              <w:rPr>
                <w:rFonts w:ascii="Garamond" w:hAnsi="Garamond"/>
                <w:spacing w:val="-4"/>
                <w:lang w:val="sq-AL"/>
              </w:rPr>
              <w:t>SHGJSH</w:t>
            </w:r>
          </w:p>
        </w:tc>
        <w:tc>
          <w:tcPr>
            <w:tcW w:w="0" w:type="pct"/>
            <w:shd w:val="clear" w:color="auto" w:fill="auto"/>
            <w:vAlign w:val="center"/>
          </w:tcPr>
          <w:p w14:paraId="120920B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338397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F0133D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C2DAB8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F191E6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1B0F5AC"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5FCAE5F5" w14:textId="77777777" w:rsidTr="00E43879">
        <w:trPr>
          <w:jc w:val="center"/>
        </w:trPr>
        <w:tc>
          <w:tcPr>
            <w:tcW w:w="0" w:type="pct"/>
            <w:vMerge/>
            <w:shd w:val="clear" w:color="auto" w:fill="auto"/>
            <w:vAlign w:val="center"/>
          </w:tcPr>
          <w:p w14:paraId="00A2B02D"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C4D50D0" w14:textId="699CEBDC" w:rsidR="00E43879" w:rsidRPr="00445472" w:rsidRDefault="00E43879" w:rsidP="00F17E7E">
            <w:pPr>
              <w:pStyle w:val="TableTextLeft"/>
              <w:spacing w:after="0"/>
              <w:rPr>
                <w:rFonts w:ascii="Garamond" w:hAnsi="Garamond"/>
                <w:spacing w:val="-4"/>
                <w:lang w:val="sq-AL"/>
              </w:rPr>
            </w:pPr>
            <w:r w:rsidRPr="00445472">
              <w:rPr>
                <w:rFonts w:ascii="Garamond" w:hAnsi="Garamond"/>
                <w:spacing w:val="-4"/>
                <w:lang w:val="sq-AL"/>
              </w:rPr>
              <w:t>Përshkrim i mëtejshëm i trupave ujorë sipërfaqësorë nga 10</w:t>
            </w:r>
            <w:r w:rsidR="00F17E7E" w:rsidRPr="00445472">
              <w:rPr>
                <w:rFonts w:ascii="Garamond" w:hAnsi="Garamond"/>
                <w:spacing w:val="-4"/>
                <w:lang w:val="sq-AL"/>
              </w:rPr>
              <w:t>–</w:t>
            </w:r>
            <w:r w:rsidRPr="00445472">
              <w:rPr>
                <w:rFonts w:ascii="Garamond" w:hAnsi="Garamond"/>
                <w:spacing w:val="-4"/>
                <w:lang w:val="sq-AL"/>
              </w:rPr>
              <w:t>100</w:t>
            </w:r>
            <w:r w:rsidR="00F17E7E" w:rsidRPr="00445472">
              <w:rPr>
                <w:rFonts w:ascii="Garamond" w:hAnsi="Garamond"/>
                <w:spacing w:val="-4"/>
                <w:lang w:val="sq-AL"/>
              </w:rPr>
              <w:t xml:space="preserve"> </w:t>
            </w:r>
            <w:r w:rsidRPr="00445472">
              <w:rPr>
                <w:rFonts w:ascii="Garamond" w:hAnsi="Garamond"/>
                <w:spacing w:val="-4"/>
                <w:lang w:val="sq-AL"/>
              </w:rPr>
              <w:t>km</w:t>
            </w:r>
            <w:r w:rsidRPr="00445472">
              <w:rPr>
                <w:rFonts w:ascii="Garamond" w:hAnsi="Garamond"/>
                <w:spacing w:val="-4"/>
                <w:vertAlign w:val="superscript"/>
                <w:lang w:val="sq-AL"/>
              </w:rPr>
              <w:t>2</w:t>
            </w:r>
            <w:r w:rsidRPr="00445472">
              <w:rPr>
                <w:rFonts w:ascii="Garamond" w:hAnsi="Garamond"/>
                <w:spacing w:val="-4"/>
                <w:lang w:val="sq-AL"/>
              </w:rPr>
              <w:t xml:space="preserve"> dhe përditësimi i programit të monitorimit</w:t>
            </w:r>
          </w:p>
        </w:tc>
        <w:tc>
          <w:tcPr>
            <w:tcW w:w="0" w:type="pct"/>
            <w:shd w:val="clear" w:color="auto" w:fill="auto"/>
            <w:vAlign w:val="center"/>
          </w:tcPr>
          <w:p w14:paraId="3D222AA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62CC48F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2186AA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DC0354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1C7B50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57808FD"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8FD7DAB"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862ABD9" w14:textId="77777777" w:rsidTr="00E43879">
        <w:trPr>
          <w:jc w:val="center"/>
        </w:trPr>
        <w:tc>
          <w:tcPr>
            <w:tcW w:w="0" w:type="pct"/>
            <w:vMerge/>
            <w:shd w:val="clear" w:color="auto" w:fill="auto"/>
            <w:vAlign w:val="center"/>
          </w:tcPr>
          <w:p w14:paraId="05E4C3D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343AE9A6"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Fillimi i PM baze dhe suplementare</w:t>
            </w:r>
            <w:r w:rsidRPr="00445472">
              <w:rPr>
                <w:rFonts w:ascii="Garamond" w:hAnsi="Garamond"/>
                <w:spacing w:val="-4"/>
                <w:vertAlign w:val="superscript"/>
                <w:lang w:val="sq-AL"/>
              </w:rPr>
              <w:footnoteReference w:id="233"/>
            </w:r>
            <w:r w:rsidRPr="00445472">
              <w:rPr>
                <w:rFonts w:ascii="Garamond" w:hAnsi="Garamond"/>
                <w:spacing w:val="-4"/>
                <w:lang w:val="sq-AL"/>
              </w:rPr>
              <w:t xml:space="preserve"> </w:t>
            </w:r>
          </w:p>
        </w:tc>
        <w:tc>
          <w:tcPr>
            <w:tcW w:w="0" w:type="pct"/>
            <w:shd w:val="clear" w:color="auto" w:fill="auto"/>
            <w:vAlign w:val="center"/>
          </w:tcPr>
          <w:p w14:paraId="5322628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692A3A4B"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40B2F0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C17187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D11BA8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C2CF90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445B29E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r>
      <w:tr w:rsidR="00E43879" w:rsidRPr="00445472" w14:paraId="2A7D2FA1" w14:textId="77777777" w:rsidTr="00E43879">
        <w:trPr>
          <w:jc w:val="center"/>
        </w:trPr>
        <w:tc>
          <w:tcPr>
            <w:tcW w:w="0" w:type="pct"/>
            <w:vMerge/>
            <w:shd w:val="clear" w:color="auto" w:fill="auto"/>
            <w:vAlign w:val="center"/>
          </w:tcPr>
          <w:p w14:paraId="7C67A17C"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2EAB036A" w14:textId="7121950D" w:rsidR="00E43879" w:rsidRPr="00445472" w:rsidRDefault="00F17E7E" w:rsidP="00E43879">
            <w:pPr>
              <w:pStyle w:val="TableTextLeft"/>
              <w:spacing w:after="0"/>
              <w:rPr>
                <w:rFonts w:ascii="Garamond" w:hAnsi="Garamond"/>
                <w:spacing w:val="-4"/>
                <w:lang w:val="sq-AL"/>
              </w:rPr>
            </w:pPr>
            <w:r w:rsidRPr="00445472">
              <w:rPr>
                <w:rFonts w:ascii="Garamond" w:hAnsi="Garamond"/>
                <w:spacing w:val="-4"/>
                <w:lang w:val="sq-AL"/>
              </w:rPr>
              <w:t>Ndërmarrja</w:t>
            </w:r>
            <w:r w:rsidR="00E43879" w:rsidRPr="00445472">
              <w:rPr>
                <w:rFonts w:ascii="Garamond" w:hAnsi="Garamond"/>
                <w:spacing w:val="-4"/>
                <w:lang w:val="sq-AL"/>
              </w:rPr>
              <w:t xml:space="preserve"> e veprimeve të propozuara në planin e njohjes me PMBU-të në mënyrë që </w:t>
            </w:r>
            <w:r w:rsidR="00B139CF" w:rsidRPr="00445472">
              <w:rPr>
                <w:rFonts w:ascii="Garamond" w:hAnsi="Garamond"/>
                <w:spacing w:val="-4"/>
                <w:lang w:val="sq-AL"/>
              </w:rPr>
              <w:t>t’u</w:t>
            </w:r>
            <w:r w:rsidR="00E43879" w:rsidRPr="00445472">
              <w:rPr>
                <w:rFonts w:ascii="Garamond" w:hAnsi="Garamond"/>
                <w:spacing w:val="-4"/>
                <w:lang w:val="sq-AL"/>
              </w:rPr>
              <w:t xml:space="preserve"> sigurohet informacioni palëve të interesit </w:t>
            </w:r>
          </w:p>
        </w:tc>
        <w:tc>
          <w:tcPr>
            <w:tcW w:w="0" w:type="pct"/>
            <w:shd w:val="clear" w:color="auto" w:fill="auto"/>
            <w:vAlign w:val="center"/>
          </w:tcPr>
          <w:p w14:paraId="71AECC9A" w14:textId="0BA9CAC4"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OJQ-të</w:t>
            </w:r>
            <w:r w:rsidR="001D340B" w:rsidRPr="00445472">
              <w:rPr>
                <w:rFonts w:ascii="Garamond" w:hAnsi="Garamond"/>
                <w:spacing w:val="-4"/>
                <w:lang w:val="sq-AL"/>
              </w:rPr>
              <w:t>/</w:t>
            </w:r>
            <w:r w:rsidRPr="00445472">
              <w:rPr>
                <w:rFonts w:ascii="Garamond" w:hAnsi="Garamond"/>
                <w:spacing w:val="-4"/>
                <w:lang w:val="sq-AL"/>
              </w:rPr>
              <w:t>CSO</w:t>
            </w:r>
          </w:p>
        </w:tc>
        <w:tc>
          <w:tcPr>
            <w:tcW w:w="0" w:type="pct"/>
            <w:shd w:val="clear" w:color="auto" w:fill="auto"/>
            <w:vAlign w:val="center"/>
          </w:tcPr>
          <w:p w14:paraId="59EC1AA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1C6F898"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93BB21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22BF22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AF574D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58F6E09"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5A844525" w14:textId="77777777" w:rsidTr="00E43879">
        <w:trPr>
          <w:jc w:val="center"/>
        </w:trPr>
        <w:tc>
          <w:tcPr>
            <w:tcW w:w="0" w:type="pct"/>
            <w:vMerge w:val="restart"/>
            <w:shd w:val="clear" w:color="auto" w:fill="auto"/>
            <w:vAlign w:val="center"/>
          </w:tcPr>
          <w:p w14:paraId="1F98FD98"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Rreziku që vjen nga Uji</w:t>
            </w:r>
          </w:p>
        </w:tc>
        <w:tc>
          <w:tcPr>
            <w:tcW w:w="0" w:type="pct"/>
            <w:shd w:val="clear" w:color="auto" w:fill="auto"/>
            <w:vAlign w:val="center"/>
            <w:hideMark/>
          </w:tcPr>
          <w:p w14:paraId="4B457C58"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Vendosja e të dhënave ekzistuese hidrometeorologjike në kadastrën e ujit </w:t>
            </w:r>
          </w:p>
        </w:tc>
        <w:tc>
          <w:tcPr>
            <w:tcW w:w="0" w:type="pct"/>
            <w:shd w:val="clear" w:color="auto" w:fill="auto"/>
            <w:vAlign w:val="center"/>
            <w:hideMark/>
          </w:tcPr>
          <w:p w14:paraId="43C02AC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hideMark/>
          </w:tcPr>
          <w:p w14:paraId="3E3653A9"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453450C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30C196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237F50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7BF577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28A9BB5"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44D35AE6" w14:textId="77777777" w:rsidTr="00E43879">
        <w:trPr>
          <w:jc w:val="center"/>
        </w:trPr>
        <w:tc>
          <w:tcPr>
            <w:tcW w:w="0" w:type="pct"/>
            <w:vMerge/>
            <w:shd w:val="clear" w:color="auto" w:fill="auto"/>
            <w:vAlign w:val="center"/>
          </w:tcPr>
          <w:p w14:paraId="1F5D86D8"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620ABD3F" w14:textId="74FC6C0D"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Ndërmarrja e një vlerësimi paraprak të </w:t>
            </w:r>
            <w:r w:rsidR="00F17E7E" w:rsidRPr="00445472">
              <w:rPr>
                <w:rFonts w:ascii="Garamond" w:hAnsi="Garamond"/>
                <w:spacing w:val="-4"/>
                <w:lang w:val="sq-AL"/>
              </w:rPr>
              <w:t xml:space="preserve">rrezikut nga përmbytjet </w:t>
            </w:r>
          </w:p>
        </w:tc>
        <w:tc>
          <w:tcPr>
            <w:tcW w:w="0" w:type="pct"/>
            <w:shd w:val="clear" w:color="auto" w:fill="auto"/>
            <w:vAlign w:val="center"/>
          </w:tcPr>
          <w:p w14:paraId="510AFD3E" w14:textId="6E6521B6"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donatorë dhe agjenci përkatëse</w:t>
            </w:r>
          </w:p>
        </w:tc>
        <w:tc>
          <w:tcPr>
            <w:tcW w:w="0" w:type="pct"/>
            <w:shd w:val="clear" w:color="auto" w:fill="auto"/>
            <w:vAlign w:val="center"/>
          </w:tcPr>
          <w:p w14:paraId="2DA207D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C12C40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6F717F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05FF76A"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CA3615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2D94906"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3B54B32D" w14:textId="77777777" w:rsidTr="00E43879">
        <w:trPr>
          <w:jc w:val="center"/>
        </w:trPr>
        <w:tc>
          <w:tcPr>
            <w:tcW w:w="0" w:type="pct"/>
            <w:vMerge/>
            <w:shd w:val="clear" w:color="auto" w:fill="auto"/>
            <w:vAlign w:val="center"/>
          </w:tcPr>
          <w:p w14:paraId="7B52FCB9"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39B636E0" w14:textId="2CB42608"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Përgatitja e </w:t>
            </w:r>
            <w:r w:rsidR="00F17E7E" w:rsidRPr="00445472">
              <w:rPr>
                <w:rFonts w:ascii="Garamond" w:hAnsi="Garamond"/>
                <w:spacing w:val="-4"/>
                <w:lang w:val="sq-AL"/>
              </w:rPr>
              <w:t>hartave të rrezikut nga ushqimi</w:t>
            </w:r>
          </w:p>
        </w:tc>
        <w:tc>
          <w:tcPr>
            <w:tcW w:w="0" w:type="pct"/>
            <w:shd w:val="clear" w:color="auto" w:fill="auto"/>
            <w:vAlign w:val="center"/>
          </w:tcPr>
          <w:p w14:paraId="1E63F7F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ZABU/donatorë dhe agjenci përkatëse</w:t>
            </w:r>
          </w:p>
        </w:tc>
        <w:tc>
          <w:tcPr>
            <w:tcW w:w="0" w:type="pct"/>
            <w:shd w:val="clear" w:color="auto" w:fill="auto"/>
            <w:vAlign w:val="center"/>
          </w:tcPr>
          <w:p w14:paraId="7C2D3265"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CF3413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B19531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59656A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3880E3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595B52F"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2BB7832" w14:textId="77777777" w:rsidTr="00E43879">
        <w:trPr>
          <w:jc w:val="center"/>
        </w:trPr>
        <w:tc>
          <w:tcPr>
            <w:tcW w:w="0" w:type="pct"/>
            <w:vMerge/>
            <w:shd w:val="clear" w:color="auto" w:fill="auto"/>
            <w:vAlign w:val="center"/>
          </w:tcPr>
          <w:p w14:paraId="3B6A9CCA"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040DCA40" w14:textId="67F0BF15"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Përgatitja e </w:t>
            </w:r>
            <w:r w:rsidR="00F17E7E" w:rsidRPr="00445472">
              <w:rPr>
                <w:rFonts w:ascii="Garamond" w:hAnsi="Garamond"/>
                <w:spacing w:val="-4"/>
                <w:lang w:val="sq-AL"/>
              </w:rPr>
              <w:t>hartave të rrezikut nga përmbytja</w:t>
            </w:r>
          </w:p>
        </w:tc>
        <w:tc>
          <w:tcPr>
            <w:tcW w:w="0" w:type="pct"/>
            <w:shd w:val="clear" w:color="auto" w:fill="auto"/>
            <w:vAlign w:val="center"/>
          </w:tcPr>
          <w:p w14:paraId="2014BD10"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ZABU/donatorë dhe agjenci përkatëse</w:t>
            </w:r>
          </w:p>
        </w:tc>
        <w:tc>
          <w:tcPr>
            <w:tcW w:w="0" w:type="pct"/>
            <w:shd w:val="clear" w:color="auto" w:fill="auto"/>
            <w:vAlign w:val="center"/>
          </w:tcPr>
          <w:p w14:paraId="56A5D10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251A91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1D0377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BEB8EF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6D96EC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E7CBF15"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3692046C" w14:textId="77777777" w:rsidTr="00E43879">
        <w:trPr>
          <w:jc w:val="center"/>
        </w:trPr>
        <w:tc>
          <w:tcPr>
            <w:tcW w:w="0" w:type="pct"/>
            <w:vMerge/>
            <w:shd w:val="clear" w:color="auto" w:fill="auto"/>
            <w:vAlign w:val="center"/>
          </w:tcPr>
          <w:p w14:paraId="1CFF01C3"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DF36962" w14:textId="1A36415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Përgatitja e </w:t>
            </w:r>
            <w:r w:rsidR="00F17E7E" w:rsidRPr="00445472">
              <w:rPr>
                <w:rFonts w:ascii="Garamond" w:hAnsi="Garamond"/>
                <w:spacing w:val="-4"/>
                <w:lang w:val="sq-AL"/>
              </w:rPr>
              <w:t>planeve të menaxhimit të përmbytjeve</w:t>
            </w:r>
          </w:p>
        </w:tc>
        <w:tc>
          <w:tcPr>
            <w:tcW w:w="0" w:type="pct"/>
            <w:shd w:val="clear" w:color="auto" w:fill="auto"/>
            <w:vAlign w:val="center"/>
          </w:tcPr>
          <w:p w14:paraId="7E1EC2BE"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ZABU/donatorë dhe agjenci përkatëse</w:t>
            </w:r>
          </w:p>
        </w:tc>
        <w:tc>
          <w:tcPr>
            <w:tcW w:w="0" w:type="pct"/>
            <w:shd w:val="clear" w:color="auto" w:fill="auto"/>
            <w:vAlign w:val="center"/>
          </w:tcPr>
          <w:p w14:paraId="7D21F3D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A93C8C9"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28A867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756171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CC1AC1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CF3F885"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D86E72C" w14:textId="77777777" w:rsidTr="00E43879">
        <w:trPr>
          <w:jc w:val="center"/>
        </w:trPr>
        <w:tc>
          <w:tcPr>
            <w:tcW w:w="0" w:type="pct"/>
            <w:vMerge/>
            <w:shd w:val="clear" w:color="auto" w:fill="auto"/>
            <w:vAlign w:val="center"/>
          </w:tcPr>
          <w:p w14:paraId="1AC071B0"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63D6273B" w14:textId="267A0928" w:rsidR="00E43879" w:rsidRPr="00445472" w:rsidRDefault="00E43879" w:rsidP="00F17E7E">
            <w:pPr>
              <w:pStyle w:val="TableTextLeft"/>
              <w:spacing w:after="0"/>
              <w:rPr>
                <w:rFonts w:ascii="Garamond" w:hAnsi="Garamond"/>
                <w:spacing w:val="-4"/>
                <w:lang w:val="sq-AL"/>
              </w:rPr>
            </w:pPr>
            <w:r w:rsidRPr="00445472">
              <w:rPr>
                <w:rFonts w:ascii="Garamond" w:hAnsi="Garamond"/>
                <w:spacing w:val="-4"/>
                <w:lang w:val="sq-AL"/>
              </w:rPr>
              <w:t>Implementimi i fushatave të ndërgjegjësimit ndaj përmbytjes dhe të një plani veprimi për sigurinë në zona vulnerab</w:t>
            </w:r>
            <w:r w:rsidR="00F17E7E" w:rsidRPr="00445472">
              <w:rPr>
                <w:rFonts w:ascii="Garamond" w:hAnsi="Garamond"/>
                <w:spacing w:val="-4"/>
                <w:lang w:val="sq-AL"/>
              </w:rPr>
              <w:t>ë</w:t>
            </w:r>
            <w:r w:rsidRPr="00445472">
              <w:rPr>
                <w:rFonts w:ascii="Garamond" w:hAnsi="Garamond"/>
                <w:spacing w:val="-4"/>
                <w:lang w:val="sq-AL"/>
              </w:rPr>
              <w:t xml:space="preserve">l nëpërmjet KBU-ve, OJQ-ve dhe CSOs duke komunikuar me palët e interesit përmes të gjitha mjeteve të mundshme </w:t>
            </w:r>
          </w:p>
        </w:tc>
        <w:tc>
          <w:tcPr>
            <w:tcW w:w="0" w:type="pct"/>
            <w:shd w:val="clear" w:color="auto" w:fill="auto"/>
            <w:vAlign w:val="center"/>
          </w:tcPr>
          <w:p w14:paraId="29ABE86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42FFE62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E2D301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69BF9D0"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8CB97C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58A606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8A0D7E2"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64BC8249" w14:textId="77777777" w:rsidTr="00E43879">
        <w:trPr>
          <w:jc w:val="center"/>
        </w:trPr>
        <w:tc>
          <w:tcPr>
            <w:tcW w:w="0" w:type="pct"/>
            <w:vMerge/>
            <w:shd w:val="clear" w:color="auto" w:fill="auto"/>
            <w:vAlign w:val="center"/>
          </w:tcPr>
          <w:p w14:paraId="2B5F564E"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037EC794"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Përgatitja, miratimi dhe implementimi i Planeve të Menaxhimit të Thatësirës </w:t>
            </w:r>
          </w:p>
        </w:tc>
        <w:tc>
          <w:tcPr>
            <w:tcW w:w="0" w:type="pct"/>
            <w:shd w:val="clear" w:color="auto" w:fill="auto"/>
            <w:vAlign w:val="center"/>
          </w:tcPr>
          <w:p w14:paraId="31BB390E"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ZABU/Të gjitha institucionet përkatëse</w:t>
            </w:r>
          </w:p>
        </w:tc>
        <w:tc>
          <w:tcPr>
            <w:tcW w:w="0" w:type="pct"/>
            <w:shd w:val="clear" w:color="auto" w:fill="auto"/>
            <w:vAlign w:val="center"/>
          </w:tcPr>
          <w:p w14:paraId="7688A214"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2BECADB"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C791B7D"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D203B7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897034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4657EC1"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6AD1741F" w14:textId="77777777" w:rsidTr="00E43879">
        <w:trPr>
          <w:jc w:val="center"/>
        </w:trPr>
        <w:tc>
          <w:tcPr>
            <w:tcW w:w="0" w:type="pct"/>
            <w:vMerge/>
            <w:shd w:val="clear" w:color="auto" w:fill="auto"/>
            <w:vAlign w:val="center"/>
          </w:tcPr>
          <w:p w14:paraId="2EDF11F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3EC2378F"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Implementimi i fushatave të ndërgjegjësimit ndaj thatësirës </w:t>
            </w:r>
          </w:p>
        </w:tc>
        <w:tc>
          <w:tcPr>
            <w:tcW w:w="0" w:type="pct"/>
            <w:shd w:val="clear" w:color="auto" w:fill="auto"/>
            <w:vAlign w:val="center"/>
          </w:tcPr>
          <w:p w14:paraId="3BDA2D3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ZABU/KBU/OJQ/CSO</w:t>
            </w:r>
          </w:p>
        </w:tc>
        <w:tc>
          <w:tcPr>
            <w:tcW w:w="0" w:type="pct"/>
            <w:shd w:val="clear" w:color="auto" w:fill="auto"/>
            <w:vAlign w:val="center"/>
          </w:tcPr>
          <w:p w14:paraId="3C05364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F00FEF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4421F2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7B1D158"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BB8DCF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E01817E"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4ABB0621" w14:textId="77777777" w:rsidTr="00E43879">
        <w:trPr>
          <w:jc w:val="center"/>
        </w:trPr>
        <w:tc>
          <w:tcPr>
            <w:tcW w:w="0" w:type="pct"/>
            <w:vMerge/>
            <w:shd w:val="clear" w:color="auto" w:fill="auto"/>
            <w:vAlign w:val="center"/>
          </w:tcPr>
          <w:p w14:paraId="0060AFB1"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1840D878"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Fillimi i PM bazë dhe suplementare </w:t>
            </w:r>
          </w:p>
        </w:tc>
        <w:tc>
          <w:tcPr>
            <w:tcW w:w="0" w:type="pct"/>
            <w:shd w:val="clear" w:color="auto" w:fill="auto"/>
            <w:vAlign w:val="center"/>
          </w:tcPr>
          <w:p w14:paraId="0ABD2BC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1645D56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019C25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47409C4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4B7858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F8A20C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1191803"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r>
      <w:tr w:rsidR="00E43879" w:rsidRPr="00445472" w14:paraId="0B8EAA6D" w14:textId="77777777" w:rsidTr="00E43879">
        <w:trPr>
          <w:jc w:val="center"/>
        </w:trPr>
        <w:tc>
          <w:tcPr>
            <w:tcW w:w="0" w:type="pct"/>
            <w:vMerge w:val="restart"/>
            <w:shd w:val="clear" w:color="auto" w:fill="auto"/>
            <w:vAlign w:val="center"/>
            <w:hideMark/>
          </w:tcPr>
          <w:p w14:paraId="03E6EE11"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 xml:space="preserve">Informacion mbi Ujin </w:t>
            </w:r>
          </w:p>
        </w:tc>
        <w:tc>
          <w:tcPr>
            <w:tcW w:w="0" w:type="pct"/>
            <w:shd w:val="clear" w:color="auto" w:fill="auto"/>
            <w:vAlign w:val="center"/>
            <w:hideMark/>
          </w:tcPr>
          <w:p w14:paraId="4D47BFFE" w14:textId="55D495BA"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Zhvillimi i procedurave për </w:t>
            </w:r>
            <w:r w:rsidR="00565933" w:rsidRPr="00445472">
              <w:rPr>
                <w:rFonts w:ascii="Garamond" w:hAnsi="Garamond"/>
                <w:spacing w:val="-4"/>
                <w:lang w:val="sq-AL"/>
              </w:rPr>
              <w:t>regjistrimin</w:t>
            </w:r>
            <w:r w:rsidRPr="00445472">
              <w:rPr>
                <w:rFonts w:ascii="Garamond" w:hAnsi="Garamond"/>
                <w:spacing w:val="-4"/>
                <w:lang w:val="sq-AL"/>
              </w:rPr>
              <w:t xml:space="preserve"> e të dhënave në kadastrën e ujit dhe analizim të dhënash dhe raportim sipas kërkesave të AEM</w:t>
            </w:r>
          </w:p>
        </w:tc>
        <w:tc>
          <w:tcPr>
            <w:tcW w:w="0" w:type="pct"/>
            <w:shd w:val="clear" w:color="auto" w:fill="auto"/>
            <w:vAlign w:val="center"/>
            <w:hideMark/>
          </w:tcPr>
          <w:p w14:paraId="549D477E" w14:textId="66A94C24"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Të gjitha institucionet përkatëse</w:t>
            </w:r>
          </w:p>
        </w:tc>
        <w:tc>
          <w:tcPr>
            <w:tcW w:w="0" w:type="pct"/>
            <w:shd w:val="clear" w:color="auto" w:fill="auto"/>
            <w:vAlign w:val="center"/>
          </w:tcPr>
          <w:p w14:paraId="30CC8CE8"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2467BD8"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509E5F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7C7D5B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85E0AD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AD3D491"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3FFE6ED" w14:textId="77777777" w:rsidTr="00E43879">
        <w:trPr>
          <w:jc w:val="center"/>
        </w:trPr>
        <w:tc>
          <w:tcPr>
            <w:tcW w:w="0" w:type="pct"/>
            <w:vMerge/>
            <w:shd w:val="clear" w:color="auto" w:fill="auto"/>
            <w:vAlign w:val="center"/>
          </w:tcPr>
          <w:p w14:paraId="7B2CD2B6"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019C9C63"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Zhvillimi i strukturave edukuese dhe programeve trajnuese në lidhje me menaxhimin e ujit për të gjitha palët e interesuara </w:t>
            </w:r>
            <w:r w:rsidRPr="00445472">
              <w:rPr>
                <w:rFonts w:ascii="Garamond" w:hAnsi="Garamond"/>
                <w:spacing w:val="-4"/>
                <w:vertAlign w:val="superscript"/>
                <w:lang w:val="sq-AL"/>
              </w:rPr>
              <w:footnoteReference w:id="234"/>
            </w:r>
          </w:p>
        </w:tc>
        <w:tc>
          <w:tcPr>
            <w:tcW w:w="0" w:type="pct"/>
            <w:shd w:val="clear" w:color="auto" w:fill="auto"/>
            <w:vAlign w:val="center"/>
          </w:tcPr>
          <w:p w14:paraId="702836A3" w14:textId="7493FDF1"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Të gjitha institucionet përkatëse</w:t>
            </w:r>
          </w:p>
        </w:tc>
        <w:tc>
          <w:tcPr>
            <w:tcW w:w="0" w:type="pct"/>
            <w:shd w:val="clear" w:color="auto" w:fill="auto"/>
            <w:vAlign w:val="center"/>
          </w:tcPr>
          <w:p w14:paraId="51C4FFA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D909964"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7F593E2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DB19005"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FEED86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8F18173"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67D60339" w14:textId="77777777" w:rsidTr="00E43879">
        <w:trPr>
          <w:jc w:val="center"/>
        </w:trPr>
        <w:tc>
          <w:tcPr>
            <w:tcW w:w="0" w:type="pct"/>
            <w:vMerge/>
            <w:shd w:val="clear" w:color="auto" w:fill="auto"/>
            <w:vAlign w:val="center"/>
          </w:tcPr>
          <w:p w14:paraId="3B4AFD3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46E22A23"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Fillimi i bashkëpunimit ndër-ministror në lidhje me shkëmbimin e të dhënave dhe përfshirjen e tyre në kadastrën e ujit</w:t>
            </w:r>
          </w:p>
        </w:tc>
        <w:tc>
          <w:tcPr>
            <w:tcW w:w="0" w:type="pct"/>
            <w:shd w:val="clear" w:color="auto" w:fill="auto"/>
            <w:vAlign w:val="center"/>
          </w:tcPr>
          <w:p w14:paraId="6D7748CB"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143089E9"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2527745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5A7903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853661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27F71EA"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E4212C0"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47F1C5E7" w14:textId="77777777" w:rsidTr="00E43879">
        <w:trPr>
          <w:jc w:val="center"/>
        </w:trPr>
        <w:tc>
          <w:tcPr>
            <w:tcW w:w="0" w:type="pct"/>
            <w:vMerge/>
            <w:shd w:val="clear" w:color="auto" w:fill="auto"/>
            <w:vAlign w:val="center"/>
          </w:tcPr>
          <w:p w14:paraId="184699B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6784E769"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Ripërcaktimi i komitetit ndër-ministror përkatës, përfshirë të gjitha ministritë e ujit dhe mjedisit</w:t>
            </w:r>
          </w:p>
        </w:tc>
        <w:tc>
          <w:tcPr>
            <w:tcW w:w="0" w:type="pct"/>
            <w:shd w:val="clear" w:color="auto" w:fill="auto"/>
            <w:vAlign w:val="center"/>
          </w:tcPr>
          <w:p w14:paraId="70AE9BBB"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7599470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44789C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77D58D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EC6A0E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51875F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6737F91"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0392C6E" w14:textId="77777777" w:rsidTr="00E43879">
        <w:trPr>
          <w:jc w:val="center"/>
        </w:trPr>
        <w:tc>
          <w:tcPr>
            <w:tcW w:w="0" w:type="pct"/>
            <w:vMerge w:val="restart"/>
            <w:shd w:val="clear" w:color="auto" w:fill="auto"/>
            <w:vAlign w:val="center"/>
          </w:tcPr>
          <w:p w14:paraId="2141FBDF"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b/>
                <w:spacing w:val="-4"/>
                <w:lang w:val="sq-AL"/>
              </w:rPr>
              <w:t>Menaxhimi i Ujit</w:t>
            </w:r>
          </w:p>
        </w:tc>
        <w:tc>
          <w:tcPr>
            <w:tcW w:w="0" w:type="pct"/>
            <w:shd w:val="clear" w:color="auto" w:fill="auto"/>
            <w:vAlign w:val="center"/>
          </w:tcPr>
          <w:p w14:paraId="7B686264"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Të sigurohet transpozimi i të gjitha Direktivave përkatëse të ujit në legjislacionin kombëtar me aktet rregullatore efektive dhe të zbatueshme </w:t>
            </w:r>
          </w:p>
        </w:tc>
        <w:tc>
          <w:tcPr>
            <w:tcW w:w="0" w:type="pct"/>
            <w:shd w:val="clear" w:color="auto" w:fill="auto"/>
            <w:vAlign w:val="center"/>
          </w:tcPr>
          <w:p w14:paraId="6E9381F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2BEF149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DF5AF9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55CDE7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6CF22B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373BC1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A04ABA2"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5EBDA764" w14:textId="77777777" w:rsidTr="00E43879">
        <w:trPr>
          <w:jc w:val="center"/>
        </w:trPr>
        <w:tc>
          <w:tcPr>
            <w:tcW w:w="0" w:type="pct"/>
            <w:vMerge/>
            <w:shd w:val="clear" w:color="auto" w:fill="auto"/>
            <w:vAlign w:val="center"/>
          </w:tcPr>
          <w:p w14:paraId="5C6A7C35"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C2BEE05"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Përcaktimi dhe krijimi i funksioneve specifike dhe kapaciteteve përkatëse të të gjitha institucioneve publike të lidhura me ujin sipas strategjisë së ujit (2018)</w:t>
            </w:r>
          </w:p>
        </w:tc>
        <w:tc>
          <w:tcPr>
            <w:tcW w:w="0" w:type="pct"/>
            <w:shd w:val="clear" w:color="auto" w:fill="auto"/>
            <w:vAlign w:val="center"/>
          </w:tcPr>
          <w:p w14:paraId="3C571DD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751FB94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D130D1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EEB005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8796F5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5B10CA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43E8D40"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C515F0D" w14:textId="77777777" w:rsidTr="00E43879">
        <w:trPr>
          <w:jc w:val="center"/>
        </w:trPr>
        <w:tc>
          <w:tcPr>
            <w:tcW w:w="0" w:type="pct"/>
            <w:vMerge/>
            <w:shd w:val="clear" w:color="auto" w:fill="auto"/>
            <w:vAlign w:val="center"/>
          </w:tcPr>
          <w:p w14:paraId="2CCB8AA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17942FDF"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Zhvillimi i strukturave edukuese dhe programeve trajnuese për stafin në institucionet publike të përfshira në aktivitetet e menaxhimit të ujit sipas rregullores kombëtare</w:t>
            </w:r>
          </w:p>
        </w:tc>
        <w:tc>
          <w:tcPr>
            <w:tcW w:w="0" w:type="pct"/>
            <w:shd w:val="clear" w:color="auto" w:fill="auto"/>
            <w:vAlign w:val="center"/>
          </w:tcPr>
          <w:p w14:paraId="2AFD3EC0"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Të gjitha institucionet përkatëse</w:t>
            </w:r>
          </w:p>
        </w:tc>
        <w:tc>
          <w:tcPr>
            <w:tcW w:w="0" w:type="pct"/>
            <w:shd w:val="clear" w:color="auto" w:fill="auto"/>
            <w:vAlign w:val="center"/>
          </w:tcPr>
          <w:p w14:paraId="505D233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201BE7AB"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9934EE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347E90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8C4D42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20C48CC"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29CC01B" w14:textId="77777777" w:rsidTr="00E43879">
        <w:trPr>
          <w:jc w:val="center"/>
        </w:trPr>
        <w:tc>
          <w:tcPr>
            <w:tcW w:w="0" w:type="pct"/>
            <w:vMerge/>
            <w:shd w:val="clear" w:color="auto" w:fill="auto"/>
            <w:vAlign w:val="center"/>
          </w:tcPr>
          <w:p w14:paraId="48B83E41"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5F392DDC" w14:textId="15B18753" w:rsidR="00E43879" w:rsidRPr="00445472" w:rsidRDefault="00E43879" w:rsidP="00973771">
            <w:pPr>
              <w:pStyle w:val="TableTextLeft"/>
              <w:spacing w:after="0"/>
              <w:rPr>
                <w:rFonts w:ascii="Garamond" w:hAnsi="Garamond"/>
                <w:spacing w:val="-4"/>
                <w:lang w:val="sq-AL"/>
              </w:rPr>
            </w:pPr>
            <w:r w:rsidRPr="00445472">
              <w:rPr>
                <w:rFonts w:ascii="Garamond" w:hAnsi="Garamond"/>
                <w:spacing w:val="-4"/>
                <w:lang w:val="sq-AL"/>
              </w:rPr>
              <w:t xml:space="preserve">Zhvillimi i </w:t>
            </w:r>
            <w:r w:rsidR="00565933" w:rsidRPr="00445472">
              <w:rPr>
                <w:rFonts w:ascii="Garamond" w:hAnsi="Garamond"/>
                <w:spacing w:val="-4"/>
                <w:lang w:val="sq-AL"/>
              </w:rPr>
              <w:t>instrumenteve</w:t>
            </w:r>
            <w:r w:rsidRPr="00445472">
              <w:rPr>
                <w:rFonts w:ascii="Garamond" w:hAnsi="Garamond"/>
                <w:spacing w:val="-4"/>
                <w:lang w:val="sq-AL"/>
              </w:rPr>
              <w:t xml:space="preserve"> ekonomik</w:t>
            </w:r>
            <w:r w:rsidR="00973771">
              <w:rPr>
                <w:rFonts w:ascii="Garamond" w:hAnsi="Garamond"/>
                <w:spacing w:val="-4"/>
                <w:lang w:val="sq-AL"/>
              </w:rPr>
              <w:t xml:space="preserve">e </w:t>
            </w:r>
            <w:r w:rsidRPr="00445472">
              <w:rPr>
                <w:rFonts w:ascii="Garamond" w:hAnsi="Garamond"/>
                <w:spacing w:val="-4"/>
                <w:lang w:val="sq-AL"/>
              </w:rPr>
              <w:t>dhe financiar</w:t>
            </w:r>
            <w:r w:rsidR="00973771">
              <w:rPr>
                <w:rFonts w:ascii="Garamond" w:hAnsi="Garamond"/>
                <w:spacing w:val="-4"/>
                <w:lang w:val="sq-AL"/>
              </w:rPr>
              <w:t>e</w:t>
            </w:r>
            <w:r w:rsidRPr="00445472">
              <w:rPr>
                <w:rFonts w:ascii="Garamond" w:hAnsi="Garamond"/>
                <w:spacing w:val="-4"/>
                <w:lang w:val="sq-AL"/>
              </w:rPr>
              <w:t xml:space="preserve"> për </w:t>
            </w:r>
            <w:r w:rsidR="000E4E18" w:rsidRPr="00445472">
              <w:rPr>
                <w:rFonts w:ascii="Garamond" w:hAnsi="Garamond"/>
                <w:spacing w:val="-4"/>
                <w:lang w:val="sq-AL"/>
              </w:rPr>
              <w:t>rikuperimin</w:t>
            </w:r>
            <w:r w:rsidRPr="00445472">
              <w:rPr>
                <w:rFonts w:ascii="Garamond" w:hAnsi="Garamond"/>
                <w:spacing w:val="-4"/>
                <w:lang w:val="sq-AL"/>
              </w:rPr>
              <w:t xml:space="preserve"> e kostos </w:t>
            </w:r>
          </w:p>
        </w:tc>
        <w:tc>
          <w:tcPr>
            <w:tcW w:w="0" w:type="pct"/>
            <w:shd w:val="clear" w:color="auto" w:fill="auto"/>
            <w:vAlign w:val="center"/>
          </w:tcPr>
          <w:p w14:paraId="2FA1407E"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ZABU/LSG</w:t>
            </w:r>
          </w:p>
        </w:tc>
        <w:tc>
          <w:tcPr>
            <w:tcW w:w="0" w:type="pct"/>
            <w:shd w:val="clear" w:color="auto" w:fill="auto"/>
            <w:vAlign w:val="center"/>
          </w:tcPr>
          <w:p w14:paraId="5833E702"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A320B45"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4CE74436"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5F30A5E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8598A6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E1F5215"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55C5F4A" w14:textId="77777777" w:rsidTr="00E43879">
        <w:trPr>
          <w:jc w:val="center"/>
        </w:trPr>
        <w:tc>
          <w:tcPr>
            <w:tcW w:w="0" w:type="pct"/>
            <w:vMerge/>
            <w:shd w:val="clear" w:color="auto" w:fill="auto"/>
            <w:vAlign w:val="center"/>
          </w:tcPr>
          <w:p w14:paraId="7282826E"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13D29FC3"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Zbatimi i të gjitha veprimeve të propozuara në planin e njohjes të PMBU-ve, duke përfshirë monitorimin dhe vlerësimin</w:t>
            </w:r>
          </w:p>
        </w:tc>
        <w:tc>
          <w:tcPr>
            <w:tcW w:w="0" w:type="pct"/>
            <w:shd w:val="clear" w:color="auto" w:fill="auto"/>
            <w:vAlign w:val="center"/>
          </w:tcPr>
          <w:p w14:paraId="1247C19A" w14:textId="523E97F6"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r w:rsidR="001D340B" w:rsidRPr="00445472">
              <w:rPr>
                <w:rFonts w:ascii="Garamond" w:hAnsi="Garamond"/>
                <w:spacing w:val="-4"/>
                <w:lang w:val="sq-AL"/>
              </w:rPr>
              <w:t>/</w:t>
            </w:r>
            <w:r w:rsidRPr="00445472">
              <w:rPr>
                <w:rFonts w:ascii="Garamond" w:hAnsi="Garamond"/>
                <w:spacing w:val="-4"/>
                <w:lang w:val="sq-AL"/>
              </w:rPr>
              <w:t>Të gjitha institucionet përkatëse</w:t>
            </w:r>
          </w:p>
        </w:tc>
        <w:tc>
          <w:tcPr>
            <w:tcW w:w="0" w:type="pct"/>
            <w:shd w:val="clear" w:color="auto" w:fill="auto"/>
            <w:vAlign w:val="center"/>
          </w:tcPr>
          <w:p w14:paraId="65DAE88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1A17EDC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230A61A9"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0514CD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9FE842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4211CD8"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83720E7" w14:textId="77777777" w:rsidTr="00E43879">
        <w:trPr>
          <w:jc w:val="center"/>
        </w:trPr>
        <w:tc>
          <w:tcPr>
            <w:tcW w:w="0" w:type="pct"/>
            <w:vMerge/>
            <w:shd w:val="clear" w:color="auto" w:fill="auto"/>
            <w:vAlign w:val="center"/>
          </w:tcPr>
          <w:p w14:paraId="63C06509"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66F0EB3A"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 xml:space="preserve">Nisja e monitorimit ndërkufitar të ujërave sipërfaqësorë dhe nëntokësorë dhe krahasimi ndër-laboratorik për të gjitha kriteret e monitorimit. </w:t>
            </w:r>
          </w:p>
        </w:tc>
        <w:tc>
          <w:tcPr>
            <w:tcW w:w="0" w:type="pct"/>
            <w:shd w:val="clear" w:color="auto" w:fill="auto"/>
            <w:vAlign w:val="center"/>
          </w:tcPr>
          <w:p w14:paraId="437CEB8F"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KKU</w:t>
            </w:r>
          </w:p>
        </w:tc>
        <w:tc>
          <w:tcPr>
            <w:tcW w:w="0" w:type="pct"/>
            <w:shd w:val="clear" w:color="auto" w:fill="auto"/>
            <w:vAlign w:val="center"/>
          </w:tcPr>
          <w:p w14:paraId="2A659E7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77D536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3DF5B99D"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16DE870B"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1EF5DA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6E8B367"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219ACCD3" w14:textId="77777777" w:rsidTr="00E43879">
        <w:trPr>
          <w:jc w:val="center"/>
        </w:trPr>
        <w:tc>
          <w:tcPr>
            <w:tcW w:w="0" w:type="pct"/>
            <w:vMerge/>
            <w:shd w:val="clear" w:color="auto" w:fill="auto"/>
            <w:vAlign w:val="center"/>
          </w:tcPr>
          <w:p w14:paraId="65F61761"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2CEBDFCC"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Fillimi i shkëmbimit të të dhënave midis vendeve ndërkufitare</w:t>
            </w:r>
          </w:p>
        </w:tc>
        <w:tc>
          <w:tcPr>
            <w:tcW w:w="0" w:type="pct"/>
            <w:shd w:val="clear" w:color="auto" w:fill="auto"/>
            <w:vAlign w:val="center"/>
          </w:tcPr>
          <w:p w14:paraId="6FF55CBD"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KKU</w:t>
            </w:r>
          </w:p>
        </w:tc>
        <w:tc>
          <w:tcPr>
            <w:tcW w:w="0" w:type="pct"/>
            <w:shd w:val="clear" w:color="auto" w:fill="auto"/>
            <w:vAlign w:val="center"/>
          </w:tcPr>
          <w:p w14:paraId="32F3B16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9E88D4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981FCF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0AD1A350"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772EDF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F209FAE"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2B134DF" w14:textId="77777777" w:rsidTr="00E43879">
        <w:trPr>
          <w:jc w:val="center"/>
        </w:trPr>
        <w:tc>
          <w:tcPr>
            <w:tcW w:w="0" w:type="pct"/>
            <w:vMerge/>
            <w:shd w:val="clear" w:color="auto" w:fill="auto"/>
            <w:vAlign w:val="center"/>
          </w:tcPr>
          <w:p w14:paraId="4AB082CF"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09715F7"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Inicimi i grupeve ndërkufitare teknike të punës për monitorimin e ujërave sipërfaqësorë dhe nëntokësorë</w:t>
            </w:r>
          </w:p>
        </w:tc>
        <w:tc>
          <w:tcPr>
            <w:tcW w:w="0" w:type="pct"/>
            <w:shd w:val="clear" w:color="auto" w:fill="auto"/>
            <w:vAlign w:val="center"/>
          </w:tcPr>
          <w:p w14:paraId="6F328B9B"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KKU</w:t>
            </w:r>
          </w:p>
        </w:tc>
        <w:tc>
          <w:tcPr>
            <w:tcW w:w="0" w:type="pct"/>
            <w:shd w:val="clear" w:color="auto" w:fill="auto"/>
            <w:vAlign w:val="center"/>
          </w:tcPr>
          <w:p w14:paraId="0122A24A"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28B8906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B89917F"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79F89B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E7237A6"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ECDA7F5"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7164BEDB" w14:textId="77777777" w:rsidTr="00E43879">
        <w:trPr>
          <w:jc w:val="center"/>
        </w:trPr>
        <w:tc>
          <w:tcPr>
            <w:tcW w:w="0" w:type="pct"/>
            <w:vMerge/>
            <w:shd w:val="clear" w:color="auto" w:fill="auto"/>
            <w:vAlign w:val="center"/>
          </w:tcPr>
          <w:p w14:paraId="13464B2C"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0ABE89B7"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Fillimi i një forumi efektiv menaxhues ndërkufitar të nivelit të lartë të menaxhimit të ujit</w:t>
            </w:r>
          </w:p>
        </w:tc>
        <w:tc>
          <w:tcPr>
            <w:tcW w:w="0" w:type="pct"/>
            <w:shd w:val="clear" w:color="auto" w:fill="auto"/>
            <w:vAlign w:val="center"/>
          </w:tcPr>
          <w:p w14:paraId="4AB5E3D5"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KKU</w:t>
            </w:r>
          </w:p>
        </w:tc>
        <w:tc>
          <w:tcPr>
            <w:tcW w:w="0" w:type="pct"/>
            <w:shd w:val="clear" w:color="auto" w:fill="auto"/>
            <w:vAlign w:val="center"/>
          </w:tcPr>
          <w:p w14:paraId="3EF23E9E"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E58FDE0"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c>
          <w:tcPr>
            <w:tcW w:w="0" w:type="pct"/>
            <w:shd w:val="clear" w:color="auto" w:fill="auto"/>
            <w:vAlign w:val="center"/>
          </w:tcPr>
          <w:p w14:paraId="67106957"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7BA62F41"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316FCC1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28F59BBF" w14:textId="77777777" w:rsidR="00E43879" w:rsidRPr="00445472" w:rsidRDefault="00E43879" w:rsidP="00E43879">
            <w:pPr>
              <w:pStyle w:val="TableTextLeft"/>
              <w:spacing w:after="0"/>
              <w:jc w:val="center"/>
              <w:rPr>
                <w:rFonts w:ascii="Garamond" w:hAnsi="Garamond"/>
                <w:spacing w:val="-4"/>
                <w:lang w:val="sq-AL"/>
              </w:rPr>
            </w:pPr>
          </w:p>
        </w:tc>
      </w:tr>
      <w:tr w:rsidR="00E43879" w:rsidRPr="00445472" w14:paraId="1E292B91" w14:textId="77777777" w:rsidTr="00E43879">
        <w:trPr>
          <w:jc w:val="center"/>
        </w:trPr>
        <w:tc>
          <w:tcPr>
            <w:tcW w:w="0" w:type="pct"/>
            <w:vMerge/>
            <w:shd w:val="clear" w:color="auto" w:fill="auto"/>
            <w:vAlign w:val="center"/>
          </w:tcPr>
          <w:p w14:paraId="40FADAE8" w14:textId="77777777" w:rsidR="00E43879" w:rsidRPr="00445472" w:rsidRDefault="00E43879" w:rsidP="00E43879">
            <w:pPr>
              <w:pStyle w:val="TableTextLeft"/>
              <w:spacing w:after="0"/>
              <w:rPr>
                <w:rFonts w:ascii="Garamond" w:hAnsi="Garamond"/>
                <w:spacing w:val="-4"/>
                <w:lang w:val="sq-AL"/>
              </w:rPr>
            </w:pPr>
          </w:p>
        </w:tc>
        <w:tc>
          <w:tcPr>
            <w:tcW w:w="0" w:type="pct"/>
            <w:shd w:val="clear" w:color="auto" w:fill="auto"/>
            <w:vAlign w:val="center"/>
          </w:tcPr>
          <w:p w14:paraId="72ACE027" w14:textId="77777777" w:rsidR="00E43879" w:rsidRPr="00445472" w:rsidRDefault="00E43879" w:rsidP="00E43879">
            <w:pPr>
              <w:pStyle w:val="TableTextLeft"/>
              <w:spacing w:after="0"/>
              <w:rPr>
                <w:rFonts w:ascii="Garamond" w:hAnsi="Garamond"/>
                <w:spacing w:val="-4"/>
                <w:lang w:val="sq-AL"/>
              </w:rPr>
            </w:pPr>
            <w:r w:rsidRPr="00445472">
              <w:rPr>
                <w:rFonts w:ascii="Garamond" w:hAnsi="Garamond"/>
                <w:spacing w:val="-4"/>
                <w:lang w:val="sq-AL"/>
              </w:rPr>
              <w:t>Përgatitja e raporteve të përditësuar të PMBU-ve</w:t>
            </w:r>
          </w:p>
        </w:tc>
        <w:tc>
          <w:tcPr>
            <w:tcW w:w="0" w:type="pct"/>
            <w:shd w:val="clear" w:color="auto" w:fill="auto"/>
            <w:vAlign w:val="center"/>
          </w:tcPr>
          <w:p w14:paraId="6D202B41"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t>ZABU</w:t>
            </w:r>
          </w:p>
        </w:tc>
        <w:tc>
          <w:tcPr>
            <w:tcW w:w="0" w:type="pct"/>
            <w:shd w:val="clear" w:color="auto" w:fill="auto"/>
            <w:vAlign w:val="center"/>
          </w:tcPr>
          <w:p w14:paraId="06285CD2"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557D8FAC"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4CFD99D7"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r w:rsidRPr="00445472">
              <w:rPr>
                <w:rFonts w:ascii="Garamond" w:hAnsi="Garamond"/>
                <w:spacing w:val="-4"/>
                <w:vertAlign w:val="superscript"/>
                <w:lang w:val="sq-AL"/>
              </w:rPr>
              <w:footnoteReference w:id="235"/>
            </w:r>
          </w:p>
        </w:tc>
        <w:tc>
          <w:tcPr>
            <w:tcW w:w="0" w:type="pct"/>
            <w:shd w:val="clear" w:color="auto" w:fill="auto"/>
            <w:vAlign w:val="center"/>
          </w:tcPr>
          <w:p w14:paraId="3803BD93"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028C7C89" w14:textId="77777777" w:rsidR="00E43879" w:rsidRPr="00445472" w:rsidRDefault="00E43879" w:rsidP="00E43879">
            <w:pPr>
              <w:pStyle w:val="TableTextLeft"/>
              <w:spacing w:after="0"/>
              <w:jc w:val="center"/>
              <w:rPr>
                <w:rFonts w:ascii="Garamond" w:hAnsi="Garamond"/>
                <w:spacing w:val="-4"/>
                <w:lang w:val="sq-AL"/>
              </w:rPr>
            </w:pPr>
          </w:p>
        </w:tc>
        <w:tc>
          <w:tcPr>
            <w:tcW w:w="0" w:type="pct"/>
            <w:shd w:val="clear" w:color="auto" w:fill="auto"/>
            <w:vAlign w:val="center"/>
          </w:tcPr>
          <w:p w14:paraId="629235DC" w14:textId="77777777" w:rsidR="00E43879" w:rsidRPr="00445472" w:rsidRDefault="00E43879" w:rsidP="00E43879">
            <w:pPr>
              <w:pStyle w:val="TableTextLeft"/>
              <w:spacing w:after="0"/>
              <w:jc w:val="center"/>
              <w:rPr>
                <w:rFonts w:ascii="Garamond" w:hAnsi="Garamond"/>
                <w:spacing w:val="-4"/>
                <w:lang w:val="sq-AL"/>
              </w:rPr>
            </w:pPr>
            <w:r w:rsidRPr="00445472">
              <w:rPr>
                <w:rFonts w:ascii="Garamond" w:hAnsi="Garamond"/>
                <w:spacing w:val="-4"/>
                <w:lang w:val="sq-AL"/>
              </w:rPr>
              <w:sym w:font="Symbol" w:char="F0D6"/>
            </w:r>
          </w:p>
        </w:tc>
      </w:tr>
    </w:tbl>
    <w:p w14:paraId="2110990F" w14:textId="1C535EC6" w:rsidR="002D1530" w:rsidRPr="00445472" w:rsidRDefault="002D1530" w:rsidP="002D1530">
      <w:pPr>
        <w:pStyle w:val="TEKSTIIII"/>
      </w:pPr>
    </w:p>
    <w:p w14:paraId="77DCDD27" w14:textId="77777777" w:rsidR="00CA2534" w:rsidRPr="00445472" w:rsidRDefault="00CA2534" w:rsidP="002D1530">
      <w:pPr>
        <w:pStyle w:val="TEKSTIIII"/>
      </w:pPr>
    </w:p>
    <w:p w14:paraId="7B789674" w14:textId="77777777" w:rsidR="00CA2534" w:rsidRPr="00445472" w:rsidRDefault="00CA2534" w:rsidP="002D1530">
      <w:pPr>
        <w:pStyle w:val="TEKSTIIII"/>
        <w:sectPr w:rsidR="00CA2534" w:rsidRPr="00445472" w:rsidSect="002C3ECB">
          <w:pgSz w:w="16839" w:h="11907" w:orient="landscape" w:code="9"/>
          <w:pgMar w:top="1418" w:right="1418" w:bottom="1418" w:left="1418" w:header="1304" w:footer="1134" w:gutter="0"/>
          <w:cols w:space="720"/>
          <w:docGrid w:linePitch="360"/>
        </w:sectPr>
      </w:pPr>
    </w:p>
    <w:p w14:paraId="401D232D" w14:textId="77777777" w:rsidR="00835F41" w:rsidRPr="00445472" w:rsidRDefault="00835F41" w:rsidP="00835F41">
      <w:pPr>
        <w:pStyle w:val="NENTITULL"/>
      </w:pPr>
      <w:bookmarkStart w:id="330" w:name="_Toc11068900"/>
      <w:bookmarkStart w:id="331" w:name="_Toc11068927"/>
      <w:r w:rsidRPr="00445472">
        <w:t>Shtojcat</w:t>
      </w:r>
    </w:p>
    <w:p w14:paraId="2C16E2B0" w14:textId="77777777" w:rsidR="00835F41" w:rsidRPr="00445472" w:rsidRDefault="00835F41" w:rsidP="00835F41">
      <w:pPr>
        <w:pStyle w:val="NENTITULL"/>
      </w:pPr>
    </w:p>
    <w:p w14:paraId="38DB4885" w14:textId="66B23124" w:rsidR="00835F41" w:rsidRPr="00445472" w:rsidRDefault="00835F41" w:rsidP="00835F41">
      <w:pPr>
        <w:pStyle w:val="NENTITULL"/>
        <w:rPr>
          <w:b w:val="0"/>
        </w:rPr>
      </w:pPr>
      <w:r w:rsidRPr="00445472">
        <w:rPr>
          <w:b w:val="0"/>
        </w:rPr>
        <w:t xml:space="preserve">Shtojca 1. Transpozimi i </w:t>
      </w:r>
      <w:r w:rsidR="00B85850" w:rsidRPr="00445472">
        <w:rPr>
          <w:b w:val="0"/>
        </w:rPr>
        <w:t xml:space="preserve">direktivave </w:t>
      </w:r>
      <w:r w:rsidRPr="00445472">
        <w:rPr>
          <w:b w:val="0"/>
        </w:rPr>
        <w:t>përkatëse të BE-së</w:t>
      </w:r>
    </w:p>
    <w:p w14:paraId="4F79E19E" w14:textId="2F2AD002" w:rsidR="00835F41" w:rsidRPr="00445472" w:rsidRDefault="00835F41" w:rsidP="00835F41">
      <w:pPr>
        <w:pStyle w:val="NENTITULL"/>
        <w:rPr>
          <w:b w:val="0"/>
        </w:rPr>
      </w:pPr>
      <w:r w:rsidRPr="00445472">
        <w:rPr>
          <w:b w:val="0"/>
        </w:rPr>
        <w:t>Shtojca 2. Stacionet e propozuara të monitorimit të ujërave sipërfaqësore dhe prioritizimi i tyre</w:t>
      </w:r>
    </w:p>
    <w:p w14:paraId="11D1594C" w14:textId="187AB3A5" w:rsidR="00835F41" w:rsidRPr="00445472" w:rsidRDefault="00835F41" w:rsidP="00835F41">
      <w:pPr>
        <w:pStyle w:val="NENTITULL"/>
        <w:rPr>
          <w:b w:val="0"/>
        </w:rPr>
      </w:pPr>
      <w:r w:rsidRPr="00445472">
        <w:rPr>
          <w:b w:val="0"/>
        </w:rPr>
        <w:t>Shtojca 3. Metodologjia për vlerësimin e statusit ekologjik/potencialit të ujërave sipërfaqësore</w:t>
      </w:r>
    </w:p>
    <w:p w14:paraId="275B657E" w14:textId="1165DC43" w:rsidR="00835F41" w:rsidRPr="00445472" w:rsidRDefault="00835F41" w:rsidP="00835F41">
      <w:pPr>
        <w:pStyle w:val="NENTITULL"/>
        <w:rPr>
          <w:b w:val="0"/>
        </w:rPr>
      </w:pPr>
      <w:r w:rsidRPr="00445472">
        <w:rPr>
          <w:b w:val="0"/>
        </w:rPr>
        <w:t xml:space="preserve">Shtojca 4. Të dhënat </w:t>
      </w:r>
      <w:r w:rsidR="00B85850" w:rsidRPr="00445472">
        <w:rPr>
          <w:b w:val="0"/>
        </w:rPr>
        <w:t>ekonomike</w:t>
      </w:r>
    </w:p>
    <w:p w14:paraId="7851650B" w14:textId="61D28F8A" w:rsidR="00835F41" w:rsidRPr="00445472" w:rsidRDefault="00835F41" w:rsidP="00835F41">
      <w:pPr>
        <w:pStyle w:val="NENTITULL"/>
        <w:rPr>
          <w:b w:val="0"/>
        </w:rPr>
      </w:pPr>
      <w:r w:rsidRPr="00445472">
        <w:rPr>
          <w:b w:val="0"/>
        </w:rPr>
        <w:t xml:space="preserve">Shtojca 5. Plani i </w:t>
      </w:r>
      <w:r w:rsidR="00B85850" w:rsidRPr="00445472">
        <w:rPr>
          <w:b w:val="0"/>
        </w:rPr>
        <w:t>veprimit për përfshirjen palëve të interesuara</w:t>
      </w:r>
    </w:p>
    <w:p w14:paraId="659E41C4" w14:textId="7416DC85" w:rsidR="00835F41" w:rsidRPr="00445472" w:rsidRDefault="00835F41" w:rsidP="00835F41">
      <w:pPr>
        <w:pStyle w:val="NENTITULL"/>
        <w:rPr>
          <w:b w:val="0"/>
        </w:rPr>
      </w:pPr>
      <w:r w:rsidRPr="00445472">
        <w:rPr>
          <w:b w:val="0"/>
        </w:rPr>
        <w:t>Shtojca 6. Raporti i konsultimit të grupeve të interesit</w:t>
      </w:r>
    </w:p>
    <w:p w14:paraId="034DF644" w14:textId="77777777" w:rsidR="00835F41" w:rsidRPr="00445472" w:rsidRDefault="00835F41" w:rsidP="00835F41">
      <w:pPr>
        <w:pStyle w:val="NENTITULL"/>
      </w:pPr>
    </w:p>
    <w:p w14:paraId="24927C4B" w14:textId="77777777" w:rsidR="00835F41" w:rsidRPr="00445472" w:rsidRDefault="00835F41" w:rsidP="00835F41">
      <w:pPr>
        <w:pStyle w:val="NENTITULL"/>
      </w:pPr>
      <w:r w:rsidRPr="00445472">
        <w:t>Shtojca 1. Transpozimi i Direktivave përkatëse të BE-së</w:t>
      </w:r>
      <w:bookmarkEnd w:id="330"/>
      <w:bookmarkEnd w:id="331"/>
    </w:p>
    <w:p w14:paraId="536B15AF" w14:textId="77777777" w:rsidR="00835F41" w:rsidRPr="00445472" w:rsidRDefault="00835F41" w:rsidP="00835F41">
      <w:pPr>
        <w:pStyle w:val="NENTITULL"/>
      </w:pPr>
    </w:p>
    <w:tbl>
      <w:tblPr>
        <w:tblW w:w="9498" w:type="dxa"/>
        <w:jc w:val="center"/>
        <w:tblBorders>
          <w:bottom w:val="single" w:sz="8" w:space="0" w:color="27BDBE"/>
          <w:insideH w:val="single" w:sz="8" w:space="0" w:color="27BDBE"/>
        </w:tblBorders>
        <w:tblLayout w:type="fixed"/>
        <w:tblCellMar>
          <w:left w:w="0" w:type="dxa"/>
          <w:right w:w="0" w:type="dxa"/>
        </w:tblCellMar>
        <w:tblLook w:val="04A0" w:firstRow="1" w:lastRow="0" w:firstColumn="1" w:lastColumn="0" w:noHBand="0" w:noVBand="1"/>
      </w:tblPr>
      <w:tblGrid>
        <w:gridCol w:w="1904"/>
        <w:gridCol w:w="2530"/>
        <w:gridCol w:w="2532"/>
        <w:gridCol w:w="2532"/>
      </w:tblGrid>
      <w:tr w:rsidR="00835F41" w:rsidRPr="00445472" w14:paraId="29DDFC7A" w14:textId="77777777" w:rsidTr="002C1894">
        <w:trPr>
          <w:jc w:val="center"/>
        </w:trPr>
        <w:tc>
          <w:tcPr>
            <w:tcW w:w="0" w:type="pct"/>
            <w:shd w:val="clear" w:color="auto" w:fill="auto"/>
            <w:vAlign w:val="center"/>
          </w:tcPr>
          <w:p w14:paraId="22B7015F" w14:textId="77777777" w:rsidR="00835F41" w:rsidRPr="00445472" w:rsidRDefault="00835F41" w:rsidP="002A1F08">
            <w:pPr>
              <w:pStyle w:val="TableHeadingLeft"/>
              <w:spacing w:before="0" w:after="0"/>
              <w:jc w:val="center"/>
              <w:rPr>
                <w:rFonts w:ascii="Garamond" w:hAnsi="Garamond" w:cs="Arial"/>
                <w:color w:val="auto"/>
                <w:lang w:val="sq-AL"/>
              </w:rPr>
            </w:pPr>
            <w:r w:rsidRPr="00445472">
              <w:rPr>
                <w:rFonts w:ascii="Garamond" w:hAnsi="Garamond" w:cs="Arial"/>
                <w:color w:val="auto"/>
                <w:lang w:val="sq-AL"/>
              </w:rPr>
              <w:t>Direktivat e BE-së</w:t>
            </w:r>
          </w:p>
        </w:tc>
        <w:tc>
          <w:tcPr>
            <w:tcW w:w="0" w:type="pct"/>
            <w:shd w:val="clear" w:color="auto" w:fill="auto"/>
            <w:vAlign w:val="center"/>
          </w:tcPr>
          <w:p w14:paraId="61BC4EDC" w14:textId="77777777" w:rsidR="00835F41" w:rsidRPr="00445472" w:rsidRDefault="00835F41" w:rsidP="002A1F08">
            <w:pPr>
              <w:spacing w:after="0"/>
              <w:ind w:right="-166"/>
              <w:jc w:val="center"/>
              <w:rPr>
                <w:rFonts w:ascii="Garamond" w:hAnsi="Garamond" w:cs="Arial"/>
                <w:b/>
                <w:sz w:val="18"/>
                <w:szCs w:val="18"/>
              </w:rPr>
            </w:pPr>
            <w:r w:rsidRPr="00445472">
              <w:rPr>
                <w:rFonts w:ascii="Garamond" w:hAnsi="Garamond" w:cs="Arial"/>
                <w:b/>
                <w:sz w:val="18"/>
                <w:szCs w:val="18"/>
              </w:rPr>
              <w:t>Ligji që përfshin kërkesat e këtyre direktivave (nëse ka)</w:t>
            </w:r>
          </w:p>
          <w:p w14:paraId="102A345A" w14:textId="77777777" w:rsidR="00835F41" w:rsidRPr="00445472" w:rsidRDefault="00835F41" w:rsidP="002A1F08">
            <w:pPr>
              <w:pStyle w:val="TableHeadingRight"/>
              <w:spacing w:before="0" w:after="0"/>
              <w:jc w:val="center"/>
              <w:rPr>
                <w:rFonts w:ascii="Garamond" w:hAnsi="Garamond" w:cs="Arial"/>
                <w:color w:val="auto"/>
                <w:lang w:val="sq-AL"/>
              </w:rPr>
            </w:pPr>
          </w:p>
        </w:tc>
        <w:tc>
          <w:tcPr>
            <w:tcW w:w="0" w:type="pct"/>
            <w:shd w:val="clear" w:color="auto" w:fill="auto"/>
            <w:vAlign w:val="center"/>
          </w:tcPr>
          <w:p w14:paraId="3E271FC9" w14:textId="77777777" w:rsidR="00835F41" w:rsidRPr="00445472" w:rsidRDefault="00835F41" w:rsidP="002A1F08">
            <w:pPr>
              <w:pStyle w:val="TableHeadingRight"/>
              <w:tabs>
                <w:tab w:val="left" w:pos="1587"/>
              </w:tabs>
              <w:spacing w:before="0" w:after="0"/>
              <w:jc w:val="center"/>
              <w:rPr>
                <w:rFonts w:ascii="Garamond" w:hAnsi="Garamond" w:cs="Arial"/>
                <w:color w:val="auto"/>
                <w:lang w:val="sq-AL"/>
              </w:rPr>
            </w:pPr>
            <w:r w:rsidRPr="00445472">
              <w:rPr>
                <w:rFonts w:ascii="Garamond" w:hAnsi="Garamond" w:cs="Arial"/>
                <w:color w:val="auto"/>
                <w:lang w:val="sq-AL"/>
              </w:rPr>
              <w:t>Përshkrim i shkurtër mbi përmbajtjen dhe atë që rregullon</w:t>
            </w:r>
          </w:p>
        </w:tc>
        <w:tc>
          <w:tcPr>
            <w:tcW w:w="0" w:type="pct"/>
            <w:shd w:val="clear" w:color="auto" w:fill="auto"/>
            <w:vAlign w:val="center"/>
          </w:tcPr>
          <w:p w14:paraId="7DFB399B" w14:textId="77777777" w:rsidR="00835F41" w:rsidRPr="00445472" w:rsidRDefault="00835F41" w:rsidP="002A1F08">
            <w:pPr>
              <w:pStyle w:val="TableHeadingRight"/>
              <w:spacing w:before="0" w:after="0"/>
              <w:jc w:val="center"/>
              <w:rPr>
                <w:rFonts w:ascii="Garamond" w:hAnsi="Garamond" w:cs="Arial"/>
                <w:color w:val="auto"/>
                <w:lang w:val="sq-AL"/>
              </w:rPr>
            </w:pPr>
            <w:r w:rsidRPr="00445472">
              <w:rPr>
                <w:rFonts w:ascii="Garamond" w:hAnsi="Garamond" w:cs="Arial"/>
                <w:color w:val="auto"/>
                <w:lang w:val="sq-AL"/>
              </w:rPr>
              <w:t>Institucionet që mbikëqyrin zbatimin e tyre</w:t>
            </w:r>
          </w:p>
        </w:tc>
      </w:tr>
      <w:tr w:rsidR="00835F41" w:rsidRPr="00445472" w14:paraId="4493E569" w14:textId="77777777" w:rsidTr="002C1894">
        <w:trPr>
          <w:jc w:val="center"/>
        </w:trPr>
        <w:tc>
          <w:tcPr>
            <w:tcW w:w="0" w:type="pct"/>
            <w:shd w:val="clear" w:color="auto" w:fill="auto"/>
            <w:vAlign w:val="center"/>
          </w:tcPr>
          <w:p w14:paraId="442B8FE3"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 xml:space="preserve">Direktiva 2000/60/EC 27.11.2000 </w:t>
            </w:r>
          </w:p>
          <w:p w14:paraId="563BE0D0" w14:textId="76869339" w:rsidR="00835F41" w:rsidRPr="00445472" w:rsidRDefault="00D62EDF" w:rsidP="002A1F08">
            <w:pPr>
              <w:pStyle w:val="TableTextLeft"/>
              <w:rPr>
                <w:rFonts w:ascii="Garamond" w:hAnsi="Garamond" w:cs="Arial"/>
                <w:sz w:val="18"/>
                <w:szCs w:val="18"/>
                <w:lang w:val="sq-AL"/>
              </w:rPr>
            </w:pPr>
            <w:r w:rsidRPr="00445472">
              <w:rPr>
                <w:rFonts w:ascii="Garamond" w:hAnsi="Garamond" w:cs="Arial"/>
                <w:sz w:val="18"/>
                <w:szCs w:val="18"/>
                <w:lang w:val="sq-AL"/>
              </w:rPr>
              <w:t>“</w:t>
            </w:r>
            <w:r w:rsidR="00835F41" w:rsidRPr="00445472">
              <w:rPr>
                <w:rFonts w:ascii="Garamond" w:hAnsi="Garamond" w:cs="Arial"/>
                <w:sz w:val="18"/>
                <w:szCs w:val="18"/>
                <w:lang w:val="sq-AL"/>
              </w:rPr>
              <w:t>Direktiva Kuadër e Ujit</w:t>
            </w:r>
            <w:r w:rsidRPr="00445472">
              <w:rPr>
                <w:rFonts w:ascii="Garamond" w:hAnsi="Garamond" w:cs="Arial"/>
                <w:sz w:val="18"/>
                <w:szCs w:val="18"/>
                <w:lang w:val="sq-AL"/>
              </w:rPr>
              <w:t>”</w:t>
            </w:r>
            <w:r w:rsidR="00835F41" w:rsidRPr="00445472">
              <w:rPr>
                <w:rFonts w:ascii="Garamond" w:hAnsi="Garamond" w:cs="Arial"/>
                <w:sz w:val="18"/>
                <w:szCs w:val="18"/>
                <w:lang w:val="sq-AL"/>
              </w:rPr>
              <w:t xml:space="preserve">  </w:t>
            </w:r>
          </w:p>
        </w:tc>
        <w:tc>
          <w:tcPr>
            <w:tcW w:w="0" w:type="pct"/>
            <w:shd w:val="clear" w:color="auto" w:fill="auto"/>
            <w:vAlign w:val="center"/>
          </w:tcPr>
          <w:p w14:paraId="522C743D" w14:textId="79B8F6DA"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Ligji Nr. 111/2012</w:t>
            </w:r>
            <w:r w:rsidR="00D62EDF" w:rsidRPr="00445472">
              <w:rPr>
                <w:rFonts w:ascii="Garamond" w:hAnsi="Garamond" w:cs="Arial"/>
                <w:sz w:val="18"/>
                <w:szCs w:val="18"/>
              </w:rPr>
              <w:t xml:space="preserve">, “Për </w:t>
            </w:r>
            <w:r w:rsidRPr="00445472">
              <w:rPr>
                <w:rFonts w:ascii="Garamond" w:hAnsi="Garamond" w:cs="Arial"/>
                <w:sz w:val="18"/>
                <w:szCs w:val="18"/>
              </w:rPr>
              <w:t>Menaxhimin e Integruar të Burimeve Ujore</w:t>
            </w:r>
            <w:r w:rsidR="00D62EDF" w:rsidRPr="00445472">
              <w:rPr>
                <w:rFonts w:ascii="Garamond" w:hAnsi="Garamond" w:cs="Arial"/>
                <w:sz w:val="18"/>
                <w:szCs w:val="18"/>
              </w:rPr>
              <w:t>”</w:t>
            </w:r>
            <w:r w:rsidRPr="00445472">
              <w:rPr>
                <w:rFonts w:ascii="Garamond" w:hAnsi="Garamond" w:cs="Arial"/>
                <w:sz w:val="18"/>
                <w:szCs w:val="18"/>
              </w:rPr>
              <w:t>.</w:t>
            </w:r>
            <w:r w:rsidRPr="00445472">
              <w:rPr>
                <w:rFonts w:ascii="Garamond" w:hAnsi="Garamond"/>
                <w:sz w:val="18"/>
                <w:szCs w:val="18"/>
              </w:rPr>
              <w:t xml:space="preserve"> </w:t>
            </w:r>
            <w:r w:rsidRPr="00445472">
              <w:rPr>
                <w:rFonts w:ascii="Garamond" w:hAnsi="Garamond" w:cs="Arial"/>
                <w:sz w:val="18"/>
                <w:szCs w:val="18"/>
              </w:rPr>
              <w:t>ndryshuar me Ligjin nr. 6/2018 për disa ndryshime dhe plotësime të Ligjit nr. 111/2012</w:t>
            </w:r>
            <w:r w:rsidR="00D62EDF" w:rsidRPr="00445472">
              <w:rPr>
                <w:rFonts w:ascii="Garamond" w:hAnsi="Garamond" w:cs="Arial"/>
                <w:sz w:val="18"/>
                <w:szCs w:val="18"/>
              </w:rPr>
              <w:t xml:space="preserve">, “Për </w:t>
            </w:r>
            <w:r w:rsidRPr="00445472">
              <w:rPr>
                <w:rFonts w:ascii="Garamond" w:hAnsi="Garamond" w:cs="Arial"/>
                <w:sz w:val="18"/>
                <w:szCs w:val="18"/>
              </w:rPr>
              <w:t>Menaxhimin e Integruar të Burimeve Ujore</w:t>
            </w:r>
            <w:r w:rsidR="00D62EDF" w:rsidRPr="00445472">
              <w:rPr>
                <w:rFonts w:ascii="Garamond" w:hAnsi="Garamond" w:cs="Arial"/>
                <w:sz w:val="18"/>
                <w:szCs w:val="18"/>
              </w:rPr>
              <w:t>”</w:t>
            </w:r>
            <w:r w:rsidRPr="00445472">
              <w:rPr>
                <w:rFonts w:ascii="Garamond" w:hAnsi="Garamond" w:cs="Arial"/>
                <w:sz w:val="18"/>
                <w:szCs w:val="18"/>
              </w:rPr>
              <w:t>.</w:t>
            </w:r>
          </w:p>
          <w:p w14:paraId="0E74187D" w14:textId="77777777" w:rsidR="00835F41" w:rsidRPr="00445472" w:rsidRDefault="00835F41" w:rsidP="002A1F08">
            <w:pPr>
              <w:spacing w:after="40"/>
              <w:rPr>
                <w:rFonts w:ascii="Garamond" w:hAnsi="Garamond" w:cs="Arial"/>
                <w:sz w:val="18"/>
                <w:szCs w:val="18"/>
              </w:rPr>
            </w:pPr>
          </w:p>
          <w:p w14:paraId="16DC1C19" w14:textId="6BD2810A"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Ligji nr. 9103, datë 10 korrik 2003</w:t>
            </w:r>
            <w:r w:rsidR="00D62EDF" w:rsidRPr="00445472">
              <w:rPr>
                <w:rFonts w:ascii="Garamond" w:hAnsi="Garamond" w:cs="Arial"/>
                <w:sz w:val="18"/>
                <w:szCs w:val="18"/>
              </w:rPr>
              <w:t xml:space="preserve">, “Për </w:t>
            </w:r>
            <w:r w:rsidRPr="00445472">
              <w:rPr>
                <w:rFonts w:ascii="Garamond" w:hAnsi="Garamond" w:cs="Arial"/>
                <w:sz w:val="18"/>
                <w:szCs w:val="18"/>
              </w:rPr>
              <w:t>mbrojtjen e Liqeneve Ndërkufitare</w:t>
            </w:r>
            <w:r w:rsidR="00D62EDF" w:rsidRPr="00445472">
              <w:rPr>
                <w:rFonts w:ascii="Garamond" w:hAnsi="Garamond" w:cs="Arial"/>
                <w:sz w:val="18"/>
                <w:szCs w:val="18"/>
              </w:rPr>
              <w:t>”</w:t>
            </w:r>
            <w:r w:rsidRPr="00445472">
              <w:rPr>
                <w:rFonts w:ascii="Garamond" w:hAnsi="Garamond" w:cs="Arial"/>
                <w:sz w:val="18"/>
                <w:szCs w:val="18"/>
              </w:rPr>
              <w:t xml:space="preserve"> është përafruar pjesërisht me Direktivën 2000/60</w:t>
            </w:r>
            <w:r w:rsidR="001D340B" w:rsidRPr="00445472">
              <w:rPr>
                <w:rFonts w:ascii="Garamond" w:hAnsi="Garamond" w:cs="Arial"/>
                <w:sz w:val="18"/>
                <w:szCs w:val="18"/>
              </w:rPr>
              <w:t>/</w:t>
            </w:r>
            <w:r w:rsidRPr="00445472">
              <w:rPr>
                <w:rFonts w:ascii="Garamond" w:hAnsi="Garamond" w:cs="Arial"/>
                <w:sz w:val="18"/>
                <w:szCs w:val="18"/>
              </w:rPr>
              <w:t xml:space="preserve">KE të Parlamentit Evropian dhe të Këshillit, 23 tetorit 2000, mbi </w:t>
            </w:r>
            <w:r w:rsidR="00D62EDF" w:rsidRPr="00445472">
              <w:rPr>
                <w:rFonts w:ascii="Garamond" w:hAnsi="Garamond" w:cs="Arial"/>
                <w:sz w:val="18"/>
                <w:szCs w:val="18"/>
              </w:rPr>
              <w:t>“</w:t>
            </w:r>
            <w:r w:rsidRPr="00445472">
              <w:rPr>
                <w:rFonts w:ascii="Garamond" w:hAnsi="Garamond" w:cs="Arial"/>
                <w:sz w:val="18"/>
                <w:szCs w:val="18"/>
              </w:rPr>
              <w:t>Krijimin e një kuadri ligjor për veprim të komunitetit në fushën e politikës së ujit</w:t>
            </w:r>
            <w:r w:rsidR="00D62EDF" w:rsidRPr="00445472">
              <w:rPr>
                <w:rFonts w:ascii="Garamond" w:hAnsi="Garamond" w:cs="Arial"/>
                <w:sz w:val="18"/>
                <w:szCs w:val="18"/>
              </w:rPr>
              <w:t>”</w:t>
            </w:r>
            <w:r w:rsidRPr="00445472">
              <w:rPr>
                <w:rFonts w:ascii="Garamond" w:hAnsi="Garamond" w:cs="Arial"/>
                <w:sz w:val="18"/>
                <w:szCs w:val="18"/>
              </w:rPr>
              <w:t>.</w:t>
            </w:r>
          </w:p>
          <w:p w14:paraId="152EB6C3" w14:textId="77777777" w:rsidR="00835F41" w:rsidRPr="00445472" w:rsidRDefault="00835F41" w:rsidP="002A1F08">
            <w:pPr>
              <w:spacing w:after="40"/>
              <w:rPr>
                <w:rFonts w:ascii="Garamond" w:hAnsi="Garamond" w:cs="Arial"/>
                <w:sz w:val="18"/>
                <w:szCs w:val="18"/>
              </w:rPr>
            </w:pPr>
          </w:p>
          <w:p w14:paraId="3C261BD9" w14:textId="3A23AB1B" w:rsidR="00835F41" w:rsidRPr="00445472" w:rsidRDefault="00C83744" w:rsidP="002A1F08">
            <w:pPr>
              <w:pStyle w:val="TableTextRight"/>
              <w:jc w:val="left"/>
              <w:rPr>
                <w:rFonts w:ascii="Garamond" w:hAnsi="Garamond" w:cs="Arial"/>
                <w:sz w:val="18"/>
                <w:szCs w:val="18"/>
                <w:lang w:val="sq-AL"/>
              </w:rPr>
            </w:pPr>
            <w:r>
              <w:rPr>
                <w:rFonts w:ascii="Garamond" w:hAnsi="Garamond" w:cs="Arial"/>
                <w:sz w:val="18"/>
                <w:szCs w:val="18"/>
                <w:lang w:val="sq-AL"/>
              </w:rPr>
              <w:t>Ligji nr. 64/2012, dt. 31.</w:t>
            </w:r>
            <w:r w:rsidR="00835F41" w:rsidRPr="00445472">
              <w:rPr>
                <w:rFonts w:ascii="Garamond" w:hAnsi="Garamond" w:cs="Arial"/>
                <w:sz w:val="18"/>
                <w:szCs w:val="18"/>
                <w:lang w:val="sq-AL"/>
              </w:rPr>
              <w:t xml:space="preserve">5.2012 mbi </w:t>
            </w:r>
            <w:r w:rsidR="00D62EDF" w:rsidRPr="00445472">
              <w:rPr>
                <w:rFonts w:ascii="Garamond" w:hAnsi="Garamond" w:cs="Arial"/>
                <w:sz w:val="18"/>
                <w:szCs w:val="18"/>
                <w:lang w:val="sq-AL"/>
              </w:rPr>
              <w:t>“</w:t>
            </w:r>
            <w:r w:rsidR="00835F41" w:rsidRPr="00445472">
              <w:rPr>
                <w:rFonts w:ascii="Garamond" w:hAnsi="Garamond" w:cs="Arial"/>
                <w:sz w:val="18"/>
                <w:szCs w:val="18"/>
                <w:lang w:val="sq-AL"/>
              </w:rPr>
              <w:t>Peshkimin</w:t>
            </w:r>
            <w:r w:rsidR="00D62EDF" w:rsidRPr="00445472">
              <w:rPr>
                <w:rFonts w:ascii="Garamond" w:hAnsi="Garamond" w:cs="Arial"/>
                <w:sz w:val="18"/>
                <w:szCs w:val="18"/>
                <w:lang w:val="sq-AL"/>
              </w:rPr>
              <w:t>”</w:t>
            </w:r>
            <w:r w:rsidR="00835F41" w:rsidRPr="00445472">
              <w:rPr>
                <w:rFonts w:ascii="Garamond" w:hAnsi="Garamond" w:cs="Arial"/>
                <w:sz w:val="18"/>
                <w:szCs w:val="18"/>
                <w:lang w:val="sq-AL"/>
              </w:rPr>
              <w:t xml:space="preserve"> është përafruar pjesërisht me dispozitat e Direktivës 2000/60</w:t>
            </w:r>
            <w:r w:rsidR="001D340B" w:rsidRPr="00445472">
              <w:rPr>
                <w:rFonts w:ascii="Garamond" w:hAnsi="Garamond" w:cs="Arial"/>
                <w:sz w:val="18"/>
                <w:szCs w:val="18"/>
                <w:lang w:val="sq-AL"/>
              </w:rPr>
              <w:t>/</w:t>
            </w:r>
            <w:r w:rsidR="00835F41" w:rsidRPr="00445472">
              <w:rPr>
                <w:rFonts w:ascii="Garamond" w:hAnsi="Garamond" w:cs="Arial"/>
                <w:sz w:val="18"/>
                <w:szCs w:val="18"/>
                <w:lang w:val="sq-AL"/>
              </w:rPr>
              <w:t>EC të Parlamentit Evropian dhe të Këshillit, 23 tetorit 2000 mbi krijimin e një kuadri për politikën e ujit dhe Rregulloret e Këshillit të Evropës të kësaj fushe.</w:t>
            </w:r>
          </w:p>
        </w:tc>
        <w:tc>
          <w:tcPr>
            <w:tcW w:w="0" w:type="pct"/>
            <w:shd w:val="clear" w:color="auto" w:fill="auto"/>
            <w:vAlign w:val="center"/>
          </w:tcPr>
          <w:p w14:paraId="1D0738D6" w14:textId="7D5CB264" w:rsidR="00835F41" w:rsidRPr="00445472" w:rsidRDefault="00835F41" w:rsidP="002A1F08">
            <w:pPr>
              <w:tabs>
                <w:tab w:val="left" w:pos="1587"/>
              </w:tabs>
              <w:spacing w:after="40"/>
              <w:rPr>
                <w:rFonts w:ascii="Garamond" w:hAnsi="Garamond" w:cs="Arial"/>
                <w:spacing w:val="-2"/>
                <w:sz w:val="18"/>
                <w:szCs w:val="18"/>
              </w:rPr>
            </w:pPr>
            <w:r w:rsidRPr="00445472">
              <w:rPr>
                <w:rFonts w:ascii="Garamond" w:hAnsi="Garamond" w:cs="Arial"/>
                <w:spacing w:val="-2"/>
                <w:sz w:val="18"/>
                <w:szCs w:val="18"/>
              </w:rPr>
              <w:t xml:space="preserve">Dispozitat e këtij ligji rregullojnë marrëdhëniet ligjore që rrjedhin nga përdorimi i burimeve ujore në Republikën e Shqipërisë duke përfshirë: ujërat e brendshme detare, ujërat territoriale, vijën bregdetare, zonën ekskluzive ekonomike, shelfin kontinental, sipërfaqen dhe ujërat nëntokësore, bashkë me akuiferet dhe reshjet, ujërat ndërkufitare, burimet natyrore dhe ujërat e lagunave në zonat e mbrojtura; kuruese, minerale, termominerale dhe ujërave gjeotermale.   </w:t>
            </w:r>
          </w:p>
          <w:p w14:paraId="391C3DE3" w14:textId="281FECEA"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pacing w:val="-2"/>
                <w:sz w:val="18"/>
                <w:szCs w:val="18"/>
              </w:rPr>
              <w:t>Mbrojtja dhe përmirësimi i mjedisit ujor, ujërave sipërfaqësorë, ujërave të përkohshëm dhe të përhershëm, ujërave të brendshme detare, ujërave territoriale, zonës ekskluzive ekonomike, shelfit kontinental, sipërfaqes dhe ujërave nëntokësore</w:t>
            </w:r>
            <w:r w:rsidR="008F0A9F" w:rsidRPr="00445472">
              <w:rPr>
                <w:rFonts w:ascii="Garamond" w:hAnsi="Garamond" w:cs="Arial"/>
                <w:spacing w:val="-2"/>
                <w:sz w:val="18"/>
                <w:szCs w:val="18"/>
              </w:rPr>
              <w:t>, si dhe</w:t>
            </w:r>
            <w:r w:rsidRPr="00445472">
              <w:rPr>
                <w:rFonts w:ascii="Garamond" w:hAnsi="Garamond" w:cs="Arial"/>
                <w:spacing w:val="-2"/>
                <w:sz w:val="18"/>
                <w:szCs w:val="18"/>
              </w:rPr>
              <w:t xml:space="preserve"> statusin e tyre; një zhvillim më racional dhe shfrytëzim i burimeve ujore</w:t>
            </w:r>
            <w:r w:rsidR="008F0A9F" w:rsidRPr="00445472">
              <w:rPr>
                <w:rFonts w:ascii="Garamond" w:hAnsi="Garamond" w:cs="Arial"/>
                <w:spacing w:val="-2"/>
                <w:sz w:val="18"/>
                <w:szCs w:val="18"/>
              </w:rPr>
              <w:t>, si dhe</w:t>
            </w:r>
            <w:r w:rsidRPr="00445472">
              <w:rPr>
                <w:rFonts w:ascii="Garamond" w:hAnsi="Garamond" w:cs="Arial"/>
                <w:spacing w:val="-2"/>
                <w:sz w:val="18"/>
                <w:szCs w:val="18"/>
              </w:rPr>
              <w:t xml:space="preserve"> krijimi i kuadrit ligjor, në nivel kombëtar dhe lokal, përbëjnë qëllimet e ligjit dhe shtyllat për zhvillimin dhe materializimin e politikave kombëtare në administrimin e burimeve ujore</w:t>
            </w:r>
            <w:r w:rsidRPr="00445472">
              <w:rPr>
                <w:rFonts w:ascii="Garamond" w:hAnsi="Garamond" w:cs="Arial"/>
                <w:sz w:val="18"/>
                <w:szCs w:val="18"/>
              </w:rPr>
              <w:t>.</w:t>
            </w:r>
          </w:p>
        </w:tc>
        <w:tc>
          <w:tcPr>
            <w:tcW w:w="0" w:type="pct"/>
            <w:shd w:val="clear" w:color="auto" w:fill="auto"/>
            <w:vAlign w:val="center"/>
          </w:tcPr>
          <w:p w14:paraId="0B7F06A2"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Institucionet e zbatimit të ligjit:</w:t>
            </w:r>
          </w:p>
          <w:p w14:paraId="232E2E2C" w14:textId="77777777" w:rsidR="00835F41" w:rsidRPr="00445472" w:rsidRDefault="00835F41" w:rsidP="0080598D">
            <w:pPr>
              <w:pStyle w:val="ListParagraph"/>
              <w:numPr>
                <w:ilvl w:val="0"/>
                <w:numId w:val="47"/>
              </w:numPr>
              <w:spacing w:after="40" w:line="240" w:lineRule="auto"/>
              <w:ind w:left="360"/>
              <w:rPr>
                <w:rFonts w:ascii="Garamond" w:hAnsi="Garamond" w:cs="Arial"/>
                <w:sz w:val="18"/>
                <w:szCs w:val="18"/>
              </w:rPr>
            </w:pPr>
            <w:r w:rsidRPr="00445472">
              <w:rPr>
                <w:rFonts w:ascii="Garamond" w:hAnsi="Garamond" w:cs="Arial"/>
                <w:sz w:val="18"/>
                <w:szCs w:val="18"/>
              </w:rPr>
              <w:t>Në nivel qendror</w:t>
            </w:r>
          </w:p>
          <w:p w14:paraId="3DAE261A"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Këshilli i Ministrave për miratimin e akteve nënligjore</w:t>
            </w:r>
          </w:p>
          <w:p w14:paraId="5CF87E4C"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 xml:space="preserve">Ministria e Bujqësisë dhe Zhvillimit Rural </w:t>
            </w:r>
          </w:p>
          <w:p w14:paraId="4412150E"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Këshilli Kombëtar i Ujit (KKU)</w:t>
            </w:r>
          </w:p>
          <w:p w14:paraId="04BEA610"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Agjencia e Menaxhimit të Burimeve Ujore</w:t>
            </w:r>
          </w:p>
          <w:p w14:paraId="20F55D7A" w14:textId="77777777" w:rsidR="00835F41" w:rsidRPr="00445472" w:rsidRDefault="00835F41" w:rsidP="0080598D">
            <w:pPr>
              <w:pStyle w:val="ListParagraph"/>
              <w:numPr>
                <w:ilvl w:val="0"/>
                <w:numId w:val="47"/>
              </w:numPr>
              <w:spacing w:after="40" w:line="240" w:lineRule="auto"/>
              <w:ind w:left="360"/>
              <w:rPr>
                <w:rFonts w:ascii="Garamond" w:hAnsi="Garamond" w:cs="Arial"/>
                <w:sz w:val="18"/>
                <w:szCs w:val="18"/>
              </w:rPr>
            </w:pPr>
            <w:r w:rsidRPr="00445472">
              <w:rPr>
                <w:rFonts w:ascii="Garamond" w:hAnsi="Garamond" w:cs="Arial"/>
                <w:sz w:val="18"/>
                <w:szCs w:val="18"/>
              </w:rPr>
              <w:t>Në nivel vendor:</w:t>
            </w:r>
          </w:p>
          <w:p w14:paraId="000FC480"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Këshilli i Baseneve Ujore</w:t>
            </w:r>
          </w:p>
          <w:p w14:paraId="77F2184C"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Zyrat e Administrimit të Baseneve Ujore</w:t>
            </w:r>
          </w:p>
          <w:p w14:paraId="1D9B057D"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Institucionet e Kontrollit:</w:t>
            </w:r>
          </w:p>
          <w:p w14:paraId="5F2E407C" w14:textId="77777777" w:rsidR="00835F41" w:rsidRPr="00445472" w:rsidRDefault="00835F41" w:rsidP="0080598D">
            <w:pPr>
              <w:pStyle w:val="ListParagraph"/>
              <w:numPr>
                <w:ilvl w:val="0"/>
                <w:numId w:val="52"/>
              </w:numPr>
              <w:spacing w:after="40" w:line="240" w:lineRule="auto"/>
              <w:rPr>
                <w:rFonts w:ascii="Garamond" w:hAnsi="Garamond" w:cs="Arial"/>
                <w:sz w:val="18"/>
                <w:szCs w:val="18"/>
              </w:rPr>
            </w:pPr>
            <w:r w:rsidRPr="00445472">
              <w:rPr>
                <w:rFonts w:ascii="Garamond" w:hAnsi="Garamond" w:cs="Arial"/>
                <w:sz w:val="18"/>
                <w:szCs w:val="18"/>
              </w:rPr>
              <w:t>Inspektorati Shtetëror i Ujit</w:t>
            </w:r>
          </w:p>
          <w:p w14:paraId="0C6CB81B" w14:textId="77777777" w:rsidR="00835F41" w:rsidRPr="00445472" w:rsidRDefault="00835F41" w:rsidP="0080598D">
            <w:pPr>
              <w:pStyle w:val="ListParagraph"/>
              <w:numPr>
                <w:ilvl w:val="0"/>
                <w:numId w:val="52"/>
              </w:numPr>
              <w:spacing w:before="120" w:after="40" w:line="264" w:lineRule="auto"/>
              <w:rPr>
                <w:rFonts w:ascii="Garamond" w:hAnsi="Garamond" w:cs="Arial"/>
                <w:sz w:val="18"/>
                <w:szCs w:val="18"/>
              </w:rPr>
            </w:pPr>
            <w:r w:rsidRPr="00445472">
              <w:rPr>
                <w:rFonts w:ascii="Garamond" w:hAnsi="Garamond" w:cs="Arial"/>
                <w:sz w:val="18"/>
                <w:szCs w:val="18"/>
              </w:rPr>
              <w:t>Inspektorati Shtetëror Shëndetësor</w:t>
            </w:r>
          </w:p>
          <w:p w14:paraId="41DF9C3B" w14:textId="77777777" w:rsidR="00835F41" w:rsidRPr="00445472" w:rsidRDefault="00835F41" w:rsidP="0080598D">
            <w:pPr>
              <w:pStyle w:val="ListParagraph"/>
              <w:numPr>
                <w:ilvl w:val="0"/>
                <w:numId w:val="52"/>
              </w:numPr>
              <w:spacing w:before="120" w:after="40" w:line="264" w:lineRule="auto"/>
              <w:rPr>
                <w:rFonts w:ascii="Garamond" w:hAnsi="Garamond" w:cs="Arial"/>
                <w:sz w:val="18"/>
                <w:szCs w:val="18"/>
              </w:rPr>
            </w:pPr>
            <w:r w:rsidRPr="00445472">
              <w:rPr>
                <w:rFonts w:ascii="Garamond" w:hAnsi="Garamond" w:cs="Arial"/>
                <w:sz w:val="18"/>
                <w:szCs w:val="18"/>
              </w:rPr>
              <w:t>Inspektorati Kombëtar i Mbrojtjes së Territorit</w:t>
            </w:r>
          </w:p>
          <w:p w14:paraId="3A7954A8" w14:textId="77777777" w:rsidR="00835F41" w:rsidRPr="00445472" w:rsidRDefault="00835F41" w:rsidP="002A1F08">
            <w:pPr>
              <w:spacing w:after="40"/>
              <w:rPr>
                <w:rFonts w:ascii="Garamond" w:hAnsi="Garamond" w:cs="Arial"/>
                <w:sz w:val="18"/>
                <w:szCs w:val="18"/>
              </w:rPr>
            </w:pPr>
          </w:p>
          <w:p w14:paraId="5BB186F9" w14:textId="77777777" w:rsidR="00835F41" w:rsidRPr="00445472" w:rsidRDefault="00835F41" w:rsidP="002A1F08">
            <w:pPr>
              <w:pStyle w:val="TableTextRight"/>
              <w:jc w:val="left"/>
              <w:rPr>
                <w:rFonts w:ascii="Garamond" w:hAnsi="Garamond" w:cs="Arial"/>
                <w:sz w:val="18"/>
                <w:szCs w:val="18"/>
                <w:lang w:val="sq-AL"/>
              </w:rPr>
            </w:pPr>
          </w:p>
        </w:tc>
      </w:tr>
      <w:tr w:rsidR="00835F41" w:rsidRPr="00445472" w14:paraId="0C3C93C2" w14:textId="77777777" w:rsidTr="002C1894">
        <w:trPr>
          <w:jc w:val="center"/>
        </w:trPr>
        <w:tc>
          <w:tcPr>
            <w:tcW w:w="0" w:type="pct"/>
            <w:shd w:val="clear" w:color="auto" w:fill="auto"/>
            <w:vAlign w:val="center"/>
          </w:tcPr>
          <w:p w14:paraId="78D4B6A5"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Direktiva</w:t>
            </w:r>
          </w:p>
          <w:p w14:paraId="136FDF6A" w14:textId="602C0F69" w:rsidR="00835F41" w:rsidRPr="00445472" w:rsidRDefault="00A22CE0" w:rsidP="002A1F08">
            <w:pPr>
              <w:pStyle w:val="TableTextLeft"/>
              <w:rPr>
                <w:rFonts w:ascii="Garamond" w:hAnsi="Garamond" w:cs="Arial"/>
                <w:sz w:val="18"/>
                <w:szCs w:val="18"/>
                <w:lang w:val="sq-AL"/>
              </w:rPr>
            </w:pPr>
            <w:r>
              <w:rPr>
                <w:rFonts w:ascii="Garamond" w:hAnsi="Garamond" w:cs="Arial"/>
                <w:sz w:val="18"/>
                <w:szCs w:val="18"/>
                <w:lang w:val="sq-AL"/>
              </w:rPr>
              <w:t>91/271/CEE21.</w:t>
            </w:r>
            <w:r w:rsidR="00835F41" w:rsidRPr="00445472">
              <w:rPr>
                <w:rFonts w:ascii="Garamond" w:hAnsi="Garamond" w:cs="Arial"/>
                <w:sz w:val="18"/>
                <w:szCs w:val="18"/>
                <w:lang w:val="sq-AL"/>
              </w:rPr>
              <w:t xml:space="preserve">5.1991 </w:t>
            </w:r>
            <w:r w:rsidR="00D62EDF" w:rsidRPr="00445472">
              <w:rPr>
                <w:rFonts w:ascii="Garamond" w:hAnsi="Garamond" w:cs="Arial"/>
                <w:sz w:val="18"/>
                <w:szCs w:val="18"/>
                <w:lang w:val="sq-AL"/>
              </w:rPr>
              <w:t>“</w:t>
            </w:r>
            <w:r w:rsidR="00835F41" w:rsidRPr="00445472">
              <w:rPr>
                <w:rFonts w:ascii="Garamond" w:hAnsi="Garamond" w:cs="Arial"/>
                <w:sz w:val="18"/>
                <w:szCs w:val="18"/>
                <w:lang w:val="sq-AL"/>
              </w:rPr>
              <w:t xml:space="preserve">Trajtimi i </w:t>
            </w:r>
            <w:r w:rsidR="00B85850" w:rsidRPr="00445472">
              <w:rPr>
                <w:rFonts w:ascii="Garamond" w:hAnsi="Garamond" w:cs="Arial"/>
                <w:sz w:val="18"/>
                <w:szCs w:val="18"/>
                <w:lang w:val="sq-AL"/>
              </w:rPr>
              <w:t xml:space="preserve">ujërave </w:t>
            </w:r>
            <w:r w:rsidR="00835F41" w:rsidRPr="00445472">
              <w:rPr>
                <w:rFonts w:ascii="Garamond" w:hAnsi="Garamond" w:cs="Arial"/>
                <w:sz w:val="18"/>
                <w:szCs w:val="18"/>
                <w:lang w:val="sq-AL"/>
              </w:rPr>
              <w:t xml:space="preserve">të </w:t>
            </w:r>
            <w:r w:rsidR="00565933" w:rsidRPr="00445472">
              <w:rPr>
                <w:rFonts w:ascii="Garamond" w:hAnsi="Garamond" w:cs="Arial"/>
                <w:sz w:val="18"/>
                <w:szCs w:val="18"/>
                <w:lang w:val="sq-AL"/>
              </w:rPr>
              <w:t>ndotura urbane</w:t>
            </w:r>
            <w:r w:rsidR="00D62EDF" w:rsidRPr="00445472">
              <w:rPr>
                <w:rFonts w:ascii="Garamond" w:hAnsi="Garamond" w:cs="Arial"/>
                <w:sz w:val="18"/>
                <w:szCs w:val="18"/>
                <w:lang w:val="sq-AL"/>
              </w:rPr>
              <w:t>”</w:t>
            </w:r>
          </w:p>
        </w:tc>
        <w:tc>
          <w:tcPr>
            <w:tcW w:w="0" w:type="pct"/>
            <w:shd w:val="clear" w:color="auto" w:fill="auto"/>
            <w:vAlign w:val="center"/>
          </w:tcPr>
          <w:p w14:paraId="45DAA892" w14:textId="4CFCB8CC"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Ligji Nr. 111/2012</w:t>
            </w:r>
            <w:r w:rsidR="00D62EDF" w:rsidRPr="00445472">
              <w:rPr>
                <w:rFonts w:ascii="Garamond" w:hAnsi="Garamond" w:cs="Arial"/>
                <w:sz w:val="18"/>
                <w:szCs w:val="18"/>
              </w:rPr>
              <w:t xml:space="preserve">, “Për </w:t>
            </w:r>
            <w:r w:rsidRPr="00445472">
              <w:rPr>
                <w:rFonts w:ascii="Garamond" w:hAnsi="Garamond" w:cs="Arial"/>
                <w:sz w:val="18"/>
                <w:szCs w:val="18"/>
              </w:rPr>
              <w:t>Menaxhimin të Integruara të Burimeve Ujore</w:t>
            </w:r>
            <w:r w:rsidR="00D62EDF" w:rsidRPr="00445472">
              <w:rPr>
                <w:rFonts w:ascii="Garamond" w:hAnsi="Garamond" w:cs="Arial"/>
                <w:sz w:val="18"/>
                <w:szCs w:val="18"/>
              </w:rPr>
              <w:t>”</w:t>
            </w:r>
            <w:r w:rsidRPr="00445472">
              <w:rPr>
                <w:rFonts w:ascii="Garamond" w:hAnsi="Garamond"/>
                <w:sz w:val="18"/>
                <w:szCs w:val="18"/>
              </w:rPr>
              <w:t xml:space="preserve"> </w:t>
            </w:r>
            <w:r w:rsidRPr="00445472">
              <w:rPr>
                <w:rFonts w:ascii="Garamond" w:hAnsi="Garamond" w:cs="Arial"/>
                <w:sz w:val="18"/>
                <w:szCs w:val="18"/>
              </w:rPr>
              <w:t>ndryshuar me Ligjin nr. 6/2018 për disa ndryshime dhe plotësime të Ligjit nr. 111/2012</w:t>
            </w:r>
            <w:r w:rsidR="00D62EDF" w:rsidRPr="00445472">
              <w:rPr>
                <w:rFonts w:ascii="Garamond" w:hAnsi="Garamond" w:cs="Arial"/>
                <w:sz w:val="18"/>
                <w:szCs w:val="18"/>
              </w:rPr>
              <w:t xml:space="preserve">, “Për </w:t>
            </w:r>
            <w:r w:rsidRPr="00445472">
              <w:rPr>
                <w:rFonts w:ascii="Garamond" w:hAnsi="Garamond" w:cs="Arial"/>
                <w:sz w:val="18"/>
                <w:szCs w:val="18"/>
              </w:rPr>
              <w:t>Menaxhimin e Integruar të Burimeve Ujore</w:t>
            </w:r>
            <w:r w:rsidR="00D62EDF" w:rsidRPr="00445472">
              <w:rPr>
                <w:rFonts w:ascii="Garamond" w:hAnsi="Garamond" w:cs="Arial"/>
                <w:sz w:val="18"/>
                <w:szCs w:val="18"/>
              </w:rPr>
              <w:t>”</w:t>
            </w:r>
            <w:r w:rsidRPr="00445472">
              <w:rPr>
                <w:rFonts w:ascii="Garamond" w:hAnsi="Garamond" w:cs="Arial"/>
                <w:sz w:val="18"/>
                <w:szCs w:val="18"/>
              </w:rPr>
              <w:t>.</w:t>
            </w:r>
          </w:p>
          <w:p w14:paraId="7081B251" w14:textId="77777777" w:rsidR="00835F41" w:rsidRPr="00445472" w:rsidRDefault="00835F41" w:rsidP="002A1F08">
            <w:pPr>
              <w:spacing w:after="40"/>
              <w:rPr>
                <w:rFonts w:ascii="Garamond" w:hAnsi="Garamond" w:cs="Arial"/>
                <w:sz w:val="18"/>
                <w:szCs w:val="18"/>
              </w:rPr>
            </w:pPr>
          </w:p>
          <w:p w14:paraId="3AA2BFFE" w14:textId="77777777" w:rsidR="00835F41" w:rsidRPr="00445472" w:rsidRDefault="00835F41" w:rsidP="002A1F08">
            <w:pPr>
              <w:spacing w:after="40"/>
              <w:rPr>
                <w:rFonts w:ascii="Garamond" w:hAnsi="Garamond" w:cs="Arial"/>
                <w:sz w:val="18"/>
                <w:szCs w:val="18"/>
              </w:rPr>
            </w:pPr>
          </w:p>
          <w:p w14:paraId="10AC42C7" w14:textId="77777777" w:rsidR="00835F41" w:rsidRPr="00445472" w:rsidRDefault="00835F41" w:rsidP="002A1F08">
            <w:pPr>
              <w:spacing w:after="40"/>
              <w:rPr>
                <w:rFonts w:ascii="Garamond" w:hAnsi="Garamond" w:cs="Arial"/>
                <w:sz w:val="18"/>
                <w:szCs w:val="18"/>
              </w:rPr>
            </w:pPr>
          </w:p>
          <w:p w14:paraId="3B8A750E" w14:textId="77777777" w:rsidR="00835F41" w:rsidRPr="00445472" w:rsidRDefault="00835F41" w:rsidP="002A1F08">
            <w:pPr>
              <w:spacing w:after="40"/>
              <w:rPr>
                <w:rFonts w:ascii="Garamond" w:hAnsi="Garamond" w:cs="Arial"/>
                <w:sz w:val="18"/>
                <w:szCs w:val="18"/>
              </w:rPr>
            </w:pPr>
          </w:p>
          <w:p w14:paraId="49B96CBB" w14:textId="6DFB961A" w:rsidR="00835F41" w:rsidRPr="00445472" w:rsidRDefault="00A22CE0" w:rsidP="002A1F08">
            <w:pPr>
              <w:spacing w:after="40"/>
              <w:rPr>
                <w:rFonts w:ascii="Garamond" w:hAnsi="Garamond" w:cs="Arial"/>
                <w:sz w:val="18"/>
                <w:szCs w:val="18"/>
              </w:rPr>
            </w:pPr>
            <w:r>
              <w:rPr>
                <w:rFonts w:ascii="Garamond" w:hAnsi="Garamond" w:cs="Arial"/>
                <w:sz w:val="18"/>
                <w:szCs w:val="18"/>
              </w:rPr>
              <w:t>Ligji Nr. 9115, datë 24.</w:t>
            </w:r>
            <w:r w:rsidR="00835F41" w:rsidRPr="00445472">
              <w:rPr>
                <w:rFonts w:ascii="Garamond" w:hAnsi="Garamond" w:cs="Arial"/>
                <w:sz w:val="18"/>
                <w:szCs w:val="18"/>
              </w:rPr>
              <w:t>7.2003</w:t>
            </w:r>
            <w:r w:rsidR="00D62EDF" w:rsidRPr="00445472">
              <w:rPr>
                <w:rFonts w:ascii="Garamond" w:hAnsi="Garamond" w:cs="Arial"/>
                <w:sz w:val="18"/>
                <w:szCs w:val="18"/>
              </w:rPr>
              <w:t xml:space="preserve">, “Për </w:t>
            </w:r>
            <w:r w:rsidR="00835F41" w:rsidRPr="00445472">
              <w:rPr>
                <w:rFonts w:ascii="Garamond" w:hAnsi="Garamond" w:cs="Arial"/>
                <w:sz w:val="18"/>
                <w:szCs w:val="18"/>
              </w:rPr>
              <w:t>trajtimin mjedisor të ujërave të ndotura</w:t>
            </w:r>
            <w:r w:rsidR="00D62EDF" w:rsidRPr="00445472">
              <w:rPr>
                <w:rFonts w:ascii="Garamond" w:hAnsi="Garamond" w:cs="Arial"/>
                <w:sz w:val="18"/>
                <w:szCs w:val="18"/>
              </w:rPr>
              <w:t>”</w:t>
            </w:r>
          </w:p>
          <w:p w14:paraId="698D292F" w14:textId="77777777" w:rsidR="00835F41" w:rsidRPr="00445472" w:rsidRDefault="00835F41" w:rsidP="002A1F08">
            <w:pPr>
              <w:pStyle w:val="TableTextRight"/>
              <w:jc w:val="left"/>
              <w:rPr>
                <w:rFonts w:ascii="Garamond" w:hAnsi="Garamond" w:cs="Arial"/>
                <w:sz w:val="18"/>
                <w:szCs w:val="18"/>
                <w:lang w:val="sq-AL"/>
              </w:rPr>
            </w:pPr>
          </w:p>
        </w:tc>
        <w:tc>
          <w:tcPr>
            <w:tcW w:w="0" w:type="pct"/>
            <w:shd w:val="clear" w:color="auto" w:fill="auto"/>
            <w:vAlign w:val="center"/>
          </w:tcPr>
          <w:p w14:paraId="6771D573" w14:textId="5F6BAFF0" w:rsidR="00835F41" w:rsidRPr="00445472" w:rsidRDefault="00835F41" w:rsidP="002A1F08">
            <w:pPr>
              <w:tabs>
                <w:tab w:val="left" w:pos="1587"/>
              </w:tabs>
              <w:spacing w:after="40"/>
              <w:rPr>
                <w:rFonts w:ascii="Garamond" w:hAnsi="Garamond" w:cs="Arial"/>
                <w:spacing w:val="-2"/>
                <w:sz w:val="18"/>
                <w:szCs w:val="18"/>
              </w:rPr>
            </w:pPr>
            <w:r w:rsidRPr="00445472">
              <w:rPr>
                <w:rFonts w:ascii="Garamond" w:hAnsi="Garamond" w:cs="Arial"/>
                <w:spacing w:val="-2"/>
                <w:sz w:val="18"/>
                <w:szCs w:val="18"/>
              </w:rPr>
              <w:t xml:space="preserve">Dispozitat e këtij ligji rregullojnë marrëdhëniet gjyqësore që rrjedhin nga përdorimi i burimeve ujore në Republikën e Shqipërisë duke përfshirë: ujërat e brendshme detare, ujërat territoriale, vijën bregdetare, zonën ekskluzive ekonomike, shelfin kontinental, sipërfaqen dhe ujërat nëntokësore, bashkë me akuiferet dhe reshjet, ujërat ndërkufitare, burimet natyrore dhe ujërat e lagunave në zonat e mbrojtura; kuruese, minerale, termominerale dhe ujërat gjeotermale.   </w:t>
            </w:r>
          </w:p>
          <w:p w14:paraId="151693C4" w14:textId="3E90A0C0" w:rsidR="00835F41" w:rsidRPr="00445472" w:rsidRDefault="00835F41" w:rsidP="002A1F08">
            <w:pPr>
              <w:tabs>
                <w:tab w:val="left" w:pos="1587"/>
              </w:tabs>
              <w:spacing w:after="40"/>
              <w:rPr>
                <w:rFonts w:ascii="Garamond" w:hAnsi="Garamond" w:cs="Arial"/>
                <w:spacing w:val="-2"/>
                <w:sz w:val="18"/>
                <w:szCs w:val="18"/>
              </w:rPr>
            </w:pPr>
            <w:r w:rsidRPr="00445472">
              <w:rPr>
                <w:rFonts w:ascii="Garamond" w:hAnsi="Garamond" w:cs="Arial"/>
                <w:spacing w:val="-2"/>
                <w:sz w:val="18"/>
                <w:szCs w:val="18"/>
              </w:rPr>
              <w:t>Mbrojtja dhe përmirësimi i mjedisit ujor, ujërave sipërfaqësorë, ujërave të përkohshëm dhe të përhershëm, ujërave të brendshme detare, ujërave territoriale, zonës ekskluzive ekonomike, shelfit kontinental, sipërfaqes dhe ujërave nëntokësore</w:t>
            </w:r>
            <w:r w:rsidR="008F0A9F" w:rsidRPr="00445472">
              <w:rPr>
                <w:rFonts w:ascii="Garamond" w:hAnsi="Garamond" w:cs="Arial"/>
                <w:spacing w:val="-2"/>
                <w:sz w:val="18"/>
                <w:szCs w:val="18"/>
              </w:rPr>
              <w:t>, si dhe</w:t>
            </w:r>
            <w:r w:rsidRPr="00445472">
              <w:rPr>
                <w:rFonts w:ascii="Garamond" w:hAnsi="Garamond" w:cs="Arial"/>
                <w:spacing w:val="-2"/>
                <w:sz w:val="18"/>
                <w:szCs w:val="18"/>
              </w:rPr>
              <w:t xml:space="preserve"> statusi i tyre; një zhvillim më racional dhe shfrytëzim i burimeve ujore</w:t>
            </w:r>
            <w:r w:rsidR="008F0A9F" w:rsidRPr="00445472">
              <w:rPr>
                <w:rFonts w:ascii="Garamond" w:hAnsi="Garamond" w:cs="Arial"/>
                <w:spacing w:val="-2"/>
                <w:sz w:val="18"/>
                <w:szCs w:val="18"/>
              </w:rPr>
              <w:t>, si dhe</w:t>
            </w:r>
            <w:r w:rsidRPr="00445472">
              <w:rPr>
                <w:rFonts w:ascii="Garamond" w:hAnsi="Garamond" w:cs="Arial"/>
                <w:spacing w:val="-2"/>
                <w:sz w:val="18"/>
                <w:szCs w:val="18"/>
              </w:rPr>
              <w:t xml:space="preserve"> krijimi i kuadrit ligjor, në nivel kombëtar dhe lokal, përbëjnë qëllimet e ligjit dhe shtyllat për zhvillimin dhe materializimin e politikave kombëtare në administrimin e burimeve ujore</w:t>
            </w:r>
            <w:r w:rsidRPr="00445472">
              <w:rPr>
                <w:rFonts w:ascii="Garamond" w:hAnsi="Garamond" w:cs="Arial"/>
                <w:sz w:val="18"/>
                <w:szCs w:val="18"/>
              </w:rPr>
              <w:t>.</w:t>
            </w:r>
          </w:p>
          <w:p w14:paraId="1E2F8AC4" w14:textId="77777777" w:rsidR="00835F41" w:rsidRPr="00445472" w:rsidRDefault="00835F41" w:rsidP="002A1F08">
            <w:pPr>
              <w:tabs>
                <w:tab w:val="left" w:pos="1587"/>
              </w:tabs>
              <w:spacing w:after="40"/>
              <w:rPr>
                <w:rFonts w:ascii="Garamond" w:hAnsi="Garamond" w:cs="Arial"/>
                <w:spacing w:val="-2"/>
                <w:sz w:val="18"/>
                <w:szCs w:val="18"/>
              </w:rPr>
            </w:pPr>
          </w:p>
          <w:p w14:paraId="20EB3C66"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 xml:space="preserve">Objekti i zbatimit të këtij ligji është:  </w:t>
            </w:r>
          </w:p>
          <w:p w14:paraId="7B78DB8F"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a) ujërat e ndotura urbane;</w:t>
            </w:r>
          </w:p>
          <w:p w14:paraId="668BFA3A"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 xml:space="preserve">b) ujërat e ndotura industriale, sipas industrive të veçanta; </w:t>
            </w:r>
          </w:p>
          <w:p w14:paraId="230B77E3"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c) ujërat nga filtrimi i tokës bujqësore;</w:t>
            </w:r>
          </w:p>
          <w:p w14:paraId="0A02F9C3" w14:textId="3C439C0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ç) ujërat e ndotura të çdo</w:t>
            </w:r>
            <w:r w:rsidR="00565933" w:rsidRPr="00445472">
              <w:rPr>
                <w:rFonts w:ascii="Garamond" w:hAnsi="Garamond" w:cs="Arial"/>
                <w:sz w:val="18"/>
                <w:szCs w:val="18"/>
              </w:rPr>
              <w:t xml:space="preserve"> </w:t>
            </w:r>
            <w:r w:rsidRPr="00445472">
              <w:rPr>
                <w:rFonts w:ascii="Garamond" w:hAnsi="Garamond" w:cs="Arial"/>
                <w:sz w:val="18"/>
                <w:szCs w:val="18"/>
              </w:rPr>
              <w:t xml:space="preserve">lloji. </w:t>
            </w:r>
          </w:p>
          <w:p w14:paraId="2F346D75" w14:textId="08C59190"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Ligji përcakton: detyrimet e personave fizikë dhe juridikë, aktivitetet e të cilave shkarkojnë ujëra të</w:t>
            </w:r>
            <w:r w:rsidR="00565933" w:rsidRPr="00445472">
              <w:rPr>
                <w:rFonts w:ascii="Garamond" w:hAnsi="Garamond" w:cs="Arial"/>
                <w:sz w:val="18"/>
                <w:szCs w:val="18"/>
              </w:rPr>
              <w:t xml:space="preserve"> </w:t>
            </w:r>
            <w:r w:rsidRPr="00445472">
              <w:rPr>
                <w:rFonts w:ascii="Garamond" w:hAnsi="Garamond" w:cs="Arial"/>
                <w:sz w:val="18"/>
                <w:szCs w:val="18"/>
              </w:rPr>
              <w:t xml:space="preserve">ndotura; detyrat dhe kompetencat e institucioneve publike; përcakton trajtimin mjedisor të ujërave të ndotura; detyrat e personave përgjegjës për trajtimin e ujërave të ndotura; trajtimin e ujërave të ndotura industriale.       </w:t>
            </w:r>
          </w:p>
        </w:tc>
        <w:tc>
          <w:tcPr>
            <w:tcW w:w="0" w:type="pct"/>
            <w:shd w:val="clear" w:color="auto" w:fill="auto"/>
            <w:vAlign w:val="center"/>
          </w:tcPr>
          <w:p w14:paraId="0957DD27"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Institucionet e zbatimit të ligjit:</w:t>
            </w:r>
          </w:p>
          <w:p w14:paraId="0ACBC4C3" w14:textId="77777777" w:rsidR="00835F41" w:rsidRPr="00445472" w:rsidRDefault="00835F41" w:rsidP="0080598D">
            <w:pPr>
              <w:pStyle w:val="ListParagraph"/>
              <w:numPr>
                <w:ilvl w:val="0"/>
                <w:numId w:val="48"/>
              </w:numPr>
              <w:spacing w:after="40" w:line="240" w:lineRule="auto"/>
              <w:ind w:left="360"/>
              <w:rPr>
                <w:rFonts w:ascii="Garamond" w:hAnsi="Garamond" w:cs="Arial"/>
                <w:sz w:val="18"/>
                <w:szCs w:val="18"/>
              </w:rPr>
            </w:pPr>
            <w:r w:rsidRPr="00445472">
              <w:rPr>
                <w:rFonts w:ascii="Garamond" w:hAnsi="Garamond" w:cs="Arial"/>
                <w:sz w:val="18"/>
                <w:szCs w:val="18"/>
              </w:rPr>
              <w:t>Në nivel qendror</w:t>
            </w:r>
          </w:p>
          <w:p w14:paraId="46482B08" w14:textId="4149836C"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Këshilli i Ministrave për</w:t>
            </w:r>
            <w:r w:rsidR="00565933" w:rsidRPr="00445472">
              <w:rPr>
                <w:rFonts w:ascii="Garamond" w:hAnsi="Garamond" w:cs="Arial"/>
                <w:sz w:val="18"/>
                <w:szCs w:val="18"/>
              </w:rPr>
              <w:t xml:space="preserve"> </w:t>
            </w:r>
            <w:r w:rsidRPr="00445472">
              <w:rPr>
                <w:rFonts w:ascii="Garamond" w:hAnsi="Garamond" w:cs="Arial"/>
                <w:sz w:val="18"/>
                <w:szCs w:val="18"/>
              </w:rPr>
              <w:t>miratimin e akteve nënligjore</w:t>
            </w:r>
          </w:p>
          <w:p w14:paraId="59A7A29A"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 xml:space="preserve">Ministria e Bujqësisë dhe Zhvillimit Rural </w:t>
            </w:r>
          </w:p>
          <w:p w14:paraId="0F15DFD7"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Këshilli Kombëtar i Ujit (KKU)</w:t>
            </w:r>
          </w:p>
          <w:p w14:paraId="5538F22D"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Agjencia e Menaxhimit të Burimeve Ujore</w:t>
            </w:r>
          </w:p>
          <w:p w14:paraId="04AF9599" w14:textId="77777777" w:rsidR="00835F41" w:rsidRPr="00445472" w:rsidRDefault="00835F41" w:rsidP="0080598D">
            <w:pPr>
              <w:pStyle w:val="ListParagraph"/>
              <w:numPr>
                <w:ilvl w:val="0"/>
                <w:numId w:val="48"/>
              </w:numPr>
              <w:spacing w:after="40" w:line="240" w:lineRule="auto"/>
              <w:ind w:left="360"/>
              <w:rPr>
                <w:rFonts w:ascii="Garamond" w:hAnsi="Garamond" w:cs="Arial"/>
                <w:sz w:val="18"/>
                <w:szCs w:val="18"/>
              </w:rPr>
            </w:pPr>
            <w:r w:rsidRPr="00445472">
              <w:rPr>
                <w:rFonts w:ascii="Garamond" w:hAnsi="Garamond" w:cs="Arial"/>
                <w:sz w:val="18"/>
                <w:szCs w:val="18"/>
              </w:rPr>
              <w:t>Në nivel vendor:</w:t>
            </w:r>
          </w:p>
          <w:p w14:paraId="5F0ABB9D"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Këshilli i Baseneve Ujore</w:t>
            </w:r>
          </w:p>
          <w:p w14:paraId="39CC563E"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Zyrat e Administrimit të Baseneve Ujore</w:t>
            </w:r>
          </w:p>
          <w:p w14:paraId="6F156B0D"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Institucionet e Kontrollit:</w:t>
            </w:r>
          </w:p>
          <w:p w14:paraId="23B8CC75" w14:textId="77777777" w:rsidR="00835F41" w:rsidRPr="00445472" w:rsidRDefault="00835F41" w:rsidP="0080598D">
            <w:pPr>
              <w:pStyle w:val="ListParagraph"/>
              <w:numPr>
                <w:ilvl w:val="0"/>
                <w:numId w:val="46"/>
              </w:numPr>
              <w:spacing w:after="40" w:line="240" w:lineRule="auto"/>
              <w:ind w:left="360"/>
              <w:rPr>
                <w:rFonts w:ascii="Garamond" w:hAnsi="Garamond" w:cs="Arial"/>
                <w:sz w:val="18"/>
                <w:szCs w:val="18"/>
              </w:rPr>
            </w:pPr>
            <w:r w:rsidRPr="00445472">
              <w:rPr>
                <w:rFonts w:ascii="Garamond" w:hAnsi="Garamond" w:cs="Arial"/>
                <w:sz w:val="18"/>
                <w:szCs w:val="18"/>
              </w:rPr>
              <w:t>Inspektorati Shtetëror i Ujit</w:t>
            </w:r>
          </w:p>
          <w:p w14:paraId="03886C5D" w14:textId="77777777" w:rsidR="00835F41" w:rsidRPr="00445472" w:rsidRDefault="00835F41" w:rsidP="002A1F08">
            <w:pPr>
              <w:pStyle w:val="ListParagraph"/>
              <w:spacing w:after="40"/>
              <w:ind w:left="360"/>
              <w:rPr>
                <w:rFonts w:ascii="Garamond" w:hAnsi="Garamond" w:cs="Arial"/>
                <w:sz w:val="18"/>
                <w:szCs w:val="18"/>
              </w:rPr>
            </w:pPr>
            <w:r w:rsidRPr="00445472">
              <w:rPr>
                <w:rFonts w:ascii="Garamond" w:hAnsi="Garamond" w:cs="Arial"/>
                <w:sz w:val="18"/>
                <w:szCs w:val="18"/>
              </w:rPr>
              <w:t>Inspektorati Shtetëror Shëndetësor</w:t>
            </w:r>
          </w:p>
          <w:p w14:paraId="23B1E6AE" w14:textId="77777777" w:rsidR="00835F41" w:rsidRPr="00445472" w:rsidRDefault="00835F41" w:rsidP="0080598D">
            <w:pPr>
              <w:pStyle w:val="ListParagraph"/>
              <w:numPr>
                <w:ilvl w:val="0"/>
                <w:numId w:val="46"/>
              </w:numPr>
              <w:spacing w:before="120" w:after="40" w:line="264" w:lineRule="auto"/>
              <w:ind w:left="360"/>
              <w:rPr>
                <w:rFonts w:ascii="Garamond" w:hAnsi="Garamond" w:cs="Arial"/>
                <w:sz w:val="18"/>
                <w:szCs w:val="18"/>
              </w:rPr>
            </w:pPr>
            <w:r w:rsidRPr="00445472">
              <w:rPr>
                <w:rFonts w:ascii="Garamond" w:hAnsi="Garamond" w:cs="Arial"/>
                <w:sz w:val="18"/>
                <w:szCs w:val="18"/>
              </w:rPr>
              <w:t>Inspektorati Kombëtar i Mbrojtjes së Territorit</w:t>
            </w:r>
          </w:p>
          <w:p w14:paraId="7AEB7235"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Institucionet e Zbatimit të Ligjit:</w:t>
            </w:r>
          </w:p>
          <w:p w14:paraId="358942A8" w14:textId="77777777" w:rsidR="00835F41" w:rsidRPr="00445472" w:rsidRDefault="00835F41" w:rsidP="0080598D">
            <w:pPr>
              <w:pStyle w:val="ListParagraph"/>
              <w:numPr>
                <w:ilvl w:val="0"/>
                <w:numId w:val="50"/>
              </w:numPr>
              <w:spacing w:after="40" w:line="240" w:lineRule="auto"/>
              <w:rPr>
                <w:rFonts w:ascii="Garamond" w:hAnsi="Garamond" w:cs="Arial"/>
                <w:sz w:val="18"/>
                <w:szCs w:val="18"/>
              </w:rPr>
            </w:pPr>
            <w:r w:rsidRPr="00445472">
              <w:rPr>
                <w:rFonts w:ascii="Garamond" w:hAnsi="Garamond" w:cs="Arial"/>
                <w:sz w:val="18"/>
                <w:szCs w:val="18"/>
              </w:rPr>
              <w:t>Ministria e Turizmit dhe Mjedisit</w:t>
            </w:r>
          </w:p>
          <w:p w14:paraId="6DCEF3FB" w14:textId="77777777" w:rsidR="00835F41" w:rsidRPr="00445472" w:rsidRDefault="00835F41" w:rsidP="0080598D">
            <w:pPr>
              <w:pStyle w:val="ListParagraph"/>
              <w:numPr>
                <w:ilvl w:val="0"/>
                <w:numId w:val="50"/>
              </w:numPr>
              <w:spacing w:after="40" w:line="240" w:lineRule="auto"/>
              <w:rPr>
                <w:rFonts w:ascii="Garamond" w:hAnsi="Garamond" w:cs="Arial"/>
                <w:sz w:val="18"/>
                <w:szCs w:val="18"/>
              </w:rPr>
            </w:pPr>
            <w:r w:rsidRPr="00445472">
              <w:rPr>
                <w:rFonts w:ascii="Garamond" w:hAnsi="Garamond" w:cs="Arial"/>
                <w:sz w:val="18"/>
                <w:szCs w:val="18"/>
              </w:rPr>
              <w:t>Agjencia Kombëtare e Mjedisit</w:t>
            </w:r>
          </w:p>
          <w:p w14:paraId="3772D2EE" w14:textId="77777777" w:rsidR="00835F41" w:rsidRPr="00445472" w:rsidRDefault="00835F41" w:rsidP="0080598D">
            <w:pPr>
              <w:pStyle w:val="ListParagraph"/>
              <w:numPr>
                <w:ilvl w:val="0"/>
                <w:numId w:val="50"/>
              </w:numPr>
              <w:spacing w:after="40" w:line="240" w:lineRule="auto"/>
              <w:rPr>
                <w:rFonts w:ascii="Garamond" w:hAnsi="Garamond" w:cs="Arial"/>
                <w:sz w:val="18"/>
                <w:szCs w:val="18"/>
              </w:rPr>
            </w:pPr>
            <w:r w:rsidRPr="00445472">
              <w:rPr>
                <w:rFonts w:ascii="Garamond" w:hAnsi="Garamond" w:cs="Arial"/>
                <w:sz w:val="18"/>
                <w:szCs w:val="18"/>
              </w:rPr>
              <w:t>Agjencitë Mjedisore Rajonale</w:t>
            </w:r>
          </w:p>
          <w:p w14:paraId="4B12B9EB" w14:textId="77777777" w:rsidR="00835F41" w:rsidRPr="00445472" w:rsidRDefault="00835F41" w:rsidP="0080598D">
            <w:pPr>
              <w:pStyle w:val="ListParagraph"/>
              <w:numPr>
                <w:ilvl w:val="0"/>
                <w:numId w:val="50"/>
              </w:numPr>
              <w:spacing w:after="40" w:line="240" w:lineRule="auto"/>
              <w:rPr>
                <w:rFonts w:ascii="Garamond" w:hAnsi="Garamond" w:cs="Arial"/>
                <w:sz w:val="18"/>
                <w:szCs w:val="18"/>
              </w:rPr>
            </w:pPr>
            <w:r w:rsidRPr="00445472">
              <w:rPr>
                <w:rFonts w:ascii="Garamond" w:hAnsi="Garamond" w:cs="Arial"/>
                <w:sz w:val="18"/>
                <w:szCs w:val="18"/>
              </w:rPr>
              <w:t>Bashkitë</w:t>
            </w:r>
          </w:p>
          <w:p w14:paraId="287354D3" w14:textId="77777777" w:rsidR="00835F41" w:rsidRPr="00445472" w:rsidRDefault="00835F41" w:rsidP="002A1F08">
            <w:pPr>
              <w:spacing w:after="40"/>
              <w:ind w:left="360"/>
              <w:rPr>
                <w:rFonts w:ascii="Garamond" w:hAnsi="Garamond" w:cs="Arial"/>
                <w:sz w:val="18"/>
                <w:szCs w:val="18"/>
              </w:rPr>
            </w:pPr>
          </w:p>
          <w:p w14:paraId="6B89DE11"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Institucionet e Kontrollit:</w:t>
            </w:r>
          </w:p>
          <w:p w14:paraId="231933F4" w14:textId="77777777" w:rsidR="00835F41" w:rsidRPr="00445472" w:rsidRDefault="00835F41" w:rsidP="002A1F08">
            <w:pPr>
              <w:spacing w:after="40"/>
              <w:rPr>
                <w:rFonts w:ascii="Garamond" w:hAnsi="Garamond" w:cs="Arial"/>
                <w:sz w:val="18"/>
                <w:szCs w:val="18"/>
              </w:rPr>
            </w:pPr>
          </w:p>
          <w:p w14:paraId="18EAE232" w14:textId="77777777" w:rsidR="00835F41" w:rsidRPr="00445472" w:rsidRDefault="00835F41" w:rsidP="002A1F08">
            <w:pPr>
              <w:pStyle w:val="ListParagraph"/>
              <w:spacing w:after="40" w:line="240" w:lineRule="auto"/>
              <w:ind w:left="360"/>
              <w:rPr>
                <w:rFonts w:ascii="Garamond" w:hAnsi="Garamond" w:cs="Arial"/>
                <w:sz w:val="18"/>
                <w:szCs w:val="18"/>
              </w:rPr>
            </w:pPr>
            <w:r w:rsidRPr="00445472">
              <w:rPr>
                <w:rFonts w:ascii="Garamond" w:hAnsi="Garamond" w:cs="Arial"/>
                <w:sz w:val="18"/>
                <w:szCs w:val="18"/>
              </w:rPr>
              <w:t>Struktura përgjegjëse për kontrollin e mjedisit (AKM)</w:t>
            </w:r>
          </w:p>
          <w:p w14:paraId="05F467BE" w14:textId="77777777" w:rsidR="00835F41" w:rsidRPr="00445472" w:rsidRDefault="00835F41" w:rsidP="002A1F08">
            <w:pPr>
              <w:pStyle w:val="TableTextRight"/>
              <w:jc w:val="left"/>
              <w:rPr>
                <w:rFonts w:ascii="Garamond" w:hAnsi="Garamond" w:cs="Arial"/>
                <w:sz w:val="18"/>
                <w:szCs w:val="18"/>
                <w:lang w:val="sq-AL"/>
              </w:rPr>
            </w:pPr>
          </w:p>
        </w:tc>
      </w:tr>
      <w:tr w:rsidR="00835F41" w:rsidRPr="00445472" w14:paraId="249954C1" w14:textId="77777777" w:rsidTr="002C1894">
        <w:trPr>
          <w:jc w:val="center"/>
        </w:trPr>
        <w:tc>
          <w:tcPr>
            <w:tcW w:w="0" w:type="pct"/>
            <w:shd w:val="clear" w:color="auto" w:fill="auto"/>
            <w:vAlign w:val="center"/>
          </w:tcPr>
          <w:p w14:paraId="0AFD21A4" w14:textId="57FE71B4" w:rsidR="00835F41" w:rsidRPr="00445472" w:rsidRDefault="00835F41" w:rsidP="00565933">
            <w:pPr>
              <w:pStyle w:val="TableTextLeft"/>
              <w:rPr>
                <w:rFonts w:ascii="Garamond" w:hAnsi="Garamond" w:cs="Arial"/>
                <w:sz w:val="18"/>
                <w:szCs w:val="18"/>
                <w:lang w:val="sq-AL"/>
              </w:rPr>
            </w:pPr>
            <w:r w:rsidRPr="00445472">
              <w:rPr>
                <w:rFonts w:ascii="Garamond" w:hAnsi="Garamond" w:cs="Arial"/>
                <w:sz w:val="18"/>
                <w:szCs w:val="18"/>
                <w:lang w:val="sq-AL"/>
              </w:rPr>
              <w:t>Direktiva 2000/59</w:t>
            </w:r>
            <w:r w:rsidR="001D340B" w:rsidRPr="00445472">
              <w:rPr>
                <w:rFonts w:ascii="Garamond" w:hAnsi="Garamond" w:cs="Arial"/>
                <w:sz w:val="18"/>
                <w:szCs w:val="18"/>
                <w:lang w:val="sq-AL"/>
              </w:rPr>
              <w:t>/</w:t>
            </w:r>
            <w:r w:rsidRPr="00445472">
              <w:rPr>
                <w:rFonts w:ascii="Garamond" w:hAnsi="Garamond" w:cs="Arial"/>
                <w:sz w:val="18"/>
                <w:szCs w:val="18"/>
                <w:lang w:val="sq-AL"/>
              </w:rPr>
              <w:t>EC 27.11.2000</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pajisjet prit</w:t>
            </w:r>
            <w:r w:rsidR="00565933" w:rsidRPr="00445472">
              <w:rPr>
                <w:rFonts w:ascii="Garamond" w:hAnsi="Garamond" w:cs="Arial"/>
                <w:sz w:val="18"/>
                <w:szCs w:val="18"/>
                <w:lang w:val="sq-AL"/>
              </w:rPr>
              <w:t>ë</w:t>
            </w:r>
            <w:r w:rsidRPr="00445472">
              <w:rPr>
                <w:rFonts w:ascii="Garamond" w:hAnsi="Garamond" w:cs="Arial"/>
                <w:sz w:val="18"/>
                <w:szCs w:val="18"/>
                <w:lang w:val="sq-AL"/>
              </w:rPr>
              <w:t>se</w:t>
            </w:r>
            <w:r w:rsidR="00565933" w:rsidRPr="00445472">
              <w:rPr>
                <w:rFonts w:ascii="Garamond" w:hAnsi="Garamond" w:cs="Arial"/>
                <w:sz w:val="18"/>
                <w:szCs w:val="18"/>
                <w:lang w:val="sq-AL"/>
              </w:rPr>
              <w:t xml:space="preserve"> </w:t>
            </w:r>
            <w:r w:rsidRPr="00445472">
              <w:rPr>
                <w:rFonts w:ascii="Garamond" w:hAnsi="Garamond" w:cs="Arial"/>
                <w:sz w:val="18"/>
                <w:szCs w:val="18"/>
                <w:lang w:val="sq-AL"/>
              </w:rPr>
              <w:t>në port për mbeturinat e krijuara nga anija dhe mbetjet e ngarkesave</w:t>
            </w:r>
            <w:r w:rsidR="00D62EDF" w:rsidRPr="00445472">
              <w:rPr>
                <w:rFonts w:ascii="Garamond" w:hAnsi="Garamond" w:cs="Arial"/>
                <w:sz w:val="18"/>
                <w:szCs w:val="18"/>
                <w:lang w:val="sq-AL"/>
              </w:rPr>
              <w:t>”</w:t>
            </w:r>
            <w:r w:rsidRPr="00445472">
              <w:rPr>
                <w:rFonts w:ascii="Garamond" w:hAnsi="Garamond" w:cs="Arial"/>
                <w:sz w:val="18"/>
                <w:szCs w:val="18"/>
                <w:lang w:val="sq-AL"/>
              </w:rPr>
              <w:t>.</w:t>
            </w:r>
          </w:p>
        </w:tc>
        <w:tc>
          <w:tcPr>
            <w:tcW w:w="0" w:type="pct"/>
            <w:shd w:val="clear" w:color="auto" w:fill="auto"/>
            <w:vAlign w:val="center"/>
          </w:tcPr>
          <w:p w14:paraId="2C0051D8"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Nuk ka raportim për këtë Direktivë</w:t>
            </w:r>
          </w:p>
          <w:p w14:paraId="235086F7" w14:textId="77777777"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Kjo nuk është pjesë e IKMM-ve.</w:t>
            </w:r>
          </w:p>
          <w:p w14:paraId="63566DBF" w14:textId="77777777" w:rsidR="00835F41" w:rsidRPr="00445472" w:rsidRDefault="00835F41" w:rsidP="002A1F08">
            <w:pPr>
              <w:pStyle w:val="TableTextRight"/>
              <w:jc w:val="left"/>
              <w:rPr>
                <w:rFonts w:ascii="Garamond" w:hAnsi="Garamond" w:cs="Arial"/>
                <w:sz w:val="18"/>
                <w:szCs w:val="18"/>
                <w:lang w:val="sq-AL"/>
              </w:rPr>
            </w:pPr>
          </w:p>
        </w:tc>
        <w:tc>
          <w:tcPr>
            <w:tcW w:w="0" w:type="pct"/>
            <w:shd w:val="clear" w:color="auto" w:fill="auto"/>
            <w:vAlign w:val="center"/>
          </w:tcPr>
          <w:p w14:paraId="05BD2530" w14:textId="77777777" w:rsidR="00835F41" w:rsidRPr="00445472" w:rsidRDefault="00835F41" w:rsidP="002A1F08">
            <w:pPr>
              <w:pStyle w:val="TableTextRight"/>
              <w:tabs>
                <w:tab w:val="left" w:pos="1587"/>
              </w:tabs>
              <w:jc w:val="left"/>
              <w:rPr>
                <w:rFonts w:ascii="Garamond" w:hAnsi="Garamond" w:cs="Arial"/>
                <w:sz w:val="18"/>
                <w:szCs w:val="18"/>
                <w:lang w:val="sq-AL"/>
              </w:rPr>
            </w:pPr>
          </w:p>
        </w:tc>
        <w:tc>
          <w:tcPr>
            <w:tcW w:w="0" w:type="pct"/>
            <w:shd w:val="clear" w:color="auto" w:fill="auto"/>
            <w:vAlign w:val="center"/>
          </w:tcPr>
          <w:p w14:paraId="44484C06" w14:textId="77777777" w:rsidR="00835F41" w:rsidRPr="00445472" w:rsidRDefault="00835F41" w:rsidP="002A1F08">
            <w:pPr>
              <w:pStyle w:val="TableTextRight"/>
              <w:jc w:val="left"/>
              <w:rPr>
                <w:rFonts w:ascii="Garamond" w:hAnsi="Garamond" w:cs="Arial"/>
                <w:sz w:val="18"/>
                <w:szCs w:val="18"/>
                <w:lang w:val="sq-AL"/>
              </w:rPr>
            </w:pPr>
          </w:p>
        </w:tc>
      </w:tr>
      <w:tr w:rsidR="00835F41" w:rsidRPr="00445472" w14:paraId="409077B6" w14:textId="77777777" w:rsidTr="002C1894">
        <w:trPr>
          <w:jc w:val="center"/>
        </w:trPr>
        <w:tc>
          <w:tcPr>
            <w:tcW w:w="0" w:type="pct"/>
            <w:shd w:val="clear" w:color="auto" w:fill="auto"/>
            <w:vAlign w:val="center"/>
          </w:tcPr>
          <w:p w14:paraId="29552A09" w14:textId="082CC9F1"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Direktiva 2008/56</w:t>
            </w:r>
            <w:r w:rsidR="001D340B" w:rsidRPr="00445472">
              <w:rPr>
                <w:rFonts w:ascii="Garamond" w:hAnsi="Garamond" w:cs="Arial"/>
                <w:sz w:val="18"/>
                <w:szCs w:val="18"/>
              </w:rPr>
              <w:t>/</w:t>
            </w:r>
            <w:r w:rsidR="00A22CE0">
              <w:rPr>
                <w:rFonts w:ascii="Garamond" w:hAnsi="Garamond" w:cs="Arial"/>
                <w:sz w:val="18"/>
                <w:szCs w:val="18"/>
              </w:rPr>
              <w:t>EC 17.</w:t>
            </w:r>
            <w:r w:rsidRPr="00445472">
              <w:rPr>
                <w:rFonts w:ascii="Garamond" w:hAnsi="Garamond" w:cs="Arial"/>
                <w:sz w:val="18"/>
                <w:szCs w:val="18"/>
              </w:rPr>
              <w:t>6.2008</w:t>
            </w:r>
            <w:r w:rsidR="00D62EDF" w:rsidRPr="00445472">
              <w:rPr>
                <w:rFonts w:ascii="Garamond" w:hAnsi="Garamond" w:cs="Arial"/>
                <w:sz w:val="18"/>
                <w:szCs w:val="18"/>
              </w:rPr>
              <w:t xml:space="preserve">, “Për </w:t>
            </w:r>
            <w:r w:rsidRPr="00445472">
              <w:rPr>
                <w:rFonts w:ascii="Garamond" w:hAnsi="Garamond" w:cs="Arial"/>
                <w:sz w:val="18"/>
                <w:szCs w:val="18"/>
              </w:rPr>
              <w:t>përcaktimin e një kuadri për veprim në komunitet në fushën e politikës së mjedisit detar</w:t>
            </w:r>
            <w:r w:rsidR="00D62EDF" w:rsidRPr="00445472">
              <w:rPr>
                <w:rFonts w:ascii="Garamond" w:hAnsi="Garamond" w:cs="Arial"/>
                <w:sz w:val="18"/>
                <w:szCs w:val="18"/>
              </w:rPr>
              <w:t>”</w:t>
            </w:r>
          </w:p>
        </w:tc>
        <w:tc>
          <w:tcPr>
            <w:tcW w:w="0" w:type="pct"/>
            <w:shd w:val="clear" w:color="auto" w:fill="auto"/>
            <w:vAlign w:val="center"/>
          </w:tcPr>
          <w:p w14:paraId="433A5E68" w14:textId="77777777" w:rsidR="00835F41" w:rsidRPr="00445472" w:rsidRDefault="00835F41" w:rsidP="002A1F08">
            <w:pPr>
              <w:pStyle w:val="TableTextRight"/>
              <w:jc w:val="left"/>
              <w:rPr>
                <w:rFonts w:ascii="Garamond" w:hAnsi="Garamond" w:cs="Arial"/>
                <w:sz w:val="18"/>
                <w:szCs w:val="18"/>
                <w:lang w:val="sq-AL"/>
              </w:rPr>
            </w:pPr>
            <w:r w:rsidRPr="00445472">
              <w:rPr>
                <w:rFonts w:ascii="Garamond" w:hAnsi="Garamond" w:cs="Arial"/>
                <w:sz w:val="18"/>
                <w:szCs w:val="18"/>
                <w:lang w:val="sq-AL"/>
              </w:rPr>
              <w:t>Nuk është transpozuar</w:t>
            </w:r>
          </w:p>
        </w:tc>
        <w:tc>
          <w:tcPr>
            <w:tcW w:w="0" w:type="pct"/>
            <w:shd w:val="clear" w:color="auto" w:fill="auto"/>
            <w:vAlign w:val="center"/>
          </w:tcPr>
          <w:p w14:paraId="31448C08" w14:textId="5EC356B7" w:rsidR="00835F41" w:rsidRPr="00445472" w:rsidRDefault="00835F41" w:rsidP="002A1F08">
            <w:pPr>
              <w:pStyle w:val="TableTextRight"/>
              <w:tabs>
                <w:tab w:val="left" w:pos="1587"/>
              </w:tabs>
              <w:jc w:val="left"/>
              <w:rPr>
                <w:rFonts w:ascii="Garamond" w:hAnsi="Garamond" w:cs="Arial"/>
                <w:sz w:val="18"/>
                <w:szCs w:val="18"/>
                <w:lang w:val="sq-AL"/>
              </w:rPr>
            </w:pPr>
            <w:r w:rsidRPr="00445472">
              <w:rPr>
                <w:rFonts w:ascii="Garamond" w:hAnsi="Garamond" w:cs="Arial"/>
                <w:sz w:val="18"/>
                <w:szCs w:val="18"/>
                <w:lang w:val="sq-AL"/>
              </w:rPr>
              <w:t>Është duke u hartuar një projekt-vendim</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përmbajtjen, zhvillimin dhe zbatimin e Strategjisë së Mjedisit Detar</w:t>
            </w:r>
            <w:r w:rsidR="00D62EDF" w:rsidRPr="00445472">
              <w:rPr>
                <w:rFonts w:ascii="Garamond" w:hAnsi="Garamond" w:cs="Arial"/>
                <w:sz w:val="18"/>
                <w:szCs w:val="18"/>
                <w:lang w:val="sq-AL"/>
              </w:rPr>
              <w:t>”</w:t>
            </w:r>
            <w:r w:rsidRPr="00445472">
              <w:rPr>
                <w:rFonts w:ascii="Garamond" w:hAnsi="Garamond" w:cs="Arial"/>
                <w:sz w:val="18"/>
                <w:szCs w:val="18"/>
                <w:lang w:val="sq-AL"/>
              </w:rPr>
              <w:t xml:space="preserve">, i cili ende nuk është pjesë e një matrice konkrete apo plani pune për miratim.         </w:t>
            </w:r>
          </w:p>
        </w:tc>
        <w:tc>
          <w:tcPr>
            <w:tcW w:w="0" w:type="pct"/>
            <w:shd w:val="clear" w:color="auto" w:fill="auto"/>
            <w:vAlign w:val="center"/>
          </w:tcPr>
          <w:p w14:paraId="2DBCD6FD" w14:textId="77777777" w:rsidR="00835F41" w:rsidRPr="00445472" w:rsidRDefault="00835F41" w:rsidP="002A1F08">
            <w:pPr>
              <w:pStyle w:val="TableTextRight"/>
              <w:jc w:val="left"/>
              <w:rPr>
                <w:rFonts w:ascii="Garamond" w:hAnsi="Garamond" w:cs="Arial"/>
                <w:sz w:val="18"/>
                <w:szCs w:val="18"/>
                <w:lang w:val="sq-AL"/>
              </w:rPr>
            </w:pPr>
          </w:p>
        </w:tc>
      </w:tr>
      <w:tr w:rsidR="00835F41" w:rsidRPr="00445472" w14:paraId="13A1B5AF" w14:textId="77777777" w:rsidTr="002C1894">
        <w:trPr>
          <w:jc w:val="center"/>
        </w:trPr>
        <w:tc>
          <w:tcPr>
            <w:tcW w:w="1002" w:type="pct"/>
            <w:shd w:val="clear" w:color="auto" w:fill="auto"/>
            <w:vAlign w:val="center"/>
          </w:tcPr>
          <w:p w14:paraId="014D45C1" w14:textId="740FCCED"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98/83</w:t>
            </w:r>
            <w:r w:rsidR="001D340B" w:rsidRPr="00445472">
              <w:rPr>
                <w:rFonts w:ascii="Garamond" w:hAnsi="Garamond" w:cs="Arial"/>
                <w:sz w:val="18"/>
                <w:szCs w:val="18"/>
                <w:lang w:val="sq-AL"/>
              </w:rPr>
              <w:t>/</w:t>
            </w:r>
            <w:r w:rsidR="00565933" w:rsidRPr="00445472">
              <w:rPr>
                <w:rFonts w:ascii="Garamond" w:hAnsi="Garamond" w:cs="Arial"/>
                <w:sz w:val="18"/>
                <w:szCs w:val="18"/>
                <w:lang w:val="sq-AL"/>
              </w:rPr>
              <w:t xml:space="preserve">EC </w:t>
            </w:r>
            <w:r w:rsidRPr="00445472">
              <w:rPr>
                <w:rFonts w:ascii="Garamond" w:hAnsi="Garamond" w:cs="Arial"/>
                <w:sz w:val="18"/>
                <w:szCs w:val="18"/>
                <w:lang w:val="sq-AL"/>
              </w:rPr>
              <w:t>3.11.1998</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cilësinë e ujit të përcaktuar për konsum njerëzor</w:t>
            </w:r>
            <w:r w:rsidR="00D62EDF" w:rsidRPr="00445472">
              <w:rPr>
                <w:rFonts w:ascii="Garamond" w:hAnsi="Garamond" w:cs="Arial"/>
                <w:sz w:val="18"/>
                <w:szCs w:val="18"/>
                <w:lang w:val="sq-AL"/>
              </w:rPr>
              <w:t>”</w:t>
            </w:r>
          </w:p>
        </w:tc>
        <w:tc>
          <w:tcPr>
            <w:tcW w:w="1332" w:type="pct"/>
            <w:shd w:val="clear" w:color="auto" w:fill="auto"/>
            <w:vAlign w:val="center"/>
          </w:tcPr>
          <w:p w14:paraId="0C79BF47" w14:textId="15A4D701" w:rsidR="00835F41" w:rsidRPr="00445472" w:rsidRDefault="00835F41" w:rsidP="002A1F08">
            <w:pPr>
              <w:spacing w:after="40"/>
              <w:rPr>
                <w:rFonts w:ascii="Garamond" w:hAnsi="Garamond" w:cs="Arial"/>
                <w:bCs/>
                <w:spacing w:val="-2"/>
                <w:sz w:val="18"/>
                <w:szCs w:val="18"/>
              </w:rPr>
            </w:pPr>
            <w:r w:rsidRPr="00445472">
              <w:rPr>
                <w:rFonts w:ascii="Garamond" w:hAnsi="Garamond" w:cs="Arial"/>
                <w:bCs/>
                <w:spacing w:val="-2"/>
                <w:sz w:val="18"/>
                <w:szCs w:val="18"/>
              </w:rPr>
              <w:t>VKM</w:t>
            </w:r>
            <w:r w:rsidR="00565933" w:rsidRPr="00445472">
              <w:rPr>
                <w:rFonts w:ascii="Garamond" w:hAnsi="Garamond" w:cs="Arial"/>
                <w:bCs/>
                <w:spacing w:val="-2"/>
                <w:sz w:val="18"/>
                <w:szCs w:val="18"/>
              </w:rPr>
              <w:t xml:space="preserve"> nr</w:t>
            </w:r>
            <w:r w:rsidRPr="00445472">
              <w:rPr>
                <w:rFonts w:ascii="Garamond" w:hAnsi="Garamond" w:cs="Arial"/>
                <w:bCs/>
                <w:spacing w:val="-2"/>
                <w:sz w:val="18"/>
                <w:szCs w:val="18"/>
              </w:rPr>
              <w:t>. 379, datë</w:t>
            </w:r>
            <w:r w:rsidR="00565933" w:rsidRPr="00445472">
              <w:rPr>
                <w:rFonts w:ascii="Garamond" w:hAnsi="Garamond" w:cs="Arial"/>
                <w:bCs/>
                <w:spacing w:val="-2"/>
                <w:sz w:val="18"/>
                <w:szCs w:val="18"/>
              </w:rPr>
              <w:t xml:space="preserve"> </w:t>
            </w:r>
            <w:r w:rsidRPr="00445472">
              <w:rPr>
                <w:rFonts w:ascii="Garamond" w:hAnsi="Garamond" w:cs="Arial"/>
                <w:bCs/>
                <w:spacing w:val="-2"/>
                <w:sz w:val="18"/>
                <w:szCs w:val="18"/>
              </w:rPr>
              <w:t>25.5.2016</w:t>
            </w:r>
          </w:p>
          <w:p w14:paraId="35ABC92E" w14:textId="5A4EE15F" w:rsidR="00835F41" w:rsidRPr="00445472" w:rsidRDefault="00D62EDF" w:rsidP="002A1F08">
            <w:pPr>
              <w:spacing w:after="40"/>
              <w:rPr>
                <w:rFonts w:ascii="Garamond" w:hAnsi="Garamond" w:cs="Arial"/>
                <w:b/>
                <w:sz w:val="18"/>
                <w:szCs w:val="18"/>
              </w:rPr>
            </w:pPr>
            <w:r w:rsidRPr="00445472">
              <w:rPr>
                <w:rFonts w:ascii="Garamond" w:hAnsi="Garamond" w:cs="Arial"/>
                <w:bCs/>
                <w:spacing w:val="-2"/>
                <w:sz w:val="18"/>
                <w:szCs w:val="18"/>
              </w:rPr>
              <w:t>“</w:t>
            </w:r>
            <w:r w:rsidR="00835F41" w:rsidRPr="00445472">
              <w:rPr>
                <w:rFonts w:ascii="Garamond" w:hAnsi="Garamond" w:cs="Arial"/>
                <w:bCs/>
                <w:spacing w:val="-2"/>
                <w:sz w:val="18"/>
                <w:szCs w:val="18"/>
              </w:rPr>
              <w:t xml:space="preserve">Për miratimin e rregullores </w:t>
            </w:r>
            <w:r w:rsidRPr="00445472">
              <w:rPr>
                <w:rFonts w:ascii="Garamond" w:hAnsi="Garamond" w:cs="Arial"/>
                <w:bCs/>
                <w:spacing w:val="-2"/>
                <w:sz w:val="18"/>
                <w:szCs w:val="18"/>
              </w:rPr>
              <w:t>“</w:t>
            </w:r>
            <w:r w:rsidR="00835F41" w:rsidRPr="00445472">
              <w:rPr>
                <w:rFonts w:ascii="Garamond" w:hAnsi="Garamond" w:cs="Arial"/>
                <w:bCs/>
                <w:spacing w:val="-2"/>
                <w:sz w:val="18"/>
                <w:szCs w:val="18"/>
              </w:rPr>
              <w:t>Cilësia e ujit të përcaktuar për konsum njerëzor</w:t>
            </w:r>
            <w:r w:rsidRPr="00445472">
              <w:rPr>
                <w:rFonts w:ascii="Garamond" w:hAnsi="Garamond" w:cs="Arial"/>
                <w:b/>
                <w:bCs/>
                <w:spacing w:val="-4"/>
                <w:sz w:val="18"/>
                <w:szCs w:val="18"/>
              </w:rPr>
              <w:t>”</w:t>
            </w:r>
          </w:p>
          <w:p w14:paraId="1A51CC82" w14:textId="77777777" w:rsidR="00835F41" w:rsidRPr="00445472" w:rsidRDefault="00835F41" w:rsidP="002A1F08">
            <w:pPr>
              <w:spacing w:after="40"/>
              <w:rPr>
                <w:rFonts w:ascii="Garamond" w:hAnsi="Garamond" w:cs="Arial"/>
                <w:b/>
                <w:sz w:val="18"/>
                <w:szCs w:val="18"/>
              </w:rPr>
            </w:pPr>
          </w:p>
          <w:p w14:paraId="4F1F4A7A" w14:textId="77777777" w:rsidR="00835F41" w:rsidRPr="00445472" w:rsidRDefault="00835F41" w:rsidP="002A1F08">
            <w:pPr>
              <w:autoSpaceDE w:val="0"/>
              <w:autoSpaceDN w:val="0"/>
              <w:adjustRightInd w:val="0"/>
              <w:spacing w:after="40"/>
              <w:rPr>
                <w:rFonts w:ascii="Garamond" w:eastAsia="Arial" w:hAnsi="Garamond" w:cs="Arial"/>
                <w:bCs/>
                <w:sz w:val="18"/>
                <w:szCs w:val="18"/>
              </w:rPr>
            </w:pPr>
            <w:r w:rsidRPr="00445472">
              <w:rPr>
                <w:rFonts w:ascii="Garamond" w:eastAsia="Arial" w:hAnsi="Garamond" w:cs="Arial"/>
                <w:bCs/>
                <w:sz w:val="18"/>
                <w:szCs w:val="18"/>
              </w:rPr>
              <w:t>VKM nr. 63, datë 27.1.2016</w:t>
            </w:r>
          </w:p>
          <w:p w14:paraId="7E790D72" w14:textId="76B43E46" w:rsidR="00835F41" w:rsidRPr="00445472" w:rsidRDefault="00D62EDF" w:rsidP="002A1F08">
            <w:pPr>
              <w:autoSpaceDE w:val="0"/>
              <w:autoSpaceDN w:val="0"/>
              <w:adjustRightInd w:val="0"/>
              <w:spacing w:after="40"/>
              <w:rPr>
                <w:rFonts w:ascii="Garamond" w:hAnsi="Garamond" w:cs="Arial"/>
                <w:sz w:val="18"/>
                <w:szCs w:val="18"/>
              </w:rPr>
            </w:pPr>
            <w:r w:rsidRPr="00445472">
              <w:rPr>
                <w:rFonts w:ascii="Garamond" w:eastAsia="Arial" w:hAnsi="Garamond" w:cs="Arial"/>
                <w:bCs/>
                <w:sz w:val="18"/>
                <w:szCs w:val="18"/>
              </w:rPr>
              <w:t>“</w:t>
            </w:r>
            <w:r w:rsidR="00835F41" w:rsidRPr="00445472">
              <w:rPr>
                <w:rFonts w:ascii="Garamond" w:eastAsia="Arial" w:hAnsi="Garamond" w:cs="Arial"/>
                <w:bCs/>
                <w:sz w:val="18"/>
                <w:szCs w:val="18"/>
              </w:rPr>
              <w:t>Për riorganizimin e operatorëve që ofrojnë shërbimin e furnizimit me ujë të pijshëm, grumbullimin, largimin dhe trajtimin e ujërave të ndotura</w:t>
            </w:r>
            <w:r w:rsidRPr="00445472">
              <w:rPr>
                <w:rFonts w:ascii="Garamond" w:eastAsia="Arial" w:hAnsi="Garamond" w:cs="Arial"/>
                <w:bCs/>
                <w:sz w:val="18"/>
                <w:szCs w:val="18"/>
              </w:rPr>
              <w:t>”</w:t>
            </w:r>
          </w:p>
          <w:p w14:paraId="0505DA89" w14:textId="77777777" w:rsidR="00835F41" w:rsidRPr="00445472" w:rsidRDefault="00835F41" w:rsidP="002A1F08">
            <w:pPr>
              <w:pStyle w:val="TableTextRight"/>
              <w:jc w:val="left"/>
              <w:rPr>
                <w:rFonts w:ascii="Garamond" w:hAnsi="Garamond" w:cs="Arial"/>
                <w:sz w:val="18"/>
                <w:szCs w:val="18"/>
                <w:lang w:val="sq-AL"/>
              </w:rPr>
            </w:pPr>
          </w:p>
        </w:tc>
        <w:tc>
          <w:tcPr>
            <w:tcW w:w="1333" w:type="pct"/>
            <w:shd w:val="clear" w:color="auto" w:fill="auto"/>
            <w:vAlign w:val="center"/>
          </w:tcPr>
          <w:p w14:paraId="4C9D60A8" w14:textId="77777777" w:rsidR="00835F41" w:rsidRPr="00445472" w:rsidRDefault="00835F41" w:rsidP="002A1F08">
            <w:pPr>
              <w:tabs>
                <w:tab w:val="left" w:pos="1587"/>
              </w:tabs>
              <w:spacing w:after="40"/>
              <w:jc w:val="both"/>
              <w:rPr>
                <w:rFonts w:ascii="Garamond" w:hAnsi="Garamond" w:cs="Arial"/>
                <w:spacing w:val="-4"/>
                <w:sz w:val="18"/>
                <w:szCs w:val="18"/>
              </w:rPr>
            </w:pPr>
            <w:r w:rsidRPr="00445472">
              <w:rPr>
                <w:rFonts w:ascii="Garamond" w:hAnsi="Garamond" w:cs="Arial"/>
                <w:spacing w:val="-4"/>
                <w:sz w:val="18"/>
                <w:szCs w:val="18"/>
              </w:rPr>
              <w:t>Kjo rregullore përcakton kërkesat e cilësisë së ujit të pijshëm, për mbrojtjen e shëndetit publik nga efektet e dëmshme që rrjedhin nga ndotja e tij, duke garantuar që uji të jetë i sigurt dhe i pastër.</w:t>
            </w:r>
          </w:p>
          <w:p w14:paraId="4C91F149" w14:textId="6C78964D" w:rsidR="00835F41" w:rsidRPr="00445472" w:rsidRDefault="00D62EDF" w:rsidP="002A1F08">
            <w:pPr>
              <w:pStyle w:val="TableTextRight"/>
              <w:tabs>
                <w:tab w:val="left" w:pos="1587"/>
              </w:tabs>
              <w:jc w:val="both"/>
              <w:rPr>
                <w:rFonts w:ascii="Garamond" w:hAnsi="Garamond" w:cs="Arial"/>
                <w:sz w:val="18"/>
                <w:szCs w:val="18"/>
                <w:lang w:val="sq-AL"/>
              </w:rPr>
            </w:pPr>
            <w:r w:rsidRPr="00445472">
              <w:rPr>
                <w:rFonts w:ascii="Garamond" w:hAnsi="Garamond" w:cs="Arial"/>
                <w:spacing w:val="-4"/>
                <w:sz w:val="18"/>
                <w:szCs w:val="18"/>
                <w:lang w:val="sq-AL"/>
              </w:rPr>
              <w:t>“</w:t>
            </w:r>
            <w:r w:rsidR="00835F41" w:rsidRPr="00445472">
              <w:rPr>
                <w:rFonts w:ascii="Garamond" w:hAnsi="Garamond" w:cs="Arial"/>
                <w:spacing w:val="-4"/>
                <w:sz w:val="18"/>
                <w:szCs w:val="18"/>
                <w:lang w:val="sq-AL"/>
              </w:rPr>
              <w:t>Ujë i pijshëm</w:t>
            </w:r>
            <w:r w:rsidRPr="00445472">
              <w:rPr>
                <w:rFonts w:ascii="Garamond" w:hAnsi="Garamond" w:cs="Arial"/>
                <w:spacing w:val="-4"/>
                <w:sz w:val="18"/>
                <w:szCs w:val="18"/>
                <w:lang w:val="sq-AL"/>
              </w:rPr>
              <w:t>”</w:t>
            </w:r>
            <w:r w:rsidR="00835F41" w:rsidRPr="00445472">
              <w:rPr>
                <w:rFonts w:ascii="Garamond" w:hAnsi="Garamond" w:cs="Arial"/>
                <w:spacing w:val="-4"/>
                <w:sz w:val="18"/>
                <w:szCs w:val="18"/>
                <w:lang w:val="sq-AL"/>
              </w:rPr>
              <w:t xml:space="preserve"> është uji i përcaktuar për konsum njerëzor, duke përfshirë: a) ujërat e trajtuara ose të patrajtuara, të përcaktuar për pije, gatim, përgatitjen e ushqimit dhe nevojat e higjienës, pavarësisht prej origjinës së tyre dhe ku ato furnizohen nga një rrjet publik ose privat i shpërndarjes. depozitat, rezervuarët e ujit, nga puset individuale ose kolektive, uji në shishe; b) Uji i përdorur në ndërmarrjet e prodhimit të ushqimit për prodhimin, fabrikimin, përpunimin, mbajtjen ose tregtimin e produkteve ose substancave të destinuara për përdorim njerëzor</w:t>
            </w:r>
            <w:r w:rsidR="008F0A9F" w:rsidRPr="00445472">
              <w:rPr>
                <w:rFonts w:ascii="Garamond" w:hAnsi="Garamond" w:cs="Arial"/>
                <w:spacing w:val="-4"/>
                <w:sz w:val="18"/>
                <w:szCs w:val="18"/>
                <w:lang w:val="sq-AL"/>
              </w:rPr>
              <w:t>, si dhe</w:t>
            </w:r>
            <w:r w:rsidR="00835F41" w:rsidRPr="00445472">
              <w:rPr>
                <w:rFonts w:ascii="Garamond" w:hAnsi="Garamond" w:cs="Arial"/>
                <w:spacing w:val="-4"/>
                <w:sz w:val="18"/>
                <w:szCs w:val="18"/>
                <w:lang w:val="sq-AL"/>
              </w:rPr>
              <w:t xml:space="preserve"> për pastrimin e sipërfaqeve, objekteve ose materialeve që mund të jenë në kontakt me produktet ushqimore; c) produktet ushqimore me origjinë nga uji; ç) Uji i përcaktuar për përdorim njerëzor, si pjesë e një veprimtarie tregtare ose publike, pavarësisht nga sasia mesatare e furnizimit me ujë në ditë</w:t>
            </w:r>
            <w:r w:rsidR="00835F41" w:rsidRPr="00445472">
              <w:rPr>
                <w:rFonts w:ascii="Garamond" w:hAnsi="Garamond" w:cs="Arial"/>
                <w:sz w:val="18"/>
                <w:szCs w:val="18"/>
                <w:lang w:val="sq-AL"/>
              </w:rPr>
              <w:t xml:space="preserve">. </w:t>
            </w:r>
          </w:p>
        </w:tc>
        <w:tc>
          <w:tcPr>
            <w:tcW w:w="1333" w:type="pct"/>
            <w:shd w:val="clear" w:color="auto" w:fill="auto"/>
            <w:vAlign w:val="center"/>
          </w:tcPr>
          <w:p w14:paraId="15E258B6" w14:textId="77777777" w:rsidR="00835F41" w:rsidRPr="00445472" w:rsidRDefault="00835F41" w:rsidP="002A1F08">
            <w:pPr>
              <w:spacing w:after="40"/>
              <w:ind w:left="360"/>
              <w:rPr>
                <w:rFonts w:ascii="Garamond" w:hAnsi="Garamond" w:cs="Arial"/>
                <w:sz w:val="18"/>
                <w:szCs w:val="18"/>
              </w:rPr>
            </w:pPr>
            <w:r w:rsidRPr="00445472">
              <w:rPr>
                <w:rFonts w:ascii="Garamond" w:hAnsi="Garamond" w:cs="Arial"/>
                <w:sz w:val="18"/>
                <w:szCs w:val="18"/>
              </w:rPr>
              <w:t>Institucionet e Zbatimit të Ligjit:</w:t>
            </w:r>
          </w:p>
          <w:p w14:paraId="2771F3C5" w14:textId="77777777" w:rsidR="00835F41" w:rsidRPr="00445472" w:rsidRDefault="00835F41" w:rsidP="002A1F08">
            <w:pPr>
              <w:spacing w:after="40"/>
              <w:rPr>
                <w:rFonts w:ascii="Garamond" w:hAnsi="Garamond" w:cs="Arial"/>
                <w:sz w:val="18"/>
                <w:szCs w:val="18"/>
              </w:rPr>
            </w:pPr>
          </w:p>
          <w:p w14:paraId="59A18224"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z w:val="18"/>
                <w:szCs w:val="18"/>
              </w:rPr>
              <w:t>Ministria e Shëndetësisë dhe Mbrojtjes Sociale,</w:t>
            </w:r>
          </w:p>
          <w:p w14:paraId="240A740D"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pacing w:val="-4"/>
                <w:sz w:val="18"/>
                <w:szCs w:val="18"/>
              </w:rPr>
              <w:t xml:space="preserve">Ministria e Bujqësisë dhe Zhvillimit Rural </w:t>
            </w:r>
          </w:p>
          <w:p w14:paraId="4012C973"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pacing w:val="-4"/>
                <w:sz w:val="18"/>
                <w:szCs w:val="18"/>
              </w:rPr>
              <w:t>Ministria e Turizmit dhe Mjedisit,</w:t>
            </w:r>
          </w:p>
          <w:p w14:paraId="2BC7197E"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pacing w:val="-12"/>
                <w:sz w:val="18"/>
                <w:szCs w:val="18"/>
              </w:rPr>
              <w:t>Ministria e Infrastrukturës dhe Energjisë,</w:t>
            </w:r>
          </w:p>
          <w:p w14:paraId="1029D303"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pacing w:val="-12"/>
                <w:sz w:val="18"/>
                <w:szCs w:val="18"/>
              </w:rPr>
              <w:t>Instituti i Shëndetit Publik</w:t>
            </w:r>
          </w:p>
          <w:p w14:paraId="2F90E492"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z w:val="18"/>
                <w:szCs w:val="18"/>
              </w:rPr>
              <w:t>Inspektorati Shtetëror i Shëndetësore</w:t>
            </w:r>
            <w:r w:rsidRPr="00445472">
              <w:rPr>
                <w:rFonts w:ascii="Garamond" w:hAnsi="Garamond" w:cs="Arial"/>
                <w:spacing w:val="-1"/>
                <w:sz w:val="18"/>
                <w:szCs w:val="18"/>
              </w:rPr>
              <w:t xml:space="preserve">, </w:t>
            </w:r>
          </w:p>
          <w:p w14:paraId="649D7DA5" w14:textId="77777777" w:rsidR="00835F41" w:rsidRPr="00445472" w:rsidRDefault="00835F41" w:rsidP="0080598D">
            <w:pPr>
              <w:pStyle w:val="ListParagraph"/>
              <w:numPr>
                <w:ilvl w:val="0"/>
                <w:numId w:val="51"/>
              </w:numPr>
              <w:spacing w:after="40" w:line="240" w:lineRule="auto"/>
              <w:rPr>
                <w:rFonts w:ascii="Garamond" w:hAnsi="Garamond" w:cs="Arial"/>
                <w:sz w:val="18"/>
                <w:szCs w:val="18"/>
              </w:rPr>
            </w:pPr>
            <w:r w:rsidRPr="00445472">
              <w:rPr>
                <w:rFonts w:ascii="Garamond" w:hAnsi="Garamond" w:cs="Arial"/>
                <w:spacing w:val="-1"/>
                <w:sz w:val="18"/>
                <w:szCs w:val="18"/>
              </w:rPr>
              <w:t xml:space="preserve">Njësitë e qeverisjes vendore për menaxhimin e integruar të burimeve ujore, </w:t>
            </w:r>
          </w:p>
          <w:p w14:paraId="08E9FD29" w14:textId="77777777" w:rsidR="00835F41" w:rsidRPr="00445472" w:rsidRDefault="00835F41" w:rsidP="002A1F08">
            <w:pPr>
              <w:pStyle w:val="TableTextRight"/>
              <w:ind w:left="360"/>
              <w:jc w:val="left"/>
              <w:rPr>
                <w:rFonts w:ascii="Garamond" w:hAnsi="Garamond" w:cs="Arial"/>
                <w:sz w:val="18"/>
                <w:szCs w:val="18"/>
                <w:lang w:val="sq-AL"/>
              </w:rPr>
            </w:pPr>
            <w:r w:rsidRPr="00445472">
              <w:rPr>
                <w:rFonts w:ascii="Garamond" w:hAnsi="Garamond" w:cs="Arial"/>
                <w:spacing w:val="-2"/>
                <w:sz w:val="18"/>
                <w:szCs w:val="18"/>
                <w:lang w:val="sq-AL"/>
              </w:rPr>
              <w:t>Çdo institucion tjetër, publik ose privat, i cili ka sistemin e furnizimit me ujë të lidhur me zbatimin e këtij vendimi</w:t>
            </w:r>
            <w:r w:rsidRPr="00445472">
              <w:rPr>
                <w:rFonts w:ascii="Garamond" w:hAnsi="Garamond" w:cs="Arial"/>
                <w:spacing w:val="-3"/>
                <w:sz w:val="18"/>
                <w:szCs w:val="18"/>
                <w:lang w:val="sq-AL"/>
              </w:rPr>
              <w:t>.</w:t>
            </w:r>
          </w:p>
        </w:tc>
      </w:tr>
      <w:tr w:rsidR="00835F41" w:rsidRPr="00445472" w14:paraId="62CD6C65" w14:textId="77777777" w:rsidTr="002C1894">
        <w:trPr>
          <w:jc w:val="center"/>
        </w:trPr>
        <w:tc>
          <w:tcPr>
            <w:tcW w:w="0" w:type="pct"/>
            <w:shd w:val="clear" w:color="auto" w:fill="auto"/>
            <w:vAlign w:val="center"/>
          </w:tcPr>
          <w:p w14:paraId="3DC3BF5C" w14:textId="079CEBC5"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91/676</w:t>
            </w:r>
            <w:r w:rsidR="001D340B" w:rsidRPr="00445472">
              <w:rPr>
                <w:rFonts w:ascii="Garamond" w:hAnsi="Garamond" w:cs="Arial"/>
                <w:sz w:val="18"/>
                <w:szCs w:val="18"/>
                <w:lang w:val="sq-AL"/>
              </w:rPr>
              <w:t>/</w:t>
            </w:r>
            <w:r w:rsidRPr="00445472">
              <w:rPr>
                <w:rFonts w:ascii="Garamond" w:hAnsi="Garamond" w:cs="Arial"/>
                <w:sz w:val="18"/>
                <w:szCs w:val="18"/>
                <w:lang w:val="sq-AL"/>
              </w:rPr>
              <w:t>EEC 12.12.1991</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mbrojtjen e ujërave nga ndotja e shkaktuar nga nitratet e prodhimeve bujqësore</w:t>
            </w:r>
            <w:r w:rsidR="00D62EDF" w:rsidRPr="00445472">
              <w:rPr>
                <w:rFonts w:ascii="Garamond" w:hAnsi="Garamond" w:cs="Arial"/>
                <w:sz w:val="18"/>
                <w:szCs w:val="18"/>
                <w:lang w:val="sq-AL"/>
              </w:rPr>
              <w:t>”</w:t>
            </w:r>
          </w:p>
        </w:tc>
        <w:tc>
          <w:tcPr>
            <w:tcW w:w="0" w:type="pct"/>
            <w:shd w:val="clear" w:color="auto" w:fill="auto"/>
            <w:vAlign w:val="center"/>
          </w:tcPr>
          <w:p w14:paraId="1990FC86" w14:textId="055FD310"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Ligji Nr. 111/2012</w:t>
            </w:r>
            <w:r w:rsidR="00D62EDF" w:rsidRPr="00445472">
              <w:rPr>
                <w:rFonts w:ascii="Garamond" w:hAnsi="Garamond" w:cs="Arial"/>
                <w:sz w:val="18"/>
                <w:szCs w:val="18"/>
              </w:rPr>
              <w:t xml:space="preserve">, “Për </w:t>
            </w:r>
            <w:r w:rsidRPr="00445472">
              <w:rPr>
                <w:rFonts w:ascii="Garamond" w:hAnsi="Garamond" w:cs="Arial"/>
                <w:sz w:val="18"/>
                <w:szCs w:val="18"/>
              </w:rPr>
              <w:t>Menaxhimin e Integruar të Burimeve Ujore</w:t>
            </w:r>
            <w:r w:rsidR="00D62EDF" w:rsidRPr="00445472">
              <w:rPr>
                <w:rFonts w:ascii="Garamond" w:hAnsi="Garamond" w:cs="Arial"/>
                <w:sz w:val="18"/>
                <w:szCs w:val="18"/>
              </w:rPr>
              <w:t>”</w:t>
            </w:r>
            <w:r w:rsidRPr="00445472">
              <w:rPr>
                <w:rFonts w:ascii="Garamond" w:hAnsi="Garamond" w:cs="Arial"/>
                <w:sz w:val="18"/>
                <w:szCs w:val="18"/>
              </w:rPr>
              <w:t>,</w:t>
            </w:r>
            <w:r w:rsidRPr="00445472">
              <w:rPr>
                <w:rFonts w:ascii="Garamond" w:hAnsi="Garamond"/>
                <w:sz w:val="18"/>
                <w:szCs w:val="18"/>
              </w:rPr>
              <w:t xml:space="preserve"> </w:t>
            </w:r>
            <w:r w:rsidRPr="00445472">
              <w:rPr>
                <w:rFonts w:ascii="Garamond" w:hAnsi="Garamond" w:cs="Arial"/>
                <w:sz w:val="18"/>
                <w:szCs w:val="18"/>
              </w:rPr>
              <w:t>ndryshuar me Ligjin nr. 6/2018 për disa ndryshime dhe plotësime të Ligjit nr. 111/2012</w:t>
            </w:r>
            <w:r w:rsidR="00D62EDF" w:rsidRPr="00445472">
              <w:rPr>
                <w:rFonts w:ascii="Garamond" w:hAnsi="Garamond" w:cs="Arial"/>
                <w:sz w:val="18"/>
                <w:szCs w:val="18"/>
              </w:rPr>
              <w:t xml:space="preserve">, “Për </w:t>
            </w:r>
            <w:r w:rsidRPr="00445472">
              <w:rPr>
                <w:rFonts w:ascii="Garamond" w:hAnsi="Garamond" w:cs="Arial"/>
                <w:sz w:val="18"/>
                <w:szCs w:val="18"/>
              </w:rPr>
              <w:t>Menaxhimin e Integruar të Burimeve Ujore</w:t>
            </w:r>
            <w:r w:rsidR="00D62EDF" w:rsidRPr="00445472">
              <w:rPr>
                <w:rFonts w:ascii="Garamond" w:hAnsi="Garamond" w:cs="Arial"/>
                <w:sz w:val="18"/>
                <w:szCs w:val="18"/>
              </w:rPr>
              <w:t>”</w:t>
            </w:r>
            <w:r w:rsidRPr="00445472">
              <w:rPr>
                <w:rFonts w:ascii="Garamond" w:hAnsi="Garamond" w:cs="Arial"/>
                <w:sz w:val="18"/>
                <w:szCs w:val="18"/>
              </w:rPr>
              <w:t>, pjesërisht i transpozuar.</w:t>
            </w:r>
          </w:p>
          <w:p w14:paraId="6A345AD2" w14:textId="6503A20D"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 xml:space="preserve">Direktiva e Këshillit mbi </w:t>
            </w:r>
            <w:r w:rsidR="00D62EDF" w:rsidRPr="00445472">
              <w:rPr>
                <w:rFonts w:ascii="Garamond" w:hAnsi="Garamond" w:cs="Arial"/>
                <w:sz w:val="18"/>
                <w:szCs w:val="18"/>
              </w:rPr>
              <w:t>“</w:t>
            </w:r>
            <w:r w:rsidRPr="00445472">
              <w:rPr>
                <w:rFonts w:ascii="Garamond" w:hAnsi="Garamond" w:cs="Arial"/>
                <w:sz w:val="18"/>
                <w:szCs w:val="18"/>
              </w:rPr>
              <w:t>Mbrojtjen e ujërave nga ndotja e shkaktuar nga nitratet nga burimet bujqësore</w:t>
            </w:r>
            <w:r w:rsidR="00D62EDF" w:rsidRPr="00445472">
              <w:rPr>
                <w:rFonts w:ascii="Garamond" w:hAnsi="Garamond" w:cs="Arial"/>
                <w:sz w:val="18"/>
                <w:szCs w:val="18"/>
              </w:rPr>
              <w:t>”</w:t>
            </w:r>
            <w:r w:rsidRPr="00445472">
              <w:rPr>
                <w:rFonts w:ascii="Garamond" w:hAnsi="Garamond" w:cs="Arial"/>
                <w:sz w:val="18"/>
                <w:szCs w:val="18"/>
              </w:rPr>
              <w:t xml:space="preserve"> të datës 12.12.1991 është në fazën fillestare të përafrimit, ku vetëm katër dispozita të Direktivës janë transpozuar në legjislacionin kombëtar.</w:t>
            </w:r>
          </w:p>
          <w:p w14:paraId="758D28B1" w14:textId="77777777" w:rsidR="00835F41" w:rsidRPr="00445472" w:rsidRDefault="00835F41" w:rsidP="002A1F08">
            <w:pPr>
              <w:pStyle w:val="TableTextRight"/>
              <w:jc w:val="left"/>
              <w:rPr>
                <w:rFonts w:ascii="Garamond" w:hAnsi="Garamond" w:cs="Arial"/>
                <w:sz w:val="18"/>
                <w:szCs w:val="18"/>
                <w:lang w:val="sq-AL"/>
              </w:rPr>
            </w:pPr>
          </w:p>
        </w:tc>
        <w:tc>
          <w:tcPr>
            <w:tcW w:w="0" w:type="pct"/>
            <w:shd w:val="clear" w:color="auto" w:fill="auto"/>
            <w:vAlign w:val="center"/>
          </w:tcPr>
          <w:p w14:paraId="435EF88D"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Më konkretisht, një pjesë e kësaj Direktive është transpozuar në Kapitullin I, Neni 4 (33) (13) (84), Kapitulli IV, Seksioni II, Neni 35.</w:t>
            </w:r>
          </w:p>
          <w:p w14:paraId="2D720294" w14:textId="1EF12EBD"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 xml:space="preserve">13. </w:t>
            </w:r>
            <w:r w:rsidR="00D62EDF" w:rsidRPr="00445472">
              <w:rPr>
                <w:rFonts w:ascii="Garamond" w:hAnsi="Garamond" w:cs="Arial"/>
                <w:sz w:val="18"/>
                <w:szCs w:val="18"/>
              </w:rPr>
              <w:t>“</w:t>
            </w:r>
            <w:r w:rsidRPr="00445472">
              <w:rPr>
                <w:rFonts w:ascii="Garamond" w:hAnsi="Garamond" w:cs="Arial"/>
                <w:sz w:val="18"/>
                <w:szCs w:val="18"/>
              </w:rPr>
              <w:t>Eutrofikimi</w:t>
            </w:r>
            <w:r w:rsidR="00D62EDF" w:rsidRPr="00445472">
              <w:rPr>
                <w:rFonts w:ascii="Garamond" w:hAnsi="Garamond" w:cs="Arial"/>
                <w:sz w:val="18"/>
                <w:szCs w:val="18"/>
              </w:rPr>
              <w:t>”</w:t>
            </w:r>
            <w:r w:rsidRPr="00445472">
              <w:rPr>
                <w:rFonts w:ascii="Garamond" w:hAnsi="Garamond" w:cs="Arial"/>
                <w:sz w:val="18"/>
                <w:szCs w:val="18"/>
              </w:rPr>
              <w:t xml:space="preserve"> është pasurimi i ujit me lëndë ushqyese kimike, zakonisht komponime që përmbajnë azot, fosfor, duke inkurajuar rritjen e algave (lulëzimi i algave) dhe bimëve të tjera ujore, duke shkaktuar ndërprerje të padëshiruara të balancës së organizmave të ujit dhe cilësisë së tij.</w:t>
            </w:r>
          </w:p>
          <w:p w14:paraId="09D9BAF1" w14:textId="779F589B" w:rsidR="00835F41" w:rsidRPr="00445472" w:rsidRDefault="00D62EDF" w:rsidP="002A1F08">
            <w:pPr>
              <w:tabs>
                <w:tab w:val="left" w:pos="1587"/>
              </w:tabs>
              <w:spacing w:after="40"/>
              <w:rPr>
                <w:rFonts w:ascii="Garamond" w:hAnsi="Garamond" w:cs="Arial"/>
                <w:sz w:val="18"/>
                <w:szCs w:val="18"/>
              </w:rPr>
            </w:pPr>
            <w:r w:rsidRPr="00445472">
              <w:rPr>
                <w:rFonts w:ascii="Garamond" w:hAnsi="Garamond" w:cs="Arial"/>
                <w:sz w:val="18"/>
                <w:szCs w:val="18"/>
              </w:rPr>
              <w:t>“</w:t>
            </w:r>
            <w:r w:rsidR="00835F41" w:rsidRPr="00445472">
              <w:rPr>
                <w:rFonts w:ascii="Garamond" w:hAnsi="Garamond" w:cs="Arial"/>
                <w:sz w:val="18"/>
                <w:szCs w:val="18"/>
              </w:rPr>
              <w:t>Ndotje</w:t>
            </w:r>
            <w:r w:rsidRPr="00445472">
              <w:rPr>
                <w:rFonts w:ascii="Garamond" w:hAnsi="Garamond" w:cs="Arial"/>
                <w:sz w:val="18"/>
                <w:szCs w:val="18"/>
              </w:rPr>
              <w:t>”</w:t>
            </w:r>
            <w:r w:rsidR="00835F41" w:rsidRPr="00445472">
              <w:rPr>
                <w:rFonts w:ascii="Garamond" w:hAnsi="Garamond" w:cs="Arial"/>
                <w:sz w:val="18"/>
                <w:szCs w:val="18"/>
              </w:rPr>
              <w:t xml:space="preserve"> është futja e drejtpërdrejtë ose indirekte, si rezultat i aktivitetit njerëzor, e substancave ose energjisë, si zhurma, nxehtësia ose drita në ajër, ujë ose tokë, në një sasi që mund të jetë e dëmshme për cilësinë e mjedisit ose shëndetin e njeriut, të cilat mund të çojnë në dëmtimin e pasurisë ose përkeqësim dhe mund të ndikojnë në shërbime të tjera ligjore ose përdorime të mjedisit, siç përcakto</w:t>
            </w:r>
            <w:r w:rsidR="004C3294" w:rsidRPr="00445472">
              <w:rPr>
                <w:rFonts w:ascii="Garamond" w:hAnsi="Garamond" w:cs="Arial"/>
                <w:sz w:val="18"/>
                <w:szCs w:val="18"/>
              </w:rPr>
              <w:t>het në ligjin nr. 10 431, datë 9.</w:t>
            </w:r>
            <w:r w:rsidR="00835F41" w:rsidRPr="00445472">
              <w:rPr>
                <w:rFonts w:ascii="Garamond" w:hAnsi="Garamond" w:cs="Arial"/>
                <w:sz w:val="18"/>
                <w:szCs w:val="18"/>
              </w:rPr>
              <w:t>6.2011</w:t>
            </w:r>
            <w:r w:rsidRPr="00445472">
              <w:rPr>
                <w:rFonts w:ascii="Garamond" w:hAnsi="Garamond" w:cs="Arial"/>
                <w:sz w:val="18"/>
                <w:szCs w:val="18"/>
              </w:rPr>
              <w:t xml:space="preserve">, “Për </w:t>
            </w:r>
            <w:r w:rsidR="00835F41" w:rsidRPr="00445472">
              <w:rPr>
                <w:rFonts w:ascii="Garamond" w:hAnsi="Garamond" w:cs="Arial"/>
                <w:sz w:val="18"/>
                <w:szCs w:val="18"/>
              </w:rPr>
              <w:t>mbrojtjen e mjedisit</w:t>
            </w:r>
            <w:r w:rsidRPr="00445472">
              <w:rPr>
                <w:rFonts w:ascii="Garamond" w:hAnsi="Garamond" w:cs="Arial"/>
                <w:sz w:val="18"/>
                <w:szCs w:val="18"/>
              </w:rPr>
              <w:t>”</w:t>
            </w:r>
            <w:r w:rsidR="00835F41" w:rsidRPr="00445472">
              <w:rPr>
                <w:rFonts w:ascii="Garamond" w:hAnsi="Garamond" w:cs="Arial"/>
                <w:sz w:val="18"/>
                <w:szCs w:val="18"/>
              </w:rPr>
              <w:t>.</w:t>
            </w:r>
          </w:p>
          <w:p w14:paraId="00E5547F" w14:textId="2A521233"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 xml:space="preserve">84. </w:t>
            </w:r>
            <w:r w:rsidR="00D62EDF" w:rsidRPr="00445472">
              <w:rPr>
                <w:rFonts w:ascii="Garamond" w:hAnsi="Garamond" w:cs="Arial"/>
                <w:sz w:val="18"/>
                <w:szCs w:val="18"/>
              </w:rPr>
              <w:t>“</w:t>
            </w:r>
            <w:r w:rsidRPr="00445472">
              <w:rPr>
                <w:rFonts w:ascii="Garamond" w:hAnsi="Garamond" w:cs="Arial"/>
                <w:sz w:val="18"/>
                <w:szCs w:val="18"/>
              </w:rPr>
              <w:t>Ujëra nëntokësore</w:t>
            </w:r>
            <w:r w:rsidR="00D62EDF" w:rsidRPr="00445472">
              <w:rPr>
                <w:rFonts w:ascii="Garamond" w:hAnsi="Garamond" w:cs="Arial"/>
                <w:sz w:val="18"/>
                <w:szCs w:val="18"/>
              </w:rPr>
              <w:t>”</w:t>
            </w:r>
            <w:r w:rsidRPr="00445472">
              <w:rPr>
                <w:rFonts w:ascii="Garamond" w:hAnsi="Garamond" w:cs="Arial"/>
                <w:sz w:val="18"/>
                <w:szCs w:val="18"/>
              </w:rPr>
              <w:t xml:space="preserve"> është uji nën sipërfaqen e tokës ose i cili ka ndikim të drejtpërdrejtë ujor sipërfaqësor në formimin e burimeve natyrore. </w:t>
            </w:r>
            <w:r w:rsidRPr="00445472">
              <w:rPr>
                <w:rFonts w:ascii="Garamond" w:hAnsi="Garamond" w:cs="Arial"/>
                <w:sz w:val="18"/>
                <w:szCs w:val="18"/>
              </w:rPr>
              <w:br/>
            </w:r>
          </w:p>
          <w:p w14:paraId="78E72E4D" w14:textId="2B9E8F61" w:rsidR="00835F41" w:rsidRPr="00445472" w:rsidRDefault="00565933" w:rsidP="002A1F08">
            <w:pPr>
              <w:tabs>
                <w:tab w:val="left" w:pos="1587"/>
              </w:tabs>
              <w:spacing w:after="40"/>
              <w:rPr>
                <w:rFonts w:ascii="Garamond" w:hAnsi="Garamond" w:cs="Arial"/>
                <w:sz w:val="18"/>
                <w:szCs w:val="18"/>
              </w:rPr>
            </w:pPr>
            <w:r w:rsidRPr="00445472">
              <w:rPr>
                <w:rFonts w:ascii="Garamond" w:hAnsi="Garamond" w:cs="Arial"/>
                <w:sz w:val="18"/>
                <w:szCs w:val="18"/>
              </w:rPr>
              <w:t>Kapitulli</w:t>
            </w:r>
            <w:r w:rsidR="00835F41" w:rsidRPr="00445472">
              <w:rPr>
                <w:rFonts w:ascii="Garamond" w:hAnsi="Garamond" w:cs="Arial"/>
                <w:sz w:val="18"/>
                <w:szCs w:val="18"/>
              </w:rPr>
              <w:t xml:space="preserve"> V:</w:t>
            </w:r>
          </w:p>
          <w:p w14:paraId="57E83995" w14:textId="7E8C1DCC"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Neni</w:t>
            </w:r>
            <w:r w:rsidR="004C3294" w:rsidRPr="00445472">
              <w:rPr>
                <w:rFonts w:ascii="Garamond" w:hAnsi="Garamond" w:cs="Arial"/>
                <w:sz w:val="18"/>
                <w:szCs w:val="18"/>
              </w:rPr>
              <w:t xml:space="preserve"> </w:t>
            </w:r>
            <w:r w:rsidRPr="00445472">
              <w:rPr>
                <w:rFonts w:ascii="Garamond" w:hAnsi="Garamond" w:cs="Arial"/>
                <w:sz w:val="18"/>
                <w:szCs w:val="18"/>
              </w:rPr>
              <w:t xml:space="preserve">35 </w:t>
            </w:r>
            <w:r w:rsidRPr="00445472">
              <w:rPr>
                <w:rFonts w:ascii="Garamond" w:hAnsi="Garamond" w:cs="Arial"/>
                <w:sz w:val="18"/>
                <w:szCs w:val="18"/>
              </w:rPr>
              <w:br/>
              <w:t>Mbrojtja e zonave në rrezik ndotjeje</w:t>
            </w:r>
            <w:r w:rsidRPr="00445472">
              <w:rPr>
                <w:rFonts w:ascii="Garamond" w:hAnsi="Garamond" w:cs="Arial"/>
                <w:sz w:val="18"/>
                <w:szCs w:val="18"/>
              </w:rPr>
              <w:br/>
              <w:t>1. Ministri harton aktet nënligjore përkatëse për deklarimin e zonave në rrezik ndotjeje nga element</w:t>
            </w:r>
            <w:r w:rsidR="00E929FD">
              <w:rPr>
                <w:rFonts w:ascii="Garamond" w:hAnsi="Garamond" w:cs="Arial"/>
                <w:sz w:val="18"/>
                <w:szCs w:val="18"/>
              </w:rPr>
              <w:t>e</w:t>
            </w:r>
            <w:r w:rsidRPr="00445472">
              <w:rPr>
                <w:rFonts w:ascii="Garamond" w:hAnsi="Garamond" w:cs="Arial"/>
                <w:sz w:val="18"/>
                <w:szCs w:val="18"/>
              </w:rPr>
              <w:t xml:space="preserve"> dhe substanca të dëmshme, si nitrat, fosfor, produkte për mbrojtjen e bimëve, biocidet dhe i paraqet ato për miratim në Këshillin Kombëtar të Ujit.</w:t>
            </w:r>
          </w:p>
          <w:p w14:paraId="02F5E705" w14:textId="30C91069"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2. Ministri, në bashkëpunim me ministrin përgjegjës për bujqësinë, ministrin përgjegjës për ekonominë dhe ministrin përgjegjës për shëndetësinë hartojnë rregullore, të cilat zhvillojnë programe, masa dhe obligime të tjera përkatëse, me qëllim zvogëlimin dhe parandalimin e ndotjes së ujit nga substancat e rrezikshme, përmendur në paragrafin 1 të këtij neni</w:t>
            </w:r>
            <w:r w:rsidR="008F0A9F" w:rsidRPr="00445472">
              <w:rPr>
                <w:rFonts w:ascii="Garamond" w:hAnsi="Garamond" w:cs="Arial"/>
                <w:sz w:val="18"/>
                <w:szCs w:val="18"/>
              </w:rPr>
              <w:t>, si dhe</w:t>
            </w:r>
            <w:r w:rsidRPr="00445472">
              <w:rPr>
                <w:rFonts w:ascii="Garamond" w:hAnsi="Garamond" w:cs="Arial"/>
                <w:sz w:val="18"/>
                <w:szCs w:val="18"/>
              </w:rPr>
              <w:t xml:space="preserve"> ato të shkaktuara nga aktivitetet e tjera bujqësore.</w:t>
            </w:r>
          </w:p>
          <w:p w14:paraId="2EAC4EC9"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 xml:space="preserve">3. Trajtimi i kombinuar, siç përcaktohet në nenin 32 të këtij ligji, zbatohet për shkarkimet në pikat dhe burimet e shpërndarjes në zonat e përcaktuara në paragrafin 1 të këtij neni. </w:t>
            </w:r>
          </w:p>
        </w:tc>
        <w:tc>
          <w:tcPr>
            <w:tcW w:w="0" w:type="pct"/>
            <w:shd w:val="clear" w:color="auto" w:fill="auto"/>
            <w:vAlign w:val="center"/>
          </w:tcPr>
          <w:p w14:paraId="23572FB1" w14:textId="77777777" w:rsidR="00835F41" w:rsidRPr="00445472" w:rsidRDefault="00835F41" w:rsidP="002A1F08">
            <w:pPr>
              <w:pStyle w:val="TableTextRight"/>
              <w:jc w:val="left"/>
              <w:rPr>
                <w:rFonts w:ascii="Garamond" w:hAnsi="Garamond" w:cs="Arial"/>
                <w:sz w:val="18"/>
                <w:szCs w:val="18"/>
                <w:lang w:val="sq-AL"/>
              </w:rPr>
            </w:pPr>
          </w:p>
        </w:tc>
      </w:tr>
      <w:tr w:rsidR="00835F41" w:rsidRPr="00445472" w14:paraId="26C28D13" w14:textId="77777777" w:rsidTr="002C1894">
        <w:trPr>
          <w:jc w:val="center"/>
        </w:trPr>
        <w:tc>
          <w:tcPr>
            <w:tcW w:w="0" w:type="pct"/>
            <w:shd w:val="clear" w:color="auto" w:fill="auto"/>
            <w:vAlign w:val="center"/>
          </w:tcPr>
          <w:p w14:paraId="7DC44963" w14:textId="19B9F98A"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2006/7</w:t>
            </w:r>
            <w:r w:rsidR="001D340B" w:rsidRPr="00445472">
              <w:rPr>
                <w:rFonts w:ascii="Garamond" w:hAnsi="Garamond" w:cs="Arial"/>
                <w:sz w:val="18"/>
                <w:szCs w:val="18"/>
                <w:lang w:val="sq-AL"/>
              </w:rPr>
              <w:t>/</w:t>
            </w:r>
            <w:r w:rsidR="004C3294" w:rsidRPr="00445472">
              <w:rPr>
                <w:rFonts w:ascii="Garamond" w:hAnsi="Garamond" w:cs="Arial"/>
                <w:sz w:val="18"/>
                <w:szCs w:val="18"/>
                <w:lang w:val="sq-AL"/>
              </w:rPr>
              <w:t>EC 15.</w:t>
            </w:r>
            <w:r w:rsidRPr="00445472">
              <w:rPr>
                <w:rFonts w:ascii="Garamond" w:hAnsi="Garamond" w:cs="Arial"/>
                <w:sz w:val="18"/>
                <w:szCs w:val="18"/>
                <w:lang w:val="sq-AL"/>
              </w:rPr>
              <w:t>2.2006</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menaxhimin e cilësisë së ujërave të larjes</w:t>
            </w:r>
            <w:r w:rsidR="00D62EDF" w:rsidRPr="00445472">
              <w:rPr>
                <w:rFonts w:ascii="Garamond" w:hAnsi="Garamond" w:cs="Arial"/>
                <w:sz w:val="18"/>
                <w:szCs w:val="18"/>
                <w:lang w:val="sq-AL"/>
              </w:rPr>
              <w:t>”</w:t>
            </w:r>
          </w:p>
        </w:tc>
        <w:tc>
          <w:tcPr>
            <w:tcW w:w="0" w:type="pct"/>
            <w:shd w:val="clear" w:color="auto" w:fill="auto"/>
            <w:vAlign w:val="center"/>
          </w:tcPr>
          <w:p w14:paraId="6E404DFA" w14:textId="6EE82710" w:rsidR="00835F41" w:rsidRPr="00445472" w:rsidRDefault="004C3294" w:rsidP="002A1F08">
            <w:pPr>
              <w:spacing w:after="40"/>
              <w:outlineLvl w:val="3"/>
              <w:rPr>
                <w:rFonts w:ascii="Garamond" w:hAnsi="Garamond" w:cs="Arial"/>
                <w:sz w:val="18"/>
                <w:szCs w:val="18"/>
              </w:rPr>
            </w:pPr>
            <w:r w:rsidRPr="00445472">
              <w:rPr>
                <w:rFonts w:ascii="Garamond" w:hAnsi="Garamond" w:cs="Arial"/>
                <w:sz w:val="18"/>
                <w:szCs w:val="18"/>
              </w:rPr>
              <w:t>VKM nr. 797, datë 29.</w:t>
            </w:r>
            <w:r w:rsidR="00835F41" w:rsidRPr="00445472">
              <w:rPr>
                <w:rFonts w:ascii="Garamond" w:hAnsi="Garamond" w:cs="Arial"/>
                <w:sz w:val="18"/>
                <w:szCs w:val="18"/>
              </w:rPr>
              <w:t>9.2010</w:t>
            </w:r>
          </w:p>
          <w:p w14:paraId="33FC6921" w14:textId="77777777" w:rsidR="00835F41" w:rsidRPr="00445472" w:rsidRDefault="00835F41" w:rsidP="002A1F08">
            <w:pPr>
              <w:spacing w:after="40"/>
              <w:outlineLvl w:val="3"/>
              <w:rPr>
                <w:rFonts w:ascii="Garamond" w:hAnsi="Garamond" w:cs="Arial"/>
                <w:sz w:val="18"/>
                <w:szCs w:val="18"/>
              </w:rPr>
            </w:pPr>
          </w:p>
          <w:p w14:paraId="7559F3D2" w14:textId="6D93D165" w:rsidR="00835F41" w:rsidRPr="00445472" w:rsidRDefault="00D62EDF" w:rsidP="002A1F08">
            <w:pPr>
              <w:spacing w:after="40"/>
              <w:outlineLvl w:val="3"/>
              <w:rPr>
                <w:rFonts w:ascii="Garamond" w:hAnsi="Garamond" w:cs="Arial"/>
                <w:sz w:val="18"/>
                <w:szCs w:val="18"/>
              </w:rPr>
            </w:pPr>
            <w:r w:rsidRPr="00445472">
              <w:rPr>
                <w:rFonts w:ascii="Garamond" w:hAnsi="Garamond" w:cs="Arial"/>
                <w:sz w:val="18"/>
                <w:szCs w:val="18"/>
              </w:rPr>
              <w:t>“</w:t>
            </w:r>
            <w:r w:rsidR="00835F41" w:rsidRPr="00445472">
              <w:rPr>
                <w:rFonts w:ascii="Garamond" w:hAnsi="Garamond" w:cs="Arial"/>
                <w:sz w:val="18"/>
                <w:szCs w:val="18"/>
              </w:rPr>
              <w:t>Për miratimin e rregullores higjieno-sanitare</w:t>
            </w:r>
            <w:r w:rsidRPr="00445472">
              <w:rPr>
                <w:rFonts w:ascii="Garamond" w:hAnsi="Garamond" w:cs="Arial"/>
                <w:sz w:val="18"/>
                <w:szCs w:val="18"/>
              </w:rPr>
              <w:t xml:space="preserve">, “Për </w:t>
            </w:r>
            <w:r w:rsidR="00835F41" w:rsidRPr="00445472">
              <w:rPr>
                <w:rFonts w:ascii="Garamond" w:hAnsi="Garamond" w:cs="Arial"/>
                <w:sz w:val="18"/>
                <w:szCs w:val="18"/>
              </w:rPr>
              <w:t>menaxhimin e cilësisë së ujërave të larjes</w:t>
            </w:r>
            <w:r w:rsidRPr="00445472">
              <w:rPr>
                <w:rFonts w:ascii="Garamond" w:hAnsi="Garamond" w:cs="Arial"/>
                <w:sz w:val="18"/>
                <w:szCs w:val="18"/>
              </w:rPr>
              <w:t>”</w:t>
            </w:r>
          </w:p>
          <w:p w14:paraId="16EBC184" w14:textId="77777777" w:rsidR="00835F41" w:rsidRPr="00445472" w:rsidRDefault="00835F41" w:rsidP="002A1F08">
            <w:pPr>
              <w:spacing w:after="40"/>
              <w:rPr>
                <w:rFonts w:ascii="Garamond" w:hAnsi="Garamond" w:cs="Arial"/>
                <w:sz w:val="18"/>
                <w:szCs w:val="18"/>
              </w:rPr>
            </w:pPr>
          </w:p>
          <w:p w14:paraId="6D6BB31A" w14:textId="77777777" w:rsidR="00835F41" w:rsidRPr="00445472" w:rsidRDefault="00835F41" w:rsidP="002A1F08">
            <w:pPr>
              <w:pStyle w:val="TableTextRight"/>
              <w:jc w:val="left"/>
              <w:rPr>
                <w:rFonts w:ascii="Garamond" w:hAnsi="Garamond" w:cs="Arial"/>
                <w:sz w:val="18"/>
                <w:szCs w:val="18"/>
                <w:lang w:val="sq-AL"/>
              </w:rPr>
            </w:pPr>
          </w:p>
        </w:tc>
        <w:tc>
          <w:tcPr>
            <w:tcW w:w="0" w:type="pct"/>
            <w:shd w:val="clear" w:color="auto" w:fill="auto"/>
            <w:vAlign w:val="center"/>
          </w:tcPr>
          <w:p w14:paraId="57C2D797"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Objekti i kësaj rregulloreje është:</w:t>
            </w:r>
          </w:p>
          <w:p w14:paraId="68D5B277"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Përcaktimi i kritereve shëndetësore që duhet të plotësohen nga uji për larje për të siguruar cilësinë e tyre, me qëllim të mbrojtjes së shëndetit publik nga efektet e kundërta të çdo lloj ndotjeje.</w:t>
            </w:r>
          </w:p>
          <w:p w14:paraId="692C6DAC"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Vendosja e dispozitave për monitorimin, klasifikimin dhe menaxhimin e cilësisë së ujit për larje dhe vetëdijes publike.</w:t>
            </w:r>
          </w:p>
          <w:p w14:paraId="687855A5" w14:textId="7CEF42D1"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Ky vendim zbatohet për ujin për larje, që do të thotë: çdo element i ujit sipërfaqësor, për të cilin autoriteti kompetent pret të përdoret për larje nga një numër i madh njerëzish dhe për të cilin nuk është nxjerrë ndonjë ndalim i përhershëm për larje ose një rekomandim i përhershëm për të mos u larë.</w:t>
            </w:r>
          </w:p>
          <w:p w14:paraId="6B7A85F0"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Kriteret e kësaj rregulloreje nuk aplikohen për:</w:t>
            </w:r>
          </w:p>
          <w:p w14:paraId="567130B6"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a) pishina dhe pishina të ujërave termale;</w:t>
            </w:r>
          </w:p>
          <w:p w14:paraId="4F669EF1" w14:textId="77777777" w:rsidR="00835F41" w:rsidRPr="00445472" w:rsidRDefault="00835F41" w:rsidP="002A1F08">
            <w:pPr>
              <w:tabs>
                <w:tab w:val="left" w:pos="1587"/>
              </w:tabs>
              <w:spacing w:after="40"/>
              <w:rPr>
                <w:rFonts w:ascii="Garamond" w:hAnsi="Garamond" w:cs="Arial"/>
                <w:sz w:val="18"/>
                <w:szCs w:val="18"/>
              </w:rPr>
            </w:pPr>
            <w:r w:rsidRPr="00445472">
              <w:rPr>
                <w:rFonts w:ascii="Garamond" w:hAnsi="Garamond" w:cs="Arial"/>
                <w:sz w:val="18"/>
                <w:szCs w:val="18"/>
              </w:rPr>
              <w:t>b) trupat ujore natyral ose artificial, të cilat janë objekt trajtimi ose përdorimi për qëllime kurative;</w:t>
            </w:r>
          </w:p>
          <w:p w14:paraId="2EEC61D0" w14:textId="77777777" w:rsidR="00835F41" w:rsidRPr="00445472" w:rsidRDefault="00835F41" w:rsidP="002A1F08">
            <w:pPr>
              <w:tabs>
                <w:tab w:val="left" w:pos="1057"/>
                <w:tab w:val="left" w:pos="1587"/>
              </w:tabs>
              <w:spacing w:after="40"/>
              <w:rPr>
                <w:rFonts w:ascii="Garamond" w:hAnsi="Garamond" w:cs="Arial"/>
                <w:sz w:val="18"/>
                <w:szCs w:val="18"/>
              </w:rPr>
            </w:pPr>
            <w:r w:rsidRPr="00445472">
              <w:rPr>
                <w:rFonts w:ascii="Garamond" w:hAnsi="Garamond" w:cs="Arial"/>
                <w:sz w:val="18"/>
                <w:szCs w:val="18"/>
              </w:rPr>
              <w:t>c) trupat ujor artificial të ndara nga uji sipërfaqësor dhe ujërat nëntokësore.</w:t>
            </w:r>
          </w:p>
        </w:tc>
        <w:tc>
          <w:tcPr>
            <w:tcW w:w="0" w:type="pct"/>
            <w:shd w:val="clear" w:color="auto" w:fill="auto"/>
            <w:vAlign w:val="center"/>
          </w:tcPr>
          <w:p w14:paraId="3D712F5F" w14:textId="01256918"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 xml:space="preserve">Institucionet e </w:t>
            </w:r>
            <w:r w:rsidR="004C3294" w:rsidRPr="00445472">
              <w:rPr>
                <w:rFonts w:ascii="Garamond" w:hAnsi="Garamond" w:cs="Arial"/>
                <w:sz w:val="18"/>
                <w:szCs w:val="18"/>
              </w:rPr>
              <w:t xml:space="preserve">zbatimit </w:t>
            </w:r>
            <w:r w:rsidRPr="00445472">
              <w:rPr>
                <w:rFonts w:ascii="Garamond" w:hAnsi="Garamond" w:cs="Arial"/>
                <w:sz w:val="18"/>
                <w:szCs w:val="18"/>
              </w:rPr>
              <w:t>të</w:t>
            </w:r>
            <w:r w:rsidR="004C3294" w:rsidRPr="00445472">
              <w:rPr>
                <w:rFonts w:ascii="Garamond" w:hAnsi="Garamond" w:cs="Arial"/>
                <w:sz w:val="18"/>
                <w:szCs w:val="18"/>
              </w:rPr>
              <w:t xml:space="preserve"> ligjit/kontrollit</w:t>
            </w:r>
            <w:r w:rsidRPr="00445472">
              <w:rPr>
                <w:rFonts w:ascii="Garamond" w:hAnsi="Garamond" w:cs="Arial"/>
                <w:sz w:val="18"/>
                <w:szCs w:val="18"/>
              </w:rPr>
              <w:t>:</w:t>
            </w:r>
          </w:p>
          <w:p w14:paraId="3A331BF0" w14:textId="77777777" w:rsidR="00835F41" w:rsidRPr="00445472" w:rsidRDefault="00835F41" w:rsidP="002A1F08">
            <w:pPr>
              <w:spacing w:after="40"/>
              <w:rPr>
                <w:rFonts w:ascii="Garamond" w:hAnsi="Garamond" w:cs="Arial"/>
                <w:sz w:val="18"/>
                <w:szCs w:val="18"/>
              </w:rPr>
            </w:pPr>
          </w:p>
          <w:p w14:paraId="55C3AA84" w14:textId="77777777" w:rsidR="00835F41" w:rsidRPr="00445472" w:rsidRDefault="00835F41" w:rsidP="0080598D">
            <w:pPr>
              <w:pStyle w:val="ListParagraph"/>
              <w:numPr>
                <w:ilvl w:val="0"/>
                <w:numId w:val="46"/>
              </w:numPr>
              <w:spacing w:after="40" w:line="240" w:lineRule="auto"/>
              <w:rPr>
                <w:rFonts w:ascii="Garamond" w:hAnsi="Garamond" w:cs="Arial"/>
                <w:sz w:val="18"/>
                <w:szCs w:val="18"/>
              </w:rPr>
            </w:pPr>
            <w:r w:rsidRPr="00445472">
              <w:rPr>
                <w:rFonts w:ascii="Garamond" w:hAnsi="Garamond" w:cs="Arial"/>
                <w:sz w:val="18"/>
                <w:szCs w:val="18"/>
              </w:rPr>
              <w:t>Ministria e Infrastrukturës dhe Energjisë</w:t>
            </w:r>
          </w:p>
          <w:p w14:paraId="4E716C1C" w14:textId="77777777" w:rsidR="00835F41" w:rsidRPr="00445472" w:rsidRDefault="00835F41" w:rsidP="0080598D">
            <w:pPr>
              <w:pStyle w:val="ListParagraph"/>
              <w:numPr>
                <w:ilvl w:val="0"/>
                <w:numId w:val="46"/>
              </w:numPr>
              <w:spacing w:after="40" w:line="240" w:lineRule="auto"/>
              <w:rPr>
                <w:rFonts w:ascii="Garamond" w:hAnsi="Garamond" w:cs="Arial"/>
                <w:sz w:val="18"/>
                <w:szCs w:val="18"/>
              </w:rPr>
            </w:pPr>
            <w:r w:rsidRPr="00445472">
              <w:rPr>
                <w:rFonts w:ascii="Garamond" w:hAnsi="Garamond" w:cs="Arial"/>
                <w:sz w:val="18"/>
                <w:szCs w:val="18"/>
              </w:rPr>
              <w:t>Njësitë e qeverisjes vendore</w:t>
            </w:r>
          </w:p>
          <w:p w14:paraId="704D460F" w14:textId="77777777" w:rsidR="00835F41" w:rsidRPr="00445472" w:rsidRDefault="00835F41" w:rsidP="002A1F08">
            <w:pPr>
              <w:pStyle w:val="ListParagraph"/>
              <w:spacing w:after="40"/>
              <w:rPr>
                <w:rFonts w:ascii="Garamond" w:hAnsi="Garamond" w:cs="Arial"/>
                <w:sz w:val="18"/>
                <w:szCs w:val="18"/>
              </w:rPr>
            </w:pPr>
            <w:r w:rsidRPr="00445472">
              <w:rPr>
                <w:rFonts w:ascii="Garamond" w:hAnsi="Garamond" w:cs="Arial"/>
                <w:sz w:val="18"/>
                <w:szCs w:val="18"/>
              </w:rPr>
              <w:t>Inspektorati Shtetëror Shëndetësor</w:t>
            </w:r>
          </w:p>
          <w:p w14:paraId="5F85B01F" w14:textId="54FBE5C0" w:rsidR="00835F41" w:rsidRPr="00445472" w:rsidRDefault="00835F41" w:rsidP="0080598D">
            <w:pPr>
              <w:pStyle w:val="ListParagraph"/>
              <w:numPr>
                <w:ilvl w:val="0"/>
                <w:numId w:val="46"/>
              </w:numPr>
              <w:spacing w:before="120" w:after="40" w:line="264" w:lineRule="auto"/>
              <w:rPr>
                <w:rFonts w:ascii="Garamond" w:hAnsi="Garamond" w:cs="Arial"/>
                <w:sz w:val="18"/>
                <w:szCs w:val="18"/>
              </w:rPr>
            </w:pPr>
            <w:r w:rsidRPr="00445472">
              <w:rPr>
                <w:rFonts w:ascii="Garamond" w:hAnsi="Garamond" w:cs="Arial"/>
                <w:sz w:val="18"/>
                <w:szCs w:val="18"/>
              </w:rPr>
              <w:t xml:space="preserve">Struktura përgjegjëse për </w:t>
            </w:r>
            <w:r w:rsidR="00565933" w:rsidRPr="00445472">
              <w:rPr>
                <w:rFonts w:ascii="Garamond" w:hAnsi="Garamond" w:cs="Arial"/>
                <w:sz w:val="18"/>
                <w:szCs w:val="18"/>
              </w:rPr>
              <w:t>kontrollin</w:t>
            </w:r>
            <w:r w:rsidRPr="00445472">
              <w:rPr>
                <w:rFonts w:ascii="Garamond" w:hAnsi="Garamond" w:cs="Arial"/>
                <w:sz w:val="18"/>
                <w:szCs w:val="18"/>
              </w:rPr>
              <w:t xml:space="preserve"> e mjedisit.</w:t>
            </w:r>
          </w:p>
        </w:tc>
      </w:tr>
      <w:tr w:rsidR="00835F41" w:rsidRPr="00445472" w14:paraId="30061F70" w14:textId="77777777" w:rsidTr="002C1894">
        <w:trPr>
          <w:jc w:val="center"/>
        </w:trPr>
        <w:tc>
          <w:tcPr>
            <w:tcW w:w="0" w:type="pct"/>
            <w:shd w:val="clear" w:color="auto" w:fill="auto"/>
            <w:vAlign w:val="center"/>
          </w:tcPr>
          <w:p w14:paraId="10AAD664" w14:textId="36FE41E9"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2006/118</w:t>
            </w:r>
            <w:r w:rsidR="001D340B" w:rsidRPr="00445472">
              <w:rPr>
                <w:rFonts w:ascii="Garamond" w:hAnsi="Garamond" w:cs="Arial"/>
                <w:sz w:val="18"/>
                <w:szCs w:val="18"/>
                <w:lang w:val="sq-AL"/>
              </w:rPr>
              <w:t>/</w:t>
            </w:r>
            <w:r w:rsidRPr="00445472">
              <w:rPr>
                <w:rFonts w:ascii="Garamond" w:hAnsi="Garamond" w:cs="Arial"/>
                <w:sz w:val="18"/>
                <w:szCs w:val="18"/>
                <w:lang w:val="sq-AL"/>
              </w:rPr>
              <w:t>EC 12.12.2006</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mbrojtjen e ujërave nëntokësore nga ndotja dhe përkeqësimi</w:t>
            </w:r>
            <w:r w:rsidR="00D62EDF" w:rsidRPr="00445472">
              <w:rPr>
                <w:rFonts w:ascii="Garamond" w:hAnsi="Garamond" w:cs="Arial"/>
                <w:sz w:val="18"/>
                <w:szCs w:val="18"/>
                <w:lang w:val="sq-AL"/>
              </w:rPr>
              <w:t>”</w:t>
            </w:r>
          </w:p>
        </w:tc>
        <w:tc>
          <w:tcPr>
            <w:tcW w:w="0" w:type="pct"/>
            <w:shd w:val="clear" w:color="auto" w:fill="auto"/>
            <w:vAlign w:val="center"/>
          </w:tcPr>
          <w:p w14:paraId="04EF6E8F" w14:textId="77777777" w:rsidR="00835F41" w:rsidRPr="00445472" w:rsidRDefault="00835F41" w:rsidP="002A1F08">
            <w:pPr>
              <w:pStyle w:val="TableTextRight"/>
              <w:jc w:val="left"/>
              <w:rPr>
                <w:rFonts w:ascii="Garamond" w:hAnsi="Garamond" w:cs="Arial"/>
                <w:sz w:val="18"/>
                <w:szCs w:val="18"/>
                <w:lang w:val="sq-AL"/>
              </w:rPr>
            </w:pPr>
            <w:r w:rsidRPr="00445472">
              <w:rPr>
                <w:rFonts w:ascii="Garamond" w:hAnsi="Garamond" w:cs="Arial"/>
                <w:bCs/>
                <w:sz w:val="18"/>
                <w:szCs w:val="18"/>
                <w:lang w:val="sq-AL"/>
              </w:rPr>
              <w:t>Nuk është transpozuar</w:t>
            </w:r>
          </w:p>
        </w:tc>
        <w:tc>
          <w:tcPr>
            <w:tcW w:w="0" w:type="pct"/>
            <w:shd w:val="clear" w:color="auto" w:fill="auto"/>
            <w:vAlign w:val="center"/>
          </w:tcPr>
          <w:p w14:paraId="70710836" w14:textId="31CED823" w:rsidR="00835F41" w:rsidRPr="00445472" w:rsidRDefault="00835F41" w:rsidP="002A1F08">
            <w:pPr>
              <w:pStyle w:val="TableTextRight"/>
              <w:tabs>
                <w:tab w:val="left" w:pos="1587"/>
              </w:tabs>
              <w:jc w:val="left"/>
              <w:rPr>
                <w:rFonts w:ascii="Garamond" w:hAnsi="Garamond" w:cs="Arial"/>
                <w:sz w:val="18"/>
                <w:szCs w:val="18"/>
                <w:lang w:val="sq-AL"/>
              </w:rPr>
            </w:pPr>
            <w:r w:rsidRPr="00445472">
              <w:rPr>
                <w:rFonts w:ascii="Garamond" w:hAnsi="Garamond" w:cs="Arial"/>
                <w:bCs/>
                <w:sz w:val="18"/>
                <w:szCs w:val="18"/>
                <w:lang w:val="sq-AL"/>
              </w:rPr>
              <w:t>Transpozimi i kësaj direktive është paraparë në IKMM-të nga VKM</w:t>
            </w:r>
            <w:r w:rsidR="00D62EDF" w:rsidRPr="00445472">
              <w:rPr>
                <w:rFonts w:ascii="Garamond" w:hAnsi="Garamond" w:cs="Arial"/>
                <w:bCs/>
                <w:sz w:val="18"/>
                <w:szCs w:val="18"/>
                <w:lang w:val="sq-AL"/>
              </w:rPr>
              <w:t xml:space="preserve">, “Për </w:t>
            </w:r>
            <w:r w:rsidRPr="00445472">
              <w:rPr>
                <w:rFonts w:ascii="Garamond" w:hAnsi="Garamond" w:cs="Arial"/>
                <w:bCs/>
                <w:sz w:val="18"/>
                <w:szCs w:val="18"/>
                <w:lang w:val="sq-AL"/>
              </w:rPr>
              <w:t xml:space="preserve">kushtet dhe kriteret e nevojshme për krijimin, mirëmbajtjen, menaxhimin dhe përditësimin e </w:t>
            </w:r>
            <w:r w:rsidR="004C3294" w:rsidRPr="00445472">
              <w:rPr>
                <w:rFonts w:ascii="Garamond" w:hAnsi="Garamond" w:cs="Arial"/>
                <w:bCs/>
                <w:sz w:val="18"/>
                <w:szCs w:val="18"/>
                <w:lang w:val="sq-AL"/>
              </w:rPr>
              <w:t>Kadastrës</w:t>
            </w:r>
            <w:r w:rsidRPr="00445472">
              <w:rPr>
                <w:rFonts w:ascii="Garamond" w:hAnsi="Garamond" w:cs="Arial"/>
                <w:bCs/>
                <w:sz w:val="18"/>
                <w:szCs w:val="18"/>
                <w:lang w:val="sq-AL"/>
              </w:rPr>
              <w:t xml:space="preserve"> Kombëtar të Burimeve Ujore</w:t>
            </w:r>
            <w:r w:rsidR="00D62EDF" w:rsidRPr="00445472">
              <w:rPr>
                <w:rFonts w:ascii="Garamond" w:hAnsi="Garamond" w:cs="Arial"/>
                <w:bCs/>
                <w:sz w:val="18"/>
                <w:szCs w:val="18"/>
                <w:lang w:val="sq-AL"/>
              </w:rPr>
              <w:t>”</w:t>
            </w:r>
            <w:r w:rsidRPr="00445472">
              <w:rPr>
                <w:rFonts w:ascii="Garamond" w:hAnsi="Garamond" w:cs="Arial"/>
                <w:bCs/>
                <w:sz w:val="18"/>
                <w:szCs w:val="18"/>
                <w:lang w:val="sq-AL"/>
              </w:rPr>
              <w:t xml:space="preserve"> brenda vitit 2016</w:t>
            </w:r>
            <w:r w:rsidRPr="00445472">
              <w:rPr>
                <w:rFonts w:ascii="Garamond" w:hAnsi="Garamond" w:cs="Arial"/>
                <w:bCs/>
                <w:sz w:val="18"/>
                <w:szCs w:val="18"/>
                <w:lang w:val="sq-AL" w:eastAsia="sq-AL"/>
              </w:rPr>
              <w:t xml:space="preserve">.    </w:t>
            </w:r>
          </w:p>
        </w:tc>
        <w:tc>
          <w:tcPr>
            <w:tcW w:w="0" w:type="pct"/>
            <w:shd w:val="clear" w:color="auto" w:fill="auto"/>
            <w:vAlign w:val="center"/>
          </w:tcPr>
          <w:p w14:paraId="3B54FC86" w14:textId="77777777" w:rsidR="00835F41" w:rsidRPr="00445472" w:rsidRDefault="00835F41" w:rsidP="002A1F08">
            <w:pPr>
              <w:spacing w:after="40"/>
              <w:rPr>
                <w:rFonts w:ascii="Garamond" w:hAnsi="Garamond" w:cs="Arial"/>
                <w:bCs/>
                <w:sz w:val="18"/>
                <w:szCs w:val="18"/>
              </w:rPr>
            </w:pPr>
            <w:r w:rsidRPr="00445472">
              <w:rPr>
                <w:rFonts w:ascii="Garamond" w:hAnsi="Garamond" w:cs="Arial"/>
                <w:bCs/>
                <w:sz w:val="18"/>
                <w:szCs w:val="18"/>
              </w:rPr>
              <w:t>Institucioni përgjegjës për transpozimin e tij:</w:t>
            </w:r>
          </w:p>
          <w:p w14:paraId="466872BA" w14:textId="77777777" w:rsidR="00835F41" w:rsidRPr="00445472" w:rsidRDefault="00835F41" w:rsidP="002A1F08">
            <w:pPr>
              <w:pStyle w:val="TableTextRight"/>
              <w:jc w:val="left"/>
              <w:rPr>
                <w:rFonts w:ascii="Garamond" w:hAnsi="Garamond" w:cs="Arial"/>
                <w:sz w:val="18"/>
                <w:szCs w:val="18"/>
                <w:lang w:val="sq-AL"/>
              </w:rPr>
            </w:pPr>
            <w:r w:rsidRPr="00445472">
              <w:rPr>
                <w:rFonts w:ascii="Garamond" w:hAnsi="Garamond" w:cs="Arial"/>
                <w:bCs/>
                <w:sz w:val="18"/>
                <w:szCs w:val="18"/>
                <w:lang w:val="sq-AL"/>
              </w:rPr>
              <w:t xml:space="preserve">Ministria e Bujqësisë dhe Zhvillimit Rural </w:t>
            </w:r>
          </w:p>
        </w:tc>
      </w:tr>
      <w:tr w:rsidR="00835F41" w:rsidRPr="00445472" w14:paraId="598DFE48" w14:textId="77777777" w:rsidTr="002C1894">
        <w:trPr>
          <w:jc w:val="center"/>
        </w:trPr>
        <w:tc>
          <w:tcPr>
            <w:tcW w:w="0" w:type="pct"/>
            <w:shd w:val="clear" w:color="auto" w:fill="auto"/>
            <w:vAlign w:val="center"/>
          </w:tcPr>
          <w:p w14:paraId="75F0EBAB" w14:textId="33AEEBC5"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2013/39</w:t>
            </w:r>
            <w:r w:rsidR="001D340B" w:rsidRPr="00445472">
              <w:rPr>
                <w:rFonts w:ascii="Garamond" w:hAnsi="Garamond" w:cs="Arial"/>
                <w:sz w:val="18"/>
                <w:szCs w:val="18"/>
                <w:lang w:val="sq-AL"/>
              </w:rPr>
              <w:t>/</w:t>
            </w:r>
            <w:r w:rsidR="00A937D2" w:rsidRPr="00445472">
              <w:rPr>
                <w:rFonts w:ascii="Garamond" w:hAnsi="Garamond" w:cs="Arial"/>
                <w:sz w:val="18"/>
                <w:szCs w:val="18"/>
                <w:lang w:val="sq-AL"/>
              </w:rPr>
              <w:t>BE 12.</w:t>
            </w:r>
            <w:r w:rsidRPr="00445472">
              <w:rPr>
                <w:rFonts w:ascii="Garamond" w:hAnsi="Garamond" w:cs="Arial"/>
                <w:sz w:val="18"/>
                <w:szCs w:val="18"/>
                <w:lang w:val="sq-AL"/>
              </w:rPr>
              <w:t>8.2013</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substancat prioritare në fushën e politikës së ujit</w:t>
            </w:r>
            <w:r w:rsidR="00D62EDF" w:rsidRPr="00445472">
              <w:rPr>
                <w:rFonts w:ascii="Garamond" w:hAnsi="Garamond" w:cs="Arial"/>
                <w:sz w:val="18"/>
                <w:szCs w:val="18"/>
                <w:lang w:val="sq-AL"/>
              </w:rPr>
              <w:t>”</w:t>
            </w:r>
          </w:p>
        </w:tc>
        <w:tc>
          <w:tcPr>
            <w:tcW w:w="0" w:type="pct"/>
            <w:shd w:val="clear" w:color="auto" w:fill="auto"/>
            <w:vAlign w:val="center"/>
          </w:tcPr>
          <w:p w14:paraId="368DF31C" w14:textId="5273C655" w:rsidR="00835F41" w:rsidRPr="00445472" w:rsidRDefault="00835F41" w:rsidP="002A1F08">
            <w:pPr>
              <w:spacing w:after="40"/>
              <w:rPr>
                <w:rFonts w:ascii="Garamond" w:hAnsi="Garamond" w:cs="Arial"/>
                <w:sz w:val="18"/>
                <w:szCs w:val="18"/>
              </w:rPr>
            </w:pPr>
            <w:r w:rsidRPr="00445472">
              <w:rPr>
                <w:rFonts w:ascii="Garamond" w:hAnsi="Garamond" w:cs="Arial"/>
                <w:bCs/>
                <w:sz w:val="18"/>
                <w:szCs w:val="18"/>
              </w:rPr>
              <w:t xml:space="preserve">VKM </w:t>
            </w:r>
            <w:r w:rsidR="00A937D2" w:rsidRPr="00445472">
              <w:rPr>
                <w:rFonts w:ascii="Garamond" w:hAnsi="Garamond" w:cs="Arial"/>
                <w:bCs/>
                <w:sz w:val="18"/>
                <w:szCs w:val="18"/>
              </w:rPr>
              <w:t>nr</w:t>
            </w:r>
            <w:r w:rsidRPr="00445472">
              <w:rPr>
                <w:rFonts w:ascii="Garamond" w:hAnsi="Garamond" w:cs="Arial"/>
                <w:bCs/>
                <w:sz w:val="18"/>
                <w:szCs w:val="18"/>
              </w:rPr>
              <w:t>. 267, </w:t>
            </w:r>
            <w:r w:rsidR="00D62EDF" w:rsidRPr="00445472">
              <w:rPr>
                <w:rFonts w:ascii="Garamond" w:hAnsi="Garamond" w:cs="Arial"/>
                <w:bCs/>
                <w:sz w:val="18"/>
                <w:szCs w:val="18"/>
              </w:rPr>
              <w:t>”</w:t>
            </w:r>
            <w:r w:rsidRPr="00445472">
              <w:rPr>
                <w:rFonts w:ascii="Garamond" w:hAnsi="Garamond" w:cs="Arial"/>
                <w:bCs/>
                <w:sz w:val="18"/>
                <w:szCs w:val="18"/>
              </w:rPr>
              <w:t>Për miratimin e listës së substancave prioritare në mjediset ujore</w:t>
            </w:r>
            <w:r w:rsidR="00D62EDF" w:rsidRPr="00445472">
              <w:rPr>
                <w:rFonts w:ascii="Garamond" w:hAnsi="Garamond" w:cs="Arial"/>
                <w:bCs/>
                <w:sz w:val="18"/>
                <w:szCs w:val="18"/>
              </w:rPr>
              <w:t>”</w:t>
            </w:r>
          </w:p>
          <w:p w14:paraId="7EB459E7" w14:textId="77777777" w:rsidR="00835F41" w:rsidRPr="00445472" w:rsidRDefault="00835F41" w:rsidP="002A1F08">
            <w:pPr>
              <w:pStyle w:val="TableTextRight"/>
              <w:jc w:val="left"/>
              <w:rPr>
                <w:rFonts w:ascii="Garamond" w:hAnsi="Garamond" w:cs="Arial"/>
                <w:sz w:val="18"/>
                <w:szCs w:val="18"/>
                <w:lang w:val="sq-AL"/>
              </w:rPr>
            </w:pPr>
          </w:p>
        </w:tc>
        <w:tc>
          <w:tcPr>
            <w:tcW w:w="0" w:type="pct"/>
            <w:shd w:val="clear" w:color="auto" w:fill="auto"/>
            <w:vAlign w:val="center"/>
          </w:tcPr>
          <w:p w14:paraId="67E9DFDD" w14:textId="7D138D00" w:rsidR="00835F41" w:rsidRPr="00445472" w:rsidRDefault="00835F41" w:rsidP="002A1F08">
            <w:pPr>
              <w:pStyle w:val="TableTextRight"/>
              <w:tabs>
                <w:tab w:val="left" w:pos="1587"/>
              </w:tabs>
              <w:jc w:val="left"/>
              <w:rPr>
                <w:rFonts w:ascii="Garamond" w:hAnsi="Garamond" w:cs="Arial"/>
                <w:sz w:val="18"/>
                <w:szCs w:val="18"/>
                <w:lang w:val="sq-AL"/>
              </w:rPr>
            </w:pPr>
            <w:r w:rsidRPr="00445472">
              <w:rPr>
                <w:rFonts w:ascii="Garamond" w:hAnsi="Garamond" w:cs="Arial"/>
                <w:bCs/>
                <w:sz w:val="18"/>
                <w:szCs w:val="18"/>
                <w:lang w:val="sq-AL"/>
              </w:rPr>
              <w:t xml:space="preserve">Ky vendim synon të bëjë një listë të </w:t>
            </w:r>
            <w:r w:rsidR="00D62EDF" w:rsidRPr="00445472">
              <w:rPr>
                <w:rFonts w:ascii="Garamond" w:hAnsi="Garamond" w:cs="Arial"/>
                <w:bCs/>
                <w:sz w:val="18"/>
                <w:szCs w:val="18"/>
                <w:lang w:val="sq-AL"/>
              </w:rPr>
              <w:t>“</w:t>
            </w:r>
            <w:r w:rsidRPr="00445472">
              <w:rPr>
                <w:rFonts w:ascii="Garamond" w:hAnsi="Garamond" w:cs="Arial"/>
                <w:bCs/>
                <w:sz w:val="18"/>
                <w:szCs w:val="18"/>
                <w:lang w:val="sq-AL"/>
              </w:rPr>
              <w:t>substancave prioritare</w:t>
            </w:r>
            <w:r w:rsidR="00D62EDF" w:rsidRPr="00445472">
              <w:rPr>
                <w:rFonts w:ascii="Garamond" w:hAnsi="Garamond" w:cs="Arial"/>
                <w:bCs/>
                <w:sz w:val="18"/>
                <w:szCs w:val="18"/>
                <w:lang w:val="sq-AL"/>
              </w:rPr>
              <w:t>”</w:t>
            </w:r>
            <w:r w:rsidRPr="00445472">
              <w:rPr>
                <w:rFonts w:ascii="Garamond" w:hAnsi="Garamond" w:cs="Arial"/>
                <w:bCs/>
                <w:sz w:val="18"/>
                <w:szCs w:val="18"/>
                <w:lang w:val="sq-AL"/>
              </w:rPr>
              <w:t xml:space="preserve"> që përfshijnë </w:t>
            </w:r>
            <w:r w:rsidR="00D62EDF" w:rsidRPr="00445472">
              <w:rPr>
                <w:rFonts w:ascii="Garamond" w:hAnsi="Garamond" w:cs="Arial"/>
                <w:bCs/>
                <w:sz w:val="18"/>
                <w:szCs w:val="18"/>
                <w:lang w:val="sq-AL"/>
              </w:rPr>
              <w:t>“</w:t>
            </w:r>
            <w:r w:rsidRPr="00445472">
              <w:rPr>
                <w:rFonts w:ascii="Garamond" w:hAnsi="Garamond" w:cs="Arial"/>
                <w:bCs/>
                <w:sz w:val="18"/>
                <w:szCs w:val="18"/>
                <w:lang w:val="sq-AL"/>
              </w:rPr>
              <w:t>substanca të rrezikshme prioritare</w:t>
            </w:r>
            <w:r w:rsidR="00D62EDF" w:rsidRPr="00445472">
              <w:rPr>
                <w:rFonts w:ascii="Garamond" w:hAnsi="Garamond" w:cs="Arial"/>
                <w:bCs/>
                <w:sz w:val="18"/>
                <w:szCs w:val="18"/>
                <w:lang w:val="sq-AL"/>
              </w:rPr>
              <w:t>”</w:t>
            </w:r>
            <w:r w:rsidRPr="00445472">
              <w:rPr>
                <w:rFonts w:ascii="Garamond" w:hAnsi="Garamond" w:cs="Arial"/>
                <w:bCs/>
                <w:sz w:val="18"/>
                <w:szCs w:val="18"/>
                <w:lang w:val="sq-AL"/>
              </w:rPr>
              <w:t>, të cilat paraqesin rrezik të konsiderueshëm për mjedisin ujor dhe shkarkimi i të cilave në mjedis është i ndaluar dhe</w:t>
            </w:r>
            <w:r w:rsidR="001D340B" w:rsidRPr="00445472">
              <w:rPr>
                <w:rFonts w:ascii="Garamond" w:hAnsi="Garamond" w:cs="Arial"/>
                <w:bCs/>
                <w:sz w:val="18"/>
                <w:szCs w:val="18"/>
                <w:lang w:val="sq-AL"/>
              </w:rPr>
              <w:t>/</w:t>
            </w:r>
            <w:r w:rsidRPr="00445472">
              <w:rPr>
                <w:rFonts w:ascii="Garamond" w:hAnsi="Garamond" w:cs="Arial"/>
                <w:bCs/>
                <w:sz w:val="18"/>
                <w:szCs w:val="18"/>
                <w:lang w:val="sq-AL"/>
              </w:rPr>
              <w:t xml:space="preserve">ose duhet të kontrollohet me qëllim që të jenë në përputhje me normat e specifikuara.     </w:t>
            </w:r>
          </w:p>
        </w:tc>
        <w:tc>
          <w:tcPr>
            <w:tcW w:w="0" w:type="pct"/>
            <w:shd w:val="clear" w:color="auto" w:fill="auto"/>
            <w:vAlign w:val="center"/>
          </w:tcPr>
          <w:p w14:paraId="123DFF53" w14:textId="28FCB946" w:rsidR="00835F41" w:rsidRPr="00445472" w:rsidRDefault="00835F41" w:rsidP="002A1F08">
            <w:pPr>
              <w:spacing w:after="40"/>
              <w:rPr>
                <w:rFonts w:ascii="Garamond" w:hAnsi="Garamond" w:cs="Arial"/>
                <w:bCs/>
                <w:sz w:val="18"/>
                <w:szCs w:val="18"/>
              </w:rPr>
            </w:pPr>
            <w:r w:rsidRPr="00445472">
              <w:rPr>
                <w:rFonts w:ascii="Garamond" w:hAnsi="Garamond" w:cs="Arial"/>
                <w:bCs/>
                <w:sz w:val="18"/>
                <w:szCs w:val="18"/>
              </w:rPr>
              <w:t xml:space="preserve">Institucionet e </w:t>
            </w:r>
            <w:r w:rsidR="004C3294" w:rsidRPr="00445472">
              <w:rPr>
                <w:rFonts w:ascii="Garamond" w:hAnsi="Garamond" w:cs="Arial"/>
                <w:bCs/>
                <w:sz w:val="18"/>
                <w:szCs w:val="18"/>
              </w:rPr>
              <w:t>zbatimit të ligjit</w:t>
            </w:r>
            <w:r w:rsidRPr="00445472">
              <w:rPr>
                <w:rFonts w:ascii="Garamond" w:hAnsi="Garamond" w:cs="Arial"/>
                <w:bCs/>
                <w:sz w:val="18"/>
                <w:szCs w:val="18"/>
              </w:rPr>
              <w:t>:</w:t>
            </w:r>
          </w:p>
          <w:p w14:paraId="6F78C50D" w14:textId="77777777" w:rsidR="00835F41" w:rsidRPr="00445472" w:rsidRDefault="00835F41" w:rsidP="0080598D">
            <w:pPr>
              <w:pStyle w:val="TableTextRight"/>
              <w:numPr>
                <w:ilvl w:val="0"/>
                <w:numId w:val="46"/>
              </w:numPr>
              <w:jc w:val="left"/>
              <w:rPr>
                <w:rFonts w:ascii="Garamond" w:hAnsi="Garamond" w:cs="Arial"/>
                <w:bCs/>
                <w:sz w:val="18"/>
                <w:szCs w:val="18"/>
                <w:lang w:val="sq-AL"/>
              </w:rPr>
            </w:pPr>
            <w:r w:rsidRPr="00445472">
              <w:rPr>
                <w:rFonts w:ascii="Garamond" w:hAnsi="Garamond" w:cs="Arial"/>
                <w:bCs/>
                <w:sz w:val="18"/>
                <w:szCs w:val="18"/>
                <w:lang w:val="sq-AL"/>
              </w:rPr>
              <w:t xml:space="preserve">Ministria e Turizmit dhe Mjedisit, </w:t>
            </w:r>
          </w:p>
          <w:p w14:paraId="072C82E1" w14:textId="77777777" w:rsidR="00835F41" w:rsidRPr="00445472" w:rsidRDefault="00835F41" w:rsidP="0080598D">
            <w:pPr>
              <w:pStyle w:val="TableTextRight"/>
              <w:numPr>
                <w:ilvl w:val="0"/>
                <w:numId w:val="46"/>
              </w:numPr>
              <w:jc w:val="left"/>
              <w:rPr>
                <w:rFonts w:ascii="Garamond" w:hAnsi="Garamond" w:cs="Arial"/>
                <w:sz w:val="18"/>
                <w:szCs w:val="18"/>
                <w:lang w:val="sq-AL"/>
              </w:rPr>
            </w:pPr>
            <w:r w:rsidRPr="00445472">
              <w:rPr>
                <w:rFonts w:ascii="Garamond" w:hAnsi="Garamond" w:cs="Arial"/>
                <w:bCs/>
                <w:sz w:val="18"/>
                <w:szCs w:val="18"/>
                <w:lang w:val="sq-AL"/>
              </w:rPr>
              <w:t>Agjencia Kombëtare e Mjedisit</w:t>
            </w:r>
          </w:p>
          <w:p w14:paraId="51A5AEA7" w14:textId="77777777" w:rsidR="00835F41" w:rsidRPr="00445472" w:rsidRDefault="00835F41" w:rsidP="0080598D">
            <w:pPr>
              <w:pStyle w:val="TableTextRight"/>
              <w:numPr>
                <w:ilvl w:val="0"/>
                <w:numId w:val="46"/>
              </w:numPr>
              <w:jc w:val="left"/>
              <w:rPr>
                <w:rFonts w:ascii="Garamond" w:hAnsi="Garamond" w:cs="Arial"/>
                <w:sz w:val="18"/>
                <w:szCs w:val="18"/>
                <w:lang w:val="sq-AL"/>
              </w:rPr>
            </w:pPr>
            <w:r w:rsidRPr="00445472">
              <w:rPr>
                <w:rFonts w:ascii="Garamond" w:hAnsi="Garamond" w:cs="Arial"/>
                <w:bCs/>
                <w:sz w:val="18"/>
                <w:szCs w:val="18"/>
                <w:lang w:val="sq-AL"/>
              </w:rPr>
              <w:t>Këshilli Kombëtar i Ujit</w:t>
            </w:r>
          </w:p>
          <w:p w14:paraId="5C2A305B" w14:textId="77777777" w:rsidR="00835F41" w:rsidRPr="00445472" w:rsidRDefault="00835F41" w:rsidP="0080598D">
            <w:pPr>
              <w:pStyle w:val="TableTextRight"/>
              <w:numPr>
                <w:ilvl w:val="0"/>
                <w:numId w:val="46"/>
              </w:numPr>
              <w:jc w:val="left"/>
              <w:rPr>
                <w:rFonts w:ascii="Garamond" w:hAnsi="Garamond" w:cs="Arial"/>
                <w:sz w:val="18"/>
                <w:szCs w:val="18"/>
                <w:lang w:val="sq-AL"/>
              </w:rPr>
            </w:pPr>
            <w:r w:rsidRPr="00445472">
              <w:rPr>
                <w:rFonts w:ascii="Garamond" w:hAnsi="Garamond" w:cs="Arial"/>
                <w:bCs/>
                <w:sz w:val="18"/>
                <w:szCs w:val="18"/>
                <w:lang w:val="sq-AL"/>
              </w:rPr>
              <w:t>Këshillat e Baseneve; të cilët, pas zbatimit të kompetencave të tyre ligjore për mbrojtjen e cilësisë së ujit, e marrin në konsideratë këtë listë për zbatimin e këtij vendimi</w:t>
            </w:r>
            <w:r w:rsidRPr="00445472">
              <w:rPr>
                <w:rFonts w:ascii="Garamond" w:hAnsi="Garamond" w:cs="Arial"/>
                <w:bCs/>
                <w:spacing w:val="-1"/>
                <w:sz w:val="18"/>
                <w:szCs w:val="18"/>
                <w:lang w:val="sq-AL"/>
              </w:rPr>
              <w:t>.</w:t>
            </w:r>
          </w:p>
        </w:tc>
      </w:tr>
      <w:tr w:rsidR="00835F41" w:rsidRPr="00445472" w14:paraId="21790E7D" w14:textId="77777777" w:rsidTr="002C1894">
        <w:trPr>
          <w:jc w:val="center"/>
        </w:trPr>
        <w:tc>
          <w:tcPr>
            <w:tcW w:w="0" w:type="pct"/>
            <w:shd w:val="clear" w:color="auto" w:fill="auto"/>
            <w:vAlign w:val="center"/>
          </w:tcPr>
          <w:p w14:paraId="3760E739" w14:textId="2B5373C1"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2009/90</w:t>
            </w:r>
            <w:r w:rsidR="001D340B" w:rsidRPr="00445472">
              <w:rPr>
                <w:rFonts w:ascii="Garamond" w:hAnsi="Garamond" w:cs="Arial"/>
                <w:sz w:val="18"/>
                <w:szCs w:val="18"/>
                <w:lang w:val="sq-AL"/>
              </w:rPr>
              <w:t>/</w:t>
            </w:r>
            <w:r w:rsidRPr="00445472">
              <w:rPr>
                <w:rFonts w:ascii="Garamond" w:hAnsi="Garamond" w:cs="Arial"/>
                <w:sz w:val="18"/>
                <w:szCs w:val="18"/>
                <w:lang w:val="sq-AL"/>
              </w:rPr>
              <w:t>EC 3</w:t>
            </w:r>
            <w:r w:rsidR="00A22CE0">
              <w:rPr>
                <w:rFonts w:ascii="Garamond" w:hAnsi="Garamond" w:cs="Arial"/>
                <w:sz w:val="18"/>
                <w:szCs w:val="18"/>
                <w:lang w:val="sq-AL"/>
              </w:rPr>
              <w:t>1.</w:t>
            </w:r>
            <w:r w:rsidRPr="00445472">
              <w:rPr>
                <w:rFonts w:ascii="Garamond" w:hAnsi="Garamond" w:cs="Arial"/>
                <w:sz w:val="18"/>
                <w:szCs w:val="18"/>
                <w:lang w:val="sq-AL"/>
              </w:rPr>
              <w:t>7.2009</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specifikimet teknike për analizat kimike dhe monitorimin e gjendjes së ujit</w:t>
            </w:r>
            <w:r w:rsidR="00D62EDF" w:rsidRPr="00445472">
              <w:rPr>
                <w:rFonts w:ascii="Garamond" w:hAnsi="Garamond" w:cs="Arial"/>
                <w:sz w:val="18"/>
                <w:szCs w:val="18"/>
                <w:lang w:val="sq-AL"/>
              </w:rPr>
              <w:t>”</w:t>
            </w:r>
          </w:p>
        </w:tc>
        <w:tc>
          <w:tcPr>
            <w:tcW w:w="0" w:type="pct"/>
            <w:shd w:val="clear" w:color="auto" w:fill="auto"/>
            <w:vAlign w:val="center"/>
          </w:tcPr>
          <w:p w14:paraId="1B935219" w14:textId="77777777" w:rsidR="00835F41" w:rsidRPr="00445472" w:rsidRDefault="00835F41" w:rsidP="002A1F08">
            <w:pPr>
              <w:spacing w:after="40"/>
              <w:rPr>
                <w:rFonts w:ascii="Garamond" w:eastAsia="Arial" w:hAnsi="Garamond" w:cs="Arial"/>
                <w:bCs/>
                <w:sz w:val="18"/>
                <w:szCs w:val="18"/>
              </w:rPr>
            </w:pPr>
            <w:r w:rsidRPr="00445472">
              <w:rPr>
                <w:rFonts w:ascii="Garamond" w:hAnsi="Garamond" w:cs="Arial"/>
                <w:bCs/>
                <w:sz w:val="18"/>
                <w:szCs w:val="18"/>
              </w:rPr>
              <w:t>Nuk është transpozuar.</w:t>
            </w:r>
          </w:p>
          <w:p w14:paraId="7DC13B21" w14:textId="77777777" w:rsidR="00835F41" w:rsidRPr="00445472" w:rsidRDefault="00835F41" w:rsidP="002A1F08">
            <w:pPr>
              <w:pStyle w:val="TableTextRight"/>
              <w:jc w:val="left"/>
              <w:rPr>
                <w:rFonts w:ascii="Garamond" w:hAnsi="Garamond" w:cs="Arial"/>
                <w:sz w:val="18"/>
                <w:szCs w:val="18"/>
                <w:lang w:val="sq-AL"/>
              </w:rPr>
            </w:pPr>
          </w:p>
        </w:tc>
        <w:tc>
          <w:tcPr>
            <w:tcW w:w="0" w:type="pct"/>
            <w:shd w:val="clear" w:color="auto" w:fill="auto"/>
            <w:vAlign w:val="center"/>
          </w:tcPr>
          <w:p w14:paraId="79066E13" w14:textId="77777777" w:rsidR="00835F41" w:rsidRPr="00445472" w:rsidRDefault="00835F41" w:rsidP="002A1F08">
            <w:pPr>
              <w:pStyle w:val="TableTextRight"/>
              <w:tabs>
                <w:tab w:val="left" w:pos="1587"/>
              </w:tabs>
              <w:jc w:val="left"/>
              <w:rPr>
                <w:rFonts w:ascii="Garamond" w:hAnsi="Garamond" w:cs="Arial"/>
                <w:sz w:val="18"/>
                <w:szCs w:val="18"/>
                <w:lang w:val="sq-AL"/>
              </w:rPr>
            </w:pPr>
          </w:p>
        </w:tc>
        <w:tc>
          <w:tcPr>
            <w:tcW w:w="0" w:type="pct"/>
            <w:shd w:val="clear" w:color="auto" w:fill="auto"/>
            <w:vAlign w:val="center"/>
          </w:tcPr>
          <w:p w14:paraId="06B9D04F" w14:textId="77777777" w:rsidR="00835F41" w:rsidRPr="00445472" w:rsidRDefault="00835F41" w:rsidP="002A1F08">
            <w:pPr>
              <w:pStyle w:val="TableTextRight"/>
              <w:jc w:val="left"/>
              <w:rPr>
                <w:rFonts w:ascii="Garamond" w:hAnsi="Garamond" w:cs="Arial"/>
                <w:sz w:val="18"/>
                <w:szCs w:val="18"/>
                <w:lang w:val="sq-AL"/>
              </w:rPr>
            </w:pPr>
          </w:p>
        </w:tc>
      </w:tr>
      <w:tr w:rsidR="00835F41" w:rsidRPr="00445472" w14:paraId="69ACF940" w14:textId="77777777" w:rsidTr="002C1894">
        <w:trPr>
          <w:jc w:val="center"/>
        </w:trPr>
        <w:tc>
          <w:tcPr>
            <w:tcW w:w="0" w:type="pct"/>
            <w:shd w:val="clear" w:color="auto" w:fill="auto"/>
            <w:vAlign w:val="center"/>
          </w:tcPr>
          <w:p w14:paraId="3C2D9632" w14:textId="199F63A7"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2007/60</w:t>
            </w:r>
            <w:r w:rsidR="001D340B" w:rsidRPr="00445472">
              <w:rPr>
                <w:rFonts w:ascii="Garamond" w:hAnsi="Garamond" w:cs="Arial"/>
                <w:sz w:val="18"/>
                <w:szCs w:val="18"/>
                <w:lang w:val="sq-AL"/>
              </w:rPr>
              <w:t>/</w:t>
            </w:r>
            <w:r w:rsidRPr="00445472">
              <w:rPr>
                <w:rFonts w:ascii="Garamond" w:hAnsi="Garamond" w:cs="Arial"/>
                <w:sz w:val="18"/>
                <w:szCs w:val="18"/>
                <w:lang w:val="sq-AL"/>
              </w:rPr>
              <w:t>EC 23.10.2007</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vlerësimin dhe menaxhimin e rreziqeve nga përmbytjet</w:t>
            </w:r>
            <w:r w:rsidR="00D62EDF" w:rsidRPr="00445472">
              <w:rPr>
                <w:rFonts w:ascii="Garamond" w:hAnsi="Garamond" w:cs="Arial"/>
                <w:sz w:val="18"/>
                <w:szCs w:val="18"/>
                <w:lang w:val="sq-AL"/>
              </w:rPr>
              <w:t>”</w:t>
            </w:r>
          </w:p>
        </w:tc>
        <w:tc>
          <w:tcPr>
            <w:tcW w:w="0" w:type="pct"/>
            <w:shd w:val="clear" w:color="auto" w:fill="auto"/>
            <w:vAlign w:val="center"/>
          </w:tcPr>
          <w:p w14:paraId="3BE7CC43" w14:textId="4F67F95A" w:rsidR="00835F41" w:rsidRPr="00445472" w:rsidRDefault="00835F41" w:rsidP="002A1F08">
            <w:pPr>
              <w:tabs>
                <w:tab w:val="left" w:pos="1587"/>
              </w:tabs>
              <w:spacing w:after="40"/>
              <w:rPr>
                <w:rFonts w:ascii="Garamond" w:hAnsi="Garamond" w:cs="Arial"/>
                <w:bCs/>
                <w:sz w:val="18"/>
                <w:szCs w:val="18"/>
              </w:rPr>
            </w:pPr>
            <w:r w:rsidRPr="00445472">
              <w:rPr>
                <w:rFonts w:ascii="Garamond" w:hAnsi="Garamond" w:cs="Arial"/>
                <w:bCs/>
                <w:sz w:val="18"/>
                <w:szCs w:val="18"/>
              </w:rPr>
              <w:t>Është transpozuar pje</w:t>
            </w:r>
            <w:r w:rsidR="004C3294" w:rsidRPr="00445472">
              <w:rPr>
                <w:rFonts w:ascii="Garamond" w:hAnsi="Garamond" w:cs="Arial"/>
                <w:bCs/>
                <w:sz w:val="18"/>
                <w:szCs w:val="18"/>
              </w:rPr>
              <w:t>s</w:t>
            </w:r>
            <w:r w:rsidRPr="00445472">
              <w:rPr>
                <w:rFonts w:ascii="Garamond" w:hAnsi="Garamond" w:cs="Arial"/>
                <w:bCs/>
                <w:sz w:val="18"/>
                <w:szCs w:val="18"/>
              </w:rPr>
              <w:t>ë</w:t>
            </w:r>
            <w:r w:rsidR="00A937D2" w:rsidRPr="00445472">
              <w:rPr>
                <w:rFonts w:ascii="Garamond" w:hAnsi="Garamond" w:cs="Arial"/>
                <w:bCs/>
                <w:sz w:val="18"/>
                <w:szCs w:val="18"/>
              </w:rPr>
              <w:t>r</w:t>
            </w:r>
            <w:r w:rsidRPr="00445472">
              <w:rPr>
                <w:rFonts w:ascii="Garamond" w:hAnsi="Garamond" w:cs="Arial"/>
                <w:bCs/>
                <w:sz w:val="18"/>
                <w:szCs w:val="18"/>
              </w:rPr>
              <w:t xml:space="preserve">isht nga: </w:t>
            </w:r>
          </w:p>
          <w:p w14:paraId="469406D9" w14:textId="77777777" w:rsidR="00835F41" w:rsidRPr="00445472" w:rsidRDefault="00835F41" w:rsidP="002A1F08">
            <w:pPr>
              <w:tabs>
                <w:tab w:val="left" w:pos="1587"/>
              </w:tabs>
              <w:spacing w:after="40"/>
              <w:rPr>
                <w:rFonts w:ascii="Garamond" w:hAnsi="Garamond" w:cs="Arial"/>
                <w:bCs/>
                <w:sz w:val="18"/>
                <w:szCs w:val="18"/>
              </w:rPr>
            </w:pPr>
          </w:p>
          <w:p w14:paraId="37D78AE0" w14:textId="60CCAC83" w:rsidR="00835F41" w:rsidRPr="00445472" w:rsidRDefault="00835F41" w:rsidP="002A1F08">
            <w:pPr>
              <w:tabs>
                <w:tab w:val="left" w:pos="1587"/>
              </w:tabs>
              <w:spacing w:after="40"/>
              <w:rPr>
                <w:rFonts w:ascii="Garamond" w:hAnsi="Garamond" w:cs="Arial"/>
                <w:bCs/>
                <w:sz w:val="18"/>
                <w:szCs w:val="18"/>
              </w:rPr>
            </w:pPr>
            <w:r w:rsidRPr="00445472">
              <w:rPr>
                <w:rFonts w:ascii="Garamond" w:hAnsi="Garamond" w:cs="Arial"/>
                <w:bCs/>
                <w:sz w:val="18"/>
                <w:szCs w:val="18"/>
              </w:rPr>
              <w:t>Ligji Nr</w:t>
            </w:r>
            <w:r w:rsidR="00A22CE0">
              <w:rPr>
                <w:rFonts w:ascii="Garamond" w:hAnsi="Garamond" w:cs="Arial"/>
                <w:bCs/>
                <w:sz w:val="18"/>
                <w:szCs w:val="18"/>
              </w:rPr>
              <w:t>. 9860, datë 21.</w:t>
            </w:r>
            <w:r w:rsidRPr="00445472">
              <w:rPr>
                <w:rFonts w:ascii="Garamond" w:hAnsi="Garamond" w:cs="Arial"/>
                <w:bCs/>
                <w:sz w:val="18"/>
                <w:szCs w:val="18"/>
              </w:rPr>
              <w:t>1.2008 për ndryshi</w:t>
            </w:r>
            <w:r w:rsidR="00A22CE0">
              <w:rPr>
                <w:rFonts w:ascii="Garamond" w:hAnsi="Garamond" w:cs="Arial"/>
                <w:bCs/>
                <w:sz w:val="18"/>
                <w:szCs w:val="18"/>
              </w:rPr>
              <w:t>min e Ligjit nr. 8518, datë 30.</w:t>
            </w:r>
            <w:r w:rsidRPr="00445472">
              <w:rPr>
                <w:rFonts w:ascii="Garamond" w:hAnsi="Garamond" w:cs="Arial"/>
                <w:bCs/>
                <w:sz w:val="18"/>
                <w:szCs w:val="18"/>
              </w:rPr>
              <w:t>7.1999</w:t>
            </w:r>
            <w:r w:rsidR="00D62EDF" w:rsidRPr="00445472">
              <w:rPr>
                <w:rFonts w:ascii="Garamond" w:hAnsi="Garamond" w:cs="Arial"/>
                <w:bCs/>
                <w:sz w:val="18"/>
                <w:szCs w:val="18"/>
              </w:rPr>
              <w:t xml:space="preserve">, “Për </w:t>
            </w:r>
            <w:r w:rsidRPr="00445472">
              <w:rPr>
                <w:rFonts w:ascii="Garamond" w:hAnsi="Garamond" w:cs="Arial"/>
                <w:bCs/>
                <w:sz w:val="18"/>
                <w:szCs w:val="18"/>
              </w:rPr>
              <w:t>ujitjen dhe kullimin</w:t>
            </w:r>
            <w:r w:rsidR="00D62EDF" w:rsidRPr="00445472">
              <w:rPr>
                <w:rFonts w:ascii="Garamond" w:hAnsi="Garamond" w:cs="Arial"/>
                <w:bCs/>
                <w:sz w:val="18"/>
                <w:szCs w:val="18"/>
              </w:rPr>
              <w:t>”</w:t>
            </w:r>
            <w:r w:rsidRPr="00445472">
              <w:rPr>
                <w:rFonts w:ascii="Garamond" w:hAnsi="Garamond" w:cs="Arial"/>
                <w:bCs/>
                <w:sz w:val="18"/>
                <w:szCs w:val="18"/>
              </w:rPr>
              <w:t>, hyrë në fuqi më 13.02.2008</w:t>
            </w:r>
          </w:p>
          <w:p w14:paraId="62F77742" w14:textId="0F412A7F" w:rsidR="00835F41" w:rsidRPr="00445472" w:rsidRDefault="00835F41" w:rsidP="002A1F08">
            <w:pPr>
              <w:pStyle w:val="TableTextRight"/>
              <w:jc w:val="left"/>
              <w:rPr>
                <w:rFonts w:ascii="Garamond" w:hAnsi="Garamond" w:cs="Arial"/>
                <w:sz w:val="18"/>
                <w:szCs w:val="18"/>
                <w:lang w:val="sq-AL"/>
              </w:rPr>
            </w:pPr>
            <w:r w:rsidRPr="00445472">
              <w:rPr>
                <w:rFonts w:ascii="Garamond" w:hAnsi="Garamond" w:cs="Arial"/>
                <w:bCs/>
                <w:sz w:val="18"/>
                <w:szCs w:val="18"/>
                <w:lang w:val="sq-AL"/>
              </w:rPr>
              <w:t>VKM nr.</w:t>
            </w:r>
            <w:r w:rsidR="004C3294" w:rsidRPr="00445472">
              <w:rPr>
                <w:rFonts w:ascii="Garamond" w:hAnsi="Garamond" w:cs="Arial"/>
                <w:bCs/>
                <w:sz w:val="18"/>
                <w:szCs w:val="18"/>
                <w:lang w:val="sq-AL"/>
              </w:rPr>
              <w:t xml:space="preserve"> 835, datë </w:t>
            </w:r>
            <w:r w:rsidRPr="00445472">
              <w:rPr>
                <w:rFonts w:ascii="Garamond" w:hAnsi="Garamond" w:cs="Arial"/>
                <w:bCs/>
                <w:sz w:val="18"/>
                <w:szCs w:val="18"/>
                <w:lang w:val="sq-AL"/>
              </w:rPr>
              <w:t>3.12.2004</w:t>
            </w:r>
            <w:r w:rsidR="00D62EDF" w:rsidRPr="00445472">
              <w:rPr>
                <w:rFonts w:ascii="Garamond" w:hAnsi="Garamond" w:cs="Arial"/>
                <w:bCs/>
                <w:sz w:val="18"/>
                <w:szCs w:val="18"/>
                <w:lang w:val="sq-AL"/>
              </w:rPr>
              <w:t xml:space="preserve">, “Për </w:t>
            </w:r>
            <w:r w:rsidRPr="00445472">
              <w:rPr>
                <w:rFonts w:ascii="Garamond" w:hAnsi="Garamond" w:cs="Arial"/>
                <w:bCs/>
                <w:sz w:val="18"/>
                <w:szCs w:val="18"/>
                <w:lang w:val="sq-AL"/>
              </w:rPr>
              <w:t>planin kombëtar të emergjencave civile</w:t>
            </w:r>
            <w:r w:rsidR="00D62EDF" w:rsidRPr="00445472">
              <w:rPr>
                <w:rFonts w:ascii="Garamond" w:hAnsi="Garamond" w:cs="Arial"/>
                <w:bCs/>
                <w:sz w:val="18"/>
                <w:szCs w:val="18"/>
                <w:lang w:val="sq-AL"/>
              </w:rPr>
              <w:t>”</w:t>
            </w:r>
            <w:r w:rsidRPr="00445472">
              <w:rPr>
                <w:rFonts w:ascii="Garamond" w:hAnsi="Garamond" w:cs="Arial"/>
                <w:bCs/>
                <w:sz w:val="18"/>
                <w:szCs w:val="18"/>
                <w:lang w:val="sq-AL"/>
              </w:rPr>
              <w:t>, hyrë në fuqi më 28.12.2004</w:t>
            </w:r>
          </w:p>
        </w:tc>
        <w:tc>
          <w:tcPr>
            <w:tcW w:w="0" w:type="pct"/>
            <w:shd w:val="clear" w:color="auto" w:fill="auto"/>
            <w:vAlign w:val="center"/>
          </w:tcPr>
          <w:p w14:paraId="4AA70E8B" w14:textId="5DBA1040" w:rsidR="00835F41" w:rsidRPr="00445472" w:rsidRDefault="00835F41" w:rsidP="002A1F08">
            <w:pPr>
              <w:tabs>
                <w:tab w:val="left" w:pos="1587"/>
              </w:tabs>
              <w:spacing w:after="40"/>
              <w:rPr>
                <w:rFonts w:ascii="Garamond" w:hAnsi="Garamond" w:cs="Arial"/>
                <w:bCs/>
                <w:sz w:val="18"/>
                <w:szCs w:val="18"/>
              </w:rPr>
            </w:pPr>
            <w:r w:rsidRPr="00445472">
              <w:rPr>
                <w:rFonts w:ascii="Garamond" w:hAnsi="Garamond" w:cs="Arial"/>
                <w:bCs/>
                <w:sz w:val="18"/>
                <w:szCs w:val="18"/>
              </w:rPr>
              <w:t>Qëllimi i këtij ligji është përcaktimi i kuadrit institucional në funksion të politikës nacionale për ujitjen, kullimin dhe mbrojtjen nga përmbytjet dhe kuadrin ligjor për krijimin dhe</w:t>
            </w:r>
            <w:r w:rsidR="001D340B" w:rsidRPr="00445472">
              <w:rPr>
                <w:rFonts w:ascii="Garamond" w:hAnsi="Garamond" w:cs="Arial"/>
                <w:bCs/>
                <w:sz w:val="18"/>
                <w:szCs w:val="18"/>
              </w:rPr>
              <w:t>/</w:t>
            </w:r>
            <w:r w:rsidRPr="00445472">
              <w:rPr>
                <w:rFonts w:ascii="Garamond" w:hAnsi="Garamond" w:cs="Arial"/>
                <w:bCs/>
                <w:sz w:val="18"/>
                <w:szCs w:val="18"/>
              </w:rPr>
              <w:t>ose funksionimin e strukturave përgjegjëse dhe përgjegjësitë e tyre</w:t>
            </w:r>
            <w:r w:rsidR="008F0A9F" w:rsidRPr="00445472">
              <w:rPr>
                <w:rFonts w:ascii="Garamond" w:hAnsi="Garamond" w:cs="Arial"/>
                <w:bCs/>
                <w:sz w:val="18"/>
                <w:szCs w:val="18"/>
              </w:rPr>
              <w:t>, si dhe</w:t>
            </w:r>
            <w:r w:rsidRPr="00445472">
              <w:rPr>
                <w:rFonts w:ascii="Garamond" w:hAnsi="Garamond" w:cs="Arial"/>
                <w:bCs/>
                <w:sz w:val="18"/>
                <w:szCs w:val="18"/>
              </w:rPr>
              <w:t xml:space="preserve"> për të rregulluar transferimin, përdorimin dhe mirëmbajtjen e infrastrukturës.</w:t>
            </w:r>
          </w:p>
          <w:p w14:paraId="05E5D619" w14:textId="77777777" w:rsidR="00835F41" w:rsidRPr="00445472" w:rsidRDefault="00835F41" w:rsidP="002A1F08">
            <w:pPr>
              <w:tabs>
                <w:tab w:val="left" w:pos="1587"/>
              </w:tabs>
              <w:spacing w:after="40"/>
              <w:rPr>
                <w:rFonts w:ascii="Garamond" w:hAnsi="Garamond" w:cs="Arial"/>
                <w:bCs/>
                <w:sz w:val="18"/>
                <w:szCs w:val="18"/>
              </w:rPr>
            </w:pPr>
            <w:r w:rsidRPr="00445472">
              <w:rPr>
                <w:rFonts w:ascii="Garamond" w:hAnsi="Garamond" w:cs="Arial"/>
                <w:bCs/>
                <w:sz w:val="18"/>
                <w:szCs w:val="18"/>
              </w:rPr>
              <w:t xml:space="preserve">Qëllimi i VKM-së është miratimi i planit kombëtar të emergjencave civile, i cili miraton programet e punës për realizimin e detyrave të përcaktuara në matricën e masave primare për mbrojtjen civile në Shqipëri, e cila është pjesë e planit kombëtar të emergjencave civile. </w:t>
            </w:r>
          </w:p>
        </w:tc>
        <w:tc>
          <w:tcPr>
            <w:tcW w:w="0" w:type="pct"/>
            <w:shd w:val="clear" w:color="auto" w:fill="auto"/>
            <w:vAlign w:val="center"/>
          </w:tcPr>
          <w:p w14:paraId="5D532A43" w14:textId="77777777" w:rsidR="00835F41" w:rsidRPr="00445472" w:rsidRDefault="00835F41" w:rsidP="002A1F08">
            <w:pPr>
              <w:spacing w:after="40" w:line="300" w:lineRule="exact"/>
              <w:rPr>
                <w:rFonts w:ascii="Garamond" w:hAnsi="Garamond" w:cs="Arial"/>
                <w:bCs/>
                <w:sz w:val="18"/>
                <w:szCs w:val="18"/>
              </w:rPr>
            </w:pPr>
            <w:r w:rsidRPr="00445472">
              <w:rPr>
                <w:rFonts w:ascii="Garamond" w:hAnsi="Garamond" w:cs="Arial"/>
                <w:bCs/>
                <w:sz w:val="18"/>
                <w:szCs w:val="18"/>
              </w:rPr>
              <w:t>Institucionet e Zbatimit të Ligjit:</w:t>
            </w:r>
          </w:p>
          <w:p w14:paraId="5A893A7C" w14:textId="77777777" w:rsidR="00835F41" w:rsidRPr="00445472" w:rsidRDefault="00835F41" w:rsidP="002A1F08">
            <w:pPr>
              <w:spacing w:after="40" w:line="300" w:lineRule="exact"/>
              <w:rPr>
                <w:rFonts w:ascii="Garamond" w:hAnsi="Garamond" w:cs="Arial"/>
                <w:bCs/>
                <w:sz w:val="18"/>
                <w:szCs w:val="18"/>
              </w:rPr>
            </w:pPr>
          </w:p>
          <w:p w14:paraId="5D958156" w14:textId="77777777" w:rsidR="00835F41" w:rsidRPr="00445472" w:rsidRDefault="00835F41" w:rsidP="002A1F08">
            <w:pPr>
              <w:spacing w:after="40"/>
              <w:rPr>
                <w:rFonts w:ascii="Garamond" w:hAnsi="Garamond" w:cs="Arial"/>
                <w:bCs/>
                <w:sz w:val="18"/>
                <w:szCs w:val="18"/>
              </w:rPr>
            </w:pPr>
            <w:r w:rsidRPr="00445472">
              <w:rPr>
                <w:rFonts w:ascii="Garamond" w:hAnsi="Garamond" w:cs="Arial"/>
                <w:bCs/>
                <w:sz w:val="18"/>
                <w:szCs w:val="18"/>
              </w:rPr>
              <w:t xml:space="preserve">Ministria e Bujqësisë, dhe Zhvillimit Rural </w:t>
            </w:r>
          </w:p>
          <w:p w14:paraId="4B8F955C" w14:textId="77777777" w:rsidR="00835F41" w:rsidRPr="00445472" w:rsidRDefault="00835F41" w:rsidP="002A1F08">
            <w:pPr>
              <w:spacing w:after="40" w:line="300" w:lineRule="exact"/>
              <w:rPr>
                <w:rFonts w:ascii="Garamond" w:hAnsi="Garamond" w:cs="Arial"/>
                <w:bCs/>
                <w:sz w:val="18"/>
                <w:szCs w:val="18"/>
              </w:rPr>
            </w:pPr>
          </w:p>
          <w:p w14:paraId="5E61D172" w14:textId="77777777" w:rsidR="00835F41" w:rsidRPr="00445472" w:rsidRDefault="00835F41" w:rsidP="002A1F08">
            <w:pPr>
              <w:pStyle w:val="TableTextRight"/>
              <w:jc w:val="left"/>
              <w:rPr>
                <w:rFonts w:ascii="Garamond" w:hAnsi="Garamond" w:cs="Arial"/>
                <w:sz w:val="18"/>
                <w:szCs w:val="18"/>
                <w:lang w:val="sq-AL"/>
              </w:rPr>
            </w:pPr>
            <w:r w:rsidRPr="00445472">
              <w:rPr>
                <w:rFonts w:ascii="Garamond" w:hAnsi="Garamond" w:cs="Arial"/>
                <w:bCs/>
                <w:sz w:val="18"/>
                <w:szCs w:val="18"/>
                <w:lang w:val="sq-AL"/>
              </w:rPr>
              <w:t>Ministria e Mbrojtjes</w:t>
            </w:r>
          </w:p>
        </w:tc>
      </w:tr>
      <w:tr w:rsidR="00835F41" w:rsidRPr="00445472" w14:paraId="3ACCD65E" w14:textId="77777777" w:rsidTr="002C1894">
        <w:trPr>
          <w:jc w:val="center"/>
        </w:trPr>
        <w:tc>
          <w:tcPr>
            <w:tcW w:w="0" w:type="pct"/>
            <w:shd w:val="clear" w:color="auto" w:fill="auto"/>
            <w:vAlign w:val="center"/>
          </w:tcPr>
          <w:p w14:paraId="2BE2E93D" w14:textId="272E7937"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2007/2</w:t>
            </w:r>
            <w:r w:rsidR="001D340B" w:rsidRPr="00445472">
              <w:rPr>
                <w:rFonts w:ascii="Garamond" w:hAnsi="Garamond" w:cs="Arial"/>
                <w:sz w:val="18"/>
                <w:szCs w:val="18"/>
                <w:lang w:val="sq-AL"/>
              </w:rPr>
              <w:t>/</w:t>
            </w:r>
            <w:r w:rsidRPr="00445472">
              <w:rPr>
                <w:rFonts w:ascii="Garamond" w:hAnsi="Garamond" w:cs="Arial"/>
                <w:sz w:val="18"/>
                <w:szCs w:val="18"/>
                <w:lang w:val="sq-AL"/>
              </w:rPr>
              <w:t xml:space="preserve">EC 14.3.2007 </w:t>
            </w:r>
            <w:r w:rsidR="00D62EDF" w:rsidRPr="00445472">
              <w:rPr>
                <w:rFonts w:ascii="Garamond" w:hAnsi="Garamond" w:cs="Arial"/>
                <w:sz w:val="18"/>
                <w:szCs w:val="18"/>
                <w:lang w:val="sq-AL"/>
              </w:rPr>
              <w:t>“</w:t>
            </w:r>
            <w:r w:rsidRPr="00445472">
              <w:rPr>
                <w:rFonts w:ascii="Garamond" w:hAnsi="Garamond" w:cs="Arial"/>
                <w:sz w:val="18"/>
                <w:szCs w:val="18"/>
                <w:lang w:val="sq-AL"/>
              </w:rPr>
              <w:t>Infrastruktura për Informacionin Hapësinor në Komunitetin Evropian (INSPIRE)</w:t>
            </w:r>
            <w:r w:rsidR="00D62EDF" w:rsidRPr="00445472">
              <w:rPr>
                <w:rFonts w:ascii="Garamond" w:hAnsi="Garamond" w:cs="Arial"/>
                <w:sz w:val="18"/>
                <w:szCs w:val="18"/>
                <w:lang w:val="sq-AL"/>
              </w:rPr>
              <w:t>”</w:t>
            </w:r>
          </w:p>
        </w:tc>
        <w:tc>
          <w:tcPr>
            <w:tcW w:w="0" w:type="pct"/>
            <w:shd w:val="clear" w:color="auto" w:fill="auto"/>
            <w:vAlign w:val="center"/>
          </w:tcPr>
          <w:p w14:paraId="3B1A8C99" w14:textId="77839F91" w:rsidR="00835F41" w:rsidRPr="00445472" w:rsidRDefault="00835F41" w:rsidP="004C3294">
            <w:pPr>
              <w:pStyle w:val="TableTextRight"/>
              <w:jc w:val="left"/>
              <w:rPr>
                <w:rFonts w:ascii="Garamond" w:hAnsi="Garamond" w:cs="Arial"/>
                <w:sz w:val="18"/>
                <w:szCs w:val="18"/>
                <w:lang w:val="sq-AL"/>
              </w:rPr>
            </w:pPr>
            <w:r w:rsidRPr="00445472">
              <w:rPr>
                <w:rFonts w:ascii="Garamond" w:hAnsi="Garamond" w:cs="Arial"/>
                <w:bCs/>
                <w:sz w:val="18"/>
                <w:szCs w:val="18"/>
                <w:lang w:val="sq-AL"/>
              </w:rPr>
              <w:t>Është transpozuar pjesër</w:t>
            </w:r>
            <w:r w:rsidR="00A22CE0">
              <w:rPr>
                <w:rFonts w:ascii="Garamond" w:hAnsi="Garamond" w:cs="Arial"/>
                <w:bCs/>
                <w:sz w:val="18"/>
                <w:szCs w:val="18"/>
                <w:lang w:val="sq-AL"/>
              </w:rPr>
              <w:t>isht me Ligjin nr. 72, datë 28.</w:t>
            </w:r>
            <w:r w:rsidRPr="00445472">
              <w:rPr>
                <w:rFonts w:ascii="Garamond" w:hAnsi="Garamond" w:cs="Arial"/>
                <w:bCs/>
                <w:sz w:val="18"/>
                <w:szCs w:val="18"/>
                <w:lang w:val="sq-AL"/>
              </w:rPr>
              <w:t>6.2012</w:t>
            </w:r>
            <w:r w:rsidR="00D62EDF" w:rsidRPr="00445472">
              <w:rPr>
                <w:rFonts w:ascii="Garamond" w:hAnsi="Garamond" w:cs="Arial"/>
                <w:bCs/>
                <w:sz w:val="18"/>
                <w:szCs w:val="18"/>
                <w:lang w:val="sq-AL"/>
              </w:rPr>
              <w:t xml:space="preserve">, “Për </w:t>
            </w:r>
            <w:r w:rsidRPr="00445472">
              <w:rPr>
                <w:rFonts w:ascii="Garamond" w:hAnsi="Garamond" w:cs="Arial"/>
                <w:bCs/>
                <w:sz w:val="18"/>
                <w:szCs w:val="18"/>
                <w:lang w:val="sq-AL"/>
              </w:rPr>
              <w:t>organizimin dhe funksionimin e infrastrukturës kombëtare të të dhënave gjeohapësinore në Republikën e Shqipërisë</w:t>
            </w:r>
            <w:r w:rsidR="00D62EDF" w:rsidRPr="00445472">
              <w:rPr>
                <w:rFonts w:ascii="Garamond" w:hAnsi="Garamond" w:cs="Arial"/>
                <w:bCs/>
                <w:sz w:val="18"/>
                <w:szCs w:val="18"/>
                <w:lang w:val="sq-AL"/>
              </w:rPr>
              <w:t>”</w:t>
            </w:r>
            <w:r w:rsidR="00A22CE0">
              <w:rPr>
                <w:rFonts w:ascii="Garamond" w:hAnsi="Garamond" w:cs="Arial"/>
                <w:bCs/>
                <w:sz w:val="18"/>
                <w:szCs w:val="18"/>
                <w:lang w:val="sq-AL"/>
              </w:rPr>
              <w:t>, hyrë në fuqi më 15.</w:t>
            </w:r>
            <w:r w:rsidRPr="00445472">
              <w:rPr>
                <w:rFonts w:ascii="Garamond" w:hAnsi="Garamond" w:cs="Arial"/>
                <w:bCs/>
                <w:sz w:val="18"/>
                <w:szCs w:val="18"/>
                <w:lang w:val="sq-AL"/>
              </w:rPr>
              <w:t xml:space="preserve">8.2012   </w:t>
            </w:r>
          </w:p>
        </w:tc>
        <w:tc>
          <w:tcPr>
            <w:tcW w:w="0" w:type="pct"/>
            <w:shd w:val="clear" w:color="auto" w:fill="auto"/>
            <w:vAlign w:val="center"/>
          </w:tcPr>
          <w:p w14:paraId="04908F58" w14:textId="77777777" w:rsidR="00835F41" w:rsidRPr="00445472" w:rsidRDefault="00835F41" w:rsidP="002A1F08">
            <w:pPr>
              <w:pStyle w:val="TableTextRight"/>
              <w:tabs>
                <w:tab w:val="left" w:pos="1587"/>
              </w:tabs>
              <w:jc w:val="left"/>
              <w:rPr>
                <w:rFonts w:ascii="Garamond" w:hAnsi="Garamond" w:cs="Arial"/>
                <w:sz w:val="18"/>
                <w:szCs w:val="18"/>
                <w:lang w:val="sq-AL"/>
              </w:rPr>
            </w:pPr>
            <w:r w:rsidRPr="00445472">
              <w:rPr>
                <w:rFonts w:ascii="Garamond" w:hAnsi="Garamond" w:cs="Arial"/>
                <w:bCs/>
                <w:sz w:val="18"/>
                <w:szCs w:val="18"/>
                <w:lang w:val="sq-AL"/>
              </w:rPr>
              <w:t xml:space="preserve">Qëllimi i këtij ligji është përcaktimi i rregullave për prodhimin e infrastrukturës kombëtare të informacionit gjeohapësinor në Republikën e Shqipërisë; organizimin dhe funksionimin e autoriteteve kombëtare të informacionit gjeohapësinor; përcaktimin e kushteve të përgjithshme që lidhen me grumbullimin, prodhimin, përpunimin, përditësimin, ndërveprimin, qasjen, mbajtjen, përdorimin dhe arkivimin e informacionit gjeohapësinor; detyrat dhe kompetencat e autoriteteve publike për prodhimin, sigurinë, qasjen dhe përdorimin e informacionit gjeohapësinor.                </w:t>
            </w:r>
          </w:p>
        </w:tc>
        <w:tc>
          <w:tcPr>
            <w:tcW w:w="0" w:type="pct"/>
            <w:shd w:val="clear" w:color="auto" w:fill="auto"/>
            <w:vAlign w:val="center"/>
          </w:tcPr>
          <w:p w14:paraId="38D7DA91" w14:textId="77777777" w:rsidR="00835F41" w:rsidRPr="00445472" w:rsidRDefault="00835F41" w:rsidP="0080598D">
            <w:pPr>
              <w:pStyle w:val="ListParagraph"/>
              <w:numPr>
                <w:ilvl w:val="0"/>
                <w:numId w:val="46"/>
              </w:numPr>
              <w:spacing w:before="120" w:after="40" w:line="264" w:lineRule="auto"/>
              <w:rPr>
                <w:rFonts w:ascii="Garamond" w:hAnsi="Garamond" w:cs="Arial"/>
                <w:bCs/>
                <w:sz w:val="18"/>
                <w:szCs w:val="18"/>
                <w:shd w:val="clear" w:color="auto" w:fill="FFFFFF"/>
              </w:rPr>
            </w:pPr>
            <w:r w:rsidRPr="00445472">
              <w:rPr>
                <w:rFonts w:ascii="Garamond" w:hAnsi="Garamond" w:cs="Arial"/>
                <w:bCs/>
                <w:sz w:val="18"/>
                <w:szCs w:val="18"/>
                <w:shd w:val="clear" w:color="auto" w:fill="FFFFFF"/>
              </w:rPr>
              <w:t>Autoriteti Shtetëror për Informacionin Gjeohapësinor (ASIG)</w:t>
            </w:r>
          </w:p>
          <w:p w14:paraId="4BE8BDF9" w14:textId="77777777" w:rsidR="00835F41" w:rsidRPr="00445472" w:rsidRDefault="00835F41" w:rsidP="0080598D">
            <w:pPr>
              <w:pStyle w:val="TableTextRight"/>
              <w:numPr>
                <w:ilvl w:val="0"/>
                <w:numId w:val="46"/>
              </w:numPr>
              <w:jc w:val="left"/>
              <w:rPr>
                <w:rFonts w:ascii="Garamond" w:hAnsi="Garamond" w:cs="Arial"/>
                <w:sz w:val="18"/>
                <w:szCs w:val="18"/>
                <w:lang w:val="sq-AL"/>
              </w:rPr>
            </w:pPr>
            <w:r w:rsidRPr="00445472">
              <w:rPr>
                <w:rFonts w:ascii="Garamond" w:hAnsi="Garamond" w:cs="Arial"/>
                <w:bCs/>
                <w:sz w:val="18"/>
                <w:szCs w:val="18"/>
                <w:lang w:val="sq-AL"/>
              </w:rPr>
              <w:t xml:space="preserve">Bordi i Informacionit Gjeohapësinor (BIG) </w:t>
            </w:r>
          </w:p>
        </w:tc>
      </w:tr>
      <w:tr w:rsidR="00835F41" w:rsidRPr="00445472" w14:paraId="62503100" w14:textId="77777777" w:rsidTr="002C1894">
        <w:trPr>
          <w:jc w:val="center"/>
        </w:trPr>
        <w:tc>
          <w:tcPr>
            <w:tcW w:w="0" w:type="pct"/>
            <w:shd w:val="clear" w:color="auto" w:fill="auto"/>
            <w:vAlign w:val="center"/>
          </w:tcPr>
          <w:p w14:paraId="5F48B6FA" w14:textId="05187AEA" w:rsidR="00835F41" w:rsidRPr="00445472" w:rsidRDefault="00835F41" w:rsidP="002A1F08">
            <w:pPr>
              <w:pStyle w:val="TableTextLeft"/>
              <w:rPr>
                <w:rFonts w:ascii="Garamond" w:hAnsi="Garamond" w:cs="Arial"/>
                <w:sz w:val="18"/>
                <w:szCs w:val="18"/>
                <w:lang w:val="sq-AL"/>
              </w:rPr>
            </w:pPr>
            <w:r w:rsidRPr="00445472">
              <w:rPr>
                <w:rFonts w:ascii="Garamond" w:hAnsi="Garamond" w:cs="Arial"/>
                <w:sz w:val="18"/>
                <w:szCs w:val="18"/>
                <w:lang w:val="sq-AL"/>
              </w:rPr>
              <w:t>Direktiva 2004/35</w:t>
            </w:r>
            <w:r w:rsidR="001D340B" w:rsidRPr="00445472">
              <w:rPr>
                <w:rFonts w:ascii="Garamond" w:hAnsi="Garamond" w:cs="Arial"/>
                <w:sz w:val="18"/>
                <w:szCs w:val="18"/>
                <w:lang w:val="sq-AL"/>
              </w:rPr>
              <w:t>/</w:t>
            </w:r>
            <w:r w:rsidRPr="00445472">
              <w:rPr>
                <w:rFonts w:ascii="Garamond" w:hAnsi="Garamond" w:cs="Arial"/>
                <w:sz w:val="18"/>
                <w:szCs w:val="18"/>
                <w:lang w:val="sq-AL"/>
              </w:rPr>
              <w:t>EC e Parlamentit Evropian dhe e Këshillit e datës 21 prill 2004</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përgjegjësinë mjedisore, parandalimin dhe riparimin e dëmeve mbi mjedisin</w:t>
            </w:r>
            <w:r w:rsidR="00D62EDF" w:rsidRPr="00445472">
              <w:rPr>
                <w:rFonts w:ascii="Garamond" w:hAnsi="Garamond" w:cs="Arial"/>
                <w:sz w:val="18"/>
                <w:szCs w:val="18"/>
                <w:lang w:val="sq-AL"/>
              </w:rPr>
              <w:t>”</w:t>
            </w:r>
          </w:p>
        </w:tc>
        <w:tc>
          <w:tcPr>
            <w:tcW w:w="0" w:type="pct"/>
            <w:shd w:val="clear" w:color="auto" w:fill="auto"/>
            <w:vAlign w:val="center"/>
          </w:tcPr>
          <w:p w14:paraId="03A08511" w14:textId="35EE6C69" w:rsidR="00835F41" w:rsidRPr="00445472" w:rsidRDefault="00835F41" w:rsidP="002A1F08">
            <w:pPr>
              <w:spacing w:after="40"/>
              <w:rPr>
                <w:rFonts w:ascii="Garamond" w:hAnsi="Garamond" w:cs="Arial"/>
                <w:sz w:val="18"/>
                <w:szCs w:val="18"/>
              </w:rPr>
            </w:pPr>
            <w:r w:rsidRPr="00445472">
              <w:rPr>
                <w:rFonts w:ascii="Garamond" w:hAnsi="Garamond" w:cs="Arial"/>
                <w:sz w:val="18"/>
                <w:szCs w:val="18"/>
              </w:rPr>
              <w:t>Ligji nr. 10 431, datë 9.6.2011</w:t>
            </w:r>
            <w:r w:rsidR="00D62EDF" w:rsidRPr="00445472">
              <w:rPr>
                <w:rFonts w:ascii="Garamond" w:hAnsi="Garamond" w:cs="Arial"/>
                <w:sz w:val="18"/>
                <w:szCs w:val="18"/>
              </w:rPr>
              <w:t xml:space="preserve">, “Për </w:t>
            </w:r>
            <w:r w:rsidRPr="00445472">
              <w:rPr>
                <w:rFonts w:ascii="Garamond" w:hAnsi="Garamond" w:cs="Arial"/>
                <w:sz w:val="18"/>
                <w:szCs w:val="18"/>
              </w:rPr>
              <w:t>Mbrojtjen e Mjedisit</w:t>
            </w:r>
            <w:r w:rsidR="00D62EDF" w:rsidRPr="00445472">
              <w:rPr>
                <w:rFonts w:ascii="Garamond" w:hAnsi="Garamond" w:cs="Arial"/>
                <w:sz w:val="18"/>
                <w:szCs w:val="18"/>
              </w:rPr>
              <w:t>”</w:t>
            </w:r>
            <w:r w:rsidRPr="00445472">
              <w:rPr>
                <w:rFonts w:ascii="Garamond" w:hAnsi="Garamond" w:cs="Arial"/>
                <w:sz w:val="18"/>
                <w:szCs w:val="18"/>
              </w:rPr>
              <w:t>, i ndryshuar, është përafruar plotësisht me Direktivën 2004/35</w:t>
            </w:r>
            <w:r w:rsidR="001D340B" w:rsidRPr="00445472">
              <w:rPr>
                <w:rFonts w:ascii="Garamond" w:hAnsi="Garamond" w:cs="Arial"/>
                <w:sz w:val="18"/>
                <w:szCs w:val="18"/>
              </w:rPr>
              <w:t>/</w:t>
            </w:r>
            <w:r w:rsidRPr="00445472">
              <w:rPr>
                <w:rFonts w:ascii="Garamond" w:hAnsi="Garamond" w:cs="Arial"/>
                <w:sz w:val="18"/>
                <w:szCs w:val="18"/>
              </w:rPr>
              <w:t>EC të Parlamentit Evropian dhe Këshillit të datës 21 prill 2004</w:t>
            </w:r>
            <w:r w:rsidR="00D62EDF" w:rsidRPr="00445472">
              <w:rPr>
                <w:rFonts w:ascii="Garamond" w:hAnsi="Garamond" w:cs="Arial"/>
                <w:sz w:val="18"/>
                <w:szCs w:val="18"/>
              </w:rPr>
              <w:t xml:space="preserve">, “Për </w:t>
            </w:r>
            <w:r w:rsidRPr="00445472">
              <w:rPr>
                <w:rFonts w:ascii="Garamond" w:hAnsi="Garamond" w:cs="Arial"/>
                <w:sz w:val="18"/>
                <w:szCs w:val="18"/>
              </w:rPr>
              <w:t xml:space="preserve">përgjegjësinë mjedisore, parandalimin dhe riparimin e dëmeve mbi mjedisin </w:t>
            </w:r>
            <w:r w:rsidR="00D62EDF" w:rsidRPr="00445472">
              <w:rPr>
                <w:rFonts w:ascii="Garamond" w:hAnsi="Garamond" w:cs="Arial"/>
                <w:sz w:val="18"/>
                <w:szCs w:val="18"/>
              </w:rPr>
              <w:t>“</w:t>
            </w:r>
          </w:p>
          <w:p w14:paraId="401D9466" w14:textId="22E9B602" w:rsidR="00835F41" w:rsidRPr="00445472" w:rsidRDefault="00835F41" w:rsidP="002A1F08">
            <w:pPr>
              <w:pStyle w:val="TableTextRight"/>
              <w:jc w:val="left"/>
              <w:rPr>
                <w:rFonts w:ascii="Garamond" w:hAnsi="Garamond" w:cs="Arial"/>
                <w:sz w:val="18"/>
                <w:szCs w:val="18"/>
                <w:lang w:val="sq-AL"/>
              </w:rPr>
            </w:pPr>
            <w:r w:rsidRPr="00445472">
              <w:rPr>
                <w:rFonts w:ascii="Garamond" w:hAnsi="Garamond" w:cs="Arial"/>
                <w:sz w:val="18"/>
                <w:szCs w:val="18"/>
                <w:lang w:val="sq-AL"/>
              </w:rPr>
              <w:t>Ligji nr. 10 431, datë 9.6.2011</w:t>
            </w:r>
            <w:r w:rsidR="00D62EDF" w:rsidRPr="00445472">
              <w:rPr>
                <w:rFonts w:ascii="Garamond" w:hAnsi="Garamond" w:cs="Arial"/>
                <w:sz w:val="18"/>
                <w:szCs w:val="18"/>
                <w:lang w:val="sq-AL"/>
              </w:rPr>
              <w:t xml:space="preserve">, “Për </w:t>
            </w:r>
            <w:r w:rsidRPr="00445472">
              <w:rPr>
                <w:rFonts w:ascii="Garamond" w:hAnsi="Garamond" w:cs="Arial"/>
                <w:sz w:val="18"/>
                <w:szCs w:val="18"/>
                <w:lang w:val="sq-AL"/>
              </w:rPr>
              <w:t>mbrojtjen e mjedisit</w:t>
            </w:r>
            <w:r w:rsidR="00D62EDF" w:rsidRPr="00445472">
              <w:rPr>
                <w:rFonts w:ascii="Garamond" w:hAnsi="Garamond" w:cs="Arial"/>
                <w:sz w:val="18"/>
                <w:szCs w:val="18"/>
                <w:lang w:val="sq-AL"/>
              </w:rPr>
              <w:t>”</w:t>
            </w:r>
            <w:r w:rsidRPr="00445472">
              <w:rPr>
                <w:rFonts w:ascii="Garamond" w:hAnsi="Garamond" w:cs="Arial"/>
                <w:sz w:val="18"/>
                <w:szCs w:val="18"/>
                <w:lang w:val="sq-AL"/>
              </w:rPr>
              <w:t xml:space="preserve"> i ndryshuar, plotësisht i përafruar me Direktivën 2004/35</w:t>
            </w:r>
            <w:r w:rsidR="001D340B" w:rsidRPr="00445472">
              <w:rPr>
                <w:rFonts w:ascii="Garamond" w:hAnsi="Garamond" w:cs="Arial"/>
                <w:sz w:val="18"/>
                <w:szCs w:val="18"/>
                <w:lang w:val="sq-AL"/>
              </w:rPr>
              <w:t>/</w:t>
            </w:r>
            <w:r w:rsidRPr="00445472">
              <w:rPr>
                <w:rFonts w:ascii="Garamond" w:hAnsi="Garamond" w:cs="Arial"/>
                <w:sz w:val="18"/>
                <w:szCs w:val="18"/>
                <w:lang w:val="sq-AL"/>
              </w:rPr>
              <w:t>EC të Parlamentit Evropian dhe Këshillit</w:t>
            </w:r>
            <w:r w:rsidRPr="00445472">
              <w:rPr>
                <w:rFonts w:ascii="Garamond" w:hAnsi="Garamond" w:cs="Arial"/>
                <w:bCs/>
                <w:sz w:val="18"/>
                <w:szCs w:val="18"/>
                <w:lang w:val="sq-AL"/>
              </w:rPr>
              <w:t>.</w:t>
            </w:r>
          </w:p>
        </w:tc>
        <w:tc>
          <w:tcPr>
            <w:tcW w:w="0" w:type="pct"/>
            <w:shd w:val="clear" w:color="auto" w:fill="auto"/>
            <w:vAlign w:val="center"/>
          </w:tcPr>
          <w:p w14:paraId="49D2E1E0" w14:textId="77777777" w:rsidR="00835F41" w:rsidRPr="00445472" w:rsidRDefault="00835F41" w:rsidP="002A1F08">
            <w:pPr>
              <w:pStyle w:val="TableTextRight"/>
              <w:tabs>
                <w:tab w:val="left" w:pos="1587"/>
              </w:tabs>
              <w:jc w:val="left"/>
              <w:rPr>
                <w:rFonts w:ascii="Garamond" w:hAnsi="Garamond" w:cs="Arial"/>
                <w:sz w:val="18"/>
                <w:szCs w:val="18"/>
                <w:lang w:val="sq-AL"/>
              </w:rPr>
            </w:pPr>
          </w:p>
        </w:tc>
        <w:tc>
          <w:tcPr>
            <w:tcW w:w="0" w:type="pct"/>
            <w:shd w:val="clear" w:color="auto" w:fill="auto"/>
            <w:vAlign w:val="center"/>
          </w:tcPr>
          <w:p w14:paraId="3A301987" w14:textId="77777777" w:rsidR="00835F41" w:rsidRPr="00445472" w:rsidRDefault="00835F41" w:rsidP="002A1F08">
            <w:pPr>
              <w:pStyle w:val="TableTextRight"/>
              <w:jc w:val="left"/>
              <w:rPr>
                <w:rFonts w:ascii="Garamond" w:hAnsi="Garamond" w:cs="Arial"/>
                <w:sz w:val="18"/>
                <w:szCs w:val="18"/>
                <w:lang w:val="sq-AL"/>
              </w:rPr>
            </w:pPr>
          </w:p>
        </w:tc>
      </w:tr>
    </w:tbl>
    <w:p w14:paraId="3974A87D" w14:textId="77777777" w:rsidR="00835F41" w:rsidRPr="00445472" w:rsidRDefault="00835F41" w:rsidP="00835F41">
      <w:pPr>
        <w:rPr>
          <w:rFonts w:ascii="Garamond" w:hAnsi="Garamond"/>
          <w:sz w:val="16"/>
        </w:rPr>
      </w:pPr>
      <w:r w:rsidRPr="00445472">
        <w:rPr>
          <w:rFonts w:ascii="Garamond" w:hAnsi="Garamond"/>
          <w:sz w:val="16"/>
        </w:rPr>
        <w:t>Burimi: Drafti i Programit Kombëtar të Sektorit të Ujit 2017-2030</w:t>
      </w:r>
    </w:p>
    <w:p w14:paraId="390E6047" w14:textId="77777777" w:rsidR="00835F41" w:rsidRPr="00445472" w:rsidRDefault="00835F41" w:rsidP="002C1894">
      <w:pPr>
        <w:pStyle w:val="NENTITULL"/>
      </w:pPr>
    </w:p>
    <w:p w14:paraId="77905A42" w14:textId="77777777" w:rsidR="00835F41" w:rsidRPr="00445472" w:rsidRDefault="00835F41" w:rsidP="002C1894">
      <w:pPr>
        <w:pStyle w:val="NENTITULL"/>
      </w:pPr>
      <w:r w:rsidRPr="00445472">
        <w:t>Gjinore</w:t>
      </w:r>
    </w:p>
    <w:p w14:paraId="77E38757" w14:textId="48DDC570" w:rsidR="00835F41" w:rsidRPr="00445472" w:rsidRDefault="002C1894" w:rsidP="002C1894">
      <w:pPr>
        <w:pStyle w:val="TEKSTIIII"/>
      </w:pPr>
      <w:r w:rsidRPr="00445472">
        <w:t xml:space="preserve">I. </w:t>
      </w:r>
      <w:r w:rsidR="00835F41" w:rsidRPr="00445472">
        <w:t>Traktati i Romës, i nënshkruar në vitin 1957 nga gjashtë shtetet themeluese të Komunitetit Ekonomik Evropian (KEE), i angazhoj vendet anëtare që të respektonin të drejtës e pagës së barabartë për punën e njëjtë të kryer nga burrat dhe gratë.</w:t>
      </w:r>
    </w:p>
    <w:p w14:paraId="6ECC0E10" w14:textId="3DEA2715" w:rsidR="00835F41" w:rsidRPr="00445472" w:rsidRDefault="002C1894" w:rsidP="002C1894">
      <w:pPr>
        <w:pStyle w:val="TEKSTIIII"/>
      </w:pPr>
      <w:r w:rsidRPr="00445472">
        <w:t xml:space="preserve">II. </w:t>
      </w:r>
      <w:r w:rsidR="00835F41" w:rsidRPr="00445472">
        <w:t>Traktati i Amsterdamit (1997) parashikon se nxitja e barazisë ndërmjet grave dhe burrave është një nga detyrat më të rëndësishme të BE-së. Gjithashtu, përcakton eliminimin e pabarazive dhe diskriminimit dhe nxitjen e barazisë ndërmjet grave dhe burrave në të gjitha veprimtaritë.</w:t>
      </w:r>
    </w:p>
    <w:p w14:paraId="25446696" w14:textId="61023694" w:rsidR="00835F41" w:rsidRPr="00445472" w:rsidRDefault="002C1894" w:rsidP="002C1894">
      <w:pPr>
        <w:pStyle w:val="TEKSTIIII"/>
      </w:pPr>
      <w:r w:rsidRPr="00445472">
        <w:t xml:space="preserve">III. </w:t>
      </w:r>
      <w:r w:rsidR="00835F41" w:rsidRPr="00445472">
        <w:t>Karta e Bashkimit Evropian e të Drejtave Themelore (2000) shpall se barazia ndërmjet burrave dhe grave duhet të sigurohet në të gjitha fushat, përfshirë punësimin, punën dhe pagat (neni 23) dhe ripohon ndalimin e diskriminimit për arsye të ndryshme, përfshirë gjininë (neni 21). Neni 23: Barazia ndërmjet grave dhe burrave. Barazia ndërmjet grave dhe burrave të sigurohet në të gjitha fushat, duke përfshirë punësimin, punën dhe pagën. Parimi i barazisë të mos pengojë ndërmarrjen dhe miratimin e masave që favorizojnë gjininë më pak të përfaqësuar.</w:t>
      </w:r>
    </w:p>
    <w:p w14:paraId="4C205C30" w14:textId="2CF4BE55" w:rsidR="00835F41" w:rsidRPr="00445472" w:rsidRDefault="002C1894" w:rsidP="002C1894">
      <w:pPr>
        <w:pStyle w:val="TEKSTIIII"/>
      </w:pPr>
      <w:r w:rsidRPr="00445472">
        <w:t xml:space="preserve">IV. </w:t>
      </w:r>
      <w:r w:rsidR="00835F41" w:rsidRPr="00445472">
        <w:t>Traktati i Bashkimit Evropian (2009) i detyron vendet anëtare që të mos diskriminojnë dhe që të ketë barazi ndërmjet burrave dhe grave.</w:t>
      </w:r>
    </w:p>
    <w:p w14:paraId="107D7329" w14:textId="6A7941CA" w:rsidR="00835F41" w:rsidRPr="00445472" w:rsidRDefault="002C1894" w:rsidP="002C1894">
      <w:pPr>
        <w:pStyle w:val="TEKSTIIII"/>
      </w:pPr>
      <w:r w:rsidRPr="00445472">
        <w:t xml:space="preserve">V. </w:t>
      </w:r>
      <w:r w:rsidR="00835F41" w:rsidRPr="00445472">
        <w:t>Traktati për Funksionimin e Bashkimit Evropian përcakton se Bashkimi Evropian ka si qëllim eliminimin e pabarazive dhe nxitjen e barazisë ndërmjet burrave dhe grave. (Neni 8) i Traktatit për Funksionimin e Bashkimit Evropian (TFBE) dhe neni 3(3) i Traktatit të Bashkimit E</w:t>
      </w:r>
      <w:r w:rsidR="004C3294" w:rsidRPr="00445472">
        <w:t>v</w:t>
      </w:r>
      <w:r w:rsidR="00835F41" w:rsidRPr="00445472">
        <w:t>ropian. Gjithashtu, parashikon se Bashkimi Evropian synon të luftojë diskriminimin për shkak të gjinisë, racës, etnisë, fesë, besimit, aftësisë së kufizuar, moshës apo orientimit seksual (neni 10).</w:t>
      </w:r>
    </w:p>
    <w:p w14:paraId="37B79794" w14:textId="7EEC3878" w:rsidR="00835F41" w:rsidRPr="00445472" w:rsidRDefault="002C1894" w:rsidP="002C1894">
      <w:pPr>
        <w:pStyle w:val="TEKSTIIII"/>
      </w:pPr>
      <w:r w:rsidRPr="00445472">
        <w:t xml:space="preserve">VI. </w:t>
      </w:r>
      <w:r w:rsidR="00835F41" w:rsidRPr="00445472">
        <w:t>Parimi i pagës së barabartë, u parashikua për herë të parë në legjislacionin e BE-së dhe u zhvillua më tej me Direktivën e Pagës së Barabartë 75/117/BEE [1], që prezantoi konceptin e pagës së barabartë për punë me vlera të barabarta. Ky parim tani është bërë pjesë e nenit 157 të TFBE-së dhe nenit 4 të direktivës 2006/54/BE për trajtimin e barabartë të grave dhe burrave [1]. Direktiva përcakton se:</w:t>
      </w:r>
      <w:r w:rsidR="00D62EDF" w:rsidRPr="00445472">
        <w:t xml:space="preserve">, “Për </w:t>
      </w:r>
      <w:r w:rsidR="00835F41" w:rsidRPr="00445472">
        <w:t>të njëjtën punë apo për punë në të cilën jepet i njëjti kontribut,</w:t>
      </w:r>
      <w:r w:rsidR="004C3294" w:rsidRPr="00445472">
        <w:t xml:space="preserve"> </w:t>
      </w:r>
      <w:r w:rsidR="00835F41" w:rsidRPr="00445472">
        <w:t>do të eliminohet  diskriminimi gjinor i drejtpërdrejtë apo i tërthortë lidhur me të gjitha aspektet dhe kushtet e shpërblimit. Në veçanti, kur përdoret një sistem kualifikimi për të përcaktuar pagën, të mbështetet në të njëjtat kritere si për burrat ashtu edhe për gratë dhe të përjashtohet  çdo lloj diskriminimi gjinor. Hendeku gjinor i pagave mat ndryshimin në fitimet mesatare bruto që fitohen në një orë nga burrat dhe gratë në të gjithë ekonominë dhe institucionet</w:t>
      </w:r>
      <w:r w:rsidR="00835F41" w:rsidRPr="00445472">
        <w:rPr>
          <w:rStyle w:val="FootnoteReference"/>
          <w:rFonts w:ascii="Garamond" w:hAnsi="Garamond"/>
          <w:color w:val="auto"/>
        </w:rPr>
        <w:footnoteReference w:id="236"/>
      </w:r>
    </w:p>
    <w:p w14:paraId="193EDEA3" w14:textId="5B75F28A" w:rsidR="00835F41" w:rsidRPr="00445472" w:rsidRDefault="002C1894" w:rsidP="002C1894">
      <w:pPr>
        <w:pStyle w:val="TEKSTIIII"/>
      </w:pPr>
      <w:r w:rsidRPr="00445472">
        <w:t xml:space="preserve">VII. </w:t>
      </w:r>
      <w:r w:rsidR="00835F41" w:rsidRPr="00445472">
        <w:t>Qasja e dyfishtë e Integrimit gjinor (neni 8 TFBE), dhe masat specifike të nevojshme për të pasur drejtësi gjinore (neni 157.4) mundësojnë një sërë instrumentesh efikase për të trajtuar drejtësinë gjinore.</w:t>
      </w:r>
    </w:p>
    <w:p w14:paraId="1BEFCCD6" w14:textId="77777777" w:rsidR="00835F41" w:rsidRPr="00445472" w:rsidRDefault="00835F41" w:rsidP="002C1894">
      <w:pPr>
        <w:pStyle w:val="TEKSTIIII"/>
      </w:pPr>
    </w:p>
    <w:p w14:paraId="6F1D28C9" w14:textId="5991FB5E" w:rsidR="00CA2534" w:rsidRPr="00445472" w:rsidRDefault="00835F41" w:rsidP="002C1894">
      <w:pPr>
        <w:pStyle w:val="NENTITULL"/>
      </w:pPr>
      <w:bookmarkStart w:id="332" w:name="_Toc11068901"/>
      <w:bookmarkStart w:id="333" w:name="_Toc11068928"/>
      <w:r w:rsidRPr="00445472">
        <w:t>Shtojca 2. Stacionet e propozuara të monitorimit të ujërave sipërfaqësorë dhe prioritizimi i tyre</w:t>
      </w:r>
      <w:bookmarkEnd w:id="332"/>
      <w:bookmarkEnd w:id="333"/>
    </w:p>
    <w:p w14:paraId="5DD81E0C" w14:textId="77777777" w:rsidR="00245A85" w:rsidRPr="00445472" w:rsidRDefault="00245A85" w:rsidP="002C1894">
      <w:pPr>
        <w:pStyle w:val="NENTITULL"/>
      </w:pPr>
    </w:p>
    <w:p w14:paraId="4705A693" w14:textId="77777777" w:rsidR="00245A85" w:rsidRPr="00445472" w:rsidRDefault="00245A85" w:rsidP="002C1894">
      <w:pPr>
        <w:pStyle w:val="NENTITULL"/>
      </w:pPr>
    </w:p>
    <w:p w14:paraId="3ED424AD" w14:textId="77777777" w:rsidR="00245A85" w:rsidRPr="00445472" w:rsidRDefault="00245A85" w:rsidP="002C1894">
      <w:pPr>
        <w:pStyle w:val="NENTITULL"/>
      </w:pPr>
    </w:p>
    <w:p w14:paraId="6B8FE16E" w14:textId="77777777" w:rsidR="00245A85" w:rsidRPr="00445472" w:rsidRDefault="00245A85" w:rsidP="002C1894">
      <w:pPr>
        <w:pStyle w:val="NENTITULL"/>
      </w:pPr>
    </w:p>
    <w:p w14:paraId="09C817F9" w14:textId="77777777" w:rsidR="00245A85" w:rsidRPr="00445472" w:rsidRDefault="00245A85" w:rsidP="002C1894">
      <w:pPr>
        <w:pStyle w:val="NENTITULL"/>
      </w:pPr>
    </w:p>
    <w:p w14:paraId="5C4C6B38" w14:textId="77777777" w:rsidR="00245A85" w:rsidRPr="00445472" w:rsidRDefault="00245A85" w:rsidP="002C1894">
      <w:pPr>
        <w:pStyle w:val="NENTITULL"/>
      </w:pPr>
    </w:p>
    <w:p w14:paraId="7ABA3349" w14:textId="77777777" w:rsidR="00245A85" w:rsidRPr="00445472" w:rsidRDefault="00245A85" w:rsidP="002C1894">
      <w:pPr>
        <w:pStyle w:val="NENTITULL"/>
      </w:pPr>
    </w:p>
    <w:p w14:paraId="544E5F98" w14:textId="77777777" w:rsidR="00245A85" w:rsidRPr="00445472" w:rsidRDefault="00245A85" w:rsidP="002C1894">
      <w:pPr>
        <w:pStyle w:val="NENTITULL"/>
      </w:pPr>
    </w:p>
    <w:p w14:paraId="5DB62F98" w14:textId="77777777" w:rsidR="00245A85" w:rsidRPr="00445472" w:rsidRDefault="00245A85" w:rsidP="002C1894">
      <w:pPr>
        <w:pStyle w:val="NENTITULL"/>
      </w:pPr>
    </w:p>
    <w:p w14:paraId="314CD135" w14:textId="77777777" w:rsidR="00245A85" w:rsidRPr="00445472" w:rsidRDefault="00245A85" w:rsidP="002C1894">
      <w:pPr>
        <w:pStyle w:val="NENTITULL"/>
      </w:pPr>
    </w:p>
    <w:p w14:paraId="58AB56EB" w14:textId="77777777" w:rsidR="00245A85" w:rsidRPr="00445472" w:rsidRDefault="00245A85" w:rsidP="002C1894">
      <w:pPr>
        <w:pStyle w:val="NENTITULL"/>
        <w:sectPr w:rsidR="00245A85" w:rsidRPr="00445472" w:rsidSect="00CA2534">
          <w:pgSz w:w="11907" w:h="16839" w:code="9"/>
          <w:pgMar w:top="1418" w:right="1418" w:bottom="1418" w:left="1418" w:header="1304" w:footer="1134" w:gutter="0"/>
          <w:cols w:space="720"/>
          <w:docGrid w:linePitch="360"/>
        </w:sectPr>
      </w:pPr>
    </w:p>
    <w:p w14:paraId="3B5AC9BB" w14:textId="5A80D8FF" w:rsidR="00245A85" w:rsidRPr="00445472" w:rsidRDefault="00245A85" w:rsidP="00245A85">
      <w:pPr>
        <w:pStyle w:val="NENTITULL"/>
      </w:pPr>
      <w:r w:rsidRPr="00445472">
        <w:t>Tabel A2. 1: Stacionet e lumenjve në rrjetin e monitorimit të ujërave sipërfaqësor</w:t>
      </w:r>
      <w:r w:rsidR="004C3294" w:rsidRPr="00445472">
        <w:t>e</w:t>
      </w:r>
    </w:p>
    <w:tbl>
      <w:tblPr>
        <w:tblW w:w="5000" w:type="pct"/>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84"/>
        <w:gridCol w:w="1880"/>
        <w:gridCol w:w="5523"/>
        <w:gridCol w:w="1445"/>
        <w:gridCol w:w="1445"/>
        <w:gridCol w:w="1459"/>
        <w:gridCol w:w="839"/>
        <w:gridCol w:w="1044"/>
      </w:tblGrid>
      <w:tr w:rsidR="00245A85" w:rsidRPr="00445472" w14:paraId="4C722B69" w14:textId="77777777" w:rsidTr="00245A85">
        <w:trPr>
          <w:trHeight w:val="548"/>
          <w:tblHeader/>
          <w:jc w:val="center"/>
        </w:trPr>
        <w:tc>
          <w:tcPr>
            <w:tcW w:w="205" w:type="pct"/>
            <w:shd w:val="clear" w:color="000000" w:fill="EAF1DD"/>
            <w:vAlign w:val="center"/>
            <w:hideMark/>
          </w:tcPr>
          <w:p w14:paraId="24F9E752" w14:textId="093FF604"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Nr</w:t>
            </w:r>
            <w:r w:rsidR="004C3294" w:rsidRPr="00445472">
              <w:rPr>
                <w:rFonts w:ascii="Garamond" w:eastAsia="MS Mincho" w:hAnsi="Garamond" w:cs="Arial"/>
                <w:b/>
                <w:spacing w:val="-4"/>
                <w:sz w:val="16"/>
                <w:szCs w:val="16"/>
              </w:rPr>
              <w:t>.</w:t>
            </w:r>
          </w:p>
        </w:tc>
        <w:tc>
          <w:tcPr>
            <w:tcW w:w="661" w:type="pct"/>
            <w:shd w:val="clear" w:color="000000" w:fill="EAF1DD"/>
            <w:vAlign w:val="center"/>
            <w:hideMark/>
          </w:tcPr>
          <w:p w14:paraId="222C0D35" w14:textId="376980AA"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 xml:space="preserve">Trupi </w:t>
            </w:r>
            <w:r w:rsidR="004C3294" w:rsidRPr="00445472">
              <w:rPr>
                <w:rFonts w:ascii="Garamond" w:eastAsia="MS Mincho" w:hAnsi="Garamond" w:cs="Arial"/>
                <w:b/>
                <w:spacing w:val="-4"/>
                <w:sz w:val="16"/>
                <w:szCs w:val="16"/>
              </w:rPr>
              <w:t>ujor</w:t>
            </w:r>
          </w:p>
        </w:tc>
        <w:tc>
          <w:tcPr>
            <w:tcW w:w="1941" w:type="pct"/>
            <w:shd w:val="clear" w:color="000000" w:fill="EAF1DD"/>
            <w:vAlign w:val="center"/>
            <w:hideMark/>
          </w:tcPr>
          <w:p w14:paraId="0F036A9F" w14:textId="6B055B10"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 xml:space="preserve">Emri i </w:t>
            </w:r>
            <w:r w:rsidR="004C3294" w:rsidRPr="00445472">
              <w:rPr>
                <w:rFonts w:ascii="Garamond" w:eastAsia="MS Mincho" w:hAnsi="Garamond" w:cs="Arial"/>
                <w:b/>
                <w:spacing w:val="-4"/>
                <w:sz w:val="16"/>
                <w:szCs w:val="16"/>
              </w:rPr>
              <w:t>stacionit</w:t>
            </w:r>
          </w:p>
        </w:tc>
        <w:tc>
          <w:tcPr>
            <w:tcW w:w="508" w:type="pct"/>
            <w:shd w:val="clear" w:color="000000" w:fill="EAF1DD"/>
            <w:vAlign w:val="center"/>
            <w:hideMark/>
          </w:tcPr>
          <w:p w14:paraId="111E0A5D" w14:textId="6EF4B6F9"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 xml:space="preserve">Kodi i </w:t>
            </w:r>
            <w:r w:rsidR="004C3294" w:rsidRPr="00445472">
              <w:rPr>
                <w:rFonts w:ascii="Garamond" w:eastAsia="MS Mincho" w:hAnsi="Garamond" w:cs="Arial"/>
                <w:b/>
                <w:spacing w:val="-4"/>
                <w:sz w:val="16"/>
                <w:szCs w:val="16"/>
              </w:rPr>
              <w:t xml:space="preserve">stacionit </w:t>
            </w:r>
            <w:r w:rsidRPr="00445472">
              <w:rPr>
                <w:rFonts w:ascii="Garamond" w:eastAsia="MS Mincho" w:hAnsi="Garamond" w:cs="Arial"/>
                <w:b/>
                <w:spacing w:val="-4"/>
                <w:sz w:val="16"/>
                <w:szCs w:val="16"/>
              </w:rPr>
              <w:t>QBU</w:t>
            </w:r>
          </w:p>
        </w:tc>
        <w:tc>
          <w:tcPr>
            <w:tcW w:w="508" w:type="pct"/>
            <w:shd w:val="clear" w:color="000000" w:fill="EAF1DD"/>
            <w:vAlign w:val="center"/>
            <w:hideMark/>
          </w:tcPr>
          <w:p w14:paraId="488058E4" w14:textId="3F75F41C"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 xml:space="preserve">Gjerësia e </w:t>
            </w:r>
            <w:r w:rsidR="004C3294" w:rsidRPr="00445472">
              <w:rPr>
                <w:rFonts w:ascii="Garamond" w:eastAsia="MS Mincho" w:hAnsi="Garamond" w:cs="Arial"/>
                <w:b/>
                <w:spacing w:val="-4"/>
                <w:sz w:val="16"/>
                <w:szCs w:val="16"/>
              </w:rPr>
              <w:t>stacionit</w:t>
            </w:r>
          </w:p>
        </w:tc>
        <w:tc>
          <w:tcPr>
            <w:tcW w:w="513" w:type="pct"/>
            <w:shd w:val="clear" w:color="000000" w:fill="EAF1DD"/>
            <w:vAlign w:val="center"/>
            <w:hideMark/>
          </w:tcPr>
          <w:p w14:paraId="7EDF0B20" w14:textId="40B02577"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 xml:space="preserve">Gjatësia e </w:t>
            </w:r>
            <w:r w:rsidR="004C3294" w:rsidRPr="00445472">
              <w:rPr>
                <w:rFonts w:ascii="Garamond" w:eastAsia="MS Mincho" w:hAnsi="Garamond" w:cs="Arial"/>
                <w:b/>
                <w:spacing w:val="-4"/>
                <w:sz w:val="16"/>
                <w:szCs w:val="16"/>
              </w:rPr>
              <w:t>stacionit</w:t>
            </w:r>
          </w:p>
        </w:tc>
        <w:tc>
          <w:tcPr>
            <w:tcW w:w="295" w:type="pct"/>
            <w:shd w:val="clear" w:color="000000" w:fill="EAF1DD"/>
            <w:vAlign w:val="center"/>
            <w:hideMark/>
          </w:tcPr>
          <w:p w14:paraId="4DBAC4D5" w14:textId="5CDDCD3E" w:rsidR="00245A85" w:rsidRPr="00445472" w:rsidRDefault="00245A85" w:rsidP="00245A85">
            <w:pPr>
              <w:spacing w:before="15" w:after="0" w:line="240" w:lineRule="auto"/>
              <w:ind w:left="-12" w:right="8"/>
              <w:jc w:val="center"/>
              <w:rPr>
                <w:rFonts w:ascii="Garamond" w:eastAsia="MS Mincho" w:hAnsi="Garamond" w:cs="Arial"/>
                <w:b/>
                <w:spacing w:val="-4"/>
                <w:sz w:val="16"/>
                <w:szCs w:val="16"/>
              </w:rPr>
            </w:pPr>
            <w:r w:rsidRPr="00445472">
              <w:rPr>
                <w:rFonts w:ascii="Garamond" w:eastAsia="MS Mincho" w:hAnsi="Garamond" w:cs="Arial"/>
                <w:b/>
                <w:spacing w:val="-4"/>
                <w:sz w:val="16"/>
                <w:szCs w:val="16"/>
              </w:rPr>
              <w:t xml:space="preserve">Lloji i </w:t>
            </w:r>
            <w:r w:rsidR="004C3294" w:rsidRPr="00445472">
              <w:rPr>
                <w:rFonts w:ascii="Garamond" w:eastAsia="MS Mincho" w:hAnsi="Garamond" w:cs="Arial"/>
                <w:b/>
                <w:spacing w:val="-4"/>
                <w:sz w:val="16"/>
                <w:szCs w:val="16"/>
              </w:rPr>
              <w:t>mostrës</w:t>
            </w:r>
          </w:p>
        </w:tc>
        <w:tc>
          <w:tcPr>
            <w:tcW w:w="367" w:type="pct"/>
            <w:shd w:val="clear" w:color="000000" w:fill="EAF1DD"/>
            <w:vAlign w:val="center"/>
            <w:hideMark/>
          </w:tcPr>
          <w:p w14:paraId="111E031D" w14:textId="77777777" w:rsidR="00245A85" w:rsidRPr="00445472" w:rsidRDefault="00245A85" w:rsidP="00245A85">
            <w:pPr>
              <w:spacing w:before="15" w:after="0" w:line="240" w:lineRule="auto"/>
              <w:ind w:right="44"/>
              <w:jc w:val="center"/>
              <w:rPr>
                <w:rFonts w:ascii="Garamond" w:eastAsia="MS Mincho" w:hAnsi="Garamond" w:cs="Arial"/>
                <w:b/>
                <w:spacing w:val="-4"/>
                <w:sz w:val="16"/>
                <w:szCs w:val="16"/>
              </w:rPr>
            </w:pPr>
            <w:r w:rsidRPr="00445472">
              <w:rPr>
                <w:rFonts w:ascii="Garamond" w:eastAsia="MS Mincho" w:hAnsi="Garamond" w:cs="Arial"/>
                <w:b/>
                <w:spacing w:val="-4"/>
                <w:sz w:val="16"/>
                <w:szCs w:val="16"/>
              </w:rPr>
              <w:t>Prioriteti*</w:t>
            </w:r>
          </w:p>
          <w:p w14:paraId="476A19F2" w14:textId="77777777" w:rsidR="00245A85" w:rsidRPr="00445472" w:rsidRDefault="00245A85" w:rsidP="00245A85">
            <w:pPr>
              <w:spacing w:before="15" w:after="0" w:line="240" w:lineRule="auto"/>
              <w:ind w:right="44"/>
              <w:jc w:val="center"/>
              <w:rPr>
                <w:rFonts w:ascii="Garamond" w:eastAsia="MS Mincho" w:hAnsi="Garamond" w:cs="Arial"/>
                <w:b/>
                <w:spacing w:val="-4"/>
                <w:sz w:val="16"/>
                <w:szCs w:val="16"/>
              </w:rPr>
            </w:pPr>
          </w:p>
        </w:tc>
      </w:tr>
      <w:tr w:rsidR="00245A85" w:rsidRPr="00445472" w14:paraId="4DF02E11" w14:textId="77777777" w:rsidTr="00245A85">
        <w:trPr>
          <w:trHeight w:val="424"/>
          <w:jc w:val="center"/>
        </w:trPr>
        <w:tc>
          <w:tcPr>
            <w:tcW w:w="205" w:type="pct"/>
            <w:shd w:val="clear" w:color="auto" w:fill="auto"/>
            <w:vAlign w:val="center"/>
            <w:hideMark/>
          </w:tcPr>
          <w:p w14:paraId="52F83475"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c>
          <w:tcPr>
            <w:tcW w:w="661" w:type="pct"/>
            <w:shd w:val="clear" w:color="auto" w:fill="auto"/>
            <w:vAlign w:val="center"/>
            <w:hideMark/>
          </w:tcPr>
          <w:p w14:paraId="17015A2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Drin i Zi</w:t>
            </w:r>
          </w:p>
        </w:tc>
        <w:tc>
          <w:tcPr>
            <w:tcW w:w="1941" w:type="pct"/>
            <w:shd w:val="clear" w:color="auto" w:fill="auto"/>
            <w:vAlign w:val="center"/>
            <w:hideMark/>
          </w:tcPr>
          <w:p w14:paraId="29EB4D8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Drini i Zi (Dr), Topojani (Peshkopi) – në lumin Drini i Zi (degë e Drinit), në urën Topojani, Burreli-Peshkopi; (Al_RV_28)</w:t>
            </w:r>
          </w:p>
        </w:tc>
        <w:tc>
          <w:tcPr>
            <w:tcW w:w="508" w:type="pct"/>
            <w:shd w:val="clear" w:color="auto" w:fill="auto"/>
            <w:vAlign w:val="center"/>
            <w:hideMark/>
          </w:tcPr>
          <w:p w14:paraId="4308F31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AL10R_Dr10</w:t>
            </w:r>
          </w:p>
        </w:tc>
        <w:tc>
          <w:tcPr>
            <w:tcW w:w="508" w:type="pct"/>
            <w:shd w:val="clear" w:color="auto" w:fill="auto"/>
            <w:vAlign w:val="center"/>
            <w:hideMark/>
          </w:tcPr>
          <w:p w14:paraId="496310D9" w14:textId="2DB76052"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41°34'49.24</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788A3DF4" w14:textId="14A970CB"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20°26'4.13</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6A77B3C6"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C2D69B"/>
            <w:vAlign w:val="center"/>
            <w:hideMark/>
          </w:tcPr>
          <w:p w14:paraId="0D388FC5"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7E71EEE1" w14:textId="77777777" w:rsidTr="00245A85">
        <w:trPr>
          <w:trHeight w:val="557"/>
          <w:jc w:val="center"/>
        </w:trPr>
        <w:tc>
          <w:tcPr>
            <w:tcW w:w="205" w:type="pct"/>
            <w:shd w:val="clear" w:color="auto" w:fill="auto"/>
            <w:vAlign w:val="center"/>
            <w:hideMark/>
          </w:tcPr>
          <w:p w14:paraId="1224102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w:t>
            </w:r>
          </w:p>
        </w:tc>
        <w:tc>
          <w:tcPr>
            <w:tcW w:w="661" w:type="pct"/>
            <w:shd w:val="clear" w:color="auto" w:fill="auto"/>
            <w:vAlign w:val="center"/>
            <w:hideMark/>
          </w:tcPr>
          <w:p w14:paraId="0C8D6B90" w14:textId="127B97B3"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Drin i Bardhë</w:t>
            </w:r>
            <w:r w:rsidR="001D340B" w:rsidRPr="00445472">
              <w:rPr>
                <w:rFonts w:ascii="Garamond" w:eastAsia="MS Mincho" w:hAnsi="Garamond" w:cs="Arial"/>
                <w:spacing w:val="-4"/>
                <w:sz w:val="16"/>
                <w:szCs w:val="16"/>
              </w:rPr>
              <w:t>/</w:t>
            </w:r>
            <w:r w:rsidRPr="00445472">
              <w:rPr>
                <w:rFonts w:ascii="Garamond" w:eastAsia="MS Mincho" w:hAnsi="Garamond" w:cs="Arial"/>
                <w:spacing w:val="-4"/>
                <w:sz w:val="16"/>
                <w:szCs w:val="16"/>
              </w:rPr>
              <w:t>Rezervuari i Fierzës</w:t>
            </w:r>
          </w:p>
        </w:tc>
        <w:tc>
          <w:tcPr>
            <w:tcW w:w="1941" w:type="pct"/>
            <w:shd w:val="clear" w:color="auto" w:fill="auto"/>
            <w:vAlign w:val="center"/>
            <w:hideMark/>
          </w:tcPr>
          <w:p w14:paraId="2864254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Drini i Bardhë (Dr), Luma (Kukesi) – në lumin Drini I Bardhë (degë e Drinit), në urën Luma (rruga Kukesi-Kruma ); </w:t>
            </w:r>
          </w:p>
        </w:tc>
        <w:tc>
          <w:tcPr>
            <w:tcW w:w="508" w:type="pct"/>
            <w:shd w:val="clear" w:color="auto" w:fill="auto"/>
            <w:vAlign w:val="center"/>
            <w:hideMark/>
          </w:tcPr>
          <w:p w14:paraId="24F767A5"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AL10R_Dr20</w:t>
            </w:r>
          </w:p>
        </w:tc>
        <w:tc>
          <w:tcPr>
            <w:tcW w:w="508" w:type="pct"/>
            <w:shd w:val="clear" w:color="auto" w:fill="auto"/>
            <w:vAlign w:val="center"/>
            <w:hideMark/>
          </w:tcPr>
          <w:p w14:paraId="424FDDAA" w14:textId="42F579A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 6'2.12</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0CF7897E" w14:textId="2ADD71C8"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20°25'3.82</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0F626C3C"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C2D69B"/>
            <w:vAlign w:val="center"/>
            <w:hideMark/>
          </w:tcPr>
          <w:p w14:paraId="4DDEFBE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2B0D9AE7" w14:textId="77777777" w:rsidTr="00245A85">
        <w:trPr>
          <w:trHeight w:val="780"/>
          <w:jc w:val="center"/>
        </w:trPr>
        <w:tc>
          <w:tcPr>
            <w:tcW w:w="205" w:type="pct"/>
            <w:shd w:val="clear" w:color="auto" w:fill="auto"/>
            <w:vAlign w:val="center"/>
            <w:hideMark/>
          </w:tcPr>
          <w:p w14:paraId="73E62F8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c>
          <w:tcPr>
            <w:tcW w:w="661" w:type="pct"/>
            <w:shd w:val="clear" w:color="auto" w:fill="auto"/>
            <w:vAlign w:val="center"/>
            <w:hideMark/>
          </w:tcPr>
          <w:p w14:paraId="60B9A581"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Drin</w:t>
            </w:r>
          </w:p>
        </w:tc>
        <w:tc>
          <w:tcPr>
            <w:tcW w:w="1941" w:type="pct"/>
            <w:shd w:val="clear" w:color="auto" w:fill="auto"/>
            <w:vAlign w:val="center"/>
            <w:hideMark/>
          </w:tcPr>
          <w:p w14:paraId="4D0F3BE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Drin (Dr), Bahcalleku (Shkodra) – në lumin Drin (Shkodra); në urën Drini (Lezha-Shkodra Str.) në Bahcallek; (Al_RV_3)</w:t>
            </w:r>
          </w:p>
        </w:tc>
        <w:tc>
          <w:tcPr>
            <w:tcW w:w="508" w:type="pct"/>
            <w:shd w:val="clear" w:color="auto" w:fill="auto"/>
            <w:vAlign w:val="center"/>
            <w:hideMark/>
          </w:tcPr>
          <w:p w14:paraId="5C78DD6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AL10R_Dr30</w:t>
            </w:r>
          </w:p>
        </w:tc>
        <w:tc>
          <w:tcPr>
            <w:tcW w:w="508" w:type="pct"/>
            <w:shd w:val="clear" w:color="auto" w:fill="auto"/>
            <w:vAlign w:val="center"/>
            <w:hideMark/>
          </w:tcPr>
          <w:p w14:paraId="23D3DC18" w14:textId="439B910E"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42°2'31.89</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11AF465C" w14:textId="47F53F2A"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19°29'32.28</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0C2AEF66"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C2D69B"/>
            <w:vAlign w:val="center"/>
            <w:hideMark/>
          </w:tcPr>
          <w:p w14:paraId="662EC37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6C8FF1AB" w14:textId="77777777" w:rsidTr="00245A85">
        <w:trPr>
          <w:trHeight w:val="557"/>
          <w:jc w:val="center"/>
        </w:trPr>
        <w:tc>
          <w:tcPr>
            <w:tcW w:w="205" w:type="pct"/>
            <w:shd w:val="clear" w:color="auto" w:fill="auto"/>
            <w:vAlign w:val="center"/>
            <w:hideMark/>
          </w:tcPr>
          <w:p w14:paraId="43FC4E4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w:t>
            </w:r>
          </w:p>
        </w:tc>
        <w:tc>
          <w:tcPr>
            <w:tcW w:w="661" w:type="pct"/>
            <w:shd w:val="clear" w:color="auto" w:fill="auto"/>
            <w:vAlign w:val="center"/>
            <w:hideMark/>
          </w:tcPr>
          <w:p w14:paraId="4153189C"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Bunë</w:t>
            </w:r>
          </w:p>
        </w:tc>
        <w:tc>
          <w:tcPr>
            <w:tcW w:w="1941" w:type="pct"/>
            <w:shd w:val="clear" w:color="auto" w:fill="auto"/>
            <w:vAlign w:val="center"/>
            <w:hideMark/>
          </w:tcPr>
          <w:p w14:paraId="2BE4025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Bunë (Bu) (Shkodra) – Në lumin Bunë në urën e vjetër (Rruga Shkodër-Shiroka) (Al_RV_30)</w:t>
            </w:r>
          </w:p>
        </w:tc>
        <w:tc>
          <w:tcPr>
            <w:tcW w:w="508" w:type="pct"/>
            <w:shd w:val="clear" w:color="auto" w:fill="auto"/>
            <w:vAlign w:val="center"/>
            <w:hideMark/>
          </w:tcPr>
          <w:p w14:paraId="6539E1F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AL10R_Bu10</w:t>
            </w:r>
          </w:p>
        </w:tc>
        <w:tc>
          <w:tcPr>
            <w:tcW w:w="508" w:type="pct"/>
            <w:shd w:val="clear" w:color="auto" w:fill="auto"/>
            <w:vAlign w:val="center"/>
            <w:hideMark/>
          </w:tcPr>
          <w:p w14:paraId="789EF3A8" w14:textId="56F68B60"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 3'3.04</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04F66AF2" w14:textId="02C7CEE5"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19°29'28.67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7C71839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C2D69B"/>
            <w:vAlign w:val="center"/>
            <w:hideMark/>
          </w:tcPr>
          <w:p w14:paraId="29D1B16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3982685B" w14:textId="77777777" w:rsidTr="00245A85">
        <w:trPr>
          <w:trHeight w:val="710"/>
          <w:jc w:val="center"/>
        </w:trPr>
        <w:tc>
          <w:tcPr>
            <w:tcW w:w="205" w:type="pct"/>
            <w:shd w:val="clear" w:color="auto" w:fill="auto"/>
            <w:vAlign w:val="center"/>
            <w:hideMark/>
          </w:tcPr>
          <w:p w14:paraId="693715D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5</w:t>
            </w:r>
          </w:p>
        </w:tc>
        <w:tc>
          <w:tcPr>
            <w:tcW w:w="661" w:type="pct"/>
            <w:shd w:val="clear" w:color="auto" w:fill="auto"/>
            <w:vAlign w:val="center"/>
            <w:hideMark/>
          </w:tcPr>
          <w:p w14:paraId="014EE375"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Bunë</w:t>
            </w:r>
          </w:p>
        </w:tc>
        <w:tc>
          <w:tcPr>
            <w:tcW w:w="1941" w:type="pct"/>
            <w:shd w:val="clear" w:color="auto" w:fill="auto"/>
            <w:vAlign w:val="center"/>
            <w:hideMark/>
          </w:tcPr>
          <w:p w14:paraId="4A78B201"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Buna (Bu), Murriqani (Shkodra) – Në lumin Bunë, afër fshatit Murriqani (afër kufirit me Malin e Zi).</w:t>
            </w:r>
          </w:p>
        </w:tc>
        <w:tc>
          <w:tcPr>
            <w:tcW w:w="508" w:type="pct"/>
            <w:shd w:val="clear" w:color="auto" w:fill="auto"/>
            <w:vAlign w:val="center"/>
            <w:hideMark/>
          </w:tcPr>
          <w:p w14:paraId="1351BA8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AL10R_Bu20</w:t>
            </w:r>
          </w:p>
        </w:tc>
        <w:tc>
          <w:tcPr>
            <w:tcW w:w="508" w:type="pct"/>
            <w:shd w:val="clear" w:color="auto" w:fill="auto"/>
            <w:vAlign w:val="center"/>
            <w:hideMark/>
          </w:tcPr>
          <w:p w14:paraId="416E0DD5" w14:textId="58EF2D9F"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 0'33.66</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36158C15" w14:textId="687AC1D3"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19°24'39.83</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73ABC416"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C2D69B"/>
            <w:vAlign w:val="center"/>
            <w:hideMark/>
          </w:tcPr>
          <w:p w14:paraId="1F8E849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3E0271A8" w14:textId="77777777" w:rsidTr="00245A85">
        <w:trPr>
          <w:trHeight w:val="525"/>
          <w:jc w:val="center"/>
        </w:trPr>
        <w:tc>
          <w:tcPr>
            <w:tcW w:w="205" w:type="pct"/>
            <w:shd w:val="clear" w:color="auto" w:fill="auto"/>
            <w:vAlign w:val="center"/>
            <w:hideMark/>
          </w:tcPr>
          <w:p w14:paraId="5AEA456C"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6</w:t>
            </w:r>
          </w:p>
        </w:tc>
        <w:tc>
          <w:tcPr>
            <w:tcW w:w="661" w:type="pct"/>
            <w:shd w:val="clear" w:color="auto" w:fill="auto"/>
            <w:vAlign w:val="center"/>
            <w:hideMark/>
          </w:tcPr>
          <w:p w14:paraId="68761C5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Bunë</w:t>
            </w:r>
          </w:p>
        </w:tc>
        <w:tc>
          <w:tcPr>
            <w:tcW w:w="1941" w:type="pct"/>
            <w:shd w:val="clear" w:color="auto" w:fill="auto"/>
            <w:vAlign w:val="center"/>
            <w:hideMark/>
          </w:tcPr>
          <w:p w14:paraId="162958B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Buna Tranzicionale (Bu), Franc Jozef (Velipoja, Shkodra) - në grykën e lumit Bunë.</w:t>
            </w:r>
          </w:p>
        </w:tc>
        <w:tc>
          <w:tcPr>
            <w:tcW w:w="508" w:type="pct"/>
            <w:shd w:val="clear" w:color="auto" w:fill="auto"/>
            <w:vAlign w:val="center"/>
            <w:hideMark/>
          </w:tcPr>
          <w:p w14:paraId="4B3C758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AL10R_Bu30</w:t>
            </w:r>
          </w:p>
        </w:tc>
        <w:tc>
          <w:tcPr>
            <w:tcW w:w="508" w:type="pct"/>
            <w:shd w:val="clear" w:color="auto" w:fill="auto"/>
            <w:vAlign w:val="center"/>
            <w:hideMark/>
          </w:tcPr>
          <w:p w14:paraId="6974FC0D" w14:textId="3F964AAC"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41°51'10.74</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47F67A47" w14:textId="4D2FC88E"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19°22'26.84</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55BDE3C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C2D69B"/>
            <w:vAlign w:val="center"/>
            <w:hideMark/>
          </w:tcPr>
          <w:p w14:paraId="70D888B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0F8D5518" w14:textId="77777777" w:rsidTr="00245A85">
        <w:trPr>
          <w:trHeight w:val="710"/>
          <w:jc w:val="center"/>
        </w:trPr>
        <w:tc>
          <w:tcPr>
            <w:tcW w:w="205" w:type="pct"/>
            <w:shd w:val="clear" w:color="auto" w:fill="auto"/>
            <w:vAlign w:val="center"/>
            <w:hideMark/>
          </w:tcPr>
          <w:p w14:paraId="7ECF207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7</w:t>
            </w:r>
          </w:p>
        </w:tc>
        <w:tc>
          <w:tcPr>
            <w:tcW w:w="661" w:type="pct"/>
            <w:shd w:val="clear" w:color="auto" w:fill="auto"/>
            <w:vAlign w:val="center"/>
            <w:hideMark/>
          </w:tcPr>
          <w:p w14:paraId="6B1D0DF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Kir</w:t>
            </w:r>
          </w:p>
        </w:tc>
        <w:tc>
          <w:tcPr>
            <w:tcW w:w="1941" w:type="pct"/>
            <w:shd w:val="clear" w:color="auto" w:fill="auto"/>
            <w:vAlign w:val="center"/>
            <w:hideMark/>
          </w:tcPr>
          <w:p w14:paraId="54AD47B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Kiri (Ki), Shkodra në rrjedhën e poshtme - në lumin Kiri (dega e Drinit), në urën hekurudhore Shkodrër-Mjede. (Al_RV_2)</w:t>
            </w:r>
          </w:p>
        </w:tc>
        <w:tc>
          <w:tcPr>
            <w:tcW w:w="508" w:type="pct"/>
            <w:shd w:val="clear" w:color="auto" w:fill="auto"/>
            <w:vAlign w:val="center"/>
            <w:hideMark/>
          </w:tcPr>
          <w:p w14:paraId="16A638D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AL10R_Ki20 </w:t>
            </w:r>
          </w:p>
        </w:tc>
        <w:tc>
          <w:tcPr>
            <w:tcW w:w="508" w:type="pct"/>
            <w:shd w:val="clear" w:color="auto" w:fill="auto"/>
            <w:vAlign w:val="center"/>
            <w:hideMark/>
          </w:tcPr>
          <w:p w14:paraId="01DF4A67" w14:textId="207B4D70"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 3'11.07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6E361108" w14:textId="509780E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19°31'40.24</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2B3841E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FABF8F"/>
            <w:vAlign w:val="center"/>
            <w:hideMark/>
          </w:tcPr>
          <w:p w14:paraId="28458F0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w:t>
            </w:r>
          </w:p>
        </w:tc>
      </w:tr>
      <w:tr w:rsidR="00245A85" w:rsidRPr="00445472" w14:paraId="5C373E4D" w14:textId="77777777" w:rsidTr="00245A85">
        <w:trPr>
          <w:trHeight w:val="780"/>
          <w:jc w:val="center"/>
        </w:trPr>
        <w:tc>
          <w:tcPr>
            <w:tcW w:w="205" w:type="pct"/>
            <w:shd w:val="clear" w:color="auto" w:fill="auto"/>
            <w:vAlign w:val="center"/>
            <w:hideMark/>
          </w:tcPr>
          <w:p w14:paraId="3C0620C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8</w:t>
            </w:r>
          </w:p>
        </w:tc>
        <w:tc>
          <w:tcPr>
            <w:tcW w:w="661" w:type="pct"/>
            <w:shd w:val="clear" w:color="auto" w:fill="auto"/>
            <w:vAlign w:val="center"/>
            <w:hideMark/>
          </w:tcPr>
          <w:p w14:paraId="52237E4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Theth</w:t>
            </w:r>
          </w:p>
        </w:tc>
        <w:tc>
          <w:tcPr>
            <w:tcW w:w="1941" w:type="pct"/>
            <w:shd w:val="clear" w:color="auto" w:fill="auto"/>
            <w:vAlign w:val="center"/>
            <w:hideMark/>
          </w:tcPr>
          <w:p w14:paraId="36B1494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Thethi (Th) - në lumin Theth (derdhje e rezervuarit të Komanit), rreth 1 km në rrjedhën e sipërme (në veri) nga varrezat e Nikgjonajt.</w:t>
            </w:r>
          </w:p>
        </w:tc>
        <w:tc>
          <w:tcPr>
            <w:tcW w:w="508" w:type="pct"/>
            <w:shd w:val="clear" w:color="auto" w:fill="auto"/>
            <w:vAlign w:val="center"/>
            <w:hideMark/>
          </w:tcPr>
          <w:p w14:paraId="4A552BE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AL10R_Th10</w:t>
            </w:r>
          </w:p>
        </w:tc>
        <w:tc>
          <w:tcPr>
            <w:tcW w:w="508" w:type="pct"/>
            <w:shd w:val="clear" w:color="auto" w:fill="auto"/>
            <w:vAlign w:val="center"/>
            <w:hideMark/>
          </w:tcPr>
          <w:p w14:paraId="4082AB44" w14:textId="2A2920C2"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42°24'14.18</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6FF121D2" w14:textId="07CD420B"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19°46'0.77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10AB787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FABF8F"/>
            <w:vAlign w:val="center"/>
            <w:hideMark/>
          </w:tcPr>
          <w:p w14:paraId="1D3A2F5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w:t>
            </w:r>
          </w:p>
        </w:tc>
      </w:tr>
      <w:tr w:rsidR="00245A85" w:rsidRPr="00445472" w14:paraId="7A115641" w14:textId="77777777" w:rsidTr="00245A85">
        <w:trPr>
          <w:trHeight w:val="737"/>
          <w:jc w:val="center"/>
        </w:trPr>
        <w:tc>
          <w:tcPr>
            <w:tcW w:w="205" w:type="pct"/>
            <w:shd w:val="clear" w:color="auto" w:fill="auto"/>
            <w:vAlign w:val="center"/>
            <w:hideMark/>
          </w:tcPr>
          <w:p w14:paraId="4E5DE91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9</w:t>
            </w:r>
          </w:p>
        </w:tc>
        <w:tc>
          <w:tcPr>
            <w:tcW w:w="661" w:type="pct"/>
            <w:shd w:val="clear" w:color="auto" w:fill="auto"/>
            <w:vAlign w:val="center"/>
            <w:hideMark/>
          </w:tcPr>
          <w:p w14:paraId="03C2E38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Valbonë</w:t>
            </w:r>
          </w:p>
        </w:tc>
        <w:tc>
          <w:tcPr>
            <w:tcW w:w="1941" w:type="pct"/>
            <w:shd w:val="clear" w:color="auto" w:fill="auto"/>
            <w:vAlign w:val="center"/>
            <w:hideMark/>
          </w:tcPr>
          <w:p w14:paraId="669F8E4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Valbona (Va), Bujani (PK në rrjedhën e poshtme) - në lumin Valbonë (depozitë e Rezervuarit të Komanit mbi Drinin); Në urën e Bujanit (Bajram Curri - Kufiri i Kosovës.</w:t>
            </w:r>
          </w:p>
        </w:tc>
        <w:tc>
          <w:tcPr>
            <w:tcW w:w="508" w:type="pct"/>
            <w:shd w:val="clear" w:color="auto" w:fill="auto"/>
            <w:vAlign w:val="center"/>
            <w:hideMark/>
          </w:tcPr>
          <w:p w14:paraId="12222AA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AL10R_Va30</w:t>
            </w:r>
          </w:p>
        </w:tc>
        <w:tc>
          <w:tcPr>
            <w:tcW w:w="508" w:type="pct"/>
            <w:shd w:val="clear" w:color="auto" w:fill="auto"/>
            <w:vAlign w:val="center"/>
            <w:hideMark/>
          </w:tcPr>
          <w:p w14:paraId="43CA77D2" w14:textId="78C7369E"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42°19'39.25</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49638D81" w14:textId="18751B40"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 4'50.18</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0B385C0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FABF8F"/>
            <w:vAlign w:val="center"/>
            <w:hideMark/>
          </w:tcPr>
          <w:p w14:paraId="0C2ECA3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w:t>
            </w:r>
          </w:p>
        </w:tc>
      </w:tr>
      <w:tr w:rsidR="00245A85" w:rsidRPr="00445472" w14:paraId="03FC5EE0" w14:textId="77777777" w:rsidTr="00245A85">
        <w:trPr>
          <w:trHeight w:val="539"/>
          <w:jc w:val="center"/>
        </w:trPr>
        <w:tc>
          <w:tcPr>
            <w:tcW w:w="205" w:type="pct"/>
            <w:shd w:val="clear" w:color="auto" w:fill="auto"/>
            <w:vAlign w:val="center"/>
            <w:hideMark/>
          </w:tcPr>
          <w:p w14:paraId="0627027D"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10</w:t>
            </w:r>
          </w:p>
        </w:tc>
        <w:tc>
          <w:tcPr>
            <w:tcW w:w="661" w:type="pct"/>
            <w:shd w:val="clear" w:color="000000" w:fill="FFFFFF"/>
            <w:vAlign w:val="center"/>
            <w:hideMark/>
          </w:tcPr>
          <w:p w14:paraId="2197271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Vermosh</w:t>
            </w:r>
          </w:p>
        </w:tc>
        <w:tc>
          <w:tcPr>
            <w:tcW w:w="1941" w:type="pct"/>
            <w:shd w:val="clear" w:color="auto" w:fill="auto"/>
            <w:vAlign w:val="center"/>
            <w:hideMark/>
          </w:tcPr>
          <w:p w14:paraId="3EC3613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Vermoshi (Vr) - në lumin Vermoshi (Donau tributary), në fshatin Bashkimi pranë kufirit malazez.</w:t>
            </w:r>
          </w:p>
        </w:tc>
        <w:tc>
          <w:tcPr>
            <w:tcW w:w="508" w:type="pct"/>
            <w:shd w:val="clear" w:color="auto" w:fill="auto"/>
            <w:vAlign w:val="center"/>
            <w:hideMark/>
          </w:tcPr>
          <w:p w14:paraId="687650B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AL10R_Vr10 </w:t>
            </w:r>
          </w:p>
        </w:tc>
        <w:tc>
          <w:tcPr>
            <w:tcW w:w="508" w:type="pct"/>
            <w:shd w:val="clear" w:color="000000" w:fill="FFFFFF"/>
            <w:vAlign w:val="center"/>
            <w:hideMark/>
          </w:tcPr>
          <w:p w14:paraId="1E03DB2B" w14:textId="13A53220"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42°34'59.18</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000000" w:fill="FFFFFF"/>
            <w:vAlign w:val="center"/>
            <w:hideMark/>
          </w:tcPr>
          <w:p w14:paraId="14FBD42B" w14:textId="3DE64DF3"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19°44'48.13</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000000" w:fill="FFFFFF"/>
            <w:vAlign w:val="center"/>
            <w:hideMark/>
          </w:tcPr>
          <w:p w14:paraId="1C073D6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5CCB72B5"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48F4FE38" w14:textId="77777777" w:rsidTr="00245A85">
        <w:trPr>
          <w:trHeight w:val="525"/>
          <w:jc w:val="center"/>
        </w:trPr>
        <w:tc>
          <w:tcPr>
            <w:tcW w:w="205" w:type="pct"/>
            <w:shd w:val="clear" w:color="000000" w:fill="FFFFFF"/>
            <w:vAlign w:val="center"/>
            <w:hideMark/>
          </w:tcPr>
          <w:p w14:paraId="03D0780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11</w:t>
            </w:r>
          </w:p>
        </w:tc>
        <w:tc>
          <w:tcPr>
            <w:tcW w:w="661" w:type="pct"/>
            <w:shd w:val="clear" w:color="000000" w:fill="FFFFFF"/>
            <w:vAlign w:val="center"/>
            <w:hideMark/>
          </w:tcPr>
          <w:p w14:paraId="6F99E81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Cem</w:t>
            </w:r>
          </w:p>
        </w:tc>
        <w:tc>
          <w:tcPr>
            <w:tcW w:w="1941" w:type="pct"/>
            <w:shd w:val="clear" w:color="auto" w:fill="auto"/>
            <w:vAlign w:val="center"/>
            <w:hideMark/>
          </w:tcPr>
          <w:p w14:paraId="7E6A30C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Cemi (Vr) - në lumin Cemi (kontributi i Moraca, Mali i Zi), në urën në fshatin Tamarë.</w:t>
            </w:r>
          </w:p>
        </w:tc>
        <w:tc>
          <w:tcPr>
            <w:tcW w:w="508" w:type="pct"/>
            <w:shd w:val="clear" w:color="auto" w:fill="auto"/>
            <w:vAlign w:val="center"/>
            <w:hideMark/>
          </w:tcPr>
          <w:p w14:paraId="4ADEC59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AL10R_Vr20 </w:t>
            </w:r>
          </w:p>
        </w:tc>
        <w:tc>
          <w:tcPr>
            <w:tcW w:w="508" w:type="pct"/>
            <w:shd w:val="clear" w:color="000000" w:fill="FFFFFF"/>
            <w:vAlign w:val="center"/>
            <w:hideMark/>
          </w:tcPr>
          <w:p w14:paraId="5F503190" w14:textId="5DA6B17E"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42°27'55.90</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000000" w:fill="FFFFFF"/>
            <w:vAlign w:val="center"/>
            <w:hideMark/>
          </w:tcPr>
          <w:p w14:paraId="228A421F" w14:textId="57EEE7AC"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19°33'49.29</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000000" w:fill="FFFFFF"/>
            <w:vAlign w:val="center"/>
            <w:hideMark/>
          </w:tcPr>
          <w:p w14:paraId="2D176CD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76B6415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665D29F7" w14:textId="77777777" w:rsidTr="00245A85">
        <w:trPr>
          <w:trHeight w:val="557"/>
          <w:jc w:val="center"/>
        </w:trPr>
        <w:tc>
          <w:tcPr>
            <w:tcW w:w="205" w:type="pct"/>
            <w:shd w:val="clear" w:color="000000" w:fill="FFFFFF"/>
            <w:vAlign w:val="center"/>
            <w:hideMark/>
          </w:tcPr>
          <w:p w14:paraId="79C987ED"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12</w:t>
            </w:r>
          </w:p>
        </w:tc>
        <w:tc>
          <w:tcPr>
            <w:tcW w:w="661" w:type="pct"/>
            <w:shd w:val="clear" w:color="000000" w:fill="FFFFFF"/>
            <w:vAlign w:val="center"/>
            <w:hideMark/>
          </w:tcPr>
          <w:p w14:paraId="43708A4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Shegan </w:t>
            </w:r>
          </w:p>
        </w:tc>
        <w:tc>
          <w:tcPr>
            <w:tcW w:w="1941" w:type="pct"/>
            <w:shd w:val="clear" w:color="auto" w:fill="auto"/>
            <w:vAlign w:val="center"/>
            <w:hideMark/>
          </w:tcPr>
          <w:p w14:paraId="4F75B74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Syri i Shegani, Kopliku (Vr) - në lumin që buron në Syrin e Sheganit (dega e liqenit të Shkodrës).</w:t>
            </w:r>
          </w:p>
        </w:tc>
        <w:tc>
          <w:tcPr>
            <w:tcW w:w="508" w:type="pct"/>
            <w:shd w:val="clear" w:color="auto" w:fill="auto"/>
            <w:vAlign w:val="center"/>
            <w:hideMark/>
          </w:tcPr>
          <w:p w14:paraId="720632A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AL10R_Vr30 </w:t>
            </w:r>
          </w:p>
        </w:tc>
        <w:tc>
          <w:tcPr>
            <w:tcW w:w="508" w:type="pct"/>
            <w:shd w:val="clear" w:color="000000" w:fill="FFFFFF"/>
            <w:vAlign w:val="center"/>
            <w:hideMark/>
          </w:tcPr>
          <w:p w14:paraId="72D23284" w14:textId="7B893815"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42°16'21.88</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000000" w:fill="FFFFFF"/>
            <w:vAlign w:val="center"/>
            <w:hideMark/>
          </w:tcPr>
          <w:p w14:paraId="04E8E9EB" w14:textId="6B7A932B"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19°23'42.15</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000000" w:fill="FFFFFF"/>
            <w:vAlign w:val="center"/>
            <w:hideMark/>
          </w:tcPr>
          <w:p w14:paraId="7662888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w:t>
            </w:r>
          </w:p>
        </w:tc>
        <w:tc>
          <w:tcPr>
            <w:tcW w:w="367" w:type="pct"/>
            <w:shd w:val="clear" w:color="000000" w:fill="E5B8B7"/>
            <w:vAlign w:val="center"/>
            <w:hideMark/>
          </w:tcPr>
          <w:p w14:paraId="3D1B962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14A73E47" w14:textId="77777777" w:rsidTr="00245A85">
        <w:trPr>
          <w:trHeight w:val="521"/>
          <w:jc w:val="center"/>
        </w:trPr>
        <w:tc>
          <w:tcPr>
            <w:tcW w:w="205" w:type="pct"/>
            <w:shd w:val="clear" w:color="000000" w:fill="FFFFFF"/>
            <w:vAlign w:val="center"/>
            <w:hideMark/>
          </w:tcPr>
          <w:p w14:paraId="1F1FDEF8" w14:textId="61DDAF29"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13</w:t>
            </w:r>
            <w:r w:rsidR="004C3294" w:rsidRPr="00445472">
              <w:rPr>
                <w:rFonts w:ascii="Garamond" w:eastAsia="MS Mincho" w:hAnsi="Garamond" w:cs="Arial"/>
                <w:spacing w:val="-4"/>
                <w:sz w:val="16"/>
                <w:szCs w:val="16"/>
              </w:rPr>
              <w:t>.</w:t>
            </w:r>
          </w:p>
        </w:tc>
        <w:tc>
          <w:tcPr>
            <w:tcW w:w="661" w:type="pct"/>
            <w:shd w:val="clear" w:color="auto" w:fill="auto"/>
            <w:vAlign w:val="center"/>
            <w:hideMark/>
          </w:tcPr>
          <w:p w14:paraId="24B99BB3" w14:textId="48914CE6"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w:t>
            </w:r>
            <w:r w:rsidR="004C3294" w:rsidRPr="00445472">
              <w:rPr>
                <w:rFonts w:ascii="Garamond" w:eastAsia="MS Mincho" w:hAnsi="Garamond" w:cs="Arial"/>
                <w:spacing w:val="-4"/>
                <w:sz w:val="16"/>
                <w:szCs w:val="16"/>
              </w:rPr>
              <w:t>Kir</w:t>
            </w:r>
          </w:p>
        </w:tc>
        <w:tc>
          <w:tcPr>
            <w:tcW w:w="1941" w:type="pct"/>
            <w:shd w:val="clear" w:color="auto" w:fill="auto"/>
            <w:vAlign w:val="center"/>
            <w:hideMark/>
          </w:tcPr>
          <w:p w14:paraId="7F96E01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Kiri (Ki), Shkodra në rrjedhën e sipërme - në lumin Kiri (Drini tributari), në fshatin Hoti i Ri. (Al_RV_1)</w:t>
            </w:r>
          </w:p>
        </w:tc>
        <w:tc>
          <w:tcPr>
            <w:tcW w:w="508" w:type="pct"/>
            <w:shd w:val="clear" w:color="auto" w:fill="auto"/>
            <w:vAlign w:val="center"/>
            <w:hideMark/>
          </w:tcPr>
          <w:p w14:paraId="5A1ED54D"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AL10R_Ki10 </w:t>
            </w:r>
          </w:p>
        </w:tc>
        <w:tc>
          <w:tcPr>
            <w:tcW w:w="508" w:type="pct"/>
            <w:shd w:val="clear" w:color="auto" w:fill="auto"/>
            <w:vAlign w:val="center"/>
            <w:hideMark/>
          </w:tcPr>
          <w:p w14:paraId="6BE9BED1" w14:textId="60D59ED9"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42°5'56.40</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014A3B96" w14:textId="5595F06C"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19°33'10.80</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17DC8D16"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031D433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16CA0563" w14:textId="77777777" w:rsidTr="00245A85">
        <w:trPr>
          <w:trHeight w:val="530"/>
          <w:jc w:val="center"/>
        </w:trPr>
        <w:tc>
          <w:tcPr>
            <w:tcW w:w="205" w:type="pct"/>
            <w:shd w:val="clear" w:color="auto" w:fill="auto"/>
            <w:vAlign w:val="center"/>
            <w:hideMark/>
          </w:tcPr>
          <w:p w14:paraId="6F0CDD9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14</w:t>
            </w:r>
          </w:p>
        </w:tc>
        <w:tc>
          <w:tcPr>
            <w:tcW w:w="661" w:type="pct"/>
            <w:shd w:val="clear" w:color="auto" w:fill="auto"/>
            <w:vAlign w:val="center"/>
            <w:hideMark/>
          </w:tcPr>
          <w:p w14:paraId="5B9E782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Theth</w:t>
            </w:r>
          </w:p>
        </w:tc>
        <w:tc>
          <w:tcPr>
            <w:tcW w:w="1941" w:type="pct"/>
            <w:shd w:val="clear" w:color="auto" w:fill="auto"/>
            <w:vAlign w:val="center"/>
            <w:hideMark/>
          </w:tcPr>
          <w:p w14:paraId="69748DE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Thethi (Th) (Thethi NP) - në lumin Theth (kontribues i rezervuarit të Komanit); Pranë varrezës së Nikgjonajt.</w:t>
            </w:r>
          </w:p>
        </w:tc>
        <w:tc>
          <w:tcPr>
            <w:tcW w:w="508" w:type="pct"/>
            <w:shd w:val="clear" w:color="auto" w:fill="auto"/>
            <w:vAlign w:val="center"/>
            <w:hideMark/>
          </w:tcPr>
          <w:p w14:paraId="37744B3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AL10R_Th20</w:t>
            </w:r>
          </w:p>
        </w:tc>
        <w:tc>
          <w:tcPr>
            <w:tcW w:w="508" w:type="pct"/>
            <w:shd w:val="clear" w:color="auto" w:fill="auto"/>
            <w:vAlign w:val="center"/>
            <w:hideMark/>
          </w:tcPr>
          <w:p w14:paraId="0376E364" w14:textId="3BEEFC24"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42°24'34.32</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02FE155A" w14:textId="26250888"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19°45'49.70</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6885BCA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6DA2BA1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71080B53" w14:textId="77777777" w:rsidTr="00245A85">
        <w:trPr>
          <w:trHeight w:val="620"/>
          <w:jc w:val="center"/>
        </w:trPr>
        <w:tc>
          <w:tcPr>
            <w:tcW w:w="205" w:type="pct"/>
            <w:shd w:val="clear" w:color="auto" w:fill="auto"/>
            <w:vAlign w:val="center"/>
            <w:hideMark/>
          </w:tcPr>
          <w:p w14:paraId="5F3D525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15</w:t>
            </w:r>
          </w:p>
        </w:tc>
        <w:tc>
          <w:tcPr>
            <w:tcW w:w="661" w:type="pct"/>
            <w:shd w:val="clear" w:color="auto" w:fill="auto"/>
            <w:vAlign w:val="center"/>
            <w:hideMark/>
          </w:tcPr>
          <w:p w14:paraId="4E8D00B0"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Valbonë </w:t>
            </w:r>
          </w:p>
        </w:tc>
        <w:tc>
          <w:tcPr>
            <w:tcW w:w="1941" w:type="pct"/>
            <w:shd w:val="clear" w:color="auto" w:fill="auto"/>
            <w:vAlign w:val="center"/>
            <w:hideMark/>
          </w:tcPr>
          <w:p w14:paraId="1260506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Valbona (Va), Bajram Curri - në lumin Valbonë (kontribues i Rezervuarit të Komanit mbi Drinin); Në fshatin Valbonë.</w:t>
            </w:r>
          </w:p>
        </w:tc>
        <w:tc>
          <w:tcPr>
            <w:tcW w:w="508" w:type="pct"/>
            <w:shd w:val="clear" w:color="auto" w:fill="auto"/>
            <w:vAlign w:val="center"/>
            <w:hideMark/>
          </w:tcPr>
          <w:p w14:paraId="13F971E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AL10R_Va10</w:t>
            </w:r>
          </w:p>
        </w:tc>
        <w:tc>
          <w:tcPr>
            <w:tcW w:w="508" w:type="pct"/>
            <w:shd w:val="clear" w:color="auto" w:fill="auto"/>
            <w:vAlign w:val="center"/>
            <w:hideMark/>
          </w:tcPr>
          <w:p w14:paraId="6393C019" w14:textId="23E95BF6"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42°27'16.52</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363D71B9" w14:textId="3A31CDE5"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19°53'34.85</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6E409C9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3FC483F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27595657" w14:textId="77777777" w:rsidTr="00245A85">
        <w:trPr>
          <w:trHeight w:val="414"/>
          <w:jc w:val="center"/>
        </w:trPr>
        <w:tc>
          <w:tcPr>
            <w:tcW w:w="205" w:type="pct"/>
            <w:shd w:val="clear" w:color="auto" w:fill="auto"/>
            <w:vAlign w:val="center"/>
            <w:hideMark/>
          </w:tcPr>
          <w:p w14:paraId="5CA75281"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16</w:t>
            </w:r>
          </w:p>
        </w:tc>
        <w:tc>
          <w:tcPr>
            <w:tcW w:w="661" w:type="pct"/>
            <w:shd w:val="clear" w:color="auto" w:fill="auto"/>
            <w:vAlign w:val="center"/>
            <w:hideMark/>
          </w:tcPr>
          <w:p w14:paraId="1A1519AC"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Valbonë </w:t>
            </w:r>
          </w:p>
        </w:tc>
        <w:tc>
          <w:tcPr>
            <w:tcW w:w="1941" w:type="pct"/>
            <w:shd w:val="clear" w:color="auto" w:fill="auto"/>
            <w:vAlign w:val="center"/>
            <w:hideMark/>
          </w:tcPr>
          <w:p w14:paraId="3686AA2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Valbona (Va), Shoshani (në rrjedhën e sipërme të lumit) - në lumin Valbona (kontribues i rezervuarit të Komanit mbi Drinin); Në urën Shoshani (rruga Bajram Curri-Valbonë).</w:t>
            </w:r>
          </w:p>
        </w:tc>
        <w:tc>
          <w:tcPr>
            <w:tcW w:w="508" w:type="pct"/>
            <w:shd w:val="clear" w:color="auto" w:fill="auto"/>
            <w:vAlign w:val="center"/>
            <w:hideMark/>
          </w:tcPr>
          <w:p w14:paraId="673AB61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AL10R_Va20</w:t>
            </w:r>
          </w:p>
        </w:tc>
        <w:tc>
          <w:tcPr>
            <w:tcW w:w="508" w:type="pct"/>
            <w:shd w:val="clear" w:color="auto" w:fill="auto"/>
            <w:vAlign w:val="center"/>
            <w:hideMark/>
          </w:tcPr>
          <w:p w14:paraId="52689055" w14:textId="6450553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42°23'18.01</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1075F003" w14:textId="1132D508"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 4'22.17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1785627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731FD5C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1A3361C0" w14:textId="77777777" w:rsidTr="00245A85">
        <w:trPr>
          <w:trHeight w:val="549"/>
          <w:jc w:val="center"/>
        </w:trPr>
        <w:tc>
          <w:tcPr>
            <w:tcW w:w="205" w:type="pct"/>
            <w:shd w:val="clear" w:color="auto" w:fill="auto"/>
            <w:vAlign w:val="center"/>
            <w:hideMark/>
          </w:tcPr>
          <w:p w14:paraId="295204AC"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17</w:t>
            </w:r>
          </w:p>
        </w:tc>
        <w:tc>
          <w:tcPr>
            <w:tcW w:w="661" w:type="pct"/>
            <w:shd w:val="clear" w:color="auto" w:fill="auto"/>
            <w:vAlign w:val="center"/>
            <w:hideMark/>
          </w:tcPr>
          <w:p w14:paraId="4A8A15B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Drilon </w:t>
            </w:r>
          </w:p>
        </w:tc>
        <w:tc>
          <w:tcPr>
            <w:tcW w:w="1941" w:type="pct"/>
            <w:shd w:val="clear" w:color="auto" w:fill="auto"/>
            <w:vAlign w:val="center"/>
            <w:hideMark/>
          </w:tcPr>
          <w:p w14:paraId="2E71235E"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Driloni (Pogradec) - në lumin Driloni (lugina e Drinit në fshatin Gurrasi pranë kufirit maqedonas - Pogradec).</w:t>
            </w:r>
          </w:p>
        </w:tc>
        <w:tc>
          <w:tcPr>
            <w:tcW w:w="508" w:type="pct"/>
            <w:shd w:val="clear" w:color="auto" w:fill="auto"/>
            <w:vAlign w:val="center"/>
            <w:hideMark/>
          </w:tcPr>
          <w:p w14:paraId="4566A4F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AL10R_Pg10</w:t>
            </w:r>
          </w:p>
        </w:tc>
        <w:tc>
          <w:tcPr>
            <w:tcW w:w="508" w:type="pct"/>
            <w:shd w:val="clear" w:color="auto" w:fill="auto"/>
            <w:vAlign w:val="center"/>
            <w:hideMark/>
          </w:tcPr>
          <w:p w14:paraId="0DD36D14" w14:textId="73E63BB8"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40°53'23.17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030C4779" w14:textId="78904A8A"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20°42'47.20</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091EB11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797BB74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42AF4CEC" w14:textId="77777777" w:rsidTr="00245A85">
        <w:trPr>
          <w:trHeight w:val="570"/>
          <w:jc w:val="center"/>
        </w:trPr>
        <w:tc>
          <w:tcPr>
            <w:tcW w:w="205" w:type="pct"/>
            <w:shd w:val="clear" w:color="auto" w:fill="auto"/>
            <w:vAlign w:val="center"/>
            <w:hideMark/>
          </w:tcPr>
          <w:p w14:paraId="4039BF3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18</w:t>
            </w:r>
          </w:p>
        </w:tc>
        <w:tc>
          <w:tcPr>
            <w:tcW w:w="661" w:type="pct"/>
            <w:shd w:val="clear" w:color="auto" w:fill="auto"/>
            <w:vAlign w:val="center"/>
            <w:hideMark/>
          </w:tcPr>
          <w:p w14:paraId="0269913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Drilon </w:t>
            </w:r>
          </w:p>
        </w:tc>
        <w:tc>
          <w:tcPr>
            <w:tcW w:w="1941" w:type="pct"/>
            <w:shd w:val="clear" w:color="auto" w:fill="auto"/>
            <w:vAlign w:val="center"/>
            <w:hideMark/>
          </w:tcPr>
          <w:p w14:paraId="26F5154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Driloni (Pogradec) - në lumin Driloni (lugina e Drinit në fshatin Tushemisht pranë kufirit maqedonas - Pogradec).</w:t>
            </w:r>
          </w:p>
        </w:tc>
        <w:tc>
          <w:tcPr>
            <w:tcW w:w="508" w:type="pct"/>
            <w:shd w:val="clear" w:color="auto" w:fill="auto"/>
            <w:vAlign w:val="center"/>
            <w:hideMark/>
          </w:tcPr>
          <w:p w14:paraId="233EB31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AL10R_Pg20</w:t>
            </w:r>
          </w:p>
        </w:tc>
        <w:tc>
          <w:tcPr>
            <w:tcW w:w="508" w:type="pct"/>
            <w:shd w:val="clear" w:color="auto" w:fill="auto"/>
            <w:vAlign w:val="center"/>
            <w:hideMark/>
          </w:tcPr>
          <w:p w14:paraId="37687555" w14:textId="5C74E0A5"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40°54'6.27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3D6A15C5" w14:textId="0F5393F9"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20°42'48.45</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29D202E1"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E5B8B7"/>
            <w:vAlign w:val="center"/>
            <w:hideMark/>
          </w:tcPr>
          <w:p w14:paraId="78C5432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626FA172" w14:textId="77777777" w:rsidTr="00245A85">
        <w:trPr>
          <w:trHeight w:val="341"/>
          <w:jc w:val="center"/>
        </w:trPr>
        <w:tc>
          <w:tcPr>
            <w:tcW w:w="205" w:type="pct"/>
            <w:shd w:val="clear" w:color="auto" w:fill="auto"/>
            <w:vAlign w:val="center"/>
            <w:hideMark/>
          </w:tcPr>
          <w:p w14:paraId="5A26D47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w:t>
            </w:r>
          </w:p>
        </w:tc>
        <w:tc>
          <w:tcPr>
            <w:tcW w:w="661" w:type="pct"/>
            <w:shd w:val="clear" w:color="auto" w:fill="auto"/>
            <w:vAlign w:val="center"/>
            <w:hideMark/>
          </w:tcPr>
          <w:p w14:paraId="1EB1FE86"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Lumi Bunë </w:t>
            </w:r>
          </w:p>
        </w:tc>
        <w:tc>
          <w:tcPr>
            <w:tcW w:w="1941" w:type="pct"/>
            <w:shd w:val="clear" w:color="auto" w:fill="auto"/>
            <w:vAlign w:val="center"/>
            <w:hideMark/>
          </w:tcPr>
          <w:p w14:paraId="2D7E28F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Buna (Bu), Pentari (Shkodër) - në lumin Buna, rreth 2.5 km në lindje të fshatit Pentari.</w:t>
            </w:r>
          </w:p>
        </w:tc>
        <w:tc>
          <w:tcPr>
            <w:tcW w:w="508" w:type="pct"/>
            <w:shd w:val="clear" w:color="auto" w:fill="auto"/>
            <w:vAlign w:val="center"/>
            <w:hideMark/>
          </w:tcPr>
          <w:p w14:paraId="5BF6F7E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AL10R_Bu30</w:t>
            </w:r>
          </w:p>
        </w:tc>
        <w:tc>
          <w:tcPr>
            <w:tcW w:w="508" w:type="pct"/>
            <w:shd w:val="clear" w:color="auto" w:fill="auto"/>
            <w:vAlign w:val="center"/>
            <w:hideMark/>
          </w:tcPr>
          <w:p w14:paraId="2C914724" w14:textId="556B5C89"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41°57'25.41</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5C62EAF8" w14:textId="61B3D8EC"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19°21'8.37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59DD237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C2D69B"/>
            <w:vAlign w:val="center"/>
            <w:hideMark/>
          </w:tcPr>
          <w:p w14:paraId="13A6008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w:t>
            </w:r>
          </w:p>
        </w:tc>
      </w:tr>
      <w:tr w:rsidR="00245A85" w:rsidRPr="00445472" w14:paraId="5914F312" w14:textId="77777777" w:rsidTr="00245A85">
        <w:trPr>
          <w:trHeight w:val="780"/>
          <w:jc w:val="center"/>
        </w:trPr>
        <w:tc>
          <w:tcPr>
            <w:tcW w:w="205" w:type="pct"/>
            <w:shd w:val="clear" w:color="auto" w:fill="auto"/>
            <w:vAlign w:val="center"/>
            <w:hideMark/>
          </w:tcPr>
          <w:p w14:paraId="6F91812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20</w:t>
            </w:r>
          </w:p>
        </w:tc>
        <w:tc>
          <w:tcPr>
            <w:tcW w:w="661" w:type="pct"/>
            <w:shd w:val="clear" w:color="auto" w:fill="auto"/>
            <w:vAlign w:val="center"/>
            <w:hideMark/>
          </w:tcPr>
          <w:p w14:paraId="3C14C73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Kanali Murtema </w:t>
            </w:r>
          </w:p>
        </w:tc>
        <w:tc>
          <w:tcPr>
            <w:tcW w:w="1941" w:type="pct"/>
            <w:shd w:val="clear" w:color="auto" w:fill="auto"/>
            <w:vAlign w:val="center"/>
            <w:hideMark/>
          </w:tcPr>
          <w:p w14:paraId="042AF07C"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Murtema (Mu), Gomsiqe (Velipoja, Shkodra) - në kanalin e kullimit Murtema, në urën pranë fshatit Gomsiqe.</w:t>
            </w:r>
          </w:p>
        </w:tc>
        <w:tc>
          <w:tcPr>
            <w:tcW w:w="508" w:type="pct"/>
            <w:shd w:val="clear" w:color="auto" w:fill="auto"/>
            <w:vAlign w:val="center"/>
            <w:hideMark/>
          </w:tcPr>
          <w:p w14:paraId="7E58694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AL10R_Bu40</w:t>
            </w:r>
          </w:p>
        </w:tc>
        <w:tc>
          <w:tcPr>
            <w:tcW w:w="508" w:type="pct"/>
            <w:shd w:val="clear" w:color="auto" w:fill="auto"/>
            <w:vAlign w:val="center"/>
            <w:hideMark/>
          </w:tcPr>
          <w:p w14:paraId="20CCF89B" w14:textId="4A073A5B"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41°54'46.32</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726A245A" w14:textId="1F446D41"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19°24'56.05</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6D018CED"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E5B8B7"/>
            <w:vAlign w:val="center"/>
            <w:hideMark/>
          </w:tcPr>
          <w:p w14:paraId="6F88403A"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427A080B" w14:textId="77777777" w:rsidTr="00245A85">
        <w:trPr>
          <w:trHeight w:val="255"/>
          <w:jc w:val="center"/>
        </w:trPr>
        <w:tc>
          <w:tcPr>
            <w:tcW w:w="205" w:type="pct"/>
            <w:shd w:val="clear" w:color="auto" w:fill="auto"/>
            <w:vAlign w:val="center"/>
            <w:hideMark/>
          </w:tcPr>
          <w:p w14:paraId="13BDD913"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21</w:t>
            </w:r>
          </w:p>
        </w:tc>
        <w:tc>
          <w:tcPr>
            <w:tcW w:w="661" w:type="pct"/>
            <w:shd w:val="clear" w:color="auto" w:fill="auto"/>
            <w:vAlign w:val="center"/>
            <w:hideMark/>
          </w:tcPr>
          <w:p w14:paraId="753D781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 xml:space="preserve">Kanali Murtema </w:t>
            </w:r>
          </w:p>
        </w:tc>
        <w:tc>
          <w:tcPr>
            <w:tcW w:w="1941" w:type="pct"/>
            <w:shd w:val="clear" w:color="auto" w:fill="auto"/>
            <w:vAlign w:val="center"/>
            <w:hideMark/>
          </w:tcPr>
          <w:p w14:paraId="523490B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Murtema tranzicionale (Mu), Velipoja (Shkodër) - në kanalin Murtema, në stacionin e Pompimit.</w:t>
            </w:r>
          </w:p>
        </w:tc>
        <w:tc>
          <w:tcPr>
            <w:tcW w:w="508" w:type="pct"/>
            <w:shd w:val="clear" w:color="auto" w:fill="auto"/>
            <w:vAlign w:val="center"/>
            <w:hideMark/>
          </w:tcPr>
          <w:p w14:paraId="45A0F3F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AL10R_Bu40</w:t>
            </w:r>
          </w:p>
        </w:tc>
        <w:tc>
          <w:tcPr>
            <w:tcW w:w="508" w:type="pct"/>
            <w:shd w:val="clear" w:color="auto" w:fill="auto"/>
            <w:vAlign w:val="center"/>
            <w:hideMark/>
          </w:tcPr>
          <w:p w14:paraId="4ABCB7CE" w14:textId="2B83424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41°51'49.82</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44E42896" w14:textId="3E497BEE"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19°26'31.76</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7FF5D8A8"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WS</w:t>
            </w:r>
          </w:p>
        </w:tc>
        <w:tc>
          <w:tcPr>
            <w:tcW w:w="367" w:type="pct"/>
            <w:shd w:val="clear" w:color="000000" w:fill="E5B8B7"/>
            <w:vAlign w:val="center"/>
            <w:hideMark/>
          </w:tcPr>
          <w:p w14:paraId="1585A0E4"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3</w:t>
            </w:r>
          </w:p>
        </w:tc>
      </w:tr>
      <w:tr w:rsidR="00245A85" w:rsidRPr="00445472" w14:paraId="4E25A691" w14:textId="77777777" w:rsidTr="00245A85">
        <w:trPr>
          <w:trHeight w:val="584"/>
          <w:jc w:val="center"/>
        </w:trPr>
        <w:tc>
          <w:tcPr>
            <w:tcW w:w="205" w:type="pct"/>
            <w:shd w:val="clear" w:color="auto" w:fill="auto"/>
            <w:vAlign w:val="center"/>
            <w:hideMark/>
          </w:tcPr>
          <w:p w14:paraId="5E93773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22</w:t>
            </w:r>
          </w:p>
        </w:tc>
        <w:tc>
          <w:tcPr>
            <w:tcW w:w="661" w:type="pct"/>
            <w:shd w:val="clear" w:color="auto" w:fill="auto"/>
            <w:vAlign w:val="center"/>
            <w:hideMark/>
          </w:tcPr>
          <w:p w14:paraId="5A5093E7"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Lumi Bunë</w:t>
            </w:r>
          </w:p>
        </w:tc>
        <w:tc>
          <w:tcPr>
            <w:tcW w:w="1941" w:type="pct"/>
            <w:shd w:val="clear" w:color="auto" w:fill="auto"/>
            <w:vAlign w:val="center"/>
            <w:hideMark/>
          </w:tcPr>
          <w:p w14:paraId="6046DD7B"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Buna (Bu), Zuesi (Shkodra) - në lumin Buna, pranë fshatit Zuesi, menjëherë pas bashkimit të Bunës me lumin Drin. (Al_RV_3)</w:t>
            </w:r>
          </w:p>
        </w:tc>
        <w:tc>
          <w:tcPr>
            <w:tcW w:w="508" w:type="pct"/>
            <w:shd w:val="clear" w:color="auto" w:fill="auto"/>
            <w:vAlign w:val="center"/>
            <w:hideMark/>
          </w:tcPr>
          <w:p w14:paraId="19ABAC59"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AL10R_Bu20</w:t>
            </w:r>
          </w:p>
        </w:tc>
        <w:tc>
          <w:tcPr>
            <w:tcW w:w="508" w:type="pct"/>
            <w:shd w:val="clear" w:color="auto" w:fill="auto"/>
            <w:vAlign w:val="center"/>
            <w:hideMark/>
          </w:tcPr>
          <w:p w14:paraId="69FFA50D" w14:textId="1BA5C496"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42°01'44.68</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N</w:t>
            </w:r>
          </w:p>
        </w:tc>
        <w:tc>
          <w:tcPr>
            <w:tcW w:w="513" w:type="pct"/>
            <w:shd w:val="clear" w:color="auto" w:fill="auto"/>
            <w:vAlign w:val="center"/>
            <w:hideMark/>
          </w:tcPr>
          <w:p w14:paraId="0F6BD1F2" w14:textId="05F4B111"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19°28'26.67</w:t>
            </w:r>
            <w:r w:rsidR="00D62EDF" w:rsidRPr="00445472">
              <w:rPr>
                <w:rFonts w:ascii="Garamond" w:eastAsia="MS Mincho" w:hAnsi="Garamond" w:cs="Arial"/>
                <w:spacing w:val="-4"/>
                <w:sz w:val="16"/>
                <w:szCs w:val="16"/>
              </w:rPr>
              <w:t>”</w:t>
            </w:r>
            <w:r w:rsidRPr="00445472">
              <w:rPr>
                <w:rFonts w:ascii="Garamond" w:eastAsia="MS Mincho" w:hAnsi="Garamond" w:cs="Arial"/>
                <w:spacing w:val="-4"/>
                <w:sz w:val="16"/>
                <w:szCs w:val="16"/>
              </w:rPr>
              <w:t>E</w:t>
            </w:r>
          </w:p>
        </w:tc>
        <w:tc>
          <w:tcPr>
            <w:tcW w:w="295" w:type="pct"/>
            <w:shd w:val="clear" w:color="auto" w:fill="auto"/>
            <w:vAlign w:val="center"/>
            <w:hideMark/>
          </w:tcPr>
          <w:p w14:paraId="3661EBCF"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W</w:t>
            </w:r>
          </w:p>
        </w:tc>
        <w:tc>
          <w:tcPr>
            <w:tcW w:w="367" w:type="pct"/>
            <w:shd w:val="clear" w:color="000000" w:fill="FAC090"/>
            <w:vAlign w:val="center"/>
            <w:hideMark/>
          </w:tcPr>
          <w:p w14:paraId="65A03532" w14:textId="77777777" w:rsidR="00245A85" w:rsidRPr="00445472" w:rsidRDefault="00245A85" w:rsidP="00245A85">
            <w:pPr>
              <w:spacing w:before="15" w:after="0" w:line="240" w:lineRule="auto"/>
              <w:ind w:right="44"/>
              <w:jc w:val="center"/>
              <w:rPr>
                <w:rFonts w:ascii="Garamond" w:eastAsia="MS Mincho" w:hAnsi="Garamond" w:cs="Arial"/>
                <w:spacing w:val="-4"/>
                <w:sz w:val="16"/>
                <w:szCs w:val="16"/>
              </w:rPr>
            </w:pPr>
            <w:r w:rsidRPr="00445472">
              <w:rPr>
                <w:rFonts w:ascii="Garamond" w:eastAsia="MS Mincho" w:hAnsi="Garamond" w:cs="Arial"/>
                <w:spacing w:val="-4"/>
                <w:sz w:val="16"/>
                <w:szCs w:val="16"/>
              </w:rPr>
              <w:t>2</w:t>
            </w:r>
          </w:p>
        </w:tc>
      </w:tr>
    </w:tbl>
    <w:p w14:paraId="1573D5A1" w14:textId="77777777" w:rsidR="00245A85" w:rsidRPr="00445472" w:rsidRDefault="00245A85" w:rsidP="00245A85">
      <w:pPr>
        <w:pStyle w:val="TEKSTIIII"/>
        <w:rPr>
          <w:sz w:val="20"/>
          <w:szCs w:val="20"/>
        </w:rPr>
      </w:pPr>
      <w:r w:rsidRPr="00445472">
        <w:rPr>
          <w:sz w:val="20"/>
          <w:szCs w:val="20"/>
        </w:rPr>
        <w:t>Burimi: Projekti KSMMSh</w:t>
      </w:r>
    </w:p>
    <w:p w14:paraId="45F49DE9" w14:textId="77777777" w:rsidR="00245A85" w:rsidRPr="00445472" w:rsidRDefault="00245A85" w:rsidP="00245A85">
      <w:pPr>
        <w:pStyle w:val="TEKSTIIII"/>
        <w:rPr>
          <w:sz w:val="20"/>
          <w:szCs w:val="20"/>
        </w:rPr>
      </w:pPr>
      <w:bookmarkStart w:id="334" w:name="_Toc339731740"/>
      <w:bookmarkStart w:id="335" w:name="_Toc480455110"/>
    </w:p>
    <w:p w14:paraId="17D749DF" w14:textId="77777777" w:rsidR="00245A85" w:rsidRPr="00445472" w:rsidRDefault="00245A85" w:rsidP="00245A85">
      <w:pPr>
        <w:pStyle w:val="TEKSTIIII"/>
        <w:rPr>
          <w:sz w:val="20"/>
          <w:szCs w:val="20"/>
        </w:rPr>
      </w:pPr>
      <w:r w:rsidRPr="00445472">
        <w:rPr>
          <w:sz w:val="20"/>
          <w:szCs w:val="20"/>
        </w:rPr>
        <w:t>Shënime:</w:t>
      </w:r>
    </w:p>
    <w:p w14:paraId="3939B552" w14:textId="3B178C95" w:rsidR="00245A85" w:rsidRPr="00445472" w:rsidRDefault="00245A85" w:rsidP="00245A85">
      <w:pPr>
        <w:pStyle w:val="TEKSTIIII"/>
        <w:rPr>
          <w:sz w:val="20"/>
          <w:szCs w:val="20"/>
        </w:rPr>
      </w:pPr>
      <w:r w:rsidRPr="00445472">
        <w:rPr>
          <w:sz w:val="20"/>
          <w:szCs w:val="20"/>
        </w:rPr>
        <w:t>* Ngjyra e nivelit të prioriteteve përdoret në tabelat e stacioneve për të theksuar rëndësinë e tyre dhe ku ata duhet të jenë pjesë e rrjetit të monitorimit të ujit</w:t>
      </w:r>
      <w:r w:rsidR="00A76C09" w:rsidRPr="00445472">
        <w:rPr>
          <w:sz w:val="20"/>
          <w:szCs w:val="20"/>
        </w:rPr>
        <w:t>.</w:t>
      </w:r>
    </w:p>
    <w:p w14:paraId="75EDE54D" w14:textId="515A40FC" w:rsidR="00245A85" w:rsidRPr="00445472" w:rsidRDefault="00245A85" w:rsidP="00245A85">
      <w:pPr>
        <w:pStyle w:val="TEKSTIIII"/>
        <w:rPr>
          <w:sz w:val="20"/>
          <w:szCs w:val="20"/>
        </w:rPr>
      </w:pPr>
      <w:r w:rsidRPr="00445472">
        <w:rPr>
          <w:sz w:val="20"/>
          <w:szCs w:val="20"/>
        </w:rPr>
        <w:t xml:space="preserve">** Kodi i </w:t>
      </w:r>
      <w:r w:rsidR="00A76C09" w:rsidRPr="00445472">
        <w:rPr>
          <w:sz w:val="20"/>
          <w:szCs w:val="20"/>
        </w:rPr>
        <w:t xml:space="preserve">stacionit </w:t>
      </w:r>
      <w:r w:rsidRPr="00445472">
        <w:rPr>
          <w:sz w:val="20"/>
          <w:szCs w:val="20"/>
        </w:rPr>
        <w:t>QBU shpjegohet si vijon:</w:t>
      </w:r>
    </w:p>
    <w:p w14:paraId="4282A4FF" w14:textId="0E7BDD77" w:rsidR="00245A85" w:rsidRPr="00445472" w:rsidRDefault="00245A85" w:rsidP="00245A85">
      <w:pPr>
        <w:pStyle w:val="TEKSTIIII"/>
        <w:rPr>
          <w:sz w:val="20"/>
          <w:szCs w:val="20"/>
        </w:rPr>
      </w:pPr>
      <w:r w:rsidRPr="00445472">
        <w:rPr>
          <w:sz w:val="20"/>
          <w:szCs w:val="20"/>
        </w:rPr>
        <w:t>AL = Shqipëria (shkronja 1 &amp; 2) - shih tabelën 10.3</w:t>
      </w:r>
      <w:r w:rsidR="00A76C09" w:rsidRPr="00445472">
        <w:rPr>
          <w:sz w:val="20"/>
          <w:szCs w:val="20"/>
        </w:rPr>
        <w:t>.</w:t>
      </w:r>
    </w:p>
    <w:p w14:paraId="2900A560" w14:textId="40EBD082" w:rsidR="00245A85" w:rsidRPr="00445472" w:rsidRDefault="00245A85" w:rsidP="00245A85">
      <w:pPr>
        <w:pStyle w:val="TEKSTIIII"/>
        <w:rPr>
          <w:sz w:val="20"/>
          <w:szCs w:val="20"/>
        </w:rPr>
      </w:pPr>
      <w:r w:rsidRPr="00445472">
        <w:rPr>
          <w:sz w:val="20"/>
          <w:szCs w:val="20"/>
        </w:rPr>
        <w:t>10 = Kodi BU Drini-Buna numër (shifrat 3 &amp; 4)</w:t>
      </w:r>
      <w:r w:rsidR="00A76C09" w:rsidRPr="00445472">
        <w:rPr>
          <w:sz w:val="20"/>
          <w:szCs w:val="20"/>
        </w:rPr>
        <w:t>.</w:t>
      </w:r>
    </w:p>
    <w:p w14:paraId="18D52C71" w14:textId="31AAE07F" w:rsidR="00245A85" w:rsidRPr="00445472" w:rsidRDefault="00245A85" w:rsidP="00245A85">
      <w:pPr>
        <w:pStyle w:val="TEKSTIIII"/>
        <w:rPr>
          <w:sz w:val="20"/>
          <w:szCs w:val="20"/>
        </w:rPr>
      </w:pPr>
      <w:r w:rsidRPr="00445472">
        <w:rPr>
          <w:sz w:val="20"/>
          <w:szCs w:val="20"/>
        </w:rPr>
        <w:t>R = Lumi (lloji i trupit ujor) (shifra 5)</w:t>
      </w:r>
      <w:r w:rsidR="00A76C09" w:rsidRPr="00445472">
        <w:rPr>
          <w:sz w:val="20"/>
          <w:szCs w:val="20"/>
        </w:rPr>
        <w:t>.</w:t>
      </w:r>
    </w:p>
    <w:p w14:paraId="4516B95A" w14:textId="037336BE" w:rsidR="00245A85" w:rsidRPr="00445472" w:rsidRDefault="00245A85" w:rsidP="00245A85">
      <w:pPr>
        <w:pStyle w:val="TEKSTIIII"/>
        <w:rPr>
          <w:sz w:val="20"/>
          <w:szCs w:val="20"/>
        </w:rPr>
      </w:pPr>
      <w:r w:rsidRPr="00445472">
        <w:rPr>
          <w:sz w:val="20"/>
          <w:szCs w:val="20"/>
        </w:rPr>
        <w:t>Dy shkronjat e mëposhtme tregojnë 2 shkronjat e para të lumit dhe përfshijnë Bunë, Drin, Drini i Bardhë, Drini i Zi, Valbonë, Kiri, Shala dhe degët e tyre të vogla</w:t>
      </w:r>
      <w:r w:rsidR="00A76C09" w:rsidRPr="00445472">
        <w:rPr>
          <w:sz w:val="20"/>
          <w:szCs w:val="20"/>
        </w:rPr>
        <w:t>.</w:t>
      </w:r>
    </w:p>
    <w:p w14:paraId="13D1846B" w14:textId="77777777" w:rsidR="00245A85" w:rsidRPr="00445472" w:rsidRDefault="00245A85" w:rsidP="00245A85">
      <w:pPr>
        <w:pStyle w:val="TEKSTIIII"/>
        <w:rPr>
          <w:sz w:val="20"/>
          <w:szCs w:val="20"/>
        </w:rPr>
      </w:pPr>
      <w:r w:rsidRPr="00445472">
        <w:rPr>
          <w:sz w:val="20"/>
          <w:szCs w:val="20"/>
        </w:rPr>
        <w:t>2 shifrat e fundit të kodit tregojnë numrin e stacionit të marrjes së mostrave nga burimi në grykë në rastin e lumenjve dhe rrjedhave, nga hyrja në daljen në rast të liqeneve dhe nga veriu në jug në rastin e lagunave dhe trupave ujorë bregdetarë.</w:t>
      </w:r>
    </w:p>
    <w:p w14:paraId="67D1C4BA" w14:textId="77777777" w:rsidR="00245A85" w:rsidRPr="00445472" w:rsidRDefault="00245A85" w:rsidP="00245A85">
      <w:pPr>
        <w:pStyle w:val="TEKSTIIII"/>
        <w:rPr>
          <w:sz w:val="20"/>
          <w:szCs w:val="20"/>
        </w:rPr>
      </w:pPr>
    </w:p>
    <w:p w14:paraId="7574F4D3" w14:textId="159A7741" w:rsidR="00245A85" w:rsidRPr="00445472" w:rsidRDefault="00245A85" w:rsidP="00245A85">
      <w:pPr>
        <w:pStyle w:val="NENTITULL"/>
      </w:pPr>
      <w:r w:rsidRPr="00445472">
        <w:t>Tab</w:t>
      </w:r>
      <w:r w:rsidR="0053359F" w:rsidRPr="00445472">
        <w:t>e</w:t>
      </w:r>
      <w:r w:rsidRPr="00445472">
        <w:t>l</w:t>
      </w:r>
      <w:r w:rsidR="0053359F" w:rsidRPr="00445472">
        <w:t>a</w:t>
      </w:r>
      <w:r w:rsidRPr="00445472">
        <w:t xml:space="preserve"> A 2. 2.: </w:t>
      </w:r>
      <w:bookmarkEnd w:id="334"/>
      <w:bookmarkEnd w:id="335"/>
      <w:r w:rsidRPr="00445472">
        <w:t>Stacionet e liqeneve në rrjetin monitorues të ujërave sipërfaqësor</w:t>
      </w:r>
      <w:r w:rsidR="004C3294" w:rsidRPr="00445472">
        <w:t>e</w:t>
      </w:r>
    </w:p>
    <w:tbl>
      <w:tblPr>
        <w:tblW w:w="13884" w:type="dxa"/>
        <w:tblInd w:w="94"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54"/>
        <w:gridCol w:w="1757"/>
        <w:gridCol w:w="5105"/>
        <w:gridCol w:w="1556"/>
        <w:gridCol w:w="1481"/>
        <w:gridCol w:w="1471"/>
        <w:gridCol w:w="970"/>
        <w:gridCol w:w="990"/>
      </w:tblGrid>
      <w:tr w:rsidR="00245A85" w:rsidRPr="00445472" w14:paraId="44F1D13B" w14:textId="77777777" w:rsidTr="002A1F08">
        <w:trPr>
          <w:trHeight w:val="485"/>
          <w:tblHeader/>
        </w:trPr>
        <w:tc>
          <w:tcPr>
            <w:tcW w:w="554" w:type="dxa"/>
            <w:shd w:val="clear" w:color="000000" w:fill="EAF1DD"/>
            <w:vAlign w:val="center"/>
            <w:hideMark/>
          </w:tcPr>
          <w:p w14:paraId="22E13A04" w14:textId="7AF29F8D"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Nr</w:t>
            </w:r>
            <w:r w:rsidR="0053359F" w:rsidRPr="00445472">
              <w:rPr>
                <w:rFonts w:ascii="Garamond" w:eastAsia="MS Mincho" w:hAnsi="Garamond" w:cs="Arial"/>
                <w:b/>
                <w:sz w:val="16"/>
                <w:szCs w:val="16"/>
              </w:rPr>
              <w:t>.</w:t>
            </w:r>
          </w:p>
        </w:tc>
        <w:tc>
          <w:tcPr>
            <w:tcW w:w="1757" w:type="dxa"/>
            <w:shd w:val="clear" w:color="000000" w:fill="EAF1DD"/>
            <w:vAlign w:val="center"/>
            <w:hideMark/>
          </w:tcPr>
          <w:p w14:paraId="357B6C91" w14:textId="77777777"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Liqenet</w:t>
            </w:r>
          </w:p>
        </w:tc>
        <w:tc>
          <w:tcPr>
            <w:tcW w:w="5105" w:type="dxa"/>
            <w:shd w:val="clear" w:color="000000" w:fill="EAF1DD"/>
            <w:vAlign w:val="center"/>
            <w:hideMark/>
          </w:tcPr>
          <w:p w14:paraId="5B00CA98" w14:textId="17AF1744"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 xml:space="preserve">Emri i </w:t>
            </w:r>
            <w:r w:rsidR="00BE1D92" w:rsidRPr="00445472">
              <w:rPr>
                <w:rFonts w:ascii="Garamond" w:eastAsia="MS Mincho" w:hAnsi="Garamond" w:cs="Arial"/>
                <w:b/>
                <w:sz w:val="16"/>
                <w:szCs w:val="16"/>
              </w:rPr>
              <w:t>stacionit</w:t>
            </w:r>
          </w:p>
        </w:tc>
        <w:tc>
          <w:tcPr>
            <w:tcW w:w="1556" w:type="dxa"/>
            <w:shd w:val="clear" w:color="000000" w:fill="EAF1DD"/>
            <w:vAlign w:val="center"/>
            <w:hideMark/>
          </w:tcPr>
          <w:p w14:paraId="486913D7" w14:textId="0787040D"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 xml:space="preserve">QBU_Kodi i </w:t>
            </w:r>
            <w:r w:rsidR="0053359F" w:rsidRPr="00445472">
              <w:rPr>
                <w:rFonts w:ascii="Garamond" w:eastAsia="MS Mincho" w:hAnsi="Garamond" w:cs="Arial"/>
                <w:b/>
                <w:sz w:val="16"/>
                <w:szCs w:val="16"/>
              </w:rPr>
              <w:t>stacionit</w:t>
            </w:r>
          </w:p>
        </w:tc>
        <w:tc>
          <w:tcPr>
            <w:tcW w:w="1481" w:type="dxa"/>
            <w:shd w:val="clear" w:color="000000" w:fill="EAF1DD"/>
            <w:vAlign w:val="center"/>
            <w:hideMark/>
          </w:tcPr>
          <w:p w14:paraId="022B0B28" w14:textId="29F59ACC" w:rsidR="00245A85" w:rsidRPr="00445472" w:rsidRDefault="0053359F"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Gjerësia</w:t>
            </w:r>
            <w:r w:rsidR="00245A85" w:rsidRPr="00445472">
              <w:rPr>
                <w:rFonts w:ascii="Garamond" w:eastAsia="MS Mincho" w:hAnsi="Garamond" w:cs="Arial"/>
                <w:b/>
                <w:sz w:val="16"/>
                <w:szCs w:val="16"/>
              </w:rPr>
              <w:t xml:space="preserve"> e Stacionit</w:t>
            </w:r>
          </w:p>
        </w:tc>
        <w:tc>
          <w:tcPr>
            <w:tcW w:w="1471" w:type="dxa"/>
            <w:shd w:val="clear" w:color="000000" w:fill="EAF1DD"/>
            <w:vAlign w:val="center"/>
            <w:hideMark/>
          </w:tcPr>
          <w:p w14:paraId="4857AE29" w14:textId="77777777"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Gjatësia e Stacionit</w:t>
            </w:r>
          </w:p>
        </w:tc>
        <w:tc>
          <w:tcPr>
            <w:tcW w:w="970" w:type="dxa"/>
            <w:shd w:val="clear" w:color="000000" w:fill="EAF1DD"/>
            <w:vAlign w:val="center"/>
            <w:hideMark/>
          </w:tcPr>
          <w:p w14:paraId="66C13050" w14:textId="77777777"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Lloji i mostrës</w:t>
            </w:r>
          </w:p>
        </w:tc>
        <w:tc>
          <w:tcPr>
            <w:tcW w:w="990" w:type="dxa"/>
            <w:shd w:val="clear" w:color="000000" w:fill="EAF1DD"/>
            <w:vAlign w:val="center"/>
            <w:hideMark/>
          </w:tcPr>
          <w:p w14:paraId="1C67609B" w14:textId="77777777" w:rsidR="00245A85" w:rsidRPr="00445472" w:rsidRDefault="00245A85" w:rsidP="002A1F08">
            <w:pPr>
              <w:spacing w:before="15" w:after="15"/>
              <w:ind w:right="44"/>
              <w:jc w:val="center"/>
              <w:rPr>
                <w:rFonts w:ascii="Garamond" w:eastAsia="MS Mincho" w:hAnsi="Garamond" w:cs="Arial"/>
                <w:b/>
                <w:sz w:val="16"/>
                <w:szCs w:val="16"/>
              </w:rPr>
            </w:pPr>
            <w:r w:rsidRPr="00445472">
              <w:rPr>
                <w:rFonts w:ascii="Garamond" w:eastAsia="MS Mincho" w:hAnsi="Garamond" w:cs="Arial"/>
                <w:b/>
                <w:sz w:val="16"/>
                <w:szCs w:val="16"/>
              </w:rPr>
              <w:t>Prioriteti</w:t>
            </w:r>
          </w:p>
        </w:tc>
      </w:tr>
      <w:tr w:rsidR="00245A85" w:rsidRPr="00445472" w14:paraId="4B40E5B0" w14:textId="77777777" w:rsidTr="002A1F08">
        <w:trPr>
          <w:trHeight w:val="780"/>
        </w:trPr>
        <w:tc>
          <w:tcPr>
            <w:tcW w:w="554" w:type="dxa"/>
            <w:shd w:val="clear" w:color="auto" w:fill="auto"/>
            <w:vAlign w:val="center"/>
            <w:hideMark/>
          </w:tcPr>
          <w:p w14:paraId="0BF4A3BF"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c>
          <w:tcPr>
            <w:tcW w:w="1757" w:type="dxa"/>
            <w:shd w:val="clear" w:color="auto" w:fill="auto"/>
            <w:vAlign w:val="center"/>
            <w:hideMark/>
          </w:tcPr>
          <w:p w14:paraId="433A8BA9"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Liqeni i Ohrit</w:t>
            </w:r>
          </w:p>
        </w:tc>
        <w:tc>
          <w:tcPr>
            <w:tcW w:w="5105" w:type="dxa"/>
            <w:shd w:val="clear" w:color="auto" w:fill="auto"/>
            <w:vAlign w:val="center"/>
            <w:hideMark/>
          </w:tcPr>
          <w:p w14:paraId="380CB1DB"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Ohri, Pogradeci - në liqenin e Ohrit (pellgu ujëmbledhës i Drinit); Rreth 200 m larg bregut të liqenit.</w:t>
            </w:r>
          </w:p>
        </w:tc>
        <w:tc>
          <w:tcPr>
            <w:tcW w:w="1556" w:type="dxa"/>
            <w:shd w:val="clear" w:color="auto" w:fill="auto"/>
            <w:vAlign w:val="center"/>
            <w:hideMark/>
          </w:tcPr>
          <w:p w14:paraId="5A0FE1C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AL10LK_Oh40</w:t>
            </w:r>
          </w:p>
        </w:tc>
        <w:tc>
          <w:tcPr>
            <w:tcW w:w="1481" w:type="dxa"/>
            <w:shd w:val="clear" w:color="auto" w:fill="auto"/>
            <w:vAlign w:val="center"/>
            <w:hideMark/>
          </w:tcPr>
          <w:p w14:paraId="2E5519C9" w14:textId="15E413B2"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40°54'18.39</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11CAF7FC" w14:textId="125203E1"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20°39'26.71</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3298285C"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C2D69A"/>
            <w:vAlign w:val="center"/>
            <w:hideMark/>
          </w:tcPr>
          <w:p w14:paraId="1251128A"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2B69C686" w14:textId="77777777" w:rsidTr="002A1F08">
        <w:trPr>
          <w:trHeight w:val="780"/>
        </w:trPr>
        <w:tc>
          <w:tcPr>
            <w:tcW w:w="554" w:type="dxa"/>
            <w:shd w:val="clear" w:color="auto" w:fill="auto"/>
            <w:vAlign w:val="center"/>
            <w:hideMark/>
          </w:tcPr>
          <w:p w14:paraId="13B87B90"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w:t>
            </w:r>
          </w:p>
        </w:tc>
        <w:tc>
          <w:tcPr>
            <w:tcW w:w="1757" w:type="dxa"/>
            <w:shd w:val="clear" w:color="auto" w:fill="auto"/>
            <w:vAlign w:val="center"/>
            <w:hideMark/>
          </w:tcPr>
          <w:p w14:paraId="276908FF" w14:textId="77777777" w:rsidR="00245A85" w:rsidRPr="00445472" w:rsidRDefault="00245A85" w:rsidP="002A1F08">
            <w:pPr>
              <w:spacing w:before="46" w:after="62"/>
              <w:jc w:val="center"/>
              <w:rPr>
                <w:rFonts w:ascii="Garamond" w:eastAsia="MS Mincho" w:hAnsi="Garamond" w:cs="Arial"/>
                <w:sz w:val="16"/>
                <w:szCs w:val="16"/>
              </w:rPr>
            </w:pPr>
          </w:p>
          <w:p w14:paraId="038AF5A2" w14:textId="77777777" w:rsidR="00245A85" w:rsidRPr="00445472" w:rsidRDefault="00245A85" w:rsidP="002A1F08">
            <w:pPr>
              <w:spacing w:before="46" w:after="62"/>
              <w:jc w:val="center"/>
              <w:rPr>
                <w:rFonts w:ascii="Garamond" w:hAnsi="Garamond" w:cs="Arial"/>
                <w:sz w:val="16"/>
                <w:szCs w:val="16"/>
              </w:rPr>
            </w:pPr>
            <w:r w:rsidRPr="00445472">
              <w:rPr>
                <w:rFonts w:ascii="Garamond" w:eastAsia="MS Mincho" w:hAnsi="Garamond" w:cs="Arial"/>
                <w:sz w:val="16"/>
                <w:szCs w:val="16"/>
              </w:rPr>
              <w:t>Liqeni i Ohrit</w:t>
            </w:r>
          </w:p>
        </w:tc>
        <w:tc>
          <w:tcPr>
            <w:tcW w:w="5105" w:type="dxa"/>
            <w:shd w:val="clear" w:color="auto" w:fill="auto"/>
            <w:vAlign w:val="center"/>
            <w:hideMark/>
          </w:tcPr>
          <w:p w14:paraId="04FDF6E9"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Ohri, Guri i Kuq (Pogradec) - rreth 500 m larg bregut të liqenit, përpara venddepozitimit të minierës Guri i Kuq.</w:t>
            </w:r>
          </w:p>
        </w:tc>
        <w:tc>
          <w:tcPr>
            <w:tcW w:w="1556" w:type="dxa"/>
            <w:shd w:val="clear" w:color="auto" w:fill="auto"/>
            <w:vAlign w:val="center"/>
            <w:hideMark/>
          </w:tcPr>
          <w:p w14:paraId="1DF5FED2"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AL10LK_Oh50</w:t>
            </w:r>
          </w:p>
        </w:tc>
        <w:tc>
          <w:tcPr>
            <w:tcW w:w="1481" w:type="dxa"/>
            <w:shd w:val="clear" w:color="auto" w:fill="auto"/>
            <w:vAlign w:val="center"/>
            <w:hideMark/>
          </w:tcPr>
          <w:p w14:paraId="013D7E48" w14:textId="0B6F1E25"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40°55'56.03</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2F224847" w14:textId="0DE18098"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20°39'1.26</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513BA781"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FAC090"/>
            <w:vAlign w:val="center"/>
            <w:hideMark/>
          </w:tcPr>
          <w:p w14:paraId="7895F1CA"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w:t>
            </w:r>
          </w:p>
        </w:tc>
      </w:tr>
      <w:tr w:rsidR="00245A85" w:rsidRPr="00445472" w14:paraId="3FDCA7C2" w14:textId="77777777" w:rsidTr="002A1F08">
        <w:trPr>
          <w:trHeight w:val="780"/>
        </w:trPr>
        <w:tc>
          <w:tcPr>
            <w:tcW w:w="554" w:type="dxa"/>
            <w:shd w:val="clear" w:color="auto" w:fill="auto"/>
            <w:vAlign w:val="center"/>
            <w:hideMark/>
          </w:tcPr>
          <w:p w14:paraId="13F1CB2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3</w:t>
            </w:r>
          </w:p>
        </w:tc>
        <w:tc>
          <w:tcPr>
            <w:tcW w:w="1757" w:type="dxa"/>
            <w:shd w:val="clear" w:color="auto" w:fill="auto"/>
            <w:vAlign w:val="center"/>
            <w:hideMark/>
          </w:tcPr>
          <w:p w14:paraId="3E0AC9FE" w14:textId="77777777" w:rsidR="00245A85" w:rsidRPr="00445472" w:rsidRDefault="00245A85" w:rsidP="002A1F08">
            <w:pPr>
              <w:spacing w:before="46" w:after="62"/>
              <w:jc w:val="center"/>
              <w:rPr>
                <w:rFonts w:ascii="Garamond" w:eastAsia="MS Mincho" w:hAnsi="Garamond" w:cs="Arial"/>
                <w:sz w:val="16"/>
                <w:szCs w:val="16"/>
              </w:rPr>
            </w:pPr>
          </w:p>
          <w:p w14:paraId="3EF3EBAB" w14:textId="77777777" w:rsidR="00245A85" w:rsidRPr="00445472" w:rsidRDefault="00245A85" w:rsidP="002A1F08">
            <w:pPr>
              <w:spacing w:before="46" w:after="62"/>
              <w:jc w:val="center"/>
              <w:rPr>
                <w:rFonts w:ascii="Garamond" w:hAnsi="Garamond" w:cs="Arial"/>
                <w:sz w:val="16"/>
                <w:szCs w:val="16"/>
              </w:rPr>
            </w:pPr>
            <w:r w:rsidRPr="00445472">
              <w:rPr>
                <w:rFonts w:ascii="Garamond" w:eastAsia="MS Mincho" w:hAnsi="Garamond" w:cs="Arial"/>
                <w:sz w:val="16"/>
                <w:szCs w:val="16"/>
              </w:rPr>
              <w:t>Liqeni i Ohrit</w:t>
            </w:r>
          </w:p>
        </w:tc>
        <w:tc>
          <w:tcPr>
            <w:tcW w:w="5105" w:type="dxa"/>
            <w:shd w:val="clear" w:color="auto" w:fill="auto"/>
            <w:vAlign w:val="center"/>
            <w:hideMark/>
          </w:tcPr>
          <w:p w14:paraId="2EA4C328"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Ohri, Qendra (Pogradeci) - në liqenin e Ohrit (pellgu ujëmbledhës i Drinit); Në qendër të liqenit (stacioni i sfondit).</w:t>
            </w:r>
          </w:p>
        </w:tc>
        <w:tc>
          <w:tcPr>
            <w:tcW w:w="1556" w:type="dxa"/>
            <w:shd w:val="clear" w:color="auto" w:fill="auto"/>
            <w:vAlign w:val="center"/>
            <w:hideMark/>
          </w:tcPr>
          <w:p w14:paraId="01DFACA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AL10LK_Oh60</w:t>
            </w:r>
          </w:p>
        </w:tc>
        <w:tc>
          <w:tcPr>
            <w:tcW w:w="1481" w:type="dxa"/>
            <w:shd w:val="clear" w:color="auto" w:fill="auto"/>
            <w:vAlign w:val="center"/>
            <w:hideMark/>
          </w:tcPr>
          <w:p w14:paraId="7CF025D6" w14:textId="1EBF78CD"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40°57'43.69</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23E87D67" w14:textId="764A35FA"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20°42'20.58</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291FB029"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w:t>
            </w:r>
          </w:p>
        </w:tc>
        <w:tc>
          <w:tcPr>
            <w:tcW w:w="990" w:type="dxa"/>
            <w:shd w:val="clear" w:color="000000" w:fill="C2D69A"/>
            <w:vAlign w:val="center"/>
            <w:hideMark/>
          </w:tcPr>
          <w:p w14:paraId="3FB5E34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402AFF2F" w14:textId="77777777" w:rsidTr="002A1F08">
        <w:trPr>
          <w:trHeight w:val="1035"/>
        </w:trPr>
        <w:tc>
          <w:tcPr>
            <w:tcW w:w="554" w:type="dxa"/>
            <w:shd w:val="clear" w:color="auto" w:fill="auto"/>
            <w:vAlign w:val="center"/>
            <w:hideMark/>
          </w:tcPr>
          <w:p w14:paraId="0F1C8137"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w:t>
            </w:r>
          </w:p>
        </w:tc>
        <w:tc>
          <w:tcPr>
            <w:tcW w:w="1757" w:type="dxa"/>
            <w:shd w:val="clear" w:color="auto" w:fill="auto"/>
            <w:vAlign w:val="center"/>
            <w:hideMark/>
          </w:tcPr>
          <w:p w14:paraId="5395D63F" w14:textId="77777777" w:rsidR="00245A85" w:rsidRPr="00445472" w:rsidRDefault="00245A85" w:rsidP="002A1F08">
            <w:pPr>
              <w:spacing w:before="46" w:after="62"/>
              <w:jc w:val="center"/>
              <w:rPr>
                <w:rFonts w:ascii="Garamond" w:eastAsia="MS Mincho" w:hAnsi="Garamond" w:cs="Arial"/>
                <w:sz w:val="16"/>
                <w:szCs w:val="16"/>
              </w:rPr>
            </w:pPr>
          </w:p>
          <w:p w14:paraId="364922BA" w14:textId="77777777" w:rsidR="00245A85" w:rsidRPr="00445472" w:rsidRDefault="00245A85" w:rsidP="002A1F08">
            <w:pPr>
              <w:spacing w:before="46" w:after="62"/>
              <w:jc w:val="center"/>
              <w:rPr>
                <w:rFonts w:ascii="Garamond" w:hAnsi="Garamond" w:cs="Arial"/>
                <w:sz w:val="16"/>
                <w:szCs w:val="16"/>
              </w:rPr>
            </w:pPr>
            <w:r w:rsidRPr="00445472">
              <w:rPr>
                <w:rFonts w:ascii="Garamond" w:eastAsia="MS Mincho" w:hAnsi="Garamond" w:cs="Arial"/>
                <w:sz w:val="16"/>
                <w:szCs w:val="16"/>
              </w:rPr>
              <w:t>Liqeni i Ohrit</w:t>
            </w:r>
          </w:p>
        </w:tc>
        <w:tc>
          <w:tcPr>
            <w:tcW w:w="5105" w:type="dxa"/>
            <w:shd w:val="clear" w:color="auto" w:fill="auto"/>
            <w:vAlign w:val="center"/>
            <w:hideMark/>
          </w:tcPr>
          <w:p w14:paraId="2EC60C5E"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Ohri, Lini (Pogradec) - në liqenin e Ohrit (pellgu ujëmbledhës i Drinit); Bregdetit, rreth 200 m nga bregu i liqenit, në veriperëndim të fshatit Lini.</w:t>
            </w:r>
          </w:p>
        </w:tc>
        <w:tc>
          <w:tcPr>
            <w:tcW w:w="1556" w:type="dxa"/>
            <w:shd w:val="clear" w:color="auto" w:fill="auto"/>
            <w:vAlign w:val="center"/>
            <w:hideMark/>
          </w:tcPr>
          <w:p w14:paraId="7ED540F8"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AL10LK_Oh70</w:t>
            </w:r>
          </w:p>
        </w:tc>
        <w:tc>
          <w:tcPr>
            <w:tcW w:w="1481" w:type="dxa"/>
            <w:shd w:val="clear" w:color="auto" w:fill="auto"/>
            <w:vAlign w:val="center"/>
            <w:hideMark/>
          </w:tcPr>
          <w:p w14:paraId="562A6D98" w14:textId="2E0454D8"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41° 4'7.95</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34BB31AB" w14:textId="2BF305E8"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20°38'35.63</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0C6D319C"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FAC090"/>
            <w:vAlign w:val="center"/>
            <w:hideMark/>
          </w:tcPr>
          <w:p w14:paraId="5414E1E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w:t>
            </w:r>
          </w:p>
        </w:tc>
      </w:tr>
      <w:tr w:rsidR="00245A85" w:rsidRPr="00445472" w14:paraId="0B7C2F7D" w14:textId="77777777" w:rsidTr="002A1F08">
        <w:trPr>
          <w:trHeight w:val="1035"/>
        </w:trPr>
        <w:tc>
          <w:tcPr>
            <w:tcW w:w="554" w:type="dxa"/>
            <w:shd w:val="clear" w:color="auto" w:fill="auto"/>
            <w:vAlign w:val="center"/>
            <w:hideMark/>
          </w:tcPr>
          <w:p w14:paraId="4C8C849E"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5</w:t>
            </w:r>
          </w:p>
        </w:tc>
        <w:tc>
          <w:tcPr>
            <w:tcW w:w="1757" w:type="dxa"/>
            <w:shd w:val="clear" w:color="auto" w:fill="auto"/>
            <w:vAlign w:val="center"/>
            <w:hideMark/>
          </w:tcPr>
          <w:p w14:paraId="45C8735F"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Liqeni Dhoksi/Lopa </w:t>
            </w:r>
          </w:p>
        </w:tc>
        <w:tc>
          <w:tcPr>
            <w:tcW w:w="5105" w:type="dxa"/>
            <w:shd w:val="clear" w:color="auto" w:fill="auto"/>
            <w:vAlign w:val="center"/>
            <w:hideMark/>
          </w:tcPr>
          <w:p w14:paraId="35FED26A" w14:textId="40464AA6"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Dhoksi</w:t>
            </w:r>
            <w:r w:rsidR="001D340B" w:rsidRPr="00445472">
              <w:rPr>
                <w:rFonts w:ascii="Garamond" w:eastAsia="MS Mincho" w:hAnsi="Garamond" w:cs="Arial"/>
                <w:sz w:val="16"/>
                <w:szCs w:val="16"/>
              </w:rPr>
              <w:t>/</w:t>
            </w:r>
            <w:r w:rsidRPr="00445472">
              <w:rPr>
                <w:rFonts w:ascii="Garamond" w:eastAsia="MS Mincho" w:hAnsi="Garamond" w:cs="Arial"/>
                <w:sz w:val="16"/>
                <w:szCs w:val="16"/>
              </w:rPr>
              <w:t>Lopa, Liqeni i Zi (Dibra) - në liqenin e Zi (Liqeni i Zi i Valikardhes), Lopa (Dibra). Stacioni është në qendër të liqenit.</w:t>
            </w:r>
          </w:p>
        </w:tc>
        <w:tc>
          <w:tcPr>
            <w:tcW w:w="1556" w:type="dxa"/>
            <w:shd w:val="clear" w:color="auto" w:fill="auto"/>
            <w:vAlign w:val="center"/>
            <w:hideMark/>
          </w:tcPr>
          <w:p w14:paraId="0BDAEA41"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AL10LK_Dh80</w:t>
            </w:r>
          </w:p>
        </w:tc>
        <w:tc>
          <w:tcPr>
            <w:tcW w:w="1481" w:type="dxa"/>
            <w:shd w:val="clear" w:color="auto" w:fill="auto"/>
            <w:vAlign w:val="center"/>
            <w:hideMark/>
          </w:tcPr>
          <w:p w14:paraId="68596680" w14:textId="2F55835B"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41°27'18.04</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48BE20C1" w14:textId="693F852D"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20°18'5.13</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40FB674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w:t>
            </w:r>
          </w:p>
        </w:tc>
        <w:tc>
          <w:tcPr>
            <w:tcW w:w="990" w:type="dxa"/>
            <w:shd w:val="clear" w:color="000000" w:fill="E5B8B7"/>
            <w:vAlign w:val="center"/>
            <w:hideMark/>
          </w:tcPr>
          <w:p w14:paraId="07B6D0F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3</w:t>
            </w:r>
          </w:p>
        </w:tc>
      </w:tr>
      <w:tr w:rsidR="00245A85" w:rsidRPr="00445472" w14:paraId="7FDF7AB1" w14:textId="77777777" w:rsidTr="002A1F08">
        <w:trPr>
          <w:trHeight w:val="1035"/>
        </w:trPr>
        <w:tc>
          <w:tcPr>
            <w:tcW w:w="554" w:type="dxa"/>
            <w:shd w:val="clear" w:color="auto" w:fill="auto"/>
            <w:vAlign w:val="center"/>
            <w:hideMark/>
          </w:tcPr>
          <w:p w14:paraId="36367D04"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6</w:t>
            </w:r>
          </w:p>
        </w:tc>
        <w:tc>
          <w:tcPr>
            <w:tcW w:w="1757" w:type="dxa"/>
            <w:shd w:val="clear" w:color="auto" w:fill="auto"/>
            <w:vAlign w:val="center"/>
            <w:hideMark/>
          </w:tcPr>
          <w:p w14:paraId="6366DB8B"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Liqeni Balgjaj </w:t>
            </w:r>
          </w:p>
        </w:tc>
        <w:tc>
          <w:tcPr>
            <w:tcW w:w="5105" w:type="dxa"/>
            <w:shd w:val="clear" w:color="auto" w:fill="auto"/>
            <w:vAlign w:val="center"/>
            <w:hideMark/>
          </w:tcPr>
          <w:p w14:paraId="7C013C35" w14:textId="11CF199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Balgjaj, Liqeni i Zi (Dibra) - në liqenin e Zi, Balgjaj (</w:t>
            </w:r>
            <w:r w:rsidR="0053359F" w:rsidRPr="00445472">
              <w:rPr>
                <w:rFonts w:ascii="Garamond" w:eastAsia="MS Mincho" w:hAnsi="Garamond" w:cs="Arial"/>
                <w:sz w:val="16"/>
                <w:szCs w:val="16"/>
              </w:rPr>
              <w:t>Dibër</w:t>
            </w:r>
            <w:r w:rsidRPr="00445472">
              <w:rPr>
                <w:rFonts w:ascii="Garamond" w:eastAsia="MS Mincho" w:hAnsi="Garamond" w:cs="Arial"/>
                <w:sz w:val="16"/>
                <w:szCs w:val="16"/>
              </w:rPr>
              <w:t>); Liqeni është rreth 800 m në anën e djathtë të rrugës rurale nga Klosi.</w:t>
            </w:r>
          </w:p>
        </w:tc>
        <w:tc>
          <w:tcPr>
            <w:tcW w:w="1556" w:type="dxa"/>
            <w:shd w:val="clear" w:color="auto" w:fill="auto"/>
            <w:vAlign w:val="center"/>
            <w:hideMark/>
          </w:tcPr>
          <w:p w14:paraId="566FBFDA"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AL10LK_Ba90</w:t>
            </w:r>
          </w:p>
        </w:tc>
        <w:tc>
          <w:tcPr>
            <w:tcW w:w="1481" w:type="dxa"/>
            <w:shd w:val="clear" w:color="auto" w:fill="auto"/>
            <w:vAlign w:val="center"/>
            <w:hideMark/>
          </w:tcPr>
          <w:p w14:paraId="181FFF1D" w14:textId="1F118E3F"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41°34'7.22</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1E8ACB1D" w14:textId="0B01F218"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20°13'55.84</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4D9EC744"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E5B8B7"/>
            <w:vAlign w:val="center"/>
            <w:hideMark/>
          </w:tcPr>
          <w:p w14:paraId="5F4F4A3A"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3</w:t>
            </w:r>
          </w:p>
        </w:tc>
      </w:tr>
      <w:tr w:rsidR="00245A85" w:rsidRPr="00445472" w14:paraId="6AAB5357" w14:textId="77777777" w:rsidTr="002A1F08">
        <w:trPr>
          <w:trHeight w:val="1035"/>
        </w:trPr>
        <w:tc>
          <w:tcPr>
            <w:tcW w:w="554" w:type="dxa"/>
            <w:shd w:val="clear" w:color="auto" w:fill="auto"/>
            <w:vAlign w:val="center"/>
            <w:hideMark/>
          </w:tcPr>
          <w:p w14:paraId="3B72E08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7</w:t>
            </w:r>
          </w:p>
        </w:tc>
        <w:tc>
          <w:tcPr>
            <w:tcW w:w="1757" w:type="dxa"/>
            <w:shd w:val="clear" w:color="auto" w:fill="auto"/>
            <w:vAlign w:val="center"/>
            <w:hideMark/>
          </w:tcPr>
          <w:p w14:paraId="411C30D9"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Liqenet e Lurës</w:t>
            </w:r>
          </w:p>
        </w:tc>
        <w:tc>
          <w:tcPr>
            <w:tcW w:w="5105" w:type="dxa"/>
            <w:shd w:val="clear" w:color="auto" w:fill="auto"/>
            <w:vAlign w:val="center"/>
            <w:hideMark/>
          </w:tcPr>
          <w:p w14:paraId="718AC93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Lura, Liqeni i Madh (Dibra) - në Liqenin e Madh (Lura, Dibra, pellgu ujëmbledhës i Drinit), i vendosur në anën e majtë të rrugës rurale nga fshati Fushe Lura.</w:t>
            </w:r>
          </w:p>
        </w:tc>
        <w:tc>
          <w:tcPr>
            <w:tcW w:w="1556" w:type="dxa"/>
            <w:shd w:val="clear" w:color="auto" w:fill="auto"/>
            <w:vAlign w:val="center"/>
            <w:hideMark/>
          </w:tcPr>
          <w:p w14:paraId="74559798"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AL10LK_Lu10</w:t>
            </w:r>
          </w:p>
        </w:tc>
        <w:tc>
          <w:tcPr>
            <w:tcW w:w="1481" w:type="dxa"/>
            <w:shd w:val="clear" w:color="auto" w:fill="auto"/>
            <w:vAlign w:val="center"/>
            <w:hideMark/>
          </w:tcPr>
          <w:p w14:paraId="12A59BFB" w14:textId="7F0B5BBA"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41°47'25.00</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765DA61A" w14:textId="10EC370B"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20°11'35.00</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01BA1CF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C2D69B"/>
            <w:vAlign w:val="center"/>
            <w:hideMark/>
          </w:tcPr>
          <w:p w14:paraId="5BF54029"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30AD6741" w14:textId="77777777" w:rsidTr="002A1F08">
        <w:trPr>
          <w:trHeight w:val="780"/>
        </w:trPr>
        <w:tc>
          <w:tcPr>
            <w:tcW w:w="554" w:type="dxa"/>
            <w:shd w:val="clear" w:color="auto" w:fill="auto"/>
            <w:vAlign w:val="center"/>
            <w:hideMark/>
          </w:tcPr>
          <w:p w14:paraId="49A91768"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8</w:t>
            </w:r>
          </w:p>
        </w:tc>
        <w:tc>
          <w:tcPr>
            <w:tcW w:w="1757" w:type="dxa"/>
            <w:shd w:val="clear" w:color="auto" w:fill="auto"/>
            <w:vAlign w:val="center"/>
            <w:hideMark/>
          </w:tcPr>
          <w:p w14:paraId="76F3D2B6"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Rezervuari i Fierzës</w:t>
            </w:r>
          </w:p>
        </w:tc>
        <w:tc>
          <w:tcPr>
            <w:tcW w:w="5105" w:type="dxa"/>
            <w:shd w:val="clear" w:color="auto" w:fill="auto"/>
            <w:vAlign w:val="center"/>
            <w:hideMark/>
          </w:tcPr>
          <w:p w14:paraId="02E77978" w14:textId="13D87D75" w:rsidR="00245A85" w:rsidRPr="00445472" w:rsidRDefault="00245A85" w:rsidP="00BE1D92">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Rezervuari i Fierzës, Kukësi - në rezervuarën e Fierzës mbi Drinin (Kuk</w:t>
            </w:r>
            <w:r w:rsidR="00BE1D92" w:rsidRPr="00445472">
              <w:rPr>
                <w:rFonts w:ascii="Garamond" w:eastAsia="MS Mincho" w:hAnsi="Garamond" w:cs="Arial"/>
                <w:sz w:val="16"/>
                <w:szCs w:val="16"/>
              </w:rPr>
              <w:t>ë</w:t>
            </w:r>
            <w:r w:rsidRPr="00445472">
              <w:rPr>
                <w:rFonts w:ascii="Garamond" w:eastAsia="MS Mincho" w:hAnsi="Garamond" w:cs="Arial"/>
                <w:sz w:val="16"/>
                <w:szCs w:val="16"/>
              </w:rPr>
              <w:t>si); Në qendër të rezervuarit.</w:t>
            </w:r>
          </w:p>
        </w:tc>
        <w:tc>
          <w:tcPr>
            <w:tcW w:w="1556" w:type="dxa"/>
            <w:shd w:val="clear" w:color="auto" w:fill="auto"/>
            <w:vAlign w:val="center"/>
            <w:hideMark/>
          </w:tcPr>
          <w:p w14:paraId="052BB30F"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AL10LK_Fi10</w:t>
            </w:r>
          </w:p>
        </w:tc>
        <w:tc>
          <w:tcPr>
            <w:tcW w:w="1481" w:type="dxa"/>
            <w:shd w:val="clear" w:color="auto" w:fill="auto"/>
            <w:vAlign w:val="center"/>
            <w:hideMark/>
          </w:tcPr>
          <w:p w14:paraId="7880FE58" w14:textId="4769B9F5"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42° 5'37.20</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07AA7A23" w14:textId="7DB2C64F"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20°22'54.00</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321C44F1"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C2D69B"/>
            <w:vAlign w:val="center"/>
            <w:hideMark/>
          </w:tcPr>
          <w:p w14:paraId="018D9C2F"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44164D20" w14:textId="77777777" w:rsidTr="002A1F08">
        <w:trPr>
          <w:trHeight w:val="1035"/>
        </w:trPr>
        <w:tc>
          <w:tcPr>
            <w:tcW w:w="554" w:type="dxa"/>
            <w:shd w:val="clear" w:color="auto" w:fill="auto"/>
            <w:vAlign w:val="center"/>
            <w:hideMark/>
          </w:tcPr>
          <w:p w14:paraId="075EFA97"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9</w:t>
            </w:r>
          </w:p>
        </w:tc>
        <w:tc>
          <w:tcPr>
            <w:tcW w:w="1757" w:type="dxa"/>
            <w:shd w:val="clear" w:color="auto" w:fill="auto"/>
            <w:vAlign w:val="center"/>
            <w:hideMark/>
          </w:tcPr>
          <w:p w14:paraId="61C026E4"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Rezervuari i Fierzës</w:t>
            </w:r>
          </w:p>
        </w:tc>
        <w:tc>
          <w:tcPr>
            <w:tcW w:w="5105" w:type="dxa"/>
            <w:shd w:val="clear" w:color="auto" w:fill="auto"/>
            <w:vAlign w:val="center"/>
            <w:hideMark/>
          </w:tcPr>
          <w:p w14:paraId="23A0EB9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Rezervuari i Fierzës, Dardha (Puka) - në rezervuarën e Fierzës mbi Drinin; Pranë fshatit Dardhë (Puka); Në qendër të rezervuarit.</w:t>
            </w:r>
          </w:p>
        </w:tc>
        <w:tc>
          <w:tcPr>
            <w:tcW w:w="1556" w:type="dxa"/>
            <w:shd w:val="clear" w:color="auto" w:fill="auto"/>
            <w:vAlign w:val="center"/>
            <w:hideMark/>
          </w:tcPr>
          <w:p w14:paraId="6F7A80C1"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AL10LK_Fi20</w:t>
            </w:r>
          </w:p>
        </w:tc>
        <w:tc>
          <w:tcPr>
            <w:tcW w:w="1481" w:type="dxa"/>
            <w:shd w:val="clear" w:color="auto" w:fill="auto"/>
            <w:vAlign w:val="center"/>
            <w:hideMark/>
          </w:tcPr>
          <w:p w14:paraId="49AA4CD8" w14:textId="0C2850C9"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42°12'14.98</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2552E77E" w14:textId="565CB39B"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20°11'20.54</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78878B4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w:t>
            </w:r>
          </w:p>
        </w:tc>
        <w:tc>
          <w:tcPr>
            <w:tcW w:w="990" w:type="dxa"/>
            <w:shd w:val="clear" w:color="000000" w:fill="E6B9B8"/>
            <w:vAlign w:val="center"/>
            <w:hideMark/>
          </w:tcPr>
          <w:p w14:paraId="02F675EA"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3</w:t>
            </w:r>
          </w:p>
        </w:tc>
      </w:tr>
      <w:tr w:rsidR="00245A85" w:rsidRPr="00445472" w14:paraId="77FAD461" w14:textId="77777777" w:rsidTr="002A1F08">
        <w:trPr>
          <w:trHeight w:val="1035"/>
        </w:trPr>
        <w:tc>
          <w:tcPr>
            <w:tcW w:w="554" w:type="dxa"/>
            <w:shd w:val="clear" w:color="auto" w:fill="auto"/>
            <w:vAlign w:val="center"/>
            <w:hideMark/>
          </w:tcPr>
          <w:p w14:paraId="2699AA88"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10</w:t>
            </w:r>
          </w:p>
        </w:tc>
        <w:tc>
          <w:tcPr>
            <w:tcW w:w="1757" w:type="dxa"/>
            <w:shd w:val="clear" w:color="auto" w:fill="auto"/>
            <w:vAlign w:val="center"/>
            <w:hideMark/>
          </w:tcPr>
          <w:p w14:paraId="702FEF1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Liqeni i Shkodrës</w:t>
            </w:r>
          </w:p>
        </w:tc>
        <w:tc>
          <w:tcPr>
            <w:tcW w:w="5105" w:type="dxa"/>
            <w:shd w:val="clear" w:color="auto" w:fill="auto"/>
            <w:vAlign w:val="center"/>
            <w:hideMark/>
          </w:tcPr>
          <w:p w14:paraId="79F3E3FF"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Liqeni i Shkodrës, Kalluni (Kopliku) - në liqenin e Shkodrës; Pranë fshatit Kildare (Kopliku); cektinë, rreth 200 m nga bregu i liqenit.</w:t>
            </w:r>
          </w:p>
        </w:tc>
        <w:tc>
          <w:tcPr>
            <w:tcW w:w="1556" w:type="dxa"/>
            <w:shd w:val="clear" w:color="auto" w:fill="auto"/>
            <w:vAlign w:val="center"/>
            <w:hideMark/>
          </w:tcPr>
          <w:p w14:paraId="1C7EB91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AL10LK_Sh10</w:t>
            </w:r>
          </w:p>
        </w:tc>
        <w:tc>
          <w:tcPr>
            <w:tcW w:w="1481" w:type="dxa"/>
            <w:shd w:val="clear" w:color="auto" w:fill="auto"/>
            <w:vAlign w:val="center"/>
            <w:hideMark/>
          </w:tcPr>
          <w:p w14:paraId="448F0F74" w14:textId="1F76F993"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42°11'34.86</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3F50B127" w14:textId="72BFF8B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19°23'38.73</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15A9011C"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C2D69A"/>
            <w:vAlign w:val="center"/>
            <w:hideMark/>
          </w:tcPr>
          <w:p w14:paraId="0F9C3DC8"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5A9959AD" w14:textId="77777777" w:rsidTr="002A1F08">
        <w:trPr>
          <w:trHeight w:val="780"/>
        </w:trPr>
        <w:tc>
          <w:tcPr>
            <w:tcW w:w="554" w:type="dxa"/>
            <w:shd w:val="clear" w:color="auto" w:fill="auto"/>
            <w:vAlign w:val="center"/>
            <w:hideMark/>
          </w:tcPr>
          <w:p w14:paraId="6CB28C50"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11</w:t>
            </w:r>
          </w:p>
        </w:tc>
        <w:tc>
          <w:tcPr>
            <w:tcW w:w="1757" w:type="dxa"/>
            <w:shd w:val="clear" w:color="auto" w:fill="auto"/>
            <w:vAlign w:val="center"/>
            <w:hideMark/>
          </w:tcPr>
          <w:p w14:paraId="18BDDBAA" w14:textId="77777777" w:rsidR="00245A85" w:rsidRPr="00445472" w:rsidRDefault="00245A85" w:rsidP="002A1F08">
            <w:pPr>
              <w:spacing w:before="46" w:after="62"/>
              <w:rPr>
                <w:rFonts w:ascii="Garamond" w:hAnsi="Garamond" w:cs="Arial"/>
                <w:sz w:val="16"/>
                <w:szCs w:val="16"/>
              </w:rPr>
            </w:pPr>
            <w:r w:rsidRPr="00445472">
              <w:rPr>
                <w:rFonts w:ascii="Garamond" w:eastAsia="MS Mincho" w:hAnsi="Garamond" w:cs="Arial"/>
                <w:sz w:val="16"/>
                <w:szCs w:val="16"/>
              </w:rPr>
              <w:t>Liqeni i Shkodrës</w:t>
            </w:r>
          </w:p>
        </w:tc>
        <w:tc>
          <w:tcPr>
            <w:tcW w:w="5105" w:type="dxa"/>
            <w:shd w:val="clear" w:color="auto" w:fill="auto"/>
            <w:vAlign w:val="center"/>
            <w:hideMark/>
          </w:tcPr>
          <w:p w14:paraId="46A0D350"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Liqeni i Shkodrës, Zogaj (Shkodër) - në liqenin e Shkodrës; cektina në Zogaj, 200 m larg bregut të liqenit.</w:t>
            </w:r>
          </w:p>
        </w:tc>
        <w:tc>
          <w:tcPr>
            <w:tcW w:w="1556" w:type="dxa"/>
            <w:shd w:val="clear" w:color="auto" w:fill="auto"/>
            <w:vAlign w:val="center"/>
            <w:hideMark/>
          </w:tcPr>
          <w:p w14:paraId="22D773A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AL10LK_Sh20</w:t>
            </w:r>
          </w:p>
        </w:tc>
        <w:tc>
          <w:tcPr>
            <w:tcW w:w="1481" w:type="dxa"/>
            <w:shd w:val="clear" w:color="auto" w:fill="auto"/>
            <w:vAlign w:val="center"/>
            <w:hideMark/>
          </w:tcPr>
          <w:p w14:paraId="3E7C0A4F" w14:textId="4FE46B08"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42° 4'22.92</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37A4473A" w14:textId="3A231060"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19°24'2.42</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344D3D5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C2D69B"/>
            <w:vAlign w:val="center"/>
            <w:hideMark/>
          </w:tcPr>
          <w:p w14:paraId="1236C7B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1D964EC7" w14:textId="77777777" w:rsidTr="002A1F08">
        <w:trPr>
          <w:trHeight w:val="780"/>
        </w:trPr>
        <w:tc>
          <w:tcPr>
            <w:tcW w:w="554" w:type="dxa"/>
            <w:tcBorders>
              <w:bottom w:val="single" w:sz="4" w:space="0" w:color="27B1B0"/>
            </w:tcBorders>
            <w:shd w:val="clear" w:color="auto" w:fill="auto"/>
            <w:vAlign w:val="center"/>
            <w:hideMark/>
          </w:tcPr>
          <w:p w14:paraId="48122EA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12</w:t>
            </w:r>
          </w:p>
        </w:tc>
        <w:tc>
          <w:tcPr>
            <w:tcW w:w="1757" w:type="dxa"/>
            <w:tcBorders>
              <w:bottom w:val="single" w:sz="4" w:space="0" w:color="27B1B0"/>
            </w:tcBorders>
            <w:shd w:val="clear" w:color="auto" w:fill="auto"/>
            <w:vAlign w:val="center"/>
            <w:hideMark/>
          </w:tcPr>
          <w:p w14:paraId="7C943FE3" w14:textId="77777777" w:rsidR="00245A85" w:rsidRPr="00445472" w:rsidRDefault="00245A85" w:rsidP="002A1F08">
            <w:pPr>
              <w:spacing w:before="46" w:after="62"/>
              <w:rPr>
                <w:rFonts w:ascii="Garamond" w:hAnsi="Garamond" w:cs="Arial"/>
                <w:sz w:val="16"/>
                <w:szCs w:val="16"/>
              </w:rPr>
            </w:pPr>
            <w:r w:rsidRPr="00445472">
              <w:rPr>
                <w:rFonts w:ascii="Garamond" w:eastAsia="MS Mincho" w:hAnsi="Garamond" w:cs="Arial"/>
                <w:sz w:val="16"/>
                <w:szCs w:val="16"/>
              </w:rPr>
              <w:t>Liqeni i Shkodrës</w:t>
            </w:r>
          </w:p>
        </w:tc>
        <w:tc>
          <w:tcPr>
            <w:tcW w:w="5105" w:type="dxa"/>
            <w:tcBorders>
              <w:bottom w:val="single" w:sz="4" w:space="0" w:color="27B1B0"/>
            </w:tcBorders>
            <w:shd w:val="clear" w:color="auto" w:fill="auto"/>
            <w:vAlign w:val="center"/>
            <w:hideMark/>
          </w:tcPr>
          <w:p w14:paraId="5E63E066"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Liqeni i Shkodrës, Shirokë (Shkodër) - në liqenin e Shkodrës; cektina në Zogaj, 200 m larg bregut të liqenit.</w:t>
            </w:r>
          </w:p>
        </w:tc>
        <w:tc>
          <w:tcPr>
            <w:tcW w:w="1556" w:type="dxa"/>
            <w:shd w:val="clear" w:color="auto" w:fill="auto"/>
            <w:vAlign w:val="center"/>
            <w:hideMark/>
          </w:tcPr>
          <w:p w14:paraId="38A4897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AL10LK_Sh30</w:t>
            </w:r>
          </w:p>
        </w:tc>
        <w:tc>
          <w:tcPr>
            <w:tcW w:w="1481" w:type="dxa"/>
            <w:shd w:val="clear" w:color="auto" w:fill="auto"/>
            <w:vAlign w:val="center"/>
            <w:hideMark/>
          </w:tcPr>
          <w:p w14:paraId="1B3B517C" w14:textId="7566D001"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42° 3'44.03</w:t>
            </w:r>
            <w:r w:rsidR="00D62EDF" w:rsidRPr="00445472">
              <w:rPr>
                <w:rFonts w:ascii="Garamond" w:eastAsia="MS Mincho" w:hAnsi="Garamond" w:cs="Arial"/>
                <w:sz w:val="16"/>
                <w:szCs w:val="16"/>
              </w:rPr>
              <w:t>”</w:t>
            </w:r>
            <w:r w:rsidRPr="00445472">
              <w:rPr>
                <w:rFonts w:ascii="Garamond" w:eastAsia="MS Mincho" w:hAnsi="Garamond" w:cs="Arial"/>
                <w:sz w:val="16"/>
                <w:szCs w:val="16"/>
              </w:rPr>
              <w:t>N</w:t>
            </w:r>
          </w:p>
        </w:tc>
        <w:tc>
          <w:tcPr>
            <w:tcW w:w="1471" w:type="dxa"/>
            <w:shd w:val="clear" w:color="auto" w:fill="auto"/>
            <w:vAlign w:val="center"/>
            <w:hideMark/>
          </w:tcPr>
          <w:p w14:paraId="4DB1CA0D" w14:textId="28AB60DB"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 19°27'16.03</w:t>
            </w:r>
            <w:r w:rsidR="00D62EDF" w:rsidRPr="00445472">
              <w:rPr>
                <w:rFonts w:ascii="Garamond" w:eastAsia="MS Mincho" w:hAnsi="Garamond" w:cs="Arial"/>
                <w:sz w:val="16"/>
                <w:szCs w:val="16"/>
              </w:rPr>
              <w:t>”</w:t>
            </w:r>
            <w:r w:rsidRPr="00445472">
              <w:rPr>
                <w:rFonts w:ascii="Garamond" w:eastAsia="MS Mincho" w:hAnsi="Garamond" w:cs="Arial"/>
                <w:sz w:val="16"/>
                <w:szCs w:val="16"/>
              </w:rPr>
              <w:t>E</w:t>
            </w:r>
          </w:p>
        </w:tc>
        <w:tc>
          <w:tcPr>
            <w:tcW w:w="970" w:type="dxa"/>
            <w:shd w:val="clear" w:color="auto" w:fill="auto"/>
            <w:vAlign w:val="center"/>
            <w:hideMark/>
          </w:tcPr>
          <w:p w14:paraId="38A143EB"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000000" w:fill="C2D69B"/>
            <w:vAlign w:val="center"/>
            <w:hideMark/>
          </w:tcPr>
          <w:p w14:paraId="1DB75721"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5634CB0E" w14:textId="77777777" w:rsidTr="002A1F08">
        <w:trPr>
          <w:trHeight w:val="780"/>
        </w:trPr>
        <w:tc>
          <w:tcPr>
            <w:tcW w:w="554" w:type="dxa"/>
            <w:shd w:val="clear" w:color="auto" w:fill="FFFFFF"/>
            <w:vAlign w:val="center"/>
          </w:tcPr>
          <w:p w14:paraId="2A58EE34"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13</w:t>
            </w:r>
          </w:p>
        </w:tc>
        <w:tc>
          <w:tcPr>
            <w:tcW w:w="1757" w:type="dxa"/>
            <w:shd w:val="clear" w:color="auto" w:fill="FFFFFF"/>
            <w:vAlign w:val="center"/>
          </w:tcPr>
          <w:p w14:paraId="30B7066D" w14:textId="77777777" w:rsidR="00245A85" w:rsidRPr="00445472" w:rsidRDefault="00245A85" w:rsidP="002A1F08">
            <w:pPr>
              <w:spacing w:before="46" w:after="62"/>
              <w:rPr>
                <w:rFonts w:ascii="Garamond" w:eastAsia="MS Mincho" w:hAnsi="Garamond" w:cs="Arial"/>
                <w:sz w:val="16"/>
                <w:szCs w:val="16"/>
              </w:rPr>
            </w:pPr>
            <w:r w:rsidRPr="00445472">
              <w:rPr>
                <w:rFonts w:ascii="Garamond" w:eastAsia="MS Mincho" w:hAnsi="Garamond" w:cs="Arial"/>
                <w:sz w:val="16"/>
                <w:szCs w:val="16"/>
              </w:rPr>
              <w:t>Liqeni i Prespës</w:t>
            </w:r>
          </w:p>
        </w:tc>
        <w:tc>
          <w:tcPr>
            <w:tcW w:w="5105" w:type="dxa"/>
            <w:shd w:val="clear" w:color="auto" w:fill="FFFFFF"/>
            <w:vAlign w:val="center"/>
          </w:tcPr>
          <w:p w14:paraId="787E4CA6"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hAnsi="Garamond"/>
                <w:sz w:val="16"/>
                <w:szCs w:val="16"/>
              </w:rPr>
              <w:t>Gollomboc (litoral) – Stacioni i GIZ-it</w:t>
            </w:r>
          </w:p>
        </w:tc>
        <w:tc>
          <w:tcPr>
            <w:tcW w:w="1556" w:type="dxa"/>
            <w:shd w:val="clear" w:color="auto" w:fill="auto"/>
            <w:vAlign w:val="center"/>
          </w:tcPr>
          <w:p w14:paraId="204F8055" w14:textId="01F0439E"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Për </w:t>
            </w:r>
            <w:r w:rsidR="00B139CF" w:rsidRPr="00445472">
              <w:rPr>
                <w:rFonts w:ascii="Garamond" w:eastAsia="MS Mincho" w:hAnsi="Garamond" w:cs="Arial"/>
                <w:sz w:val="16"/>
                <w:szCs w:val="16"/>
              </w:rPr>
              <w:t>t’u</w:t>
            </w:r>
            <w:r w:rsidRPr="00445472">
              <w:rPr>
                <w:rFonts w:ascii="Garamond" w:eastAsia="MS Mincho" w:hAnsi="Garamond" w:cs="Arial"/>
                <w:sz w:val="16"/>
                <w:szCs w:val="16"/>
              </w:rPr>
              <w:t xml:space="preserve"> vendosur</w:t>
            </w:r>
          </w:p>
        </w:tc>
        <w:tc>
          <w:tcPr>
            <w:tcW w:w="2952" w:type="dxa"/>
            <w:gridSpan w:val="2"/>
            <w:shd w:val="clear" w:color="auto" w:fill="auto"/>
            <w:vAlign w:val="center"/>
          </w:tcPr>
          <w:p w14:paraId="24FAF274"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Me marrëveshje të vendoset vendodhja e saktë</w:t>
            </w:r>
          </w:p>
        </w:tc>
        <w:tc>
          <w:tcPr>
            <w:tcW w:w="970" w:type="dxa"/>
            <w:shd w:val="clear" w:color="auto" w:fill="auto"/>
            <w:vAlign w:val="center"/>
          </w:tcPr>
          <w:p w14:paraId="4A34211C"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auto" w:fill="auto"/>
            <w:vAlign w:val="center"/>
          </w:tcPr>
          <w:p w14:paraId="4CE7084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52128663" w14:textId="77777777" w:rsidTr="002A1F08">
        <w:trPr>
          <w:trHeight w:val="780"/>
        </w:trPr>
        <w:tc>
          <w:tcPr>
            <w:tcW w:w="554" w:type="dxa"/>
            <w:shd w:val="clear" w:color="auto" w:fill="FFFFFF"/>
            <w:vAlign w:val="center"/>
          </w:tcPr>
          <w:p w14:paraId="425EB45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14</w:t>
            </w:r>
          </w:p>
        </w:tc>
        <w:tc>
          <w:tcPr>
            <w:tcW w:w="1757" w:type="dxa"/>
            <w:shd w:val="clear" w:color="auto" w:fill="FFFFFF"/>
            <w:vAlign w:val="center"/>
          </w:tcPr>
          <w:p w14:paraId="46389EA2" w14:textId="77777777" w:rsidR="00245A85" w:rsidRPr="00445472" w:rsidRDefault="00245A85" w:rsidP="002A1F08">
            <w:pPr>
              <w:spacing w:before="46" w:after="62"/>
              <w:rPr>
                <w:rFonts w:ascii="Garamond" w:eastAsia="MS Mincho" w:hAnsi="Garamond" w:cs="Arial"/>
                <w:sz w:val="16"/>
                <w:szCs w:val="16"/>
              </w:rPr>
            </w:pPr>
            <w:r w:rsidRPr="00445472">
              <w:rPr>
                <w:rFonts w:ascii="Garamond" w:eastAsia="MS Mincho" w:hAnsi="Garamond" w:cs="Arial"/>
                <w:sz w:val="16"/>
                <w:szCs w:val="16"/>
              </w:rPr>
              <w:t>Liqeni i Prespës</w:t>
            </w:r>
          </w:p>
        </w:tc>
        <w:tc>
          <w:tcPr>
            <w:tcW w:w="5105" w:type="dxa"/>
            <w:shd w:val="clear" w:color="auto" w:fill="FFFFFF"/>
            <w:vAlign w:val="center"/>
          </w:tcPr>
          <w:p w14:paraId="052A7576"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Qendra (pelagic) – Stacioni i GIZ-it</w:t>
            </w:r>
          </w:p>
        </w:tc>
        <w:tc>
          <w:tcPr>
            <w:tcW w:w="1556" w:type="dxa"/>
            <w:shd w:val="clear" w:color="auto" w:fill="auto"/>
            <w:vAlign w:val="center"/>
          </w:tcPr>
          <w:p w14:paraId="48E8E3B8" w14:textId="411D056C"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Për </w:t>
            </w:r>
            <w:r w:rsidR="00B139CF" w:rsidRPr="00445472">
              <w:rPr>
                <w:rFonts w:ascii="Garamond" w:eastAsia="MS Mincho" w:hAnsi="Garamond" w:cs="Arial"/>
                <w:sz w:val="16"/>
                <w:szCs w:val="16"/>
              </w:rPr>
              <w:t>t’u</w:t>
            </w:r>
            <w:r w:rsidRPr="00445472">
              <w:rPr>
                <w:rFonts w:ascii="Garamond" w:eastAsia="MS Mincho" w:hAnsi="Garamond" w:cs="Arial"/>
                <w:sz w:val="16"/>
                <w:szCs w:val="16"/>
              </w:rPr>
              <w:t xml:space="preserve"> vendosur</w:t>
            </w:r>
          </w:p>
        </w:tc>
        <w:tc>
          <w:tcPr>
            <w:tcW w:w="2952" w:type="dxa"/>
            <w:gridSpan w:val="2"/>
            <w:shd w:val="clear" w:color="auto" w:fill="auto"/>
            <w:vAlign w:val="center"/>
          </w:tcPr>
          <w:p w14:paraId="2974D7FF"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Me marrëveshje të vendoset vendodhja e saktë</w:t>
            </w:r>
          </w:p>
        </w:tc>
        <w:tc>
          <w:tcPr>
            <w:tcW w:w="970" w:type="dxa"/>
            <w:shd w:val="clear" w:color="auto" w:fill="auto"/>
            <w:vAlign w:val="center"/>
          </w:tcPr>
          <w:p w14:paraId="028F166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auto" w:fill="92D050"/>
            <w:vAlign w:val="center"/>
          </w:tcPr>
          <w:p w14:paraId="465BFD55"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r w:rsidR="00245A85" w:rsidRPr="00445472" w14:paraId="52809A8B" w14:textId="77777777" w:rsidTr="002A1F08">
        <w:trPr>
          <w:trHeight w:val="780"/>
        </w:trPr>
        <w:tc>
          <w:tcPr>
            <w:tcW w:w="554" w:type="dxa"/>
            <w:shd w:val="clear" w:color="auto" w:fill="FFFFFF"/>
            <w:vAlign w:val="center"/>
          </w:tcPr>
          <w:p w14:paraId="2BBA730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15</w:t>
            </w:r>
          </w:p>
        </w:tc>
        <w:tc>
          <w:tcPr>
            <w:tcW w:w="1757" w:type="dxa"/>
            <w:shd w:val="clear" w:color="auto" w:fill="FFFFFF"/>
            <w:vAlign w:val="center"/>
          </w:tcPr>
          <w:p w14:paraId="2ADAF4E9" w14:textId="77777777" w:rsidR="00245A85" w:rsidRPr="00445472" w:rsidRDefault="00245A85" w:rsidP="002A1F08">
            <w:pPr>
              <w:spacing w:before="46" w:after="62"/>
              <w:rPr>
                <w:rFonts w:ascii="Garamond" w:eastAsia="MS Mincho" w:hAnsi="Garamond" w:cs="Arial"/>
                <w:sz w:val="16"/>
                <w:szCs w:val="16"/>
              </w:rPr>
            </w:pPr>
            <w:r w:rsidRPr="00445472">
              <w:rPr>
                <w:rFonts w:ascii="Garamond" w:eastAsia="MS Mincho" w:hAnsi="Garamond" w:cs="Arial"/>
                <w:sz w:val="16"/>
                <w:szCs w:val="16"/>
              </w:rPr>
              <w:t>Liqeni i Prespës</w:t>
            </w:r>
          </w:p>
        </w:tc>
        <w:tc>
          <w:tcPr>
            <w:tcW w:w="5105" w:type="dxa"/>
            <w:shd w:val="clear" w:color="auto" w:fill="FFFFFF"/>
            <w:vAlign w:val="center"/>
          </w:tcPr>
          <w:p w14:paraId="2CF258A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Pustec (litoral) – Stacioni i GIZ-it</w:t>
            </w:r>
          </w:p>
        </w:tc>
        <w:tc>
          <w:tcPr>
            <w:tcW w:w="1556" w:type="dxa"/>
            <w:shd w:val="clear" w:color="auto" w:fill="auto"/>
            <w:vAlign w:val="center"/>
          </w:tcPr>
          <w:p w14:paraId="6840AA01" w14:textId="09C26FB8"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 xml:space="preserve">Për </w:t>
            </w:r>
            <w:r w:rsidR="00B139CF" w:rsidRPr="00445472">
              <w:rPr>
                <w:rFonts w:ascii="Garamond" w:eastAsia="MS Mincho" w:hAnsi="Garamond" w:cs="Arial"/>
                <w:sz w:val="16"/>
                <w:szCs w:val="16"/>
              </w:rPr>
              <w:t>t’u</w:t>
            </w:r>
            <w:r w:rsidRPr="00445472">
              <w:rPr>
                <w:rFonts w:ascii="Garamond" w:eastAsia="MS Mincho" w:hAnsi="Garamond" w:cs="Arial"/>
                <w:sz w:val="16"/>
                <w:szCs w:val="16"/>
              </w:rPr>
              <w:t xml:space="preserve"> vendosur</w:t>
            </w:r>
          </w:p>
        </w:tc>
        <w:tc>
          <w:tcPr>
            <w:tcW w:w="2952" w:type="dxa"/>
            <w:gridSpan w:val="2"/>
            <w:shd w:val="clear" w:color="auto" w:fill="auto"/>
            <w:vAlign w:val="center"/>
          </w:tcPr>
          <w:p w14:paraId="13C6DB4E"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Me marrëveshje të vendoset vendodhja e saktë</w:t>
            </w:r>
          </w:p>
        </w:tc>
        <w:tc>
          <w:tcPr>
            <w:tcW w:w="970" w:type="dxa"/>
            <w:shd w:val="clear" w:color="auto" w:fill="auto"/>
            <w:vAlign w:val="center"/>
          </w:tcPr>
          <w:p w14:paraId="4ED80B3D"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WS</w:t>
            </w:r>
          </w:p>
        </w:tc>
        <w:tc>
          <w:tcPr>
            <w:tcW w:w="990" w:type="dxa"/>
            <w:shd w:val="clear" w:color="auto" w:fill="92D050"/>
            <w:vAlign w:val="center"/>
          </w:tcPr>
          <w:p w14:paraId="5133FD13" w14:textId="77777777" w:rsidR="00245A85" w:rsidRPr="00445472" w:rsidRDefault="00245A85" w:rsidP="002A1F08">
            <w:pPr>
              <w:spacing w:before="15" w:after="15"/>
              <w:ind w:right="44"/>
              <w:jc w:val="center"/>
              <w:rPr>
                <w:rFonts w:ascii="Garamond" w:eastAsia="MS Mincho" w:hAnsi="Garamond" w:cs="Arial"/>
                <w:sz w:val="16"/>
                <w:szCs w:val="16"/>
              </w:rPr>
            </w:pPr>
            <w:r w:rsidRPr="00445472">
              <w:rPr>
                <w:rFonts w:ascii="Garamond" w:eastAsia="MS Mincho" w:hAnsi="Garamond" w:cs="Arial"/>
                <w:sz w:val="16"/>
                <w:szCs w:val="16"/>
              </w:rPr>
              <w:t>1</w:t>
            </w:r>
          </w:p>
        </w:tc>
      </w:tr>
    </w:tbl>
    <w:p w14:paraId="2AB59BC4" w14:textId="401AEC97" w:rsidR="00245A85" w:rsidRPr="00445472" w:rsidRDefault="00245A85" w:rsidP="00245A85">
      <w:pPr>
        <w:pStyle w:val="TEKSTIIII"/>
        <w:rPr>
          <w:sz w:val="20"/>
          <w:szCs w:val="20"/>
        </w:rPr>
      </w:pPr>
      <w:r w:rsidRPr="00445472">
        <w:rPr>
          <w:sz w:val="20"/>
          <w:szCs w:val="20"/>
        </w:rPr>
        <w:t xml:space="preserve">Burimi: Projekti </w:t>
      </w:r>
      <w:r w:rsidR="00A76C09" w:rsidRPr="00445472">
        <w:rPr>
          <w:sz w:val="20"/>
          <w:szCs w:val="20"/>
        </w:rPr>
        <w:t xml:space="preserve">KSMMSH </w:t>
      </w:r>
      <w:r w:rsidRPr="00445472">
        <w:rPr>
          <w:sz w:val="20"/>
          <w:szCs w:val="20"/>
        </w:rPr>
        <w:t xml:space="preserve">dhe </w:t>
      </w:r>
      <w:r w:rsidR="00A76C09" w:rsidRPr="00445472">
        <w:rPr>
          <w:sz w:val="20"/>
          <w:szCs w:val="20"/>
        </w:rPr>
        <w:t>studimet e GIZ-it (2013–</w:t>
      </w:r>
      <w:r w:rsidRPr="00445472">
        <w:rPr>
          <w:sz w:val="20"/>
          <w:szCs w:val="20"/>
        </w:rPr>
        <w:t>2014)</w:t>
      </w:r>
      <w:r w:rsidR="00A76C09" w:rsidRPr="00445472">
        <w:rPr>
          <w:sz w:val="20"/>
          <w:szCs w:val="20"/>
        </w:rPr>
        <w:t>.</w:t>
      </w:r>
    </w:p>
    <w:p w14:paraId="14257CCE" w14:textId="77777777" w:rsidR="00245A85" w:rsidRPr="00445472" w:rsidRDefault="00245A85" w:rsidP="00245A85">
      <w:pPr>
        <w:pStyle w:val="TEKSTIIII"/>
      </w:pPr>
    </w:p>
    <w:p w14:paraId="7D31B310" w14:textId="77777777" w:rsidR="00245A85" w:rsidRPr="00445472" w:rsidRDefault="00245A85" w:rsidP="00245A85">
      <w:pPr>
        <w:pStyle w:val="TEKSTIIII"/>
      </w:pPr>
    </w:p>
    <w:p w14:paraId="76AF70E8" w14:textId="77777777" w:rsidR="00245A85" w:rsidRPr="00445472" w:rsidRDefault="00245A85" w:rsidP="00245A85">
      <w:pPr>
        <w:pStyle w:val="TEKSTIIII"/>
      </w:pPr>
    </w:p>
    <w:p w14:paraId="438B7D7A" w14:textId="77777777" w:rsidR="00245A85" w:rsidRPr="00445472" w:rsidRDefault="00245A85" w:rsidP="00245A85">
      <w:pPr>
        <w:pStyle w:val="TEKSTIIII"/>
      </w:pPr>
    </w:p>
    <w:p w14:paraId="59597B46" w14:textId="77777777" w:rsidR="00245A85" w:rsidRPr="00445472" w:rsidRDefault="00245A85" w:rsidP="00245A85">
      <w:pPr>
        <w:spacing w:line="259" w:lineRule="auto"/>
        <w:rPr>
          <w:rFonts w:ascii="Garamond" w:hAnsi="Garamond"/>
          <w:b/>
        </w:rPr>
      </w:pPr>
    </w:p>
    <w:p w14:paraId="02C0379F" w14:textId="77777777" w:rsidR="00245A85" w:rsidRPr="00445472" w:rsidRDefault="00245A85" w:rsidP="00245A85">
      <w:pPr>
        <w:spacing w:line="259" w:lineRule="auto"/>
        <w:rPr>
          <w:rFonts w:ascii="Garamond" w:hAnsi="Garamond"/>
          <w:b/>
        </w:rPr>
      </w:pPr>
    </w:p>
    <w:p w14:paraId="58DB10FB" w14:textId="498E8D3E" w:rsidR="00245A85" w:rsidRPr="00445472" w:rsidRDefault="00245A85" w:rsidP="00245A85">
      <w:pPr>
        <w:pStyle w:val="NENTITULL"/>
      </w:pPr>
      <w:r w:rsidRPr="00445472">
        <w:t>Tabela A 2. 3: Stacionet e lagunës në rrjetin e monitorimit të ujërave sipërfaqësor</w:t>
      </w:r>
      <w:r w:rsidR="00FA6E4C" w:rsidRPr="00445472">
        <w:t>e</w:t>
      </w:r>
    </w:p>
    <w:tbl>
      <w:tblPr>
        <w:tblW w:w="14151" w:type="dxa"/>
        <w:tblInd w:w="94"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32"/>
        <w:gridCol w:w="1779"/>
        <w:gridCol w:w="5282"/>
        <w:gridCol w:w="1504"/>
        <w:gridCol w:w="1548"/>
        <w:gridCol w:w="1541"/>
        <w:gridCol w:w="975"/>
        <w:gridCol w:w="990"/>
      </w:tblGrid>
      <w:tr w:rsidR="00245A85" w:rsidRPr="00445472" w14:paraId="494EAEA0" w14:textId="77777777" w:rsidTr="002A1F08">
        <w:trPr>
          <w:trHeight w:val="780"/>
        </w:trPr>
        <w:tc>
          <w:tcPr>
            <w:tcW w:w="532" w:type="dxa"/>
            <w:shd w:val="clear" w:color="000000" w:fill="EAF1DD"/>
            <w:vAlign w:val="center"/>
            <w:hideMark/>
          </w:tcPr>
          <w:p w14:paraId="6727643E" w14:textId="6DEDE5AB"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Nr</w:t>
            </w:r>
            <w:r w:rsidR="00FA6E4C" w:rsidRPr="00445472">
              <w:rPr>
                <w:rFonts w:ascii="Garamond" w:eastAsia="MS Mincho" w:hAnsi="Garamond" w:cs="Arial"/>
                <w:b/>
                <w:sz w:val="18"/>
                <w:szCs w:val="18"/>
              </w:rPr>
              <w:t>.</w:t>
            </w:r>
          </w:p>
        </w:tc>
        <w:tc>
          <w:tcPr>
            <w:tcW w:w="1779" w:type="dxa"/>
            <w:shd w:val="clear" w:color="000000" w:fill="EAF1DD"/>
            <w:vAlign w:val="center"/>
            <w:hideMark/>
          </w:tcPr>
          <w:p w14:paraId="6D3D9069" w14:textId="3EB5A810"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Emri i </w:t>
            </w:r>
            <w:r w:rsidR="0053359F" w:rsidRPr="00445472">
              <w:rPr>
                <w:rFonts w:ascii="Garamond" w:eastAsia="MS Mincho" w:hAnsi="Garamond" w:cs="Arial"/>
                <w:b/>
                <w:sz w:val="18"/>
                <w:szCs w:val="18"/>
              </w:rPr>
              <w:t>lagunës</w:t>
            </w:r>
          </w:p>
        </w:tc>
        <w:tc>
          <w:tcPr>
            <w:tcW w:w="5282" w:type="dxa"/>
            <w:shd w:val="clear" w:color="000000" w:fill="EAF1DD"/>
            <w:noWrap/>
            <w:vAlign w:val="center"/>
            <w:hideMark/>
          </w:tcPr>
          <w:p w14:paraId="6DDA0FF1" w14:textId="26EC6C65"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Emri i </w:t>
            </w:r>
            <w:r w:rsidR="0053359F" w:rsidRPr="00445472">
              <w:rPr>
                <w:rFonts w:ascii="Garamond" w:eastAsia="MS Mincho" w:hAnsi="Garamond" w:cs="Arial"/>
                <w:b/>
                <w:sz w:val="18"/>
                <w:szCs w:val="18"/>
              </w:rPr>
              <w:t>stacionit</w:t>
            </w:r>
          </w:p>
        </w:tc>
        <w:tc>
          <w:tcPr>
            <w:tcW w:w="1504" w:type="dxa"/>
            <w:shd w:val="clear" w:color="000000" w:fill="EAF1DD"/>
            <w:vAlign w:val="center"/>
            <w:hideMark/>
          </w:tcPr>
          <w:p w14:paraId="61A27DDF" w14:textId="3DB07FF2"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QBU_Kodi i </w:t>
            </w:r>
            <w:r w:rsidR="0053359F" w:rsidRPr="00445472">
              <w:rPr>
                <w:rFonts w:ascii="Garamond" w:eastAsia="MS Mincho" w:hAnsi="Garamond" w:cs="Arial"/>
                <w:b/>
                <w:sz w:val="18"/>
                <w:szCs w:val="18"/>
              </w:rPr>
              <w:t>stacionit</w:t>
            </w:r>
          </w:p>
        </w:tc>
        <w:tc>
          <w:tcPr>
            <w:tcW w:w="1548" w:type="dxa"/>
            <w:shd w:val="clear" w:color="000000" w:fill="EAF1DD"/>
            <w:vAlign w:val="center"/>
            <w:hideMark/>
          </w:tcPr>
          <w:p w14:paraId="31C3AE74" w14:textId="4329DACC"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Gjërësia e </w:t>
            </w:r>
            <w:r w:rsidR="0053359F" w:rsidRPr="00445472">
              <w:rPr>
                <w:rFonts w:ascii="Garamond" w:eastAsia="MS Mincho" w:hAnsi="Garamond" w:cs="Arial"/>
                <w:b/>
                <w:sz w:val="18"/>
                <w:szCs w:val="18"/>
              </w:rPr>
              <w:t>stacionit</w:t>
            </w:r>
          </w:p>
        </w:tc>
        <w:tc>
          <w:tcPr>
            <w:tcW w:w="1541" w:type="dxa"/>
            <w:shd w:val="clear" w:color="000000" w:fill="EAF1DD"/>
            <w:vAlign w:val="center"/>
            <w:hideMark/>
          </w:tcPr>
          <w:p w14:paraId="3B0854D5" w14:textId="55E5AD59"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Gjatësia e </w:t>
            </w:r>
            <w:r w:rsidR="0053359F" w:rsidRPr="00445472">
              <w:rPr>
                <w:rFonts w:ascii="Garamond" w:eastAsia="MS Mincho" w:hAnsi="Garamond" w:cs="Arial"/>
                <w:b/>
                <w:sz w:val="18"/>
                <w:szCs w:val="18"/>
              </w:rPr>
              <w:t>stacionit</w:t>
            </w:r>
          </w:p>
        </w:tc>
        <w:tc>
          <w:tcPr>
            <w:tcW w:w="975" w:type="dxa"/>
            <w:shd w:val="clear" w:color="000000" w:fill="EAF1DD"/>
            <w:vAlign w:val="center"/>
            <w:hideMark/>
          </w:tcPr>
          <w:p w14:paraId="49AB4E2A" w14:textId="77777777"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Lloji i mostrës</w:t>
            </w:r>
          </w:p>
        </w:tc>
        <w:tc>
          <w:tcPr>
            <w:tcW w:w="990" w:type="dxa"/>
            <w:shd w:val="clear" w:color="000000" w:fill="EAF1DD"/>
            <w:vAlign w:val="center"/>
            <w:hideMark/>
          </w:tcPr>
          <w:p w14:paraId="4BE2727B" w14:textId="77777777"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Prioriteti</w:t>
            </w:r>
          </w:p>
        </w:tc>
      </w:tr>
      <w:tr w:rsidR="00245A85" w:rsidRPr="00445472" w14:paraId="4D0FC69C" w14:textId="77777777" w:rsidTr="002A1F08">
        <w:trPr>
          <w:trHeight w:val="525"/>
        </w:trPr>
        <w:tc>
          <w:tcPr>
            <w:tcW w:w="532" w:type="dxa"/>
            <w:shd w:val="clear" w:color="auto" w:fill="auto"/>
            <w:vAlign w:val="center"/>
            <w:hideMark/>
          </w:tcPr>
          <w:p w14:paraId="6A8E1713"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w:t>
            </w:r>
          </w:p>
        </w:tc>
        <w:tc>
          <w:tcPr>
            <w:tcW w:w="1779" w:type="dxa"/>
            <w:shd w:val="clear" w:color="auto" w:fill="auto"/>
            <w:vAlign w:val="center"/>
            <w:hideMark/>
          </w:tcPr>
          <w:p w14:paraId="681823C5"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Laguna e Vilunit</w:t>
            </w:r>
          </w:p>
        </w:tc>
        <w:tc>
          <w:tcPr>
            <w:tcW w:w="5282" w:type="dxa"/>
            <w:shd w:val="clear" w:color="auto" w:fill="auto"/>
            <w:noWrap/>
            <w:vAlign w:val="center"/>
            <w:hideMark/>
          </w:tcPr>
          <w:p w14:paraId="01211DAD"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Laguna e Vilunit në veriperëndim (Shkodër) - në pjesën veriperëndimore të lagunës.</w:t>
            </w:r>
          </w:p>
        </w:tc>
        <w:tc>
          <w:tcPr>
            <w:tcW w:w="1504" w:type="dxa"/>
            <w:shd w:val="clear" w:color="auto" w:fill="auto"/>
            <w:vAlign w:val="center"/>
            <w:hideMark/>
          </w:tcPr>
          <w:p w14:paraId="6E7C38E8"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AL10LG_Vl10</w:t>
            </w:r>
          </w:p>
        </w:tc>
        <w:tc>
          <w:tcPr>
            <w:tcW w:w="1548" w:type="dxa"/>
            <w:shd w:val="clear" w:color="auto" w:fill="auto"/>
            <w:vAlign w:val="center"/>
            <w:hideMark/>
          </w:tcPr>
          <w:p w14:paraId="2EA00BED" w14:textId="5208AD54"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41°52'41.33</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541" w:type="dxa"/>
            <w:shd w:val="clear" w:color="auto" w:fill="auto"/>
            <w:vAlign w:val="center"/>
            <w:hideMark/>
          </w:tcPr>
          <w:p w14:paraId="4CF65AD7" w14:textId="1CA3A3B1"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19°26'17.61</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5" w:type="dxa"/>
            <w:shd w:val="clear" w:color="auto" w:fill="auto"/>
            <w:vAlign w:val="center"/>
            <w:hideMark/>
          </w:tcPr>
          <w:p w14:paraId="2207B87C"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WS </w:t>
            </w:r>
          </w:p>
        </w:tc>
        <w:tc>
          <w:tcPr>
            <w:tcW w:w="990" w:type="dxa"/>
            <w:shd w:val="clear" w:color="000000" w:fill="E5B8B7"/>
            <w:vAlign w:val="center"/>
            <w:hideMark/>
          </w:tcPr>
          <w:p w14:paraId="1D3D2060"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3</w:t>
            </w:r>
          </w:p>
        </w:tc>
      </w:tr>
      <w:tr w:rsidR="00245A85" w:rsidRPr="00445472" w14:paraId="2F2950D5" w14:textId="77777777" w:rsidTr="002A1F08">
        <w:trPr>
          <w:trHeight w:val="525"/>
        </w:trPr>
        <w:tc>
          <w:tcPr>
            <w:tcW w:w="532" w:type="dxa"/>
            <w:shd w:val="clear" w:color="auto" w:fill="auto"/>
            <w:vAlign w:val="center"/>
            <w:hideMark/>
          </w:tcPr>
          <w:p w14:paraId="7143304D"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2</w:t>
            </w:r>
          </w:p>
        </w:tc>
        <w:tc>
          <w:tcPr>
            <w:tcW w:w="1779" w:type="dxa"/>
            <w:shd w:val="clear" w:color="auto" w:fill="auto"/>
            <w:vAlign w:val="center"/>
            <w:hideMark/>
          </w:tcPr>
          <w:p w14:paraId="39A0EDD0"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Laguna e Vilunit</w:t>
            </w:r>
          </w:p>
        </w:tc>
        <w:tc>
          <w:tcPr>
            <w:tcW w:w="5282" w:type="dxa"/>
            <w:shd w:val="clear" w:color="auto" w:fill="auto"/>
            <w:noWrap/>
            <w:vAlign w:val="center"/>
            <w:hideMark/>
          </w:tcPr>
          <w:p w14:paraId="6DD01781"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Qendra e lagunës Viluni (Shkodër) - në pjesën qendrore të lagunës.</w:t>
            </w:r>
          </w:p>
        </w:tc>
        <w:tc>
          <w:tcPr>
            <w:tcW w:w="1504" w:type="dxa"/>
            <w:shd w:val="clear" w:color="auto" w:fill="auto"/>
            <w:vAlign w:val="center"/>
            <w:hideMark/>
          </w:tcPr>
          <w:p w14:paraId="6322B2FC"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AL10LG_Vl20</w:t>
            </w:r>
          </w:p>
        </w:tc>
        <w:tc>
          <w:tcPr>
            <w:tcW w:w="1548" w:type="dxa"/>
            <w:shd w:val="clear" w:color="auto" w:fill="auto"/>
            <w:vAlign w:val="center"/>
            <w:hideMark/>
          </w:tcPr>
          <w:p w14:paraId="453968F4" w14:textId="3530A2C4"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41°52'26.78</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541" w:type="dxa"/>
            <w:shd w:val="clear" w:color="auto" w:fill="auto"/>
            <w:vAlign w:val="center"/>
            <w:hideMark/>
          </w:tcPr>
          <w:p w14:paraId="467C38B3" w14:textId="44EC9274"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19°26'49.39</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5" w:type="dxa"/>
            <w:shd w:val="clear" w:color="auto" w:fill="auto"/>
            <w:vAlign w:val="center"/>
            <w:hideMark/>
          </w:tcPr>
          <w:p w14:paraId="2697FFA0"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WS</w:t>
            </w:r>
          </w:p>
        </w:tc>
        <w:tc>
          <w:tcPr>
            <w:tcW w:w="990" w:type="dxa"/>
            <w:shd w:val="clear" w:color="000000" w:fill="FABF8F"/>
            <w:vAlign w:val="center"/>
            <w:hideMark/>
          </w:tcPr>
          <w:p w14:paraId="30365360"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2</w:t>
            </w:r>
          </w:p>
        </w:tc>
      </w:tr>
      <w:tr w:rsidR="00245A85" w:rsidRPr="00445472" w14:paraId="4D48653A" w14:textId="77777777" w:rsidTr="002A1F08">
        <w:trPr>
          <w:trHeight w:val="525"/>
        </w:trPr>
        <w:tc>
          <w:tcPr>
            <w:tcW w:w="532" w:type="dxa"/>
            <w:shd w:val="clear" w:color="auto" w:fill="auto"/>
            <w:vAlign w:val="center"/>
            <w:hideMark/>
          </w:tcPr>
          <w:p w14:paraId="5F0ED5BE"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3</w:t>
            </w:r>
          </w:p>
        </w:tc>
        <w:tc>
          <w:tcPr>
            <w:tcW w:w="1779" w:type="dxa"/>
            <w:shd w:val="clear" w:color="auto" w:fill="auto"/>
            <w:vAlign w:val="center"/>
            <w:hideMark/>
          </w:tcPr>
          <w:p w14:paraId="572AB61C"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Laguna e Vilunit</w:t>
            </w:r>
          </w:p>
        </w:tc>
        <w:tc>
          <w:tcPr>
            <w:tcW w:w="5282" w:type="dxa"/>
            <w:shd w:val="clear" w:color="auto" w:fill="auto"/>
            <w:noWrap/>
            <w:vAlign w:val="center"/>
            <w:hideMark/>
          </w:tcPr>
          <w:p w14:paraId="1C993314"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Laguna e Vilunit në juglindje (Shkodër) - në pjesën juglindore të lagunës.</w:t>
            </w:r>
          </w:p>
        </w:tc>
        <w:tc>
          <w:tcPr>
            <w:tcW w:w="1504" w:type="dxa"/>
            <w:shd w:val="clear" w:color="auto" w:fill="auto"/>
            <w:vAlign w:val="center"/>
            <w:hideMark/>
          </w:tcPr>
          <w:p w14:paraId="3C49571D"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AL10LG_Vl30</w:t>
            </w:r>
          </w:p>
        </w:tc>
        <w:tc>
          <w:tcPr>
            <w:tcW w:w="1548" w:type="dxa"/>
            <w:shd w:val="clear" w:color="auto" w:fill="auto"/>
            <w:vAlign w:val="center"/>
            <w:hideMark/>
          </w:tcPr>
          <w:p w14:paraId="649FCCFF" w14:textId="27E843CB"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41°51'59.90</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541" w:type="dxa"/>
            <w:shd w:val="clear" w:color="auto" w:fill="auto"/>
            <w:vAlign w:val="center"/>
            <w:hideMark/>
          </w:tcPr>
          <w:p w14:paraId="61884E31" w14:textId="3012AD81"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19°27'21.04</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5" w:type="dxa"/>
            <w:shd w:val="clear" w:color="auto" w:fill="auto"/>
            <w:vAlign w:val="center"/>
            <w:hideMark/>
          </w:tcPr>
          <w:p w14:paraId="452C9BCC"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WS</w:t>
            </w:r>
          </w:p>
        </w:tc>
        <w:tc>
          <w:tcPr>
            <w:tcW w:w="990" w:type="dxa"/>
            <w:shd w:val="clear" w:color="000000" w:fill="E5B8B7"/>
            <w:vAlign w:val="center"/>
            <w:hideMark/>
          </w:tcPr>
          <w:p w14:paraId="5B61AD76"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3</w:t>
            </w:r>
          </w:p>
        </w:tc>
      </w:tr>
    </w:tbl>
    <w:p w14:paraId="6D604858" w14:textId="2D533FCF" w:rsidR="00245A85" w:rsidRPr="00445472" w:rsidRDefault="00245A85" w:rsidP="00245A85">
      <w:pPr>
        <w:pStyle w:val="TEKSTIIII"/>
        <w:rPr>
          <w:sz w:val="20"/>
          <w:szCs w:val="20"/>
        </w:rPr>
      </w:pPr>
      <w:r w:rsidRPr="00445472">
        <w:rPr>
          <w:sz w:val="20"/>
          <w:szCs w:val="20"/>
        </w:rPr>
        <w:t xml:space="preserve">Burimi: Projekti </w:t>
      </w:r>
      <w:r w:rsidR="0053359F" w:rsidRPr="00445472">
        <w:rPr>
          <w:sz w:val="20"/>
          <w:szCs w:val="20"/>
        </w:rPr>
        <w:t>KSMMSH</w:t>
      </w:r>
    </w:p>
    <w:p w14:paraId="51FF7AAE" w14:textId="77777777" w:rsidR="00245A85" w:rsidRPr="00445472" w:rsidRDefault="00245A85" w:rsidP="00245A85">
      <w:pPr>
        <w:pStyle w:val="TEKSTIIII"/>
        <w:rPr>
          <w:sz w:val="20"/>
          <w:szCs w:val="20"/>
        </w:rPr>
      </w:pPr>
    </w:p>
    <w:p w14:paraId="21C455DA" w14:textId="77777777" w:rsidR="00245A85" w:rsidRPr="00445472" w:rsidRDefault="00245A85" w:rsidP="00245A85">
      <w:pPr>
        <w:pStyle w:val="TEKSTIIII"/>
        <w:rPr>
          <w:sz w:val="20"/>
          <w:szCs w:val="20"/>
        </w:rPr>
      </w:pPr>
      <w:r w:rsidRPr="00445472">
        <w:rPr>
          <w:sz w:val="20"/>
          <w:szCs w:val="20"/>
        </w:rPr>
        <w:t>* Treguesit e ndikimit të ndryshimeve klimatike duhet të monitorohen në këto stacione (siç është propozuar nga projekti i DLDM-së nga Programi i UNDP-së)</w:t>
      </w:r>
    </w:p>
    <w:p w14:paraId="041E45AB" w14:textId="77777777" w:rsidR="00245A85" w:rsidRPr="00445472" w:rsidRDefault="00245A85" w:rsidP="00245A85">
      <w:pPr>
        <w:pStyle w:val="TEKSTIIII"/>
      </w:pPr>
    </w:p>
    <w:p w14:paraId="186370D0" w14:textId="77777777" w:rsidR="00245A85" w:rsidRPr="00445472" w:rsidRDefault="00245A85" w:rsidP="00245A85">
      <w:pPr>
        <w:pStyle w:val="NENTITULL"/>
      </w:pPr>
      <w:r w:rsidRPr="00445472">
        <w:t>Tabela A 2. 4: Stacionet kalimtare dhe bregdetare në rrjetin e monitorimit të ujërave sipërfaqësorë</w:t>
      </w:r>
    </w:p>
    <w:tbl>
      <w:tblPr>
        <w:tblW w:w="13925" w:type="dxa"/>
        <w:tblInd w:w="94"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40"/>
        <w:gridCol w:w="1913"/>
        <w:gridCol w:w="4678"/>
        <w:gridCol w:w="1594"/>
        <w:gridCol w:w="1633"/>
        <w:gridCol w:w="1607"/>
        <w:gridCol w:w="970"/>
        <w:gridCol w:w="990"/>
      </w:tblGrid>
      <w:tr w:rsidR="00245A85" w:rsidRPr="00445472" w14:paraId="48F3CD14" w14:textId="77777777" w:rsidTr="002A1F08">
        <w:trPr>
          <w:trHeight w:val="780"/>
        </w:trPr>
        <w:tc>
          <w:tcPr>
            <w:tcW w:w="540" w:type="dxa"/>
            <w:shd w:val="clear" w:color="000000" w:fill="EAF1DD"/>
            <w:vAlign w:val="center"/>
            <w:hideMark/>
          </w:tcPr>
          <w:p w14:paraId="39EB9E2D" w14:textId="7CCD6022"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Nr</w:t>
            </w:r>
            <w:r w:rsidR="00FA6E4C" w:rsidRPr="00445472">
              <w:rPr>
                <w:rFonts w:ascii="Garamond" w:eastAsia="MS Mincho" w:hAnsi="Garamond" w:cs="Arial"/>
                <w:b/>
                <w:sz w:val="18"/>
                <w:szCs w:val="18"/>
              </w:rPr>
              <w:t>.</w:t>
            </w:r>
          </w:p>
        </w:tc>
        <w:tc>
          <w:tcPr>
            <w:tcW w:w="1913" w:type="dxa"/>
            <w:shd w:val="clear" w:color="000000" w:fill="EAF1DD"/>
            <w:vAlign w:val="center"/>
            <w:hideMark/>
          </w:tcPr>
          <w:p w14:paraId="1F1FEA2F" w14:textId="77777777"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Emri i stacionit bregdetar</w:t>
            </w:r>
          </w:p>
        </w:tc>
        <w:tc>
          <w:tcPr>
            <w:tcW w:w="4678" w:type="dxa"/>
            <w:shd w:val="clear" w:color="000000" w:fill="EAF1DD"/>
            <w:vAlign w:val="center"/>
            <w:hideMark/>
          </w:tcPr>
          <w:p w14:paraId="2667CBA4" w14:textId="0A9E6E1A"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Emri i </w:t>
            </w:r>
            <w:r w:rsidR="0053359F" w:rsidRPr="00445472">
              <w:rPr>
                <w:rFonts w:ascii="Garamond" w:eastAsia="MS Mincho" w:hAnsi="Garamond" w:cs="Arial"/>
                <w:b/>
                <w:sz w:val="18"/>
                <w:szCs w:val="18"/>
              </w:rPr>
              <w:t>stacionit</w:t>
            </w:r>
          </w:p>
        </w:tc>
        <w:tc>
          <w:tcPr>
            <w:tcW w:w="1594" w:type="dxa"/>
            <w:shd w:val="clear" w:color="000000" w:fill="EAF1DD"/>
            <w:vAlign w:val="center"/>
            <w:hideMark/>
          </w:tcPr>
          <w:p w14:paraId="76FC1FC0" w14:textId="6BABEEEA"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QBU_Kodi i </w:t>
            </w:r>
            <w:r w:rsidR="0053359F" w:rsidRPr="00445472">
              <w:rPr>
                <w:rFonts w:ascii="Garamond" w:eastAsia="MS Mincho" w:hAnsi="Garamond" w:cs="Arial"/>
                <w:b/>
                <w:sz w:val="18"/>
                <w:szCs w:val="18"/>
              </w:rPr>
              <w:t>stacionit</w:t>
            </w:r>
          </w:p>
        </w:tc>
        <w:tc>
          <w:tcPr>
            <w:tcW w:w="1633" w:type="dxa"/>
            <w:shd w:val="clear" w:color="000000" w:fill="EAF1DD"/>
            <w:vAlign w:val="center"/>
            <w:hideMark/>
          </w:tcPr>
          <w:p w14:paraId="415B0C66" w14:textId="7C570360"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Gjërësia e </w:t>
            </w:r>
            <w:r w:rsidR="0053359F" w:rsidRPr="00445472">
              <w:rPr>
                <w:rFonts w:ascii="Garamond" w:eastAsia="MS Mincho" w:hAnsi="Garamond" w:cs="Arial"/>
                <w:b/>
                <w:sz w:val="18"/>
                <w:szCs w:val="18"/>
              </w:rPr>
              <w:t>stacionit</w:t>
            </w:r>
          </w:p>
        </w:tc>
        <w:tc>
          <w:tcPr>
            <w:tcW w:w="1607" w:type="dxa"/>
            <w:shd w:val="clear" w:color="000000" w:fill="EAF1DD"/>
            <w:vAlign w:val="center"/>
            <w:hideMark/>
          </w:tcPr>
          <w:p w14:paraId="5CF78470" w14:textId="460BFA20"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 xml:space="preserve">Gjatësia e </w:t>
            </w:r>
            <w:r w:rsidR="0053359F" w:rsidRPr="00445472">
              <w:rPr>
                <w:rFonts w:ascii="Garamond" w:eastAsia="MS Mincho" w:hAnsi="Garamond" w:cs="Arial"/>
                <w:b/>
                <w:sz w:val="18"/>
                <w:szCs w:val="18"/>
              </w:rPr>
              <w:t>stacionit</w:t>
            </w:r>
          </w:p>
        </w:tc>
        <w:tc>
          <w:tcPr>
            <w:tcW w:w="970" w:type="dxa"/>
            <w:shd w:val="clear" w:color="000000" w:fill="EAF1DD"/>
            <w:vAlign w:val="center"/>
            <w:hideMark/>
          </w:tcPr>
          <w:p w14:paraId="1EA09F4C" w14:textId="77777777"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Lloji i mostrës</w:t>
            </w:r>
          </w:p>
        </w:tc>
        <w:tc>
          <w:tcPr>
            <w:tcW w:w="990" w:type="dxa"/>
            <w:shd w:val="clear" w:color="000000" w:fill="EAF1DD"/>
            <w:vAlign w:val="center"/>
            <w:hideMark/>
          </w:tcPr>
          <w:p w14:paraId="130BDB96" w14:textId="77777777" w:rsidR="00245A85" w:rsidRPr="00445472" w:rsidRDefault="00245A85" w:rsidP="002A1F08">
            <w:pPr>
              <w:spacing w:before="15" w:after="15"/>
              <w:ind w:right="44"/>
              <w:jc w:val="center"/>
              <w:rPr>
                <w:rFonts w:ascii="Garamond" w:eastAsia="MS Mincho" w:hAnsi="Garamond" w:cs="Arial"/>
                <w:b/>
                <w:sz w:val="18"/>
                <w:szCs w:val="18"/>
              </w:rPr>
            </w:pPr>
            <w:r w:rsidRPr="00445472">
              <w:rPr>
                <w:rFonts w:ascii="Garamond" w:eastAsia="MS Mincho" w:hAnsi="Garamond" w:cs="Arial"/>
                <w:b/>
                <w:sz w:val="18"/>
                <w:szCs w:val="18"/>
              </w:rPr>
              <w:t>Prioriteti</w:t>
            </w:r>
          </w:p>
        </w:tc>
      </w:tr>
      <w:tr w:rsidR="00245A85" w:rsidRPr="00445472" w14:paraId="2677DA44" w14:textId="77777777" w:rsidTr="002A1F08">
        <w:trPr>
          <w:trHeight w:val="746"/>
        </w:trPr>
        <w:tc>
          <w:tcPr>
            <w:tcW w:w="540" w:type="dxa"/>
            <w:shd w:val="clear" w:color="auto" w:fill="auto"/>
            <w:vAlign w:val="center"/>
            <w:hideMark/>
          </w:tcPr>
          <w:p w14:paraId="4C0F4BF6"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w:t>
            </w:r>
          </w:p>
        </w:tc>
        <w:tc>
          <w:tcPr>
            <w:tcW w:w="1913" w:type="dxa"/>
            <w:shd w:val="clear" w:color="auto" w:fill="auto"/>
            <w:vAlign w:val="center"/>
            <w:hideMark/>
          </w:tcPr>
          <w:p w14:paraId="01E1F217"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Deti Adriatik</w:t>
            </w:r>
          </w:p>
        </w:tc>
        <w:tc>
          <w:tcPr>
            <w:tcW w:w="4678" w:type="dxa"/>
            <w:shd w:val="clear" w:color="auto" w:fill="auto"/>
            <w:vAlign w:val="center"/>
            <w:hideMark/>
          </w:tcPr>
          <w:p w14:paraId="5411080A"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Velipoja (Shkodra) - në Detin Adriatik në plazhin e Velipojës, bregdetit rreth 500 m nga bregu i detit.</w:t>
            </w:r>
          </w:p>
        </w:tc>
        <w:tc>
          <w:tcPr>
            <w:tcW w:w="1594" w:type="dxa"/>
            <w:shd w:val="clear" w:color="auto" w:fill="auto"/>
            <w:vAlign w:val="center"/>
            <w:hideMark/>
          </w:tcPr>
          <w:p w14:paraId="2C6E3D81"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AL10C_Ve10</w:t>
            </w:r>
          </w:p>
        </w:tc>
        <w:tc>
          <w:tcPr>
            <w:tcW w:w="1633" w:type="dxa"/>
            <w:shd w:val="clear" w:color="auto" w:fill="auto"/>
            <w:vAlign w:val="center"/>
            <w:hideMark/>
          </w:tcPr>
          <w:p w14:paraId="1C3A4E7D" w14:textId="5668C913"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xml:space="preserve"> 41°51'25.81</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607" w:type="dxa"/>
            <w:shd w:val="clear" w:color="auto" w:fill="auto"/>
            <w:vAlign w:val="center"/>
            <w:hideMark/>
          </w:tcPr>
          <w:p w14:paraId="03E1D5F9" w14:textId="6EAEF44E"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xml:space="preserve"> 19°25'19.11</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0" w:type="dxa"/>
            <w:shd w:val="clear" w:color="auto" w:fill="auto"/>
            <w:vAlign w:val="center"/>
            <w:hideMark/>
          </w:tcPr>
          <w:p w14:paraId="09DA6CA7"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WS</w:t>
            </w:r>
          </w:p>
        </w:tc>
        <w:tc>
          <w:tcPr>
            <w:tcW w:w="990" w:type="dxa"/>
            <w:shd w:val="clear" w:color="000000" w:fill="C2D69B"/>
            <w:vAlign w:val="center"/>
            <w:hideMark/>
          </w:tcPr>
          <w:p w14:paraId="1B87092E"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w:t>
            </w:r>
          </w:p>
        </w:tc>
      </w:tr>
      <w:tr w:rsidR="00245A85" w:rsidRPr="00445472" w14:paraId="322068AB" w14:textId="77777777" w:rsidTr="002A1F08">
        <w:trPr>
          <w:trHeight w:val="557"/>
        </w:trPr>
        <w:tc>
          <w:tcPr>
            <w:tcW w:w="540" w:type="dxa"/>
            <w:shd w:val="clear" w:color="auto" w:fill="auto"/>
            <w:vAlign w:val="center"/>
            <w:hideMark/>
          </w:tcPr>
          <w:p w14:paraId="5EFD3127"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2*</w:t>
            </w:r>
          </w:p>
        </w:tc>
        <w:tc>
          <w:tcPr>
            <w:tcW w:w="1913" w:type="dxa"/>
            <w:shd w:val="clear" w:color="auto" w:fill="auto"/>
            <w:vAlign w:val="center"/>
            <w:hideMark/>
          </w:tcPr>
          <w:p w14:paraId="325385D4"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Deti Adriatik</w:t>
            </w:r>
          </w:p>
        </w:tc>
        <w:tc>
          <w:tcPr>
            <w:tcW w:w="4678" w:type="dxa"/>
            <w:shd w:val="clear" w:color="auto" w:fill="auto"/>
            <w:vAlign w:val="center"/>
            <w:hideMark/>
          </w:tcPr>
          <w:p w14:paraId="4941D5A1"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Plazhi i Shëngjinit - në Detin Adriatik, 500 m nga bregu.</w:t>
            </w:r>
          </w:p>
        </w:tc>
        <w:tc>
          <w:tcPr>
            <w:tcW w:w="1594" w:type="dxa"/>
            <w:shd w:val="clear" w:color="auto" w:fill="auto"/>
            <w:vAlign w:val="center"/>
            <w:hideMark/>
          </w:tcPr>
          <w:p w14:paraId="7DAD637E"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AL20C_Sh10</w:t>
            </w:r>
          </w:p>
        </w:tc>
        <w:tc>
          <w:tcPr>
            <w:tcW w:w="1633" w:type="dxa"/>
            <w:shd w:val="clear" w:color="auto" w:fill="auto"/>
            <w:vAlign w:val="center"/>
            <w:hideMark/>
          </w:tcPr>
          <w:p w14:paraId="7FCEC916" w14:textId="3B75DB66"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41°48'03.14</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607" w:type="dxa"/>
            <w:shd w:val="clear" w:color="auto" w:fill="auto"/>
            <w:vAlign w:val="center"/>
            <w:hideMark/>
          </w:tcPr>
          <w:p w14:paraId="3B055BFC" w14:textId="38B40F7A"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19°35'33.92</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0" w:type="dxa"/>
            <w:shd w:val="clear" w:color="auto" w:fill="auto"/>
            <w:vAlign w:val="center"/>
            <w:hideMark/>
          </w:tcPr>
          <w:p w14:paraId="57A6AA49"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WS</w:t>
            </w:r>
          </w:p>
        </w:tc>
        <w:tc>
          <w:tcPr>
            <w:tcW w:w="990" w:type="dxa"/>
            <w:shd w:val="clear" w:color="000000" w:fill="C2D69B"/>
            <w:vAlign w:val="center"/>
            <w:hideMark/>
          </w:tcPr>
          <w:p w14:paraId="2FDFA742"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w:t>
            </w:r>
          </w:p>
        </w:tc>
      </w:tr>
      <w:tr w:rsidR="00245A85" w:rsidRPr="00445472" w14:paraId="4536C184" w14:textId="77777777" w:rsidTr="002A1F08">
        <w:trPr>
          <w:trHeight w:val="512"/>
        </w:trPr>
        <w:tc>
          <w:tcPr>
            <w:tcW w:w="540" w:type="dxa"/>
            <w:shd w:val="clear" w:color="auto" w:fill="auto"/>
            <w:vAlign w:val="center"/>
            <w:hideMark/>
          </w:tcPr>
          <w:p w14:paraId="205C2BDC"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3*</w:t>
            </w:r>
          </w:p>
        </w:tc>
        <w:tc>
          <w:tcPr>
            <w:tcW w:w="1913" w:type="dxa"/>
            <w:shd w:val="clear" w:color="auto" w:fill="auto"/>
            <w:vAlign w:val="center"/>
            <w:hideMark/>
          </w:tcPr>
          <w:p w14:paraId="0B0B5232"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Deti Adriatik</w:t>
            </w:r>
          </w:p>
        </w:tc>
        <w:tc>
          <w:tcPr>
            <w:tcW w:w="4678" w:type="dxa"/>
            <w:shd w:val="clear" w:color="auto" w:fill="auto"/>
            <w:vAlign w:val="center"/>
            <w:hideMark/>
          </w:tcPr>
          <w:p w14:paraId="4C5CEF47"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Porti i Shëngjinit - në qendër të basenit të portit</w:t>
            </w:r>
          </w:p>
        </w:tc>
        <w:tc>
          <w:tcPr>
            <w:tcW w:w="1594" w:type="dxa"/>
            <w:shd w:val="clear" w:color="auto" w:fill="auto"/>
            <w:vAlign w:val="center"/>
            <w:hideMark/>
          </w:tcPr>
          <w:p w14:paraId="24544997"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AL20C_Sh10</w:t>
            </w:r>
          </w:p>
        </w:tc>
        <w:tc>
          <w:tcPr>
            <w:tcW w:w="1633" w:type="dxa"/>
            <w:shd w:val="clear" w:color="auto" w:fill="auto"/>
            <w:vAlign w:val="center"/>
            <w:hideMark/>
          </w:tcPr>
          <w:p w14:paraId="5097F4AE" w14:textId="37F58DAF"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41°48'38.16</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607" w:type="dxa"/>
            <w:shd w:val="clear" w:color="auto" w:fill="auto"/>
            <w:vAlign w:val="center"/>
            <w:hideMark/>
          </w:tcPr>
          <w:p w14:paraId="70929458" w14:textId="2D567A9A"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19°35'15.00</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0" w:type="dxa"/>
            <w:shd w:val="clear" w:color="auto" w:fill="auto"/>
            <w:vAlign w:val="center"/>
            <w:hideMark/>
          </w:tcPr>
          <w:p w14:paraId="4251EBB4"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WS</w:t>
            </w:r>
          </w:p>
        </w:tc>
        <w:tc>
          <w:tcPr>
            <w:tcW w:w="990" w:type="dxa"/>
            <w:shd w:val="clear" w:color="000000" w:fill="C2D69B"/>
            <w:vAlign w:val="center"/>
            <w:hideMark/>
          </w:tcPr>
          <w:p w14:paraId="5BCC3C6B"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w:t>
            </w:r>
          </w:p>
        </w:tc>
      </w:tr>
      <w:tr w:rsidR="00245A85" w:rsidRPr="00445472" w14:paraId="2A612EE0" w14:textId="77777777" w:rsidTr="002A1F08">
        <w:trPr>
          <w:trHeight w:val="467"/>
        </w:trPr>
        <w:tc>
          <w:tcPr>
            <w:tcW w:w="540" w:type="dxa"/>
            <w:shd w:val="clear" w:color="auto" w:fill="auto"/>
            <w:vAlign w:val="center"/>
            <w:hideMark/>
          </w:tcPr>
          <w:p w14:paraId="60AACD54"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w:t>
            </w:r>
          </w:p>
        </w:tc>
        <w:tc>
          <w:tcPr>
            <w:tcW w:w="1913" w:type="dxa"/>
            <w:shd w:val="clear" w:color="auto" w:fill="auto"/>
            <w:vAlign w:val="center"/>
            <w:hideMark/>
          </w:tcPr>
          <w:p w14:paraId="1393EA55"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Deti Adriatik</w:t>
            </w:r>
          </w:p>
        </w:tc>
        <w:tc>
          <w:tcPr>
            <w:tcW w:w="4678" w:type="dxa"/>
            <w:shd w:val="clear" w:color="auto" w:fill="auto"/>
            <w:vAlign w:val="center"/>
            <w:hideMark/>
          </w:tcPr>
          <w:p w14:paraId="2C91780D"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Plazhi Tale (Kurbini) - në detin Adriatik, rreth 600 m nga bregu.</w:t>
            </w:r>
          </w:p>
        </w:tc>
        <w:tc>
          <w:tcPr>
            <w:tcW w:w="1594" w:type="dxa"/>
            <w:shd w:val="clear" w:color="auto" w:fill="auto"/>
            <w:vAlign w:val="center"/>
            <w:hideMark/>
          </w:tcPr>
          <w:p w14:paraId="63B754E6"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 AL10C_Ta10</w:t>
            </w:r>
          </w:p>
        </w:tc>
        <w:tc>
          <w:tcPr>
            <w:tcW w:w="1633" w:type="dxa"/>
            <w:shd w:val="clear" w:color="auto" w:fill="auto"/>
            <w:vAlign w:val="center"/>
            <w:hideMark/>
          </w:tcPr>
          <w:p w14:paraId="0B40F504" w14:textId="3EE5C72A"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41°41'21.94</w:t>
            </w:r>
            <w:r w:rsidR="00D62EDF" w:rsidRPr="00445472">
              <w:rPr>
                <w:rFonts w:ascii="Garamond" w:eastAsia="MS Mincho" w:hAnsi="Garamond" w:cs="Arial"/>
                <w:sz w:val="18"/>
                <w:szCs w:val="18"/>
              </w:rPr>
              <w:t>”</w:t>
            </w:r>
            <w:r w:rsidRPr="00445472">
              <w:rPr>
                <w:rFonts w:ascii="Garamond" w:eastAsia="MS Mincho" w:hAnsi="Garamond" w:cs="Arial"/>
                <w:sz w:val="18"/>
                <w:szCs w:val="18"/>
              </w:rPr>
              <w:t>N</w:t>
            </w:r>
          </w:p>
        </w:tc>
        <w:tc>
          <w:tcPr>
            <w:tcW w:w="1607" w:type="dxa"/>
            <w:shd w:val="clear" w:color="auto" w:fill="auto"/>
            <w:vAlign w:val="center"/>
            <w:hideMark/>
          </w:tcPr>
          <w:p w14:paraId="56045EC9" w14:textId="465BD1D3"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19°34'20.17</w:t>
            </w:r>
            <w:r w:rsidR="00D62EDF" w:rsidRPr="00445472">
              <w:rPr>
                <w:rFonts w:ascii="Garamond" w:eastAsia="MS Mincho" w:hAnsi="Garamond" w:cs="Arial"/>
                <w:sz w:val="18"/>
                <w:szCs w:val="18"/>
              </w:rPr>
              <w:t>”</w:t>
            </w:r>
            <w:r w:rsidRPr="00445472">
              <w:rPr>
                <w:rFonts w:ascii="Garamond" w:eastAsia="MS Mincho" w:hAnsi="Garamond" w:cs="Arial"/>
                <w:sz w:val="18"/>
                <w:szCs w:val="18"/>
              </w:rPr>
              <w:t>E</w:t>
            </w:r>
          </w:p>
        </w:tc>
        <w:tc>
          <w:tcPr>
            <w:tcW w:w="970" w:type="dxa"/>
            <w:shd w:val="clear" w:color="auto" w:fill="auto"/>
            <w:vAlign w:val="center"/>
            <w:hideMark/>
          </w:tcPr>
          <w:p w14:paraId="00B5380A"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WS</w:t>
            </w:r>
          </w:p>
        </w:tc>
        <w:tc>
          <w:tcPr>
            <w:tcW w:w="990" w:type="dxa"/>
            <w:shd w:val="clear" w:color="000000" w:fill="C2D69B"/>
            <w:vAlign w:val="center"/>
            <w:hideMark/>
          </w:tcPr>
          <w:p w14:paraId="43338424" w14:textId="77777777" w:rsidR="00245A85" w:rsidRPr="00445472" w:rsidRDefault="00245A85" w:rsidP="002A1F08">
            <w:pPr>
              <w:spacing w:before="15" w:after="15"/>
              <w:ind w:right="44"/>
              <w:jc w:val="center"/>
              <w:rPr>
                <w:rFonts w:ascii="Garamond" w:eastAsia="MS Mincho" w:hAnsi="Garamond" w:cs="Arial"/>
                <w:sz w:val="18"/>
                <w:szCs w:val="18"/>
              </w:rPr>
            </w:pPr>
            <w:r w:rsidRPr="00445472">
              <w:rPr>
                <w:rFonts w:ascii="Garamond" w:eastAsia="MS Mincho" w:hAnsi="Garamond" w:cs="Arial"/>
                <w:sz w:val="18"/>
                <w:szCs w:val="18"/>
              </w:rPr>
              <w:t>1</w:t>
            </w:r>
          </w:p>
        </w:tc>
      </w:tr>
    </w:tbl>
    <w:p w14:paraId="6D50057D" w14:textId="6515A792" w:rsidR="00245A85" w:rsidRPr="00445472" w:rsidRDefault="00245A85" w:rsidP="00245A85">
      <w:pPr>
        <w:pStyle w:val="TEKSTIIII"/>
        <w:rPr>
          <w:sz w:val="20"/>
        </w:rPr>
      </w:pPr>
      <w:r w:rsidRPr="00445472">
        <w:rPr>
          <w:sz w:val="20"/>
        </w:rPr>
        <w:t xml:space="preserve">Burimi: Projekti </w:t>
      </w:r>
      <w:r w:rsidR="008F14E8" w:rsidRPr="00445472">
        <w:rPr>
          <w:sz w:val="20"/>
        </w:rPr>
        <w:t>KSMMSH</w:t>
      </w:r>
    </w:p>
    <w:p w14:paraId="31EF7C81" w14:textId="77777777" w:rsidR="00245A85" w:rsidRPr="00445472" w:rsidRDefault="00245A85" w:rsidP="00245A85">
      <w:pPr>
        <w:pStyle w:val="TEKSTIIII"/>
        <w:rPr>
          <w:sz w:val="20"/>
        </w:rPr>
      </w:pPr>
    </w:p>
    <w:p w14:paraId="6B02A2D0" w14:textId="0ACA7145" w:rsidR="00245A85" w:rsidRPr="00445472" w:rsidRDefault="00245A85" w:rsidP="00245A85">
      <w:pPr>
        <w:pStyle w:val="TEKSTIIII"/>
        <w:rPr>
          <w:sz w:val="20"/>
        </w:rPr>
      </w:pPr>
      <w:r w:rsidRPr="00445472">
        <w:rPr>
          <w:sz w:val="20"/>
        </w:rPr>
        <w:t>* Treguesit e ndikimit të ndryshimeve klimatike duhet të monitorohen në këto stacione (siç është propozuar nga projekti i DLDM-së nga Programi i Projektit të UNDP-së)</w:t>
      </w:r>
      <w:r w:rsidR="008F14E8" w:rsidRPr="00445472">
        <w:rPr>
          <w:sz w:val="20"/>
        </w:rPr>
        <w:t>.</w:t>
      </w:r>
    </w:p>
    <w:p w14:paraId="71889995" w14:textId="77777777" w:rsidR="00F75A35" w:rsidRPr="00445472" w:rsidRDefault="00F75A35" w:rsidP="00245A85">
      <w:pPr>
        <w:pStyle w:val="TEKSTIIII"/>
        <w:rPr>
          <w:sz w:val="20"/>
        </w:rPr>
      </w:pPr>
    </w:p>
    <w:p w14:paraId="00168D06" w14:textId="77777777" w:rsidR="00F75A35" w:rsidRPr="00445472" w:rsidRDefault="00F75A35" w:rsidP="00245A85">
      <w:pPr>
        <w:pStyle w:val="TEKSTIIII"/>
        <w:rPr>
          <w:sz w:val="20"/>
        </w:rPr>
        <w:sectPr w:rsidR="00F75A35" w:rsidRPr="00445472" w:rsidSect="00245A85">
          <w:pgSz w:w="16839" w:h="11907" w:orient="landscape" w:code="9"/>
          <w:pgMar w:top="1418" w:right="1418" w:bottom="1418" w:left="1418" w:header="1304" w:footer="1134" w:gutter="0"/>
          <w:cols w:space="720"/>
          <w:docGrid w:linePitch="360"/>
        </w:sectPr>
      </w:pPr>
    </w:p>
    <w:p w14:paraId="2078DFF8" w14:textId="0EF0213C" w:rsidR="00F75A35" w:rsidRPr="00445472" w:rsidRDefault="00F75A35" w:rsidP="0053359F">
      <w:pPr>
        <w:pStyle w:val="TEKSTIIII"/>
        <w:jc w:val="center"/>
        <w:rPr>
          <w:sz w:val="20"/>
        </w:rPr>
      </w:pPr>
      <w:r w:rsidRPr="00445472">
        <w:rPr>
          <w:noProof/>
          <w:lang w:val="en-US"/>
        </w:rPr>
        <w:drawing>
          <wp:inline distT="0" distB="0" distL="0" distR="0" wp14:anchorId="2D37AE59" wp14:editId="10F4AAC1">
            <wp:extent cx="4945712" cy="7678262"/>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a:srcRect l="59429" t="21867" r="15924" b="10106"/>
                    <a:stretch/>
                  </pic:blipFill>
                  <pic:spPr bwMode="auto">
                    <a:xfrm>
                      <a:off x="0" y="0"/>
                      <a:ext cx="4969753" cy="7715587"/>
                    </a:xfrm>
                    <a:prstGeom prst="rect">
                      <a:avLst/>
                    </a:prstGeom>
                    <a:ln>
                      <a:noFill/>
                    </a:ln>
                    <a:extLst>
                      <a:ext uri="{53640926-AAD7-44D8-BBD7-CCE9431645EC}">
                        <a14:shadowObscured xmlns:a14="http://schemas.microsoft.com/office/drawing/2010/main"/>
                      </a:ext>
                    </a:extLst>
                  </pic:spPr>
                </pic:pic>
              </a:graphicData>
            </a:graphic>
          </wp:inline>
        </w:drawing>
      </w:r>
    </w:p>
    <w:p w14:paraId="15475D3F" w14:textId="77777777" w:rsidR="00F75A35" w:rsidRPr="00445472" w:rsidRDefault="00F75A35" w:rsidP="00245A85">
      <w:pPr>
        <w:pStyle w:val="TEKSTIIII"/>
        <w:rPr>
          <w:sz w:val="20"/>
        </w:rPr>
      </w:pPr>
    </w:p>
    <w:p w14:paraId="6DD0F707" w14:textId="77777777" w:rsidR="00F75A35" w:rsidRPr="00445472" w:rsidRDefault="00F75A35" w:rsidP="00245A85">
      <w:pPr>
        <w:pStyle w:val="TEKSTIIII"/>
        <w:rPr>
          <w:sz w:val="20"/>
        </w:rPr>
      </w:pPr>
    </w:p>
    <w:p w14:paraId="04A1A9C7" w14:textId="77777777" w:rsidR="00F75A35" w:rsidRPr="00445472" w:rsidRDefault="00F75A35" w:rsidP="00245A85">
      <w:pPr>
        <w:pStyle w:val="TEKSTIIII"/>
        <w:rPr>
          <w:sz w:val="20"/>
        </w:rPr>
      </w:pPr>
    </w:p>
    <w:p w14:paraId="48FAEFDD" w14:textId="59638F0B" w:rsidR="00F75A35" w:rsidRPr="00445472" w:rsidRDefault="00F75A35" w:rsidP="00245A85">
      <w:pPr>
        <w:pStyle w:val="TEKSTIIII"/>
        <w:rPr>
          <w:sz w:val="20"/>
        </w:rPr>
      </w:pPr>
    </w:p>
    <w:p w14:paraId="1F4D2E36" w14:textId="77777777" w:rsidR="00F75A35" w:rsidRPr="00445472" w:rsidRDefault="00F75A35" w:rsidP="00245A85">
      <w:pPr>
        <w:pStyle w:val="TEKSTIIII"/>
        <w:rPr>
          <w:sz w:val="20"/>
        </w:rPr>
      </w:pPr>
    </w:p>
    <w:p w14:paraId="6EF28F40" w14:textId="77777777" w:rsidR="00F75A35" w:rsidRPr="00445472" w:rsidRDefault="00F75A35" w:rsidP="00245A85">
      <w:pPr>
        <w:pStyle w:val="TEKSTIIII"/>
        <w:rPr>
          <w:sz w:val="20"/>
        </w:rPr>
      </w:pPr>
    </w:p>
    <w:p w14:paraId="5B738CE9" w14:textId="5460EE3A" w:rsidR="009067FB" w:rsidRPr="00445472" w:rsidRDefault="009067FB" w:rsidP="009067FB">
      <w:pPr>
        <w:pStyle w:val="TEKSTIIII"/>
        <w:jc w:val="center"/>
        <w:rPr>
          <w:sz w:val="20"/>
        </w:rPr>
      </w:pPr>
      <w:r w:rsidRPr="00445472">
        <w:rPr>
          <w:noProof/>
          <w:lang w:val="en-US"/>
        </w:rPr>
        <w:drawing>
          <wp:inline distT="0" distB="0" distL="0" distR="0" wp14:anchorId="25A00E53" wp14:editId="247FA559">
            <wp:extent cx="4190338" cy="5088835"/>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54370" t="17199" r="12929" b="11056"/>
                    <a:stretch/>
                  </pic:blipFill>
                  <pic:spPr bwMode="auto">
                    <a:xfrm>
                      <a:off x="0" y="0"/>
                      <a:ext cx="4200093" cy="5100682"/>
                    </a:xfrm>
                    <a:prstGeom prst="rect">
                      <a:avLst/>
                    </a:prstGeom>
                    <a:ln>
                      <a:noFill/>
                    </a:ln>
                    <a:extLst>
                      <a:ext uri="{53640926-AAD7-44D8-BBD7-CCE9431645EC}">
                        <a14:shadowObscured xmlns:a14="http://schemas.microsoft.com/office/drawing/2010/main"/>
                      </a:ext>
                    </a:extLst>
                  </pic:spPr>
                </pic:pic>
              </a:graphicData>
            </a:graphic>
          </wp:inline>
        </w:drawing>
      </w:r>
    </w:p>
    <w:p w14:paraId="6A6E8EF2" w14:textId="0542CFB7" w:rsidR="00F75A35" w:rsidRPr="00445472" w:rsidRDefault="009067FB" w:rsidP="009067FB">
      <w:pPr>
        <w:pStyle w:val="TEKSTIIII"/>
        <w:jc w:val="center"/>
        <w:rPr>
          <w:sz w:val="20"/>
        </w:rPr>
      </w:pPr>
      <w:r w:rsidRPr="00445472">
        <w:rPr>
          <w:noProof/>
          <w:lang w:val="en-US"/>
        </w:rPr>
        <w:drawing>
          <wp:inline distT="0" distB="0" distL="0" distR="0" wp14:anchorId="6F27501B" wp14:editId="169161D4">
            <wp:extent cx="4158533" cy="174133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54469" t="45700" r="13184" b="30221"/>
                    <a:stretch/>
                  </pic:blipFill>
                  <pic:spPr bwMode="auto">
                    <a:xfrm>
                      <a:off x="0" y="0"/>
                      <a:ext cx="4189390" cy="1754257"/>
                    </a:xfrm>
                    <a:prstGeom prst="rect">
                      <a:avLst/>
                    </a:prstGeom>
                    <a:ln>
                      <a:noFill/>
                    </a:ln>
                    <a:extLst>
                      <a:ext uri="{53640926-AAD7-44D8-BBD7-CCE9431645EC}">
                        <a14:shadowObscured xmlns:a14="http://schemas.microsoft.com/office/drawing/2010/main"/>
                      </a:ext>
                    </a:extLst>
                  </pic:spPr>
                </pic:pic>
              </a:graphicData>
            </a:graphic>
          </wp:inline>
        </w:drawing>
      </w:r>
    </w:p>
    <w:p w14:paraId="2E6ECE21" w14:textId="2446381A" w:rsidR="00F75A35" w:rsidRPr="00445472" w:rsidRDefault="00F75A35" w:rsidP="00245A85">
      <w:pPr>
        <w:pStyle w:val="TEKSTIIII"/>
      </w:pPr>
    </w:p>
    <w:p w14:paraId="34E2FDCF" w14:textId="77777777" w:rsidR="00297531" w:rsidRPr="00445472" w:rsidRDefault="00297531" w:rsidP="00245A85">
      <w:pPr>
        <w:pStyle w:val="TEKSTIIII"/>
      </w:pPr>
    </w:p>
    <w:p w14:paraId="032FC92B" w14:textId="41A24998" w:rsidR="00297531" w:rsidRPr="00445472" w:rsidRDefault="00297531" w:rsidP="0053359F">
      <w:pPr>
        <w:pStyle w:val="TEKSTIIII"/>
        <w:jc w:val="center"/>
        <w:rPr>
          <w:sz w:val="20"/>
        </w:rPr>
      </w:pPr>
      <w:r w:rsidRPr="00445472">
        <w:rPr>
          <w:noProof/>
          <w:lang w:val="en-US"/>
        </w:rPr>
        <w:drawing>
          <wp:inline distT="0" distB="0" distL="0" distR="0" wp14:anchorId="09EE2829" wp14:editId="1273F81C">
            <wp:extent cx="4646133" cy="5263764"/>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l="29714" t="15271" r="32376" b="8373"/>
                    <a:stretch/>
                  </pic:blipFill>
                  <pic:spPr bwMode="auto">
                    <a:xfrm>
                      <a:off x="0" y="0"/>
                      <a:ext cx="4663284" cy="5283195"/>
                    </a:xfrm>
                    <a:prstGeom prst="rect">
                      <a:avLst/>
                    </a:prstGeom>
                    <a:ln>
                      <a:noFill/>
                    </a:ln>
                    <a:extLst>
                      <a:ext uri="{53640926-AAD7-44D8-BBD7-CCE9431645EC}">
                        <a14:shadowObscured xmlns:a14="http://schemas.microsoft.com/office/drawing/2010/main"/>
                      </a:ext>
                    </a:extLst>
                  </pic:spPr>
                </pic:pic>
              </a:graphicData>
            </a:graphic>
          </wp:inline>
        </w:drawing>
      </w:r>
    </w:p>
    <w:p w14:paraId="478EF1C4" w14:textId="77777777" w:rsidR="00763C7E" w:rsidRPr="00445472" w:rsidRDefault="00763C7E" w:rsidP="00245A85">
      <w:pPr>
        <w:pStyle w:val="TEKSTIIII"/>
        <w:rPr>
          <w:sz w:val="20"/>
        </w:rPr>
      </w:pPr>
    </w:p>
    <w:p w14:paraId="51DDC24C" w14:textId="77777777" w:rsidR="00763C7E" w:rsidRPr="00445472" w:rsidRDefault="00763C7E" w:rsidP="00245A85">
      <w:pPr>
        <w:pStyle w:val="TEKSTIIII"/>
        <w:rPr>
          <w:sz w:val="20"/>
        </w:rPr>
      </w:pPr>
    </w:p>
    <w:p w14:paraId="4373AC22" w14:textId="77777777" w:rsidR="00763C7E" w:rsidRPr="00445472" w:rsidRDefault="00763C7E" w:rsidP="00245A85">
      <w:pPr>
        <w:pStyle w:val="TEKSTIIII"/>
        <w:rPr>
          <w:sz w:val="20"/>
        </w:rPr>
      </w:pPr>
    </w:p>
    <w:p w14:paraId="479F7BFA" w14:textId="77777777" w:rsidR="00763C7E" w:rsidRPr="00445472" w:rsidRDefault="00763C7E" w:rsidP="00245A85">
      <w:pPr>
        <w:pStyle w:val="TEKSTIIII"/>
        <w:rPr>
          <w:sz w:val="20"/>
        </w:rPr>
      </w:pPr>
    </w:p>
    <w:p w14:paraId="4C6407AD" w14:textId="77777777" w:rsidR="00763C7E" w:rsidRPr="00445472" w:rsidRDefault="00763C7E" w:rsidP="00245A85">
      <w:pPr>
        <w:pStyle w:val="TEKSTIIII"/>
        <w:rPr>
          <w:sz w:val="20"/>
        </w:rPr>
      </w:pPr>
    </w:p>
    <w:p w14:paraId="34875A3B" w14:textId="77777777" w:rsidR="00763C7E" w:rsidRPr="00445472" w:rsidRDefault="00763C7E" w:rsidP="00245A85">
      <w:pPr>
        <w:pStyle w:val="TEKSTIIII"/>
        <w:rPr>
          <w:sz w:val="20"/>
        </w:rPr>
      </w:pPr>
    </w:p>
    <w:p w14:paraId="479D4FDE" w14:textId="77777777" w:rsidR="00763C7E" w:rsidRPr="00445472" w:rsidRDefault="00763C7E" w:rsidP="00245A85">
      <w:pPr>
        <w:pStyle w:val="TEKSTIIII"/>
        <w:rPr>
          <w:sz w:val="20"/>
        </w:rPr>
      </w:pPr>
    </w:p>
    <w:p w14:paraId="790DC798" w14:textId="77777777" w:rsidR="00763C7E" w:rsidRPr="00445472" w:rsidRDefault="00763C7E" w:rsidP="00245A85">
      <w:pPr>
        <w:pStyle w:val="TEKSTIIII"/>
        <w:rPr>
          <w:sz w:val="20"/>
        </w:rPr>
      </w:pPr>
    </w:p>
    <w:p w14:paraId="20AF0B28" w14:textId="77777777" w:rsidR="00763C7E" w:rsidRPr="00445472" w:rsidRDefault="00763C7E" w:rsidP="00245A85">
      <w:pPr>
        <w:pStyle w:val="TEKSTIIII"/>
        <w:rPr>
          <w:sz w:val="20"/>
        </w:rPr>
      </w:pPr>
    </w:p>
    <w:p w14:paraId="764BB799" w14:textId="77777777" w:rsidR="00763C7E" w:rsidRPr="00445472" w:rsidRDefault="00763C7E" w:rsidP="00245A85">
      <w:pPr>
        <w:pStyle w:val="TEKSTIIII"/>
        <w:rPr>
          <w:sz w:val="20"/>
        </w:rPr>
      </w:pPr>
    </w:p>
    <w:p w14:paraId="51CF6004" w14:textId="77777777" w:rsidR="00763C7E" w:rsidRPr="00445472" w:rsidRDefault="00763C7E" w:rsidP="00245A85">
      <w:pPr>
        <w:pStyle w:val="TEKSTIIII"/>
        <w:rPr>
          <w:sz w:val="20"/>
        </w:rPr>
      </w:pPr>
    </w:p>
    <w:p w14:paraId="1BA367FA" w14:textId="77777777" w:rsidR="00763C7E" w:rsidRPr="00445472" w:rsidRDefault="00763C7E" w:rsidP="00245A85">
      <w:pPr>
        <w:pStyle w:val="TEKSTIIII"/>
        <w:rPr>
          <w:sz w:val="20"/>
        </w:rPr>
      </w:pPr>
    </w:p>
    <w:p w14:paraId="66D89239" w14:textId="77777777" w:rsidR="00763C7E" w:rsidRPr="00445472" w:rsidRDefault="00763C7E" w:rsidP="00245A85">
      <w:pPr>
        <w:pStyle w:val="TEKSTIIII"/>
        <w:rPr>
          <w:sz w:val="20"/>
        </w:rPr>
      </w:pPr>
    </w:p>
    <w:p w14:paraId="1D6E7B96" w14:textId="77777777" w:rsidR="00763C7E" w:rsidRPr="00445472" w:rsidRDefault="00763C7E" w:rsidP="00245A85">
      <w:pPr>
        <w:pStyle w:val="TEKSTIIII"/>
        <w:rPr>
          <w:sz w:val="20"/>
        </w:rPr>
      </w:pPr>
    </w:p>
    <w:p w14:paraId="3287EC08" w14:textId="77777777" w:rsidR="00763C7E" w:rsidRPr="00445472" w:rsidRDefault="00763C7E" w:rsidP="00245A85">
      <w:pPr>
        <w:pStyle w:val="TEKSTIIII"/>
        <w:rPr>
          <w:sz w:val="20"/>
        </w:rPr>
      </w:pPr>
    </w:p>
    <w:p w14:paraId="2376ADC6" w14:textId="77777777" w:rsidR="00763C7E" w:rsidRPr="00445472" w:rsidRDefault="00763C7E" w:rsidP="00245A85">
      <w:pPr>
        <w:pStyle w:val="TEKSTIIII"/>
        <w:rPr>
          <w:sz w:val="20"/>
        </w:rPr>
      </w:pPr>
    </w:p>
    <w:p w14:paraId="1AF5479E" w14:textId="77777777" w:rsidR="00763C7E" w:rsidRPr="00445472" w:rsidRDefault="00763C7E" w:rsidP="00245A85">
      <w:pPr>
        <w:pStyle w:val="TEKSTIIII"/>
        <w:rPr>
          <w:sz w:val="20"/>
        </w:rPr>
      </w:pPr>
    </w:p>
    <w:p w14:paraId="4EC94533" w14:textId="77777777" w:rsidR="00763C7E" w:rsidRPr="00445472" w:rsidRDefault="00763C7E" w:rsidP="00245A85">
      <w:pPr>
        <w:pStyle w:val="TEKSTIIII"/>
        <w:rPr>
          <w:sz w:val="20"/>
        </w:rPr>
      </w:pPr>
    </w:p>
    <w:p w14:paraId="1A709656" w14:textId="77777777" w:rsidR="00763C7E" w:rsidRPr="00445472" w:rsidRDefault="00763C7E" w:rsidP="00245A85">
      <w:pPr>
        <w:pStyle w:val="TEKSTIIII"/>
        <w:rPr>
          <w:sz w:val="20"/>
        </w:rPr>
      </w:pPr>
    </w:p>
    <w:p w14:paraId="6C442ECA" w14:textId="77777777" w:rsidR="00763C7E" w:rsidRPr="00445472" w:rsidRDefault="00763C7E" w:rsidP="00245A85">
      <w:pPr>
        <w:pStyle w:val="TEKSTIIII"/>
        <w:rPr>
          <w:sz w:val="20"/>
        </w:rPr>
      </w:pPr>
    </w:p>
    <w:p w14:paraId="0EC3FB83" w14:textId="77777777" w:rsidR="00763C7E" w:rsidRPr="00445472" w:rsidRDefault="00763C7E" w:rsidP="00245A85">
      <w:pPr>
        <w:pStyle w:val="TEKSTIIII"/>
        <w:rPr>
          <w:sz w:val="20"/>
        </w:rPr>
      </w:pPr>
    </w:p>
    <w:p w14:paraId="0F949B72" w14:textId="77777777" w:rsidR="00763C7E" w:rsidRPr="00445472" w:rsidRDefault="00763C7E" w:rsidP="00245A85">
      <w:pPr>
        <w:pStyle w:val="TEKSTIIII"/>
        <w:rPr>
          <w:sz w:val="20"/>
        </w:rPr>
      </w:pPr>
    </w:p>
    <w:p w14:paraId="531C297F" w14:textId="77777777" w:rsidR="00763C7E" w:rsidRPr="00445472" w:rsidRDefault="00763C7E" w:rsidP="00245A85">
      <w:pPr>
        <w:pStyle w:val="TEKSTIIII"/>
        <w:rPr>
          <w:sz w:val="20"/>
        </w:rPr>
      </w:pPr>
    </w:p>
    <w:p w14:paraId="505D72B4" w14:textId="77777777" w:rsidR="00763C7E" w:rsidRPr="00445472" w:rsidRDefault="00763C7E" w:rsidP="00763C7E">
      <w:pPr>
        <w:pStyle w:val="NENTITULL"/>
      </w:pPr>
      <w:r w:rsidRPr="00445472">
        <w:t>Tabela A 2. 6: Parametra specifikë në terren</w:t>
      </w:r>
    </w:p>
    <w:tbl>
      <w:tblPr>
        <w:tblW w:w="8463"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596"/>
        <w:gridCol w:w="5167"/>
        <w:gridCol w:w="990"/>
        <w:gridCol w:w="1710"/>
      </w:tblGrid>
      <w:tr w:rsidR="00763C7E" w:rsidRPr="00445472" w14:paraId="06C0EE1A" w14:textId="77777777" w:rsidTr="002A1F08">
        <w:trPr>
          <w:trHeight w:val="570"/>
          <w:tblHeader/>
          <w:jc w:val="center"/>
        </w:trPr>
        <w:tc>
          <w:tcPr>
            <w:tcW w:w="8463" w:type="dxa"/>
            <w:gridSpan w:val="4"/>
            <w:vMerge w:val="restart"/>
            <w:shd w:val="clear" w:color="auto" w:fill="DBE5F1"/>
            <w:noWrap/>
            <w:vAlign w:val="center"/>
            <w:hideMark/>
          </w:tcPr>
          <w:p w14:paraId="2C063F8E" w14:textId="62FEF46C" w:rsidR="00763C7E" w:rsidRPr="00445472" w:rsidRDefault="00763C7E" w:rsidP="0053359F">
            <w:pPr>
              <w:pStyle w:val="TableTextCentre"/>
              <w:spacing w:before="22" w:after="22"/>
              <w:ind w:right="63"/>
              <w:rPr>
                <w:rFonts w:ascii="Garamond" w:hAnsi="Garamond"/>
                <w:lang w:val="sq-AL"/>
              </w:rPr>
            </w:pPr>
            <w:r w:rsidRPr="00445472">
              <w:rPr>
                <w:rFonts w:ascii="Garamond" w:hAnsi="Garamond"/>
                <w:lang w:val="sq-AL"/>
              </w:rPr>
              <w:t>Parametra specifik</w:t>
            </w:r>
            <w:r w:rsidR="0053359F" w:rsidRPr="00445472">
              <w:rPr>
                <w:rFonts w:ascii="Garamond" w:hAnsi="Garamond"/>
                <w:lang w:val="sq-AL"/>
              </w:rPr>
              <w:t>ë</w:t>
            </w:r>
            <w:r w:rsidRPr="00445472">
              <w:rPr>
                <w:rFonts w:ascii="Garamond" w:hAnsi="Garamond"/>
                <w:lang w:val="sq-AL"/>
              </w:rPr>
              <w:t xml:space="preserve"> në terren</w:t>
            </w:r>
          </w:p>
        </w:tc>
      </w:tr>
      <w:tr w:rsidR="00763C7E" w:rsidRPr="00445472" w14:paraId="34013C0A" w14:textId="77777777" w:rsidTr="00763C7E">
        <w:trPr>
          <w:trHeight w:val="224"/>
          <w:tblHeader/>
          <w:jc w:val="center"/>
        </w:trPr>
        <w:tc>
          <w:tcPr>
            <w:tcW w:w="8463" w:type="dxa"/>
            <w:gridSpan w:val="4"/>
            <w:vMerge/>
            <w:shd w:val="clear" w:color="auto" w:fill="DBE5F1"/>
            <w:vAlign w:val="center"/>
            <w:hideMark/>
          </w:tcPr>
          <w:p w14:paraId="327B01CF" w14:textId="77777777" w:rsidR="00763C7E" w:rsidRPr="00445472" w:rsidRDefault="00763C7E" w:rsidP="002A1F08">
            <w:pPr>
              <w:pStyle w:val="TableTextCentre"/>
              <w:spacing w:before="22" w:after="22"/>
              <w:ind w:right="63"/>
              <w:rPr>
                <w:rFonts w:ascii="Garamond" w:hAnsi="Garamond"/>
                <w:lang w:val="sq-AL"/>
              </w:rPr>
            </w:pPr>
          </w:p>
        </w:tc>
      </w:tr>
      <w:tr w:rsidR="00763C7E" w:rsidRPr="00445472" w14:paraId="119612BB" w14:textId="77777777" w:rsidTr="002A1F08">
        <w:trPr>
          <w:trHeight w:val="570"/>
          <w:jc w:val="center"/>
        </w:trPr>
        <w:tc>
          <w:tcPr>
            <w:tcW w:w="8463" w:type="dxa"/>
            <w:gridSpan w:val="4"/>
            <w:vMerge w:val="restart"/>
            <w:shd w:val="clear" w:color="auto" w:fill="FDE9D9"/>
            <w:vAlign w:val="center"/>
            <w:hideMark/>
          </w:tcPr>
          <w:p w14:paraId="2E691D4E" w14:textId="125DDB95"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3a. Pesticide dhe herbicide                                                                                                                                                                                                      (</w:t>
            </w:r>
            <w:r w:rsidR="0053359F" w:rsidRPr="00445472">
              <w:rPr>
                <w:rFonts w:ascii="Garamond" w:hAnsi="Garamond"/>
                <w:lang w:val="sq-AL"/>
              </w:rPr>
              <w:t xml:space="preserve">përfshirë </w:t>
            </w:r>
            <w:r w:rsidRPr="00445472">
              <w:rPr>
                <w:rFonts w:ascii="Garamond" w:hAnsi="Garamond"/>
                <w:lang w:val="sq-AL"/>
              </w:rPr>
              <w:t>pesticide, herbicide, insekticide, biocide, akaricide, slimicide, algicide, fungicide</w:t>
            </w:r>
            <w:r w:rsidR="00084DB9" w:rsidRPr="00445472">
              <w:rPr>
                <w:rFonts w:ascii="Garamond" w:hAnsi="Garamond"/>
                <w:lang w:val="sq-AL"/>
              </w:rPr>
              <w:t xml:space="preserve"> etj.</w:t>
            </w:r>
            <w:r w:rsidRPr="00445472">
              <w:rPr>
                <w:rFonts w:ascii="Garamond" w:hAnsi="Garamond"/>
                <w:lang w:val="sq-AL"/>
              </w:rPr>
              <w:t>)</w:t>
            </w:r>
          </w:p>
        </w:tc>
      </w:tr>
      <w:tr w:rsidR="00763C7E" w:rsidRPr="00445472" w14:paraId="0ABE58DE" w14:textId="77777777" w:rsidTr="00763C7E">
        <w:trPr>
          <w:trHeight w:val="224"/>
          <w:jc w:val="center"/>
        </w:trPr>
        <w:tc>
          <w:tcPr>
            <w:tcW w:w="8463" w:type="dxa"/>
            <w:gridSpan w:val="4"/>
            <w:vMerge/>
            <w:shd w:val="clear" w:color="auto" w:fill="FDE9D9"/>
            <w:vAlign w:val="center"/>
            <w:hideMark/>
          </w:tcPr>
          <w:p w14:paraId="455937CC" w14:textId="77777777" w:rsidR="00763C7E" w:rsidRPr="00445472" w:rsidRDefault="00763C7E" w:rsidP="002A1F08">
            <w:pPr>
              <w:pStyle w:val="TableTextCentre"/>
              <w:spacing w:before="22" w:after="22"/>
              <w:ind w:right="63"/>
              <w:rPr>
                <w:rFonts w:ascii="Garamond" w:hAnsi="Garamond"/>
                <w:lang w:val="sq-AL"/>
              </w:rPr>
            </w:pPr>
          </w:p>
        </w:tc>
      </w:tr>
      <w:tr w:rsidR="00763C7E" w:rsidRPr="00445472" w14:paraId="244C9590" w14:textId="77777777" w:rsidTr="002A1F08">
        <w:trPr>
          <w:trHeight w:val="300"/>
          <w:jc w:val="center"/>
        </w:trPr>
        <w:tc>
          <w:tcPr>
            <w:tcW w:w="596" w:type="dxa"/>
            <w:shd w:val="clear" w:color="000000" w:fill="FFFFFF"/>
            <w:noWrap/>
            <w:vAlign w:val="center"/>
            <w:hideMark/>
          </w:tcPr>
          <w:p w14:paraId="4363E24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97</w:t>
            </w:r>
          </w:p>
        </w:tc>
        <w:tc>
          <w:tcPr>
            <w:tcW w:w="5167" w:type="dxa"/>
            <w:shd w:val="clear" w:color="000000" w:fill="FFFFFF"/>
            <w:noWrap/>
            <w:vAlign w:val="center"/>
            <w:hideMark/>
          </w:tcPr>
          <w:p w14:paraId="69EC053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 xml:space="preserve">Acidi metyiklorofenoksipropionik (Mecoprop) </w:t>
            </w:r>
          </w:p>
        </w:tc>
        <w:tc>
          <w:tcPr>
            <w:tcW w:w="990" w:type="dxa"/>
            <w:shd w:val="clear" w:color="000000" w:fill="FFFFFF"/>
            <w:noWrap/>
            <w:vAlign w:val="center"/>
            <w:hideMark/>
          </w:tcPr>
          <w:p w14:paraId="1E91303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2F3F6B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C06D05A" w14:textId="77777777" w:rsidTr="002A1F08">
        <w:trPr>
          <w:trHeight w:val="300"/>
          <w:jc w:val="center"/>
        </w:trPr>
        <w:tc>
          <w:tcPr>
            <w:tcW w:w="596" w:type="dxa"/>
            <w:shd w:val="clear" w:color="000000" w:fill="FFFFFF"/>
            <w:noWrap/>
            <w:vAlign w:val="center"/>
            <w:hideMark/>
          </w:tcPr>
          <w:p w14:paraId="291268F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98</w:t>
            </w:r>
          </w:p>
        </w:tc>
        <w:tc>
          <w:tcPr>
            <w:tcW w:w="5167" w:type="dxa"/>
            <w:shd w:val="clear" w:color="000000" w:fill="FFFFFF"/>
            <w:noWrap/>
            <w:vAlign w:val="center"/>
            <w:hideMark/>
          </w:tcPr>
          <w:p w14:paraId="42509EC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Acidi 2-metil-4-klorofenoksiacetik (MCPA)</w:t>
            </w:r>
          </w:p>
        </w:tc>
        <w:tc>
          <w:tcPr>
            <w:tcW w:w="990" w:type="dxa"/>
            <w:shd w:val="clear" w:color="000000" w:fill="FFFFFF"/>
            <w:noWrap/>
            <w:vAlign w:val="center"/>
            <w:hideMark/>
          </w:tcPr>
          <w:p w14:paraId="29E8C94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27DB7F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27F8926" w14:textId="77777777" w:rsidTr="002A1F08">
        <w:trPr>
          <w:trHeight w:val="300"/>
          <w:jc w:val="center"/>
        </w:trPr>
        <w:tc>
          <w:tcPr>
            <w:tcW w:w="596" w:type="dxa"/>
            <w:shd w:val="clear" w:color="000000" w:fill="FFFFFF"/>
            <w:noWrap/>
            <w:vAlign w:val="center"/>
            <w:hideMark/>
          </w:tcPr>
          <w:p w14:paraId="7C73D5D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99</w:t>
            </w:r>
          </w:p>
        </w:tc>
        <w:tc>
          <w:tcPr>
            <w:tcW w:w="5167" w:type="dxa"/>
            <w:shd w:val="clear" w:color="000000" w:fill="FFFFFF"/>
            <w:noWrap/>
            <w:vAlign w:val="center"/>
            <w:hideMark/>
          </w:tcPr>
          <w:p w14:paraId="02DEE44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Oksidemeton-metil</w:t>
            </w:r>
          </w:p>
        </w:tc>
        <w:tc>
          <w:tcPr>
            <w:tcW w:w="990" w:type="dxa"/>
            <w:shd w:val="clear" w:color="000000" w:fill="FFFFFF"/>
            <w:noWrap/>
            <w:vAlign w:val="center"/>
            <w:hideMark/>
          </w:tcPr>
          <w:p w14:paraId="3BE875E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FFFC6E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7C718B2" w14:textId="77777777" w:rsidTr="002A1F08">
        <w:trPr>
          <w:trHeight w:val="300"/>
          <w:jc w:val="center"/>
        </w:trPr>
        <w:tc>
          <w:tcPr>
            <w:tcW w:w="596" w:type="dxa"/>
            <w:shd w:val="clear" w:color="000000" w:fill="FFFFFF"/>
            <w:noWrap/>
            <w:vAlign w:val="center"/>
            <w:hideMark/>
          </w:tcPr>
          <w:p w14:paraId="21BD7E3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100</w:t>
            </w:r>
          </w:p>
        </w:tc>
        <w:tc>
          <w:tcPr>
            <w:tcW w:w="5167" w:type="dxa"/>
            <w:shd w:val="clear" w:color="000000" w:fill="FFFFFF"/>
            <w:noWrap/>
            <w:vAlign w:val="center"/>
            <w:hideMark/>
          </w:tcPr>
          <w:p w14:paraId="7D9F4D0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Kloridazon (Pirazon)</w:t>
            </w:r>
          </w:p>
        </w:tc>
        <w:tc>
          <w:tcPr>
            <w:tcW w:w="990" w:type="dxa"/>
            <w:shd w:val="clear" w:color="000000" w:fill="FFFFFF"/>
            <w:noWrap/>
            <w:vAlign w:val="center"/>
            <w:hideMark/>
          </w:tcPr>
          <w:p w14:paraId="635C0CD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D649C2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B200499" w14:textId="77777777" w:rsidTr="002A1F08">
        <w:trPr>
          <w:trHeight w:val="300"/>
          <w:jc w:val="center"/>
        </w:trPr>
        <w:tc>
          <w:tcPr>
            <w:tcW w:w="596" w:type="dxa"/>
            <w:shd w:val="clear" w:color="000000" w:fill="FFFFFF"/>
            <w:noWrap/>
            <w:vAlign w:val="center"/>
            <w:hideMark/>
          </w:tcPr>
          <w:p w14:paraId="2C0B5C0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101</w:t>
            </w:r>
          </w:p>
        </w:tc>
        <w:tc>
          <w:tcPr>
            <w:tcW w:w="5167" w:type="dxa"/>
            <w:shd w:val="clear" w:color="000000" w:fill="FFFFFF"/>
            <w:noWrap/>
            <w:vAlign w:val="center"/>
            <w:hideMark/>
          </w:tcPr>
          <w:p w14:paraId="4AD639A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Triklorfon</w:t>
            </w:r>
          </w:p>
        </w:tc>
        <w:tc>
          <w:tcPr>
            <w:tcW w:w="990" w:type="dxa"/>
            <w:shd w:val="clear" w:color="000000" w:fill="FFFFFF"/>
            <w:noWrap/>
            <w:vAlign w:val="center"/>
            <w:hideMark/>
          </w:tcPr>
          <w:p w14:paraId="176EB5F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D4715E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1F55AF9" w14:textId="77777777" w:rsidTr="002A1F08">
        <w:trPr>
          <w:trHeight w:val="300"/>
          <w:jc w:val="center"/>
        </w:trPr>
        <w:tc>
          <w:tcPr>
            <w:tcW w:w="596" w:type="dxa"/>
            <w:shd w:val="clear" w:color="000000" w:fill="FFFFFF"/>
            <w:noWrap/>
            <w:vAlign w:val="center"/>
            <w:hideMark/>
          </w:tcPr>
          <w:p w14:paraId="165D5EF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102</w:t>
            </w:r>
          </w:p>
        </w:tc>
        <w:tc>
          <w:tcPr>
            <w:tcW w:w="5167" w:type="dxa"/>
            <w:shd w:val="clear" w:color="000000" w:fill="FFFFFF"/>
            <w:noWrap/>
            <w:vAlign w:val="center"/>
            <w:hideMark/>
          </w:tcPr>
          <w:p w14:paraId="170FF2A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Malation</w:t>
            </w:r>
          </w:p>
        </w:tc>
        <w:tc>
          <w:tcPr>
            <w:tcW w:w="990" w:type="dxa"/>
            <w:shd w:val="clear" w:color="000000" w:fill="FFFFFF"/>
            <w:noWrap/>
            <w:vAlign w:val="center"/>
            <w:hideMark/>
          </w:tcPr>
          <w:p w14:paraId="59DDE0B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002AEB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E78B1A6" w14:textId="77777777" w:rsidTr="002A1F08">
        <w:trPr>
          <w:trHeight w:val="300"/>
          <w:jc w:val="center"/>
        </w:trPr>
        <w:tc>
          <w:tcPr>
            <w:tcW w:w="596" w:type="dxa"/>
            <w:shd w:val="clear" w:color="000000" w:fill="FFFFFF"/>
            <w:noWrap/>
            <w:vAlign w:val="center"/>
            <w:hideMark/>
          </w:tcPr>
          <w:p w14:paraId="6CB0010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103</w:t>
            </w:r>
          </w:p>
        </w:tc>
        <w:tc>
          <w:tcPr>
            <w:tcW w:w="5167" w:type="dxa"/>
            <w:shd w:val="clear" w:color="000000" w:fill="FFFFFF"/>
            <w:noWrap/>
            <w:vAlign w:val="center"/>
            <w:hideMark/>
          </w:tcPr>
          <w:p w14:paraId="3723A1F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Benzaton</w:t>
            </w:r>
          </w:p>
        </w:tc>
        <w:tc>
          <w:tcPr>
            <w:tcW w:w="990" w:type="dxa"/>
            <w:shd w:val="clear" w:color="000000" w:fill="FFFFFF"/>
            <w:noWrap/>
            <w:vAlign w:val="center"/>
            <w:hideMark/>
          </w:tcPr>
          <w:p w14:paraId="6D0A2EE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AB6B63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D2FF975" w14:textId="77777777" w:rsidTr="002A1F08">
        <w:trPr>
          <w:trHeight w:val="300"/>
          <w:jc w:val="center"/>
        </w:trPr>
        <w:tc>
          <w:tcPr>
            <w:tcW w:w="596" w:type="dxa"/>
            <w:shd w:val="clear" w:color="000000" w:fill="FFFFFF"/>
            <w:noWrap/>
            <w:vAlign w:val="center"/>
            <w:hideMark/>
          </w:tcPr>
          <w:p w14:paraId="4743EF1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104</w:t>
            </w:r>
          </w:p>
        </w:tc>
        <w:tc>
          <w:tcPr>
            <w:tcW w:w="5167" w:type="dxa"/>
            <w:shd w:val="clear" w:color="000000" w:fill="FFFFFF"/>
            <w:noWrap/>
            <w:vAlign w:val="center"/>
            <w:hideMark/>
          </w:tcPr>
          <w:p w14:paraId="143831A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Linuron</w:t>
            </w:r>
          </w:p>
        </w:tc>
        <w:tc>
          <w:tcPr>
            <w:tcW w:w="990" w:type="dxa"/>
            <w:shd w:val="clear" w:color="000000" w:fill="FFFFFF"/>
            <w:noWrap/>
            <w:vAlign w:val="center"/>
            <w:hideMark/>
          </w:tcPr>
          <w:p w14:paraId="4AD4B30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CE4B63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F4F6523" w14:textId="77777777" w:rsidTr="002A1F08">
        <w:trPr>
          <w:trHeight w:val="300"/>
          <w:jc w:val="center"/>
        </w:trPr>
        <w:tc>
          <w:tcPr>
            <w:tcW w:w="596" w:type="dxa"/>
            <w:shd w:val="clear" w:color="000000" w:fill="FFFFFF"/>
            <w:noWrap/>
            <w:vAlign w:val="center"/>
            <w:hideMark/>
          </w:tcPr>
          <w:p w14:paraId="4481D94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105</w:t>
            </w:r>
          </w:p>
        </w:tc>
        <w:tc>
          <w:tcPr>
            <w:tcW w:w="5167" w:type="dxa"/>
            <w:shd w:val="clear" w:color="000000" w:fill="FFFFFF"/>
            <w:noWrap/>
            <w:vAlign w:val="center"/>
            <w:hideMark/>
          </w:tcPr>
          <w:p w14:paraId="4479D94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Monolinuron</w:t>
            </w:r>
          </w:p>
        </w:tc>
        <w:tc>
          <w:tcPr>
            <w:tcW w:w="990" w:type="dxa"/>
            <w:shd w:val="clear" w:color="000000" w:fill="FFFFFF"/>
            <w:noWrap/>
            <w:vAlign w:val="center"/>
            <w:hideMark/>
          </w:tcPr>
          <w:p w14:paraId="11915A2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03B559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87B7F15" w14:textId="77777777" w:rsidTr="002A1F08">
        <w:trPr>
          <w:trHeight w:val="300"/>
          <w:jc w:val="center"/>
        </w:trPr>
        <w:tc>
          <w:tcPr>
            <w:tcW w:w="596" w:type="dxa"/>
            <w:shd w:val="clear" w:color="000000" w:fill="FFFFFF"/>
            <w:noWrap/>
            <w:vAlign w:val="center"/>
            <w:hideMark/>
          </w:tcPr>
          <w:p w14:paraId="33E7BD0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106</w:t>
            </w:r>
          </w:p>
        </w:tc>
        <w:tc>
          <w:tcPr>
            <w:tcW w:w="5167" w:type="dxa"/>
            <w:shd w:val="clear" w:color="000000" w:fill="FFFFFF"/>
            <w:noWrap/>
            <w:vAlign w:val="center"/>
            <w:hideMark/>
          </w:tcPr>
          <w:p w14:paraId="5C4C13D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Dimetoat</w:t>
            </w:r>
          </w:p>
        </w:tc>
        <w:tc>
          <w:tcPr>
            <w:tcW w:w="990" w:type="dxa"/>
            <w:shd w:val="clear" w:color="000000" w:fill="FFFFFF"/>
            <w:noWrap/>
            <w:vAlign w:val="center"/>
            <w:hideMark/>
          </w:tcPr>
          <w:p w14:paraId="6DA28F9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06CC98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9DC586A" w14:textId="77777777" w:rsidTr="002A1F08">
        <w:trPr>
          <w:trHeight w:val="300"/>
          <w:jc w:val="center"/>
        </w:trPr>
        <w:tc>
          <w:tcPr>
            <w:tcW w:w="596" w:type="dxa"/>
            <w:shd w:val="clear" w:color="000000" w:fill="FFFFFF"/>
            <w:noWrap/>
            <w:vAlign w:val="center"/>
            <w:hideMark/>
          </w:tcPr>
          <w:p w14:paraId="74C70FF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107</w:t>
            </w:r>
          </w:p>
        </w:tc>
        <w:tc>
          <w:tcPr>
            <w:tcW w:w="5167" w:type="dxa"/>
            <w:shd w:val="clear" w:color="000000" w:fill="FFFFFF"/>
            <w:noWrap/>
            <w:vAlign w:val="center"/>
            <w:hideMark/>
          </w:tcPr>
          <w:p w14:paraId="13BC273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Diklorprop</w:t>
            </w:r>
          </w:p>
        </w:tc>
        <w:tc>
          <w:tcPr>
            <w:tcW w:w="990" w:type="dxa"/>
            <w:shd w:val="clear" w:color="000000" w:fill="FFFFFF"/>
            <w:noWrap/>
            <w:vAlign w:val="center"/>
            <w:hideMark/>
          </w:tcPr>
          <w:p w14:paraId="34390A2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B4825B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EF6CCC5" w14:textId="77777777" w:rsidTr="002A1F08">
        <w:trPr>
          <w:trHeight w:val="300"/>
          <w:jc w:val="center"/>
        </w:trPr>
        <w:tc>
          <w:tcPr>
            <w:tcW w:w="596" w:type="dxa"/>
            <w:shd w:val="clear" w:color="000000" w:fill="FFFFFF"/>
            <w:noWrap/>
            <w:vAlign w:val="center"/>
            <w:hideMark/>
          </w:tcPr>
          <w:p w14:paraId="4538C06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108</w:t>
            </w:r>
          </w:p>
        </w:tc>
        <w:tc>
          <w:tcPr>
            <w:tcW w:w="5167" w:type="dxa"/>
            <w:shd w:val="clear" w:color="000000" w:fill="FFFFFF"/>
            <w:noWrap/>
            <w:vAlign w:val="center"/>
            <w:hideMark/>
          </w:tcPr>
          <w:p w14:paraId="2D3A572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Azoksistrobin</w:t>
            </w:r>
          </w:p>
        </w:tc>
        <w:tc>
          <w:tcPr>
            <w:tcW w:w="990" w:type="dxa"/>
            <w:shd w:val="clear" w:color="000000" w:fill="FFFFFF"/>
            <w:noWrap/>
            <w:vAlign w:val="center"/>
            <w:hideMark/>
          </w:tcPr>
          <w:p w14:paraId="322F742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187B9F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6B1D4AE" w14:textId="77777777" w:rsidTr="002A1F08">
        <w:trPr>
          <w:trHeight w:val="300"/>
          <w:jc w:val="center"/>
        </w:trPr>
        <w:tc>
          <w:tcPr>
            <w:tcW w:w="596" w:type="dxa"/>
            <w:shd w:val="clear" w:color="000000" w:fill="FFFFFF"/>
            <w:noWrap/>
            <w:vAlign w:val="center"/>
            <w:hideMark/>
          </w:tcPr>
          <w:p w14:paraId="4D1A5B5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109</w:t>
            </w:r>
          </w:p>
        </w:tc>
        <w:tc>
          <w:tcPr>
            <w:tcW w:w="5167" w:type="dxa"/>
            <w:shd w:val="clear" w:color="000000" w:fill="FFFFFF"/>
            <w:noWrap/>
            <w:vAlign w:val="center"/>
            <w:hideMark/>
          </w:tcPr>
          <w:p w14:paraId="072ECDC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Karbofuran</w:t>
            </w:r>
          </w:p>
        </w:tc>
        <w:tc>
          <w:tcPr>
            <w:tcW w:w="990" w:type="dxa"/>
            <w:shd w:val="clear" w:color="000000" w:fill="FFFFFF"/>
            <w:noWrap/>
            <w:vAlign w:val="center"/>
            <w:hideMark/>
          </w:tcPr>
          <w:p w14:paraId="299A305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B3CCDD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B99C4BF" w14:textId="77777777" w:rsidTr="002A1F08">
        <w:trPr>
          <w:trHeight w:val="300"/>
          <w:jc w:val="center"/>
        </w:trPr>
        <w:tc>
          <w:tcPr>
            <w:tcW w:w="596" w:type="dxa"/>
            <w:shd w:val="clear" w:color="000000" w:fill="FFFFFF"/>
            <w:noWrap/>
            <w:vAlign w:val="center"/>
            <w:hideMark/>
          </w:tcPr>
          <w:p w14:paraId="6F38B85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110</w:t>
            </w:r>
          </w:p>
        </w:tc>
        <w:tc>
          <w:tcPr>
            <w:tcW w:w="5167" w:type="dxa"/>
            <w:shd w:val="clear" w:color="000000" w:fill="FFFFFF"/>
            <w:noWrap/>
            <w:vAlign w:val="center"/>
            <w:hideMark/>
          </w:tcPr>
          <w:p w14:paraId="6E04534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Kaptan</w:t>
            </w:r>
          </w:p>
        </w:tc>
        <w:tc>
          <w:tcPr>
            <w:tcW w:w="990" w:type="dxa"/>
            <w:shd w:val="clear" w:color="000000" w:fill="FFFFFF"/>
            <w:noWrap/>
            <w:vAlign w:val="center"/>
            <w:hideMark/>
          </w:tcPr>
          <w:p w14:paraId="36FC49E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7ACCF4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38E6917" w14:textId="77777777" w:rsidTr="002A1F08">
        <w:trPr>
          <w:trHeight w:val="300"/>
          <w:jc w:val="center"/>
        </w:trPr>
        <w:tc>
          <w:tcPr>
            <w:tcW w:w="596" w:type="dxa"/>
            <w:shd w:val="clear" w:color="000000" w:fill="FFFFFF"/>
            <w:noWrap/>
            <w:vAlign w:val="center"/>
            <w:hideMark/>
          </w:tcPr>
          <w:p w14:paraId="251D8BF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111</w:t>
            </w:r>
          </w:p>
        </w:tc>
        <w:tc>
          <w:tcPr>
            <w:tcW w:w="5167" w:type="dxa"/>
            <w:shd w:val="clear" w:color="000000" w:fill="FFFFFF"/>
            <w:noWrap/>
            <w:vAlign w:val="center"/>
            <w:hideMark/>
          </w:tcPr>
          <w:p w14:paraId="798F152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Karbendazim</w:t>
            </w:r>
          </w:p>
        </w:tc>
        <w:tc>
          <w:tcPr>
            <w:tcW w:w="990" w:type="dxa"/>
            <w:shd w:val="clear" w:color="000000" w:fill="FFFFFF"/>
            <w:noWrap/>
            <w:vAlign w:val="center"/>
            <w:hideMark/>
          </w:tcPr>
          <w:p w14:paraId="012BB9F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589D3C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A1FEC3C" w14:textId="77777777" w:rsidTr="002A1F08">
        <w:trPr>
          <w:trHeight w:val="300"/>
          <w:jc w:val="center"/>
        </w:trPr>
        <w:tc>
          <w:tcPr>
            <w:tcW w:w="596" w:type="dxa"/>
            <w:shd w:val="clear" w:color="000000" w:fill="FFFFFF"/>
            <w:noWrap/>
            <w:vAlign w:val="center"/>
            <w:hideMark/>
          </w:tcPr>
          <w:p w14:paraId="596256A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112</w:t>
            </w:r>
          </w:p>
        </w:tc>
        <w:tc>
          <w:tcPr>
            <w:tcW w:w="5167" w:type="dxa"/>
            <w:shd w:val="clear" w:color="000000" w:fill="FFFFFF"/>
            <w:noWrap/>
            <w:vAlign w:val="center"/>
            <w:hideMark/>
          </w:tcPr>
          <w:p w14:paraId="2CA22CB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Klormekuat</w:t>
            </w:r>
          </w:p>
        </w:tc>
        <w:tc>
          <w:tcPr>
            <w:tcW w:w="990" w:type="dxa"/>
            <w:shd w:val="clear" w:color="000000" w:fill="FFFFFF"/>
            <w:noWrap/>
            <w:vAlign w:val="center"/>
            <w:hideMark/>
          </w:tcPr>
          <w:p w14:paraId="64997C4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F41CB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A7A4F1C" w14:textId="77777777" w:rsidTr="002A1F08">
        <w:trPr>
          <w:trHeight w:val="300"/>
          <w:jc w:val="center"/>
        </w:trPr>
        <w:tc>
          <w:tcPr>
            <w:tcW w:w="596" w:type="dxa"/>
            <w:shd w:val="clear" w:color="000000" w:fill="FFFFFF"/>
            <w:noWrap/>
            <w:vAlign w:val="center"/>
            <w:hideMark/>
          </w:tcPr>
          <w:p w14:paraId="45B68F7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113</w:t>
            </w:r>
          </w:p>
        </w:tc>
        <w:tc>
          <w:tcPr>
            <w:tcW w:w="5167" w:type="dxa"/>
            <w:shd w:val="clear" w:color="000000" w:fill="FFFFFF"/>
            <w:noWrap/>
            <w:vAlign w:val="center"/>
            <w:hideMark/>
          </w:tcPr>
          <w:p w14:paraId="07A9AD2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Kipermetrin</w:t>
            </w:r>
          </w:p>
        </w:tc>
        <w:tc>
          <w:tcPr>
            <w:tcW w:w="990" w:type="dxa"/>
            <w:shd w:val="clear" w:color="000000" w:fill="FFFFFF"/>
            <w:noWrap/>
            <w:vAlign w:val="center"/>
            <w:hideMark/>
          </w:tcPr>
          <w:p w14:paraId="1363A4F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0BCEA6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BBD2FE2" w14:textId="77777777" w:rsidTr="002A1F08">
        <w:trPr>
          <w:trHeight w:val="300"/>
          <w:jc w:val="center"/>
        </w:trPr>
        <w:tc>
          <w:tcPr>
            <w:tcW w:w="596" w:type="dxa"/>
            <w:shd w:val="clear" w:color="000000" w:fill="FFFFFF"/>
            <w:noWrap/>
            <w:vAlign w:val="center"/>
            <w:hideMark/>
          </w:tcPr>
          <w:p w14:paraId="6139B43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114</w:t>
            </w:r>
          </w:p>
        </w:tc>
        <w:tc>
          <w:tcPr>
            <w:tcW w:w="5167" w:type="dxa"/>
            <w:shd w:val="clear" w:color="000000" w:fill="FFFFFF"/>
            <w:noWrap/>
            <w:vAlign w:val="center"/>
            <w:hideMark/>
          </w:tcPr>
          <w:p w14:paraId="7DC3BA6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Deltametrin</w:t>
            </w:r>
          </w:p>
        </w:tc>
        <w:tc>
          <w:tcPr>
            <w:tcW w:w="990" w:type="dxa"/>
            <w:shd w:val="clear" w:color="000000" w:fill="FFFFFF"/>
            <w:noWrap/>
            <w:vAlign w:val="center"/>
            <w:hideMark/>
          </w:tcPr>
          <w:p w14:paraId="58D22CF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214318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28FFCC8" w14:textId="77777777" w:rsidTr="002A1F08">
        <w:trPr>
          <w:trHeight w:val="300"/>
          <w:jc w:val="center"/>
        </w:trPr>
        <w:tc>
          <w:tcPr>
            <w:tcW w:w="596" w:type="dxa"/>
            <w:shd w:val="clear" w:color="000000" w:fill="FFFFFF"/>
            <w:noWrap/>
            <w:vAlign w:val="center"/>
            <w:hideMark/>
          </w:tcPr>
          <w:p w14:paraId="13E2C62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115</w:t>
            </w:r>
          </w:p>
        </w:tc>
        <w:tc>
          <w:tcPr>
            <w:tcW w:w="5167" w:type="dxa"/>
            <w:shd w:val="clear" w:color="000000" w:fill="FFFFFF"/>
            <w:noWrap/>
            <w:vAlign w:val="center"/>
            <w:hideMark/>
          </w:tcPr>
          <w:p w14:paraId="7DD8597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Epoksikonazol</w:t>
            </w:r>
          </w:p>
        </w:tc>
        <w:tc>
          <w:tcPr>
            <w:tcW w:w="990" w:type="dxa"/>
            <w:shd w:val="clear" w:color="000000" w:fill="FFFFFF"/>
            <w:noWrap/>
            <w:vAlign w:val="center"/>
            <w:hideMark/>
          </w:tcPr>
          <w:p w14:paraId="6FEE581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5B66D6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EFD68FC" w14:textId="77777777" w:rsidTr="002A1F08">
        <w:trPr>
          <w:trHeight w:val="300"/>
          <w:jc w:val="center"/>
        </w:trPr>
        <w:tc>
          <w:tcPr>
            <w:tcW w:w="596" w:type="dxa"/>
            <w:shd w:val="clear" w:color="000000" w:fill="FFFFFF"/>
            <w:noWrap/>
            <w:vAlign w:val="center"/>
            <w:hideMark/>
          </w:tcPr>
          <w:p w14:paraId="48E161D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116</w:t>
            </w:r>
          </w:p>
        </w:tc>
        <w:tc>
          <w:tcPr>
            <w:tcW w:w="5167" w:type="dxa"/>
            <w:shd w:val="clear" w:color="000000" w:fill="FFFFFF"/>
            <w:noWrap/>
            <w:vAlign w:val="center"/>
            <w:hideMark/>
          </w:tcPr>
          <w:p w14:paraId="097459F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Etoprofos</w:t>
            </w:r>
          </w:p>
        </w:tc>
        <w:tc>
          <w:tcPr>
            <w:tcW w:w="990" w:type="dxa"/>
            <w:shd w:val="clear" w:color="000000" w:fill="FFFFFF"/>
            <w:noWrap/>
            <w:vAlign w:val="center"/>
            <w:hideMark/>
          </w:tcPr>
          <w:p w14:paraId="4FAD1EA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F7E653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AE92249" w14:textId="77777777" w:rsidTr="002A1F08">
        <w:trPr>
          <w:trHeight w:val="300"/>
          <w:jc w:val="center"/>
        </w:trPr>
        <w:tc>
          <w:tcPr>
            <w:tcW w:w="596" w:type="dxa"/>
            <w:shd w:val="clear" w:color="000000" w:fill="FFFFFF"/>
            <w:noWrap/>
            <w:vAlign w:val="center"/>
            <w:hideMark/>
          </w:tcPr>
          <w:p w14:paraId="0AB1775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117</w:t>
            </w:r>
          </w:p>
        </w:tc>
        <w:tc>
          <w:tcPr>
            <w:tcW w:w="5167" w:type="dxa"/>
            <w:shd w:val="clear" w:color="000000" w:fill="FFFFFF"/>
            <w:noWrap/>
            <w:vAlign w:val="center"/>
            <w:hideMark/>
          </w:tcPr>
          <w:p w14:paraId="553D39A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Fenpropimorf</w:t>
            </w:r>
          </w:p>
        </w:tc>
        <w:tc>
          <w:tcPr>
            <w:tcW w:w="990" w:type="dxa"/>
            <w:shd w:val="clear" w:color="000000" w:fill="FFFFFF"/>
            <w:noWrap/>
            <w:vAlign w:val="center"/>
            <w:hideMark/>
          </w:tcPr>
          <w:p w14:paraId="28DA643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D44291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E6A09B2" w14:textId="77777777" w:rsidTr="002A1F08">
        <w:trPr>
          <w:trHeight w:val="300"/>
          <w:jc w:val="center"/>
        </w:trPr>
        <w:tc>
          <w:tcPr>
            <w:tcW w:w="596" w:type="dxa"/>
            <w:shd w:val="clear" w:color="000000" w:fill="FFFFFF"/>
            <w:noWrap/>
            <w:vAlign w:val="center"/>
            <w:hideMark/>
          </w:tcPr>
          <w:p w14:paraId="7CD5169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118</w:t>
            </w:r>
          </w:p>
        </w:tc>
        <w:tc>
          <w:tcPr>
            <w:tcW w:w="5167" w:type="dxa"/>
            <w:shd w:val="clear" w:color="000000" w:fill="FFFFFF"/>
            <w:noWrap/>
            <w:vAlign w:val="center"/>
            <w:hideMark/>
          </w:tcPr>
          <w:p w14:paraId="15CFC6E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Sulfat hekuri</w:t>
            </w:r>
          </w:p>
        </w:tc>
        <w:tc>
          <w:tcPr>
            <w:tcW w:w="990" w:type="dxa"/>
            <w:shd w:val="clear" w:color="000000" w:fill="FFFFFF"/>
            <w:noWrap/>
            <w:vAlign w:val="center"/>
            <w:hideMark/>
          </w:tcPr>
          <w:p w14:paraId="5F0DE96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3BEEB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0E017F8" w14:textId="77777777" w:rsidTr="002A1F08">
        <w:trPr>
          <w:trHeight w:val="300"/>
          <w:jc w:val="center"/>
        </w:trPr>
        <w:tc>
          <w:tcPr>
            <w:tcW w:w="596" w:type="dxa"/>
            <w:shd w:val="clear" w:color="000000" w:fill="FFFFFF"/>
            <w:noWrap/>
            <w:vAlign w:val="center"/>
            <w:hideMark/>
          </w:tcPr>
          <w:p w14:paraId="0502B7C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119</w:t>
            </w:r>
          </w:p>
        </w:tc>
        <w:tc>
          <w:tcPr>
            <w:tcW w:w="5167" w:type="dxa"/>
            <w:shd w:val="clear" w:color="000000" w:fill="FFFFFF"/>
            <w:noWrap/>
            <w:vAlign w:val="center"/>
            <w:hideMark/>
          </w:tcPr>
          <w:p w14:paraId="5451E78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Kresoksim metil</w:t>
            </w:r>
          </w:p>
        </w:tc>
        <w:tc>
          <w:tcPr>
            <w:tcW w:w="990" w:type="dxa"/>
            <w:shd w:val="clear" w:color="000000" w:fill="FFFFFF"/>
            <w:noWrap/>
            <w:vAlign w:val="center"/>
            <w:hideMark/>
          </w:tcPr>
          <w:p w14:paraId="652CC8E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22497C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F507EE1" w14:textId="77777777" w:rsidTr="002A1F08">
        <w:trPr>
          <w:trHeight w:val="300"/>
          <w:jc w:val="center"/>
        </w:trPr>
        <w:tc>
          <w:tcPr>
            <w:tcW w:w="596" w:type="dxa"/>
            <w:shd w:val="clear" w:color="000000" w:fill="FFFFFF"/>
            <w:noWrap/>
            <w:vAlign w:val="center"/>
            <w:hideMark/>
          </w:tcPr>
          <w:p w14:paraId="40045B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120</w:t>
            </w:r>
          </w:p>
        </w:tc>
        <w:tc>
          <w:tcPr>
            <w:tcW w:w="5167" w:type="dxa"/>
            <w:shd w:val="clear" w:color="000000" w:fill="FFFFFF"/>
            <w:noWrap/>
            <w:vAlign w:val="center"/>
            <w:hideMark/>
          </w:tcPr>
          <w:p w14:paraId="0225663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Mankozeb</w:t>
            </w:r>
          </w:p>
        </w:tc>
        <w:tc>
          <w:tcPr>
            <w:tcW w:w="990" w:type="dxa"/>
            <w:shd w:val="clear" w:color="000000" w:fill="FFFFFF"/>
            <w:noWrap/>
            <w:vAlign w:val="center"/>
            <w:hideMark/>
          </w:tcPr>
          <w:p w14:paraId="6FCF7F8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65B802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887DEDE" w14:textId="77777777" w:rsidTr="002A1F08">
        <w:trPr>
          <w:trHeight w:val="300"/>
          <w:jc w:val="center"/>
        </w:trPr>
        <w:tc>
          <w:tcPr>
            <w:tcW w:w="596" w:type="dxa"/>
            <w:shd w:val="clear" w:color="000000" w:fill="FFFFFF"/>
            <w:noWrap/>
            <w:vAlign w:val="center"/>
            <w:hideMark/>
          </w:tcPr>
          <w:p w14:paraId="4E2083B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121</w:t>
            </w:r>
          </w:p>
        </w:tc>
        <w:tc>
          <w:tcPr>
            <w:tcW w:w="5167" w:type="dxa"/>
            <w:shd w:val="clear" w:color="000000" w:fill="FFFFFF"/>
            <w:noWrap/>
            <w:vAlign w:val="center"/>
            <w:hideMark/>
          </w:tcPr>
          <w:p w14:paraId="5069AE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Maneb</w:t>
            </w:r>
          </w:p>
        </w:tc>
        <w:tc>
          <w:tcPr>
            <w:tcW w:w="990" w:type="dxa"/>
            <w:shd w:val="clear" w:color="000000" w:fill="FFFFFF"/>
            <w:noWrap/>
            <w:vAlign w:val="center"/>
            <w:hideMark/>
          </w:tcPr>
          <w:p w14:paraId="014F35A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6CB18E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51B236A" w14:textId="77777777" w:rsidTr="002A1F08">
        <w:trPr>
          <w:trHeight w:val="300"/>
          <w:jc w:val="center"/>
        </w:trPr>
        <w:tc>
          <w:tcPr>
            <w:tcW w:w="596" w:type="dxa"/>
            <w:shd w:val="clear" w:color="000000" w:fill="FFFFFF"/>
            <w:noWrap/>
            <w:vAlign w:val="center"/>
            <w:hideMark/>
          </w:tcPr>
          <w:p w14:paraId="1F7DB46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122</w:t>
            </w:r>
          </w:p>
        </w:tc>
        <w:tc>
          <w:tcPr>
            <w:tcW w:w="5167" w:type="dxa"/>
            <w:shd w:val="clear" w:color="000000" w:fill="FFFFFF"/>
            <w:noWrap/>
            <w:vAlign w:val="center"/>
            <w:hideMark/>
          </w:tcPr>
          <w:p w14:paraId="347DBCE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Metazaklor</w:t>
            </w:r>
          </w:p>
        </w:tc>
        <w:tc>
          <w:tcPr>
            <w:tcW w:w="990" w:type="dxa"/>
            <w:shd w:val="clear" w:color="000000" w:fill="FFFFFF"/>
            <w:noWrap/>
            <w:vAlign w:val="center"/>
            <w:hideMark/>
          </w:tcPr>
          <w:p w14:paraId="56C42D8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F135E7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1B7C37F" w14:textId="77777777" w:rsidTr="002A1F08">
        <w:trPr>
          <w:trHeight w:val="300"/>
          <w:jc w:val="center"/>
        </w:trPr>
        <w:tc>
          <w:tcPr>
            <w:tcW w:w="596" w:type="dxa"/>
            <w:shd w:val="clear" w:color="000000" w:fill="FFFFFF"/>
            <w:noWrap/>
            <w:vAlign w:val="center"/>
            <w:hideMark/>
          </w:tcPr>
          <w:p w14:paraId="5D2A77D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123</w:t>
            </w:r>
          </w:p>
        </w:tc>
        <w:tc>
          <w:tcPr>
            <w:tcW w:w="5167" w:type="dxa"/>
            <w:shd w:val="clear" w:color="000000" w:fill="FFFFFF"/>
            <w:noWrap/>
            <w:vAlign w:val="center"/>
            <w:hideMark/>
          </w:tcPr>
          <w:p w14:paraId="4144673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Oksamil</w:t>
            </w:r>
          </w:p>
        </w:tc>
        <w:tc>
          <w:tcPr>
            <w:tcW w:w="990" w:type="dxa"/>
            <w:shd w:val="clear" w:color="000000" w:fill="FFFFFF"/>
            <w:noWrap/>
            <w:vAlign w:val="center"/>
            <w:hideMark/>
          </w:tcPr>
          <w:p w14:paraId="7839A43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65CD08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06C6BA9" w14:textId="77777777" w:rsidTr="002A1F08">
        <w:trPr>
          <w:trHeight w:val="300"/>
          <w:jc w:val="center"/>
        </w:trPr>
        <w:tc>
          <w:tcPr>
            <w:tcW w:w="596" w:type="dxa"/>
            <w:shd w:val="clear" w:color="000000" w:fill="FFFFFF"/>
            <w:noWrap/>
            <w:vAlign w:val="center"/>
            <w:hideMark/>
          </w:tcPr>
          <w:p w14:paraId="41D3C8C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124</w:t>
            </w:r>
          </w:p>
        </w:tc>
        <w:tc>
          <w:tcPr>
            <w:tcW w:w="5167" w:type="dxa"/>
            <w:shd w:val="clear" w:color="000000" w:fill="FFFFFF"/>
            <w:noWrap/>
            <w:vAlign w:val="center"/>
            <w:hideMark/>
          </w:tcPr>
          <w:p w14:paraId="74CAA53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Parakuat</w:t>
            </w:r>
          </w:p>
        </w:tc>
        <w:tc>
          <w:tcPr>
            <w:tcW w:w="990" w:type="dxa"/>
            <w:shd w:val="clear" w:color="000000" w:fill="FFFFFF"/>
            <w:noWrap/>
            <w:vAlign w:val="center"/>
            <w:hideMark/>
          </w:tcPr>
          <w:p w14:paraId="1D30A21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DC743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BFD4DCB" w14:textId="77777777" w:rsidTr="002A1F08">
        <w:trPr>
          <w:trHeight w:val="300"/>
          <w:jc w:val="center"/>
        </w:trPr>
        <w:tc>
          <w:tcPr>
            <w:tcW w:w="596" w:type="dxa"/>
            <w:shd w:val="clear" w:color="000000" w:fill="FFFFFF"/>
            <w:noWrap/>
            <w:vAlign w:val="center"/>
            <w:hideMark/>
          </w:tcPr>
          <w:p w14:paraId="2A6AF1D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125</w:t>
            </w:r>
          </w:p>
        </w:tc>
        <w:tc>
          <w:tcPr>
            <w:tcW w:w="5167" w:type="dxa"/>
            <w:shd w:val="clear" w:color="000000" w:fill="FFFFFF"/>
            <w:noWrap/>
            <w:vAlign w:val="center"/>
            <w:hideMark/>
          </w:tcPr>
          <w:p w14:paraId="63CD58F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Pirimikarb</w:t>
            </w:r>
          </w:p>
        </w:tc>
        <w:tc>
          <w:tcPr>
            <w:tcW w:w="990" w:type="dxa"/>
            <w:shd w:val="clear" w:color="000000" w:fill="FFFFFF"/>
            <w:noWrap/>
            <w:vAlign w:val="center"/>
            <w:hideMark/>
          </w:tcPr>
          <w:p w14:paraId="57DBDA7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859116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B9A6709" w14:textId="77777777" w:rsidTr="002A1F08">
        <w:trPr>
          <w:trHeight w:val="300"/>
          <w:jc w:val="center"/>
        </w:trPr>
        <w:tc>
          <w:tcPr>
            <w:tcW w:w="596" w:type="dxa"/>
            <w:shd w:val="clear" w:color="000000" w:fill="FFFFFF"/>
            <w:noWrap/>
            <w:vAlign w:val="center"/>
            <w:hideMark/>
          </w:tcPr>
          <w:p w14:paraId="3F9E597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126</w:t>
            </w:r>
          </w:p>
        </w:tc>
        <w:tc>
          <w:tcPr>
            <w:tcW w:w="5167" w:type="dxa"/>
            <w:shd w:val="clear" w:color="000000" w:fill="FFFFFF"/>
            <w:noWrap/>
            <w:vAlign w:val="center"/>
            <w:hideMark/>
          </w:tcPr>
          <w:p w14:paraId="38DBC3E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Propaklor</w:t>
            </w:r>
          </w:p>
        </w:tc>
        <w:tc>
          <w:tcPr>
            <w:tcW w:w="990" w:type="dxa"/>
            <w:shd w:val="clear" w:color="000000" w:fill="FFFFFF"/>
            <w:noWrap/>
            <w:vAlign w:val="center"/>
            <w:hideMark/>
          </w:tcPr>
          <w:p w14:paraId="61F6AD2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F5CF11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4737E30" w14:textId="77777777" w:rsidTr="002A1F08">
        <w:trPr>
          <w:trHeight w:val="300"/>
          <w:jc w:val="center"/>
        </w:trPr>
        <w:tc>
          <w:tcPr>
            <w:tcW w:w="596" w:type="dxa"/>
            <w:shd w:val="clear" w:color="000000" w:fill="FFFFFF"/>
            <w:noWrap/>
            <w:vAlign w:val="center"/>
            <w:hideMark/>
          </w:tcPr>
          <w:p w14:paraId="2D6F900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127</w:t>
            </w:r>
          </w:p>
        </w:tc>
        <w:tc>
          <w:tcPr>
            <w:tcW w:w="5167" w:type="dxa"/>
            <w:shd w:val="clear" w:color="000000" w:fill="FFFFFF"/>
            <w:noWrap/>
            <w:vAlign w:val="center"/>
            <w:hideMark/>
          </w:tcPr>
          <w:p w14:paraId="2BF5022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Tiram</w:t>
            </w:r>
          </w:p>
        </w:tc>
        <w:tc>
          <w:tcPr>
            <w:tcW w:w="990" w:type="dxa"/>
            <w:shd w:val="clear" w:color="000000" w:fill="FFFFFF"/>
            <w:noWrap/>
            <w:vAlign w:val="center"/>
            <w:hideMark/>
          </w:tcPr>
          <w:p w14:paraId="7160996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1EA4C0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A48FF0B" w14:textId="77777777" w:rsidTr="002A1F08">
        <w:trPr>
          <w:trHeight w:val="300"/>
          <w:jc w:val="center"/>
        </w:trPr>
        <w:tc>
          <w:tcPr>
            <w:tcW w:w="596" w:type="dxa"/>
            <w:shd w:val="clear" w:color="000000" w:fill="FFFFFF"/>
            <w:noWrap/>
            <w:vAlign w:val="center"/>
            <w:hideMark/>
          </w:tcPr>
          <w:p w14:paraId="4DBCC28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128</w:t>
            </w:r>
          </w:p>
        </w:tc>
        <w:tc>
          <w:tcPr>
            <w:tcW w:w="5167" w:type="dxa"/>
            <w:shd w:val="clear" w:color="000000" w:fill="FFFFFF"/>
            <w:noWrap/>
            <w:vAlign w:val="center"/>
            <w:hideMark/>
          </w:tcPr>
          <w:p w14:paraId="5D7F1BF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Tolklofos-metil</w:t>
            </w:r>
          </w:p>
        </w:tc>
        <w:tc>
          <w:tcPr>
            <w:tcW w:w="990" w:type="dxa"/>
            <w:shd w:val="clear" w:color="000000" w:fill="FFFFFF"/>
            <w:noWrap/>
            <w:vAlign w:val="center"/>
            <w:hideMark/>
          </w:tcPr>
          <w:p w14:paraId="705FCC2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628120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2219598" w14:textId="77777777" w:rsidTr="002A1F08">
        <w:trPr>
          <w:trHeight w:val="300"/>
          <w:jc w:val="center"/>
        </w:trPr>
        <w:tc>
          <w:tcPr>
            <w:tcW w:w="596" w:type="dxa"/>
            <w:shd w:val="clear" w:color="000000" w:fill="FFFFFF"/>
            <w:noWrap/>
            <w:vAlign w:val="center"/>
            <w:hideMark/>
          </w:tcPr>
          <w:p w14:paraId="0D6D3B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129</w:t>
            </w:r>
          </w:p>
        </w:tc>
        <w:tc>
          <w:tcPr>
            <w:tcW w:w="5167" w:type="dxa"/>
            <w:shd w:val="clear" w:color="000000" w:fill="FFFFFF"/>
            <w:noWrap/>
            <w:vAlign w:val="center"/>
            <w:hideMark/>
          </w:tcPr>
          <w:p w14:paraId="327EB3A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Tri-alat</w:t>
            </w:r>
          </w:p>
        </w:tc>
        <w:tc>
          <w:tcPr>
            <w:tcW w:w="990" w:type="dxa"/>
            <w:shd w:val="clear" w:color="000000" w:fill="FFFFFF"/>
            <w:noWrap/>
            <w:vAlign w:val="center"/>
            <w:hideMark/>
          </w:tcPr>
          <w:p w14:paraId="41BE7F9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4314B4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D1C64BB" w14:textId="77777777" w:rsidTr="002A1F08">
        <w:trPr>
          <w:trHeight w:val="300"/>
          <w:jc w:val="center"/>
        </w:trPr>
        <w:tc>
          <w:tcPr>
            <w:tcW w:w="596" w:type="dxa"/>
            <w:shd w:val="clear" w:color="000000" w:fill="FFFFFF"/>
            <w:noWrap/>
            <w:vAlign w:val="center"/>
            <w:hideMark/>
          </w:tcPr>
          <w:p w14:paraId="4D74C7E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130</w:t>
            </w:r>
          </w:p>
        </w:tc>
        <w:tc>
          <w:tcPr>
            <w:tcW w:w="5167" w:type="dxa"/>
            <w:shd w:val="clear" w:color="000000" w:fill="FFFFFF"/>
            <w:noWrap/>
            <w:vAlign w:val="center"/>
            <w:hideMark/>
          </w:tcPr>
          <w:p w14:paraId="1425C10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Bromoksinil</w:t>
            </w:r>
          </w:p>
        </w:tc>
        <w:tc>
          <w:tcPr>
            <w:tcW w:w="990" w:type="dxa"/>
            <w:shd w:val="clear" w:color="000000" w:fill="FFFFFF"/>
            <w:noWrap/>
            <w:vAlign w:val="center"/>
            <w:hideMark/>
          </w:tcPr>
          <w:p w14:paraId="076B412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8AE2DB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9374B14" w14:textId="77777777" w:rsidTr="002A1F08">
        <w:trPr>
          <w:trHeight w:val="300"/>
          <w:jc w:val="center"/>
        </w:trPr>
        <w:tc>
          <w:tcPr>
            <w:tcW w:w="596" w:type="dxa"/>
            <w:shd w:val="clear" w:color="000000" w:fill="FFFFFF"/>
            <w:noWrap/>
            <w:vAlign w:val="center"/>
            <w:hideMark/>
          </w:tcPr>
          <w:p w14:paraId="1551039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131</w:t>
            </w:r>
          </w:p>
        </w:tc>
        <w:tc>
          <w:tcPr>
            <w:tcW w:w="5167" w:type="dxa"/>
            <w:shd w:val="clear" w:color="000000" w:fill="FFFFFF"/>
            <w:noWrap/>
            <w:vAlign w:val="center"/>
            <w:hideMark/>
          </w:tcPr>
          <w:p w14:paraId="6003B7C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Klorprofam</w:t>
            </w:r>
          </w:p>
        </w:tc>
        <w:tc>
          <w:tcPr>
            <w:tcW w:w="990" w:type="dxa"/>
            <w:shd w:val="clear" w:color="000000" w:fill="FFFFFF"/>
            <w:noWrap/>
            <w:vAlign w:val="center"/>
            <w:hideMark/>
          </w:tcPr>
          <w:p w14:paraId="09AD69A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CBA7C1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3BDE6DE" w14:textId="77777777" w:rsidTr="002A1F08">
        <w:trPr>
          <w:trHeight w:val="300"/>
          <w:jc w:val="center"/>
        </w:trPr>
        <w:tc>
          <w:tcPr>
            <w:tcW w:w="596" w:type="dxa"/>
            <w:shd w:val="clear" w:color="000000" w:fill="FFFFFF"/>
            <w:noWrap/>
            <w:vAlign w:val="center"/>
            <w:hideMark/>
          </w:tcPr>
          <w:p w14:paraId="59483E7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132</w:t>
            </w:r>
          </w:p>
        </w:tc>
        <w:tc>
          <w:tcPr>
            <w:tcW w:w="5167" w:type="dxa"/>
            <w:shd w:val="clear" w:color="000000" w:fill="FFFFFF"/>
            <w:noWrap/>
            <w:vAlign w:val="center"/>
            <w:hideMark/>
          </w:tcPr>
          <w:p w14:paraId="4391535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Klorotoluron</w:t>
            </w:r>
          </w:p>
        </w:tc>
        <w:tc>
          <w:tcPr>
            <w:tcW w:w="990" w:type="dxa"/>
            <w:shd w:val="clear" w:color="000000" w:fill="FFFFFF"/>
            <w:noWrap/>
            <w:vAlign w:val="center"/>
            <w:hideMark/>
          </w:tcPr>
          <w:p w14:paraId="393710F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0929DD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503DAF1" w14:textId="77777777" w:rsidTr="002A1F08">
        <w:trPr>
          <w:trHeight w:val="300"/>
          <w:jc w:val="center"/>
        </w:trPr>
        <w:tc>
          <w:tcPr>
            <w:tcW w:w="596" w:type="dxa"/>
            <w:shd w:val="clear" w:color="000000" w:fill="FFFFFF"/>
            <w:noWrap/>
            <w:vAlign w:val="center"/>
            <w:hideMark/>
          </w:tcPr>
          <w:p w14:paraId="074EC17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133</w:t>
            </w:r>
          </w:p>
        </w:tc>
        <w:tc>
          <w:tcPr>
            <w:tcW w:w="5167" w:type="dxa"/>
            <w:shd w:val="clear" w:color="000000" w:fill="FFFFFF"/>
            <w:noWrap/>
            <w:vAlign w:val="center"/>
            <w:hideMark/>
          </w:tcPr>
          <w:p w14:paraId="7360E4D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Ciflutrin</w:t>
            </w:r>
          </w:p>
        </w:tc>
        <w:tc>
          <w:tcPr>
            <w:tcW w:w="990" w:type="dxa"/>
            <w:shd w:val="clear" w:color="000000" w:fill="FFFFFF"/>
            <w:noWrap/>
            <w:vAlign w:val="center"/>
            <w:hideMark/>
          </w:tcPr>
          <w:p w14:paraId="6739156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3F6FAE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21AFEC4" w14:textId="77777777" w:rsidTr="002A1F08">
        <w:trPr>
          <w:trHeight w:val="300"/>
          <w:jc w:val="center"/>
        </w:trPr>
        <w:tc>
          <w:tcPr>
            <w:tcW w:w="596" w:type="dxa"/>
            <w:shd w:val="clear" w:color="000000" w:fill="FFFFFF"/>
            <w:noWrap/>
            <w:vAlign w:val="center"/>
            <w:hideMark/>
          </w:tcPr>
          <w:p w14:paraId="7FF3086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134</w:t>
            </w:r>
          </w:p>
        </w:tc>
        <w:tc>
          <w:tcPr>
            <w:tcW w:w="5167" w:type="dxa"/>
            <w:shd w:val="clear" w:color="000000" w:fill="FFFFFF"/>
            <w:noWrap/>
            <w:vAlign w:val="center"/>
            <w:hideMark/>
          </w:tcPr>
          <w:p w14:paraId="2996EBE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Diflubenzuron</w:t>
            </w:r>
          </w:p>
        </w:tc>
        <w:tc>
          <w:tcPr>
            <w:tcW w:w="990" w:type="dxa"/>
            <w:shd w:val="clear" w:color="000000" w:fill="FFFFFF"/>
            <w:noWrap/>
            <w:vAlign w:val="center"/>
            <w:hideMark/>
          </w:tcPr>
          <w:p w14:paraId="1DE4E0A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08B111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B6F367F" w14:textId="77777777" w:rsidTr="002A1F08">
        <w:trPr>
          <w:trHeight w:val="300"/>
          <w:jc w:val="center"/>
        </w:trPr>
        <w:tc>
          <w:tcPr>
            <w:tcW w:w="596" w:type="dxa"/>
            <w:shd w:val="clear" w:color="000000" w:fill="FFFFFF"/>
            <w:noWrap/>
            <w:vAlign w:val="center"/>
            <w:hideMark/>
          </w:tcPr>
          <w:p w14:paraId="00AC583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135</w:t>
            </w:r>
          </w:p>
        </w:tc>
        <w:tc>
          <w:tcPr>
            <w:tcW w:w="5167" w:type="dxa"/>
            <w:shd w:val="clear" w:color="000000" w:fill="FFFFFF"/>
            <w:noWrap/>
            <w:vAlign w:val="center"/>
            <w:hideMark/>
          </w:tcPr>
          <w:p w14:paraId="6EC19DA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Etofumesat</w:t>
            </w:r>
          </w:p>
        </w:tc>
        <w:tc>
          <w:tcPr>
            <w:tcW w:w="990" w:type="dxa"/>
            <w:shd w:val="clear" w:color="000000" w:fill="FFFFFF"/>
            <w:noWrap/>
            <w:vAlign w:val="center"/>
            <w:hideMark/>
          </w:tcPr>
          <w:p w14:paraId="14CA282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A73116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5507EBA" w14:textId="77777777" w:rsidTr="002A1F08">
        <w:trPr>
          <w:trHeight w:val="300"/>
          <w:jc w:val="center"/>
        </w:trPr>
        <w:tc>
          <w:tcPr>
            <w:tcW w:w="596" w:type="dxa"/>
            <w:shd w:val="clear" w:color="000000" w:fill="FFFFFF"/>
            <w:noWrap/>
            <w:vAlign w:val="center"/>
            <w:hideMark/>
          </w:tcPr>
          <w:p w14:paraId="148A61B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136</w:t>
            </w:r>
          </w:p>
        </w:tc>
        <w:tc>
          <w:tcPr>
            <w:tcW w:w="5167" w:type="dxa"/>
            <w:shd w:val="clear" w:color="000000" w:fill="FFFFFF"/>
            <w:noWrap/>
            <w:vAlign w:val="center"/>
            <w:hideMark/>
          </w:tcPr>
          <w:p w14:paraId="1BD31FB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Flusilazol</w:t>
            </w:r>
          </w:p>
        </w:tc>
        <w:tc>
          <w:tcPr>
            <w:tcW w:w="990" w:type="dxa"/>
            <w:shd w:val="clear" w:color="000000" w:fill="FFFFFF"/>
            <w:noWrap/>
            <w:vAlign w:val="center"/>
            <w:hideMark/>
          </w:tcPr>
          <w:p w14:paraId="0D757E5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F7C799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6BB690E" w14:textId="77777777" w:rsidTr="002A1F08">
        <w:trPr>
          <w:trHeight w:val="300"/>
          <w:jc w:val="center"/>
        </w:trPr>
        <w:tc>
          <w:tcPr>
            <w:tcW w:w="596" w:type="dxa"/>
            <w:shd w:val="clear" w:color="000000" w:fill="FFFFFF"/>
            <w:noWrap/>
            <w:vAlign w:val="center"/>
            <w:hideMark/>
          </w:tcPr>
          <w:p w14:paraId="4C1A715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137</w:t>
            </w:r>
          </w:p>
        </w:tc>
        <w:tc>
          <w:tcPr>
            <w:tcW w:w="5167" w:type="dxa"/>
            <w:shd w:val="clear" w:color="000000" w:fill="FFFFFF"/>
            <w:noWrap/>
            <w:vAlign w:val="center"/>
            <w:hideMark/>
          </w:tcPr>
          <w:p w14:paraId="2D7A492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Ioksinil</w:t>
            </w:r>
          </w:p>
        </w:tc>
        <w:tc>
          <w:tcPr>
            <w:tcW w:w="990" w:type="dxa"/>
            <w:shd w:val="clear" w:color="000000" w:fill="FFFFFF"/>
            <w:noWrap/>
            <w:vAlign w:val="center"/>
            <w:hideMark/>
          </w:tcPr>
          <w:p w14:paraId="475457D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9BBDA8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68DB992" w14:textId="77777777" w:rsidTr="002A1F08">
        <w:trPr>
          <w:trHeight w:val="300"/>
          <w:jc w:val="center"/>
        </w:trPr>
        <w:tc>
          <w:tcPr>
            <w:tcW w:w="596" w:type="dxa"/>
            <w:shd w:val="clear" w:color="000000" w:fill="FFFFFF"/>
            <w:noWrap/>
            <w:vAlign w:val="center"/>
            <w:hideMark/>
          </w:tcPr>
          <w:p w14:paraId="5EB9E2C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138</w:t>
            </w:r>
          </w:p>
        </w:tc>
        <w:tc>
          <w:tcPr>
            <w:tcW w:w="5167" w:type="dxa"/>
            <w:shd w:val="clear" w:color="000000" w:fill="FFFFFF"/>
            <w:noWrap/>
            <w:vAlign w:val="center"/>
            <w:hideMark/>
          </w:tcPr>
          <w:p w14:paraId="1C3EAC7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Metiokarb</w:t>
            </w:r>
          </w:p>
        </w:tc>
        <w:tc>
          <w:tcPr>
            <w:tcW w:w="990" w:type="dxa"/>
            <w:shd w:val="clear" w:color="000000" w:fill="FFFFFF"/>
            <w:noWrap/>
            <w:vAlign w:val="center"/>
            <w:hideMark/>
          </w:tcPr>
          <w:p w14:paraId="2B6B0A7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47DBB7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B626E55" w14:textId="77777777" w:rsidTr="002A1F08">
        <w:trPr>
          <w:trHeight w:val="300"/>
          <w:jc w:val="center"/>
        </w:trPr>
        <w:tc>
          <w:tcPr>
            <w:tcW w:w="596" w:type="dxa"/>
            <w:shd w:val="clear" w:color="000000" w:fill="FFFFFF"/>
            <w:noWrap/>
            <w:vAlign w:val="center"/>
            <w:hideMark/>
          </w:tcPr>
          <w:p w14:paraId="2614DAC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139</w:t>
            </w:r>
          </w:p>
        </w:tc>
        <w:tc>
          <w:tcPr>
            <w:tcW w:w="5167" w:type="dxa"/>
            <w:shd w:val="clear" w:color="000000" w:fill="FFFFFF"/>
            <w:noWrap/>
            <w:vAlign w:val="center"/>
            <w:hideMark/>
          </w:tcPr>
          <w:p w14:paraId="0918C0E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Pendimetalin</w:t>
            </w:r>
          </w:p>
        </w:tc>
        <w:tc>
          <w:tcPr>
            <w:tcW w:w="990" w:type="dxa"/>
            <w:shd w:val="clear" w:color="000000" w:fill="FFFFFF"/>
            <w:noWrap/>
            <w:vAlign w:val="center"/>
            <w:hideMark/>
          </w:tcPr>
          <w:p w14:paraId="15AC5C5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06059D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510CF7A" w14:textId="77777777" w:rsidTr="002A1F08">
        <w:trPr>
          <w:trHeight w:val="300"/>
          <w:jc w:val="center"/>
        </w:trPr>
        <w:tc>
          <w:tcPr>
            <w:tcW w:w="596" w:type="dxa"/>
            <w:shd w:val="clear" w:color="000000" w:fill="FFFFFF"/>
            <w:noWrap/>
            <w:vAlign w:val="center"/>
            <w:hideMark/>
          </w:tcPr>
          <w:p w14:paraId="6A2F90B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140</w:t>
            </w:r>
          </w:p>
        </w:tc>
        <w:tc>
          <w:tcPr>
            <w:tcW w:w="5167" w:type="dxa"/>
            <w:shd w:val="clear" w:color="000000" w:fill="FFFFFF"/>
            <w:noWrap/>
            <w:vAlign w:val="center"/>
            <w:hideMark/>
          </w:tcPr>
          <w:p w14:paraId="3DCE99A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Pirimifos-metil</w:t>
            </w:r>
          </w:p>
        </w:tc>
        <w:tc>
          <w:tcPr>
            <w:tcW w:w="990" w:type="dxa"/>
            <w:shd w:val="clear" w:color="000000" w:fill="FFFFFF"/>
            <w:noWrap/>
            <w:vAlign w:val="center"/>
            <w:hideMark/>
          </w:tcPr>
          <w:p w14:paraId="39E9CD8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97F55F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9D97380" w14:textId="77777777" w:rsidTr="002A1F08">
        <w:trPr>
          <w:trHeight w:val="300"/>
          <w:jc w:val="center"/>
        </w:trPr>
        <w:tc>
          <w:tcPr>
            <w:tcW w:w="596" w:type="dxa"/>
            <w:shd w:val="clear" w:color="000000" w:fill="FFFFFF"/>
            <w:noWrap/>
            <w:vAlign w:val="center"/>
            <w:hideMark/>
          </w:tcPr>
          <w:p w14:paraId="70F4356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141</w:t>
            </w:r>
          </w:p>
        </w:tc>
        <w:tc>
          <w:tcPr>
            <w:tcW w:w="5167" w:type="dxa"/>
            <w:shd w:val="clear" w:color="000000" w:fill="FFFFFF"/>
            <w:noWrap/>
            <w:vAlign w:val="center"/>
            <w:hideMark/>
          </w:tcPr>
          <w:p w14:paraId="63B10E6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Prokloraz</w:t>
            </w:r>
          </w:p>
        </w:tc>
        <w:tc>
          <w:tcPr>
            <w:tcW w:w="990" w:type="dxa"/>
            <w:shd w:val="clear" w:color="000000" w:fill="FFFFFF"/>
            <w:noWrap/>
            <w:vAlign w:val="center"/>
            <w:hideMark/>
          </w:tcPr>
          <w:p w14:paraId="1A824D9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3E6D72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293F1F8" w14:textId="77777777" w:rsidTr="002A1F08">
        <w:trPr>
          <w:trHeight w:val="300"/>
          <w:jc w:val="center"/>
        </w:trPr>
        <w:tc>
          <w:tcPr>
            <w:tcW w:w="596" w:type="dxa"/>
            <w:shd w:val="clear" w:color="000000" w:fill="FFFFFF"/>
            <w:noWrap/>
            <w:vAlign w:val="center"/>
            <w:hideMark/>
          </w:tcPr>
          <w:p w14:paraId="4630B80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142</w:t>
            </w:r>
          </w:p>
        </w:tc>
        <w:tc>
          <w:tcPr>
            <w:tcW w:w="5167" w:type="dxa"/>
            <w:shd w:val="clear" w:color="000000" w:fill="FFFFFF"/>
            <w:noWrap/>
            <w:vAlign w:val="center"/>
            <w:hideMark/>
          </w:tcPr>
          <w:p w14:paraId="5611167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Propizamid</w:t>
            </w:r>
          </w:p>
        </w:tc>
        <w:tc>
          <w:tcPr>
            <w:tcW w:w="990" w:type="dxa"/>
            <w:shd w:val="clear" w:color="000000" w:fill="FFFFFF"/>
            <w:noWrap/>
            <w:vAlign w:val="center"/>
            <w:hideMark/>
          </w:tcPr>
          <w:p w14:paraId="6898EF2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E1CD13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806D24E" w14:textId="77777777" w:rsidTr="002A1F08">
        <w:trPr>
          <w:trHeight w:val="300"/>
          <w:jc w:val="center"/>
        </w:trPr>
        <w:tc>
          <w:tcPr>
            <w:tcW w:w="596" w:type="dxa"/>
            <w:shd w:val="clear" w:color="000000" w:fill="FFFFFF"/>
            <w:noWrap/>
            <w:vAlign w:val="center"/>
            <w:hideMark/>
          </w:tcPr>
          <w:p w14:paraId="40B684A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143</w:t>
            </w:r>
          </w:p>
        </w:tc>
        <w:tc>
          <w:tcPr>
            <w:tcW w:w="5167" w:type="dxa"/>
            <w:shd w:val="clear" w:color="000000" w:fill="FFFFFF"/>
            <w:noWrap/>
            <w:vAlign w:val="center"/>
            <w:hideMark/>
          </w:tcPr>
          <w:p w14:paraId="350B87B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Tiabendazole</w:t>
            </w:r>
          </w:p>
        </w:tc>
        <w:tc>
          <w:tcPr>
            <w:tcW w:w="990" w:type="dxa"/>
            <w:shd w:val="clear" w:color="000000" w:fill="FFFFFF"/>
            <w:noWrap/>
            <w:vAlign w:val="center"/>
            <w:hideMark/>
          </w:tcPr>
          <w:p w14:paraId="1661F57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712670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9070368" w14:textId="77777777" w:rsidTr="002A1F08">
        <w:trPr>
          <w:trHeight w:val="300"/>
          <w:jc w:val="center"/>
        </w:trPr>
        <w:tc>
          <w:tcPr>
            <w:tcW w:w="596" w:type="dxa"/>
            <w:shd w:val="clear" w:color="000000" w:fill="FFFFFF"/>
            <w:noWrap/>
            <w:vAlign w:val="center"/>
            <w:hideMark/>
          </w:tcPr>
          <w:p w14:paraId="28BEC99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144</w:t>
            </w:r>
          </w:p>
        </w:tc>
        <w:tc>
          <w:tcPr>
            <w:tcW w:w="5167" w:type="dxa"/>
            <w:shd w:val="clear" w:color="000000" w:fill="FFFFFF"/>
            <w:noWrap/>
            <w:vAlign w:val="center"/>
            <w:hideMark/>
          </w:tcPr>
          <w:p w14:paraId="3A49464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Tribenuron-metil</w:t>
            </w:r>
          </w:p>
        </w:tc>
        <w:tc>
          <w:tcPr>
            <w:tcW w:w="990" w:type="dxa"/>
            <w:shd w:val="clear" w:color="000000" w:fill="FFFFFF"/>
            <w:noWrap/>
            <w:vAlign w:val="center"/>
            <w:hideMark/>
          </w:tcPr>
          <w:p w14:paraId="28190AA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3B95BE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5E8E77C" w14:textId="77777777" w:rsidTr="002A1F08">
        <w:trPr>
          <w:trHeight w:val="300"/>
          <w:jc w:val="center"/>
        </w:trPr>
        <w:tc>
          <w:tcPr>
            <w:tcW w:w="596" w:type="dxa"/>
            <w:shd w:val="clear" w:color="000000" w:fill="FFFFFF"/>
            <w:noWrap/>
            <w:vAlign w:val="center"/>
            <w:hideMark/>
          </w:tcPr>
          <w:p w14:paraId="7D1A94D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145</w:t>
            </w:r>
          </w:p>
        </w:tc>
        <w:tc>
          <w:tcPr>
            <w:tcW w:w="5167" w:type="dxa"/>
            <w:shd w:val="clear" w:color="000000" w:fill="FFFFFF"/>
            <w:noWrap/>
            <w:vAlign w:val="center"/>
            <w:hideMark/>
          </w:tcPr>
          <w:p w14:paraId="7FCD7AD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Zineb</w:t>
            </w:r>
          </w:p>
        </w:tc>
        <w:tc>
          <w:tcPr>
            <w:tcW w:w="990" w:type="dxa"/>
            <w:shd w:val="clear" w:color="000000" w:fill="FFFFFF"/>
            <w:noWrap/>
            <w:vAlign w:val="center"/>
            <w:hideMark/>
          </w:tcPr>
          <w:p w14:paraId="08EF39F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C8E9B4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34EDAAA" w14:textId="77777777" w:rsidTr="002A1F08">
        <w:trPr>
          <w:trHeight w:val="300"/>
          <w:jc w:val="center"/>
        </w:trPr>
        <w:tc>
          <w:tcPr>
            <w:tcW w:w="596" w:type="dxa"/>
            <w:shd w:val="clear" w:color="000000" w:fill="FFFFFF"/>
            <w:noWrap/>
            <w:vAlign w:val="center"/>
            <w:hideMark/>
          </w:tcPr>
          <w:p w14:paraId="33056C5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146</w:t>
            </w:r>
          </w:p>
        </w:tc>
        <w:tc>
          <w:tcPr>
            <w:tcW w:w="5167" w:type="dxa"/>
            <w:shd w:val="clear" w:color="000000" w:fill="FFFFFF"/>
            <w:noWrap/>
            <w:vAlign w:val="center"/>
            <w:hideMark/>
          </w:tcPr>
          <w:p w14:paraId="72194B5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Metamitron</w:t>
            </w:r>
          </w:p>
        </w:tc>
        <w:tc>
          <w:tcPr>
            <w:tcW w:w="990" w:type="dxa"/>
            <w:shd w:val="clear" w:color="000000" w:fill="FFFFFF"/>
            <w:noWrap/>
            <w:vAlign w:val="center"/>
            <w:hideMark/>
          </w:tcPr>
          <w:p w14:paraId="4F6B783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8EF66F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7663DA0" w14:textId="77777777" w:rsidTr="002A1F08">
        <w:trPr>
          <w:trHeight w:val="300"/>
          <w:jc w:val="center"/>
        </w:trPr>
        <w:tc>
          <w:tcPr>
            <w:tcW w:w="596" w:type="dxa"/>
            <w:shd w:val="clear" w:color="000000" w:fill="FFFFFF"/>
            <w:noWrap/>
            <w:vAlign w:val="center"/>
            <w:hideMark/>
          </w:tcPr>
          <w:p w14:paraId="4327950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147</w:t>
            </w:r>
          </w:p>
        </w:tc>
        <w:tc>
          <w:tcPr>
            <w:tcW w:w="5167" w:type="dxa"/>
            <w:shd w:val="clear" w:color="000000" w:fill="FFFFFF"/>
            <w:noWrap/>
            <w:vAlign w:val="center"/>
            <w:hideMark/>
          </w:tcPr>
          <w:p w14:paraId="608D359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Metam-natrium</w:t>
            </w:r>
          </w:p>
        </w:tc>
        <w:tc>
          <w:tcPr>
            <w:tcW w:w="990" w:type="dxa"/>
            <w:shd w:val="clear" w:color="000000" w:fill="FFFFFF"/>
            <w:noWrap/>
            <w:vAlign w:val="center"/>
            <w:hideMark/>
          </w:tcPr>
          <w:p w14:paraId="244E9C7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6D5E95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28FC9B0" w14:textId="77777777" w:rsidTr="002A1F08">
        <w:trPr>
          <w:trHeight w:val="300"/>
          <w:jc w:val="center"/>
        </w:trPr>
        <w:tc>
          <w:tcPr>
            <w:tcW w:w="596" w:type="dxa"/>
            <w:shd w:val="clear" w:color="000000" w:fill="FFFFFF"/>
            <w:noWrap/>
            <w:vAlign w:val="center"/>
            <w:hideMark/>
          </w:tcPr>
          <w:p w14:paraId="7856D67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148</w:t>
            </w:r>
          </w:p>
        </w:tc>
        <w:tc>
          <w:tcPr>
            <w:tcW w:w="5167" w:type="dxa"/>
            <w:shd w:val="clear" w:color="000000" w:fill="FFFFFF"/>
            <w:noWrap/>
            <w:vAlign w:val="center"/>
            <w:hideMark/>
          </w:tcPr>
          <w:p w14:paraId="366DE3E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Fenitrotion</w:t>
            </w:r>
          </w:p>
        </w:tc>
        <w:tc>
          <w:tcPr>
            <w:tcW w:w="990" w:type="dxa"/>
            <w:shd w:val="clear" w:color="000000" w:fill="FFFFFF"/>
            <w:noWrap/>
            <w:vAlign w:val="center"/>
            <w:hideMark/>
          </w:tcPr>
          <w:p w14:paraId="30CBEA0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9DD1C3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C9D5ED0" w14:textId="77777777" w:rsidTr="002A1F08">
        <w:trPr>
          <w:trHeight w:val="300"/>
          <w:jc w:val="center"/>
        </w:trPr>
        <w:tc>
          <w:tcPr>
            <w:tcW w:w="596" w:type="dxa"/>
            <w:shd w:val="clear" w:color="000000" w:fill="FFFFFF"/>
            <w:noWrap/>
            <w:vAlign w:val="center"/>
            <w:hideMark/>
          </w:tcPr>
          <w:p w14:paraId="713933C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149</w:t>
            </w:r>
          </w:p>
        </w:tc>
        <w:tc>
          <w:tcPr>
            <w:tcW w:w="5167" w:type="dxa"/>
            <w:shd w:val="clear" w:color="000000" w:fill="FFFFFF"/>
            <w:noWrap/>
            <w:vAlign w:val="center"/>
            <w:hideMark/>
          </w:tcPr>
          <w:p w14:paraId="3A839CF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Permetrin</w:t>
            </w:r>
          </w:p>
        </w:tc>
        <w:tc>
          <w:tcPr>
            <w:tcW w:w="990" w:type="dxa"/>
            <w:shd w:val="clear" w:color="000000" w:fill="FFFFFF"/>
            <w:noWrap/>
            <w:vAlign w:val="center"/>
            <w:hideMark/>
          </w:tcPr>
          <w:p w14:paraId="6629F4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28CBF8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59F3E40" w14:textId="77777777" w:rsidTr="002A1F08">
        <w:trPr>
          <w:trHeight w:val="300"/>
          <w:jc w:val="center"/>
        </w:trPr>
        <w:tc>
          <w:tcPr>
            <w:tcW w:w="596" w:type="dxa"/>
            <w:shd w:val="clear" w:color="000000" w:fill="FFFFFF"/>
            <w:noWrap/>
            <w:vAlign w:val="center"/>
            <w:hideMark/>
          </w:tcPr>
          <w:p w14:paraId="5C4B1C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150</w:t>
            </w:r>
          </w:p>
        </w:tc>
        <w:tc>
          <w:tcPr>
            <w:tcW w:w="5167" w:type="dxa"/>
            <w:shd w:val="clear" w:color="000000" w:fill="FFFFFF"/>
            <w:noWrap/>
            <w:vAlign w:val="center"/>
            <w:hideMark/>
          </w:tcPr>
          <w:p w14:paraId="48883A3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Amitrol = Aminotriazol</w:t>
            </w:r>
          </w:p>
        </w:tc>
        <w:tc>
          <w:tcPr>
            <w:tcW w:w="990" w:type="dxa"/>
            <w:shd w:val="clear" w:color="000000" w:fill="FFFFFF"/>
            <w:noWrap/>
            <w:vAlign w:val="center"/>
            <w:hideMark/>
          </w:tcPr>
          <w:p w14:paraId="2D2E1D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D3B43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ED555EF" w14:textId="77777777" w:rsidTr="002A1F08">
        <w:trPr>
          <w:trHeight w:val="300"/>
          <w:jc w:val="center"/>
        </w:trPr>
        <w:tc>
          <w:tcPr>
            <w:tcW w:w="596" w:type="dxa"/>
            <w:shd w:val="clear" w:color="000000" w:fill="FFFFFF"/>
            <w:noWrap/>
            <w:vAlign w:val="center"/>
            <w:hideMark/>
          </w:tcPr>
          <w:p w14:paraId="0923FC4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151</w:t>
            </w:r>
          </w:p>
        </w:tc>
        <w:tc>
          <w:tcPr>
            <w:tcW w:w="5167" w:type="dxa"/>
            <w:shd w:val="clear" w:color="000000" w:fill="FFFFFF"/>
            <w:noWrap/>
            <w:vAlign w:val="center"/>
            <w:hideMark/>
          </w:tcPr>
          <w:p w14:paraId="4491561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Emamektin benzoat</w:t>
            </w:r>
          </w:p>
        </w:tc>
        <w:tc>
          <w:tcPr>
            <w:tcW w:w="990" w:type="dxa"/>
            <w:shd w:val="clear" w:color="000000" w:fill="FFFFFF"/>
            <w:noWrap/>
            <w:vAlign w:val="center"/>
            <w:hideMark/>
          </w:tcPr>
          <w:p w14:paraId="16A1136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C71A5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B2B0FEA" w14:textId="77777777" w:rsidTr="002A1F08">
        <w:trPr>
          <w:trHeight w:val="300"/>
          <w:jc w:val="center"/>
        </w:trPr>
        <w:tc>
          <w:tcPr>
            <w:tcW w:w="596" w:type="dxa"/>
            <w:shd w:val="clear" w:color="000000" w:fill="FFFFFF"/>
            <w:noWrap/>
            <w:vAlign w:val="center"/>
            <w:hideMark/>
          </w:tcPr>
          <w:p w14:paraId="094EA1D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152</w:t>
            </w:r>
          </w:p>
        </w:tc>
        <w:tc>
          <w:tcPr>
            <w:tcW w:w="5167" w:type="dxa"/>
            <w:shd w:val="clear" w:color="000000" w:fill="FFFFFF"/>
            <w:noWrap/>
            <w:vAlign w:val="center"/>
            <w:hideMark/>
          </w:tcPr>
          <w:p w14:paraId="28A3A43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2,2-bis(4-(2,3-epoksipropoksi) (fenil) propan</w:t>
            </w:r>
          </w:p>
        </w:tc>
        <w:tc>
          <w:tcPr>
            <w:tcW w:w="990" w:type="dxa"/>
            <w:shd w:val="clear" w:color="000000" w:fill="FFFFFF"/>
            <w:noWrap/>
            <w:vAlign w:val="center"/>
            <w:hideMark/>
          </w:tcPr>
          <w:p w14:paraId="28E006D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573EB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1419CFC" w14:textId="77777777" w:rsidTr="002A1F08">
        <w:trPr>
          <w:trHeight w:val="300"/>
          <w:jc w:val="center"/>
        </w:trPr>
        <w:tc>
          <w:tcPr>
            <w:tcW w:w="596" w:type="dxa"/>
            <w:shd w:val="clear" w:color="000000" w:fill="FFFFFF"/>
            <w:noWrap/>
            <w:vAlign w:val="center"/>
            <w:hideMark/>
          </w:tcPr>
          <w:p w14:paraId="7E0E4D0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153</w:t>
            </w:r>
          </w:p>
        </w:tc>
        <w:tc>
          <w:tcPr>
            <w:tcW w:w="5167" w:type="dxa"/>
            <w:shd w:val="clear" w:color="000000" w:fill="FFFFFF"/>
            <w:noWrap/>
            <w:vAlign w:val="center"/>
            <w:hideMark/>
          </w:tcPr>
          <w:p w14:paraId="05AF3C7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Acidi 2-metil-4-klorofenoksiacetik (MCPA)</w:t>
            </w:r>
          </w:p>
        </w:tc>
        <w:tc>
          <w:tcPr>
            <w:tcW w:w="990" w:type="dxa"/>
            <w:shd w:val="clear" w:color="000000" w:fill="FFFFFF"/>
            <w:noWrap/>
            <w:vAlign w:val="center"/>
            <w:hideMark/>
          </w:tcPr>
          <w:p w14:paraId="2EAFC9E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8E12B2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4BA6EFD" w14:textId="77777777" w:rsidTr="002A1F08">
        <w:trPr>
          <w:trHeight w:val="300"/>
          <w:jc w:val="center"/>
        </w:trPr>
        <w:tc>
          <w:tcPr>
            <w:tcW w:w="596" w:type="dxa"/>
            <w:shd w:val="clear" w:color="000000" w:fill="FFFFFF"/>
            <w:noWrap/>
            <w:vAlign w:val="center"/>
            <w:hideMark/>
          </w:tcPr>
          <w:p w14:paraId="2D30484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154</w:t>
            </w:r>
          </w:p>
        </w:tc>
        <w:tc>
          <w:tcPr>
            <w:tcW w:w="5167" w:type="dxa"/>
            <w:shd w:val="clear" w:color="000000" w:fill="FFFFFF"/>
            <w:noWrap/>
            <w:vAlign w:val="center"/>
            <w:hideMark/>
          </w:tcPr>
          <w:p w14:paraId="30510E9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 xml:space="preserve">Adici 2,4-Diklorofenoksiacetik (2,4-D) </w:t>
            </w:r>
          </w:p>
        </w:tc>
        <w:tc>
          <w:tcPr>
            <w:tcW w:w="990" w:type="dxa"/>
            <w:shd w:val="clear" w:color="000000" w:fill="FFFFFF"/>
            <w:noWrap/>
            <w:vAlign w:val="center"/>
            <w:hideMark/>
          </w:tcPr>
          <w:p w14:paraId="30A90E3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0944F7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971CAAA" w14:textId="77777777" w:rsidTr="002A1F08">
        <w:trPr>
          <w:trHeight w:val="300"/>
          <w:jc w:val="center"/>
        </w:trPr>
        <w:tc>
          <w:tcPr>
            <w:tcW w:w="596" w:type="dxa"/>
            <w:shd w:val="clear" w:color="000000" w:fill="FFFFFF"/>
            <w:noWrap/>
            <w:vAlign w:val="center"/>
            <w:hideMark/>
          </w:tcPr>
          <w:p w14:paraId="6F40AE0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155</w:t>
            </w:r>
          </w:p>
        </w:tc>
        <w:tc>
          <w:tcPr>
            <w:tcW w:w="5167" w:type="dxa"/>
            <w:shd w:val="clear" w:color="000000" w:fill="FFFFFF"/>
            <w:noWrap/>
            <w:vAlign w:val="center"/>
            <w:hideMark/>
          </w:tcPr>
          <w:p w14:paraId="1F62609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Klorotoluron</w:t>
            </w:r>
          </w:p>
        </w:tc>
        <w:tc>
          <w:tcPr>
            <w:tcW w:w="990" w:type="dxa"/>
            <w:shd w:val="clear" w:color="000000" w:fill="FFFFFF"/>
            <w:noWrap/>
            <w:vAlign w:val="center"/>
            <w:hideMark/>
          </w:tcPr>
          <w:p w14:paraId="1C209D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A53BC7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671C71C" w14:textId="77777777" w:rsidTr="002A1F08">
        <w:trPr>
          <w:trHeight w:val="300"/>
          <w:jc w:val="center"/>
        </w:trPr>
        <w:tc>
          <w:tcPr>
            <w:tcW w:w="596" w:type="dxa"/>
            <w:shd w:val="clear" w:color="000000" w:fill="FFFFFF"/>
            <w:noWrap/>
            <w:vAlign w:val="center"/>
            <w:hideMark/>
          </w:tcPr>
          <w:p w14:paraId="4D78C6C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156</w:t>
            </w:r>
          </w:p>
        </w:tc>
        <w:tc>
          <w:tcPr>
            <w:tcW w:w="5167" w:type="dxa"/>
            <w:shd w:val="clear" w:color="000000" w:fill="FFFFFF"/>
            <w:noWrap/>
            <w:vAlign w:val="center"/>
            <w:hideMark/>
          </w:tcPr>
          <w:p w14:paraId="2D6DC2A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Glifosat (Rrumbullakosje)</w:t>
            </w:r>
          </w:p>
        </w:tc>
        <w:tc>
          <w:tcPr>
            <w:tcW w:w="990" w:type="dxa"/>
            <w:shd w:val="clear" w:color="000000" w:fill="FFFFFF"/>
            <w:noWrap/>
            <w:vAlign w:val="center"/>
            <w:hideMark/>
          </w:tcPr>
          <w:p w14:paraId="66D0CFF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3C70E0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2D2C140" w14:textId="77777777" w:rsidTr="002A1F08">
        <w:trPr>
          <w:trHeight w:val="300"/>
          <w:jc w:val="center"/>
        </w:trPr>
        <w:tc>
          <w:tcPr>
            <w:tcW w:w="596" w:type="dxa"/>
            <w:shd w:val="clear" w:color="000000" w:fill="FFFFFF"/>
            <w:noWrap/>
            <w:vAlign w:val="center"/>
            <w:hideMark/>
          </w:tcPr>
          <w:p w14:paraId="45F0493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157</w:t>
            </w:r>
          </w:p>
        </w:tc>
        <w:tc>
          <w:tcPr>
            <w:tcW w:w="5167" w:type="dxa"/>
            <w:shd w:val="clear" w:color="000000" w:fill="FFFFFF"/>
            <w:noWrap/>
            <w:vAlign w:val="center"/>
            <w:hideMark/>
          </w:tcPr>
          <w:p w14:paraId="2E35F78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Glifosat trimesium</w:t>
            </w:r>
          </w:p>
        </w:tc>
        <w:tc>
          <w:tcPr>
            <w:tcW w:w="990" w:type="dxa"/>
            <w:shd w:val="clear" w:color="000000" w:fill="FFFFFF"/>
            <w:noWrap/>
            <w:vAlign w:val="center"/>
            <w:hideMark/>
          </w:tcPr>
          <w:p w14:paraId="6766F95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478A15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FB64CD1" w14:textId="77777777" w:rsidTr="002A1F08">
        <w:trPr>
          <w:trHeight w:val="300"/>
          <w:jc w:val="center"/>
        </w:trPr>
        <w:tc>
          <w:tcPr>
            <w:tcW w:w="596" w:type="dxa"/>
            <w:shd w:val="clear" w:color="000000" w:fill="FFFFFF"/>
            <w:noWrap/>
            <w:vAlign w:val="center"/>
            <w:hideMark/>
          </w:tcPr>
          <w:p w14:paraId="7A4CA01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158</w:t>
            </w:r>
          </w:p>
        </w:tc>
        <w:tc>
          <w:tcPr>
            <w:tcW w:w="5167" w:type="dxa"/>
            <w:shd w:val="clear" w:color="000000" w:fill="FFFFFF"/>
            <w:noWrap/>
            <w:vAlign w:val="center"/>
            <w:hideMark/>
          </w:tcPr>
          <w:p w14:paraId="68A5BAF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Bentazon</w:t>
            </w:r>
          </w:p>
        </w:tc>
        <w:tc>
          <w:tcPr>
            <w:tcW w:w="990" w:type="dxa"/>
            <w:shd w:val="clear" w:color="000000" w:fill="FFFFFF"/>
            <w:noWrap/>
            <w:vAlign w:val="center"/>
            <w:hideMark/>
          </w:tcPr>
          <w:p w14:paraId="39035DD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133EA7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94969DA" w14:textId="77777777" w:rsidTr="002A1F08">
        <w:trPr>
          <w:trHeight w:val="300"/>
          <w:jc w:val="center"/>
        </w:trPr>
        <w:tc>
          <w:tcPr>
            <w:tcW w:w="596" w:type="dxa"/>
            <w:shd w:val="clear" w:color="000000" w:fill="FFFFFF"/>
            <w:noWrap/>
            <w:vAlign w:val="center"/>
            <w:hideMark/>
          </w:tcPr>
          <w:p w14:paraId="1FADBE4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159</w:t>
            </w:r>
          </w:p>
        </w:tc>
        <w:tc>
          <w:tcPr>
            <w:tcW w:w="5167" w:type="dxa"/>
            <w:shd w:val="clear" w:color="000000" w:fill="FFFFFF"/>
            <w:noWrap/>
            <w:vAlign w:val="center"/>
            <w:hideMark/>
          </w:tcPr>
          <w:p w14:paraId="67686C4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Kipermetrin</w:t>
            </w:r>
          </w:p>
        </w:tc>
        <w:tc>
          <w:tcPr>
            <w:tcW w:w="990" w:type="dxa"/>
            <w:shd w:val="clear" w:color="000000" w:fill="FFFFFF"/>
            <w:noWrap/>
            <w:vAlign w:val="center"/>
            <w:hideMark/>
          </w:tcPr>
          <w:p w14:paraId="2C0F91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C5378A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383A2C8" w14:textId="77777777" w:rsidTr="002A1F08">
        <w:trPr>
          <w:trHeight w:val="300"/>
          <w:jc w:val="center"/>
        </w:trPr>
        <w:tc>
          <w:tcPr>
            <w:tcW w:w="596" w:type="dxa"/>
            <w:shd w:val="clear" w:color="000000" w:fill="FFFFFF"/>
            <w:noWrap/>
            <w:vAlign w:val="center"/>
            <w:hideMark/>
          </w:tcPr>
          <w:p w14:paraId="706EA45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160</w:t>
            </w:r>
          </w:p>
        </w:tc>
        <w:tc>
          <w:tcPr>
            <w:tcW w:w="5167" w:type="dxa"/>
            <w:shd w:val="clear" w:color="000000" w:fill="FFFFFF"/>
            <w:noWrap/>
            <w:vAlign w:val="center"/>
            <w:hideMark/>
          </w:tcPr>
          <w:p w14:paraId="5FA376C5" w14:textId="50E481E5"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Të tjera pesticide, herbicide, insekticide, biocide, akaricide, slimicide, algicide, fungicide</w:t>
            </w:r>
            <w:r w:rsidR="00084DB9" w:rsidRPr="00445472">
              <w:rPr>
                <w:rFonts w:ascii="Garamond" w:hAnsi="Garamond"/>
                <w:lang w:val="sq-AL"/>
              </w:rPr>
              <w:t xml:space="preserve"> etj.</w:t>
            </w:r>
            <w:r w:rsidRPr="00445472">
              <w:rPr>
                <w:rFonts w:ascii="Garamond" w:hAnsi="Garamond"/>
                <w:lang w:val="sq-AL"/>
              </w:rPr>
              <w:t>, për të cilat skanimi/analizimi CIS ka treguar që janë, ose mund të jenë, të pranishme në ujërat shqiptare dhe që nuk janë përfshirë në listën e substancave prioritare</w:t>
            </w:r>
          </w:p>
        </w:tc>
        <w:tc>
          <w:tcPr>
            <w:tcW w:w="990" w:type="dxa"/>
            <w:shd w:val="clear" w:color="000000" w:fill="FFFFFF"/>
            <w:noWrap/>
            <w:vAlign w:val="center"/>
            <w:hideMark/>
          </w:tcPr>
          <w:p w14:paraId="1D10436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3F6861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68E9620" w14:textId="77777777" w:rsidTr="002A1F08">
        <w:trPr>
          <w:trHeight w:val="300"/>
          <w:jc w:val="center"/>
        </w:trPr>
        <w:tc>
          <w:tcPr>
            <w:tcW w:w="8463" w:type="dxa"/>
            <w:gridSpan w:val="4"/>
            <w:shd w:val="clear" w:color="auto" w:fill="FDE9D9"/>
            <w:noWrap/>
            <w:vAlign w:val="center"/>
            <w:hideMark/>
          </w:tcPr>
          <w:p w14:paraId="1C08BED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3b. HVOC (CVOC) të halogjenuara/klorinuara</w:t>
            </w:r>
          </w:p>
        </w:tc>
      </w:tr>
      <w:tr w:rsidR="00763C7E" w:rsidRPr="00445472" w14:paraId="7FF3403F" w14:textId="77777777" w:rsidTr="002A1F08">
        <w:trPr>
          <w:trHeight w:val="300"/>
          <w:jc w:val="center"/>
        </w:trPr>
        <w:tc>
          <w:tcPr>
            <w:tcW w:w="596" w:type="dxa"/>
            <w:shd w:val="clear" w:color="000000" w:fill="FFFFFF"/>
            <w:noWrap/>
            <w:vAlign w:val="center"/>
            <w:hideMark/>
          </w:tcPr>
          <w:p w14:paraId="772216C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161</w:t>
            </w:r>
          </w:p>
        </w:tc>
        <w:tc>
          <w:tcPr>
            <w:tcW w:w="5167" w:type="dxa"/>
            <w:shd w:val="clear" w:color="000000" w:fill="FFFFFF"/>
            <w:noWrap/>
            <w:vAlign w:val="center"/>
            <w:hideMark/>
          </w:tcPr>
          <w:p w14:paraId="71D193C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cis-1,2-Dikloroeten (cis-1,2-DCE)</w:t>
            </w:r>
          </w:p>
        </w:tc>
        <w:tc>
          <w:tcPr>
            <w:tcW w:w="990" w:type="dxa"/>
            <w:shd w:val="clear" w:color="000000" w:fill="FFFFFF"/>
            <w:noWrap/>
            <w:vAlign w:val="center"/>
            <w:hideMark/>
          </w:tcPr>
          <w:p w14:paraId="101E58D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743D29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A8C0EB7" w14:textId="77777777" w:rsidTr="002A1F08">
        <w:trPr>
          <w:trHeight w:val="300"/>
          <w:jc w:val="center"/>
        </w:trPr>
        <w:tc>
          <w:tcPr>
            <w:tcW w:w="596" w:type="dxa"/>
            <w:shd w:val="clear" w:color="000000" w:fill="FFFFFF"/>
            <w:noWrap/>
            <w:vAlign w:val="center"/>
            <w:hideMark/>
          </w:tcPr>
          <w:p w14:paraId="31F4BD1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162</w:t>
            </w:r>
          </w:p>
        </w:tc>
        <w:tc>
          <w:tcPr>
            <w:tcW w:w="5167" w:type="dxa"/>
            <w:shd w:val="clear" w:color="000000" w:fill="FFFFFF"/>
            <w:noWrap/>
            <w:vAlign w:val="center"/>
            <w:hideMark/>
          </w:tcPr>
          <w:p w14:paraId="15067C6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trans-1,2-Dikloroeten (trans-1,2-DCE)</w:t>
            </w:r>
          </w:p>
        </w:tc>
        <w:tc>
          <w:tcPr>
            <w:tcW w:w="990" w:type="dxa"/>
            <w:shd w:val="clear" w:color="000000" w:fill="FFFFFF"/>
            <w:noWrap/>
            <w:vAlign w:val="center"/>
            <w:hideMark/>
          </w:tcPr>
          <w:p w14:paraId="34DFA14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23C336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E3C5504" w14:textId="77777777" w:rsidTr="002A1F08">
        <w:trPr>
          <w:trHeight w:val="300"/>
          <w:jc w:val="center"/>
        </w:trPr>
        <w:tc>
          <w:tcPr>
            <w:tcW w:w="596" w:type="dxa"/>
            <w:shd w:val="clear" w:color="000000" w:fill="FFFFFF"/>
            <w:noWrap/>
            <w:vAlign w:val="center"/>
            <w:hideMark/>
          </w:tcPr>
          <w:p w14:paraId="4A1D73B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163</w:t>
            </w:r>
          </w:p>
        </w:tc>
        <w:tc>
          <w:tcPr>
            <w:tcW w:w="5167" w:type="dxa"/>
            <w:shd w:val="clear" w:color="000000" w:fill="FFFFFF"/>
            <w:noWrap/>
            <w:vAlign w:val="center"/>
            <w:hideMark/>
          </w:tcPr>
          <w:p w14:paraId="66EC761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Klorur vinili (Kloroetilen)</w:t>
            </w:r>
          </w:p>
        </w:tc>
        <w:tc>
          <w:tcPr>
            <w:tcW w:w="990" w:type="dxa"/>
            <w:shd w:val="clear" w:color="000000" w:fill="FFFFFF"/>
            <w:noWrap/>
            <w:vAlign w:val="center"/>
            <w:hideMark/>
          </w:tcPr>
          <w:p w14:paraId="187C197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BE8D4E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CD58FB7" w14:textId="77777777" w:rsidTr="002A1F08">
        <w:trPr>
          <w:trHeight w:val="300"/>
          <w:jc w:val="center"/>
        </w:trPr>
        <w:tc>
          <w:tcPr>
            <w:tcW w:w="596" w:type="dxa"/>
            <w:shd w:val="clear" w:color="000000" w:fill="FFFFFF"/>
            <w:noWrap/>
            <w:vAlign w:val="center"/>
            <w:hideMark/>
          </w:tcPr>
          <w:p w14:paraId="4B96762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164</w:t>
            </w:r>
          </w:p>
        </w:tc>
        <w:tc>
          <w:tcPr>
            <w:tcW w:w="5167" w:type="dxa"/>
            <w:shd w:val="clear" w:color="000000" w:fill="FFFFFF"/>
            <w:noWrap/>
            <w:vAlign w:val="center"/>
            <w:hideMark/>
          </w:tcPr>
          <w:p w14:paraId="663FD87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Akrilamid</w:t>
            </w:r>
          </w:p>
        </w:tc>
        <w:tc>
          <w:tcPr>
            <w:tcW w:w="990" w:type="dxa"/>
            <w:shd w:val="clear" w:color="000000" w:fill="FFFFFF"/>
            <w:noWrap/>
            <w:vAlign w:val="center"/>
            <w:hideMark/>
          </w:tcPr>
          <w:p w14:paraId="3A60115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28614B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3200C2F" w14:textId="77777777" w:rsidTr="002A1F08">
        <w:trPr>
          <w:trHeight w:val="300"/>
          <w:jc w:val="center"/>
        </w:trPr>
        <w:tc>
          <w:tcPr>
            <w:tcW w:w="596" w:type="dxa"/>
            <w:shd w:val="clear" w:color="000000" w:fill="FFFFFF"/>
            <w:noWrap/>
            <w:vAlign w:val="center"/>
            <w:hideMark/>
          </w:tcPr>
          <w:p w14:paraId="67F7342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165</w:t>
            </w:r>
          </w:p>
        </w:tc>
        <w:tc>
          <w:tcPr>
            <w:tcW w:w="5167" w:type="dxa"/>
            <w:shd w:val="clear" w:color="000000" w:fill="FFFFFF"/>
            <w:noWrap/>
            <w:vAlign w:val="center"/>
            <w:hideMark/>
          </w:tcPr>
          <w:p w14:paraId="1198796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Epiklorohidrin</w:t>
            </w:r>
          </w:p>
        </w:tc>
        <w:tc>
          <w:tcPr>
            <w:tcW w:w="990" w:type="dxa"/>
            <w:shd w:val="clear" w:color="000000" w:fill="FFFFFF"/>
            <w:noWrap/>
            <w:vAlign w:val="center"/>
            <w:hideMark/>
          </w:tcPr>
          <w:p w14:paraId="21758DC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5CDCC3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7A5E4E9" w14:textId="77777777" w:rsidTr="002A1F08">
        <w:trPr>
          <w:trHeight w:val="300"/>
          <w:jc w:val="center"/>
        </w:trPr>
        <w:tc>
          <w:tcPr>
            <w:tcW w:w="596" w:type="dxa"/>
            <w:shd w:val="clear" w:color="000000" w:fill="FFFFFF"/>
            <w:noWrap/>
            <w:vAlign w:val="center"/>
            <w:hideMark/>
          </w:tcPr>
          <w:p w14:paraId="6F80355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166</w:t>
            </w:r>
          </w:p>
        </w:tc>
        <w:tc>
          <w:tcPr>
            <w:tcW w:w="5167" w:type="dxa"/>
            <w:shd w:val="clear" w:color="000000" w:fill="FFFFFF"/>
            <w:noWrap/>
            <w:vAlign w:val="center"/>
            <w:hideMark/>
          </w:tcPr>
          <w:p w14:paraId="248C769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1,1,1,2-Tetrakloroetan (1,1,1,2-PCA)</w:t>
            </w:r>
          </w:p>
        </w:tc>
        <w:tc>
          <w:tcPr>
            <w:tcW w:w="990" w:type="dxa"/>
            <w:shd w:val="clear" w:color="000000" w:fill="FFFFFF"/>
            <w:noWrap/>
            <w:vAlign w:val="center"/>
            <w:hideMark/>
          </w:tcPr>
          <w:p w14:paraId="3BAE937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35B10F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7A3B576" w14:textId="77777777" w:rsidTr="002A1F08">
        <w:trPr>
          <w:trHeight w:val="300"/>
          <w:jc w:val="center"/>
        </w:trPr>
        <w:tc>
          <w:tcPr>
            <w:tcW w:w="596" w:type="dxa"/>
            <w:shd w:val="clear" w:color="000000" w:fill="FFFFFF"/>
            <w:noWrap/>
            <w:vAlign w:val="center"/>
            <w:hideMark/>
          </w:tcPr>
          <w:p w14:paraId="424BA60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167</w:t>
            </w:r>
          </w:p>
        </w:tc>
        <w:tc>
          <w:tcPr>
            <w:tcW w:w="5167" w:type="dxa"/>
            <w:shd w:val="clear" w:color="000000" w:fill="FFFFFF"/>
            <w:noWrap/>
            <w:vAlign w:val="center"/>
            <w:hideMark/>
          </w:tcPr>
          <w:p w14:paraId="6B2DE74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1,1,2,2-Tetrakloroetan (1,1,2,2-PCA)</w:t>
            </w:r>
          </w:p>
        </w:tc>
        <w:tc>
          <w:tcPr>
            <w:tcW w:w="990" w:type="dxa"/>
            <w:shd w:val="clear" w:color="000000" w:fill="FFFFFF"/>
            <w:noWrap/>
            <w:vAlign w:val="center"/>
            <w:hideMark/>
          </w:tcPr>
          <w:p w14:paraId="5B0FB07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3F0CAE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6767B95" w14:textId="77777777" w:rsidTr="002A1F08">
        <w:trPr>
          <w:trHeight w:val="300"/>
          <w:jc w:val="center"/>
        </w:trPr>
        <w:tc>
          <w:tcPr>
            <w:tcW w:w="596" w:type="dxa"/>
            <w:shd w:val="clear" w:color="000000" w:fill="FFFFFF"/>
            <w:noWrap/>
            <w:vAlign w:val="center"/>
            <w:hideMark/>
          </w:tcPr>
          <w:p w14:paraId="6E7551A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168</w:t>
            </w:r>
          </w:p>
        </w:tc>
        <w:tc>
          <w:tcPr>
            <w:tcW w:w="5167" w:type="dxa"/>
            <w:shd w:val="clear" w:color="000000" w:fill="FFFFFF"/>
            <w:noWrap/>
            <w:vAlign w:val="center"/>
            <w:hideMark/>
          </w:tcPr>
          <w:p w14:paraId="25CA28B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1,1,1-Trikloroetan (1,1,1-TCA)</w:t>
            </w:r>
          </w:p>
        </w:tc>
        <w:tc>
          <w:tcPr>
            <w:tcW w:w="990" w:type="dxa"/>
            <w:shd w:val="clear" w:color="000000" w:fill="FFFFFF"/>
            <w:noWrap/>
            <w:vAlign w:val="center"/>
            <w:hideMark/>
          </w:tcPr>
          <w:p w14:paraId="5788E56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9D549A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9B07472" w14:textId="77777777" w:rsidTr="002A1F08">
        <w:trPr>
          <w:trHeight w:val="300"/>
          <w:jc w:val="center"/>
        </w:trPr>
        <w:tc>
          <w:tcPr>
            <w:tcW w:w="596" w:type="dxa"/>
            <w:shd w:val="clear" w:color="000000" w:fill="FFFFFF"/>
            <w:noWrap/>
            <w:vAlign w:val="center"/>
            <w:hideMark/>
          </w:tcPr>
          <w:p w14:paraId="4A6FD1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169</w:t>
            </w:r>
          </w:p>
        </w:tc>
        <w:tc>
          <w:tcPr>
            <w:tcW w:w="5167" w:type="dxa"/>
            <w:shd w:val="clear" w:color="000000" w:fill="FFFFFF"/>
            <w:noWrap/>
            <w:vAlign w:val="center"/>
            <w:hideMark/>
          </w:tcPr>
          <w:p w14:paraId="3ECADB4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1,1,2-Trikloroetan (1,1,2-TCA)</w:t>
            </w:r>
          </w:p>
        </w:tc>
        <w:tc>
          <w:tcPr>
            <w:tcW w:w="990" w:type="dxa"/>
            <w:shd w:val="clear" w:color="000000" w:fill="FFFFFF"/>
            <w:noWrap/>
            <w:vAlign w:val="center"/>
            <w:hideMark/>
          </w:tcPr>
          <w:p w14:paraId="074BAE1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D62FDD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BF2DDFC" w14:textId="77777777" w:rsidTr="002A1F08">
        <w:trPr>
          <w:trHeight w:val="300"/>
          <w:jc w:val="center"/>
        </w:trPr>
        <w:tc>
          <w:tcPr>
            <w:tcW w:w="596" w:type="dxa"/>
            <w:shd w:val="clear" w:color="000000" w:fill="FFFFFF"/>
            <w:noWrap/>
            <w:vAlign w:val="center"/>
            <w:hideMark/>
          </w:tcPr>
          <w:p w14:paraId="61702FB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170</w:t>
            </w:r>
          </w:p>
        </w:tc>
        <w:tc>
          <w:tcPr>
            <w:tcW w:w="5167" w:type="dxa"/>
            <w:shd w:val="clear" w:color="000000" w:fill="FFFFFF"/>
            <w:noWrap/>
            <w:vAlign w:val="center"/>
            <w:hideMark/>
          </w:tcPr>
          <w:p w14:paraId="27E3C52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1,1-Dikloroetan (1,1-DCA)</w:t>
            </w:r>
          </w:p>
        </w:tc>
        <w:tc>
          <w:tcPr>
            <w:tcW w:w="990" w:type="dxa"/>
            <w:shd w:val="clear" w:color="000000" w:fill="FFFFFF"/>
            <w:noWrap/>
            <w:vAlign w:val="center"/>
            <w:hideMark/>
          </w:tcPr>
          <w:p w14:paraId="680ED65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C4270E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35B41F6" w14:textId="77777777" w:rsidTr="002A1F08">
        <w:trPr>
          <w:trHeight w:val="300"/>
          <w:jc w:val="center"/>
        </w:trPr>
        <w:tc>
          <w:tcPr>
            <w:tcW w:w="596" w:type="dxa"/>
            <w:shd w:val="clear" w:color="000000" w:fill="FFFFFF"/>
            <w:noWrap/>
            <w:vAlign w:val="center"/>
            <w:hideMark/>
          </w:tcPr>
          <w:p w14:paraId="6F3AD4A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171</w:t>
            </w:r>
          </w:p>
        </w:tc>
        <w:tc>
          <w:tcPr>
            <w:tcW w:w="5167" w:type="dxa"/>
            <w:shd w:val="clear" w:color="000000" w:fill="FFFFFF"/>
            <w:noWrap/>
            <w:vAlign w:val="center"/>
            <w:hideMark/>
          </w:tcPr>
          <w:p w14:paraId="3EFBF44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Bromoform</w:t>
            </w:r>
          </w:p>
        </w:tc>
        <w:tc>
          <w:tcPr>
            <w:tcW w:w="990" w:type="dxa"/>
            <w:shd w:val="clear" w:color="000000" w:fill="FFFFFF"/>
            <w:noWrap/>
            <w:vAlign w:val="center"/>
            <w:hideMark/>
          </w:tcPr>
          <w:p w14:paraId="62D77F9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046B35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3FC2233" w14:textId="77777777" w:rsidTr="002A1F08">
        <w:trPr>
          <w:trHeight w:val="300"/>
          <w:jc w:val="center"/>
        </w:trPr>
        <w:tc>
          <w:tcPr>
            <w:tcW w:w="596" w:type="dxa"/>
            <w:shd w:val="clear" w:color="000000" w:fill="FFFFFF"/>
            <w:noWrap/>
            <w:vAlign w:val="center"/>
            <w:hideMark/>
          </w:tcPr>
          <w:p w14:paraId="4EFE520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172</w:t>
            </w:r>
          </w:p>
        </w:tc>
        <w:tc>
          <w:tcPr>
            <w:tcW w:w="5167" w:type="dxa"/>
            <w:shd w:val="clear" w:color="000000" w:fill="FFFFFF"/>
            <w:noWrap/>
            <w:vAlign w:val="center"/>
            <w:hideMark/>
          </w:tcPr>
          <w:p w14:paraId="0D9DF91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Iodoform</w:t>
            </w:r>
          </w:p>
        </w:tc>
        <w:tc>
          <w:tcPr>
            <w:tcW w:w="990" w:type="dxa"/>
            <w:shd w:val="clear" w:color="000000" w:fill="FFFFFF"/>
            <w:noWrap/>
            <w:vAlign w:val="center"/>
            <w:hideMark/>
          </w:tcPr>
          <w:p w14:paraId="0068B3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BC79DC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3BBA0F4" w14:textId="77777777" w:rsidTr="002A1F08">
        <w:trPr>
          <w:trHeight w:val="300"/>
          <w:jc w:val="center"/>
        </w:trPr>
        <w:tc>
          <w:tcPr>
            <w:tcW w:w="596" w:type="dxa"/>
            <w:shd w:val="clear" w:color="000000" w:fill="FFFFFF"/>
            <w:noWrap/>
            <w:vAlign w:val="center"/>
            <w:hideMark/>
          </w:tcPr>
          <w:p w14:paraId="3AB8D70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173</w:t>
            </w:r>
          </w:p>
        </w:tc>
        <w:tc>
          <w:tcPr>
            <w:tcW w:w="5167" w:type="dxa"/>
            <w:shd w:val="clear" w:color="000000" w:fill="FFFFFF"/>
            <w:noWrap/>
            <w:vAlign w:val="center"/>
            <w:hideMark/>
          </w:tcPr>
          <w:p w14:paraId="601DA22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Dibromoklorometan</w:t>
            </w:r>
          </w:p>
        </w:tc>
        <w:tc>
          <w:tcPr>
            <w:tcW w:w="990" w:type="dxa"/>
            <w:shd w:val="clear" w:color="000000" w:fill="FFFFFF"/>
            <w:noWrap/>
            <w:vAlign w:val="center"/>
            <w:hideMark/>
          </w:tcPr>
          <w:p w14:paraId="6BE262A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6EF41C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6B9EFD5" w14:textId="77777777" w:rsidTr="002A1F08">
        <w:trPr>
          <w:trHeight w:val="300"/>
          <w:jc w:val="center"/>
        </w:trPr>
        <w:tc>
          <w:tcPr>
            <w:tcW w:w="596" w:type="dxa"/>
            <w:shd w:val="clear" w:color="000000" w:fill="FFFFFF"/>
            <w:noWrap/>
            <w:vAlign w:val="center"/>
            <w:hideMark/>
          </w:tcPr>
          <w:p w14:paraId="501A577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174</w:t>
            </w:r>
          </w:p>
        </w:tc>
        <w:tc>
          <w:tcPr>
            <w:tcW w:w="5167" w:type="dxa"/>
            <w:shd w:val="clear" w:color="000000" w:fill="FFFFFF"/>
            <w:noWrap/>
            <w:vAlign w:val="center"/>
            <w:hideMark/>
          </w:tcPr>
          <w:p w14:paraId="1D99DA6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Bromodiklorometan</w:t>
            </w:r>
          </w:p>
        </w:tc>
        <w:tc>
          <w:tcPr>
            <w:tcW w:w="990" w:type="dxa"/>
            <w:shd w:val="clear" w:color="000000" w:fill="FFFFFF"/>
            <w:noWrap/>
            <w:vAlign w:val="center"/>
            <w:hideMark/>
          </w:tcPr>
          <w:p w14:paraId="325D66E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441ADE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C230AFA" w14:textId="77777777" w:rsidTr="002A1F08">
        <w:trPr>
          <w:trHeight w:val="300"/>
          <w:jc w:val="center"/>
        </w:trPr>
        <w:tc>
          <w:tcPr>
            <w:tcW w:w="596" w:type="dxa"/>
            <w:shd w:val="clear" w:color="000000" w:fill="FFFFFF"/>
            <w:noWrap/>
            <w:vAlign w:val="center"/>
            <w:hideMark/>
          </w:tcPr>
          <w:p w14:paraId="4632819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175</w:t>
            </w:r>
          </w:p>
        </w:tc>
        <w:tc>
          <w:tcPr>
            <w:tcW w:w="5167" w:type="dxa"/>
            <w:shd w:val="clear" w:color="000000" w:fill="FFFFFF"/>
            <w:noWrap/>
            <w:vAlign w:val="center"/>
            <w:hideMark/>
          </w:tcPr>
          <w:p w14:paraId="1AA2551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Totali i Trihalometaneve (THM)</w:t>
            </w:r>
          </w:p>
        </w:tc>
        <w:tc>
          <w:tcPr>
            <w:tcW w:w="990" w:type="dxa"/>
            <w:shd w:val="clear" w:color="000000" w:fill="FFFFFF"/>
            <w:noWrap/>
            <w:vAlign w:val="center"/>
            <w:hideMark/>
          </w:tcPr>
          <w:p w14:paraId="60A67DD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E37577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4F187D0" w14:textId="77777777" w:rsidTr="002A1F08">
        <w:trPr>
          <w:trHeight w:val="300"/>
          <w:jc w:val="center"/>
        </w:trPr>
        <w:tc>
          <w:tcPr>
            <w:tcW w:w="596" w:type="dxa"/>
            <w:shd w:val="clear" w:color="000000" w:fill="FFFFFF"/>
            <w:noWrap/>
            <w:vAlign w:val="center"/>
            <w:hideMark/>
          </w:tcPr>
          <w:p w14:paraId="4769132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176</w:t>
            </w:r>
          </w:p>
        </w:tc>
        <w:tc>
          <w:tcPr>
            <w:tcW w:w="5167" w:type="dxa"/>
            <w:shd w:val="clear" w:color="000000" w:fill="FFFFFF"/>
            <w:noWrap/>
            <w:vAlign w:val="center"/>
            <w:hideMark/>
          </w:tcPr>
          <w:p w14:paraId="251196F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Kloral hidrat</w:t>
            </w:r>
          </w:p>
        </w:tc>
        <w:tc>
          <w:tcPr>
            <w:tcW w:w="990" w:type="dxa"/>
            <w:shd w:val="clear" w:color="000000" w:fill="FFFFFF"/>
            <w:noWrap/>
            <w:vAlign w:val="center"/>
            <w:hideMark/>
          </w:tcPr>
          <w:p w14:paraId="2ED85D1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D78F8E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414CF86" w14:textId="77777777" w:rsidTr="002A1F08">
        <w:trPr>
          <w:trHeight w:val="300"/>
          <w:jc w:val="center"/>
        </w:trPr>
        <w:tc>
          <w:tcPr>
            <w:tcW w:w="596" w:type="dxa"/>
            <w:shd w:val="clear" w:color="000000" w:fill="FFFFFF"/>
            <w:noWrap/>
            <w:vAlign w:val="center"/>
            <w:hideMark/>
          </w:tcPr>
          <w:p w14:paraId="20F424D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177</w:t>
            </w:r>
          </w:p>
        </w:tc>
        <w:tc>
          <w:tcPr>
            <w:tcW w:w="5167" w:type="dxa"/>
            <w:shd w:val="clear" w:color="000000" w:fill="FFFFFF"/>
            <w:noWrap/>
            <w:vAlign w:val="center"/>
            <w:hideMark/>
          </w:tcPr>
          <w:p w14:paraId="5136CDC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Acid kloroacetik</w:t>
            </w:r>
          </w:p>
        </w:tc>
        <w:tc>
          <w:tcPr>
            <w:tcW w:w="990" w:type="dxa"/>
            <w:shd w:val="clear" w:color="000000" w:fill="FFFFFF"/>
            <w:noWrap/>
            <w:vAlign w:val="center"/>
            <w:hideMark/>
          </w:tcPr>
          <w:p w14:paraId="3E8164E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5088CF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D198CC1" w14:textId="77777777" w:rsidTr="002A1F08">
        <w:trPr>
          <w:trHeight w:val="300"/>
          <w:jc w:val="center"/>
        </w:trPr>
        <w:tc>
          <w:tcPr>
            <w:tcW w:w="596" w:type="dxa"/>
            <w:shd w:val="clear" w:color="000000" w:fill="FFFFFF"/>
            <w:noWrap/>
            <w:vAlign w:val="center"/>
            <w:hideMark/>
          </w:tcPr>
          <w:p w14:paraId="1D6A21D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178</w:t>
            </w:r>
          </w:p>
        </w:tc>
        <w:tc>
          <w:tcPr>
            <w:tcW w:w="5167" w:type="dxa"/>
            <w:shd w:val="clear" w:color="000000" w:fill="FFFFFF"/>
            <w:noWrap/>
            <w:vAlign w:val="center"/>
            <w:hideMark/>
          </w:tcPr>
          <w:p w14:paraId="0BA03C7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2-Kloroetanol</w:t>
            </w:r>
          </w:p>
        </w:tc>
        <w:tc>
          <w:tcPr>
            <w:tcW w:w="990" w:type="dxa"/>
            <w:shd w:val="clear" w:color="000000" w:fill="FFFFFF"/>
            <w:noWrap/>
            <w:vAlign w:val="center"/>
            <w:hideMark/>
          </w:tcPr>
          <w:p w14:paraId="1D3CB6D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D400C0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FBDDC85" w14:textId="77777777" w:rsidTr="002A1F08">
        <w:trPr>
          <w:trHeight w:val="300"/>
          <w:jc w:val="center"/>
        </w:trPr>
        <w:tc>
          <w:tcPr>
            <w:tcW w:w="596" w:type="dxa"/>
            <w:shd w:val="clear" w:color="000000" w:fill="FFFFFF"/>
            <w:noWrap/>
            <w:vAlign w:val="center"/>
            <w:hideMark/>
          </w:tcPr>
          <w:p w14:paraId="3839B4C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179</w:t>
            </w:r>
          </w:p>
        </w:tc>
        <w:tc>
          <w:tcPr>
            <w:tcW w:w="5167" w:type="dxa"/>
            <w:shd w:val="clear" w:color="000000" w:fill="FFFFFF"/>
            <w:noWrap/>
            <w:vAlign w:val="center"/>
            <w:hideMark/>
          </w:tcPr>
          <w:p w14:paraId="18D85ED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Metilbromid (bromometan)</w:t>
            </w:r>
          </w:p>
        </w:tc>
        <w:tc>
          <w:tcPr>
            <w:tcW w:w="990" w:type="dxa"/>
            <w:shd w:val="clear" w:color="000000" w:fill="FFFFFF"/>
            <w:noWrap/>
            <w:vAlign w:val="center"/>
            <w:hideMark/>
          </w:tcPr>
          <w:p w14:paraId="3FBBAC0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DC2A84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368C425" w14:textId="77777777" w:rsidTr="002A1F08">
        <w:trPr>
          <w:trHeight w:val="300"/>
          <w:jc w:val="center"/>
        </w:trPr>
        <w:tc>
          <w:tcPr>
            <w:tcW w:w="596" w:type="dxa"/>
            <w:shd w:val="clear" w:color="000000" w:fill="FFFFFF"/>
            <w:noWrap/>
            <w:vAlign w:val="center"/>
            <w:hideMark/>
          </w:tcPr>
          <w:p w14:paraId="41C1AD6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180</w:t>
            </w:r>
          </w:p>
        </w:tc>
        <w:tc>
          <w:tcPr>
            <w:tcW w:w="5167" w:type="dxa"/>
            <w:shd w:val="clear" w:color="000000" w:fill="FFFFFF"/>
            <w:noWrap/>
            <w:vAlign w:val="center"/>
            <w:hideMark/>
          </w:tcPr>
          <w:p w14:paraId="3E267FD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1,2-Dibrometan</w:t>
            </w:r>
          </w:p>
        </w:tc>
        <w:tc>
          <w:tcPr>
            <w:tcW w:w="990" w:type="dxa"/>
            <w:shd w:val="clear" w:color="000000" w:fill="FFFFFF"/>
            <w:noWrap/>
            <w:vAlign w:val="center"/>
            <w:hideMark/>
          </w:tcPr>
          <w:p w14:paraId="66034E1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7D8CE2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51D296B" w14:textId="77777777" w:rsidTr="002A1F08">
        <w:trPr>
          <w:trHeight w:val="300"/>
          <w:jc w:val="center"/>
        </w:trPr>
        <w:tc>
          <w:tcPr>
            <w:tcW w:w="596" w:type="dxa"/>
            <w:shd w:val="clear" w:color="000000" w:fill="FFFFFF"/>
            <w:noWrap/>
            <w:vAlign w:val="center"/>
            <w:hideMark/>
          </w:tcPr>
          <w:p w14:paraId="2539987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181</w:t>
            </w:r>
          </w:p>
        </w:tc>
        <w:tc>
          <w:tcPr>
            <w:tcW w:w="5167" w:type="dxa"/>
            <w:shd w:val="clear" w:color="000000" w:fill="FFFFFF"/>
            <w:noWrap/>
            <w:vAlign w:val="center"/>
            <w:hideMark/>
          </w:tcPr>
          <w:p w14:paraId="2D9A924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1,2-Dikloropropan</w:t>
            </w:r>
          </w:p>
        </w:tc>
        <w:tc>
          <w:tcPr>
            <w:tcW w:w="990" w:type="dxa"/>
            <w:shd w:val="clear" w:color="000000" w:fill="FFFFFF"/>
            <w:noWrap/>
            <w:vAlign w:val="center"/>
            <w:hideMark/>
          </w:tcPr>
          <w:p w14:paraId="1DE9819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21E07C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979DDB3" w14:textId="77777777" w:rsidTr="002A1F08">
        <w:trPr>
          <w:trHeight w:val="300"/>
          <w:jc w:val="center"/>
        </w:trPr>
        <w:tc>
          <w:tcPr>
            <w:tcW w:w="596" w:type="dxa"/>
            <w:shd w:val="clear" w:color="000000" w:fill="FFFFFF"/>
            <w:noWrap/>
            <w:vAlign w:val="center"/>
            <w:hideMark/>
          </w:tcPr>
          <w:p w14:paraId="7ACADCB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182</w:t>
            </w:r>
          </w:p>
        </w:tc>
        <w:tc>
          <w:tcPr>
            <w:tcW w:w="5167" w:type="dxa"/>
            <w:shd w:val="clear" w:color="000000" w:fill="FFFFFF"/>
            <w:noWrap/>
            <w:vAlign w:val="center"/>
            <w:hideMark/>
          </w:tcPr>
          <w:p w14:paraId="53813E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1,3-Dikloropropan -2-ol</w:t>
            </w:r>
          </w:p>
        </w:tc>
        <w:tc>
          <w:tcPr>
            <w:tcW w:w="990" w:type="dxa"/>
            <w:shd w:val="clear" w:color="000000" w:fill="FFFFFF"/>
            <w:noWrap/>
            <w:vAlign w:val="center"/>
            <w:hideMark/>
          </w:tcPr>
          <w:p w14:paraId="204D6A1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4EC54B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8DC2062" w14:textId="77777777" w:rsidTr="002A1F08">
        <w:trPr>
          <w:trHeight w:val="300"/>
          <w:jc w:val="center"/>
        </w:trPr>
        <w:tc>
          <w:tcPr>
            <w:tcW w:w="596" w:type="dxa"/>
            <w:shd w:val="clear" w:color="000000" w:fill="FFFFFF"/>
            <w:noWrap/>
            <w:vAlign w:val="center"/>
            <w:hideMark/>
          </w:tcPr>
          <w:p w14:paraId="233AD5E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183</w:t>
            </w:r>
          </w:p>
        </w:tc>
        <w:tc>
          <w:tcPr>
            <w:tcW w:w="5167" w:type="dxa"/>
            <w:shd w:val="clear" w:color="000000" w:fill="FFFFFF"/>
            <w:noWrap/>
            <w:vAlign w:val="center"/>
            <w:hideMark/>
          </w:tcPr>
          <w:p w14:paraId="232BAE8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1,3-Dikloropropen</w:t>
            </w:r>
          </w:p>
        </w:tc>
        <w:tc>
          <w:tcPr>
            <w:tcW w:w="990" w:type="dxa"/>
            <w:shd w:val="clear" w:color="000000" w:fill="FFFFFF"/>
            <w:noWrap/>
            <w:vAlign w:val="center"/>
            <w:hideMark/>
          </w:tcPr>
          <w:p w14:paraId="5DD3DED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419B25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5DCF6DB" w14:textId="77777777" w:rsidTr="002A1F08">
        <w:trPr>
          <w:trHeight w:val="300"/>
          <w:jc w:val="center"/>
        </w:trPr>
        <w:tc>
          <w:tcPr>
            <w:tcW w:w="596" w:type="dxa"/>
            <w:shd w:val="clear" w:color="000000" w:fill="FFFFFF"/>
            <w:noWrap/>
            <w:vAlign w:val="center"/>
            <w:hideMark/>
          </w:tcPr>
          <w:p w14:paraId="7FD3027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184</w:t>
            </w:r>
          </w:p>
        </w:tc>
        <w:tc>
          <w:tcPr>
            <w:tcW w:w="5167" w:type="dxa"/>
            <w:shd w:val="clear" w:color="000000" w:fill="FFFFFF"/>
            <w:noWrap/>
            <w:vAlign w:val="center"/>
            <w:hideMark/>
          </w:tcPr>
          <w:p w14:paraId="5D12E8F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2,3-Dikloropropen</w:t>
            </w:r>
          </w:p>
        </w:tc>
        <w:tc>
          <w:tcPr>
            <w:tcW w:w="990" w:type="dxa"/>
            <w:shd w:val="clear" w:color="000000" w:fill="FFFFFF"/>
            <w:noWrap/>
            <w:vAlign w:val="center"/>
            <w:hideMark/>
          </w:tcPr>
          <w:p w14:paraId="39806C9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ED3291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E17AB7C" w14:textId="77777777" w:rsidTr="002A1F08">
        <w:trPr>
          <w:trHeight w:val="300"/>
          <w:jc w:val="center"/>
        </w:trPr>
        <w:tc>
          <w:tcPr>
            <w:tcW w:w="596" w:type="dxa"/>
            <w:shd w:val="clear" w:color="000000" w:fill="FFFFFF"/>
            <w:noWrap/>
            <w:vAlign w:val="center"/>
            <w:hideMark/>
          </w:tcPr>
          <w:p w14:paraId="18F707A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185</w:t>
            </w:r>
          </w:p>
        </w:tc>
        <w:tc>
          <w:tcPr>
            <w:tcW w:w="5167" w:type="dxa"/>
            <w:shd w:val="clear" w:color="000000" w:fill="FFFFFF"/>
            <w:noWrap/>
            <w:vAlign w:val="center"/>
            <w:hideMark/>
          </w:tcPr>
          <w:p w14:paraId="57EE42B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1,1-Dikloroetilen (Viniliden kloridi)</w:t>
            </w:r>
          </w:p>
        </w:tc>
        <w:tc>
          <w:tcPr>
            <w:tcW w:w="990" w:type="dxa"/>
            <w:shd w:val="clear" w:color="000000" w:fill="FFFFFF"/>
            <w:noWrap/>
            <w:vAlign w:val="center"/>
            <w:hideMark/>
          </w:tcPr>
          <w:p w14:paraId="6A81B87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D8EE5E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D77FC7D" w14:textId="77777777" w:rsidTr="002A1F08">
        <w:trPr>
          <w:trHeight w:val="300"/>
          <w:jc w:val="center"/>
        </w:trPr>
        <w:tc>
          <w:tcPr>
            <w:tcW w:w="596" w:type="dxa"/>
            <w:shd w:val="clear" w:color="000000" w:fill="FFFFFF"/>
            <w:noWrap/>
            <w:vAlign w:val="center"/>
            <w:hideMark/>
          </w:tcPr>
          <w:p w14:paraId="2D1A8D9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186</w:t>
            </w:r>
          </w:p>
        </w:tc>
        <w:tc>
          <w:tcPr>
            <w:tcW w:w="5167" w:type="dxa"/>
            <w:shd w:val="clear" w:color="000000" w:fill="FFFFFF"/>
            <w:noWrap/>
            <w:vAlign w:val="center"/>
            <w:hideMark/>
          </w:tcPr>
          <w:p w14:paraId="6EB68F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1,2-Dikloroetilen</w:t>
            </w:r>
          </w:p>
        </w:tc>
        <w:tc>
          <w:tcPr>
            <w:tcW w:w="990" w:type="dxa"/>
            <w:shd w:val="clear" w:color="000000" w:fill="FFFFFF"/>
            <w:noWrap/>
            <w:vAlign w:val="center"/>
            <w:hideMark/>
          </w:tcPr>
          <w:p w14:paraId="6CB1E38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F73184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294C723" w14:textId="77777777" w:rsidTr="002A1F08">
        <w:trPr>
          <w:trHeight w:val="300"/>
          <w:jc w:val="center"/>
        </w:trPr>
        <w:tc>
          <w:tcPr>
            <w:tcW w:w="596" w:type="dxa"/>
            <w:shd w:val="clear" w:color="000000" w:fill="FFFFFF"/>
            <w:noWrap/>
            <w:vAlign w:val="center"/>
            <w:hideMark/>
          </w:tcPr>
          <w:p w14:paraId="7F1E425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187</w:t>
            </w:r>
          </w:p>
        </w:tc>
        <w:tc>
          <w:tcPr>
            <w:tcW w:w="5167" w:type="dxa"/>
            <w:shd w:val="clear" w:color="000000" w:fill="FFFFFF"/>
            <w:noWrap/>
            <w:vAlign w:val="center"/>
            <w:hideMark/>
          </w:tcPr>
          <w:p w14:paraId="46E4ECD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1,1,2-Tri-kloro-tri-fluoro-etan</w:t>
            </w:r>
          </w:p>
        </w:tc>
        <w:tc>
          <w:tcPr>
            <w:tcW w:w="990" w:type="dxa"/>
            <w:shd w:val="clear" w:color="000000" w:fill="FFFFFF"/>
            <w:noWrap/>
            <w:vAlign w:val="center"/>
            <w:hideMark/>
          </w:tcPr>
          <w:p w14:paraId="575E9BB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389A53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E3E2DC8" w14:textId="77777777" w:rsidTr="002A1F08">
        <w:trPr>
          <w:trHeight w:val="300"/>
          <w:jc w:val="center"/>
        </w:trPr>
        <w:tc>
          <w:tcPr>
            <w:tcW w:w="596" w:type="dxa"/>
            <w:shd w:val="clear" w:color="000000" w:fill="FFFFFF"/>
            <w:noWrap/>
            <w:vAlign w:val="center"/>
            <w:hideMark/>
          </w:tcPr>
          <w:p w14:paraId="10A8697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188</w:t>
            </w:r>
          </w:p>
        </w:tc>
        <w:tc>
          <w:tcPr>
            <w:tcW w:w="5167" w:type="dxa"/>
            <w:shd w:val="clear" w:color="000000" w:fill="FFFFFF"/>
            <w:noWrap/>
            <w:vAlign w:val="center"/>
            <w:hideMark/>
          </w:tcPr>
          <w:p w14:paraId="27E3260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Heksaakloroetan</w:t>
            </w:r>
          </w:p>
        </w:tc>
        <w:tc>
          <w:tcPr>
            <w:tcW w:w="990" w:type="dxa"/>
            <w:shd w:val="clear" w:color="000000" w:fill="FFFFFF"/>
            <w:noWrap/>
            <w:vAlign w:val="center"/>
            <w:hideMark/>
          </w:tcPr>
          <w:p w14:paraId="50373AB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1D4DD6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C95819A" w14:textId="77777777" w:rsidTr="002A1F08">
        <w:trPr>
          <w:trHeight w:val="300"/>
          <w:jc w:val="center"/>
        </w:trPr>
        <w:tc>
          <w:tcPr>
            <w:tcW w:w="596" w:type="dxa"/>
            <w:shd w:val="clear" w:color="000000" w:fill="FFFFFF"/>
            <w:noWrap/>
            <w:vAlign w:val="center"/>
            <w:hideMark/>
          </w:tcPr>
          <w:p w14:paraId="026F0D3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189</w:t>
            </w:r>
          </w:p>
        </w:tc>
        <w:tc>
          <w:tcPr>
            <w:tcW w:w="5167" w:type="dxa"/>
            <w:shd w:val="clear" w:color="000000" w:fill="FFFFFF"/>
            <w:noWrap/>
            <w:vAlign w:val="center"/>
            <w:hideMark/>
          </w:tcPr>
          <w:p w14:paraId="795B2D0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Eter dikloro-di-isopropili</w:t>
            </w:r>
          </w:p>
        </w:tc>
        <w:tc>
          <w:tcPr>
            <w:tcW w:w="990" w:type="dxa"/>
            <w:shd w:val="clear" w:color="000000" w:fill="FFFFFF"/>
            <w:noWrap/>
            <w:vAlign w:val="center"/>
            <w:hideMark/>
          </w:tcPr>
          <w:p w14:paraId="39DC5AC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592D22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B3F0952" w14:textId="77777777" w:rsidTr="002A1F08">
        <w:trPr>
          <w:trHeight w:val="300"/>
          <w:jc w:val="center"/>
        </w:trPr>
        <w:tc>
          <w:tcPr>
            <w:tcW w:w="596" w:type="dxa"/>
            <w:shd w:val="clear" w:color="000000" w:fill="FFFFFF"/>
            <w:noWrap/>
            <w:vAlign w:val="center"/>
            <w:hideMark/>
          </w:tcPr>
          <w:p w14:paraId="0E99E3D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190</w:t>
            </w:r>
          </w:p>
        </w:tc>
        <w:tc>
          <w:tcPr>
            <w:tcW w:w="5167" w:type="dxa"/>
            <w:shd w:val="clear" w:color="000000" w:fill="FFFFFF"/>
            <w:noWrap/>
            <w:vAlign w:val="center"/>
            <w:hideMark/>
          </w:tcPr>
          <w:p w14:paraId="40C5679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PCB bifenile të poliklorinuara (PCT trifenile të poliklorinuara)</w:t>
            </w:r>
          </w:p>
        </w:tc>
        <w:tc>
          <w:tcPr>
            <w:tcW w:w="990" w:type="dxa"/>
            <w:shd w:val="clear" w:color="000000" w:fill="FFFFFF"/>
            <w:noWrap/>
            <w:vAlign w:val="center"/>
            <w:hideMark/>
          </w:tcPr>
          <w:p w14:paraId="702331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11D472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788A050" w14:textId="77777777" w:rsidTr="002A1F08">
        <w:trPr>
          <w:trHeight w:val="300"/>
          <w:jc w:val="center"/>
        </w:trPr>
        <w:tc>
          <w:tcPr>
            <w:tcW w:w="596" w:type="dxa"/>
            <w:shd w:val="clear" w:color="000000" w:fill="FFFFFF"/>
            <w:noWrap/>
            <w:vAlign w:val="center"/>
            <w:hideMark/>
          </w:tcPr>
          <w:p w14:paraId="2C554F1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191</w:t>
            </w:r>
          </w:p>
        </w:tc>
        <w:tc>
          <w:tcPr>
            <w:tcW w:w="5167" w:type="dxa"/>
            <w:shd w:val="clear" w:color="000000" w:fill="FFFFFF"/>
            <w:noWrap/>
            <w:vAlign w:val="center"/>
            <w:hideMark/>
          </w:tcPr>
          <w:p w14:paraId="5FC7864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Kloronitrobenzen</w:t>
            </w:r>
          </w:p>
        </w:tc>
        <w:tc>
          <w:tcPr>
            <w:tcW w:w="990" w:type="dxa"/>
            <w:shd w:val="clear" w:color="000000" w:fill="FFFFFF"/>
            <w:noWrap/>
            <w:vAlign w:val="center"/>
            <w:hideMark/>
          </w:tcPr>
          <w:p w14:paraId="0476839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1A2399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6D5A554" w14:textId="77777777" w:rsidTr="002A1F08">
        <w:trPr>
          <w:trHeight w:val="300"/>
          <w:jc w:val="center"/>
        </w:trPr>
        <w:tc>
          <w:tcPr>
            <w:tcW w:w="596" w:type="dxa"/>
            <w:shd w:val="clear" w:color="000000" w:fill="FFFFFF"/>
            <w:noWrap/>
            <w:vAlign w:val="center"/>
            <w:hideMark/>
          </w:tcPr>
          <w:p w14:paraId="2F7AEEF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192</w:t>
            </w:r>
          </w:p>
        </w:tc>
        <w:tc>
          <w:tcPr>
            <w:tcW w:w="5167" w:type="dxa"/>
            <w:shd w:val="clear" w:color="000000" w:fill="FFFFFF"/>
            <w:noWrap/>
            <w:vAlign w:val="center"/>
            <w:hideMark/>
          </w:tcPr>
          <w:p w14:paraId="1A2E1B4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1-kloro-2-nitrobenzen</w:t>
            </w:r>
          </w:p>
        </w:tc>
        <w:tc>
          <w:tcPr>
            <w:tcW w:w="990" w:type="dxa"/>
            <w:shd w:val="clear" w:color="000000" w:fill="FFFFFF"/>
            <w:noWrap/>
            <w:vAlign w:val="center"/>
            <w:hideMark/>
          </w:tcPr>
          <w:p w14:paraId="75DA1A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B44509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FB8E6E3" w14:textId="77777777" w:rsidTr="002A1F08">
        <w:trPr>
          <w:trHeight w:val="300"/>
          <w:jc w:val="center"/>
        </w:trPr>
        <w:tc>
          <w:tcPr>
            <w:tcW w:w="596" w:type="dxa"/>
            <w:shd w:val="clear" w:color="000000" w:fill="FFFFFF"/>
            <w:noWrap/>
            <w:vAlign w:val="center"/>
            <w:hideMark/>
          </w:tcPr>
          <w:p w14:paraId="1D34388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193</w:t>
            </w:r>
          </w:p>
        </w:tc>
        <w:tc>
          <w:tcPr>
            <w:tcW w:w="5167" w:type="dxa"/>
            <w:shd w:val="clear" w:color="000000" w:fill="FFFFFF"/>
            <w:noWrap/>
            <w:vAlign w:val="center"/>
            <w:hideMark/>
          </w:tcPr>
          <w:p w14:paraId="7769183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1-kloro-3-nitrobenzen</w:t>
            </w:r>
          </w:p>
        </w:tc>
        <w:tc>
          <w:tcPr>
            <w:tcW w:w="990" w:type="dxa"/>
            <w:shd w:val="clear" w:color="000000" w:fill="FFFFFF"/>
            <w:noWrap/>
            <w:vAlign w:val="center"/>
            <w:hideMark/>
          </w:tcPr>
          <w:p w14:paraId="15D2BDE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0CC7BD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9BA9703" w14:textId="77777777" w:rsidTr="002A1F08">
        <w:trPr>
          <w:trHeight w:val="300"/>
          <w:jc w:val="center"/>
        </w:trPr>
        <w:tc>
          <w:tcPr>
            <w:tcW w:w="596" w:type="dxa"/>
            <w:shd w:val="clear" w:color="000000" w:fill="FFFFFF"/>
            <w:noWrap/>
            <w:vAlign w:val="center"/>
            <w:hideMark/>
          </w:tcPr>
          <w:p w14:paraId="037E7A3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194</w:t>
            </w:r>
          </w:p>
        </w:tc>
        <w:tc>
          <w:tcPr>
            <w:tcW w:w="5167" w:type="dxa"/>
            <w:shd w:val="clear" w:color="000000" w:fill="FFFFFF"/>
            <w:noWrap/>
            <w:vAlign w:val="center"/>
            <w:hideMark/>
          </w:tcPr>
          <w:p w14:paraId="262465F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1-kloro-4-nitrobenzen</w:t>
            </w:r>
          </w:p>
        </w:tc>
        <w:tc>
          <w:tcPr>
            <w:tcW w:w="990" w:type="dxa"/>
            <w:shd w:val="clear" w:color="000000" w:fill="FFFFFF"/>
            <w:noWrap/>
            <w:vAlign w:val="center"/>
            <w:hideMark/>
          </w:tcPr>
          <w:p w14:paraId="5D681BC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DFE8ED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754EE8F" w14:textId="77777777" w:rsidTr="002A1F08">
        <w:trPr>
          <w:trHeight w:val="300"/>
          <w:jc w:val="center"/>
        </w:trPr>
        <w:tc>
          <w:tcPr>
            <w:tcW w:w="596" w:type="dxa"/>
            <w:shd w:val="clear" w:color="000000" w:fill="FFFFFF"/>
            <w:noWrap/>
            <w:vAlign w:val="center"/>
            <w:hideMark/>
          </w:tcPr>
          <w:p w14:paraId="76401DE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195</w:t>
            </w:r>
          </w:p>
        </w:tc>
        <w:tc>
          <w:tcPr>
            <w:tcW w:w="5167" w:type="dxa"/>
            <w:shd w:val="clear" w:color="000000" w:fill="FFFFFF"/>
            <w:noWrap/>
            <w:vAlign w:val="center"/>
            <w:hideMark/>
          </w:tcPr>
          <w:p w14:paraId="14C7787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4-kloro-2-nitrotoluen</w:t>
            </w:r>
          </w:p>
        </w:tc>
        <w:tc>
          <w:tcPr>
            <w:tcW w:w="990" w:type="dxa"/>
            <w:shd w:val="clear" w:color="000000" w:fill="FFFFFF"/>
            <w:noWrap/>
            <w:vAlign w:val="center"/>
            <w:hideMark/>
          </w:tcPr>
          <w:p w14:paraId="43652F6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BD7F81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5D41C2E" w14:textId="77777777" w:rsidTr="002A1F08">
        <w:trPr>
          <w:trHeight w:val="300"/>
          <w:jc w:val="center"/>
        </w:trPr>
        <w:tc>
          <w:tcPr>
            <w:tcW w:w="596" w:type="dxa"/>
            <w:shd w:val="clear" w:color="000000" w:fill="FFFFFF"/>
            <w:noWrap/>
            <w:vAlign w:val="center"/>
            <w:hideMark/>
          </w:tcPr>
          <w:p w14:paraId="2050AEE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196</w:t>
            </w:r>
          </w:p>
        </w:tc>
        <w:tc>
          <w:tcPr>
            <w:tcW w:w="5167" w:type="dxa"/>
            <w:shd w:val="clear" w:color="000000" w:fill="FFFFFF"/>
            <w:noWrap/>
            <w:vAlign w:val="center"/>
            <w:hideMark/>
          </w:tcPr>
          <w:p w14:paraId="5251B9C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Kloronitrotoluene (të ndryshme nga 4-kloro-2-nitrotoluen)</w:t>
            </w:r>
          </w:p>
        </w:tc>
        <w:tc>
          <w:tcPr>
            <w:tcW w:w="990" w:type="dxa"/>
            <w:shd w:val="clear" w:color="000000" w:fill="FFFFFF"/>
            <w:noWrap/>
            <w:vAlign w:val="center"/>
            <w:hideMark/>
          </w:tcPr>
          <w:p w14:paraId="2451623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132683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F8CFDB3" w14:textId="77777777" w:rsidTr="002A1F08">
        <w:trPr>
          <w:trHeight w:val="300"/>
          <w:jc w:val="center"/>
        </w:trPr>
        <w:tc>
          <w:tcPr>
            <w:tcW w:w="596" w:type="dxa"/>
            <w:shd w:val="clear" w:color="000000" w:fill="FFFFFF"/>
            <w:noWrap/>
            <w:vAlign w:val="center"/>
            <w:hideMark/>
          </w:tcPr>
          <w:p w14:paraId="1549FEA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197</w:t>
            </w:r>
          </w:p>
        </w:tc>
        <w:tc>
          <w:tcPr>
            <w:tcW w:w="5167" w:type="dxa"/>
            <w:shd w:val="clear" w:color="000000" w:fill="FFFFFF"/>
            <w:noWrap/>
            <w:vAlign w:val="center"/>
            <w:hideMark/>
          </w:tcPr>
          <w:p w14:paraId="52BA523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Mono-klorofenol</w:t>
            </w:r>
          </w:p>
        </w:tc>
        <w:tc>
          <w:tcPr>
            <w:tcW w:w="990" w:type="dxa"/>
            <w:shd w:val="clear" w:color="000000" w:fill="FFFFFF"/>
            <w:noWrap/>
            <w:vAlign w:val="center"/>
            <w:hideMark/>
          </w:tcPr>
          <w:p w14:paraId="50F1A94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1F7EEB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9FB4356" w14:textId="77777777" w:rsidTr="002A1F08">
        <w:trPr>
          <w:trHeight w:val="300"/>
          <w:jc w:val="center"/>
        </w:trPr>
        <w:tc>
          <w:tcPr>
            <w:tcW w:w="596" w:type="dxa"/>
            <w:shd w:val="clear" w:color="000000" w:fill="FFFFFF"/>
            <w:noWrap/>
            <w:vAlign w:val="center"/>
            <w:hideMark/>
          </w:tcPr>
          <w:p w14:paraId="5EEDB07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198</w:t>
            </w:r>
          </w:p>
        </w:tc>
        <w:tc>
          <w:tcPr>
            <w:tcW w:w="5167" w:type="dxa"/>
            <w:shd w:val="clear" w:color="000000" w:fill="FFFFFF"/>
            <w:noWrap/>
            <w:vAlign w:val="center"/>
            <w:hideMark/>
          </w:tcPr>
          <w:p w14:paraId="5F97A98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Kloropren (2-kloro-1,3-butadien)</w:t>
            </w:r>
          </w:p>
        </w:tc>
        <w:tc>
          <w:tcPr>
            <w:tcW w:w="990" w:type="dxa"/>
            <w:shd w:val="clear" w:color="000000" w:fill="FFFFFF"/>
            <w:noWrap/>
            <w:vAlign w:val="center"/>
            <w:hideMark/>
          </w:tcPr>
          <w:p w14:paraId="5850B51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B40A4B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8AF8A63" w14:textId="77777777" w:rsidTr="002A1F08">
        <w:trPr>
          <w:trHeight w:val="300"/>
          <w:jc w:val="center"/>
        </w:trPr>
        <w:tc>
          <w:tcPr>
            <w:tcW w:w="596" w:type="dxa"/>
            <w:shd w:val="clear" w:color="000000" w:fill="FFFFFF"/>
            <w:noWrap/>
            <w:vAlign w:val="center"/>
            <w:hideMark/>
          </w:tcPr>
          <w:p w14:paraId="6753320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199</w:t>
            </w:r>
          </w:p>
        </w:tc>
        <w:tc>
          <w:tcPr>
            <w:tcW w:w="5167" w:type="dxa"/>
            <w:shd w:val="clear" w:color="000000" w:fill="FFFFFF"/>
            <w:noWrap/>
            <w:vAlign w:val="center"/>
            <w:hideMark/>
          </w:tcPr>
          <w:p w14:paraId="7DB4079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3-kloropropen (aleat i klorit)</w:t>
            </w:r>
          </w:p>
        </w:tc>
        <w:tc>
          <w:tcPr>
            <w:tcW w:w="990" w:type="dxa"/>
            <w:shd w:val="clear" w:color="000000" w:fill="FFFFFF"/>
            <w:noWrap/>
            <w:vAlign w:val="center"/>
            <w:hideMark/>
          </w:tcPr>
          <w:p w14:paraId="7E9346A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309593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0CDF386" w14:textId="77777777" w:rsidTr="002A1F08">
        <w:trPr>
          <w:trHeight w:val="300"/>
          <w:jc w:val="center"/>
        </w:trPr>
        <w:tc>
          <w:tcPr>
            <w:tcW w:w="596" w:type="dxa"/>
            <w:shd w:val="clear" w:color="000000" w:fill="FFFFFF"/>
            <w:noWrap/>
            <w:vAlign w:val="center"/>
            <w:hideMark/>
          </w:tcPr>
          <w:p w14:paraId="115CCCD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200</w:t>
            </w:r>
          </w:p>
        </w:tc>
        <w:tc>
          <w:tcPr>
            <w:tcW w:w="5167" w:type="dxa"/>
            <w:shd w:val="clear" w:color="000000" w:fill="FFFFFF"/>
            <w:noWrap/>
            <w:vAlign w:val="center"/>
            <w:hideMark/>
          </w:tcPr>
          <w:p w14:paraId="302BE60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Klorotoluen</w:t>
            </w:r>
          </w:p>
        </w:tc>
        <w:tc>
          <w:tcPr>
            <w:tcW w:w="990" w:type="dxa"/>
            <w:shd w:val="clear" w:color="000000" w:fill="FFFFFF"/>
            <w:noWrap/>
            <w:vAlign w:val="center"/>
            <w:hideMark/>
          </w:tcPr>
          <w:p w14:paraId="1F2510D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C03973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9533641" w14:textId="77777777" w:rsidTr="002A1F08">
        <w:trPr>
          <w:trHeight w:val="300"/>
          <w:jc w:val="center"/>
        </w:trPr>
        <w:tc>
          <w:tcPr>
            <w:tcW w:w="596" w:type="dxa"/>
            <w:shd w:val="clear" w:color="000000" w:fill="FFFFFF"/>
            <w:noWrap/>
            <w:vAlign w:val="center"/>
            <w:hideMark/>
          </w:tcPr>
          <w:p w14:paraId="580438F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201</w:t>
            </w:r>
          </w:p>
        </w:tc>
        <w:tc>
          <w:tcPr>
            <w:tcW w:w="5167" w:type="dxa"/>
            <w:shd w:val="clear" w:color="000000" w:fill="FFFFFF"/>
            <w:noWrap/>
            <w:vAlign w:val="center"/>
            <w:hideMark/>
          </w:tcPr>
          <w:p w14:paraId="350A3B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2-klorotoluen</w:t>
            </w:r>
          </w:p>
        </w:tc>
        <w:tc>
          <w:tcPr>
            <w:tcW w:w="990" w:type="dxa"/>
            <w:shd w:val="clear" w:color="000000" w:fill="FFFFFF"/>
            <w:noWrap/>
            <w:vAlign w:val="center"/>
            <w:hideMark/>
          </w:tcPr>
          <w:p w14:paraId="6487CA4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867988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6E92C90" w14:textId="77777777" w:rsidTr="002A1F08">
        <w:trPr>
          <w:trHeight w:val="300"/>
          <w:jc w:val="center"/>
        </w:trPr>
        <w:tc>
          <w:tcPr>
            <w:tcW w:w="596" w:type="dxa"/>
            <w:shd w:val="clear" w:color="000000" w:fill="FFFFFF"/>
            <w:noWrap/>
            <w:vAlign w:val="center"/>
            <w:hideMark/>
          </w:tcPr>
          <w:p w14:paraId="185532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202</w:t>
            </w:r>
          </w:p>
        </w:tc>
        <w:tc>
          <w:tcPr>
            <w:tcW w:w="5167" w:type="dxa"/>
            <w:shd w:val="clear" w:color="000000" w:fill="FFFFFF"/>
            <w:noWrap/>
            <w:vAlign w:val="center"/>
            <w:hideMark/>
          </w:tcPr>
          <w:p w14:paraId="178BD95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3-klorotoluen</w:t>
            </w:r>
          </w:p>
        </w:tc>
        <w:tc>
          <w:tcPr>
            <w:tcW w:w="990" w:type="dxa"/>
            <w:shd w:val="clear" w:color="000000" w:fill="FFFFFF"/>
            <w:noWrap/>
            <w:vAlign w:val="center"/>
            <w:hideMark/>
          </w:tcPr>
          <w:p w14:paraId="6B1DAEC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CC6EFC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66C73F4" w14:textId="77777777" w:rsidTr="002A1F08">
        <w:trPr>
          <w:trHeight w:val="300"/>
          <w:jc w:val="center"/>
        </w:trPr>
        <w:tc>
          <w:tcPr>
            <w:tcW w:w="596" w:type="dxa"/>
            <w:shd w:val="clear" w:color="000000" w:fill="FFFFFF"/>
            <w:noWrap/>
            <w:vAlign w:val="center"/>
            <w:hideMark/>
          </w:tcPr>
          <w:p w14:paraId="5A5F5B9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203</w:t>
            </w:r>
          </w:p>
        </w:tc>
        <w:tc>
          <w:tcPr>
            <w:tcW w:w="5167" w:type="dxa"/>
            <w:shd w:val="clear" w:color="000000" w:fill="FFFFFF"/>
            <w:noWrap/>
            <w:vAlign w:val="center"/>
            <w:hideMark/>
          </w:tcPr>
          <w:p w14:paraId="174A84E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4-klorotoluen</w:t>
            </w:r>
          </w:p>
        </w:tc>
        <w:tc>
          <w:tcPr>
            <w:tcW w:w="990" w:type="dxa"/>
            <w:shd w:val="clear" w:color="000000" w:fill="FFFFFF"/>
            <w:noWrap/>
            <w:vAlign w:val="center"/>
            <w:hideMark/>
          </w:tcPr>
          <w:p w14:paraId="20DA71B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748FF0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BBC14BB" w14:textId="77777777" w:rsidTr="002A1F08">
        <w:trPr>
          <w:trHeight w:val="300"/>
          <w:jc w:val="center"/>
        </w:trPr>
        <w:tc>
          <w:tcPr>
            <w:tcW w:w="596" w:type="dxa"/>
            <w:shd w:val="clear" w:color="000000" w:fill="FFFFFF"/>
            <w:noWrap/>
            <w:vAlign w:val="center"/>
            <w:hideMark/>
          </w:tcPr>
          <w:p w14:paraId="49A92B5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204</w:t>
            </w:r>
          </w:p>
        </w:tc>
        <w:tc>
          <w:tcPr>
            <w:tcW w:w="5167" w:type="dxa"/>
            <w:shd w:val="clear" w:color="000000" w:fill="FFFFFF"/>
            <w:noWrap/>
            <w:vAlign w:val="center"/>
            <w:hideMark/>
          </w:tcPr>
          <w:p w14:paraId="79F057F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Mono-klorotoluidine</w:t>
            </w:r>
          </w:p>
        </w:tc>
        <w:tc>
          <w:tcPr>
            <w:tcW w:w="990" w:type="dxa"/>
            <w:shd w:val="clear" w:color="000000" w:fill="FFFFFF"/>
            <w:noWrap/>
            <w:vAlign w:val="center"/>
            <w:hideMark/>
          </w:tcPr>
          <w:p w14:paraId="146B4A6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3129A7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69475A5" w14:textId="77777777" w:rsidTr="002A1F08">
        <w:trPr>
          <w:trHeight w:val="300"/>
          <w:jc w:val="center"/>
        </w:trPr>
        <w:tc>
          <w:tcPr>
            <w:tcW w:w="596" w:type="dxa"/>
            <w:shd w:val="clear" w:color="000000" w:fill="FFFFFF"/>
            <w:noWrap/>
            <w:vAlign w:val="center"/>
            <w:hideMark/>
          </w:tcPr>
          <w:p w14:paraId="6974139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205</w:t>
            </w:r>
          </w:p>
        </w:tc>
        <w:tc>
          <w:tcPr>
            <w:tcW w:w="5167" w:type="dxa"/>
            <w:shd w:val="clear" w:color="000000" w:fill="FFFFFF"/>
            <w:noWrap/>
            <w:vAlign w:val="center"/>
            <w:hideMark/>
          </w:tcPr>
          <w:p w14:paraId="2520508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 cianurik (2,4,6-trikloro-1,3,5-triazin)</w:t>
            </w:r>
          </w:p>
        </w:tc>
        <w:tc>
          <w:tcPr>
            <w:tcW w:w="990" w:type="dxa"/>
            <w:shd w:val="clear" w:color="000000" w:fill="FFFFFF"/>
            <w:noWrap/>
            <w:vAlign w:val="center"/>
            <w:hideMark/>
          </w:tcPr>
          <w:p w14:paraId="63BE78F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D32F2A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39ED5AA" w14:textId="77777777" w:rsidTr="002A1F08">
        <w:trPr>
          <w:trHeight w:val="300"/>
          <w:jc w:val="center"/>
        </w:trPr>
        <w:tc>
          <w:tcPr>
            <w:tcW w:w="596" w:type="dxa"/>
            <w:shd w:val="clear" w:color="000000" w:fill="FFFFFF"/>
            <w:noWrap/>
            <w:vAlign w:val="center"/>
            <w:hideMark/>
          </w:tcPr>
          <w:p w14:paraId="4872078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206</w:t>
            </w:r>
          </w:p>
        </w:tc>
        <w:tc>
          <w:tcPr>
            <w:tcW w:w="5167" w:type="dxa"/>
            <w:shd w:val="clear" w:color="000000" w:fill="FFFFFF"/>
            <w:noWrap/>
            <w:vAlign w:val="center"/>
            <w:hideMark/>
          </w:tcPr>
          <w:p w14:paraId="5997453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2-amino-4-klorofenol</w:t>
            </w:r>
          </w:p>
        </w:tc>
        <w:tc>
          <w:tcPr>
            <w:tcW w:w="990" w:type="dxa"/>
            <w:shd w:val="clear" w:color="000000" w:fill="FFFFFF"/>
            <w:noWrap/>
            <w:vAlign w:val="center"/>
            <w:hideMark/>
          </w:tcPr>
          <w:p w14:paraId="1B474F4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9B86F9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1C8F12F" w14:textId="77777777" w:rsidTr="002A1F08">
        <w:trPr>
          <w:trHeight w:val="300"/>
          <w:jc w:val="center"/>
        </w:trPr>
        <w:tc>
          <w:tcPr>
            <w:tcW w:w="596" w:type="dxa"/>
            <w:shd w:val="clear" w:color="000000" w:fill="FFFFFF"/>
            <w:noWrap/>
            <w:vAlign w:val="center"/>
            <w:hideMark/>
          </w:tcPr>
          <w:p w14:paraId="0F77CFB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207</w:t>
            </w:r>
          </w:p>
        </w:tc>
        <w:tc>
          <w:tcPr>
            <w:tcW w:w="5167" w:type="dxa"/>
            <w:shd w:val="clear" w:color="000000" w:fill="FFFFFF"/>
            <w:noWrap/>
            <w:vAlign w:val="center"/>
            <w:hideMark/>
          </w:tcPr>
          <w:p w14:paraId="0268B47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Benzilklorid (Alfa-klorotoluen)</w:t>
            </w:r>
          </w:p>
        </w:tc>
        <w:tc>
          <w:tcPr>
            <w:tcW w:w="990" w:type="dxa"/>
            <w:shd w:val="clear" w:color="000000" w:fill="FFFFFF"/>
            <w:noWrap/>
            <w:vAlign w:val="center"/>
            <w:hideMark/>
          </w:tcPr>
          <w:p w14:paraId="05DF0A6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89FB3F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F789F25" w14:textId="77777777" w:rsidTr="002A1F08">
        <w:trPr>
          <w:trHeight w:val="300"/>
          <w:jc w:val="center"/>
        </w:trPr>
        <w:tc>
          <w:tcPr>
            <w:tcW w:w="596" w:type="dxa"/>
            <w:shd w:val="clear" w:color="000000" w:fill="FFFFFF"/>
            <w:noWrap/>
            <w:vAlign w:val="center"/>
            <w:hideMark/>
          </w:tcPr>
          <w:p w14:paraId="14D93B1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208</w:t>
            </w:r>
          </w:p>
        </w:tc>
        <w:tc>
          <w:tcPr>
            <w:tcW w:w="5167" w:type="dxa"/>
            <w:shd w:val="clear" w:color="000000" w:fill="FFFFFF"/>
            <w:noWrap/>
            <w:vAlign w:val="center"/>
            <w:hideMark/>
          </w:tcPr>
          <w:p w14:paraId="6CBBCE5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Benzilideneklorid (Alfa, alfa-diklorotoluen)</w:t>
            </w:r>
          </w:p>
        </w:tc>
        <w:tc>
          <w:tcPr>
            <w:tcW w:w="990" w:type="dxa"/>
            <w:shd w:val="clear" w:color="000000" w:fill="FFFFFF"/>
            <w:noWrap/>
            <w:vAlign w:val="center"/>
            <w:hideMark/>
          </w:tcPr>
          <w:p w14:paraId="7BE80EA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086690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A31DA3C" w14:textId="77777777" w:rsidTr="002A1F08">
        <w:trPr>
          <w:trHeight w:val="300"/>
          <w:jc w:val="center"/>
        </w:trPr>
        <w:tc>
          <w:tcPr>
            <w:tcW w:w="596" w:type="dxa"/>
            <w:shd w:val="clear" w:color="000000" w:fill="FFFFFF"/>
            <w:noWrap/>
            <w:vAlign w:val="center"/>
            <w:hideMark/>
          </w:tcPr>
          <w:p w14:paraId="217E013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209</w:t>
            </w:r>
          </w:p>
        </w:tc>
        <w:tc>
          <w:tcPr>
            <w:tcW w:w="5167" w:type="dxa"/>
            <w:shd w:val="clear" w:color="000000" w:fill="FFFFFF"/>
            <w:noWrap/>
            <w:vAlign w:val="center"/>
            <w:hideMark/>
          </w:tcPr>
          <w:p w14:paraId="7A02873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2-kloroanilin</w:t>
            </w:r>
          </w:p>
        </w:tc>
        <w:tc>
          <w:tcPr>
            <w:tcW w:w="990" w:type="dxa"/>
            <w:shd w:val="clear" w:color="000000" w:fill="FFFFFF"/>
            <w:noWrap/>
            <w:vAlign w:val="center"/>
            <w:hideMark/>
          </w:tcPr>
          <w:p w14:paraId="4E09D45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A250B5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F679C4A" w14:textId="77777777" w:rsidTr="002A1F08">
        <w:trPr>
          <w:trHeight w:val="300"/>
          <w:jc w:val="center"/>
        </w:trPr>
        <w:tc>
          <w:tcPr>
            <w:tcW w:w="596" w:type="dxa"/>
            <w:shd w:val="clear" w:color="000000" w:fill="FFFFFF"/>
            <w:noWrap/>
            <w:vAlign w:val="center"/>
            <w:hideMark/>
          </w:tcPr>
          <w:p w14:paraId="558DF56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210</w:t>
            </w:r>
          </w:p>
        </w:tc>
        <w:tc>
          <w:tcPr>
            <w:tcW w:w="5167" w:type="dxa"/>
            <w:shd w:val="clear" w:color="000000" w:fill="FFFFFF"/>
            <w:noWrap/>
            <w:vAlign w:val="center"/>
            <w:hideMark/>
          </w:tcPr>
          <w:p w14:paraId="420C66C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4-kloro-2-nitroanilin</w:t>
            </w:r>
          </w:p>
        </w:tc>
        <w:tc>
          <w:tcPr>
            <w:tcW w:w="990" w:type="dxa"/>
            <w:shd w:val="clear" w:color="000000" w:fill="FFFFFF"/>
            <w:noWrap/>
            <w:vAlign w:val="center"/>
            <w:hideMark/>
          </w:tcPr>
          <w:p w14:paraId="70D0C65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4572D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D4CB929" w14:textId="77777777" w:rsidTr="002A1F08">
        <w:trPr>
          <w:trHeight w:val="300"/>
          <w:jc w:val="center"/>
        </w:trPr>
        <w:tc>
          <w:tcPr>
            <w:tcW w:w="596" w:type="dxa"/>
            <w:shd w:val="clear" w:color="000000" w:fill="FFFFFF"/>
            <w:noWrap/>
            <w:vAlign w:val="center"/>
            <w:hideMark/>
          </w:tcPr>
          <w:p w14:paraId="74E3C3E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211</w:t>
            </w:r>
          </w:p>
        </w:tc>
        <w:tc>
          <w:tcPr>
            <w:tcW w:w="5167" w:type="dxa"/>
            <w:shd w:val="clear" w:color="000000" w:fill="FFFFFF"/>
            <w:noWrap/>
            <w:vAlign w:val="center"/>
            <w:hideMark/>
          </w:tcPr>
          <w:p w14:paraId="60DF936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Dikloroaniline</w:t>
            </w:r>
          </w:p>
        </w:tc>
        <w:tc>
          <w:tcPr>
            <w:tcW w:w="990" w:type="dxa"/>
            <w:shd w:val="clear" w:color="000000" w:fill="FFFFFF"/>
            <w:noWrap/>
            <w:vAlign w:val="center"/>
            <w:hideMark/>
          </w:tcPr>
          <w:p w14:paraId="7C2643C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30260E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33C0E63" w14:textId="77777777" w:rsidTr="002A1F08">
        <w:trPr>
          <w:trHeight w:val="300"/>
          <w:jc w:val="center"/>
        </w:trPr>
        <w:tc>
          <w:tcPr>
            <w:tcW w:w="596" w:type="dxa"/>
            <w:shd w:val="clear" w:color="000000" w:fill="FFFFFF"/>
            <w:noWrap/>
            <w:vAlign w:val="center"/>
            <w:hideMark/>
          </w:tcPr>
          <w:p w14:paraId="3368570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212</w:t>
            </w:r>
          </w:p>
        </w:tc>
        <w:tc>
          <w:tcPr>
            <w:tcW w:w="5167" w:type="dxa"/>
            <w:shd w:val="clear" w:color="000000" w:fill="FFFFFF"/>
            <w:noWrap/>
            <w:vAlign w:val="center"/>
            <w:hideMark/>
          </w:tcPr>
          <w:p w14:paraId="44DF683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Diklorobenzen</w:t>
            </w:r>
          </w:p>
        </w:tc>
        <w:tc>
          <w:tcPr>
            <w:tcW w:w="990" w:type="dxa"/>
            <w:shd w:val="clear" w:color="000000" w:fill="FFFFFF"/>
            <w:noWrap/>
            <w:vAlign w:val="center"/>
            <w:hideMark/>
          </w:tcPr>
          <w:p w14:paraId="49AD89B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189818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2EA36FD" w14:textId="77777777" w:rsidTr="002A1F08">
        <w:trPr>
          <w:trHeight w:val="300"/>
          <w:jc w:val="center"/>
        </w:trPr>
        <w:tc>
          <w:tcPr>
            <w:tcW w:w="596" w:type="dxa"/>
            <w:shd w:val="clear" w:color="000000" w:fill="FFFFFF"/>
            <w:noWrap/>
            <w:vAlign w:val="center"/>
            <w:hideMark/>
          </w:tcPr>
          <w:p w14:paraId="2200B1B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213</w:t>
            </w:r>
          </w:p>
        </w:tc>
        <w:tc>
          <w:tcPr>
            <w:tcW w:w="5167" w:type="dxa"/>
            <w:shd w:val="clear" w:color="000000" w:fill="FFFFFF"/>
            <w:noWrap/>
            <w:vAlign w:val="center"/>
            <w:hideMark/>
          </w:tcPr>
          <w:p w14:paraId="0FAEE42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Diklorobenzidine</w:t>
            </w:r>
          </w:p>
        </w:tc>
        <w:tc>
          <w:tcPr>
            <w:tcW w:w="990" w:type="dxa"/>
            <w:shd w:val="clear" w:color="000000" w:fill="FFFFFF"/>
            <w:noWrap/>
            <w:vAlign w:val="center"/>
            <w:hideMark/>
          </w:tcPr>
          <w:p w14:paraId="437416E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7A0124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C312AD9" w14:textId="77777777" w:rsidTr="002A1F08">
        <w:trPr>
          <w:trHeight w:val="300"/>
          <w:jc w:val="center"/>
        </w:trPr>
        <w:tc>
          <w:tcPr>
            <w:tcW w:w="596" w:type="dxa"/>
            <w:shd w:val="clear" w:color="000000" w:fill="FFFFFF"/>
            <w:noWrap/>
            <w:vAlign w:val="center"/>
            <w:hideMark/>
          </w:tcPr>
          <w:p w14:paraId="5E4C51C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214</w:t>
            </w:r>
          </w:p>
        </w:tc>
        <w:tc>
          <w:tcPr>
            <w:tcW w:w="5167" w:type="dxa"/>
            <w:shd w:val="clear" w:color="000000" w:fill="FFFFFF"/>
            <w:noWrap/>
            <w:vAlign w:val="center"/>
            <w:hideMark/>
          </w:tcPr>
          <w:p w14:paraId="30EA8FF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Mono-klorobenzen</w:t>
            </w:r>
          </w:p>
        </w:tc>
        <w:tc>
          <w:tcPr>
            <w:tcW w:w="990" w:type="dxa"/>
            <w:shd w:val="clear" w:color="000000" w:fill="FFFFFF"/>
            <w:noWrap/>
            <w:vAlign w:val="center"/>
            <w:hideMark/>
          </w:tcPr>
          <w:p w14:paraId="31A1F1E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CCA692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41F3E5F" w14:textId="77777777" w:rsidTr="002A1F08">
        <w:trPr>
          <w:trHeight w:val="300"/>
          <w:jc w:val="center"/>
        </w:trPr>
        <w:tc>
          <w:tcPr>
            <w:tcW w:w="596" w:type="dxa"/>
            <w:shd w:val="clear" w:color="000000" w:fill="FFFFFF"/>
            <w:noWrap/>
            <w:vAlign w:val="center"/>
            <w:hideMark/>
          </w:tcPr>
          <w:p w14:paraId="3545C8A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215</w:t>
            </w:r>
          </w:p>
        </w:tc>
        <w:tc>
          <w:tcPr>
            <w:tcW w:w="5167" w:type="dxa"/>
            <w:shd w:val="clear" w:color="000000" w:fill="FFFFFF"/>
            <w:noWrap/>
            <w:vAlign w:val="center"/>
            <w:hideMark/>
          </w:tcPr>
          <w:p w14:paraId="5130B32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1-kloro-2,4-dinitrobenzen</w:t>
            </w:r>
          </w:p>
        </w:tc>
        <w:tc>
          <w:tcPr>
            <w:tcW w:w="990" w:type="dxa"/>
            <w:shd w:val="clear" w:color="000000" w:fill="FFFFFF"/>
            <w:noWrap/>
            <w:vAlign w:val="center"/>
            <w:hideMark/>
          </w:tcPr>
          <w:p w14:paraId="5456716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349752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1C15FD5" w14:textId="77777777" w:rsidTr="002A1F08">
        <w:trPr>
          <w:trHeight w:val="300"/>
          <w:jc w:val="center"/>
        </w:trPr>
        <w:tc>
          <w:tcPr>
            <w:tcW w:w="596" w:type="dxa"/>
            <w:shd w:val="clear" w:color="000000" w:fill="FFFFFF"/>
            <w:noWrap/>
            <w:vAlign w:val="center"/>
            <w:hideMark/>
          </w:tcPr>
          <w:p w14:paraId="3DA86BA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216</w:t>
            </w:r>
          </w:p>
        </w:tc>
        <w:tc>
          <w:tcPr>
            <w:tcW w:w="5167" w:type="dxa"/>
            <w:shd w:val="clear" w:color="000000" w:fill="FFFFFF"/>
            <w:noWrap/>
            <w:vAlign w:val="center"/>
            <w:hideMark/>
          </w:tcPr>
          <w:p w14:paraId="01368E6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4-kloro-3-metilfenol</w:t>
            </w:r>
          </w:p>
        </w:tc>
        <w:tc>
          <w:tcPr>
            <w:tcW w:w="990" w:type="dxa"/>
            <w:shd w:val="clear" w:color="000000" w:fill="FFFFFF"/>
            <w:noWrap/>
            <w:vAlign w:val="center"/>
            <w:hideMark/>
          </w:tcPr>
          <w:p w14:paraId="2502E49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B08F58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2D350CC" w14:textId="77777777" w:rsidTr="002A1F08">
        <w:trPr>
          <w:trHeight w:val="300"/>
          <w:jc w:val="center"/>
        </w:trPr>
        <w:tc>
          <w:tcPr>
            <w:tcW w:w="596" w:type="dxa"/>
            <w:shd w:val="clear" w:color="000000" w:fill="FFFFFF"/>
            <w:noWrap/>
            <w:vAlign w:val="center"/>
            <w:hideMark/>
          </w:tcPr>
          <w:p w14:paraId="1286276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217</w:t>
            </w:r>
          </w:p>
        </w:tc>
        <w:tc>
          <w:tcPr>
            <w:tcW w:w="5167" w:type="dxa"/>
            <w:shd w:val="clear" w:color="000000" w:fill="FFFFFF"/>
            <w:noWrap/>
            <w:vAlign w:val="center"/>
            <w:hideMark/>
          </w:tcPr>
          <w:p w14:paraId="3FA256A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Kloronafthaline (përzierje teknike)</w:t>
            </w:r>
          </w:p>
        </w:tc>
        <w:tc>
          <w:tcPr>
            <w:tcW w:w="990" w:type="dxa"/>
            <w:shd w:val="clear" w:color="000000" w:fill="FFFFFF"/>
            <w:noWrap/>
            <w:vAlign w:val="center"/>
            <w:hideMark/>
          </w:tcPr>
          <w:p w14:paraId="51E36CB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CCF2BE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6E8FFDD" w14:textId="77777777" w:rsidTr="002A1F08">
        <w:trPr>
          <w:trHeight w:val="300"/>
          <w:jc w:val="center"/>
        </w:trPr>
        <w:tc>
          <w:tcPr>
            <w:tcW w:w="596" w:type="dxa"/>
            <w:shd w:val="clear" w:color="000000" w:fill="FFFFFF"/>
            <w:noWrap/>
            <w:vAlign w:val="center"/>
            <w:hideMark/>
          </w:tcPr>
          <w:p w14:paraId="0FCF77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218</w:t>
            </w:r>
          </w:p>
        </w:tc>
        <w:tc>
          <w:tcPr>
            <w:tcW w:w="5167" w:type="dxa"/>
            <w:shd w:val="clear" w:color="000000" w:fill="FFFFFF"/>
            <w:noWrap/>
            <w:vAlign w:val="center"/>
            <w:hideMark/>
          </w:tcPr>
          <w:p w14:paraId="2534D21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1-kloronafthalinë</w:t>
            </w:r>
          </w:p>
        </w:tc>
        <w:tc>
          <w:tcPr>
            <w:tcW w:w="990" w:type="dxa"/>
            <w:shd w:val="clear" w:color="000000" w:fill="FFFFFF"/>
            <w:noWrap/>
            <w:vAlign w:val="center"/>
            <w:hideMark/>
          </w:tcPr>
          <w:p w14:paraId="766B85A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5F4443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0E4772A" w14:textId="77777777" w:rsidTr="002A1F08">
        <w:trPr>
          <w:trHeight w:val="300"/>
          <w:jc w:val="center"/>
        </w:trPr>
        <w:tc>
          <w:tcPr>
            <w:tcW w:w="596" w:type="dxa"/>
            <w:shd w:val="clear" w:color="000000" w:fill="FFFFFF"/>
            <w:noWrap/>
            <w:vAlign w:val="center"/>
            <w:hideMark/>
          </w:tcPr>
          <w:p w14:paraId="43ACA8F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219</w:t>
            </w:r>
          </w:p>
        </w:tc>
        <w:tc>
          <w:tcPr>
            <w:tcW w:w="5167" w:type="dxa"/>
            <w:shd w:val="clear" w:color="000000" w:fill="FFFFFF"/>
            <w:noWrap/>
            <w:vAlign w:val="center"/>
            <w:hideMark/>
          </w:tcPr>
          <w:p w14:paraId="51DBB45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Klor cianurik (2,4,6-trikloro-1,3,5-triazin)</w:t>
            </w:r>
          </w:p>
        </w:tc>
        <w:tc>
          <w:tcPr>
            <w:tcW w:w="990" w:type="dxa"/>
            <w:shd w:val="clear" w:color="000000" w:fill="FFFFFF"/>
            <w:noWrap/>
            <w:vAlign w:val="center"/>
            <w:hideMark/>
          </w:tcPr>
          <w:p w14:paraId="74A37EC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F4338B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A23D9E7" w14:textId="77777777" w:rsidTr="002A1F08">
        <w:trPr>
          <w:trHeight w:val="300"/>
          <w:jc w:val="center"/>
        </w:trPr>
        <w:tc>
          <w:tcPr>
            <w:tcW w:w="596" w:type="dxa"/>
            <w:shd w:val="clear" w:color="000000" w:fill="FFFFFF"/>
            <w:noWrap/>
            <w:vAlign w:val="center"/>
            <w:hideMark/>
          </w:tcPr>
          <w:p w14:paraId="27BC4B3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220</w:t>
            </w:r>
          </w:p>
        </w:tc>
        <w:tc>
          <w:tcPr>
            <w:tcW w:w="5167" w:type="dxa"/>
            <w:shd w:val="clear" w:color="000000" w:fill="FFFFFF"/>
            <w:noWrap/>
            <w:vAlign w:val="center"/>
            <w:hideMark/>
          </w:tcPr>
          <w:p w14:paraId="7D9D74D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Dikloronitrobenzene</w:t>
            </w:r>
          </w:p>
        </w:tc>
        <w:tc>
          <w:tcPr>
            <w:tcW w:w="990" w:type="dxa"/>
            <w:shd w:val="clear" w:color="000000" w:fill="FFFFFF"/>
            <w:noWrap/>
            <w:vAlign w:val="center"/>
            <w:hideMark/>
          </w:tcPr>
          <w:p w14:paraId="1C980E0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05E3BA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498C08E" w14:textId="77777777" w:rsidTr="002A1F08">
        <w:trPr>
          <w:trHeight w:val="300"/>
          <w:jc w:val="center"/>
        </w:trPr>
        <w:tc>
          <w:tcPr>
            <w:tcW w:w="596" w:type="dxa"/>
            <w:shd w:val="clear" w:color="000000" w:fill="FFFFFF"/>
            <w:noWrap/>
            <w:vAlign w:val="center"/>
            <w:hideMark/>
          </w:tcPr>
          <w:p w14:paraId="1C6B310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221</w:t>
            </w:r>
          </w:p>
        </w:tc>
        <w:tc>
          <w:tcPr>
            <w:tcW w:w="5167" w:type="dxa"/>
            <w:shd w:val="clear" w:color="000000" w:fill="FFFFFF"/>
            <w:noWrap/>
            <w:vAlign w:val="center"/>
            <w:hideMark/>
          </w:tcPr>
          <w:p w14:paraId="5744EFF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2,4-Diklorofenol</w:t>
            </w:r>
          </w:p>
        </w:tc>
        <w:tc>
          <w:tcPr>
            <w:tcW w:w="990" w:type="dxa"/>
            <w:shd w:val="clear" w:color="000000" w:fill="FFFFFF"/>
            <w:noWrap/>
            <w:vAlign w:val="center"/>
            <w:hideMark/>
          </w:tcPr>
          <w:p w14:paraId="0AB7FF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FD7605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03E7781" w14:textId="77777777" w:rsidTr="002A1F08">
        <w:trPr>
          <w:trHeight w:val="300"/>
          <w:jc w:val="center"/>
        </w:trPr>
        <w:tc>
          <w:tcPr>
            <w:tcW w:w="596" w:type="dxa"/>
            <w:shd w:val="clear" w:color="000000" w:fill="FFFFFF"/>
            <w:noWrap/>
            <w:vAlign w:val="center"/>
            <w:hideMark/>
          </w:tcPr>
          <w:p w14:paraId="431FC93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222</w:t>
            </w:r>
          </w:p>
        </w:tc>
        <w:tc>
          <w:tcPr>
            <w:tcW w:w="5167" w:type="dxa"/>
            <w:shd w:val="clear" w:color="000000" w:fill="FFFFFF"/>
            <w:noWrap/>
            <w:vAlign w:val="center"/>
            <w:hideMark/>
          </w:tcPr>
          <w:p w14:paraId="35776E0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Triklorofenole</w:t>
            </w:r>
          </w:p>
        </w:tc>
        <w:tc>
          <w:tcPr>
            <w:tcW w:w="990" w:type="dxa"/>
            <w:shd w:val="clear" w:color="000000" w:fill="FFFFFF"/>
            <w:noWrap/>
            <w:vAlign w:val="center"/>
            <w:hideMark/>
          </w:tcPr>
          <w:p w14:paraId="41C569C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D77993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F738C59" w14:textId="77777777" w:rsidTr="002A1F08">
        <w:trPr>
          <w:trHeight w:val="300"/>
          <w:jc w:val="center"/>
        </w:trPr>
        <w:tc>
          <w:tcPr>
            <w:tcW w:w="596" w:type="dxa"/>
            <w:shd w:val="clear" w:color="000000" w:fill="FFFFFF"/>
            <w:noWrap/>
            <w:vAlign w:val="center"/>
            <w:hideMark/>
          </w:tcPr>
          <w:p w14:paraId="777B482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223</w:t>
            </w:r>
          </w:p>
        </w:tc>
        <w:tc>
          <w:tcPr>
            <w:tcW w:w="5167" w:type="dxa"/>
            <w:shd w:val="clear" w:color="000000" w:fill="FFFFFF"/>
            <w:noWrap/>
            <w:vAlign w:val="center"/>
            <w:hideMark/>
          </w:tcPr>
          <w:p w14:paraId="4F8B2A0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1,2,4,5-tetraklorobenzen</w:t>
            </w:r>
          </w:p>
        </w:tc>
        <w:tc>
          <w:tcPr>
            <w:tcW w:w="990" w:type="dxa"/>
            <w:shd w:val="clear" w:color="000000" w:fill="FFFFFF"/>
            <w:noWrap/>
            <w:vAlign w:val="center"/>
            <w:hideMark/>
          </w:tcPr>
          <w:p w14:paraId="28D72E9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222787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B4217B6" w14:textId="77777777" w:rsidTr="002A1F08">
        <w:trPr>
          <w:trHeight w:val="300"/>
          <w:jc w:val="center"/>
        </w:trPr>
        <w:tc>
          <w:tcPr>
            <w:tcW w:w="596" w:type="dxa"/>
            <w:shd w:val="clear" w:color="000000" w:fill="FFFFFF"/>
            <w:noWrap/>
            <w:vAlign w:val="center"/>
            <w:hideMark/>
          </w:tcPr>
          <w:p w14:paraId="6EDC117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224</w:t>
            </w:r>
          </w:p>
        </w:tc>
        <w:tc>
          <w:tcPr>
            <w:tcW w:w="5167" w:type="dxa"/>
            <w:shd w:val="clear" w:color="000000" w:fill="FFFFFF"/>
            <w:noWrap/>
            <w:vAlign w:val="center"/>
            <w:hideMark/>
          </w:tcPr>
          <w:p w14:paraId="0B97DC7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Tetrabromobisfenol A (TBBP-A)</w:t>
            </w:r>
          </w:p>
        </w:tc>
        <w:tc>
          <w:tcPr>
            <w:tcW w:w="990" w:type="dxa"/>
            <w:shd w:val="clear" w:color="000000" w:fill="FFFFFF"/>
            <w:noWrap/>
            <w:vAlign w:val="center"/>
            <w:hideMark/>
          </w:tcPr>
          <w:p w14:paraId="5BF1F5B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C6CF6B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D54A035" w14:textId="77777777" w:rsidTr="002A1F08">
        <w:trPr>
          <w:trHeight w:val="300"/>
          <w:jc w:val="center"/>
        </w:trPr>
        <w:tc>
          <w:tcPr>
            <w:tcW w:w="596" w:type="dxa"/>
            <w:shd w:val="clear" w:color="000000" w:fill="FFFFFF"/>
            <w:noWrap/>
            <w:vAlign w:val="center"/>
            <w:hideMark/>
          </w:tcPr>
          <w:p w14:paraId="2194686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225</w:t>
            </w:r>
          </w:p>
        </w:tc>
        <w:tc>
          <w:tcPr>
            <w:tcW w:w="5167" w:type="dxa"/>
            <w:shd w:val="clear" w:color="000000" w:fill="FFFFFF"/>
            <w:noWrap/>
            <w:vAlign w:val="center"/>
            <w:hideMark/>
          </w:tcPr>
          <w:p w14:paraId="5574FAB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Heksabromociklododekan (HBCD)</w:t>
            </w:r>
          </w:p>
        </w:tc>
        <w:tc>
          <w:tcPr>
            <w:tcW w:w="990" w:type="dxa"/>
            <w:shd w:val="clear" w:color="000000" w:fill="FFFFFF"/>
            <w:noWrap/>
            <w:vAlign w:val="center"/>
            <w:hideMark/>
          </w:tcPr>
          <w:p w14:paraId="03C4635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024581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CF8C07B" w14:textId="77777777" w:rsidTr="002A1F08">
        <w:trPr>
          <w:trHeight w:val="300"/>
          <w:jc w:val="center"/>
        </w:trPr>
        <w:tc>
          <w:tcPr>
            <w:tcW w:w="596" w:type="dxa"/>
            <w:shd w:val="clear" w:color="000000" w:fill="FFFFFF"/>
            <w:noWrap/>
            <w:vAlign w:val="center"/>
            <w:hideMark/>
          </w:tcPr>
          <w:p w14:paraId="2292E50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226</w:t>
            </w:r>
          </w:p>
        </w:tc>
        <w:tc>
          <w:tcPr>
            <w:tcW w:w="5167" w:type="dxa"/>
            <w:shd w:val="clear" w:color="000000" w:fill="FFFFFF"/>
            <w:noWrap/>
            <w:vAlign w:val="center"/>
            <w:hideMark/>
          </w:tcPr>
          <w:p w14:paraId="7868F3D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Diklobenil</w:t>
            </w:r>
          </w:p>
        </w:tc>
        <w:tc>
          <w:tcPr>
            <w:tcW w:w="990" w:type="dxa"/>
            <w:shd w:val="clear" w:color="000000" w:fill="FFFFFF"/>
            <w:noWrap/>
            <w:vAlign w:val="center"/>
            <w:hideMark/>
          </w:tcPr>
          <w:p w14:paraId="6D60599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45932A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F53EFCA" w14:textId="77777777" w:rsidTr="002A1F08">
        <w:trPr>
          <w:trHeight w:val="300"/>
          <w:jc w:val="center"/>
        </w:trPr>
        <w:tc>
          <w:tcPr>
            <w:tcW w:w="596" w:type="dxa"/>
            <w:shd w:val="clear" w:color="000000" w:fill="FFFFFF"/>
            <w:noWrap/>
            <w:vAlign w:val="center"/>
            <w:hideMark/>
          </w:tcPr>
          <w:p w14:paraId="3DFCEEA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227</w:t>
            </w:r>
          </w:p>
        </w:tc>
        <w:tc>
          <w:tcPr>
            <w:tcW w:w="5167" w:type="dxa"/>
            <w:shd w:val="clear" w:color="000000" w:fill="FFFFFF"/>
            <w:noWrap/>
            <w:vAlign w:val="center"/>
            <w:hideMark/>
          </w:tcPr>
          <w:p w14:paraId="2B5D1AF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Tributil fosfati</w:t>
            </w:r>
          </w:p>
        </w:tc>
        <w:tc>
          <w:tcPr>
            <w:tcW w:w="990" w:type="dxa"/>
            <w:shd w:val="clear" w:color="000000" w:fill="FFFFFF"/>
            <w:noWrap/>
            <w:vAlign w:val="center"/>
            <w:hideMark/>
          </w:tcPr>
          <w:p w14:paraId="2DE077C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76100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812CE4A" w14:textId="77777777" w:rsidTr="002A1F08">
        <w:trPr>
          <w:trHeight w:val="300"/>
          <w:jc w:val="center"/>
        </w:trPr>
        <w:tc>
          <w:tcPr>
            <w:tcW w:w="596" w:type="dxa"/>
            <w:shd w:val="clear" w:color="000000" w:fill="FFFFFF"/>
            <w:noWrap/>
            <w:vAlign w:val="center"/>
            <w:hideMark/>
          </w:tcPr>
          <w:p w14:paraId="5223165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228</w:t>
            </w:r>
          </w:p>
        </w:tc>
        <w:tc>
          <w:tcPr>
            <w:tcW w:w="5167" w:type="dxa"/>
            <w:shd w:val="clear" w:color="000000" w:fill="FFFFFF"/>
            <w:noWrap/>
            <w:vAlign w:val="center"/>
            <w:hideMark/>
          </w:tcPr>
          <w:p w14:paraId="271CC81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Dibenzodioksina të poliklorinuara (PCDD)</w:t>
            </w:r>
          </w:p>
        </w:tc>
        <w:tc>
          <w:tcPr>
            <w:tcW w:w="990" w:type="dxa"/>
            <w:shd w:val="clear" w:color="000000" w:fill="FFFFFF"/>
            <w:noWrap/>
            <w:vAlign w:val="center"/>
            <w:hideMark/>
          </w:tcPr>
          <w:p w14:paraId="16360FC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308EA5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CB3A5BB" w14:textId="77777777" w:rsidTr="002A1F08">
        <w:trPr>
          <w:trHeight w:val="300"/>
          <w:jc w:val="center"/>
        </w:trPr>
        <w:tc>
          <w:tcPr>
            <w:tcW w:w="596" w:type="dxa"/>
            <w:shd w:val="clear" w:color="000000" w:fill="FFFFFF"/>
            <w:noWrap/>
            <w:vAlign w:val="center"/>
            <w:hideMark/>
          </w:tcPr>
          <w:p w14:paraId="0480E00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229</w:t>
            </w:r>
          </w:p>
        </w:tc>
        <w:tc>
          <w:tcPr>
            <w:tcW w:w="5167" w:type="dxa"/>
            <w:shd w:val="clear" w:color="000000" w:fill="FFFFFF"/>
            <w:noWrap/>
            <w:vAlign w:val="center"/>
            <w:hideMark/>
          </w:tcPr>
          <w:p w14:paraId="5F200D3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Dibenzofurane të poliklorinuara (PCDF)</w:t>
            </w:r>
          </w:p>
        </w:tc>
        <w:tc>
          <w:tcPr>
            <w:tcW w:w="990" w:type="dxa"/>
            <w:shd w:val="clear" w:color="000000" w:fill="FFFFFF"/>
            <w:noWrap/>
            <w:vAlign w:val="center"/>
            <w:hideMark/>
          </w:tcPr>
          <w:p w14:paraId="6BA8D8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774F3A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C3FF6CE" w14:textId="77777777" w:rsidTr="002A1F08">
        <w:trPr>
          <w:trHeight w:val="300"/>
          <w:jc w:val="center"/>
        </w:trPr>
        <w:tc>
          <w:tcPr>
            <w:tcW w:w="596" w:type="dxa"/>
            <w:shd w:val="clear" w:color="000000" w:fill="FFFFFF"/>
            <w:noWrap/>
            <w:vAlign w:val="center"/>
            <w:hideMark/>
          </w:tcPr>
          <w:p w14:paraId="42E9D7E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230</w:t>
            </w:r>
          </w:p>
        </w:tc>
        <w:tc>
          <w:tcPr>
            <w:tcW w:w="5167" w:type="dxa"/>
            <w:shd w:val="clear" w:color="000000" w:fill="FFFFFF"/>
            <w:noWrap/>
            <w:vAlign w:val="center"/>
            <w:hideMark/>
          </w:tcPr>
          <w:p w14:paraId="200C217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Të tjera VOCs dhe/ose CVOC., për të cilat skanimi CIS ka treguar që janë, ose mund të jenë, të pranishme në ujërat shqiptare dhe që nuk janë përfshirë në listën e substancave prioritare</w:t>
            </w:r>
          </w:p>
        </w:tc>
        <w:tc>
          <w:tcPr>
            <w:tcW w:w="990" w:type="dxa"/>
            <w:shd w:val="clear" w:color="000000" w:fill="FFFFFF"/>
            <w:noWrap/>
            <w:vAlign w:val="center"/>
            <w:hideMark/>
          </w:tcPr>
          <w:p w14:paraId="0C6CB1B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0E9968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AA72012" w14:textId="77777777" w:rsidTr="002A1F08">
        <w:trPr>
          <w:trHeight w:val="300"/>
          <w:jc w:val="center"/>
        </w:trPr>
        <w:tc>
          <w:tcPr>
            <w:tcW w:w="8463" w:type="dxa"/>
            <w:gridSpan w:val="4"/>
            <w:shd w:val="clear" w:color="auto" w:fill="FDE9D9"/>
            <w:noWrap/>
            <w:vAlign w:val="center"/>
            <w:hideMark/>
          </w:tcPr>
          <w:p w14:paraId="1CEC272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3c. Hidrokarbure nafte (PHC)</w:t>
            </w:r>
          </w:p>
        </w:tc>
      </w:tr>
      <w:tr w:rsidR="00763C7E" w:rsidRPr="00445472" w14:paraId="3B06D0FE" w14:textId="77777777" w:rsidTr="002A1F08">
        <w:trPr>
          <w:trHeight w:val="300"/>
          <w:jc w:val="center"/>
        </w:trPr>
        <w:tc>
          <w:tcPr>
            <w:tcW w:w="596" w:type="dxa"/>
            <w:shd w:val="clear" w:color="000000" w:fill="FFFFFF"/>
            <w:noWrap/>
            <w:vAlign w:val="center"/>
            <w:hideMark/>
          </w:tcPr>
          <w:p w14:paraId="688613A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231</w:t>
            </w:r>
          </w:p>
        </w:tc>
        <w:tc>
          <w:tcPr>
            <w:tcW w:w="5167" w:type="dxa"/>
            <w:shd w:val="clear" w:color="000000" w:fill="FFFFFF"/>
            <w:noWrap/>
            <w:vAlign w:val="center"/>
            <w:hideMark/>
          </w:tcPr>
          <w:p w14:paraId="7AACC19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Toluen</w:t>
            </w:r>
          </w:p>
        </w:tc>
        <w:tc>
          <w:tcPr>
            <w:tcW w:w="990" w:type="dxa"/>
            <w:shd w:val="clear" w:color="000000" w:fill="FFFFFF"/>
            <w:noWrap/>
            <w:vAlign w:val="center"/>
            <w:hideMark/>
          </w:tcPr>
          <w:p w14:paraId="508B821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30B7EA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DA5C34E" w14:textId="77777777" w:rsidTr="002A1F08">
        <w:trPr>
          <w:trHeight w:val="300"/>
          <w:jc w:val="center"/>
        </w:trPr>
        <w:tc>
          <w:tcPr>
            <w:tcW w:w="596" w:type="dxa"/>
            <w:shd w:val="clear" w:color="000000" w:fill="FFFFFF"/>
            <w:noWrap/>
            <w:vAlign w:val="center"/>
            <w:hideMark/>
          </w:tcPr>
          <w:p w14:paraId="0F8C719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232</w:t>
            </w:r>
          </w:p>
        </w:tc>
        <w:tc>
          <w:tcPr>
            <w:tcW w:w="5167" w:type="dxa"/>
            <w:shd w:val="clear" w:color="000000" w:fill="FFFFFF"/>
            <w:noWrap/>
            <w:vAlign w:val="center"/>
            <w:hideMark/>
          </w:tcPr>
          <w:p w14:paraId="19EDCAF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Etilbenzen</w:t>
            </w:r>
          </w:p>
        </w:tc>
        <w:tc>
          <w:tcPr>
            <w:tcW w:w="990" w:type="dxa"/>
            <w:shd w:val="clear" w:color="000000" w:fill="FFFFFF"/>
            <w:noWrap/>
            <w:vAlign w:val="center"/>
            <w:hideMark/>
          </w:tcPr>
          <w:p w14:paraId="528FAF1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D3D8F0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A424637" w14:textId="77777777" w:rsidTr="002A1F08">
        <w:trPr>
          <w:trHeight w:val="300"/>
          <w:jc w:val="center"/>
        </w:trPr>
        <w:tc>
          <w:tcPr>
            <w:tcW w:w="596" w:type="dxa"/>
            <w:shd w:val="clear" w:color="000000" w:fill="FFFFFF"/>
            <w:noWrap/>
            <w:vAlign w:val="center"/>
            <w:hideMark/>
          </w:tcPr>
          <w:p w14:paraId="0B42829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233</w:t>
            </w:r>
          </w:p>
        </w:tc>
        <w:tc>
          <w:tcPr>
            <w:tcW w:w="5167" w:type="dxa"/>
            <w:shd w:val="clear" w:color="000000" w:fill="FFFFFF"/>
            <w:noWrap/>
            <w:vAlign w:val="center"/>
            <w:hideMark/>
          </w:tcPr>
          <w:p w14:paraId="1198D36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Ksilene</w:t>
            </w:r>
          </w:p>
        </w:tc>
        <w:tc>
          <w:tcPr>
            <w:tcW w:w="990" w:type="dxa"/>
            <w:shd w:val="clear" w:color="000000" w:fill="FFFFFF"/>
            <w:noWrap/>
            <w:vAlign w:val="center"/>
            <w:hideMark/>
          </w:tcPr>
          <w:p w14:paraId="2EF36D5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BB56DC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C34A17B" w14:textId="77777777" w:rsidTr="002A1F08">
        <w:trPr>
          <w:trHeight w:val="300"/>
          <w:jc w:val="center"/>
        </w:trPr>
        <w:tc>
          <w:tcPr>
            <w:tcW w:w="596" w:type="dxa"/>
            <w:shd w:val="clear" w:color="000000" w:fill="FFFFFF"/>
            <w:noWrap/>
            <w:vAlign w:val="center"/>
            <w:hideMark/>
          </w:tcPr>
          <w:p w14:paraId="2B8C5F4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234</w:t>
            </w:r>
          </w:p>
        </w:tc>
        <w:tc>
          <w:tcPr>
            <w:tcW w:w="5167" w:type="dxa"/>
            <w:shd w:val="clear" w:color="000000" w:fill="FFFFFF"/>
            <w:noWrap/>
            <w:vAlign w:val="center"/>
            <w:hideMark/>
          </w:tcPr>
          <w:p w14:paraId="43311D6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Metil tert-butil eter (MTBE)</w:t>
            </w:r>
          </w:p>
        </w:tc>
        <w:tc>
          <w:tcPr>
            <w:tcW w:w="990" w:type="dxa"/>
            <w:shd w:val="clear" w:color="000000" w:fill="FFFFFF"/>
            <w:noWrap/>
            <w:vAlign w:val="center"/>
            <w:hideMark/>
          </w:tcPr>
          <w:p w14:paraId="4E430CF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D54E07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806A739" w14:textId="77777777" w:rsidTr="002A1F08">
        <w:trPr>
          <w:trHeight w:val="300"/>
          <w:jc w:val="center"/>
        </w:trPr>
        <w:tc>
          <w:tcPr>
            <w:tcW w:w="596" w:type="dxa"/>
            <w:shd w:val="clear" w:color="000000" w:fill="FFFFFF"/>
            <w:noWrap/>
            <w:vAlign w:val="center"/>
            <w:hideMark/>
          </w:tcPr>
          <w:p w14:paraId="4A23BA9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235</w:t>
            </w:r>
          </w:p>
        </w:tc>
        <w:tc>
          <w:tcPr>
            <w:tcW w:w="5167" w:type="dxa"/>
            <w:shd w:val="clear" w:color="000000" w:fill="FFFFFF"/>
            <w:noWrap/>
            <w:vAlign w:val="center"/>
            <w:hideMark/>
          </w:tcPr>
          <w:p w14:paraId="57B9CA3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Të tjera PHC, për të cilat skanimi CIS ka treguar që janë, ose mund të jenë, të pranishme në ujërat shqiptare dhe që nuk janë përfshirë në listën e substancave prioritare</w:t>
            </w:r>
          </w:p>
        </w:tc>
        <w:tc>
          <w:tcPr>
            <w:tcW w:w="990" w:type="dxa"/>
            <w:shd w:val="clear" w:color="000000" w:fill="FFFFFF"/>
            <w:noWrap/>
            <w:vAlign w:val="center"/>
            <w:hideMark/>
          </w:tcPr>
          <w:p w14:paraId="0D902D0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F1D099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9659111" w14:textId="77777777" w:rsidTr="002A1F08">
        <w:trPr>
          <w:trHeight w:val="300"/>
          <w:jc w:val="center"/>
        </w:trPr>
        <w:tc>
          <w:tcPr>
            <w:tcW w:w="596" w:type="dxa"/>
            <w:shd w:val="clear" w:color="000000" w:fill="FFFFFF"/>
            <w:noWrap/>
            <w:vAlign w:val="center"/>
            <w:hideMark/>
          </w:tcPr>
          <w:p w14:paraId="424A11C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236</w:t>
            </w:r>
          </w:p>
        </w:tc>
        <w:tc>
          <w:tcPr>
            <w:tcW w:w="5167" w:type="dxa"/>
            <w:shd w:val="clear" w:color="000000" w:fill="FFFFFF"/>
            <w:noWrap/>
            <w:vAlign w:val="center"/>
            <w:hideMark/>
          </w:tcPr>
          <w:p w14:paraId="2E997BA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Totali hidrokarbure nafte (TPH)</w:t>
            </w:r>
          </w:p>
        </w:tc>
        <w:tc>
          <w:tcPr>
            <w:tcW w:w="990" w:type="dxa"/>
            <w:shd w:val="clear" w:color="000000" w:fill="FFFFFF"/>
            <w:noWrap/>
            <w:vAlign w:val="center"/>
            <w:hideMark/>
          </w:tcPr>
          <w:p w14:paraId="5129868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11A4F6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1DAD18D" w14:textId="77777777" w:rsidTr="002A1F08">
        <w:trPr>
          <w:trHeight w:val="300"/>
          <w:jc w:val="center"/>
        </w:trPr>
        <w:tc>
          <w:tcPr>
            <w:tcW w:w="8463" w:type="dxa"/>
            <w:gridSpan w:val="4"/>
            <w:shd w:val="clear" w:color="auto" w:fill="FDE9D9"/>
            <w:noWrap/>
            <w:vAlign w:val="center"/>
            <w:hideMark/>
          </w:tcPr>
          <w:p w14:paraId="387B00C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3d. Komponime organike të avullueshme dhe gjysmë të avullueshme (VOC &amp; SVOC)</w:t>
            </w:r>
          </w:p>
        </w:tc>
      </w:tr>
      <w:tr w:rsidR="00763C7E" w:rsidRPr="00445472" w14:paraId="6BACBE1A" w14:textId="77777777" w:rsidTr="002A1F08">
        <w:trPr>
          <w:trHeight w:val="300"/>
          <w:jc w:val="center"/>
        </w:trPr>
        <w:tc>
          <w:tcPr>
            <w:tcW w:w="596" w:type="dxa"/>
            <w:shd w:val="clear" w:color="000000" w:fill="FFFFFF"/>
            <w:noWrap/>
            <w:vAlign w:val="center"/>
            <w:hideMark/>
          </w:tcPr>
          <w:p w14:paraId="22A5EB9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237</w:t>
            </w:r>
          </w:p>
        </w:tc>
        <w:tc>
          <w:tcPr>
            <w:tcW w:w="5167" w:type="dxa"/>
            <w:shd w:val="clear" w:color="000000" w:fill="FFFFFF"/>
            <w:noWrap/>
            <w:vAlign w:val="center"/>
            <w:hideMark/>
          </w:tcPr>
          <w:p w14:paraId="524B996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Fenole</w:t>
            </w:r>
          </w:p>
        </w:tc>
        <w:tc>
          <w:tcPr>
            <w:tcW w:w="990" w:type="dxa"/>
            <w:shd w:val="clear" w:color="000000" w:fill="FFFFFF"/>
            <w:noWrap/>
            <w:vAlign w:val="center"/>
            <w:hideMark/>
          </w:tcPr>
          <w:p w14:paraId="3949024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0E9FD7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840FF09" w14:textId="77777777" w:rsidTr="002A1F08">
        <w:trPr>
          <w:trHeight w:val="300"/>
          <w:jc w:val="center"/>
        </w:trPr>
        <w:tc>
          <w:tcPr>
            <w:tcW w:w="596" w:type="dxa"/>
            <w:shd w:val="clear" w:color="000000" w:fill="FFFFFF"/>
            <w:noWrap/>
            <w:vAlign w:val="center"/>
            <w:hideMark/>
          </w:tcPr>
          <w:p w14:paraId="5D05D46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238</w:t>
            </w:r>
          </w:p>
        </w:tc>
        <w:tc>
          <w:tcPr>
            <w:tcW w:w="5167" w:type="dxa"/>
            <w:shd w:val="clear" w:color="000000" w:fill="FFFFFF"/>
            <w:noWrap/>
            <w:vAlign w:val="center"/>
            <w:hideMark/>
          </w:tcPr>
          <w:p w14:paraId="43B2F92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Kreosot</w:t>
            </w:r>
          </w:p>
        </w:tc>
        <w:tc>
          <w:tcPr>
            <w:tcW w:w="990" w:type="dxa"/>
            <w:shd w:val="clear" w:color="000000" w:fill="FFFFFF"/>
            <w:noWrap/>
            <w:vAlign w:val="center"/>
            <w:hideMark/>
          </w:tcPr>
          <w:p w14:paraId="440CC5F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913D0E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E7B4D55" w14:textId="77777777" w:rsidTr="002A1F08">
        <w:trPr>
          <w:trHeight w:val="300"/>
          <w:jc w:val="center"/>
        </w:trPr>
        <w:tc>
          <w:tcPr>
            <w:tcW w:w="596" w:type="dxa"/>
            <w:shd w:val="clear" w:color="000000" w:fill="FFFFFF"/>
            <w:noWrap/>
            <w:vAlign w:val="center"/>
            <w:hideMark/>
          </w:tcPr>
          <w:p w14:paraId="0084D81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239</w:t>
            </w:r>
          </w:p>
        </w:tc>
        <w:tc>
          <w:tcPr>
            <w:tcW w:w="5167" w:type="dxa"/>
            <w:shd w:val="clear" w:color="000000" w:fill="FFFFFF"/>
            <w:noWrap/>
            <w:vAlign w:val="center"/>
            <w:hideMark/>
          </w:tcPr>
          <w:p w14:paraId="03617E7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Katrane qymyri dhe produkte degradimi</w:t>
            </w:r>
          </w:p>
        </w:tc>
        <w:tc>
          <w:tcPr>
            <w:tcW w:w="990" w:type="dxa"/>
            <w:shd w:val="clear" w:color="000000" w:fill="FFFFFF"/>
            <w:noWrap/>
            <w:vAlign w:val="center"/>
            <w:hideMark/>
          </w:tcPr>
          <w:p w14:paraId="4E3E160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EDF7AE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0C88F35" w14:textId="77777777" w:rsidTr="002A1F08">
        <w:trPr>
          <w:trHeight w:val="300"/>
          <w:jc w:val="center"/>
        </w:trPr>
        <w:tc>
          <w:tcPr>
            <w:tcW w:w="596" w:type="dxa"/>
            <w:shd w:val="clear" w:color="000000" w:fill="FFFFFF"/>
            <w:noWrap/>
            <w:vAlign w:val="center"/>
            <w:hideMark/>
          </w:tcPr>
          <w:p w14:paraId="7B52860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240</w:t>
            </w:r>
          </w:p>
        </w:tc>
        <w:tc>
          <w:tcPr>
            <w:tcW w:w="5167" w:type="dxa"/>
            <w:shd w:val="clear" w:color="000000" w:fill="FFFFFF"/>
            <w:noWrap/>
            <w:vAlign w:val="center"/>
            <w:hideMark/>
          </w:tcPr>
          <w:p w14:paraId="27ED883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Isopropil benzen</w:t>
            </w:r>
          </w:p>
        </w:tc>
        <w:tc>
          <w:tcPr>
            <w:tcW w:w="990" w:type="dxa"/>
            <w:shd w:val="clear" w:color="000000" w:fill="FFFFFF"/>
            <w:noWrap/>
            <w:vAlign w:val="center"/>
            <w:hideMark/>
          </w:tcPr>
          <w:p w14:paraId="5E8EE08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A483FE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2F9651E" w14:textId="77777777" w:rsidTr="002A1F08">
        <w:trPr>
          <w:trHeight w:val="300"/>
          <w:jc w:val="center"/>
        </w:trPr>
        <w:tc>
          <w:tcPr>
            <w:tcW w:w="596" w:type="dxa"/>
            <w:shd w:val="clear" w:color="000000" w:fill="FFFFFF"/>
            <w:noWrap/>
            <w:vAlign w:val="center"/>
            <w:hideMark/>
          </w:tcPr>
          <w:p w14:paraId="192ABB9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241</w:t>
            </w:r>
          </w:p>
        </w:tc>
        <w:tc>
          <w:tcPr>
            <w:tcW w:w="5167" w:type="dxa"/>
            <w:shd w:val="clear" w:color="000000" w:fill="FFFFFF"/>
            <w:noWrap/>
            <w:vAlign w:val="center"/>
            <w:hideMark/>
          </w:tcPr>
          <w:p w14:paraId="176C94A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Dietilaminë</w:t>
            </w:r>
          </w:p>
        </w:tc>
        <w:tc>
          <w:tcPr>
            <w:tcW w:w="990" w:type="dxa"/>
            <w:shd w:val="clear" w:color="000000" w:fill="FFFFFF"/>
            <w:noWrap/>
            <w:vAlign w:val="center"/>
            <w:hideMark/>
          </w:tcPr>
          <w:p w14:paraId="3B8FDF5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9775B6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E8E0AB5" w14:textId="77777777" w:rsidTr="002A1F08">
        <w:trPr>
          <w:trHeight w:val="300"/>
          <w:jc w:val="center"/>
        </w:trPr>
        <w:tc>
          <w:tcPr>
            <w:tcW w:w="596" w:type="dxa"/>
            <w:shd w:val="clear" w:color="000000" w:fill="FFFFFF"/>
            <w:noWrap/>
            <w:vAlign w:val="center"/>
            <w:hideMark/>
          </w:tcPr>
          <w:p w14:paraId="04A8F15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242</w:t>
            </w:r>
          </w:p>
        </w:tc>
        <w:tc>
          <w:tcPr>
            <w:tcW w:w="5167" w:type="dxa"/>
            <w:shd w:val="clear" w:color="000000" w:fill="FFFFFF"/>
            <w:noWrap/>
            <w:vAlign w:val="center"/>
            <w:hideMark/>
          </w:tcPr>
          <w:p w14:paraId="603E537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Dimetilaminë</w:t>
            </w:r>
          </w:p>
        </w:tc>
        <w:tc>
          <w:tcPr>
            <w:tcW w:w="990" w:type="dxa"/>
            <w:shd w:val="clear" w:color="000000" w:fill="FFFFFF"/>
            <w:noWrap/>
            <w:vAlign w:val="center"/>
            <w:hideMark/>
          </w:tcPr>
          <w:p w14:paraId="5215E2E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CAEF23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668EB0D" w14:textId="77777777" w:rsidTr="002A1F08">
        <w:trPr>
          <w:trHeight w:val="300"/>
          <w:jc w:val="center"/>
        </w:trPr>
        <w:tc>
          <w:tcPr>
            <w:tcW w:w="596" w:type="dxa"/>
            <w:shd w:val="clear" w:color="000000" w:fill="FFFFFF"/>
            <w:noWrap/>
            <w:vAlign w:val="center"/>
            <w:hideMark/>
          </w:tcPr>
          <w:p w14:paraId="3A3D917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243</w:t>
            </w:r>
          </w:p>
        </w:tc>
        <w:tc>
          <w:tcPr>
            <w:tcW w:w="5167" w:type="dxa"/>
            <w:shd w:val="clear" w:color="000000" w:fill="FFFFFF"/>
            <w:noWrap/>
            <w:vAlign w:val="center"/>
            <w:hideMark/>
          </w:tcPr>
          <w:p w14:paraId="6702D95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Të tjera SVOC, për të cilat skanimi CIS ka treguar që janë, ose mund të jenë, të pranishme në ujërat shqiptare dhe që nuk janë përfshirë në listën e substancave prioritare</w:t>
            </w:r>
          </w:p>
        </w:tc>
        <w:tc>
          <w:tcPr>
            <w:tcW w:w="990" w:type="dxa"/>
            <w:shd w:val="clear" w:color="000000" w:fill="FFFFFF"/>
            <w:noWrap/>
            <w:vAlign w:val="center"/>
            <w:hideMark/>
          </w:tcPr>
          <w:p w14:paraId="735917F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BF9BA3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68FCF20" w14:textId="77777777" w:rsidTr="002A1F08">
        <w:trPr>
          <w:trHeight w:val="300"/>
          <w:jc w:val="center"/>
        </w:trPr>
        <w:tc>
          <w:tcPr>
            <w:tcW w:w="8463" w:type="dxa"/>
            <w:gridSpan w:val="4"/>
            <w:shd w:val="clear" w:color="auto" w:fill="FDE9D9"/>
            <w:noWrap/>
            <w:vAlign w:val="center"/>
            <w:hideMark/>
          </w:tcPr>
          <w:p w14:paraId="320E383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3e. Hidrokarbure policiklike aromatike (PAH)</w:t>
            </w:r>
          </w:p>
        </w:tc>
      </w:tr>
      <w:tr w:rsidR="00763C7E" w:rsidRPr="00445472" w14:paraId="351D236A" w14:textId="77777777" w:rsidTr="002A1F08">
        <w:trPr>
          <w:trHeight w:val="300"/>
          <w:jc w:val="center"/>
        </w:trPr>
        <w:tc>
          <w:tcPr>
            <w:tcW w:w="596" w:type="dxa"/>
            <w:shd w:val="clear" w:color="000000" w:fill="FFFFFF"/>
            <w:noWrap/>
            <w:vAlign w:val="center"/>
            <w:hideMark/>
          </w:tcPr>
          <w:p w14:paraId="3609F87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244</w:t>
            </w:r>
          </w:p>
        </w:tc>
        <w:tc>
          <w:tcPr>
            <w:tcW w:w="5167" w:type="dxa"/>
            <w:shd w:val="clear" w:color="000000" w:fill="FFFFFF"/>
            <w:noWrap/>
            <w:vAlign w:val="center"/>
            <w:hideMark/>
          </w:tcPr>
          <w:p w14:paraId="378D87A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Piren</w:t>
            </w:r>
          </w:p>
        </w:tc>
        <w:tc>
          <w:tcPr>
            <w:tcW w:w="990" w:type="dxa"/>
            <w:shd w:val="clear" w:color="000000" w:fill="FFFFFF"/>
            <w:noWrap/>
            <w:vAlign w:val="center"/>
            <w:hideMark/>
          </w:tcPr>
          <w:p w14:paraId="4B9AFC9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3DA348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E6EBDC8" w14:textId="77777777" w:rsidTr="002A1F08">
        <w:trPr>
          <w:trHeight w:val="300"/>
          <w:jc w:val="center"/>
        </w:trPr>
        <w:tc>
          <w:tcPr>
            <w:tcW w:w="596" w:type="dxa"/>
            <w:shd w:val="clear" w:color="000000" w:fill="FFFFFF"/>
            <w:noWrap/>
            <w:vAlign w:val="center"/>
            <w:hideMark/>
          </w:tcPr>
          <w:p w14:paraId="39E4583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245</w:t>
            </w:r>
          </w:p>
        </w:tc>
        <w:tc>
          <w:tcPr>
            <w:tcW w:w="5167" w:type="dxa"/>
            <w:shd w:val="clear" w:color="000000" w:fill="FFFFFF"/>
            <w:noWrap/>
            <w:vAlign w:val="center"/>
            <w:hideMark/>
          </w:tcPr>
          <w:p w14:paraId="08195DD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Benzidinë</w:t>
            </w:r>
          </w:p>
        </w:tc>
        <w:tc>
          <w:tcPr>
            <w:tcW w:w="990" w:type="dxa"/>
            <w:shd w:val="clear" w:color="000000" w:fill="FFFFFF"/>
            <w:noWrap/>
            <w:vAlign w:val="center"/>
            <w:hideMark/>
          </w:tcPr>
          <w:p w14:paraId="5031165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6329AF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AEB5B09" w14:textId="77777777" w:rsidTr="002A1F08">
        <w:trPr>
          <w:trHeight w:val="300"/>
          <w:jc w:val="center"/>
        </w:trPr>
        <w:tc>
          <w:tcPr>
            <w:tcW w:w="596" w:type="dxa"/>
            <w:shd w:val="clear" w:color="000000" w:fill="FFFFFF"/>
            <w:noWrap/>
            <w:vAlign w:val="center"/>
            <w:hideMark/>
          </w:tcPr>
          <w:p w14:paraId="59737E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246</w:t>
            </w:r>
          </w:p>
        </w:tc>
        <w:tc>
          <w:tcPr>
            <w:tcW w:w="5167" w:type="dxa"/>
            <w:shd w:val="clear" w:color="000000" w:fill="FFFFFF"/>
            <w:noWrap/>
            <w:vAlign w:val="center"/>
            <w:hideMark/>
          </w:tcPr>
          <w:p w14:paraId="3EBFE40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Bifenil</w:t>
            </w:r>
          </w:p>
        </w:tc>
        <w:tc>
          <w:tcPr>
            <w:tcW w:w="990" w:type="dxa"/>
            <w:shd w:val="clear" w:color="000000" w:fill="FFFFFF"/>
            <w:noWrap/>
            <w:vAlign w:val="center"/>
            <w:hideMark/>
          </w:tcPr>
          <w:p w14:paraId="629B948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59E749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04E9747" w14:textId="77777777" w:rsidTr="002A1F08">
        <w:trPr>
          <w:trHeight w:val="300"/>
          <w:jc w:val="center"/>
        </w:trPr>
        <w:tc>
          <w:tcPr>
            <w:tcW w:w="596" w:type="dxa"/>
            <w:shd w:val="clear" w:color="000000" w:fill="FFFFFF"/>
            <w:noWrap/>
            <w:vAlign w:val="center"/>
            <w:hideMark/>
          </w:tcPr>
          <w:p w14:paraId="2210391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247</w:t>
            </w:r>
          </w:p>
        </w:tc>
        <w:tc>
          <w:tcPr>
            <w:tcW w:w="5167" w:type="dxa"/>
            <w:shd w:val="clear" w:color="000000" w:fill="FFFFFF"/>
            <w:noWrap/>
            <w:vAlign w:val="center"/>
            <w:hideMark/>
          </w:tcPr>
          <w:p w14:paraId="636C0D5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Benzodifuran</w:t>
            </w:r>
          </w:p>
        </w:tc>
        <w:tc>
          <w:tcPr>
            <w:tcW w:w="990" w:type="dxa"/>
            <w:shd w:val="clear" w:color="000000" w:fill="FFFFFF"/>
            <w:noWrap/>
            <w:vAlign w:val="center"/>
            <w:hideMark/>
          </w:tcPr>
          <w:p w14:paraId="43497DF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572CDD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3A90E9A" w14:textId="77777777" w:rsidTr="002A1F08">
        <w:trPr>
          <w:trHeight w:val="300"/>
          <w:jc w:val="center"/>
        </w:trPr>
        <w:tc>
          <w:tcPr>
            <w:tcW w:w="596" w:type="dxa"/>
            <w:shd w:val="clear" w:color="000000" w:fill="FFFFFF"/>
            <w:noWrap/>
            <w:vAlign w:val="center"/>
            <w:hideMark/>
          </w:tcPr>
          <w:p w14:paraId="720E5C3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248</w:t>
            </w:r>
          </w:p>
        </w:tc>
        <w:tc>
          <w:tcPr>
            <w:tcW w:w="5167" w:type="dxa"/>
            <w:shd w:val="clear" w:color="000000" w:fill="FFFFFF"/>
            <w:noWrap/>
            <w:vAlign w:val="center"/>
            <w:hideMark/>
          </w:tcPr>
          <w:p w14:paraId="2BF50A5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Të tjera PAH, për të cilat skanimi CIS ka treguar që janë, ose mund të jenë, të pranishme në ujërat shqiptare dhe që nuk janë përfshirë në listën e substancave prioritare</w:t>
            </w:r>
          </w:p>
        </w:tc>
        <w:tc>
          <w:tcPr>
            <w:tcW w:w="990" w:type="dxa"/>
            <w:shd w:val="clear" w:color="000000" w:fill="FFFFFF"/>
            <w:noWrap/>
            <w:vAlign w:val="center"/>
            <w:hideMark/>
          </w:tcPr>
          <w:p w14:paraId="729998F8"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98E503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919DA00" w14:textId="77777777" w:rsidTr="002A1F08">
        <w:trPr>
          <w:trHeight w:val="300"/>
          <w:jc w:val="center"/>
        </w:trPr>
        <w:tc>
          <w:tcPr>
            <w:tcW w:w="8463" w:type="dxa"/>
            <w:gridSpan w:val="4"/>
            <w:shd w:val="clear" w:color="auto" w:fill="FDE9D9"/>
            <w:noWrap/>
            <w:vAlign w:val="center"/>
            <w:hideMark/>
          </w:tcPr>
          <w:p w14:paraId="77A1E6A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3f. Komponime organotine dhe komponime të tjera organike</w:t>
            </w:r>
          </w:p>
        </w:tc>
      </w:tr>
      <w:tr w:rsidR="00763C7E" w:rsidRPr="00445472" w14:paraId="213E9229" w14:textId="77777777" w:rsidTr="002A1F08">
        <w:trPr>
          <w:trHeight w:val="300"/>
          <w:jc w:val="center"/>
        </w:trPr>
        <w:tc>
          <w:tcPr>
            <w:tcW w:w="596" w:type="dxa"/>
            <w:shd w:val="clear" w:color="000000" w:fill="FFFFFF"/>
            <w:noWrap/>
            <w:vAlign w:val="center"/>
            <w:hideMark/>
          </w:tcPr>
          <w:p w14:paraId="0FCD034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249</w:t>
            </w:r>
          </w:p>
        </w:tc>
        <w:tc>
          <w:tcPr>
            <w:tcW w:w="5167" w:type="dxa"/>
            <w:shd w:val="clear" w:color="000000" w:fill="FFFFFF"/>
            <w:noWrap/>
            <w:vAlign w:val="center"/>
            <w:hideMark/>
          </w:tcPr>
          <w:p w14:paraId="4704578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Trifeniltin</w:t>
            </w:r>
          </w:p>
        </w:tc>
        <w:tc>
          <w:tcPr>
            <w:tcW w:w="990" w:type="dxa"/>
            <w:shd w:val="clear" w:color="000000" w:fill="FFFFFF"/>
            <w:noWrap/>
            <w:vAlign w:val="center"/>
            <w:hideMark/>
          </w:tcPr>
          <w:p w14:paraId="0C9E6C2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4A7B7A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D2A0038" w14:textId="77777777" w:rsidTr="002A1F08">
        <w:trPr>
          <w:trHeight w:val="300"/>
          <w:jc w:val="center"/>
        </w:trPr>
        <w:tc>
          <w:tcPr>
            <w:tcW w:w="596" w:type="dxa"/>
            <w:shd w:val="clear" w:color="000000" w:fill="FFFFFF"/>
            <w:noWrap/>
            <w:vAlign w:val="center"/>
            <w:hideMark/>
          </w:tcPr>
          <w:p w14:paraId="787A03B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250</w:t>
            </w:r>
          </w:p>
        </w:tc>
        <w:tc>
          <w:tcPr>
            <w:tcW w:w="5167" w:type="dxa"/>
            <w:shd w:val="clear" w:color="000000" w:fill="FFFFFF"/>
            <w:noWrap/>
            <w:vAlign w:val="center"/>
            <w:hideMark/>
          </w:tcPr>
          <w:p w14:paraId="7BED4EA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Dibutiltin (DBT)</w:t>
            </w:r>
          </w:p>
        </w:tc>
        <w:tc>
          <w:tcPr>
            <w:tcW w:w="990" w:type="dxa"/>
            <w:shd w:val="clear" w:color="000000" w:fill="FFFFFF"/>
            <w:noWrap/>
            <w:vAlign w:val="center"/>
            <w:hideMark/>
          </w:tcPr>
          <w:p w14:paraId="59EE7DE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D6029A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39621B3" w14:textId="77777777" w:rsidTr="002A1F08">
        <w:trPr>
          <w:trHeight w:val="300"/>
          <w:jc w:val="center"/>
        </w:trPr>
        <w:tc>
          <w:tcPr>
            <w:tcW w:w="596" w:type="dxa"/>
            <w:shd w:val="clear" w:color="000000" w:fill="FFFFFF"/>
            <w:noWrap/>
            <w:vAlign w:val="center"/>
            <w:hideMark/>
          </w:tcPr>
          <w:p w14:paraId="2F57526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251</w:t>
            </w:r>
          </w:p>
        </w:tc>
        <w:tc>
          <w:tcPr>
            <w:tcW w:w="5167" w:type="dxa"/>
            <w:shd w:val="clear" w:color="000000" w:fill="FFFFFF"/>
            <w:noWrap/>
            <w:vAlign w:val="center"/>
            <w:hideMark/>
          </w:tcPr>
          <w:p w14:paraId="44017FD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Tri-n-propiltin (TPrT)</w:t>
            </w:r>
          </w:p>
        </w:tc>
        <w:tc>
          <w:tcPr>
            <w:tcW w:w="990" w:type="dxa"/>
            <w:shd w:val="clear" w:color="000000" w:fill="FFFFFF"/>
            <w:noWrap/>
            <w:vAlign w:val="center"/>
            <w:hideMark/>
          </w:tcPr>
          <w:p w14:paraId="0891C14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AAFC14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0BA4210" w14:textId="77777777" w:rsidTr="002A1F08">
        <w:trPr>
          <w:trHeight w:val="300"/>
          <w:jc w:val="center"/>
        </w:trPr>
        <w:tc>
          <w:tcPr>
            <w:tcW w:w="596" w:type="dxa"/>
            <w:shd w:val="clear" w:color="000000" w:fill="FFFFFF"/>
            <w:noWrap/>
            <w:vAlign w:val="center"/>
            <w:hideMark/>
          </w:tcPr>
          <w:p w14:paraId="51979B4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252</w:t>
            </w:r>
          </w:p>
        </w:tc>
        <w:tc>
          <w:tcPr>
            <w:tcW w:w="5167" w:type="dxa"/>
            <w:shd w:val="clear" w:color="000000" w:fill="FFFFFF"/>
            <w:noWrap/>
            <w:vAlign w:val="center"/>
            <w:hideMark/>
          </w:tcPr>
          <w:p w14:paraId="402BF48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Tetra-n-butiltin (TTBT)</w:t>
            </w:r>
          </w:p>
        </w:tc>
        <w:tc>
          <w:tcPr>
            <w:tcW w:w="990" w:type="dxa"/>
            <w:shd w:val="clear" w:color="000000" w:fill="FFFFFF"/>
            <w:noWrap/>
            <w:vAlign w:val="center"/>
            <w:hideMark/>
          </w:tcPr>
          <w:p w14:paraId="7151297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1B1E56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952022B" w14:textId="77777777" w:rsidTr="002A1F08">
        <w:trPr>
          <w:trHeight w:val="300"/>
          <w:jc w:val="center"/>
        </w:trPr>
        <w:tc>
          <w:tcPr>
            <w:tcW w:w="596" w:type="dxa"/>
            <w:shd w:val="clear" w:color="000000" w:fill="FFFFFF"/>
            <w:noWrap/>
            <w:vAlign w:val="center"/>
            <w:hideMark/>
          </w:tcPr>
          <w:p w14:paraId="748528A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253</w:t>
            </w:r>
          </w:p>
        </w:tc>
        <w:tc>
          <w:tcPr>
            <w:tcW w:w="5167" w:type="dxa"/>
            <w:shd w:val="clear" w:color="000000" w:fill="FFFFFF"/>
            <w:noWrap/>
            <w:vAlign w:val="center"/>
            <w:hideMark/>
          </w:tcPr>
          <w:p w14:paraId="33750AB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Tri-n-propiltin (TPrT)</w:t>
            </w:r>
          </w:p>
        </w:tc>
        <w:tc>
          <w:tcPr>
            <w:tcW w:w="990" w:type="dxa"/>
            <w:shd w:val="clear" w:color="000000" w:fill="FFFFFF"/>
            <w:noWrap/>
            <w:vAlign w:val="center"/>
            <w:hideMark/>
          </w:tcPr>
          <w:p w14:paraId="2C2836E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1DCE95B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1436A1E" w14:textId="77777777" w:rsidTr="002A1F08">
        <w:trPr>
          <w:trHeight w:val="300"/>
          <w:jc w:val="center"/>
        </w:trPr>
        <w:tc>
          <w:tcPr>
            <w:tcW w:w="596" w:type="dxa"/>
            <w:shd w:val="clear" w:color="000000" w:fill="FFFFFF"/>
            <w:noWrap/>
            <w:vAlign w:val="center"/>
            <w:hideMark/>
          </w:tcPr>
          <w:p w14:paraId="7A29F50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254</w:t>
            </w:r>
          </w:p>
        </w:tc>
        <w:tc>
          <w:tcPr>
            <w:tcW w:w="5167" w:type="dxa"/>
            <w:shd w:val="clear" w:color="000000" w:fill="FFFFFF"/>
            <w:noWrap/>
            <w:vAlign w:val="center"/>
            <w:hideMark/>
          </w:tcPr>
          <w:p w14:paraId="36AACDD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4-tert-Oktilfenol=1,1,3,3-Tetrametill-4-butilfenol</w:t>
            </w:r>
          </w:p>
        </w:tc>
        <w:tc>
          <w:tcPr>
            <w:tcW w:w="990" w:type="dxa"/>
            <w:shd w:val="clear" w:color="000000" w:fill="FFFFFF"/>
            <w:noWrap/>
            <w:vAlign w:val="center"/>
            <w:hideMark/>
          </w:tcPr>
          <w:p w14:paraId="51A85E8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33FCA5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FB1DE63" w14:textId="77777777" w:rsidTr="002A1F08">
        <w:trPr>
          <w:trHeight w:val="300"/>
          <w:jc w:val="center"/>
        </w:trPr>
        <w:tc>
          <w:tcPr>
            <w:tcW w:w="596" w:type="dxa"/>
            <w:shd w:val="clear" w:color="000000" w:fill="FFFFFF"/>
            <w:noWrap/>
            <w:vAlign w:val="center"/>
            <w:hideMark/>
          </w:tcPr>
          <w:p w14:paraId="124ABEF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255</w:t>
            </w:r>
          </w:p>
        </w:tc>
        <w:tc>
          <w:tcPr>
            <w:tcW w:w="5167" w:type="dxa"/>
            <w:shd w:val="clear" w:color="000000" w:fill="FFFFFF"/>
            <w:noWrap/>
            <w:vAlign w:val="center"/>
            <w:hideMark/>
          </w:tcPr>
          <w:p w14:paraId="588BE65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Nonil-fenol Etoksilat</w:t>
            </w:r>
          </w:p>
        </w:tc>
        <w:tc>
          <w:tcPr>
            <w:tcW w:w="990" w:type="dxa"/>
            <w:shd w:val="clear" w:color="000000" w:fill="FFFFFF"/>
            <w:noWrap/>
            <w:vAlign w:val="center"/>
            <w:hideMark/>
          </w:tcPr>
          <w:p w14:paraId="0A0F6A5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0C6F2A2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43CD634" w14:textId="77777777" w:rsidTr="002A1F08">
        <w:trPr>
          <w:trHeight w:val="300"/>
          <w:jc w:val="center"/>
        </w:trPr>
        <w:tc>
          <w:tcPr>
            <w:tcW w:w="596" w:type="dxa"/>
            <w:shd w:val="clear" w:color="000000" w:fill="FFFFFF"/>
            <w:noWrap/>
            <w:vAlign w:val="center"/>
            <w:hideMark/>
          </w:tcPr>
          <w:p w14:paraId="05AD2DD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256</w:t>
            </w:r>
          </w:p>
        </w:tc>
        <w:tc>
          <w:tcPr>
            <w:tcW w:w="5167" w:type="dxa"/>
            <w:shd w:val="clear" w:color="000000" w:fill="FFFFFF"/>
            <w:noWrap/>
            <w:vAlign w:val="center"/>
            <w:hideMark/>
          </w:tcPr>
          <w:p w14:paraId="5FC5767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Nitrobenzen</w:t>
            </w:r>
          </w:p>
        </w:tc>
        <w:tc>
          <w:tcPr>
            <w:tcW w:w="990" w:type="dxa"/>
            <w:shd w:val="clear" w:color="000000" w:fill="FFFFFF"/>
            <w:noWrap/>
            <w:vAlign w:val="center"/>
            <w:hideMark/>
          </w:tcPr>
          <w:p w14:paraId="355D89E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607FDC8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1E6CD105" w14:textId="77777777" w:rsidTr="002A1F08">
        <w:trPr>
          <w:trHeight w:val="300"/>
          <w:jc w:val="center"/>
        </w:trPr>
        <w:tc>
          <w:tcPr>
            <w:tcW w:w="596" w:type="dxa"/>
            <w:shd w:val="clear" w:color="000000" w:fill="FFFFFF"/>
            <w:noWrap/>
            <w:vAlign w:val="center"/>
            <w:hideMark/>
          </w:tcPr>
          <w:p w14:paraId="4CF25F9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257</w:t>
            </w:r>
          </w:p>
        </w:tc>
        <w:tc>
          <w:tcPr>
            <w:tcW w:w="5167" w:type="dxa"/>
            <w:shd w:val="clear" w:color="000000" w:fill="FFFFFF"/>
            <w:noWrap/>
            <w:vAlign w:val="center"/>
            <w:hideMark/>
          </w:tcPr>
          <w:p w14:paraId="0949B70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Disulfid karboni</w:t>
            </w:r>
          </w:p>
        </w:tc>
        <w:tc>
          <w:tcPr>
            <w:tcW w:w="990" w:type="dxa"/>
            <w:shd w:val="clear" w:color="000000" w:fill="FFFFFF"/>
            <w:noWrap/>
            <w:vAlign w:val="center"/>
            <w:hideMark/>
          </w:tcPr>
          <w:p w14:paraId="6BFFC14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DA718B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71D8BE8" w14:textId="77777777" w:rsidTr="002A1F08">
        <w:trPr>
          <w:trHeight w:val="300"/>
          <w:jc w:val="center"/>
        </w:trPr>
        <w:tc>
          <w:tcPr>
            <w:tcW w:w="596" w:type="dxa"/>
            <w:shd w:val="clear" w:color="000000" w:fill="FFFFFF"/>
            <w:noWrap/>
            <w:vAlign w:val="center"/>
            <w:hideMark/>
          </w:tcPr>
          <w:p w14:paraId="4F9B75C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258</w:t>
            </w:r>
          </w:p>
        </w:tc>
        <w:tc>
          <w:tcPr>
            <w:tcW w:w="5167" w:type="dxa"/>
            <w:shd w:val="clear" w:color="000000" w:fill="FFFFFF"/>
            <w:noWrap/>
            <w:vAlign w:val="center"/>
            <w:hideMark/>
          </w:tcPr>
          <w:p w14:paraId="1A02E9C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Diisononil ftalat=acid1,2-benzen dikarboksilik, ester diisononil (DINP)</w:t>
            </w:r>
          </w:p>
        </w:tc>
        <w:tc>
          <w:tcPr>
            <w:tcW w:w="990" w:type="dxa"/>
            <w:shd w:val="clear" w:color="000000" w:fill="FFFFFF"/>
            <w:noWrap/>
            <w:vAlign w:val="center"/>
            <w:hideMark/>
          </w:tcPr>
          <w:p w14:paraId="7CD03D6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BCF9F4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87260A5" w14:textId="77777777" w:rsidTr="002A1F08">
        <w:trPr>
          <w:trHeight w:val="300"/>
          <w:jc w:val="center"/>
        </w:trPr>
        <w:tc>
          <w:tcPr>
            <w:tcW w:w="596" w:type="dxa"/>
            <w:shd w:val="clear" w:color="000000" w:fill="FFFFFF"/>
            <w:noWrap/>
            <w:vAlign w:val="center"/>
            <w:hideMark/>
          </w:tcPr>
          <w:p w14:paraId="538D107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259</w:t>
            </w:r>
          </w:p>
        </w:tc>
        <w:tc>
          <w:tcPr>
            <w:tcW w:w="5167" w:type="dxa"/>
            <w:shd w:val="clear" w:color="000000" w:fill="FFFFFF"/>
            <w:noWrap/>
            <w:vAlign w:val="center"/>
            <w:hideMark/>
          </w:tcPr>
          <w:p w14:paraId="65BD35C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Butilbenzilftalat (BBP ose BBzP)</w:t>
            </w:r>
          </w:p>
        </w:tc>
        <w:tc>
          <w:tcPr>
            <w:tcW w:w="990" w:type="dxa"/>
            <w:shd w:val="clear" w:color="000000" w:fill="FFFFFF"/>
            <w:noWrap/>
            <w:vAlign w:val="center"/>
            <w:hideMark/>
          </w:tcPr>
          <w:p w14:paraId="26C565B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DDB12EF"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30CA735" w14:textId="77777777" w:rsidTr="002A1F08">
        <w:trPr>
          <w:trHeight w:val="300"/>
          <w:jc w:val="center"/>
        </w:trPr>
        <w:tc>
          <w:tcPr>
            <w:tcW w:w="596" w:type="dxa"/>
            <w:shd w:val="clear" w:color="000000" w:fill="FFFFFF"/>
            <w:noWrap/>
            <w:vAlign w:val="center"/>
            <w:hideMark/>
          </w:tcPr>
          <w:p w14:paraId="36F283A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260</w:t>
            </w:r>
          </w:p>
        </w:tc>
        <w:tc>
          <w:tcPr>
            <w:tcW w:w="5167" w:type="dxa"/>
            <w:shd w:val="clear" w:color="000000" w:fill="FFFFFF"/>
            <w:noWrap/>
            <w:vAlign w:val="center"/>
            <w:hideMark/>
          </w:tcPr>
          <w:p w14:paraId="10B1F5E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Di-n-butilftalat (DBP)</w:t>
            </w:r>
          </w:p>
        </w:tc>
        <w:tc>
          <w:tcPr>
            <w:tcW w:w="990" w:type="dxa"/>
            <w:shd w:val="clear" w:color="000000" w:fill="FFFFFF"/>
            <w:noWrap/>
            <w:vAlign w:val="center"/>
            <w:hideMark/>
          </w:tcPr>
          <w:p w14:paraId="1633CDB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C68297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0DCF220" w14:textId="77777777" w:rsidTr="002A1F08">
        <w:trPr>
          <w:trHeight w:val="300"/>
          <w:jc w:val="center"/>
        </w:trPr>
        <w:tc>
          <w:tcPr>
            <w:tcW w:w="596" w:type="dxa"/>
            <w:shd w:val="clear" w:color="000000" w:fill="FFFFFF"/>
            <w:noWrap/>
            <w:vAlign w:val="center"/>
            <w:hideMark/>
          </w:tcPr>
          <w:p w14:paraId="37776D5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261</w:t>
            </w:r>
          </w:p>
        </w:tc>
        <w:tc>
          <w:tcPr>
            <w:tcW w:w="5167" w:type="dxa"/>
            <w:shd w:val="clear" w:color="000000" w:fill="FFFFFF"/>
            <w:noWrap/>
            <w:vAlign w:val="center"/>
            <w:hideMark/>
          </w:tcPr>
          <w:p w14:paraId="7BA9F78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Stiren</w:t>
            </w:r>
          </w:p>
        </w:tc>
        <w:tc>
          <w:tcPr>
            <w:tcW w:w="990" w:type="dxa"/>
            <w:shd w:val="clear" w:color="000000" w:fill="FFFFFF"/>
            <w:noWrap/>
            <w:vAlign w:val="center"/>
            <w:hideMark/>
          </w:tcPr>
          <w:p w14:paraId="4289988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3ACA259"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33A140B" w14:textId="77777777" w:rsidTr="002A1F08">
        <w:trPr>
          <w:trHeight w:val="300"/>
          <w:jc w:val="center"/>
        </w:trPr>
        <w:tc>
          <w:tcPr>
            <w:tcW w:w="596" w:type="dxa"/>
            <w:shd w:val="clear" w:color="000000" w:fill="FFFFFF"/>
            <w:noWrap/>
            <w:vAlign w:val="center"/>
            <w:hideMark/>
          </w:tcPr>
          <w:p w14:paraId="3741552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262</w:t>
            </w:r>
          </w:p>
        </w:tc>
        <w:tc>
          <w:tcPr>
            <w:tcW w:w="5167" w:type="dxa"/>
            <w:shd w:val="clear" w:color="000000" w:fill="FFFFFF"/>
            <w:noWrap/>
            <w:vAlign w:val="center"/>
            <w:hideMark/>
          </w:tcPr>
          <w:p w14:paraId="606D3E8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Oestron</w:t>
            </w:r>
          </w:p>
        </w:tc>
        <w:tc>
          <w:tcPr>
            <w:tcW w:w="990" w:type="dxa"/>
            <w:shd w:val="clear" w:color="000000" w:fill="FFFFFF"/>
            <w:noWrap/>
            <w:vAlign w:val="center"/>
            <w:hideMark/>
          </w:tcPr>
          <w:p w14:paraId="5A0448D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16B0F6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4851A7E2" w14:textId="77777777" w:rsidTr="002A1F08">
        <w:trPr>
          <w:trHeight w:val="300"/>
          <w:jc w:val="center"/>
        </w:trPr>
        <w:tc>
          <w:tcPr>
            <w:tcW w:w="596" w:type="dxa"/>
            <w:shd w:val="clear" w:color="000000" w:fill="FFFFFF"/>
            <w:noWrap/>
            <w:vAlign w:val="center"/>
            <w:hideMark/>
          </w:tcPr>
          <w:p w14:paraId="561FC42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263</w:t>
            </w:r>
          </w:p>
        </w:tc>
        <w:tc>
          <w:tcPr>
            <w:tcW w:w="5167" w:type="dxa"/>
            <w:shd w:val="clear" w:color="000000" w:fill="FFFFFF"/>
            <w:noWrap/>
            <w:vAlign w:val="center"/>
            <w:hideMark/>
          </w:tcPr>
          <w:p w14:paraId="1BB439E6"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Progjesteron</w:t>
            </w:r>
          </w:p>
        </w:tc>
        <w:tc>
          <w:tcPr>
            <w:tcW w:w="990" w:type="dxa"/>
            <w:shd w:val="clear" w:color="000000" w:fill="FFFFFF"/>
            <w:noWrap/>
            <w:vAlign w:val="center"/>
            <w:hideMark/>
          </w:tcPr>
          <w:p w14:paraId="6C1DF57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45E7F9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064F9FF7" w14:textId="77777777" w:rsidTr="002A1F08">
        <w:trPr>
          <w:trHeight w:val="300"/>
          <w:jc w:val="center"/>
        </w:trPr>
        <w:tc>
          <w:tcPr>
            <w:tcW w:w="596" w:type="dxa"/>
            <w:shd w:val="clear" w:color="000000" w:fill="FFFFFF"/>
            <w:noWrap/>
            <w:vAlign w:val="center"/>
            <w:hideMark/>
          </w:tcPr>
          <w:p w14:paraId="7FA275B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264</w:t>
            </w:r>
          </w:p>
        </w:tc>
        <w:tc>
          <w:tcPr>
            <w:tcW w:w="5167" w:type="dxa"/>
            <w:shd w:val="clear" w:color="000000" w:fill="FFFFFF"/>
            <w:noWrap/>
            <w:vAlign w:val="center"/>
            <w:hideMark/>
          </w:tcPr>
          <w:p w14:paraId="168C08C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Oestradiol</w:t>
            </w:r>
          </w:p>
        </w:tc>
        <w:tc>
          <w:tcPr>
            <w:tcW w:w="990" w:type="dxa"/>
            <w:shd w:val="clear" w:color="000000" w:fill="FFFFFF"/>
            <w:noWrap/>
            <w:vAlign w:val="center"/>
            <w:hideMark/>
          </w:tcPr>
          <w:p w14:paraId="1538FBB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461DF51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7CD3E499" w14:textId="77777777" w:rsidTr="002A1F08">
        <w:trPr>
          <w:trHeight w:val="300"/>
          <w:jc w:val="center"/>
        </w:trPr>
        <w:tc>
          <w:tcPr>
            <w:tcW w:w="596" w:type="dxa"/>
            <w:shd w:val="clear" w:color="000000" w:fill="FFFFFF"/>
            <w:noWrap/>
            <w:vAlign w:val="center"/>
            <w:hideMark/>
          </w:tcPr>
          <w:p w14:paraId="37B873D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265</w:t>
            </w:r>
          </w:p>
        </w:tc>
        <w:tc>
          <w:tcPr>
            <w:tcW w:w="5167" w:type="dxa"/>
            <w:shd w:val="clear" w:color="000000" w:fill="FFFFFF"/>
            <w:noWrap/>
            <w:vAlign w:val="center"/>
            <w:hideMark/>
          </w:tcPr>
          <w:p w14:paraId="3A40BFE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Etinilestradiol</w:t>
            </w:r>
          </w:p>
        </w:tc>
        <w:tc>
          <w:tcPr>
            <w:tcW w:w="990" w:type="dxa"/>
            <w:shd w:val="clear" w:color="000000" w:fill="FFFFFF"/>
            <w:noWrap/>
            <w:vAlign w:val="center"/>
            <w:hideMark/>
          </w:tcPr>
          <w:p w14:paraId="610F78C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29996567"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3C19E459" w14:textId="77777777" w:rsidTr="002A1F08">
        <w:trPr>
          <w:trHeight w:val="300"/>
          <w:jc w:val="center"/>
        </w:trPr>
        <w:tc>
          <w:tcPr>
            <w:tcW w:w="596" w:type="dxa"/>
            <w:shd w:val="clear" w:color="000000" w:fill="FFFFFF"/>
            <w:noWrap/>
            <w:vAlign w:val="center"/>
            <w:hideMark/>
          </w:tcPr>
          <w:p w14:paraId="67F5CD05"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266</w:t>
            </w:r>
          </w:p>
        </w:tc>
        <w:tc>
          <w:tcPr>
            <w:tcW w:w="5167" w:type="dxa"/>
            <w:shd w:val="clear" w:color="000000" w:fill="FFFFFF"/>
            <w:noWrap/>
            <w:vAlign w:val="center"/>
            <w:hideMark/>
          </w:tcPr>
          <w:p w14:paraId="5BC73A5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Resorcinol</w:t>
            </w:r>
          </w:p>
        </w:tc>
        <w:tc>
          <w:tcPr>
            <w:tcW w:w="990" w:type="dxa"/>
            <w:shd w:val="clear" w:color="000000" w:fill="FFFFFF"/>
            <w:noWrap/>
            <w:vAlign w:val="center"/>
            <w:hideMark/>
          </w:tcPr>
          <w:p w14:paraId="0517042A"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5F0774D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62B700EE" w14:textId="77777777" w:rsidTr="002A1F08">
        <w:trPr>
          <w:trHeight w:val="300"/>
          <w:jc w:val="center"/>
        </w:trPr>
        <w:tc>
          <w:tcPr>
            <w:tcW w:w="596" w:type="dxa"/>
            <w:shd w:val="clear" w:color="000000" w:fill="FFFFFF"/>
            <w:noWrap/>
            <w:vAlign w:val="center"/>
            <w:hideMark/>
          </w:tcPr>
          <w:p w14:paraId="485A036C"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267</w:t>
            </w:r>
          </w:p>
        </w:tc>
        <w:tc>
          <w:tcPr>
            <w:tcW w:w="5167" w:type="dxa"/>
            <w:shd w:val="clear" w:color="000000" w:fill="FFFFFF"/>
            <w:noWrap/>
            <w:vAlign w:val="center"/>
            <w:hideMark/>
          </w:tcPr>
          <w:p w14:paraId="40421EF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Arsenik dhe komponimet e tij minerale</w:t>
            </w:r>
          </w:p>
        </w:tc>
        <w:tc>
          <w:tcPr>
            <w:tcW w:w="990" w:type="dxa"/>
            <w:shd w:val="clear" w:color="000000" w:fill="FFFFFF"/>
            <w:noWrap/>
            <w:vAlign w:val="center"/>
            <w:hideMark/>
          </w:tcPr>
          <w:p w14:paraId="43AA2C84"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727A8E6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2F7B58C7" w14:textId="77777777" w:rsidTr="002A1F08">
        <w:trPr>
          <w:trHeight w:val="300"/>
          <w:jc w:val="center"/>
        </w:trPr>
        <w:tc>
          <w:tcPr>
            <w:tcW w:w="596" w:type="dxa"/>
            <w:shd w:val="clear" w:color="000000" w:fill="FFFFFF"/>
            <w:noWrap/>
            <w:vAlign w:val="center"/>
            <w:hideMark/>
          </w:tcPr>
          <w:p w14:paraId="21AB84C0"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268</w:t>
            </w:r>
          </w:p>
        </w:tc>
        <w:tc>
          <w:tcPr>
            <w:tcW w:w="5167" w:type="dxa"/>
            <w:shd w:val="clear" w:color="000000" w:fill="FFFFFF"/>
            <w:noWrap/>
            <w:vAlign w:val="center"/>
            <w:hideMark/>
          </w:tcPr>
          <w:p w14:paraId="4C108EDE"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4-Nitrotoluen</w:t>
            </w:r>
          </w:p>
        </w:tc>
        <w:tc>
          <w:tcPr>
            <w:tcW w:w="990" w:type="dxa"/>
            <w:shd w:val="clear" w:color="000000" w:fill="FFFFFF"/>
            <w:noWrap/>
            <w:vAlign w:val="center"/>
            <w:hideMark/>
          </w:tcPr>
          <w:p w14:paraId="3245C1AD"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923DA52"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r w:rsidR="00763C7E" w:rsidRPr="00445472" w14:paraId="5AA17120" w14:textId="77777777" w:rsidTr="002A1F08">
        <w:trPr>
          <w:trHeight w:val="300"/>
          <w:jc w:val="center"/>
        </w:trPr>
        <w:tc>
          <w:tcPr>
            <w:tcW w:w="596" w:type="dxa"/>
            <w:shd w:val="clear" w:color="000000" w:fill="FFFFFF"/>
            <w:noWrap/>
            <w:vAlign w:val="center"/>
            <w:hideMark/>
          </w:tcPr>
          <w:p w14:paraId="2A098DBB"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269</w:t>
            </w:r>
          </w:p>
        </w:tc>
        <w:tc>
          <w:tcPr>
            <w:tcW w:w="5167" w:type="dxa"/>
            <w:shd w:val="clear" w:color="000000" w:fill="FFFFFF"/>
            <w:noWrap/>
            <w:vAlign w:val="center"/>
            <w:hideMark/>
          </w:tcPr>
          <w:p w14:paraId="4B8F04B1"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2,2-Bis(4-hidroksifenil) propan=4,4'-isopropilidenedifenol=Bisfenol A</w:t>
            </w:r>
          </w:p>
        </w:tc>
        <w:tc>
          <w:tcPr>
            <w:tcW w:w="990" w:type="dxa"/>
            <w:shd w:val="clear" w:color="000000" w:fill="FFFFFF"/>
            <w:noWrap/>
            <w:vAlign w:val="center"/>
            <w:hideMark/>
          </w:tcPr>
          <w:p w14:paraId="48B3D84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µg/l</w:t>
            </w:r>
          </w:p>
        </w:tc>
        <w:tc>
          <w:tcPr>
            <w:tcW w:w="1710" w:type="dxa"/>
            <w:shd w:val="clear" w:color="000000" w:fill="FFFFFF"/>
            <w:noWrap/>
            <w:vAlign w:val="center"/>
            <w:hideMark/>
          </w:tcPr>
          <w:p w14:paraId="367C53A3" w14:textId="77777777" w:rsidR="00763C7E" w:rsidRPr="00445472" w:rsidRDefault="00763C7E" w:rsidP="002A1F08">
            <w:pPr>
              <w:pStyle w:val="TableTextCentre"/>
              <w:spacing w:before="22" w:after="22"/>
              <w:ind w:right="63"/>
              <w:rPr>
                <w:rFonts w:ascii="Garamond" w:hAnsi="Garamond"/>
                <w:lang w:val="sq-AL"/>
              </w:rPr>
            </w:pPr>
            <w:r w:rsidRPr="00445472">
              <w:rPr>
                <w:rFonts w:ascii="Garamond" w:hAnsi="Garamond"/>
                <w:lang w:val="sq-AL"/>
              </w:rPr>
              <w:t>prioriteti i 4-t</w:t>
            </w:r>
          </w:p>
        </w:tc>
      </w:tr>
    </w:tbl>
    <w:p w14:paraId="388D4162" w14:textId="77777777" w:rsidR="00763C7E" w:rsidRPr="00445472" w:rsidRDefault="00763C7E" w:rsidP="00763C7E">
      <w:pPr>
        <w:pStyle w:val="BodyText"/>
        <w:spacing w:before="0" w:after="0" w:line="240" w:lineRule="auto"/>
        <w:rPr>
          <w:rFonts w:ascii="Garamond" w:hAnsi="Garamond"/>
          <w:lang w:val="sq-AL"/>
        </w:rPr>
      </w:pPr>
      <w:bookmarkStart w:id="336" w:name="_Toc477207383"/>
      <w:bookmarkStart w:id="337" w:name="_Toc477207753"/>
      <w:bookmarkStart w:id="338" w:name="_Toc477772861"/>
      <w:bookmarkStart w:id="339" w:name="_Toc477893421"/>
      <w:bookmarkStart w:id="340" w:name="_Toc477894044"/>
      <w:bookmarkStart w:id="341" w:name="_Toc477894321"/>
      <w:bookmarkStart w:id="342" w:name="_Toc479430127"/>
      <w:bookmarkStart w:id="343" w:name="_Toc480455117"/>
      <w:r w:rsidRPr="00445472">
        <w:rPr>
          <w:rFonts w:ascii="Garamond" w:hAnsi="Garamond"/>
          <w:i/>
          <w:lang w:val="sq-AL"/>
        </w:rPr>
        <w:t xml:space="preserve">Burimi: </w:t>
      </w:r>
      <w:r w:rsidRPr="00445472">
        <w:rPr>
          <w:rFonts w:ascii="Garamond" w:hAnsi="Garamond"/>
          <w:lang w:val="sq-AL"/>
        </w:rPr>
        <w:t>Projekti CEMSA</w:t>
      </w:r>
      <w:bookmarkEnd w:id="336"/>
      <w:bookmarkEnd w:id="337"/>
      <w:bookmarkEnd w:id="338"/>
      <w:bookmarkEnd w:id="339"/>
      <w:bookmarkEnd w:id="340"/>
      <w:bookmarkEnd w:id="341"/>
      <w:bookmarkEnd w:id="342"/>
      <w:bookmarkEnd w:id="343"/>
    </w:p>
    <w:p w14:paraId="7A70D91B" w14:textId="77777777" w:rsidR="00763C7E" w:rsidRPr="00445472" w:rsidRDefault="00763C7E" w:rsidP="00245A85">
      <w:pPr>
        <w:pStyle w:val="TEKSTIIII"/>
        <w:rPr>
          <w:sz w:val="20"/>
        </w:rPr>
      </w:pPr>
    </w:p>
    <w:p w14:paraId="5645D732" w14:textId="77777777" w:rsidR="00763C7E" w:rsidRPr="00445472" w:rsidRDefault="00763C7E" w:rsidP="00245A85">
      <w:pPr>
        <w:pStyle w:val="TEKSTIIII"/>
        <w:rPr>
          <w:sz w:val="20"/>
        </w:rPr>
      </w:pPr>
    </w:p>
    <w:p w14:paraId="48510694" w14:textId="77777777" w:rsidR="005C5ADB" w:rsidRPr="00445472" w:rsidRDefault="005C5ADB" w:rsidP="00245A85">
      <w:pPr>
        <w:pStyle w:val="TEKSTIIII"/>
        <w:rPr>
          <w:sz w:val="20"/>
        </w:rPr>
      </w:pPr>
    </w:p>
    <w:p w14:paraId="67763DD8" w14:textId="77777777" w:rsidR="005C5ADB" w:rsidRPr="00445472" w:rsidRDefault="005C5ADB" w:rsidP="00245A85">
      <w:pPr>
        <w:pStyle w:val="TEKSTIIII"/>
        <w:rPr>
          <w:sz w:val="20"/>
        </w:rPr>
      </w:pPr>
    </w:p>
    <w:p w14:paraId="3E2F7EC1" w14:textId="77777777" w:rsidR="005C5ADB" w:rsidRPr="00445472" w:rsidRDefault="005C5ADB" w:rsidP="00245A85">
      <w:pPr>
        <w:pStyle w:val="TEKSTIIII"/>
        <w:rPr>
          <w:sz w:val="20"/>
        </w:rPr>
      </w:pPr>
    </w:p>
    <w:p w14:paraId="3F1E928C" w14:textId="77777777" w:rsidR="005C5ADB" w:rsidRPr="00445472" w:rsidRDefault="005C5ADB" w:rsidP="00245A85">
      <w:pPr>
        <w:pStyle w:val="TEKSTIIII"/>
        <w:rPr>
          <w:sz w:val="20"/>
        </w:rPr>
      </w:pPr>
    </w:p>
    <w:p w14:paraId="12E8D5EF" w14:textId="77777777" w:rsidR="005C5ADB" w:rsidRPr="00445472" w:rsidRDefault="005C5ADB" w:rsidP="00245A85">
      <w:pPr>
        <w:pStyle w:val="TEKSTIIII"/>
        <w:rPr>
          <w:sz w:val="20"/>
        </w:rPr>
      </w:pPr>
    </w:p>
    <w:p w14:paraId="0963F9D5" w14:textId="77777777" w:rsidR="005C5ADB" w:rsidRPr="00445472" w:rsidRDefault="005C5ADB" w:rsidP="00245A85">
      <w:pPr>
        <w:pStyle w:val="TEKSTIIII"/>
        <w:rPr>
          <w:sz w:val="20"/>
        </w:rPr>
      </w:pPr>
    </w:p>
    <w:p w14:paraId="5B742935" w14:textId="77777777" w:rsidR="005C5ADB" w:rsidRPr="00445472" w:rsidRDefault="005C5ADB" w:rsidP="00245A85">
      <w:pPr>
        <w:pStyle w:val="TEKSTIIII"/>
        <w:rPr>
          <w:sz w:val="20"/>
        </w:rPr>
      </w:pPr>
    </w:p>
    <w:p w14:paraId="125DC560" w14:textId="77777777" w:rsidR="005C5ADB" w:rsidRPr="00445472" w:rsidRDefault="005C5ADB" w:rsidP="00245A85">
      <w:pPr>
        <w:pStyle w:val="TEKSTIIII"/>
        <w:rPr>
          <w:sz w:val="20"/>
        </w:rPr>
      </w:pPr>
    </w:p>
    <w:p w14:paraId="3269B5AA" w14:textId="77777777" w:rsidR="005C5ADB" w:rsidRPr="00445472" w:rsidRDefault="005C5ADB" w:rsidP="00245A85">
      <w:pPr>
        <w:pStyle w:val="TEKSTIIII"/>
        <w:rPr>
          <w:sz w:val="20"/>
        </w:rPr>
      </w:pPr>
    </w:p>
    <w:p w14:paraId="1C6B00AB" w14:textId="77777777" w:rsidR="005C5ADB" w:rsidRPr="00445472" w:rsidRDefault="005C5ADB" w:rsidP="00245A85">
      <w:pPr>
        <w:pStyle w:val="TEKSTIIII"/>
        <w:rPr>
          <w:sz w:val="20"/>
        </w:rPr>
      </w:pPr>
    </w:p>
    <w:p w14:paraId="500565A7" w14:textId="77777777" w:rsidR="005C5ADB" w:rsidRPr="00445472" w:rsidRDefault="005C5ADB" w:rsidP="00245A85">
      <w:pPr>
        <w:pStyle w:val="TEKSTIIII"/>
        <w:rPr>
          <w:sz w:val="20"/>
        </w:rPr>
      </w:pPr>
    </w:p>
    <w:p w14:paraId="7A19A715" w14:textId="77777777" w:rsidR="005C5ADB" w:rsidRPr="00445472" w:rsidRDefault="005C5ADB" w:rsidP="00245A85">
      <w:pPr>
        <w:pStyle w:val="TEKSTIIII"/>
        <w:rPr>
          <w:sz w:val="20"/>
        </w:rPr>
      </w:pPr>
    </w:p>
    <w:p w14:paraId="452BD4A7" w14:textId="77777777" w:rsidR="005C5ADB" w:rsidRPr="00445472" w:rsidRDefault="005C5ADB" w:rsidP="00245A85">
      <w:pPr>
        <w:pStyle w:val="TEKSTIIII"/>
        <w:rPr>
          <w:sz w:val="20"/>
        </w:rPr>
      </w:pPr>
    </w:p>
    <w:p w14:paraId="3D89E69B" w14:textId="77777777" w:rsidR="005C5ADB" w:rsidRPr="00445472" w:rsidRDefault="005C5ADB" w:rsidP="00245A85">
      <w:pPr>
        <w:pStyle w:val="TEKSTIIII"/>
        <w:rPr>
          <w:sz w:val="20"/>
        </w:rPr>
      </w:pPr>
    </w:p>
    <w:p w14:paraId="6E609D46" w14:textId="77777777" w:rsidR="005C5ADB" w:rsidRPr="00445472" w:rsidRDefault="005C5ADB" w:rsidP="00245A85">
      <w:pPr>
        <w:pStyle w:val="TEKSTIIII"/>
        <w:rPr>
          <w:sz w:val="20"/>
        </w:rPr>
      </w:pPr>
    </w:p>
    <w:p w14:paraId="0B7E85E3" w14:textId="77777777" w:rsidR="005C5ADB" w:rsidRPr="00445472" w:rsidRDefault="005C5ADB" w:rsidP="00245A85">
      <w:pPr>
        <w:pStyle w:val="TEKSTIIII"/>
        <w:rPr>
          <w:sz w:val="20"/>
        </w:rPr>
      </w:pPr>
    </w:p>
    <w:p w14:paraId="0FE307E5" w14:textId="77777777" w:rsidR="005C5ADB" w:rsidRPr="00445472" w:rsidRDefault="005C5ADB" w:rsidP="00245A85">
      <w:pPr>
        <w:pStyle w:val="TEKSTIIII"/>
        <w:rPr>
          <w:sz w:val="20"/>
        </w:rPr>
      </w:pPr>
    </w:p>
    <w:p w14:paraId="13B29909" w14:textId="77777777" w:rsidR="005C5ADB" w:rsidRPr="00445472" w:rsidRDefault="005C5ADB" w:rsidP="00245A85">
      <w:pPr>
        <w:pStyle w:val="TEKSTIIII"/>
        <w:rPr>
          <w:sz w:val="20"/>
        </w:rPr>
      </w:pPr>
    </w:p>
    <w:p w14:paraId="45A5B4A1" w14:textId="77777777" w:rsidR="005C5ADB" w:rsidRPr="00445472" w:rsidRDefault="005C5ADB" w:rsidP="00245A85">
      <w:pPr>
        <w:pStyle w:val="TEKSTIIII"/>
        <w:rPr>
          <w:sz w:val="20"/>
        </w:rPr>
      </w:pPr>
    </w:p>
    <w:p w14:paraId="4DD1B74B" w14:textId="77777777" w:rsidR="00F9238D" w:rsidRPr="00445472" w:rsidRDefault="00F9238D" w:rsidP="00245A85">
      <w:pPr>
        <w:pStyle w:val="TEKSTIIII"/>
        <w:rPr>
          <w:sz w:val="20"/>
        </w:rPr>
      </w:pPr>
    </w:p>
    <w:p w14:paraId="017185E0" w14:textId="77777777" w:rsidR="00F9238D" w:rsidRPr="00445472" w:rsidRDefault="00F9238D" w:rsidP="00245A85">
      <w:pPr>
        <w:pStyle w:val="TEKSTIIII"/>
        <w:rPr>
          <w:sz w:val="20"/>
        </w:rPr>
      </w:pPr>
    </w:p>
    <w:p w14:paraId="7B299CBE" w14:textId="77777777" w:rsidR="00F9238D" w:rsidRPr="00445472" w:rsidRDefault="00F9238D" w:rsidP="00245A85">
      <w:pPr>
        <w:pStyle w:val="TEKSTIIII"/>
        <w:rPr>
          <w:sz w:val="20"/>
        </w:rPr>
      </w:pPr>
    </w:p>
    <w:p w14:paraId="066F11F9" w14:textId="77777777" w:rsidR="00F9238D" w:rsidRPr="00445472" w:rsidRDefault="00F9238D" w:rsidP="00245A85">
      <w:pPr>
        <w:pStyle w:val="TEKSTIIII"/>
        <w:rPr>
          <w:sz w:val="20"/>
        </w:rPr>
      </w:pPr>
    </w:p>
    <w:p w14:paraId="6E114084" w14:textId="77777777" w:rsidR="00F9238D" w:rsidRPr="00445472" w:rsidRDefault="00F9238D" w:rsidP="00245A85">
      <w:pPr>
        <w:pStyle w:val="TEKSTIIII"/>
        <w:rPr>
          <w:sz w:val="20"/>
        </w:rPr>
      </w:pPr>
    </w:p>
    <w:p w14:paraId="26E4F799" w14:textId="77777777" w:rsidR="00F9238D" w:rsidRPr="00445472" w:rsidRDefault="00F9238D" w:rsidP="00245A85">
      <w:pPr>
        <w:pStyle w:val="TEKSTIIII"/>
        <w:rPr>
          <w:sz w:val="20"/>
        </w:rPr>
      </w:pPr>
    </w:p>
    <w:p w14:paraId="431BCB49" w14:textId="77777777" w:rsidR="005C5ADB" w:rsidRPr="00445472" w:rsidRDefault="005C5ADB" w:rsidP="005C5ADB">
      <w:pPr>
        <w:pStyle w:val="NENTITULL"/>
      </w:pPr>
      <w:bookmarkStart w:id="344" w:name="_Toc11068902"/>
      <w:bookmarkStart w:id="345" w:name="_Toc11068929"/>
      <w:r w:rsidRPr="00445472">
        <w:t>Shtojca 3. Metodologjia për vlerësimin e statusit ekologjik/potencialit të ujërave sipërfaqësor</w:t>
      </w:r>
      <w:bookmarkEnd w:id="344"/>
      <w:bookmarkEnd w:id="345"/>
      <w:r w:rsidRPr="00445472">
        <w:t>ë</w:t>
      </w:r>
    </w:p>
    <w:p w14:paraId="75306AD8" w14:textId="77777777" w:rsidR="005C5ADB" w:rsidRPr="00445472" w:rsidRDefault="005C5ADB" w:rsidP="005C5ADB">
      <w:pPr>
        <w:pStyle w:val="NENTITULL"/>
      </w:pPr>
    </w:p>
    <w:p w14:paraId="1C528F6E" w14:textId="029C8B96" w:rsidR="005C5ADB" w:rsidRPr="00445472" w:rsidRDefault="005C5ADB" w:rsidP="005C5ADB">
      <w:pPr>
        <w:pStyle w:val="TEKSTIIII"/>
      </w:pPr>
      <w:r w:rsidRPr="00445472">
        <w:t xml:space="preserve">Më poshtë paraqitet një planifikim i menaxhimit të basenit ujor </w:t>
      </w:r>
      <w:r w:rsidR="007E76E3" w:rsidRPr="00445472">
        <w:t>Drin–Bunë</w:t>
      </w:r>
      <w:r w:rsidRPr="00445472">
        <w:t>. Kjo është përpjekja e parë për të bërë vlerësimin e statusit ekologjik/potencialit bazuar mbi analizën e komuniteteve të makroinvertebrorëve bentikë  në ujërat e rrjedhsh</w:t>
      </w:r>
      <w:r w:rsidR="00445472">
        <w:t>me</w:t>
      </w:r>
      <w:r w:rsidRPr="00445472">
        <w:t xml:space="preserve"> (lumenjtë) në Shqipëri. Metoda e përdorur për Vlerësimin e Shpejtë Biologjik (</w:t>
      </w:r>
      <w:r w:rsidR="00316F21">
        <w:t>VSHB</w:t>
      </w:r>
      <w:r w:rsidRPr="00445472">
        <w:t>) mund të përdoret edhe për vlerësimin e rrezikut të lumenjve (në përputhje me kërkesat e DKU-së).</w:t>
      </w:r>
    </w:p>
    <w:p w14:paraId="26554116" w14:textId="5D7FCBD7" w:rsidR="005C5ADB" w:rsidRPr="00403ED1" w:rsidRDefault="005C5ADB" w:rsidP="005C5ADB">
      <w:pPr>
        <w:pStyle w:val="TEKSTIIII"/>
        <w:rPr>
          <w:b/>
        </w:rPr>
      </w:pPr>
      <w:bookmarkStart w:id="346" w:name="_Toc11068903"/>
      <w:r w:rsidRPr="00403ED1">
        <w:rPr>
          <w:b/>
        </w:rPr>
        <w:t>3.1 Hyrje</w:t>
      </w:r>
      <w:bookmarkEnd w:id="346"/>
    </w:p>
    <w:p w14:paraId="2FAE9F77" w14:textId="77777777" w:rsidR="005C5ADB" w:rsidRPr="00445472" w:rsidRDefault="005C5ADB" w:rsidP="005C5ADB">
      <w:pPr>
        <w:pStyle w:val="TEKSTIIII"/>
      </w:pPr>
      <w:r w:rsidRPr="00445472">
        <w:t>Parimet e Menaxhimit të Integruar të Burimeve Ujore (MIBU) dhe Direktivës  Kuadër të Ujit (DKU) 2000/60/KE në Evropë kërkojnë një qasje të ekosistemit për menaxhimin e ujërave sipërfaqësorë bazuar në të ashtuquajturin vlerësim i statusit ekologjik/potencialit (ose integritetin biologjik) të lumenjve, liqeneve ose ujërave kalimtare.</w:t>
      </w:r>
    </w:p>
    <w:p w14:paraId="59287417" w14:textId="2CFCE196" w:rsidR="005C5ADB" w:rsidRPr="00445472" w:rsidRDefault="00403ED1" w:rsidP="005C5ADB">
      <w:pPr>
        <w:pStyle w:val="TEKSTIIII"/>
      </w:pPr>
      <w:r>
        <w:t xml:space="preserve">- </w:t>
      </w:r>
      <w:r w:rsidR="005C5ADB" w:rsidRPr="00445472">
        <w:t xml:space="preserve">Për nevojat e Basenit Ujor </w:t>
      </w:r>
      <w:r w:rsidR="007E76E3" w:rsidRPr="00445472">
        <w:t>Drin–Bunë</w:t>
      </w:r>
      <w:r w:rsidR="005C5ADB" w:rsidRPr="00445472">
        <w:t xml:space="preserve"> është përcaktuar një metodë/indeks i Vlerësimit të Shpejtë të Biomasës (</w:t>
      </w:r>
      <w:r w:rsidR="00316F21">
        <w:t>VSHB</w:t>
      </w:r>
      <w:r w:rsidR="005C5ADB" w:rsidRPr="00445472">
        <w:t>) bazuar mbi analizën e komuniteteve bentike makroinvertebrore (makrozoobentos). Metoda siguron masat e mëposhtme:</w:t>
      </w:r>
    </w:p>
    <w:p w14:paraId="7FFA8AB7" w14:textId="7C66F5D3" w:rsidR="005C5ADB" w:rsidRPr="00445472" w:rsidRDefault="00403ED1" w:rsidP="005C5ADB">
      <w:pPr>
        <w:pStyle w:val="TEKSTIIII"/>
      </w:pPr>
      <w:r>
        <w:t xml:space="preserve">- </w:t>
      </w:r>
      <w:r w:rsidR="005C5ADB" w:rsidRPr="00445472">
        <w:t>Procedura me kosto efektive, shkencërisht të vlefshme për rilevimet biologjike, vlerësimit të rrezikut dhe monitorimin e integruar dhe vlerësimin në përputhje me parimet e DKU-së;</w:t>
      </w:r>
    </w:p>
    <w:p w14:paraId="49A8920E" w14:textId="14F19D03" w:rsidR="005C5ADB" w:rsidRPr="00445472" w:rsidRDefault="00403ED1" w:rsidP="005C5ADB">
      <w:pPr>
        <w:pStyle w:val="TEKSTIIII"/>
      </w:pPr>
      <w:r>
        <w:t xml:space="preserve">- </w:t>
      </w:r>
      <w:r w:rsidR="005C5ADB" w:rsidRPr="00445472">
        <w:t>Masat për investigime të shumëfishta në terren në një sezon fushe (qershor - nëntor);</w:t>
      </w:r>
    </w:p>
    <w:p w14:paraId="62F7FB6D" w14:textId="14212B39" w:rsidR="005C5ADB" w:rsidRPr="00445472" w:rsidRDefault="00403ED1" w:rsidP="005C5ADB">
      <w:pPr>
        <w:pStyle w:val="TEKSTIIII"/>
      </w:pPr>
      <w:r>
        <w:t xml:space="preserve">- </w:t>
      </w:r>
      <w:r w:rsidR="005C5ADB" w:rsidRPr="00445472">
        <w:t>Kthim i shpejtë i rezultateve për vendimet e menaxhimit; dhe</w:t>
      </w:r>
    </w:p>
    <w:p w14:paraId="5E75645B" w14:textId="5783E6D9" w:rsidR="005C5ADB" w:rsidRPr="00445472" w:rsidRDefault="00403ED1" w:rsidP="005C5ADB">
      <w:pPr>
        <w:pStyle w:val="TEKSTIIII"/>
      </w:pPr>
      <w:r>
        <w:t xml:space="preserve">- </w:t>
      </w:r>
      <w:r w:rsidR="005C5ADB" w:rsidRPr="00445472">
        <w:t xml:space="preserve">Raportet e monitorimit dhe </w:t>
      </w:r>
      <w:r w:rsidR="00F9238D" w:rsidRPr="00445472">
        <w:t>vlerësimit</w:t>
      </w:r>
      <w:r w:rsidR="005C5ADB" w:rsidRPr="00445472">
        <w:t xml:space="preserve"> të përkthyera lehtësisht për vendimmarrësit</w:t>
      </w:r>
      <w:r w:rsidR="001D340B" w:rsidRPr="00445472">
        <w:t>/</w:t>
      </w:r>
      <w:r w:rsidR="005C5ADB" w:rsidRPr="00445472">
        <w:t>menaxherët e ujërave dhe publikun.</w:t>
      </w:r>
    </w:p>
    <w:p w14:paraId="5897D624" w14:textId="77777777" w:rsidR="005C5ADB" w:rsidRPr="00445472" w:rsidRDefault="005C5ADB" w:rsidP="005C5ADB">
      <w:pPr>
        <w:jc w:val="both"/>
        <w:rPr>
          <w:rFonts w:ascii="Garamond" w:hAnsi="Garamond"/>
        </w:rPr>
      </w:pPr>
      <w:r w:rsidRPr="00445472">
        <w:rPr>
          <w:rFonts w:ascii="Garamond" w:hAnsi="Garamond"/>
          <w:noProof/>
          <w:lang w:val="en-US"/>
        </w:rPr>
        <w:drawing>
          <wp:inline distT="0" distB="0" distL="0" distR="0" wp14:anchorId="575D9BD9" wp14:editId="3D30A85A">
            <wp:extent cx="1950720" cy="1176655"/>
            <wp:effectExtent l="0" t="0" r="0" b="0"/>
            <wp:docPr id="20"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jpe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50720" cy="1176655"/>
                    </a:xfrm>
                    <a:prstGeom prst="rect">
                      <a:avLst/>
                    </a:prstGeom>
                    <a:noFill/>
                    <a:ln>
                      <a:noFill/>
                    </a:ln>
                  </pic:spPr>
                </pic:pic>
              </a:graphicData>
            </a:graphic>
          </wp:inline>
        </w:drawing>
      </w:r>
      <w:r w:rsidRPr="00445472">
        <w:rPr>
          <w:rFonts w:ascii="Garamond" w:hAnsi="Garamond"/>
          <w:noProof/>
          <w:lang w:val="en-US"/>
        </w:rPr>
        <w:drawing>
          <wp:inline distT="0" distB="0" distL="0" distR="0" wp14:anchorId="0EB75A57" wp14:editId="2B1186AF">
            <wp:extent cx="1859280" cy="1182370"/>
            <wp:effectExtent l="0" t="0" r="0" b="0"/>
            <wp:docPr id="40"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jpe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59280" cy="1182370"/>
                    </a:xfrm>
                    <a:prstGeom prst="rect">
                      <a:avLst/>
                    </a:prstGeom>
                    <a:noFill/>
                    <a:ln>
                      <a:noFill/>
                    </a:ln>
                  </pic:spPr>
                </pic:pic>
              </a:graphicData>
            </a:graphic>
          </wp:inline>
        </w:drawing>
      </w:r>
      <w:r w:rsidRPr="00445472">
        <w:rPr>
          <w:rFonts w:ascii="Garamond" w:hAnsi="Garamond"/>
          <w:noProof/>
          <w:lang w:val="en-US"/>
        </w:rPr>
        <w:drawing>
          <wp:inline distT="0" distB="0" distL="0" distR="0" wp14:anchorId="5A68C190" wp14:editId="7FD690EB">
            <wp:extent cx="1749425" cy="1164590"/>
            <wp:effectExtent l="0" t="0" r="0" b="0"/>
            <wp:docPr id="4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jpe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49425" cy="1164590"/>
                    </a:xfrm>
                    <a:prstGeom prst="rect">
                      <a:avLst/>
                    </a:prstGeom>
                    <a:noFill/>
                    <a:ln>
                      <a:noFill/>
                    </a:ln>
                  </pic:spPr>
                </pic:pic>
              </a:graphicData>
            </a:graphic>
          </wp:inline>
        </w:drawing>
      </w:r>
    </w:p>
    <w:p w14:paraId="53FF102C" w14:textId="2C08DD6F" w:rsidR="005C5ADB" w:rsidRPr="00445472" w:rsidRDefault="005C5ADB" w:rsidP="005C5ADB">
      <w:pPr>
        <w:pStyle w:val="TEKSTIIII"/>
      </w:pPr>
      <w:r w:rsidRPr="00445472">
        <w:t xml:space="preserve">Veçoritë kryesore të </w:t>
      </w:r>
      <w:r w:rsidR="00316F21">
        <w:t>VSHB</w:t>
      </w:r>
      <w:r w:rsidR="00F9238D" w:rsidRPr="00445472">
        <w:t xml:space="preserve"> </w:t>
      </w:r>
      <w:r w:rsidRPr="00445472">
        <w:t xml:space="preserve">mund të </w:t>
      </w:r>
      <w:r w:rsidR="00F9238D" w:rsidRPr="00445472">
        <w:t>përmblidhen</w:t>
      </w:r>
      <w:r w:rsidRPr="00445472">
        <w:t xml:space="preserve"> si më poshtë:</w:t>
      </w:r>
    </w:p>
    <w:p w14:paraId="7B1C53CE" w14:textId="7A3BF50F" w:rsidR="005C5ADB" w:rsidRPr="00445472" w:rsidRDefault="00403ED1" w:rsidP="005C5ADB">
      <w:pPr>
        <w:pStyle w:val="TEKSTIIII"/>
      </w:pPr>
      <w:r>
        <w:t xml:space="preserve">- </w:t>
      </w:r>
      <w:r w:rsidR="005C5ADB" w:rsidRPr="00445472">
        <w:t>5 grupe treguesish (A, B, C, D, E) të ndjeshme – njësia taksonomike e tolerancës;</w:t>
      </w:r>
    </w:p>
    <w:p w14:paraId="08C7EE4A" w14:textId="693545AB" w:rsidR="005C5ADB" w:rsidRPr="00445472" w:rsidRDefault="00403ED1" w:rsidP="005C5ADB">
      <w:pPr>
        <w:pStyle w:val="TEKSTIIII"/>
      </w:pPr>
      <w:r>
        <w:t xml:space="preserve">- </w:t>
      </w:r>
      <w:r w:rsidR="005C5ADB" w:rsidRPr="00445472">
        <w:t>5 grupe (afërsisht 1 m</w:t>
      </w:r>
      <w:r w:rsidR="005C5ADB" w:rsidRPr="00445472">
        <w:rPr>
          <w:vertAlign w:val="superscript"/>
        </w:rPr>
        <w:t xml:space="preserve">2 </w:t>
      </w:r>
      <w:r w:rsidR="005C5ADB" w:rsidRPr="00445472">
        <w:t>zonë e marrjes së kampionëve): Pak (1-5), Të pranishëm (6-20), Të zakonshme (21-50), Plot (51-100), Dominues (100+);</w:t>
      </w:r>
    </w:p>
    <w:p w14:paraId="790D4873" w14:textId="3BBEAFD3" w:rsidR="005C5ADB" w:rsidRPr="00445472" w:rsidRDefault="00403ED1" w:rsidP="005C5ADB">
      <w:pPr>
        <w:pStyle w:val="TEKSTIIII"/>
      </w:pPr>
      <w:r>
        <w:t xml:space="preserve">- </w:t>
      </w:r>
      <w:r w:rsidR="005C5ADB" w:rsidRPr="00445472">
        <w:t>Algoritëm i veçantë (Çelësi i vlerësimit) + tabela e vlerësimit (Flanagan, P.J. dhe Toner, P.F., 1972; i modifikuar Clabby &amp; Bowman, 1979; Clabby, 1982; Metcalfe. 1989, Ghetti, 1986; Chandler, 1970; Armitage e të tjerë., 1983; De Pauw&amp; Vanhooren, 1983</w:t>
      </w:r>
      <w:r w:rsidR="00084DB9" w:rsidRPr="00445472">
        <w:t xml:space="preserve"> etj.</w:t>
      </w:r>
      <w:r w:rsidR="005C5ADB" w:rsidRPr="00445472">
        <w:t>);</w:t>
      </w:r>
    </w:p>
    <w:p w14:paraId="0DA14D21" w14:textId="1D6C116A" w:rsidR="005C5ADB" w:rsidRPr="00445472" w:rsidRDefault="00403ED1" w:rsidP="005C5ADB">
      <w:pPr>
        <w:pStyle w:val="TEKSTIIII"/>
      </w:pPr>
      <w:r>
        <w:t xml:space="preserve">- </w:t>
      </w:r>
      <w:r w:rsidR="005C5ADB" w:rsidRPr="00445472">
        <w:t>Niveli taksonomik i identifikimit është gjinia (Hirudinea, Mollusca, Megaloptera, Ephemeroptera, Turbellaria) ose familja (Oligochaeta, Crustacea, Plecoptera, Trichoptera, Odonata, Heteroptera, Coleoptera, Diptera);</w:t>
      </w:r>
    </w:p>
    <w:p w14:paraId="0018AD74" w14:textId="55E4C83A" w:rsidR="005C5ADB" w:rsidRPr="00445472" w:rsidRDefault="00403ED1" w:rsidP="005C5ADB">
      <w:pPr>
        <w:pStyle w:val="TEKSTIIII"/>
      </w:pPr>
      <w:r>
        <w:t xml:space="preserve">- </w:t>
      </w:r>
      <w:r w:rsidR="005C5ADB" w:rsidRPr="00445472">
        <w:t>Kampionizimi multihabitat pro-rata EN 161509:2012 duke përdorur një rrjetë dore - 10 njësi (0.3 x 0.3 m) + 0.1 m</w:t>
      </w:r>
      <w:r w:rsidR="005C5ADB" w:rsidRPr="00445472">
        <w:rPr>
          <w:vertAlign w:val="superscript"/>
        </w:rPr>
        <w:t>2</w:t>
      </w:r>
      <w:r w:rsidR="005C5ADB" w:rsidRPr="00445472">
        <w:t>= 1 m</w:t>
      </w:r>
      <w:r w:rsidR="005C5ADB" w:rsidRPr="00445472">
        <w:rPr>
          <w:vertAlign w:val="superscript"/>
        </w:rPr>
        <w:t>2</w:t>
      </w:r>
      <w:r w:rsidR="005C5ADB" w:rsidRPr="00445472">
        <w:t>.</w:t>
      </w:r>
    </w:p>
    <w:p w14:paraId="4AF28D71" w14:textId="63FAD22F" w:rsidR="005C5ADB" w:rsidRPr="00445472" w:rsidRDefault="005C5ADB" w:rsidP="005C5ADB">
      <w:pPr>
        <w:pStyle w:val="NENTITULL"/>
      </w:pPr>
      <w:bookmarkStart w:id="347" w:name="_Toc11068904"/>
      <w:r w:rsidRPr="00445472">
        <w:t>3.2 Kriteret e përdorura për të përcaktuar metodën e vlerësimit</w:t>
      </w:r>
      <w:bookmarkEnd w:id="347"/>
    </w:p>
    <w:p w14:paraId="5629021D" w14:textId="7913F7F5" w:rsidR="005C5ADB" w:rsidRPr="00445472" w:rsidRDefault="005C5ADB" w:rsidP="005C5ADB">
      <w:pPr>
        <w:pStyle w:val="TEKSTIIII"/>
      </w:pPr>
      <w:r w:rsidRPr="00445472">
        <w:t xml:space="preserve">Në përcaktimin ose hartimin e një metode vlerësimi të shpejtë për </w:t>
      </w:r>
      <w:r w:rsidR="00B139CF" w:rsidRPr="00445472">
        <w:t>t’u</w:t>
      </w:r>
      <w:r w:rsidRPr="00445472">
        <w:t xml:space="preserve"> përdorur në programet e monitorimit dhe vlerësimit të Basenit Ujor, janë të rëndësishme katër kriteret e mëposhtme:</w:t>
      </w:r>
    </w:p>
    <w:p w14:paraId="7E42F91C" w14:textId="6DF9F96C" w:rsidR="005C5ADB" w:rsidRPr="00445472" w:rsidRDefault="005C5ADB" w:rsidP="005C5ADB">
      <w:pPr>
        <w:pStyle w:val="TEKSTIIII"/>
      </w:pPr>
      <w:r w:rsidRPr="00445472">
        <w:t xml:space="preserve">1. Metoda mund të përdoret </w:t>
      </w:r>
      <w:r w:rsidRPr="00445472">
        <w:rPr>
          <w:b/>
        </w:rPr>
        <w:t xml:space="preserve">për të matur statusin ekologjik </w:t>
      </w:r>
      <w:r w:rsidRPr="00445472">
        <w:t xml:space="preserve">ose </w:t>
      </w:r>
      <w:r w:rsidRPr="00445472">
        <w:rPr>
          <w:b/>
        </w:rPr>
        <w:t xml:space="preserve">vlerësimin e rrezikut </w:t>
      </w:r>
      <w:r w:rsidRPr="00445472">
        <w:t>(komunitetet bentike makroinvertebrore) bazuar në parimet e DKU-së 2000/60/KE. Statusi ekologjik mund të përkufizohet si aftësia e një sistemi për të mbështetur dhe mbajtur një komunitet të balancuar, integruar dhe të përshtatshëm të makroinvertebrorëve që kanë një komponim taksonomik (diversitet), abondancë dhe organizim funksional të krahasueshëm me kushtet natyrale të referencës të llojit të ujërave sipërfaqësore.</w:t>
      </w:r>
    </w:p>
    <w:p w14:paraId="574555A9" w14:textId="3C4F0ED6" w:rsidR="005C5ADB" w:rsidRPr="00445472" w:rsidRDefault="005C5ADB" w:rsidP="005C5ADB">
      <w:pPr>
        <w:pStyle w:val="TEKSTIIII"/>
      </w:pPr>
      <w:r w:rsidRPr="00445472">
        <w:t xml:space="preserve">2. Metoda duhet të jetë </w:t>
      </w:r>
      <w:r w:rsidRPr="00445472">
        <w:rPr>
          <w:b/>
        </w:rPr>
        <w:t>e shpejtë dhe efikase në kosto.</w:t>
      </w:r>
      <w:r w:rsidRPr="00445472">
        <w:t xml:space="preserve"> Metoda e shpejtë duhet të jetë në gjende të sigurojë një vlerësim të saktë të gjendjes në një periudhë kohe relativisht të shkurtër. Për këtë arsye, ne e përkufizojmë </w:t>
      </w:r>
      <w:r w:rsidR="00D62EDF" w:rsidRPr="00445472">
        <w:t>“</w:t>
      </w:r>
      <w:r w:rsidRPr="00445472">
        <w:t>të shpejtë</w:t>
      </w:r>
      <w:r w:rsidR="00D62EDF" w:rsidRPr="00445472">
        <w:t>”</w:t>
      </w:r>
      <w:r w:rsidRPr="00445472">
        <w:t xml:space="preserve"> si një punë jo më shumë se e dy njerëzve, 40 minuta ÷ deri një orë për çdo vend marrje të kampionëve, 5</w:t>
      </w:r>
      <w:r w:rsidR="00F9238D" w:rsidRPr="00445472">
        <w:t>–</w:t>
      </w:r>
      <w:r w:rsidRPr="00445472">
        <w:t>8 vende të marrjes së kampionit për ditë pune (varet nga distanca e udhëtimit), dhe që kërkon jo më shumë se 30 minuta përgatitje në zyrë dhe analizë të dhënash.</w:t>
      </w:r>
    </w:p>
    <w:p w14:paraId="44E0EDCD" w14:textId="2F2A17D2" w:rsidR="005C5ADB" w:rsidRPr="00445472" w:rsidRDefault="005C5ADB" w:rsidP="005C5ADB">
      <w:pPr>
        <w:pStyle w:val="TEKSTIIII"/>
      </w:pPr>
      <w:r w:rsidRPr="00445472">
        <w:t xml:space="preserve">3. Metoda duhet të jetë </w:t>
      </w:r>
      <w:r w:rsidRPr="00445472">
        <w:rPr>
          <w:b/>
        </w:rPr>
        <w:t>vlerësim në terren.</w:t>
      </w:r>
      <w:r w:rsidRPr="00445472">
        <w:t xml:space="preserve"> Të gjitha llogaritjet</w:t>
      </w:r>
      <w:r w:rsidR="001D340B" w:rsidRPr="00445472">
        <w:t>/</w:t>
      </w:r>
      <w:r w:rsidRPr="00445472">
        <w:t xml:space="preserve">analizimet dhe vlerësimi i statusit ekologjik në tërësi duhet të sigurohet paraprakisht në terren. Një vlerësim i saktë që përdor një metodë të shpejtë kërkon një procedurë </w:t>
      </w:r>
      <w:r w:rsidRPr="00445472">
        <w:rPr>
          <w:i/>
        </w:rPr>
        <w:t>in situ</w:t>
      </w:r>
      <w:r w:rsidRPr="00445472">
        <w:t xml:space="preserve"> që të sigurojë se vlerësimi kap kushtet aktuale ekologjike të trupit të ujit të lumit dhe nuk nënkupton gjendjen bazuar vetëm në struktura e ndarjes në laborator/zyrë ose potencialin e një lumi për të kryer funksione të caktuara ekologjike.</w:t>
      </w:r>
    </w:p>
    <w:p w14:paraId="6A11B7E0" w14:textId="432C7C01" w:rsidR="005C5ADB" w:rsidRPr="00445472" w:rsidRDefault="005C5ADB" w:rsidP="005C5ADB">
      <w:pPr>
        <w:pStyle w:val="TEKSTIIII"/>
      </w:pPr>
      <w:r w:rsidRPr="00445472">
        <w:t>4. Metoda mund të verifikohet.</w:t>
      </w:r>
    </w:p>
    <w:p w14:paraId="48A3066E" w14:textId="1C9E12B9" w:rsidR="005C5ADB" w:rsidRPr="00445472" w:rsidRDefault="005C5ADB" w:rsidP="005C5ADB">
      <w:pPr>
        <w:pStyle w:val="TEKSTIIII"/>
      </w:pPr>
      <w:r w:rsidRPr="00445472">
        <w:t>5. Verifikimi mund të arrihet bazuar mbi informacionin e grumbulluar përmes studimeve empirike duke përdorur të dhëna antropologjike të presionit dhe rezultatet nga një monitorim dhe vlerësim intensiv më të integruar, përfshirë devijimet e kushteve referencës specifike të llojit biologjik dhe kushtet e pikës së rilevimit. Në këtë mënyrë supozimet sipas vlerësimit mund të testohen duke përdorur procedura të interkalibrimit dhe mekanizmat QC/QA.</w:t>
      </w:r>
    </w:p>
    <w:p w14:paraId="2D8E7942" w14:textId="77410D4F" w:rsidR="005C5ADB" w:rsidRPr="00445472" w:rsidRDefault="005C5ADB" w:rsidP="005C5ADB">
      <w:pPr>
        <w:pStyle w:val="NENTITULL"/>
      </w:pPr>
      <w:bookmarkStart w:id="348" w:name="_Toc11068905"/>
      <w:r w:rsidRPr="00445472">
        <w:t>3.3 Vlerësimi biologjik</w:t>
      </w:r>
      <w:bookmarkEnd w:id="348"/>
    </w:p>
    <w:p w14:paraId="4DCE9D29" w14:textId="4316ABA7" w:rsidR="005C5ADB" w:rsidRPr="00445472" w:rsidRDefault="005C5ADB" w:rsidP="005C5ADB">
      <w:pPr>
        <w:pStyle w:val="TEKSTIIII"/>
      </w:pPr>
      <w:r w:rsidRPr="00445472">
        <w:t xml:space="preserve">Për qëllimet e procedurës </w:t>
      </w:r>
      <w:r w:rsidR="00316F21">
        <w:t>VSHB</w:t>
      </w:r>
      <w:r w:rsidRPr="00445472">
        <w:t xml:space="preserve">, makroinvertebrore bentikë janë ndarë, në mënyrë arbitrare, në pesë </w:t>
      </w:r>
      <w:r w:rsidR="00D62EDF" w:rsidRPr="00445472">
        <w:t>“</w:t>
      </w:r>
      <w:r w:rsidRPr="00445472">
        <w:t>Grupe treguese</w:t>
      </w:r>
      <w:r w:rsidR="00D62EDF" w:rsidRPr="00445472">
        <w:t>”</w:t>
      </w:r>
      <w:r w:rsidRPr="00445472">
        <w:t xml:space="preserve"> si më poshtë: Grupi A (format sensitive), Grupi B (format më pak sensitive), Grupi C (format tolerante), Grupi D (format shumë tolerante), dhe Grupi E (format më tolerante). Këto grupe dhe marrëdhëniet e tyre me Vlerësimin e Shpejtë Biologjik (</w:t>
      </w:r>
      <w:r w:rsidR="00316F21">
        <w:t>VSHB</w:t>
      </w:r>
      <w:r w:rsidRPr="00445472">
        <w:t>) janë përcaktuar më poshtë.</w:t>
      </w:r>
    </w:p>
    <w:p w14:paraId="0A7012FA" w14:textId="77777777" w:rsidR="005C5ADB" w:rsidRPr="00445472" w:rsidRDefault="005C5ADB" w:rsidP="005C5ADB">
      <w:pPr>
        <w:pStyle w:val="TEKSTIIII"/>
      </w:pPr>
      <w:r w:rsidRPr="00445472">
        <w:t>Materiali biologjik për ekzaminim është përftuar nga marrja e kampionëve në zona më cekëta me rrjedhje më të shpejtë (p.sh. rrjedhat e rrëmbyeshme) dhe vlerësimi i statusit ekologjik është bërë në terren. Pasi të jenë përcaktuar proporcionet përkatëse të organizmave të ndryshme në kampion, statusi ekologjik përcaktohet duke krahasuar këto të dhëna me ato të që mund të ishin pritur nga kushtet referencë e llojit të lumit nën investigim. Në procedurën e vlerësimit janë marrë parasysh edhe faktorë të tjerë me rëndësi, të tillë si intensiteti i zhvillimit të algave dhe/ose barishteve, turbullira e ujit, aleuritizimi i fundit, lloji i nënshtresës, shpejtësia e rrymës, thellësia e ujit, ngopja NO, përcjellshmëria elektrike dhe pH.</w:t>
      </w:r>
    </w:p>
    <w:p w14:paraId="0894B593" w14:textId="77777777" w:rsidR="005C5ADB" w:rsidRPr="00445472" w:rsidRDefault="005C5ADB" w:rsidP="005C5ADB">
      <w:pPr>
        <w:pStyle w:val="TEKSTIIII"/>
      </w:pPr>
    </w:p>
    <w:p w14:paraId="2F1340B0" w14:textId="1231524D" w:rsidR="005C5ADB" w:rsidRPr="00445472" w:rsidRDefault="005C5ADB" w:rsidP="005C5ADB">
      <w:pPr>
        <w:pStyle w:val="NENTITULL"/>
      </w:pPr>
      <w:r w:rsidRPr="00445472">
        <w:t xml:space="preserve">Tabela A 3.1: Grupet e </w:t>
      </w:r>
      <w:r w:rsidR="00F4685A" w:rsidRPr="00445472">
        <w:t xml:space="preserve">treguesve biologjikë dhe njësitë taksonomike </w:t>
      </w:r>
      <w:r w:rsidRPr="00445472">
        <w:t xml:space="preserve">të përdorura për </w:t>
      </w:r>
      <w:r w:rsidR="00316F21">
        <w:t>VSHB</w:t>
      </w:r>
      <w:r w:rsidR="00F4685A" w:rsidRPr="00445472">
        <w:t xml:space="preserve"> </w:t>
      </w:r>
      <w:r w:rsidRPr="00445472">
        <w:t xml:space="preserve">në Basenin Ujor </w:t>
      </w:r>
      <w:r w:rsidR="007E76E3" w:rsidRPr="00445472">
        <w:t>Drin–Bunë</w:t>
      </w:r>
    </w:p>
    <w:tbl>
      <w:tblPr>
        <w:tblW w:w="5000" w:type="pct"/>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CellMar>
          <w:left w:w="0" w:type="dxa"/>
          <w:right w:w="0" w:type="dxa"/>
        </w:tblCellMar>
        <w:tblLook w:val="01E0" w:firstRow="1" w:lastRow="1" w:firstColumn="1" w:lastColumn="1" w:noHBand="0" w:noVBand="0"/>
      </w:tblPr>
      <w:tblGrid>
        <w:gridCol w:w="1879"/>
        <w:gridCol w:w="3572"/>
        <w:gridCol w:w="763"/>
        <w:gridCol w:w="795"/>
        <w:gridCol w:w="523"/>
        <w:gridCol w:w="819"/>
        <w:gridCol w:w="730"/>
      </w:tblGrid>
      <w:tr w:rsidR="005C5ADB" w:rsidRPr="00445472" w14:paraId="6FA411DD" w14:textId="77777777" w:rsidTr="005C5ADB">
        <w:trPr>
          <w:trHeight w:val="520"/>
          <w:jc w:val="center"/>
        </w:trPr>
        <w:tc>
          <w:tcPr>
            <w:tcW w:w="1034" w:type="pct"/>
            <w:vMerge w:val="restart"/>
            <w:shd w:val="clear" w:color="auto" w:fill="D9D9D9"/>
            <w:vAlign w:val="center"/>
          </w:tcPr>
          <w:p w14:paraId="10A57489" w14:textId="77777777" w:rsidR="005C5ADB" w:rsidRPr="00445472" w:rsidRDefault="005C5ADB" w:rsidP="002A1F08">
            <w:pPr>
              <w:pStyle w:val="TableTextCentre"/>
              <w:spacing w:before="22" w:after="22"/>
              <w:ind w:right="63"/>
              <w:rPr>
                <w:rFonts w:ascii="Garamond" w:hAnsi="Garamond"/>
                <w:sz w:val="18"/>
                <w:szCs w:val="18"/>
                <w:lang w:val="sq-AL"/>
              </w:rPr>
            </w:pPr>
          </w:p>
          <w:p w14:paraId="36746205"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Grupi i treguesit</w:t>
            </w:r>
          </w:p>
        </w:tc>
        <w:tc>
          <w:tcPr>
            <w:tcW w:w="1967" w:type="pct"/>
            <w:vMerge w:val="restart"/>
            <w:shd w:val="clear" w:color="auto" w:fill="D9D9D9"/>
            <w:vAlign w:val="center"/>
          </w:tcPr>
          <w:p w14:paraId="29E120C6" w14:textId="77777777" w:rsidR="005C5ADB" w:rsidRPr="00445472" w:rsidRDefault="005C5ADB" w:rsidP="002A1F08">
            <w:pPr>
              <w:pStyle w:val="TableTextCentre"/>
              <w:spacing w:before="22" w:after="22"/>
              <w:ind w:right="63"/>
              <w:rPr>
                <w:rFonts w:ascii="Garamond" w:hAnsi="Garamond"/>
                <w:sz w:val="18"/>
                <w:szCs w:val="18"/>
                <w:lang w:val="sq-AL"/>
              </w:rPr>
            </w:pPr>
          </w:p>
          <w:p w14:paraId="3CB3264B"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Nr.i njësisë taksanomike</w:t>
            </w:r>
          </w:p>
          <w:p w14:paraId="3FD0E755"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në grupin e treguesit</w:t>
            </w:r>
          </w:p>
        </w:tc>
        <w:tc>
          <w:tcPr>
            <w:tcW w:w="1999" w:type="pct"/>
            <w:gridSpan w:val="5"/>
            <w:shd w:val="clear" w:color="auto" w:fill="D9D9D9"/>
            <w:vAlign w:val="center"/>
          </w:tcPr>
          <w:p w14:paraId="4C478AC9" w14:textId="77777777" w:rsidR="005C5ADB" w:rsidRPr="00445472" w:rsidRDefault="005C5ADB" w:rsidP="002A1F08">
            <w:pPr>
              <w:pStyle w:val="TableTextCentre"/>
              <w:spacing w:before="22" w:after="22"/>
              <w:ind w:right="63"/>
              <w:jc w:val="both"/>
              <w:rPr>
                <w:rFonts w:ascii="Garamond" w:hAnsi="Garamond"/>
                <w:sz w:val="18"/>
                <w:szCs w:val="18"/>
                <w:lang w:val="sq-AL"/>
              </w:rPr>
            </w:pPr>
            <w:r w:rsidRPr="00445472">
              <w:rPr>
                <w:rFonts w:ascii="Garamond" w:hAnsi="Garamond"/>
                <w:sz w:val="18"/>
                <w:szCs w:val="18"/>
                <w:lang w:val="sq-AL"/>
              </w:rPr>
              <w:t>Numri total i njësive taksonomike</w:t>
            </w:r>
          </w:p>
        </w:tc>
      </w:tr>
      <w:tr w:rsidR="005C5ADB" w:rsidRPr="00445472" w14:paraId="2005F13A" w14:textId="77777777" w:rsidTr="005C5ADB">
        <w:trPr>
          <w:trHeight w:val="520"/>
          <w:jc w:val="center"/>
        </w:trPr>
        <w:tc>
          <w:tcPr>
            <w:tcW w:w="1034" w:type="pct"/>
            <w:vMerge/>
            <w:shd w:val="clear" w:color="auto" w:fill="D9D9D9"/>
            <w:vAlign w:val="center"/>
          </w:tcPr>
          <w:p w14:paraId="044E4B1E" w14:textId="77777777" w:rsidR="005C5ADB" w:rsidRPr="00445472" w:rsidRDefault="005C5ADB" w:rsidP="002A1F08">
            <w:pPr>
              <w:pStyle w:val="TableTextCentre"/>
              <w:spacing w:before="22" w:after="22"/>
              <w:ind w:right="63"/>
              <w:rPr>
                <w:rFonts w:ascii="Garamond" w:hAnsi="Garamond"/>
                <w:sz w:val="18"/>
                <w:szCs w:val="18"/>
                <w:lang w:val="sq-AL"/>
              </w:rPr>
            </w:pPr>
          </w:p>
        </w:tc>
        <w:tc>
          <w:tcPr>
            <w:tcW w:w="1967" w:type="pct"/>
            <w:vMerge/>
            <w:shd w:val="clear" w:color="auto" w:fill="D9D9D9"/>
            <w:vAlign w:val="center"/>
          </w:tcPr>
          <w:p w14:paraId="4AA46CE1" w14:textId="77777777" w:rsidR="005C5ADB" w:rsidRPr="00445472" w:rsidRDefault="005C5ADB" w:rsidP="002A1F08">
            <w:pPr>
              <w:pStyle w:val="TableTextCentre"/>
              <w:spacing w:before="22" w:after="22"/>
              <w:ind w:right="63"/>
              <w:jc w:val="both"/>
              <w:rPr>
                <w:rFonts w:ascii="Garamond" w:hAnsi="Garamond"/>
                <w:sz w:val="18"/>
                <w:szCs w:val="18"/>
                <w:lang w:val="sq-AL"/>
              </w:rPr>
            </w:pPr>
          </w:p>
        </w:tc>
        <w:tc>
          <w:tcPr>
            <w:tcW w:w="420" w:type="pct"/>
            <w:shd w:val="clear" w:color="auto" w:fill="FF0000"/>
            <w:vAlign w:val="center"/>
          </w:tcPr>
          <w:p w14:paraId="20F1C94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0 - 1</w:t>
            </w:r>
          </w:p>
        </w:tc>
        <w:tc>
          <w:tcPr>
            <w:tcW w:w="438" w:type="pct"/>
            <w:shd w:val="clear" w:color="auto" w:fill="FF9900"/>
            <w:vAlign w:val="center"/>
          </w:tcPr>
          <w:p w14:paraId="76C49FCE"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2 - 3</w:t>
            </w:r>
          </w:p>
        </w:tc>
        <w:tc>
          <w:tcPr>
            <w:tcW w:w="288" w:type="pct"/>
            <w:shd w:val="clear" w:color="auto" w:fill="FFFF00"/>
            <w:vAlign w:val="center"/>
          </w:tcPr>
          <w:p w14:paraId="7033A64E"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4 - 7</w:t>
            </w:r>
          </w:p>
        </w:tc>
        <w:tc>
          <w:tcPr>
            <w:tcW w:w="451" w:type="pct"/>
            <w:shd w:val="clear" w:color="auto" w:fill="00FF00"/>
            <w:vAlign w:val="center"/>
          </w:tcPr>
          <w:p w14:paraId="088003F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8 - 10</w:t>
            </w:r>
          </w:p>
        </w:tc>
        <w:tc>
          <w:tcPr>
            <w:tcW w:w="402" w:type="pct"/>
            <w:shd w:val="clear" w:color="auto" w:fill="66FFFF"/>
            <w:vAlign w:val="center"/>
          </w:tcPr>
          <w:p w14:paraId="3223BC92"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11+</w:t>
            </w:r>
          </w:p>
        </w:tc>
      </w:tr>
      <w:tr w:rsidR="005C5ADB" w:rsidRPr="00445472" w14:paraId="1B1151D4" w14:textId="77777777" w:rsidTr="005C5ADB">
        <w:trPr>
          <w:trHeight w:val="520"/>
          <w:jc w:val="center"/>
        </w:trPr>
        <w:tc>
          <w:tcPr>
            <w:tcW w:w="1034" w:type="pct"/>
            <w:vMerge/>
            <w:shd w:val="clear" w:color="auto" w:fill="D9D9D9"/>
            <w:vAlign w:val="center"/>
          </w:tcPr>
          <w:p w14:paraId="1F03FCCA" w14:textId="77777777" w:rsidR="005C5ADB" w:rsidRPr="00445472" w:rsidRDefault="005C5ADB" w:rsidP="002A1F08">
            <w:pPr>
              <w:pStyle w:val="TableTextCentre"/>
              <w:spacing w:before="22" w:after="22"/>
              <w:ind w:right="63"/>
              <w:rPr>
                <w:rFonts w:ascii="Garamond" w:hAnsi="Garamond"/>
                <w:sz w:val="18"/>
                <w:szCs w:val="18"/>
                <w:lang w:val="sq-AL"/>
              </w:rPr>
            </w:pPr>
          </w:p>
        </w:tc>
        <w:tc>
          <w:tcPr>
            <w:tcW w:w="1967" w:type="pct"/>
            <w:vMerge/>
            <w:shd w:val="clear" w:color="auto" w:fill="D9D9D9"/>
            <w:vAlign w:val="center"/>
          </w:tcPr>
          <w:p w14:paraId="77058621" w14:textId="77777777" w:rsidR="005C5ADB" w:rsidRPr="00445472" w:rsidRDefault="005C5ADB" w:rsidP="002A1F08">
            <w:pPr>
              <w:pStyle w:val="TableTextCentre"/>
              <w:spacing w:before="22" w:after="22"/>
              <w:ind w:right="63"/>
              <w:jc w:val="both"/>
              <w:rPr>
                <w:rFonts w:ascii="Garamond" w:hAnsi="Garamond"/>
                <w:sz w:val="18"/>
                <w:szCs w:val="18"/>
                <w:lang w:val="sq-AL"/>
              </w:rPr>
            </w:pPr>
          </w:p>
        </w:tc>
        <w:tc>
          <w:tcPr>
            <w:tcW w:w="1999" w:type="pct"/>
            <w:gridSpan w:val="5"/>
            <w:shd w:val="clear" w:color="auto" w:fill="D9D9D9"/>
            <w:vAlign w:val="center"/>
          </w:tcPr>
          <w:p w14:paraId="29F79B66" w14:textId="6F797333"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 xml:space="preserve">Vlera e indeksit </w:t>
            </w:r>
            <w:r w:rsidR="00316F21">
              <w:rPr>
                <w:rFonts w:ascii="Garamond" w:hAnsi="Garamond"/>
                <w:lang w:val="sq-AL"/>
              </w:rPr>
              <w:t>VSHB</w:t>
            </w:r>
            <w:r w:rsidR="00F4685A" w:rsidRPr="00445472">
              <w:rPr>
                <w:rFonts w:ascii="Garamond" w:hAnsi="Garamond"/>
                <w:sz w:val="18"/>
                <w:szCs w:val="18"/>
                <w:lang w:val="sq-AL"/>
              </w:rPr>
              <w:t xml:space="preserve"> </w:t>
            </w:r>
            <w:r w:rsidRPr="00445472">
              <w:rPr>
                <w:rFonts w:ascii="Garamond" w:hAnsi="Garamond"/>
                <w:sz w:val="18"/>
                <w:szCs w:val="18"/>
                <w:lang w:val="sq-AL"/>
              </w:rPr>
              <w:t>(%)</w:t>
            </w:r>
          </w:p>
        </w:tc>
      </w:tr>
      <w:tr w:rsidR="005C5ADB" w:rsidRPr="00445472" w14:paraId="642374C0" w14:textId="77777777" w:rsidTr="005C5ADB">
        <w:trPr>
          <w:trHeight w:val="520"/>
          <w:jc w:val="center"/>
        </w:trPr>
        <w:tc>
          <w:tcPr>
            <w:tcW w:w="1034" w:type="pct"/>
            <w:vMerge w:val="restart"/>
            <w:shd w:val="clear" w:color="auto" w:fill="66FFFF"/>
            <w:vAlign w:val="center"/>
          </w:tcPr>
          <w:p w14:paraId="027CE738" w14:textId="77777777" w:rsidR="005C5ADB" w:rsidRPr="00445472" w:rsidRDefault="005C5ADB" w:rsidP="002A1F08">
            <w:pPr>
              <w:pStyle w:val="TableTextCentre"/>
              <w:spacing w:before="22" w:after="22"/>
              <w:ind w:right="63"/>
              <w:rPr>
                <w:rFonts w:ascii="Garamond" w:hAnsi="Garamond"/>
                <w:sz w:val="18"/>
                <w:szCs w:val="18"/>
                <w:lang w:val="sq-AL"/>
              </w:rPr>
            </w:pPr>
          </w:p>
          <w:p w14:paraId="0CBF017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А</w:t>
            </w:r>
          </w:p>
        </w:tc>
        <w:tc>
          <w:tcPr>
            <w:tcW w:w="1967" w:type="pct"/>
            <w:shd w:val="clear" w:color="auto" w:fill="66FFFF"/>
            <w:vAlign w:val="center"/>
          </w:tcPr>
          <w:p w14:paraId="16A8464B"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4+</w:t>
            </w:r>
          </w:p>
        </w:tc>
        <w:tc>
          <w:tcPr>
            <w:tcW w:w="420" w:type="pct"/>
            <w:shd w:val="clear" w:color="auto" w:fill="D9D9D9"/>
            <w:vAlign w:val="center"/>
          </w:tcPr>
          <w:p w14:paraId="509D72B8"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c>
          <w:tcPr>
            <w:tcW w:w="438" w:type="pct"/>
            <w:shd w:val="clear" w:color="auto" w:fill="D9D9D9"/>
            <w:vAlign w:val="center"/>
          </w:tcPr>
          <w:p w14:paraId="4346D26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c>
          <w:tcPr>
            <w:tcW w:w="288" w:type="pct"/>
            <w:shd w:val="clear" w:color="auto" w:fill="00FF00"/>
            <w:vAlign w:val="center"/>
          </w:tcPr>
          <w:p w14:paraId="0F0180A6"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80</w:t>
            </w:r>
          </w:p>
        </w:tc>
        <w:tc>
          <w:tcPr>
            <w:tcW w:w="451" w:type="pct"/>
            <w:shd w:val="clear" w:color="auto" w:fill="66FFFF"/>
            <w:vAlign w:val="center"/>
          </w:tcPr>
          <w:p w14:paraId="47B116A1"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90</w:t>
            </w:r>
          </w:p>
        </w:tc>
        <w:tc>
          <w:tcPr>
            <w:tcW w:w="402" w:type="pct"/>
            <w:shd w:val="clear" w:color="auto" w:fill="66FFFF"/>
            <w:vAlign w:val="center"/>
          </w:tcPr>
          <w:p w14:paraId="6FBDEC6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100</w:t>
            </w:r>
          </w:p>
        </w:tc>
      </w:tr>
      <w:tr w:rsidR="005C5ADB" w:rsidRPr="00445472" w14:paraId="341DDA44" w14:textId="77777777" w:rsidTr="005C5ADB">
        <w:trPr>
          <w:trHeight w:val="520"/>
          <w:jc w:val="center"/>
        </w:trPr>
        <w:tc>
          <w:tcPr>
            <w:tcW w:w="1034" w:type="pct"/>
            <w:vMerge/>
            <w:shd w:val="clear" w:color="auto" w:fill="66FFFF"/>
            <w:vAlign w:val="center"/>
          </w:tcPr>
          <w:p w14:paraId="3F42C649" w14:textId="77777777" w:rsidR="005C5ADB" w:rsidRPr="00445472" w:rsidRDefault="005C5ADB" w:rsidP="002A1F08">
            <w:pPr>
              <w:pStyle w:val="TableTextCentre"/>
              <w:spacing w:before="22" w:after="22"/>
              <w:ind w:right="63"/>
              <w:rPr>
                <w:rFonts w:ascii="Garamond" w:hAnsi="Garamond"/>
                <w:sz w:val="18"/>
                <w:szCs w:val="18"/>
                <w:lang w:val="sq-AL"/>
              </w:rPr>
            </w:pPr>
          </w:p>
        </w:tc>
        <w:tc>
          <w:tcPr>
            <w:tcW w:w="1967" w:type="pct"/>
            <w:shd w:val="clear" w:color="auto" w:fill="66FFFF"/>
            <w:vAlign w:val="center"/>
          </w:tcPr>
          <w:p w14:paraId="7FBDC4DE"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2/3</w:t>
            </w:r>
          </w:p>
        </w:tc>
        <w:tc>
          <w:tcPr>
            <w:tcW w:w="420" w:type="pct"/>
            <w:shd w:val="clear" w:color="auto" w:fill="D9D9D9"/>
            <w:vAlign w:val="center"/>
          </w:tcPr>
          <w:p w14:paraId="2E367D7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c>
          <w:tcPr>
            <w:tcW w:w="438" w:type="pct"/>
            <w:shd w:val="clear" w:color="auto" w:fill="FFFF00"/>
            <w:vAlign w:val="center"/>
          </w:tcPr>
          <w:p w14:paraId="7B794CEC"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60</w:t>
            </w:r>
          </w:p>
        </w:tc>
        <w:tc>
          <w:tcPr>
            <w:tcW w:w="288" w:type="pct"/>
            <w:shd w:val="clear" w:color="auto" w:fill="00FF00"/>
            <w:vAlign w:val="center"/>
          </w:tcPr>
          <w:p w14:paraId="7788E72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75</w:t>
            </w:r>
          </w:p>
        </w:tc>
        <w:tc>
          <w:tcPr>
            <w:tcW w:w="451" w:type="pct"/>
            <w:shd w:val="clear" w:color="auto" w:fill="00FF00"/>
            <w:vAlign w:val="center"/>
          </w:tcPr>
          <w:p w14:paraId="5A17BE52"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80</w:t>
            </w:r>
          </w:p>
        </w:tc>
        <w:tc>
          <w:tcPr>
            <w:tcW w:w="402" w:type="pct"/>
            <w:shd w:val="clear" w:color="auto" w:fill="66FFFF"/>
            <w:vAlign w:val="center"/>
          </w:tcPr>
          <w:p w14:paraId="5BED27D4"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95</w:t>
            </w:r>
          </w:p>
        </w:tc>
      </w:tr>
      <w:tr w:rsidR="005C5ADB" w:rsidRPr="00445472" w14:paraId="6753EC3F" w14:textId="77777777" w:rsidTr="005C5ADB">
        <w:trPr>
          <w:trHeight w:val="520"/>
          <w:jc w:val="center"/>
        </w:trPr>
        <w:tc>
          <w:tcPr>
            <w:tcW w:w="1034" w:type="pct"/>
            <w:vMerge/>
            <w:shd w:val="clear" w:color="auto" w:fill="66FFFF"/>
            <w:vAlign w:val="center"/>
          </w:tcPr>
          <w:p w14:paraId="784B2BE8" w14:textId="77777777" w:rsidR="005C5ADB" w:rsidRPr="00445472" w:rsidRDefault="005C5ADB" w:rsidP="002A1F08">
            <w:pPr>
              <w:pStyle w:val="TableTextCentre"/>
              <w:spacing w:before="22" w:after="22"/>
              <w:ind w:right="63"/>
              <w:rPr>
                <w:rFonts w:ascii="Garamond" w:hAnsi="Garamond"/>
                <w:sz w:val="18"/>
                <w:szCs w:val="18"/>
                <w:lang w:val="sq-AL"/>
              </w:rPr>
            </w:pPr>
          </w:p>
        </w:tc>
        <w:tc>
          <w:tcPr>
            <w:tcW w:w="1967" w:type="pct"/>
            <w:shd w:val="clear" w:color="auto" w:fill="66FFFF"/>
            <w:vAlign w:val="center"/>
          </w:tcPr>
          <w:p w14:paraId="76E04EE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1</w:t>
            </w:r>
          </w:p>
        </w:tc>
        <w:tc>
          <w:tcPr>
            <w:tcW w:w="420" w:type="pct"/>
            <w:shd w:val="clear" w:color="auto" w:fill="FF0000"/>
            <w:vAlign w:val="center"/>
          </w:tcPr>
          <w:p w14:paraId="163EE14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5</w:t>
            </w:r>
          </w:p>
        </w:tc>
        <w:tc>
          <w:tcPr>
            <w:tcW w:w="438" w:type="pct"/>
            <w:shd w:val="clear" w:color="auto" w:fill="FF9900"/>
            <w:vAlign w:val="center"/>
          </w:tcPr>
          <w:p w14:paraId="05557561"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40</w:t>
            </w:r>
          </w:p>
        </w:tc>
        <w:tc>
          <w:tcPr>
            <w:tcW w:w="288" w:type="pct"/>
            <w:shd w:val="clear" w:color="auto" w:fill="FFFF00"/>
            <w:vAlign w:val="center"/>
          </w:tcPr>
          <w:p w14:paraId="3A84C522"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60</w:t>
            </w:r>
          </w:p>
        </w:tc>
        <w:tc>
          <w:tcPr>
            <w:tcW w:w="451" w:type="pct"/>
            <w:shd w:val="clear" w:color="auto" w:fill="00FF00"/>
            <w:vAlign w:val="center"/>
          </w:tcPr>
          <w:p w14:paraId="128B7A5A"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75</w:t>
            </w:r>
          </w:p>
        </w:tc>
        <w:tc>
          <w:tcPr>
            <w:tcW w:w="402" w:type="pct"/>
            <w:shd w:val="clear" w:color="auto" w:fill="66FFFF"/>
            <w:vAlign w:val="center"/>
          </w:tcPr>
          <w:p w14:paraId="0BE18FBD"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85</w:t>
            </w:r>
          </w:p>
        </w:tc>
      </w:tr>
      <w:tr w:rsidR="005C5ADB" w:rsidRPr="00445472" w14:paraId="401F6112" w14:textId="77777777" w:rsidTr="005C5ADB">
        <w:trPr>
          <w:trHeight w:val="520"/>
          <w:jc w:val="center"/>
        </w:trPr>
        <w:tc>
          <w:tcPr>
            <w:tcW w:w="1034" w:type="pct"/>
            <w:vMerge w:val="restart"/>
            <w:shd w:val="clear" w:color="auto" w:fill="00FF00"/>
            <w:vAlign w:val="center"/>
          </w:tcPr>
          <w:p w14:paraId="199B1BA2" w14:textId="77777777" w:rsidR="005C5ADB" w:rsidRPr="00445472" w:rsidRDefault="005C5ADB" w:rsidP="002A1F08">
            <w:pPr>
              <w:pStyle w:val="TableTextCentre"/>
              <w:spacing w:before="22" w:after="22"/>
              <w:ind w:right="63"/>
              <w:rPr>
                <w:rFonts w:ascii="Garamond" w:hAnsi="Garamond"/>
                <w:sz w:val="18"/>
                <w:szCs w:val="18"/>
                <w:lang w:val="sq-AL"/>
              </w:rPr>
            </w:pPr>
          </w:p>
          <w:p w14:paraId="6E7FDB28"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В</w:t>
            </w:r>
          </w:p>
        </w:tc>
        <w:tc>
          <w:tcPr>
            <w:tcW w:w="1967" w:type="pct"/>
            <w:shd w:val="clear" w:color="auto" w:fill="00FF00"/>
            <w:vAlign w:val="center"/>
          </w:tcPr>
          <w:p w14:paraId="3A078E6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3+</w:t>
            </w:r>
          </w:p>
        </w:tc>
        <w:tc>
          <w:tcPr>
            <w:tcW w:w="420" w:type="pct"/>
            <w:shd w:val="clear" w:color="auto" w:fill="D9D9D9"/>
            <w:vAlign w:val="center"/>
          </w:tcPr>
          <w:p w14:paraId="4EEF15CE"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c>
          <w:tcPr>
            <w:tcW w:w="438" w:type="pct"/>
            <w:shd w:val="clear" w:color="auto" w:fill="FF9900"/>
            <w:vAlign w:val="center"/>
          </w:tcPr>
          <w:p w14:paraId="45245A8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40</w:t>
            </w:r>
          </w:p>
        </w:tc>
        <w:tc>
          <w:tcPr>
            <w:tcW w:w="288" w:type="pct"/>
            <w:shd w:val="clear" w:color="auto" w:fill="FFFF00"/>
            <w:vAlign w:val="center"/>
          </w:tcPr>
          <w:p w14:paraId="1EB0B21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60</w:t>
            </w:r>
          </w:p>
        </w:tc>
        <w:tc>
          <w:tcPr>
            <w:tcW w:w="451" w:type="pct"/>
            <w:shd w:val="clear" w:color="auto" w:fill="00FF00"/>
            <w:vAlign w:val="center"/>
          </w:tcPr>
          <w:p w14:paraId="7BAD3B8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75</w:t>
            </w:r>
          </w:p>
        </w:tc>
        <w:tc>
          <w:tcPr>
            <w:tcW w:w="402" w:type="pct"/>
            <w:shd w:val="clear" w:color="auto" w:fill="00FF00"/>
            <w:vAlign w:val="center"/>
          </w:tcPr>
          <w:p w14:paraId="3FD09636"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80</w:t>
            </w:r>
          </w:p>
        </w:tc>
      </w:tr>
      <w:tr w:rsidR="005C5ADB" w:rsidRPr="00445472" w14:paraId="6CDE1BB1" w14:textId="77777777" w:rsidTr="005C5ADB">
        <w:trPr>
          <w:trHeight w:val="520"/>
          <w:jc w:val="center"/>
        </w:trPr>
        <w:tc>
          <w:tcPr>
            <w:tcW w:w="1034" w:type="pct"/>
            <w:vMerge/>
            <w:shd w:val="clear" w:color="auto" w:fill="00FF00"/>
            <w:vAlign w:val="center"/>
          </w:tcPr>
          <w:p w14:paraId="0EDBC602" w14:textId="77777777" w:rsidR="005C5ADB" w:rsidRPr="00445472" w:rsidRDefault="005C5ADB" w:rsidP="002A1F08">
            <w:pPr>
              <w:pStyle w:val="TableTextCentre"/>
              <w:spacing w:before="22" w:after="22"/>
              <w:ind w:right="63"/>
              <w:rPr>
                <w:rFonts w:ascii="Garamond" w:hAnsi="Garamond"/>
                <w:sz w:val="18"/>
                <w:szCs w:val="18"/>
                <w:lang w:val="sq-AL"/>
              </w:rPr>
            </w:pPr>
          </w:p>
        </w:tc>
        <w:tc>
          <w:tcPr>
            <w:tcW w:w="1967" w:type="pct"/>
            <w:shd w:val="clear" w:color="auto" w:fill="00FF00"/>
            <w:vAlign w:val="center"/>
          </w:tcPr>
          <w:p w14:paraId="204805BB"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1 - 3</w:t>
            </w:r>
          </w:p>
        </w:tc>
        <w:tc>
          <w:tcPr>
            <w:tcW w:w="420" w:type="pct"/>
            <w:shd w:val="clear" w:color="auto" w:fill="FF0000"/>
            <w:vAlign w:val="center"/>
          </w:tcPr>
          <w:p w14:paraId="0610A9F5"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5</w:t>
            </w:r>
          </w:p>
        </w:tc>
        <w:tc>
          <w:tcPr>
            <w:tcW w:w="438" w:type="pct"/>
            <w:shd w:val="clear" w:color="auto" w:fill="FF0000"/>
            <w:vAlign w:val="center"/>
          </w:tcPr>
          <w:p w14:paraId="4854D95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25</w:t>
            </w:r>
          </w:p>
        </w:tc>
        <w:tc>
          <w:tcPr>
            <w:tcW w:w="288" w:type="pct"/>
            <w:shd w:val="clear" w:color="auto" w:fill="FFFF00"/>
            <w:vAlign w:val="center"/>
          </w:tcPr>
          <w:p w14:paraId="7A23E248"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50</w:t>
            </w:r>
          </w:p>
        </w:tc>
        <w:tc>
          <w:tcPr>
            <w:tcW w:w="451" w:type="pct"/>
            <w:shd w:val="clear" w:color="auto" w:fill="FFFF00"/>
            <w:vAlign w:val="center"/>
          </w:tcPr>
          <w:p w14:paraId="4DACDD04"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55</w:t>
            </w:r>
          </w:p>
        </w:tc>
        <w:tc>
          <w:tcPr>
            <w:tcW w:w="402" w:type="pct"/>
            <w:shd w:val="clear" w:color="auto" w:fill="00FF00"/>
            <w:vAlign w:val="center"/>
          </w:tcPr>
          <w:p w14:paraId="7BA7BBD7"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70</w:t>
            </w:r>
          </w:p>
        </w:tc>
      </w:tr>
      <w:tr w:rsidR="005C5ADB" w:rsidRPr="00445472" w14:paraId="5A7A7156" w14:textId="77777777" w:rsidTr="005C5ADB">
        <w:trPr>
          <w:trHeight w:val="520"/>
          <w:jc w:val="center"/>
        </w:trPr>
        <w:tc>
          <w:tcPr>
            <w:tcW w:w="1034" w:type="pct"/>
            <w:shd w:val="clear" w:color="auto" w:fill="FFFF00"/>
            <w:vAlign w:val="center"/>
          </w:tcPr>
          <w:p w14:paraId="1FD9476B"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С</w:t>
            </w:r>
          </w:p>
        </w:tc>
        <w:tc>
          <w:tcPr>
            <w:tcW w:w="1967" w:type="pct"/>
            <w:shd w:val="clear" w:color="auto" w:fill="FFFF00"/>
            <w:vAlign w:val="center"/>
          </w:tcPr>
          <w:p w14:paraId="6D959FEC"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Të gjitha grupet e treguesit mungojnë</w:t>
            </w:r>
          </w:p>
        </w:tc>
        <w:tc>
          <w:tcPr>
            <w:tcW w:w="420" w:type="pct"/>
            <w:shd w:val="clear" w:color="auto" w:fill="FF0000"/>
            <w:vAlign w:val="center"/>
          </w:tcPr>
          <w:p w14:paraId="20250896"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5</w:t>
            </w:r>
          </w:p>
        </w:tc>
        <w:tc>
          <w:tcPr>
            <w:tcW w:w="438" w:type="pct"/>
            <w:shd w:val="clear" w:color="auto" w:fill="FF0000"/>
            <w:vAlign w:val="center"/>
          </w:tcPr>
          <w:p w14:paraId="47C7330A"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25</w:t>
            </w:r>
          </w:p>
        </w:tc>
        <w:tc>
          <w:tcPr>
            <w:tcW w:w="288" w:type="pct"/>
            <w:shd w:val="clear" w:color="auto" w:fill="FF9900"/>
            <w:vAlign w:val="center"/>
          </w:tcPr>
          <w:p w14:paraId="3FFDEA96"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35</w:t>
            </w:r>
          </w:p>
        </w:tc>
        <w:tc>
          <w:tcPr>
            <w:tcW w:w="451" w:type="pct"/>
            <w:shd w:val="clear" w:color="auto" w:fill="FF9900"/>
            <w:vAlign w:val="center"/>
          </w:tcPr>
          <w:p w14:paraId="0B1D622C"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45</w:t>
            </w:r>
          </w:p>
        </w:tc>
        <w:tc>
          <w:tcPr>
            <w:tcW w:w="402" w:type="pct"/>
            <w:shd w:val="clear" w:color="auto" w:fill="FFFF00"/>
            <w:vAlign w:val="center"/>
          </w:tcPr>
          <w:p w14:paraId="014BF81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65</w:t>
            </w:r>
          </w:p>
        </w:tc>
      </w:tr>
      <w:tr w:rsidR="005C5ADB" w:rsidRPr="00445472" w14:paraId="0B2E2961" w14:textId="77777777" w:rsidTr="005C5ADB">
        <w:trPr>
          <w:trHeight w:val="520"/>
          <w:jc w:val="center"/>
        </w:trPr>
        <w:tc>
          <w:tcPr>
            <w:tcW w:w="1034" w:type="pct"/>
            <w:shd w:val="clear" w:color="auto" w:fill="FF9900"/>
            <w:vAlign w:val="center"/>
          </w:tcPr>
          <w:p w14:paraId="265AD34D"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D</w:t>
            </w:r>
          </w:p>
        </w:tc>
        <w:tc>
          <w:tcPr>
            <w:tcW w:w="1967" w:type="pct"/>
            <w:shd w:val="clear" w:color="auto" w:fill="FF9900"/>
            <w:vAlign w:val="center"/>
          </w:tcPr>
          <w:p w14:paraId="0568F4DD"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Të gjitha grupet e treguesit mungojnë</w:t>
            </w:r>
          </w:p>
        </w:tc>
        <w:tc>
          <w:tcPr>
            <w:tcW w:w="420" w:type="pct"/>
            <w:shd w:val="clear" w:color="auto" w:fill="FF0000"/>
            <w:vAlign w:val="center"/>
          </w:tcPr>
          <w:p w14:paraId="26866521"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w:t>
            </w:r>
          </w:p>
        </w:tc>
        <w:tc>
          <w:tcPr>
            <w:tcW w:w="438" w:type="pct"/>
            <w:shd w:val="clear" w:color="auto" w:fill="FF0000"/>
            <w:vAlign w:val="center"/>
          </w:tcPr>
          <w:p w14:paraId="0CE2683A"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20</w:t>
            </w:r>
          </w:p>
        </w:tc>
        <w:tc>
          <w:tcPr>
            <w:tcW w:w="288" w:type="pct"/>
            <w:shd w:val="clear" w:color="auto" w:fill="FF0000"/>
            <w:vAlign w:val="center"/>
          </w:tcPr>
          <w:p w14:paraId="64C5264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25</w:t>
            </w:r>
          </w:p>
        </w:tc>
        <w:tc>
          <w:tcPr>
            <w:tcW w:w="451" w:type="pct"/>
            <w:shd w:val="clear" w:color="auto" w:fill="FF9900"/>
            <w:vAlign w:val="center"/>
          </w:tcPr>
          <w:p w14:paraId="7A595364"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30</w:t>
            </w:r>
          </w:p>
        </w:tc>
        <w:tc>
          <w:tcPr>
            <w:tcW w:w="402" w:type="pct"/>
            <w:shd w:val="clear" w:color="auto" w:fill="D9D9D9"/>
            <w:vAlign w:val="center"/>
          </w:tcPr>
          <w:p w14:paraId="4FE123FB"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r>
      <w:tr w:rsidR="005C5ADB" w:rsidRPr="00445472" w14:paraId="4DC2CD78" w14:textId="77777777" w:rsidTr="005C5ADB">
        <w:trPr>
          <w:trHeight w:val="520"/>
          <w:jc w:val="center"/>
        </w:trPr>
        <w:tc>
          <w:tcPr>
            <w:tcW w:w="1034" w:type="pct"/>
            <w:shd w:val="clear" w:color="auto" w:fill="FF0000"/>
            <w:vAlign w:val="center"/>
          </w:tcPr>
          <w:p w14:paraId="04F635E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Е</w:t>
            </w:r>
          </w:p>
        </w:tc>
        <w:tc>
          <w:tcPr>
            <w:tcW w:w="1967" w:type="pct"/>
            <w:shd w:val="clear" w:color="auto" w:fill="FF0000"/>
            <w:vAlign w:val="center"/>
          </w:tcPr>
          <w:p w14:paraId="747D785C"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Të gjitha grupet e treguesit mungojnë</w:t>
            </w:r>
          </w:p>
        </w:tc>
        <w:tc>
          <w:tcPr>
            <w:tcW w:w="420" w:type="pct"/>
            <w:shd w:val="clear" w:color="auto" w:fill="FF0000"/>
            <w:vAlign w:val="center"/>
          </w:tcPr>
          <w:p w14:paraId="0C7F6526"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w:t>
            </w:r>
          </w:p>
        </w:tc>
        <w:tc>
          <w:tcPr>
            <w:tcW w:w="438" w:type="pct"/>
            <w:shd w:val="clear" w:color="auto" w:fill="FF0000"/>
            <w:vAlign w:val="center"/>
          </w:tcPr>
          <w:p w14:paraId="0E5822D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10</w:t>
            </w:r>
          </w:p>
        </w:tc>
        <w:tc>
          <w:tcPr>
            <w:tcW w:w="288" w:type="pct"/>
            <w:shd w:val="clear" w:color="auto" w:fill="FF0000"/>
            <w:vAlign w:val="center"/>
          </w:tcPr>
          <w:p w14:paraId="663E841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15</w:t>
            </w:r>
          </w:p>
        </w:tc>
        <w:tc>
          <w:tcPr>
            <w:tcW w:w="451" w:type="pct"/>
            <w:shd w:val="clear" w:color="auto" w:fill="D9D9D9"/>
            <w:vAlign w:val="center"/>
          </w:tcPr>
          <w:p w14:paraId="075EB10A"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c>
          <w:tcPr>
            <w:tcW w:w="402" w:type="pct"/>
            <w:shd w:val="clear" w:color="auto" w:fill="D9D9D9"/>
            <w:vAlign w:val="center"/>
          </w:tcPr>
          <w:p w14:paraId="56BA8D12"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Nuk ka</w:t>
            </w:r>
          </w:p>
        </w:tc>
      </w:tr>
    </w:tbl>
    <w:p w14:paraId="45515DF1" w14:textId="77777777" w:rsidR="005C5ADB" w:rsidRPr="00445472" w:rsidRDefault="005C5ADB" w:rsidP="005C5ADB">
      <w:pPr>
        <w:pStyle w:val="TEKSTIIII"/>
      </w:pPr>
    </w:p>
    <w:p w14:paraId="5D8DCF39" w14:textId="6895068B" w:rsidR="005C5ADB" w:rsidRPr="00445472" w:rsidRDefault="005C5ADB" w:rsidP="005C5ADB">
      <w:pPr>
        <w:pStyle w:val="NENTITULL"/>
      </w:pPr>
      <w:bookmarkStart w:id="349" w:name="_Toc11068906"/>
      <w:r w:rsidRPr="00445472">
        <w:t>3.4 Vlerësim ekologjik i llojeve kryesore të lumenjve</w:t>
      </w:r>
      <w:bookmarkEnd w:id="349"/>
    </w:p>
    <w:p w14:paraId="2453B465" w14:textId="063D69E0" w:rsidR="005C5ADB" w:rsidRPr="00445472" w:rsidRDefault="005C5ADB" w:rsidP="005C5ADB">
      <w:pPr>
        <w:pStyle w:val="TEKSTIIII"/>
      </w:pPr>
      <w:r w:rsidRPr="00445472">
        <w:t xml:space="preserve">Direktiva Kuadër e BE-së për ujërat (KE 2000) kërkon përcaktimin e metodave për të përllogaritur statusin ekologjik të trupave ujore. Treguesit biologjikë luajnë një rol kyç në vlerësimin e statusit ekologjik. Rezultatet e vlerësimit ekologjik duhet të shprehen duke përdorur një shkallë numerike midis zeros dhe njëshit, </w:t>
      </w:r>
      <w:r w:rsidR="00D62EDF" w:rsidRPr="00445472">
        <w:t>“</w:t>
      </w:r>
      <w:r w:rsidRPr="00445472">
        <w:t>Koeficienti i Cilësisë Ekologjike</w:t>
      </w:r>
      <w:r w:rsidR="00D62EDF" w:rsidRPr="00445472">
        <w:t>”</w:t>
      </w:r>
      <w:r w:rsidRPr="00445472">
        <w:t xml:space="preserve"> (EQR). Vlera EQR-së një përfaqëson kushtet referencë (specifike sipas llojit) dhe vlerat afër zeros përfaqësojnë status të keq ekologjik. Vlerësimi i statusit ekologjik dhe kushtet biologjike referencë janë përllogaritur duke përdorur sistemet e klasifikimit specifike për llojin e përfshirë. Koeficientet e Cilësisë Ekologjike (EQR) të treguara në tabelën e mëposhtme.</w:t>
      </w:r>
    </w:p>
    <w:p w14:paraId="3828EC12" w14:textId="77777777" w:rsidR="005C5ADB" w:rsidRPr="00445472" w:rsidRDefault="005C5ADB" w:rsidP="005C5ADB">
      <w:pPr>
        <w:pStyle w:val="NENTITULL"/>
      </w:pPr>
    </w:p>
    <w:p w14:paraId="37B225B4" w14:textId="7F8D7350" w:rsidR="005C5ADB" w:rsidRPr="00445472" w:rsidRDefault="005C5ADB" w:rsidP="005C5ADB">
      <w:pPr>
        <w:pStyle w:val="NENTITULL"/>
      </w:pPr>
      <w:r w:rsidRPr="00445472">
        <w:t xml:space="preserve">Tabela A 3. 2: Koeficienti i Cilësisë Ekologjike dhe Raporti me </w:t>
      </w:r>
      <w:r w:rsidR="00316F21">
        <w:t>VSHB</w:t>
      </w:r>
    </w:p>
    <w:tbl>
      <w:tblPr>
        <w:tblW w:w="5000" w:type="pct"/>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CellMar>
          <w:left w:w="0" w:type="dxa"/>
          <w:right w:w="0" w:type="dxa"/>
        </w:tblCellMar>
        <w:tblLook w:val="01E0" w:firstRow="1" w:lastRow="1" w:firstColumn="1" w:lastColumn="1" w:noHBand="0" w:noVBand="0"/>
      </w:tblPr>
      <w:tblGrid>
        <w:gridCol w:w="2581"/>
        <w:gridCol w:w="6500"/>
      </w:tblGrid>
      <w:tr w:rsidR="005C5ADB" w:rsidRPr="00445472" w14:paraId="50FCB098" w14:textId="77777777" w:rsidTr="005C5ADB">
        <w:trPr>
          <w:trHeight w:val="360"/>
        </w:trPr>
        <w:tc>
          <w:tcPr>
            <w:tcW w:w="1421" w:type="pct"/>
            <w:vAlign w:val="center"/>
          </w:tcPr>
          <w:p w14:paraId="485D2F66" w14:textId="0BD9FD6B" w:rsidR="005C5ADB" w:rsidRPr="00445472" w:rsidRDefault="00316F21" w:rsidP="002A1F08">
            <w:pPr>
              <w:pStyle w:val="TableTextCentre"/>
              <w:spacing w:before="22" w:after="22"/>
              <w:ind w:right="63"/>
              <w:rPr>
                <w:rFonts w:ascii="Garamond" w:hAnsi="Garamond"/>
                <w:b/>
                <w:sz w:val="18"/>
                <w:szCs w:val="18"/>
                <w:lang w:val="sq-AL"/>
              </w:rPr>
            </w:pPr>
            <w:r>
              <w:rPr>
                <w:rFonts w:ascii="Garamond" w:hAnsi="Garamond"/>
                <w:b/>
                <w:sz w:val="18"/>
                <w:szCs w:val="18"/>
                <w:lang w:val="sq-AL"/>
              </w:rPr>
              <w:t>VSHB</w:t>
            </w:r>
          </w:p>
        </w:tc>
        <w:tc>
          <w:tcPr>
            <w:tcW w:w="3579" w:type="pct"/>
            <w:vAlign w:val="center"/>
          </w:tcPr>
          <w:p w14:paraId="39F0410F" w14:textId="77777777" w:rsidR="005C5ADB" w:rsidRPr="00445472" w:rsidRDefault="005C5ADB" w:rsidP="002A1F08">
            <w:pPr>
              <w:pStyle w:val="TableTextCentre"/>
              <w:spacing w:before="22" w:after="22"/>
              <w:ind w:right="63"/>
              <w:rPr>
                <w:rFonts w:ascii="Garamond" w:hAnsi="Garamond"/>
                <w:b/>
                <w:sz w:val="18"/>
                <w:szCs w:val="18"/>
                <w:lang w:val="sq-AL"/>
              </w:rPr>
            </w:pPr>
            <w:r w:rsidRPr="00445472">
              <w:rPr>
                <w:rFonts w:ascii="Garamond" w:hAnsi="Garamond"/>
                <w:b/>
                <w:sz w:val="18"/>
                <w:szCs w:val="18"/>
                <w:lang w:val="sq-AL"/>
              </w:rPr>
              <w:t>Vlerësimi i Shpejtë Biologjik (%)</w:t>
            </w:r>
          </w:p>
        </w:tc>
      </w:tr>
      <w:tr w:rsidR="005C5ADB" w:rsidRPr="00445472" w14:paraId="15DCCBA3" w14:textId="77777777" w:rsidTr="005C5ADB">
        <w:trPr>
          <w:trHeight w:val="360"/>
        </w:trPr>
        <w:tc>
          <w:tcPr>
            <w:tcW w:w="1421" w:type="pct"/>
            <w:shd w:val="clear" w:color="auto" w:fill="5AFBFB"/>
            <w:vAlign w:val="center"/>
          </w:tcPr>
          <w:p w14:paraId="090F9063"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0,85 - 1</w:t>
            </w:r>
          </w:p>
        </w:tc>
        <w:tc>
          <w:tcPr>
            <w:tcW w:w="3579" w:type="pct"/>
            <w:shd w:val="clear" w:color="auto" w:fill="5AFBFB"/>
            <w:vAlign w:val="center"/>
          </w:tcPr>
          <w:p w14:paraId="3522DF4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85 - 100</w:t>
            </w:r>
          </w:p>
        </w:tc>
      </w:tr>
      <w:tr w:rsidR="005C5ADB" w:rsidRPr="00445472" w14:paraId="0AE5E9BD" w14:textId="77777777" w:rsidTr="005C5ADB">
        <w:trPr>
          <w:trHeight w:val="360"/>
        </w:trPr>
        <w:tc>
          <w:tcPr>
            <w:tcW w:w="1421" w:type="pct"/>
            <w:shd w:val="clear" w:color="auto" w:fill="24FF22"/>
            <w:vAlign w:val="center"/>
          </w:tcPr>
          <w:p w14:paraId="527CF711"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0.70 – 0.80</w:t>
            </w:r>
          </w:p>
        </w:tc>
        <w:tc>
          <w:tcPr>
            <w:tcW w:w="3579" w:type="pct"/>
            <w:shd w:val="clear" w:color="auto" w:fill="24FF22"/>
            <w:vAlign w:val="center"/>
          </w:tcPr>
          <w:p w14:paraId="1F1F32A0"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70 - 80</w:t>
            </w:r>
          </w:p>
        </w:tc>
      </w:tr>
      <w:tr w:rsidR="005C5ADB" w:rsidRPr="00445472" w14:paraId="272C92AE" w14:textId="77777777" w:rsidTr="005C5ADB">
        <w:trPr>
          <w:trHeight w:val="360"/>
        </w:trPr>
        <w:tc>
          <w:tcPr>
            <w:tcW w:w="1421" w:type="pct"/>
            <w:shd w:val="clear" w:color="auto" w:fill="FFFF28"/>
            <w:vAlign w:val="center"/>
          </w:tcPr>
          <w:p w14:paraId="3144A152"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0.50 – 0.65</w:t>
            </w:r>
          </w:p>
        </w:tc>
        <w:tc>
          <w:tcPr>
            <w:tcW w:w="3579" w:type="pct"/>
            <w:shd w:val="clear" w:color="auto" w:fill="FFFF28"/>
            <w:vAlign w:val="center"/>
          </w:tcPr>
          <w:p w14:paraId="30EDA054"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50 - 65</w:t>
            </w:r>
          </w:p>
        </w:tc>
      </w:tr>
      <w:tr w:rsidR="005C5ADB" w:rsidRPr="00445472" w14:paraId="1011DBAB" w14:textId="77777777" w:rsidTr="005C5ADB">
        <w:trPr>
          <w:trHeight w:val="360"/>
        </w:trPr>
        <w:tc>
          <w:tcPr>
            <w:tcW w:w="1421" w:type="pct"/>
            <w:shd w:val="clear" w:color="auto" w:fill="FC851A"/>
            <w:vAlign w:val="center"/>
          </w:tcPr>
          <w:p w14:paraId="7403E0B8"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0.30 – 0.45</w:t>
            </w:r>
          </w:p>
        </w:tc>
        <w:tc>
          <w:tcPr>
            <w:tcW w:w="3579" w:type="pct"/>
            <w:shd w:val="clear" w:color="auto" w:fill="FC851A"/>
            <w:vAlign w:val="center"/>
          </w:tcPr>
          <w:p w14:paraId="53D0E5E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30 - 45</w:t>
            </w:r>
          </w:p>
        </w:tc>
      </w:tr>
      <w:tr w:rsidR="005C5ADB" w:rsidRPr="00445472" w14:paraId="1F4155EC" w14:textId="77777777" w:rsidTr="005C5ADB">
        <w:trPr>
          <w:trHeight w:val="360"/>
        </w:trPr>
        <w:tc>
          <w:tcPr>
            <w:tcW w:w="1421" w:type="pct"/>
            <w:shd w:val="clear" w:color="auto" w:fill="F80F12"/>
            <w:vAlign w:val="center"/>
          </w:tcPr>
          <w:p w14:paraId="1824DA6F"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0.00 – 0.25</w:t>
            </w:r>
          </w:p>
        </w:tc>
        <w:tc>
          <w:tcPr>
            <w:tcW w:w="3579" w:type="pct"/>
            <w:shd w:val="clear" w:color="auto" w:fill="F80F12"/>
            <w:vAlign w:val="center"/>
          </w:tcPr>
          <w:p w14:paraId="58DC8759" w14:textId="77777777" w:rsidR="005C5ADB" w:rsidRPr="00445472" w:rsidRDefault="005C5ADB" w:rsidP="002A1F08">
            <w:pPr>
              <w:pStyle w:val="TableTextCentre"/>
              <w:spacing w:before="22" w:after="22"/>
              <w:ind w:right="63"/>
              <w:rPr>
                <w:rFonts w:ascii="Garamond" w:hAnsi="Garamond"/>
                <w:sz w:val="18"/>
                <w:szCs w:val="18"/>
                <w:lang w:val="sq-AL"/>
              </w:rPr>
            </w:pPr>
            <w:r w:rsidRPr="00445472">
              <w:rPr>
                <w:rFonts w:ascii="Garamond" w:hAnsi="Garamond"/>
                <w:sz w:val="18"/>
                <w:szCs w:val="18"/>
                <w:lang w:val="sq-AL"/>
              </w:rPr>
              <w:t>0 - 25</w:t>
            </w:r>
          </w:p>
        </w:tc>
      </w:tr>
    </w:tbl>
    <w:p w14:paraId="288A0A7D" w14:textId="77777777" w:rsidR="005C5ADB" w:rsidRPr="00445472" w:rsidRDefault="005C5ADB" w:rsidP="005C5ADB">
      <w:pPr>
        <w:pStyle w:val="TEKSTIIII"/>
      </w:pPr>
    </w:p>
    <w:p w14:paraId="010F4D79" w14:textId="3ADE87EF" w:rsidR="005C5ADB" w:rsidRPr="00445472" w:rsidRDefault="005C5ADB" w:rsidP="005C5ADB">
      <w:pPr>
        <w:pStyle w:val="TEKSTIIII"/>
      </w:pPr>
      <w:r w:rsidRPr="00445472">
        <w:t xml:space="preserve">Karakteristikat e përgjithshme e 5 klasave ekologjike, bazuar mbi </w:t>
      </w:r>
      <w:r w:rsidR="00316F21">
        <w:t>VSHB</w:t>
      </w:r>
      <w:r w:rsidRPr="00445472">
        <w:t>, paraqiten në tabelën e mëposhtme.</w:t>
      </w:r>
      <w:r w:rsidR="00B27C57" w:rsidRPr="00445472">
        <w:t xml:space="preserve"> </w:t>
      </w:r>
      <w:r w:rsidRPr="00445472">
        <w:t xml:space="preserve">Është e rëndësishme të theksohet se tabela e mëposhtme është projektuar për </w:t>
      </w:r>
      <w:r w:rsidR="00B139CF" w:rsidRPr="00445472">
        <w:t>t’u</w:t>
      </w:r>
      <w:r w:rsidRPr="00445472">
        <w:t xml:space="preserve"> përdorur nga vendimmarrësit, menaxherët e ujit dhe ekspertët nga disiplina të tjera uji (p.sh.</w:t>
      </w:r>
      <w:r w:rsidR="00B27C57" w:rsidRPr="00445472">
        <w:t>,</w:t>
      </w:r>
      <w:r w:rsidRPr="00445472">
        <w:t xml:space="preserve"> inxhinierët e ujit, inxhinierët kimikë</w:t>
      </w:r>
      <w:r w:rsidR="00084DB9" w:rsidRPr="00445472">
        <w:t xml:space="preserve"> etj.</w:t>
      </w:r>
      <w:r w:rsidRPr="00445472">
        <w:t>)</w:t>
      </w:r>
      <w:r w:rsidR="008F0A9F" w:rsidRPr="00445472">
        <w:t>, si dhe</w:t>
      </w:r>
      <w:r w:rsidRPr="00445472">
        <w:t xml:space="preserve"> nga specialistët nga sektorë të tjerë (peshkim, turizmi dhe ekoturizimi, menaxhimi i peizazhit, burimeve natyrore dhe zonave natyrore të mbrojtura etj.).</w:t>
      </w:r>
    </w:p>
    <w:p w14:paraId="29F47B0E" w14:textId="77777777" w:rsidR="003914CD" w:rsidRPr="00445472" w:rsidRDefault="003914CD" w:rsidP="005C5ADB">
      <w:pPr>
        <w:pStyle w:val="TEKSTIIII"/>
      </w:pPr>
    </w:p>
    <w:p w14:paraId="23218993" w14:textId="77777777" w:rsidR="003914CD" w:rsidRPr="00445472" w:rsidRDefault="003914CD" w:rsidP="005C5ADB">
      <w:pPr>
        <w:pStyle w:val="TEKSTIIII"/>
      </w:pPr>
    </w:p>
    <w:p w14:paraId="58A79CCD" w14:textId="77777777" w:rsidR="003914CD" w:rsidRPr="00445472" w:rsidRDefault="003914CD" w:rsidP="005C5ADB">
      <w:pPr>
        <w:pStyle w:val="TEKSTIIII"/>
      </w:pPr>
    </w:p>
    <w:p w14:paraId="31373A7E" w14:textId="77777777" w:rsidR="003914CD" w:rsidRPr="00445472" w:rsidRDefault="003914CD" w:rsidP="005C5ADB">
      <w:pPr>
        <w:pStyle w:val="TEKSTIIII"/>
      </w:pPr>
    </w:p>
    <w:p w14:paraId="2ECBBB55" w14:textId="77777777" w:rsidR="003914CD" w:rsidRPr="00445472" w:rsidRDefault="003914CD" w:rsidP="005C5ADB">
      <w:pPr>
        <w:pStyle w:val="TEKSTIIII"/>
      </w:pPr>
    </w:p>
    <w:p w14:paraId="28757631" w14:textId="77777777" w:rsidR="003914CD" w:rsidRPr="00445472" w:rsidRDefault="003914CD" w:rsidP="005C5ADB">
      <w:pPr>
        <w:pStyle w:val="TEKSTIIII"/>
        <w:rPr>
          <w:sz w:val="20"/>
        </w:rPr>
        <w:sectPr w:rsidR="003914CD" w:rsidRPr="00445472" w:rsidSect="00F75A35">
          <w:pgSz w:w="11907" w:h="16839" w:code="9"/>
          <w:pgMar w:top="1418" w:right="1418" w:bottom="1418" w:left="1418" w:header="1304" w:footer="1134" w:gutter="0"/>
          <w:cols w:space="720"/>
          <w:docGrid w:linePitch="360"/>
        </w:sectPr>
      </w:pPr>
    </w:p>
    <w:p w14:paraId="0EE74ED1" w14:textId="6F59591A" w:rsidR="003914CD" w:rsidRPr="00445472" w:rsidRDefault="003914CD" w:rsidP="003914CD">
      <w:pPr>
        <w:pStyle w:val="NENTITULL"/>
      </w:pPr>
      <w:r w:rsidRPr="00445472">
        <w:t xml:space="preserve">Tabela A.3: Karakteristikat e përgjithshme e 5 klasave ekologjike bazuar mbi </w:t>
      </w:r>
      <w:r w:rsidR="00316F21">
        <w:t>VSHB</w:t>
      </w:r>
      <w:r w:rsidR="00B27C57" w:rsidRPr="00445472">
        <w:t xml:space="preserve"> </w:t>
      </w:r>
      <w:r w:rsidRPr="00445472">
        <w:t>me makroinvertebrorët bentikë</w:t>
      </w:r>
    </w:p>
    <w:tbl>
      <w:tblPr>
        <w:tblW w:w="14288" w:type="dxa"/>
        <w:tblInd w:w="109"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ayout w:type="fixed"/>
        <w:tblCellMar>
          <w:left w:w="0" w:type="dxa"/>
          <w:right w:w="0" w:type="dxa"/>
        </w:tblCellMar>
        <w:tblLook w:val="01E0" w:firstRow="1" w:lastRow="1" w:firstColumn="1" w:lastColumn="1" w:noHBand="0" w:noVBand="0"/>
      </w:tblPr>
      <w:tblGrid>
        <w:gridCol w:w="2063"/>
        <w:gridCol w:w="2068"/>
        <w:gridCol w:w="2000"/>
        <w:gridCol w:w="2004"/>
        <w:gridCol w:w="2074"/>
        <w:gridCol w:w="2074"/>
        <w:gridCol w:w="2005"/>
      </w:tblGrid>
      <w:tr w:rsidR="003914CD" w:rsidRPr="00445472" w14:paraId="2209D851" w14:textId="77777777" w:rsidTr="002A1F08">
        <w:trPr>
          <w:trHeight w:val="500"/>
        </w:trPr>
        <w:tc>
          <w:tcPr>
            <w:tcW w:w="2063" w:type="dxa"/>
            <w:vAlign w:val="center"/>
          </w:tcPr>
          <w:p w14:paraId="5AC75901"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Statusi ekologjik</w:t>
            </w:r>
          </w:p>
        </w:tc>
        <w:tc>
          <w:tcPr>
            <w:tcW w:w="2068" w:type="dxa"/>
            <w:shd w:val="clear" w:color="auto" w:fill="66FFFF"/>
            <w:vAlign w:val="center"/>
          </w:tcPr>
          <w:p w14:paraId="2CAE543B"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 shumë i mirë</w:t>
            </w:r>
          </w:p>
        </w:tc>
        <w:tc>
          <w:tcPr>
            <w:tcW w:w="2000" w:type="dxa"/>
            <w:shd w:val="clear" w:color="auto" w:fill="66FFFF"/>
            <w:vAlign w:val="center"/>
          </w:tcPr>
          <w:p w14:paraId="36E21F3F"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 shumë i mirë</w:t>
            </w:r>
          </w:p>
        </w:tc>
        <w:tc>
          <w:tcPr>
            <w:tcW w:w="2004" w:type="dxa"/>
            <w:shd w:val="clear" w:color="auto" w:fill="00FF00"/>
            <w:vAlign w:val="center"/>
          </w:tcPr>
          <w:p w14:paraId="1BD57620"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 i mirë</w:t>
            </w:r>
          </w:p>
        </w:tc>
        <w:tc>
          <w:tcPr>
            <w:tcW w:w="2074" w:type="dxa"/>
            <w:shd w:val="clear" w:color="auto" w:fill="FFFF00"/>
            <w:vAlign w:val="center"/>
          </w:tcPr>
          <w:p w14:paraId="672172FA"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 mesatar</w:t>
            </w:r>
          </w:p>
        </w:tc>
        <w:tc>
          <w:tcPr>
            <w:tcW w:w="2074" w:type="dxa"/>
            <w:shd w:val="clear" w:color="auto" w:fill="FF9900"/>
            <w:vAlign w:val="center"/>
          </w:tcPr>
          <w:p w14:paraId="0944DA5C"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 i keq</w:t>
            </w:r>
          </w:p>
        </w:tc>
        <w:tc>
          <w:tcPr>
            <w:tcW w:w="2005" w:type="dxa"/>
            <w:shd w:val="clear" w:color="auto" w:fill="FF0000"/>
            <w:vAlign w:val="center"/>
          </w:tcPr>
          <w:p w14:paraId="3179A05D" w14:textId="77777777" w:rsidR="003914CD" w:rsidRPr="00445472" w:rsidRDefault="003914CD" w:rsidP="003914CD">
            <w:pPr>
              <w:pStyle w:val="TableTextCentre"/>
              <w:spacing w:before="15" w:after="0"/>
              <w:ind w:right="44"/>
              <w:rPr>
                <w:rFonts w:ascii="Garamond" w:hAnsi="Garamond"/>
                <w:b/>
                <w:sz w:val="18"/>
                <w:szCs w:val="18"/>
                <w:lang w:val="sq-AL"/>
              </w:rPr>
            </w:pPr>
            <w:r w:rsidRPr="00445472">
              <w:rPr>
                <w:rFonts w:ascii="Garamond" w:hAnsi="Garamond"/>
                <w:b/>
                <w:sz w:val="18"/>
                <w:szCs w:val="18"/>
                <w:lang w:val="sq-AL"/>
              </w:rPr>
              <w:t>Status  shumë i keq</w:t>
            </w:r>
          </w:p>
        </w:tc>
      </w:tr>
      <w:tr w:rsidR="003914CD" w:rsidRPr="00445472" w14:paraId="4F454674" w14:textId="77777777" w:rsidTr="002A1F08">
        <w:trPr>
          <w:trHeight w:val="500"/>
        </w:trPr>
        <w:tc>
          <w:tcPr>
            <w:tcW w:w="2063" w:type="dxa"/>
            <w:vAlign w:val="center"/>
          </w:tcPr>
          <w:p w14:paraId="6EBC6EAB" w14:textId="3A59E420"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 xml:space="preserve">Përqindjet </w:t>
            </w:r>
            <w:r w:rsidR="00316F21">
              <w:rPr>
                <w:rFonts w:ascii="Garamond" w:hAnsi="Garamond"/>
                <w:sz w:val="18"/>
                <w:szCs w:val="18"/>
                <w:lang w:val="sq-AL"/>
              </w:rPr>
              <w:t>VSHB</w:t>
            </w:r>
          </w:p>
        </w:tc>
        <w:tc>
          <w:tcPr>
            <w:tcW w:w="2068" w:type="dxa"/>
            <w:shd w:val="clear" w:color="auto" w:fill="66FFFF"/>
            <w:vAlign w:val="center"/>
          </w:tcPr>
          <w:p w14:paraId="4DEE8EC1"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90 – 100%</w:t>
            </w:r>
          </w:p>
        </w:tc>
        <w:tc>
          <w:tcPr>
            <w:tcW w:w="2000" w:type="dxa"/>
            <w:shd w:val="clear" w:color="auto" w:fill="66FFFF"/>
            <w:vAlign w:val="center"/>
          </w:tcPr>
          <w:p w14:paraId="53E76D09"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80 – 85%</w:t>
            </w:r>
          </w:p>
        </w:tc>
        <w:tc>
          <w:tcPr>
            <w:tcW w:w="2004" w:type="dxa"/>
            <w:shd w:val="clear" w:color="auto" w:fill="00FF00"/>
            <w:vAlign w:val="center"/>
          </w:tcPr>
          <w:p w14:paraId="704ED3D3"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70-80%</w:t>
            </w:r>
          </w:p>
        </w:tc>
        <w:tc>
          <w:tcPr>
            <w:tcW w:w="2074" w:type="dxa"/>
            <w:shd w:val="clear" w:color="auto" w:fill="FFFF00"/>
            <w:vAlign w:val="center"/>
          </w:tcPr>
          <w:p w14:paraId="1B21328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50-65%</w:t>
            </w:r>
          </w:p>
        </w:tc>
        <w:tc>
          <w:tcPr>
            <w:tcW w:w="2074" w:type="dxa"/>
            <w:shd w:val="clear" w:color="auto" w:fill="FF9900"/>
            <w:vAlign w:val="center"/>
          </w:tcPr>
          <w:p w14:paraId="639C15AB"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30-45%</w:t>
            </w:r>
          </w:p>
        </w:tc>
        <w:tc>
          <w:tcPr>
            <w:tcW w:w="2005" w:type="dxa"/>
            <w:shd w:val="clear" w:color="auto" w:fill="FF0000"/>
            <w:vAlign w:val="center"/>
          </w:tcPr>
          <w:p w14:paraId="75F83CE6"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&lt;30%</w:t>
            </w:r>
          </w:p>
        </w:tc>
      </w:tr>
      <w:tr w:rsidR="003914CD" w:rsidRPr="00445472" w14:paraId="7E580F13" w14:textId="77777777" w:rsidTr="002A1F08">
        <w:trPr>
          <w:trHeight w:val="500"/>
        </w:trPr>
        <w:tc>
          <w:tcPr>
            <w:tcW w:w="2063" w:type="dxa"/>
            <w:vAlign w:val="center"/>
          </w:tcPr>
          <w:p w14:paraId="2FACB692"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Kushtet e ref.</w:t>
            </w:r>
          </w:p>
        </w:tc>
        <w:tc>
          <w:tcPr>
            <w:tcW w:w="2068" w:type="dxa"/>
            <w:shd w:val="clear" w:color="auto" w:fill="66FFFF"/>
            <w:vAlign w:val="center"/>
          </w:tcPr>
          <w:p w14:paraId="0FE4BE22"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Kushtet e ref.</w:t>
            </w:r>
          </w:p>
        </w:tc>
        <w:tc>
          <w:tcPr>
            <w:tcW w:w="2000" w:type="dxa"/>
            <w:shd w:val="clear" w:color="auto" w:fill="66FFFF"/>
            <w:vAlign w:val="center"/>
          </w:tcPr>
          <w:p w14:paraId="555ECF94"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Afër kushteve të ref.</w:t>
            </w:r>
          </w:p>
        </w:tc>
        <w:tc>
          <w:tcPr>
            <w:tcW w:w="2004" w:type="dxa"/>
            <w:shd w:val="clear" w:color="auto" w:fill="00FF00"/>
            <w:vAlign w:val="center"/>
          </w:tcPr>
          <w:p w14:paraId="314E4792"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Kushtet e standarde</w:t>
            </w:r>
          </w:p>
        </w:tc>
        <w:tc>
          <w:tcPr>
            <w:tcW w:w="2074" w:type="dxa"/>
            <w:shd w:val="clear" w:color="auto" w:fill="FFFF00"/>
            <w:vAlign w:val="center"/>
          </w:tcPr>
          <w:p w14:paraId="231C679C"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Kushtet e standarde</w:t>
            </w:r>
          </w:p>
        </w:tc>
        <w:tc>
          <w:tcPr>
            <w:tcW w:w="2074" w:type="dxa"/>
            <w:shd w:val="clear" w:color="auto" w:fill="FF9900"/>
            <w:vAlign w:val="center"/>
          </w:tcPr>
          <w:p w14:paraId="13BF8EA9"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Kushtet e standarde</w:t>
            </w:r>
          </w:p>
        </w:tc>
        <w:tc>
          <w:tcPr>
            <w:tcW w:w="2005" w:type="dxa"/>
            <w:shd w:val="clear" w:color="auto" w:fill="FF0000"/>
            <w:vAlign w:val="center"/>
          </w:tcPr>
          <w:p w14:paraId="36D0ABB5"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Kushtet e standarde</w:t>
            </w:r>
          </w:p>
        </w:tc>
      </w:tr>
      <w:tr w:rsidR="003914CD" w:rsidRPr="00445472" w14:paraId="120C1BCC" w14:textId="77777777" w:rsidTr="002A1F08">
        <w:trPr>
          <w:trHeight w:val="500"/>
        </w:trPr>
        <w:tc>
          <w:tcPr>
            <w:tcW w:w="2063" w:type="dxa"/>
            <w:vAlign w:val="center"/>
          </w:tcPr>
          <w:p w14:paraId="13474151"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Ngarkesa e mbetjeve organike</w:t>
            </w:r>
          </w:p>
        </w:tc>
        <w:tc>
          <w:tcPr>
            <w:tcW w:w="2068" w:type="dxa"/>
            <w:shd w:val="clear" w:color="auto" w:fill="66FFFF"/>
            <w:vAlign w:val="center"/>
          </w:tcPr>
          <w:p w14:paraId="2FA18C2E"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Nuk ka</w:t>
            </w:r>
          </w:p>
        </w:tc>
        <w:tc>
          <w:tcPr>
            <w:tcW w:w="2000" w:type="dxa"/>
            <w:shd w:val="clear" w:color="auto" w:fill="66FFFF"/>
            <w:vAlign w:val="center"/>
          </w:tcPr>
          <w:p w14:paraId="638B8CB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Nuk ka</w:t>
            </w:r>
          </w:p>
        </w:tc>
        <w:tc>
          <w:tcPr>
            <w:tcW w:w="2004" w:type="dxa"/>
            <w:shd w:val="clear" w:color="auto" w:fill="00FF00"/>
            <w:vAlign w:val="center"/>
          </w:tcPr>
          <w:p w14:paraId="7BA11CD1"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E lehtë</w:t>
            </w:r>
          </w:p>
        </w:tc>
        <w:tc>
          <w:tcPr>
            <w:tcW w:w="2074" w:type="dxa"/>
            <w:shd w:val="clear" w:color="auto" w:fill="FFFF00"/>
            <w:vAlign w:val="center"/>
          </w:tcPr>
          <w:p w14:paraId="6EDB78CE"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E konsiderueshme</w:t>
            </w:r>
          </w:p>
        </w:tc>
        <w:tc>
          <w:tcPr>
            <w:tcW w:w="2074" w:type="dxa"/>
            <w:shd w:val="clear" w:color="auto" w:fill="FF9900"/>
            <w:vAlign w:val="center"/>
          </w:tcPr>
          <w:p w14:paraId="74B672D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E rëndë</w:t>
            </w:r>
          </w:p>
        </w:tc>
        <w:tc>
          <w:tcPr>
            <w:tcW w:w="2005" w:type="dxa"/>
            <w:shd w:val="clear" w:color="auto" w:fill="FF0000"/>
            <w:vAlign w:val="center"/>
          </w:tcPr>
          <w:p w14:paraId="166093A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E tepërt</w:t>
            </w:r>
          </w:p>
        </w:tc>
      </w:tr>
      <w:tr w:rsidR="003914CD" w:rsidRPr="00445472" w14:paraId="327D79B3" w14:textId="77777777" w:rsidTr="002A1F08">
        <w:trPr>
          <w:trHeight w:val="880"/>
        </w:trPr>
        <w:tc>
          <w:tcPr>
            <w:tcW w:w="2063" w:type="dxa"/>
            <w:vAlign w:val="center"/>
          </w:tcPr>
          <w:p w14:paraId="75931D33" w14:textId="77777777" w:rsidR="003914CD" w:rsidRPr="00445472" w:rsidRDefault="003914CD" w:rsidP="003914CD">
            <w:pPr>
              <w:pStyle w:val="TableTextCentre"/>
              <w:spacing w:before="15" w:after="0"/>
              <w:ind w:right="44"/>
              <w:rPr>
                <w:rFonts w:ascii="Garamond" w:hAnsi="Garamond"/>
                <w:sz w:val="18"/>
                <w:szCs w:val="18"/>
                <w:lang w:val="sq-AL"/>
              </w:rPr>
            </w:pPr>
          </w:p>
          <w:p w14:paraId="27D4214B"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Maksimumi NBO</w:t>
            </w:r>
            <w:r w:rsidRPr="00445472">
              <w:rPr>
                <w:rFonts w:ascii="Garamond" w:hAnsi="Garamond"/>
                <w:sz w:val="18"/>
                <w:szCs w:val="18"/>
                <w:vertAlign w:val="subscript"/>
                <w:lang w:val="sq-AL"/>
              </w:rPr>
              <w:t>5</w:t>
            </w:r>
          </w:p>
        </w:tc>
        <w:tc>
          <w:tcPr>
            <w:tcW w:w="2068" w:type="dxa"/>
            <w:shd w:val="clear" w:color="auto" w:fill="66FFFF"/>
            <w:vAlign w:val="center"/>
          </w:tcPr>
          <w:p w14:paraId="100E0627" w14:textId="77777777" w:rsidR="003914CD" w:rsidRPr="00445472" w:rsidRDefault="003914CD" w:rsidP="003914CD">
            <w:pPr>
              <w:pStyle w:val="TableTextCentre"/>
              <w:spacing w:before="15" w:after="0"/>
              <w:ind w:right="44"/>
              <w:rPr>
                <w:rFonts w:ascii="Garamond" w:hAnsi="Garamond"/>
                <w:sz w:val="18"/>
                <w:szCs w:val="18"/>
                <w:lang w:val="sq-AL"/>
              </w:rPr>
            </w:pPr>
          </w:p>
          <w:p w14:paraId="050EB9B9"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I ulët (&lt; 3 mg/l)</w:t>
            </w:r>
          </w:p>
        </w:tc>
        <w:tc>
          <w:tcPr>
            <w:tcW w:w="2000" w:type="dxa"/>
            <w:shd w:val="clear" w:color="auto" w:fill="66FFFF"/>
            <w:vAlign w:val="center"/>
          </w:tcPr>
          <w:p w14:paraId="20F7A07C" w14:textId="77777777" w:rsidR="003914CD" w:rsidRPr="00445472" w:rsidRDefault="003914CD" w:rsidP="003914CD">
            <w:pPr>
              <w:pStyle w:val="TableTextCentre"/>
              <w:spacing w:before="15" w:after="0"/>
              <w:ind w:right="44"/>
              <w:rPr>
                <w:rFonts w:ascii="Garamond" w:hAnsi="Garamond"/>
                <w:sz w:val="18"/>
                <w:szCs w:val="18"/>
                <w:lang w:val="sq-AL"/>
              </w:rPr>
            </w:pPr>
          </w:p>
          <w:p w14:paraId="56D48A5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I ulët (&lt; 3 mg/l)</w:t>
            </w:r>
          </w:p>
        </w:tc>
        <w:tc>
          <w:tcPr>
            <w:tcW w:w="2004" w:type="dxa"/>
            <w:shd w:val="clear" w:color="auto" w:fill="00FF00"/>
            <w:vAlign w:val="center"/>
          </w:tcPr>
          <w:p w14:paraId="32CB140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Shpesh i lartë</w:t>
            </w:r>
          </w:p>
          <w:p w14:paraId="33CC18C6" w14:textId="77777777" w:rsidR="003914CD" w:rsidRPr="00445472" w:rsidRDefault="003914CD" w:rsidP="003914CD">
            <w:pPr>
              <w:pStyle w:val="TableTextCentre"/>
              <w:spacing w:before="15" w:after="0"/>
              <w:ind w:right="44"/>
              <w:rPr>
                <w:rFonts w:ascii="Garamond" w:hAnsi="Garamond"/>
                <w:sz w:val="18"/>
                <w:szCs w:val="18"/>
                <w:lang w:val="sq-AL"/>
              </w:rPr>
            </w:pPr>
          </w:p>
          <w:p w14:paraId="37DF41AA"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(por zakonisht &lt; 5 mg/l)</w:t>
            </w:r>
          </w:p>
        </w:tc>
        <w:tc>
          <w:tcPr>
            <w:tcW w:w="2074" w:type="dxa"/>
            <w:shd w:val="clear" w:color="auto" w:fill="FFFF00"/>
            <w:vAlign w:val="center"/>
          </w:tcPr>
          <w:p w14:paraId="0AE6F984"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Nganjëherë i lartë</w:t>
            </w:r>
          </w:p>
          <w:p w14:paraId="59FEFFDD" w14:textId="77777777" w:rsidR="003914CD" w:rsidRPr="00445472" w:rsidRDefault="003914CD" w:rsidP="003914CD">
            <w:pPr>
              <w:pStyle w:val="TableTextCentre"/>
              <w:spacing w:before="15" w:after="0"/>
              <w:ind w:right="44"/>
              <w:rPr>
                <w:rFonts w:ascii="Garamond" w:hAnsi="Garamond"/>
                <w:sz w:val="18"/>
                <w:szCs w:val="18"/>
                <w:lang w:val="sq-AL"/>
              </w:rPr>
            </w:pPr>
          </w:p>
          <w:p w14:paraId="26AAA2FE"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10 mg/l)</w:t>
            </w:r>
          </w:p>
        </w:tc>
        <w:tc>
          <w:tcPr>
            <w:tcW w:w="2074" w:type="dxa"/>
            <w:shd w:val="clear" w:color="auto" w:fill="FF9900"/>
            <w:vAlign w:val="center"/>
          </w:tcPr>
          <w:p w14:paraId="7B3BBEB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i lartë</w:t>
            </w:r>
          </w:p>
          <w:p w14:paraId="3E106785" w14:textId="77777777" w:rsidR="003914CD" w:rsidRPr="00445472" w:rsidRDefault="003914CD" w:rsidP="003914CD">
            <w:pPr>
              <w:pStyle w:val="TableTextCentre"/>
              <w:spacing w:before="15" w:after="0"/>
              <w:ind w:right="44"/>
              <w:rPr>
                <w:rFonts w:ascii="Garamond" w:hAnsi="Garamond"/>
                <w:sz w:val="18"/>
                <w:szCs w:val="18"/>
                <w:lang w:val="sq-AL"/>
              </w:rPr>
            </w:pPr>
          </w:p>
          <w:p w14:paraId="166028AB"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(10 – 20 mg/l ose më shumë)</w:t>
            </w:r>
          </w:p>
        </w:tc>
        <w:tc>
          <w:tcPr>
            <w:tcW w:w="2005" w:type="dxa"/>
            <w:shd w:val="clear" w:color="auto" w:fill="FF0000"/>
            <w:vAlign w:val="center"/>
          </w:tcPr>
          <w:p w14:paraId="0204E95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shumë i lartë</w:t>
            </w:r>
          </w:p>
          <w:p w14:paraId="11775697" w14:textId="77777777" w:rsidR="003914CD" w:rsidRPr="00445472" w:rsidRDefault="003914CD" w:rsidP="003914CD">
            <w:pPr>
              <w:pStyle w:val="TableTextCentre"/>
              <w:spacing w:before="15" w:after="0"/>
              <w:ind w:right="44"/>
              <w:rPr>
                <w:rFonts w:ascii="Garamond" w:hAnsi="Garamond"/>
                <w:sz w:val="18"/>
                <w:szCs w:val="18"/>
                <w:lang w:val="sq-AL"/>
              </w:rPr>
            </w:pPr>
          </w:p>
          <w:p w14:paraId="2A419F0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(&gt; 25 mg/l)</w:t>
            </w:r>
          </w:p>
        </w:tc>
      </w:tr>
      <w:tr w:rsidR="003914CD" w:rsidRPr="00445472" w14:paraId="354C5FA5" w14:textId="77777777" w:rsidTr="002A1F08">
        <w:trPr>
          <w:trHeight w:val="880"/>
        </w:trPr>
        <w:tc>
          <w:tcPr>
            <w:tcW w:w="2063" w:type="dxa"/>
            <w:vAlign w:val="center"/>
          </w:tcPr>
          <w:p w14:paraId="12B2926F" w14:textId="77777777" w:rsidR="003914CD" w:rsidRPr="00445472" w:rsidRDefault="003914CD" w:rsidP="003914CD">
            <w:pPr>
              <w:pStyle w:val="TableTextCentre"/>
              <w:spacing w:before="15" w:after="0"/>
              <w:ind w:right="44"/>
              <w:rPr>
                <w:rFonts w:ascii="Garamond" w:hAnsi="Garamond"/>
                <w:sz w:val="18"/>
                <w:szCs w:val="18"/>
                <w:lang w:val="sq-AL"/>
              </w:rPr>
            </w:pPr>
          </w:p>
          <w:p w14:paraId="67A86DF6"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Regjimi i oksigjenit të tretur</w:t>
            </w:r>
          </w:p>
        </w:tc>
        <w:tc>
          <w:tcPr>
            <w:tcW w:w="2068" w:type="dxa"/>
            <w:shd w:val="clear" w:color="auto" w:fill="66FFFF"/>
            <w:vAlign w:val="center"/>
          </w:tcPr>
          <w:p w14:paraId="438F54B4" w14:textId="77777777" w:rsidR="003914CD" w:rsidRPr="00445472" w:rsidRDefault="003914CD" w:rsidP="003914CD">
            <w:pPr>
              <w:pStyle w:val="TableTextCentre"/>
              <w:spacing w:before="15" w:after="0"/>
              <w:ind w:right="44"/>
              <w:rPr>
                <w:rFonts w:ascii="Garamond" w:hAnsi="Garamond"/>
                <w:sz w:val="18"/>
                <w:szCs w:val="18"/>
                <w:lang w:val="sq-AL"/>
              </w:rPr>
            </w:pPr>
          </w:p>
          <w:p w14:paraId="6CB14B2A"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Afro 100% ose tipik për kushtet. e ref.</w:t>
            </w:r>
          </w:p>
        </w:tc>
        <w:tc>
          <w:tcPr>
            <w:tcW w:w="2000" w:type="dxa"/>
            <w:shd w:val="clear" w:color="auto" w:fill="66FFFF"/>
            <w:vAlign w:val="center"/>
          </w:tcPr>
          <w:p w14:paraId="689D78ED" w14:textId="77777777" w:rsidR="003914CD" w:rsidRPr="00445472" w:rsidRDefault="003914CD" w:rsidP="003914CD">
            <w:pPr>
              <w:pStyle w:val="TableTextCentre"/>
              <w:spacing w:before="15" w:after="0"/>
              <w:ind w:right="44"/>
              <w:rPr>
                <w:rFonts w:ascii="Garamond" w:hAnsi="Garamond"/>
                <w:sz w:val="18"/>
                <w:szCs w:val="18"/>
                <w:lang w:val="sq-AL"/>
              </w:rPr>
            </w:pPr>
          </w:p>
          <w:p w14:paraId="7C3500DF"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80% - 120%</w:t>
            </w:r>
          </w:p>
        </w:tc>
        <w:tc>
          <w:tcPr>
            <w:tcW w:w="2004" w:type="dxa"/>
            <w:shd w:val="clear" w:color="auto" w:fill="00FF00"/>
            <w:vAlign w:val="center"/>
          </w:tcPr>
          <w:p w14:paraId="186F76FB"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&lt;80% to &gt;120%</w:t>
            </w:r>
          </w:p>
          <w:p w14:paraId="07343A5A"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(p.sh. 60% - 140%)</w:t>
            </w:r>
          </w:p>
        </w:tc>
        <w:tc>
          <w:tcPr>
            <w:tcW w:w="2074" w:type="dxa"/>
            <w:shd w:val="clear" w:color="auto" w:fill="FFFF00"/>
            <w:vAlign w:val="center"/>
          </w:tcPr>
          <w:p w14:paraId="79AF46E3"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Shumë i paqëndrueshëm</w:t>
            </w:r>
          </w:p>
          <w:p w14:paraId="543F7B82"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(por &gt; 40%)</w:t>
            </w:r>
          </w:p>
        </w:tc>
        <w:tc>
          <w:tcPr>
            <w:tcW w:w="2074" w:type="dxa"/>
            <w:shd w:val="clear" w:color="auto" w:fill="FF9900"/>
            <w:vAlign w:val="center"/>
          </w:tcPr>
          <w:p w14:paraId="22720C9C"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I ulet</w:t>
            </w:r>
          </w:p>
          <w:p w14:paraId="0C5A831C"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(por &gt;20%)</w:t>
            </w:r>
          </w:p>
        </w:tc>
        <w:tc>
          <w:tcPr>
            <w:tcW w:w="2005" w:type="dxa"/>
            <w:shd w:val="clear" w:color="auto" w:fill="FF0000"/>
            <w:vAlign w:val="center"/>
          </w:tcPr>
          <w:p w14:paraId="076472C3" w14:textId="77777777" w:rsidR="003914CD" w:rsidRPr="00445472" w:rsidRDefault="003914CD" w:rsidP="003914CD">
            <w:pPr>
              <w:pStyle w:val="TableTextCentre"/>
              <w:spacing w:before="15" w:after="0"/>
              <w:ind w:right="44"/>
              <w:rPr>
                <w:rFonts w:ascii="Garamond" w:hAnsi="Garamond"/>
                <w:sz w:val="18"/>
                <w:szCs w:val="18"/>
                <w:lang w:val="sq-AL"/>
              </w:rPr>
            </w:pPr>
          </w:p>
          <w:p w14:paraId="33934F0C"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Shumë i ulët, nganjëherë zero</w:t>
            </w:r>
          </w:p>
        </w:tc>
      </w:tr>
      <w:tr w:rsidR="003914CD" w:rsidRPr="00445472" w14:paraId="096BDCA5" w14:textId="77777777" w:rsidTr="002A1F08">
        <w:trPr>
          <w:trHeight w:val="720"/>
        </w:trPr>
        <w:tc>
          <w:tcPr>
            <w:tcW w:w="2063" w:type="dxa"/>
            <w:vAlign w:val="center"/>
          </w:tcPr>
          <w:p w14:paraId="4DFE0014"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Mesatarja vjetore e ortofosfatit</w:t>
            </w:r>
          </w:p>
        </w:tc>
        <w:tc>
          <w:tcPr>
            <w:tcW w:w="2068" w:type="dxa"/>
            <w:shd w:val="clear" w:color="auto" w:fill="66FFFF"/>
            <w:vAlign w:val="center"/>
          </w:tcPr>
          <w:p w14:paraId="2455CF84" w14:textId="77777777" w:rsidR="003914CD" w:rsidRPr="00445472" w:rsidRDefault="003914CD" w:rsidP="003914CD">
            <w:pPr>
              <w:pStyle w:val="TableTextCentre"/>
              <w:spacing w:before="15" w:after="0"/>
              <w:ind w:right="44"/>
              <w:rPr>
                <w:rFonts w:ascii="Garamond" w:hAnsi="Garamond"/>
                <w:sz w:val="18"/>
                <w:szCs w:val="18"/>
                <w:lang w:val="sq-AL"/>
              </w:rPr>
            </w:pPr>
          </w:p>
          <w:p w14:paraId="0B06C30A"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 0.015 mg P/l</w:t>
            </w:r>
          </w:p>
        </w:tc>
        <w:tc>
          <w:tcPr>
            <w:tcW w:w="2000" w:type="dxa"/>
            <w:shd w:val="clear" w:color="auto" w:fill="66FFFF"/>
            <w:vAlign w:val="center"/>
          </w:tcPr>
          <w:p w14:paraId="1D750012" w14:textId="77777777" w:rsidR="003914CD" w:rsidRPr="00445472" w:rsidRDefault="003914CD" w:rsidP="003914CD">
            <w:pPr>
              <w:pStyle w:val="TableTextCentre"/>
              <w:spacing w:before="15" w:after="0"/>
              <w:ind w:right="44"/>
              <w:rPr>
                <w:rFonts w:ascii="Garamond" w:hAnsi="Garamond"/>
                <w:sz w:val="18"/>
                <w:szCs w:val="18"/>
                <w:lang w:val="sq-AL"/>
              </w:rPr>
            </w:pPr>
          </w:p>
          <w:p w14:paraId="2C90772D"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&lt; 0.030 mg P/l</w:t>
            </w:r>
          </w:p>
        </w:tc>
        <w:tc>
          <w:tcPr>
            <w:tcW w:w="2004" w:type="dxa"/>
            <w:shd w:val="clear" w:color="auto" w:fill="00FF00"/>
            <w:vAlign w:val="center"/>
          </w:tcPr>
          <w:p w14:paraId="3D38BB83"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0.050 mg P/l</w:t>
            </w:r>
          </w:p>
        </w:tc>
        <w:tc>
          <w:tcPr>
            <w:tcW w:w="2074" w:type="dxa"/>
            <w:shd w:val="clear" w:color="auto" w:fill="FFFF00"/>
            <w:vAlign w:val="center"/>
          </w:tcPr>
          <w:p w14:paraId="447E52FA" w14:textId="77777777" w:rsidR="003914CD" w:rsidRPr="00445472" w:rsidRDefault="003914CD" w:rsidP="003914CD">
            <w:pPr>
              <w:pStyle w:val="TableTextCentre"/>
              <w:spacing w:before="15" w:after="0"/>
              <w:ind w:right="44"/>
              <w:rPr>
                <w:rFonts w:ascii="Garamond" w:hAnsi="Garamond"/>
                <w:sz w:val="18"/>
                <w:szCs w:val="18"/>
                <w:lang w:val="sq-AL"/>
              </w:rPr>
            </w:pPr>
          </w:p>
          <w:p w14:paraId="3D42181D"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0.075 mg P/l</w:t>
            </w:r>
          </w:p>
        </w:tc>
        <w:tc>
          <w:tcPr>
            <w:tcW w:w="2074" w:type="dxa"/>
            <w:shd w:val="clear" w:color="auto" w:fill="FF9900"/>
            <w:vAlign w:val="center"/>
          </w:tcPr>
          <w:p w14:paraId="2BA3DB77" w14:textId="77777777" w:rsidR="003914CD" w:rsidRPr="00445472" w:rsidRDefault="003914CD" w:rsidP="003914CD">
            <w:pPr>
              <w:pStyle w:val="TableTextCentre"/>
              <w:spacing w:before="15" w:after="0"/>
              <w:ind w:right="44"/>
              <w:rPr>
                <w:rFonts w:ascii="Garamond" w:hAnsi="Garamond"/>
                <w:sz w:val="18"/>
                <w:szCs w:val="18"/>
                <w:lang w:val="sq-AL"/>
              </w:rPr>
            </w:pPr>
          </w:p>
          <w:p w14:paraId="48273048"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&gt; 0.1 mg P/l</w:t>
            </w:r>
          </w:p>
        </w:tc>
        <w:tc>
          <w:tcPr>
            <w:tcW w:w="2005" w:type="dxa"/>
            <w:shd w:val="clear" w:color="auto" w:fill="FF0000"/>
            <w:vAlign w:val="center"/>
          </w:tcPr>
          <w:p w14:paraId="22742202" w14:textId="77777777" w:rsidR="003914CD" w:rsidRPr="00445472" w:rsidRDefault="003914CD" w:rsidP="003914CD">
            <w:pPr>
              <w:pStyle w:val="TableTextCentre"/>
              <w:spacing w:before="15" w:after="0"/>
              <w:ind w:right="44"/>
              <w:rPr>
                <w:rFonts w:ascii="Garamond" w:hAnsi="Garamond"/>
                <w:sz w:val="18"/>
                <w:szCs w:val="18"/>
                <w:lang w:val="sq-AL"/>
              </w:rPr>
            </w:pPr>
          </w:p>
          <w:p w14:paraId="5C49772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&gt; 0.1 mg P/l</w:t>
            </w:r>
          </w:p>
        </w:tc>
      </w:tr>
      <w:tr w:rsidR="003914CD" w:rsidRPr="00445472" w14:paraId="1C72AA96" w14:textId="77777777" w:rsidTr="002A1F08">
        <w:trPr>
          <w:trHeight w:val="1560"/>
        </w:trPr>
        <w:tc>
          <w:tcPr>
            <w:tcW w:w="2063" w:type="dxa"/>
            <w:vAlign w:val="center"/>
          </w:tcPr>
          <w:p w14:paraId="09FC6D80" w14:textId="77777777" w:rsidR="003914CD" w:rsidRPr="00445472" w:rsidRDefault="003914CD" w:rsidP="003914CD">
            <w:pPr>
              <w:pStyle w:val="TableTextCentre"/>
              <w:spacing w:before="15" w:after="0"/>
              <w:ind w:right="44"/>
              <w:rPr>
                <w:rFonts w:ascii="Garamond" w:hAnsi="Garamond"/>
                <w:sz w:val="18"/>
                <w:szCs w:val="18"/>
                <w:lang w:val="sq-AL"/>
              </w:rPr>
            </w:pPr>
          </w:p>
          <w:p w14:paraId="34018CE2" w14:textId="77777777" w:rsidR="003914CD" w:rsidRPr="00445472" w:rsidRDefault="003914CD" w:rsidP="003914CD">
            <w:pPr>
              <w:pStyle w:val="TableTextCentre"/>
              <w:spacing w:before="15" w:after="0"/>
              <w:ind w:right="44"/>
              <w:rPr>
                <w:rFonts w:ascii="Garamond" w:hAnsi="Garamond"/>
                <w:sz w:val="18"/>
                <w:szCs w:val="18"/>
                <w:lang w:val="sq-AL"/>
              </w:rPr>
            </w:pPr>
          </w:p>
          <w:p w14:paraId="3A869B95"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Totali i fosforit (TP) mesatarja vjetore (MV)</w:t>
            </w:r>
          </w:p>
        </w:tc>
        <w:tc>
          <w:tcPr>
            <w:tcW w:w="2068" w:type="dxa"/>
            <w:shd w:val="clear" w:color="auto" w:fill="66FFFF"/>
            <w:vAlign w:val="center"/>
          </w:tcPr>
          <w:p w14:paraId="590B8908" w14:textId="77777777" w:rsidR="003914CD" w:rsidRPr="00445472" w:rsidRDefault="003914CD" w:rsidP="003914CD">
            <w:pPr>
              <w:pStyle w:val="TableTextCentre"/>
              <w:spacing w:before="15" w:after="0"/>
              <w:ind w:right="44"/>
              <w:rPr>
                <w:rFonts w:ascii="Garamond" w:hAnsi="Garamond"/>
                <w:sz w:val="18"/>
                <w:szCs w:val="18"/>
                <w:lang w:val="sq-AL"/>
              </w:rPr>
            </w:pPr>
          </w:p>
          <w:p w14:paraId="2A94D2F2" w14:textId="77777777" w:rsidR="003914CD" w:rsidRPr="00445472" w:rsidRDefault="003914CD" w:rsidP="003914CD">
            <w:pPr>
              <w:pStyle w:val="TableTextCentre"/>
              <w:spacing w:before="15" w:after="0"/>
              <w:ind w:right="44"/>
              <w:rPr>
                <w:rFonts w:ascii="Garamond" w:hAnsi="Garamond"/>
                <w:sz w:val="18"/>
                <w:szCs w:val="18"/>
                <w:lang w:val="sq-AL"/>
              </w:rPr>
            </w:pPr>
          </w:p>
          <w:p w14:paraId="2A6D5BFE"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Gjithmonë &lt; 0.025 mg P/l ose gjurmë</w:t>
            </w:r>
          </w:p>
        </w:tc>
        <w:tc>
          <w:tcPr>
            <w:tcW w:w="2000" w:type="dxa"/>
            <w:shd w:val="clear" w:color="auto" w:fill="66FFFF"/>
            <w:vAlign w:val="center"/>
          </w:tcPr>
          <w:p w14:paraId="406EDD17" w14:textId="77777777" w:rsidR="003914CD" w:rsidRPr="00445472" w:rsidRDefault="003914CD" w:rsidP="003914CD">
            <w:pPr>
              <w:pStyle w:val="TableTextCentre"/>
              <w:spacing w:before="15" w:after="0"/>
              <w:ind w:right="44"/>
              <w:rPr>
                <w:rFonts w:ascii="Garamond" w:hAnsi="Garamond"/>
                <w:sz w:val="18"/>
                <w:szCs w:val="18"/>
                <w:lang w:val="sq-AL"/>
              </w:rPr>
            </w:pPr>
          </w:p>
          <w:p w14:paraId="78248F92" w14:textId="77777777" w:rsidR="003914CD" w:rsidRPr="00445472" w:rsidRDefault="003914CD" w:rsidP="003914CD">
            <w:pPr>
              <w:pStyle w:val="TableTextCentre"/>
              <w:spacing w:before="15" w:after="0"/>
              <w:ind w:right="44"/>
              <w:rPr>
                <w:rFonts w:ascii="Garamond" w:hAnsi="Garamond"/>
                <w:sz w:val="18"/>
                <w:szCs w:val="18"/>
                <w:lang w:val="sq-AL"/>
              </w:rPr>
            </w:pPr>
          </w:p>
          <w:p w14:paraId="2DA4DA89"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Gjithmonë &lt; 0.055 mg P/l ose gjurmë</w:t>
            </w:r>
          </w:p>
        </w:tc>
        <w:tc>
          <w:tcPr>
            <w:tcW w:w="2004" w:type="dxa"/>
            <w:shd w:val="clear" w:color="auto" w:fill="00FF00"/>
            <w:vAlign w:val="center"/>
          </w:tcPr>
          <w:p w14:paraId="28609569" w14:textId="77777777" w:rsidR="003914CD" w:rsidRPr="00445472" w:rsidRDefault="003914CD" w:rsidP="003914CD">
            <w:pPr>
              <w:pStyle w:val="TableTextCentre"/>
              <w:spacing w:before="15" w:after="0"/>
              <w:ind w:right="44"/>
              <w:rPr>
                <w:rFonts w:ascii="Garamond" w:hAnsi="Garamond"/>
                <w:sz w:val="18"/>
                <w:szCs w:val="18"/>
                <w:lang w:val="sq-AL"/>
              </w:rPr>
            </w:pPr>
          </w:p>
          <w:p w14:paraId="1C50963E" w14:textId="77777777" w:rsidR="003914CD" w:rsidRPr="00445472" w:rsidRDefault="003914CD" w:rsidP="003914CD">
            <w:pPr>
              <w:pStyle w:val="TableTextCentre"/>
              <w:spacing w:before="15" w:after="0"/>
              <w:ind w:right="44"/>
              <w:rPr>
                <w:rFonts w:ascii="Garamond" w:hAnsi="Garamond"/>
                <w:sz w:val="18"/>
                <w:szCs w:val="18"/>
                <w:lang w:val="sq-AL"/>
              </w:rPr>
            </w:pPr>
          </w:p>
          <w:p w14:paraId="5AA08BBC"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0.075 mg P/l</w:t>
            </w:r>
          </w:p>
        </w:tc>
        <w:tc>
          <w:tcPr>
            <w:tcW w:w="2074" w:type="dxa"/>
            <w:shd w:val="clear" w:color="auto" w:fill="FFFF00"/>
            <w:vAlign w:val="center"/>
          </w:tcPr>
          <w:p w14:paraId="5C1D8283" w14:textId="77777777" w:rsidR="003914CD" w:rsidRPr="00445472" w:rsidRDefault="003914CD" w:rsidP="003914CD">
            <w:pPr>
              <w:pStyle w:val="TableTextCentre"/>
              <w:spacing w:before="15" w:after="0"/>
              <w:ind w:right="44"/>
              <w:rPr>
                <w:rFonts w:ascii="Garamond" w:hAnsi="Garamond"/>
                <w:sz w:val="18"/>
                <w:szCs w:val="18"/>
                <w:lang w:val="sq-AL"/>
              </w:rPr>
            </w:pPr>
          </w:p>
          <w:p w14:paraId="7324C5E9"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0.1 mg P/l</w:t>
            </w:r>
          </w:p>
          <w:p w14:paraId="64C9722E" w14:textId="77777777" w:rsidR="003914CD" w:rsidRPr="00445472" w:rsidRDefault="003914CD" w:rsidP="003914CD">
            <w:pPr>
              <w:pStyle w:val="TableTextCentre"/>
              <w:spacing w:before="15" w:after="0"/>
              <w:ind w:right="44"/>
              <w:rPr>
                <w:rFonts w:ascii="Garamond" w:hAnsi="Garamond"/>
                <w:sz w:val="18"/>
                <w:szCs w:val="18"/>
                <w:lang w:val="sq-AL"/>
              </w:rPr>
            </w:pPr>
          </w:p>
          <w:p w14:paraId="1F2E3657" w14:textId="25927024"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 xml:space="preserve">Rreziku që eutrofikimi të marrë ËB </w:t>
            </w:r>
            <w:r w:rsidR="00D62EDF" w:rsidRPr="00445472">
              <w:rPr>
                <w:rFonts w:ascii="Garamond" w:hAnsi="Garamond"/>
                <w:sz w:val="18"/>
                <w:szCs w:val="18"/>
                <w:lang w:val="sq-AL"/>
              </w:rPr>
              <w:t>“</w:t>
            </w:r>
            <w:r w:rsidRPr="00445472">
              <w:rPr>
                <w:rFonts w:ascii="Garamond" w:hAnsi="Garamond"/>
                <w:sz w:val="18"/>
                <w:szCs w:val="18"/>
                <w:lang w:val="sq-AL"/>
              </w:rPr>
              <w:t>liqeni</w:t>
            </w:r>
            <w:r w:rsidR="00D62EDF" w:rsidRPr="00445472">
              <w:rPr>
                <w:rFonts w:ascii="Garamond" w:hAnsi="Garamond"/>
                <w:sz w:val="18"/>
                <w:szCs w:val="18"/>
                <w:lang w:val="sq-AL"/>
              </w:rPr>
              <w:t>”</w:t>
            </w:r>
          </w:p>
        </w:tc>
        <w:tc>
          <w:tcPr>
            <w:tcW w:w="2074" w:type="dxa"/>
            <w:shd w:val="clear" w:color="auto" w:fill="FF9900"/>
            <w:vAlign w:val="center"/>
          </w:tcPr>
          <w:p w14:paraId="4AE76319" w14:textId="77777777" w:rsidR="003914CD" w:rsidRPr="00445472" w:rsidRDefault="003914CD" w:rsidP="003914CD">
            <w:pPr>
              <w:pStyle w:val="TableTextCentre"/>
              <w:spacing w:before="15" w:after="0"/>
              <w:ind w:right="44"/>
              <w:rPr>
                <w:rFonts w:ascii="Garamond" w:hAnsi="Garamond"/>
                <w:sz w:val="18"/>
                <w:szCs w:val="18"/>
                <w:lang w:val="sq-AL"/>
              </w:rPr>
            </w:pPr>
          </w:p>
          <w:p w14:paraId="29D1987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0.2 mg P/l</w:t>
            </w:r>
          </w:p>
          <w:p w14:paraId="68D2D3A9" w14:textId="31D26809"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 xml:space="preserve">Rrezik i rëndë që </w:t>
            </w:r>
            <w:r w:rsidR="00D62EDF" w:rsidRPr="00445472">
              <w:rPr>
                <w:rFonts w:ascii="Garamond" w:hAnsi="Garamond"/>
                <w:sz w:val="18"/>
                <w:szCs w:val="18"/>
                <w:lang w:val="sq-AL"/>
              </w:rPr>
              <w:t>“</w:t>
            </w:r>
            <w:r w:rsidRPr="00445472">
              <w:rPr>
                <w:rFonts w:ascii="Garamond" w:hAnsi="Garamond"/>
                <w:sz w:val="18"/>
                <w:szCs w:val="18"/>
                <w:lang w:val="sq-AL"/>
              </w:rPr>
              <w:t>liqenet</w:t>
            </w:r>
            <w:r w:rsidR="00D62EDF" w:rsidRPr="00445472">
              <w:rPr>
                <w:rFonts w:ascii="Garamond" w:hAnsi="Garamond"/>
                <w:sz w:val="18"/>
                <w:szCs w:val="18"/>
                <w:lang w:val="sq-AL"/>
              </w:rPr>
              <w:t>”</w:t>
            </w:r>
            <w:r w:rsidRPr="00445472">
              <w:rPr>
                <w:rFonts w:ascii="Garamond" w:hAnsi="Garamond"/>
                <w:sz w:val="18"/>
                <w:szCs w:val="18"/>
                <w:lang w:val="sq-AL"/>
              </w:rPr>
              <w:t>/deti të marrë eutrofikim</w:t>
            </w:r>
          </w:p>
        </w:tc>
        <w:tc>
          <w:tcPr>
            <w:tcW w:w="2005" w:type="dxa"/>
            <w:shd w:val="clear" w:color="auto" w:fill="FF0000"/>
            <w:vAlign w:val="center"/>
          </w:tcPr>
          <w:p w14:paraId="7B0EF0B4"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Nganjëherë &gt; 0.2 mg P/l</w:t>
            </w:r>
          </w:p>
          <w:p w14:paraId="07352254" w14:textId="5221DDCD"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 xml:space="preserve">Rrezik i madh që </w:t>
            </w:r>
            <w:r w:rsidR="00D62EDF" w:rsidRPr="00445472">
              <w:rPr>
                <w:rFonts w:ascii="Garamond" w:hAnsi="Garamond"/>
                <w:sz w:val="18"/>
                <w:szCs w:val="18"/>
                <w:lang w:val="sq-AL"/>
              </w:rPr>
              <w:t>“</w:t>
            </w:r>
            <w:r w:rsidRPr="00445472">
              <w:rPr>
                <w:rFonts w:ascii="Garamond" w:hAnsi="Garamond"/>
                <w:sz w:val="18"/>
                <w:szCs w:val="18"/>
                <w:lang w:val="sq-AL"/>
              </w:rPr>
              <w:t>liqenet</w:t>
            </w:r>
            <w:r w:rsidR="00D62EDF" w:rsidRPr="00445472">
              <w:rPr>
                <w:rFonts w:ascii="Garamond" w:hAnsi="Garamond"/>
                <w:sz w:val="18"/>
                <w:szCs w:val="18"/>
                <w:lang w:val="sq-AL"/>
              </w:rPr>
              <w:t>”</w:t>
            </w:r>
            <w:r w:rsidRPr="00445472">
              <w:rPr>
                <w:rFonts w:ascii="Garamond" w:hAnsi="Garamond"/>
                <w:sz w:val="18"/>
                <w:szCs w:val="18"/>
                <w:lang w:val="sq-AL"/>
              </w:rPr>
              <w:t>/deti të marrë eutrofikim</w:t>
            </w:r>
          </w:p>
        </w:tc>
      </w:tr>
      <w:tr w:rsidR="003914CD" w:rsidRPr="00445472" w14:paraId="6C21A21D" w14:textId="77777777" w:rsidTr="002A1F08">
        <w:trPr>
          <w:trHeight w:val="1180"/>
        </w:trPr>
        <w:tc>
          <w:tcPr>
            <w:tcW w:w="2063" w:type="dxa"/>
            <w:vAlign w:val="center"/>
          </w:tcPr>
          <w:p w14:paraId="76070D90" w14:textId="77777777" w:rsidR="003914CD" w:rsidRPr="00445472" w:rsidRDefault="003914CD" w:rsidP="003914CD">
            <w:pPr>
              <w:pStyle w:val="TableTextCentre"/>
              <w:spacing w:before="15" w:after="0"/>
              <w:ind w:right="44"/>
              <w:rPr>
                <w:rFonts w:ascii="Garamond" w:hAnsi="Garamond"/>
                <w:sz w:val="18"/>
                <w:szCs w:val="18"/>
                <w:lang w:val="sq-AL"/>
              </w:rPr>
            </w:pPr>
          </w:p>
          <w:p w14:paraId="07A03BB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Amonet dhe nitritet (N- NH</w:t>
            </w:r>
            <w:r w:rsidRPr="00445472">
              <w:rPr>
                <w:rFonts w:ascii="Garamond" w:hAnsi="Garamond"/>
                <w:sz w:val="18"/>
                <w:szCs w:val="18"/>
                <w:vertAlign w:val="subscript"/>
                <w:lang w:val="sq-AL"/>
              </w:rPr>
              <w:t>4</w:t>
            </w:r>
            <w:r w:rsidRPr="00445472">
              <w:rPr>
                <w:rFonts w:ascii="Garamond" w:hAnsi="Garamond"/>
                <w:sz w:val="18"/>
                <w:szCs w:val="18"/>
                <w:lang w:val="sq-AL"/>
              </w:rPr>
              <w:t xml:space="preserve"> dhe N-NO</w:t>
            </w:r>
            <w:r w:rsidRPr="00445472">
              <w:rPr>
                <w:rFonts w:ascii="Garamond" w:hAnsi="Garamond"/>
                <w:sz w:val="18"/>
                <w:szCs w:val="18"/>
                <w:vertAlign w:val="subscript"/>
                <w:lang w:val="sq-AL"/>
              </w:rPr>
              <w:t>2</w:t>
            </w:r>
            <w:r w:rsidRPr="00445472">
              <w:rPr>
                <w:rFonts w:ascii="Garamond" w:hAnsi="Garamond"/>
                <w:sz w:val="18"/>
                <w:szCs w:val="18"/>
                <w:lang w:val="sq-AL"/>
              </w:rPr>
              <w:t>)</w:t>
            </w:r>
          </w:p>
        </w:tc>
        <w:tc>
          <w:tcPr>
            <w:tcW w:w="2068" w:type="dxa"/>
            <w:shd w:val="clear" w:color="auto" w:fill="66FFFF"/>
            <w:vAlign w:val="center"/>
          </w:tcPr>
          <w:p w14:paraId="291E717B" w14:textId="77777777" w:rsidR="003914CD" w:rsidRPr="00445472" w:rsidRDefault="003914CD" w:rsidP="003914CD">
            <w:pPr>
              <w:pStyle w:val="TableTextCentre"/>
              <w:spacing w:before="15" w:after="0"/>
              <w:ind w:right="44"/>
              <w:rPr>
                <w:rFonts w:ascii="Garamond" w:hAnsi="Garamond"/>
                <w:sz w:val="18"/>
                <w:szCs w:val="18"/>
                <w:lang w:val="sq-AL"/>
              </w:rPr>
            </w:pPr>
          </w:p>
          <w:p w14:paraId="0FF44B69" w14:textId="77777777" w:rsidR="003914CD" w:rsidRPr="00445472" w:rsidRDefault="003914CD" w:rsidP="003914CD">
            <w:pPr>
              <w:pStyle w:val="TableTextCentre"/>
              <w:spacing w:before="15" w:after="0"/>
              <w:ind w:right="44"/>
              <w:rPr>
                <w:rFonts w:ascii="Garamond" w:hAnsi="Garamond"/>
                <w:sz w:val="18"/>
                <w:szCs w:val="18"/>
                <w:lang w:val="sq-AL"/>
              </w:rPr>
            </w:pPr>
          </w:p>
          <w:p w14:paraId="29FDB8D0"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Fare ose afër zeros</w:t>
            </w:r>
          </w:p>
        </w:tc>
        <w:tc>
          <w:tcPr>
            <w:tcW w:w="2000" w:type="dxa"/>
            <w:shd w:val="clear" w:color="auto" w:fill="66FFFF"/>
            <w:vAlign w:val="center"/>
          </w:tcPr>
          <w:p w14:paraId="05A7C9D9" w14:textId="77777777" w:rsidR="003914CD" w:rsidRPr="00445472" w:rsidRDefault="003914CD" w:rsidP="003914CD">
            <w:pPr>
              <w:pStyle w:val="TableTextCentre"/>
              <w:spacing w:before="15" w:after="0"/>
              <w:ind w:right="44"/>
              <w:rPr>
                <w:rFonts w:ascii="Garamond" w:hAnsi="Garamond"/>
                <w:sz w:val="18"/>
                <w:szCs w:val="18"/>
                <w:lang w:val="sq-AL"/>
              </w:rPr>
            </w:pPr>
          </w:p>
          <w:p w14:paraId="10F74BD9" w14:textId="77777777" w:rsidR="003914CD" w:rsidRPr="00445472" w:rsidRDefault="003914CD" w:rsidP="003914CD">
            <w:pPr>
              <w:pStyle w:val="TableTextCentre"/>
              <w:spacing w:before="15" w:after="0"/>
              <w:ind w:right="44"/>
              <w:rPr>
                <w:rFonts w:ascii="Garamond" w:hAnsi="Garamond"/>
                <w:sz w:val="18"/>
                <w:szCs w:val="18"/>
                <w:lang w:val="sq-AL"/>
              </w:rPr>
            </w:pPr>
          </w:p>
          <w:p w14:paraId="7A25784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Fare ose afër zeros</w:t>
            </w:r>
          </w:p>
        </w:tc>
        <w:tc>
          <w:tcPr>
            <w:tcW w:w="2004" w:type="dxa"/>
            <w:shd w:val="clear" w:color="auto" w:fill="00FF00"/>
            <w:vAlign w:val="center"/>
          </w:tcPr>
          <w:p w14:paraId="0A8441B2" w14:textId="77777777" w:rsidR="003914CD" w:rsidRPr="00445472" w:rsidRDefault="003914CD" w:rsidP="003914CD">
            <w:pPr>
              <w:pStyle w:val="TableTextCentre"/>
              <w:spacing w:before="15" w:after="0"/>
              <w:ind w:right="44"/>
              <w:rPr>
                <w:rFonts w:ascii="Garamond" w:hAnsi="Garamond"/>
                <w:sz w:val="18"/>
                <w:szCs w:val="18"/>
                <w:lang w:val="sq-AL"/>
              </w:rPr>
            </w:pPr>
          </w:p>
          <w:p w14:paraId="0ED8ED8F" w14:textId="77777777" w:rsidR="003914CD" w:rsidRPr="00445472" w:rsidRDefault="003914CD" w:rsidP="003914CD">
            <w:pPr>
              <w:pStyle w:val="TableTextCentre"/>
              <w:spacing w:before="15" w:after="0"/>
              <w:ind w:right="44"/>
              <w:rPr>
                <w:rFonts w:ascii="Garamond" w:hAnsi="Garamond"/>
                <w:sz w:val="18"/>
                <w:szCs w:val="18"/>
                <w:lang w:val="sq-AL"/>
              </w:rPr>
            </w:pPr>
          </w:p>
          <w:p w14:paraId="331E3AA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Gjurmë ose fare</w:t>
            </w:r>
          </w:p>
        </w:tc>
        <w:tc>
          <w:tcPr>
            <w:tcW w:w="2074" w:type="dxa"/>
            <w:shd w:val="clear" w:color="auto" w:fill="FFFF00"/>
            <w:vAlign w:val="center"/>
          </w:tcPr>
          <w:p w14:paraId="29BCD8E2" w14:textId="77777777" w:rsidR="003914CD" w:rsidRPr="00445472" w:rsidRDefault="003914CD" w:rsidP="003914CD">
            <w:pPr>
              <w:pStyle w:val="TableTextCentre"/>
              <w:spacing w:before="15" w:after="0"/>
              <w:ind w:right="44"/>
              <w:rPr>
                <w:rFonts w:ascii="Garamond" w:hAnsi="Garamond"/>
                <w:sz w:val="18"/>
                <w:szCs w:val="18"/>
                <w:lang w:val="sq-AL"/>
              </w:rPr>
            </w:pPr>
          </w:p>
          <w:p w14:paraId="4CD92321"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Të ndryshueshme, nganjëherë N-NH4 &lt;1 mg N/l, dhe N-NO2 &lt;0.09 mg N/l</w:t>
            </w:r>
          </w:p>
        </w:tc>
        <w:tc>
          <w:tcPr>
            <w:tcW w:w="2074" w:type="dxa"/>
            <w:shd w:val="clear" w:color="auto" w:fill="FF9900"/>
            <w:vAlign w:val="center"/>
          </w:tcPr>
          <w:p w14:paraId="41257856"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Të ndryshueshme, nganjëherë N-NH4 &lt;1.5 mg N/l,</w:t>
            </w:r>
          </w:p>
          <w:p w14:paraId="558662CB"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dhe N-NO2 &lt;0.09 mg N/l</w:t>
            </w:r>
          </w:p>
        </w:tc>
        <w:tc>
          <w:tcPr>
            <w:tcW w:w="2005" w:type="dxa"/>
            <w:shd w:val="clear" w:color="auto" w:fill="FF0000"/>
            <w:vAlign w:val="center"/>
          </w:tcPr>
          <w:p w14:paraId="1F88E0A3"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Të ndryshueshme, nganjëherë N-NH4 &gt;1.5 mg N/l,</w:t>
            </w:r>
          </w:p>
          <w:p w14:paraId="611E8D5A"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dhe N-NO2 &gt;0.09 mg N/l</w:t>
            </w:r>
          </w:p>
        </w:tc>
      </w:tr>
      <w:tr w:rsidR="003914CD" w:rsidRPr="00445472" w14:paraId="5C761B61" w14:textId="77777777" w:rsidTr="002A1F08">
        <w:trPr>
          <w:trHeight w:val="880"/>
        </w:trPr>
        <w:tc>
          <w:tcPr>
            <w:tcW w:w="2063" w:type="dxa"/>
            <w:vAlign w:val="center"/>
          </w:tcPr>
          <w:p w14:paraId="61552C5E"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Nitrate (N-NO</w:t>
            </w:r>
            <w:r w:rsidRPr="00445472">
              <w:rPr>
                <w:rFonts w:ascii="Garamond" w:hAnsi="Garamond"/>
                <w:sz w:val="18"/>
                <w:szCs w:val="18"/>
                <w:vertAlign w:val="subscript"/>
                <w:lang w:val="sq-AL"/>
              </w:rPr>
              <w:t>3</w:t>
            </w:r>
            <w:r w:rsidRPr="00445472">
              <w:rPr>
                <w:rFonts w:ascii="Garamond" w:hAnsi="Garamond"/>
                <w:sz w:val="18"/>
                <w:szCs w:val="18"/>
                <w:lang w:val="sq-AL"/>
              </w:rPr>
              <w:t>)</w:t>
            </w:r>
          </w:p>
          <w:p w14:paraId="1B93F97A"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Mesatarja vjetore (AA)</w:t>
            </w:r>
          </w:p>
        </w:tc>
        <w:tc>
          <w:tcPr>
            <w:tcW w:w="2068" w:type="dxa"/>
            <w:shd w:val="clear" w:color="auto" w:fill="66FFFF"/>
            <w:vAlign w:val="center"/>
          </w:tcPr>
          <w:p w14:paraId="16D6834E" w14:textId="77777777" w:rsidR="003914CD" w:rsidRPr="00445472" w:rsidRDefault="003914CD" w:rsidP="003914CD">
            <w:pPr>
              <w:pStyle w:val="TableTextCentre"/>
              <w:spacing w:before="15" w:after="0"/>
              <w:ind w:right="44"/>
              <w:rPr>
                <w:rFonts w:ascii="Garamond" w:hAnsi="Garamond"/>
                <w:sz w:val="18"/>
                <w:szCs w:val="18"/>
                <w:lang w:val="sq-AL"/>
              </w:rPr>
            </w:pPr>
          </w:p>
          <w:p w14:paraId="3E7813D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Gjithmonë &lt; 1 mg N/l ose gjurmë</w:t>
            </w:r>
          </w:p>
        </w:tc>
        <w:tc>
          <w:tcPr>
            <w:tcW w:w="2000" w:type="dxa"/>
            <w:shd w:val="clear" w:color="auto" w:fill="66FFFF"/>
            <w:vAlign w:val="center"/>
          </w:tcPr>
          <w:p w14:paraId="1F9DE40B" w14:textId="77777777" w:rsidR="003914CD" w:rsidRPr="00445472" w:rsidRDefault="003914CD" w:rsidP="003914CD">
            <w:pPr>
              <w:pStyle w:val="TableTextCentre"/>
              <w:spacing w:before="15" w:after="0"/>
              <w:ind w:right="44"/>
              <w:rPr>
                <w:rFonts w:ascii="Garamond" w:hAnsi="Garamond"/>
                <w:sz w:val="18"/>
                <w:szCs w:val="18"/>
                <w:lang w:val="sq-AL"/>
              </w:rPr>
            </w:pPr>
          </w:p>
          <w:p w14:paraId="074231AC"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Gjithmonë &lt; 1 mg N/l ose gjurmë</w:t>
            </w:r>
          </w:p>
        </w:tc>
        <w:tc>
          <w:tcPr>
            <w:tcW w:w="2004" w:type="dxa"/>
            <w:shd w:val="clear" w:color="auto" w:fill="00FF00"/>
            <w:vAlign w:val="center"/>
          </w:tcPr>
          <w:p w14:paraId="11784564" w14:textId="77777777" w:rsidR="003914CD" w:rsidRPr="00445472" w:rsidRDefault="003914CD" w:rsidP="003914CD">
            <w:pPr>
              <w:pStyle w:val="TableTextCentre"/>
              <w:spacing w:before="15" w:after="0"/>
              <w:ind w:right="44"/>
              <w:rPr>
                <w:rFonts w:ascii="Garamond" w:hAnsi="Garamond"/>
                <w:sz w:val="18"/>
                <w:szCs w:val="18"/>
                <w:lang w:val="sq-AL"/>
              </w:rPr>
            </w:pPr>
          </w:p>
          <w:p w14:paraId="4E0ABFC1"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2.5 mg N/l</w:t>
            </w:r>
          </w:p>
        </w:tc>
        <w:tc>
          <w:tcPr>
            <w:tcW w:w="2074" w:type="dxa"/>
            <w:shd w:val="clear" w:color="auto" w:fill="FFFF00"/>
            <w:vAlign w:val="center"/>
          </w:tcPr>
          <w:p w14:paraId="0D6B3252" w14:textId="77777777" w:rsidR="003914CD" w:rsidRPr="00445472" w:rsidRDefault="003914CD" w:rsidP="003914CD">
            <w:pPr>
              <w:pStyle w:val="TableTextCentre"/>
              <w:spacing w:before="15" w:after="0"/>
              <w:ind w:right="44"/>
              <w:rPr>
                <w:rFonts w:ascii="Garamond" w:hAnsi="Garamond"/>
                <w:sz w:val="18"/>
                <w:szCs w:val="18"/>
                <w:lang w:val="sq-AL"/>
              </w:rPr>
            </w:pPr>
          </w:p>
          <w:p w14:paraId="64763A25"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5 mg N/l</w:t>
            </w:r>
          </w:p>
        </w:tc>
        <w:tc>
          <w:tcPr>
            <w:tcW w:w="2074" w:type="dxa"/>
            <w:shd w:val="clear" w:color="auto" w:fill="FF9900"/>
            <w:vAlign w:val="center"/>
          </w:tcPr>
          <w:p w14:paraId="26A18CC9" w14:textId="77777777" w:rsidR="003914CD" w:rsidRPr="00445472" w:rsidRDefault="003914CD" w:rsidP="003914CD">
            <w:pPr>
              <w:pStyle w:val="TableTextCentre"/>
              <w:spacing w:before="15" w:after="0"/>
              <w:ind w:right="44"/>
              <w:rPr>
                <w:rFonts w:ascii="Garamond" w:hAnsi="Garamond"/>
                <w:sz w:val="18"/>
                <w:szCs w:val="18"/>
                <w:lang w:val="sq-AL"/>
              </w:rPr>
            </w:pPr>
          </w:p>
          <w:p w14:paraId="1EA2D1B7"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Zakonisht &lt; 12 mg N/l</w:t>
            </w:r>
          </w:p>
        </w:tc>
        <w:tc>
          <w:tcPr>
            <w:tcW w:w="2005" w:type="dxa"/>
            <w:shd w:val="clear" w:color="auto" w:fill="FF0000"/>
            <w:vAlign w:val="center"/>
          </w:tcPr>
          <w:p w14:paraId="67541306" w14:textId="77777777" w:rsidR="003914CD" w:rsidRPr="00445472" w:rsidRDefault="003914CD" w:rsidP="003914CD">
            <w:pPr>
              <w:pStyle w:val="TableTextCentre"/>
              <w:spacing w:before="15" w:after="0"/>
              <w:ind w:right="44"/>
              <w:rPr>
                <w:rFonts w:ascii="Garamond" w:hAnsi="Garamond"/>
                <w:sz w:val="18"/>
                <w:szCs w:val="18"/>
                <w:lang w:val="sq-AL"/>
              </w:rPr>
            </w:pPr>
          </w:p>
          <w:p w14:paraId="1F6ABA34" w14:textId="77777777" w:rsidR="003914CD" w:rsidRPr="00445472" w:rsidRDefault="003914CD" w:rsidP="003914CD">
            <w:pPr>
              <w:pStyle w:val="TableTextCentre"/>
              <w:spacing w:before="15" w:after="0"/>
              <w:ind w:right="44"/>
              <w:rPr>
                <w:rFonts w:ascii="Garamond" w:hAnsi="Garamond"/>
                <w:sz w:val="18"/>
                <w:szCs w:val="18"/>
                <w:lang w:val="sq-AL"/>
              </w:rPr>
            </w:pPr>
            <w:r w:rsidRPr="00445472">
              <w:rPr>
                <w:rFonts w:ascii="Garamond" w:hAnsi="Garamond"/>
                <w:sz w:val="18"/>
                <w:szCs w:val="18"/>
                <w:lang w:val="sq-AL"/>
              </w:rPr>
              <w:t>Nganjëherë &gt; 12 mg N/l</w:t>
            </w:r>
          </w:p>
        </w:tc>
      </w:tr>
      <w:tr w:rsidR="003914CD" w:rsidRPr="00445472" w14:paraId="3C3B6FC6"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772D9A9A" w14:textId="33889D2F"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lang w:val="sq-AL"/>
              </w:rPr>
              <w:br w:type="page"/>
            </w:r>
            <w:r w:rsidRPr="00445472">
              <w:rPr>
                <w:rFonts w:ascii="Garamond" w:hAnsi="Garamond"/>
                <w:b/>
                <w:sz w:val="18"/>
                <w:szCs w:val="18"/>
                <w:lang w:val="sq-AL"/>
              </w:rPr>
              <w:t>Statusi ekologjik</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2B910B3F"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shumë i mirë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766928C1"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shumë i mirë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3B4D6F25"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i mirë</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24ADC22C"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mesatar</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38FEE2C2"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i keq</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254DFEF9"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shumë i keq</w:t>
            </w:r>
          </w:p>
        </w:tc>
      </w:tr>
      <w:tr w:rsidR="003914CD" w:rsidRPr="00445472" w14:paraId="6F304BDF"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4F3BC630" w14:textId="77777777" w:rsidR="003914CD" w:rsidRPr="00445472" w:rsidRDefault="003914CD" w:rsidP="002A1F08">
            <w:pPr>
              <w:pStyle w:val="TableTextCentre"/>
              <w:spacing w:before="15" w:after="15"/>
              <w:ind w:right="44"/>
              <w:rPr>
                <w:rFonts w:ascii="Garamond" w:hAnsi="Garamond"/>
                <w:sz w:val="18"/>
                <w:szCs w:val="18"/>
                <w:lang w:val="sq-AL"/>
              </w:rPr>
            </w:pPr>
          </w:p>
          <w:p w14:paraId="432EEF50" w14:textId="77777777" w:rsidR="003914CD" w:rsidRPr="00445472" w:rsidRDefault="003914CD" w:rsidP="002A1F08">
            <w:pPr>
              <w:pStyle w:val="TableTextCentre"/>
              <w:spacing w:before="15" w:after="15"/>
              <w:ind w:right="44"/>
              <w:rPr>
                <w:rFonts w:ascii="Garamond" w:hAnsi="Garamond"/>
                <w:sz w:val="18"/>
                <w:szCs w:val="18"/>
                <w:lang w:val="sq-AL"/>
              </w:rPr>
            </w:pPr>
          </w:p>
          <w:p w14:paraId="7A9F9BA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Totali i nitrogjenit (TN) mesatarja vjetore (MV)</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5823AD29" w14:textId="77777777" w:rsidR="003914CD" w:rsidRPr="00445472" w:rsidRDefault="003914CD" w:rsidP="002A1F08">
            <w:pPr>
              <w:pStyle w:val="TableTextCentre"/>
              <w:spacing w:before="15" w:after="15"/>
              <w:ind w:right="44"/>
              <w:rPr>
                <w:rFonts w:ascii="Garamond" w:hAnsi="Garamond"/>
                <w:sz w:val="18"/>
                <w:szCs w:val="18"/>
                <w:lang w:val="sq-AL"/>
              </w:rPr>
            </w:pPr>
          </w:p>
          <w:p w14:paraId="6BB6E704" w14:textId="77777777" w:rsidR="003914CD" w:rsidRPr="00445472" w:rsidRDefault="003914CD" w:rsidP="002A1F08">
            <w:pPr>
              <w:pStyle w:val="TableTextCentre"/>
              <w:spacing w:before="15" w:after="15"/>
              <w:ind w:right="44"/>
              <w:rPr>
                <w:rFonts w:ascii="Garamond" w:hAnsi="Garamond"/>
                <w:sz w:val="18"/>
                <w:szCs w:val="18"/>
                <w:lang w:val="sq-AL"/>
              </w:rPr>
            </w:pPr>
          </w:p>
          <w:p w14:paraId="62C97E9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Gjithmonë &lt; 1 mg N/l ose gjurmë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670A1D54" w14:textId="77777777" w:rsidR="003914CD" w:rsidRPr="00445472" w:rsidRDefault="003914CD" w:rsidP="002A1F08">
            <w:pPr>
              <w:pStyle w:val="TableTextCentre"/>
              <w:spacing w:before="15" w:after="15"/>
              <w:ind w:right="44"/>
              <w:rPr>
                <w:rFonts w:ascii="Garamond" w:hAnsi="Garamond"/>
                <w:sz w:val="18"/>
                <w:szCs w:val="18"/>
                <w:lang w:val="sq-AL"/>
              </w:rPr>
            </w:pPr>
          </w:p>
          <w:p w14:paraId="0A13FB62" w14:textId="77777777" w:rsidR="003914CD" w:rsidRPr="00445472" w:rsidRDefault="003914CD" w:rsidP="002A1F08">
            <w:pPr>
              <w:pStyle w:val="TableTextCentre"/>
              <w:spacing w:before="15" w:after="15"/>
              <w:ind w:right="44"/>
              <w:rPr>
                <w:rFonts w:ascii="Garamond" w:hAnsi="Garamond"/>
                <w:sz w:val="18"/>
                <w:szCs w:val="18"/>
                <w:lang w:val="sq-AL"/>
              </w:rPr>
            </w:pPr>
          </w:p>
          <w:p w14:paraId="3B9F863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Gjithmonë &lt; 1 mg N/l ose gjurmë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71EDAF5E" w14:textId="77777777" w:rsidR="003914CD" w:rsidRPr="00445472" w:rsidRDefault="003914CD" w:rsidP="002A1F08">
            <w:pPr>
              <w:pStyle w:val="TableTextCentre"/>
              <w:spacing w:before="15" w:after="15"/>
              <w:ind w:right="44"/>
              <w:rPr>
                <w:rFonts w:ascii="Garamond" w:hAnsi="Garamond"/>
                <w:sz w:val="18"/>
                <w:szCs w:val="18"/>
                <w:lang w:val="sq-AL"/>
              </w:rPr>
            </w:pPr>
          </w:p>
          <w:p w14:paraId="466DA7DA" w14:textId="77777777" w:rsidR="003914CD" w:rsidRPr="00445472" w:rsidRDefault="003914CD" w:rsidP="002A1F08">
            <w:pPr>
              <w:pStyle w:val="TableTextCentre"/>
              <w:spacing w:before="15" w:after="15"/>
              <w:ind w:right="44"/>
              <w:rPr>
                <w:rFonts w:ascii="Garamond" w:hAnsi="Garamond"/>
                <w:sz w:val="18"/>
                <w:szCs w:val="18"/>
                <w:lang w:val="sq-AL"/>
              </w:rPr>
            </w:pPr>
          </w:p>
          <w:p w14:paraId="77CD3607" w14:textId="77777777" w:rsidR="003914CD" w:rsidRPr="00445472" w:rsidRDefault="003914CD" w:rsidP="002A1F08">
            <w:pPr>
              <w:pStyle w:val="TableTextCentre"/>
              <w:spacing w:before="15" w:after="15"/>
              <w:ind w:right="44"/>
              <w:rPr>
                <w:rFonts w:ascii="Garamond" w:hAnsi="Garamond"/>
                <w:sz w:val="18"/>
                <w:szCs w:val="18"/>
                <w:lang w:val="sq-AL"/>
              </w:rPr>
            </w:pPr>
          </w:p>
          <w:p w14:paraId="169E909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&lt; 2.5 mg N/l</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5C1E0057" w14:textId="77777777" w:rsidR="003914CD" w:rsidRPr="00445472" w:rsidRDefault="003914CD" w:rsidP="002A1F08">
            <w:pPr>
              <w:pStyle w:val="TableTextCentre"/>
              <w:spacing w:before="15" w:after="15"/>
              <w:ind w:right="44"/>
              <w:rPr>
                <w:rFonts w:ascii="Garamond" w:hAnsi="Garamond"/>
                <w:sz w:val="18"/>
                <w:szCs w:val="18"/>
                <w:lang w:val="sq-AL"/>
              </w:rPr>
            </w:pPr>
          </w:p>
          <w:p w14:paraId="060003BE"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&lt; 5 mg N/l</w:t>
            </w:r>
          </w:p>
          <w:p w14:paraId="499C4659" w14:textId="77777777" w:rsidR="003914CD" w:rsidRPr="00445472" w:rsidRDefault="003914CD" w:rsidP="002A1F08">
            <w:pPr>
              <w:pStyle w:val="TableTextCentre"/>
              <w:spacing w:before="15" w:after="15"/>
              <w:ind w:right="44"/>
              <w:rPr>
                <w:rFonts w:ascii="Garamond" w:hAnsi="Garamond"/>
                <w:sz w:val="18"/>
                <w:szCs w:val="18"/>
                <w:lang w:val="sq-AL"/>
              </w:rPr>
            </w:pPr>
          </w:p>
          <w:p w14:paraId="0B439243" w14:textId="42A0C726"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 xml:space="preserve">Rreziku që eutrofikimi të marrë ËB </w:t>
            </w:r>
            <w:r w:rsidR="00D62EDF" w:rsidRPr="00445472">
              <w:rPr>
                <w:rFonts w:ascii="Garamond" w:hAnsi="Garamond"/>
                <w:sz w:val="18"/>
                <w:szCs w:val="18"/>
                <w:lang w:val="sq-AL"/>
              </w:rPr>
              <w:t>“</w:t>
            </w:r>
            <w:r w:rsidRPr="00445472">
              <w:rPr>
                <w:rFonts w:ascii="Garamond" w:hAnsi="Garamond"/>
                <w:sz w:val="18"/>
                <w:szCs w:val="18"/>
                <w:lang w:val="sq-AL"/>
              </w:rPr>
              <w:t>liqeni</w:t>
            </w:r>
            <w:r w:rsidR="00D62EDF" w:rsidRPr="00445472">
              <w:rPr>
                <w:rFonts w:ascii="Garamond" w:hAnsi="Garamond"/>
                <w:sz w:val="18"/>
                <w:szCs w:val="18"/>
                <w:lang w:val="sq-AL"/>
              </w:rPr>
              <w:t>”</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3A4EC438" w14:textId="77777777" w:rsidR="003914CD" w:rsidRPr="00445472" w:rsidRDefault="003914CD" w:rsidP="002A1F08">
            <w:pPr>
              <w:pStyle w:val="TableTextCentre"/>
              <w:spacing w:before="15" w:after="15"/>
              <w:ind w:right="44"/>
              <w:rPr>
                <w:rFonts w:ascii="Garamond" w:hAnsi="Garamond"/>
                <w:sz w:val="18"/>
                <w:szCs w:val="18"/>
                <w:lang w:val="sq-AL"/>
              </w:rPr>
            </w:pPr>
          </w:p>
          <w:p w14:paraId="7ACA74C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&lt; 12 mg N/l</w:t>
            </w:r>
          </w:p>
          <w:p w14:paraId="43EFE238" w14:textId="4F352F8D"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 xml:space="preserve">Rrezik i rëndë që </w:t>
            </w:r>
            <w:r w:rsidR="00D62EDF" w:rsidRPr="00445472">
              <w:rPr>
                <w:rFonts w:ascii="Garamond" w:hAnsi="Garamond"/>
                <w:sz w:val="18"/>
                <w:szCs w:val="18"/>
                <w:lang w:val="sq-AL"/>
              </w:rPr>
              <w:t>“</w:t>
            </w:r>
            <w:r w:rsidRPr="00445472">
              <w:rPr>
                <w:rFonts w:ascii="Garamond" w:hAnsi="Garamond"/>
                <w:sz w:val="18"/>
                <w:szCs w:val="18"/>
                <w:lang w:val="sq-AL"/>
              </w:rPr>
              <w:t>liqenet</w:t>
            </w:r>
            <w:r w:rsidR="00D62EDF" w:rsidRPr="00445472">
              <w:rPr>
                <w:rFonts w:ascii="Garamond" w:hAnsi="Garamond"/>
                <w:sz w:val="18"/>
                <w:szCs w:val="18"/>
                <w:lang w:val="sq-AL"/>
              </w:rPr>
              <w:t>”</w:t>
            </w:r>
            <w:r w:rsidRPr="00445472">
              <w:rPr>
                <w:rFonts w:ascii="Garamond" w:hAnsi="Garamond"/>
                <w:sz w:val="18"/>
                <w:szCs w:val="18"/>
                <w:lang w:val="sq-AL"/>
              </w:rPr>
              <w:t>/deti të marrë eutrofikim</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64C6610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Nganjëherë &gt; 12 mg N/l</w:t>
            </w:r>
          </w:p>
          <w:p w14:paraId="2985057D" w14:textId="3013C459"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 xml:space="preserve">Rrezik i madh që </w:t>
            </w:r>
            <w:r w:rsidR="00D62EDF" w:rsidRPr="00445472">
              <w:rPr>
                <w:rFonts w:ascii="Garamond" w:hAnsi="Garamond"/>
                <w:sz w:val="18"/>
                <w:szCs w:val="18"/>
                <w:lang w:val="sq-AL"/>
              </w:rPr>
              <w:t>“</w:t>
            </w:r>
            <w:r w:rsidRPr="00445472">
              <w:rPr>
                <w:rFonts w:ascii="Garamond" w:hAnsi="Garamond"/>
                <w:sz w:val="18"/>
                <w:szCs w:val="18"/>
                <w:lang w:val="sq-AL"/>
              </w:rPr>
              <w:t>liqenet</w:t>
            </w:r>
            <w:r w:rsidR="00D62EDF" w:rsidRPr="00445472">
              <w:rPr>
                <w:rFonts w:ascii="Garamond" w:hAnsi="Garamond"/>
                <w:sz w:val="18"/>
                <w:szCs w:val="18"/>
                <w:lang w:val="sq-AL"/>
              </w:rPr>
              <w:t>”</w:t>
            </w:r>
            <w:r w:rsidRPr="00445472">
              <w:rPr>
                <w:rFonts w:ascii="Garamond" w:hAnsi="Garamond"/>
                <w:sz w:val="18"/>
                <w:szCs w:val="18"/>
                <w:lang w:val="sq-AL"/>
              </w:rPr>
              <w:t>/deti të marrë eutrofikim</w:t>
            </w:r>
          </w:p>
        </w:tc>
      </w:tr>
      <w:tr w:rsidR="003914CD" w:rsidRPr="00445472" w14:paraId="50054D44"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2ADBA472"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Aleuritizimi organik</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47407BC3" w14:textId="77777777" w:rsidR="003914CD" w:rsidRPr="00445472" w:rsidRDefault="003914CD" w:rsidP="002A1F08">
            <w:pPr>
              <w:pStyle w:val="TableTextCentre"/>
              <w:spacing w:before="15" w:after="15"/>
              <w:ind w:right="44"/>
              <w:rPr>
                <w:rFonts w:ascii="Garamond" w:hAnsi="Garamond"/>
                <w:sz w:val="18"/>
                <w:szCs w:val="18"/>
                <w:lang w:val="sq-AL"/>
              </w:rPr>
            </w:pPr>
          </w:p>
          <w:p w14:paraId="0FD8B33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Nuk ka</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07603AD9" w14:textId="77777777" w:rsidR="003914CD" w:rsidRPr="00445472" w:rsidRDefault="003914CD" w:rsidP="002A1F08">
            <w:pPr>
              <w:pStyle w:val="TableTextCentre"/>
              <w:spacing w:before="15" w:after="15"/>
              <w:ind w:right="44"/>
              <w:rPr>
                <w:rFonts w:ascii="Garamond" w:hAnsi="Garamond"/>
                <w:sz w:val="18"/>
                <w:szCs w:val="18"/>
                <w:lang w:val="sq-AL"/>
              </w:rPr>
            </w:pPr>
          </w:p>
          <w:p w14:paraId="11BE3F9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Ndoshta të lehtë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4A9A7CDD" w14:textId="77777777" w:rsidR="003914CD" w:rsidRPr="00445472" w:rsidRDefault="003914CD" w:rsidP="002A1F08">
            <w:pPr>
              <w:pStyle w:val="TableTextCentre"/>
              <w:spacing w:before="15" w:after="15"/>
              <w:ind w:right="44"/>
              <w:rPr>
                <w:rFonts w:ascii="Garamond" w:hAnsi="Garamond"/>
                <w:sz w:val="18"/>
                <w:szCs w:val="18"/>
                <w:lang w:val="sq-AL"/>
              </w:rPr>
            </w:pPr>
          </w:p>
          <w:p w14:paraId="23B5118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Ndoshta të lehtë</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746E9A25" w14:textId="77777777" w:rsidR="003914CD" w:rsidRPr="00445472" w:rsidRDefault="003914CD" w:rsidP="002A1F08">
            <w:pPr>
              <w:pStyle w:val="TableTextCentre"/>
              <w:spacing w:before="15" w:after="15"/>
              <w:ind w:right="44"/>
              <w:rPr>
                <w:rFonts w:ascii="Garamond" w:hAnsi="Garamond"/>
                <w:sz w:val="18"/>
                <w:szCs w:val="18"/>
                <w:lang w:val="sq-AL"/>
              </w:rPr>
            </w:pPr>
          </w:p>
          <w:p w14:paraId="521C746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Ndoshta të konsiderueshëm</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28AB6486" w14:textId="77777777" w:rsidR="003914CD" w:rsidRPr="00445472" w:rsidRDefault="003914CD" w:rsidP="002A1F08">
            <w:pPr>
              <w:pStyle w:val="TableTextCentre"/>
              <w:spacing w:before="15" w:after="15"/>
              <w:ind w:right="44"/>
              <w:rPr>
                <w:rFonts w:ascii="Garamond" w:hAnsi="Garamond"/>
                <w:sz w:val="18"/>
                <w:szCs w:val="18"/>
                <w:lang w:val="sq-AL"/>
              </w:rPr>
            </w:pPr>
          </w:p>
          <w:p w14:paraId="523C23DF"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i madh</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68390EE1" w14:textId="77777777" w:rsidR="003914CD" w:rsidRPr="00445472" w:rsidRDefault="003914CD" w:rsidP="002A1F08">
            <w:pPr>
              <w:pStyle w:val="TableTextCentre"/>
              <w:spacing w:before="15" w:after="15"/>
              <w:ind w:right="44"/>
              <w:rPr>
                <w:rFonts w:ascii="Garamond" w:hAnsi="Garamond"/>
                <w:sz w:val="18"/>
                <w:szCs w:val="18"/>
                <w:lang w:val="sq-AL"/>
              </w:rPr>
            </w:pPr>
          </w:p>
          <w:p w14:paraId="6FFCCB04"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shumë i madh dhe anaerobik</w:t>
            </w:r>
          </w:p>
        </w:tc>
      </w:tr>
      <w:tr w:rsidR="003914CD" w:rsidRPr="00445472" w14:paraId="58BFB67D"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76720A6F"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Komplekset e baktereve filamentoze</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10073146" w14:textId="77777777" w:rsidR="003914CD" w:rsidRPr="00445472" w:rsidRDefault="003914CD" w:rsidP="002A1F08">
            <w:pPr>
              <w:pStyle w:val="TableTextCentre"/>
              <w:spacing w:before="15" w:after="15"/>
              <w:ind w:right="44"/>
              <w:rPr>
                <w:rFonts w:ascii="Garamond" w:hAnsi="Garamond"/>
                <w:sz w:val="18"/>
                <w:szCs w:val="18"/>
                <w:lang w:val="sq-AL"/>
              </w:rPr>
            </w:pPr>
          </w:p>
          <w:p w14:paraId="7EFA0219" w14:textId="77777777" w:rsidR="003914CD" w:rsidRPr="00445472" w:rsidRDefault="003914CD" w:rsidP="002A1F08">
            <w:pPr>
              <w:pStyle w:val="TableTextCentre"/>
              <w:spacing w:before="15" w:after="15"/>
              <w:ind w:right="44"/>
              <w:rPr>
                <w:rFonts w:ascii="Garamond" w:hAnsi="Garamond"/>
                <w:sz w:val="18"/>
                <w:szCs w:val="18"/>
                <w:lang w:val="sq-AL"/>
              </w:rPr>
            </w:pPr>
          </w:p>
          <w:p w14:paraId="582F77B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Kurrë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30105A0F" w14:textId="77777777" w:rsidR="003914CD" w:rsidRPr="00445472" w:rsidRDefault="003914CD" w:rsidP="002A1F08">
            <w:pPr>
              <w:pStyle w:val="TableTextCentre"/>
              <w:spacing w:before="15" w:after="15"/>
              <w:ind w:right="44"/>
              <w:rPr>
                <w:rFonts w:ascii="Garamond" w:hAnsi="Garamond"/>
                <w:sz w:val="18"/>
                <w:szCs w:val="18"/>
                <w:lang w:val="sq-AL"/>
              </w:rPr>
            </w:pPr>
          </w:p>
          <w:p w14:paraId="7E5BBC39" w14:textId="77777777" w:rsidR="003914CD" w:rsidRPr="00445472" w:rsidRDefault="003914CD" w:rsidP="002A1F08">
            <w:pPr>
              <w:pStyle w:val="TableTextCentre"/>
              <w:spacing w:before="15" w:after="15"/>
              <w:ind w:right="44"/>
              <w:rPr>
                <w:rFonts w:ascii="Garamond" w:hAnsi="Garamond"/>
                <w:sz w:val="18"/>
                <w:szCs w:val="18"/>
                <w:lang w:val="sq-AL"/>
              </w:rPr>
            </w:pPr>
          </w:p>
          <w:p w14:paraId="2050E18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Kurrë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59E9A807" w14:textId="77777777" w:rsidR="003914CD" w:rsidRPr="00445472" w:rsidRDefault="003914CD" w:rsidP="002A1F08">
            <w:pPr>
              <w:pStyle w:val="TableTextCentre"/>
              <w:spacing w:before="15" w:after="15"/>
              <w:ind w:right="44"/>
              <w:rPr>
                <w:rFonts w:ascii="Garamond" w:hAnsi="Garamond"/>
                <w:sz w:val="18"/>
                <w:szCs w:val="18"/>
                <w:lang w:val="sq-AL"/>
              </w:rPr>
            </w:pPr>
          </w:p>
          <w:p w14:paraId="73DFEB28" w14:textId="77777777" w:rsidR="003914CD" w:rsidRPr="00445472" w:rsidRDefault="003914CD" w:rsidP="002A1F08">
            <w:pPr>
              <w:pStyle w:val="TableTextCentre"/>
              <w:spacing w:before="15" w:after="15"/>
              <w:ind w:right="44"/>
              <w:rPr>
                <w:rFonts w:ascii="Garamond" w:hAnsi="Garamond"/>
                <w:sz w:val="18"/>
                <w:szCs w:val="18"/>
                <w:lang w:val="sq-AL"/>
              </w:rPr>
            </w:pPr>
          </w:p>
          <w:p w14:paraId="704D5CD5"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Gjurmë ose fare</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62EF4898" w14:textId="77777777" w:rsidR="003914CD" w:rsidRPr="00445472" w:rsidRDefault="003914CD" w:rsidP="002A1F08">
            <w:pPr>
              <w:pStyle w:val="TableTextCentre"/>
              <w:spacing w:before="15" w:after="15"/>
              <w:ind w:right="44"/>
              <w:rPr>
                <w:rFonts w:ascii="Garamond" w:hAnsi="Garamond"/>
                <w:sz w:val="18"/>
                <w:szCs w:val="18"/>
                <w:lang w:val="sq-AL"/>
              </w:rPr>
            </w:pPr>
          </w:p>
          <w:p w14:paraId="10C0DABE"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Ndoshta disa ose shumë</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51947799" w14:textId="77777777" w:rsidR="003914CD" w:rsidRPr="00445472" w:rsidRDefault="003914CD" w:rsidP="002A1F08">
            <w:pPr>
              <w:pStyle w:val="TableTextCentre"/>
              <w:spacing w:before="15" w:after="15"/>
              <w:ind w:right="44"/>
              <w:rPr>
                <w:rFonts w:ascii="Garamond" w:hAnsi="Garamond"/>
                <w:sz w:val="18"/>
                <w:szCs w:val="18"/>
                <w:lang w:val="sq-AL"/>
              </w:rPr>
            </w:pPr>
          </w:p>
          <w:p w14:paraId="47BD1AD9" w14:textId="77777777" w:rsidR="003914CD" w:rsidRPr="00445472" w:rsidRDefault="003914CD" w:rsidP="002A1F08">
            <w:pPr>
              <w:pStyle w:val="TableTextCentre"/>
              <w:spacing w:before="15" w:after="15"/>
              <w:ind w:right="44"/>
              <w:rPr>
                <w:rFonts w:ascii="Garamond" w:hAnsi="Garamond"/>
                <w:sz w:val="18"/>
                <w:szCs w:val="18"/>
                <w:lang w:val="sq-AL"/>
              </w:rPr>
            </w:pPr>
          </w:p>
          <w:p w14:paraId="3CBBD0BF"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Ndoshta tepër shumë</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0C440808" w14:textId="77777777" w:rsidR="003914CD" w:rsidRPr="00445472" w:rsidRDefault="003914CD" w:rsidP="002A1F08">
            <w:pPr>
              <w:pStyle w:val="TableTextCentre"/>
              <w:spacing w:before="15" w:after="15"/>
              <w:ind w:right="44"/>
              <w:rPr>
                <w:rFonts w:ascii="Garamond" w:hAnsi="Garamond"/>
                <w:sz w:val="18"/>
                <w:szCs w:val="18"/>
                <w:lang w:val="sq-AL"/>
              </w:rPr>
            </w:pPr>
          </w:p>
          <w:p w14:paraId="28F4C9D0" w14:textId="77777777" w:rsidR="003914CD" w:rsidRPr="00445472" w:rsidRDefault="003914CD" w:rsidP="002A1F08">
            <w:pPr>
              <w:pStyle w:val="TableTextCentre"/>
              <w:spacing w:before="15" w:after="15"/>
              <w:ind w:right="44"/>
              <w:rPr>
                <w:rFonts w:ascii="Garamond" w:hAnsi="Garamond"/>
                <w:sz w:val="18"/>
                <w:szCs w:val="18"/>
                <w:lang w:val="sq-AL"/>
              </w:rPr>
            </w:pPr>
          </w:p>
          <w:p w14:paraId="51EEFF2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Fare (ose shumë)</w:t>
            </w:r>
          </w:p>
        </w:tc>
      </w:tr>
      <w:tr w:rsidR="003914CD" w:rsidRPr="00445472" w14:paraId="1EDD8989"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4DC8B725" w14:textId="77777777" w:rsidR="003914CD" w:rsidRPr="00445472" w:rsidRDefault="003914CD" w:rsidP="002A1F08">
            <w:pPr>
              <w:pStyle w:val="TableTextCentre"/>
              <w:spacing w:before="15" w:after="15"/>
              <w:ind w:right="44"/>
              <w:rPr>
                <w:rFonts w:ascii="Garamond" w:hAnsi="Garamond"/>
                <w:sz w:val="18"/>
                <w:szCs w:val="18"/>
                <w:lang w:val="sq-AL"/>
              </w:rPr>
            </w:pPr>
          </w:p>
          <w:p w14:paraId="2826E933"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Alga filamentoze</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77CD0C6F" w14:textId="77777777" w:rsidR="003914CD" w:rsidRPr="00445472" w:rsidRDefault="003914CD" w:rsidP="002A1F08">
            <w:pPr>
              <w:pStyle w:val="TableTextCentre"/>
              <w:spacing w:before="15" w:after="15"/>
              <w:ind w:right="44"/>
              <w:rPr>
                <w:rFonts w:ascii="Garamond" w:hAnsi="Garamond"/>
                <w:sz w:val="18"/>
                <w:szCs w:val="18"/>
                <w:lang w:val="sq-AL"/>
              </w:rPr>
            </w:pPr>
          </w:p>
          <w:p w14:paraId="1063066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Zhvillim i kufizuar</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41F92523"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Komunitete të ndryshme</w:t>
            </w:r>
          </w:p>
          <w:p w14:paraId="0E127E65" w14:textId="77777777" w:rsidR="003914CD" w:rsidRPr="00445472" w:rsidRDefault="003914CD" w:rsidP="002A1F08">
            <w:pPr>
              <w:pStyle w:val="TableTextCentre"/>
              <w:spacing w:before="15" w:after="15"/>
              <w:ind w:right="44"/>
              <w:rPr>
                <w:rFonts w:ascii="Garamond" w:hAnsi="Garamond"/>
                <w:sz w:val="18"/>
                <w:szCs w:val="18"/>
                <w:lang w:val="sq-AL"/>
              </w:rPr>
            </w:pPr>
          </w:p>
          <w:p w14:paraId="7687918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(nëse janë të pranishme)</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49E6C1A8" w14:textId="77777777" w:rsidR="003914CD" w:rsidRPr="00445472" w:rsidRDefault="003914CD" w:rsidP="002A1F08">
            <w:pPr>
              <w:pStyle w:val="TableTextCentre"/>
              <w:spacing w:before="15" w:after="15"/>
              <w:ind w:right="44"/>
              <w:rPr>
                <w:rFonts w:ascii="Garamond" w:hAnsi="Garamond"/>
                <w:sz w:val="18"/>
                <w:szCs w:val="18"/>
                <w:lang w:val="sq-AL"/>
              </w:rPr>
            </w:pPr>
          </w:p>
          <w:p w14:paraId="34A02D2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Cladophora ndoshta shumë</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7FF163A5" w14:textId="77777777" w:rsidR="003914CD" w:rsidRPr="00445472" w:rsidRDefault="003914CD" w:rsidP="002A1F08">
            <w:pPr>
              <w:pStyle w:val="TableTextCentre"/>
              <w:spacing w:before="15" w:after="15"/>
              <w:ind w:right="44"/>
              <w:rPr>
                <w:rFonts w:ascii="Garamond" w:hAnsi="Garamond"/>
                <w:sz w:val="18"/>
                <w:szCs w:val="18"/>
                <w:lang w:val="sq-AL"/>
              </w:rPr>
            </w:pPr>
          </w:p>
          <w:p w14:paraId="6A88A46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Cladophora ndoshta tepër</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1718002D" w14:textId="77777777" w:rsidR="003914CD" w:rsidRPr="00445472" w:rsidRDefault="003914CD" w:rsidP="002A1F08">
            <w:pPr>
              <w:pStyle w:val="TableTextCentre"/>
              <w:spacing w:before="15" w:after="15"/>
              <w:ind w:right="44"/>
              <w:rPr>
                <w:rFonts w:ascii="Garamond" w:hAnsi="Garamond"/>
                <w:sz w:val="18"/>
                <w:szCs w:val="18"/>
                <w:lang w:val="sq-AL"/>
              </w:rPr>
            </w:pPr>
          </w:p>
          <w:p w14:paraId="0ECB8263"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Pak, aspak (rrallë shumë)</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3055C0BF" w14:textId="77777777" w:rsidR="003914CD" w:rsidRPr="00445472" w:rsidRDefault="003914CD" w:rsidP="002A1F08">
            <w:pPr>
              <w:pStyle w:val="TableTextCentre"/>
              <w:spacing w:before="15" w:after="15"/>
              <w:ind w:right="44"/>
              <w:rPr>
                <w:rFonts w:ascii="Garamond" w:hAnsi="Garamond"/>
                <w:sz w:val="18"/>
                <w:szCs w:val="18"/>
                <w:lang w:val="sq-AL"/>
              </w:rPr>
            </w:pPr>
          </w:p>
          <w:p w14:paraId="64D01C60"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fare</w:t>
            </w:r>
          </w:p>
        </w:tc>
      </w:tr>
      <w:tr w:rsidR="003914CD" w:rsidRPr="00445472" w14:paraId="08D5826E"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33F20D82" w14:textId="77777777" w:rsidR="003914CD" w:rsidRPr="00445472" w:rsidRDefault="003914CD" w:rsidP="002A1F08">
            <w:pPr>
              <w:pStyle w:val="TableTextCentre"/>
              <w:spacing w:before="15" w:after="15"/>
              <w:ind w:right="44"/>
              <w:rPr>
                <w:rFonts w:ascii="Garamond" w:hAnsi="Garamond"/>
                <w:sz w:val="18"/>
                <w:szCs w:val="18"/>
                <w:lang w:val="sq-AL"/>
              </w:rPr>
            </w:pPr>
          </w:p>
          <w:p w14:paraId="67FD0BAA" w14:textId="77777777" w:rsidR="003914CD" w:rsidRPr="00445472" w:rsidRDefault="003914CD" w:rsidP="002A1F08">
            <w:pPr>
              <w:pStyle w:val="TableTextCentre"/>
              <w:spacing w:before="15" w:after="15"/>
              <w:ind w:right="44"/>
              <w:rPr>
                <w:rFonts w:ascii="Garamond" w:hAnsi="Garamond"/>
                <w:sz w:val="18"/>
                <w:szCs w:val="18"/>
                <w:lang w:val="sq-AL"/>
              </w:rPr>
            </w:pPr>
          </w:p>
          <w:p w14:paraId="71B577FC"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Makrofitet ujore (zakonisht shumë nëse janë të pranishme)</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59C8E8B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Diversitet i mirë</w:t>
            </w:r>
          </w:p>
          <w:p w14:paraId="0B94C38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Rritje të kufizuara (normale për llojin e lumit)</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651D95A3" w14:textId="77777777" w:rsidR="003914CD" w:rsidRPr="00445472" w:rsidRDefault="003914CD" w:rsidP="002A1F08">
            <w:pPr>
              <w:pStyle w:val="TableTextCentre"/>
              <w:spacing w:before="15" w:after="15"/>
              <w:ind w:right="44"/>
              <w:rPr>
                <w:rFonts w:ascii="Garamond" w:hAnsi="Garamond"/>
                <w:sz w:val="18"/>
                <w:szCs w:val="18"/>
                <w:lang w:val="sq-AL"/>
              </w:rPr>
            </w:pPr>
          </w:p>
          <w:p w14:paraId="3B0283A1" w14:textId="77777777" w:rsidR="003914CD" w:rsidRPr="00445472" w:rsidRDefault="003914CD" w:rsidP="002A1F08">
            <w:pPr>
              <w:pStyle w:val="TableTextCentre"/>
              <w:spacing w:before="15" w:after="15"/>
              <w:ind w:right="44"/>
              <w:rPr>
                <w:rFonts w:ascii="Garamond" w:hAnsi="Garamond"/>
                <w:sz w:val="18"/>
                <w:szCs w:val="18"/>
                <w:lang w:val="sq-AL"/>
              </w:rPr>
            </w:pPr>
          </w:p>
          <w:p w14:paraId="6A80832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Rritje të konsiderueshme</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5F34CDA1" w14:textId="77777777" w:rsidR="003914CD" w:rsidRPr="00445472" w:rsidRDefault="003914CD" w:rsidP="002A1F08">
            <w:pPr>
              <w:pStyle w:val="TableTextCentre"/>
              <w:spacing w:before="15" w:after="15"/>
              <w:ind w:right="44"/>
              <w:rPr>
                <w:rFonts w:ascii="Garamond" w:hAnsi="Garamond"/>
                <w:sz w:val="18"/>
                <w:szCs w:val="18"/>
                <w:lang w:val="sq-AL"/>
              </w:rPr>
            </w:pPr>
          </w:p>
          <w:p w14:paraId="07C17E7F" w14:textId="77777777" w:rsidR="003914CD" w:rsidRPr="00445472" w:rsidRDefault="003914CD" w:rsidP="002A1F08">
            <w:pPr>
              <w:pStyle w:val="TableTextCentre"/>
              <w:spacing w:before="15" w:after="15"/>
              <w:ind w:right="44"/>
              <w:rPr>
                <w:rFonts w:ascii="Garamond" w:hAnsi="Garamond"/>
                <w:sz w:val="18"/>
                <w:szCs w:val="18"/>
                <w:lang w:val="sq-AL"/>
              </w:rPr>
            </w:pPr>
          </w:p>
          <w:p w14:paraId="251E7BEB"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Diversitet i reduktuar rritje luks</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1D84BF8A" w14:textId="77777777" w:rsidR="003914CD" w:rsidRPr="00445472" w:rsidRDefault="003914CD" w:rsidP="002A1F08">
            <w:pPr>
              <w:pStyle w:val="TableTextCentre"/>
              <w:spacing w:before="15" w:after="15"/>
              <w:ind w:right="44"/>
              <w:rPr>
                <w:rFonts w:ascii="Garamond" w:hAnsi="Garamond"/>
                <w:sz w:val="18"/>
                <w:szCs w:val="18"/>
                <w:lang w:val="sq-AL"/>
              </w:rPr>
            </w:pPr>
          </w:p>
          <w:p w14:paraId="08B4CA75" w14:textId="77777777" w:rsidR="003914CD" w:rsidRPr="00445472" w:rsidRDefault="003914CD" w:rsidP="002A1F08">
            <w:pPr>
              <w:pStyle w:val="TableTextCentre"/>
              <w:spacing w:before="15" w:after="15"/>
              <w:ind w:right="44"/>
              <w:rPr>
                <w:rFonts w:ascii="Garamond" w:hAnsi="Garamond"/>
                <w:sz w:val="18"/>
                <w:szCs w:val="18"/>
                <w:lang w:val="sq-AL"/>
              </w:rPr>
            </w:pPr>
          </w:p>
          <w:p w14:paraId="1AC79C42"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Diversitet i kufizuar rritje e tepërt</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76C25AD4" w14:textId="77777777" w:rsidR="003914CD" w:rsidRPr="00445472" w:rsidRDefault="003914CD" w:rsidP="002A1F08">
            <w:pPr>
              <w:pStyle w:val="TableTextCentre"/>
              <w:spacing w:before="15" w:after="15"/>
              <w:ind w:right="44"/>
              <w:rPr>
                <w:rFonts w:ascii="Garamond" w:hAnsi="Garamond"/>
                <w:sz w:val="18"/>
                <w:szCs w:val="18"/>
                <w:lang w:val="sq-AL"/>
              </w:rPr>
            </w:pPr>
          </w:p>
          <w:p w14:paraId="1923627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Specie tolerante vetëm mund të jenë shumë</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7D8534FC" w14:textId="77777777" w:rsidR="003914CD" w:rsidRPr="00445472" w:rsidRDefault="003914CD" w:rsidP="002A1F08">
            <w:pPr>
              <w:pStyle w:val="TableTextCentre"/>
              <w:spacing w:before="15" w:after="15"/>
              <w:ind w:right="44"/>
              <w:rPr>
                <w:rFonts w:ascii="Garamond" w:hAnsi="Garamond"/>
                <w:sz w:val="18"/>
                <w:szCs w:val="18"/>
                <w:lang w:val="sq-AL"/>
              </w:rPr>
            </w:pPr>
          </w:p>
          <w:p w14:paraId="7A4EABDE" w14:textId="77777777" w:rsidR="003914CD" w:rsidRPr="00445472" w:rsidRDefault="003914CD" w:rsidP="002A1F08">
            <w:pPr>
              <w:pStyle w:val="TableTextCentre"/>
              <w:spacing w:before="15" w:after="15"/>
              <w:ind w:right="44"/>
              <w:rPr>
                <w:rFonts w:ascii="Garamond" w:hAnsi="Garamond"/>
                <w:sz w:val="18"/>
                <w:szCs w:val="18"/>
                <w:lang w:val="sq-AL"/>
              </w:rPr>
            </w:pPr>
          </w:p>
          <w:p w14:paraId="37245B7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fare ose vetëm specie tolerante</w:t>
            </w:r>
          </w:p>
        </w:tc>
      </w:tr>
      <w:tr w:rsidR="003914CD" w:rsidRPr="00445472" w14:paraId="4D774830"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01F97129" w14:textId="77777777" w:rsidR="003914CD" w:rsidRPr="00445472" w:rsidRDefault="003914CD" w:rsidP="002A1F08">
            <w:pPr>
              <w:pStyle w:val="TableTextCentre"/>
              <w:spacing w:before="15" w:after="15"/>
              <w:ind w:right="44"/>
              <w:rPr>
                <w:rFonts w:ascii="Garamond" w:hAnsi="Garamond"/>
                <w:sz w:val="18"/>
                <w:szCs w:val="18"/>
                <w:lang w:val="sq-AL"/>
              </w:rPr>
            </w:pPr>
          </w:p>
          <w:p w14:paraId="5976D20A" w14:textId="77777777" w:rsidR="003914CD" w:rsidRPr="00445472" w:rsidRDefault="003914CD" w:rsidP="002A1F08">
            <w:pPr>
              <w:pStyle w:val="TableTextCentre"/>
              <w:spacing w:before="15" w:after="15"/>
              <w:ind w:right="44"/>
              <w:rPr>
                <w:rFonts w:ascii="Garamond" w:hAnsi="Garamond"/>
                <w:sz w:val="18"/>
                <w:szCs w:val="18"/>
                <w:lang w:val="sq-AL"/>
              </w:rPr>
            </w:pPr>
          </w:p>
          <w:p w14:paraId="3E64A08D" w14:textId="77777777" w:rsidR="003914CD" w:rsidRPr="00445472" w:rsidRDefault="003914CD" w:rsidP="002A1F08">
            <w:pPr>
              <w:pStyle w:val="TableTextCentre"/>
              <w:spacing w:before="15" w:after="15"/>
              <w:ind w:right="44"/>
              <w:rPr>
                <w:rFonts w:ascii="Garamond" w:hAnsi="Garamond"/>
                <w:sz w:val="18"/>
                <w:szCs w:val="18"/>
                <w:lang w:val="sq-AL"/>
              </w:rPr>
            </w:pPr>
          </w:p>
          <w:p w14:paraId="357026A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Makroinvertebrorët</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2A889271"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Komunitetet të ndryshme në krahasim me kushtet e ref.</w:t>
            </w:r>
          </w:p>
          <w:p w14:paraId="5466B97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Dendësi normale.</w:t>
            </w:r>
          </w:p>
          <w:p w14:paraId="03E6D25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Njësia taksonomike sensitive zakonsiht shumë.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49203CF4" w14:textId="77777777" w:rsidR="003914CD" w:rsidRPr="00445472" w:rsidRDefault="003914CD" w:rsidP="002A1F08">
            <w:pPr>
              <w:pStyle w:val="TableTextCentre"/>
              <w:spacing w:before="15" w:after="15"/>
              <w:ind w:right="44"/>
              <w:rPr>
                <w:rFonts w:ascii="Garamond" w:hAnsi="Garamond"/>
                <w:sz w:val="18"/>
                <w:szCs w:val="18"/>
                <w:lang w:val="sq-AL"/>
              </w:rPr>
            </w:pPr>
          </w:p>
          <w:p w14:paraId="74CF4550"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Diversitet i lartë. Dendësi e rritur. Njësia taksonomike sensitive e rrallë ose e zakonshme.</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4EA304C0" w14:textId="77777777" w:rsidR="003914CD" w:rsidRPr="00445472" w:rsidRDefault="003914CD" w:rsidP="002A1F08">
            <w:pPr>
              <w:pStyle w:val="TableTextCentre"/>
              <w:spacing w:before="15" w:after="15"/>
              <w:ind w:right="44"/>
              <w:rPr>
                <w:rFonts w:ascii="Garamond" w:hAnsi="Garamond"/>
                <w:sz w:val="18"/>
                <w:szCs w:val="18"/>
                <w:lang w:val="sq-AL"/>
              </w:rPr>
            </w:pPr>
          </w:p>
          <w:p w14:paraId="5EFA08CC" w14:textId="77777777" w:rsidR="003914CD" w:rsidRPr="00445472" w:rsidRDefault="003914CD" w:rsidP="002A1F08">
            <w:pPr>
              <w:pStyle w:val="TableTextCentre"/>
              <w:spacing w:before="15" w:after="15"/>
              <w:ind w:right="44"/>
              <w:rPr>
                <w:rFonts w:ascii="Garamond" w:hAnsi="Garamond"/>
                <w:sz w:val="18"/>
                <w:szCs w:val="18"/>
                <w:lang w:val="sq-AL"/>
              </w:rPr>
            </w:pPr>
          </w:p>
          <w:p w14:paraId="39306C2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Diversitet shumë i lartë. Diversitet shumë i lartë. Njësia taksonomike sensitive e rrallë.</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11B1D92E" w14:textId="77777777" w:rsidR="003914CD" w:rsidRPr="00445472" w:rsidRDefault="003914CD" w:rsidP="002A1F08">
            <w:pPr>
              <w:pStyle w:val="TableTextCentre"/>
              <w:spacing w:before="15" w:after="15"/>
              <w:ind w:right="44"/>
              <w:rPr>
                <w:rFonts w:ascii="Garamond" w:hAnsi="Garamond"/>
                <w:sz w:val="18"/>
                <w:szCs w:val="18"/>
                <w:lang w:val="sq-AL"/>
              </w:rPr>
            </w:pPr>
          </w:p>
          <w:p w14:paraId="6EE57859" w14:textId="77777777" w:rsidR="003914CD" w:rsidRPr="00445472" w:rsidRDefault="003914CD" w:rsidP="002A1F08">
            <w:pPr>
              <w:pStyle w:val="TableTextCentre"/>
              <w:spacing w:before="15" w:after="15"/>
              <w:ind w:right="44"/>
              <w:rPr>
                <w:rFonts w:ascii="Garamond" w:hAnsi="Garamond"/>
                <w:sz w:val="18"/>
                <w:szCs w:val="18"/>
                <w:lang w:val="sq-AL"/>
              </w:rPr>
            </w:pPr>
          </w:p>
          <w:p w14:paraId="7446E8D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Njësia taksonomike sensitive jo e pranishme. Njësia taksonomike tolerante e zakonshme.</w:t>
            </w:r>
          </w:p>
          <w:p w14:paraId="5F5F595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Diversitet i ulët.</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67F36BB1" w14:textId="77777777" w:rsidR="003914CD" w:rsidRPr="00445472" w:rsidRDefault="003914CD" w:rsidP="002A1F08">
            <w:pPr>
              <w:pStyle w:val="TableTextCentre"/>
              <w:spacing w:before="15" w:after="15"/>
              <w:ind w:right="44"/>
              <w:rPr>
                <w:rFonts w:ascii="Garamond" w:hAnsi="Garamond"/>
                <w:sz w:val="18"/>
                <w:szCs w:val="18"/>
                <w:lang w:val="sq-AL"/>
              </w:rPr>
            </w:pPr>
          </w:p>
          <w:p w14:paraId="007766A2" w14:textId="77777777" w:rsidR="003914CD" w:rsidRPr="00445472" w:rsidRDefault="003914CD" w:rsidP="002A1F08">
            <w:pPr>
              <w:pStyle w:val="TableTextCentre"/>
              <w:spacing w:before="15" w:after="15"/>
              <w:ind w:right="44"/>
              <w:rPr>
                <w:rFonts w:ascii="Garamond" w:hAnsi="Garamond"/>
                <w:sz w:val="18"/>
                <w:szCs w:val="18"/>
                <w:lang w:val="sq-AL"/>
              </w:rPr>
            </w:pPr>
          </w:p>
          <w:p w14:paraId="7FA8F59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Vetëm njësia taksonomike tolerante. Diversitet shumë i ulët.</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0FE2B086" w14:textId="77777777" w:rsidR="003914CD" w:rsidRPr="00445472" w:rsidRDefault="003914CD" w:rsidP="002A1F08">
            <w:pPr>
              <w:pStyle w:val="TableTextCentre"/>
              <w:spacing w:before="15" w:after="15"/>
              <w:ind w:right="44"/>
              <w:rPr>
                <w:rFonts w:ascii="Garamond" w:hAnsi="Garamond"/>
                <w:sz w:val="18"/>
                <w:szCs w:val="18"/>
                <w:lang w:val="sq-AL"/>
              </w:rPr>
            </w:pPr>
          </w:p>
          <w:p w14:paraId="069ABDB4" w14:textId="77777777" w:rsidR="003914CD" w:rsidRPr="00445472" w:rsidRDefault="003914CD" w:rsidP="002A1F08">
            <w:pPr>
              <w:pStyle w:val="TableTextCentre"/>
              <w:spacing w:before="15" w:after="15"/>
              <w:ind w:right="44"/>
              <w:rPr>
                <w:rFonts w:ascii="Garamond" w:hAnsi="Garamond"/>
                <w:sz w:val="18"/>
                <w:szCs w:val="18"/>
                <w:lang w:val="sq-AL"/>
              </w:rPr>
            </w:pPr>
          </w:p>
          <w:p w14:paraId="796C5EA1"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Njësia taksonomike më tolerante. Diversitet minimal.</w:t>
            </w:r>
          </w:p>
        </w:tc>
      </w:tr>
      <w:tr w:rsidR="003914CD" w:rsidRPr="00445472" w14:paraId="785EB230"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74194375"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Statusi i cilësisë/ndotjes së ujit</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083DE089" w14:textId="77777777" w:rsidR="003914CD" w:rsidRPr="00445472" w:rsidRDefault="003914CD" w:rsidP="002A1F08">
            <w:pPr>
              <w:pStyle w:val="TableTextCentre"/>
              <w:spacing w:before="15" w:after="15"/>
              <w:ind w:right="44"/>
              <w:rPr>
                <w:rFonts w:ascii="Garamond" w:hAnsi="Garamond"/>
                <w:sz w:val="18"/>
                <w:szCs w:val="18"/>
                <w:lang w:val="sq-AL"/>
              </w:rPr>
            </w:pPr>
          </w:p>
          <w:p w14:paraId="48DB932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pastër, i pandotur</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2AA91F87" w14:textId="77777777" w:rsidR="003914CD" w:rsidRPr="00445472" w:rsidRDefault="003914CD" w:rsidP="002A1F08">
            <w:pPr>
              <w:pStyle w:val="TableTextCentre"/>
              <w:spacing w:before="15" w:after="15"/>
              <w:ind w:right="44"/>
              <w:rPr>
                <w:rFonts w:ascii="Garamond" w:hAnsi="Garamond"/>
                <w:sz w:val="18"/>
                <w:szCs w:val="18"/>
                <w:lang w:val="sq-AL"/>
              </w:rPr>
            </w:pPr>
          </w:p>
          <w:p w14:paraId="352B482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pandotur</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587BA5EE" w14:textId="77777777" w:rsidR="003914CD" w:rsidRPr="00445472" w:rsidRDefault="003914CD" w:rsidP="002A1F08">
            <w:pPr>
              <w:pStyle w:val="TableTextCentre"/>
              <w:spacing w:before="15" w:after="15"/>
              <w:ind w:right="44"/>
              <w:rPr>
                <w:rFonts w:ascii="Garamond" w:hAnsi="Garamond"/>
                <w:sz w:val="18"/>
                <w:szCs w:val="18"/>
                <w:lang w:val="sq-AL"/>
              </w:rPr>
            </w:pPr>
          </w:p>
          <w:p w14:paraId="1A998A4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Ndotje e vogël</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0F5AB870" w14:textId="77777777" w:rsidR="003914CD" w:rsidRPr="00445472" w:rsidRDefault="003914CD" w:rsidP="002A1F08">
            <w:pPr>
              <w:pStyle w:val="TableTextCentre"/>
              <w:spacing w:before="15" w:after="15"/>
              <w:ind w:right="44"/>
              <w:rPr>
                <w:rFonts w:ascii="Garamond" w:hAnsi="Garamond"/>
                <w:sz w:val="18"/>
                <w:szCs w:val="18"/>
                <w:lang w:val="sq-AL"/>
              </w:rPr>
            </w:pPr>
          </w:p>
          <w:p w14:paraId="266250B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Ndotje mesatare</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24BF66E1" w14:textId="77777777" w:rsidR="003914CD" w:rsidRPr="00445472" w:rsidRDefault="003914CD" w:rsidP="002A1F08">
            <w:pPr>
              <w:pStyle w:val="TableTextCentre"/>
              <w:spacing w:before="15" w:after="15"/>
              <w:ind w:right="44"/>
              <w:rPr>
                <w:rFonts w:ascii="Garamond" w:hAnsi="Garamond"/>
                <w:sz w:val="18"/>
                <w:szCs w:val="18"/>
                <w:lang w:val="sq-AL"/>
              </w:rPr>
            </w:pPr>
          </w:p>
          <w:p w14:paraId="5DDA9CE1"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Ndotje e rëndë</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26C14718" w14:textId="77777777" w:rsidR="003914CD" w:rsidRPr="00445472" w:rsidRDefault="003914CD" w:rsidP="002A1F08">
            <w:pPr>
              <w:pStyle w:val="TableTextCentre"/>
              <w:spacing w:before="15" w:after="15"/>
              <w:ind w:right="44"/>
              <w:rPr>
                <w:rFonts w:ascii="Garamond" w:hAnsi="Garamond"/>
                <w:sz w:val="18"/>
                <w:szCs w:val="18"/>
                <w:lang w:val="sq-AL"/>
              </w:rPr>
            </w:pPr>
          </w:p>
          <w:p w14:paraId="5FD13803"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Ndotje teprë e rëndë</w:t>
            </w:r>
          </w:p>
        </w:tc>
      </w:tr>
    </w:tbl>
    <w:p w14:paraId="63E6D93E" w14:textId="77777777" w:rsidR="003914CD" w:rsidRPr="00445472" w:rsidRDefault="003914CD" w:rsidP="003914CD">
      <w:pPr>
        <w:rPr>
          <w:rFonts w:ascii="Garamond" w:hAnsi="Garamond"/>
        </w:rPr>
      </w:pPr>
      <w:r w:rsidRPr="00445472">
        <w:rPr>
          <w:rFonts w:ascii="Garamond" w:hAnsi="Garamond"/>
        </w:rPr>
        <w:br w:type="page"/>
      </w:r>
    </w:p>
    <w:tbl>
      <w:tblPr>
        <w:tblW w:w="14288" w:type="dxa"/>
        <w:tblInd w:w="109"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ayout w:type="fixed"/>
        <w:tblCellMar>
          <w:left w:w="0" w:type="dxa"/>
          <w:right w:w="0" w:type="dxa"/>
        </w:tblCellMar>
        <w:tblLook w:val="01E0" w:firstRow="1" w:lastRow="1" w:firstColumn="1" w:lastColumn="1" w:noHBand="0" w:noVBand="0"/>
      </w:tblPr>
      <w:tblGrid>
        <w:gridCol w:w="2063"/>
        <w:gridCol w:w="2068"/>
        <w:gridCol w:w="2000"/>
        <w:gridCol w:w="2004"/>
        <w:gridCol w:w="2074"/>
        <w:gridCol w:w="2074"/>
        <w:gridCol w:w="2005"/>
      </w:tblGrid>
      <w:tr w:rsidR="003914CD" w:rsidRPr="00445472" w14:paraId="7BA028FA"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2A28F877"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Statusi ekologjik</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00D0B803"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shumë i mirë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62300934"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shumë i mirë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67DDFFFB"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i mirë</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4AB241A9"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mesatar</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338DC570"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i keq</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60DC39BE" w14:textId="77777777" w:rsidR="003914CD" w:rsidRPr="00445472" w:rsidRDefault="003914CD" w:rsidP="002A1F08">
            <w:pPr>
              <w:pStyle w:val="TableTextCentre"/>
              <w:spacing w:before="15" w:after="15"/>
              <w:ind w:right="44"/>
              <w:rPr>
                <w:rFonts w:ascii="Garamond" w:hAnsi="Garamond"/>
                <w:b/>
                <w:sz w:val="18"/>
                <w:szCs w:val="18"/>
                <w:lang w:val="sq-AL"/>
              </w:rPr>
            </w:pPr>
            <w:r w:rsidRPr="00445472">
              <w:rPr>
                <w:rFonts w:ascii="Garamond" w:hAnsi="Garamond"/>
                <w:b/>
                <w:sz w:val="18"/>
                <w:szCs w:val="18"/>
                <w:lang w:val="sq-AL"/>
              </w:rPr>
              <w:t>Status  shumë i keq</w:t>
            </w:r>
          </w:p>
        </w:tc>
      </w:tr>
      <w:tr w:rsidR="003914CD" w:rsidRPr="00445472" w14:paraId="4E90D87B"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4A5101CB" w14:textId="77777777" w:rsidR="003914CD" w:rsidRPr="00445472" w:rsidRDefault="003914CD" w:rsidP="002A1F08">
            <w:pPr>
              <w:pStyle w:val="TableTextCentre"/>
              <w:spacing w:before="15" w:after="15"/>
              <w:ind w:right="44"/>
              <w:rPr>
                <w:rFonts w:ascii="Garamond" w:hAnsi="Garamond"/>
                <w:sz w:val="18"/>
                <w:szCs w:val="18"/>
                <w:lang w:val="sq-AL"/>
              </w:rPr>
            </w:pPr>
          </w:p>
          <w:p w14:paraId="20BEB612" w14:textId="77777777" w:rsidR="003914CD" w:rsidRPr="00445472" w:rsidRDefault="003914CD" w:rsidP="002A1F08">
            <w:pPr>
              <w:pStyle w:val="TableTextCentre"/>
              <w:spacing w:before="15" w:after="15"/>
              <w:ind w:right="44"/>
              <w:rPr>
                <w:rFonts w:ascii="Garamond" w:hAnsi="Garamond"/>
                <w:sz w:val="18"/>
                <w:szCs w:val="18"/>
                <w:lang w:val="sq-AL"/>
              </w:rPr>
            </w:pPr>
          </w:p>
          <w:p w14:paraId="4F5B848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Potenciali i abstraksionit</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04F87E39" w14:textId="77777777" w:rsidR="003914CD" w:rsidRPr="00445472" w:rsidRDefault="003914CD" w:rsidP="002A1F08">
            <w:pPr>
              <w:pStyle w:val="TableTextCentre"/>
              <w:spacing w:before="15" w:after="15"/>
              <w:ind w:right="44"/>
              <w:rPr>
                <w:rFonts w:ascii="Garamond" w:hAnsi="Garamond"/>
                <w:sz w:val="18"/>
                <w:szCs w:val="18"/>
                <w:lang w:val="sq-AL"/>
              </w:rPr>
            </w:pPr>
          </w:p>
          <w:p w14:paraId="4C0F0D40" w14:textId="77777777" w:rsidR="003914CD" w:rsidRPr="00445472" w:rsidRDefault="003914CD" w:rsidP="002A1F08">
            <w:pPr>
              <w:pStyle w:val="TableTextCentre"/>
              <w:spacing w:before="15" w:after="15"/>
              <w:ind w:right="44"/>
              <w:rPr>
                <w:rFonts w:ascii="Garamond" w:hAnsi="Garamond"/>
                <w:sz w:val="18"/>
                <w:szCs w:val="18"/>
                <w:lang w:val="sq-AL"/>
              </w:rPr>
            </w:pPr>
          </w:p>
          <w:p w14:paraId="787C211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përshtatshëm për të gjithë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4D0E958C" w14:textId="77777777" w:rsidR="003914CD" w:rsidRPr="00445472" w:rsidRDefault="003914CD" w:rsidP="002A1F08">
            <w:pPr>
              <w:pStyle w:val="TableTextCentre"/>
              <w:spacing w:before="15" w:after="15"/>
              <w:ind w:right="44"/>
              <w:rPr>
                <w:rFonts w:ascii="Garamond" w:hAnsi="Garamond"/>
                <w:sz w:val="18"/>
                <w:szCs w:val="18"/>
                <w:lang w:val="sq-AL"/>
              </w:rPr>
            </w:pPr>
          </w:p>
          <w:p w14:paraId="438BF134" w14:textId="77777777" w:rsidR="003914CD" w:rsidRPr="00445472" w:rsidRDefault="003914CD" w:rsidP="002A1F08">
            <w:pPr>
              <w:pStyle w:val="TableTextCentre"/>
              <w:spacing w:before="15" w:after="15"/>
              <w:ind w:right="44"/>
              <w:rPr>
                <w:rFonts w:ascii="Garamond" w:hAnsi="Garamond"/>
                <w:sz w:val="18"/>
                <w:szCs w:val="18"/>
                <w:lang w:val="sq-AL"/>
              </w:rPr>
            </w:pPr>
          </w:p>
          <w:p w14:paraId="6AB12D75"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përshtatshëm për të gjithë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2A29CBFB"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Probleme potenciale për furnizimi me ujë të pijshëm (pas trajtimit); I mirë për vaditje dhe furnizimi me ujë industrial</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208313EF" w14:textId="77777777" w:rsidR="003914CD" w:rsidRPr="00445472" w:rsidRDefault="003914CD" w:rsidP="002A1F08">
            <w:pPr>
              <w:pStyle w:val="TableTextCentre"/>
              <w:spacing w:before="15" w:after="15"/>
              <w:ind w:right="44"/>
              <w:rPr>
                <w:rFonts w:ascii="Garamond" w:hAnsi="Garamond"/>
                <w:sz w:val="18"/>
                <w:szCs w:val="18"/>
                <w:lang w:val="sq-AL"/>
              </w:rPr>
            </w:pPr>
          </w:p>
          <w:p w14:paraId="5FA070B1" w14:textId="77777777" w:rsidR="003914CD" w:rsidRPr="00445472" w:rsidRDefault="003914CD" w:rsidP="002A1F08">
            <w:pPr>
              <w:pStyle w:val="TableTextCentre"/>
              <w:spacing w:before="15" w:after="15"/>
              <w:ind w:right="44"/>
              <w:rPr>
                <w:rFonts w:ascii="Garamond" w:hAnsi="Garamond"/>
                <w:sz w:val="18"/>
                <w:szCs w:val="18"/>
                <w:lang w:val="sq-AL"/>
              </w:rPr>
            </w:pPr>
          </w:p>
          <w:p w14:paraId="2910315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Trajtim i avancuar</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6D416D75" w14:textId="77777777" w:rsidR="003914CD" w:rsidRPr="00445472" w:rsidRDefault="003914CD" w:rsidP="002A1F08">
            <w:pPr>
              <w:pStyle w:val="TableTextCentre"/>
              <w:spacing w:before="15" w:after="15"/>
              <w:ind w:right="44"/>
              <w:rPr>
                <w:rFonts w:ascii="Garamond" w:hAnsi="Garamond"/>
                <w:sz w:val="18"/>
                <w:szCs w:val="18"/>
                <w:lang w:val="sq-AL"/>
              </w:rPr>
            </w:pPr>
          </w:p>
          <w:p w14:paraId="02110AB5"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Abstraksione të shkallës së ulët (më shumti për qëllime industriale)</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62D47621" w14:textId="77777777" w:rsidR="003914CD" w:rsidRPr="00445472" w:rsidRDefault="003914CD" w:rsidP="002A1F08">
            <w:pPr>
              <w:pStyle w:val="TableTextCentre"/>
              <w:spacing w:before="15" w:after="15"/>
              <w:ind w:right="44"/>
              <w:rPr>
                <w:rFonts w:ascii="Garamond" w:hAnsi="Garamond"/>
                <w:sz w:val="18"/>
                <w:szCs w:val="18"/>
                <w:lang w:val="sq-AL"/>
              </w:rPr>
            </w:pPr>
          </w:p>
          <w:p w14:paraId="0BC4A88F" w14:textId="77777777" w:rsidR="003914CD" w:rsidRPr="00445472" w:rsidRDefault="003914CD" w:rsidP="002A1F08">
            <w:pPr>
              <w:pStyle w:val="TableTextCentre"/>
              <w:spacing w:before="15" w:after="15"/>
              <w:ind w:right="44"/>
              <w:rPr>
                <w:rFonts w:ascii="Garamond" w:hAnsi="Garamond"/>
                <w:sz w:val="18"/>
                <w:szCs w:val="18"/>
                <w:lang w:val="sq-AL"/>
              </w:rPr>
            </w:pPr>
          </w:p>
          <w:p w14:paraId="128334E4"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Tepër i kufizuar</w:t>
            </w:r>
          </w:p>
        </w:tc>
      </w:tr>
      <w:tr w:rsidR="003914CD" w:rsidRPr="00445472" w14:paraId="7278C2E6"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25CDD5BB" w14:textId="77777777" w:rsidR="003914CD" w:rsidRPr="00445472" w:rsidRDefault="003914CD" w:rsidP="002A1F08">
            <w:pPr>
              <w:pStyle w:val="TableTextCentre"/>
              <w:spacing w:before="15" w:after="15"/>
              <w:ind w:right="44"/>
              <w:rPr>
                <w:rFonts w:ascii="Garamond" w:hAnsi="Garamond"/>
                <w:sz w:val="18"/>
                <w:szCs w:val="18"/>
                <w:lang w:val="sq-AL"/>
              </w:rPr>
            </w:pPr>
          </w:p>
          <w:p w14:paraId="648D21C0"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Potencial për peshkim</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1554B325" w14:textId="77777777" w:rsidR="003914CD" w:rsidRPr="00445472" w:rsidRDefault="003914CD" w:rsidP="002A1F08">
            <w:pPr>
              <w:pStyle w:val="TableTextCentre"/>
              <w:spacing w:before="15" w:after="15"/>
              <w:ind w:right="44"/>
              <w:rPr>
                <w:rFonts w:ascii="Garamond" w:hAnsi="Garamond"/>
                <w:sz w:val="18"/>
                <w:szCs w:val="18"/>
                <w:lang w:val="sq-AL"/>
              </w:rPr>
            </w:pPr>
          </w:p>
          <w:p w14:paraId="6D69579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Peshkim sportiv</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7D527B85" w14:textId="77777777" w:rsidR="003914CD" w:rsidRPr="00445472" w:rsidRDefault="003914CD" w:rsidP="002A1F08">
            <w:pPr>
              <w:pStyle w:val="TableTextCentre"/>
              <w:spacing w:before="15" w:after="15"/>
              <w:ind w:right="44"/>
              <w:rPr>
                <w:rFonts w:ascii="Garamond" w:hAnsi="Garamond"/>
                <w:sz w:val="18"/>
                <w:szCs w:val="18"/>
                <w:lang w:val="sq-AL"/>
              </w:rPr>
            </w:pPr>
          </w:p>
          <w:p w14:paraId="60598FBB"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Peshkim të mirë sportiv</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66EBE0DB" w14:textId="77777777" w:rsidR="003914CD" w:rsidRPr="00445472" w:rsidRDefault="003914CD" w:rsidP="002A1F08">
            <w:pPr>
              <w:pStyle w:val="TableTextCentre"/>
              <w:spacing w:before="15" w:after="15"/>
              <w:ind w:right="44"/>
              <w:rPr>
                <w:rFonts w:ascii="Garamond" w:hAnsi="Garamond"/>
                <w:sz w:val="18"/>
                <w:szCs w:val="18"/>
                <w:lang w:val="sq-AL"/>
              </w:rPr>
            </w:pPr>
          </w:p>
          <w:p w14:paraId="021E2F4B"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Peshk sportiv në rrezik në lumenjtë e troftës</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5B08FBC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Peshkim bruto</w:t>
            </w:r>
          </w:p>
          <w:p w14:paraId="02AFEF98" w14:textId="77777777" w:rsidR="003914CD" w:rsidRPr="00445472" w:rsidRDefault="003914CD" w:rsidP="002A1F08">
            <w:pPr>
              <w:pStyle w:val="TableTextCentre"/>
              <w:spacing w:before="15" w:after="15"/>
              <w:ind w:right="44"/>
              <w:rPr>
                <w:rFonts w:ascii="Garamond" w:hAnsi="Garamond"/>
                <w:sz w:val="18"/>
                <w:szCs w:val="18"/>
                <w:lang w:val="sq-AL"/>
              </w:rPr>
            </w:pPr>
          </w:p>
          <w:p w14:paraId="32874CB9"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Vrasje potenciale të peshqve</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0B971906"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Peshku zakonisht mungon</w:t>
            </w:r>
          </w:p>
          <w:p w14:paraId="3EA7AE0E" w14:textId="77777777" w:rsidR="003914CD" w:rsidRPr="00445472" w:rsidRDefault="003914CD" w:rsidP="002A1F08">
            <w:pPr>
              <w:pStyle w:val="TableTextCentre"/>
              <w:spacing w:before="15" w:after="15"/>
              <w:ind w:right="44"/>
              <w:rPr>
                <w:rFonts w:ascii="Garamond" w:hAnsi="Garamond"/>
                <w:sz w:val="18"/>
                <w:szCs w:val="18"/>
                <w:lang w:val="sq-AL"/>
              </w:rPr>
            </w:pPr>
          </w:p>
          <w:p w14:paraId="41CD35B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Evenimente për vrasje peshku</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789367A7" w14:textId="77777777" w:rsidR="003914CD" w:rsidRPr="00445472" w:rsidRDefault="003914CD" w:rsidP="002A1F08">
            <w:pPr>
              <w:pStyle w:val="TableTextCentre"/>
              <w:spacing w:before="15" w:after="15"/>
              <w:ind w:right="44"/>
              <w:rPr>
                <w:rFonts w:ascii="Garamond" w:hAnsi="Garamond"/>
                <w:sz w:val="18"/>
                <w:szCs w:val="18"/>
                <w:lang w:val="sq-AL"/>
              </w:rPr>
            </w:pPr>
          </w:p>
          <w:p w14:paraId="49FC6342"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Peshku mungon</w:t>
            </w:r>
          </w:p>
        </w:tc>
      </w:tr>
      <w:tr w:rsidR="003914CD" w:rsidRPr="00445472" w14:paraId="7BE3361D"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1DD9EF49" w14:textId="77777777" w:rsidR="003914CD" w:rsidRPr="00445472" w:rsidRDefault="003914CD" w:rsidP="002A1F08">
            <w:pPr>
              <w:pStyle w:val="TableTextCentre"/>
              <w:spacing w:before="15" w:after="15"/>
              <w:ind w:right="44"/>
              <w:rPr>
                <w:rFonts w:ascii="Garamond" w:hAnsi="Garamond"/>
                <w:sz w:val="18"/>
                <w:szCs w:val="18"/>
                <w:lang w:val="sq-AL"/>
              </w:rPr>
            </w:pPr>
          </w:p>
          <w:p w14:paraId="4CBD9591"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Vlera e luksit dhe turistike</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201FB18C" w14:textId="77777777" w:rsidR="003914CD" w:rsidRPr="00445472" w:rsidRDefault="003914CD" w:rsidP="002A1F08">
            <w:pPr>
              <w:pStyle w:val="TableTextCentre"/>
              <w:spacing w:before="15" w:after="15"/>
              <w:ind w:right="44"/>
              <w:rPr>
                <w:rFonts w:ascii="Garamond" w:hAnsi="Garamond"/>
                <w:sz w:val="18"/>
                <w:szCs w:val="18"/>
                <w:lang w:val="sq-AL"/>
              </w:rPr>
            </w:pPr>
          </w:p>
          <w:p w14:paraId="7AEB017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Turizëm ekologjik shumë i lartë</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24A49950" w14:textId="77777777" w:rsidR="003914CD" w:rsidRPr="00445472" w:rsidRDefault="003914CD" w:rsidP="002A1F08">
            <w:pPr>
              <w:pStyle w:val="TableTextCentre"/>
              <w:spacing w:before="15" w:after="15"/>
              <w:ind w:right="44"/>
              <w:rPr>
                <w:rFonts w:ascii="Garamond" w:hAnsi="Garamond"/>
                <w:sz w:val="18"/>
                <w:szCs w:val="18"/>
                <w:lang w:val="sq-AL"/>
              </w:rPr>
            </w:pPr>
          </w:p>
          <w:p w14:paraId="599A4C6E"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Turizëm ekologjik i lartë</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0F7304E9" w14:textId="77777777" w:rsidR="003914CD" w:rsidRPr="00445472" w:rsidRDefault="003914CD" w:rsidP="002A1F08">
            <w:pPr>
              <w:pStyle w:val="TableTextCentre"/>
              <w:spacing w:before="15" w:after="15"/>
              <w:ind w:right="44"/>
              <w:rPr>
                <w:rFonts w:ascii="Garamond" w:hAnsi="Garamond"/>
                <w:sz w:val="18"/>
                <w:szCs w:val="18"/>
                <w:lang w:val="sq-AL"/>
              </w:rPr>
            </w:pPr>
          </w:p>
          <w:p w14:paraId="4A90162B"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konsiderueshëm por i mirë për turizëm</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14AF39F4"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reduktuar</w:t>
            </w:r>
          </w:p>
          <w:p w14:paraId="214F0050"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Zakonisht jo i mirë për aktivitete turistike</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6ECBB927" w14:textId="77777777" w:rsidR="003914CD" w:rsidRPr="00445472" w:rsidRDefault="003914CD" w:rsidP="002A1F08">
            <w:pPr>
              <w:pStyle w:val="TableTextCentre"/>
              <w:spacing w:before="15" w:after="15"/>
              <w:ind w:right="44"/>
              <w:rPr>
                <w:rFonts w:ascii="Garamond" w:hAnsi="Garamond"/>
                <w:sz w:val="18"/>
                <w:szCs w:val="18"/>
                <w:lang w:val="sq-AL"/>
              </w:rPr>
            </w:pPr>
          </w:p>
          <w:p w14:paraId="188B00EF"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I ulet</w:t>
            </w:r>
          </w:p>
          <w:p w14:paraId="27AF9CBA" w14:textId="77777777" w:rsidR="003914CD" w:rsidRPr="00445472" w:rsidRDefault="003914CD" w:rsidP="002A1F08">
            <w:pPr>
              <w:pStyle w:val="TableTextCentre"/>
              <w:spacing w:before="15" w:after="15"/>
              <w:ind w:right="44"/>
              <w:rPr>
                <w:rFonts w:ascii="Garamond" w:hAnsi="Garamond"/>
                <w:sz w:val="18"/>
                <w:szCs w:val="18"/>
                <w:lang w:val="sq-AL"/>
              </w:rPr>
            </w:pPr>
          </w:p>
          <w:p w14:paraId="171C657D"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Pa potencial turistik</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376E1EB0" w14:textId="77777777" w:rsidR="003914CD" w:rsidRPr="00445472" w:rsidRDefault="003914CD" w:rsidP="002A1F08">
            <w:pPr>
              <w:pStyle w:val="TableTextCentre"/>
              <w:spacing w:before="15" w:after="15"/>
              <w:ind w:right="44"/>
              <w:rPr>
                <w:rFonts w:ascii="Garamond" w:hAnsi="Garamond"/>
                <w:sz w:val="18"/>
                <w:szCs w:val="18"/>
                <w:lang w:val="sq-AL"/>
              </w:rPr>
            </w:pPr>
          </w:p>
          <w:p w14:paraId="169C1B35"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Zero</w:t>
            </w:r>
          </w:p>
          <w:p w14:paraId="7DCC8EDA" w14:textId="77777777" w:rsidR="003914CD" w:rsidRPr="00445472" w:rsidRDefault="003914CD" w:rsidP="002A1F08">
            <w:pPr>
              <w:pStyle w:val="TableTextCentre"/>
              <w:spacing w:before="15" w:after="15"/>
              <w:ind w:right="44"/>
              <w:rPr>
                <w:rFonts w:ascii="Garamond" w:hAnsi="Garamond"/>
                <w:sz w:val="18"/>
                <w:szCs w:val="18"/>
                <w:lang w:val="sq-AL"/>
              </w:rPr>
            </w:pPr>
          </w:p>
          <w:p w14:paraId="2B912FCB"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Pa potencial turistik</w:t>
            </w:r>
          </w:p>
        </w:tc>
      </w:tr>
      <w:tr w:rsidR="003914CD" w:rsidRPr="00445472" w14:paraId="648D5BBC" w14:textId="77777777" w:rsidTr="002A1F08">
        <w:trPr>
          <w:trHeight w:val="880"/>
        </w:trPr>
        <w:tc>
          <w:tcPr>
            <w:tcW w:w="2063" w:type="dxa"/>
            <w:tcBorders>
              <w:top w:val="single" w:sz="4" w:space="0" w:color="27B1B0"/>
              <w:left w:val="single" w:sz="4" w:space="0" w:color="27B1B0"/>
              <w:bottom w:val="single" w:sz="4" w:space="0" w:color="27B1B0"/>
              <w:right w:val="single" w:sz="4" w:space="0" w:color="27B1B0"/>
            </w:tcBorders>
            <w:vAlign w:val="center"/>
          </w:tcPr>
          <w:p w14:paraId="569FFFA7"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Kushtet e ekosistemit dhe burimeve ujore</w:t>
            </w:r>
          </w:p>
        </w:tc>
        <w:tc>
          <w:tcPr>
            <w:tcW w:w="2068"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531F9317" w14:textId="77777777" w:rsidR="003914CD" w:rsidRPr="00445472" w:rsidRDefault="003914CD" w:rsidP="002A1F08">
            <w:pPr>
              <w:pStyle w:val="TableTextCentre"/>
              <w:spacing w:before="15" w:after="15"/>
              <w:ind w:right="44"/>
              <w:rPr>
                <w:rFonts w:ascii="Garamond" w:hAnsi="Garamond"/>
                <w:sz w:val="18"/>
                <w:szCs w:val="18"/>
                <w:lang w:val="sq-AL"/>
              </w:rPr>
            </w:pPr>
          </w:p>
          <w:p w14:paraId="7D5AC8FF"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Të kënaqshme</w:t>
            </w:r>
          </w:p>
        </w:tc>
        <w:tc>
          <w:tcPr>
            <w:tcW w:w="2000" w:type="dxa"/>
            <w:tcBorders>
              <w:top w:val="single" w:sz="4" w:space="0" w:color="27B1B0"/>
              <w:left w:val="single" w:sz="4" w:space="0" w:color="27B1B0"/>
              <w:bottom w:val="single" w:sz="4" w:space="0" w:color="27B1B0"/>
              <w:right w:val="single" w:sz="4" w:space="0" w:color="27B1B0"/>
            </w:tcBorders>
            <w:shd w:val="clear" w:color="auto" w:fill="66FFFF"/>
            <w:vAlign w:val="center"/>
          </w:tcPr>
          <w:p w14:paraId="1EDDD134" w14:textId="77777777" w:rsidR="003914CD" w:rsidRPr="00445472" w:rsidRDefault="003914CD" w:rsidP="002A1F08">
            <w:pPr>
              <w:pStyle w:val="TableTextCentre"/>
              <w:spacing w:before="15" w:after="15"/>
              <w:ind w:right="44"/>
              <w:rPr>
                <w:rFonts w:ascii="Garamond" w:hAnsi="Garamond"/>
                <w:sz w:val="18"/>
                <w:szCs w:val="18"/>
                <w:lang w:val="sq-AL"/>
              </w:rPr>
            </w:pPr>
          </w:p>
          <w:p w14:paraId="3EAF8764"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Të kënaqshme</w:t>
            </w:r>
          </w:p>
        </w:tc>
        <w:tc>
          <w:tcPr>
            <w:tcW w:w="2004" w:type="dxa"/>
            <w:tcBorders>
              <w:top w:val="single" w:sz="4" w:space="0" w:color="27B1B0"/>
              <w:left w:val="single" w:sz="4" w:space="0" w:color="27B1B0"/>
              <w:bottom w:val="single" w:sz="4" w:space="0" w:color="27B1B0"/>
              <w:right w:val="single" w:sz="4" w:space="0" w:color="27B1B0"/>
            </w:tcBorders>
            <w:shd w:val="clear" w:color="auto" w:fill="00FF00"/>
            <w:vAlign w:val="center"/>
          </w:tcPr>
          <w:p w14:paraId="6EE9D673" w14:textId="77777777" w:rsidR="003914CD" w:rsidRPr="00445472" w:rsidRDefault="003914CD" w:rsidP="002A1F08">
            <w:pPr>
              <w:pStyle w:val="TableTextCentre"/>
              <w:spacing w:before="15" w:after="15"/>
              <w:ind w:right="44"/>
              <w:rPr>
                <w:rFonts w:ascii="Garamond" w:hAnsi="Garamond"/>
                <w:sz w:val="18"/>
                <w:szCs w:val="18"/>
                <w:lang w:val="sq-AL"/>
              </w:rPr>
            </w:pPr>
          </w:p>
          <w:p w14:paraId="1BD4F2C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Të kënaqshme</w:t>
            </w:r>
          </w:p>
        </w:tc>
        <w:tc>
          <w:tcPr>
            <w:tcW w:w="2074" w:type="dxa"/>
            <w:tcBorders>
              <w:top w:val="single" w:sz="4" w:space="0" w:color="27B1B0"/>
              <w:left w:val="single" w:sz="4" w:space="0" w:color="27B1B0"/>
              <w:bottom w:val="single" w:sz="4" w:space="0" w:color="27B1B0"/>
              <w:right w:val="single" w:sz="4" w:space="0" w:color="27B1B0"/>
            </w:tcBorders>
            <w:shd w:val="clear" w:color="auto" w:fill="FFFF00"/>
            <w:vAlign w:val="center"/>
          </w:tcPr>
          <w:p w14:paraId="5372F058" w14:textId="77777777" w:rsidR="003914CD" w:rsidRPr="00445472" w:rsidRDefault="003914CD" w:rsidP="002A1F08">
            <w:pPr>
              <w:pStyle w:val="TableTextCentre"/>
              <w:spacing w:before="15" w:after="15"/>
              <w:ind w:right="44"/>
              <w:rPr>
                <w:rFonts w:ascii="Garamond" w:hAnsi="Garamond"/>
                <w:sz w:val="18"/>
                <w:szCs w:val="18"/>
                <w:lang w:val="sq-AL"/>
              </w:rPr>
            </w:pPr>
          </w:p>
          <w:p w14:paraId="7B7B4C50"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Kalimtare</w:t>
            </w:r>
          </w:p>
        </w:tc>
        <w:tc>
          <w:tcPr>
            <w:tcW w:w="2074" w:type="dxa"/>
            <w:tcBorders>
              <w:top w:val="single" w:sz="4" w:space="0" w:color="27B1B0"/>
              <w:left w:val="single" w:sz="4" w:space="0" w:color="27B1B0"/>
              <w:bottom w:val="single" w:sz="4" w:space="0" w:color="27B1B0"/>
              <w:right w:val="single" w:sz="4" w:space="0" w:color="27B1B0"/>
            </w:tcBorders>
            <w:shd w:val="clear" w:color="auto" w:fill="FF9900"/>
            <w:vAlign w:val="center"/>
          </w:tcPr>
          <w:p w14:paraId="442B8BED" w14:textId="77777777" w:rsidR="003914CD" w:rsidRPr="00445472" w:rsidRDefault="003914CD" w:rsidP="002A1F08">
            <w:pPr>
              <w:pStyle w:val="TableTextCentre"/>
              <w:spacing w:before="15" w:after="15"/>
              <w:ind w:right="44"/>
              <w:rPr>
                <w:rFonts w:ascii="Garamond" w:hAnsi="Garamond"/>
                <w:sz w:val="18"/>
                <w:szCs w:val="18"/>
                <w:lang w:val="sq-AL"/>
              </w:rPr>
            </w:pPr>
          </w:p>
          <w:p w14:paraId="55A3EE78"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Të pakënaqshme</w:t>
            </w:r>
          </w:p>
        </w:tc>
        <w:tc>
          <w:tcPr>
            <w:tcW w:w="2005" w:type="dxa"/>
            <w:tcBorders>
              <w:top w:val="single" w:sz="4" w:space="0" w:color="27B1B0"/>
              <w:left w:val="single" w:sz="4" w:space="0" w:color="27B1B0"/>
              <w:bottom w:val="single" w:sz="4" w:space="0" w:color="27B1B0"/>
              <w:right w:val="single" w:sz="4" w:space="0" w:color="27B1B0"/>
            </w:tcBorders>
            <w:shd w:val="clear" w:color="auto" w:fill="FF0000"/>
            <w:vAlign w:val="center"/>
          </w:tcPr>
          <w:p w14:paraId="0D00569A" w14:textId="77777777" w:rsidR="003914CD" w:rsidRPr="00445472" w:rsidRDefault="003914CD" w:rsidP="002A1F08">
            <w:pPr>
              <w:pStyle w:val="TableTextCentre"/>
              <w:spacing w:before="15" w:after="15"/>
              <w:ind w:right="44"/>
              <w:rPr>
                <w:rFonts w:ascii="Garamond" w:hAnsi="Garamond"/>
                <w:sz w:val="18"/>
                <w:szCs w:val="18"/>
                <w:lang w:val="sq-AL"/>
              </w:rPr>
            </w:pPr>
          </w:p>
          <w:p w14:paraId="6106FFBA" w14:textId="77777777" w:rsidR="003914CD" w:rsidRPr="00445472" w:rsidRDefault="003914CD" w:rsidP="002A1F08">
            <w:pPr>
              <w:pStyle w:val="TableTextCentre"/>
              <w:spacing w:before="15" w:after="15"/>
              <w:ind w:right="44"/>
              <w:rPr>
                <w:rFonts w:ascii="Garamond" w:hAnsi="Garamond"/>
                <w:sz w:val="18"/>
                <w:szCs w:val="18"/>
                <w:lang w:val="sq-AL"/>
              </w:rPr>
            </w:pPr>
            <w:r w:rsidRPr="00445472">
              <w:rPr>
                <w:rFonts w:ascii="Garamond" w:hAnsi="Garamond"/>
                <w:sz w:val="18"/>
                <w:szCs w:val="18"/>
                <w:lang w:val="sq-AL"/>
              </w:rPr>
              <w:t>Të pakënaqshme</w:t>
            </w:r>
          </w:p>
        </w:tc>
      </w:tr>
    </w:tbl>
    <w:p w14:paraId="1E051AFC" w14:textId="77777777" w:rsidR="003914CD" w:rsidRPr="00445472" w:rsidRDefault="003914CD" w:rsidP="003914CD">
      <w:pPr>
        <w:rPr>
          <w:rFonts w:ascii="Garamond" w:hAnsi="Garamond"/>
        </w:rPr>
      </w:pPr>
    </w:p>
    <w:p w14:paraId="10B3EF0A" w14:textId="77777777" w:rsidR="007E0C9A" w:rsidRPr="00445472" w:rsidRDefault="007E0C9A" w:rsidP="003914CD">
      <w:pPr>
        <w:rPr>
          <w:rFonts w:ascii="Garamond" w:hAnsi="Garamond"/>
        </w:rPr>
      </w:pPr>
    </w:p>
    <w:p w14:paraId="61E60C53" w14:textId="77777777" w:rsidR="007E0C9A" w:rsidRPr="00445472" w:rsidRDefault="007E0C9A" w:rsidP="003914CD">
      <w:pPr>
        <w:rPr>
          <w:rFonts w:ascii="Garamond" w:hAnsi="Garamond"/>
        </w:rPr>
      </w:pPr>
    </w:p>
    <w:p w14:paraId="5173C71C" w14:textId="77777777" w:rsidR="007E0C9A" w:rsidRPr="00445472" w:rsidRDefault="007E0C9A" w:rsidP="003914CD">
      <w:pPr>
        <w:rPr>
          <w:rFonts w:ascii="Garamond" w:hAnsi="Garamond"/>
        </w:rPr>
      </w:pPr>
    </w:p>
    <w:p w14:paraId="61AA59C8" w14:textId="77777777" w:rsidR="007E0C9A" w:rsidRPr="00445472" w:rsidRDefault="007E0C9A" w:rsidP="003914CD">
      <w:pPr>
        <w:rPr>
          <w:rFonts w:ascii="Garamond" w:hAnsi="Garamond"/>
        </w:rPr>
      </w:pPr>
    </w:p>
    <w:p w14:paraId="27FBDE2A" w14:textId="77777777" w:rsidR="007E0C9A" w:rsidRPr="00445472" w:rsidRDefault="007E0C9A" w:rsidP="003914CD">
      <w:pPr>
        <w:rPr>
          <w:rFonts w:ascii="Garamond" w:hAnsi="Garamond"/>
        </w:rPr>
        <w:sectPr w:rsidR="007E0C9A" w:rsidRPr="00445472" w:rsidSect="003914CD">
          <w:pgSz w:w="16839" w:h="11907" w:orient="landscape" w:code="9"/>
          <w:pgMar w:top="1418" w:right="1418" w:bottom="1418" w:left="1418" w:header="1304" w:footer="1134" w:gutter="0"/>
          <w:cols w:space="720"/>
          <w:docGrid w:linePitch="360"/>
        </w:sectPr>
      </w:pPr>
    </w:p>
    <w:p w14:paraId="3DC66252" w14:textId="2666CD74" w:rsidR="007E0C9A" w:rsidRPr="00445472" w:rsidRDefault="007E0C9A" w:rsidP="007E0C9A">
      <w:pPr>
        <w:pStyle w:val="NENTITULL"/>
      </w:pPr>
      <w:bookmarkStart w:id="350" w:name="_Toc11068907"/>
      <w:bookmarkStart w:id="351" w:name="_Toc11068930"/>
      <w:r w:rsidRPr="00445472">
        <w:t xml:space="preserve">Shtojca 4. Të dhënat </w:t>
      </w:r>
      <w:r w:rsidR="00B27C57" w:rsidRPr="00445472">
        <w:t>ekonomike</w:t>
      </w:r>
      <w:bookmarkEnd w:id="350"/>
      <w:bookmarkEnd w:id="351"/>
    </w:p>
    <w:p w14:paraId="39982D2A" w14:textId="77777777" w:rsidR="00710D21" w:rsidRPr="00445472" w:rsidRDefault="00710D21" w:rsidP="00710D21">
      <w:pPr>
        <w:pStyle w:val="NENTITULL"/>
      </w:pPr>
    </w:p>
    <w:p w14:paraId="1E097C27" w14:textId="77777777" w:rsidR="00710D21" w:rsidRPr="00445472" w:rsidRDefault="00710D21" w:rsidP="00710D21">
      <w:pPr>
        <w:pStyle w:val="NENTITULL"/>
        <w:rPr>
          <w:lang w:eastAsia="en-GB"/>
        </w:rPr>
      </w:pPr>
      <w:r w:rsidRPr="00445472">
        <w:rPr>
          <w:lang w:eastAsia="en-GB"/>
        </w:rPr>
        <w:t xml:space="preserve"> Tabela A 4. 1: Sipërfaqja e kulturave bujqësore, BU Drin Bunë, 2015, ha</w:t>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1247"/>
        <w:gridCol w:w="902"/>
        <w:gridCol w:w="909"/>
        <w:gridCol w:w="805"/>
        <w:gridCol w:w="805"/>
        <w:gridCol w:w="836"/>
        <w:gridCol w:w="984"/>
        <w:gridCol w:w="1037"/>
        <w:gridCol w:w="988"/>
        <w:gridCol w:w="774"/>
      </w:tblGrid>
      <w:tr w:rsidR="00710D21" w:rsidRPr="00445472" w14:paraId="08FE7E2A" w14:textId="77777777" w:rsidTr="00710D21">
        <w:trPr>
          <w:trHeight w:val="675"/>
        </w:trPr>
        <w:tc>
          <w:tcPr>
            <w:tcW w:w="714" w:type="pct"/>
            <w:shd w:val="clear" w:color="auto" w:fill="auto"/>
            <w:vAlign w:val="center"/>
            <w:hideMark/>
          </w:tcPr>
          <w:p w14:paraId="6CEC9A1D"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Prefektura (qarku)</w:t>
            </w:r>
          </w:p>
        </w:tc>
        <w:tc>
          <w:tcPr>
            <w:tcW w:w="399" w:type="pct"/>
            <w:vAlign w:val="center"/>
          </w:tcPr>
          <w:p w14:paraId="4BE1425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Drithëra</w:t>
            </w:r>
          </w:p>
        </w:tc>
        <w:tc>
          <w:tcPr>
            <w:tcW w:w="532" w:type="pct"/>
            <w:vAlign w:val="center"/>
          </w:tcPr>
          <w:p w14:paraId="1BBB14E5"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 xml:space="preserve">Perime </w:t>
            </w:r>
          </w:p>
        </w:tc>
        <w:tc>
          <w:tcPr>
            <w:tcW w:w="476" w:type="pct"/>
            <w:shd w:val="clear" w:color="auto" w:fill="auto"/>
            <w:vAlign w:val="center"/>
            <w:hideMark/>
          </w:tcPr>
          <w:p w14:paraId="731D5062"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Patate</w:t>
            </w:r>
          </w:p>
        </w:tc>
        <w:tc>
          <w:tcPr>
            <w:tcW w:w="476" w:type="pct"/>
            <w:shd w:val="clear" w:color="auto" w:fill="auto"/>
            <w:vAlign w:val="center"/>
            <w:hideMark/>
          </w:tcPr>
          <w:p w14:paraId="46A1AC79"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Fasule</w:t>
            </w:r>
          </w:p>
        </w:tc>
        <w:tc>
          <w:tcPr>
            <w:tcW w:w="476" w:type="pct"/>
            <w:shd w:val="clear" w:color="auto" w:fill="auto"/>
            <w:vAlign w:val="center"/>
            <w:hideMark/>
          </w:tcPr>
          <w:p w14:paraId="436274F3"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Duhani</w:t>
            </w:r>
          </w:p>
        </w:tc>
        <w:tc>
          <w:tcPr>
            <w:tcW w:w="497" w:type="pct"/>
            <w:shd w:val="clear" w:color="auto" w:fill="auto"/>
            <w:vAlign w:val="center"/>
            <w:hideMark/>
          </w:tcPr>
          <w:p w14:paraId="332D63B2"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Luledielli</w:t>
            </w:r>
          </w:p>
        </w:tc>
        <w:tc>
          <w:tcPr>
            <w:tcW w:w="476" w:type="pct"/>
            <w:shd w:val="clear" w:color="auto" w:fill="auto"/>
            <w:vAlign w:val="center"/>
            <w:hideMark/>
          </w:tcPr>
          <w:p w14:paraId="6F568033"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Bishtajore</w:t>
            </w:r>
          </w:p>
        </w:tc>
        <w:tc>
          <w:tcPr>
            <w:tcW w:w="476" w:type="pct"/>
            <w:shd w:val="clear" w:color="auto" w:fill="auto"/>
            <w:vAlign w:val="center"/>
            <w:hideMark/>
          </w:tcPr>
          <w:p w14:paraId="64810AE1"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Foragjere</w:t>
            </w:r>
          </w:p>
        </w:tc>
        <w:tc>
          <w:tcPr>
            <w:tcW w:w="476" w:type="pct"/>
            <w:shd w:val="clear" w:color="auto" w:fill="auto"/>
            <w:vAlign w:val="center"/>
            <w:hideMark/>
          </w:tcPr>
          <w:p w14:paraId="458B385F"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Të tjera</w:t>
            </w:r>
          </w:p>
        </w:tc>
      </w:tr>
      <w:tr w:rsidR="00710D21" w:rsidRPr="00445472" w14:paraId="68BE9A4D" w14:textId="77777777" w:rsidTr="00710D21">
        <w:trPr>
          <w:trHeight w:val="319"/>
        </w:trPr>
        <w:tc>
          <w:tcPr>
            <w:tcW w:w="714" w:type="pct"/>
            <w:shd w:val="clear" w:color="auto" w:fill="auto"/>
            <w:noWrap/>
            <w:vAlign w:val="center"/>
            <w:hideMark/>
          </w:tcPr>
          <w:p w14:paraId="263AC915"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Dibër</w:t>
            </w:r>
          </w:p>
        </w:tc>
        <w:tc>
          <w:tcPr>
            <w:tcW w:w="399" w:type="pct"/>
            <w:vAlign w:val="center"/>
          </w:tcPr>
          <w:p w14:paraId="3840EA78"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8,757</w:t>
            </w:r>
          </w:p>
        </w:tc>
        <w:tc>
          <w:tcPr>
            <w:tcW w:w="532" w:type="pct"/>
            <w:vAlign w:val="center"/>
          </w:tcPr>
          <w:p w14:paraId="2D6FCE25"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1,506</w:t>
            </w:r>
          </w:p>
        </w:tc>
        <w:tc>
          <w:tcPr>
            <w:tcW w:w="476" w:type="pct"/>
            <w:shd w:val="clear" w:color="auto" w:fill="auto"/>
            <w:noWrap/>
            <w:vAlign w:val="center"/>
            <w:hideMark/>
          </w:tcPr>
          <w:p w14:paraId="35441F09"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925</w:t>
            </w:r>
          </w:p>
        </w:tc>
        <w:tc>
          <w:tcPr>
            <w:tcW w:w="476" w:type="pct"/>
            <w:shd w:val="clear" w:color="auto" w:fill="auto"/>
            <w:noWrap/>
            <w:vAlign w:val="center"/>
            <w:hideMark/>
          </w:tcPr>
          <w:p w14:paraId="11675B96"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496</w:t>
            </w:r>
          </w:p>
        </w:tc>
        <w:tc>
          <w:tcPr>
            <w:tcW w:w="476" w:type="pct"/>
            <w:shd w:val="clear" w:color="auto" w:fill="auto"/>
            <w:noWrap/>
            <w:vAlign w:val="center"/>
            <w:hideMark/>
          </w:tcPr>
          <w:p w14:paraId="45314FA0"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1</w:t>
            </w:r>
          </w:p>
        </w:tc>
        <w:tc>
          <w:tcPr>
            <w:tcW w:w="497" w:type="pct"/>
            <w:shd w:val="clear" w:color="auto" w:fill="auto"/>
            <w:noWrap/>
            <w:vAlign w:val="center"/>
            <w:hideMark/>
          </w:tcPr>
          <w:p w14:paraId="0FC88791"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1B05825F"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3D672EEF"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17,231</w:t>
            </w:r>
          </w:p>
        </w:tc>
        <w:tc>
          <w:tcPr>
            <w:tcW w:w="476" w:type="pct"/>
            <w:shd w:val="clear" w:color="auto" w:fill="auto"/>
            <w:noWrap/>
            <w:vAlign w:val="center"/>
            <w:hideMark/>
          </w:tcPr>
          <w:p w14:paraId="3A80580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49</w:t>
            </w:r>
          </w:p>
        </w:tc>
      </w:tr>
      <w:tr w:rsidR="00710D21" w:rsidRPr="00445472" w14:paraId="36C357F2" w14:textId="77777777" w:rsidTr="00710D21">
        <w:trPr>
          <w:trHeight w:val="319"/>
        </w:trPr>
        <w:tc>
          <w:tcPr>
            <w:tcW w:w="714" w:type="pct"/>
            <w:shd w:val="clear" w:color="auto" w:fill="auto"/>
            <w:noWrap/>
            <w:vAlign w:val="center"/>
            <w:hideMark/>
          </w:tcPr>
          <w:p w14:paraId="733262EC" w14:textId="77777777" w:rsidR="00710D21" w:rsidRPr="00445472" w:rsidRDefault="00710D21" w:rsidP="002A1F08">
            <w:pPr>
              <w:spacing w:before="46" w:after="62"/>
              <w:ind w:left="15"/>
              <w:rPr>
                <w:rFonts w:ascii="Garamond" w:eastAsia="PMingLiU-ExtB" w:hAnsi="Garamond" w:cs="PMingLiU-ExtB"/>
                <w:sz w:val="18"/>
                <w:szCs w:val="18"/>
              </w:rPr>
            </w:pPr>
            <w:r w:rsidRPr="00445472">
              <w:rPr>
                <w:rFonts w:ascii="Garamond" w:hAnsi="Garamond" w:cs="Arial"/>
                <w:sz w:val="18"/>
                <w:szCs w:val="18"/>
              </w:rPr>
              <w:t>Korçë</w:t>
            </w:r>
          </w:p>
        </w:tc>
        <w:tc>
          <w:tcPr>
            <w:tcW w:w="399" w:type="pct"/>
            <w:vAlign w:val="center"/>
          </w:tcPr>
          <w:p w14:paraId="6F09E79A"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7,984</w:t>
            </w:r>
          </w:p>
        </w:tc>
        <w:tc>
          <w:tcPr>
            <w:tcW w:w="532" w:type="pct"/>
            <w:vAlign w:val="center"/>
          </w:tcPr>
          <w:p w14:paraId="6A06E020"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970</w:t>
            </w:r>
          </w:p>
        </w:tc>
        <w:tc>
          <w:tcPr>
            <w:tcW w:w="476" w:type="pct"/>
            <w:shd w:val="clear" w:color="auto" w:fill="auto"/>
            <w:noWrap/>
            <w:vAlign w:val="center"/>
            <w:hideMark/>
          </w:tcPr>
          <w:p w14:paraId="24D11C18"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751</w:t>
            </w:r>
          </w:p>
        </w:tc>
        <w:tc>
          <w:tcPr>
            <w:tcW w:w="476" w:type="pct"/>
            <w:shd w:val="clear" w:color="auto" w:fill="auto"/>
            <w:noWrap/>
            <w:vAlign w:val="center"/>
            <w:hideMark/>
          </w:tcPr>
          <w:p w14:paraId="052F90DA"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786</w:t>
            </w:r>
          </w:p>
        </w:tc>
        <w:tc>
          <w:tcPr>
            <w:tcW w:w="476" w:type="pct"/>
            <w:shd w:val="clear" w:color="auto" w:fill="auto"/>
            <w:noWrap/>
            <w:vAlign w:val="center"/>
            <w:hideMark/>
          </w:tcPr>
          <w:p w14:paraId="0CD49D4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25</w:t>
            </w:r>
          </w:p>
        </w:tc>
        <w:tc>
          <w:tcPr>
            <w:tcW w:w="497" w:type="pct"/>
            <w:shd w:val="clear" w:color="auto" w:fill="auto"/>
            <w:noWrap/>
            <w:vAlign w:val="center"/>
            <w:hideMark/>
          </w:tcPr>
          <w:p w14:paraId="53A2EC29"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2C4AB74A"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496655E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5,433</w:t>
            </w:r>
          </w:p>
        </w:tc>
        <w:tc>
          <w:tcPr>
            <w:tcW w:w="476" w:type="pct"/>
            <w:shd w:val="clear" w:color="auto" w:fill="auto"/>
            <w:noWrap/>
            <w:vAlign w:val="center"/>
            <w:hideMark/>
          </w:tcPr>
          <w:p w14:paraId="75FAEF82"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52</w:t>
            </w:r>
          </w:p>
        </w:tc>
      </w:tr>
      <w:tr w:rsidR="00710D21" w:rsidRPr="00445472" w14:paraId="212AE806" w14:textId="77777777" w:rsidTr="00710D21">
        <w:trPr>
          <w:trHeight w:val="319"/>
        </w:trPr>
        <w:tc>
          <w:tcPr>
            <w:tcW w:w="714" w:type="pct"/>
            <w:shd w:val="clear" w:color="auto" w:fill="auto"/>
            <w:noWrap/>
            <w:vAlign w:val="center"/>
            <w:hideMark/>
          </w:tcPr>
          <w:p w14:paraId="7F11B35B"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Kukës</w:t>
            </w:r>
          </w:p>
        </w:tc>
        <w:tc>
          <w:tcPr>
            <w:tcW w:w="399" w:type="pct"/>
            <w:vAlign w:val="center"/>
          </w:tcPr>
          <w:p w14:paraId="651A9F18"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4,927</w:t>
            </w:r>
          </w:p>
        </w:tc>
        <w:tc>
          <w:tcPr>
            <w:tcW w:w="532" w:type="pct"/>
            <w:vAlign w:val="center"/>
          </w:tcPr>
          <w:p w14:paraId="4956516E"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599</w:t>
            </w:r>
          </w:p>
        </w:tc>
        <w:tc>
          <w:tcPr>
            <w:tcW w:w="476" w:type="pct"/>
            <w:shd w:val="clear" w:color="auto" w:fill="auto"/>
            <w:noWrap/>
            <w:vAlign w:val="center"/>
            <w:hideMark/>
          </w:tcPr>
          <w:p w14:paraId="0F7ED084"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602</w:t>
            </w:r>
          </w:p>
        </w:tc>
        <w:tc>
          <w:tcPr>
            <w:tcW w:w="476" w:type="pct"/>
            <w:shd w:val="clear" w:color="auto" w:fill="auto"/>
            <w:noWrap/>
            <w:vAlign w:val="center"/>
            <w:hideMark/>
          </w:tcPr>
          <w:p w14:paraId="0F120C7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185</w:t>
            </w:r>
          </w:p>
        </w:tc>
        <w:tc>
          <w:tcPr>
            <w:tcW w:w="476" w:type="pct"/>
            <w:shd w:val="clear" w:color="auto" w:fill="auto"/>
            <w:noWrap/>
            <w:vAlign w:val="center"/>
            <w:hideMark/>
          </w:tcPr>
          <w:p w14:paraId="42758AD3"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8</w:t>
            </w:r>
          </w:p>
        </w:tc>
        <w:tc>
          <w:tcPr>
            <w:tcW w:w="497" w:type="pct"/>
            <w:shd w:val="clear" w:color="auto" w:fill="auto"/>
            <w:noWrap/>
            <w:vAlign w:val="center"/>
            <w:hideMark/>
          </w:tcPr>
          <w:p w14:paraId="325B86B6"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7C4BC795"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0234ACA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6,155</w:t>
            </w:r>
          </w:p>
        </w:tc>
        <w:tc>
          <w:tcPr>
            <w:tcW w:w="476" w:type="pct"/>
            <w:shd w:val="clear" w:color="auto" w:fill="auto"/>
            <w:noWrap/>
            <w:vAlign w:val="center"/>
            <w:hideMark/>
          </w:tcPr>
          <w:p w14:paraId="39D0FA9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79</w:t>
            </w:r>
          </w:p>
        </w:tc>
      </w:tr>
      <w:tr w:rsidR="00710D21" w:rsidRPr="00445472" w14:paraId="21689CE1" w14:textId="77777777" w:rsidTr="00710D21">
        <w:trPr>
          <w:trHeight w:val="319"/>
        </w:trPr>
        <w:tc>
          <w:tcPr>
            <w:tcW w:w="714" w:type="pct"/>
            <w:shd w:val="clear" w:color="auto" w:fill="auto"/>
            <w:noWrap/>
            <w:vAlign w:val="center"/>
            <w:hideMark/>
          </w:tcPr>
          <w:p w14:paraId="06140540"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Lezhë</w:t>
            </w:r>
          </w:p>
        </w:tc>
        <w:tc>
          <w:tcPr>
            <w:tcW w:w="399" w:type="pct"/>
            <w:vAlign w:val="center"/>
          </w:tcPr>
          <w:p w14:paraId="491A1E46"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6,640</w:t>
            </w:r>
          </w:p>
        </w:tc>
        <w:tc>
          <w:tcPr>
            <w:tcW w:w="532" w:type="pct"/>
            <w:vAlign w:val="center"/>
          </w:tcPr>
          <w:p w14:paraId="0A083BD9"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1,613</w:t>
            </w:r>
          </w:p>
        </w:tc>
        <w:tc>
          <w:tcPr>
            <w:tcW w:w="476" w:type="pct"/>
            <w:shd w:val="clear" w:color="auto" w:fill="auto"/>
            <w:noWrap/>
            <w:vAlign w:val="center"/>
            <w:hideMark/>
          </w:tcPr>
          <w:p w14:paraId="78ECB431"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491</w:t>
            </w:r>
          </w:p>
        </w:tc>
        <w:tc>
          <w:tcPr>
            <w:tcW w:w="476" w:type="pct"/>
            <w:shd w:val="clear" w:color="auto" w:fill="auto"/>
            <w:noWrap/>
            <w:vAlign w:val="center"/>
            <w:hideMark/>
          </w:tcPr>
          <w:p w14:paraId="2BC9BD21"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713</w:t>
            </w:r>
          </w:p>
        </w:tc>
        <w:tc>
          <w:tcPr>
            <w:tcW w:w="476" w:type="pct"/>
            <w:shd w:val="clear" w:color="auto" w:fill="auto"/>
            <w:noWrap/>
            <w:vAlign w:val="center"/>
            <w:hideMark/>
          </w:tcPr>
          <w:p w14:paraId="7569623E"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97" w:type="pct"/>
            <w:shd w:val="clear" w:color="auto" w:fill="auto"/>
            <w:noWrap/>
            <w:vAlign w:val="center"/>
            <w:hideMark/>
          </w:tcPr>
          <w:p w14:paraId="66EADAC2"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5AD73697"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149</w:t>
            </w:r>
          </w:p>
        </w:tc>
        <w:tc>
          <w:tcPr>
            <w:tcW w:w="476" w:type="pct"/>
            <w:shd w:val="clear" w:color="auto" w:fill="auto"/>
            <w:noWrap/>
            <w:vAlign w:val="center"/>
            <w:hideMark/>
          </w:tcPr>
          <w:p w14:paraId="0D563133"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13,404</w:t>
            </w:r>
          </w:p>
        </w:tc>
        <w:tc>
          <w:tcPr>
            <w:tcW w:w="476" w:type="pct"/>
            <w:shd w:val="clear" w:color="auto" w:fill="auto"/>
            <w:noWrap/>
            <w:vAlign w:val="center"/>
            <w:hideMark/>
          </w:tcPr>
          <w:p w14:paraId="3EAA2C0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15</w:t>
            </w:r>
          </w:p>
        </w:tc>
      </w:tr>
      <w:tr w:rsidR="00710D21" w:rsidRPr="00445472" w14:paraId="65839032" w14:textId="77777777" w:rsidTr="00710D21">
        <w:trPr>
          <w:trHeight w:val="319"/>
        </w:trPr>
        <w:tc>
          <w:tcPr>
            <w:tcW w:w="714" w:type="pct"/>
            <w:shd w:val="clear" w:color="auto" w:fill="auto"/>
            <w:noWrap/>
            <w:vAlign w:val="center"/>
            <w:hideMark/>
          </w:tcPr>
          <w:p w14:paraId="45573962"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Shkodër</w:t>
            </w:r>
          </w:p>
        </w:tc>
        <w:tc>
          <w:tcPr>
            <w:tcW w:w="399" w:type="pct"/>
            <w:vAlign w:val="center"/>
          </w:tcPr>
          <w:p w14:paraId="3E412FAE"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7,932</w:t>
            </w:r>
          </w:p>
        </w:tc>
        <w:tc>
          <w:tcPr>
            <w:tcW w:w="532" w:type="pct"/>
            <w:vAlign w:val="center"/>
          </w:tcPr>
          <w:p w14:paraId="65CF0033"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3,580</w:t>
            </w:r>
          </w:p>
        </w:tc>
        <w:tc>
          <w:tcPr>
            <w:tcW w:w="476" w:type="pct"/>
            <w:shd w:val="clear" w:color="auto" w:fill="auto"/>
            <w:noWrap/>
            <w:vAlign w:val="center"/>
            <w:hideMark/>
          </w:tcPr>
          <w:p w14:paraId="51478423"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1,058</w:t>
            </w:r>
          </w:p>
        </w:tc>
        <w:tc>
          <w:tcPr>
            <w:tcW w:w="476" w:type="pct"/>
            <w:shd w:val="clear" w:color="auto" w:fill="auto"/>
            <w:noWrap/>
            <w:vAlign w:val="center"/>
            <w:hideMark/>
          </w:tcPr>
          <w:p w14:paraId="3FA503DD"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821</w:t>
            </w:r>
          </w:p>
        </w:tc>
        <w:tc>
          <w:tcPr>
            <w:tcW w:w="476" w:type="pct"/>
            <w:shd w:val="clear" w:color="auto" w:fill="auto"/>
            <w:noWrap/>
            <w:vAlign w:val="center"/>
            <w:hideMark/>
          </w:tcPr>
          <w:p w14:paraId="38920443"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408</w:t>
            </w:r>
          </w:p>
        </w:tc>
        <w:tc>
          <w:tcPr>
            <w:tcW w:w="497" w:type="pct"/>
            <w:shd w:val="clear" w:color="auto" w:fill="auto"/>
            <w:noWrap/>
            <w:vAlign w:val="center"/>
            <w:hideMark/>
          </w:tcPr>
          <w:p w14:paraId="54BA430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08AB12D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0</w:t>
            </w:r>
          </w:p>
        </w:tc>
        <w:tc>
          <w:tcPr>
            <w:tcW w:w="476" w:type="pct"/>
            <w:shd w:val="clear" w:color="auto" w:fill="auto"/>
            <w:noWrap/>
            <w:vAlign w:val="center"/>
            <w:hideMark/>
          </w:tcPr>
          <w:p w14:paraId="25FF19D3"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cs="Arial"/>
                <w:sz w:val="18"/>
                <w:szCs w:val="18"/>
              </w:rPr>
              <w:t>16,491</w:t>
            </w:r>
          </w:p>
        </w:tc>
        <w:tc>
          <w:tcPr>
            <w:tcW w:w="476" w:type="pct"/>
            <w:shd w:val="clear" w:color="auto" w:fill="auto"/>
            <w:noWrap/>
            <w:vAlign w:val="center"/>
            <w:hideMark/>
          </w:tcPr>
          <w:p w14:paraId="468E8B52"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cs="Arial"/>
                <w:sz w:val="18"/>
                <w:szCs w:val="18"/>
              </w:rPr>
              <w:t>3,771</w:t>
            </w:r>
          </w:p>
        </w:tc>
      </w:tr>
    </w:tbl>
    <w:p w14:paraId="033FABFA" w14:textId="1C742DA8" w:rsidR="00710D21" w:rsidRPr="00445472" w:rsidRDefault="00710D21" w:rsidP="00B27C57">
      <w:pPr>
        <w:spacing w:after="0"/>
        <w:ind w:right="110"/>
        <w:jc w:val="both"/>
        <w:rPr>
          <w:rFonts w:ascii="Garamond" w:hAnsi="Garamond" w:cs="Arial"/>
          <w:sz w:val="20"/>
          <w:szCs w:val="20"/>
        </w:rPr>
      </w:pPr>
      <w:r w:rsidRPr="00445472">
        <w:rPr>
          <w:rFonts w:ascii="Garamond" w:hAnsi="Garamond" w:cs="Arial"/>
          <w:sz w:val="20"/>
          <w:szCs w:val="20"/>
        </w:rPr>
        <w:t>INSTAT: Vjetari Statistikor i Bujqësisë 2015</w:t>
      </w:r>
      <w:r w:rsidR="00B27C57" w:rsidRPr="00445472">
        <w:rPr>
          <w:rFonts w:ascii="Garamond" w:hAnsi="Garamond" w:cs="Arial"/>
          <w:sz w:val="20"/>
          <w:szCs w:val="20"/>
        </w:rPr>
        <w:t>.</w:t>
      </w:r>
    </w:p>
    <w:p w14:paraId="142B1EDF" w14:textId="34A6520C" w:rsidR="00710D21" w:rsidRPr="00445472" w:rsidRDefault="00710D21" w:rsidP="00710D21">
      <w:pPr>
        <w:pStyle w:val="NENTITULL"/>
        <w:rPr>
          <w:rFonts w:cs="Arial"/>
          <w:sz w:val="16"/>
        </w:rPr>
      </w:pPr>
      <w:r w:rsidRPr="00445472">
        <w:rPr>
          <w:lang w:eastAsia="en-GB"/>
        </w:rPr>
        <w:t xml:space="preserve">Tabela A 4. 2: Sipërfaqja e kulturave bujqësore, BU </w:t>
      </w:r>
      <w:r w:rsidR="007E76E3" w:rsidRPr="00445472">
        <w:rPr>
          <w:lang w:eastAsia="en-GB"/>
        </w:rPr>
        <w:t>Drin–Bunë</w:t>
      </w:r>
      <w:r w:rsidRPr="00445472">
        <w:rPr>
          <w:lang w:eastAsia="en-GB"/>
        </w:rPr>
        <w:t>, 2015, ton</w:t>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1210"/>
        <w:gridCol w:w="902"/>
        <w:gridCol w:w="874"/>
        <w:gridCol w:w="795"/>
        <w:gridCol w:w="763"/>
        <w:gridCol w:w="836"/>
        <w:gridCol w:w="984"/>
        <w:gridCol w:w="1037"/>
        <w:gridCol w:w="988"/>
        <w:gridCol w:w="898"/>
      </w:tblGrid>
      <w:tr w:rsidR="00710D21" w:rsidRPr="00445472" w14:paraId="7A3DC185" w14:textId="77777777" w:rsidTr="00710D21">
        <w:trPr>
          <w:trHeight w:val="675"/>
        </w:trPr>
        <w:tc>
          <w:tcPr>
            <w:tcW w:w="714" w:type="pct"/>
            <w:shd w:val="clear" w:color="auto" w:fill="auto"/>
            <w:vAlign w:val="center"/>
            <w:hideMark/>
          </w:tcPr>
          <w:p w14:paraId="554BFD5E"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Prefektura (qarku)</w:t>
            </w:r>
          </w:p>
        </w:tc>
        <w:tc>
          <w:tcPr>
            <w:tcW w:w="399" w:type="pct"/>
            <w:vAlign w:val="center"/>
          </w:tcPr>
          <w:p w14:paraId="5F43ED5E"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Drithëra</w:t>
            </w:r>
          </w:p>
        </w:tc>
        <w:tc>
          <w:tcPr>
            <w:tcW w:w="532" w:type="pct"/>
            <w:vAlign w:val="center"/>
          </w:tcPr>
          <w:p w14:paraId="4BF6106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 xml:space="preserve">Perime </w:t>
            </w:r>
          </w:p>
        </w:tc>
        <w:tc>
          <w:tcPr>
            <w:tcW w:w="476" w:type="pct"/>
            <w:shd w:val="clear" w:color="auto" w:fill="auto"/>
            <w:vAlign w:val="center"/>
            <w:hideMark/>
          </w:tcPr>
          <w:p w14:paraId="39E036C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Patate</w:t>
            </w:r>
          </w:p>
        </w:tc>
        <w:tc>
          <w:tcPr>
            <w:tcW w:w="476" w:type="pct"/>
            <w:shd w:val="clear" w:color="auto" w:fill="auto"/>
            <w:vAlign w:val="center"/>
            <w:hideMark/>
          </w:tcPr>
          <w:p w14:paraId="69A257B1"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Fasule</w:t>
            </w:r>
          </w:p>
        </w:tc>
        <w:tc>
          <w:tcPr>
            <w:tcW w:w="476" w:type="pct"/>
            <w:shd w:val="clear" w:color="auto" w:fill="auto"/>
            <w:vAlign w:val="center"/>
            <w:hideMark/>
          </w:tcPr>
          <w:p w14:paraId="140B149E"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Duhani</w:t>
            </w:r>
          </w:p>
        </w:tc>
        <w:tc>
          <w:tcPr>
            <w:tcW w:w="497" w:type="pct"/>
            <w:shd w:val="clear" w:color="auto" w:fill="auto"/>
            <w:vAlign w:val="center"/>
            <w:hideMark/>
          </w:tcPr>
          <w:p w14:paraId="0822B9C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Luledielli</w:t>
            </w:r>
          </w:p>
        </w:tc>
        <w:tc>
          <w:tcPr>
            <w:tcW w:w="476" w:type="pct"/>
            <w:shd w:val="clear" w:color="auto" w:fill="auto"/>
            <w:vAlign w:val="center"/>
            <w:hideMark/>
          </w:tcPr>
          <w:p w14:paraId="373DF2F7"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 xml:space="preserve">Bishtajore </w:t>
            </w:r>
          </w:p>
        </w:tc>
        <w:tc>
          <w:tcPr>
            <w:tcW w:w="476" w:type="pct"/>
            <w:shd w:val="clear" w:color="auto" w:fill="auto"/>
            <w:vAlign w:val="center"/>
            <w:hideMark/>
          </w:tcPr>
          <w:p w14:paraId="5E9EC83E"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Foragjere</w:t>
            </w:r>
          </w:p>
        </w:tc>
        <w:tc>
          <w:tcPr>
            <w:tcW w:w="476" w:type="pct"/>
            <w:shd w:val="clear" w:color="auto" w:fill="auto"/>
            <w:vAlign w:val="center"/>
            <w:hideMark/>
          </w:tcPr>
          <w:p w14:paraId="0C74DC8D"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Të tjera</w:t>
            </w:r>
          </w:p>
        </w:tc>
      </w:tr>
      <w:tr w:rsidR="00710D21" w:rsidRPr="00445472" w14:paraId="5A21A8B4" w14:textId="77777777" w:rsidTr="00710D21">
        <w:trPr>
          <w:trHeight w:val="319"/>
        </w:trPr>
        <w:tc>
          <w:tcPr>
            <w:tcW w:w="714" w:type="pct"/>
            <w:shd w:val="clear" w:color="auto" w:fill="auto"/>
            <w:noWrap/>
            <w:vAlign w:val="center"/>
            <w:hideMark/>
          </w:tcPr>
          <w:p w14:paraId="2E360347"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Dibër</w:t>
            </w:r>
          </w:p>
        </w:tc>
        <w:tc>
          <w:tcPr>
            <w:tcW w:w="399" w:type="pct"/>
            <w:vAlign w:val="center"/>
          </w:tcPr>
          <w:p w14:paraId="69288D49"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47,208</w:t>
            </w:r>
          </w:p>
        </w:tc>
        <w:tc>
          <w:tcPr>
            <w:tcW w:w="532" w:type="pct"/>
            <w:vAlign w:val="center"/>
          </w:tcPr>
          <w:p w14:paraId="53C12932"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46,759</w:t>
            </w:r>
          </w:p>
        </w:tc>
        <w:tc>
          <w:tcPr>
            <w:tcW w:w="476" w:type="pct"/>
            <w:shd w:val="clear" w:color="auto" w:fill="auto"/>
            <w:noWrap/>
            <w:vAlign w:val="center"/>
          </w:tcPr>
          <w:p w14:paraId="345650C9"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30,939</w:t>
            </w:r>
          </w:p>
        </w:tc>
        <w:tc>
          <w:tcPr>
            <w:tcW w:w="476" w:type="pct"/>
            <w:shd w:val="clear" w:color="auto" w:fill="auto"/>
            <w:noWrap/>
            <w:vAlign w:val="center"/>
          </w:tcPr>
          <w:p w14:paraId="6E65FEE4"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1,010</w:t>
            </w:r>
          </w:p>
        </w:tc>
        <w:tc>
          <w:tcPr>
            <w:tcW w:w="476" w:type="pct"/>
            <w:shd w:val="clear" w:color="auto" w:fill="auto"/>
            <w:noWrap/>
            <w:vAlign w:val="center"/>
          </w:tcPr>
          <w:p w14:paraId="59F062C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w:t>
            </w:r>
          </w:p>
        </w:tc>
        <w:tc>
          <w:tcPr>
            <w:tcW w:w="497" w:type="pct"/>
            <w:shd w:val="clear" w:color="auto" w:fill="auto"/>
            <w:noWrap/>
            <w:vAlign w:val="center"/>
          </w:tcPr>
          <w:p w14:paraId="760AEA39"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1BC87CCD"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7568941E"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776</w:t>
            </w:r>
          </w:p>
        </w:tc>
        <w:tc>
          <w:tcPr>
            <w:tcW w:w="476" w:type="pct"/>
            <w:shd w:val="clear" w:color="auto" w:fill="auto"/>
            <w:noWrap/>
            <w:vAlign w:val="center"/>
          </w:tcPr>
          <w:p w14:paraId="48074653"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444,986</w:t>
            </w:r>
          </w:p>
        </w:tc>
      </w:tr>
      <w:tr w:rsidR="00710D21" w:rsidRPr="00445472" w14:paraId="17A1E802" w14:textId="77777777" w:rsidTr="00710D21">
        <w:trPr>
          <w:trHeight w:val="319"/>
        </w:trPr>
        <w:tc>
          <w:tcPr>
            <w:tcW w:w="714" w:type="pct"/>
            <w:shd w:val="clear" w:color="auto" w:fill="auto"/>
            <w:noWrap/>
            <w:vAlign w:val="center"/>
            <w:hideMark/>
          </w:tcPr>
          <w:p w14:paraId="5851F754" w14:textId="77777777" w:rsidR="00710D21" w:rsidRPr="00445472" w:rsidRDefault="00710D21" w:rsidP="002A1F08">
            <w:pPr>
              <w:spacing w:before="46" w:after="62"/>
              <w:ind w:left="15"/>
              <w:rPr>
                <w:rFonts w:ascii="Garamond" w:eastAsia="PMingLiU-ExtB" w:hAnsi="Garamond" w:cs="PMingLiU-ExtB"/>
                <w:sz w:val="18"/>
                <w:szCs w:val="18"/>
              </w:rPr>
            </w:pPr>
            <w:r w:rsidRPr="00445472">
              <w:rPr>
                <w:rFonts w:ascii="Garamond" w:hAnsi="Garamond" w:cs="Arial"/>
                <w:sz w:val="18"/>
                <w:szCs w:val="18"/>
              </w:rPr>
              <w:t>Korçë</w:t>
            </w:r>
          </w:p>
        </w:tc>
        <w:tc>
          <w:tcPr>
            <w:tcW w:w="399" w:type="pct"/>
            <w:vAlign w:val="center"/>
          </w:tcPr>
          <w:p w14:paraId="5B8A279B"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86,189</w:t>
            </w:r>
          </w:p>
        </w:tc>
        <w:tc>
          <w:tcPr>
            <w:tcW w:w="532" w:type="pct"/>
            <w:vAlign w:val="center"/>
          </w:tcPr>
          <w:p w14:paraId="5E1E5A32"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78,663</w:t>
            </w:r>
          </w:p>
        </w:tc>
        <w:tc>
          <w:tcPr>
            <w:tcW w:w="476" w:type="pct"/>
            <w:shd w:val="clear" w:color="auto" w:fill="auto"/>
            <w:noWrap/>
            <w:vAlign w:val="center"/>
          </w:tcPr>
          <w:p w14:paraId="4D7717CA"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65,439</w:t>
            </w:r>
          </w:p>
        </w:tc>
        <w:tc>
          <w:tcPr>
            <w:tcW w:w="476" w:type="pct"/>
            <w:shd w:val="clear" w:color="auto" w:fill="auto"/>
            <w:noWrap/>
            <w:vAlign w:val="center"/>
          </w:tcPr>
          <w:p w14:paraId="6CD8823D"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3,315</w:t>
            </w:r>
          </w:p>
        </w:tc>
        <w:tc>
          <w:tcPr>
            <w:tcW w:w="476" w:type="pct"/>
            <w:shd w:val="clear" w:color="auto" w:fill="auto"/>
            <w:noWrap/>
            <w:vAlign w:val="center"/>
          </w:tcPr>
          <w:p w14:paraId="4909408A"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120</w:t>
            </w:r>
          </w:p>
        </w:tc>
        <w:tc>
          <w:tcPr>
            <w:tcW w:w="497" w:type="pct"/>
            <w:shd w:val="clear" w:color="auto" w:fill="auto"/>
            <w:noWrap/>
            <w:vAlign w:val="center"/>
          </w:tcPr>
          <w:p w14:paraId="02FDDB02"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5FC78C47"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055D749D"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303</w:t>
            </w:r>
          </w:p>
        </w:tc>
        <w:tc>
          <w:tcPr>
            <w:tcW w:w="476" w:type="pct"/>
            <w:shd w:val="clear" w:color="auto" w:fill="auto"/>
            <w:noWrap/>
            <w:vAlign w:val="center"/>
          </w:tcPr>
          <w:p w14:paraId="6D4F55F7"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397,488</w:t>
            </w:r>
          </w:p>
        </w:tc>
      </w:tr>
      <w:tr w:rsidR="00710D21" w:rsidRPr="00445472" w14:paraId="1739FCE8" w14:textId="77777777" w:rsidTr="00710D21">
        <w:trPr>
          <w:trHeight w:val="319"/>
        </w:trPr>
        <w:tc>
          <w:tcPr>
            <w:tcW w:w="714" w:type="pct"/>
            <w:shd w:val="clear" w:color="auto" w:fill="auto"/>
            <w:noWrap/>
            <w:vAlign w:val="center"/>
            <w:hideMark/>
          </w:tcPr>
          <w:p w14:paraId="394E5132"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Kukës</w:t>
            </w:r>
          </w:p>
        </w:tc>
        <w:tc>
          <w:tcPr>
            <w:tcW w:w="399" w:type="pct"/>
            <w:vAlign w:val="center"/>
          </w:tcPr>
          <w:p w14:paraId="0C8DB50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22,932</w:t>
            </w:r>
          </w:p>
        </w:tc>
        <w:tc>
          <w:tcPr>
            <w:tcW w:w="532" w:type="pct"/>
            <w:vAlign w:val="center"/>
          </w:tcPr>
          <w:p w14:paraId="33674495"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13,477</w:t>
            </w:r>
          </w:p>
        </w:tc>
        <w:tc>
          <w:tcPr>
            <w:tcW w:w="476" w:type="pct"/>
            <w:shd w:val="clear" w:color="auto" w:fill="auto"/>
            <w:noWrap/>
            <w:vAlign w:val="center"/>
          </w:tcPr>
          <w:p w14:paraId="1BBEDCF3"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11,805</w:t>
            </w:r>
          </w:p>
        </w:tc>
        <w:tc>
          <w:tcPr>
            <w:tcW w:w="476" w:type="pct"/>
            <w:shd w:val="clear" w:color="auto" w:fill="auto"/>
            <w:noWrap/>
            <w:vAlign w:val="center"/>
          </w:tcPr>
          <w:p w14:paraId="042F216F"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1,287</w:t>
            </w:r>
          </w:p>
        </w:tc>
        <w:tc>
          <w:tcPr>
            <w:tcW w:w="476" w:type="pct"/>
            <w:shd w:val="clear" w:color="auto" w:fill="auto"/>
            <w:noWrap/>
            <w:vAlign w:val="center"/>
          </w:tcPr>
          <w:p w14:paraId="1F2259E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97" w:type="pct"/>
            <w:shd w:val="clear" w:color="auto" w:fill="auto"/>
            <w:noWrap/>
            <w:vAlign w:val="center"/>
          </w:tcPr>
          <w:p w14:paraId="03E067DD"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52FD3471"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56D1C4DE"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120</w:t>
            </w:r>
          </w:p>
        </w:tc>
        <w:tc>
          <w:tcPr>
            <w:tcW w:w="476" w:type="pct"/>
            <w:shd w:val="clear" w:color="auto" w:fill="auto"/>
            <w:noWrap/>
            <w:vAlign w:val="center"/>
          </w:tcPr>
          <w:p w14:paraId="487A4F1E"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92,975</w:t>
            </w:r>
          </w:p>
        </w:tc>
      </w:tr>
      <w:tr w:rsidR="00710D21" w:rsidRPr="00445472" w14:paraId="33AE2F38" w14:textId="77777777" w:rsidTr="00710D21">
        <w:trPr>
          <w:trHeight w:val="319"/>
        </w:trPr>
        <w:tc>
          <w:tcPr>
            <w:tcW w:w="714" w:type="pct"/>
            <w:shd w:val="clear" w:color="auto" w:fill="auto"/>
            <w:noWrap/>
            <w:vAlign w:val="center"/>
            <w:hideMark/>
          </w:tcPr>
          <w:p w14:paraId="26A7FCF1"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Lezhë</w:t>
            </w:r>
          </w:p>
        </w:tc>
        <w:tc>
          <w:tcPr>
            <w:tcW w:w="399" w:type="pct"/>
            <w:vAlign w:val="center"/>
          </w:tcPr>
          <w:p w14:paraId="159F66EC"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39,179</w:t>
            </w:r>
          </w:p>
        </w:tc>
        <w:tc>
          <w:tcPr>
            <w:tcW w:w="532" w:type="pct"/>
            <w:vAlign w:val="center"/>
          </w:tcPr>
          <w:p w14:paraId="1F3C1625"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39,717</w:t>
            </w:r>
          </w:p>
        </w:tc>
        <w:tc>
          <w:tcPr>
            <w:tcW w:w="476" w:type="pct"/>
            <w:shd w:val="clear" w:color="auto" w:fill="auto"/>
            <w:noWrap/>
            <w:vAlign w:val="center"/>
          </w:tcPr>
          <w:p w14:paraId="5F2A5BF0"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9,499</w:t>
            </w:r>
          </w:p>
        </w:tc>
        <w:tc>
          <w:tcPr>
            <w:tcW w:w="476" w:type="pct"/>
            <w:shd w:val="clear" w:color="auto" w:fill="auto"/>
            <w:noWrap/>
            <w:vAlign w:val="center"/>
          </w:tcPr>
          <w:p w14:paraId="7715DF80"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1,551</w:t>
            </w:r>
          </w:p>
        </w:tc>
        <w:tc>
          <w:tcPr>
            <w:tcW w:w="476" w:type="pct"/>
            <w:shd w:val="clear" w:color="auto" w:fill="auto"/>
            <w:noWrap/>
            <w:vAlign w:val="center"/>
          </w:tcPr>
          <w:p w14:paraId="1D2C1F1F"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97" w:type="pct"/>
            <w:shd w:val="clear" w:color="auto" w:fill="auto"/>
            <w:noWrap/>
            <w:vAlign w:val="center"/>
          </w:tcPr>
          <w:p w14:paraId="40B2B836"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2351C231"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292</w:t>
            </w:r>
          </w:p>
        </w:tc>
        <w:tc>
          <w:tcPr>
            <w:tcW w:w="476" w:type="pct"/>
            <w:shd w:val="clear" w:color="auto" w:fill="auto"/>
            <w:noWrap/>
            <w:vAlign w:val="center"/>
          </w:tcPr>
          <w:p w14:paraId="12938BB9"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70</w:t>
            </w:r>
          </w:p>
        </w:tc>
        <w:tc>
          <w:tcPr>
            <w:tcW w:w="476" w:type="pct"/>
            <w:shd w:val="clear" w:color="auto" w:fill="auto"/>
            <w:noWrap/>
            <w:vAlign w:val="center"/>
          </w:tcPr>
          <w:p w14:paraId="4163FB58"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402,718</w:t>
            </w:r>
          </w:p>
        </w:tc>
      </w:tr>
      <w:tr w:rsidR="00710D21" w:rsidRPr="00445472" w14:paraId="0D78CDA9" w14:textId="77777777" w:rsidTr="00710D21">
        <w:trPr>
          <w:trHeight w:val="319"/>
        </w:trPr>
        <w:tc>
          <w:tcPr>
            <w:tcW w:w="714" w:type="pct"/>
            <w:shd w:val="clear" w:color="auto" w:fill="auto"/>
            <w:noWrap/>
            <w:vAlign w:val="center"/>
            <w:hideMark/>
          </w:tcPr>
          <w:p w14:paraId="3C563F6D" w14:textId="77777777" w:rsidR="00710D21" w:rsidRPr="00445472" w:rsidRDefault="00710D21" w:rsidP="002A1F08">
            <w:pPr>
              <w:spacing w:before="46" w:after="62"/>
              <w:ind w:left="15"/>
              <w:rPr>
                <w:rFonts w:ascii="Garamond" w:hAnsi="Garamond" w:cs="Arial"/>
                <w:sz w:val="18"/>
                <w:szCs w:val="18"/>
              </w:rPr>
            </w:pPr>
            <w:r w:rsidRPr="00445472">
              <w:rPr>
                <w:rFonts w:ascii="Garamond" w:hAnsi="Garamond" w:cs="Arial"/>
                <w:sz w:val="18"/>
                <w:szCs w:val="18"/>
              </w:rPr>
              <w:t>Shkodër</w:t>
            </w:r>
          </w:p>
        </w:tc>
        <w:tc>
          <w:tcPr>
            <w:tcW w:w="399" w:type="pct"/>
            <w:vAlign w:val="center"/>
          </w:tcPr>
          <w:p w14:paraId="53CC0865"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48,543</w:t>
            </w:r>
          </w:p>
        </w:tc>
        <w:tc>
          <w:tcPr>
            <w:tcW w:w="532" w:type="pct"/>
            <w:vAlign w:val="center"/>
          </w:tcPr>
          <w:p w14:paraId="556AF5B0"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76,530</w:t>
            </w:r>
          </w:p>
        </w:tc>
        <w:tc>
          <w:tcPr>
            <w:tcW w:w="476" w:type="pct"/>
            <w:shd w:val="clear" w:color="auto" w:fill="auto"/>
            <w:noWrap/>
            <w:vAlign w:val="center"/>
          </w:tcPr>
          <w:p w14:paraId="03604977"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22,076</w:t>
            </w:r>
          </w:p>
        </w:tc>
        <w:tc>
          <w:tcPr>
            <w:tcW w:w="476" w:type="pct"/>
            <w:shd w:val="clear" w:color="auto" w:fill="auto"/>
            <w:noWrap/>
            <w:vAlign w:val="center"/>
          </w:tcPr>
          <w:p w14:paraId="1FEF1C9F"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1,191</w:t>
            </w:r>
          </w:p>
        </w:tc>
        <w:tc>
          <w:tcPr>
            <w:tcW w:w="476" w:type="pct"/>
            <w:shd w:val="clear" w:color="auto" w:fill="auto"/>
            <w:noWrap/>
            <w:vAlign w:val="center"/>
          </w:tcPr>
          <w:p w14:paraId="3329B0B1"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626</w:t>
            </w:r>
          </w:p>
        </w:tc>
        <w:tc>
          <w:tcPr>
            <w:tcW w:w="497" w:type="pct"/>
            <w:shd w:val="clear" w:color="auto" w:fill="auto"/>
            <w:noWrap/>
            <w:vAlign w:val="center"/>
          </w:tcPr>
          <w:p w14:paraId="616C413A"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110F407D"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0</w:t>
            </w:r>
          </w:p>
        </w:tc>
        <w:tc>
          <w:tcPr>
            <w:tcW w:w="476" w:type="pct"/>
            <w:shd w:val="clear" w:color="auto" w:fill="auto"/>
            <w:noWrap/>
            <w:vAlign w:val="center"/>
          </w:tcPr>
          <w:p w14:paraId="1129BCE7" w14:textId="77777777" w:rsidR="00710D21" w:rsidRPr="00445472" w:rsidRDefault="00710D21" w:rsidP="002A1F08">
            <w:pPr>
              <w:spacing w:before="46" w:after="62"/>
              <w:jc w:val="center"/>
              <w:rPr>
                <w:rFonts w:ascii="Garamond" w:hAnsi="Garamond" w:cs="Arial"/>
                <w:sz w:val="18"/>
                <w:szCs w:val="18"/>
              </w:rPr>
            </w:pPr>
            <w:r w:rsidRPr="00445472">
              <w:rPr>
                <w:rFonts w:ascii="Garamond" w:hAnsi="Garamond"/>
                <w:lang w:eastAsia="en-GB"/>
              </w:rPr>
              <w:t>6,320</w:t>
            </w:r>
          </w:p>
        </w:tc>
        <w:tc>
          <w:tcPr>
            <w:tcW w:w="476" w:type="pct"/>
            <w:shd w:val="clear" w:color="auto" w:fill="auto"/>
            <w:noWrap/>
            <w:vAlign w:val="center"/>
          </w:tcPr>
          <w:p w14:paraId="094093F5" w14:textId="77777777" w:rsidR="00710D21" w:rsidRPr="00445472" w:rsidRDefault="00710D21" w:rsidP="002A1F08">
            <w:pPr>
              <w:spacing w:before="46" w:after="62"/>
              <w:ind w:left="15"/>
              <w:jc w:val="center"/>
              <w:rPr>
                <w:rFonts w:ascii="Garamond" w:hAnsi="Garamond" w:cs="Arial"/>
                <w:sz w:val="18"/>
                <w:szCs w:val="18"/>
              </w:rPr>
            </w:pPr>
            <w:r w:rsidRPr="00445472">
              <w:rPr>
                <w:rFonts w:ascii="Garamond" w:hAnsi="Garamond"/>
                <w:lang w:eastAsia="en-GB"/>
              </w:rPr>
              <w:t>432,503</w:t>
            </w:r>
          </w:p>
        </w:tc>
      </w:tr>
    </w:tbl>
    <w:p w14:paraId="0BFD0FC8" w14:textId="77777777" w:rsidR="00710D21" w:rsidRPr="00445472" w:rsidRDefault="00710D21" w:rsidP="00710D21">
      <w:pPr>
        <w:pStyle w:val="NENTITULL"/>
        <w:rPr>
          <w:lang w:eastAsia="en-GB"/>
        </w:rPr>
      </w:pPr>
    </w:p>
    <w:p w14:paraId="5616BD06" w14:textId="77777777" w:rsidR="00710D21" w:rsidRPr="00445472" w:rsidRDefault="00710D21" w:rsidP="00710D21">
      <w:pPr>
        <w:pStyle w:val="NENTITULL"/>
      </w:pPr>
      <w:r w:rsidRPr="00445472">
        <w:rPr>
          <w:lang w:eastAsia="en-GB"/>
        </w:rPr>
        <w:t>Tabela A 4. 3: Blegtoria, Baseni Ujor Drin - Bunë 2015 (000) krerë</w:t>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1214"/>
        <w:gridCol w:w="783"/>
        <w:gridCol w:w="783"/>
        <w:gridCol w:w="783"/>
        <w:gridCol w:w="926"/>
        <w:gridCol w:w="783"/>
        <w:gridCol w:w="926"/>
        <w:gridCol w:w="783"/>
        <w:gridCol w:w="1387"/>
        <w:gridCol w:w="919"/>
      </w:tblGrid>
      <w:tr w:rsidR="00710D21" w:rsidRPr="00445472" w14:paraId="1B00FCFC" w14:textId="77777777" w:rsidTr="00710D21">
        <w:trPr>
          <w:trHeight w:val="480"/>
        </w:trPr>
        <w:tc>
          <w:tcPr>
            <w:tcW w:w="699" w:type="pct"/>
            <w:shd w:val="clear" w:color="auto" w:fill="auto"/>
            <w:noWrap/>
            <w:vAlign w:val="center"/>
            <w:hideMark/>
          </w:tcPr>
          <w:p w14:paraId="415E70D0"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Prefektura</w:t>
            </w:r>
          </w:p>
        </w:tc>
        <w:tc>
          <w:tcPr>
            <w:tcW w:w="466" w:type="pct"/>
            <w:shd w:val="clear" w:color="auto" w:fill="auto"/>
            <w:vAlign w:val="center"/>
            <w:hideMark/>
          </w:tcPr>
          <w:p w14:paraId="5F1AA909"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Bagëti</w:t>
            </w:r>
          </w:p>
        </w:tc>
        <w:tc>
          <w:tcPr>
            <w:tcW w:w="466" w:type="pct"/>
            <w:shd w:val="clear" w:color="auto" w:fill="auto"/>
            <w:vAlign w:val="center"/>
            <w:hideMark/>
          </w:tcPr>
          <w:p w14:paraId="1CD3B76E"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Lopë</w:t>
            </w:r>
          </w:p>
        </w:tc>
        <w:tc>
          <w:tcPr>
            <w:tcW w:w="466" w:type="pct"/>
            <w:shd w:val="clear" w:color="auto" w:fill="auto"/>
            <w:vAlign w:val="center"/>
            <w:hideMark/>
          </w:tcPr>
          <w:p w14:paraId="0130C5CA"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Dele</w:t>
            </w:r>
          </w:p>
        </w:tc>
        <w:tc>
          <w:tcPr>
            <w:tcW w:w="466" w:type="pct"/>
            <w:shd w:val="clear" w:color="auto" w:fill="auto"/>
            <w:vAlign w:val="center"/>
            <w:hideMark/>
          </w:tcPr>
          <w:p w14:paraId="47208D2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Dele për qumësht</w:t>
            </w:r>
          </w:p>
        </w:tc>
        <w:tc>
          <w:tcPr>
            <w:tcW w:w="466" w:type="pct"/>
            <w:shd w:val="clear" w:color="auto" w:fill="auto"/>
            <w:vAlign w:val="center"/>
            <w:hideMark/>
          </w:tcPr>
          <w:p w14:paraId="46D408E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Dhi</w:t>
            </w:r>
          </w:p>
        </w:tc>
        <w:tc>
          <w:tcPr>
            <w:tcW w:w="466" w:type="pct"/>
            <w:shd w:val="clear" w:color="auto" w:fill="auto"/>
            <w:vAlign w:val="center"/>
            <w:hideMark/>
          </w:tcPr>
          <w:p w14:paraId="4F667543"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Dhi për qumësht</w:t>
            </w:r>
          </w:p>
        </w:tc>
        <w:tc>
          <w:tcPr>
            <w:tcW w:w="466" w:type="pct"/>
            <w:shd w:val="clear" w:color="auto" w:fill="auto"/>
            <w:vAlign w:val="center"/>
            <w:hideMark/>
          </w:tcPr>
          <w:p w14:paraId="28AD6209"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Derra</w:t>
            </w:r>
          </w:p>
        </w:tc>
        <w:tc>
          <w:tcPr>
            <w:tcW w:w="570" w:type="pct"/>
            <w:shd w:val="clear" w:color="auto" w:fill="auto"/>
            <w:vAlign w:val="center"/>
            <w:hideMark/>
          </w:tcPr>
          <w:p w14:paraId="1E96ACD1"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Njëthundrrakë</w:t>
            </w:r>
          </w:p>
        </w:tc>
        <w:tc>
          <w:tcPr>
            <w:tcW w:w="466" w:type="pct"/>
            <w:shd w:val="clear" w:color="auto" w:fill="auto"/>
            <w:vAlign w:val="center"/>
            <w:hideMark/>
          </w:tcPr>
          <w:p w14:paraId="15709496"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Shpendë</w:t>
            </w:r>
          </w:p>
        </w:tc>
      </w:tr>
      <w:tr w:rsidR="00710D21" w:rsidRPr="00445472" w14:paraId="162DD2C2" w14:textId="77777777" w:rsidTr="00710D21">
        <w:trPr>
          <w:trHeight w:val="300"/>
        </w:trPr>
        <w:tc>
          <w:tcPr>
            <w:tcW w:w="699" w:type="pct"/>
            <w:shd w:val="clear" w:color="auto" w:fill="auto"/>
            <w:noWrap/>
            <w:vAlign w:val="center"/>
            <w:hideMark/>
          </w:tcPr>
          <w:p w14:paraId="0FF615C2"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Dibër</w:t>
            </w:r>
          </w:p>
        </w:tc>
        <w:tc>
          <w:tcPr>
            <w:tcW w:w="466" w:type="pct"/>
            <w:shd w:val="clear" w:color="auto" w:fill="auto"/>
            <w:noWrap/>
            <w:vAlign w:val="center"/>
            <w:hideMark/>
          </w:tcPr>
          <w:p w14:paraId="6EAD6E84"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45</w:t>
            </w:r>
          </w:p>
        </w:tc>
        <w:tc>
          <w:tcPr>
            <w:tcW w:w="466" w:type="pct"/>
            <w:shd w:val="clear" w:color="auto" w:fill="auto"/>
            <w:noWrap/>
            <w:vAlign w:val="center"/>
            <w:hideMark/>
          </w:tcPr>
          <w:p w14:paraId="0E75C34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30</w:t>
            </w:r>
          </w:p>
        </w:tc>
        <w:tc>
          <w:tcPr>
            <w:tcW w:w="466" w:type="pct"/>
            <w:shd w:val="clear" w:color="auto" w:fill="auto"/>
            <w:noWrap/>
            <w:vAlign w:val="center"/>
            <w:hideMark/>
          </w:tcPr>
          <w:p w14:paraId="56D04D7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126</w:t>
            </w:r>
          </w:p>
        </w:tc>
        <w:tc>
          <w:tcPr>
            <w:tcW w:w="466" w:type="pct"/>
            <w:shd w:val="clear" w:color="auto" w:fill="auto"/>
            <w:noWrap/>
            <w:vAlign w:val="center"/>
            <w:hideMark/>
          </w:tcPr>
          <w:p w14:paraId="103962B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105</w:t>
            </w:r>
          </w:p>
        </w:tc>
        <w:tc>
          <w:tcPr>
            <w:tcW w:w="466" w:type="pct"/>
            <w:shd w:val="clear" w:color="auto" w:fill="auto"/>
            <w:noWrap/>
            <w:vAlign w:val="center"/>
            <w:hideMark/>
          </w:tcPr>
          <w:p w14:paraId="048CEA1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66</w:t>
            </w:r>
          </w:p>
        </w:tc>
        <w:tc>
          <w:tcPr>
            <w:tcW w:w="466" w:type="pct"/>
            <w:shd w:val="clear" w:color="auto" w:fill="auto"/>
            <w:noWrap/>
            <w:vAlign w:val="center"/>
            <w:hideMark/>
          </w:tcPr>
          <w:p w14:paraId="2CFC2AA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54</w:t>
            </w:r>
          </w:p>
        </w:tc>
        <w:tc>
          <w:tcPr>
            <w:tcW w:w="466" w:type="pct"/>
            <w:shd w:val="clear" w:color="auto" w:fill="auto"/>
            <w:noWrap/>
            <w:vAlign w:val="center"/>
            <w:hideMark/>
          </w:tcPr>
          <w:p w14:paraId="60FCFD0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570" w:type="pct"/>
            <w:shd w:val="clear" w:color="auto" w:fill="auto"/>
            <w:noWrap/>
            <w:vAlign w:val="center"/>
            <w:hideMark/>
          </w:tcPr>
          <w:p w14:paraId="6484678F"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9</w:t>
            </w:r>
          </w:p>
        </w:tc>
        <w:tc>
          <w:tcPr>
            <w:tcW w:w="466" w:type="pct"/>
            <w:shd w:val="clear" w:color="auto" w:fill="auto"/>
            <w:noWrap/>
            <w:vAlign w:val="center"/>
            <w:hideMark/>
          </w:tcPr>
          <w:p w14:paraId="4685CD9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318</w:t>
            </w:r>
          </w:p>
        </w:tc>
      </w:tr>
      <w:tr w:rsidR="00710D21" w:rsidRPr="00445472" w14:paraId="2C162F5D" w14:textId="77777777" w:rsidTr="00710D21">
        <w:trPr>
          <w:trHeight w:val="300"/>
        </w:trPr>
        <w:tc>
          <w:tcPr>
            <w:tcW w:w="699" w:type="pct"/>
            <w:shd w:val="clear" w:color="auto" w:fill="auto"/>
            <w:noWrap/>
            <w:vAlign w:val="center"/>
            <w:hideMark/>
          </w:tcPr>
          <w:p w14:paraId="76FB2454"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Korçë</w:t>
            </w:r>
          </w:p>
        </w:tc>
        <w:tc>
          <w:tcPr>
            <w:tcW w:w="466" w:type="pct"/>
            <w:shd w:val="clear" w:color="auto" w:fill="auto"/>
            <w:noWrap/>
            <w:vAlign w:val="center"/>
            <w:hideMark/>
          </w:tcPr>
          <w:p w14:paraId="1BADB22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15</w:t>
            </w:r>
          </w:p>
        </w:tc>
        <w:tc>
          <w:tcPr>
            <w:tcW w:w="466" w:type="pct"/>
            <w:shd w:val="clear" w:color="auto" w:fill="auto"/>
            <w:noWrap/>
            <w:vAlign w:val="center"/>
            <w:hideMark/>
          </w:tcPr>
          <w:p w14:paraId="7197B9D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12</w:t>
            </w:r>
          </w:p>
        </w:tc>
        <w:tc>
          <w:tcPr>
            <w:tcW w:w="466" w:type="pct"/>
            <w:shd w:val="clear" w:color="auto" w:fill="auto"/>
            <w:noWrap/>
            <w:vAlign w:val="center"/>
            <w:hideMark/>
          </w:tcPr>
          <w:p w14:paraId="64C2224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87</w:t>
            </w:r>
          </w:p>
        </w:tc>
        <w:tc>
          <w:tcPr>
            <w:tcW w:w="466" w:type="pct"/>
            <w:shd w:val="clear" w:color="auto" w:fill="auto"/>
            <w:noWrap/>
            <w:vAlign w:val="center"/>
            <w:hideMark/>
          </w:tcPr>
          <w:p w14:paraId="06A92934"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70</w:t>
            </w:r>
          </w:p>
        </w:tc>
        <w:tc>
          <w:tcPr>
            <w:tcW w:w="466" w:type="pct"/>
            <w:shd w:val="clear" w:color="auto" w:fill="auto"/>
            <w:noWrap/>
            <w:vAlign w:val="center"/>
            <w:hideMark/>
          </w:tcPr>
          <w:p w14:paraId="229E609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33</w:t>
            </w:r>
          </w:p>
        </w:tc>
        <w:tc>
          <w:tcPr>
            <w:tcW w:w="466" w:type="pct"/>
            <w:shd w:val="clear" w:color="auto" w:fill="auto"/>
            <w:noWrap/>
            <w:vAlign w:val="center"/>
            <w:hideMark/>
          </w:tcPr>
          <w:p w14:paraId="30EC839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25</w:t>
            </w:r>
          </w:p>
        </w:tc>
        <w:tc>
          <w:tcPr>
            <w:tcW w:w="466" w:type="pct"/>
            <w:shd w:val="clear" w:color="auto" w:fill="auto"/>
            <w:noWrap/>
            <w:vAlign w:val="center"/>
            <w:hideMark/>
          </w:tcPr>
          <w:p w14:paraId="7C81A9B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570" w:type="pct"/>
            <w:shd w:val="clear" w:color="auto" w:fill="auto"/>
            <w:noWrap/>
            <w:vAlign w:val="center"/>
            <w:hideMark/>
          </w:tcPr>
          <w:p w14:paraId="155904F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w:t>
            </w:r>
          </w:p>
        </w:tc>
        <w:tc>
          <w:tcPr>
            <w:tcW w:w="466" w:type="pct"/>
            <w:shd w:val="clear" w:color="auto" w:fill="auto"/>
            <w:noWrap/>
            <w:vAlign w:val="center"/>
            <w:hideMark/>
          </w:tcPr>
          <w:p w14:paraId="131F1FD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323</w:t>
            </w:r>
          </w:p>
        </w:tc>
      </w:tr>
      <w:tr w:rsidR="00710D21" w:rsidRPr="00445472" w14:paraId="53E33CCA" w14:textId="77777777" w:rsidTr="00710D21">
        <w:trPr>
          <w:trHeight w:val="300"/>
        </w:trPr>
        <w:tc>
          <w:tcPr>
            <w:tcW w:w="699" w:type="pct"/>
            <w:shd w:val="clear" w:color="auto" w:fill="auto"/>
            <w:noWrap/>
            <w:vAlign w:val="center"/>
            <w:hideMark/>
          </w:tcPr>
          <w:p w14:paraId="6A23C099"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Kukës</w:t>
            </w:r>
          </w:p>
        </w:tc>
        <w:tc>
          <w:tcPr>
            <w:tcW w:w="466" w:type="pct"/>
            <w:shd w:val="clear" w:color="auto" w:fill="auto"/>
            <w:noWrap/>
            <w:vAlign w:val="center"/>
            <w:hideMark/>
          </w:tcPr>
          <w:p w14:paraId="78A0A82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43</w:t>
            </w:r>
          </w:p>
        </w:tc>
        <w:tc>
          <w:tcPr>
            <w:tcW w:w="466" w:type="pct"/>
            <w:shd w:val="clear" w:color="auto" w:fill="auto"/>
            <w:noWrap/>
            <w:vAlign w:val="center"/>
            <w:hideMark/>
          </w:tcPr>
          <w:p w14:paraId="46603364"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29</w:t>
            </w:r>
          </w:p>
        </w:tc>
        <w:tc>
          <w:tcPr>
            <w:tcW w:w="466" w:type="pct"/>
            <w:shd w:val="clear" w:color="auto" w:fill="auto"/>
            <w:noWrap/>
            <w:vAlign w:val="center"/>
            <w:hideMark/>
          </w:tcPr>
          <w:p w14:paraId="73A05EF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72</w:t>
            </w:r>
          </w:p>
        </w:tc>
        <w:tc>
          <w:tcPr>
            <w:tcW w:w="466" w:type="pct"/>
            <w:shd w:val="clear" w:color="auto" w:fill="auto"/>
            <w:noWrap/>
            <w:vAlign w:val="center"/>
            <w:hideMark/>
          </w:tcPr>
          <w:p w14:paraId="6A68093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56</w:t>
            </w:r>
          </w:p>
        </w:tc>
        <w:tc>
          <w:tcPr>
            <w:tcW w:w="466" w:type="pct"/>
            <w:shd w:val="clear" w:color="auto" w:fill="auto"/>
            <w:noWrap/>
            <w:vAlign w:val="center"/>
            <w:hideMark/>
          </w:tcPr>
          <w:p w14:paraId="3435602A"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34</w:t>
            </w:r>
          </w:p>
        </w:tc>
        <w:tc>
          <w:tcPr>
            <w:tcW w:w="466" w:type="pct"/>
            <w:shd w:val="clear" w:color="auto" w:fill="auto"/>
            <w:noWrap/>
            <w:vAlign w:val="center"/>
            <w:hideMark/>
          </w:tcPr>
          <w:p w14:paraId="7EB6EA0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26</w:t>
            </w:r>
          </w:p>
        </w:tc>
        <w:tc>
          <w:tcPr>
            <w:tcW w:w="466" w:type="pct"/>
            <w:shd w:val="clear" w:color="auto" w:fill="auto"/>
            <w:noWrap/>
            <w:vAlign w:val="center"/>
            <w:hideMark/>
          </w:tcPr>
          <w:p w14:paraId="4A3DB07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w:t>
            </w:r>
          </w:p>
        </w:tc>
        <w:tc>
          <w:tcPr>
            <w:tcW w:w="570" w:type="pct"/>
            <w:shd w:val="clear" w:color="auto" w:fill="auto"/>
            <w:noWrap/>
            <w:vAlign w:val="center"/>
            <w:hideMark/>
          </w:tcPr>
          <w:p w14:paraId="3BA6B00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4</w:t>
            </w:r>
          </w:p>
        </w:tc>
        <w:tc>
          <w:tcPr>
            <w:tcW w:w="466" w:type="pct"/>
            <w:shd w:val="clear" w:color="auto" w:fill="auto"/>
            <w:noWrap/>
            <w:vAlign w:val="center"/>
            <w:hideMark/>
          </w:tcPr>
          <w:p w14:paraId="04BCA3C4"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122</w:t>
            </w:r>
          </w:p>
        </w:tc>
      </w:tr>
      <w:tr w:rsidR="00710D21" w:rsidRPr="00445472" w14:paraId="041C66BF" w14:textId="77777777" w:rsidTr="00710D21">
        <w:trPr>
          <w:trHeight w:val="300"/>
        </w:trPr>
        <w:tc>
          <w:tcPr>
            <w:tcW w:w="699" w:type="pct"/>
            <w:shd w:val="clear" w:color="auto" w:fill="auto"/>
            <w:noWrap/>
            <w:vAlign w:val="center"/>
            <w:hideMark/>
          </w:tcPr>
          <w:p w14:paraId="4FA00020"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Lezhë</w:t>
            </w:r>
          </w:p>
        </w:tc>
        <w:tc>
          <w:tcPr>
            <w:tcW w:w="466" w:type="pct"/>
            <w:shd w:val="clear" w:color="auto" w:fill="auto"/>
            <w:noWrap/>
            <w:vAlign w:val="center"/>
            <w:hideMark/>
          </w:tcPr>
          <w:p w14:paraId="4831B74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34</w:t>
            </w:r>
          </w:p>
        </w:tc>
        <w:tc>
          <w:tcPr>
            <w:tcW w:w="466" w:type="pct"/>
            <w:shd w:val="clear" w:color="auto" w:fill="auto"/>
            <w:noWrap/>
            <w:vAlign w:val="center"/>
            <w:hideMark/>
          </w:tcPr>
          <w:p w14:paraId="3651B92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23</w:t>
            </w:r>
          </w:p>
        </w:tc>
        <w:tc>
          <w:tcPr>
            <w:tcW w:w="466" w:type="pct"/>
            <w:shd w:val="clear" w:color="auto" w:fill="auto"/>
            <w:noWrap/>
            <w:vAlign w:val="center"/>
            <w:hideMark/>
          </w:tcPr>
          <w:p w14:paraId="7837C44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34</w:t>
            </w:r>
          </w:p>
        </w:tc>
        <w:tc>
          <w:tcPr>
            <w:tcW w:w="466" w:type="pct"/>
            <w:shd w:val="clear" w:color="auto" w:fill="auto"/>
            <w:noWrap/>
            <w:vAlign w:val="center"/>
            <w:hideMark/>
          </w:tcPr>
          <w:p w14:paraId="0E71FF3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24</w:t>
            </w:r>
          </w:p>
        </w:tc>
        <w:tc>
          <w:tcPr>
            <w:tcW w:w="466" w:type="pct"/>
            <w:shd w:val="clear" w:color="auto" w:fill="auto"/>
            <w:noWrap/>
            <w:vAlign w:val="center"/>
            <w:hideMark/>
          </w:tcPr>
          <w:p w14:paraId="46577FD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61</w:t>
            </w:r>
          </w:p>
        </w:tc>
        <w:tc>
          <w:tcPr>
            <w:tcW w:w="466" w:type="pct"/>
            <w:shd w:val="clear" w:color="auto" w:fill="auto"/>
            <w:noWrap/>
            <w:vAlign w:val="center"/>
            <w:hideMark/>
          </w:tcPr>
          <w:p w14:paraId="25CF7BA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43</w:t>
            </w:r>
          </w:p>
        </w:tc>
        <w:tc>
          <w:tcPr>
            <w:tcW w:w="466" w:type="pct"/>
            <w:shd w:val="clear" w:color="auto" w:fill="auto"/>
            <w:noWrap/>
            <w:vAlign w:val="center"/>
            <w:hideMark/>
          </w:tcPr>
          <w:p w14:paraId="23C7596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64</w:t>
            </w:r>
          </w:p>
        </w:tc>
        <w:tc>
          <w:tcPr>
            <w:tcW w:w="570" w:type="pct"/>
            <w:shd w:val="clear" w:color="auto" w:fill="auto"/>
            <w:noWrap/>
            <w:vAlign w:val="center"/>
            <w:hideMark/>
          </w:tcPr>
          <w:p w14:paraId="31BDDD4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466" w:type="pct"/>
            <w:shd w:val="clear" w:color="auto" w:fill="auto"/>
            <w:noWrap/>
            <w:vAlign w:val="center"/>
            <w:hideMark/>
          </w:tcPr>
          <w:p w14:paraId="5BDE8EE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256</w:t>
            </w:r>
          </w:p>
        </w:tc>
      </w:tr>
      <w:tr w:rsidR="00710D21" w:rsidRPr="00445472" w14:paraId="3688CE33" w14:textId="77777777" w:rsidTr="00710D21">
        <w:trPr>
          <w:trHeight w:val="300"/>
        </w:trPr>
        <w:tc>
          <w:tcPr>
            <w:tcW w:w="699" w:type="pct"/>
            <w:shd w:val="clear" w:color="auto" w:fill="auto"/>
            <w:noWrap/>
            <w:vAlign w:val="center"/>
            <w:hideMark/>
          </w:tcPr>
          <w:p w14:paraId="509E5D6A"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Shkodër</w:t>
            </w:r>
          </w:p>
        </w:tc>
        <w:tc>
          <w:tcPr>
            <w:tcW w:w="466" w:type="pct"/>
            <w:shd w:val="clear" w:color="auto" w:fill="auto"/>
            <w:noWrap/>
            <w:vAlign w:val="center"/>
            <w:hideMark/>
          </w:tcPr>
          <w:p w14:paraId="667295E7"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50</w:t>
            </w:r>
          </w:p>
        </w:tc>
        <w:tc>
          <w:tcPr>
            <w:tcW w:w="466" w:type="pct"/>
            <w:shd w:val="clear" w:color="auto" w:fill="auto"/>
            <w:noWrap/>
            <w:vAlign w:val="center"/>
            <w:hideMark/>
          </w:tcPr>
          <w:p w14:paraId="54EDBC6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37</w:t>
            </w:r>
          </w:p>
        </w:tc>
        <w:tc>
          <w:tcPr>
            <w:tcW w:w="466" w:type="pct"/>
            <w:shd w:val="clear" w:color="auto" w:fill="auto"/>
            <w:noWrap/>
            <w:vAlign w:val="center"/>
            <w:hideMark/>
          </w:tcPr>
          <w:p w14:paraId="3F625E97"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70</w:t>
            </w:r>
          </w:p>
        </w:tc>
        <w:tc>
          <w:tcPr>
            <w:tcW w:w="466" w:type="pct"/>
            <w:shd w:val="clear" w:color="auto" w:fill="auto"/>
            <w:noWrap/>
            <w:vAlign w:val="center"/>
            <w:hideMark/>
          </w:tcPr>
          <w:p w14:paraId="3BD39B2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54</w:t>
            </w:r>
          </w:p>
        </w:tc>
        <w:tc>
          <w:tcPr>
            <w:tcW w:w="466" w:type="pct"/>
            <w:shd w:val="clear" w:color="auto" w:fill="auto"/>
            <w:noWrap/>
            <w:vAlign w:val="center"/>
            <w:hideMark/>
          </w:tcPr>
          <w:p w14:paraId="3FF3E7E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67</w:t>
            </w:r>
          </w:p>
        </w:tc>
        <w:tc>
          <w:tcPr>
            <w:tcW w:w="466" w:type="pct"/>
            <w:shd w:val="clear" w:color="auto" w:fill="auto"/>
            <w:noWrap/>
            <w:vAlign w:val="center"/>
            <w:hideMark/>
          </w:tcPr>
          <w:p w14:paraId="0B1486BA"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50</w:t>
            </w:r>
          </w:p>
        </w:tc>
        <w:tc>
          <w:tcPr>
            <w:tcW w:w="466" w:type="pct"/>
            <w:shd w:val="clear" w:color="auto" w:fill="auto"/>
            <w:noWrap/>
            <w:vAlign w:val="center"/>
            <w:hideMark/>
          </w:tcPr>
          <w:p w14:paraId="2D81401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49</w:t>
            </w:r>
          </w:p>
        </w:tc>
        <w:tc>
          <w:tcPr>
            <w:tcW w:w="570" w:type="pct"/>
            <w:shd w:val="clear" w:color="auto" w:fill="auto"/>
            <w:noWrap/>
            <w:vAlign w:val="center"/>
            <w:hideMark/>
          </w:tcPr>
          <w:p w14:paraId="5283DCB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466" w:type="pct"/>
            <w:shd w:val="clear" w:color="auto" w:fill="auto"/>
            <w:noWrap/>
            <w:vAlign w:val="center"/>
            <w:hideMark/>
          </w:tcPr>
          <w:p w14:paraId="27B71AB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551</w:t>
            </w:r>
          </w:p>
        </w:tc>
      </w:tr>
    </w:tbl>
    <w:p w14:paraId="395B4DB3" w14:textId="73D91D15" w:rsidR="00710D21" w:rsidRPr="00445472" w:rsidRDefault="00710D21" w:rsidP="00B27C57">
      <w:pPr>
        <w:spacing w:after="0"/>
        <w:ind w:right="110"/>
        <w:jc w:val="both"/>
        <w:rPr>
          <w:rFonts w:ascii="Garamond" w:hAnsi="Garamond" w:cs="Arial"/>
          <w:sz w:val="20"/>
          <w:szCs w:val="20"/>
        </w:rPr>
      </w:pPr>
      <w:r w:rsidRPr="00445472">
        <w:rPr>
          <w:rFonts w:ascii="Garamond" w:hAnsi="Garamond" w:cs="Arial"/>
          <w:sz w:val="20"/>
          <w:szCs w:val="20"/>
        </w:rPr>
        <w:t>INSTAT: Vjetari Statistikor i Bujqësisë 2015</w:t>
      </w:r>
      <w:r w:rsidR="00B27C57" w:rsidRPr="00445472">
        <w:rPr>
          <w:rFonts w:ascii="Garamond" w:hAnsi="Garamond" w:cs="Arial"/>
          <w:sz w:val="20"/>
          <w:szCs w:val="20"/>
        </w:rPr>
        <w:t>.</w:t>
      </w:r>
    </w:p>
    <w:p w14:paraId="7EC09754" w14:textId="77777777" w:rsidR="00710D21" w:rsidRPr="00445472" w:rsidRDefault="00710D21" w:rsidP="00710D21">
      <w:pPr>
        <w:pStyle w:val="TEKSTIIII"/>
      </w:pPr>
    </w:p>
    <w:p w14:paraId="3D7A6069" w14:textId="77777777" w:rsidR="00710D21" w:rsidRPr="00445472" w:rsidRDefault="00710D21" w:rsidP="00710D21">
      <w:pPr>
        <w:pStyle w:val="NENTITULL"/>
        <w:rPr>
          <w:lang w:eastAsia="en-GB"/>
        </w:rPr>
      </w:pPr>
      <w:r w:rsidRPr="00445472">
        <w:rPr>
          <w:lang w:eastAsia="en-GB"/>
        </w:rPr>
        <w:t>Tabela A 4. 4: Prodhimi i blegtorisë, Baseni Ujor Drin - Bunë, 2015</w:t>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ayout w:type="fixed"/>
        <w:tblLook w:val="04A0" w:firstRow="1" w:lastRow="0" w:firstColumn="1" w:lastColumn="0" w:noHBand="0" w:noVBand="1"/>
      </w:tblPr>
      <w:tblGrid>
        <w:gridCol w:w="826"/>
        <w:gridCol w:w="718"/>
        <w:gridCol w:w="632"/>
        <w:gridCol w:w="630"/>
        <w:gridCol w:w="548"/>
        <w:gridCol w:w="641"/>
        <w:gridCol w:w="724"/>
        <w:gridCol w:w="593"/>
        <w:gridCol w:w="554"/>
        <w:gridCol w:w="721"/>
        <w:gridCol w:w="997"/>
        <w:gridCol w:w="992"/>
        <w:gridCol w:w="711"/>
      </w:tblGrid>
      <w:tr w:rsidR="00710D21" w:rsidRPr="00445472" w14:paraId="3C52A96D" w14:textId="77777777" w:rsidTr="00B27C57">
        <w:trPr>
          <w:trHeight w:val="300"/>
        </w:trPr>
        <w:tc>
          <w:tcPr>
            <w:tcW w:w="445" w:type="pct"/>
            <w:vMerge w:val="restart"/>
            <w:shd w:val="clear" w:color="auto" w:fill="auto"/>
            <w:noWrap/>
            <w:vAlign w:val="center"/>
          </w:tcPr>
          <w:p w14:paraId="1AD16F64" w14:textId="3AD54C91" w:rsidR="00710D21" w:rsidRPr="00445472" w:rsidRDefault="00710D21" w:rsidP="002A1F08">
            <w:pPr>
              <w:spacing w:before="46" w:after="62"/>
              <w:jc w:val="center"/>
              <w:rPr>
                <w:rFonts w:ascii="Garamond" w:hAnsi="Garamond" w:cs="Arial"/>
                <w:b/>
                <w:bCs/>
                <w:sz w:val="18"/>
                <w:szCs w:val="18"/>
                <w:lang w:eastAsia="en-GB"/>
              </w:rPr>
            </w:pPr>
            <w:r w:rsidRPr="00445472">
              <w:rPr>
                <w:rFonts w:ascii="Garamond" w:hAnsi="Garamond" w:cs="Arial"/>
                <w:b/>
                <w:bCs/>
                <w:sz w:val="18"/>
                <w:szCs w:val="18"/>
                <w:lang w:eastAsia="en-GB"/>
              </w:rPr>
              <w:t>Prefek</w:t>
            </w:r>
            <w:r w:rsidR="00B27C57" w:rsidRPr="00445472">
              <w:rPr>
                <w:rFonts w:ascii="Garamond" w:hAnsi="Garamond" w:cs="Arial"/>
                <w:b/>
                <w:bCs/>
                <w:sz w:val="18"/>
                <w:szCs w:val="18"/>
                <w:lang w:eastAsia="en-GB"/>
              </w:rPr>
              <w:t>-</w:t>
            </w:r>
            <w:r w:rsidRPr="00445472">
              <w:rPr>
                <w:rFonts w:ascii="Garamond" w:hAnsi="Garamond" w:cs="Arial"/>
                <w:b/>
                <w:bCs/>
                <w:sz w:val="18"/>
                <w:szCs w:val="18"/>
                <w:lang w:eastAsia="en-GB"/>
              </w:rPr>
              <w:t>tura</w:t>
            </w:r>
          </w:p>
        </w:tc>
        <w:tc>
          <w:tcPr>
            <w:tcW w:w="1361" w:type="pct"/>
            <w:gridSpan w:val="4"/>
            <w:shd w:val="clear" w:color="auto" w:fill="auto"/>
            <w:noWrap/>
            <w:vAlign w:val="center"/>
          </w:tcPr>
          <w:p w14:paraId="6FAB2199" w14:textId="3196095B"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 xml:space="preserve">Prodhim </w:t>
            </w:r>
            <w:r w:rsidR="00B27C57" w:rsidRPr="00445472">
              <w:rPr>
                <w:rFonts w:ascii="Garamond" w:hAnsi="Garamond" w:cs="Arial"/>
                <w:b/>
                <w:sz w:val="18"/>
                <w:szCs w:val="18"/>
                <w:lang w:val="sq-AL" w:eastAsia="en-GB"/>
              </w:rPr>
              <w:t xml:space="preserve">qumështi </w:t>
            </w:r>
            <w:r w:rsidRPr="00445472">
              <w:rPr>
                <w:rFonts w:ascii="Garamond" w:hAnsi="Garamond" w:cs="Arial"/>
                <w:b/>
                <w:sz w:val="18"/>
                <w:szCs w:val="18"/>
                <w:lang w:val="sq-AL" w:eastAsia="en-GB"/>
              </w:rPr>
              <w:t>(000)</w:t>
            </w:r>
          </w:p>
        </w:tc>
        <w:tc>
          <w:tcPr>
            <w:tcW w:w="2277" w:type="pct"/>
            <w:gridSpan w:val="6"/>
            <w:shd w:val="clear" w:color="auto" w:fill="auto"/>
            <w:noWrap/>
            <w:vAlign w:val="center"/>
          </w:tcPr>
          <w:p w14:paraId="1334D55C"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Prodhimi i mishit, pesha e gjallë (000)</w:t>
            </w:r>
          </w:p>
        </w:tc>
        <w:tc>
          <w:tcPr>
            <w:tcW w:w="534" w:type="pct"/>
            <w:vMerge w:val="restart"/>
            <w:shd w:val="clear" w:color="auto" w:fill="auto"/>
            <w:noWrap/>
            <w:vAlign w:val="center"/>
          </w:tcPr>
          <w:p w14:paraId="6CE9D7C0"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Vezë (000,000)</w:t>
            </w:r>
          </w:p>
        </w:tc>
        <w:tc>
          <w:tcPr>
            <w:tcW w:w="383" w:type="pct"/>
            <w:vMerge w:val="restart"/>
            <w:shd w:val="clear" w:color="auto" w:fill="auto"/>
            <w:noWrap/>
            <w:vAlign w:val="center"/>
          </w:tcPr>
          <w:p w14:paraId="6206DCD4"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 xml:space="preserve">Lesh </w:t>
            </w:r>
          </w:p>
        </w:tc>
      </w:tr>
      <w:tr w:rsidR="00B27C57" w:rsidRPr="00445472" w14:paraId="37429B92" w14:textId="77777777" w:rsidTr="00B27C57">
        <w:trPr>
          <w:trHeight w:val="300"/>
        </w:trPr>
        <w:tc>
          <w:tcPr>
            <w:tcW w:w="445" w:type="pct"/>
            <w:vMerge/>
            <w:shd w:val="clear" w:color="auto" w:fill="auto"/>
            <w:noWrap/>
            <w:vAlign w:val="center"/>
            <w:hideMark/>
          </w:tcPr>
          <w:p w14:paraId="4A3A9077" w14:textId="77777777" w:rsidR="00710D21" w:rsidRPr="00445472" w:rsidRDefault="00710D21" w:rsidP="002A1F08">
            <w:pPr>
              <w:spacing w:before="46" w:after="62"/>
              <w:jc w:val="center"/>
              <w:rPr>
                <w:rFonts w:ascii="Garamond" w:hAnsi="Garamond" w:cs="Arial"/>
                <w:b/>
                <w:bCs/>
                <w:sz w:val="18"/>
                <w:szCs w:val="18"/>
                <w:lang w:eastAsia="en-GB"/>
              </w:rPr>
            </w:pPr>
          </w:p>
        </w:tc>
        <w:tc>
          <w:tcPr>
            <w:tcW w:w="387" w:type="pct"/>
            <w:shd w:val="clear" w:color="auto" w:fill="auto"/>
            <w:vAlign w:val="center"/>
            <w:hideMark/>
          </w:tcPr>
          <w:p w14:paraId="43C50537"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Total</w:t>
            </w:r>
          </w:p>
        </w:tc>
        <w:tc>
          <w:tcPr>
            <w:tcW w:w="340" w:type="pct"/>
            <w:shd w:val="clear" w:color="auto" w:fill="auto"/>
            <w:vAlign w:val="center"/>
            <w:hideMark/>
          </w:tcPr>
          <w:p w14:paraId="7865DC9A"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Lopë</w:t>
            </w:r>
          </w:p>
        </w:tc>
        <w:tc>
          <w:tcPr>
            <w:tcW w:w="339" w:type="pct"/>
            <w:shd w:val="clear" w:color="auto" w:fill="auto"/>
            <w:vAlign w:val="center"/>
            <w:hideMark/>
          </w:tcPr>
          <w:p w14:paraId="76CD070A"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Dele</w:t>
            </w:r>
          </w:p>
        </w:tc>
        <w:tc>
          <w:tcPr>
            <w:tcW w:w="294" w:type="pct"/>
            <w:shd w:val="clear" w:color="auto" w:fill="auto"/>
            <w:vAlign w:val="center"/>
            <w:hideMark/>
          </w:tcPr>
          <w:p w14:paraId="3293F7A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Dhi</w:t>
            </w:r>
          </w:p>
        </w:tc>
        <w:tc>
          <w:tcPr>
            <w:tcW w:w="345" w:type="pct"/>
            <w:shd w:val="clear" w:color="auto" w:fill="auto"/>
            <w:vAlign w:val="center"/>
            <w:hideMark/>
          </w:tcPr>
          <w:p w14:paraId="7190A698"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Total</w:t>
            </w:r>
          </w:p>
        </w:tc>
        <w:tc>
          <w:tcPr>
            <w:tcW w:w="390" w:type="pct"/>
            <w:shd w:val="clear" w:color="auto" w:fill="auto"/>
            <w:noWrap/>
            <w:vAlign w:val="center"/>
            <w:hideMark/>
          </w:tcPr>
          <w:p w14:paraId="555408C2"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Bagëti</w:t>
            </w:r>
          </w:p>
        </w:tc>
        <w:tc>
          <w:tcPr>
            <w:tcW w:w="319" w:type="pct"/>
            <w:shd w:val="clear" w:color="auto" w:fill="auto"/>
            <w:vAlign w:val="center"/>
            <w:hideMark/>
          </w:tcPr>
          <w:p w14:paraId="13E0D7EA"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Dele</w:t>
            </w:r>
          </w:p>
        </w:tc>
        <w:tc>
          <w:tcPr>
            <w:tcW w:w="298" w:type="pct"/>
            <w:shd w:val="clear" w:color="auto" w:fill="auto"/>
            <w:vAlign w:val="center"/>
            <w:hideMark/>
          </w:tcPr>
          <w:p w14:paraId="33C7F2E4"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Dhi</w:t>
            </w:r>
          </w:p>
        </w:tc>
        <w:tc>
          <w:tcPr>
            <w:tcW w:w="388" w:type="pct"/>
            <w:shd w:val="clear" w:color="auto" w:fill="auto"/>
            <w:vAlign w:val="center"/>
            <w:hideMark/>
          </w:tcPr>
          <w:p w14:paraId="18BDE83A"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Derra</w:t>
            </w:r>
          </w:p>
        </w:tc>
        <w:tc>
          <w:tcPr>
            <w:tcW w:w="537" w:type="pct"/>
            <w:shd w:val="clear" w:color="auto" w:fill="auto"/>
            <w:vAlign w:val="center"/>
            <w:hideMark/>
          </w:tcPr>
          <w:p w14:paraId="4882B2EA" w14:textId="77777777" w:rsidR="00710D21" w:rsidRPr="00445472" w:rsidRDefault="00710D21" w:rsidP="002A1F08">
            <w:pPr>
              <w:pStyle w:val="TableTextCentre"/>
              <w:spacing w:before="15" w:after="15"/>
              <w:ind w:right="44"/>
              <w:rPr>
                <w:rFonts w:ascii="Garamond" w:hAnsi="Garamond" w:cs="Arial"/>
                <w:b/>
                <w:sz w:val="18"/>
                <w:szCs w:val="18"/>
                <w:lang w:val="sq-AL" w:eastAsia="en-GB"/>
              </w:rPr>
            </w:pPr>
            <w:r w:rsidRPr="00445472">
              <w:rPr>
                <w:rFonts w:ascii="Garamond" w:hAnsi="Garamond" w:cs="Arial"/>
                <w:b/>
                <w:sz w:val="18"/>
                <w:szCs w:val="18"/>
                <w:lang w:val="sq-AL" w:eastAsia="en-GB"/>
              </w:rPr>
              <w:t>Shpendë</w:t>
            </w:r>
          </w:p>
        </w:tc>
        <w:tc>
          <w:tcPr>
            <w:tcW w:w="534" w:type="pct"/>
            <w:vMerge/>
            <w:shd w:val="clear" w:color="auto" w:fill="auto"/>
            <w:noWrap/>
            <w:vAlign w:val="center"/>
            <w:hideMark/>
          </w:tcPr>
          <w:p w14:paraId="59169D8A" w14:textId="77777777" w:rsidR="00710D21" w:rsidRPr="00445472" w:rsidRDefault="00710D21" w:rsidP="002A1F08">
            <w:pPr>
              <w:spacing w:before="46" w:after="62"/>
              <w:jc w:val="center"/>
              <w:rPr>
                <w:rFonts w:ascii="Garamond" w:hAnsi="Garamond" w:cs="Arial"/>
                <w:b/>
                <w:bCs/>
                <w:sz w:val="18"/>
                <w:szCs w:val="18"/>
                <w:lang w:eastAsia="en-GB"/>
              </w:rPr>
            </w:pPr>
          </w:p>
        </w:tc>
        <w:tc>
          <w:tcPr>
            <w:tcW w:w="383" w:type="pct"/>
            <w:vMerge/>
            <w:shd w:val="clear" w:color="auto" w:fill="auto"/>
            <w:noWrap/>
            <w:vAlign w:val="center"/>
            <w:hideMark/>
          </w:tcPr>
          <w:p w14:paraId="53A68B80" w14:textId="77777777" w:rsidR="00710D21" w:rsidRPr="00445472" w:rsidRDefault="00710D21" w:rsidP="002A1F08">
            <w:pPr>
              <w:spacing w:before="46" w:after="62"/>
              <w:jc w:val="center"/>
              <w:rPr>
                <w:rFonts w:ascii="Garamond" w:hAnsi="Garamond" w:cs="Arial"/>
                <w:b/>
                <w:bCs/>
                <w:sz w:val="18"/>
                <w:szCs w:val="18"/>
                <w:lang w:eastAsia="en-GB"/>
              </w:rPr>
            </w:pPr>
          </w:p>
        </w:tc>
      </w:tr>
      <w:tr w:rsidR="00B27C57" w:rsidRPr="00445472" w14:paraId="012C577F" w14:textId="77777777" w:rsidTr="00B27C57">
        <w:trPr>
          <w:trHeight w:val="300"/>
        </w:trPr>
        <w:tc>
          <w:tcPr>
            <w:tcW w:w="445" w:type="pct"/>
            <w:shd w:val="clear" w:color="auto" w:fill="auto"/>
            <w:noWrap/>
            <w:vAlign w:val="center"/>
            <w:hideMark/>
          </w:tcPr>
          <w:p w14:paraId="1157035D"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Dibër</w:t>
            </w:r>
          </w:p>
        </w:tc>
        <w:tc>
          <w:tcPr>
            <w:tcW w:w="387" w:type="pct"/>
            <w:shd w:val="clear" w:color="auto" w:fill="auto"/>
            <w:noWrap/>
            <w:vAlign w:val="center"/>
            <w:hideMark/>
          </w:tcPr>
          <w:p w14:paraId="5228B9A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74</w:t>
            </w:r>
          </w:p>
        </w:tc>
        <w:tc>
          <w:tcPr>
            <w:tcW w:w="340" w:type="pct"/>
            <w:shd w:val="clear" w:color="auto" w:fill="auto"/>
            <w:noWrap/>
            <w:vAlign w:val="center"/>
            <w:hideMark/>
          </w:tcPr>
          <w:p w14:paraId="7F676F0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64</w:t>
            </w:r>
          </w:p>
        </w:tc>
        <w:tc>
          <w:tcPr>
            <w:tcW w:w="339" w:type="pct"/>
            <w:shd w:val="clear" w:color="auto" w:fill="auto"/>
            <w:noWrap/>
            <w:vAlign w:val="center"/>
            <w:hideMark/>
          </w:tcPr>
          <w:p w14:paraId="3E1BF35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294" w:type="pct"/>
            <w:shd w:val="clear" w:color="auto" w:fill="auto"/>
            <w:noWrap/>
            <w:vAlign w:val="center"/>
            <w:hideMark/>
          </w:tcPr>
          <w:p w14:paraId="5153B55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345" w:type="pct"/>
            <w:shd w:val="clear" w:color="auto" w:fill="auto"/>
            <w:noWrap/>
            <w:vAlign w:val="center"/>
            <w:hideMark/>
          </w:tcPr>
          <w:p w14:paraId="1361795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10</w:t>
            </w:r>
          </w:p>
        </w:tc>
        <w:tc>
          <w:tcPr>
            <w:tcW w:w="390" w:type="pct"/>
            <w:shd w:val="clear" w:color="auto" w:fill="auto"/>
            <w:noWrap/>
            <w:vAlign w:val="center"/>
            <w:hideMark/>
          </w:tcPr>
          <w:p w14:paraId="1D77EBA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319" w:type="pct"/>
            <w:shd w:val="clear" w:color="auto" w:fill="auto"/>
            <w:noWrap/>
            <w:vAlign w:val="center"/>
            <w:hideMark/>
          </w:tcPr>
          <w:p w14:paraId="1C98F7C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w:t>
            </w:r>
          </w:p>
        </w:tc>
        <w:tc>
          <w:tcPr>
            <w:tcW w:w="298" w:type="pct"/>
            <w:shd w:val="clear" w:color="auto" w:fill="auto"/>
            <w:noWrap/>
            <w:vAlign w:val="center"/>
            <w:hideMark/>
          </w:tcPr>
          <w:p w14:paraId="336591E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388" w:type="pct"/>
            <w:shd w:val="clear" w:color="auto" w:fill="auto"/>
            <w:noWrap/>
            <w:vAlign w:val="center"/>
            <w:hideMark/>
          </w:tcPr>
          <w:p w14:paraId="5A9A8515"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0</w:t>
            </w:r>
          </w:p>
        </w:tc>
        <w:tc>
          <w:tcPr>
            <w:tcW w:w="537" w:type="pct"/>
            <w:shd w:val="clear" w:color="auto" w:fill="auto"/>
            <w:noWrap/>
            <w:vAlign w:val="center"/>
            <w:hideMark/>
          </w:tcPr>
          <w:p w14:paraId="74F06BB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w:t>
            </w:r>
          </w:p>
        </w:tc>
        <w:tc>
          <w:tcPr>
            <w:tcW w:w="534" w:type="pct"/>
            <w:shd w:val="clear" w:color="auto" w:fill="auto"/>
            <w:noWrap/>
            <w:vAlign w:val="center"/>
            <w:hideMark/>
          </w:tcPr>
          <w:p w14:paraId="46622E3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33</w:t>
            </w:r>
          </w:p>
        </w:tc>
        <w:tc>
          <w:tcPr>
            <w:tcW w:w="383" w:type="pct"/>
            <w:shd w:val="clear" w:color="auto" w:fill="auto"/>
            <w:noWrap/>
            <w:vAlign w:val="center"/>
            <w:hideMark/>
          </w:tcPr>
          <w:p w14:paraId="3F92E37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195</w:t>
            </w:r>
          </w:p>
        </w:tc>
      </w:tr>
      <w:tr w:rsidR="00B27C57" w:rsidRPr="00445472" w14:paraId="1743EDAA" w14:textId="77777777" w:rsidTr="00B27C57">
        <w:trPr>
          <w:trHeight w:val="300"/>
        </w:trPr>
        <w:tc>
          <w:tcPr>
            <w:tcW w:w="445" w:type="pct"/>
            <w:shd w:val="clear" w:color="auto" w:fill="auto"/>
            <w:noWrap/>
            <w:vAlign w:val="center"/>
            <w:hideMark/>
          </w:tcPr>
          <w:p w14:paraId="1D2556C4"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Korçë</w:t>
            </w:r>
          </w:p>
        </w:tc>
        <w:tc>
          <w:tcPr>
            <w:tcW w:w="387" w:type="pct"/>
            <w:shd w:val="clear" w:color="auto" w:fill="auto"/>
            <w:noWrap/>
            <w:vAlign w:val="center"/>
            <w:hideMark/>
          </w:tcPr>
          <w:p w14:paraId="3C7E567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35</w:t>
            </w:r>
          </w:p>
        </w:tc>
        <w:tc>
          <w:tcPr>
            <w:tcW w:w="340" w:type="pct"/>
            <w:shd w:val="clear" w:color="auto" w:fill="auto"/>
            <w:noWrap/>
            <w:vAlign w:val="center"/>
            <w:hideMark/>
          </w:tcPr>
          <w:p w14:paraId="55C7566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29</w:t>
            </w:r>
          </w:p>
        </w:tc>
        <w:tc>
          <w:tcPr>
            <w:tcW w:w="339" w:type="pct"/>
            <w:shd w:val="clear" w:color="auto" w:fill="auto"/>
            <w:noWrap/>
            <w:vAlign w:val="center"/>
            <w:hideMark/>
          </w:tcPr>
          <w:p w14:paraId="5B4B714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4</w:t>
            </w:r>
          </w:p>
        </w:tc>
        <w:tc>
          <w:tcPr>
            <w:tcW w:w="294" w:type="pct"/>
            <w:shd w:val="clear" w:color="auto" w:fill="auto"/>
            <w:noWrap/>
            <w:vAlign w:val="center"/>
            <w:hideMark/>
          </w:tcPr>
          <w:p w14:paraId="7844CCC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345" w:type="pct"/>
            <w:shd w:val="clear" w:color="auto" w:fill="auto"/>
            <w:noWrap/>
            <w:vAlign w:val="center"/>
            <w:hideMark/>
          </w:tcPr>
          <w:p w14:paraId="0270423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w:t>
            </w:r>
          </w:p>
        </w:tc>
        <w:tc>
          <w:tcPr>
            <w:tcW w:w="390" w:type="pct"/>
            <w:shd w:val="clear" w:color="auto" w:fill="auto"/>
            <w:noWrap/>
            <w:vAlign w:val="center"/>
            <w:hideMark/>
          </w:tcPr>
          <w:p w14:paraId="27A9D92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319" w:type="pct"/>
            <w:shd w:val="clear" w:color="auto" w:fill="auto"/>
            <w:noWrap/>
            <w:vAlign w:val="center"/>
            <w:hideMark/>
          </w:tcPr>
          <w:p w14:paraId="39FB9EF5"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w:t>
            </w:r>
          </w:p>
        </w:tc>
        <w:tc>
          <w:tcPr>
            <w:tcW w:w="298" w:type="pct"/>
            <w:shd w:val="clear" w:color="auto" w:fill="auto"/>
            <w:noWrap/>
            <w:vAlign w:val="center"/>
            <w:hideMark/>
          </w:tcPr>
          <w:p w14:paraId="050DF0E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388" w:type="pct"/>
            <w:shd w:val="clear" w:color="auto" w:fill="auto"/>
            <w:noWrap/>
            <w:vAlign w:val="center"/>
            <w:hideMark/>
          </w:tcPr>
          <w:p w14:paraId="02E0785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0</w:t>
            </w:r>
          </w:p>
        </w:tc>
        <w:tc>
          <w:tcPr>
            <w:tcW w:w="537" w:type="pct"/>
            <w:shd w:val="clear" w:color="auto" w:fill="auto"/>
            <w:noWrap/>
            <w:vAlign w:val="center"/>
            <w:hideMark/>
          </w:tcPr>
          <w:p w14:paraId="7876271A"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0</w:t>
            </w:r>
          </w:p>
        </w:tc>
        <w:tc>
          <w:tcPr>
            <w:tcW w:w="534" w:type="pct"/>
            <w:shd w:val="clear" w:color="auto" w:fill="auto"/>
            <w:noWrap/>
            <w:vAlign w:val="center"/>
            <w:hideMark/>
          </w:tcPr>
          <w:p w14:paraId="67C70DC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13</w:t>
            </w:r>
          </w:p>
        </w:tc>
        <w:tc>
          <w:tcPr>
            <w:tcW w:w="383" w:type="pct"/>
            <w:shd w:val="clear" w:color="auto" w:fill="auto"/>
            <w:noWrap/>
            <w:vAlign w:val="center"/>
            <w:hideMark/>
          </w:tcPr>
          <w:p w14:paraId="5A695DE5"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98</w:t>
            </w:r>
          </w:p>
        </w:tc>
      </w:tr>
      <w:tr w:rsidR="00B27C57" w:rsidRPr="00445472" w14:paraId="279B79C5" w14:textId="77777777" w:rsidTr="00B27C57">
        <w:trPr>
          <w:trHeight w:val="300"/>
        </w:trPr>
        <w:tc>
          <w:tcPr>
            <w:tcW w:w="445" w:type="pct"/>
            <w:shd w:val="clear" w:color="auto" w:fill="auto"/>
            <w:noWrap/>
            <w:vAlign w:val="center"/>
            <w:hideMark/>
          </w:tcPr>
          <w:p w14:paraId="24015393"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Kukës</w:t>
            </w:r>
          </w:p>
        </w:tc>
        <w:tc>
          <w:tcPr>
            <w:tcW w:w="387" w:type="pct"/>
            <w:shd w:val="clear" w:color="auto" w:fill="auto"/>
            <w:noWrap/>
            <w:vAlign w:val="center"/>
            <w:hideMark/>
          </w:tcPr>
          <w:p w14:paraId="61EFE67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59</w:t>
            </w:r>
          </w:p>
        </w:tc>
        <w:tc>
          <w:tcPr>
            <w:tcW w:w="340" w:type="pct"/>
            <w:shd w:val="clear" w:color="auto" w:fill="auto"/>
            <w:noWrap/>
            <w:vAlign w:val="center"/>
            <w:hideMark/>
          </w:tcPr>
          <w:p w14:paraId="4B689E85"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53</w:t>
            </w:r>
          </w:p>
        </w:tc>
        <w:tc>
          <w:tcPr>
            <w:tcW w:w="339" w:type="pct"/>
            <w:shd w:val="clear" w:color="auto" w:fill="auto"/>
            <w:noWrap/>
            <w:vAlign w:val="center"/>
            <w:hideMark/>
          </w:tcPr>
          <w:p w14:paraId="07963EDE"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294" w:type="pct"/>
            <w:shd w:val="clear" w:color="auto" w:fill="auto"/>
            <w:noWrap/>
            <w:vAlign w:val="center"/>
            <w:hideMark/>
          </w:tcPr>
          <w:p w14:paraId="29F6895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345" w:type="pct"/>
            <w:shd w:val="clear" w:color="auto" w:fill="auto"/>
            <w:noWrap/>
            <w:vAlign w:val="center"/>
            <w:hideMark/>
          </w:tcPr>
          <w:p w14:paraId="72008FE5"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8</w:t>
            </w:r>
          </w:p>
        </w:tc>
        <w:tc>
          <w:tcPr>
            <w:tcW w:w="390" w:type="pct"/>
            <w:shd w:val="clear" w:color="auto" w:fill="auto"/>
            <w:noWrap/>
            <w:vAlign w:val="center"/>
            <w:hideMark/>
          </w:tcPr>
          <w:p w14:paraId="1A9D3F9A"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319" w:type="pct"/>
            <w:shd w:val="clear" w:color="auto" w:fill="auto"/>
            <w:noWrap/>
            <w:vAlign w:val="center"/>
            <w:hideMark/>
          </w:tcPr>
          <w:p w14:paraId="1D9DB0B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2</w:t>
            </w:r>
          </w:p>
        </w:tc>
        <w:tc>
          <w:tcPr>
            <w:tcW w:w="298" w:type="pct"/>
            <w:shd w:val="clear" w:color="auto" w:fill="auto"/>
            <w:noWrap/>
            <w:vAlign w:val="center"/>
            <w:hideMark/>
          </w:tcPr>
          <w:p w14:paraId="4591380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388" w:type="pct"/>
            <w:shd w:val="clear" w:color="auto" w:fill="auto"/>
            <w:noWrap/>
            <w:vAlign w:val="center"/>
            <w:hideMark/>
          </w:tcPr>
          <w:p w14:paraId="6F1FD67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0</w:t>
            </w:r>
          </w:p>
        </w:tc>
        <w:tc>
          <w:tcPr>
            <w:tcW w:w="537" w:type="pct"/>
            <w:shd w:val="clear" w:color="auto" w:fill="auto"/>
            <w:noWrap/>
            <w:vAlign w:val="center"/>
            <w:hideMark/>
          </w:tcPr>
          <w:p w14:paraId="337440BE"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0</w:t>
            </w:r>
          </w:p>
        </w:tc>
        <w:tc>
          <w:tcPr>
            <w:tcW w:w="534" w:type="pct"/>
            <w:shd w:val="clear" w:color="auto" w:fill="auto"/>
            <w:noWrap/>
            <w:vAlign w:val="center"/>
            <w:hideMark/>
          </w:tcPr>
          <w:p w14:paraId="0DE48FDE"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13</w:t>
            </w:r>
          </w:p>
        </w:tc>
        <w:tc>
          <w:tcPr>
            <w:tcW w:w="383" w:type="pct"/>
            <w:shd w:val="clear" w:color="auto" w:fill="auto"/>
            <w:noWrap/>
            <w:vAlign w:val="center"/>
            <w:hideMark/>
          </w:tcPr>
          <w:p w14:paraId="146FFF2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104</w:t>
            </w:r>
          </w:p>
        </w:tc>
      </w:tr>
      <w:tr w:rsidR="00B27C57" w:rsidRPr="00445472" w14:paraId="797A0376" w14:textId="77777777" w:rsidTr="00B27C57">
        <w:trPr>
          <w:trHeight w:val="300"/>
        </w:trPr>
        <w:tc>
          <w:tcPr>
            <w:tcW w:w="445" w:type="pct"/>
            <w:shd w:val="clear" w:color="auto" w:fill="auto"/>
            <w:noWrap/>
            <w:vAlign w:val="center"/>
            <w:hideMark/>
          </w:tcPr>
          <w:p w14:paraId="129B39CF"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Lezhë</w:t>
            </w:r>
          </w:p>
        </w:tc>
        <w:tc>
          <w:tcPr>
            <w:tcW w:w="387" w:type="pct"/>
            <w:shd w:val="clear" w:color="auto" w:fill="auto"/>
            <w:noWrap/>
            <w:vAlign w:val="center"/>
            <w:hideMark/>
          </w:tcPr>
          <w:p w14:paraId="6805795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60</w:t>
            </w:r>
          </w:p>
        </w:tc>
        <w:tc>
          <w:tcPr>
            <w:tcW w:w="340" w:type="pct"/>
            <w:shd w:val="clear" w:color="auto" w:fill="auto"/>
            <w:noWrap/>
            <w:vAlign w:val="center"/>
            <w:hideMark/>
          </w:tcPr>
          <w:p w14:paraId="350DC358"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54</w:t>
            </w:r>
          </w:p>
        </w:tc>
        <w:tc>
          <w:tcPr>
            <w:tcW w:w="339" w:type="pct"/>
            <w:shd w:val="clear" w:color="auto" w:fill="auto"/>
            <w:noWrap/>
            <w:vAlign w:val="center"/>
            <w:hideMark/>
          </w:tcPr>
          <w:p w14:paraId="6C0BE9A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294" w:type="pct"/>
            <w:shd w:val="clear" w:color="auto" w:fill="auto"/>
            <w:noWrap/>
            <w:vAlign w:val="center"/>
            <w:hideMark/>
          </w:tcPr>
          <w:p w14:paraId="200F679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345" w:type="pct"/>
            <w:shd w:val="clear" w:color="auto" w:fill="auto"/>
            <w:noWrap/>
            <w:vAlign w:val="center"/>
            <w:hideMark/>
          </w:tcPr>
          <w:p w14:paraId="0A06B18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10</w:t>
            </w:r>
          </w:p>
        </w:tc>
        <w:tc>
          <w:tcPr>
            <w:tcW w:w="390" w:type="pct"/>
            <w:shd w:val="clear" w:color="auto" w:fill="auto"/>
            <w:noWrap/>
            <w:vAlign w:val="center"/>
            <w:hideMark/>
          </w:tcPr>
          <w:p w14:paraId="3DD44F92"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3</w:t>
            </w:r>
          </w:p>
        </w:tc>
        <w:tc>
          <w:tcPr>
            <w:tcW w:w="319" w:type="pct"/>
            <w:shd w:val="clear" w:color="auto" w:fill="auto"/>
            <w:noWrap/>
            <w:vAlign w:val="center"/>
            <w:hideMark/>
          </w:tcPr>
          <w:p w14:paraId="14FD663D"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298" w:type="pct"/>
            <w:shd w:val="clear" w:color="auto" w:fill="auto"/>
            <w:noWrap/>
            <w:vAlign w:val="center"/>
            <w:hideMark/>
          </w:tcPr>
          <w:p w14:paraId="5847EF9A"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388" w:type="pct"/>
            <w:shd w:val="clear" w:color="auto" w:fill="auto"/>
            <w:noWrap/>
            <w:vAlign w:val="center"/>
            <w:hideMark/>
          </w:tcPr>
          <w:p w14:paraId="5ABFBEAF"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w:t>
            </w:r>
          </w:p>
        </w:tc>
        <w:tc>
          <w:tcPr>
            <w:tcW w:w="537" w:type="pct"/>
            <w:shd w:val="clear" w:color="auto" w:fill="auto"/>
            <w:noWrap/>
            <w:vAlign w:val="center"/>
            <w:hideMark/>
          </w:tcPr>
          <w:p w14:paraId="0903345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0</w:t>
            </w:r>
          </w:p>
        </w:tc>
        <w:tc>
          <w:tcPr>
            <w:tcW w:w="534" w:type="pct"/>
            <w:shd w:val="clear" w:color="auto" w:fill="auto"/>
            <w:noWrap/>
            <w:vAlign w:val="center"/>
            <w:hideMark/>
          </w:tcPr>
          <w:p w14:paraId="5AFABAC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18</w:t>
            </w:r>
          </w:p>
        </w:tc>
        <w:tc>
          <w:tcPr>
            <w:tcW w:w="383" w:type="pct"/>
            <w:shd w:val="clear" w:color="auto" w:fill="auto"/>
            <w:noWrap/>
            <w:vAlign w:val="center"/>
            <w:hideMark/>
          </w:tcPr>
          <w:p w14:paraId="5FDB41D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63</w:t>
            </w:r>
          </w:p>
        </w:tc>
      </w:tr>
      <w:tr w:rsidR="00B27C57" w:rsidRPr="00445472" w14:paraId="1AC7918D" w14:textId="77777777" w:rsidTr="00B27C57">
        <w:trPr>
          <w:trHeight w:val="300"/>
        </w:trPr>
        <w:tc>
          <w:tcPr>
            <w:tcW w:w="445" w:type="pct"/>
            <w:shd w:val="clear" w:color="auto" w:fill="auto"/>
            <w:noWrap/>
            <w:vAlign w:val="center"/>
            <w:hideMark/>
          </w:tcPr>
          <w:p w14:paraId="58E3B9B5" w14:textId="77777777" w:rsidR="00710D21" w:rsidRPr="00445472" w:rsidRDefault="00710D21" w:rsidP="002A1F08">
            <w:pPr>
              <w:spacing w:before="46" w:after="62"/>
              <w:rPr>
                <w:rFonts w:ascii="Garamond" w:hAnsi="Garamond" w:cs="Arial"/>
                <w:sz w:val="18"/>
                <w:szCs w:val="18"/>
                <w:lang w:eastAsia="en-GB"/>
              </w:rPr>
            </w:pPr>
            <w:r w:rsidRPr="00445472">
              <w:rPr>
                <w:rFonts w:ascii="Garamond" w:hAnsi="Garamond" w:cs="Arial"/>
                <w:sz w:val="18"/>
                <w:szCs w:val="18"/>
                <w:lang w:eastAsia="en-GB"/>
              </w:rPr>
              <w:t>Shkodër</w:t>
            </w:r>
          </w:p>
        </w:tc>
        <w:tc>
          <w:tcPr>
            <w:tcW w:w="387" w:type="pct"/>
            <w:shd w:val="clear" w:color="auto" w:fill="auto"/>
            <w:noWrap/>
            <w:vAlign w:val="center"/>
            <w:hideMark/>
          </w:tcPr>
          <w:p w14:paraId="335827B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93</w:t>
            </w:r>
          </w:p>
        </w:tc>
        <w:tc>
          <w:tcPr>
            <w:tcW w:w="340" w:type="pct"/>
            <w:shd w:val="clear" w:color="auto" w:fill="auto"/>
            <w:noWrap/>
            <w:vAlign w:val="center"/>
            <w:hideMark/>
          </w:tcPr>
          <w:p w14:paraId="57F7DACA"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83</w:t>
            </w:r>
          </w:p>
        </w:tc>
        <w:tc>
          <w:tcPr>
            <w:tcW w:w="339" w:type="pct"/>
            <w:shd w:val="clear" w:color="auto" w:fill="auto"/>
            <w:noWrap/>
            <w:vAlign w:val="center"/>
            <w:hideMark/>
          </w:tcPr>
          <w:p w14:paraId="5A914C46"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294" w:type="pct"/>
            <w:shd w:val="clear" w:color="auto" w:fill="auto"/>
            <w:noWrap/>
            <w:vAlign w:val="center"/>
            <w:hideMark/>
          </w:tcPr>
          <w:p w14:paraId="132811EB"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6</w:t>
            </w:r>
          </w:p>
        </w:tc>
        <w:tc>
          <w:tcPr>
            <w:tcW w:w="345" w:type="pct"/>
            <w:shd w:val="clear" w:color="auto" w:fill="auto"/>
            <w:noWrap/>
            <w:vAlign w:val="center"/>
            <w:hideMark/>
          </w:tcPr>
          <w:p w14:paraId="03441AD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13</w:t>
            </w:r>
          </w:p>
        </w:tc>
        <w:tc>
          <w:tcPr>
            <w:tcW w:w="390" w:type="pct"/>
            <w:shd w:val="clear" w:color="auto" w:fill="auto"/>
            <w:noWrap/>
            <w:vAlign w:val="center"/>
            <w:hideMark/>
          </w:tcPr>
          <w:p w14:paraId="66C6AC54"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319" w:type="pct"/>
            <w:shd w:val="clear" w:color="auto" w:fill="auto"/>
            <w:noWrap/>
            <w:vAlign w:val="center"/>
            <w:hideMark/>
          </w:tcPr>
          <w:p w14:paraId="6ECE06E1"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298" w:type="pct"/>
            <w:shd w:val="clear" w:color="auto" w:fill="auto"/>
            <w:noWrap/>
            <w:vAlign w:val="center"/>
            <w:hideMark/>
          </w:tcPr>
          <w:p w14:paraId="70EAD9F3"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388" w:type="pct"/>
            <w:shd w:val="clear" w:color="auto" w:fill="auto"/>
            <w:noWrap/>
            <w:vAlign w:val="center"/>
            <w:hideMark/>
          </w:tcPr>
          <w:p w14:paraId="7CB834FC"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5</w:t>
            </w:r>
          </w:p>
        </w:tc>
        <w:tc>
          <w:tcPr>
            <w:tcW w:w="537" w:type="pct"/>
            <w:shd w:val="clear" w:color="auto" w:fill="auto"/>
            <w:noWrap/>
            <w:vAlign w:val="center"/>
            <w:hideMark/>
          </w:tcPr>
          <w:p w14:paraId="41D5B589"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w:t>
            </w:r>
          </w:p>
        </w:tc>
        <w:tc>
          <w:tcPr>
            <w:tcW w:w="534" w:type="pct"/>
            <w:shd w:val="clear" w:color="auto" w:fill="auto"/>
            <w:noWrap/>
            <w:vAlign w:val="center"/>
            <w:hideMark/>
          </w:tcPr>
          <w:p w14:paraId="3EA22AB4"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102</w:t>
            </w:r>
          </w:p>
        </w:tc>
        <w:tc>
          <w:tcPr>
            <w:tcW w:w="383" w:type="pct"/>
            <w:shd w:val="clear" w:color="auto" w:fill="auto"/>
            <w:noWrap/>
            <w:vAlign w:val="center"/>
            <w:hideMark/>
          </w:tcPr>
          <w:p w14:paraId="6E4CFE60" w14:textId="77777777" w:rsidR="00710D21" w:rsidRPr="00445472" w:rsidRDefault="00710D21" w:rsidP="002A1F08">
            <w:pPr>
              <w:spacing w:before="46" w:after="62"/>
              <w:jc w:val="center"/>
              <w:rPr>
                <w:rFonts w:ascii="Garamond" w:hAnsi="Garamond" w:cs="Arial"/>
                <w:sz w:val="18"/>
                <w:szCs w:val="18"/>
                <w:lang w:eastAsia="en-GB"/>
              </w:rPr>
            </w:pPr>
            <w:r w:rsidRPr="00445472">
              <w:rPr>
                <w:rFonts w:ascii="Garamond" w:hAnsi="Garamond" w:cs="Arial"/>
                <w:sz w:val="18"/>
                <w:szCs w:val="18"/>
                <w:lang w:eastAsia="en-GB"/>
              </w:rPr>
              <w:t>122</w:t>
            </w:r>
          </w:p>
        </w:tc>
      </w:tr>
    </w:tbl>
    <w:p w14:paraId="75279E9E" w14:textId="5D76B501" w:rsidR="00710D21" w:rsidRPr="00445472" w:rsidRDefault="00710D21" w:rsidP="00710D21">
      <w:pPr>
        <w:spacing w:after="0" w:line="240" w:lineRule="auto"/>
        <w:jc w:val="both"/>
        <w:rPr>
          <w:rFonts w:ascii="Garamond" w:hAnsi="Garamond" w:cs="Arial"/>
          <w:sz w:val="20"/>
          <w:szCs w:val="20"/>
        </w:rPr>
      </w:pPr>
      <w:r w:rsidRPr="00445472">
        <w:rPr>
          <w:rFonts w:ascii="Garamond" w:hAnsi="Garamond" w:cs="Arial"/>
          <w:sz w:val="20"/>
          <w:szCs w:val="20"/>
        </w:rPr>
        <w:t>INSTAT: Vjetari Statistikor i Bujqësisë 2015</w:t>
      </w:r>
      <w:r w:rsidR="00DB6391" w:rsidRPr="00445472">
        <w:rPr>
          <w:rFonts w:ascii="Garamond" w:hAnsi="Garamond" w:cs="Arial"/>
          <w:sz w:val="20"/>
          <w:szCs w:val="20"/>
        </w:rPr>
        <w:t>.</w:t>
      </w:r>
    </w:p>
    <w:p w14:paraId="2CC06E6B" w14:textId="77777777" w:rsidR="00DB6391" w:rsidRPr="00445472" w:rsidRDefault="00DB6391" w:rsidP="00B21189">
      <w:pPr>
        <w:pStyle w:val="NENTITULL"/>
      </w:pPr>
    </w:p>
    <w:p w14:paraId="4EED1661" w14:textId="2AFCA001" w:rsidR="00B21189" w:rsidRPr="00445472" w:rsidRDefault="00B21189" w:rsidP="00B21189">
      <w:pPr>
        <w:pStyle w:val="NENTITULL"/>
      </w:pPr>
      <w:r w:rsidRPr="00445472">
        <w:t>Tabela A 4. 5</w:t>
      </w:r>
      <w:r w:rsidR="001F075B" w:rsidRPr="00445472">
        <w:t>:</w:t>
      </w:r>
      <w:r w:rsidRPr="00445472">
        <w:t xml:space="preserve"> Census 2011 për të dhënat e popullsisë në </w:t>
      </w:r>
      <w:r w:rsidRPr="00445472">
        <w:rPr>
          <w:bCs/>
          <w:lang w:eastAsia="en-GB"/>
        </w:rPr>
        <w:t>Basenin Ujor Drin - Bunë</w:t>
      </w:r>
    </w:p>
    <w:tbl>
      <w:tblPr>
        <w:tblW w:w="8690" w:type="dxa"/>
        <w:tblInd w:w="103" w:type="dxa"/>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1960"/>
        <w:gridCol w:w="3115"/>
        <w:gridCol w:w="1283"/>
        <w:gridCol w:w="2332"/>
      </w:tblGrid>
      <w:tr w:rsidR="00B21189" w:rsidRPr="00445472" w14:paraId="45BF86C0" w14:textId="77777777" w:rsidTr="002A1F08">
        <w:tc>
          <w:tcPr>
            <w:tcW w:w="2000" w:type="dxa"/>
            <w:vMerge w:val="restart"/>
            <w:shd w:val="clear" w:color="auto" w:fill="auto"/>
            <w:vAlign w:val="center"/>
            <w:hideMark/>
          </w:tcPr>
          <w:p w14:paraId="788071C8"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Qarku</w:t>
            </w:r>
          </w:p>
        </w:tc>
        <w:tc>
          <w:tcPr>
            <w:tcW w:w="3175" w:type="dxa"/>
            <w:vMerge w:val="restart"/>
            <w:shd w:val="clear" w:color="auto" w:fill="auto"/>
            <w:vAlign w:val="center"/>
            <w:hideMark/>
          </w:tcPr>
          <w:p w14:paraId="729A1118"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Zona</w:t>
            </w:r>
          </w:p>
        </w:tc>
        <w:tc>
          <w:tcPr>
            <w:tcW w:w="1134" w:type="dxa"/>
            <w:shd w:val="clear" w:color="auto" w:fill="auto"/>
            <w:vAlign w:val="center"/>
            <w:hideMark/>
          </w:tcPr>
          <w:p w14:paraId="1B8EC746" w14:textId="240E3B9B"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Urban</w:t>
            </w:r>
            <w:r w:rsidR="001D340B" w:rsidRPr="00445472">
              <w:rPr>
                <w:rFonts w:ascii="Garamond" w:hAnsi="Garamond" w:cs="Arial"/>
                <w:b/>
                <w:sz w:val="18"/>
                <w:szCs w:val="18"/>
                <w:lang w:val="sq-AL" w:eastAsia="en-GB"/>
              </w:rPr>
              <w:t>/</w:t>
            </w:r>
            <w:r w:rsidRPr="00445472">
              <w:rPr>
                <w:rFonts w:ascii="Garamond" w:hAnsi="Garamond" w:cs="Arial"/>
                <w:b/>
                <w:sz w:val="18"/>
                <w:szCs w:val="18"/>
                <w:lang w:val="sq-AL" w:eastAsia="en-GB"/>
              </w:rPr>
              <w:t>Rural</w:t>
            </w:r>
          </w:p>
        </w:tc>
        <w:tc>
          <w:tcPr>
            <w:tcW w:w="2381" w:type="dxa"/>
            <w:shd w:val="clear" w:color="auto" w:fill="auto"/>
            <w:vAlign w:val="center"/>
            <w:hideMark/>
          </w:tcPr>
          <w:p w14:paraId="4F7F7E27"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Popullsia</w:t>
            </w:r>
          </w:p>
          <w:p w14:paraId="69178112"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(Census 2011)</w:t>
            </w:r>
          </w:p>
        </w:tc>
      </w:tr>
      <w:tr w:rsidR="00B21189" w:rsidRPr="00445472" w14:paraId="1E783322" w14:textId="77777777" w:rsidTr="002A1F08">
        <w:tc>
          <w:tcPr>
            <w:tcW w:w="2000" w:type="dxa"/>
            <w:vMerge/>
            <w:shd w:val="clear" w:color="auto" w:fill="auto"/>
            <w:vAlign w:val="center"/>
            <w:hideMark/>
          </w:tcPr>
          <w:p w14:paraId="5FA14D3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shd w:val="clear" w:color="auto" w:fill="auto"/>
            <w:vAlign w:val="center"/>
            <w:hideMark/>
          </w:tcPr>
          <w:p w14:paraId="4A1C0C2C"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310BE1FB" w14:textId="26996939"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r w:rsidR="001D340B" w:rsidRPr="00445472">
              <w:rPr>
                <w:rFonts w:ascii="Garamond" w:eastAsia="MS Mincho" w:hAnsi="Garamond" w:cs="Arial"/>
                <w:sz w:val="18"/>
                <w:szCs w:val="18"/>
                <w:lang w:eastAsia="en-GB"/>
              </w:rPr>
              <w:t>/</w:t>
            </w:r>
            <w:r w:rsidRPr="00445472">
              <w:rPr>
                <w:rFonts w:ascii="Garamond" w:eastAsia="MS Mincho" w:hAnsi="Garamond" w:cs="Arial"/>
                <w:sz w:val="18"/>
                <w:szCs w:val="18"/>
                <w:lang w:eastAsia="en-GB"/>
              </w:rPr>
              <w:t>r</w:t>
            </w:r>
          </w:p>
        </w:tc>
        <w:tc>
          <w:tcPr>
            <w:tcW w:w="2381" w:type="dxa"/>
            <w:shd w:val="clear" w:color="auto" w:fill="auto"/>
            <w:vAlign w:val="center"/>
            <w:hideMark/>
          </w:tcPr>
          <w:p w14:paraId="2FE9268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nr. i banorëve</w:t>
            </w:r>
          </w:p>
        </w:tc>
      </w:tr>
      <w:tr w:rsidR="00B21189" w:rsidRPr="00445472" w14:paraId="1864E12F" w14:textId="77777777" w:rsidTr="002A1F08">
        <w:tc>
          <w:tcPr>
            <w:tcW w:w="2000" w:type="dxa"/>
            <w:vMerge w:val="restart"/>
            <w:shd w:val="clear" w:color="auto" w:fill="auto"/>
            <w:vAlign w:val="center"/>
            <w:hideMark/>
          </w:tcPr>
          <w:p w14:paraId="044E5F4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3175" w:type="dxa"/>
            <w:vMerge w:val="restart"/>
            <w:shd w:val="clear" w:color="auto" w:fill="auto"/>
            <w:vAlign w:val="center"/>
            <w:hideMark/>
          </w:tcPr>
          <w:p w14:paraId="4DA98B3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Pukë, Gjegjan, Rrape, Qelez, Qerret</w:t>
            </w:r>
          </w:p>
        </w:tc>
        <w:tc>
          <w:tcPr>
            <w:tcW w:w="1134" w:type="dxa"/>
            <w:shd w:val="clear" w:color="auto" w:fill="auto"/>
            <w:vAlign w:val="center"/>
            <w:hideMark/>
          </w:tcPr>
          <w:p w14:paraId="7C4EC32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74A27B6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5,359</w:t>
            </w:r>
          </w:p>
        </w:tc>
      </w:tr>
      <w:tr w:rsidR="00B21189" w:rsidRPr="00445472" w14:paraId="60276E12" w14:textId="77777777" w:rsidTr="002A1F08">
        <w:tc>
          <w:tcPr>
            <w:tcW w:w="2000" w:type="dxa"/>
            <w:vMerge/>
            <w:shd w:val="clear" w:color="auto" w:fill="auto"/>
            <w:vAlign w:val="center"/>
            <w:hideMark/>
          </w:tcPr>
          <w:p w14:paraId="711F758E"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5EEDAC3D"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5EF5907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0DB47CE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12,000</w:t>
            </w:r>
          </w:p>
        </w:tc>
      </w:tr>
      <w:tr w:rsidR="00B21189" w:rsidRPr="00445472" w14:paraId="18C69D8F" w14:textId="77777777" w:rsidTr="002A1F08">
        <w:tc>
          <w:tcPr>
            <w:tcW w:w="2000" w:type="dxa"/>
            <w:vMerge w:val="restart"/>
            <w:shd w:val="clear" w:color="auto" w:fill="auto"/>
            <w:vAlign w:val="center"/>
            <w:hideMark/>
          </w:tcPr>
          <w:p w14:paraId="63B69A6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p w14:paraId="6F4F4B65"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restart"/>
            <w:shd w:val="clear" w:color="auto" w:fill="auto"/>
            <w:vAlign w:val="center"/>
            <w:hideMark/>
          </w:tcPr>
          <w:p w14:paraId="500C4EF0" w14:textId="3A45B46C" w:rsidR="00B21189" w:rsidRPr="00445472" w:rsidRDefault="00852D7A"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Fushë-Arrëz </w:t>
            </w:r>
            <w:r w:rsidR="00B21189" w:rsidRPr="00445472">
              <w:rPr>
                <w:rFonts w:ascii="Garamond" w:eastAsia="MS Mincho" w:hAnsi="Garamond" w:cs="Arial"/>
                <w:sz w:val="18"/>
                <w:szCs w:val="18"/>
                <w:lang w:eastAsia="en-GB"/>
              </w:rPr>
              <w:t>, Fierze, Blerim, Qafe Mali, Iballë</w:t>
            </w:r>
          </w:p>
        </w:tc>
        <w:tc>
          <w:tcPr>
            <w:tcW w:w="1134" w:type="dxa"/>
            <w:shd w:val="clear" w:color="auto" w:fill="auto"/>
            <w:vAlign w:val="center"/>
            <w:hideMark/>
          </w:tcPr>
          <w:p w14:paraId="033D20B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5B1D941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3,800</w:t>
            </w:r>
          </w:p>
        </w:tc>
      </w:tr>
      <w:tr w:rsidR="00B21189" w:rsidRPr="00445472" w14:paraId="713D12B8" w14:textId="77777777" w:rsidTr="002A1F08">
        <w:tc>
          <w:tcPr>
            <w:tcW w:w="2000" w:type="dxa"/>
            <w:vMerge/>
            <w:shd w:val="clear" w:color="auto" w:fill="auto"/>
            <w:vAlign w:val="center"/>
            <w:hideMark/>
          </w:tcPr>
          <w:p w14:paraId="16973CB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4300C9B7"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104742C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18D9A93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1,000</w:t>
            </w:r>
          </w:p>
        </w:tc>
      </w:tr>
      <w:tr w:rsidR="00B21189" w:rsidRPr="00445472" w14:paraId="14A5484F" w14:textId="77777777" w:rsidTr="002A1F08">
        <w:tc>
          <w:tcPr>
            <w:tcW w:w="2000" w:type="dxa"/>
            <w:vMerge w:val="restart"/>
            <w:shd w:val="clear" w:color="auto" w:fill="auto"/>
            <w:vAlign w:val="center"/>
            <w:hideMark/>
          </w:tcPr>
          <w:p w14:paraId="4F040D1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3175" w:type="dxa"/>
            <w:vMerge w:val="restart"/>
            <w:shd w:val="clear" w:color="auto" w:fill="auto"/>
            <w:vAlign w:val="center"/>
            <w:hideMark/>
          </w:tcPr>
          <w:p w14:paraId="6976E2B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Has, Krume, Fajza, Gjinaj, Golaj</w:t>
            </w:r>
          </w:p>
        </w:tc>
        <w:tc>
          <w:tcPr>
            <w:tcW w:w="1134" w:type="dxa"/>
            <w:shd w:val="clear" w:color="auto" w:fill="auto"/>
            <w:vAlign w:val="center"/>
            <w:hideMark/>
          </w:tcPr>
          <w:p w14:paraId="10E4DC5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36E5456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4,175</w:t>
            </w:r>
          </w:p>
        </w:tc>
      </w:tr>
      <w:tr w:rsidR="00B21189" w:rsidRPr="00445472" w14:paraId="43BC4DDE" w14:textId="77777777" w:rsidTr="002A1F08">
        <w:tc>
          <w:tcPr>
            <w:tcW w:w="2000" w:type="dxa"/>
            <w:vMerge/>
            <w:shd w:val="clear" w:color="auto" w:fill="auto"/>
            <w:vAlign w:val="center"/>
            <w:hideMark/>
          </w:tcPr>
          <w:p w14:paraId="23D3ACC8"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0A98435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0E5BE31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76234FE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9,304</w:t>
            </w:r>
          </w:p>
        </w:tc>
      </w:tr>
      <w:tr w:rsidR="00B21189" w:rsidRPr="00445472" w14:paraId="1DC841A9" w14:textId="77777777" w:rsidTr="002A1F08">
        <w:tc>
          <w:tcPr>
            <w:tcW w:w="2000" w:type="dxa"/>
            <w:vMerge w:val="restart"/>
            <w:shd w:val="clear" w:color="auto" w:fill="auto"/>
            <w:vAlign w:val="center"/>
            <w:hideMark/>
          </w:tcPr>
          <w:p w14:paraId="2A04237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3175" w:type="dxa"/>
            <w:vMerge w:val="restart"/>
            <w:shd w:val="clear" w:color="auto" w:fill="auto"/>
            <w:vAlign w:val="center"/>
            <w:hideMark/>
          </w:tcPr>
          <w:p w14:paraId="7BD1D363" w14:textId="79DC733F" w:rsidR="00B21189" w:rsidRPr="00445472" w:rsidRDefault="00D67757"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Vau i Dejës </w:t>
            </w:r>
            <w:r w:rsidR="00B21189" w:rsidRPr="00445472">
              <w:rPr>
                <w:rFonts w:ascii="Garamond" w:eastAsia="MS Mincho" w:hAnsi="Garamond" w:cs="Arial"/>
                <w:sz w:val="18"/>
                <w:szCs w:val="18"/>
                <w:lang w:eastAsia="en-GB"/>
              </w:rPr>
              <w:t>, Bushat, Vig Mnele, Hajmel, Temal, Shllak</w:t>
            </w:r>
          </w:p>
        </w:tc>
        <w:tc>
          <w:tcPr>
            <w:tcW w:w="1134" w:type="dxa"/>
            <w:shd w:val="clear" w:color="auto" w:fill="auto"/>
            <w:vAlign w:val="center"/>
            <w:hideMark/>
          </w:tcPr>
          <w:p w14:paraId="3BA7758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2254799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5,624</w:t>
            </w:r>
          </w:p>
        </w:tc>
      </w:tr>
      <w:tr w:rsidR="00B21189" w:rsidRPr="00445472" w14:paraId="79A390EE" w14:textId="77777777" w:rsidTr="002A1F08">
        <w:tc>
          <w:tcPr>
            <w:tcW w:w="2000" w:type="dxa"/>
            <w:vMerge/>
            <w:shd w:val="clear" w:color="auto" w:fill="auto"/>
            <w:vAlign w:val="center"/>
            <w:hideMark/>
          </w:tcPr>
          <w:p w14:paraId="268BBAA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59844C5E"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437298B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1E59E49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6,894</w:t>
            </w:r>
          </w:p>
        </w:tc>
      </w:tr>
      <w:tr w:rsidR="00B21189" w:rsidRPr="00445472" w14:paraId="1E0A317F" w14:textId="77777777" w:rsidTr="002A1F08">
        <w:tc>
          <w:tcPr>
            <w:tcW w:w="2000" w:type="dxa"/>
            <w:vMerge w:val="restart"/>
            <w:shd w:val="clear" w:color="auto" w:fill="auto"/>
            <w:vAlign w:val="center"/>
            <w:hideMark/>
          </w:tcPr>
          <w:p w14:paraId="12FBE20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3175" w:type="dxa"/>
            <w:vMerge w:val="restart"/>
            <w:shd w:val="clear" w:color="auto" w:fill="auto"/>
            <w:vAlign w:val="center"/>
            <w:hideMark/>
          </w:tcPr>
          <w:p w14:paraId="641A682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 Malzi, Bicaj, Ujmisht, Terthore, Shtiqen, Zapod, Shishtavec, Topojan, Bushtrice, Gryk Caje, Kalis, Surroj, Arren, Kolsh</w:t>
            </w:r>
          </w:p>
        </w:tc>
        <w:tc>
          <w:tcPr>
            <w:tcW w:w="1134" w:type="dxa"/>
            <w:shd w:val="clear" w:color="auto" w:fill="auto"/>
            <w:vAlign w:val="center"/>
            <w:hideMark/>
          </w:tcPr>
          <w:p w14:paraId="6419881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4285B1F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25,000</w:t>
            </w:r>
          </w:p>
        </w:tc>
      </w:tr>
      <w:tr w:rsidR="00B21189" w:rsidRPr="00445472" w14:paraId="4A0AACDE" w14:textId="77777777" w:rsidTr="002A1F08">
        <w:tc>
          <w:tcPr>
            <w:tcW w:w="2000" w:type="dxa"/>
            <w:vMerge/>
            <w:shd w:val="clear" w:color="auto" w:fill="auto"/>
            <w:vAlign w:val="center"/>
            <w:hideMark/>
          </w:tcPr>
          <w:p w14:paraId="08198EE9"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578C35D8"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38FA77F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7BD8DFB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15,000</w:t>
            </w:r>
          </w:p>
        </w:tc>
      </w:tr>
      <w:tr w:rsidR="00B21189" w:rsidRPr="00445472" w14:paraId="5FF230A3" w14:textId="77777777" w:rsidTr="002A1F08">
        <w:tc>
          <w:tcPr>
            <w:tcW w:w="2000" w:type="dxa"/>
            <w:vMerge w:val="restart"/>
            <w:shd w:val="clear" w:color="auto" w:fill="auto"/>
            <w:vAlign w:val="center"/>
            <w:hideMark/>
          </w:tcPr>
          <w:p w14:paraId="1696AE9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Dibër</w:t>
            </w:r>
          </w:p>
        </w:tc>
        <w:tc>
          <w:tcPr>
            <w:tcW w:w="3175" w:type="dxa"/>
            <w:vMerge w:val="restart"/>
            <w:shd w:val="clear" w:color="auto" w:fill="auto"/>
            <w:vAlign w:val="center"/>
            <w:hideMark/>
          </w:tcPr>
          <w:p w14:paraId="2DB3DC6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Peshkopi/Dibër, Tomin, Melan, Kastriot, Lurë, Maqellarë, Muhurr, Luzni, Selishtë, Sllovë, Kala e Dodës, Zall Dardhë, Zall Reç, Fushë Cidhen, Arras</w:t>
            </w:r>
          </w:p>
        </w:tc>
        <w:tc>
          <w:tcPr>
            <w:tcW w:w="1134" w:type="dxa"/>
            <w:shd w:val="clear" w:color="auto" w:fill="auto"/>
            <w:vAlign w:val="center"/>
            <w:hideMark/>
          </w:tcPr>
          <w:p w14:paraId="681BFCB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14BADE6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14,500</w:t>
            </w:r>
          </w:p>
        </w:tc>
      </w:tr>
      <w:tr w:rsidR="00B21189" w:rsidRPr="00445472" w14:paraId="019B0B20" w14:textId="77777777" w:rsidTr="002A1F08">
        <w:tc>
          <w:tcPr>
            <w:tcW w:w="2000" w:type="dxa"/>
            <w:vMerge/>
            <w:shd w:val="clear" w:color="auto" w:fill="auto"/>
            <w:vAlign w:val="center"/>
            <w:hideMark/>
          </w:tcPr>
          <w:p w14:paraId="6940D1A7"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76B7D7D8"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05E0740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0ED0F6D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16,500</w:t>
            </w:r>
          </w:p>
        </w:tc>
      </w:tr>
      <w:tr w:rsidR="00B21189" w:rsidRPr="00445472" w14:paraId="1E8B614F" w14:textId="77777777" w:rsidTr="002A1F08">
        <w:tc>
          <w:tcPr>
            <w:tcW w:w="2000" w:type="dxa"/>
            <w:vMerge w:val="restart"/>
            <w:shd w:val="clear" w:color="auto" w:fill="auto"/>
            <w:vAlign w:val="center"/>
            <w:hideMark/>
          </w:tcPr>
          <w:p w14:paraId="34067CC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Lezhë</w:t>
            </w:r>
          </w:p>
        </w:tc>
        <w:tc>
          <w:tcPr>
            <w:tcW w:w="3175" w:type="dxa"/>
            <w:vMerge w:val="restart"/>
            <w:shd w:val="clear" w:color="auto" w:fill="auto"/>
            <w:vAlign w:val="center"/>
            <w:hideMark/>
          </w:tcPr>
          <w:p w14:paraId="77ECBF7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Lezhë, Shënkoll, Shëngjin, Zejmen, Balldren, Kallmet, Blinisht, Dajç, Ungrej, Kolsh</w:t>
            </w:r>
          </w:p>
        </w:tc>
        <w:tc>
          <w:tcPr>
            <w:tcW w:w="1134" w:type="dxa"/>
            <w:shd w:val="clear" w:color="auto" w:fill="auto"/>
            <w:vAlign w:val="center"/>
            <w:hideMark/>
          </w:tcPr>
          <w:p w14:paraId="50795AC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5A9B9AB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30,750</w:t>
            </w:r>
          </w:p>
        </w:tc>
      </w:tr>
      <w:tr w:rsidR="00B21189" w:rsidRPr="00445472" w14:paraId="2DD846BF" w14:textId="77777777" w:rsidTr="002A1F08">
        <w:tc>
          <w:tcPr>
            <w:tcW w:w="2000" w:type="dxa"/>
            <w:vMerge/>
            <w:shd w:val="clear" w:color="auto" w:fill="auto"/>
            <w:vAlign w:val="center"/>
            <w:hideMark/>
          </w:tcPr>
          <w:p w14:paraId="6420CCB8"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595A9173"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028AC41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2092767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4,250</w:t>
            </w:r>
          </w:p>
        </w:tc>
      </w:tr>
      <w:tr w:rsidR="00B21189" w:rsidRPr="00445472" w14:paraId="4E7CC61D" w14:textId="77777777" w:rsidTr="002A1F08">
        <w:tc>
          <w:tcPr>
            <w:tcW w:w="2000" w:type="dxa"/>
            <w:vMerge w:val="restart"/>
            <w:shd w:val="clear" w:color="auto" w:fill="auto"/>
            <w:vAlign w:val="center"/>
            <w:hideMark/>
          </w:tcPr>
          <w:p w14:paraId="5D1ED3B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Dibër</w:t>
            </w:r>
          </w:p>
        </w:tc>
        <w:tc>
          <w:tcPr>
            <w:tcW w:w="3175" w:type="dxa"/>
            <w:vMerge w:val="restart"/>
            <w:shd w:val="clear" w:color="auto" w:fill="auto"/>
            <w:vAlign w:val="center"/>
            <w:hideMark/>
          </w:tcPr>
          <w:p w14:paraId="02AE0F5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Bulqizë, Martanesh, Fushë Bulqizë, Zerqan, Shupenzë, Gjoricë, Ostren, Trebisht</w:t>
            </w:r>
          </w:p>
        </w:tc>
        <w:tc>
          <w:tcPr>
            <w:tcW w:w="1134" w:type="dxa"/>
            <w:shd w:val="clear" w:color="auto" w:fill="auto"/>
            <w:vAlign w:val="center"/>
            <w:hideMark/>
          </w:tcPr>
          <w:p w14:paraId="6A905FD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3FB99B0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11,348</w:t>
            </w:r>
          </w:p>
        </w:tc>
      </w:tr>
      <w:tr w:rsidR="00B21189" w:rsidRPr="00445472" w14:paraId="2BE71C8A" w14:textId="77777777" w:rsidTr="002A1F08">
        <w:tc>
          <w:tcPr>
            <w:tcW w:w="2000" w:type="dxa"/>
            <w:vMerge/>
            <w:shd w:val="clear" w:color="auto" w:fill="auto"/>
            <w:vAlign w:val="center"/>
            <w:hideMark/>
          </w:tcPr>
          <w:p w14:paraId="23C92253"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7636912E"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266C996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2F4602D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4,547</w:t>
            </w:r>
          </w:p>
        </w:tc>
      </w:tr>
      <w:tr w:rsidR="00B21189" w:rsidRPr="00445472" w14:paraId="3E13A811" w14:textId="77777777" w:rsidTr="002A1F08">
        <w:tc>
          <w:tcPr>
            <w:tcW w:w="2000" w:type="dxa"/>
            <w:vMerge/>
            <w:shd w:val="clear" w:color="auto" w:fill="auto"/>
            <w:vAlign w:val="center"/>
            <w:hideMark/>
          </w:tcPr>
          <w:p w14:paraId="5C3EA35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6A0D05D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10A5DCA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460EBA7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2,473</w:t>
            </w:r>
          </w:p>
        </w:tc>
      </w:tr>
      <w:tr w:rsidR="00B21189" w:rsidRPr="00445472" w14:paraId="026FBBB9" w14:textId="77777777" w:rsidTr="002A1F08">
        <w:tc>
          <w:tcPr>
            <w:tcW w:w="2000" w:type="dxa"/>
            <w:vMerge w:val="restart"/>
            <w:shd w:val="clear" w:color="auto" w:fill="auto"/>
            <w:vAlign w:val="center"/>
            <w:hideMark/>
          </w:tcPr>
          <w:p w14:paraId="1323694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Korçë</w:t>
            </w:r>
          </w:p>
        </w:tc>
        <w:tc>
          <w:tcPr>
            <w:tcW w:w="3175" w:type="dxa"/>
            <w:vMerge w:val="restart"/>
            <w:shd w:val="clear" w:color="auto" w:fill="auto"/>
            <w:vAlign w:val="center"/>
            <w:hideMark/>
          </w:tcPr>
          <w:p w14:paraId="508B494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Pogradec, Udenisht, Buçimas, Cerrave, Dardhas, Trebinjë, Proptisht, Velçan</w:t>
            </w:r>
          </w:p>
        </w:tc>
        <w:tc>
          <w:tcPr>
            <w:tcW w:w="1134" w:type="dxa"/>
            <w:shd w:val="clear" w:color="auto" w:fill="auto"/>
            <w:vAlign w:val="center"/>
            <w:hideMark/>
          </w:tcPr>
          <w:p w14:paraId="0A86D2E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7155C4E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44,441</w:t>
            </w:r>
          </w:p>
        </w:tc>
      </w:tr>
      <w:tr w:rsidR="00B21189" w:rsidRPr="00445472" w14:paraId="1C43171D" w14:textId="77777777" w:rsidTr="002A1F08">
        <w:tc>
          <w:tcPr>
            <w:tcW w:w="2000" w:type="dxa"/>
            <w:vMerge/>
            <w:shd w:val="clear" w:color="auto" w:fill="auto"/>
            <w:vAlign w:val="center"/>
            <w:hideMark/>
          </w:tcPr>
          <w:p w14:paraId="1381479B"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61A4BCE8"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07EFF89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1C203FF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15,239</w:t>
            </w:r>
          </w:p>
        </w:tc>
      </w:tr>
      <w:tr w:rsidR="00B21189" w:rsidRPr="00445472" w14:paraId="272F5142" w14:textId="77777777" w:rsidTr="002A1F08">
        <w:tc>
          <w:tcPr>
            <w:tcW w:w="2000" w:type="dxa"/>
            <w:vMerge w:val="restart"/>
            <w:shd w:val="clear" w:color="auto" w:fill="auto"/>
            <w:vAlign w:val="center"/>
            <w:hideMark/>
          </w:tcPr>
          <w:p w14:paraId="54DA7D5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3175" w:type="dxa"/>
            <w:vMerge w:val="restart"/>
            <w:shd w:val="clear" w:color="auto" w:fill="auto"/>
            <w:vAlign w:val="center"/>
            <w:hideMark/>
          </w:tcPr>
          <w:p w14:paraId="5D07493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Koplik, Gruemirë, Kastrat, Kelmend, Qendër, Shkrel</w:t>
            </w:r>
          </w:p>
        </w:tc>
        <w:tc>
          <w:tcPr>
            <w:tcW w:w="1134" w:type="dxa"/>
            <w:shd w:val="clear" w:color="auto" w:fill="auto"/>
            <w:vAlign w:val="center"/>
            <w:hideMark/>
          </w:tcPr>
          <w:p w14:paraId="7B90E8A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0139F31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11,001</w:t>
            </w:r>
          </w:p>
        </w:tc>
      </w:tr>
      <w:tr w:rsidR="00B21189" w:rsidRPr="00445472" w14:paraId="645B40B2" w14:textId="77777777" w:rsidTr="002A1F08">
        <w:tc>
          <w:tcPr>
            <w:tcW w:w="2000" w:type="dxa"/>
            <w:vMerge/>
            <w:shd w:val="clear" w:color="auto" w:fill="auto"/>
            <w:vAlign w:val="center"/>
            <w:hideMark/>
          </w:tcPr>
          <w:p w14:paraId="5D4D28A4"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741D14D9"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1AB5B55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47FA31F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70,930</w:t>
            </w:r>
          </w:p>
        </w:tc>
      </w:tr>
      <w:tr w:rsidR="00B21189" w:rsidRPr="00445472" w14:paraId="7C48CB5D" w14:textId="77777777" w:rsidTr="002A1F08">
        <w:tc>
          <w:tcPr>
            <w:tcW w:w="2000" w:type="dxa"/>
            <w:vMerge w:val="restart"/>
            <w:shd w:val="clear" w:color="auto" w:fill="auto"/>
            <w:vAlign w:val="center"/>
            <w:hideMark/>
          </w:tcPr>
          <w:p w14:paraId="1BCDCB7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3175" w:type="dxa"/>
            <w:vMerge w:val="restart"/>
            <w:shd w:val="clear" w:color="auto" w:fill="auto"/>
            <w:vAlign w:val="center"/>
            <w:hideMark/>
          </w:tcPr>
          <w:p w14:paraId="4102CC0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Tropojë, Bajram Curri, Fierzë, Lekbibaj, Margegaj, Llugaj, Bujan, Bytyc,</w:t>
            </w:r>
          </w:p>
        </w:tc>
        <w:tc>
          <w:tcPr>
            <w:tcW w:w="1134" w:type="dxa"/>
            <w:shd w:val="clear" w:color="auto" w:fill="auto"/>
            <w:vAlign w:val="center"/>
            <w:hideMark/>
          </w:tcPr>
          <w:p w14:paraId="2358F1F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2381" w:type="dxa"/>
            <w:shd w:val="clear" w:color="auto" w:fill="auto"/>
            <w:vAlign w:val="center"/>
            <w:hideMark/>
          </w:tcPr>
          <w:p w14:paraId="2646918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8,704</w:t>
            </w:r>
          </w:p>
        </w:tc>
      </w:tr>
      <w:tr w:rsidR="00B21189" w:rsidRPr="00445472" w14:paraId="4F6A910A" w14:textId="77777777" w:rsidTr="002A1F08">
        <w:tc>
          <w:tcPr>
            <w:tcW w:w="2000" w:type="dxa"/>
            <w:vMerge/>
            <w:shd w:val="clear" w:color="auto" w:fill="auto"/>
            <w:vAlign w:val="center"/>
            <w:hideMark/>
          </w:tcPr>
          <w:p w14:paraId="0FAEB642"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3175" w:type="dxa"/>
            <w:vMerge/>
            <w:vAlign w:val="center"/>
            <w:hideMark/>
          </w:tcPr>
          <w:p w14:paraId="3C92C50A"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134" w:type="dxa"/>
            <w:shd w:val="clear" w:color="auto" w:fill="auto"/>
            <w:vAlign w:val="center"/>
            <w:hideMark/>
          </w:tcPr>
          <w:p w14:paraId="659DD9E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2381" w:type="dxa"/>
            <w:shd w:val="clear" w:color="auto" w:fill="auto"/>
            <w:vAlign w:val="center"/>
            <w:hideMark/>
          </w:tcPr>
          <w:p w14:paraId="73BDB23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1,155</w:t>
            </w:r>
          </w:p>
        </w:tc>
      </w:tr>
      <w:tr w:rsidR="00B21189" w:rsidRPr="00445472" w14:paraId="3C377854" w14:textId="77777777" w:rsidTr="002A1F08">
        <w:tc>
          <w:tcPr>
            <w:tcW w:w="2000" w:type="dxa"/>
            <w:shd w:val="clear" w:color="auto" w:fill="auto"/>
            <w:vAlign w:val="center"/>
            <w:hideMark/>
          </w:tcPr>
          <w:p w14:paraId="464B1B2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3175" w:type="dxa"/>
            <w:shd w:val="clear" w:color="auto" w:fill="auto"/>
            <w:vAlign w:val="center"/>
            <w:hideMark/>
          </w:tcPr>
          <w:p w14:paraId="4A5D7DE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 Ana e Malit, Berdicë, Dajç, Guri i Zi, Postribe, Pult, Rrethinat, Shalë, Shosh, Velipojë</w:t>
            </w:r>
          </w:p>
        </w:tc>
        <w:tc>
          <w:tcPr>
            <w:tcW w:w="1134" w:type="dxa"/>
            <w:shd w:val="clear" w:color="auto" w:fill="auto"/>
            <w:vAlign w:val="center"/>
            <w:hideMark/>
          </w:tcPr>
          <w:p w14:paraId="7FB520B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2381" w:type="dxa"/>
            <w:shd w:val="clear" w:color="auto" w:fill="auto"/>
            <w:vAlign w:val="center"/>
            <w:hideMark/>
          </w:tcPr>
          <w:p w14:paraId="62B45BE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121,088</w:t>
            </w:r>
          </w:p>
        </w:tc>
      </w:tr>
    </w:tbl>
    <w:p w14:paraId="79A524B0" w14:textId="2FB67592" w:rsidR="00B21189" w:rsidRPr="00445472" w:rsidRDefault="00B21189" w:rsidP="00B21189">
      <w:pPr>
        <w:pStyle w:val="TEKSTIIII"/>
      </w:pPr>
    </w:p>
    <w:p w14:paraId="4F7D7B1C" w14:textId="6B9B4127" w:rsidR="00B21189" w:rsidRPr="00445472" w:rsidRDefault="00B21189" w:rsidP="00B21189">
      <w:pPr>
        <w:pStyle w:val="NENTITULL"/>
      </w:pPr>
      <w:r w:rsidRPr="00445472">
        <w:t xml:space="preserve">Tabela A 4. 6: Konsumi i ujit ICI në Basenin Ujor </w:t>
      </w:r>
      <w:r w:rsidR="007E76E3" w:rsidRPr="00445472">
        <w:t>Drin–Bunë</w:t>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3318"/>
        <w:gridCol w:w="1990"/>
        <w:gridCol w:w="1990"/>
        <w:gridCol w:w="1989"/>
      </w:tblGrid>
      <w:tr w:rsidR="00B21189" w:rsidRPr="00445472" w14:paraId="776938A2" w14:textId="77777777" w:rsidTr="00B21189">
        <w:trPr>
          <w:trHeight w:val="1125"/>
        </w:trPr>
        <w:tc>
          <w:tcPr>
            <w:tcW w:w="1786" w:type="pct"/>
            <w:shd w:val="clear" w:color="auto" w:fill="auto"/>
            <w:vAlign w:val="center"/>
            <w:hideMark/>
          </w:tcPr>
          <w:p w14:paraId="1BE8AEBA"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Emri i ndërmarrjes:</w:t>
            </w:r>
          </w:p>
        </w:tc>
        <w:tc>
          <w:tcPr>
            <w:tcW w:w="1071" w:type="pct"/>
            <w:shd w:val="clear" w:color="auto" w:fill="auto"/>
            <w:vAlign w:val="center"/>
            <w:hideMark/>
          </w:tcPr>
          <w:p w14:paraId="4883C8F9"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Sasia totale e ujit të shitur - Industriale, Komerciale (000m</w:t>
            </w:r>
            <w:r w:rsidRPr="00445472">
              <w:rPr>
                <w:rFonts w:ascii="Garamond" w:hAnsi="Garamond" w:cs="Arial"/>
                <w:b/>
                <w:sz w:val="18"/>
                <w:szCs w:val="18"/>
                <w:vertAlign w:val="superscript"/>
                <w:lang w:val="sq-AL" w:eastAsia="en-GB"/>
              </w:rPr>
              <w:t>3</w:t>
            </w:r>
            <w:r w:rsidRPr="00445472">
              <w:rPr>
                <w:rFonts w:ascii="Garamond" w:hAnsi="Garamond" w:cs="Arial"/>
                <w:b/>
                <w:sz w:val="18"/>
                <w:szCs w:val="18"/>
                <w:lang w:val="sq-AL" w:eastAsia="en-GB"/>
              </w:rPr>
              <w:t>)</w:t>
            </w:r>
          </w:p>
        </w:tc>
        <w:tc>
          <w:tcPr>
            <w:tcW w:w="1071" w:type="pct"/>
            <w:shd w:val="clear" w:color="auto" w:fill="auto"/>
            <w:vAlign w:val="center"/>
            <w:hideMark/>
          </w:tcPr>
          <w:p w14:paraId="02C1C32A"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Sasia totale e ujit të shitur - institucionale (000m</w:t>
            </w:r>
            <w:r w:rsidRPr="00445472">
              <w:rPr>
                <w:rFonts w:ascii="Garamond" w:hAnsi="Garamond" w:cs="Arial"/>
                <w:b/>
                <w:sz w:val="18"/>
                <w:szCs w:val="18"/>
                <w:vertAlign w:val="superscript"/>
                <w:lang w:val="sq-AL" w:eastAsia="en-GB"/>
              </w:rPr>
              <w:t>3</w:t>
            </w:r>
            <w:r w:rsidRPr="00445472">
              <w:rPr>
                <w:rFonts w:ascii="Garamond" w:hAnsi="Garamond" w:cs="Arial"/>
                <w:b/>
                <w:sz w:val="18"/>
                <w:szCs w:val="18"/>
                <w:lang w:val="sq-AL" w:eastAsia="en-GB"/>
              </w:rPr>
              <w:t>)</w:t>
            </w:r>
          </w:p>
        </w:tc>
        <w:tc>
          <w:tcPr>
            <w:tcW w:w="1071" w:type="pct"/>
            <w:shd w:val="clear" w:color="auto" w:fill="auto"/>
            <w:vAlign w:val="center"/>
            <w:hideMark/>
          </w:tcPr>
          <w:p w14:paraId="5E68D967"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Totali IKI (000m</w:t>
            </w:r>
            <w:r w:rsidRPr="00445472">
              <w:rPr>
                <w:rFonts w:ascii="Garamond" w:hAnsi="Garamond" w:cs="Arial"/>
                <w:b/>
                <w:sz w:val="18"/>
                <w:szCs w:val="18"/>
                <w:vertAlign w:val="superscript"/>
                <w:lang w:val="sq-AL" w:eastAsia="en-GB"/>
              </w:rPr>
              <w:t>3</w:t>
            </w:r>
            <w:r w:rsidRPr="00445472">
              <w:rPr>
                <w:rFonts w:ascii="Garamond" w:hAnsi="Garamond" w:cs="Arial"/>
                <w:b/>
                <w:sz w:val="18"/>
                <w:szCs w:val="18"/>
                <w:lang w:val="sq-AL" w:eastAsia="en-GB"/>
              </w:rPr>
              <w:t>)</w:t>
            </w:r>
          </w:p>
        </w:tc>
      </w:tr>
      <w:tr w:rsidR="00B21189" w:rsidRPr="00445472" w14:paraId="718C05A8" w14:textId="77777777" w:rsidTr="00B21189">
        <w:trPr>
          <w:trHeight w:val="225"/>
        </w:trPr>
        <w:tc>
          <w:tcPr>
            <w:tcW w:w="1786" w:type="pct"/>
            <w:shd w:val="clear" w:color="auto" w:fill="auto"/>
            <w:vAlign w:val="center"/>
            <w:hideMark/>
          </w:tcPr>
          <w:p w14:paraId="1AAE852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Bashkia Pukë UK</w:t>
            </w:r>
          </w:p>
        </w:tc>
        <w:tc>
          <w:tcPr>
            <w:tcW w:w="1071" w:type="pct"/>
            <w:shd w:val="clear" w:color="auto" w:fill="auto"/>
            <w:noWrap/>
            <w:vAlign w:val="center"/>
            <w:hideMark/>
          </w:tcPr>
          <w:p w14:paraId="34361A9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w:t>
            </w:r>
          </w:p>
        </w:tc>
        <w:tc>
          <w:tcPr>
            <w:tcW w:w="1071" w:type="pct"/>
            <w:shd w:val="clear" w:color="auto" w:fill="auto"/>
            <w:noWrap/>
            <w:vAlign w:val="center"/>
            <w:hideMark/>
          </w:tcPr>
          <w:p w14:paraId="1AA6869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18</w:t>
            </w:r>
          </w:p>
        </w:tc>
        <w:tc>
          <w:tcPr>
            <w:tcW w:w="1071" w:type="pct"/>
            <w:shd w:val="clear" w:color="auto" w:fill="auto"/>
            <w:noWrap/>
            <w:vAlign w:val="center"/>
            <w:hideMark/>
          </w:tcPr>
          <w:p w14:paraId="01854A9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27</w:t>
            </w:r>
          </w:p>
        </w:tc>
      </w:tr>
      <w:tr w:rsidR="00B21189" w:rsidRPr="00445472" w14:paraId="426B673F" w14:textId="77777777" w:rsidTr="00B21189">
        <w:trPr>
          <w:trHeight w:val="225"/>
        </w:trPr>
        <w:tc>
          <w:tcPr>
            <w:tcW w:w="1786" w:type="pct"/>
            <w:shd w:val="clear" w:color="auto" w:fill="auto"/>
            <w:vAlign w:val="center"/>
            <w:hideMark/>
          </w:tcPr>
          <w:p w14:paraId="23C1E6B6" w14:textId="12F09A92" w:rsidR="00B21189" w:rsidRPr="00445472" w:rsidRDefault="00D67757"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Vau i Dejës </w:t>
            </w:r>
            <w:r w:rsidR="00B21189" w:rsidRPr="00445472">
              <w:rPr>
                <w:rFonts w:ascii="Garamond" w:eastAsia="MS Mincho" w:hAnsi="Garamond" w:cs="Arial"/>
                <w:sz w:val="18"/>
                <w:szCs w:val="18"/>
                <w:lang w:eastAsia="en-GB"/>
              </w:rPr>
              <w:t xml:space="preserve"> U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60BC89B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w:t>
            </w:r>
          </w:p>
        </w:tc>
        <w:tc>
          <w:tcPr>
            <w:tcW w:w="1071" w:type="pct"/>
            <w:shd w:val="clear" w:color="auto" w:fill="auto"/>
            <w:noWrap/>
            <w:vAlign w:val="center"/>
            <w:hideMark/>
          </w:tcPr>
          <w:p w14:paraId="3BFB204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14</w:t>
            </w:r>
          </w:p>
        </w:tc>
        <w:tc>
          <w:tcPr>
            <w:tcW w:w="1071" w:type="pct"/>
            <w:shd w:val="clear" w:color="auto" w:fill="auto"/>
            <w:noWrap/>
            <w:vAlign w:val="center"/>
            <w:hideMark/>
          </w:tcPr>
          <w:p w14:paraId="2C11D02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20</w:t>
            </w:r>
          </w:p>
        </w:tc>
      </w:tr>
      <w:tr w:rsidR="00B21189" w:rsidRPr="00445472" w14:paraId="0D056D5C" w14:textId="77777777" w:rsidTr="00B21189">
        <w:trPr>
          <w:trHeight w:val="225"/>
        </w:trPr>
        <w:tc>
          <w:tcPr>
            <w:tcW w:w="1786" w:type="pct"/>
            <w:shd w:val="clear" w:color="auto" w:fill="auto"/>
            <w:vAlign w:val="center"/>
            <w:hideMark/>
          </w:tcPr>
          <w:p w14:paraId="2D64B820" w14:textId="07FF438F"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Tropojë U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0BF86E1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24</w:t>
            </w:r>
          </w:p>
        </w:tc>
        <w:tc>
          <w:tcPr>
            <w:tcW w:w="1071" w:type="pct"/>
            <w:shd w:val="clear" w:color="auto" w:fill="auto"/>
            <w:noWrap/>
            <w:vAlign w:val="center"/>
            <w:hideMark/>
          </w:tcPr>
          <w:p w14:paraId="54A4CA6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32</w:t>
            </w:r>
          </w:p>
        </w:tc>
        <w:tc>
          <w:tcPr>
            <w:tcW w:w="1071" w:type="pct"/>
            <w:shd w:val="clear" w:color="auto" w:fill="auto"/>
            <w:noWrap/>
            <w:vAlign w:val="center"/>
            <w:hideMark/>
          </w:tcPr>
          <w:p w14:paraId="50F61EB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56</w:t>
            </w:r>
          </w:p>
        </w:tc>
      </w:tr>
      <w:tr w:rsidR="00B21189" w:rsidRPr="00445472" w14:paraId="24290FB6" w14:textId="77777777" w:rsidTr="00B21189">
        <w:trPr>
          <w:trHeight w:val="225"/>
        </w:trPr>
        <w:tc>
          <w:tcPr>
            <w:tcW w:w="1786" w:type="pct"/>
            <w:shd w:val="clear" w:color="auto" w:fill="auto"/>
            <w:vAlign w:val="center"/>
            <w:hideMark/>
          </w:tcPr>
          <w:p w14:paraId="24412735" w14:textId="483A359E"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Lezhë UK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7289EC5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143</w:t>
            </w:r>
          </w:p>
        </w:tc>
        <w:tc>
          <w:tcPr>
            <w:tcW w:w="1071" w:type="pct"/>
            <w:shd w:val="clear" w:color="auto" w:fill="auto"/>
            <w:noWrap/>
            <w:vAlign w:val="center"/>
            <w:hideMark/>
          </w:tcPr>
          <w:p w14:paraId="303D193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75</w:t>
            </w:r>
          </w:p>
        </w:tc>
        <w:tc>
          <w:tcPr>
            <w:tcW w:w="1071" w:type="pct"/>
            <w:shd w:val="clear" w:color="auto" w:fill="auto"/>
            <w:noWrap/>
            <w:vAlign w:val="center"/>
            <w:hideMark/>
          </w:tcPr>
          <w:p w14:paraId="32FCB7E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218</w:t>
            </w:r>
          </w:p>
        </w:tc>
      </w:tr>
      <w:tr w:rsidR="00B21189" w:rsidRPr="00445472" w14:paraId="759E17F2" w14:textId="77777777" w:rsidTr="00B21189">
        <w:trPr>
          <w:trHeight w:val="225"/>
        </w:trPr>
        <w:tc>
          <w:tcPr>
            <w:tcW w:w="1786" w:type="pct"/>
            <w:shd w:val="clear" w:color="auto" w:fill="auto"/>
            <w:vAlign w:val="center"/>
            <w:hideMark/>
          </w:tcPr>
          <w:p w14:paraId="564C8252" w14:textId="40316C2A"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Pogradec UK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50306F6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122</w:t>
            </w:r>
          </w:p>
        </w:tc>
        <w:tc>
          <w:tcPr>
            <w:tcW w:w="1071" w:type="pct"/>
            <w:shd w:val="clear" w:color="auto" w:fill="auto"/>
            <w:noWrap/>
            <w:vAlign w:val="center"/>
            <w:hideMark/>
          </w:tcPr>
          <w:p w14:paraId="6D2DFC8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32</w:t>
            </w:r>
          </w:p>
        </w:tc>
        <w:tc>
          <w:tcPr>
            <w:tcW w:w="1071" w:type="pct"/>
            <w:shd w:val="clear" w:color="auto" w:fill="auto"/>
            <w:noWrap/>
            <w:vAlign w:val="center"/>
            <w:hideMark/>
          </w:tcPr>
          <w:p w14:paraId="183CF56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154</w:t>
            </w:r>
          </w:p>
        </w:tc>
      </w:tr>
      <w:tr w:rsidR="00B21189" w:rsidRPr="00445472" w14:paraId="5CD462FB" w14:textId="77777777" w:rsidTr="00B21189">
        <w:trPr>
          <w:trHeight w:val="225"/>
        </w:trPr>
        <w:tc>
          <w:tcPr>
            <w:tcW w:w="1786" w:type="pct"/>
            <w:shd w:val="clear" w:color="auto" w:fill="auto"/>
            <w:vAlign w:val="center"/>
            <w:hideMark/>
          </w:tcPr>
          <w:p w14:paraId="4D09A855" w14:textId="0870F3A3"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Shkodër UK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068BA3D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187</w:t>
            </w:r>
          </w:p>
        </w:tc>
        <w:tc>
          <w:tcPr>
            <w:tcW w:w="1071" w:type="pct"/>
            <w:shd w:val="clear" w:color="auto" w:fill="auto"/>
            <w:noWrap/>
            <w:vAlign w:val="center"/>
            <w:hideMark/>
          </w:tcPr>
          <w:p w14:paraId="361841B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335</w:t>
            </w:r>
          </w:p>
        </w:tc>
        <w:tc>
          <w:tcPr>
            <w:tcW w:w="1071" w:type="pct"/>
            <w:shd w:val="clear" w:color="auto" w:fill="auto"/>
            <w:noWrap/>
            <w:vAlign w:val="center"/>
            <w:hideMark/>
          </w:tcPr>
          <w:p w14:paraId="5B9E23E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522</w:t>
            </w:r>
          </w:p>
        </w:tc>
      </w:tr>
      <w:tr w:rsidR="00B21189" w:rsidRPr="00445472" w14:paraId="4869E065" w14:textId="77777777" w:rsidTr="00B21189">
        <w:trPr>
          <w:trHeight w:val="225"/>
        </w:trPr>
        <w:tc>
          <w:tcPr>
            <w:tcW w:w="1786" w:type="pct"/>
            <w:shd w:val="clear" w:color="auto" w:fill="auto"/>
            <w:vAlign w:val="center"/>
            <w:hideMark/>
          </w:tcPr>
          <w:p w14:paraId="5AE6200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Pukë fshat</w:t>
            </w:r>
          </w:p>
        </w:tc>
        <w:tc>
          <w:tcPr>
            <w:tcW w:w="1071" w:type="pct"/>
            <w:shd w:val="clear" w:color="auto" w:fill="auto"/>
            <w:noWrap/>
            <w:vAlign w:val="center"/>
            <w:hideMark/>
          </w:tcPr>
          <w:p w14:paraId="4966CAF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w:t>
            </w:r>
          </w:p>
        </w:tc>
        <w:tc>
          <w:tcPr>
            <w:tcW w:w="1071" w:type="pct"/>
            <w:shd w:val="clear" w:color="auto" w:fill="auto"/>
            <w:noWrap/>
            <w:vAlign w:val="center"/>
            <w:hideMark/>
          </w:tcPr>
          <w:p w14:paraId="078612B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w:t>
            </w:r>
          </w:p>
        </w:tc>
        <w:tc>
          <w:tcPr>
            <w:tcW w:w="1071" w:type="pct"/>
            <w:shd w:val="clear" w:color="auto" w:fill="auto"/>
            <w:noWrap/>
            <w:vAlign w:val="center"/>
            <w:hideMark/>
          </w:tcPr>
          <w:p w14:paraId="3D88E94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w:t>
            </w:r>
          </w:p>
        </w:tc>
      </w:tr>
      <w:tr w:rsidR="00B21189" w:rsidRPr="00445472" w14:paraId="0409F3C4" w14:textId="77777777" w:rsidTr="00B21189">
        <w:trPr>
          <w:trHeight w:val="225"/>
        </w:trPr>
        <w:tc>
          <w:tcPr>
            <w:tcW w:w="1786" w:type="pct"/>
            <w:shd w:val="clear" w:color="auto" w:fill="auto"/>
            <w:vAlign w:val="center"/>
            <w:hideMark/>
          </w:tcPr>
          <w:p w14:paraId="20D264DA" w14:textId="65DEBB33"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Shkodër (F) U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4273B0B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19</w:t>
            </w:r>
          </w:p>
        </w:tc>
        <w:tc>
          <w:tcPr>
            <w:tcW w:w="1071" w:type="pct"/>
            <w:shd w:val="clear" w:color="auto" w:fill="auto"/>
            <w:noWrap/>
            <w:vAlign w:val="center"/>
            <w:hideMark/>
          </w:tcPr>
          <w:p w14:paraId="6B4F858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20</w:t>
            </w:r>
          </w:p>
        </w:tc>
        <w:tc>
          <w:tcPr>
            <w:tcW w:w="1071" w:type="pct"/>
            <w:shd w:val="clear" w:color="auto" w:fill="auto"/>
            <w:noWrap/>
            <w:vAlign w:val="center"/>
            <w:hideMark/>
          </w:tcPr>
          <w:p w14:paraId="64C210C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40</w:t>
            </w:r>
          </w:p>
        </w:tc>
      </w:tr>
      <w:tr w:rsidR="00B21189" w:rsidRPr="00445472" w14:paraId="18522EC3" w14:textId="77777777" w:rsidTr="00B21189">
        <w:trPr>
          <w:trHeight w:val="225"/>
        </w:trPr>
        <w:tc>
          <w:tcPr>
            <w:tcW w:w="1786" w:type="pct"/>
            <w:shd w:val="clear" w:color="auto" w:fill="auto"/>
            <w:vAlign w:val="center"/>
            <w:hideMark/>
          </w:tcPr>
          <w:p w14:paraId="0CD96166" w14:textId="79FE3A69" w:rsidR="00B21189" w:rsidRPr="00445472" w:rsidRDefault="00852D7A"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Fushë-Arrëz </w:t>
            </w:r>
            <w:r w:rsidR="00B21189" w:rsidRPr="00445472">
              <w:rPr>
                <w:rFonts w:ascii="Garamond" w:eastAsia="MS Mincho" w:hAnsi="Garamond" w:cs="Arial"/>
                <w:sz w:val="18"/>
                <w:szCs w:val="18"/>
                <w:lang w:eastAsia="en-GB"/>
              </w:rPr>
              <w:t xml:space="preserve"> UK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0A7A4C9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w:t>
            </w:r>
          </w:p>
        </w:tc>
        <w:tc>
          <w:tcPr>
            <w:tcW w:w="1071" w:type="pct"/>
            <w:shd w:val="clear" w:color="auto" w:fill="auto"/>
            <w:noWrap/>
            <w:vAlign w:val="center"/>
            <w:hideMark/>
          </w:tcPr>
          <w:p w14:paraId="10D8073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w:t>
            </w:r>
          </w:p>
        </w:tc>
        <w:tc>
          <w:tcPr>
            <w:tcW w:w="1071" w:type="pct"/>
            <w:shd w:val="clear" w:color="auto" w:fill="auto"/>
            <w:noWrap/>
            <w:vAlign w:val="center"/>
            <w:hideMark/>
          </w:tcPr>
          <w:p w14:paraId="4A9A30E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16</w:t>
            </w:r>
          </w:p>
        </w:tc>
      </w:tr>
      <w:tr w:rsidR="00B21189" w:rsidRPr="00445472" w14:paraId="49E7B39B" w14:textId="77777777" w:rsidTr="00B21189">
        <w:trPr>
          <w:trHeight w:val="225"/>
        </w:trPr>
        <w:tc>
          <w:tcPr>
            <w:tcW w:w="1786" w:type="pct"/>
            <w:shd w:val="clear" w:color="auto" w:fill="auto"/>
            <w:vAlign w:val="center"/>
            <w:hideMark/>
          </w:tcPr>
          <w:p w14:paraId="23D8AE75" w14:textId="2906A64B"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Librazhd UK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4AA97A2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55</w:t>
            </w:r>
          </w:p>
        </w:tc>
        <w:tc>
          <w:tcPr>
            <w:tcW w:w="1071" w:type="pct"/>
            <w:shd w:val="clear" w:color="auto" w:fill="auto"/>
            <w:noWrap/>
            <w:vAlign w:val="center"/>
            <w:hideMark/>
          </w:tcPr>
          <w:p w14:paraId="62BFCDC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39</w:t>
            </w:r>
          </w:p>
        </w:tc>
        <w:tc>
          <w:tcPr>
            <w:tcW w:w="1071" w:type="pct"/>
            <w:shd w:val="clear" w:color="auto" w:fill="auto"/>
            <w:noWrap/>
            <w:vAlign w:val="center"/>
            <w:hideMark/>
          </w:tcPr>
          <w:p w14:paraId="7345700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94</w:t>
            </w:r>
          </w:p>
        </w:tc>
      </w:tr>
      <w:tr w:rsidR="00B21189" w:rsidRPr="00445472" w14:paraId="463BCA7C" w14:textId="77777777" w:rsidTr="00B21189">
        <w:trPr>
          <w:trHeight w:val="225"/>
        </w:trPr>
        <w:tc>
          <w:tcPr>
            <w:tcW w:w="1786" w:type="pct"/>
            <w:shd w:val="clear" w:color="auto" w:fill="auto"/>
            <w:vAlign w:val="center"/>
            <w:hideMark/>
          </w:tcPr>
          <w:p w14:paraId="58E20CE9" w14:textId="769344B8"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Peshkopi U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73162B0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47</w:t>
            </w:r>
          </w:p>
        </w:tc>
        <w:tc>
          <w:tcPr>
            <w:tcW w:w="1071" w:type="pct"/>
            <w:shd w:val="clear" w:color="auto" w:fill="auto"/>
            <w:noWrap/>
            <w:vAlign w:val="center"/>
            <w:hideMark/>
          </w:tcPr>
          <w:p w14:paraId="347E547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74</w:t>
            </w:r>
          </w:p>
        </w:tc>
        <w:tc>
          <w:tcPr>
            <w:tcW w:w="1071" w:type="pct"/>
            <w:shd w:val="clear" w:color="auto" w:fill="auto"/>
            <w:noWrap/>
            <w:vAlign w:val="center"/>
            <w:hideMark/>
          </w:tcPr>
          <w:p w14:paraId="6D7BECE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121</w:t>
            </w:r>
          </w:p>
        </w:tc>
      </w:tr>
      <w:tr w:rsidR="00B21189" w:rsidRPr="00445472" w14:paraId="1987A694" w14:textId="77777777" w:rsidTr="00B21189">
        <w:trPr>
          <w:trHeight w:val="225"/>
        </w:trPr>
        <w:tc>
          <w:tcPr>
            <w:tcW w:w="1786" w:type="pct"/>
            <w:shd w:val="clear" w:color="auto" w:fill="auto"/>
            <w:vAlign w:val="center"/>
            <w:hideMark/>
          </w:tcPr>
          <w:p w14:paraId="7ED3C0FF" w14:textId="106B0E9F"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Bulqizë U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1CA0018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26</w:t>
            </w:r>
          </w:p>
        </w:tc>
        <w:tc>
          <w:tcPr>
            <w:tcW w:w="1071" w:type="pct"/>
            <w:shd w:val="clear" w:color="auto" w:fill="auto"/>
            <w:noWrap/>
            <w:vAlign w:val="center"/>
            <w:hideMark/>
          </w:tcPr>
          <w:p w14:paraId="4168756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90</w:t>
            </w:r>
          </w:p>
        </w:tc>
        <w:tc>
          <w:tcPr>
            <w:tcW w:w="1071" w:type="pct"/>
            <w:shd w:val="clear" w:color="auto" w:fill="auto"/>
            <w:noWrap/>
            <w:vAlign w:val="center"/>
            <w:hideMark/>
          </w:tcPr>
          <w:p w14:paraId="5F6DFCC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115</w:t>
            </w:r>
          </w:p>
        </w:tc>
      </w:tr>
      <w:tr w:rsidR="00B21189" w:rsidRPr="00445472" w14:paraId="72AD2092" w14:textId="77777777" w:rsidTr="00B21189">
        <w:trPr>
          <w:trHeight w:val="225"/>
        </w:trPr>
        <w:tc>
          <w:tcPr>
            <w:tcW w:w="1786" w:type="pct"/>
            <w:shd w:val="clear" w:color="auto" w:fill="auto"/>
            <w:vAlign w:val="center"/>
            <w:hideMark/>
          </w:tcPr>
          <w:p w14:paraId="040E4367" w14:textId="0EF40BDE"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Has U </w:t>
            </w:r>
            <w:r w:rsidR="00DB6391" w:rsidRPr="00445472">
              <w:rPr>
                <w:rFonts w:ascii="Garamond" w:eastAsia="MS Mincho" w:hAnsi="Garamond" w:cs="Arial"/>
                <w:sz w:val="18"/>
                <w:szCs w:val="18"/>
                <w:lang w:eastAsia="en-GB"/>
              </w:rPr>
              <w:t>s</w:t>
            </w:r>
            <w:r w:rsidRPr="00445472">
              <w:rPr>
                <w:rFonts w:ascii="Garamond" w:eastAsia="MS Mincho" w:hAnsi="Garamond" w:cs="Arial"/>
                <w:sz w:val="18"/>
                <w:szCs w:val="18"/>
                <w:lang w:eastAsia="en-GB"/>
              </w:rPr>
              <w:t>h</w:t>
            </w:r>
            <w:r w:rsidR="00DB6391" w:rsidRPr="00445472">
              <w:rPr>
                <w:rFonts w:ascii="Garamond" w:eastAsia="MS Mincho" w:hAnsi="Garamond" w:cs="Arial"/>
                <w:sz w:val="18"/>
                <w:szCs w:val="18"/>
                <w:lang w:eastAsia="en-GB"/>
              </w:rPr>
              <w:t>.a.</w:t>
            </w:r>
          </w:p>
        </w:tc>
        <w:tc>
          <w:tcPr>
            <w:tcW w:w="1071" w:type="pct"/>
            <w:shd w:val="clear" w:color="auto" w:fill="auto"/>
            <w:noWrap/>
            <w:vAlign w:val="center"/>
            <w:hideMark/>
          </w:tcPr>
          <w:p w14:paraId="323C6C6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17</w:t>
            </w:r>
          </w:p>
        </w:tc>
        <w:tc>
          <w:tcPr>
            <w:tcW w:w="1071" w:type="pct"/>
            <w:shd w:val="clear" w:color="auto" w:fill="auto"/>
            <w:noWrap/>
            <w:vAlign w:val="center"/>
            <w:hideMark/>
          </w:tcPr>
          <w:p w14:paraId="5317AF2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23</w:t>
            </w:r>
          </w:p>
        </w:tc>
        <w:tc>
          <w:tcPr>
            <w:tcW w:w="1071" w:type="pct"/>
            <w:shd w:val="clear" w:color="auto" w:fill="auto"/>
            <w:noWrap/>
            <w:vAlign w:val="center"/>
            <w:hideMark/>
          </w:tcPr>
          <w:p w14:paraId="4EA6DE5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40</w:t>
            </w:r>
          </w:p>
        </w:tc>
      </w:tr>
      <w:tr w:rsidR="00B21189" w:rsidRPr="00445472" w14:paraId="78CACC13" w14:textId="77777777" w:rsidTr="00B21189">
        <w:trPr>
          <w:trHeight w:val="225"/>
        </w:trPr>
        <w:tc>
          <w:tcPr>
            <w:tcW w:w="1786" w:type="pct"/>
            <w:shd w:val="clear" w:color="auto" w:fill="auto"/>
            <w:vAlign w:val="center"/>
            <w:hideMark/>
          </w:tcPr>
          <w:p w14:paraId="76C7873C" w14:textId="4AC36DC1"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Kukës UK </w:t>
            </w:r>
            <w:r w:rsidR="00DB6391" w:rsidRPr="00445472">
              <w:rPr>
                <w:rFonts w:ascii="Garamond" w:eastAsia="MS Mincho" w:hAnsi="Garamond" w:cs="Arial"/>
                <w:sz w:val="18"/>
                <w:szCs w:val="18"/>
                <w:lang w:eastAsia="en-GB"/>
              </w:rPr>
              <w:t>sh.a.</w:t>
            </w:r>
          </w:p>
        </w:tc>
        <w:tc>
          <w:tcPr>
            <w:tcW w:w="1071" w:type="pct"/>
            <w:shd w:val="clear" w:color="auto" w:fill="auto"/>
            <w:noWrap/>
            <w:vAlign w:val="center"/>
            <w:hideMark/>
          </w:tcPr>
          <w:p w14:paraId="5F9BEEE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40</w:t>
            </w:r>
          </w:p>
        </w:tc>
        <w:tc>
          <w:tcPr>
            <w:tcW w:w="1071" w:type="pct"/>
            <w:shd w:val="clear" w:color="auto" w:fill="auto"/>
            <w:noWrap/>
            <w:vAlign w:val="center"/>
            <w:hideMark/>
          </w:tcPr>
          <w:p w14:paraId="7C29C3C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77</w:t>
            </w:r>
          </w:p>
        </w:tc>
        <w:tc>
          <w:tcPr>
            <w:tcW w:w="1071" w:type="pct"/>
            <w:shd w:val="clear" w:color="auto" w:fill="auto"/>
            <w:noWrap/>
            <w:vAlign w:val="center"/>
            <w:hideMark/>
          </w:tcPr>
          <w:p w14:paraId="69478BC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117</w:t>
            </w:r>
          </w:p>
        </w:tc>
      </w:tr>
      <w:tr w:rsidR="00B21189" w:rsidRPr="00445472" w14:paraId="1BF0DF00" w14:textId="77777777" w:rsidTr="00B21189">
        <w:trPr>
          <w:trHeight w:val="225"/>
        </w:trPr>
        <w:tc>
          <w:tcPr>
            <w:tcW w:w="1786" w:type="pct"/>
            <w:shd w:val="clear" w:color="auto" w:fill="auto"/>
            <w:noWrap/>
            <w:vAlign w:val="bottom"/>
            <w:hideMark/>
          </w:tcPr>
          <w:p w14:paraId="1703F33C" w14:textId="56C15C73"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 xml:space="preserve">Total Baseni Ujor </w:t>
            </w:r>
            <w:r w:rsidR="007E76E3" w:rsidRPr="00445472">
              <w:rPr>
                <w:rFonts w:ascii="Garamond" w:eastAsia="MS Mincho" w:hAnsi="Garamond" w:cs="Arial"/>
                <w:b/>
                <w:sz w:val="18"/>
                <w:szCs w:val="18"/>
                <w:lang w:eastAsia="en-GB"/>
              </w:rPr>
              <w:t>Drin–Bunë</w:t>
            </w:r>
          </w:p>
        </w:tc>
        <w:tc>
          <w:tcPr>
            <w:tcW w:w="1071" w:type="pct"/>
            <w:shd w:val="clear" w:color="auto" w:fill="auto"/>
            <w:noWrap/>
            <w:vAlign w:val="center"/>
            <w:hideMark/>
          </w:tcPr>
          <w:p w14:paraId="0D9701DE"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705</w:t>
            </w:r>
          </w:p>
        </w:tc>
        <w:tc>
          <w:tcPr>
            <w:tcW w:w="1071" w:type="pct"/>
            <w:shd w:val="clear" w:color="auto" w:fill="auto"/>
            <w:noWrap/>
            <w:vAlign w:val="center"/>
            <w:hideMark/>
          </w:tcPr>
          <w:p w14:paraId="752F568B"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842</w:t>
            </w:r>
          </w:p>
        </w:tc>
        <w:tc>
          <w:tcPr>
            <w:tcW w:w="1071" w:type="pct"/>
            <w:shd w:val="clear" w:color="auto" w:fill="auto"/>
            <w:noWrap/>
            <w:vAlign w:val="center"/>
            <w:hideMark/>
          </w:tcPr>
          <w:p w14:paraId="34181BD7"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1,547</w:t>
            </w:r>
          </w:p>
        </w:tc>
      </w:tr>
    </w:tbl>
    <w:p w14:paraId="02A7B8F4" w14:textId="77777777" w:rsidR="00B21189" w:rsidRPr="00445472" w:rsidRDefault="00B21189" w:rsidP="00B21189">
      <w:pPr>
        <w:pStyle w:val="NENTITULL"/>
      </w:pPr>
    </w:p>
    <w:p w14:paraId="776F13B9" w14:textId="0EFE2F0B" w:rsidR="00B21189" w:rsidRPr="00445472" w:rsidRDefault="00B21189" w:rsidP="00B21189">
      <w:pPr>
        <w:pStyle w:val="NENTITULL"/>
      </w:pPr>
      <w:r w:rsidRPr="00445472">
        <w:t xml:space="preserve">Tabela A 4. 7: Konsumi shtëpiak i ujit nga burime të </w:t>
      </w:r>
      <w:r w:rsidR="00DB6391" w:rsidRPr="00445472">
        <w:t>përbashkëta</w:t>
      </w:r>
      <w:r w:rsidRPr="00445472">
        <w:t xml:space="preserve"> në Basenin Ujor </w:t>
      </w:r>
      <w:r w:rsidR="007E76E3" w:rsidRPr="00445472">
        <w:t>Drin–Bunë</w:t>
      </w:r>
    </w:p>
    <w:tbl>
      <w:tblPr>
        <w:tblW w:w="5000" w:type="pct"/>
        <w:tblBorders>
          <w:top w:val="single" w:sz="8" w:space="0" w:color="27B1B0"/>
          <w:left w:val="single" w:sz="8" w:space="0" w:color="27B1B0"/>
          <w:bottom w:val="single" w:sz="8" w:space="0" w:color="27B1B0"/>
          <w:right w:val="single" w:sz="8" w:space="0" w:color="27B1B0"/>
          <w:insideH w:val="single" w:sz="8" w:space="0" w:color="27B1B0"/>
          <w:insideV w:val="single" w:sz="8" w:space="0" w:color="27B1B0"/>
        </w:tblBorders>
        <w:tblLook w:val="04A0" w:firstRow="1" w:lastRow="0" w:firstColumn="1" w:lastColumn="0" w:noHBand="0" w:noVBand="1"/>
      </w:tblPr>
      <w:tblGrid>
        <w:gridCol w:w="1020"/>
        <w:gridCol w:w="2617"/>
        <w:gridCol w:w="1283"/>
        <w:gridCol w:w="1153"/>
        <w:gridCol w:w="1053"/>
        <w:gridCol w:w="992"/>
        <w:gridCol w:w="1169"/>
      </w:tblGrid>
      <w:tr w:rsidR="00B21189" w:rsidRPr="00445472" w14:paraId="6E6F63A7" w14:textId="77777777" w:rsidTr="00B21189">
        <w:trPr>
          <w:trHeight w:val="525"/>
          <w:tblHeader/>
        </w:trPr>
        <w:tc>
          <w:tcPr>
            <w:tcW w:w="577" w:type="pct"/>
            <w:vMerge w:val="restart"/>
            <w:shd w:val="clear" w:color="auto" w:fill="auto"/>
            <w:vAlign w:val="center"/>
            <w:hideMark/>
          </w:tcPr>
          <w:p w14:paraId="7B548B0E"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Qarku</w:t>
            </w:r>
          </w:p>
        </w:tc>
        <w:tc>
          <w:tcPr>
            <w:tcW w:w="1437" w:type="pct"/>
            <w:vMerge w:val="restart"/>
            <w:shd w:val="clear" w:color="auto" w:fill="auto"/>
            <w:vAlign w:val="center"/>
            <w:hideMark/>
          </w:tcPr>
          <w:p w14:paraId="756789C0"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Zona</w:t>
            </w:r>
          </w:p>
        </w:tc>
        <w:tc>
          <w:tcPr>
            <w:tcW w:w="523" w:type="pct"/>
            <w:shd w:val="clear" w:color="auto" w:fill="auto"/>
            <w:vAlign w:val="center"/>
            <w:hideMark/>
          </w:tcPr>
          <w:p w14:paraId="201C79B9" w14:textId="229CAFF8"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Urban</w:t>
            </w:r>
            <w:r w:rsidR="001D340B" w:rsidRPr="00445472">
              <w:rPr>
                <w:rFonts w:ascii="Garamond" w:hAnsi="Garamond" w:cs="Arial"/>
                <w:b/>
                <w:sz w:val="18"/>
                <w:szCs w:val="18"/>
                <w:lang w:val="sq-AL" w:eastAsia="en-GB"/>
              </w:rPr>
              <w:t>/</w:t>
            </w:r>
            <w:r w:rsidRPr="00445472">
              <w:rPr>
                <w:rFonts w:ascii="Garamond" w:hAnsi="Garamond" w:cs="Arial"/>
                <w:b/>
                <w:sz w:val="18"/>
                <w:szCs w:val="18"/>
                <w:lang w:val="sq-AL" w:eastAsia="en-GB"/>
              </w:rPr>
              <w:t>Rural</w:t>
            </w:r>
          </w:p>
        </w:tc>
        <w:tc>
          <w:tcPr>
            <w:tcW w:w="649" w:type="pct"/>
            <w:shd w:val="clear" w:color="auto" w:fill="auto"/>
            <w:vAlign w:val="center"/>
            <w:hideMark/>
          </w:tcPr>
          <w:p w14:paraId="7F766221"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Popullsia (2011)</w:t>
            </w:r>
          </w:p>
        </w:tc>
        <w:tc>
          <w:tcPr>
            <w:tcW w:w="595" w:type="pct"/>
            <w:shd w:val="clear" w:color="auto" w:fill="auto"/>
            <w:vAlign w:val="center"/>
            <w:hideMark/>
          </w:tcPr>
          <w:p w14:paraId="7B9F8777"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Konsumi i ujit</w:t>
            </w:r>
          </w:p>
        </w:tc>
        <w:tc>
          <w:tcPr>
            <w:tcW w:w="562" w:type="pct"/>
            <w:shd w:val="clear" w:color="auto" w:fill="auto"/>
            <w:vAlign w:val="center"/>
            <w:hideMark/>
          </w:tcPr>
          <w:p w14:paraId="321CED9F"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Mbulimi i ujit</w:t>
            </w:r>
          </w:p>
        </w:tc>
        <w:tc>
          <w:tcPr>
            <w:tcW w:w="658" w:type="pct"/>
            <w:shd w:val="clear" w:color="auto" w:fill="auto"/>
            <w:vAlign w:val="center"/>
            <w:hideMark/>
          </w:tcPr>
          <w:p w14:paraId="1AD4BD50" w14:textId="77777777" w:rsidR="00B21189" w:rsidRPr="00445472" w:rsidRDefault="00B21189" w:rsidP="002A1F08">
            <w:pPr>
              <w:pStyle w:val="TableTextCentre"/>
              <w:spacing w:before="22" w:after="22"/>
              <w:ind w:right="63"/>
              <w:rPr>
                <w:rFonts w:ascii="Garamond" w:hAnsi="Garamond" w:cs="Arial"/>
                <w:b/>
                <w:sz w:val="18"/>
                <w:szCs w:val="18"/>
                <w:lang w:val="sq-AL" w:eastAsia="en-GB"/>
              </w:rPr>
            </w:pPr>
            <w:r w:rsidRPr="00445472">
              <w:rPr>
                <w:rFonts w:ascii="Garamond" w:hAnsi="Garamond" w:cs="Arial"/>
                <w:b/>
                <w:sz w:val="18"/>
                <w:szCs w:val="18"/>
                <w:lang w:val="sq-AL" w:eastAsia="en-GB"/>
              </w:rPr>
              <w:t>Konsumi i ujit</w:t>
            </w:r>
          </w:p>
        </w:tc>
      </w:tr>
      <w:tr w:rsidR="00B21189" w:rsidRPr="00445472" w14:paraId="03FC8306" w14:textId="77777777" w:rsidTr="00B21189">
        <w:trPr>
          <w:trHeight w:val="525"/>
        </w:trPr>
        <w:tc>
          <w:tcPr>
            <w:tcW w:w="577" w:type="pct"/>
            <w:vMerge/>
            <w:shd w:val="clear" w:color="auto" w:fill="auto"/>
            <w:vAlign w:val="center"/>
            <w:hideMark/>
          </w:tcPr>
          <w:p w14:paraId="424EE359"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437" w:type="pct"/>
            <w:vMerge/>
            <w:shd w:val="clear" w:color="auto" w:fill="auto"/>
            <w:vAlign w:val="center"/>
            <w:hideMark/>
          </w:tcPr>
          <w:p w14:paraId="6774938A"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523" w:type="pct"/>
            <w:shd w:val="clear" w:color="auto" w:fill="auto"/>
            <w:vAlign w:val="center"/>
            <w:hideMark/>
          </w:tcPr>
          <w:p w14:paraId="7E4CF689" w14:textId="0250C43B"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r w:rsidR="001D340B" w:rsidRPr="00445472">
              <w:rPr>
                <w:rFonts w:ascii="Garamond" w:eastAsia="MS Mincho" w:hAnsi="Garamond" w:cs="Arial"/>
                <w:sz w:val="18"/>
                <w:szCs w:val="18"/>
                <w:lang w:eastAsia="en-GB"/>
              </w:rPr>
              <w:t>/</w:t>
            </w:r>
            <w:r w:rsidRPr="00445472">
              <w:rPr>
                <w:rFonts w:ascii="Garamond" w:eastAsia="MS Mincho" w:hAnsi="Garamond" w:cs="Arial"/>
                <w:sz w:val="18"/>
                <w:szCs w:val="18"/>
                <w:lang w:eastAsia="en-GB"/>
              </w:rPr>
              <w:t>r</w:t>
            </w:r>
          </w:p>
        </w:tc>
        <w:tc>
          <w:tcPr>
            <w:tcW w:w="649" w:type="pct"/>
            <w:shd w:val="clear" w:color="auto" w:fill="auto"/>
            <w:vAlign w:val="center"/>
            <w:hideMark/>
          </w:tcPr>
          <w:p w14:paraId="699AEB1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Nr. i banorëve</w:t>
            </w:r>
          </w:p>
        </w:tc>
        <w:tc>
          <w:tcPr>
            <w:tcW w:w="595" w:type="pct"/>
            <w:shd w:val="clear" w:color="auto" w:fill="auto"/>
            <w:vAlign w:val="center"/>
            <w:hideMark/>
          </w:tcPr>
          <w:p w14:paraId="7738CA6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l/c/d</w:t>
            </w:r>
          </w:p>
        </w:tc>
        <w:tc>
          <w:tcPr>
            <w:tcW w:w="562" w:type="pct"/>
            <w:shd w:val="clear" w:color="auto" w:fill="auto"/>
            <w:vAlign w:val="center"/>
            <w:hideMark/>
          </w:tcPr>
          <w:p w14:paraId="58B9F2D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w:t>
            </w:r>
          </w:p>
        </w:tc>
        <w:tc>
          <w:tcPr>
            <w:tcW w:w="658" w:type="pct"/>
            <w:shd w:val="clear" w:color="auto" w:fill="auto"/>
            <w:vAlign w:val="center"/>
            <w:hideMark/>
          </w:tcPr>
          <w:p w14:paraId="70A4F94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cm/vit</w:t>
            </w:r>
          </w:p>
        </w:tc>
      </w:tr>
      <w:tr w:rsidR="00B21189" w:rsidRPr="00445472" w14:paraId="2C2FA55C" w14:textId="77777777" w:rsidTr="00B21189">
        <w:trPr>
          <w:trHeight w:val="315"/>
        </w:trPr>
        <w:tc>
          <w:tcPr>
            <w:tcW w:w="577" w:type="pct"/>
            <w:vMerge w:val="restart"/>
            <w:shd w:val="clear" w:color="auto" w:fill="auto"/>
            <w:vAlign w:val="center"/>
            <w:hideMark/>
          </w:tcPr>
          <w:p w14:paraId="093B297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1437" w:type="pct"/>
            <w:vMerge w:val="restart"/>
            <w:shd w:val="clear" w:color="auto" w:fill="auto"/>
            <w:vAlign w:val="center"/>
            <w:hideMark/>
          </w:tcPr>
          <w:p w14:paraId="3DB27B1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Pukë, Gjegjan, Rrapë, Qelez, Qerret</w:t>
            </w:r>
          </w:p>
        </w:tc>
        <w:tc>
          <w:tcPr>
            <w:tcW w:w="523" w:type="pct"/>
            <w:shd w:val="clear" w:color="auto" w:fill="auto"/>
            <w:vAlign w:val="center"/>
            <w:hideMark/>
          </w:tcPr>
          <w:p w14:paraId="032A134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649" w:type="pct"/>
            <w:shd w:val="clear" w:color="auto" w:fill="auto"/>
            <w:vAlign w:val="center"/>
            <w:hideMark/>
          </w:tcPr>
          <w:p w14:paraId="00325B6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5,359</w:t>
            </w:r>
          </w:p>
        </w:tc>
        <w:tc>
          <w:tcPr>
            <w:tcW w:w="595" w:type="pct"/>
            <w:shd w:val="clear" w:color="auto" w:fill="auto"/>
            <w:noWrap/>
            <w:vAlign w:val="center"/>
            <w:hideMark/>
          </w:tcPr>
          <w:p w14:paraId="26E9DC6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142.02</w:t>
            </w:r>
          </w:p>
        </w:tc>
        <w:tc>
          <w:tcPr>
            <w:tcW w:w="562" w:type="pct"/>
            <w:shd w:val="clear" w:color="auto" w:fill="auto"/>
            <w:noWrap/>
            <w:vAlign w:val="center"/>
            <w:hideMark/>
          </w:tcPr>
          <w:p w14:paraId="74BA608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54.3</w:t>
            </w:r>
          </w:p>
        </w:tc>
        <w:tc>
          <w:tcPr>
            <w:tcW w:w="658" w:type="pct"/>
            <w:shd w:val="clear" w:color="auto" w:fill="auto"/>
            <w:noWrap/>
            <w:vAlign w:val="center"/>
            <w:hideMark/>
          </w:tcPr>
          <w:p w14:paraId="2D157B8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150,843</w:t>
            </w:r>
          </w:p>
        </w:tc>
      </w:tr>
      <w:tr w:rsidR="00B21189" w:rsidRPr="00445472" w14:paraId="4672DE97" w14:textId="77777777" w:rsidTr="00B21189">
        <w:trPr>
          <w:trHeight w:val="315"/>
        </w:trPr>
        <w:tc>
          <w:tcPr>
            <w:tcW w:w="577" w:type="pct"/>
            <w:vMerge/>
            <w:vAlign w:val="center"/>
            <w:hideMark/>
          </w:tcPr>
          <w:p w14:paraId="3AE77551"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1437" w:type="pct"/>
            <w:vMerge/>
            <w:vAlign w:val="center"/>
            <w:hideMark/>
          </w:tcPr>
          <w:p w14:paraId="5C8C756C"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523" w:type="pct"/>
            <w:shd w:val="clear" w:color="auto" w:fill="auto"/>
            <w:vAlign w:val="center"/>
            <w:hideMark/>
          </w:tcPr>
          <w:p w14:paraId="138197A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649" w:type="pct"/>
            <w:shd w:val="clear" w:color="auto" w:fill="auto"/>
            <w:vAlign w:val="center"/>
            <w:hideMark/>
          </w:tcPr>
          <w:p w14:paraId="6DA3152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12,000</w:t>
            </w:r>
          </w:p>
        </w:tc>
        <w:tc>
          <w:tcPr>
            <w:tcW w:w="595" w:type="pct"/>
            <w:shd w:val="clear" w:color="auto" w:fill="auto"/>
            <w:noWrap/>
            <w:vAlign w:val="center"/>
            <w:hideMark/>
          </w:tcPr>
          <w:p w14:paraId="246FDB0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146.86</w:t>
            </w:r>
          </w:p>
        </w:tc>
        <w:tc>
          <w:tcPr>
            <w:tcW w:w="562" w:type="pct"/>
            <w:shd w:val="clear" w:color="auto" w:fill="auto"/>
            <w:noWrap/>
            <w:vAlign w:val="center"/>
            <w:hideMark/>
          </w:tcPr>
          <w:p w14:paraId="72317AD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19.58</w:t>
            </w:r>
          </w:p>
        </w:tc>
        <w:tc>
          <w:tcPr>
            <w:tcW w:w="658" w:type="pct"/>
            <w:shd w:val="clear" w:color="auto" w:fill="auto"/>
            <w:noWrap/>
            <w:vAlign w:val="center"/>
            <w:hideMark/>
          </w:tcPr>
          <w:p w14:paraId="6F41B2B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125,948</w:t>
            </w:r>
          </w:p>
        </w:tc>
      </w:tr>
      <w:tr w:rsidR="00B21189" w:rsidRPr="00445472" w14:paraId="4CA12188" w14:textId="77777777" w:rsidTr="00B21189">
        <w:trPr>
          <w:trHeight w:val="525"/>
        </w:trPr>
        <w:tc>
          <w:tcPr>
            <w:tcW w:w="577" w:type="pct"/>
            <w:shd w:val="clear" w:color="auto" w:fill="auto"/>
            <w:vAlign w:val="center"/>
            <w:hideMark/>
          </w:tcPr>
          <w:p w14:paraId="3FD2304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1437" w:type="pct"/>
            <w:shd w:val="clear" w:color="auto" w:fill="auto"/>
            <w:vAlign w:val="center"/>
            <w:hideMark/>
          </w:tcPr>
          <w:p w14:paraId="7D93036F" w14:textId="2C19DFFA" w:rsidR="00B21189" w:rsidRPr="00445472" w:rsidRDefault="00852D7A" w:rsidP="00DB6391">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Fushë-Arrëz </w:t>
            </w:r>
            <w:r w:rsidR="00B21189" w:rsidRPr="00445472">
              <w:rPr>
                <w:rFonts w:ascii="Garamond" w:eastAsia="MS Mincho" w:hAnsi="Garamond" w:cs="Arial"/>
                <w:sz w:val="18"/>
                <w:szCs w:val="18"/>
                <w:lang w:eastAsia="en-GB"/>
              </w:rPr>
              <w:t>, Fierze, Blerim, Qafë</w:t>
            </w:r>
            <w:r w:rsidR="00DB6391" w:rsidRPr="00445472">
              <w:rPr>
                <w:rFonts w:ascii="Garamond" w:eastAsia="MS Mincho" w:hAnsi="Garamond" w:cs="Arial"/>
                <w:sz w:val="18"/>
                <w:szCs w:val="18"/>
                <w:lang w:eastAsia="en-GB"/>
              </w:rPr>
              <w:t>m</w:t>
            </w:r>
            <w:r w:rsidR="00B21189" w:rsidRPr="00445472">
              <w:rPr>
                <w:rFonts w:ascii="Garamond" w:eastAsia="MS Mincho" w:hAnsi="Garamond" w:cs="Arial"/>
                <w:sz w:val="18"/>
                <w:szCs w:val="18"/>
                <w:lang w:eastAsia="en-GB"/>
              </w:rPr>
              <w:t>ali, Iballe</w:t>
            </w:r>
          </w:p>
        </w:tc>
        <w:tc>
          <w:tcPr>
            <w:tcW w:w="523" w:type="pct"/>
            <w:shd w:val="clear" w:color="auto" w:fill="auto"/>
            <w:vAlign w:val="center"/>
            <w:hideMark/>
          </w:tcPr>
          <w:p w14:paraId="0BF7ABE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378A195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4,800</w:t>
            </w:r>
          </w:p>
        </w:tc>
        <w:tc>
          <w:tcPr>
            <w:tcW w:w="595" w:type="pct"/>
            <w:shd w:val="clear" w:color="auto" w:fill="auto"/>
            <w:noWrap/>
            <w:vAlign w:val="center"/>
            <w:hideMark/>
          </w:tcPr>
          <w:p w14:paraId="47FA7AA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167.05</w:t>
            </w:r>
          </w:p>
        </w:tc>
        <w:tc>
          <w:tcPr>
            <w:tcW w:w="562" w:type="pct"/>
            <w:shd w:val="clear" w:color="auto" w:fill="auto"/>
            <w:noWrap/>
            <w:vAlign w:val="center"/>
            <w:hideMark/>
          </w:tcPr>
          <w:p w14:paraId="6F3FB83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38.92</w:t>
            </w:r>
          </w:p>
        </w:tc>
        <w:tc>
          <w:tcPr>
            <w:tcW w:w="658" w:type="pct"/>
            <w:shd w:val="clear" w:color="auto" w:fill="auto"/>
            <w:noWrap/>
            <w:vAlign w:val="center"/>
            <w:hideMark/>
          </w:tcPr>
          <w:p w14:paraId="7A8B49F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113,908</w:t>
            </w:r>
          </w:p>
        </w:tc>
      </w:tr>
      <w:tr w:rsidR="00B21189" w:rsidRPr="00445472" w14:paraId="5BD4C06A" w14:textId="77777777" w:rsidTr="00B21189">
        <w:trPr>
          <w:trHeight w:val="315"/>
        </w:trPr>
        <w:tc>
          <w:tcPr>
            <w:tcW w:w="577" w:type="pct"/>
            <w:shd w:val="clear" w:color="auto" w:fill="auto"/>
            <w:vAlign w:val="center"/>
            <w:hideMark/>
          </w:tcPr>
          <w:p w14:paraId="5C903D0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1437" w:type="pct"/>
            <w:shd w:val="clear" w:color="auto" w:fill="auto"/>
            <w:vAlign w:val="center"/>
            <w:hideMark/>
          </w:tcPr>
          <w:p w14:paraId="2482924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Has, Krumë, Fajza, Gjinaj, Golaj</w:t>
            </w:r>
          </w:p>
        </w:tc>
        <w:tc>
          <w:tcPr>
            <w:tcW w:w="523" w:type="pct"/>
            <w:shd w:val="clear" w:color="auto" w:fill="auto"/>
            <w:vAlign w:val="center"/>
            <w:hideMark/>
          </w:tcPr>
          <w:p w14:paraId="4032B25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73F099C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13,479</w:t>
            </w:r>
          </w:p>
        </w:tc>
        <w:tc>
          <w:tcPr>
            <w:tcW w:w="595" w:type="pct"/>
            <w:shd w:val="clear" w:color="auto" w:fill="auto"/>
            <w:noWrap/>
            <w:vAlign w:val="center"/>
            <w:hideMark/>
          </w:tcPr>
          <w:p w14:paraId="70496AB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88.51</w:t>
            </w:r>
          </w:p>
        </w:tc>
        <w:tc>
          <w:tcPr>
            <w:tcW w:w="562" w:type="pct"/>
            <w:shd w:val="clear" w:color="auto" w:fill="auto"/>
            <w:noWrap/>
            <w:vAlign w:val="center"/>
            <w:hideMark/>
          </w:tcPr>
          <w:p w14:paraId="4B91056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61.98</w:t>
            </w:r>
          </w:p>
        </w:tc>
        <w:tc>
          <w:tcPr>
            <w:tcW w:w="658" w:type="pct"/>
            <w:shd w:val="clear" w:color="auto" w:fill="auto"/>
            <w:noWrap/>
            <w:vAlign w:val="center"/>
            <w:hideMark/>
          </w:tcPr>
          <w:p w14:paraId="1589A03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269,895</w:t>
            </w:r>
          </w:p>
        </w:tc>
      </w:tr>
      <w:tr w:rsidR="00B21189" w:rsidRPr="00445472" w14:paraId="112578F1" w14:textId="77777777" w:rsidTr="00B21189">
        <w:trPr>
          <w:trHeight w:val="525"/>
        </w:trPr>
        <w:tc>
          <w:tcPr>
            <w:tcW w:w="577" w:type="pct"/>
            <w:shd w:val="clear" w:color="auto" w:fill="auto"/>
            <w:vAlign w:val="center"/>
            <w:hideMark/>
          </w:tcPr>
          <w:p w14:paraId="0BE6793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1437" w:type="pct"/>
            <w:shd w:val="clear" w:color="auto" w:fill="auto"/>
            <w:vAlign w:val="center"/>
            <w:hideMark/>
          </w:tcPr>
          <w:p w14:paraId="23C47970" w14:textId="623B23E7" w:rsidR="00B21189" w:rsidRPr="00445472" w:rsidRDefault="00D67757"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Vau i Dejës </w:t>
            </w:r>
            <w:r w:rsidR="00B21189" w:rsidRPr="00445472">
              <w:rPr>
                <w:rFonts w:ascii="Garamond" w:eastAsia="MS Mincho" w:hAnsi="Garamond" w:cs="Arial"/>
                <w:sz w:val="18"/>
                <w:szCs w:val="18"/>
                <w:lang w:eastAsia="en-GB"/>
              </w:rPr>
              <w:t>, Bushat, Vig Mnele, Hajmel, Temal, Shllak</w:t>
            </w:r>
          </w:p>
        </w:tc>
        <w:tc>
          <w:tcPr>
            <w:tcW w:w="523" w:type="pct"/>
            <w:shd w:val="clear" w:color="auto" w:fill="auto"/>
            <w:vAlign w:val="center"/>
            <w:hideMark/>
          </w:tcPr>
          <w:p w14:paraId="4373845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41A908D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12,518</w:t>
            </w:r>
          </w:p>
        </w:tc>
        <w:tc>
          <w:tcPr>
            <w:tcW w:w="595" w:type="pct"/>
            <w:shd w:val="clear" w:color="auto" w:fill="auto"/>
            <w:noWrap/>
            <w:vAlign w:val="center"/>
            <w:hideMark/>
          </w:tcPr>
          <w:p w14:paraId="0CC44CD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88.89</w:t>
            </w:r>
          </w:p>
        </w:tc>
        <w:tc>
          <w:tcPr>
            <w:tcW w:w="562" w:type="pct"/>
            <w:shd w:val="clear" w:color="auto" w:fill="auto"/>
            <w:noWrap/>
            <w:vAlign w:val="center"/>
            <w:hideMark/>
          </w:tcPr>
          <w:p w14:paraId="61C5755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44.93</w:t>
            </w:r>
          </w:p>
        </w:tc>
        <w:tc>
          <w:tcPr>
            <w:tcW w:w="658" w:type="pct"/>
            <w:shd w:val="clear" w:color="auto" w:fill="auto"/>
            <w:noWrap/>
            <w:vAlign w:val="center"/>
            <w:hideMark/>
          </w:tcPr>
          <w:p w14:paraId="6F32F67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182,481</w:t>
            </w:r>
          </w:p>
        </w:tc>
      </w:tr>
      <w:tr w:rsidR="00B21189" w:rsidRPr="00445472" w14:paraId="7BF6E05B" w14:textId="77777777" w:rsidTr="00B21189">
        <w:trPr>
          <w:trHeight w:val="946"/>
        </w:trPr>
        <w:tc>
          <w:tcPr>
            <w:tcW w:w="577" w:type="pct"/>
            <w:shd w:val="clear" w:color="auto" w:fill="auto"/>
            <w:vAlign w:val="center"/>
            <w:hideMark/>
          </w:tcPr>
          <w:p w14:paraId="659D5D0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1437" w:type="pct"/>
            <w:shd w:val="clear" w:color="auto" w:fill="auto"/>
            <w:vAlign w:val="center"/>
            <w:hideMark/>
          </w:tcPr>
          <w:p w14:paraId="610717E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 Malzi, Bicaj, Ujmisht, Terthore, Shtiqen, Zapod, Shishtavec, Topojan, Bushtricë, Gryk Caje, Kalis, Surroj, Arren, Kolsh</w:t>
            </w:r>
          </w:p>
        </w:tc>
        <w:tc>
          <w:tcPr>
            <w:tcW w:w="523" w:type="pct"/>
            <w:shd w:val="clear" w:color="auto" w:fill="auto"/>
            <w:vAlign w:val="center"/>
            <w:hideMark/>
          </w:tcPr>
          <w:p w14:paraId="682CFFD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2160A04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40,000</w:t>
            </w:r>
          </w:p>
        </w:tc>
        <w:tc>
          <w:tcPr>
            <w:tcW w:w="595" w:type="pct"/>
            <w:shd w:val="clear" w:color="auto" w:fill="auto"/>
            <w:noWrap/>
            <w:vAlign w:val="center"/>
            <w:hideMark/>
          </w:tcPr>
          <w:p w14:paraId="12F2436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53.29</w:t>
            </w:r>
          </w:p>
        </w:tc>
        <w:tc>
          <w:tcPr>
            <w:tcW w:w="562" w:type="pct"/>
            <w:shd w:val="clear" w:color="auto" w:fill="auto"/>
            <w:noWrap/>
            <w:vAlign w:val="center"/>
            <w:hideMark/>
          </w:tcPr>
          <w:p w14:paraId="730F837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100</w:t>
            </w:r>
          </w:p>
        </w:tc>
        <w:tc>
          <w:tcPr>
            <w:tcW w:w="658" w:type="pct"/>
            <w:shd w:val="clear" w:color="auto" w:fill="auto"/>
            <w:noWrap/>
            <w:vAlign w:val="center"/>
            <w:hideMark/>
          </w:tcPr>
          <w:p w14:paraId="3532E13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778,034</w:t>
            </w:r>
          </w:p>
        </w:tc>
      </w:tr>
      <w:tr w:rsidR="00B21189" w:rsidRPr="00445472" w14:paraId="3ABEE93B" w14:textId="77777777" w:rsidTr="00B21189">
        <w:trPr>
          <w:trHeight w:val="1290"/>
        </w:trPr>
        <w:tc>
          <w:tcPr>
            <w:tcW w:w="577" w:type="pct"/>
            <w:shd w:val="clear" w:color="auto" w:fill="auto"/>
            <w:vAlign w:val="center"/>
            <w:hideMark/>
          </w:tcPr>
          <w:p w14:paraId="4909FA0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Dibër</w:t>
            </w:r>
          </w:p>
        </w:tc>
        <w:tc>
          <w:tcPr>
            <w:tcW w:w="1437" w:type="pct"/>
            <w:shd w:val="clear" w:color="auto" w:fill="auto"/>
            <w:vAlign w:val="center"/>
            <w:hideMark/>
          </w:tcPr>
          <w:p w14:paraId="1ECA62E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Peshkopi/Dibër, Tomin, Melan, Kastriot, Lurë, Maqellarë, Muhurr, Luzni, Selishtë, Sllovë, Kala e Dodes, Zall Dardhe, Zall Reç, Fushë Cidhen, Arras</w:t>
            </w:r>
          </w:p>
        </w:tc>
        <w:tc>
          <w:tcPr>
            <w:tcW w:w="523" w:type="pct"/>
            <w:shd w:val="clear" w:color="auto" w:fill="auto"/>
            <w:vAlign w:val="center"/>
            <w:hideMark/>
          </w:tcPr>
          <w:p w14:paraId="5541B2E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547A1AF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31,000</w:t>
            </w:r>
          </w:p>
        </w:tc>
        <w:tc>
          <w:tcPr>
            <w:tcW w:w="595" w:type="pct"/>
            <w:shd w:val="clear" w:color="auto" w:fill="auto"/>
            <w:noWrap/>
            <w:vAlign w:val="center"/>
            <w:hideMark/>
          </w:tcPr>
          <w:p w14:paraId="6B69730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63.74</w:t>
            </w:r>
          </w:p>
        </w:tc>
        <w:tc>
          <w:tcPr>
            <w:tcW w:w="562" w:type="pct"/>
            <w:shd w:val="clear" w:color="auto" w:fill="auto"/>
            <w:noWrap/>
            <w:vAlign w:val="center"/>
            <w:hideMark/>
          </w:tcPr>
          <w:p w14:paraId="476E088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100</w:t>
            </w:r>
          </w:p>
        </w:tc>
        <w:tc>
          <w:tcPr>
            <w:tcW w:w="658" w:type="pct"/>
            <w:shd w:val="clear" w:color="auto" w:fill="auto"/>
            <w:noWrap/>
            <w:vAlign w:val="center"/>
            <w:hideMark/>
          </w:tcPr>
          <w:p w14:paraId="634A76D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721,218</w:t>
            </w:r>
          </w:p>
        </w:tc>
      </w:tr>
      <w:tr w:rsidR="00B21189" w:rsidRPr="00445472" w14:paraId="7A6354FE" w14:textId="77777777" w:rsidTr="00B21189">
        <w:trPr>
          <w:trHeight w:val="780"/>
        </w:trPr>
        <w:tc>
          <w:tcPr>
            <w:tcW w:w="577" w:type="pct"/>
            <w:shd w:val="clear" w:color="auto" w:fill="auto"/>
            <w:vAlign w:val="center"/>
            <w:hideMark/>
          </w:tcPr>
          <w:p w14:paraId="49065A5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Lezhë</w:t>
            </w:r>
          </w:p>
        </w:tc>
        <w:tc>
          <w:tcPr>
            <w:tcW w:w="1437" w:type="pct"/>
            <w:shd w:val="clear" w:color="auto" w:fill="auto"/>
            <w:vAlign w:val="center"/>
            <w:hideMark/>
          </w:tcPr>
          <w:p w14:paraId="13C3C61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Lezhë, Shënkoll, Shengjin, Zejmen, Balldren, Kallmet, Blinisht, Dajç, Ungrej, Kolsh</w:t>
            </w:r>
          </w:p>
        </w:tc>
        <w:tc>
          <w:tcPr>
            <w:tcW w:w="523" w:type="pct"/>
            <w:shd w:val="clear" w:color="auto" w:fill="auto"/>
            <w:vAlign w:val="center"/>
            <w:hideMark/>
          </w:tcPr>
          <w:p w14:paraId="58944DE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4C7E85E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35,000</w:t>
            </w:r>
          </w:p>
        </w:tc>
        <w:tc>
          <w:tcPr>
            <w:tcW w:w="595" w:type="pct"/>
            <w:shd w:val="clear" w:color="auto" w:fill="auto"/>
            <w:noWrap/>
            <w:vAlign w:val="center"/>
            <w:hideMark/>
          </w:tcPr>
          <w:p w14:paraId="2CE455C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95.86</w:t>
            </w:r>
          </w:p>
        </w:tc>
        <w:tc>
          <w:tcPr>
            <w:tcW w:w="562" w:type="pct"/>
            <w:shd w:val="clear" w:color="auto" w:fill="auto"/>
            <w:noWrap/>
            <w:vAlign w:val="center"/>
            <w:hideMark/>
          </w:tcPr>
          <w:p w14:paraId="4EBB58C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95.07</w:t>
            </w:r>
          </w:p>
        </w:tc>
        <w:tc>
          <w:tcPr>
            <w:tcW w:w="658" w:type="pct"/>
            <w:shd w:val="clear" w:color="auto" w:fill="auto"/>
            <w:noWrap/>
            <w:vAlign w:val="center"/>
            <w:hideMark/>
          </w:tcPr>
          <w:p w14:paraId="0448DD6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1,164,238</w:t>
            </w:r>
          </w:p>
        </w:tc>
      </w:tr>
      <w:tr w:rsidR="00B21189" w:rsidRPr="00445472" w14:paraId="3A982CA5" w14:textId="77777777" w:rsidTr="00B21189">
        <w:trPr>
          <w:trHeight w:val="582"/>
        </w:trPr>
        <w:tc>
          <w:tcPr>
            <w:tcW w:w="577" w:type="pct"/>
            <w:shd w:val="clear" w:color="auto" w:fill="auto"/>
            <w:vAlign w:val="center"/>
            <w:hideMark/>
          </w:tcPr>
          <w:p w14:paraId="4FC08F8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Dibër</w:t>
            </w:r>
          </w:p>
        </w:tc>
        <w:tc>
          <w:tcPr>
            <w:tcW w:w="1437" w:type="pct"/>
            <w:shd w:val="clear" w:color="auto" w:fill="auto"/>
            <w:vAlign w:val="center"/>
            <w:hideMark/>
          </w:tcPr>
          <w:p w14:paraId="294F269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Bulqizë, Martanesh, Fushë Bulqizë, Zerqan, Shupenze, Gjorice, Ostren, Trebisht</w:t>
            </w:r>
          </w:p>
        </w:tc>
        <w:tc>
          <w:tcPr>
            <w:tcW w:w="523" w:type="pct"/>
            <w:shd w:val="clear" w:color="auto" w:fill="auto"/>
            <w:vAlign w:val="center"/>
            <w:hideMark/>
          </w:tcPr>
          <w:p w14:paraId="5C88C5C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06172E7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15,895</w:t>
            </w:r>
          </w:p>
        </w:tc>
        <w:tc>
          <w:tcPr>
            <w:tcW w:w="595" w:type="pct"/>
            <w:shd w:val="clear" w:color="auto" w:fill="auto"/>
            <w:noWrap/>
            <w:vAlign w:val="center"/>
            <w:hideMark/>
          </w:tcPr>
          <w:p w14:paraId="425F662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153.55</w:t>
            </w:r>
          </w:p>
        </w:tc>
        <w:tc>
          <w:tcPr>
            <w:tcW w:w="562" w:type="pct"/>
            <w:shd w:val="clear" w:color="auto" w:fill="auto"/>
            <w:noWrap/>
            <w:vAlign w:val="center"/>
            <w:hideMark/>
          </w:tcPr>
          <w:p w14:paraId="60DE997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75.67</w:t>
            </w:r>
          </w:p>
        </w:tc>
        <w:tc>
          <w:tcPr>
            <w:tcW w:w="658" w:type="pct"/>
            <w:shd w:val="clear" w:color="auto" w:fill="auto"/>
            <w:noWrap/>
            <w:vAlign w:val="center"/>
            <w:hideMark/>
          </w:tcPr>
          <w:p w14:paraId="56B360D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674,104</w:t>
            </w:r>
          </w:p>
        </w:tc>
      </w:tr>
      <w:tr w:rsidR="00B21189" w:rsidRPr="00445472" w14:paraId="0ABF7F69" w14:textId="77777777" w:rsidTr="00B21189">
        <w:trPr>
          <w:trHeight w:val="780"/>
        </w:trPr>
        <w:tc>
          <w:tcPr>
            <w:tcW w:w="577" w:type="pct"/>
            <w:shd w:val="clear" w:color="auto" w:fill="auto"/>
            <w:vAlign w:val="center"/>
            <w:hideMark/>
          </w:tcPr>
          <w:p w14:paraId="7AF5836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Elbasan</w:t>
            </w:r>
          </w:p>
        </w:tc>
        <w:tc>
          <w:tcPr>
            <w:tcW w:w="1437" w:type="pct"/>
            <w:shd w:val="clear" w:color="auto" w:fill="auto"/>
            <w:vAlign w:val="center"/>
            <w:hideMark/>
          </w:tcPr>
          <w:p w14:paraId="37BF72A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Librazhd, Qendër Librazhd, Hotolisht, Lunik, Stebleve, Polis, Orenje</w:t>
            </w:r>
          </w:p>
        </w:tc>
        <w:tc>
          <w:tcPr>
            <w:tcW w:w="523" w:type="pct"/>
            <w:shd w:val="clear" w:color="auto" w:fill="auto"/>
            <w:vAlign w:val="center"/>
            <w:hideMark/>
          </w:tcPr>
          <w:p w14:paraId="469ED90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56F878E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19,112</w:t>
            </w:r>
          </w:p>
        </w:tc>
        <w:tc>
          <w:tcPr>
            <w:tcW w:w="595" w:type="pct"/>
            <w:shd w:val="clear" w:color="auto" w:fill="auto"/>
            <w:noWrap/>
            <w:vAlign w:val="center"/>
            <w:hideMark/>
          </w:tcPr>
          <w:p w14:paraId="1543C2F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76.5</w:t>
            </w:r>
          </w:p>
        </w:tc>
        <w:tc>
          <w:tcPr>
            <w:tcW w:w="562" w:type="pct"/>
            <w:shd w:val="clear" w:color="auto" w:fill="auto"/>
            <w:noWrap/>
            <w:vAlign w:val="center"/>
            <w:hideMark/>
          </w:tcPr>
          <w:p w14:paraId="639C21C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96.24</w:t>
            </w:r>
          </w:p>
        </w:tc>
        <w:tc>
          <w:tcPr>
            <w:tcW w:w="658" w:type="pct"/>
            <w:shd w:val="clear" w:color="auto" w:fill="auto"/>
            <w:noWrap/>
            <w:vAlign w:val="center"/>
            <w:hideMark/>
          </w:tcPr>
          <w:p w14:paraId="77C990A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513,589</w:t>
            </w:r>
          </w:p>
        </w:tc>
      </w:tr>
      <w:tr w:rsidR="00B21189" w:rsidRPr="00445472" w14:paraId="6351B51B" w14:textId="77777777" w:rsidTr="00B21189">
        <w:trPr>
          <w:trHeight w:val="780"/>
        </w:trPr>
        <w:tc>
          <w:tcPr>
            <w:tcW w:w="577" w:type="pct"/>
            <w:shd w:val="clear" w:color="auto" w:fill="auto"/>
            <w:vAlign w:val="center"/>
            <w:hideMark/>
          </w:tcPr>
          <w:p w14:paraId="6F8794B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Korçë</w:t>
            </w:r>
          </w:p>
        </w:tc>
        <w:tc>
          <w:tcPr>
            <w:tcW w:w="1437" w:type="pct"/>
            <w:shd w:val="clear" w:color="auto" w:fill="auto"/>
            <w:vAlign w:val="center"/>
            <w:hideMark/>
          </w:tcPr>
          <w:p w14:paraId="3F612BD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Pogradec, Udenisht, Bucimas, Cerrave, Dardhas, Trebinje, Proptisht, Velcan</w:t>
            </w:r>
          </w:p>
        </w:tc>
        <w:tc>
          <w:tcPr>
            <w:tcW w:w="523" w:type="pct"/>
            <w:shd w:val="clear" w:color="auto" w:fill="auto"/>
            <w:vAlign w:val="center"/>
            <w:hideMark/>
          </w:tcPr>
          <w:p w14:paraId="0DDAA3C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17CAD62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59,680</w:t>
            </w:r>
          </w:p>
        </w:tc>
        <w:tc>
          <w:tcPr>
            <w:tcW w:w="595" w:type="pct"/>
            <w:shd w:val="clear" w:color="auto" w:fill="auto"/>
            <w:noWrap/>
            <w:vAlign w:val="center"/>
            <w:hideMark/>
          </w:tcPr>
          <w:p w14:paraId="5B855D9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57.41</w:t>
            </w:r>
          </w:p>
        </w:tc>
        <w:tc>
          <w:tcPr>
            <w:tcW w:w="562" w:type="pct"/>
            <w:shd w:val="clear" w:color="auto" w:fill="auto"/>
            <w:noWrap/>
            <w:vAlign w:val="center"/>
            <w:hideMark/>
          </w:tcPr>
          <w:p w14:paraId="266567F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97.8</w:t>
            </w:r>
          </w:p>
        </w:tc>
        <w:tc>
          <w:tcPr>
            <w:tcW w:w="658" w:type="pct"/>
            <w:shd w:val="clear" w:color="auto" w:fill="auto"/>
            <w:noWrap/>
            <w:vAlign w:val="center"/>
            <w:hideMark/>
          </w:tcPr>
          <w:p w14:paraId="1B533CD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1,223,061</w:t>
            </w:r>
          </w:p>
        </w:tc>
      </w:tr>
      <w:tr w:rsidR="00B21189" w:rsidRPr="00445472" w14:paraId="06075C1B" w14:textId="77777777" w:rsidTr="00B21189">
        <w:trPr>
          <w:trHeight w:val="780"/>
        </w:trPr>
        <w:tc>
          <w:tcPr>
            <w:tcW w:w="577" w:type="pct"/>
            <w:shd w:val="clear" w:color="auto" w:fill="auto"/>
            <w:vAlign w:val="center"/>
            <w:hideMark/>
          </w:tcPr>
          <w:p w14:paraId="509DC51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1437" w:type="pct"/>
            <w:shd w:val="clear" w:color="auto" w:fill="auto"/>
            <w:vAlign w:val="center"/>
            <w:hideMark/>
          </w:tcPr>
          <w:p w14:paraId="4F9E0B7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Malësi e Madhe (Koplik, Gruemire, Kastrat, Kelmend, Qendër, Shkrel)</w:t>
            </w:r>
          </w:p>
        </w:tc>
        <w:tc>
          <w:tcPr>
            <w:tcW w:w="523" w:type="pct"/>
            <w:shd w:val="clear" w:color="auto" w:fill="auto"/>
            <w:vAlign w:val="center"/>
            <w:hideMark/>
          </w:tcPr>
          <w:p w14:paraId="7D2AE2D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714C5F2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81,931</w:t>
            </w:r>
          </w:p>
        </w:tc>
        <w:tc>
          <w:tcPr>
            <w:tcW w:w="595" w:type="pct"/>
            <w:shd w:val="clear" w:color="auto" w:fill="auto"/>
            <w:noWrap/>
            <w:vAlign w:val="center"/>
            <w:hideMark/>
          </w:tcPr>
          <w:p w14:paraId="19EBB63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128.6</w:t>
            </w:r>
          </w:p>
        </w:tc>
        <w:tc>
          <w:tcPr>
            <w:tcW w:w="562" w:type="pct"/>
            <w:shd w:val="clear" w:color="auto" w:fill="auto"/>
            <w:noWrap/>
            <w:vAlign w:val="center"/>
            <w:hideMark/>
          </w:tcPr>
          <w:p w14:paraId="02B9008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91.72</w:t>
            </w:r>
          </w:p>
        </w:tc>
        <w:tc>
          <w:tcPr>
            <w:tcW w:w="658" w:type="pct"/>
            <w:shd w:val="clear" w:color="auto" w:fill="auto"/>
            <w:noWrap/>
            <w:vAlign w:val="center"/>
            <w:hideMark/>
          </w:tcPr>
          <w:p w14:paraId="0E55A0D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3,527,330</w:t>
            </w:r>
          </w:p>
        </w:tc>
      </w:tr>
      <w:tr w:rsidR="00B21189" w:rsidRPr="00445472" w14:paraId="369ADA03" w14:textId="77777777" w:rsidTr="00B21189">
        <w:trPr>
          <w:trHeight w:val="423"/>
        </w:trPr>
        <w:tc>
          <w:tcPr>
            <w:tcW w:w="577" w:type="pct"/>
            <w:shd w:val="clear" w:color="auto" w:fill="auto"/>
            <w:vAlign w:val="center"/>
            <w:hideMark/>
          </w:tcPr>
          <w:p w14:paraId="63652AA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1437" w:type="pct"/>
            <w:shd w:val="clear" w:color="auto" w:fill="auto"/>
            <w:vAlign w:val="center"/>
            <w:hideMark/>
          </w:tcPr>
          <w:p w14:paraId="3B23623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Tropojë, Bajram Curri, Fierzë, Lekbibaj, Margegaj, Llugaj, Bujan, Bytyç,</w:t>
            </w:r>
          </w:p>
        </w:tc>
        <w:tc>
          <w:tcPr>
            <w:tcW w:w="523" w:type="pct"/>
            <w:shd w:val="clear" w:color="auto" w:fill="auto"/>
            <w:vAlign w:val="center"/>
            <w:hideMark/>
          </w:tcPr>
          <w:p w14:paraId="577C1F1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4FC09A6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9,859</w:t>
            </w:r>
          </w:p>
        </w:tc>
        <w:tc>
          <w:tcPr>
            <w:tcW w:w="595" w:type="pct"/>
            <w:shd w:val="clear" w:color="auto" w:fill="auto"/>
            <w:noWrap/>
            <w:vAlign w:val="center"/>
            <w:hideMark/>
          </w:tcPr>
          <w:p w14:paraId="2AF0495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145.91</w:t>
            </w:r>
          </w:p>
        </w:tc>
        <w:tc>
          <w:tcPr>
            <w:tcW w:w="562" w:type="pct"/>
            <w:shd w:val="clear" w:color="auto" w:fill="auto"/>
            <w:noWrap/>
            <w:vAlign w:val="center"/>
            <w:hideMark/>
          </w:tcPr>
          <w:p w14:paraId="5F3A8C5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74.75</w:t>
            </w:r>
          </w:p>
        </w:tc>
        <w:tc>
          <w:tcPr>
            <w:tcW w:w="658" w:type="pct"/>
            <w:shd w:val="clear" w:color="auto" w:fill="auto"/>
            <w:noWrap/>
            <w:vAlign w:val="center"/>
            <w:hideMark/>
          </w:tcPr>
          <w:p w14:paraId="6426912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392,484</w:t>
            </w:r>
          </w:p>
        </w:tc>
      </w:tr>
      <w:tr w:rsidR="00B21189" w:rsidRPr="00445472" w14:paraId="484C6759" w14:textId="77777777" w:rsidTr="00B21189">
        <w:trPr>
          <w:trHeight w:val="543"/>
        </w:trPr>
        <w:tc>
          <w:tcPr>
            <w:tcW w:w="577" w:type="pct"/>
            <w:shd w:val="clear" w:color="auto" w:fill="auto"/>
            <w:vAlign w:val="center"/>
            <w:hideMark/>
          </w:tcPr>
          <w:p w14:paraId="6DAA66F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1437" w:type="pct"/>
            <w:shd w:val="clear" w:color="auto" w:fill="auto"/>
            <w:vAlign w:val="center"/>
            <w:hideMark/>
          </w:tcPr>
          <w:p w14:paraId="3D3C6B8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 Ana e Malit, Berdicë, Dajç, Guri i Zi, Postribe, Pult, Rrethinat, Shalë, Shosh, Velipojë</w:t>
            </w:r>
          </w:p>
        </w:tc>
        <w:tc>
          <w:tcPr>
            <w:tcW w:w="523" w:type="pct"/>
            <w:shd w:val="clear" w:color="auto" w:fill="auto"/>
            <w:vAlign w:val="center"/>
            <w:hideMark/>
          </w:tcPr>
          <w:p w14:paraId="51F58EE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649" w:type="pct"/>
            <w:shd w:val="clear" w:color="auto" w:fill="auto"/>
            <w:vAlign w:val="center"/>
            <w:hideMark/>
          </w:tcPr>
          <w:p w14:paraId="5477251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121,088</w:t>
            </w:r>
          </w:p>
        </w:tc>
        <w:tc>
          <w:tcPr>
            <w:tcW w:w="595" w:type="pct"/>
            <w:shd w:val="clear" w:color="auto" w:fill="auto"/>
            <w:noWrap/>
            <w:vAlign w:val="center"/>
            <w:hideMark/>
          </w:tcPr>
          <w:p w14:paraId="79D74EB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116.09</w:t>
            </w:r>
          </w:p>
        </w:tc>
        <w:tc>
          <w:tcPr>
            <w:tcW w:w="562" w:type="pct"/>
            <w:shd w:val="clear" w:color="auto" w:fill="auto"/>
            <w:noWrap/>
            <w:vAlign w:val="center"/>
            <w:hideMark/>
          </w:tcPr>
          <w:p w14:paraId="53F33DA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73.21</w:t>
            </w:r>
          </w:p>
        </w:tc>
        <w:tc>
          <w:tcPr>
            <w:tcW w:w="658" w:type="pct"/>
            <w:shd w:val="clear" w:color="auto" w:fill="auto"/>
            <w:noWrap/>
            <w:vAlign w:val="center"/>
            <w:hideMark/>
          </w:tcPr>
          <w:p w14:paraId="35924AC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3,756,291</w:t>
            </w:r>
          </w:p>
        </w:tc>
      </w:tr>
    </w:tbl>
    <w:p w14:paraId="3625A91C" w14:textId="77777777" w:rsidR="00B21189" w:rsidRPr="00445472" w:rsidRDefault="00B21189" w:rsidP="00B21189">
      <w:pPr>
        <w:pStyle w:val="NENTITULL"/>
      </w:pPr>
    </w:p>
    <w:p w14:paraId="5DD5609A" w14:textId="0E219105" w:rsidR="00B21189" w:rsidRPr="00445472" w:rsidRDefault="00B21189" w:rsidP="00B21189">
      <w:pPr>
        <w:pStyle w:val="NENTITULL"/>
      </w:pPr>
      <w:r w:rsidRPr="00445472">
        <w:t xml:space="preserve">Tabela A 4. 8: Konsumi shtëpiak i ujit nga burimet e veta në Basenin Ujor </w:t>
      </w:r>
      <w:r w:rsidR="007E76E3" w:rsidRPr="00445472">
        <w:t>Drin–Bunë</w:t>
      </w:r>
      <w:r w:rsidRPr="00445472">
        <w:t xml:space="preserve"> (Konsumi mesatar i ujit në QBU: 96.65 l/c/d)</w:t>
      </w:r>
    </w:p>
    <w:tbl>
      <w:tblPr>
        <w:tblW w:w="9392" w:type="dxa"/>
        <w:tblInd w:w="93"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476"/>
        <w:gridCol w:w="3988"/>
        <w:gridCol w:w="1283"/>
        <w:gridCol w:w="1340"/>
        <w:gridCol w:w="1305"/>
      </w:tblGrid>
      <w:tr w:rsidR="00B21189" w:rsidRPr="00445472" w14:paraId="114C1FB7" w14:textId="77777777" w:rsidTr="002A1F08">
        <w:trPr>
          <w:tblHeader/>
        </w:trPr>
        <w:tc>
          <w:tcPr>
            <w:tcW w:w="1540" w:type="dxa"/>
            <w:vMerge w:val="restart"/>
            <w:shd w:val="clear" w:color="auto" w:fill="auto"/>
            <w:vAlign w:val="center"/>
            <w:hideMark/>
          </w:tcPr>
          <w:p w14:paraId="5DE7CE15"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Qarku</w:t>
            </w:r>
          </w:p>
        </w:tc>
        <w:tc>
          <w:tcPr>
            <w:tcW w:w="4252" w:type="dxa"/>
            <w:vMerge w:val="restart"/>
            <w:shd w:val="clear" w:color="auto" w:fill="auto"/>
            <w:vAlign w:val="center"/>
            <w:hideMark/>
          </w:tcPr>
          <w:p w14:paraId="20D9E92D"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Zona</w:t>
            </w:r>
          </w:p>
        </w:tc>
        <w:tc>
          <w:tcPr>
            <w:tcW w:w="920" w:type="dxa"/>
            <w:shd w:val="clear" w:color="auto" w:fill="auto"/>
            <w:vAlign w:val="center"/>
            <w:hideMark/>
          </w:tcPr>
          <w:p w14:paraId="62D32C40" w14:textId="532C7BDA"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Urban</w:t>
            </w:r>
            <w:r w:rsidR="001D340B" w:rsidRPr="00445472">
              <w:rPr>
                <w:rFonts w:ascii="Garamond" w:eastAsia="MS Mincho" w:hAnsi="Garamond" w:cs="Arial"/>
                <w:b/>
                <w:sz w:val="18"/>
                <w:szCs w:val="18"/>
                <w:lang w:eastAsia="en-GB"/>
              </w:rPr>
              <w:t>/</w:t>
            </w:r>
            <w:r w:rsidRPr="00445472">
              <w:rPr>
                <w:rFonts w:ascii="Garamond" w:eastAsia="MS Mincho" w:hAnsi="Garamond" w:cs="Arial"/>
                <w:b/>
                <w:sz w:val="18"/>
                <w:szCs w:val="18"/>
                <w:lang w:eastAsia="en-GB"/>
              </w:rPr>
              <w:t>Rural</w:t>
            </w:r>
          </w:p>
        </w:tc>
        <w:tc>
          <w:tcPr>
            <w:tcW w:w="1340" w:type="dxa"/>
            <w:shd w:val="clear" w:color="auto" w:fill="auto"/>
            <w:vAlign w:val="center"/>
            <w:hideMark/>
          </w:tcPr>
          <w:p w14:paraId="5A558956"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 xml:space="preserve">Popullsia Ujë </w:t>
            </w:r>
          </w:p>
        </w:tc>
        <w:tc>
          <w:tcPr>
            <w:tcW w:w="1340" w:type="dxa"/>
            <w:vAlign w:val="center"/>
          </w:tcPr>
          <w:p w14:paraId="1E828C46" w14:textId="77777777" w:rsidR="00B21189" w:rsidRPr="00445472" w:rsidRDefault="00B21189" w:rsidP="002A1F08">
            <w:pPr>
              <w:spacing w:before="22" w:after="22"/>
              <w:ind w:right="63"/>
              <w:jc w:val="center"/>
              <w:rPr>
                <w:rFonts w:ascii="Garamond" w:eastAsia="MS Mincho" w:hAnsi="Garamond" w:cs="Arial"/>
                <w:b/>
                <w:sz w:val="18"/>
                <w:szCs w:val="18"/>
                <w:lang w:eastAsia="en-GB"/>
              </w:rPr>
            </w:pPr>
            <w:r w:rsidRPr="00445472">
              <w:rPr>
                <w:rFonts w:ascii="Garamond" w:eastAsia="MS Mincho" w:hAnsi="Garamond" w:cs="Arial"/>
                <w:b/>
                <w:sz w:val="18"/>
                <w:szCs w:val="18"/>
                <w:lang w:eastAsia="en-GB"/>
              </w:rPr>
              <w:t>Konsumi i ujit për vetë shërbim</w:t>
            </w:r>
          </w:p>
        </w:tc>
      </w:tr>
      <w:tr w:rsidR="00B21189" w:rsidRPr="00445472" w14:paraId="689D31AB" w14:textId="77777777" w:rsidTr="002A1F08">
        <w:trPr>
          <w:tblHeader/>
        </w:trPr>
        <w:tc>
          <w:tcPr>
            <w:tcW w:w="1540" w:type="dxa"/>
            <w:vMerge/>
            <w:shd w:val="clear" w:color="auto" w:fill="auto"/>
            <w:vAlign w:val="center"/>
            <w:hideMark/>
          </w:tcPr>
          <w:p w14:paraId="3069717E"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4252" w:type="dxa"/>
            <w:vMerge/>
            <w:shd w:val="clear" w:color="auto" w:fill="auto"/>
            <w:vAlign w:val="center"/>
            <w:hideMark/>
          </w:tcPr>
          <w:p w14:paraId="5833C996"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920" w:type="dxa"/>
            <w:shd w:val="clear" w:color="auto" w:fill="auto"/>
            <w:vAlign w:val="center"/>
            <w:hideMark/>
          </w:tcPr>
          <w:p w14:paraId="55C95F06" w14:textId="27530075"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r w:rsidR="001D340B" w:rsidRPr="00445472">
              <w:rPr>
                <w:rFonts w:ascii="Garamond" w:eastAsia="MS Mincho" w:hAnsi="Garamond" w:cs="Arial"/>
                <w:sz w:val="18"/>
                <w:szCs w:val="18"/>
                <w:lang w:eastAsia="en-GB"/>
              </w:rPr>
              <w:t>/</w:t>
            </w:r>
            <w:r w:rsidRPr="00445472">
              <w:rPr>
                <w:rFonts w:ascii="Garamond" w:eastAsia="MS Mincho" w:hAnsi="Garamond" w:cs="Arial"/>
                <w:sz w:val="18"/>
                <w:szCs w:val="18"/>
                <w:lang w:eastAsia="en-GB"/>
              </w:rPr>
              <w:t>r</w:t>
            </w:r>
          </w:p>
        </w:tc>
        <w:tc>
          <w:tcPr>
            <w:tcW w:w="1340" w:type="dxa"/>
            <w:shd w:val="clear" w:color="auto" w:fill="auto"/>
            <w:vAlign w:val="center"/>
            <w:hideMark/>
          </w:tcPr>
          <w:p w14:paraId="294F59B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Nr. i banorëve</w:t>
            </w:r>
          </w:p>
        </w:tc>
        <w:tc>
          <w:tcPr>
            <w:tcW w:w="1340" w:type="dxa"/>
            <w:vAlign w:val="center"/>
          </w:tcPr>
          <w:p w14:paraId="6431E14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cm/vit</w:t>
            </w:r>
          </w:p>
        </w:tc>
      </w:tr>
      <w:tr w:rsidR="00B21189" w:rsidRPr="00445472" w14:paraId="7C00299B" w14:textId="77777777" w:rsidTr="002A1F08">
        <w:tc>
          <w:tcPr>
            <w:tcW w:w="1540" w:type="dxa"/>
            <w:vMerge w:val="restart"/>
            <w:shd w:val="clear" w:color="auto" w:fill="auto"/>
            <w:vAlign w:val="center"/>
            <w:hideMark/>
          </w:tcPr>
          <w:p w14:paraId="7187602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4252" w:type="dxa"/>
            <w:vMerge w:val="restart"/>
            <w:shd w:val="clear" w:color="auto" w:fill="auto"/>
            <w:vAlign w:val="center"/>
            <w:hideMark/>
          </w:tcPr>
          <w:p w14:paraId="717FF19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Pukë, Gjegjan, Rrapë, Qelez, Qerret</w:t>
            </w:r>
          </w:p>
        </w:tc>
        <w:tc>
          <w:tcPr>
            <w:tcW w:w="920" w:type="dxa"/>
            <w:shd w:val="clear" w:color="auto" w:fill="auto"/>
            <w:vAlign w:val="center"/>
            <w:hideMark/>
          </w:tcPr>
          <w:p w14:paraId="5463DD6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w:t>
            </w:r>
          </w:p>
        </w:tc>
        <w:tc>
          <w:tcPr>
            <w:tcW w:w="1340" w:type="dxa"/>
            <w:shd w:val="clear" w:color="auto" w:fill="auto"/>
            <w:noWrap/>
            <w:vAlign w:val="center"/>
            <w:hideMark/>
          </w:tcPr>
          <w:p w14:paraId="1632D25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2,449</w:t>
            </w:r>
          </w:p>
        </w:tc>
        <w:tc>
          <w:tcPr>
            <w:tcW w:w="1340" w:type="dxa"/>
            <w:vAlign w:val="center"/>
          </w:tcPr>
          <w:p w14:paraId="36BC972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86,396</w:t>
            </w:r>
          </w:p>
        </w:tc>
      </w:tr>
      <w:tr w:rsidR="00B21189" w:rsidRPr="00445472" w14:paraId="1BCC3042" w14:textId="77777777" w:rsidTr="002A1F08">
        <w:tc>
          <w:tcPr>
            <w:tcW w:w="1540" w:type="dxa"/>
            <w:vMerge/>
            <w:vAlign w:val="center"/>
            <w:hideMark/>
          </w:tcPr>
          <w:p w14:paraId="2D49091C"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4252" w:type="dxa"/>
            <w:vMerge/>
            <w:vAlign w:val="center"/>
            <w:hideMark/>
          </w:tcPr>
          <w:p w14:paraId="65EF3CEE" w14:textId="77777777" w:rsidR="00B21189" w:rsidRPr="00445472" w:rsidRDefault="00B21189" w:rsidP="002A1F08">
            <w:pPr>
              <w:spacing w:before="22" w:after="22"/>
              <w:ind w:right="63"/>
              <w:jc w:val="center"/>
              <w:rPr>
                <w:rFonts w:ascii="Garamond" w:eastAsia="MS Mincho" w:hAnsi="Garamond" w:cs="Arial"/>
                <w:sz w:val="18"/>
                <w:szCs w:val="18"/>
                <w:lang w:eastAsia="en-GB"/>
              </w:rPr>
            </w:pPr>
          </w:p>
        </w:tc>
        <w:tc>
          <w:tcPr>
            <w:tcW w:w="920" w:type="dxa"/>
            <w:shd w:val="clear" w:color="auto" w:fill="auto"/>
            <w:vAlign w:val="center"/>
            <w:hideMark/>
          </w:tcPr>
          <w:p w14:paraId="2601546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R</w:t>
            </w:r>
          </w:p>
        </w:tc>
        <w:tc>
          <w:tcPr>
            <w:tcW w:w="1340" w:type="dxa"/>
            <w:shd w:val="clear" w:color="auto" w:fill="auto"/>
            <w:noWrap/>
            <w:vAlign w:val="center"/>
            <w:hideMark/>
          </w:tcPr>
          <w:p w14:paraId="1C10848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9,650</w:t>
            </w:r>
          </w:p>
        </w:tc>
        <w:tc>
          <w:tcPr>
            <w:tcW w:w="1340" w:type="dxa"/>
            <w:vAlign w:val="center"/>
          </w:tcPr>
          <w:p w14:paraId="40B9325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340,437</w:t>
            </w:r>
          </w:p>
        </w:tc>
      </w:tr>
      <w:tr w:rsidR="00B21189" w:rsidRPr="00445472" w14:paraId="0ABB105F" w14:textId="77777777" w:rsidTr="002A1F08">
        <w:tc>
          <w:tcPr>
            <w:tcW w:w="1540" w:type="dxa"/>
            <w:shd w:val="clear" w:color="auto" w:fill="auto"/>
            <w:vAlign w:val="center"/>
            <w:hideMark/>
          </w:tcPr>
          <w:p w14:paraId="03641DD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4252" w:type="dxa"/>
            <w:shd w:val="clear" w:color="auto" w:fill="auto"/>
            <w:vAlign w:val="center"/>
            <w:hideMark/>
          </w:tcPr>
          <w:p w14:paraId="32DA3825" w14:textId="596F76B5" w:rsidR="00B21189" w:rsidRPr="00445472" w:rsidRDefault="00852D7A" w:rsidP="00E14B89">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Fushë-Arrëz </w:t>
            </w:r>
            <w:r w:rsidR="00E14B89">
              <w:rPr>
                <w:rFonts w:ascii="Garamond" w:eastAsia="MS Mincho" w:hAnsi="Garamond" w:cs="Arial"/>
                <w:sz w:val="18"/>
                <w:szCs w:val="18"/>
                <w:lang w:eastAsia="en-GB"/>
              </w:rPr>
              <w:t>, Fierze, Blerim, Qafëm</w:t>
            </w:r>
            <w:r w:rsidR="00B21189" w:rsidRPr="00445472">
              <w:rPr>
                <w:rFonts w:ascii="Garamond" w:eastAsia="MS Mincho" w:hAnsi="Garamond" w:cs="Arial"/>
                <w:sz w:val="18"/>
                <w:szCs w:val="18"/>
                <w:lang w:eastAsia="en-GB"/>
              </w:rPr>
              <w:t>ali, Iballe</w:t>
            </w:r>
          </w:p>
        </w:tc>
        <w:tc>
          <w:tcPr>
            <w:tcW w:w="920" w:type="dxa"/>
            <w:shd w:val="clear" w:color="auto" w:fill="auto"/>
            <w:vAlign w:val="center"/>
            <w:hideMark/>
          </w:tcPr>
          <w:p w14:paraId="78A8B84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7BB1AD7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2,932</w:t>
            </w:r>
          </w:p>
        </w:tc>
        <w:tc>
          <w:tcPr>
            <w:tcW w:w="1340" w:type="dxa"/>
            <w:vAlign w:val="center"/>
          </w:tcPr>
          <w:p w14:paraId="6A599BC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103,426</w:t>
            </w:r>
          </w:p>
        </w:tc>
      </w:tr>
      <w:tr w:rsidR="00B21189" w:rsidRPr="00445472" w14:paraId="4C9B6A0F" w14:textId="77777777" w:rsidTr="002A1F08">
        <w:tc>
          <w:tcPr>
            <w:tcW w:w="1540" w:type="dxa"/>
            <w:shd w:val="clear" w:color="auto" w:fill="auto"/>
            <w:vAlign w:val="center"/>
            <w:hideMark/>
          </w:tcPr>
          <w:p w14:paraId="456FBA8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4252" w:type="dxa"/>
            <w:shd w:val="clear" w:color="auto" w:fill="auto"/>
            <w:vAlign w:val="center"/>
            <w:hideMark/>
          </w:tcPr>
          <w:p w14:paraId="6A53480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Has, Krumë, Fajza, Gjinaj, Golaj</w:t>
            </w:r>
          </w:p>
        </w:tc>
        <w:tc>
          <w:tcPr>
            <w:tcW w:w="920" w:type="dxa"/>
            <w:shd w:val="clear" w:color="auto" w:fill="auto"/>
            <w:vAlign w:val="center"/>
            <w:hideMark/>
          </w:tcPr>
          <w:p w14:paraId="17FEE18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281DC4B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5,125</w:t>
            </w:r>
          </w:p>
        </w:tc>
        <w:tc>
          <w:tcPr>
            <w:tcW w:w="1340" w:type="dxa"/>
            <w:vAlign w:val="center"/>
          </w:tcPr>
          <w:p w14:paraId="19116D5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180,784</w:t>
            </w:r>
          </w:p>
        </w:tc>
      </w:tr>
      <w:tr w:rsidR="00B21189" w:rsidRPr="00445472" w14:paraId="47D707E9" w14:textId="77777777" w:rsidTr="002A1F08">
        <w:tc>
          <w:tcPr>
            <w:tcW w:w="1540" w:type="dxa"/>
            <w:shd w:val="clear" w:color="auto" w:fill="auto"/>
            <w:vAlign w:val="center"/>
            <w:hideMark/>
          </w:tcPr>
          <w:p w14:paraId="01408CA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Shkoder</w:t>
            </w:r>
          </w:p>
        </w:tc>
        <w:tc>
          <w:tcPr>
            <w:tcW w:w="4252" w:type="dxa"/>
            <w:shd w:val="clear" w:color="auto" w:fill="auto"/>
            <w:vAlign w:val="center"/>
            <w:hideMark/>
          </w:tcPr>
          <w:p w14:paraId="2461B0C6" w14:textId="709654C5" w:rsidR="00B21189" w:rsidRPr="00445472" w:rsidRDefault="00D67757"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 xml:space="preserve">Vau i Dejës </w:t>
            </w:r>
            <w:r w:rsidR="00B21189" w:rsidRPr="00445472">
              <w:rPr>
                <w:rFonts w:ascii="Garamond" w:eastAsia="MS Mincho" w:hAnsi="Garamond" w:cs="Arial"/>
                <w:sz w:val="18"/>
                <w:szCs w:val="18"/>
                <w:lang w:eastAsia="en-GB"/>
              </w:rPr>
              <w:t>, Bushat, Vig Mnelë, Hajmel, Temal, Shllak</w:t>
            </w:r>
          </w:p>
        </w:tc>
        <w:tc>
          <w:tcPr>
            <w:tcW w:w="920" w:type="dxa"/>
            <w:shd w:val="clear" w:color="auto" w:fill="auto"/>
            <w:vAlign w:val="center"/>
            <w:hideMark/>
          </w:tcPr>
          <w:p w14:paraId="52C7734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489F0802"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6,894</w:t>
            </w:r>
          </w:p>
        </w:tc>
        <w:tc>
          <w:tcPr>
            <w:tcW w:w="1340" w:type="dxa"/>
            <w:vAlign w:val="center"/>
          </w:tcPr>
          <w:p w14:paraId="18030B5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243,188</w:t>
            </w:r>
          </w:p>
        </w:tc>
      </w:tr>
      <w:tr w:rsidR="00B21189" w:rsidRPr="00445472" w14:paraId="298D129C" w14:textId="77777777" w:rsidTr="002A1F08">
        <w:tc>
          <w:tcPr>
            <w:tcW w:w="1540" w:type="dxa"/>
            <w:shd w:val="clear" w:color="auto" w:fill="auto"/>
            <w:vAlign w:val="center"/>
            <w:hideMark/>
          </w:tcPr>
          <w:p w14:paraId="1F57406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4252" w:type="dxa"/>
            <w:shd w:val="clear" w:color="auto" w:fill="auto"/>
            <w:vAlign w:val="center"/>
            <w:hideMark/>
          </w:tcPr>
          <w:p w14:paraId="714F53B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 Malzi, Bicaj, Ujmisht, Tërthore, Shtiqen, Zapod, Shishtavec, Topojan, Bushtricë, Grykë Caje, Kalis, Surroj, Arren, Kolsh</w:t>
            </w:r>
          </w:p>
        </w:tc>
        <w:tc>
          <w:tcPr>
            <w:tcW w:w="920" w:type="dxa"/>
            <w:shd w:val="clear" w:color="auto" w:fill="auto"/>
            <w:vAlign w:val="center"/>
            <w:hideMark/>
          </w:tcPr>
          <w:p w14:paraId="0B4B5D37"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6543B04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0</w:t>
            </w:r>
          </w:p>
        </w:tc>
        <w:tc>
          <w:tcPr>
            <w:tcW w:w="1340" w:type="dxa"/>
            <w:vAlign w:val="center"/>
          </w:tcPr>
          <w:p w14:paraId="70CDFDC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0</w:t>
            </w:r>
          </w:p>
        </w:tc>
      </w:tr>
      <w:tr w:rsidR="00B21189" w:rsidRPr="00445472" w14:paraId="17AEEE69" w14:textId="77777777" w:rsidTr="002A1F08">
        <w:tc>
          <w:tcPr>
            <w:tcW w:w="1540" w:type="dxa"/>
            <w:shd w:val="clear" w:color="auto" w:fill="auto"/>
            <w:vAlign w:val="center"/>
            <w:hideMark/>
          </w:tcPr>
          <w:p w14:paraId="240FAC6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Dibër</w:t>
            </w:r>
          </w:p>
        </w:tc>
        <w:tc>
          <w:tcPr>
            <w:tcW w:w="4252" w:type="dxa"/>
            <w:shd w:val="clear" w:color="auto" w:fill="auto"/>
            <w:vAlign w:val="center"/>
            <w:hideMark/>
          </w:tcPr>
          <w:p w14:paraId="085510E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Peshkopi/Dibër, Tomin, Melan, Kastriot, Lure, Maqellare, Muhurr, Luzni, Selishtë, Sllovë, Kala e Dodës, Zall Dardhë, Zall Reç, Fushë Cidhen, Arras</w:t>
            </w:r>
          </w:p>
        </w:tc>
        <w:tc>
          <w:tcPr>
            <w:tcW w:w="920" w:type="dxa"/>
            <w:shd w:val="clear" w:color="auto" w:fill="auto"/>
            <w:vAlign w:val="center"/>
            <w:hideMark/>
          </w:tcPr>
          <w:p w14:paraId="42765DF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51FE88D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0</w:t>
            </w:r>
          </w:p>
        </w:tc>
        <w:tc>
          <w:tcPr>
            <w:tcW w:w="1340" w:type="dxa"/>
            <w:vAlign w:val="center"/>
          </w:tcPr>
          <w:p w14:paraId="2CD58DD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0</w:t>
            </w:r>
          </w:p>
        </w:tc>
      </w:tr>
      <w:tr w:rsidR="00B21189" w:rsidRPr="00445472" w14:paraId="59BE44E2" w14:textId="77777777" w:rsidTr="002A1F08">
        <w:tc>
          <w:tcPr>
            <w:tcW w:w="1540" w:type="dxa"/>
            <w:shd w:val="clear" w:color="auto" w:fill="auto"/>
            <w:vAlign w:val="center"/>
            <w:hideMark/>
          </w:tcPr>
          <w:p w14:paraId="2CFCF74E"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Lezhë</w:t>
            </w:r>
          </w:p>
        </w:tc>
        <w:tc>
          <w:tcPr>
            <w:tcW w:w="4252" w:type="dxa"/>
            <w:shd w:val="clear" w:color="auto" w:fill="auto"/>
            <w:vAlign w:val="center"/>
            <w:hideMark/>
          </w:tcPr>
          <w:p w14:paraId="7FA837E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Lezhë, Shënkoll, Shengjin, Zejmen, Balldren, Kallmet, Blinisht, Dajë, Ungrej, Kolsh</w:t>
            </w:r>
          </w:p>
        </w:tc>
        <w:tc>
          <w:tcPr>
            <w:tcW w:w="920" w:type="dxa"/>
            <w:shd w:val="clear" w:color="auto" w:fill="auto"/>
            <w:vAlign w:val="center"/>
            <w:hideMark/>
          </w:tcPr>
          <w:p w14:paraId="7375D7E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0AE8DFA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1,726</w:t>
            </w:r>
          </w:p>
        </w:tc>
        <w:tc>
          <w:tcPr>
            <w:tcW w:w="1340" w:type="dxa"/>
            <w:vAlign w:val="center"/>
          </w:tcPr>
          <w:p w14:paraId="22D8298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60,870</w:t>
            </w:r>
          </w:p>
        </w:tc>
      </w:tr>
      <w:tr w:rsidR="00B21189" w:rsidRPr="00445472" w14:paraId="7F93CA12" w14:textId="77777777" w:rsidTr="002A1F08">
        <w:tc>
          <w:tcPr>
            <w:tcW w:w="1540" w:type="dxa"/>
            <w:shd w:val="clear" w:color="auto" w:fill="auto"/>
            <w:vAlign w:val="center"/>
            <w:hideMark/>
          </w:tcPr>
          <w:p w14:paraId="7365835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Dibër</w:t>
            </w:r>
          </w:p>
        </w:tc>
        <w:tc>
          <w:tcPr>
            <w:tcW w:w="4252" w:type="dxa"/>
            <w:shd w:val="clear" w:color="auto" w:fill="auto"/>
            <w:vAlign w:val="center"/>
            <w:hideMark/>
          </w:tcPr>
          <w:p w14:paraId="186BA5E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Bulqizë, Martanesh, Fushë Bulqizë, Zerqan, Shupenzë, Gjoricë, Ostren, Trebisht</w:t>
            </w:r>
          </w:p>
        </w:tc>
        <w:tc>
          <w:tcPr>
            <w:tcW w:w="920" w:type="dxa"/>
            <w:shd w:val="clear" w:color="auto" w:fill="auto"/>
            <w:vAlign w:val="center"/>
            <w:hideMark/>
          </w:tcPr>
          <w:p w14:paraId="74C74821"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1C271E5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3,867</w:t>
            </w:r>
          </w:p>
        </w:tc>
        <w:tc>
          <w:tcPr>
            <w:tcW w:w="1340" w:type="dxa"/>
            <w:vAlign w:val="center"/>
          </w:tcPr>
          <w:p w14:paraId="23C2B483"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136,425</w:t>
            </w:r>
          </w:p>
        </w:tc>
      </w:tr>
      <w:tr w:rsidR="00B21189" w:rsidRPr="00445472" w14:paraId="037D0536" w14:textId="77777777" w:rsidTr="002A1F08">
        <w:tc>
          <w:tcPr>
            <w:tcW w:w="1540" w:type="dxa"/>
            <w:shd w:val="clear" w:color="auto" w:fill="auto"/>
            <w:vAlign w:val="center"/>
            <w:hideMark/>
          </w:tcPr>
          <w:p w14:paraId="63BC157D"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Korçë</w:t>
            </w:r>
          </w:p>
        </w:tc>
        <w:tc>
          <w:tcPr>
            <w:tcW w:w="4252" w:type="dxa"/>
            <w:shd w:val="clear" w:color="auto" w:fill="auto"/>
            <w:vAlign w:val="center"/>
            <w:hideMark/>
          </w:tcPr>
          <w:p w14:paraId="41914D7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Pogradec, Udenisht, Buçimas, Cerrave, Dardhas, Trebinje, Proptisht, Velçan</w:t>
            </w:r>
          </w:p>
        </w:tc>
        <w:tc>
          <w:tcPr>
            <w:tcW w:w="920" w:type="dxa"/>
            <w:shd w:val="clear" w:color="auto" w:fill="auto"/>
            <w:vAlign w:val="center"/>
            <w:hideMark/>
          </w:tcPr>
          <w:p w14:paraId="7E561ED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48E99F3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1,313</w:t>
            </w:r>
          </w:p>
        </w:tc>
        <w:tc>
          <w:tcPr>
            <w:tcW w:w="1340" w:type="dxa"/>
            <w:vAlign w:val="center"/>
          </w:tcPr>
          <w:p w14:paraId="458E69C8"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46,317</w:t>
            </w:r>
          </w:p>
        </w:tc>
      </w:tr>
      <w:tr w:rsidR="00B21189" w:rsidRPr="00445472" w14:paraId="50EEBFEA" w14:textId="77777777" w:rsidTr="002A1F08">
        <w:tc>
          <w:tcPr>
            <w:tcW w:w="1540" w:type="dxa"/>
            <w:shd w:val="clear" w:color="auto" w:fill="auto"/>
            <w:vAlign w:val="center"/>
            <w:hideMark/>
          </w:tcPr>
          <w:p w14:paraId="6E3D9D2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4252" w:type="dxa"/>
            <w:shd w:val="clear" w:color="auto" w:fill="auto"/>
            <w:vAlign w:val="center"/>
            <w:hideMark/>
          </w:tcPr>
          <w:p w14:paraId="4CC2549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Malesi e Madhe (Koplik, Gruemirë, Kastrat, Kelmend, Qendër, Shkrel)</w:t>
            </w:r>
          </w:p>
        </w:tc>
        <w:tc>
          <w:tcPr>
            <w:tcW w:w="920" w:type="dxa"/>
            <w:shd w:val="clear" w:color="auto" w:fill="auto"/>
            <w:vAlign w:val="center"/>
            <w:hideMark/>
          </w:tcPr>
          <w:p w14:paraId="56339E3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15486AE9"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6,784</w:t>
            </w:r>
          </w:p>
        </w:tc>
        <w:tc>
          <w:tcPr>
            <w:tcW w:w="1340" w:type="dxa"/>
            <w:vAlign w:val="center"/>
          </w:tcPr>
          <w:p w14:paraId="163A2D7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239,315</w:t>
            </w:r>
          </w:p>
        </w:tc>
      </w:tr>
      <w:tr w:rsidR="00B21189" w:rsidRPr="00445472" w14:paraId="5A9D3DAA" w14:textId="77777777" w:rsidTr="002A1F08">
        <w:tc>
          <w:tcPr>
            <w:tcW w:w="1540" w:type="dxa"/>
            <w:shd w:val="clear" w:color="auto" w:fill="auto"/>
            <w:vAlign w:val="center"/>
            <w:hideMark/>
          </w:tcPr>
          <w:p w14:paraId="724548C0"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Kukës</w:t>
            </w:r>
          </w:p>
        </w:tc>
        <w:tc>
          <w:tcPr>
            <w:tcW w:w="4252" w:type="dxa"/>
            <w:shd w:val="clear" w:color="auto" w:fill="auto"/>
            <w:vAlign w:val="center"/>
            <w:hideMark/>
          </w:tcPr>
          <w:p w14:paraId="6704D84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Tropojë, Bajram Curri, Fierzë, Lekbibaj, Margegaj, Llugaj, Bujan, Bytyc,</w:t>
            </w:r>
          </w:p>
        </w:tc>
        <w:tc>
          <w:tcPr>
            <w:tcW w:w="920" w:type="dxa"/>
            <w:shd w:val="clear" w:color="auto" w:fill="auto"/>
            <w:vAlign w:val="center"/>
            <w:hideMark/>
          </w:tcPr>
          <w:p w14:paraId="3FEAC0D6"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2BF4BACB"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2,489</w:t>
            </w:r>
          </w:p>
        </w:tc>
        <w:tc>
          <w:tcPr>
            <w:tcW w:w="1340" w:type="dxa"/>
            <w:vAlign w:val="center"/>
          </w:tcPr>
          <w:p w14:paraId="66AECA8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87,818</w:t>
            </w:r>
          </w:p>
        </w:tc>
      </w:tr>
      <w:tr w:rsidR="00B21189" w:rsidRPr="00445472" w14:paraId="756E07FA" w14:textId="77777777" w:rsidTr="002A1F08">
        <w:tc>
          <w:tcPr>
            <w:tcW w:w="1540" w:type="dxa"/>
            <w:shd w:val="clear" w:color="auto" w:fill="auto"/>
            <w:vAlign w:val="center"/>
            <w:hideMark/>
          </w:tcPr>
          <w:p w14:paraId="5D5396AC"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w:t>
            </w:r>
          </w:p>
        </w:tc>
        <w:tc>
          <w:tcPr>
            <w:tcW w:w="4252" w:type="dxa"/>
            <w:shd w:val="clear" w:color="auto" w:fill="auto"/>
            <w:vAlign w:val="center"/>
            <w:hideMark/>
          </w:tcPr>
          <w:p w14:paraId="6AC81E3F"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Shkodër, Ana e Malit, Bërdice, Dajç, Guri i Zi, Postribe, Pult, Rrethinat, Shalë, Shosh, Velipojë</w:t>
            </w:r>
          </w:p>
        </w:tc>
        <w:tc>
          <w:tcPr>
            <w:tcW w:w="920" w:type="dxa"/>
            <w:shd w:val="clear" w:color="auto" w:fill="auto"/>
            <w:vAlign w:val="center"/>
            <w:hideMark/>
          </w:tcPr>
          <w:p w14:paraId="1A3D47F5"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U/R</w:t>
            </w:r>
          </w:p>
        </w:tc>
        <w:tc>
          <w:tcPr>
            <w:tcW w:w="1340" w:type="dxa"/>
            <w:shd w:val="clear" w:color="auto" w:fill="auto"/>
            <w:noWrap/>
            <w:vAlign w:val="center"/>
            <w:hideMark/>
          </w:tcPr>
          <w:p w14:paraId="3BFE393A"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32,439</w:t>
            </w:r>
          </w:p>
        </w:tc>
        <w:tc>
          <w:tcPr>
            <w:tcW w:w="1340" w:type="dxa"/>
            <w:vAlign w:val="center"/>
          </w:tcPr>
          <w:p w14:paraId="22E63AE4" w14:textId="77777777" w:rsidR="00B21189" w:rsidRPr="00445472" w:rsidRDefault="00B21189" w:rsidP="002A1F08">
            <w:pPr>
              <w:spacing w:before="22" w:after="22"/>
              <w:ind w:right="63"/>
              <w:jc w:val="center"/>
              <w:rPr>
                <w:rFonts w:ascii="Garamond" w:eastAsia="MS Mincho" w:hAnsi="Garamond" w:cs="Arial"/>
                <w:sz w:val="18"/>
                <w:szCs w:val="18"/>
                <w:lang w:eastAsia="en-GB"/>
              </w:rPr>
            </w:pPr>
            <w:r w:rsidRPr="00445472">
              <w:rPr>
                <w:rFonts w:ascii="Garamond" w:eastAsia="MS Mincho" w:hAnsi="Garamond" w:cs="Arial"/>
                <w:sz w:val="18"/>
                <w:szCs w:val="18"/>
                <w:lang w:eastAsia="en-GB"/>
              </w:rPr>
              <w:t>1,144,366</w:t>
            </w:r>
          </w:p>
        </w:tc>
      </w:tr>
    </w:tbl>
    <w:p w14:paraId="363142D0" w14:textId="77777777" w:rsidR="00B21189" w:rsidRPr="00445472" w:rsidRDefault="00B21189" w:rsidP="00B21189">
      <w:pPr>
        <w:pStyle w:val="NENTITULL"/>
      </w:pPr>
    </w:p>
    <w:p w14:paraId="19350925" w14:textId="7D9FCCFA" w:rsidR="00B21189" w:rsidRPr="00445472" w:rsidRDefault="00B21189" w:rsidP="00B21189">
      <w:pPr>
        <w:pStyle w:val="NENTITULL"/>
      </w:pPr>
      <w:r w:rsidRPr="00445472">
        <w:t xml:space="preserve">Tabela A 4. 9: Vlera e ujit për përdorim shtëpiak në Basenin Ujor </w:t>
      </w:r>
      <w:r w:rsidR="007E76E3" w:rsidRPr="00445472">
        <w:t>Drin–Bunë</w:t>
      </w:r>
    </w:p>
    <w:tbl>
      <w:tblPr>
        <w:tblW w:w="9483" w:type="dxa"/>
        <w:tblInd w:w="93"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169"/>
        <w:gridCol w:w="2180"/>
        <w:gridCol w:w="1171"/>
        <w:gridCol w:w="1244"/>
        <w:gridCol w:w="1050"/>
        <w:gridCol w:w="1340"/>
        <w:gridCol w:w="1329"/>
      </w:tblGrid>
      <w:tr w:rsidR="00B21189" w:rsidRPr="00445472" w14:paraId="10CA7A95" w14:textId="77777777" w:rsidTr="002A1F08">
        <w:trPr>
          <w:trHeight w:val="780"/>
          <w:tblHeader/>
        </w:trPr>
        <w:tc>
          <w:tcPr>
            <w:tcW w:w="1259" w:type="dxa"/>
            <w:vMerge w:val="restart"/>
            <w:shd w:val="clear" w:color="auto" w:fill="auto"/>
            <w:vAlign w:val="center"/>
            <w:hideMark/>
          </w:tcPr>
          <w:p w14:paraId="22AC85B8"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Qarku</w:t>
            </w:r>
          </w:p>
        </w:tc>
        <w:tc>
          <w:tcPr>
            <w:tcW w:w="2384" w:type="dxa"/>
            <w:vMerge w:val="restart"/>
            <w:shd w:val="clear" w:color="auto" w:fill="auto"/>
            <w:vAlign w:val="center"/>
            <w:hideMark/>
          </w:tcPr>
          <w:p w14:paraId="4F929CF0"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Zona</w:t>
            </w:r>
          </w:p>
        </w:tc>
        <w:tc>
          <w:tcPr>
            <w:tcW w:w="793" w:type="dxa"/>
            <w:shd w:val="clear" w:color="auto" w:fill="auto"/>
            <w:vAlign w:val="center"/>
            <w:hideMark/>
          </w:tcPr>
          <w:p w14:paraId="469B8CC3" w14:textId="52319593"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Urban</w:t>
            </w:r>
            <w:r w:rsidR="001D340B" w:rsidRPr="00445472">
              <w:rPr>
                <w:rFonts w:ascii="Garamond" w:eastAsia="MS Mincho" w:hAnsi="Garamond" w:cs="Arial"/>
                <w:b/>
                <w:sz w:val="16"/>
                <w:szCs w:val="16"/>
                <w:lang w:eastAsia="en-GB"/>
              </w:rPr>
              <w:t>/</w:t>
            </w:r>
            <w:r w:rsidRPr="00445472">
              <w:rPr>
                <w:rFonts w:ascii="Garamond" w:eastAsia="MS Mincho" w:hAnsi="Garamond" w:cs="Arial"/>
                <w:b/>
                <w:sz w:val="16"/>
                <w:szCs w:val="16"/>
                <w:lang w:eastAsia="en-GB"/>
              </w:rPr>
              <w:t>Rural</w:t>
            </w:r>
          </w:p>
        </w:tc>
        <w:tc>
          <w:tcPr>
            <w:tcW w:w="1328" w:type="dxa"/>
            <w:shd w:val="clear" w:color="auto" w:fill="auto"/>
            <w:vAlign w:val="center"/>
            <w:hideMark/>
          </w:tcPr>
          <w:p w14:paraId="5873EC0E"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Konsumi i ujit</w:t>
            </w:r>
          </w:p>
        </w:tc>
        <w:tc>
          <w:tcPr>
            <w:tcW w:w="1050" w:type="dxa"/>
            <w:shd w:val="clear" w:color="auto" w:fill="auto"/>
            <w:vAlign w:val="center"/>
            <w:hideMark/>
          </w:tcPr>
          <w:p w14:paraId="7233BF68" w14:textId="633452CB"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 xml:space="preserve">Tarifa </w:t>
            </w:r>
            <w:r w:rsidR="00DB6391" w:rsidRPr="00445472">
              <w:rPr>
                <w:rFonts w:ascii="Garamond" w:eastAsia="MS Mincho" w:hAnsi="Garamond" w:cs="Arial"/>
                <w:b/>
                <w:sz w:val="16"/>
                <w:szCs w:val="16"/>
                <w:lang w:eastAsia="en-GB"/>
              </w:rPr>
              <w:t>familjare</w:t>
            </w:r>
          </w:p>
        </w:tc>
        <w:tc>
          <w:tcPr>
            <w:tcW w:w="1340" w:type="dxa"/>
            <w:shd w:val="clear" w:color="auto" w:fill="auto"/>
            <w:vAlign w:val="center"/>
            <w:hideMark/>
          </w:tcPr>
          <w:p w14:paraId="4642EF51" w14:textId="316AC409"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 xml:space="preserve">Vlera e ujit </w:t>
            </w:r>
            <w:r w:rsidR="00DB6391" w:rsidRPr="00445472">
              <w:rPr>
                <w:rFonts w:ascii="Garamond" w:eastAsia="MS Mincho" w:hAnsi="Garamond" w:cs="Arial"/>
                <w:b/>
                <w:sz w:val="16"/>
                <w:szCs w:val="16"/>
                <w:lang w:eastAsia="en-GB"/>
              </w:rPr>
              <w:t>familjare</w:t>
            </w:r>
          </w:p>
        </w:tc>
        <w:tc>
          <w:tcPr>
            <w:tcW w:w="1329" w:type="dxa"/>
            <w:shd w:val="clear" w:color="auto" w:fill="auto"/>
            <w:vAlign w:val="center"/>
            <w:hideMark/>
          </w:tcPr>
          <w:p w14:paraId="10E3DE0E" w14:textId="062EE693"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 xml:space="preserve">Vlera e ujit </w:t>
            </w:r>
            <w:r w:rsidR="00DB6391" w:rsidRPr="00445472">
              <w:rPr>
                <w:rFonts w:ascii="Garamond" w:eastAsia="MS Mincho" w:hAnsi="Garamond" w:cs="Arial"/>
                <w:b/>
                <w:sz w:val="16"/>
                <w:szCs w:val="16"/>
                <w:lang w:eastAsia="en-GB"/>
              </w:rPr>
              <w:t>familjare</w:t>
            </w:r>
          </w:p>
        </w:tc>
      </w:tr>
      <w:tr w:rsidR="00B21189" w:rsidRPr="00445472" w14:paraId="40EA5D5B" w14:textId="77777777" w:rsidTr="002A1F08">
        <w:trPr>
          <w:trHeight w:val="525"/>
        </w:trPr>
        <w:tc>
          <w:tcPr>
            <w:tcW w:w="1259" w:type="dxa"/>
            <w:vMerge/>
            <w:shd w:val="clear" w:color="auto" w:fill="auto"/>
            <w:vAlign w:val="center"/>
            <w:hideMark/>
          </w:tcPr>
          <w:p w14:paraId="42CD6226" w14:textId="77777777" w:rsidR="00B21189" w:rsidRPr="00445472" w:rsidRDefault="00B21189" w:rsidP="002A1F08">
            <w:pPr>
              <w:spacing w:before="22" w:after="22"/>
              <w:ind w:right="63"/>
              <w:jc w:val="center"/>
              <w:rPr>
                <w:rFonts w:ascii="Garamond" w:eastAsia="MS Mincho" w:hAnsi="Garamond" w:cs="Arial"/>
                <w:sz w:val="16"/>
                <w:szCs w:val="16"/>
                <w:lang w:eastAsia="en-GB"/>
              </w:rPr>
            </w:pPr>
          </w:p>
        </w:tc>
        <w:tc>
          <w:tcPr>
            <w:tcW w:w="2384" w:type="dxa"/>
            <w:vMerge/>
            <w:shd w:val="clear" w:color="auto" w:fill="auto"/>
            <w:vAlign w:val="center"/>
            <w:hideMark/>
          </w:tcPr>
          <w:p w14:paraId="5C3B123C" w14:textId="77777777" w:rsidR="00B21189" w:rsidRPr="00445472" w:rsidRDefault="00B21189" w:rsidP="002A1F08">
            <w:pPr>
              <w:spacing w:before="22" w:after="22"/>
              <w:ind w:right="63"/>
              <w:jc w:val="center"/>
              <w:rPr>
                <w:rFonts w:ascii="Garamond" w:eastAsia="MS Mincho" w:hAnsi="Garamond" w:cs="Arial"/>
                <w:sz w:val="16"/>
                <w:szCs w:val="16"/>
                <w:lang w:eastAsia="en-GB"/>
              </w:rPr>
            </w:pPr>
          </w:p>
        </w:tc>
        <w:tc>
          <w:tcPr>
            <w:tcW w:w="793" w:type="dxa"/>
            <w:shd w:val="clear" w:color="auto" w:fill="auto"/>
            <w:vAlign w:val="center"/>
            <w:hideMark/>
          </w:tcPr>
          <w:p w14:paraId="61377E1B" w14:textId="1EA11E3B"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w:t>
            </w:r>
            <w:r w:rsidR="001D340B" w:rsidRPr="00445472">
              <w:rPr>
                <w:rFonts w:ascii="Garamond" w:eastAsia="MS Mincho" w:hAnsi="Garamond" w:cs="Arial"/>
                <w:sz w:val="16"/>
                <w:szCs w:val="16"/>
                <w:lang w:eastAsia="en-GB"/>
              </w:rPr>
              <w:t>/</w:t>
            </w:r>
            <w:r w:rsidRPr="00445472">
              <w:rPr>
                <w:rFonts w:ascii="Garamond" w:eastAsia="MS Mincho" w:hAnsi="Garamond" w:cs="Arial"/>
                <w:sz w:val="16"/>
                <w:szCs w:val="16"/>
                <w:lang w:eastAsia="en-GB"/>
              </w:rPr>
              <w:t>r</w:t>
            </w:r>
          </w:p>
        </w:tc>
        <w:tc>
          <w:tcPr>
            <w:tcW w:w="1328" w:type="dxa"/>
            <w:shd w:val="clear" w:color="auto" w:fill="auto"/>
            <w:vAlign w:val="center"/>
            <w:hideMark/>
          </w:tcPr>
          <w:p w14:paraId="28EDCAB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cm/vit</w:t>
            </w:r>
          </w:p>
        </w:tc>
        <w:tc>
          <w:tcPr>
            <w:tcW w:w="1050" w:type="dxa"/>
            <w:shd w:val="clear" w:color="auto" w:fill="auto"/>
            <w:vAlign w:val="center"/>
            <w:hideMark/>
          </w:tcPr>
          <w:p w14:paraId="4587BB4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lek/cm</w:t>
            </w:r>
          </w:p>
        </w:tc>
        <w:tc>
          <w:tcPr>
            <w:tcW w:w="1340" w:type="dxa"/>
            <w:shd w:val="clear" w:color="auto" w:fill="auto"/>
            <w:vAlign w:val="center"/>
            <w:hideMark/>
          </w:tcPr>
          <w:p w14:paraId="032988D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lek/vit</w:t>
            </w:r>
          </w:p>
        </w:tc>
        <w:tc>
          <w:tcPr>
            <w:tcW w:w="1329" w:type="dxa"/>
            <w:shd w:val="clear" w:color="auto" w:fill="auto"/>
            <w:vAlign w:val="center"/>
            <w:hideMark/>
          </w:tcPr>
          <w:p w14:paraId="6B7349F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euro/vit</w:t>
            </w:r>
          </w:p>
        </w:tc>
      </w:tr>
      <w:tr w:rsidR="00B21189" w:rsidRPr="00445472" w14:paraId="6274B5BA" w14:textId="77777777" w:rsidTr="002A1F08">
        <w:trPr>
          <w:trHeight w:val="315"/>
        </w:trPr>
        <w:tc>
          <w:tcPr>
            <w:tcW w:w="1259" w:type="dxa"/>
            <w:vMerge w:val="restart"/>
            <w:shd w:val="clear" w:color="auto" w:fill="auto"/>
            <w:vAlign w:val="center"/>
            <w:hideMark/>
          </w:tcPr>
          <w:p w14:paraId="7A0C52E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2384" w:type="dxa"/>
            <w:vMerge w:val="restart"/>
            <w:shd w:val="clear" w:color="auto" w:fill="auto"/>
            <w:vAlign w:val="center"/>
            <w:hideMark/>
          </w:tcPr>
          <w:p w14:paraId="45D683B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Pukë, Gjegjan, Rrape, Qelez, Qerret</w:t>
            </w:r>
          </w:p>
        </w:tc>
        <w:tc>
          <w:tcPr>
            <w:tcW w:w="793" w:type="dxa"/>
            <w:shd w:val="clear" w:color="auto" w:fill="auto"/>
            <w:vAlign w:val="center"/>
            <w:hideMark/>
          </w:tcPr>
          <w:p w14:paraId="5188356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w:t>
            </w:r>
          </w:p>
        </w:tc>
        <w:tc>
          <w:tcPr>
            <w:tcW w:w="1328" w:type="dxa"/>
            <w:shd w:val="clear" w:color="auto" w:fill="auto"/>
            <w:vAlign w:val="center"/>
            <w:hideMark/>
          </w:tcPr>
          <w:p w14:paraId="7176CC5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150,843</w:t>
            </w:r>
          </w:p>
        </w:tc>
        <w:tc>
          <w:tcPr>
            <w:tcW w:w="1050" w:type="dxa"/>
            <w:shd w:val="clear" w:color="auto" w:fill="auto"/>
            <w:vAlign w:val="center"/>
            <w:hideMark/>
          </w:tcPr>
          <w:p w14:paraId="758B4BA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w:t>
            </w:r>
          </w:p>
        </w:tc>
        <w:tc>
          <w:tcPr>
            <w:tcW w:w="1340" w:type="dxa"/>
            <w:shd w:val="clear" w:color="auto" w:fill="auto"/>
            <w:vAlign w:val="center"/>
            <w:hideMark/>
          </w:tcPr>
          <w:p w14:paraId="7BE30CB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5,279,515</w:t>
            </w:r>
          </w:p>
        </w:tc>
        <w:tc>
          <w:tcPr>
            <w:tcW w:w="1329" w:type="dxa"/>
            <w:shd w:val="clear" w:color="auto" w:fill="auto"/>
            <w:vAlign w:val="center"/>
            <w:hideMark/>
          </w:tcPr>
          <w:p w14:paraId="506C368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38,541</w:t>
            </w:r>
          </w:p>
        </w:tc>
      </w:tr>
      <w:tr w:rsidR="00B21189" w:rsidRPr="00445472" w14:paraId="6E4FAAD6" w14:textId="77777777" w:rsidTr="002A1F08">
        <w:trPr>
          <w:trHeight w:val="315"/>
        </w:trPr>
        <w:tc>
          <w:tcPr>
            <w:tcW w:w="1259" w:type="dxa"/>
            <w:vMerge/>
            <w:vAlign w:val="center"/>
            <w:hideMark/>
          </w:tcPr>
          <w:p w14:paraId="326C94DC" w14:textId="77777777" w:rsidR="00B21189" w:rsidRPr="00445472" w:rsidRDefault="00B21189" w:rsidP="002A1F08">
            <w:pPr>
              <w:spacing w:before="22" w:after="22"/>
              <w:ind w:right="63"/>
              <w:jc w:val="center"/>
              <w:rPr>
                <w:rFonts w:ascii="Garamond" w:eastAsia="MS Mincho" w:hAnsi="Garamond" w:cs="Arial"/>
                <w:sz w:val="16"/>
                <w:szCs w:val="16"/>
                <w:lang w:eastAsia="en-GB"/>
              </w:rPr>
            </w:pPr>
          </w:p>
        </w:tc>
        <w:tc>
          <w:tcPr>
            <w:tcW w:w="2384" w:type="dxa"/>
            <w:vMerge/>
            <w:vAlign w:val="center"/>
            <w:hideMark/>
          </w:tcPr>
          <w:p w14:paraId="0A97922B" w14:textId="77777777" w:rsidR="00B21189" w:rsidRPr="00445472" w:rsidRDefault="00B21189" w:rsidP="002A1F08">
            <w:pPr>
              <w:spacing w:before="22" w:after="22"/>
              <w:ind w:right="63"/>
              <w:jc w:val="center"/>
              <w:rPr>
                <w:rFonts w:ascii="Garamond" w:eastAsia="MS Mincho" w:hAnsi="Garamond" w:cs="Arial"/>
                <w:sz w:val="16"/>
                <w:szCs w:val="16"/>
                <w:lang w:eastAsia="en-GB"/>
              </w:rPr>
            </w:pPr>
          </w:p>
        </w:tc>
        <w:tc>
          <w:tcPr>
            <w:tcW w:w="793" w:type="dxa"/>
            <w:shd w:val="clear" w:color="auto" w:fill="auto"/>
            <w:vAlign w:val="center"/>
            <w:hideMark/>
          </w:tcPr>
          <w:p w14:paraId="73CF31B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R</w:t>
            </w:r>
          </w:p>
        </w:tc>
        <w:tc>
          <w:tcPr>
            <w:tcW w:w="1328" w:type="dxa"/>
            <w:shd w:val="clear" w:color="auto" w:fill="auto"/>
            <w:vAlign w:val="center"/>
            <w:hideMark/>
          </w:tcPr>
          <w:p w14:paraId="6EB33F3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125,948</w:t>
            </w:r>
          </w:p>
        </w:tc>
        <w:tc>
          <w:tcPr>
            <w:tcW w:w="1050" w:type="dxa"/>
            <w:shd w:val="clear" w:color="auto" w:fill="auto"/>
            <w:noWrap/>
            <w:vAlign w:val="center"/>
            <w:hideMark/>
          </w:tcPr>
          <w:p w14:paraId="6D8D76C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15</w:t>
            </w:r>
          </w:p>
        </w:tc>
        <w:tc>
          <w:tcPr>
            <w:tcW w:w="1340" w:type="dxa"/>
            <w:shd w:val="clear" w:color="auto" w:fill="auto"/>
            <w:noWrap/>
            <w:vAlign w:val="center"/>
            <w:hideMark/>
          </w:tcPr>
          <w:p w14:paraId="6711862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1,889,216</w:t>
            </w:r>
          </w:p>
        </w:tc>
        <w:tc>
          <w:tcPr>
            <w:tcW w:w="1329" w:type="dxa"/>
            <w:shd w:val="clear" w:color="auto" w:fill="auto"/>
            <w:noWrap/>
            <w:vAlign w:val="center"/>
            <w:hideMark/>
          </w:tcPr>
          <w:p w14:paraId="26538CD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13,791</w:t>
            </w:r>
          </w:p>
        </w:tc>
      </w:tr>
      <w:tr w:rsidR="00B21189" w:rsidRPr="00445472" w14:paraId="503DE0ED" w14:textId="77777777" w:rsidTr="002A1F08">
        <w:trPr>
          <w:trHeight w:val="525"/>
        </w:trPr>
        <w:tc>
          <w:tcPr>
            <w:tcW w:w="1259" w:type="dxa"/>
            <w:shd w:val="clear" w:color="auto" w:fill="auto"/>
            <w:vAlign w:val="center"/>
            <w:hideMark/>
          </w:tcPr>
          <w:p w14:paraId="0159C88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2384" w:type="dxa"/>
            <w:shd w:val="clear" w:color="auto" w:fill="auto"/>
            <w:vAlign w:val="center"/>
            <w:hideMark/>
          </w:tcPr>
          <w:p w14:paraId="6C6FD051" w14:textId="6E41F327" w:rsidR="00B21189" w:rsidRPr="00445472" w:rsidRDefault="00852D7A"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 xml:space="preserve">Fushë-Arrëz </w:t>
            </w:r>
            <w:r w:rsidR="00B21189" w:rsidRPr="00445472">
              <w:rPr>
                <w:rFonts w:ascii="Garamond" w:eastAsia="MS Mincho" w:hAnsi="Garamond" w:cs="Arial"/>
                <w:sz w:val="16"/>
                <w:szCs w:val="16"/>
                <w:lang w:eastAsia="en-GB"/>
              </w:rPr>
              <w:t>, Fierzë, Blerim, Qafe Mali, Iballë</w:t>
            </w:r>
          </w:p>
        </w:tc>
        <w:tc>
          <w:tcPr>
            <w:tcW w:w="793" w:type="dxa"/>
            <w:shd w:val="clear" w:color="auto" w:fill="auto"/>
            <w:vAlign w:val="center"/>
            <w:hideMark/>
          </w:tcPr>
          <w:p w14:paraId="1897A06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0BF045F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113,908</w:t>
            </w:r>
          </w:p>
        </w:tc>
        <w:tc>
          <w:tcPr>
            <w:tcW w:w="1050" w:type="dxa"/>
            <w:shd w:val="clear" w:color="auto" w:fill="auto"/>
            <w:noWrap/>
            <w:vAlign w:val="center"/>
            <w:hideMark/>
          </w:tcPr>
          <w:p w14:paraId="1BB7D17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w:t>
            </w:r>
          </w:p>
        </w:tc>
        <w:tc>
          <w:tcPr>
            <w:tcW w:w="1340" w:type="dxa"/>
            <w:shd w:val="clear" w:color="auto" w:fill="auto"/>
            <w:noWrap/>
            <w:vAlign w:val="center"/>
            <w:hideMark/>
          </w:tcPr>
          <w:p w14:paraId="75EBB4C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2,278,156</w:t>
            </w:r>
          </w:p>
        </w:tc>
        <w:tc>
          <w:tcPr>
            <w:tcW w:w="1329" w:type="dxa"/>
            <w:shd w:val="clear" w:color="auto" w:fill="auto"/>
            <w:noWrap/>
            <w:vAlign w:val="center"/>
            <w:hideMark/>
          </w:tcPr>
          <w:p w14:paraId="6E83C58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16,631</w:t>
            </w:r>
          </w:p>
        </w:tc>
      </w:tr>
      <w:tr w:rsidR="00B21189" w:rsidRPr="00445472" w14:paraId="56157AA1" w14:textId="77777777" w:rsidTr="002A1F08">
        <w:trPr>
          <w:trHeight w:val="315"/>
        </w:trPr>
        <w:tc>
          <w:tcPr>
            <w:tcW w:w="1259" w:type="dxa"/>
            <w:shd w:val="clear" w:color="auto" w:fill="auto"/>
            <w:vAlign w:val="center"/>
            <w:hideMark/>
          </w:tcPr>
          <w:p w14:paraId="70EABAF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Kukës</w:t>
            </w:r>
          </w:p>
        </w:tc>
        <w:tc>
          <w:tcPr>
            <w:tcW w:w="2384" w:type="dxa"/>
            <w:shd w:val="clear" w:color="auto" w:fill="auto"/>
            <w:vAlign w:val="center"/>
            <w:hideMark/>
          </w:tcPr>
          <w:p w14:paraId="7812770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Has, Krumë, Fajza, Gjinaj, Golaj</w:t>
            </w:r>
          </w:p>
        </w:tc>
        <w:tc>
          <w:tcPr>
            <w:tcW w:w="793" w:type="dxa"/>
            <w:shd w:val="clear" w:color="auto" w:fill="auto"/>
            <w:vAlign w:val="center"/>
            <w:hideMark/>
          </w:tcPr>
          <w:p w14:paraId="776D52D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380FA8F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269,895</w:t>
            </w:r>
          </w:p>
        </w:tc>
        <w:tc>
          <w:tcPr>
            <w:tcW w:w="1050" w:type="dxa"/>
            <w:shd w:val="clear" w:color="auto" w:fill="auto"/>
            <w:vAlign w:val="center"/>
            <w:hideMark/>
          </w:tcPr>
          <w:p w14:paraId="4BD2FC9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25</w:t>
            </w:r>
          </w:p>
        </w:tc>
        <w:tc>
          <w:tcPr>
            <w:tcW w:w="1340" w:type="dxa"/>
            <w:shd w:val="clear" w:color="auto" w:fill="auto"/>
            <w:vAlign w:val="center"/>
            <w:hideMark/>
          </w:tcPr>
          <w:p w14:paraId="7831821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6,747,369</w:t>
            </w:r>
          </w:p>
        </w:tc>
        <w:tc>
          <w:tcPr>
            <w:tcW w:w="1329" w:type="dxa"/>
            <w:shd w:val="clear" w:color="auto" w:fill="auto"/>
            <w:vAlign w:val="center"/>
            <w:hideMark/>
          </w:tcPr>
          <w:p w14:paraId="1E58F75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49,256</w:t>
            </w:r>
          </w:p>
        </w:tc>
      </w:tr>
      <w:tr w:rsidR="00B21189" w:rsidRPr="00445472" w14:paraId="1F4F0947" w14:textId="77777777" w:rsidTr="002A1F08">
        <w:trPr>
          <w:trHeight w:val="525"/>
        </w:trPr>
        <w:tc>
          <w:tcPr>
            <w:tcW w:w="1259" w:type="dxa"/>
            <w:shd w:val="clear" w:color="auto" w:fill="auto"/>
            <w:vAlign w:val="center"/>
            <w:hideMark/>
          </w:tcPr>
          <w:p w14:paraId="110E4AE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2384" w:type="dxa"/>
            <w:shd w:val="clear" w:color="auto" w:fill="auto"/>
            <w:vAlign w:val="center"/>
            <w:hideMark/>
          </w:tcPr>
          <w:p w14:paraId="6C5C66A4" w14:textId="7626BE48" w:rsidR="00B21189" w:rsidRPr="00445472" w:rsidRDefault="00D67757"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 xml:space="preserve">Vau i Dejës </w:t>
            </w:r>
            <w:r w:rsidR="00B21189" w:rsidRPr="00445472">
              <w:rPr>
                <w:rFonts w:ascii="Garamond" w:eastAsia="MS Mincho" w:hAnsi="Garamond" w:cs="Arial"/>
                <w:sz w:val="16"/>
                <w:szCs w:val="16"/>
                <w:lang w:eastAsia="en-GB"/>
              </w:rPr>
              <w:t>, Bushat, Vig Mnele, Hajmel, Temal, Shllak</w:t>
            </w:r>
          </w:p>
        </w:tc>
        <w:tc>
          <w:tcPr>
            <w:tcW w:w="793" w:type="dxa"/>
            <w:shd w:val="clear" w:color="auto" w:fill="auto"/>
            <w:vAlign w:val="center"/>
            <w:hideMark/>
          </w:tcPr>
          <w:p w14:paraId="2FDAA2E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71A8658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182,481</w:t>
            </w:r>
          </w:p>
        </w:tc>
        <w:tc>
          <w:tcPr>
            <w:tcW w:w="1050" w:type="dxa"/>
            <w:shd w:val="clear" w:color="auto" w:fill="auto"/>
            <w:noWrap/>
            <w:vAlign w:val="center"/>
            <w:hideMark/>
          </w:tcPr>
          <w:p w14:paraId="644C2F0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w:t>
            </w:r>
          </w:p>
        </w:tc>
        <w:tc>
          <w:tcPr>
            <w:tcW w:w="1340" w:type="dxa"/>
            <w:shd w:val="clear" w:color="auto" w:fill="auto"/>
            <w:noWrap/>
            <w:vAlign w:val="center"/>
            <w:hideMark/>
          </w:tcPr>
          <w:p w14:paraId="59B42B7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3,649,616</w:t>
            </w:r>
          </w:p>
        </w:tc>
        <w:tc>
          <w:tcPr>
            <w:tcW w:w="1329" w:type="dxa"/>
            <w:shd w:val="clear" w:color="auto" w:fill="auto"/>
            <w:noWrap/>
            <w:vAlign w:val="center"/>
            <w:hideMark/>
          </w:tcPr>
          <w:p w14:paraId="6FF4D9A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26,642</w:t>
            </w:r>
          </w:p>
        </w:tc>
      </w:tr>
      <w:tr w:rsidR="00B21189" w:rsidRPr="00445472" w14:paraId="0584E461" w14:textId="77777777" w:rsidTr="002A1F08">
        <w:tc>
          <w:tcPr>
            <w:tcW w:w="1259" w:type="dxa"/>
            <w:shd w:val="clear" w:color="auto" w:fill="auto"/>
            <w:vAlign w:val="center"/>
            <w:hideMark/>
          </w:tcPr>
          <w:p w14:paraId="3623BD6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Kukës</w:t>
            </w:r>
          </w:p>
        </w:tc>
        <w:tc>
          <w:tcPr>
            <w:tcW w:w="2384" w:type="dxa"/>
            <w:shd w:val="clear" w:color="auto" w:fill="auto"/>
            <w:vAlign w:val="center"/>
            <w:hideMark/>
          </w:tcPr>
          <w:p w14:paraId="14255B9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Kukës, Malzi, Bicaj, Ujmisht, Terthore, Shtiqen, Zapod, Shishtavec, Topojan, Bushtricë, Gryk Caje, Kalis, Surroj, Arren, Kolsh</w:t>
            </w:r>
          </w:p>
        </w:tc>
        <w:tc>
          <w:tcPr>
            <w:tcW w:w="793" w:type="dxa"/>
            <w:shd w:val="clear" w:color="auto" w:fill="auto"/>
            <w:vAlign w:val="center"/>
            <w:hideMark/>
          </w:tcPr>
          <w:p w14:paraId="783703B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7196AA9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778,034</w:t>
            </w:r>
          </w:p>
        </w:tc>
        <w:tc>
          <w:tcPr>
            <w:tcW w:w="1050" w:type="dxa"/>
            <w:shd w:val="clear" w:color="auto" w:fill="auto"/>
            <w:vAlign w:val="center"/>
            <w:hideMark/>
          </w:tcPr>
          <w:p w14:paraId="3C1A7F4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25</w:t>
            </w:r>
          </w:p>
        </w:tc>
        <w:tc>
          <w:tcPr>
            <w:tcW w:w="1340" w:type="dxa"/>
            <w:shd w:val="clear" w:color="auto" w:fill="auto"/>
            <w:vAlign w:val="center"/>
            <w:hideMark/>
          </w:tcPr>
          <w:p w14:paraId="5F91915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19,450,850</w:t>
            </w:r>
          </w:p>
        </w:tc>
        <w:tc>
          <w:tcPr>
            <w:tcW w:w="1329" w:type="dxa"/>
            <w:shd w:val="clear" w:color="auto" w:fill="auto"/>
            <w:vAlign w:val="center"/>
            <w:hideMark/>
          </w:tcPr>
          <w:p w14:paraId="6E81D2E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141,993</w:t>
            </w:r>
          </w:p>
        </w:tc>
      </w:tr>
      <w:tr w:rsidR="00B21189" w:rsidRPr="00445472" w14:paraId="072CB2F5" w14:textId="77777777" w:rsidTr="002A1F08">
        <w:trPr>
          <w:trHeight w:val="1290"/>
        </w:trPr>
        <w:tc>
          <w:tcPr>
            <w:tcW w:w="1259" w:type="dxa"/>
            <w:shd w:val="clear" w:color="auto" w:fill="auto"/>
            <w:vAlign w:val="center"/>
            <w:hideMark/>
          </w:tcPr>
          <w:p w14:paraId="563A057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Dibër</w:t>
            </w:r>
          </w:p>
        </w:tc>
        <w:tc>
          <w:tcPr>
            <w:tcW w:w="2384" w:type="dxa"/>
            <w:shd w:val="clear" w:color="auto" w:fill="auto"/>
            <w:vAlign w:val="center"/>
            <w:hideMark/>
          </w:tcPr>
          <w:p w14:paraId="0AF0E18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Peshkopi/Dibër, Tomin, Melan, Kastriot, Lurë, Maqellarë, Muhurr, Luzni, Selishte, Sllove, Kala e Dodës, Zall Dardhë, Zall Reç, Fushë Cidhen, Arras</w:t>
            </w:r>
          </w:p>
        </w:tc>
        <w:tc>
          <w:tcPr>
            <w:tcW w:w="793" w:type="dxa"/>
            <w:shd w:val="clear" w:color="auto" w:fill="auto"/>
            <w:vAlign w:val="center"/>
            <w:hideMark/>
          </w:tcPr>
          <w:p w14:paraId="5609BBF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4E7C88C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721,218</w:t>
            </w:r>
          </w:p>
        </w:tc>
        <w:tc>
          <w:tcPr>
            <w:tcW w:w="1050" w:type="dxa"/>
            <w:shd w:val="clear" w:color="auto" w:fill="auto"/>
            <w:vAlign w:val="center"/>
            <w:hideMark/>
          </w:tcPr>
          <w:p w14:paraId="1A9763C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27</w:t>
            </w:r>
          </w:p>
        </w:tc>
        <w:tc>
          <w:tcPr>
            <w:tcW w:w="1340" w:type="dxa"/>
            <w:shd w:val="clear" w:color="auto" w:fill="auto"/>
            <w:vAlign w:val="center"/>
            <w:hideMark/>
          </w:tcPr>
          <w:p w14:paraId="3CDA9E7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19,472,889</w:t>
            </w:r>
          </w:p>
        </w:tc>
        <w:tc>
          <w:tcPr>
            <w:tcW w:w="1329" w:type="dxa"/>
            <w:shd w:val="clear" w:color="auto" w:fill="auto"/>
            <w:vAlign w:val="center"/>
            <w:hideMark/>
          </w:tcPr>
          <w:p w14:paraId="29FDC2F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142,153</w:t>
            </w:r>
          </w:p>
        </w:tc>
      </w:tr>
      <w:tr w:rsidR="00B21189" w:rsidRPr="00445472" w14:paraId="3DF3E56A" w14:textId="77777777" w:rsidTr="002A1F08">
        <w:trPr>
          <w:trHeight w:val="780"/>
        </w:trPr>
        <w:tc>
          <w:tcPr>
            <w:tcW w:w="1259" w:type="dxa"/>
            <w:shd w:val="clear" w:color="auto" w:fill="auto"/>
            <w:vAlign w:val="center"/>
            <w:hideMark/>
          </w:tcPr>
          <w:p w14:paraId="58DA09D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Lezhë</w:t>
            </w:r>
          </w:p>
        </w:tc>
        <w:tc>
          <w:tcPr>
            <w:tcW w:w="2384" w:type="dxa"/>
            <w:shd w:val="clear" w:color="auto" w:fill="auto"/>
            <w:vAlign w:val="center"/>
            <w:hideMark/>
          </w:tcPr>
          <w:p w14:paraId="3FB856B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Lezhë, Shënkoll, Shëngjin, Zejmen, Balldren, Kallmet, Blinisht, Dajç, Ungrej, Kolsh</w:t>
            </w:r>
          </w:p>
        </w:tc>
        <w:tc>
          <w:tcPr>
            <w:tcW w:w="793" w:type="dxa"/>
            <w:shd w:val="clear" w:color="auto" w:fill="auto"/>
            <w:vAlign w:val="center"/>
            <w:hideMark/>
          </w:tcPr>
          <w:p w14:paraId="1DE3B3F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437C3D3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1,164,238</w:t>
            </w:r>
          </w:p>
        </w:tc>
        <w:tc>
          <w:tcPr>
            <w:tcW w:w="1050" w:type="dxa"/>
            <w:shd w:val="clear" w:color="auto" w:fill="auto"/>
            <w:vAlign w:val="center"/>
            <w:hideMark/>
          </w:tcPr>
          <w:p w14:paraId="10450DB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58</w:t>
            </w:r>
          </w:p>
        </w:tc>
        <w:tc>
          <w:tcPr>
            <w:tcW w:w="1340" w:type="dxa"/>
            <w:shd w:val="clear" w:color="auto" w:fill="auto"/>
            <w:vAlign w:val="center"/>
            <w:hideMark/>
          </w:tcPr>
          <w:p w14:paraId="442C222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67,525,813</w:t>
            </w:r>
          </w:p>
        </w:tc>
        <w:tc>
          <w:tcPr>
            <w:tcW w:w="1329" w:type="dxa"/>
            <w:shd w:val="clear" w:color="auto" w:fill="auto"/>
            <w:vAlign w:val="center"/>
            <w:hideMark/>
          </w:tcPr>
          <w:p w14:paraId="6C27625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492,943</w:t>
            </w:r>
          </w:p>
        </w:tc>
      </w:tr>
      <w:tr w:rsidR="00B21189" w:rsidRPr="00445472" w14:paraId="171DDF40" w14:textId="77777777" w:rsidTr="002A1F08">
        <w:trPr>
          <w:trHeight w:val="780"/>
        </w:trPr>
        <w:tc>
          <w:tcPr>
            <w:tcW w:w="1259" w:type="dxa"/>
            <w:shd w:val="clear" w:color="auto" w:fill="auto"/>
            <w:vAlign w:val="center"/>
            <w:hideMark/>
          </w:tcPr>
          <w:p w14:paraId="50B4F6A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Dibër</w:t>
            </w:r>
          </w:p>
        </w:tc>
        <w:tc>
          <w:tcPr>
            <w:tcW w:w="2384" w:type="dxa"/>
            <w:shd w:val="clear" w:color="auto" w:fill="auto"/>
            <w:vAlign w:val="center"/>
            <w:hideMark/>
          </w:tcPr>
          <w:p w14:paraId="4966B0F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Bulqizë, Martanesh, Fushë Bulqizë, Zerqan, Shupenzë, Gjoricë, Ostren, Trebisht</w:t>
            </w:r>
          </w:p>
        </w:tc>
        <w:tc>
          <w:tcPr>
            <w:tcW w:w="793" w:type="dxa"/>
            <w:shd w:val="clear" w:color="auto" w:fill="auto"/>
            <w:vAlign w:val="center"/>
            <w:hideMark/>
          </w:tcPr>
          <w:p w14:paraId="039FE73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28753F7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674,104</w:t>
            </w:r>
          </w:p>
        </w:tc>
        <w:tc>
          <w:tcPr>
            <w:tcW w:w="1050" w:type="dxa"/>
            <w:shd w:val="clear" w:color="auto" w:fill="auto"/>
            <w:vAlign w:val="center"/>
            <w:hideMark/>
          </w:tcPr>
          <w:p w14:paraId="3511351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17</w:t>
            </w:r>
          </w:p>
        </w:tc>
        <w:tc>
          <w:tcPr>
            <w:tcW w:w="1340" w:type="dxa"/>
            <w:shd w:val="clear" w:color="auto" w:fill="auto"/>
            <w:vAlign w:val="center"/>
            <w:hideMark/>
          </w:tcPr>
          <w:p w14:paraId="702F74C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11,459,769</w:t>
            </w:r>
          </w:p>
        </w:tc>
        <w:tc>
          <w:tcPr>
            <w:tcW w:w="1329" w:type="dxa"/>
            <w:shd w:val="clear" w:color="auto" w:fill="auto"/>
            <w:vAlign w:val="center"/>
            <w:hideMark/>
          </w:tcPr>
          <w:p w14:paraId="67A0991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83,657</w:t>
            </w:r>
          </w:p>
        </w:tc>
      </w:tr>
      <w:tr w:rsidR="00B21189" w:rsidRPr="00445472" w14:paraId="55308108" w14:textId="77777777" w:rsidTr="002A1F08">
        <w:trPr>
          <w:trHeight w:val="780"/>
        </w:trPr>
        <w:tc>
          <w:tcPr>
            <w:tcW w:w="1259" w:type="dxa"/>
            <w:shd w:val="clear" w:color="auto" w:fill="auto"/>
            <w:vAlign w:val="center"/>
            <w:hideMark/>
          </w:tcPr>
          <w:p w14:paraId="700A503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Korçë</w:t>
            </w:r>
          </w:p>
        </w:tc>
        <w:tc>
          <w:tcPr>
            <w:tcW w:w="2384" w:type="dxa"/>
            <w:shd w:val="clear" w:color="auto" w:fill="auto"/>
            <w:vAlign w:val="center"/>
            <w:hideMark/>
          </w:tcPr>
          <w:p w14:paraId="56B385F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Pogradec, Udenisht, Buçimas, Cerrave, Dardhas, Trebinjë, Proptisht, Velçan</w:t>
            </w:r>
          </w:p>
        </w:tc>
        <w:tc>
          <w:tcPr>
            <w:tcW w:w="793" w:type="dxa"/>
            <w:shd w:val="clear" w:color="auto" w:fill="auto"/>
            <w:vAlign w:val="center"/>
            <w:hideMark/>
          </w:tcPr>
          <w:p w14:paraId="40278C6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484146C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1,223,061</w:t>
            </w:r>
          </w:p>
        </w:tc>
        <w:tc>
          <w:tcPr>
            <w:tcW w:w="1050" w:type="dxa"/>
            <w:shd w:val="clear" w:color="auto" w:fill="auto"/>
            <w:noWrap/>
            <w:vAlign w:val="center"/>
            <w:hideMark/>
          </w:tcPr>
          <w:p w14:paraId="0B45C69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62</w:t>
            </w:r>
          </w:p>
        </w:tc>
        <w:tc>
          <w:tcPr>
            <w:tcW w:w="1340" w:type="dxa"/>
            <w:shd w:val="clear" w:color="auto" w:fill="auto"/>
            <w:noWrap/>
            <w:vAlign w:val="center"/>
            <w:hideMark/>
          </w:tcPr>
          <w:p w14:paraId="0EE1725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75,829,775</w:t>
            </w:r>
          </w:p>
        </w:tc>
        <w:tc>
          <w:tcPr>
            <w:tcW w:w="1329" w:type="dxa"/>
            <w:shd w:val="clear" w:color="auto" w:fill="auto"/>
            <w:noWrap/>
            <w:vAlign w:val="center"/>
            <w:hideMark/>
          </w:tcPr>
          <w:p w14:paraId="79EB5BD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553,563</w:t>
            </w:r>
          </w:p>
        </w:tc>
      </w:tr>
      <w:tr w:rsidR="00B21189" w:rsidRPr="00445472" w14:paraId="548AE9FB" w14:textId="77777777" w:rsidTr="002A1F08">
        <w:trPr>
          <w:trHeight w:val="780"/>
        </w:trPr>
        <w:tc>
          <w:tcPr>
            <w:tcW w:w="1259" w:type="dxa"/>
            <w:shd w:val="clear" w:color="auto" w:fill="auto"/>
            <w:vAlign w:val="center"/>
            <w:hideMark/>
          </w:tcPr>
          <w:p w14:paraId="40D2F60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2384" w:type="dxa"/>
            <w:shd w:val="clear" w:color="auto" w:fill="auto"/>
            <w:vAlign w:val="center"/>
            <w:hideMark/>
          </w:tcPr>
          <w:p w14:paraId="783580D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Malësi e Madhe (Koplik, Gruemirë, Kastrat, Kelmend, Qendër, Shkrel)</w:t>
            </w:r>
          </w:p>
        </w:tc>
        <w:tc>
          <w:tcPr>
            <w:tcW w:w="793" w:type="dxa"/>
            <w:shd w:val="clear" w:color="auto" w:fill="auto"/>
            <w:vAlign w:val="center"/>
            <w:hideMark/>
          </w:tcPr>
          <w:p w14:paraId="379CECE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1A3965A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3,527,330</w:t>
            </w:r>
          </w:p>
        </w:tc>
        <w:tc>
          <w:tcPr>
            <w:tcW w:w="1050" w:type="dxa"/>
            <w:shd w:val="clear" w:color="auto" w:fill="auto"/>
            <w:noWrap/>
            <w:vAlign w:val="center"/>
            <w:hideMark/>
          </w:tcPr>
          <w:p w14:paraId="26FDD50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50</w:t>
            </w:r>
          </w:p>
        </w:tc>
        <w:tc>
          <w:tcPr>
            <w:tcW w:w="1340" w:type="dxa"/>
            <w:shd w:val="clear" w:color="auto" w:fill="auto"/>
            <w:noWrap/>
            <w:vAlign w:val="center"/>
            <w:hideMark/>
          </w:tcPr>
          <w:p w14:paraId="72E1E55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176,366,517</w:t>
            </w:r>
          </w:p>
        </w:tc>
        <w:tc>
          <w:tcPr>
            <w:tcW w:w="1329" w:type="dxa"/>
            <w:shd w:val="clear" w:color="auto" w:fill="auto"/>
            <w:noWrap/>
            <w:vAlign w:val="center"/>
            <w:hideMark/>
          </w:tcPr>
          <w:p w14:paraId="5F29756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1,287,488</w:t>
            </w:r>
          </w:p>
        </w:tc>
      </w:tr>
      <w:tr w:rsidR="00B21189" w:rsidRPr="00445472" w14:paraId="642FA23D" w14:textId="77777777" w:rsidTr="002A1F08">
        <w:trPr>
          <w:trHeight w:val="780"/>
        </w:trPr>
        <w:tc>
          <w:tcPr>
            <w:tcW w:w="1259" w:type="dxa"/>
            <w:shd w:val="clear" w:color="auto" w:fill="auto"/>
            <w:vAlign w:val="center"/>
            <w:hideMark/>
          </w:tcPr>
          <w:p w14:paraId="703F270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Kukës</w:t>
            </w:r>
          </w:p>
        </w:tc>
        <w:tc>
          <w:tcPr>
            <w:tcW w:w="2384" w:type="dxa"/>
            <w:shd w:val="clear" w:color="auto" w:fill="auto"/>
            <w:vAlign w:val="center"/>
            <w:hideMark/>
          </w:tcPr>
          <w:p w14:paraId="41C970D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Tropojë, Bajram Curri, Fierze, Lekbibaj, Margegaj, Llugaj, Bujan, Bytyç,</w:t>
            </w:r>
          </w:p>
        </w:tc>
        <w:tc>
          <w:tcPr>
            <w:tcW w:w="793" w:type="dxa"/>
            <w:shd w:val="clear" w:color="auto" w:fill="auto"/>
            <w:vAlign w:val="center"/>
            <w:hideMark/>
          </w:tcPr>
          <w:p w14:paraId="67FAC99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1B14656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392,484</w:t>
            </w:r>
          </w:p>
        </w:tc>
        <w:tc>
          <w:tcPr>
            <w:tcW w:w="1050" w:type="dxa"/>
            <w:shd w:val="clear" w:color="auto" w:fill="auto"/>
            <w:vAlign w:val="center"/>
            <w:hideMark/>
          </w:tcPr>
          <w:p w14:paraId="7882AEB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19</w:t>
            </w:r>
          </w:p>
        </w:tc>
        <w:tc>
          <w:tcPr>
            <w:tcW w:w="1340" w:type="dxa"/>
            <w:shd w:val="clear" w:color="auto" w:fill="auto"/>
            <w:vAlign w:val="center"/>
            <w:hideMark/>
          </w:tcPr>
          <w:p w14:paraId="48760A0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7,457,196</w:t>
            </w:r>
          </w:p>
        </w:tc>
        <w:tc>
          <w:tcPr>
            <w:tcW w:w="1329" w:type="dxa"/>
            <w:shd w:val="clear" w:color="auto" w:fill="auto"/>
            <w:vAlign w:val="center"/>
            <w:hideMark/>
          </w:tcPr>
          <w:p w14:paraId="736AD30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54,438</w:t>
            </w:r>
          </w:p>
        </w:tc>
      </w:tr>
      <w:tr w:rsidR="00B21189" w:rsidRPr="00445472" w14:paraId="7D475F3F" w14:textId="77777777" w:rsidTr="002A1F08">
        <w:trPr>
          <w:trHeight w:val="1035"/>
        </w:trPr>
        <w:tc>
          <w:tcPr>
            <w:tcW w:w="1259" w:type="dxa"/>
            <w:shd w:val="clear" w:color="auto" w:fill="auto"/>
            <w:vAlign w:val="center"/>
            <w:hideMark/>
          </w:tcPr>
          <w:p w14:paraId="126FFC9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2384" w:type="dxa"/>
            <w:shd w:val="clear" w:color="auto" w:fill="auto"/>
            <w:vAlign w:val="center"/>
            <w:hideMark/>
          </w:tcPr>
          <w:p w14:paraId="6D390A8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 Ana e Malit, Berdicë, Dajç, Guri i Zi, Postribe, Pult, Rrethinat, Shalë, Shosh, Velipojë</w:t>
            </w:r>
          </w:p>
        </w:tc>
        <w:tc>
          <w:tcPr>
            <w:tcW w:w="793" w:type="dxa"/>
            <w:shd w:val="clear" w:color="auto" w:fill="auto"/>
            <w:vAlign w:val="center"/>
            <w:hideMark/>
          </w:tcPr>
          <w:p w14:paraId="4056FF8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U/R</w:t>
            </w:r>
          </w:p>
        </w:tc>
        <w:tc>
          <w:tcPr>
            <w:tcW w:w="1328" w:type="dxa"/>
            <w:shd w:val="clear" w:color="auto" w:fill="auto"/>
            <w:vAlign w:val="center"/>
            <w:hideMark/>
          </w:tcPr>
          <w:p w14:paraId="649556A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3,756,291</w:t>
            </w:r>
          </w:p>
        </w:tc>
        <w:tc>
          <w:tcPr>
            <w:tcW w:w="1050" w:type="dxa"/>
            <w:shd w:val="clear" w:color="auto" w:fill="auto"/>
            <w:vAlign w:val="center"/>
            <w:hideMark/>
          </w:tcPr>
          <w:p w14:paraId="502912A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40</w:t>
            </w:r>
          </w:p>
        </w:tc>
        <w:tc>
          <w:tcPr>
            <w:tcW w:w="1340" w:type="dxa"/>
            <w:shd w:val="clear" w:color="auto" w:fill="auto"/>
            <w:vAlign w:val="center"/>
            <w:hideMark/>
          </w:tcPr>
          <w:p w14:paraId="52BCE13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150,251,626</w:t>
            </w:r>
          </w:p>
        </w:tc>
        <w:tc>
          <w:tcPr>
            <w:tcW w:w="1329" w:type="dxa"/>
            <w:shd w:val="clear" w:color="auto" w:fill="auto"/>
            <w:vAlign w:val="center"/>
            <w:hideMark/>
          </w:tcPr>
          <w:p w14:paraId="3319BBD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1,096,847</w:t>
            </w:r>
          </w:p>
        </w:tc>
      </w:tr>
    </w:tbl>
    <w:p w14:paraId="361DECAC" w14:textId="77777777" w:rsidR="00B21189" w:rsidRPr="00445472" w:rsidRDefault="00B21189" w:rsidP="00B21189">
      <w:pPr>
        <w:pStyle w:val="NENTITULL"/>
      </w:pPr>
    </w:p>
    <w:p w14:paraId="5B7C3AC1" w14:textId="468B281B" w:rsidR="00B21189" w:rsidRPr="00445472" w:rsidRDefault="00B21189" w:rsidP="00B21189">
      <w:pPr>
        <w:pStyle w:val="NENTITULL"/>
      </w:pPr>
      <w:r w:rsidRPr="00445472">
        <w:t xml:space="preserve">Tabela A 4.10: Parashikimet demografike në Basenin Ujor </w:t>
      </w:r>
      <w:r w:rsidR="007E76E3" w:rsidRPr="00445472">
        <w:t>Drin–Bunë</w:t>
      </w:r>
    </w:p>
    <w:tbl>
      <w:tblPr>
        <w:tblW w:w="9569"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105"/>
        <w:gridCol w:w="1058"/>
        <w:gridCol w:w="1058"/>
        <w:gridCol w:w="1058"/>
        <w:gridCol w:w="1058"/>
        <w:gridCol w:w="1058"/>
        <w:gridCol w:w="1058"/>
        <w:gridCol w:w="1058"/>
        <w:gridCol w:w="1058"/>
      </w:tblGrid>
      <w:tr w:rsidR="00B21189" w:rsidRPr="00445472" w14:paraId="7ED9508C" w14:textId="77777777" w:rsidTr="00B21189">
        <w:trPr>
          <w:trHeight w:val="270"/>
          <w:jc w:val="center"/>
        </w:trPr>
        <w:tc>
          <w:tcPr>
            <w:tcW w:w="1105" w:type="dxa"/>
            <w:shd w:val="clear" w:color="000000" w:fill="FFE7BF"/>
            <w:vAlign w:val="center"/>
            <w:hideMark/>
          </w:tcPr>
          <w:p w14:paraId="47E6F3FA"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 </w:t>
            </w:r>
          </w:p>
        </w:tc>
        <w:tc>
          <w:tcPr>
            <w:tcW w:w="1058" w:type="dxa"/>
            <w:shd w:val="clear" w:color="000000" w:fill="FFE7BF"/>
            <w:vAlign w:val="center"/>
            <w:hideMark/>
          </w:tcPr>
          <w:p w14:paraId="022A8CF3"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2011</w:t>
            </w:r>
          </w:p>
        </w:tc>
        <w:tc>
          <w:tcPr>
            <w:tcW w:w="1058" w:type="dxa"/>
            <w:shd w:val="clear" w:color="000000" w:fill="FFE7BF"/>
            <w:vAlign w:val="center"/>
            <w:hideMark/>
          </w:tcPr>
          <w:p w14:paraId="356DF290"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2016</w:t>
            </w:r>
          </w:p>
        </w:tc>
        <w:tc>
          <w:tcPr>
            <w:tcW w:w="1058" w:type="dxa"/>
            <w:shd w:val="clear" w:color="000000" w:fill="FFE7BF"/>
            <w:vAlign w:val="center"/>
            <w:hideMark/>
          </w:tcPr>
          <w:p w14:paraId="55FF3F34"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2017</w:t>
            </w:r>
          </w:p>
        </w:tc>
        <w:tc>
          <w:tcPr>
            <w:tcW w:w="1058" w:type="dxa"/>
            <w:shd w:val="clear" w:color="000000" w:fill="FFE7BF"/>
            <w:vAlign w:val="center"/>
            <w:hideMark/>
          </w:tcPr>
          <w:p w14:paraId="3C2883E9"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2018</w:t>
            </w:r>
          </w:p>
        </w:tc>
        <w:tc>
          <w:tcPr>
            <w:tcW w:w="1058" w:type="dxa"/>
            <w:shd w:val="clear" w:color="000000" w:fill="FFE7BF"/>
            <w:vAlign w:val="center"/>
            <w:hideMark/>
          </w:tcPr>
          <w:p w14:paraId="79594933"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2019</w:t>
            </w:r>
          </w:p>
        </w:tc>
        <w:tc>
          <w:tcPr>
            <w:tcW w:w="1058" w:type="dxa"/>
            <w:shd w:val="clear" w:color="000000" w:fill="FFE7BF"/>
            <w:vAlign w:val="center"/>
            <w:hideMark/>
          </w:tcPr>
          <w:p w14:paraId="715A1546"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2020</w:t>
            </w:r>
          </w:p>
        </w:tc>
        <w:tc>
          <w:tcPr>
            <w:tcW w:w="1058" w:type="dxa"/>
            <w:shd w:val="clear" w:color="000000" w:fill="FFE7BF"/>
            <w:vAlign w:val="center"/>
            <w:hideMark/>
          </w:tcPr>
          <w:p w14:paraId="27EF0010"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2021</w:t>
            </w:r>
          </w:p>
        </w:tc>
        <w:tc>
          <w:tcPr>
            <w:tcW w:w="1058" w:type="dxa"/>
            <w:shd w:val="clear" w:color="000000" w:fill="FFE7BF"/>
            <w:vAlign w:val="center"/>
            <w:hideMark/>
          </w:tcPr>
          <w:p w14:paraId="16E2335E" w14:textId="77777777" w:rsidR="00B21189" w:rsidRPr="00445472" w:rsidRDefault="00B21189" w:rsidP="002A1F08">
            <w:pPr>
              <w:spacing w:before="22" w:after="22"/>
              <w:ind w:right="63"/>
              <w:jc w:val="center"/>
              <w:rPr>
                <w:rFonts w:ascii="Garamond" w:eastAsia="MS Mincho" w:hAnsi="Garamond" w:cs="Arial"/>
                <w:b/>
                <w:sz w:val="16"/>
                <w:szCs w:val="16"/>
                <w:lang w:eastAsia="en-GB"/>
              </w:rPr>
            </w:pPr>
            <w:r w:rsidRPr="00445472">
              <w:rPr>
                <w:rFonts w:ascii="Garamond" w:eastAsia="MS Mincho" w:hAnsi="Garamond" w:cs="Arial"/>
                <w:b/>
                <w:sz w:val="16"/>
                <w:szCs w:val="16"/>
                <w:lang w:eastAsia="en-GB"/>
              </w:rPr>
              <w:t>2022</w:t>
            </w:r>
          </w:p>
        </w:tc>
      </w:tr>
      <w:tr w:rsidR="00B21189" w:rsidRPr="00445472" w14:paraId="30739DC0" w14:textId="77777777" w:rsidTr="00B21189">
        <w:trPr>
          <w:trHeight w:val="270"/>
          <w:jc w:val="center"/>
        </w:trPr>
        <w:tc>
          <w:tcPr>
            <w:tcW w:w="1105" w:type="dxa"/>
            <w:shd w:val="clear" w:color="000000" w:fill="FFE7BF"/>
            <w:vAlign w:val="center"/>
            <w:hideMark/>
          </w:tcPr>
          <w:p w14:paraId="71F3FBE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Kombëtare</w:t>
            </w:r>
          </w:p>
        </w:tc>
        <w:tc>
          <w:tcPr>
            <w:tcW w:w="1058" w:type="dxa"/>
            <w:tcBorders>
              <w:bottom w:val="single" w:sz="4" w:space="0" w:color="27B1B0"/>
            </w:tcBorders>
            <w:shd w:val="clear" w:color="000000" w:fill="FFE7BF"/>
            <w:vAlign w:val="center"/>
            <w:hideMark/>
          </w:tcPr>
          <w:p w14:paraId="381490A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2,907,361</w:t>
            </w:r>
          </w:p>
        </w:tc>
        <w:tc>
          <w:tcPr>
            <w:tcW w:w="1058" w:type="dxa"/>
            <w:shd w:val="clear" w:color="000000" w:fill="FFE7BF"/>
            <w:vAlign w:val="center"/>
            <w:hideMark/>
          </w:tcPr>
          <w:p w14:paraId="07FF5E7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2,906,871</w:t>
            </w:r>
          </w:p>
        </w:tc>
        <w:tc>
          <w:tcPr>
            <w:tcW w:w="1058" w:type="dxa"/>
            <w:shd w:val="clear" w:color="000000" w:fill="FFE7BF"/>
            <w:vAlign w:val="center"/>
            <w:hideMark/>
          </w:tcPr>
          <w:p w14:paraId="6AD7F3B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2,911,407</w:t>
            </w:r>
          </w:p>
        </w:tc>
        <w:tc>
          <w:tcPr>
            <w:tcW w:w="1058" w:type="dxa"/>
            <w:shd w:val="clear" w:color="000000" w:fill="FFE7BF"/>
            <w:vAlign w:val="center"/>
            <w:hideMark/>
          </w:tcPr>
          <w:p w14:paraId="79AD905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2,917,409</w:t>
            </w:r>
          </w:p>
        </w:tc>
        <w:tc>
          <w:tcPr>
            <w:tcW w:w="1058" w:type="dxa"/>
            <w:shd w:val="clear" w:color="000000" w:fill="FFE7BF"/>
            <w:vAlign w:val="center"/>
            <w:hideMark/>
          </w:tcPr>
          <w:p w14:paraId="12864F5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2,924,807</w:t>
            </w:r>
          </w:p>
        </w:tc>
        <w:tc>
          <w:tcPr>
            <w:tcW w:w="1058" w:type="dxa"/>
            <w:shd w:val="clear" w:color="000000" w:fill="FFE7BF"/>
            <w:vAlign w:val="center"/>
            <w:hideMark/>
          </w:tcPr>
          <w:p w14:paraId="459F77D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2,933,530</w:t>
            </w:r>
          </w:p>
        </w:tc>
        <w:tc>
          <w:tcPr>
            <w:tcW w:w="1058" w:type="dxa"/>
            <w:shd w:val="clear" w:color="000000" w:fill="FFE7BF"/>
            <w:vAlign w:val="center"/>
            <w:hideMark/>
          </w:tcPr>
          <w:p w14:paraId="11C4E01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2,943,520</w:t>
            </w:r>
          </w:p>
        </w:tc>
        <w:tc>
          <w:tcPr>
            <w:tcW w:w="1058" w:type="dxa"/>
            <w:shd w:val="clear" w:color="000000" w:fill="FFE7BF"/>
            <w:vAlign w:val="center"/>
            <w:hideMark/>
          </w:tcPr>
          <w:p w14:paraId="48D50D7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2,955,010</w:t>
            </w:r>
          </w:p>
        </w:tc>
      </w:tr>
      <w:tr w:rsidR="00B21189" w:rsidRPr="00445472" w14:paraId="63A5DDF8" w14:textId="77777777" w:rsidTr="00B21189">
        <w:trPr>
          <w:trHeight w:val="270"/>
          <w:jc w:val="center"/>
        </w:trPr>
        <w:tc>
          <w:tcPr>
            <w:tcW w:w="1105" w:type="dxa"/>
            <w:shd w:val="clear" w:color="auto" w:fill="auto"/>
            <w:vAlign w:val="center"/>
            <w:hideMark/>
          </w:tcPr>
          <w:p w14:paraId="5E7795B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1058" w:type="dxa"/>
            <w:shd w:val="clear" w:color="000000" w:fill="auto"/>
            <w:vAlign w:val="center"/>
            <w:hideMark/>
          </w:tcPr>
          <w:p w14:paraId="2CB71B1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237,696</w:t>
            </w:r>
          </w:p>
        </w:tc>
        <w:tc>
          <w:tcPr>
            <w:tcW w:w="1058" w:type="dxa"/>
            <w:shd w:val="clear" w:color="auto" w:fill="auto"/>
            <w:noWrap/>
            <w:vAlign w:val="center"/>
            <w:hideMark/>
          </w:tcPr>
          <w:p w14:paraId="079829F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237,656</w:t>
            </w:r>
          </w:p>
        </w:tc>
        <w:tc>
          <w:tcPr>
            <w:tcW w:w="1058" w:type="dxa"/>
            <w:shd w:val="clear" w:color="auto" w:fill="auto"/>
            <w:noWrap/>
            <w:vAlign w:val="center"/>
            <w:hideMark/>
          </w:tcPr>
          <w:p w14:paraId="738F8B7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238,027</w:t>
            </w:r>
          </w:p>
        </w:tc>
        <w:tc>
          <w:tcPr>
            <w:tcW w:w="1058" w:type="dxa"/>
            <w:shd w:val="clear" w:color="auto" w:fill="auto"/>
            <w:noWrap/>
            <w:vAlign w:val="center"/>
            <w:hideMark/>
          </w:tcPr>
          <w:p w14:paraId="64E5B1F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238,517</w:t>
            </w:r>
          </w:p>
        </w:tc>
        <w:tc>
          <w:tcPr>
            <w:tcW w:w="1058" w:type="dxa"/>
            <w:shd w:val="clear" w:color="auto" w:fill="auto"/>
            <w:noWrap/>
            <w:vAlign w:val="center"/>
            <w:hideMark/>
          </w:tcPr>
          <w:p w14:paraId="5AEA107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239,122</w:t>
            </w:r>
          </w:p>
        </w:tc>
        <w:tc>
          <w:tcPr>
            <w:tcW w:w="1058" w:type="dxa"/>
            <w:shd w:val="clear" w:color="auto" w:fill="auto"/>
            <w:noWrap/>
            <w:vAlign w:val="center"/>
            <w:hideMark/>
          </w:tcPr>
          <w:p w14:paraId="6085E7F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239,835</w:t>
            </w:r>
          </w:p>
        </w:tc>
        <w:tc>
          <w:tcPr>
            <w:tcW w:w="1058" w:type="dxa"/>
            <w:shd w:val="clear" w:color="auto" w:fill="auto"/>
            <w:noWrap/>
            <w:vAlign w:val="center"/>
            <w:hideMark/>
          </w:tcPr>
          <w:p w14:paraId="0C1FCC1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240,652</w:t>
            </w:r>
          </w:p>
        </w:tc>
        <w:tc>
          <w:tcPr>
            <w:tcW w:w="1058" w:type="dxa"/>
            <w:shd w:val="clear" w:color="auto" w:fill="auto"/>
            <w:noWrap/>
            <w:vAlign w:val="center"/>
            <w:hideMark/>
          </w:tcPr>
          <w:p w14:paraId="3AE44E8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241,592</w:t>
            </w:r>
          </w:p>
        </w:tc>
      </w:tr>
      <w:tr w:rsidR="00B21189" w:rsidRPr="00445472" w14:paraId="532DE75E" w14:textId="77777777" w:rsidTr="00B21189">
        <w:trPr>
          <w:trHeight w:val="270"/>
          <w:jc w:val="center"/>
        </w:trPr>
        <w:tc>
          <w:tcPr>
            <w:tcW w:w="1105" w:type="dxa"/>
            <w:shd w:val="clear" w:color="auto" w:fill="auto"/>
            <w:vAlign w:val="center"/>
            <w:hideMark/>
          </w:tcPr>
          <w:p w14:paraId="6D416B2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Kukës</w:t>
            </w:r>
          </w:p>
        </w:tc>
        <w:tc>
          <w:tcPr>
            <w:tcW w:w="1058" w:type="dxa"/>
            <w:shd w:val="clear" w:color="000000" w:fill="auto"/>
            <w:vAlign w:val="center"/>
            <w:hideMark/>
          </w:tcPr>
          <w:p w14:paraId="01B7AA6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63,338</w:t>
            </w:r>
          </w:p>
        </w:tc>
        <w:tc>
          <w:tcPr>
            <w:tcW w:w="1058" w:type="dxa"/>
            <w:shd w:val="clear" w:color="auto" w:fill="auto"/>
            <w:noWrap/>
            <w:vAlign w:val="center"/>
            <w:hideMark/>
          </w:tcPr>
          <w:p w14:paraId="7E10198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63,327</w:t>
            </w:r>
          </w:p>
        </w:tc>
        <w:tc>
          <w:tcPr>
            <w:tcW w:w="1058" w:type="dxa"/>
            <w:shd w:val="clear" w:color="auto" w:fill="auto"/>
            <w:noWrap/>
            <w:vAlign w:val="center"/>
            <w:hideMark/>
          </w:tcPr>
          <w:p w14:paraId="4AB095D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63,426</w:t>
            </w:r>
          </w:p>
        </w:tc>
        <w:tc>
          <w:tcPr>
            <w:tcW w:w="1058" w:type="dxa"/>
            <w:shd w:val="clear" w:color="auto" w:fill="auto"/>
            <w:noWrap/>
            <w:vAlign w:val="center"/>
            <w:hideMark/>
          </w:tcPr>
          <w:p w14:paraId="7371D17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63,557</w:t>
            </w:r>
          </w:p>
        </w:tc>
        <w:tc>
          <w:tcPr>
            <w:tcW w:w="1058" w:type="dxa"/>
            <w:shd w:val="clear" w:color="auto" w:fill="auto"/>
            <w:noWrap/>
            <w:vAlign w:val="center"/>
            <w:hideMark/>
          </w:tcPr>
          <w:p w14:paraId="707EADE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63,718</w:t>
            </w:r>
          </w:p>
        </w:tc>
        <w:tc>
          <w:tcPr>
            <w:tcW w:w="1058" w:type="dxa"/>
            <w:shd w:val="clear" w:color="auto" w:fill="auto"/>
            <w:noWrap/>
            <w:vAlign w:val="center"/>
            <w:hideMark/>
          </w:tcPr>
          <w:p w14:paraId="46E377A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63,908</w:t>
            </w:r>
          </w:p>
        </w:tc>
        <w:tc>
          <w:tcPr>
            <w:tcW w:w="1058" w:type="dxa"/>
            <w:shd w:val="clear" w:color="auto" w:fill="auto"/>
            <w:noWrap/>
            <w:vAlign w:val="center"/>
            <w:hideMark/>
          </w:tcPr>
          <w:p w14:paraId="1F72F73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64,126</w:t>
            </w:r>
          </w:p>
        </w:tc>
        <w:tc>
          <w:tcPr>
            <w:tcW w:w="1058" w:type="dxa"/>
            <w:shd w:val="clear" w:color="auto" w:fill="auto"/>
            <w:noWrap/>
            <w:vAlign w:val="center"/>
            <w:hideMark/>
          </w:tcPr>
          <w:p w14:paraId="188220B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64,376</w:t>
            </w:r>
          </w:p>
        </w:tc>
      </w:tr>
      <w:tr w:rsidR="00B21189" w:rsidRPr="00445472" w14:paraId="3328ABD2" w14:textId="77777777" w:rsidTr="00B21189">
        <w:trPr>
          <w:trHeight w:val="270"/>
          <w:jc w:val="center"/>
        </w:trPr>
        <w:tc>
          <w:tcPr>
            <w:tcW w:w="1105" w:type="dxa"/>
            <w:shd w:val="clear" w:color="auto" w:fill="auto"/>
            <w:vAlign w:val="center"/>
            <w:hideMark/>
          </w:tcPr>
          <w:p w14:paraId="2311E7A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Dibër</w:t>
            </w:r>
          </w:p>
        </w:tc>
        <w:tc>
          <w:tcPr>
            <w:tcW w:w="1058" w:type="dxa"/>
            <w:shd w:val="clear" w:color="000000" w:fill="auto"/>
            <w:vAlign w:val="center"/>
            <w:hideMark/>
          </w:tcPr>
          <w:p w14:paraId="00F0B7B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46,895</w:t>
            </w:r>
          </w:p>
        </w:tc>
        <w:tc>
          <w:tcPr>
            <w:tcW w:w="1058" w:type="dxa"/>
            <w:shd w:val="clear" w:color="auto" w:fill="auto"/>
            <w:noWrap/>
            <w:vAlign w:val="center"/>
            <w:hideMark/>
          </w:tcPr>
          <w:p w14:paraId="2DC52E0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46,887</w:t>
            </w:r>
          </w:p>
        </w:tc>
        <w:tc>
          <w:tcPr>
            <w:tcW w:w="1058" w:type="dxa"/>
            <w:shd w:val="clear" w:color="auto" w:fill="auto"/>
            <w:noWrap/>
            <w:vAlign w:val="center"/>
            <w:hideMark/>
          </w:tcPr>
          <w:p w14:paraId="00841CD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46,960</w:t>
            </w:r>
          </w:p>
        </w:tc>
        <w:tc>
          <w:tcPr>
            <w:tcW w:w="1058" w:type="dxa"/>
            <w:shd w:val="clear" w:color="auto" w:fill="auto"/>
            <w:noWrap/>
            <w:vAlign w:val="center"/>
            <w:hideMark/>
          </w:tcPr>
          <w:p w14:paraId="67521B1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47,057</w:t>
            </w:r>
          </w:p>
        </w:tc>
        <w:tc>
          <w:tcPr>
            <w:tcW w:w="1058" w:type="dxa"/>
            <w:shd w:val="clear" w:color="auto" w:fill="auto"/>
            <w:noWrap/>
            <w:vAlign w:val="center"/>
            <w:hideMark/>
          </w:tcPr>
          <w:p w14:paraId="53E6E49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47,176</w:t>
            </w:r>
          </w:p>
        </w:tc>
        <w:tc>
          <w:tcPr>
            <w:tcW w:w="1058" w:type="dxa"/>
            <w:shd w:val="clear" w:color="auto" w:fill="auto"/>
            <w:noWrap/>
            <w:vAlign w:val="center"/>
            <w:hideMark/>
          </w:tcPr>
          <w:p w14:paraId="5BDB5EC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47,317</w:t>
            </w:r>
          </w:p>
        </w:tc>
        <w:tc>
          <w:tcPr>
            <w:tcW w:w="1058" w:type="dxa"/>
            <w:shd w:val="clear" w:color="auto" w:fill="auto"/>
            <w:noWrap/>
            <w:vAlign w:val="center"/>
            <w:hideMark/>
          </w:tcPr>
          <w:p w14:paraId="09CFB27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47,478</w:t>
            </w:r>
          </w:p>
        </w:tc>
        <w:tc>
          <w:tcPr>
            <w:tcW w:w="1058" w:type="dxa"/>
            <w:shd w:val="clear" w:color="auto" w:fill="auto"/>
            <w:noWrap/>
            <w:vAlign w:val="center"/>
            <w:hideMark/>
          </w:tcPr>
          <w:p w14:paraId="7FFD4AB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47,664</w:t>
            </w:r>
          </w:p>
        </w:tc>
      </w:tr>
      <w:tr w:rsidR="00B21189" w:rsidRPr="00445472" w14:paraId="7812DB16" w14:textId="77777777" w:rsidTr="00B21189">
        <w:trPr>
          <w:trHeight w:val="270"/>
          <w:jc w:val="center"/>
        </w:trPr>
        <w:tc>
          <w:tcPr>
            <w:tcW w:w="1105" w:type="dxa"/>
            <w:shd w:val="clear" w:color="auto" w:fill="auto"/>
            <w:vAlign w:val="center"/>
            <w:hideMark/>
          </w:tcPr>
          <w:p w14:paraId="3A5460A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Lezhë</w:t>
            </w:r>
          </w:p>
        </w:tc>
        <w:tc>
          <w:tcPr>
            <w:tcW w:w="1058" w:type="dxa"/>
            <w:shd w:val="clear" w:color="000000" w:fill="auto"/>
            <w:vAlign w:val="center"/>
            <w:hideMark/>
          </w:tcPr>
          <w:p w14:paraId="520C6D1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35,000</w:t>
            </w:r>
          </w:p>
        </w:tc>
        <w:tc>
          <w:tcPr>
            <w:tcW w:w="1058" w:type="dxa"/>
            <w:shd w:val="clear" w:color="auto" w:fill="auto"/>
            <w:noWrap/>
            <w:vAlign w:val="center"/>
            <w:hideMark/>
          </w:tcPr>
          <w:p w14:paraId="41C2BCD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34,994</w:t>
            </w:r>
          </w:p>
        </w:tc>
        <w:tc>
          <w:tcPr>
            <w:tcW w:w="1058" w:type="dxa"/>
            <w:shd w:val="clear" w:color="auto" w:fill="auto"/>
            <w:noWrap/>
            <w:vAlign w:val="center"/>
            <w:hideMark/>
          </w:tcPr>
          <w:p w14:paraId="66D34CA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35,049</w:t>
            </w:r>
          </w:p>
        </w:tc>
        <w:tc>
          <w:tcPr>
            <w:tcW w:w="1058" w:type="dxa"/>
            <w:shd w:val="clear" w:color="auto" w:fill="auto"/>
            <w:noWrap/>
            <w:vAlign w:val="center"/>
            <w:hideMark/>
          </w:tcPr>
          <w:p w14:paraId="532FDC7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35,121</w:t>
            </w:r>
          </w:p>
        </w:tc>
        <w:tc>
          <w:tcPr>
            <w:tcW w:w="1058" w:type="dxa"/>
            <w:shd w:val="clear" w:color="auto" w:fill="auto"/>
            <w:noWrap/>
            <w:vAlign w:val="center"/>
            <w:hideMark/>
          </w:tcPr>
          <w:p w14:paraId="6E296D2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35,210</w:t>
            </w:r>
          </w:p>
        </w:tc>
        <w:tc>
          <w:tcPr>
            <w:tcW w:w="1058" w:type="dxa"/>
            <w:shd w:val="clear" w:color="auto" w:fill="auto"/>
            <w:noWrap/>
            <w:vAlign w:val="center"/>
            <w:hideMark/>
          </w:tcPr>
          <w:p w14:paraId="464CC27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35,315</w:t>
            </w:r>
          </w:p>
        </w:tc>
        <w:tc>
          <w:tcPr>
            <w:tcW w:w="1058" w:type="dxa"/>
            <w:shd w:val="clear" w:color="auto" w:fill="auto"/>
            <w:noWrap/>
            <w:vAlign w:val="center"/>
            <w:hideMark/>
          </w:tcPr>
          <w:p w14:paraId="09CE091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35,435</w:t>
            </w:r>
          </w:p>
        </w:tc>
        <w:tc>
          <w:tcPr>
            <w:tcW w:w="1058" w:type="dxa"/>
            <w:shd w:val="clear" w:color="auto" w:fill="auto"/>
            <w:noWrap/>
            <w:vAlign w:val="center"/>
            <w:hideMark/>
          </w:tcPr>
          <w:p w14:paraId="4040268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35,574</w:t>
            </w:r>
          </w:p>
        </w:tc>
      </w:tr>
      <w:tr w:rsidR="00B21189" w:rsidRPr="00445472" w14:paraId="07F602CD" w14:textId="77777777" w:rsidTr="00B21189">
        <w:trPr>
          <w:trHeight w:val="255"/>
          <w:jc w:val="center"/>
        </w:trPr>
        <w:tc>
          <w:tcPr>
            <w:tcW w:w="1105" w:type="dxa"/>
            <w:shd w:val="clear" w:color="auto" w:fill="auto"/>
            <w:vAlign w:val="center"/>
            <w:hideMark/>
          </w:tcPr>
          <w:p w14:paraId="066BD73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Korçë</w:t>
            </w:r>
          </w:p>
        </w:tc>
        <w:tc>
          <w:tcPr>
            <w:tcW w:w="1058" w:type="dxa"/>
            <w:shd w:val="clear" w:color="000000" w:fill="auto"/>
            <w:vAlign w:val="center"/>
            <w:hideMark/>
          </w:tcPr>
          <w:p w14:paraId="722C85D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59,680</w:t>
            </w:r>
          </w:p>
        </w:tc>
        <w:tc>
          <w:tcPr>
            <w:tcW w:w="1058" w:type="dxa"/>
            <w:shd w:val="clear" w:color="auto" w:fill="auto"/>
            <w:noWrap/>
            <w:vAlign w:val="center"/>
            <w:hideMark/>
          </w:tcPr>
          <w:p w14:paraId="311764A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59,670</w:t>
            </w:r>
          </w:p>
        </w:tc>
        <w:tc>
          <w:tcPr>
            <w:tcW w:w="1058" w:type="dxa"/>
            <w:shd w:val="clear" w:color="auto" w:fill="auto"/>
            <w:noWrap/>
            <w:vAlign w:val="center"/>
            <w:hideMark/>
          </w:tcPr>
          <w:p w14:paraId="697DCCC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59,763</w:t>
            </w:r>
          </w:p>
        </w:tc>
        <w:tc>
          <w:tcPr>
            <w:tcW w:w="1058" w:type="dxa"/>
            <w:shd w:val="clear" w:color="auto" w:fill="auto"/>
            <w:noWrap/>
            <w:vAlign w:val="center"/>
            <w:hideMark/>
          </w:tcPr>
          <w:p w14:paraId="1A252A1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59,886</w:t>
            </w:r>
          </w:p>
        </w:tc>
        <w:tc>
          <w:tcPr>
            <w:tcW w:w="1058" w:type="dxa"/>
            <w:shd w:val="clear" w:color="auto" w:fill="auto"/>
            <w:noWrap/>
            <w:vAlign w:val="center"/>
            <w:hideMark/>
          </w:tcPr>
          <w:p w14:paraId="1ECD42C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60,038</w:t>
            </w:r>
          </w:p>
        </w:tc>
        <w:tc>
          <w:tcPr>
            <w:tcW w:w="1058" w:type="dxa"/>
            <w:shd w:val="clear" w:color="auto" w:fill="auto"/>
            <w:noWrap/>
            <w:vAlign w:val="center"/>
            <w:hideMark/>
          </w:tcPr>
          <w:p w14:paraId="43876E2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60,217</w:t>
            </w:r>
          </w:p>
        </w:tc>
        <w:tc>
          <w:tcPr>
            <w:tcW w:w="1058" w:type="dxa"/>
            <w:shd w:val="clear" w:color="auto" w:fill="auto"/>
            <w:noWrap/>
            <w:vAlign w:val="center"/>
            <w:hideMark/>
          </w:tcPr>
          <w:p w14:paraId="3D99F8A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60,422</w:t>
            </w:r>
          </w:p>
        </w:tc>
        <w:tc>
          <w:tcPr>
            <w:tcW w:w="1058" w:type="dxa"/>
            <w:shd w:val="clear" w:color="auto" w:fill="auto"/>
            <w:noWrap/>
            <w:vAlign w:val="center"/>
            <w:hideMark/>
          </w:tcPr>
          <w:p w14:paraId="56E41B3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60,658</w:t>
            </w:r>
          </w:p>
        </w:tc>
      </w:tr>
    </w:tbl>
    <w:p w14:paraId="03D62DD2" w14:textId="77777777" w:rsidR="00B21189" w:rsidRPr="00445472" w:rsidRDefault="00B21189" w:rsidP="00B21189">
      <w:pPr>
        <w:pStyle w:val="TEKSTIIII"/>
        <w:rPr>
          <w:sz w:val="14"/>
        </w:rPr>
      </w:pPr>
    </w:p>
    <w:tbl>
      <w:tblPr>
        <w:tblW w:w="9569" w:type="dxa"/>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105"/>
        <w:gridCol w:w="1058"/>
        <w:gridCol w:w="1058"/>
        <w:gridCol w:w="1058"/>
        <w:gridCol w:w="1058"/>
        <w:gridCol w:w="1058"/>
        <w:gridCol w:w="1058"/>
        <w:gridCol w:w="1058"/>
        <w:gridCol w:w="1058"/>
      </w:tblGrid>
      <w:tr w:rsidR="00B21189" w:rsidRPr="00445472" w14:paraId="06D60627" w14:textId="77777777" w:rsidTr="00B21189">
        <w:trPr>
          <w:trHeight w:val="270"/>
          <w:jc w:val="center"/>
        </w:trPr>
        <w:tc>
          <w:tcPr>
            <w:tcW w:w="1105" w:type="dxa"/>
            <w:shd w:val="clear" w:color="000000" w:fill="FFE7BF"/>
            <w:vAlign w:val="center"/>
            <w:hideMark/>
          </w:tcPr>
          <w:p w14:paraId="4AA87F5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 </w:t>
            </w:r>
          </w:p>
        </w:tc>
        <w:tc>
          <w:tcPr>
            <w:tcW w:w="1058" w:type="dxa"/>
            <w:shd w:val="clear" w:color="000000" w:fill="FFE7BF"/>
            <w:vAlign w:val="center"/>
            <w:hideMark/>
          </w:tcPr>
          <w:p w14:paraId="3D2B2E3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2023</w:t>
            </w:r>
          </w:p>
        </w:tc>
        <w:tc>
          <w:tcPr>
            <w:tcW w:w="1058" w:type="dxa"/>
            <w:shd w:val="clear" w:color="000000" w:fill="FFE7BF"/>
            <w:vAlign w:val="center"/>
            <w:hideMark/>
          </w:tcPr>
          <w:p w14:paraId="3C97B6A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2024</w:t>
            </w:r>
          </w:p>
        </w:tc>
        <w:tc>
          <w:tcPr>
            <w:tcW w:w="1058" w:type="dxa"/>
            <w:shd w:val="clear" w:color="000000" w:fill="FFE7BF"/>
            <w:vAlign w:val="center"/>
            <w:hideMark/>
          </w:tcPr>
          <w:p w14:paraId="234664D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2025</w:t>
            </w:r>
          </w:p>
        </w:tc>
        <w:tc>
          <w:tcPr>
            <w:tcW w:w="1058" w:type="dxa"/>
            <w:shd w:val="clear" w:color="000000" w:fill="FFE7BF"/>
            <w:vAlign w:val="center"/>
            <w:hideMark/>
          </w:tcPr>
          <w:p w14:paraId="5E96FC2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2026</w:t>
            </w:r>
          </w:p>
        </w:tc>
        <w:tc>
          <w:tcPr>
            <w:tcW w:w="1058" w:type="dxa"/>
            <w:shd w:val="clear" w:color="000000" w:fill="FFE7BF"/>
            <w:vAlign w:val="center"/>
            <w:hideMark/>
          </w:tcPr>
          <w:p w14:paraId="6153FD3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2027</w:t>
            </w:r>
          </w:p>
        </w:tc>
        <w:tc>
          <w:tcPr>
            <w:tcW w:w="1058" w:type="dxa"/>
            <w:shd w:val="clear" w:color="000000" w:fill="FFE7BF"/>
            <w:vAlign w:val="center"/>
            <w:hideMark/>
          </w:tcPr>
          <w:p w14:paraId="6E25344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2028</w:t>
            </w:r>
          </w:p>
        </w:tc>
        <w:tc>
          <w:tcPr>
            <w:tcW w:w="1058" w:type="dxa"/>
            <w:shd w:val="clear" w:color="000000" w:fill="FFE7BF"/>
            <w:vAlign w:val="center"/>
            <w:hideMark/>
          </w:tcPr>
          <w:p w14:paraId="2452EB0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2029</w:t>
            </w:r>
          </w:p>
        </w:tc>
        <w:tc>
          <w:tcPr>
            <w:tcW w:w="1058" w:type="dxa"/>
            <w:shd w:val="clear" w:color="000000" w:fill="FFE7BF"/>
            <w:vAlign w:val="center"/>
            <w:hideMark/>
          </w:tcPr>
          <w:p w14:paraId="1C0F024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2030</w:t>
            </w:r>
          </w:p>
        </w:tc>
      </w:tr>
      <w:tr w:rsidR="00B21189" w:rsidRPr="00445472" w14:paraId="7E27643D" w14:textId="77777777" w:rsidTr="00B21189">
        <w:trPr>
          <w:trHeight w:val="270"/>
          <w:jc w:val="center"/>
        </w:trPr>
        <w:tc>
          <w:tcPr>
            <w:tcW w:w="1105" w:type="dxa"/>
            <w:shd w:val="clear" w:color="000000" w:fill="FFE7BF"/>
            <w:vAlign w:val="center"/>
            <w:hideMark/>
          </w:tcPr>
          <w:p w14:paraId="5BB6C2C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Kombëtare</w:t>
            </w:r>
          </w:p>
        </w:tc>
        <w:tc>
          <w:tcPr>
            <w:tcW w:w="1058" w:type="dxa"/>
            <w:shd w:val="clear" w:color="000000" w:fill="FFE7BF"/>
            <w:vAlign w:val="center"/>
            <w:hideMark/>
          </w:tcPr>
          <w:p w14:paraId="0D5B70D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2,966,197</w:t>
            </w:r>
          </w:p>
        </w:tc>
        <w:tc>
          <w:tcPr>
            <w:tcW w:w="1058" w:type="dxa"/>
            <w:shd w:val="clear" w:color="000000" w:fill="FFE7BF"/>
            <w:vAlign w:val="center"/>
            <w:hideMark/>
          </w:tcPr>
          <w:p w14:paraId="0804971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2,976,953</w:t>
            </w:r>
          </w:p>
        </w:tc>
        <w:tc>
          <w:tcPr>
            <w:tcW w:w="1058" w:type="dxa"/>
            <w:shd w:val="clear" w:color="000000" w:fill="FFE7BF"/>
            <w:vAlign w:val="center"/>
            <w:hideMark/>
          </w:tcPr>
          <w:p w14:paraId="3324FC9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2,987,173</w:t>
            </w:r>
          </w:p>
        </w:tc>
        <w:tc>
          <w:tcPr>
            <w:tcW w:w="1058" w:type="dxa"/>
            <w:shd w:val="clear" w:color="000000" w:fill="FFE7BF"/>
            <w:vAlign w:val="center"/>
            <w:hideMark/>
          </w:tcPr>
          <w:p w14:paraId="2CF9E46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2,996,766</w:t>
            </w:r>
          </w:p>
        </w:tc>
        <w:tc>
          <w:tcPr>
            <w:tcW w:w="1058" w:type="dxa"/>
            <w:shd w:val="clear" w:color="000000" w:fill="FFE7BF"/>
            <w:vAlign w:val="center"/>
            <w:hideMark/>
          </w:tcPr>
          <w:p w14:paraId="09BCE15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3,005,655</w:t>
            </w:r>
          </w:p>
        </w:tc>
        <w:tc>
          <w:tcPr>
            <w:tcW w:w="1058" w:type="dxa"/>
            <w:shd w:val="clear" w:color="000000" w:fill="FFE7BF"/>
            <w:vAlign w:val="center"/>
            <w:hideMark/>
          </w:tcPr>
          <w:p w14:paraId="2E1DCC3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3,013,768</w:t>
            </w:r>
          </w:p>
        </w:tc>
        <w:tc>
          <w:tcPr>
            <w:tcW w:w="1058" w:type="dxa"/>
            <w:shd w:val="clear" w:color="000000" w:fill="FFE7BF"/>
            <w:vAlign w:val="center"/>
            <w:hideMark/>
          </w:tcPr>
          <w:p w14:paraId="482FBB8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3,021,054</w:t>
            </w:r>
          </w:p>
        </w:tc>
        <w:tc>
          <w:tcPr>
            <w:tcW w:w="1058" w:type="dxa"/>
            <w:shd w:val="clear" w:color="000000" w:fill="FFE7BF"/>
            <w:vAlign w:val="center"/>
            <w:hideMark/>
          </w:tcPr>
          <w:p w14:paraId="6A3B408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3,027,473</w:t>
            </w:r>
          </w:p>
        </w:tc>
      </w:tr>
      <w:tr w:rsidR="00B21189" w:rsidRPr="00445472" w14:paraId="646DFCA2" w14:textId="77777777" w:rsidTr="00B21189">
        <w:trPr>
          <w:trHeight w:val="270"/>
          <w:jc w:val="center"/>
        </w:trPr>
        <w:tc>
          <w:tcPr>
            <w:tcW w:w="1105" w:type="dxa"/>
            <w:shd w:val="clear" w:color="auto" w:fill="auto"/>
            <w:vAlign w:val="center"/>
            <w:hideMark/>
          </w:tcPr>
          <w:p w14:paraId="483D794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Shkodër</w:t>
            </w:r>
          </w:p>
        </w:tc>
        <w:tc>
          <w:tcPr>
            <w:tcW w:w="1058" w:type="dxa"/>
            <w:shd w:val="clear" w:color="auto" w:fill="auto"/>
            <w:noWrap/>
            <w:vAlign w:val="center"/>
            <w:hideMark/>
          </w:tcPr>
          <w:p w14:paraId="7961D7F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242,506</w:t>
            </w:r>
          </w:p>
        </w:tc>
        <w:tc>
          <w:tcPr>
            <w:tcW w:w="1058" w:type="dxa"/>
            <w:shd w:val="clear" w:color="auto" w:fill="auto"/>
            <w:noWrap/>
            <w:vAlign w:val="center"/>
            <w:hideMark/>
          </w:tcPr>
          <w:p w14:paraId="39A78D7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243,386</w:t>
            </w:r>
          </w:p>
        </w:tc>
        <w:tc>
          <w:tcPr>
            <w:tcW w:w="1058" w:type="dxa"/>
            <w:shd w:val="clear" w:color="auto" w:fill="auto"/>
            <w:noWrap/>
            <w:vAlign w:val="center"/>
            <w:hideMark/>
          </w:tcPr>
          <w:p w14:paraId="6BEA69E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244,221</w:t>
            </w:r>
          </w:p>
        </w:tc>
        <w:tc>
          <w:tcPr>
            <w:tcW w:w="1058" w:type="dxa"/>
            <w:shd w:val="clear" w:color="auto" w:fill="auto"/>
            <w:noWrap/>
            <w:vAlign w:val="center"/>
            <w:hideMark/>
          </w:tcPr>
          <w:p w14:paraId="1AED260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245,005</w:t>
            </w:r>
          </w:p>
        </w:tc>
        <w:tc>
          <w:tcPr>
            <w:tcW w:w="1058" w:type="dxa"/>
            <w:shd w:val="clear" w:color="auto" w:fill="auto"/>
            <w:noWrap/>
            <w:vAlign w:val="center"/>
            <w:hideMark/>
          </w:tcPr>
          <w:p w14:paraId="16D77D4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245,732</w:t>
            </w:r>
          </w:p>
        </w:tc>
        <w:tc>
          <w:tcPr>
            <w:tcW w:w="1058" w:type="dxa"/>
            <w:shd w:val="clear" w:color="auto" w:fill="auto"/>
            <w:noWrap/>
            <w:vAlign w:val="center"/>
            <w:hideMark/>
          </w:tcPr>
          <w:p w14:paraId="63EDFE3C"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246,395</w:t>
            </w:r>
          </w:p>
        </w:tc>
        <w:tc>
          <w:tcPr>
            <w:tcW w:w="1058" w:type="dxa"/>
            <w:shd w:val="clear" w:color="auto" w:fill="auto"/>
            <w:noWrap/>
            <w:vAlign w:val="center"/>
            <w:hideMark/>
          </w:tcPr>
          <w:p w14:paraId="3C3F1DC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246,991</w:t>
            </w:r>
          </w:p>
        </w:tc>
        <w:tc>
          <w:tcPr>
            <w:tcW w:w="1058" w:type="dxa"/>
            <w:shd w:val="clear" w:color="auto" w:fill="auto"/>
            <w:noWrap/>
            <w:vAlign w:val="center"/>
            <w:hideMark/>
          </w:tcPr>
          <w:p w14:paraId="5C6687A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247,516</w:t>
            </w:r>
          </w:p>
        </w:tc>
      </w:tr>
      <w:tr w:rsidR="00B21189" w:rsidRPr="00445472" w14:paraId="6F6DE193" w14:textId="77777777" w:rsidTr="00B21189">
        <w:trPr>
          <w:trHeight w:val="270"/>
          <w:jc w:val="center"/>
        </w:trPr>
        <w:tc>
          <w:tcPr>
            <w:tcW w:w="1105" w:type="dxa"/>
            <w:shd w:val="clear" w:color="auto" w:fill="auto"/>
            <w:vAlign w:val="center"/>
            <w:hideMark/>
          </w:tcPr>
          <w:p w14:paraId="6A81C83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Kukës</w:t>
            </w:r>
          </w:p>
        </w:tc>
        <w:tc>
          <w:tcPr>
            <w:tcW w:w="1058" w:type="dxa"/>
            <w:shd w:val="clear" w:color="auto" w:fill="auto"/>
            <w:noWrap/>
            <w:vAlign w:val="center"/>
            <w:hideMark/>
          </w:tcPr>
          <w:p w14:paraId="0FE9C48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64,620</w:t>
            </w:r>
          </w:p>
        </w:tc>
        <w:tc>
          <w:tcPr>
            <w:tcW w:w="1058" w:type="dxa"/>
            <w:shd w:val="clear" w:color="auto" w:fill="auto"/>
            <w:noWrap/>
            <w:vAlign w:val="center"/>
            <w:hideMark/>
          </w:tcPr>
          <w:p w14:paraId="16249EB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64,854</w:t>
            </w:r>
          </w:p>
        </w:tc>
        <w:tc>
          <w:tcPr>
            <w:tcW w:w="1058" w:type="dxa"/>
            <w:shd w:val="clear" w:color="auto" w:fill="auto"/>
            <w:noWrap/>
            <w:vAlign w:val="center"/>
            <w:hideMark/>
          </w:tcPr>
          <w:p w14:paraId="15E9DD7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65,077</w:t>
            </w:r>
          </w:p>
        </w:tc>
        <w:tc>
          <w:tcPr>
            <w:tcW w:w="1058" w:type="dxa"/>
            <w:shd w:val="clear" w:color="auto" w:fill="auto"/>
            <w:noWrap/>
            <w:vAlign w:val="center"/>
            <w:hideMark/>
          </w:tcPr>
          <w:p w14:paraId="47E2429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65,286</w:t>
            </w:r>
          </w:p>
        </w:tc>
        <w:tc>
          <w:tcPr>
            <w:tcW w:w="1058" w:type="dxa"/>
            <w:shd w:val="clear" w:color="auto" w:fill="auto"/>
            <w:noWrap/>
            <w:vAlign w:val="center"/>
            <w:hideMark/>
          </w:tcPr>
          <w:p w14:paraId="4E22BB8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65,479</w:t>
            </w:r>
          </w:p>
        </w:tc>
        <w:tc>
          <w:tcPr>
            <w:tcW w:w="1058" w:type="dxa"/>
            <w:shd w:val="clear" w:color="auto" w:fill="auto"/>
            <w:noWrap/>
            <w:vAlign w:val="center"/>
            <w:hideMark/>
          </w:tcPr>
          <w:p w14:paraId="25812E3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65,656</w:t>
            </w:r>
          </w:p>
        </w:tc>
        <w:tc>
          <w:tcPr>
            <w:tcW w:w="1058" w:type="dxa"/>
            <w:shd w:val="clear" w:color="auto" w:fill="auto"/>
            <w:noWrap/>
            <w:vAlign w:val="center"/>
            <w:hideMark/>
          </w:tcPr>
          <w:p w14:paraId="67D6DDB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65,815</w:t>
            </w:r>
          </w:p>
        </w:tc>
        <w:tc>
          <w:tcPr>
            <w:tcW w:w="1058" w:type="dxa"/>
            <w:shd w:val="clear" w:color="auto" w:fill="auto"/>
            <w:noWrap/>
            <w:vAlign w:val="center"/>
            <w:hideMark/>
          </w:tcPr>
          <w:p w14:paraId="3904278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65,955</w:t>
            </w:r>
          </w:p>
        </w:tc>
      </w:tr>
      <w:tr w:rsidR="00B21189" w:rsidRPr="00445472" w14:paraId="331E4FC9" w14:textId="77777777" w:rsidTr="00B21189">
        <w:trPr>
          <w:trHeight w:val="270"/>
          <w:jc w:val="center"/>
        </w:trPr>
        <w:tc>
          <w:tcPr>
            <w:tcW w:w="1105" w:type="dxa"/>
            <w:shd w:val="clear" w:color="auto" w:fill="auto"/>
            <w:vAlign w:val="center"/>
            <w:hideMark/>
          </w:tcPr>
          <w:p w14:paraId="6573BBB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Dibër</w:t>
            </w:r>
          </w:p>
        </w:tc>
        <w:tc>
          <w:tcPr>
            <w:tcW w:w="1058" w:type="dxa"/>
            <w:shd w:val="clear" w:color="auto" w:fill="auto"/>
            <w:noWrap/>
            <w:vAlign w:val="center"/>
            <w:hideMark/>
          </w:tcPr>
          <w:p w14:paraId="23F42F5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47,844</w:t>
            </w:r>
          </w:p>
        </w:tc>
        <w:tc>
          <w:tcPr>
            <w:tcW w:w="1058" w:type="dxa"/>
            <w:shd w:val="clear" w:color="auto" w:fill="auto"/>
            <w:noWrap/>
            <w:vAlign w:val="center"/>
            <w:hideMark/>
          </w:tcPr>
          <w:p w14:paraId="69CA2095"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48,018</w:t>
            </w:r>
          </w:p>
        </w:tc>
        <w:tc>
          <w:tcPr>
            <w:tcW w:w="1058" w:type="dxa"/>
            <w:shd w:val="clear" w:color="auto" w:fill="auto"/>
            <w:noWrap/>
            <w:vAlign w:val="center"/>
            <w:hideMark/>
          </w:tcPr>
          <w:p w14:paraId="0A50E28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48,182</w:t>
            </w:r>
          </w:p>
        </w:tc>
        <w:tc>
          <w:tcPr>
            <w:tcW w:w="1058" w:type="dxa"/>
            <w:shd w:val="clear" w:color="auto" w:fill="auto"/>
            <w:noWrap/>
            <w:vAlign w:val="center"/>
            <w:hideMark/>
          </w:tcPr>
          <w:p w14:paraId="5C0E115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48,337</w:t>
            </w:r>
          </w:p>
        </w:tc>
        <w:tc>
          <w:tcPr>
            <w:tcW w:w="1058" w:type="dxa"/>
            <w:shd w:val="clear" w:color="auto" w:fill="auto"/>
            <w:noWrap/>
            <w:vAlign w:val="center"/>
            <w:hideMark/>
          </w:tcPr>
          <w:p w14:paraId="22BBB2A3"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48,480</w:t>
            </w:r>
          </w:p>
        </w:tc>
        <w:tc>
          <w:tcPr>
            <w:tcW w:w="1058" w:type="dxa"/>
            <w:shd w:val="clear" w:color="auto" w:fill="auto"/>
            <w:noWrap/>
            <w:vAlign w:val="center"/>
            <w:hideMark/>
          </w:tcPr>
          <w:p w14:paraId="15C0D90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48,611</w:t>
            </w:r>
          </w:p>
        </w:tc>
        <w:tc>
          <w:tcPr>
            <w:tcW w:w="1058" w:type="dxa"/>
            <w:shd w:val="clear" w:color="auto" w:fill="auto"/>
            <w:noWrap/>
            <w:vAlign w:val="center"/>
            <w:hideMark/>
          </w:tcPr>
          <w:p w14:paraId="2251C146"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48,729</w:t>
            </w:r>
          </w:p>
        </w:tc>
        <w:tc>
          <w:tcPr>
            <w:tcW w:w="1058" w:type="dxa"/>
            <w:shd w:val="clear" w:color="auto" w:fill="auto"/>
            <w:noWrap/>
            <w:vAlign w:val="center"/>
            <w:hideMark/>
          </w:tcPr>
          <w:p w14:paraId="35705FF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48,832</w:t>
            </w:r>
          </w:p>
        </w:tc>
      </w:tr>
      <w:tr w:rsidR="00B21189" w:rsidRPr="00445472" w14:paraId="11859B59" w14:textId="77777777" w:rsidTr="00B21189">
        <w:trPr>
          <w:trHeight w:val="270"/>
          <w:jc w:val="center"/>
        </w:trPr>
        <w:tc>
          <w:tcPr>
            <w:tcW w:w="1105" w:type="dxa"/>
            <w:shd w:val="clear" w:color="auto" w:fill="auto"/>
            <w:vAlign w:val="center"/>
            <w:hideMark/>
          </w:tcPr>
          <w:p w14:paraId="2CE7AFAE"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Lezhë</w:t>
            </w:r>
          </w:p>
        </w:tc>
        <w:tc>
          <w:tcPr>
            <w:tcW w:w="1058" w:type="dxa"/>
            <w:shd w:val="clear" w:color="auto" w:fill="auto"/>
            <w:noWrap/>
            <w:vAlign w:val="center"/>
            <w:hideMark/>
          </w:tcPr>
          <w:p w14:paraId="4F4B81FF"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35,708</w:t>
            </w:r>
          </w:p>
        </w:tc>
        <w:tc>
          <w:tcPr>
            <w:tcW w:w="1058" w:type="dxa"/>
            <w:shd w:val="clear" w:color="auto" w:fill="auto"/>
            <w:noWrap/>
            <w:vAlign w:val="center"/>
            <w:hideMark/>
          </w:tcPr>
          <w:p w14:paraId="1EC7010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35,838</w:t>
            </w:r>
          </w:p>
        </w:tc>
        <w:tc>
          <w:tcPr>
            <w:tcW w:w="1058" w:type="dxa"/>
            <w:shd w:val="clear" w:color="auto" w:fill="auto"/>
            <w:noWrap/>
            <w:vAlign w:val="center"/>
            <w:hideMark/>
          </w:tcPr>
          <w:p w14:paraId="537F713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35,961</w:t>
            </w:r>
          </w:p>
        </w:tc>
        <w:tc>
          <w:tcPr>
            <w:tcW w:w="1058" w:type="dxa"/>
            <w:shd w:val="clear" w:color="auto" w:fill="auto"/>
            <w:noWrap/>
            <w:vAlign w:val="center"/>
            <w:hideMark/>
          </w:tcPr>
          <w:p w14:paraId="5B280920"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36,076</w:t>
            </w:r>
          </w:p>
        </w:tc>
        <w:tc>
          <w:tcPr>
            <w:tcW w:w="1058" w:type="dxa"/>
            <w:shd w:val="clear" w:color="auto" w:fill="auto"/>
            <w:noWrap/>
            <w:vAlign w:val="center"/>
            <w:hideMark/>
          </w:tcPr>
          <w:p w14:paraId="29F2F3E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36,183</w:t>
            </w:r>
          </w:p>
        </w:tc>
        <w:tc>
          <w:tcPr>
            <w:tcW w:w="1058" w:type="dxa"/>
            <w:shd w:val="clear" w:color="auto" w:fill="auto"/>
            <w:noWrap/>
            <w:vAlign w:val="center"/>
            <w:hideMark/>
          </w:tcPr>
          <w:p w14:paraId="6883D89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36,281</w:t>
            </w:r>
          </w:p>
        </w:tc>
        <w:tc>
          <w:tcPr>
            <w:tcW w:w="1058" w:type="dxa"/>
            <w:shd w:val="clear" w:color="auto" w:fill="auto"/>
            <w:noWrap/>
            <w:vAlign w:val="center"/>
            <w:hideMark/>
          </w:tcPr>
          <w:p w14:paraId="25199D88"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36,369</w:t>
            </w:r>
          </w:p>
        </w:tc>
        <w:tc>
          <w:tcPr>
            <w:tcW w:w="1058" w:type="dxa"/>
            <w:shd w:val="clear" w:color="auto" w:fill="auto"/>
            <w:noWrap/>
            <w:vAlign w:val="center"/>
            <w:hideMark/>
          </w:tcPr>
          <w:p w14:paraId="62BD4179"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36,446</w:t>
            </w:r>
          </w:p>
        </w:tc>
      </w:tr>
      <w:tr w:rsidR="00B21189" w:rsidRPr="00445472" w14:paraId="66D66F5D" w14:textId="77777777" w:rsidTr="00B21189">
        <w:trPr>
          <w:trHeight w:val="255"/>
          <w:jc w:val="center"/>
        </w:trPr>
        <w:tc>
          <w:tcPr>
            <w:tcW w:w="1105" w:type="dxa"/>
            <w:shd w:val="clear" w:color="auto" w:fill="auto"/>
            <w:vAlign w:val="center"/>
            <w:hideMark/>
          </w:tcPr>
          <w:p w14:paraId="4DA55762"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Korçë</w:t>
            </w:r>
          </w:p>
        </w:tc>
        <w:tc>
          <w:tcPr>
            <w:tcW w:w="1058" w:type="dxa"/>
            <w:shd w:val="clear" w:color="auto" w:fill="auto"/>
            <w:noWrap/>
            <w:vAlign w:val="center"/>
            <w:hideMark/>
          </w:tcPr>
          <w:p w14:paraId="5B163154"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60,888</w:t>
            </w:r>
          </w:p>
        </w:tc>
        <w:tc>
          <w:tcPr>
            <w:tcW w:w="1058" w:type="dxa"/>
            <w:shd w:val="clear" w:color="auto" w:fill="auto"/>
            <w:noWrap/>
            <w:vAlign w:val="center"/>
            <w:hideMark/>
          </w:tcPr>
          <w:p w14:paraId="7D6F3E7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61,109</w:t>
            </w:r>
          </w:p>
        </w:tc>
        <w:tc>
          <w:tcPr>
            <w:tcW w:w="1058" w:type="dxa"/>
            <w:shd w:val="clear" w:color="auto" w:fill="auto"/>
            <w:noWrap/>
            <w:vAlign w:val="center"/>
            <w:hideMark/>
          </w:tcPr>
          <w:p w14:paraId="2FBCBBCB"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61,318</w:t>
            </w:r>
          </w:p>
        </w:tc>
        <w:tc>
          <w:tcPr>
            <w:tcW w:w="1058" w:type="dxa"/>
            <w:shd w:val="clear" w:color="auto" w:fill="auto"/>
            <w:noWrap/>
            <w:vAlign w:val="center"/>
            <w:hideMark/>
          </w:tcPr>
          <w:p w14:paraId="767D1CC1"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61,515</w:t>
            </w:r>
          </w:p>
        </w:tc>
        <w:tc>
          <w:tcPr>
            <w:tcW w:w="1058" w:type="dxa"/>
            <w:shd w:val="clear" w:color="auto" w:fill="auto"/>
            <w:noWrap/>
            <w:vAlign w:val="center"/>
            <w:hideMark/>
          </w:tcPr>
          <w:p w14:paraId="38C5194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61,698</w:t>
            </w:r>
          </w:p>
        </w:tc>
        <w:tc>
          <w:tcPr>
            <w:tcW w:w="1058" w:type="dxa"/>
            <w:shd w:val="clear" w:color="auto" w:fill="auto"/>
            <w:noWrap/>
            <w:vAlign w:val="center"/>
            <w:hideMark/>
          </w:tcPr>
          <w:p w14:paraId="7C680B6A"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61,864</w:t>
            </w:r>
          </w:p>
        </w:tc>
        <w:tc>
          <w:tcPr>
            <w:tcW w:w="1058" w:type="dxa"/>
            <w:shd w:val="clear" w:color="auto" w:fill="auto"/>
            <w:noWrap/>
            <w:vAlign w:val="center"/>
            <w:hideMark/>
          </w:tcPr>
          <w:p w14:paraId="3E8AD20D"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62,014</w:t>
            </w:r>
          </w:p>
        </w:tc>
        <w:tc>
          <w:tcPr>
            <w:tcW w:w="1058" w:type="dxa"/>
            <w:shd w:val="clear" w:color="auto" w:fill="auto"/>
            <w:noWrap/>
            <w:vAlign w:val="center"/>
            <w:hideMark/>
          </w:tcPr>
          <w:p w14:paraId="6EA90FF7" w14:textId="77777777" w:rsidR="00B21189" w:rsidRPr="00445472" w:rsidRDefault="00B21189" w:rsidP="002A1F08">
            <w:pPr>
              <w:spacing w:before="22" w:after="22"/>
              <w:ind w:right="63"/>
              <w:jc w:val="center"/>
              <w:rPr>
                <w:rFonts w:ascii="Garamond" w:eastAsia="MS Mincho" w:hAnsi="Garamond" w:cs="Arial"/>
                <w:sz w:val="16"/>
                <w:szCs w:val="16"/>
                <w:lang w:eastAsia="en-GB"/>
              </w:rPr>
            </w:pPr>
            <w:r w:rsidRPr="00445472">
              <w:rPr>
                <w:rFonts w:ascii="Garamond" w:eastAsia="MS Mincho" w:hAnsi="Garamond" w:cs="Arial"/>
                <w:sz w:val="16"/>
                <w:szCs w:val="16"/>
                <w:lang w:eastAsia="en-GB"/>
              </w:rPr>
              <w:t>62,146</w:t>
            </w:r>
          </w:p>
        </w:tc>
      </w:tr>
    </w:tbl>
    <w:p w14:paraId="60A1E5A9" w14:textId="77777777" w:rsidR="002735B4" w:rsidRPr="00445472" w:rsidRDefault="002735B4" w:rsidP="003914CD">
      <w:pPr>
        <w:rPr>
          <w:rFonts w:ascii="Garamond" w:hAnsi="Garamond"/>
        </w:rPr>
        <w:sectPr w:rsidR="002735B4" w:rsidRPr="00445472" w:rsidSect="007E0C9A">
          <w:pgSz w:w="11907" w:h="16839" w:code="9"/>
          <w:pgMar w:top="1418" w:right="1418" w:bottom="1418" w:left="1418" w:header="1304" w:footer="1134" w:gutter="0"/>
          <w:cols w:space="720"/>
          <w:docGrid w:linePitch="360"/>
        </w:sectPr>
      </w:pPr>
    </w:p>
    <w:p w14:paraId="3DF471B7" w14:textId="6676546F" w:rsidR="002735B4" w:rsidRPr="00445472" w:rsidRDefault="006E55B4" w:rsidP="002735B4">
      <w:pPr>
        <w:pStyle w:val="NENTITULL"/>
      </w:pPr>
      <w:r w:rsidRPr="00445472">
        <w:t>Tabela</w:t>
      </w:r>
      <w:r w:rsidR="002735B4" w:rsidRPr="00445472">
        <w:t xml:space="preserve"> A 4. 11.: Parashikimet e konsumit të ujit - Baseni Ujor </w:t>
      </w:r>
      <w:r w:rsidR="007E76E3" w:rsidRPr="00445472">
        <w:t>Drin–Bunë</w:t>
      </w:r>
    </w:p>
    <w:tbl>
      <w:tblPr>
        <w:tblW w:w="14739" w:type="dxa"/>
        <w:tblInd w:w="137"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101"/>
        <w:gridCol w:w="1494"/>
        <w:gridCol w:w="759"/>
        <w:gridCol w:w="759"/>
        <w:gridCol w:w="759"/>
        <w:gridCol w:w="759"/>
        <w:gridCol w:w="759"/>
        <w:gridCol w:w="759"/>
        <w:gridCol w:w="759"/>
        <w:gridCol w:w="759"/>
        <w:gridCol w:w="759"/>
        <w:gridCol w:w="759"/>
        <w:gridCol w:w="759"/>
        <w:gridCol w:w="759"/>
        <w:gridCol w:w="759"/>
        <w:gridCol w:w="759"/>
        <w:gridCol w:w="759"/>
        <w:gridCol w:w="759"/>
      </w:tblGrid>
      <w:tr w:rsidR="002735B4" w:rsidRPr="00445472" w14:paraId="16DD29C5" w14:textId="77777777" w:rsidTr="002A1F08">
        <w:trPr>
          <w:trHeight w:val="270"/>
          <w:tblHeader/>
        </w:trPr>
        <w:tc>
          <w:tcPr>
            <w:tcW w:w="1101" w:type="dxa"/>
            <w:shd w:val="clear" w:color="auto" w:fill="auto"/>
            <w:noWrap/>
            <w:vAlign w:val="center"/>
            <w:hideMark/>
          </w:tcPr>
          <w:p w14:paraId="65BB53D8" w14:textId="77777777" w:rsidR="002735B4" w:rsidRPr="00445472" w:rsidRDefault="002735B4" w:rsidP="002A1F08">
            <w:pPr>
              <w:spacing w:before="46" w:after="62"/>
              <w:rPr>
                <w:rFonts w:ascii="Garamond" w:hAnsi="Garamond"/>
                <w:sz w:val="15"/>
                <w:szCs w:val="15"/>
                <w:lang w:eastAsia="en-GB"/>
              </w:rPr>
            </w:pPr>
          </w:p>
        </w:tc>
        <w:tc>
          <w:tcPr>
            <w:tcW w:w="1494" w:type="dxa"/>
            <w:shd w:val="clear" w:color="auto" w:fill="auto"/>
            <w:noWrap/>
            <w:vAlign w:val="center"/>
            <w:hideMark/>
          </w:tcPr>
          <w:p w14:paraId="5E8C618E" w14:textId="77777777" w:rsidR="002735B4" w:rsidRPr="00445472" w:rsidRDefault="002735B4" w:rsidP="002A1F08">
            <w:pPr>
              <w:spacing w:before="46" w:after="62"/>
              <w:rPr>
                <w:rFonts w:ascii="Garamond" w:hAnsi="Garamond"/>
                <w:sz w:val="15"/>
                <w:szCs w:val="15"/>
                <w:lang w:eastAsia="en-GB"/>
              </w:rPr>
            </w:pPr>
          </w:p>
        </w:tc>
        <w:tc>
          <w:tcPr>
            <w:tcW w:w="759" w:type="dxa"/>
            <w:shd w:val="clear" w:color="auto" w:fill="D9D9D9"/>
            <w:vAlign w:val="center"/>
            <w:hideMark/>
          </w:tcPr>
          <w:p w14:paraId="4A87677E"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2016</w:t>
            </w:r>
          </w:p>
        </w:tc>
        <w:tc>
          <w:tcPr>
            <w:tcW w:w="759" w:type="dxa"/>
            <w:shd w:val="clear" w:color="auto" w:fill="D9D9D9"/>
            <w:vAlign w:val="center"/>
            <w:hideMark/>
          </w:tcPr>
          <w:p w14:paraId="479A1D9F"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2017</w:t>
            </w:r>
          </w:p>
        </w:tc>
        <w:tc>
          <w:tcPr>
            <w:tcW w:w="759" w:type="dxa"/>
            <w:shd w:val="clear" w:color="auto" w:fill="D9D9D9"/>
            <w:vAlign w:val="center"/>
            <w:hideMark/>
          </w:tcPr>
          <w:p w14:paraId="7E6F3639"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2018</w:t>
            </w:r>
          </w:p>
        </w:tc>
        <w:tc>
          <w:tcPr>
            <w:tcW w:w="759" w:type="dxa"/>
            <w:shd w:val="clear" w:color="auto" w:fill="D9D9D9"/>
            <w:vAlign w:val="center"/>
            <w:hideMark/>
          </w:tcPr>
          <w:p w14:paraId="0B802444"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2019</w:t>
            </w:r>
          </w:p>
        </w:tc>
        <w:tc>
          <w:tcPr>
            <w:tcW w:w="759" w:type="dxa"/>
            <w:shd w:val="clear" w:color="auto" w:fill="D9D9D9"/>
            <w:vAlign w:val="center"/>
            <w:hideMark/>
          </w:tcPr>
          <w:p w14:paraId="4DFC0C69"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2020</w:t>
            </w:r>
          </w:p>
        </w:tc>
        <w:tc>
          <w:tcPr>
            <w:tcW w:w="759" w:type="dxa"/>
            <w:shd w:val="clear" w:color="auto" w:fill="D9D9D9"/>
            <w:vAlign w:val="center"/>
            <w:hideMark/>
          </w:tcPr>
          <w:p w14:paraId="5974EB77"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2021</w:t>
            </w:r>
          </w:p>
        </w:tc>
        <w:tc>
          <w:tcPr>
            <w:tcW w:w="759" w:type="dxa"/>
            <w:shd w:val="clear" w:color="auto" w:fill="D9D9D9"/>
            <w:vAlign w:val="center"/>
            <w:hideMark/>
          </w:tcPr>
          <w:p w14:paraId="757A0D78"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2022</w:t>
            </w:r>
          </w:p>
        </w:tc>
        <w:tc>
          <w:tcPr>
            <w:tcW w:w="759" w:type="dxa"/>
            <w:shd w:val="clear" w:color="auto" w:fill="D9D9D9"/>
            <w:vAlign w:val="center"/>
            <w:hideMark/>
          </w:tcPr>
          <w:p w14:paraId="66639B3E"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2023</w:t>
            </w:r>
          </w:p>
        </w:tc>
        <w:tc>
          <w:tcPr>
            <w:tcW w:w="759" w:type="dxa"/>
            <w:shd w:val="clear" w:color="auto" w:fill="D9D9D9"/>
            <w:vAlign w:val="center"/>
            <w:hideMark/>
          </w:tcPr>
          <w:p w14:paraId="16479409"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2024</w:t>
            </w:r>
          </w:p>
        </w:tc>
        <w:tc>
          <w:tcPr>
            <w:tcW w:w="759" w:type="dxa"/>
            <w:shd w:val="clear" w:color="auto" w:fill="D9D9D9"/>
            <w:vAlign w:val="center"/>
            <w:hideMark/>
          </w:tcPr>
          <w:p w14:paraId="5306D012"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2025</w:t>
            </w:r>
          </w:p>
        </w:tc>
        <w:tc>
          <w:tcPr>
            <w:tcW w:w="759" w:type="dxa"/>
            <w:shd w:val="clear" w:color="auto" w:fill="D9D9D9"/>
            <w:vAlign w:val="center"/>
            <w:hideMark/>
          </w:tcPr>
          <w:p w14:paraId="47692239"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2026</w:t>
            </w:r>
          </w:p>
        </w:tc>
        <w:tc>
          <w:tcPr>
            <w:tcW w:w="759" w:type="dxa"/>
            <w:shd w:val="clear" w:color="auto" w:fill="D9D9D9"/>
            <w:vAlign w:val="center"/>
            <w:hideMark/>
          </w:tcPr>
          <w:p w14:paraId="2752BCD3"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2027</w:t>
            </w:r>
          </w:p>
        </w:tc>
        <w:tc>
          <w:tcPr>
            <w:tcW w:w="759" w:type="dxa"/>
            <w:shd w:val="clear" w:color="auto" w:fill="D9D9D9"/>
            <w:vAlign w:val="center"/>
            <w:hideMark/>
          </w:tcPr>
          <w:p w14:paraId="2C22B582"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2028</w:t>
            </w:r>
          </w:p>
        </w:tc>
        <w:tc>
          <w:tcPr>
            <w:tcW w:w="759" w:type="dxa"/>
            <w:shd w:val="clear" w:color="auto" w:fill="D9D9D9"/>
            <w:vAlign w:val="center"/>
            <w:hideMark/>
          </w:tcPr>
          <w:p w14:paraId="4A9A014F"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2029</w:t>
            </w:r>
          </w:p>
        </w:tc>
        <w:tc>
          <w:tcPr>
            <w:tcW w:w="759" w:type="dxa"/>
            <w:shd w:val="clear" w:color="auto" w:fill="D9D9D9"/>
            <w:vAlign w:val="center"/>
            <w:hideMark/>
          </w:tcPr>
          <w:p w14:paraId="11311FAD"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2030</w:t>
            </w:r>
          </w:p>
        </w:tc>
        <w:tc>
          <w:tcPr>
            <w:tcW w:w="759" w:type="dxa"/>
            <w:shd w:val="clear" w:color="auto" w:fill="D9D9D9"/>
            <w:vAlign w:val="center"/>
            <w:hideMark/>
          </w:tcPr>
          <w:p w14:paraId="2498D983" w14:textId="77777777" w:rsidR="002735B4" w:rsidRPr="00445472" w:rsidRDefault="002735B4" w:rsidP="002A1F08">
            <w:pPr>
              <w:spacing w:before="46" w:after="62"/>
              <w:jc w:val="center"/>
              <w:rPr>
                <w:rFonts w:ascii="Garamond" w:hAnsi="Garamond"/>
                <w:sz w:val="15"/>
                <w:szCs w:val="15"/>
                <w:lang w:eastAsia="en-GB"/>
              </w:rPr>
            </w:pPr>
            <w:r w:rsidRPr="00445472">
              <w:rPr>
                <w:rFonts w:ascii="Garamond" w:hAnsi="Garamond"/>
                <w:sz w:val="15"/>
                <w:szCs w:val="15"/>
                <w:lang w:eastAsia="en-GB"/>
              </w:rPr>
              <w:t>2031</w:t>
            </w:r>
          </w:p>
        </w:tc>
      </w:tr>
      <w:tr w:rsidR="002735B4" w:rsidRPr="00445472" w14:paraId="101E79A9" w14:textId="77777777" w:rsidTr="002A1F08">
        <w:trPr>
          <w:trHeight w:val="242"/>
        </w:trPr>
        <w:tc>
          <w:tcPr>
            <w:tcW w:w="14739" w:type="dxa"/>
            <w:gridSpan w:val="18"/>
            <w:shd w:val="clear" w:color="auto" w:fill="F2F2F2"/>
            <w:vAlign w:val="center"/>
          </w:tcPr>
          <w:p w14:paraId="3D98205E" w14:textId="4179BAFA" w:rsidR="002735B4" w:rsidRPr="00445472" w:rsidRDefault="002735B4" w:rsidP="002A1F08">
            <w:pPr>
              <w:spacing w:before="46" w:after="62"/>
              <w:rPr>
                <w:rFonts w:ascii="Garamond" w:hAnsi="Garamond"/>
                <w:sz w:val="15"/>
                <w:szCs w:val="15"/>
                <w:lang w:eastAsia="en-GB"/>
              </w:rPr>
            </w:pPr>
            <w:r w:rsidRPr="00445472">
              <w:rPr>
                <w:rFonts w:ascii="Garamond" w:hAnsi="Garamond"/>
                <w:b/>
                <w:sz w:val="15"/>
                <w:szCs w:val="15"/>
                <w:lang w:eastAsia="en-GB"/>
              </w:rPr>
              <w:t xml:space="preserve">Konsumi i ujit </w:t>
            </w:r>
            <w:r w:rsidR="00852D7A" w:rsidRPr="00445472">
              <w:rPr>
                <w:rFonts w:ascii="Garamond" w:hAnsi="Garamond"/>
                <w:b/>
                <w:sz w:val="15"/>
                <w:szCs w:val="15"/>
                <w:lang w:eastAsia="en-GB"/>
              </w:rPr>
              <w:t>familjar</w:t>
            </w:r>
          </w:p>
        </w:tc>
      </w:tr>
      <w:tr w:rsidR="002735B4" w:rsidRPr="00445472" w14:paraId="1D0DA785" w14:textId="77777777" w:rsidTr="002A1F08">
        <w:trPr>
          <w:trHeight w:val="255"/>
        </w:trPr>
        <w:tc>
          <w:tcPr>
            <w:tcW w:w="1101" w:type="dxa"/>
            <w:vMerge w:val="restart"/>
            <w:shd w:val="clear" w:color="auto" w:fill="auto"/>
            <w:vAlign w:val="center"/>
            <w:hideMark/>
          </w:tcPr>
          <w:p w14:paraId="7C2E151E"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Bashkia Pukë UK</w:t>
            </w:r>
          </w:p>
        </w:tc>
        <w:tc>
          <w:tcPr>
            <w:tcW w:w="1494" w:type="dxa"/>
            <w:shd w:val="clear" w:color="auto" w:fill="auto"/>
            <w:noWrap/>
            <w:vAlign w:val="center"/>
            <w:hideMark/>
          </w:tcPr>
          <w:p w14:paraId="0EED201B" w14:textId="149A85F0"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39F5573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2,942</w:t>
            </w:r>
          </w:p>
        </w:tc>
        <w:tc>
          <w:tcPr>
            <w:tcW w:w="759" w:type="dxa"/>
            <w:shd w:val="clear" w:color="auto" w:fill="auto"/>
            <w:noWrap/>
            <w:vAlign w:val="center"/>
            <w:hideMark/>
          </w:tcPr>
          <w:p w14:paraId="141ED32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3,108</w:t>
            </w:r>
          </w:p>
        </w:tc>
        <w:tc>
          <w:tcPr>
            <w:tcW w:w="759" w:type="dxa"/>
            <w:shd w:val="clear" w:color="auto" w:fill="auto"/>
            <w:noWrap/>
            <w:vAlign w:val="center"/>
            <w:hideMark/>
          </w:tcPr>
          <w:p w14:paraId="7D9795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3,276</w:t>
            </w:r>
          </w:p>
        </w:tc>
        <w:tc>
          <w:tcPr>
            <w:tcW w:w="759" w:type="dxa"/>
            <w:shd w:val="clear" w:color="auto" w:fill="auto"/>
            <w:noWrap/>
            <w:vAlign w:val="center"/>
            <w:hideMark/>
          </w:tcPr>
          <w:p w14:paraId="3B624A2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3,447</w:t>
            </w:r>
          </w:p>
        </w:tc>
        <w:tc>
          <w:tcPr>
            <w:tcW w:w="759" w:type="dxa"/>
            <w:shd w:val="clear" w:color="auto" w:fill="auto"/>
            <w:noWrap/>
            <w:vAlign w:val="center"/>
            <w:hideMark/>
          </w:tcPr>
          <w:p w14:paraId="44C29C7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3,619</w:t>
            </w:r>
          </w:p>
        </w:tc>
        <w:tc>
          <w:tcPr>
            <w:tcW w:w="759" w:type="dxa"/>
            <w:shd w:val="clear" w:color="auto" w:fill="auto"/>
            <w:noWrap/>
            <w:vAlign w:val="center"/>
            <w:hideMark/>
          </w:tcPr>
          <w:p w14:paraId="78F88DB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3,795</w:t>
            </w:r>
          </w:p>
        </w:tc>
        <w:tc>
          <w:tcPr>
            <w:tcW w:w="759" w:type="dxa"/>
            <w:shd w:val="clear" w:color="auto" w:fill="auto"/>
            <w:noWrap/>
            <w:vAlign w:val="center"/>
            <w:hideMark/>
          </w:tcPr>
          <w:p w14:paraId="726095B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3,973</w:t>
            </w:r>
          </w:p>
        </w:tc>
        <w:tc>
          <w:tcPr>
            <w:tcW w:w="759" w:type="dxa"/>
            <w:shd w:val="clear" w:color="auto" w:fill="auto"/>
            <w:noWrap/>
            <w:vAlign w:val="center"/>
            <w:hideMark/>
          </w:tcPr>
          <w:p w14:paraId="7E5B91C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4,153</w:t>
            </w:r>
          </w:p>
        </w:tc>
        <w:tc>
          <w:tcPr>
            <w:tcW w:w="759" w:type="dxa"/>
            <w:shd w:val="clear" w:color="auto" w:fill="auto"/>
            <w:noWrap/>
            <w:vAlign w:val="center"/>
            <w:hideMark/>
          </w:tcPr>
          <w:p w14:paraId="19F4371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4,333</w:t>
            </w:r>
          </w:p>
        </w:tc>
        <w:tc>
          <w:tcPr>
            <w:tcW w:w="759" w:type="dxa"/>
            <w:shd w:val="clear" w:color="auto" w:fill="auto"/>
            <w:noWrap/>
            <w:vAlign w:val="center"/>
            <w:hideMark/>
          </w:tcPr>
          <w:p w14:paraId="48F339D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4,513</w:t>
            </w:r>
          </w:p>
        </w:tc>
        <w:tc>
          <w:tcPr>
            <w:tcW w:w="759" w:type="dxa"/>
            <w:shd w:val="clear" w:color="auto" w:fill="auto"/>
            <w:noWrap/>
            <w:vAlign w:val="center"/>
            <w:hideMark/>
          </w:tcPr>
          <w:p w14:paraId="35FDB81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4,694</w:t>
            </w:r>
          </w:p>
        </w:tc>
        <w:tc>
          <w:tcPr>
            <w:tcW w:w="759" w:type="dxa"/>
            <w:shd w:val="clear" w:color="auto" w:fill="auto"/>
            <w:noWrap/>
            <w:vAlign w:val="center"/>
            <w:hideMark/>
          </w:tcPr>
          <w:p w14:paraId="618BB71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4,874</w:t>
            </w:r>
          </w:p>
        </w:tc>
        <w:tc>
          <w:tcPr>
            <w:tcW w:w="759" w:type="dxa"/>
            <w:shd w:val="clear" w:color="auto" w:fill="auto"/>
            <w:noWrap/>
            <w:vAlign w:val="center"/>
            <w:hideMark/>
          </w:tcPr>
          <w:p w14:paraId="47FC202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5,054</w:t>
            </w:r>
          </w:p>
        </w:tc>
        <w:tc>
          <w:tcPr>
            <w:tcW w:w="759" w:type="dxa"/>
            <w:shd w:val="clear" w:color="auto" w:fill="auto"/>
            <w:noWrap/>
            <w:vAlign w:val="center"/>
            <w:hideMark/>
          </w:tcPr>
          <w:p w14:paraId="2E69A15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5,234</w:t>
            </w:r>
          </w:p>
        </w:tc>
        <w:tc>
          <w:tcPr>
            <w:tcW w:w="759" w:type="dxa"/>
            <w:shd w:val="clear" w:color="auto" w:fill="auto"/>
            <w:noWrap/>
            <w:vAlign w:val="center"/>
            <w:hideMark/>
          </w:tcPr>
          <w:p w14:paraId="255ED9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5,413</w:t>
            </w:r>
          </w:p>
        </w:tc>
        <w:tc>
          <w:tcPr>
            <w:tcW w:w="759" w:type="dxa"/>
            <w:shd w:val="clear" w:color="auto" w:fill="auto"/>
            <w:noWrap/>
            <w:vAlign w:val="center"/>
            <w:hideMark/>
          </w:tcPr>
          <w:p w14:paraId="42C5104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5,591</w:t>
            </w:r>
          </w:p>
        </w:tc>
      </w:tr>
      <w:tr w:rsidR="002735B4" w:rsidRPr="00445472" w14:paraId="0473D504" w14:textId="77777777" w:rsidTr="002A1F08">
        <w:trPr>
          <w:trHeight w:val="255"/>
        </w:trPr>
        <w:tc>
          <w:tcPr>
            <w:tcW w:w="1101" w:type="dxa"/>
            <w:vMerge/>
            <w:shd w:val="clear" w:color="auto" w:fill="auto"/>
            <w:vAlign w:val="center"/>
            <w:hideMark/>
          </w:tcPr>
          <w:p w14:paraId="2FE0503D"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4B731378"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18BEBE3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118</w:t>
            </w:r>
          </w:p>
        </w:tc>
        <w:tc>
          <w:tcPr>
            <w:tcW w:w="759" w:type="dxa"/>
            <w:shd w:val="clear" w:color="auto" w:fill="auto"/>
            <w:noWrap/>
            <w:vAlign w:val="center"/>
            <w:hideMark/>
          </w:tcPr>
          <w:p w14:paraId="6894BCE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124</w:t>
            </w:r>
          </w:p>
        </w:tc>
        <w:tc>
          <w:tcPr>
            <w:tcW w:w="759" w:type="dxa"/>
            <w:shd w:val="clear" w:color="auto" w:fill="auto"/>
            <w:noWrap/>
            <w:vAlign w:val="center"/>
            <w:hideMark/>
          </w:tcPr>
          <w:p w14:paraId="2D1F606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130</w:t>
            </w:r>
          </w:p>
        </w:tc>
        <w:tc>
          <w:tcPr>
            <w:tcW w:w="759" w:type="dxa"/>
            <w:shd w:val="clear" w:color="auto" w:fill="auto"/>
            <w:noWrap/>
            <w:vAlign w:val="center"/>
            <w:hideMark/>
          </w:tcPr>
          <w:p w14:paraId="27C226A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136</w:t>
            </w:r>
          </w:p>
        </w:tc>
        <w:tc>
          <w:tcPr>
            <w:tcW w:w="759" w:type="dxa"/>
            <w:shd w:val="clear" w:color="auto" w:fill="auto"/>
            <w:noWrap/>
            <w:vAlign w:val="center"/>
            <w:hideMark/>
          </w:tcPr>
          <w:p w14:paraId="5E50FF2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142</w:t>
            </w:r>
          </w:p>
        </w:tc>
        <w:tc>
          <w:tcPr>
            <w:tcW w:w="759" w:type="dxa"/>
            <w:shd w:val="clear" w:color="auto" w:fill="auto"/>
            <w:noWrap/>
            <w:vAlign w:val="center"/>
            <w:hideMark/>
          </w:tcPr>
          <w:p w14:paraId="645A318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148</w:t>
            </w:r>
          </w:p>
        </w:tc>
        <w:tc>
          <w:tcPr>
            <w:tcW w:w="759" w:type="dxa"/>
            <w:shd w:val="clear" w:color="auto" w:fill="auto"/>
            <w:noWrap/>
            <w:vAlign w:val="center"/>
            <w:hideMark/>
          </w:tcPr>
          <w:p w14:paraId="732AA2C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45B419A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160</w:t>
            </w:r>
          </w:p>
        </w:tc>
        <w:tc>
          <w:tcPr>
            <w:tcW w:w="759" w:type="dxa"/>
            <w:shd w:val="clear" w:color="auto" w:fill="auto"/>
            <w:noWrap/>
            <w:vAlign w:val="center"/>
            <w:hideMark/>
          </w:tcPr>
          <w:p w14:paraId="2949796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166</w:t>
            </w:r>
          </w:p>
        </w:tc>
        <w:tc>
          <w:tcPr>
            <w:tcW w:w="759" w:type="dxa"/>
            <w:shd w:val="clear" w:color="auto" w:fill="auto"/>
            <w:noWrap/>
            <w:vAlign w:val="center"/>
            <w:hideMark/>
          </w:tcPr>
          <w:p w14:paraId="02C26A4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172</w:t>
            </w:r>
          </w:p>
        </w:tc>
        <w:tc>
          <w:tcPr>
            <w:tcW w:w="759" w:type="dxa"/>
            <w:shd w:val="clear" w:color="auto" w:fill="auto"/>
            <w:noWrap/>
            <w:vAlign w:val="center"/>
            <w:hideMark/>
          </w:tcPr>
          <w:p w14:paraId="7774498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177</w:t>
            </w:r>
          </w:p>
        </w:tc>
        <w:tc>
          <w:tcPr>
            <w:tcW w:w="759" w:type="dxa"/>
            <w:shd w:val="clear" w:color="auto" w:fill="auto"/>
            <w:noWrap/>
            <w:vAlign w:val="center"/>
            <w:hideMark/>
          </w:tcPr>
          <w:p w14:paraId="4334FC0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183</w:t>
            </w:r>
          </w:p>
        </w:tc>
        <w:tc>
          <w:tcPr>
            <w:tcW w:w="759" w:type="dxa"/>
            <w:shd w:val="clear" w:color="auto" w:fill="auto"/>
            <w:noWrap/>
            <w:vAlign w:val="center"/>
            <w:hideMark/>
          </w:tcPr>
          <w:p w14:paraId="62B4CC5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188</w:t>
            </w:r>
          </w:p>
        </w:tc>
        <w:tc>
          <w:tcPr>
            <w:tcW w:w="759" w:type="dxa"/>
            <w:shd w:val="clear" w:color="auto" w:fill="auto"/>
            <w:noWrap/>
            <w:vAlign w:val="center"/>
            <w:hideMark/>
          </w:tcPr>
          <w:p w14:paraId="4D1009D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194</w:t>
            </w:r>
          </w:p>
        </w:tc>
        <w:tc>
          <w:tcPr>
            <w:tcW w:w="759" w:type="dxa"/>
            <w:shd w:val="clear" w:color="auto" w:fill="auto"/>
            <w:noWrap/>
            <w:vAlign w:val="center"/>
            <w:hideMark/>
          </w:tcPr>
          <w:p w14:paraId="7B57181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199</w:t>
            </w:r>
          </w:p>
        </w:tc>
        <w:tc>
          <w:tcPr>
            <w:tcW w:w="759" w:type="dxa"/>
            <w:shd w:val="clear" w:color="auto" w:fill="auto"/>
            <w:noWrap/>
            <w:vAlign w:val="center"/>
            <w:hideMark/>
          </w:tcPr>
          <w:p w14:paraId="5744C62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204</w:t>
            </w:r>
          </w:p>
        </w:tc>
      </w:tr>
      <w:tr w:rsidR="002735B4" w:rsidRPr="00445472" w14:paraId="2E9139C5" w14:textId="77777777" w:rsidTr="002A1F08">
        <w:trPr>
          <w:trHeight w:val="255"/>
        </w:trPr>
        <w:tc>
          <w:tcPr>
            <w:tcW w:w="1101" w:type="dxa"/>
            <w:vMerge w:val="restart"/>
            <w:shd w:val="clear" w:color="auto" w:fill="auto"/>
            <w:vAlign w:val="center"/>
            <w:hideMark/>
          </w:tcPr>
          <w:p w14:paraId="6ABFA90E" w14:textId="09F4B365" w:rsidR="002735B4" w:rsidRPr="00445472" w:rsidRDefault="00D67757" w:rsidP="002A1F08">
            <w:pPr>
              <w:spacing w:before="46" w:after="62"/>
              <w:rPr>
                <w:rFonts w:ascii="Garamond" w:hAnsi="Garamond"/>
                <w:sz w:val="15"/>
                <w:szCs w:val="15"/>
                <w:lang w:eastAsia="en-GB"/>
              </w:rPr>
            </w:pPr>
            <w:r w:rsidRPr="00445472">
              <w:rPr>
                <w:rFonts w:ascii="Garamond" w:hAnsi="Garamond"/>
                <w:sz w:val="15"/>
                <w:szCs w:val="15"/>
                <w:lang w:eastAsia="en-GB"/>
              </w:rPr>
              <w:t xml:space="preserve">Vau i Dejës </w:t>
            </w:r>
            <w:r w:rsidR="002735B4" w:rsidRPr="00445472">
              <w:rPr>
                <w:rFonts w:ascii="Garamond" w:hAnsi="Garamond"/>
                <w:sz w:val="15"/>
                <w:szCs w:val="15"/>
                <w:lang w:eastAsia="en-GB"/>
              </w:rPr>
              <w:t xml:space="preserve"> U </w:t>
            </w:r>
            <w:r w:rsidR="006E55B4" w:rsidRPr="00445472">
              <w:rPr>
                <w:rFonts w:ascii="Garamond" w:hAnsi="Garamond"/>
                <w:sz w:val="15"/>
                <w:szCs w:val="15"/>
                <w:lang w:eastAsia="en-GB"/>
              </w:rPr>
              <w:t>sh.a.</w:t>
            </w:r>
          </w:p>
        </w:tc>
        <w:tc>
          <w:tcPr>
            <w:tcW w:w="1494" w:type="dxa"/>
            <w:shd w:val="clear" w:color="auto" w:fill="auto"/>
            <w:noWrap/>
            <w:vAlign w:val="center"/>
            <w:hideMark/>
          </w:tcPr>
          <w:p w14:paraId="55C57D8A" w14:textId="3AC82696"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146DEFD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6,081</w:t>
            </w:r>
          </w:p>
        </w:tc>
        <w:tc>
          <w:tcPr>
            <w:tcW w:w="759" w:type="dxa"/>
            <w:shd w:val="clear" w:color="auto" w:fill="auto"/>
            <w:noWrap/>
            <w:vAlign w:val="center"/>
            <w:hideMark/>
          </w:tcPr>
          <w:p w14:paraId="5897341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6,520</w:t>
            </w:r>
          </w:p>
        </w:tc>
        <w:tc>
          <w:tcPr>
            <w:tcW w:w="759" w:type="dxa"/>
            <w:shd w:val="clear" w:color="auto" w:fill="auto"/>
            <w:noWrap/>
            <w:vAlign w:val="center"/>
            <w:hideMark/>
          </w:tcPr>
          <w:p w14:paraId="3BB5610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6,964</w:t>
            </w:r>
          </w:p>
        </w:tc>
        <w:tc>
          <w:tcPr>
            <w:tcW w:w="759" w:type="dxa"/>
            <w:shd w:val="clear" w:color="auto" w:fill="auto"/>
            <w:noWrap/>
            <w:vAlign w:val="center"/>
            <w:hideMark/>
          </w:tcPr>
          <w:p w14:paraId="3857C56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7,414</w:t>
            </w:r>
          </w:p>
        </w:tc>
        <w:tc>
          <w:tcPr>
            <w:tcW w:w="759" w:type="dxa"/>
            <w:shd w:val="clear" w:color="auto" w:fill="auto"/>
            <w:noWrap/>
            <w:vAlign w:val="center"/>
            <w:hideMark/>
          </w:tcPr>
          <w:p w14:paraId="1A3D9A7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7,869</w:t>
            </w:r>
          </w:p>
        </w:tc>
        <w:tc>
          <w:tcPr>
            <w:tcW w:w="759" w:type="dxa"/>
            <w:shd w:val="clear" w:color="auto" w:fill="auto"/>
            <w:noWrap/>
            <w:vAlign w:val="center"/>
            <w:hideMark/>
          </w:tcPr>
          <w:p w14:paraId="485AFBE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8,330</w:t>
            </w:r>
          </w:p>
        </w:tc>
        <w:tc>
          <w:tcPr>
            <w:tcW w:w="759" w:type="dxa"/>
            <w:shd w:val="clear" w:color="auto" w:fill="auto"/>
            <w:noWrap/>
            <w:vAlign w:val="center"/>
            <w:hideMark/>
          </w:tcPr>
          <w:p w14:paraId="657F9E3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8,798</w:t>
            </w:r>
          </w:p>
        </w:tc>
        <w:tc>
          <w:tcPr>
            <w:tcW w:w="759" w:type="dxa"/>
            <w:shd w:val="clear" w:color="auto" w:fill="auto"/>
            <w:noWrap/>
            <w:vAlign w:val="center"/>
            <w:hideMark/>
          </w:tcPr>
          <w:p w14:paraId="6BE6A6F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9,269</w:t>
            </w:r>
          </w:p>
        </w:tc>
        <w:tc>
          <w:tcPr>
            <w:tcW w:w="759" w:type="dxa"/>
            <w:shd w:val="clear" w:color="auto" w:fill="auto"/>
            <w:noWrap/>
            <w:vAlign w:val="center"/>
            <w:hideMark/>
          </w:tcPr>
          <w:p w14:paraId="0AA0F20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9,742</w:t>
            </w:r>
          </w:p>
        </w:tc>
        <w:tc>
          <w:tcPr>
            <w:tcW w:w="759" w:type="dxa"/>
            <w:shd w:val="clear" w:color="auto" w:fill="auto"/>
            <w:noWrap/>
            <w:vAlign w:val="center"/>
            <w:hideMark/>
          </w:tcPr>
          <w:p w14:paraId="5B72DB2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10,217</w:t>
            </w:r>
          </w:p>
        </w:tc>
        <w:tc>
          <w:tcPr>
            <w:tcW w:w="759" w:type="dxa"/>
            <w:shd w:val="clear" w:color="auto" w:fill="auto"/>
            <w:noWrap/>
            <w:vAlign w:val="center"/>
            <w:hideMark/>
          </w:tcPr>
          <w:p w14:paraId="604D44D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10,692</w:t>
            </w:r>
          </w:p>
        </w:tc>
        <w:tc>
          <w:tcPr>
            <w:tcW w:w="759" w:type="dxa"/>
            <w:shd w:val="clear" w:color="auto" w:fill="auto"/>
            <w:noWrap/>
            <w:vAlign w:val="center"/>
            <w:hideMark/>
          </w:tcPr>
          <w:p w14:paraId="0F580E9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11,167</w:t>
            </w:r>
          </w:p>
        </w:tc>
        <w:tc>
          <w:tcPr>
            <w:tcW w:w="759" w:type="dxa"/>
            <w:shd w:val="clear" w:color="auto" w:fill="auto"/>
            <w:noWrap/>
            <w:vAlign w:val="center"/>
            <w:hideMark/>
          </w:tcPr>
          <w:p w14:paraId="40342F5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11,642</w:t>
            </w:r>
          </w:p>
        </w:tc>
        <w:tc>
          <w:tcPr>
            <w:tcW w:w="759" w:type="dxa"/>
            <w:shd w:val="clear" w:color="auto" w:fill="auto"/>
            <w:noWrap/>
            <w:vAlign w:val="center"/>
            <w:hideMark/>
          </w:tcPr>
          <w:p w14:paraId="2D09D6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12,116</w:t>
            </w:r>
          </w:p>
        </w:tc>
        <w:tc>
          <w:tcPr>
            <w:tcW w:w="759" w:type="dxa"/>
            <w:shd w:val="clear" w:color="auto" w:fill="auto"/>
            <w:noWrap/>
            <w:vAlign w:val="center"/>
            <w:hideMark/>
          </w:tcPr>
          <w:p w14:paraId="6D7042A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12,588</w:t>
            </w:r>
          </w:p>
        </w:tc>
        <w:tc>
          <w:tcPr>
            <w:tcW w:w="759" w:type="dxa"/>
            <w:shd w:val="clear" w:color="auto" w:fill="auto"/>
            <w:noWrap/>
            <w:vAlign w:val="center"/>
            <w:hideMark/>
          </w:tcPr>
          <w:p w14:paraId="06BA27B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13,059</w:t>
            </w:r>
          </w:p>
        </w:tc>
      </w:tr>
      <w:tr w:rsidR="002735B4" w:rsidRPr="00445472" w14:paraId="1DAB3330" w14:textId="77777777" w:rsidTr="002A1F08">
        <w:trPr>
          <w:trHeight w:val="255"/>
        </w:trPr>
        <w:tc>
          <w:tcPr>
            <w:tcW w:w="1101" w:type="dxa"/>
            <w:vMerge/>
            <w:shd w:val="clear" w:color="auto" w:fill="auto"/>
            <w:vAlign w:val="center"/>
            <w:hideMark/>
          </w:tcPr>
          <w:p w14:paraId="14620233"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0EFB2AE2"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54A8D71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155</w:t>
            </w:r>
          </w:p>
        </w:tc>
        <w:tc>
          <w:tcPr>
            <w:tcW w:w="759" w:type="dxa"/>
            <w:shd w:val="clear" w:color="auto" w:fill="auto"/>
            <w:noWrap/>
            <w:vAlign w:val="center"/>
            <w:hideMark/>
          </w:tcPr>
          <w:p w14:paraId="6C50C05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171</w:t>
            </w:r>
          </w:p>
        </w:tc>
        <w:tc>
          <w:tcPr>
            <w:tcW w:w="759" w:type="dxa"/>
            <w:shd w:val="clear" w:color="auto" w:fill="auto"/>
            <w:noWrap/>
            <w:vAlign w:val="center"/>
            <w:hideMark/>
          </w:tcPr>
          <w:p w14:paraId="70F060E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188</w:t>
            </w:r>
          </w:p>
        </w:tc>
        <w:tc>
          <w:tcPr>
            <w:tcW w:w="759" w:type="dxa"/>
            <w:shd w:val="clear" w:color="auto" w:fill="auto"/>
            <w:noWrap/>
            <w:vAlign w:val="center"/>
            <w:hideMark/>
          </w:tcPr>
          <w:p w14:paraId="50C3B70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206</w:t>
            </w:r>
          </w:p>
        </w:tc>
        <w:tc>
          <w:tcPr>
            <w:tcW w:w="759" w:type="dxa"/>
            <w:shd w:val="clear" w:color="auto" w:fill="auto"/>
            <w:noWrap/>
            <w:vAlign w:val="center"/>
            <w:hideMark/>
          </w:tcPr>
          <w:p w14:paraId="7F5120F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224</w:t>
            </w:r>
          </w:p>
        </w:tc>
        <w:tc>
          <w:tcPr>
            <w:tcW w:w="759" w:type="dxa"/>
            <w:shd w:val="clear" w:color="auto" w:fill="auto"/>
            <w:noWrap/>
            <w:vAlign w:val="center"/>
            <w:hideMark/>
          </w:tcPr>
          <w:p w14:paraId="6669AD7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243</w:t>
            </w:r>
          </w:p>
        </w:tc>
        <w:tc>
          <w:tcPr>
            <w:tcW w:w="759" w:type="dxa"/>
            <w:shd w:val="clear" w:color="auto" w:fill="auto"/>
            <w:noWrap/>
            <w:vAlign w:val="center"/>
            <w:hideMark/>
          </w:tcPr>
          <w:p w14:paraId="7F31A2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263</w:t>
            </w:r>
          </w:p>
        </w:tc>
        <w:tc>
          <w:tcPr>
            <w:tcW w:w="759" w:type="dxa"/>
            <w:shd w:val="clear" w:color="auto" w:fill="auto"/>
            <w:noWrap/>
            <w:vAlign w:val="center"/>
            <w:hideMark/>
          </w:tcPr>
          <w:p w14:paraId="2E4703E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284</w:t>
            </w:r>
          </w:p>
        </w:tc>
        <w:tc>
          <w:tcPr>
            <w:tcW w:w="759" w:type="dxa"/>
            <w:shd w:val="clear" w:color="auto" w:fill="auto"/>
            <w:noWrap/>
            <w:vAlign w:val="center"/>
            <w:hideMark/>
          </w:tcPr>
          <w:p w14:paraId="756C904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306</w:t>
            </w:r>
          </w:p>
        </w:tc>
        <w:tc>
          <w:tcPr>
            <w:tcW w:w="759" w:type="dxa"/>
            <w:shd w:val="clear" w:color="auto" w:fill="auto"/>
            <w:noWrap/>
            <w:vAlign w:val="center"/>
            <w:hideMark/>
          </w:tcPr>
          <w:p w14:paraId="60E8B15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328</w:t>
            </w:r>
          </w:p>
        </w:tc>
        <w:tc>
          <w:tcPr>
            <w:tcW w:w="759" w:type="dxa"/>
            <w:shd w:val="clear" w:color="auto" w:fill="auto"/>
            <w:noWrap/>
            <w:vAlign w:val="center"/>
            <w:hideMark/>
          </w:tcPr>
          <w:p w14:paraId="59E828A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351</w:t>
            </w:r>
          </w:p>
        </w:tc>
        <w:tc>
          <w:tcPr>
            <w:tcW w:w="759" w:type="dxa"/>
            <w:shd w:val="clear" w:color="auto" w:fill="auto"/>
            <w:noWrap/>
            <w:vAlign w:val="center"/>
            <w:hideMark/>
          </w:tcPr>
          <w:p w14:paraId="3A6C648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375</w:t>
            </w:r>
          </w:p>
        </w:tc>
        <w:tc>
          <w:tcPr>
            <w:tcW w:w="759" w:type="dxa"/>
            <w:shd w:val="clear" w:color="auto" w:fill="auto"/>
            <w:noWrap/>
            <w:vAlign w:val="center"/>
            <w:hideMark/>
          </w:tcPr>
          <w:p w14:paraId="6B59BBC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399</w:t>
            </w:r>
          </w:p>
        </w:tc>
        <w:tc>
          <w:tcPr>
            <w:tcW w:w="759" w:type="dxa"/>
            <w:shd w:val="clear" w:color="auto" w:fill="auto"/>
            <w:noWrap/>
            <w:vAlign w:val="center"/>
            <w:hideMark/>
          </w:tcPr>
          <w:p w14:paraId="6C84A8B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425</w:t>
            </w:r>
          </w:p>
        </w:tc>
        <w:tc>
          <w:tcPr>
            <w:tcW w:w="759" w:type="dxa"/>
            <w:shd w:val="clear" w:color="auto" w:fill="auto"/>
            <w:noWrap/>
            <w:vAlign w:val="center"/>
            <w:hideMark/>
          </w:tcPr>
          <w:p w14:paraId="384A3B6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450</w:t>
            </w:r>
          </w:p>
        </w:tc>
        <w:tc>
          <w:tcPr>
            <w:tcW w:w="759" w:type="dxa"/>
            <w:shd w:val="clear" w:color="auto" w:fill="auto"/>
            <w:noWrap/>
            <w:vAlign w:val="center"/>
            <w:hideMark/>
          </w:tcPr>
          <w:p w14:paraId="12D558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477</w:t>
            </w:r>
          </w:p>
        </w:tc>
      </w:tr>
      <w:tr w:rsidR="002735B4" w:rsidRPr="00445472" w14:paraId="32AEE963" w14:textId="77777777" w:rsidTr="002A1F08">
        <w:trPr>
          <w:trHeight w:val="255"/>
        </w:trPr>
        <w:tc>
          <w:tcPr>
            <w:tcW w:w="1101" w:type="dxa"/>
            <w:vMerge w:val="restart"/>
            <w:shd w:val="clear" w:color="auto" w:fill="auto"/>
            <w:vAlign w:val="center"/>
            <w:hideMark/>
          </w:tcPr>
          <w:p w14:paraId="4BD77EA5" w14:textId="52FF780E"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Tropojë U </w:t>
            </w:r>
            <w:r w:rsidR="006E55B4" w:rsidRPr="00445472">
              <w:rPr>
                <w:rFonts w:ascii="Garamond" w:hAnsi="Garamond"/>
                <w:sz w:val="15"/>
                <w:szCs w:val="15"/>
                <w:lang w:eastAsia="en-GB"/>
              </w:rPr>
              <w:t>sh.a.</w:t>
            </w:r>
          </w:p>
        </w:tc>
        <w:tc>
          <w:tcPr>
            <w:tcW w:w="1494" w:type="dxa"/>
            <w:shd w:val="clear" w:color="auto" w:fill="auto"/>
            <w:noWrap/>
            <w:vAlign w:val="center"/>
            <w:hideMark/>
          </w:tcPr>
          <w:p w14:paraId="2522615A" w14:textId="051A39AD"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32FD724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7,493</w:t>
            </w:r>
          </w:p>
        </w:tc>
        <w:tc>
          <w:tcPr>
            <w:tcW w:w="759" w:type="dxa"/>
            <w:shd w:val="clear" w:color="auto" w:fill="auto"/>
            <w:noWrap/>
            <w:vAlign w:val="center"/>
            <w:hideMark/>
          </w:tcPr>
          <w:p w14:paraId="401579D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7,662</w:t>
            </w:r>
          </w:p>
        </w:tc>
        <w:tc>
          <w:tcPr>
            <w:tcW w:w="759" w:type="dxa"/>
            <w:shd w:val="clear" w:color="auto" w:fill="auto"/>
            <w:noWrap/>
            <w:vAlign w:val="center"/>
            <w:hideMark/>
          </w:tcPr>
          <w:p w14:paraId="12F0E0F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7,836</w:t>
            </w:r>
          </w:p>
        </w:tc>
        <w:tc>
          <w:tcPr>
            <w:tcW w:w="759" w:type="dxa"/>
            <w:shd w:val="clear" w:color="auto" w:fill="auto"/>
            <w:noWrap/>
            <w:vAlign w:val="center"/>
            <w:hideMark/>
          </w:tcPr>
          <w:p w14:paraId="3DF40B4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8,015</w:t>
            </w:r>
          </w:p>
        </w:tc>
        <w:tc>
          <w:tcPr>
            <w:tcW w:w="759" w:type="dxa"/>
            <w:shd w:val="clear" w:color="auto" w:fill="auto"/>
            <w:noWrap/>
            <w:vAlign w:val="center"/>
            <w:hideMark/>
          </w:tcPr>
          <w:p w14:paraId="566058B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8,198</w:t>
            </w:r>
          </w:p>
        </w:tc>
        <w:tc>
          <w:tcPr>
            <w:tcW w:w="759" w:type="dxa"/>
            <w:shd w:val="clear" w:color="auto" w:fill="auto"/>
            <w:noWrap/>
            <w:vAlign w:val="center"/>
            <w:hideMark/>
          </w:tcPr>
          <w:p w14:paraId="49381C6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8,385</w:t>
            </w:r>
          </w:p>
        </w:tc>
        <w:tc>
          <w:tcPr>
            <w:tcW w:w="759" w:type="dxa"/>
            <w:shd w:val="clear" w:color="auto" w:fill="auto"/>
            <w:noWrap/>
            <w:vAlign w:val="center"/>
            <w:hideMark/>
          </w:tcPr>
          <w:p w14:paraId="08A57C0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8,578</w:t>
            </w:r>
          </w:p>
        </w:tc>
        <w:tc>
          <w:tcPr>
            <w:tcW w:w="759" w:type="dxa"/>
            <w:shd w:val="clear" w:color="auto" w:fill="auto"/>
            <w:noWrap/>
            <w:vAlign w:val="center"/>
            <w:hideMark/>
          </w:tcPr>
          <w:p w14:paraId="4F94A4C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8,772</w:t>
            </w:r>
          </w:p>
        </w:tc>
        <w:tc>
          <w:tcPr>
            <w:tcW w:w="759" w:type="dxa"/>
            <w:shd w:val="clear" w:color="auto" w:fill="auto"/>
            <w:noWrap/>
            <w:vAlign w:val="center"/>
            <w:hideMark/>
          </w:tcPr>
          <w:p w14:paraId="148297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8,965</w:t>
            </w:r>
          </w:p>
        </w:tc>
        <w:tc>
          <w:tcPr>
            <w:tcW w:w="759" w:type="dxa"/>
            <w:shd w:val="clear" w:color="auto" w:fill="auto"/>
            <w:noWrap/>
            <w:vAlign w:val="center"/>
            <w:hideMark/>
          </w:tcPr>
          <w:p w14:paraId="70F5137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9,158</w:t>
            </w:r>
          </w:p>
        </w:tc>
        <w:tc>
          <w:tcPr>
            <w:tcW w:w="759" w:type="dxa"/>
            <w:shd w:val="clear" w:color="auto" w:fill="auto"/>
            <w:noWrap/>
            <w:vAlign w:val="center"/>
            <w:hideMark/>
          </w:tcPr>
          <w:p w14:paraId="04F97A4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9,350</w:t>
            </w:r>
          </w:p>
        </w:tc>
        <w:tc>
          <w:tcPr>
            <w:tcW w:w="759" w:type="dxa"/>
            <w:shd w:val="clear" w:color="auto" w:fill="auto"/>
            <w:noWrap/>
            <w:vAlign w:val="center"/>
            <w:hideMark/>
          </w:tcPr>
          <w:p w14:paraId="71D5B85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9,540</w:t>
            </w:r>
          </w:p>
        </w:tc>
        <w:tc>
          <w:tcPr>
            <w:tcW w:w="759" w:type="dxa"/>
            <w:shd w:val="clear" w:color="auto" w:fill="auto"/>
            <w:noWrap/>
            <w:vAlign w:val="center"/>
            <w:hideMark/>
          </w:tcPr>
          <w:p w14:paraId="2F0E79D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9,730</w:t>
            </w:r>
          </w:p>
        </w:tc>
        <w:tc>
          <w:tcPr>
            <w:tcW w:w="759" w:type="dxa"/>
            <w:shd w:val="clear" w:color="auto" w:fill="auto"/>
            <w:noWrap/>
            <w:vAlign w:val="center"/>
            <w:hideMark/>
          </w:tcPr>
          <w:p w14:paraId="5964ED7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9,917</w:t>
            </w:r>
          </w:p>
        </w:tc>
        <w:tc>
          <w:tcPr>
            <w:tcW w:w="759" w:type="dxa"/>
            <w:shd w:val="clear" w:color="auto" w:fill="auto"/>
            <w:noWrap/>
            <w:vAlign w:val="center"/>
            <w:hideMark/>
          </w:tcPr>
          <w:p w14:paraId="0FF6EF8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10,102</w:t>
            </w:r>
          </w:p>
        </w:tc>
        <w:tc>
          <w:tcPr>
            <w:tcW w:w="759" w:type="dxa"/>
            <w:shd w:val="clear" w:color="auto" w:fill="auto"/>
            <w:noWrap/>
            <w:vAlign w:val="center"/>
            <w:hideMark/>
          </w:tcPr>
          <w:p w14:paraId="0F51080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10,285</w:t>
            </w:r>
          </w:p>
        </w:tc>
      </w:tr>
      <w:tr w:rsidR="002735B4" w:rsidRPr="00445472" w14:paraId="58BA02A8" w14:textId="77777777" w:rsidTr="002A1F08">
        <w:trPr>
          <w:trHeight w:val="255"/>
        </w:trPr>
        <w:tc>
          <w:tcPr>
            <w:tcW w:w="1101" w:type="dxa"/>
            <w:vMerge/>
            <w:shd w:val="clear" w:color="auto" w:fill="auto"/>
            <w:vAlign w:val="center"/>
            <w:hideMark/>
          </w:tcPr>
          <w:p w14:paraId="7B3C4ECE"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53A83EDA"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7880218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386</w:t>
            </w:r>
          </w:p>
        </w:tc>
        <w:tc>
          <w:tcPr>
            <w:tcW w:w="759" w:type="dxa"/>
            <w:shd w:val="clear" w:color="auto" w:fill="auto"/>
            <w:noWrap/>
            <w:vAlign w:val="center"/>
            <w:hideMark/>
          </w:tcPr>
          <w:p w14:paraId="669283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387</w:t>
            </w:r>
          </w:p>
        </w:tc>
        <w:tc>
          <w:tcPr>
            <w:tcW w:w="759" w:type="dxa"/>
            <w:shd w:val="clear" w:color="auto" w:fill="auto"/>
            <w:noWrap/>
            <w:vAlign w:val="center"/>
            <w:hideMark/>
          </w:tcPr>
          <w:p w14:paraId="1DBDF34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388</w:t>
            </w:r>
          </w:p>
        </w:tc>
        <w:tc>
          <w:tcPr>
            <w:tcW w:w="759" w:type="dxa"/>
            <w:shd w:val="clear" w:color="auto" w:fill="auto"/>
            <w:noWrap/>
            <w:vAlign w:val="center"/>
            <w:hideMark/>
          </w:tcPr>
          <w:p w14:paraId="1B2B37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389</w:t>
            </w:r>
          </w:p>
        </w:tc>
        <w:tc>
          <w:tcPr>
            <w:tcW w:w="759" w:type="dxa"/>
            <w:shd w:val="clear" w:color="auto" w:fill="auto"/>
            <w:noWrap/>
            <w:vAlign w:val="center"/>
            <w:hideMark/>
          </w:tcPr>
          <w:p w14:paraId="63F7268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390</w:t>
            </w:r>
          </w:p>
        </w:tc>
        <w:tc>
          <w:tcPr>
            <w:tcW w:w="759" w:type="dxa"/>
            <w:shd w:val="clear" w:color="auto" w:fill="auto"/>
            <w:noWrap/>
            <w:vAlign w:val="center"/>
            <w:hideMark/>
          </w:tcPr>
          <w:p w14:paraId="1B8DD0A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390</w:t>
            </w:r>
          </w:p>
        </w:tc>
        <w:tc>
          <w:tcPr>
            <w:tcW w:w="759" w:type="dxa"/>
            <w:shd w:val="clear" w:color="auto" w:fill="auto"/>
            <w:noWrap/>
            <w:vAlign w:val="center"/>
            <w:hideMark/>
          </w:tcPr>
          <w:p w14:paraId="2A8B493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391</w:t>
            </w:r>
          </w:p>
        </w:tc>
        <w:tc>
          <w:tcPr>
            <w:tcW w:w="759" w:type="dxa"/>
            <w:shd w:val="clear" w:color="auto" w:fill="auto"/>
            <w:noWrap/>
            <w:vAlign w:val="center"/>
            <w:hideMark/>
          </w:tcPr>
          <w:p w14:paraId="3C8406E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391</w:t>
            </w:r>
          </w:p>
        </w:tc>
        <w:tc>
          <w:tcPr>
            <w:tcW w:w="759" w:type="dxa"/>
            <w:shd w:val="clear" w:color="auto" w:fill="auto"/>
            <w:noWrap/>
            <w:vAlign w:val="center"/>
            <w:hideMark/>
          </w:tcPr>
          <w:p w14:paraId="300918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390</w:t>
            </w:r>
          </w:p>
        </w:tc>
        <w:tc>
          <w:tcPr>
            <w:tcW w:w="759" w:type="dxa"/>
            <w:shd w:val="clear" w:color="auto" w:fill="auto"/>
            <w:noWrap/>
            <w:vAlign w:val="center"/>
            <w:hideMark/>
          </w:tcPr>
          <w:p w14:paraId="6807088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389</w:t>
            </w:r>
          </w:p>
        </w:tc>
        <w:tc>
          <w:tcPr>
            <w:tcW w:w="759" w:type="dxa"/>
            <w:shd w:val="clear" w:color="auto" w:fill="auto"/>
            <w:noWrap/>
            <w:vAlign w:val="center"/>
            <w:hideMark/>
          </w:tcPr>
          <w:p w14:paraId="70DF75F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388</w:t>
            </w:r>
          </w:p>
        </w:tc>
        <w:tc>
          <w:tcPr>
            <w:tcW w:w="759" w:type="dxa"/>
            <w:shd w:val="clear" w:color="auto" w:fill="auto"/>
            <w:noWrap/>
            <w:vAlign w:val="center"/>
            <w:hideMark/>
          </w:tcPr>
          <w:p w14:paraId="47BD6AC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387</w:t>
            </w:r>
          </w:p>
        </w:tc>
        <w:tc>
          <w:tcPr>
            <w:tcW w:w="759" w:type="dxa"/>
            <w:shd w:val="clear" w:color="auto" w:fill="auto"/>
            <w:noWrap/>
            <w:vAlign w:val="center"/>
            <w:hideMark/>
          </w:tcPr>
          <w:p w14:paraId="48B663C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384</w:t>
            </w:r>
          </w:p>
        </w:tc>
        <w:tc>
          <w:tcPr>
            <w:tcW w:w="759" w:type="dxa"/>
            <w:shd w:val="clear" w:color="auto" w:fill="auto"/>
            <w:noWrap/>
            <w:vAlign w:val="center"/>
            <w:hideMark/>
          </w:tcPr>
          <w:p w14:paraId="181EC36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382</w:t>
            </w:r>
          </w:p>
        </w:tc>
        <w:tc>
          <w:tcPr>
            <w:tcW w:w="759" w:type="dxa"/>
            <w:shd w:val="clear" w:color="auto" w:fill="auto"/>
            <w:noWrap/>
            <w:vAlign w:val="center"/>
            <w:hideMark/>
          </w:tcPr>
          <w:p w14:paraId="6F3C094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379</w:t>
            </w:r>
          </w:p>
        </w:tc>
        <w:tc>
          <w:tcPr>
            <w:tcW w:w="759" w:type="dxa"/>
            <w:shd w:val="clear" w:color="auto" w:fill="auto"/>
            <w:noWrap/>
            <w:vAlign w:val="center"/>
            <w:hideMark/>
          </w:tcPr>
          <w:p w14:paraId="6D3D037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375</w:t>
            </w:r>
          </w:p>
        </w:tc>
      </w:tr>
      <w:tr w:rsidR="002735B4" w:rsidRPr="00445472" w14:paraId="7877635B" w14:textId="77777777" w:rsidTr="002A1F08">
        <w:trPr>
          <w:trHeight w:val="255"/>
        </w:trPr>
        <w:tc>
          <w:tcPr>
            <w:tcW w:w="1101" w:type="dxa"/>
            <w:vMerge w:val="restart"/>
            <w:shd w:val="clear" w:color="auto" w:fill="auto"/>
            <w:vAlign w:val="center"/>
            <w:hideMark/>
          </w:tcPr>
          <w:p w14:paraId="7304C391" w14:textId="24AE38F2"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Lezhë UK </w:t>
            </w:r>
            <w:r w:rsidR="006E55B4" w:rsidRPr="00445472">
              <w:rPr>
                <w:rFonts w:ascii="Garamond" w:hAnsi="Garamond"/>
                <w:sz w:val="15"/>
                <w:szCs w:val="15"/>
                <w:lang w:eastAsia="en-GB"/>
              </w:rPr>
              <w:t>sh.a.</w:t>
            </w:r>
          </w:p>
        </w:tc>
        <w:tc>
          <w:tcPr>
            <w:tcW w:w="1494" w:type="dxa"/>
            <w:shd w:val="clear" w:color="auto" w:fill="auto"/>
            <w:noWrap/>
            <w:vAlign w:val="center"/>
            <w:hideMark/>
          </w:tcPr>
          <w:p w14:paraId="18CF7808" w14:textId="14E1C196"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6A3C832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34,020</w:t>
            </w:r>
          </w:p>
        </w:tc>
        <w:tc>
          <w:tcPr>
            <w:tcW w:w="759" w:type="dxa"/>
            <w:shd w:val="clear" w:color="auto" w:fill="auto"/>
            <w:noWrap/>
            <w:vAlign w:val="center"/>
            <w:hideMark/>
          </w:tcPr>
          <w:p w14:paraId="2E813E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34,138</w:t>
            </w:r>
          </w:p>
        </w:tc>
        <w:tc>
          <w:tcPr>
            <w:tcW w:w="759" w:type="dxa"/>
            <w:shd w:val="clear" w:color="auto" w:fill="auto"/>
            <w:noWrap/>
            <w:vAlign w:val="center"/>
            <w:hideMark/>
          </w:tcPr>
          <w:p w14:paraId="2F5A9AD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34,274</w:t>
            </w:r>
          </w:p>
        </w:tc>
        <w:tc>
          <w:tcPr>
            <w:tcW w:w="759" w:type="dxa"/>
            <w:shd w:val="clear" w:color="auto" w:fill="auto"/>
            <w:noWrap/>
            <w:vAlign w:val="center"/>
            <w:hideMark/>
          </w:tcPr>
          <w:p w14:paraId="41F2507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34,426</w:t>
            </w:r>
          </w:p>
        </w:tc>
        <w:tc>
          <w:tcPr>
            <w:tcW w:w="759" w:type="dxa"/>
            <w:shd w:val="clear" w:color="auto" w:fill="auto"/>
            <w:noWrap/>
            <w:vAlign w:val="center"/>
            <w:hideMark/>
          </w:tcPr>
          <w:p w14:paraId="0806C2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34,594</w:t>
            </w:r>
          </w:p>
        </w:tc>
        <w:tc>
          <w:tcPr>
            <w:tcW w:w="759" w:type="dxa"/>
            <w:shd w:val="clear" w:color="auto" w:fill="auto"/>
            <w:noWrap/>
            <w:vAlign w:val="center"/>
            <w:hideMark/>
          </w:tcPr>
          <w:p w14:paraId="0659A7B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34,778</w:t>
            </w:r>
          </w:p>
        </w:tc>
        <w:tc>
          <w:tcPr>
            <w:tcW w:w="759" w:type="dxa"/>
            <w:shd w:val="clear" w:color="auto" w:fill="auto"/>
            <w:noWrap/>
            <w:vAlign w:val="center"/>
            <w:hideMark/>
          </w:tcPr>
          <w:p w14:paraId="388509B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34,979</w:t>
            </w:r>
          </w:p>
        </w:tc>
        <w:tc>
          <w:tcPr>
            <w:tcW w:w="759" w:type="dxa"/>
            <w:shd w:val="clear" w:color="auto" w:fill="auto"/>
            <w:noWrap/>
            <w:vAlign w:val="center"/>
            <w:hideMark/>
          </w:tcPr>
          <w:p w14:paraId="62D2048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35,178</w:t>
            </w:r>
          </w:p>
        </w:tc>
        <w:tc>
          <w:tcPr>
            <w:tcW w:w="759" w:type="dxa"/>
            <w:shd w:val="clear" w:color="auto" w:fill="auto"/>
            <w:noWrap/>
            <w:vAlign w:val="center"/>
            <w:hideMark/>
          </w:tcPr>
          <w:p w14:paraId="2E04631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35,372</w:t>
            </w:r>
          </w:p>
        </w:tc>
        <w:tc>
          <w:tcPr>
            <w:tcW w:w="759" w:type="dxa"/>
            <w:shd w:val="clear" w:color="auto" w:fill="auto"/>
            <w:noWrap/>
            <w:vAlign w:val="center"/>
            <w:hideMark/>
          </w:tcPr>
          <w:p w14:paraId="795B58F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35,560</w:t>
            </w:r>
          </w:p>
        </w:tc>
        <w:tc>
          <w:tcPr>
            <w:tcW w:w="759" w:type="dxa"/>
            <w:shd w:val="clear" w:color="auto" w:fill="auto"/>
            <w:noWrap/>
            <w:vAlign w:val="center"/>
            <w:hideMark/>
          </w:tcPr>
          <w:p w14:paraId="4070676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35,742</w:t>
            </w:r>
          </w:p>
        </w:tc>
        <w:tc>
          <w:tcPr>
            <w:tcW w:w="759" w:type="dxa"/>
            <w:shd w:val="clear" w:color="auto" w:fill="auto"/>
            <w:noWrap/>
            <w:vAlign w:val="center"/>
            <w:hideMark/>
          </w:tcPr>
          <w:p w14:paraId="333C91E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35,915</w:t>
            </w:r>
          </w:p>
        </w:tc>
        <w:tc>
          <w:tcPr>
            <w:tcW w:w="759" w:type="dxa"/>
            <w:shd w:val="clear" w:color="auto" w:fill="auto"/>
            <w:noWrap/>
            <w:vAlign w:val="center"/>
            <w:hideMark/>
          </w:tcPr>
          <w:p w14:paraId="35B5DB1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36,079</w:t>
            </w:r>
          </w:p>
        </w:tc>
        <w:tc>
          <w:tcPr>
            <w:tcW w:w="759" w:type="dxa"/>
            <w:shd w:val="clear" w:color="auto" w:fill="auto"/>
            <w:noWrap/>
            <w:vAlign w:val="center"/>
            <w:hideMark/>
          </w:tcPr>
          <w:p w14:paraId="1CA3574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36,234</w:t>
            </w:r>
          </w:p>
        </w:tc>
        <w:tc>
          <w:tcPr>
            <w:tcW w:w="759" w:type="dxa"/>
            <w:shd w:val="clear" w:color="auto" w:fill="auto"/>
            <w:noWrap/>
            <w:vAlign w:val="center"/>
            <w:hideMark/>
          </w:tcPr>
          <w:p w14:paraId="415808A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36,378</w:t>
            </w:r>
          </w:p>
        </w:tc>
        <w:tc>
          <w:tcPr>
            <w:tcW w:w="759" w:type="dxa"/>
            <w:shd w:val="clear" w:color="auto" w:fill="auto"/>
            <w:noWrap/>
            <w:vAlign w:val="center"/>
            <w:hideMark/>
          </w:tcPr>
          <w:p w14:paraId="69518C1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36,513</w:t>
            </w:r>
          </w:p>
        </w:tc>
      </w:tr>
      <w:tr w:rsidR="002735B4" w:rsidRPr="00445472" w14:paraId="3DE72D73" w14:textId="77777777" w:rsidTr="002A1F08">
        <w:trPr>
          <w:trHeight w:val="255"/>
        </w:trPr>
        <w:tc>
          <w:tcPr>
            <w:tcW w:w="1101" w:type="dxa"/>
            <w:vMerge/>
            <w:shd w:val="clear" w:color="auto" w:fill="auto"/>
            <w:vAlign w:val="center"/>
            <w:hideMark/>
          </w:tcPr>
          <w:p w14:paraId="172B8B94"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7C96676E"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310AEFC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904</w:t>
            </w:r>
          </w:p>
        </w:tc>
        <w:tc>
          <w:tcPr>
            <w:tcW w:w="759" w:type="dxa"/>
            <w:shd w:val="clear" w:color="auto" w:fill="auto"/>
            <w:noWrap/>
            <w:vAlign w:val="center"/>
            <w:hideMark/>
          </w:tcPr>
          <w:p w14:paraId="0B9D993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930</w:t>
            </w:r>
          </w:p>
        </w:tc>
        <w:tc>
          <w:tcPr>
            <w:tcW w:w="759" w:type="dxa"/>
            <w:shd w:val="clear" w:color="auto" w:fill="auto"/>
            <w:noWrap/>
            <w:vAlign w:val="center"/>
            <w:hideMark/>
          </w:tcPr>
          <w:p w14:paraId="380B600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956</w:t>
            </w:r>
          </w:p>
        </w:tc>
        <w:tc>
          <w:tcPr>
            <w:tcW w:w="759" w:type="dxa"/>
            <w:shd w:val="clear" w:color="auto" w:fill="auto"/>
            <w:noWrap/>
            <w:vAlign w:val="center"/>
            <w:hideMark/>
          </w:tcPr>
          <w:p w14:paraId="276F6A8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983</w:t>
            </w:r>
          </w:p>
        </w:tc>
        <w:tc>
          <w:tcPr>
            <w:tcW w:w="759" w:type="dxa"/>
            <w:shd w:val="clear" w:color="auto" w:fill="auto"/>
            <w:noWrap/>
            <w:vAlign w:val="center"/>
            <w:hideMark/>
          </w:tcPr>
          <w:p w14:paraId="78564DD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1,011</w:t>
            </w:r>
          </w:p>
        </w:tc>
        <w:tc>
          <w:tcPr>
            <w:tcW w:w="759" w:type="dxa"/>
            <w:shd w:val="clear" w:color="auto" w:fill="auto"/>
            <w:noWrap/>
            <w:vAlign w:val="center"/>
            <w:hideMark/>
          </w:tcPr>
          <w:p w14:paraId="21F48BD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1,039</w:t>
            </w:r>
          </w:p>
        </w:tc>
        <w:tc>
          <w:tcPr>
            <w:tcW w:w="759" w:type="dxa"/>
            <w:shd w:val="clear" w:color="auto" w:fill="auto"/>
            <w:noWrap/>
            <w:vAlign w:val="center"/>
            <w:hideMark/>
          </w:tcPr>
          <w:p w14:paraId="3DA692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1,068</w:t>
            </w:r>
          </w:p>
        </w:tc>
        <w:tc>
          <w:tcPr>
            <w:tcW w:w="759" w:type="dxa"/>
            <w:shd w:val="clear" w:color="auto" w:fill="auto"/>
            <w:noWrap/>
            <w:vAlign w:val="center"/>
            <w:hideMark/>
          </w:tcPr>
          <w:p w14:paraId="3A62283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1,098</w:t>
            </w:r>
          </w:p>
        </w:tc>
        <w:tc>
          <w:tcPr>
            <w:tcW w:w="759" w:type="dxa"/>
            <w:shd w:val="clear" w:color="auto" w:fill="auto"/>
            <w:noWrap/>
            <w:vAlign w:val="center"/>
            <w:hideMark/>
          </w:tcPr>
          <w:p w14:paraId="62AC94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1,127</w:t>
            </w:r>
          </w:p>
        </w:tc>
        <w:tc>
          <w:tcPr>
            <w:tcW w:w="759" w:type="dxa"/>
            <w:shd w:val="clear" w:color="auto" w:fill="auto"/>
            <w:noWrap/>
            <w:vAlign w:val="center"/>
            <w:hideMark/>
          </w:tcPr>
          <w:p w14:paraId="11C31AA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1,157</w:t>
            </w:r>
          </w:p>
        </w:tc>
        <w:tc>
          <w:tcPr>
            <w:tcW w:w="759" w:type="dxa"/>
            <w:shd w:val="clear" w:color="auto" w:fill="auto"/>
            <w:noWrap/>
            <w:vAlign w:val="center"/>
            <w:hideMark/>
          </w:tcPr>
          <w:p w14:paraId="04E2651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1,186</w:t>
            </w:r>
          </w:p>
        </w:tc>
        <w:tc>
          <w:tcPr>
            <w:tcW w:w="759" w:type="dxa"/>
            <w:shd w:val="clear" w:color="auto" w:fill="auto"/>
            <w:noWrap/>
            <w:vAlign w:val="center"/>
            <w:hideMark/>
          </w:tcPr>
          <w:p w14:paraId="7C4CF6D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1,216</w:t>
            </w:r>
          </w:p>
        </w:tc>
        <w:tc>
          <w:tcPr>
            <w:tcW w:w="759" w:type="dxa"/>
            <w:shd w:val="clear" w:color="auto" w:fill="auto"/>
            <w:noWrap/>
            <w:vAlign w:val="center"/>
            <w:hideMark/>
          </w:tcPr>
          <w:p w14:paraId="2FA5E3D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1,245</w:t>
            </w:r>
          </w:p>
        </w:tc>
        <w:tc>
          <w:tcPr>
            <w:tcW w:w="759" w:type="dxa"/>
            <w:shd w:val="clear" w:color="auto" w:fill="auto"/>
            <w:noWrap/>
            <w:vAlign w:val="center"/>
            <w:hideMark/>
          </w:tcPr>
          <w:p w14:paraId="0A221A8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1,275</w:t>
            </w:r>
          </w:p>
        </w:tc>
        <w:tc>
          <w:tcPr>
            <w:tcW w:w="759" w:type="dxa"/>
            <w:shd w:val="clear" w:color="auto" w:fill="auto"/>
            <w:noWrap/>
            <w:vAlign w:val="center"/>
            <w:hideMark/>
          </w:tcPr>
          <w:p w14:paraId="595F7C3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1,304</w:t>
            </w:r>
          </w:p>
        </w:tc>
        <w:tc>
          <w:tcPr>
            <w:tcW w:w="759" w:type="dxa"/>
            <w:shd w:val="clear" w:color="auto" w:fill="auto"/>
            <w:noWrap/>
            <w:vAlign w:val="center"/>
            <w:hideMark/>
          </w:tcPr>
          <w:p w14:paraId="3F2D0A0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1,333</w:t>
            </w:r>
          </w:p>
        </w:tc>
      </w:tr>
      <w:tr w:rsidR="002735B4" w:rsidRPr="00445472" w14:paraId="681CADDA" w14:textId="77777777" w:rsidTr="002A1F08">
        <w:trPr>
          <w:trHeight w:val="255"/>
        </w:trPr>
        <w:tc>
          <w:tcPr>
            <w:tcW w:w="1101" w:type="dxa"/>
            <w:vMerge w:val="restart"/>
            <w:shd w:val="clear" w:color="auto" w:fill="auto"/>
            <w:vAlign w:val="center"/>
            <w:hideMark/>
          </w:tcPr>
          <w:p w14:paraId="68C76C5E" w14:textId="527D7220"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Pogradec UK </w:t>
            </w:r>
            <w:r w:rsidR="006E55B4" w:rsidRPr="00445472">
              <w:rPr>
                <w:rFonts w:ascii="Garamond" w:hAnsi="Garamond"/>
                <w:sz w:val="15"/>
                <w:szCs w:val="15"/>
                <w:lang w:eastAsia="en-GB"/>
              </w:rPr>
              <w:t>sh.a.</w:t>
            </w:r>
          </w:p>
        </w:tc>
        <w:tc>
          <w:tcPr>
            <w:tcW w:w="1494" w:type="dxa"/>
            <w:shd w:val="clear" w:color="auto" w:fill="auto"/>
            <w:noWrap/>
            <w:vAlign w:val="center"/>
            <w:hideMark/>
          </w:tcPr>
          <w:p w14:paraId="459538F3" w14:textId="1EDA46B0"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08B6A43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58,773</w:t>
            </w:r>
          </w:p>
        </w:tc>
        <w:tc>
          <w:tcPr>
            <w:tcW w:w="759" w:type="dxa"/>
            <w:shd w:val="clear" w:color="auto" w:fill="auto"/>
            <w:noWrap/>
            <w:vAlign w:val="center"/>
            <w:hideMark/>
          </w:tcPr>
          <w:p w14:paraId="61C66E9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58,924</w:t>
            </w:r>
          </w:p>
        </w:tc>
        <w:tc>
          <w:tcPr>
            <w:tcW w:w="759" w:type="dxa"/>
            <w:shd w:val="clear" w:color="auto" w:fill="auto"/>
            <w:noWrap/>
            <w:vAlign w:val="center"/>
            <w:hideMark/>
          </w:tcPr>
          <w:p w14:paraId="148DF2A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59,106</w:t>
            </w:r>
          </w:p>
        </w:tc>
        <w:tc>
          <w:tcPr>
            <w:tcW w:w="759" w:type="dxa"/>
            <w:shd w:val="clear" w:color="auto" w:fill="auto"/>
            <w:noWrap/>
            <w:vAlign w:val="center"/>
            <w:hideMark/>
          </w:tcPr>
          <w:p w14:paraId="24A18E1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59,316</w:t>
            </w:r>
          </w:p>
        </w:tc>
        <w:tc>
          <w:tcPr>
            <w:tcW w:w="759" w:type="dxa"/>
            <w:shd w:val="clear" w:color="auto" w:fill="auto"/>
            <w:noWrap/>
            <w:vAlign w:val="center"/>
            <w:hideMark/>
          </w:tcPr>
          <w:p w14:paraId="64D4B10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59,553</w:t>
            </w:r>
          </w:p>
        </w:tc>
        <w:tc>
          <w:tcPr>
            <w:tcW w:w="759" w:type="dxa"/>
            <w:shd w:val="clear" w:color="auto" w:fill="auto"/>
            <w:noWrap/>
            <w:vAlign w:val="center"/>
            <w:hideMark/>
          </w:tcPr>
          <w:p w14:paraId="4E98BEA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59,817</w:t>
            </w:r>
          </w:p>
        </w:tc>
        <w:tc>
          <w:tcPr>
            <w:tcW w:w="759" w:type="dxa"/>
            <w:shd w:val="clear" w:color="auto" w:fill="auto"/>
            <w:noWrap/>
            <w:vAlign w:val="center"/>
            <w:hideMark/>
          </w:tcPr>
          <w:p w14:paraId="54D7B7D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60,111</w:t>
            </w:r>
          </w:p>
        </w:tc>
        <w:tc>
          <w:tcPr>
            <w:tcW w:w="759" w:type="dxa"/>
            <w:shd w:val="clear" w:color="auto" w:fill="auto"/>
            <w:noWrap/>
            <w:vAlign w:val="center"/>
            <w:hideMark/>
          </w:tcPr>
          <w:p w14:paraId="72B5318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60,400</w:t>
            </w:r>
          </w:p>
        </w:tc>
        <w:tc>
          <w:tcPr>
            <w:tcW w:w="759" w:type="dxa"/>
            <w:shd w:val="clear" w:color="auto" w:fill="auto"/>
            <w:noWrap/>
            <w:vAlign w:val="center"/>
            <w:hideMark/>
          </w:tcPr>
          <w:p w14:paraId="2C3B357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60,680</w:t>
            </w:r>
          </w:p>
        </w:tc>
        <w:tc>
          <w:tcPr>
            <w:tcW w:w="759" w:type="dxa"/>
            <w:shd w:val="clear" w:color="auto" w:fill="auto"/>
            <w:noWrap/>
            <w:vAlign w:val="center"/>
            <w:hideMark/>
          </w:tcPr>
          <w:p w14:paraId="767EA2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60,950</w:t>
            </w:r>
          </w:p>
        </w:tc>
        <w:tc>
          <w:tcPr>
            <w:tcW w:w="759" w:type="dxa"/>
            <w:shd w:val="clear" w:color="auto" w:fill="auto"/>
            <w:noWrap/>
            <w:vAlign w:val="center"/>
            <w:hideMark/>
          </w:tcPr>
          <w:p w14:paraId="733639A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61,207</w:t>
            </w:r>
          </w:p>
        </w:tc>
        <w:tc>
          <w:tcPr>
            <w:tcW w:w="759" w:type="dxa"/>
            <w:shd w:val="clear" w:color="auto" w:fill="auto"/>
            <w:noWrap/>
            <w:vAlign w:val="center"/>
            <w:hideMark/>
          </w:tcPr>
          <w:p w14:paraId="024F75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61,450</w:t>
            </w:r>
          </w:p>
        </w:tc>
        <w:tc>
          <w:tcPr>
            <w:tcW w:w="759" w:type="dxa"/>
            <w:shd w:val="clear" w:color="auto" w:fill="auto"/>
            <w:noWrap/>
            <w:vAlign w:val="center"/>
            <w:hideMark/>
          </w:tcPr>
          <w:p w14:paraId="3D6E6A8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61,678</w:t>
            </w:r>
          </w:p>
        </w:tc>
        <w:tc>
          <w:tcPr>
            <w:tcW w:w="759" w:type="dxa"/>
            <w:shd w:val="clear" w:color="auto" w:fill="auto"/>
            <w:noWrap/>
            <w:vAlign w:val="center"/>
            <w:hideMark/>
          </w:tcPr>
          <w:p w14:paraId="4FF90A3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61,889</w:t>
            </w:r>
          </w:p>
        </w:tc>
        <w:tc>
          <w:tcPr>
            <w:tcW w:w="759" w:type="dxa"/>
            <w:shd w:val="clear" w:color="auto" w:fill="auto"/>
            <w:noWrap/>
            <w:vAlign w:val="center"/>
            <w:hideMark/>
          </w:tcPr>
          <w:p w14:paraId="200AD78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62,083</w:t>
            </w:r>
          </w:p>
        </w:tc>
        <w:tc>
          <w:tcPr>
            <w:tcW w:w="759" w:type="dxa"/>
            <w:shd w:val="clear" w:color="auto" w:fill="auto"/>
            <w:noWrap/>
            <w:vAlign w:val="center"/>
            <w:hideMark/>
          </w:tcPr>
          <w:p w14:paraId="5AFAF1D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62,259</w:t>
            </w:r>
          </w:p>
        </w:tc>
      </w:tr>
      <w:tr w:rsidR="002735B4" w:rsidRPr="00445472" w14:paraId="02719D7B" w14:textId="77777777" w:rsidTr="002A1F08">
        <w:trPr>
          <w:trHeight w:val="255"/>
        </w:trPr>
        <w:tc>
          <w:tcPr>
            <w:tcW w:w="1101" w:type="dxa"/>
            <w:vMerge/>
            <w:shd w:val="clear" w:color="auto" w:fill="auto"/>
            <w:vAlign w:val="center"/>
            <w:hideMark/>
          </w:tcPr>
          <w:p w14:paraId="2F4681DA"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3EF05320"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24B1BEA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1,160</w:t>
            </w:r>
          </w:p>
        </w:tc>
        <w:tc>
          <w:tcPr>
            <w:tcW w:w="759" w:type="dxa"/>
            <w:shd w:val="clear" w:color="auto" w:fill="auto"/>
            <w:noWrap/>
            <w:vAlign w:val="center"/>
            <w:hideMark/>
          </w:tcPr>
          <w:p w14:paraId="51ECDAB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1,229</w:t>
            </w:r>
          </w:p>
        </w:tc>
        <w:tc>
          <w:tcPr>
            <w:tcW w:w="759" w:type="dxa"/>
            <w:shd w:val="clear" w:color="auto" w:fill="auto"/>
            <w:noWrap/>
            <w:vAlign w:val="center"/>
            <w:hideMark/>
          </w:tcPr>
          <w:p w14:paraId="068ED56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1,298</w:t>
            </w:r>
          </w:p>
        </w:tc>
        <w:tc>
          <w:tcPr>
            <w:tcW w:w="759" w:type="dxa"/>
            <w:shd w:val="clear" w:color="auto" w:fill="auto"/>
            <w:noWrap/>
            <w:vAlign w:val="center"/>
            <w:hideMark/>
          </w:tcPr>
          <w:p w14:paraId="309E8C9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1,369</w:t>
            </w:r>
          </w:p>
        </w:tc>
        <w:tc>
          <w:tcPr>
            <w:tcW w:w="759" w:type="dxa"/>
            <w:shd w:val="clear" w:color="auto" w:fill="auto"/>
            <w:noWrap/>
            <w:vAlign w:val="center"/>
            <w:hideMark/>
          </w:tcPr>
          <w:p w14:paraId="4D8550F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1,441</w:t>
            </w:r>
          </w:p>
        </w:tc>
        <w:tc>
          <w:tcPr>
            <w:tcW w:w="759" w:type="dxa"/>
            <w:shd w:val="clear" w:color="auto" w:fill="auto"/>
            <w:noWrap/>
            <w:vAlign w:val="center"/>
            <w:hideMark/>
          </w:tcPr>
          <w:p w14:paraId="0E7F8C6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1,515</w:t>
            </w:r>
          </w:p>
        </w:tc>
        <w:tc>
          <w:tcPr>
            <w:tcW w:w="759" w:type="dxa"/>
            <w:shd w:val="clear" w:color="auto" w:fill="auto"/>
            <w:noWrap/>
            <w:vAlign w:val="center"/>
            <w:hideMark/>
          </w:tcPr>
          <w:p w14:paraId="4E39937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1,589</w:t>
            </w:r>
          </w:p>
        </w:tc>
        <w:tc>
          <w:tcPr>
            <w:tcW w:w="759" w:type="dxa"/>
            <w:shd w:val="clear" w:color="auto" w:fill="auto"/>
            <w:noWrap/>
            <w:vAlign w:val="center"/>
            <w:hideMark/>
          </w:tcPr>
          <w:p w14:paraId="11DA625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1,664</w:t>
            </w:r>
          </w:p>
        </w:tc>
        <w:tc>
          <w:tcPr>
            <w:tcW w:w="759" w:type="dxa"/>
            <w:shd w:val="clear" w:color="auto" w:fill="auto"/>
            <w:noWrap/>
            <w:vAlign w:val="center"/>
            <w:hideMark/>
          </w:tcPr>
          <w:p w14:paraId="01FA987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1,740</w:t>
            </w:r>
          </w:p>
        </w:tc>
        <w:tc>
          <w:tcPr>
            <w:tcW w:w="759" w:type="dxa"/>
            <w:shd w:val="clear" w:color="auto" w:fill="auto"/>
            <w:noWrap/>
            <w:vAlign w:val="center"/>
            <w:hideMark/>
          </w:tcPr>
          <w:p w14:paraId="05B7DB4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1,816</w:t>
            </w:r>
          </w:p>
        </w:tc>
        <w:tc>
          <w:tcPr>
            <w:tcW w:w="759" w:type="dxa"/>
            <w:shd w:val="clear" w:color="auto" w:fill="auto"/>
            <w:noWrap/>
            <w:vAlign w:val="center"/>
            <w:hideMark/>
          </w:tcPr>
          <w:p w14:paraId="7965238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1,892</w:t>
            </w:r>
          </w:p>
        </w:tc>
        <w:tc>
          <w:tcPr>
            <w:tcW w:w="759" w:type="dxa"/>
            <w:shd w:val="clear" w:color="auto" w:fill="auto"/>
            <w:noWrap/>
            <w:vAlign w:val="center"/>
            <w:hideMark/>
          </w:tcPr>
          <w:p w14:paraId="38106A2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1,968</w:t>
            </w:r>
          </w:p>
        </w:tc>
        <w:tc>
          <w:tcPr>
            <w:tcW w:w="759" w:type="dxa"/>
            <w:shd w:val="clear" w:color="auto" w:fill="auto"/>
            <w:noWrap/>
            <w:vAlign w:val="center"/>
            <w:hideMark/>
          </w:tcPr>
          <w:p w14:paraId="68C5BB7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2,044</w:t>
            </w:r>
          </w:p>
        </w:tc>
        <w:tc>
          <w:tcPr>
            <w:tcW w:w="759" w:type="dxa"/>
            <w:shd w:val="clear" w:color="auto" w:fill="auto"/>
            <w:noWrap/>
            <w:vAlign w:val="center"/>
            <w:hideMark/>
          </w:tcPr>
          <w:p w14:paraId="04B6189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2,121</w:t>
            </w:r>
          </w:p>
        </w:tc>
        <w:tc>
          <w:tcPr>
            <w:tcW w:w="759" w:type="dxa"/>
            <w:shd w:val="clear" w:color="auto" w:fill="auto"/>
            <w:noWrap/>
            <w:vAlign w:val="center"/>
            <w:hideMark/>
          </w:tcPr>
          <w:p w14:paraId="58D9B6C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2,197</w:t>
            </w:r>
          </w:p>
        </w:tc>
        <w:tc>
          <w:tcPr>
            <w:tcW w:w="759" w:type="dxa"/>
            <w:shd w:val="clear" w:color="auto" w:fill="auto"/>
            <w:noWrap/>
            <w:vAlign w:val="center"/>
            <w:hideMark/>
          </w:tcPr>
          <w:p w14:paraId="33453E3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2,272</w:t>
            </w:r>
          </w:p>
        </w:tc>
      </w:tr>
      <w:tr w:rsidR="002735B4" w:rsidRPr="00445472" w14:paraId="2A4E7C3B" w14:textId="77777777" w:rsidTr="002A1F08">
        <w:trPr>
          <w:trHeight w:val="255"/>
        </w:trPr>
        <w:tc>
          <w:tcPr>
            <w:tcW w:w="1101" w:type="dxa"/>
            <w:vMerge w:val="restart"/>
            <w:shd w:val="clear" w:color="auto" w:fill="auto"/>
            <w:vAlign w:val="center"/>
            <w:hideMark/>
          </w:tcPr>
          <w:p w14:paraId="5BB319B3" w14:textId="6E7DB253"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Shkodër UK </w:t>
            </w:r>
            <w:r w:rsidR="006E55B4" w:rsidRPr="00445472">
              <w:rPr>
                <w:rFonts w:ascii="Garamond" w:hAnsi="Garamond"/>
                <w:sz w:val="15"/>
                <w:szCs w:val="15"/>
                <w:lang w:eastAsia="en-GB"/>
              </w:rPr>
              <w:t>sh.a.</w:t>
            </w:r>
          </w:p>
        </w:tc>
        <w:tc>
          <w:tcPr>
            <w:tcW w:w="1494" w:type="dxa"/>
            <w:shd w:val="clear" w:color="auto" w:fill="auto"/>
            <w:noWrap/>
            <w:vAlign w:val="center"/>
            <w:hideMark/>
          </w:tcPr>
          <w:p w14:paraId="00EDD3B5" w14:textId="5747AE35"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3EDF6B8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91,342</w:t>
            </w:r>
          </w:p>
        </w:tc>
        <w:tc>
          <w:tcPr>
            <w:tcW w:w="759" w:type="dxa"/>
            <w:shd w:val="clear" w:color="auto" w:fill="auto"/>
            <w:noWrap/>
            <w:vAlign w:val="center"/>
            <w:hideMark/>
          </w:tcPr>
          <w:p w14:paraId="1C2D947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93,469</w:t>
            </w:r>
          </w:p>
        </w:tc>
        <w:tc>
          <w:tcPr>
            <w:tcW w:w="759" w:type="dxa"/>
            <w:shd w:val="clear" w:color="auto" w:fill="auto"/>
            <w:noWrap/>
            <w:vAlign w:val="center"/>
            <w:hideMark/>
          </w:tcPr>
          <w:p w14:paraId="1BA50D1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95,651</w:t>
            </w:r>
          </w:p>
        </w:tc>
        <w:tc>
          <w:tcPr>
            <w:tcW w:w="759" w:type="dxa"/>
            <w:shd w:val="clear" w:color="auto" w:fill="auto"/>
            <w:noWrap/>
            <w:vAlign w:val="center"/>
            <w:hideMark/>
          </w:tcPr>
          <w:p w14:paraId="25F41B3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97,887</w:t>
            </w:r>
          </w:p>
        </w:tc>
        <w:tc>
          <w:tcPr>
            <w:tcW w:w="759" w:type="dxa"/>
            <w:shd w:val="clear" w:color="auto" w:fill="auto"/>
            <w:noWrap/>
            <w:vAlign w:val="center"/>
            <w:hideMark/>
          </w:tcPr>
          <w:p w14:paraId="20C53AD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100,179</w:t>
            </w:r>
          </w:p>
        </w:tc>
        <w:tc>
          <w:tcPr>
            <w:tcW w:w="759" w:type="dxa"/>
            <w:shd w:val="clear" w:color="auto" w:fill="auto"/>
            <w:noWrap/>
            <w:vAlign w:val="center"/>
            <w:hideMark/>
          </w:tcPr>
          <w:p w14:paraId="496E26F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102,527</w:t>
            </w:r>
          </w:p>
        </w:tc>
        <w:tc>
          <w:tcPr>
            <w:tcW w:w="759" w:type="dxa"/>
            <w:shd w:val="clear" w:color="auto" w:fill="auto"/>
            <w:noWrap/>
            <w:vAlign w:val="center"/>
            <w:hideMark/>
          </w:tcPr>
          <w:p w14:paraId="21DA813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104,942</w:t>
            </w:r>
          </w:p>
        </w:tc>
        <w:tc>
          <w:tcPr>
            <w:tcW w:w="759" w:type="dxa"/>
            <w:shd w:val="clear" w:color="auto" w:fill="auto"/>
            <w:noWrap/>
            <w:vAlign w:val="center"/>
            <w:hideMark/>
          </w:tcPr>
          <w:p w14:paraId="569B010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107,361</w:t>
            </w:r>
          </w:p>
        </w:tc>
        <w:tc>
          <w:tcPr>
            <w:tcW w:w="759" w:type="dxa"/>
            <w:shd w:val="clear" w:color="auto" w:fill="auto"/>
            <w:noWrap/>
            <w:vAlign w:val="center"/>
            <w:hideMark/>
          </w:tcPr>
          <w:p w14:paraId="138252C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109,780</w:t>
            </w:r>
          </w:p>
        </w:tc>
        <w:tc>
          <w:tcPr>
            <w:tcW w:w="759" w:type="dxa"/>
            <w:shd w:val="clear" w:color="auto" w:fill="auto"/>
            <w:noWrap/>
            <w:vAlign w:val="center"/>
            <w:hideMark/>
          </w:tcPr>
          <w:p w14:paraId="09AED78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112,193</w:t>
            </w:r>
          </w:p>
        </w:tc>
        <w:tc>
          <w:tcPr>
            <w:tcW w:w="759" w:type="dxa"/>
            <w:shd w:val="clear" w:color="auto" w:fill="auto"/>
            <w:noWrap/>
            <w:vAlign w:val="center"/>
            <w:hideMark/>
          </w:tcPr>
          <w:p w14:paraId="138F9FE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114,597</w:t>
            </w:r>
          </w:p>
        </w:tc>
        <w:tc>
          <w:tcPr>
            <w:tcW w:w="759" w:type="dxa"/>
            <w:shd w:val="clear" w:color="auto" w:fill="auto"/>
            <w:noWrap/>
            <w:vAlign w:val="center"/>
            <w:hideMark/>
          </w:tcPr>
          <w:p w14:paraId="07F6216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116,986</w:t>
            </w:r>
          </w:p>
        </w:tc>
        <w:tc>
          <w:tcPr>
            <w:tcW w:w="759" w:type="dxa"/>
            <w:shd w:val="clear" w:color="auto" w:fill="auto"/>
            <w:noWrap/>
            <w:vAlign w:val="center"/>
            <w:hideMark/>
          </w:tcPr>
          <w:p w14:paraId="086D61D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119,356</w:t>
            </w:r>
          </w:p>
        </w:tc>
        <w:tc>
          <w:tcPr>
            <w:tcW w:w="759" w:type="dxa"/>
            <w:shd w:val="clear" w:color="auto" w:fill="auto"/>
            <w:noWrap/>
            <w:vAlign w:val="center"/>
            <w:hideMark/>
          </w:tcPr>
          <w:p w14:paraId="67501A2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121,704</w:t>
            </w:r>
          </w:p>
        </w:tc>
        <w:tc>
          <w:tcPr>
            <w:tcW w:w="759" w:type="dxa"/>
            <w:shd w:val="clear" w:color="auto" w:fill="auto"/>
            <w:noWrap/>
            <w:vAlign w:val="center"/>
            <w:hideMark/>
          </w:tcPr>
          <w:p w14:paraId="07080CD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124,027</w:t>
            </w:r>
          </w:p>
        </w:tc>
        <w:tc>
          <w:tcPr>
            <w:tcW w:w="759" w:type="dxa"/>
            <w:shd w:val="clear" w:color="auto" w:fill="auto"/>
            <w:noWrap/>
            <w:vAlign w:val="center"/>
            <w:hideMark/>
          </w:tcPr>
          <w:p w14:paraId="5AE1FA5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126,321</w:t>
            </w:r>
          </w:p>
        </w:tc>
      </w:tr>
      <w:tr w:rsidR="002735B4" w:rsidRPr="00445472" w14:paraId="4417E710" w14:textId="77777777" w:rsidTr="002A1F08">
        <w:trPr>
          <w:trHeight w:val="255"/>
        </w:trPr>
        <w:tc>
          <w:tcPr>
            <w:tcW w:w="1101" w:type="dxa"/>
            <w:vMerge/>
            <w:shd w:val="clear" w:color="auto" w:fill="auto"/>
            <w:vAlign w:val="center"/>
            <w:hideMark/>
          </w:tcPr>
          <w:p w14:paraId="2000B0FD"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55928D4F"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724400C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3,240</w:t>
            </w:r>
          </w:p>
        </w:tc>
        <w:tc>
          <w:tcPr>
            <w:tcW w:w="759" w:type="dxa"/>
            <w:shd w:val="clear" w:color="auto" w:fill="auto"/>
            <w:noWrap/>
            <w:vAlign w:val="center"/>
            <w:hideMark/>
          </w:tcPr>
          <w:p w14:paraId="35DE3CB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3,322</w:t>
            </w:r>
          </w:p>
        </w:tc>
        <w:tc>
          <w:tcPr>
            <w:tcW w:w="759" w:type="dxa"/>
            <w:shd w:val="clear" w:color="auto" w:fill="auto"/>
            <w:noWrap/>
            <w:vAlign w:val="center"/>
            <w:hideMark/>
          </w:tcPr>
          <w:p w14:paraId="29CC06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3,406</w:t>
            </w:r>
          </w:p>
        </w:tc>
        <w:tc>
          <w:tcPr>
            <w:tcW w:w="759" w:type="dxa"/>
            <w:shd w:val="clear" w:color="auto" w:fill="auto"/>
            <w:noWrap/>
            <w:vAlign w:val="center"/>
            <w:hideMark/>
          </w:tcPr>
          <w:p w14:paraId="131BBA2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3,492</w:t>
            </w:r>
          </w:p>
        </w:tc>
        <w:tc>
          <w:tcPr>
            <w:tcW w:w="759" w:type="dxa"/>
            <w:shd w:val="clear" w:color="auto" w:fill="auto"/>
            <w:noWrap/>
            <w:vAlign w:val="center"/>
            <w:hideMark/>
          </w:tcPr>
          <w:p w14:paraId="29C14AC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3,581</w:t>
            </w:r>
          </w:p>
        </w:tc>
        <w:tc>
          <w:tcPr>
            <w:tcW w:w="759" w:type="dxa"/>
            <w:shd w:val="clear" w:color="auto" w:fill="auto"/>
            <w:noWrap/>
            <w:vAlign w:val="center"/>
            <w:hideMark/>
          </w:tcPr>
          <w:p w14:paraId="775D86C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3,672</w:t>
            </w:r>
          </w:p>
        </w:tc>
        <w:tc>
          <w:tcPr>
            <w:tcW w:w="759" w:type="dxa"/>
            <w:shd w:val="clear" w:color="auto" w:fill="auto"/>
            <w:noWrap/>
            <w:vAlign w:val="center"/>
            <w:hideMark/>
          </w:tcPr>
          <w:p w14:paraId="5A07A69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3,766</w:t>
            </w:r>
          </w:p>
        </w:tc>
        <w:tc>
          <w:tcPr>
            <w:tcW w:w="759" w:type="dxa"/>
            <w:shd w:val="clear" w:color="auto" w:fill="auto"/>
            <w:noWrap/>
            <w:vAlign w:val="center"/>
            <w:hideMark/>
          </w:tcPr>
          <w:p w14:paraId="728F51F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3,860</w:t>
            </w:r>
          </w:p>
        </w:tc>
        <w:tc>
          <w:tcPr>
            <w:tcW w:w="759" w:type="dxa"/>
            <w:shd w:val="clear" w:color="auto" w:fill="auto"/>
            <w:noWrap/>
            <w:vAlign w:val="center"/>
            <w:hideMark/>
          </w:tcPr>
          <w:p w14:paraId="7F48396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3,954</w:t>
            </w:r>
          </w:p>
        </w:tc>
        <w:tc>
          <w:tcPr>
            <w:tcW w:w="759" w:type="dxa"/>
            <w:shd w:val="clear" w:color="auto" w:fill="auto"/>
            <w:noWrap/>
            <w:vAlign w:val="center"/>
            <w:hideMark/>
          </w:tcPr>
          <w:p w14:paraId="10CF527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4,049</w:t>
            </w:r>
          </w:p>
        </w:tc>
        <w:tc>
          <w:tcPr>
            <w:tcW w:w="759" w:type="dxa"/>
            <w:shd w:val="clear" w:color="auto" w:fill="auto"/>
            <w:noWrap/>
            <w:vAlign w:val="center"/>
            <w:hideMark/>
          </w:tcPr>
          <w:p w14:paraId="7C9BEA5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4,144</w:t>
            </w:r>
          </w:p>
        </w:tc>
        <w:tc>
          <w:tcPr>
            <w:tcW w:w="759" w:type="dxa"/>
            <w:shd w:val="clear" w:color="auto" w:fill="auto"/>
            <w:noWrap/>
            <w:vAlign w:val="center"/>
            <w:hideMark/>
          </w:tcPr>
          <w:p w14:paraId="047AB5A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4,238</w:t>
            </w:r>
          </w:p>
        </w:tc>
        <w:tc>
          <w:tcPr>
            <w:tcW w:w="759" w:type="dxa"/>
            <w:shd w:val="clear" w:color="auto" w:fill="auto"/>
            <w:noWrap/>
            <w:vAlign w:val="center"/>
            <w:hideMark/>
          </w:tcPr>
          <w:p w14:paraId="729850D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4,332</w:t>
            </w:r>
          </w:p>
        </w:tc>
        <w:tc>
          <w:tcPr>
            <w:tcW w:w="759" w:type="dxa"/>
            <w:shd w:val="clear" w:color="auto" w:fill="auto"/>
            <w:noWrap/>
            <w:vAlign w:val="center"/>
            <w:hideMark/>
          </w:tcPr>
          <w:p w14:paraId="58621B4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4,426</w:t>
            </w:r>
          </w:p>
        </w:tc>
        <w:tc>
          <w:tcPr>
            <w:tcW w:w="759" w:type="dxa"/>
            <w:shd w:val="clear" w:color="auto" w:fill="auto"/>
            <w:noWrap/>
            <w:vAlign w:val="center"/>
            <w:hideMark/>
          </w:tcPr>
          <w:p w14:paraId="46BD3E3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4,518</w:t>
            </w:r>
          </w:p>
        </w:tc>
        <w:tc>
          <w:tcPr>
            <w:tcW w:w="759" w:type="dxa"/>
            <w:shd w:val="clear" w:color="auto" w:fill="auto"/>
            <w:noWrap/>
            <w:vAlign w:val="center"/>
            <w:hideMark/>
          </w:tcPr>
          <w:p w14:paraId="6509CD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4,611</w:t>
            </w:r>
          </w:p>
        </w:tc>
      </w:tr>
      <w:tr w:rsidR="002735B4" w:rsidRPr="00445472" w14:paraId="36C386A5" w14:textId="77777777" w:rsidTr="002A1F08">
        <w:trPr>
          <w:trHeight w:val="255"/>
        </w:trPr>
        <w:tc>
          <w:tcPr>
            <w:tcW w:w="1101" w:type="dxa"/>
            <w:vMerge w:val="restart"/>
            <w:shd w:val="clear" w:color="auto" w:fill="auto"/>
            <w:vAlign w:val="center"/>
            <w:hideMark/>
          </w:tcPr>
          <w:p w14:paraId="640823D5"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Pukë fshat</w:t>
            </w:r>
          </w:p>
        </w:tc>
        <w:tc>
          <w:tcPr>
            <w:tcW w:w="1494" w:type="dxa"/>
            <w:shd w:val="clear" w:color="auto" w:fill="auto"/>
            <w:noWrap/>
            <w:vAlign w:val="center"/>
            <w:hideMark/>
          </w:tcPr>
          <w:p w14:paraId="2753861C" w14:textId="471FA4CB"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4A4CB0F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2,953</w:t>
            </w:r>
          </w:p>
        </w:tc>
        <w:tc>
          <w:tcPr>
            <w:tcW w:w="759" w:type="dxa"/>
            <w:shd w:val="clear" w:color="auto" w:fill="auto"/>
            <w:noWrap/>
            <w:vAlign w:val="center"/>
            <w:hideMark/>
          </w:tcPr>
          <w:p w14:paraId="7B2D066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3,561</w:t>
            </w:r>
          </w:p>
        </w:tc>
        <w:tc>
          <w:tcPr>
            <w:tcW w:w="759" w:type="dxa"/>
            <w:shd w:val="clear" w:color="auto" w:fill="auto"/>
            <w:noWrap/>
            <w:vAlign w:val="center"/>
            <w:hideMark/>
          </w:tcPr>
          <w:p w14:paraId="095BC37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4,174</w:t>
            </w:r>
          </w:p>
        </w:tc>
        <w:tc>
          <w:tcPr>
            <w:tcW w:w="759" w:type="dxa"/>
            <w:shd w:val="clear" w:color="auto" w:fill="auto"/>
            <w:noWrap/>
            <w:vAlign w:val="center"/>
            <w:hideMark/>
          </w:tcPr>
          <w:p w14:paraId="20664D2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4,791</w:t>
            </w:r>
          </w:p>
        </w:tc>
        <w:tc>
          <w:tcPr>
            <w:tcW w:w="759" w:type="dxa"/>
            <w:shd w:val="clear" w:color="auto" w:fill="auto"/>
            <w:noWrap/>
            <w:vAlign w:val="center"/>
            <w:hideMark/>
          </w:tcPr>
          <w:p w14:paraId="0FA9948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5,414</w:t>
            </w:r>
          </w:p>
        </w:tc>
        <w:tc>
          <w:tcPr>
            <w:tcW w:w="759" w:type="dxa"/>
            <w:shd w:val="clear" w:color="auto" w:fill="auto"/>
            <w:noWrap/>
            <w:vAlign w:val="center"/>
            <w:hideMark/>
          </w:tcPr>
          <w:p w14:paraId="77B2BE1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6,043</w:t>
            </w:r>
          </w:p>
        </w:tc>
        <w:tc>
          <w:tcPr>
            <w:tcW w:w="759" w:type="dxa"/>
            <w:shd w:val="clear" w:color="auto" w:fill="auto"/>
            <w:noWrap/>
            <w:vAlign w:val="center"/>
            <w:hideMark/>
          </w:tcPr>
          <w:p w14:paraId="1F33CFD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6,680</w:t>
            </w:r>
          </w:p>
        </w:tc>
        <w:tc>
          <w:tcPr>
            <w:tcW w:w="759" w:type="dxa"/>
            <w:shd w:val="clear" w:color="auto" w:fill="auto"/>
            <w:noWrap/>
            <w:vAlign w:val="center"/>
            <w:hideMark/>
          </w:tcPr>
          <w:p w14:paraId="21B9A0F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7,320</w:t>
            </w:r>
          </w:p>
        </w:tc>
        <w:tc>
          <w:tcPr>
            <w:tcW w:w="759" w:type="dxa"/>
            <w:shd w:val="clear" w:color="auto" w:fill="auto"/>
            <w:noWrap/>
            <w:vAlign w:val="center"/>
            <w:hideMark/>
          </w:tcPr>
          <w:p w14:paraId="6960AAC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7,964</w:t>
            </w:r>
          </w:p>
        </w:tc>
        <w:tc>
          <w:tcPr>
            <w:tcW w:w="759" w:type="dxa"/>
            <w:shd w:val="clear" w:color="auto" w:fill="auto"/>
            <w:noWrap/>
            <w:vAlign w:val="center"/>
            <w:hideMark/>
          </w:tcPr>
          <w:p w14:paraId="3C844A9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8,611</w:t>
            </w:r>
          </w:p>
        </w:tc>
        <w:tc>
          <w:tcPr>
            <w:tcW w:w="759" w:type="dxa"/>
            <w:shd w:val="clear" w:color="auto" w:fill="auto"/>
            <w:noWrap/>
            <w:vAlign w:val="center"/>
            <w:hideMark/>
          </w:tcPr>
          <w:p w14:paraId="3A2F5D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9,261</w:t>
            </w:r>
          </w:p>
        </w:tc>
        <w:tc>
          <w:tcPr>
            <w:tcW w:w="759" w:type="dxa"/>
            <w:shd w:val="clear" w:color="auto" w:fill="auto"/>
            <w:noWrap/>
            <w:vAlign w:val="center"/>
            <w:hideMark/>
          </w:tcPr>
          <w:p w14:paraId="461C0F6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9,912</w:t>
            </w:r>
          </w:p>
        </w:tc>
        <w:tc>
          <w:tcPr>
            <w:tcW w:w="759" w:type="dxa"/>
            <w:shd w:val="clear" w:color="auto" w:fill="auto"/>
            <w:noWrap/>
            <w:vAlign w:val="center"/>
            <w:hideMark/>
          </w:tcPr>
          <w:p w14:paraId="3D87722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10,564</w:t>
            </w:r>
          </w:p>
        </w:tc>
        <w:tc>
          <w:tcPr>
            <w:tcW w:w="759" w:type="dxa"/>
            <w:shd w:val="clear" w:color="auto" w:fill="auto"/>
            <w:noWrap/>
            <w:vAlign w:val="center"/>
            <w:hideMark/>
          </w:tcPr>
          <w:p w14:paraId="1033218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11,216</w:t>
            </w:r>
          </w:p>
        </w:tc>
        <w:tc>
          <w:tcPr>
            <w:tcW w:w="759" w:type="dxa"/>
            <w:shd w:val="clear" w:color="auto" w:fill="auto"/>
            <w:noWrap/>
            <w:vAlign w:val="center"/>
            <w:hideMark/>
          </w:tcPr>
          <w:p w14:paraId="149B00D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11,868</w:t>
            </w:r>
          </w:p>
        </w:tc>
        <w:tc>
          <w:tcPr>
            <w:tcW w:w="759" w:type="dxa"/>
            <w:shd w:val="clear" w:color="auto" w:fill="auto"/>
            <w:noWrap/>
            <w:vAlign w:val="center"/>
            <w:hideMark/>
          </w:tcPr>
          <w:p w14:paraId="197BA05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12,519</w:t>
            </w:r>
          </w:p>
        </w:tc>
      </w:tr>
      <w:tr w:rsidR="002735B4" w:rsidRPr="00445472" w14:paraId="19C6F3E7" w14:textId="77777777" w:rsidTr="002A1F08">
        <w:trPr>
          <w:trHeight w:val="255"/>
        </w:trPr>
        <w:tc>
          <w:tcPr>
            <w:tcW w:w="1101" w:type="dxa"/>
            <w:vMerge/>
            <w:shd w:val="clear" w:color="auto" w:fill="auto"/>
            <w:vAlign w:val="center"/>
            <w:hideMark/>
          </w:tcPr>
          <w:p w14:paraId="06113BA4"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5E29B1EE"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009BEFE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148</w:t>
            </w:r>
          </w:p>
        </w:tc>
        <w:tc>
          <w:tcPr>
            <w:tcW w:w="759" w:type="dxa"/>
            <w:shd w:val="clear" w:color="auto" w:fill="auto"/>
            <w:noWrap/>
            <w:vAlign w:val="center"/>
            <w:hideMark/>
          </w:tcPr>
          <w:p w14:paraId="794E13E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175</w:t>
            </w:r>
          </w:p>
        </w:tc>
        <w:tc>
          <w:tcPr>
            <w:tcW w:w="759" w:type="dxa"/>
            <w:shd w:val="clear" w:color="auto" w:fill="auto"/>
            <w:noWrap/>
            <w:vAlign w:val="center"/>
            <w:hideMark/>
          </w:tcPr>
          <w:p w14:paraId="435D7EB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202</w:t>
            </w:r>
          </w:p>
        </w:tc>
        <w:tc>
          <w:tcPr>
            <w:tcW w:w="759" w:type="dxa"/>
            <w:shd w:val="clear" w:color="auto" w:fill="auto"/>
            <w:noWrap/>
            <w:vAlign w:val="center"/>
            <w:hideMark/>
          </w:tcPr>
          <w:p w14:paraId="74D3587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227</w:t>
            </w:r>
          </w:p>
        </w:tc>
        <w:tc>
          <w:tcPr>
            <w:tcW w:w="759" w:type="dxa"/>
            <w:shd w:val="clear" w:color="auto" w:fill="auto"/>
            <w:noWrap/>
            <w:vAlign w:val="center"/>
            <w:hideMark/>
          </w:tcPr>
          <w:p w14:paraId="6AF4F41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252</w:t>
            </w:r>
          </w:p>
        </w:tc>
        <w:tc>
          <w:tcPr>
            <w:tcW w:w="759" w:type="dxa"/>
            <w:shd w:val="clear" w:color="auto" w:fill="auto"/>
            <w:noWrap/>
            <w:vAlign w:val="center"/>
            <w:hideMark/>
          </w:tcPr>
          <w:p w14:paraId="5244045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276</w:t>
            </w:r>
          </w:p>
        </w:tc>
        <w:tc>
          <w:tcPr>
            <w:tcW w:w="759" w:type="dxa"/>
            <w:shd w:val="clear" w:color="auto" w:fill="auto"/>
            <w:noWrap/>
            <w:vAlign w:val="center"/>
            <w:hideMark/>
          </w:tcPr>
          <w:p w14:paraId="1666970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299</w:t>
            </w:r>
          </w:p>
        </w:tc>
        <w:tc>
          <w:tcPr>
            <w:tcW w:w="759" w:type="dxa"/>
            <w:shd w:val="clear" w:color="auto" w:fill="auto"/>
            <w:noWrap/>
            <w:vAlign w:val="center"/>
            <w:hideMark/>
          </w:tcPr>
          <w:p w14:paraId="78BCCE3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321</w:t>
            </w:r>
          </w:p>
        </w:tc>
        <w:tc>
          <w:tcPr>
            <w:tcW w:w="759" w:type="dxa"/>
            <w:shd w:val="clear" w:color="auto" w:fill="auto"/>
            <w:noWrap/>
            <w:vAlign w:val="center"/>
            <w:hideMark/>
          </w:tcPr>
          <w:p w14:paraId="7E3F282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342</w:t>
            </w:r>
          </w:p>
        </w:tc>
        <w:tc>
          <w:tcPr>
            <w:tcW w:w="759" w:type="dxa"/>
            <w:shd w:val="clear" w:color="auto" w:fill="auto"/>
            <w:noWrap/>
            <w:vAlign w:val="center"/>
            <w:hideMark/>
          </w:tcPr>
          <w:p w14:paraId="57F4783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361</w:t>
            </w:r>
          </w:p>
        </w:tc>
        <w:tc>
          <w:tcPr>
            <w:tcW w:w="759" w:type="dxa"/>
            <w:shd w:val="clear" w:color="auto" w:fill="auto"/>
            <w:noWrap/>
            <w:vAlign w:val="center"/>
            <w:hideMark/>
          </w:tcPr>
          <w:p w14:paraId="58B4052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380</w:t>
            </w:r>
          </w:p>
        </w:tc>
        <w:tc>
          <w:tcPr>
            <w:tcW w:w="759" w:type="dxa"/>
            <w:shd w:val="clear" w:color="auto" w:fill="auto"/>
            <w:noWrap/>
            <w:vAlign w:val="center"/>
            <w:hideMark/>
          </w:tcPr>
          <w:p w14:paraId="0D35C39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398</w:t>
            </w:r>
          </w:p>
        </w:tc>
        <w:tc>
          <w:tcPr>
            <w:tcW w:w="759" w:type="dxa"/>
            <w:shd w:val="clear" w:color="auto" w:fill="auto"/>
            <w:noWrap/>
            <w:vAlign w:val="center"/>
            <w:hideMark/>
          </w:tcPr>
          <w:p w14:paraId="629C5FD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414</w:t>
            </w:r>
          </w:p>
        </w:tc>
        <w:tc>
          <w:tcPr>
            <w:tcW w:w="759" w:type="dxa"/>
            <w:shd w:val="clear" w:color="auto" w:fill="auto"/>
            <w:noWrap/>
            <w:vAlign w:val="center"/>
            <w:hideMark/>
          </w:tcPr>
          <w:p w14:paraId="24150CC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430</w:t>
            </w:r>
          </w:p>
        </w:tc>
        <w:tc>
          <w:tcPr>
            <w:tcW w:w="759" w:type="dxa"/>
            <w:shd w:val="clear" w:color="auto" w:fill="auto"/>
            <w:noWrap/>
            <w:vAlign w:val="center"/>
            <w:hideMark/>
          </w:tcPr>
          <w:p w14:paraId="5698E49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444</w:t>
            </w:r>
          </w:p>
        </w:tc>
        <w:tc>
          <w:tcPr>
            <w:tcW w:w="759" w:type="dxa"/>
            <w:shd w:val="clear" w:color="auto" w:fill="auto"/>
            <w:noWrap/>
            <w:vAlign w:val="center"/>
            <w:hideMark/>
          </w:tcPr>
          <w:p w14:paraId="4285958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457</w:t>
            </w:r>
          </w:p>
        </w:tc>
      </w:tr>
      <w:tr w:rsidR="002735B4" w:rsidRPr="00445472" w14:paraId="6D5D44DF" w14:textId="77777777" w:rsidTr="002A1F08">
        <w:trPr>
          <w:trHeight w:val="255"/>
        </w:trPr>
        <w:tc>
          <w:tcPr>
            <w:tcW w:w="1101" w:type="dxa"/>
            <w:vMerge w:val="restart"/>
            <w:shd w:val="clear" w:color="auto" w:fill="auto"/>
            <w:vAlign w:val="center"/>
            <w:hideMark/>
          </w:tcPr>
          <w:p w14:paraId="0087A8CF" w14:textId="7379ABB0"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Shkodër (F) U </w:t>
            </w:r>
            <w:r w:rsidR="006E55B4" w:rsidRPr="00445472">
              <w:rPr>
                <w:rFonts w:ascii="Garamond" w:hAnsi="Garamond"/>
                <w:sz w:val="15"/>
                <w:szCs w:val="15"/>
                <w:lang w:eastAsia="en-GB"/>
              </w:rPr>
              <w:t>sh.a.</w:t>
            </w:r>
          </w:p>
        </w:tc>
        <w:tc>
          <w:tcPr>
            <w:tcW w:w="1494" w:type="dxa"/>
            <w:shd w:val="clear" w:color="auto" w:fill="auto"/>
            <w:noWrap/>
            <w:vAlign w:val="center"/>
            <w:hideMark/>
          </w:tcPr>
          <w:p w14:paraId="6F63B00A" w14:textId="124BD3E3"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5E655B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27,047</w:t>
            </w:r>
          </w:p>
        </w:tc>
        <w:tc>
          <w:tcPr>
            <w:tcW w:w="759" w:type="dxa"/>
            <w:shd w:val="clear" w:color="auto" w:fill="auto"/>
            <w:noWrap/>
            <w:vAlign w:val="center"/>
            <w:hideMark/>
          </w:tcPr>
          <w:p w14:paraId="7169C58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30,753</w:t>
            </w:r>
          </w:p>
        </w:tc>
        <w:tc>
          <w:tcPr>
            <w:tcW w:w="759" w:type="dxa"/>
            <w:shd w:val="clear" w:color="auto" w:fill="auto"/>
            <w:noWrap/>
            <w:vAlign w:val="center"/>
            <w:hideMark/>
          </w:tcPr>
          <w:p w14:paraId="01CB460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34,487</w:t>
            </w:r>
          </w:p>
        </w:tc>
        <w:tc>
          <w:tcPr>
            <w:tcW w:w="759" w:type="dxa"/>
            <w:shd w:val="clear" w:color="auto" w:fill="auto"/>
            <w:noWrap/>
            <w:vAlign w:val="center"/>
            <w:hideMark/>
          </w:tcPr>
          <w:p w14:paraId="6E4B262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38,255</w:t>
            </w:r>
          </w:p>
        </w:tc>
        <w:tc>
          <w:tcPr>
            <w:tcW w:w="759" w:type="dxa"/>
            <w:shd w:val="clear" w:color="auto" w:fill="auto"/>
            <w:noWrap/>
            <w:vAlign w:val="center"/>
            <w:hideMark/>
          </w:tcPr>
          <w:p w14:paraId="54049B2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42,061</w:t>
            </w:r>
          </w:p>
        </w:tc>
        <w:tc>
          <w:tcPr>
            <w:tcW w:w="759" w:type="dxa"/>
            <w:shd w:val="clear" w:color="auto" w:fill="auto"/>
            <w:noWrap/>
            <w:vAlign w:val="center"/>
            <w:hideMark/>
          </w:tcPr>
          <w:p w14:paraId="4FC16CC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45,909</w:t>
            </w:r>
          </w:p>
        </w:tc>
        <w:tc>
          <w:tcPr>
            <w:tcW w:w="759" w:type="dxa"/>
            <w:shd w:val="clear" w:color="auto" w:fill="auto"/>
            <w:noWrap/>
            <w:vAlign w:val="center"/>
            <w:hideMark/>
          </w:tcPr>
          <w:p w14:paraId="4A76016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49,806</w:t>
            </w:r>
          </w:p>
        </w:tc>
        <w:tc>
          <w:tcPr>
            <w:tcW w:w="759" w:type="dxa"/>
            <w:shd w:val="clear" w:color="auto" w:fill="auto"/>
            <w:noWrap/>
            <w:vAlign w:val="center"/>
            <w:hideMark/>
          </w:tcPr>
          <w:p w14:paraId="2C21A03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53,728</w:t>
            </w:r>
          </w:p>
        </w:tc>
        <w:tc>
          <w:tcPr>
            <w:tcW w:w="759" w:type="dxa"/>
            <w:shd w:val="clear" w:color="auto" w:fill="auto"/>
            <w:noWrap/>
            <w:vAlign w:val="center"/>
            <w:hideMark/>
          </w:tcPr>
          <w:p w14:paraId="210C543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57,669</w:t>
            </w:r>
          </w:p>
        </w:tc>
        <w:tc>
          <w:tcPr>
            <w:tcW w:w="759" w:type="dxa"/>
            <w:shd w:val="clear" w:color="auto" w:fill="auto"/>
            <w:noWrap/>
            <w:vAlign w:val="center"/>
            <w:hideMark/>
          </w:tcPr>
          <w:p w14:paraId="7107B3F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61,626</w:t>
            </w:r>
          </w:p>
        </w:tc>
        <w:tc>
          <w:tcPr>
            <w:tcW w:w="759" w:type="dxa"/>
            <w:shd w:val="clear" w:color="auto" w:fill="auto"/>
            <w:noWrap/>
            <w:vAlign w:val="center"/>
            <w:hideMark/>
          </w:tcPr>
          <w:p w14:paraId="4F8F2F5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65,595</w:t>
            </w:r>
          </w:p>
        </w:tc>
        <w:tc>
          <w:tcPr>
            <w:tcW w:w="759" w:type="dxa"/>
            <w:shd w:val="clear" w:color="auto" w:fill="auto"/>
            <w:noWrap/>
            <w:vAlign w:val="center"/>
            <w:hideMark/>
          </w:tcPr>
          <w:p w14:paraId="43171F8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69,572</w:t>
            </w:r>
          </w:p>
        </w:tc>
        <w:tc>
          <w:tcPr>
            <w:tcW w:w="759" w:type="dxa"/>
            <w:shd w:val="clear" w:color="auto" w:fill="auto"/>
            <w:noWrap/>
            <w:vAlign w:val="center"/>
            <w:hideMark/>
          </w:tcPr>
          <w:p w14:paraId="692237F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73,552</w:t>
            </w:r>
          </w:p>
        </w:tc>
        <w:tc>
          <w:tcPr>
            <w:tcW w:w="759" w:type="dxa"/>
            <w:shd w:val="clear" w:color="auto" w:fill="auto"/>
            <w:noWrap/>
            <w:vAlign w:val="center"/>
            <w:hideMark/>
          </w:tcPr>
          <w:p w14:paraId="60CAE7F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77,532</w:t>
            </w:r>
          </w:p>
        </w:tc>
        <w:tc>
          <w:tcPr>
            <w:tcW w:w="759" w:type="dxa"/>
            <w:shd w:val="clear" w:color="auto" w:fill="auto"/>
            <w:noWrap/>
            <w:vAlign w:val="center"/>
            <w:hideMark/>
          </w:tcPr>
          <w:p w14:paraId="6331964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81,506</w:t>
            </w:r>
          </w:p>
        </w:tc>
        <w:tc>
          <w:tcPr>
            <w:tcW w:w="759" w:type="dxa"/>
            <w:shd w:val="clear" w:color="auto" w:fill="auto"/>
            <w:noWrap/>
            <w:vAlign w:val="center"/>
            <w:hideMark/>
          </w:tcPr>
          <w:p w14:paraId="005F917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85,472</w:t>
            </w:r>
          </w:p>
        </w:tc>
      </w:tr>
      <w:tr w:rsidR="002735B4" w:rsidRPr="00445472" w14:paraId="1C6355E4" w14:textId="77777777" w:rsidTr="002A1F08">
        <w:trPr>
          <w:trHeight w:val="255"/>
        </w:trPr>
        <w:tc>
          <w:tcPr>
            <w:tcW w:w="1101" w:type="dxa"/>
            <w:vMerge/>
            <w:shd w:val="clear" w:color="auto" w:fill="auto"/>
            <w:vAlign w:val="center"/>
            <w:hideMark/>
          </w:tcPr>
          <w:p w14:paraId="2E27FE66"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4F5759C2"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651B44F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1,357</w:t>
            </w:r>
          </w:p>
        </w:tc>
        <w:tc>
          <w:tcPr>
            <w:tcW w:w="759" w:type="dxa"/>
            <w:shd w:val="clear" w:color="auto" w:fill="auto"/>
            <w:noWrap/>
            <w:vAlign w:val="center"/>
            <w:hideMark/>
          </w:tcPr>
          <w:p w14:paraId="62326BC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1,515</w:t>
            </w:r>
          </w:p>
        </w:tc>
        <w:tc>
          <w:tcPr>
            <w:tcW w:w="759" w:type="dxa"/>
            <w:shd w:val="clear" w:color="auto" w:fill="auto"/>
            <w:noWrap/>
            <w:vAlign w:val="center"/>
            <w:hideMark/>
          </w:tcPr>
          <w:p w14:paraId="435CE71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1,668</w:t>
            </w:r>
          </w:p>
        </w:tc>
        <w:tc>
          <w:tcPr>
            <w:tcW w:w="759" w:type="dxa"/>
            <w:shd w:val="clear" w:color="auto" w:fill="auto"/>
            <w:noWrap/>
            <w:vAlign w:val="center"/>
            <w:hideMark/>
          </w:tcPr>
          <w:p w14:paraId="5E1B241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1,815</w:t>
            </w:r>
          </w:p>
        </w:tc>
        <w:tc>
          <w:tcPr>
            <w:tcW w:w="759" w:type="dxa"/>
            <w:shd w:val="clear" w:color="auto" w:fill="auto"/>
            <w:noWrap/>
            <w:vAlign w:val="center"/>
            <w:hideMark/>
          </w:tcPr>
          <w:p w14:paraId="524571E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1,957</w:t>
            </w:r>
          </w:p>
        </w:tc>
        <w:tc>
          <w:tcPr>
            <w:tcW w:w="759" w:type="dxa"/>
            <w:shd w:val="clear" w:color="auto" w:fill="auto"/>
            <w:noWrap/>
            <w:vAlign w:val="center"/>
            <w:hideMark/>
          </w:tcPr>
          <w:p w14:paraId="4D2FB76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2,095</w:t>
            </w:r>
          </w:p>
        </w:tc>
        <w:tc>
          <w:tcPr>
            <w:tcW w:w="759" w:type="dxa"/>
            <w:shd w:val="clear" w:color="auto" w:fill="auto"/>
            <w:noWrap/>
            <w:vAlign w:val="center"/>
            <w:hideMark/>
          </w:tcPr>
          <w:p w14:paraId="3A9C00B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2,227</w:t>
            </w:r>
          </w:p>
        </w:tc>
        <w:tc>
          <w:tcPr>
            <w:tcW w:w="759" w:type="dxa"/>
            <w:shd w:val="clear" w:color="auto" w:fill="auto"/>
            <w:noWrap/>
            <w:vAlign w:val="center"/>
            <w:hideMark/>
          </w:tcPr>
          <w:p w14:paraId="0DD4A14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2,353</w:t>
            </w:r>
          </w:p>
        </w:tc>
        <w:tc>
          <w:tcPr>
            <w:tcW w:w="759" w:type="dxa"/>
            <w:shd w:val="clear" w:color="auto" w:fill="auto"/>
            <w:noWrap/>
            <w:vAlign w:val="center"/>
            <w:hideMark/>
          </w:tcPr>
          <w:p w14:paraId="313C2C7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2,473</w:t>
            </w:r>
          </w:p>
        </w:tc>
        <w:tc>
          <w:tcPr>
            <w:tcW w:w="759" w:type="dxa"/>
            <w:shd w:val="clear" w:color="auto" w:fill="auto"/>
            <w:noWrap/>
            <w:vAlign w:val="center"/>
            <w:hideMark/>
          </w:tcPr>
          <w:p w14:paraId="6C82748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2,587</w:t>
            </w:r>
          </w:p>
        </w:tc>
        <w:tc>
          <w:tcPr>
            <w:tcW w:w="759" w:type="dxa"/>
            <w:shd w:val="clear" w:color="auto" w:fill="auto"/>
            <w:noWrap/>
            <w:vAlign w:val="center"/>
            <w:hideMark/>
          </w:tcPr>
          <w:p w14:paraId="63BD015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2,693</w:t>
            </w:r>
          </w:p>
        </w:tc>
        <w:tc>
          <w:tcPr>
            <w:tcW w:w="759" w:type="dxa"/>
            <w:shd w:val="clear" w:color="auto" w:fill="auto"/>
            <w:noWrap/>
            <w:vAlign w:val="center"/>
            <w:hideMark/>
          </w:tcPr>
          <w:p w14:paraId="64EA07C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2,793</w:t>
            </w:r>
          </w:p>
        </w:tc>
        <w:tc>
          <w:tcPr>
            <w:tcW w:w="759" w:type="dxa"/>
            <w:shd w:val="clear" w:color="auto" w:fill="auto"/>
            <w:noWrap/>
            <w:vAlign w:val="center"/>
            <w:hideMark/>
          </w:tcPr>
          <w:p w14:paraId="01384F1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2,886</w:t>
            </w:r>
          </w:p>
        </w:tc>
        <w:tc>
          <w:tcPr>
            <w:tcW w:w="759" w:type="dxa"/>
            <w:shd w:val="clear" w:color="auto" w:fill="auto"/>
            <w:noWrap/>
            <w:vAlign w:val="center"/>
            <w:hideMark/>
          </w:tcPr>
          <w:p w14:paraId="683E958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2,971</w:t>
            </w:r>
          </w:p>
        </w:tc>
        <w:tc>
          <w:tcPr>
            <w:tcW w:w="759" w:type="dxa"/>
            <w:shd w:val="clear" w:color="auto" w:fill="auto"/>
            <w:noWrap/>
            <w:vAlign w:val="center"/>
            <w:hideMark/>
          </w:tcPr>
          <w:p w14:paraId="43FBE93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3,049</w:t>
            </w:r>
          </w:p>
        </w:tc>
        <w:tc>
          <w:tcPr>
            <w:tcW w:w="759" w:type="dxa"/>
            <w:shd w:val="clear" w:color="auto" w:fill="auto"/>
            <w:noWrap/>
            <w:vAlign w:val="center"/>
            <w:hideMark/>
          </w:tcPr>
          <w:p w14:paraId="322DA6C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3,120</w:t>
            </w:r>
          </w:p>
        </w:tc>
      </w:tr>
      <w:tr w:rsidR="002735B4" w:rsidRPr="00445472" w14:paraId="3995FD20" w14:textId="77777777" w:rsidTr="002A1F08">
        <w:trPr>
          <w:trHeight w:val="255"/>
        </w:trPr>
        <w:tc>
          <w:tcPr>
            <w:tcW w:w="1101" w:type="dxa"/>
            <w:vMerge w:val="restart"/>
            <w:shd w:val="clear" w:color="auto" w:fill="auto"/>
            <w:vAlign w:val="center"/>
            <w:hideMark/>
          </w:tcPr>
          <w:p w14:paraId="29E2D782" w14:textId="09851015" w:rsidR="002735B4" w:rsidRPr="00445472" w:rsidRDefault="00852D7A" w:rsidP="002A1F08">
            <w:pPr>
              <w:spacing w:before="46" w:after="62"/>
              <w:rPr>
                <w:rFonts w:ascii="Garamond" w:hAnsi="Garamond"/>
                <w:sz w:val="15"/>
                <w:szCs w:val="15"/>
                <w:lang w:eastAsia="en-GB"/>
              </w:rPr>
            </w:pPr>
            <w:r w:rsidRPr="00445472">
              <w:rPr>
                <w:rFonts w:ascii="Garamond" w:hAnsi="Garamond"/>
                <w:sz w:val="15"/>
                <w:szCs w:val="15"/>
                <w:lang w:eastAsia="en-GB"/>
              </w:rPr>
              <w:t xml:space="preserve">Fushë-Arrëz </w:t>
            </w:r>
            <w:r w:rsidR="002735B4" w:rsidRPr="00445472">
              <w:rPr>
                <w:rFonts w:ascii="Garamond" w:hAnsi="Garamond"/>
                <w:sz w:val="15"/>
                <w:szCs w:val="15"/>
                <w:lang w:eastAsia="en-GB"/>
              </w:rPr>
              <w:t xml:space="preserve"> UK </w:t>
            </w:r>
            <w:r w:rsidR="006E55B4" w:rsidRPr="00445472">
              <w:rPr>
                <w:rFonts w:ascii="Garamond" w:hAnsi="Garamond"/>
                <w:sz w:val="15"/>
                <w:szCs w:val="15"/>
                <w:lang w:eastAsia="en-GB"/>
              </w:rPr>
              <w:t>sh.a.</w:t>
            </w:r>
          </w:p>
        </w:tc>
        <w:tc>
          <w:tcPr>
            <w:tcW w:w="1494" w:type="dxa"/>
            <w:shd w:val="clear" w:color="auto" w:fill="auto"/>
            <w:noWrap/>
            <w:vAlign w:val="center"/>
            <w:hideMark/>
          </w:tcPr>
          <w:p w14:paraId="7E725B3B" w14:textId="5760E0CE"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0422F1C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2,066</w:t>
            </w:r>
          </w:p>
        </w:tc>
        <w:tc>
          <w:tcPr>
            <w:tcW w:w="759" w:type="dxa"/>
            <w:shd w:val="clear" w:color="auto" w:fill="auto"/>
            <w:noWrap/>
            <w:vAlign w:val="center"/>
            <w:hideMark/>
          </w:tcPr>
          <w:p w14:paraId="4BA3199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2,252</w:t>
            </w:r>
          </w:p>
        </w:tc>
        <w:tc>
          <w:tcPr>
            <w:tcW w:w="759" w:type="dxa"/>
            <w:shd w:val="clear" w:color="auto" w:fill="auto"/>
            <w:noWrap/>
            <w:vAlign w:val="center"/>
            <w:hideMark/>
          </w:tcPr>
          <w:p w14:paraId="4B1A9B9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2,439</w:t>
            </w:r>
          </w:p>
        </w:tc>
        <w:tc>
          <w:tcPr>
            <w:tcW w:w="759" w:type="dxa"/>
            <w:shd w:val="clear" w:color="auto" w:fill="auto"/>
            <w:noWrap/>
            <w:vAlign w:val="center"/>
            <w:hideMark/>
          </w:tcPr>
          <w:p w14:paraId="56CEC2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2,629</w:t>
            </w:r>
          </w:p>
        </w:tc>
        <w:tc>
          <w:tcPr>
            <w:tcW w:w="759" w:type="dxa"/>
            <w:shd w:val="clear" w:color="auto" w:fill="auto"/>
            <w:noWrap/>
            <w:vAlign w:val="center"/>
            <w:hideMark/>
          </w:tcPr>
          <w:p w14:paraId="551B88C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2,820</w:t>
            </w:r>
          </w:p>
        </w:tc>
        <w:tc>
          <w:tcPr>
            <w:tcW w:w="759" w:type="dxa"/>
            <w:shd w:val="clear" w:color="auto" w:fill="auto"/>
            <w:noWrap/>
            <w:vAlign w:val="center"/>
            <w:hideMark/>
          </w:tcPr>
          <w:p w14:paraId="1C5A1EF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3,015</w:t>
            </w:r>
          </w:p>
        </w:tc>
        <w:tc>
          <w:tcPr>
            <w:tcW w:w="759" w:type="dxa"/>
            <w:shd w:val="clear" w:color="auto" w:fill="auto"/>
            <w:noWrap/>
            <w:vAlign w:val="center"/>
            <w:hideMark/>
          </w:tcPr>
          <w:p w14:paraId="4862D52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3,212</w:t>
            </w:r>
          </w:p>
        </w:tc>
        <w:tc>
          <w:tcPr>
            <w:tcW w:w="759" w:type="dxa"/>
            <w:shd w:val="clear" w:color="auto" w:fill="auto"/>
            <w:noWrap/>
            <w:vAlign w:val="center"/>
            <w:hideMark/>
          </w:tcPr>
          <w:p w14:paraId="12990B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3,410</w:t>
            </w:r>
          </w:p>
        </w:tc>
        <w:tc>
          <w:tcPr>
            <w:tcW w:w="759" w:type="dxa"/>
            <w:shd w:val="clear" w:color="auto" w:fill="auto"/>
            <w:noWrap/>
            <w:vAlign w:val="center"/>
            <w:hideMark/>
          </w:tcPr>
          <w:p w14:paraId="145418D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3,609</w:t>
            </w:r>
          </w:p>
        </w:tc>
        <w:tc>
          <w:tcPr>
            <w:tcW w:w="759" w:type="dxa"/>
            <w:shd w:val="clear" w:color="auto" w:fill="auto"/>
            <w:noWrap/>
            <w:vAlign w:val="center"/>
            <w:hideMark/>
          </w:tcPr>
          <w:p w14:paraId="7948BD1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3,808</w:t>
            </w:r>
          </w:p>
        </w:tc>
        <w:tc>
          <w:tcPr>
            <w:tcW w:w="759" w:type="dxa"/>
            <w:shd w:val="clear" w:color="auto" w:fill="auto"/>
            <w:noWrap/>
            <w:vAlign w:val="center"/>
            <w:hideMark/>
          </w:tcPr>
          <w:p w14:paraId="768B6A9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4,008</w:t>
            </w:r>
          </w:p>
        </w:tc>
        <w:tc>
          <w:tcPr>
            <w:tcW w:w="759" w:type="dxa"/>
            <w:shd w:val="clear" w:color="auto" w:fill="auto"/>
            <w:noWrap/>
            <w:vAlign w:val="center"/>
            <w:hideMark/>
          </w:tcPr>
          <w:p w14:paraId="5D85A6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4,209</w:t>
            </w:r>
          </w:p>
        </w:tc>
        <w:tc>
          <w:tcPr>
            <w:tcW w:w="759" w:type="dxa"/>
            <w:shd w:val="clear" w:color="auto" w:fill="auto"/>
            <w:noWrap/>
            <w:vAlign w:val="center"/>
            <w:hideMark/>
          </w:tcPr>
          <w:p w14:paraId="6B4AE59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4,409</w:t>
            </w:r>
          </w:p>
        </w:tc>
        <w:tc>
          <w:tcPr>
            <w:tcW w:w="759" w:type="dxa"/>
            <w:shd w:val="clear" w:color="auto" w:fill="auto"/>
            <w:noWrap/>
            <w:vAlign w:val="center"/>
            <w:hideMark/>
          </w:tcPr>
          <w:p w14:paraId="3357B6F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4,609</w:t>
            </w:r>
          </w:p>
        </w:tc>
        <w:tc>
          <w:tcPr>
            <w:tcW w:w="759" w:type="dxa"/>
            <w:shd w:val="clear" w:color="auto" w:fill="auto"/>
            <w:noWrap/>
            <w:vAlign w:val="center"/>
            <w:hideMark/>
          </w:tcPr>
          <w:p w14:paraId="4712F02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4,809</w:t>
            </w:r>
          </w:p>
        </w:tc>
        <w:tc>
          <w:tcPr>
            <w:tcW w:w="759" w:type="dxa"/>
            <w:shd w:val="clear" w:color="auto" w:fill="auto"/>
            <w:noWrap/>
            <w:vAlign w:val="center"/>
            <w:hideMark/>
          </w:tcPr>
          <w:p w14:paraId="3C94F55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5,007</w:t>
            </w:r>
          </w:p>
        </w:tc>
      </w:tr>
      <w:tr w:rsidR="002735B4" w:rsidRPr="00445472" w14:paraId="01A95244" w14:textId="77777777" w:rsidTr="002A1F08">
        <w:trPr>
          <w:trHeight w:val="255"/>
        </w:trPr>
        <w:tc>
          <w:tcPr>
            <w:tcW w:w="1101" w:type="dxa"/>
            <w:vMerge/>
            <w:shd w:val="clear" w:color="auto" w:fill="auto"/>
            <w:vAlign w:val="center"/>
            <w:hideMark/>
          </w:tcPr>
          <w:p w14:paraId="4A1C96A2"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45CB8ECE"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2D32596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106</w:t>
            </w:r>
          </w:p>
        </w:tc>
        <w:tc>
          <w:tcPr>
            <w:tcW w:w="759" w:type="dxa"/>
            <w:shd w:val="clear" w:color="auto" w:fill="auto"/>
            <w:noWrap/>
            <w:vAlign w:val="center"/>
            <w:hideMark/>
          </w:tcPr>
          <w:p w14:paraId="7F9C220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113</w:t>
            </w:r>
          </w:p>
        </w:tc>
        <w:tc>
          <w:tcPr>
            <w:tcW w:w="759" w:type="dxa"/>
            <w:shd w:val="clear" w:color="auto" w:fill="auto"/>
            <w:noWrap/>
            <w:vAlign w:val="center"/>
            <w:hideMark/>
          </w:tcPr>
          <w:p w14:paraId="23D2321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120</w:t>
            </w:r>
          </w:p>
        </w:tc>
        <w:tc>
          <w:tcPr>
            <w:tcW w:w="759" w:type="dxa"/>
            <w:shd w:val="clear" w:color="auto" w:fill="auto"/>
            <w:noWrap/>
            <w:vAlign w:val="center"/>
            <w:hideMark/>
          </w:tcPr>
          <w:p w14:paraId="51D7B9F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127</w:t>
            </w:r>
          </w:p>
        </w:tc>
        <w:tc>
          <w:tcPr>
            <w:tcW w:w="759" w:type="dxa"/>
            <w:shd w:val="clear" w:color="auto" w:fill="auto"/>
            <w:noWrap/>
            <w:vAlign w:val="center"/>
            <w:hideMark/>
          </w:tcPr>
          <w:p w14:paraId="5C0672B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133</w:t>
            </w:r>
          </w:p>
        </w:tc>
        <w:tc>
          <w:tcPr>
            <w:tcW w:w="759" w:type="dxa"/>
            <w:shd w:val="clear" w:color="auto" w:fill="auto"/>
            <w:noWrap/>
            <w:vAlign w:val="center"/>
            <w:hideMark/>
          </w:tcPr>
          <w:p w14:paraId="7E6B36C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140</w:t>
            </w:r>
          </w:p>
        </w:tc>
        <w:tc>
          <w:tcPr>
            <w:tcW w:w="759" w:type="dxa"/>
            <w:shd w:val="clear" w:color="auto" w:fill="auto"/>
            <w:noWrap/>
            <w:vAlign w:val="center"/>
            <w:hideMark/>
          </w:tcPr>
          <w:p w14:paraId="72219D3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146</w:t>
            </w:r>
          </w:p>
        </w:tc>
        <w:tc>
          <w:tcPr>
            <w:tcW w:w="759" w:type="dxa"/>
            <w:shd w:val="clear" w:color="auto" w:fill="auto"/>
            <w:noWrap/>
            <w:vAlign w:val="center"/>
            <w:hideMark/>
          </w:tcPr>
          <w:p w14:paraId="0E999C9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151</w:t>
            </w:r>
          </w:p>
        </w:tc>
        <w:tc>
          <w:tcPr>
            <w:tcW w:w="759" w:type="dxa"/>
            <w:shd w:val="clear" w:color="auto" w:fill="auto"/>
            <w:noWrap/>
            <w:vAlign w:val="center"/>
            <w:hideMark/>
          </w:tcPr>
          <w:p w14:paraId="3619946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156</w:t>
            </w:r>
          </w:p>
        </w:tc>
        <w:tc>
          <w:tcPr>
            <w:tcW w:w="759" w:type="dxa"/>
            <w:shd w:val="clear" w:color="auto" w:fill="auto"/>
            <w:noWrap/>
            <w:vAlign w:val="center"/>
            <w:hideMark/>
          </w:tcPr>
          <w:p w14:paraId="0E5E8F0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161</w:t>
            </w:r>
          </w:p>
        </w:tc>
        <w:tc>
          <w:tcPr>
            <w:tcW w:w="759" w:type="dxa"/>
            <w:shd w:val="clear" w:color="auto" w:fill="auto"/>
            <w:noWrap/>
            <w:vAlign w:val="center"/>
            <w:hideMark/>
          </w:tcPr>
          <w:p w14:paraId="5CA0E89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166</w:t>
            </w:r>
          </w:p>
        </w:tc>
        <w:tc>
          <w:tcPr>
            <w:tcW w:w="759" w:type="dxa"/>
            <w:shd w:val="clear" w:color="auto" w:fill="auto"/>
            <w:noWrap/>
            <w:vAlign w:val="center"/>
            <w:hideMark/>
          </w:tcPr>
          <w:p w14:paraId="2406B5E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170</w:t>
            </w:r>
          </w:p>
        </w:tc>
        <w:tc>
          <w:tcPr>
            <w:tcW w:w="759" w:type="dxa"/>
            <w:shd w:val="clear" w:color="auto" w:fill="auto"/>
            <w:noWrap/>
            <w:vAlign w:val="center"/>
            <w:hideMark/>
          </w:tcPr>
          <w:p w14:paraId="307E28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174</w:t>
            </w:r>
          </w:p>
        </w:tc>
        <w:tc>
          <w:tcPr>
            <w:tcW w:w="759" w:type="dxa"/>
            <w:shd w:val="clear" w:color="auto" w:fill="auto"/>
            <w:noWrap/>
            <w:vAlign w:val="center"/>
            <w:hideMark/>
          </w:tcPr>
          <w:p w14:paraId="72DA1ED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177</w:t>
            </w:r>
          </w:p>
        </w:tc>
        <w:tc>
          <w:tcPr>
            <w:tcW w:w="759" w:type="dxa"/>
            <w:shd w:val="clear" w:color="auto" w:fill="auto"/>
            <w:noWrap/>
            <w:vAlign w:val="center"/>
            <w:hideMark/>
          </w:tcPr>
          <w:p w14:paraId="34DD51C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180</w:t>
            </w:r>
          </w:p>
        </w:tc>
        <w:tc>
          <w:tcPr>
            <w:tcW w:w="759" w:type="dxa"/>
            <w:shd w:val="clear" w:color="auto" w:fill="auto"/>
            <w:noWrap/>
            <w:vAlign w:val="center"/>
            <w:hideMark/>
          </w:tcPr>
          <w:p w14:paraId="29962F8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183</w:t>
            </w:r>
          </w:p>
        </w:tc>
      </w:tr>
      <w:tr w:rsidR="002735B4" w:rsidRPr="00445472" w14:paraId="3B810075" w14:textId="77777777" w:rsidTr="002A1F08">
        <w:trPr>
          <w:trHeight w:val="255"/>
        </w:trPr>
        <w:tc>
          <w:tcPr>
            <w:tcW w:w="1101" w:type="dxa"/>
            <w:vMerge w:val="restart"/>
            <w:shd w:val="clear" w:color="auto" w:fill="auto"/>
            <w:vAlign w:val="center"/>
            <w:hideMark/>
          </w:tcPr>
          <w:p w14:paraId="57C5AB7B" w14:textId="2347C0AE"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Librazhd UK </w:t>
            </w:r>
            <w:r w:rsidR="006E55B4" w:rsidRPr="00445472">
              <w:rPr>
                <w:rFonts w:ascii="Garamond" w:hAnsi="Garamond"/>
                <w:sz w:val="15"/>
                <w:szCs w:val="15"/>
                <w:lang w:eastAsia="en-GB"/>
              </w:rPr>
              <w:t>sh.a.</w:t>
            </w:r>
          </w:p>
        </w:tc>
        <w:tc>
          <w:tcPr>
            <w:tcW w:w="1494" w:type="dxa"/>
            <w:shd w:val="clear" w:color="auto" w:fill="auto"/>
            <w:noWrap/>
            <w:vAlign w:val="center"/>
            <w:hideMark/>
          </w:tcPr>
          <w:p w14:paraId="5550710A" w14:textId="24901EF6"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Popullsia e </w:t>
            </w:r>
            <w:r w:rsidR="00DB6391" w:rsidRPr="00445472">
              <w:rPr>
                <w:rFonts w:ascii="Garamond" w:hAnsi="Garamond"/>
                <w:sz w:val="15"/>
                <w:szCs w:val="15"/>
                <w:lang w:eastAsia="en-GB"/>
              </w:rPr>
              <w:t>shërbyer</w:t>
            </w:r>
          </w:p>
        </w:tc>
        <w:tc>
          <w:tcPr>
            <w:tcW w:w="759" w:type="dxa"/>
            <w:shd w:val="clear" w:color="auto" w:fill="auto"/>
            <w:noWrap/>
            <w:vAlign w:val="center"/>
            <w:hideMark/>
          </w:tcPr>
          <w:p w14:paraId="0A0D6C6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18,434</w:t>
            </w:r>
          </w:p>
        </w:tc>
        <w:tc>
          <w:tcPr>
            <w:tcW w:w="759" w:type="dxa"/>
            <w:shd w:val="clear" w:color="auto" w:fill="auto"/>
            <w:noWrap/>
            <w:vAlign w:val="center"/>
            <w:hideMark/>
          </w:tcPr>
          <w:p w14:paraId="4004176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18,508</w:t>
            </w:r>
          </w:p>
        </w:tc>
        <w:tc>
          <w:tcPr>
            <w:tcW w:w="759" w:type="dxa"/>
            <w:shd w:val="clear" w:color="auto" w:fill="auto"/>
            <w:noWrap/>
            <w:vAlign w:val="center"/>
            <w:hideMark/>
          </w:tcPr>
          <w:p w14:paraId="7803043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18,592</w:t>
            </w:r>
          </w:p>
        </w:tc>
        <w:tc>
          <w:tcPr>
            <w:tcW w:w="759" w:type="dxa"/>
            <w:shd w:val="clear" w:color="auto" w:fill="auto"/>
            <w:noWrap/>
            <w:vAlign w:val="center"/>
            <w:hideMark/>
          </w:tcPr>
          <w:p w14:paraId="26C683F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18,684</w:t>
            </w:r>
          </w:p>
        </w:tc>
        <w:tc>
          <w:tcPr>
            <w:tcW w:w="759" w:type="dxa"/>
            <w:shd w:val="clear" w:color="auto" w:fill="auto"/>
            <w:noWrap/>
            <w:vAlign w:val="center"/>
            <w:hideMark/>
          </w:tcPr>
          <w:p w14:paraId="28C21CB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18,785</w:t>
            </w:r>
          </w:p>
        </w:tc>
        <w:tc>
          <w:tcPr>
            <w:tcW w:w="759" w:type="dxa"/>
            <w:shd w:val="clear" w:color="auto" w:fill="auto"/>
            <w:noWrap/>
            <w:vAlign w:val="center"/>
            <w:hideMark/>
          </w:tcPr>
          <w:p w14:paraId="39D4348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18,894</w:t>
            </w:r>
          </w:p>
        </w:tc>
        <w:tc>
          <w:tcPr>
            <w:tcW w:w="759" w:type="dxa"/>
            <w:shd w:val="clear" w:color="auto" w:fill="auto"/>
            <w:noWrap/>
            <w:vAlign w:val="center"/>
            <w:hideMark/>
          </w:tcPr>
          <w:p w14:paraId="1CEF102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19,014</w:t>
            </w:r>
          </w:p>
        </w:tc>
        <w:tc>
          <w:tcPr>
            <w:tcW w:w="759" w:type="dxa"/>
            <w:shd w:val="clear" w:color="auto" w:fill="auto"/>
            <w:noWrap/>
            <w:vAlign w:val="center"/>
            <w:hideMark/>
          </w:tcPr>
          <w:p w14:paraId="1A4B997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19,132</w:t>
            </w:r>
          </w:p>
        </w:tc>
        <w:tc>
          <w:tcPr>
            <w:tcW w:w="759" w:type="dxa"/>
            <w:shd w:val="clear" w:color="auto" w:fill="auto"/>
            <w:noWrap/>
            <w:vAlign w:val="center"/>
            <w:hideMark/>
          </w:tcPr>
          <w:p w14:paraId="614B0FE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19,247</w:t>
            </w:r>
          </w:p>
        </w:tc>
        <w:tc>
          <w:tcPr>
            <w:tcW w:w="759" w:type="dxa"/>
            <w:shd w:val="clear" w:color="auto" w:fill="auto"/>
            <w:noWrap/>
            <w:vAlign w:val="center"/>
            <w:hideMark/>
          </w:tcPr>
          <w:p w14:paraId="17AE923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19,359</w:t>
            </w:r>
          </w:p>
        </w:tc>
        <w:tc>
          <w:tcPr>
            <w:tcW w:w="759" w:type="dxa"/>
            <w:shd w:val="clear" w:color="auto" w:fill="auto"/>
            <w:noWrap/>
            <w:vAlign w:val="center"/>
            <w:hideMark/>
          </w:tcPr>
          <w:p w14:paraId="1F2C651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19,468</w:t>
            </w:r>
          </w:p>
        </w:tc>
        <w:tc>
          <w:tcPr>
            <w:tcW w:w="759" w:type="dxa"/>
            <w:shd w:val="clear" w:color="auto" w:fill="auto"/>
            <w:noWrap/>
            <w:vAlign w:val="center"/>
            <w:hideMark/>
          </w:tcPr>
          <w:p w14:paraId="052F92D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19,572</w:t>
            </w:r>
          </w:p>
        </w:tc>
        <w:tc>
          <w:tcPr>
            <w:tcW w:w="759" w:type="dxa"/>
            <w:shd w:val="clear" w:color="auto" w:fill="auto"/>
            <w:noWrap/>
            <w:vAlign w:val="center"/>
            <w:hideMark/>
          </w:tcPr>
          <w:p w14:paraId="0D20969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19,672</w:t>
            </w:r>
          </w:p>
        </w:tc>
        <w:tc>
          <w:tcPr>
            <w:tcW w:w="759" w:type="dxa"/>
            <w:shd w:val="clear" w:color="auto" w:fill="auto"/>
            <w:noWrap/>
            <w:vAlign w:val="center"/>
            <w:hideMark/>
          </w:tcPr>
          <w:p w14:paraId="363D4AC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19,766</w:t>
            </w:r>
          </w:p>
        </w:tc>
        <w:tc>
          <w:tcPr>
            <w:tcW w:w="759" w:type="dxa"/>
            <w:shd w:val="clear" w:color="auto" w:fill="auto"/>
            <w:noWrap/>
            <w:vAlign w:val="center"/>
            <w:hideMark/>
          </w:tcPr>
          <w:p w14:paraId="686AE28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19,855</w:t>
            </w:r>
          </w:p>
        </w:tc>
        <w:tc>
          <w:tcPr>
            <w:tcW w:w="759" w:type="dxa"/>
            <w:shd w:val="clear" w:color="auto" w:fill="auto"/>
            <w:noWrap/>
            <w:vAlign w:val="center"/>
            <w:hideMark/>
          </w:tcPr>
          <w:p w14:paraId="67802E6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19,938</w:t>
            </w:r>
          </w:p>
        </w:tc>
      </w:tr>
      <w:tr w:rsidR="002735B4" w:rsidRPr="00445472" w14:paraId="06157AB1" w14:textId="77777777" w:rsidTr="002A1F08">
        <w:trPr>
          <w:trHeight w:val="255"/>
        </w:trPr>
        <w:tc>
          <w:tcPr>
            <w:tcW w:w="1101" w:type="dxa"/>
            <w:vMerge/>
            <w:shd w:val="clear" w:color="auto" w:fill="auto"/>
            <w:vAlign w:val="center"/>
            <w:hideMark/>
          </w:tcPr>
          <w:p w14:paraId="5EFB5694"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6B354FF1"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7748CB2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471</w:t>
            </w:r>
          </w:p>
        </w:tc>
        <w:tc>
          <w:tcPr>
            <w:tcW w:w="759" w:type="dxa"/>
            <w:shd w:val="clear" w:color="auto" w:fill="auto"/>
            <w:noWrap/>
            <w:vAlign w:val="center"/>
            <w:hideMark/>
          </w:tcPr>
          <w:p w14:paraId="3EA5B77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486</w:t>
            </w:r>
          </w:p>
        </w:tc>
        <w:tc>
          <w:tcPr>
            <w:tcW w:w="759" w:type="dxa"/>
            <w:shd w:val="clear" w:color="auto" w:fill="auto"/>
            <w:noWrap/>
            <w:vAlign w:val="center"/>
            <w:hideMark/>
          </w:tcPr>
          <w:p w14:paraId="767CEBA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502</w:t>
            </w:r>
          </w:p>
        </w:tc>
        <w:tc>
          <w:tcPr>
            <w:tcW w:w="759" w:type="dxa"/>
            <w:shd w:val="clear" w:color="auto" w:fill="auto"/>
            <w:noWrap/>
            <w:vAlign w:val="center"/>
            <w:hideMark/>
          </w:tcPr>
          <w:p w14:paraId="316A780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518</w:t>
            </w:r>
          </w:p>
        </w:tc>
        <w:tc>
          <w:tcPr>
            <w:tcW w:w="759" w:type="dxa"/>
            <w:shd w:val="clear" w:color="auto" w:fill="auto"/>
            <w:noWrap/>
            <w:vAlign w:val="center"/>
            <w:hideMark/>
          </w:tcPr>
          <w:p w14:paraId="5C8BB4A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535</w:t>
            </w:r>
          </w:p>
        </w:tc>
        <w:tc>
          <w:tcPr>
            <w:tcW w:w="759" w:type="dxa"/>
            <w:shd w:val="clear" w:color="auto" w:fill="auto"/>
            <w:noWrap/>
            <w:vAlign w:val="center"/>
            <w:hideMark/>
          </w:tcPr>
          <w:p w14:paraId="769D69A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552</w:t>
            </w:r>
          </w:p>
        </w:tc>
        <w:tc>
          <w:tcPr>
            <w:tcW w:w="759" w:type="dxa"/>
            <w:shd w:val="clear" w:color="auto" w:fill="auto"/>
            <w:noWrap/>
            <w:vAlign w:val="center"/>
            <w:hideMark/>
          </w:tcPr>
          <w:p w14:paraId="0FEA9AA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569</w:t>
            </w:r>
          </w:p>
        </w:tc>
        <w:tc>
          <w:tcPr>
            <w:tcW w:w="759" w:type="dxa"/>
            <w:shd w:val="clear" w:color="auto" w:fill="auto"/>
            <w:noWrap/>
            <w:vAlign w:val="center"/>
            <w:hideMark/>
          </w:tcPr>
          <w:p w14:paraId="363C166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587</w:t>
            </w:r>
          </w:p>
        </w:tc>
        <w:tc>
          <w:tcPr>
            <w:tcW w:w="759" w:type="dxa"/>
            <w:shd w:val="clear" w:color="auto" w:fill="auto"/>
            <w:noWrap/>
            <w:vAlign w:val="center"/>
            <w:hideMark/>
          </w:tcPr>
          <w:p w14:paraId="3A33E1B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604</w:t>
            </w:r>
          </w:p>
        </w:tc>
        <w:tc>
          <w:tcPr>
            <w:tcW w:w="759" w:type="dxa"/>
            <w:shd w:val="clear" w:color="auto" w:fill="auto"/>
            <w:noWrap/>
            <w:vAlign w:val="center"/>
            <w:hideMark/>
          </w:tcPr>
          <w:p w14:paraId="73678FE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622</w:t>
            </w:r>
          </w:p>
        </w:tc>
        <w:tc>
          <w:tcPr>
            <w:tcW w:w="759" w:type="dxa"/>
            <w:shd w:val="clear" w:color="auto" w:fill="auto"/>
            <w:noWrap/>
            <w:vAlign w:val="center"/>
            <w:hideMark/>
          </w:tcPr>
          <w:p w14:paraId="6707BFD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640</w:t>
            </w:r>
          </w:p>
        </w:tc>
        <w:tc>
          <w:tcPr>
            <w:tcW w:w="759" w:type="dxa"/>
            <w:shd w:val="clear" w:color="auto" w:fill="auto"/>
            <w:noWrap/>
            <w:vAlign w:val="center"/>
            <w:hideMark/>
          </w:tcPr>
          <w:p w14:paraId="2F57AD4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657</w:t>
            </w:r>
          </w:p>
        </w:tc>
        <w:tc>
          <w:tcPr>
            <w:tcW w:w="759" w:type="dxa"/>
            <w:shd w:val="clear" w:color="auto" w:fill="auto"/>
            <w:noWrap/>
            <w:vAlign w:val="center"/>
            <w:hideMark/>
          </w:tcPr>
          <w:p w14:paraId="519FD8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675</w:t>
            </w:r>
          </w:p>
        </w:tc>
        <w:tc>
          <w:tcPr>
            <w:tcW w:w="759" w:type="dxa"/>
            <w:shd w:val="clear" w:color="auto" w:fill="auto"/>
            <w:noWrap/>
            <w:vAlign w:val="center"/>
            <w:hideMark/>
          </w:tcPr>
          <w:p w14:paraId="7C3B16A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693</w:t>
            </w:r>
          </w:p>
        </w:tc>
        <w:tc>
          <w:tcPr>
            <w:tcW w:w="759" w:type="dxa"/>
            <w:shd w:val="clear" w:color="auto" w:fill="auto"/>
            <w:noWrap/>
            <w:vAlign w:val="center"/>
            <w:hideMark/>
          </w:tcPr>
          <w:p w14:paraId="01E12CD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710</w:t>
            </w:r>
          </w:p>
        </w:tc>
        <w:tc>
          <w:tcPr>
            <w:tcW w:w="759" w:type="dxa"/>
            <w:shd w:val="clear" w:color="auto" w:fill="auto"/>
            <w:noWrap/>
            <w:vAlign w:val="center"/>
            <w:hideMark/>
          </w:tcPr>
          <w:p w14:paraId="3680CBC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728</w:t>
            </w:r>
          </w:p>
        </w:tc>
      </w:tr>
      <w:tr w:rsidR="002735B4" w:rsidRPr="00445472" w14:paraId="09F57C57" w14:textId="77777777" w:rsidTr="002A1F08">
        <w:trPr>
          <w:trHeight w:val="255"/>
        </w:trPr>
        <w:tc>
          <w:tcPr>
            <w:tcW w:w="1101" w:type="dxa"/>
            <w:vMerge w:val="restart"/>
            <w:shd w:val="clear" w:color="auto" w:fill="auto"/>
            <w:vAlign w:val="center"/>
            <w:hideMark/>
          </w:tcPr>
          <w:p w14:paraId="01109F0A" w14:textId="4F3F8770"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Peshkopi U </w:t>
            </w:r>
            <w:r w:rsidR="00852D7A" w:rsidRPr="00445472">
              <w:rPr>
                <w:rFonts w:ascii="Garamond" w:hAnsi="Garamond"/>
                <w:sz w:val="15"/>
                <w:szCs w:val="15"/>
                <w:lang w:eastAsia="en-GB"/>
              </w:rPr>
              <w:t>sh.a.</w:t>
            </w:r>
          </w:p>
        </w:tc>
        <w:tc>
          <w:tcPr>
            <w:tcW w:w="1494" w:type="dxa"/>
            <w:shd w:val="clear" w:color="auto" w:fill="auto"/>
            <w:noWrap/>
            <w:vAlign w:val="center"/>
            <w:hideMark/>
          </w:tcPr>
          <w:p w14:paraId="75B1E1BA"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Popullsia e Shërbyer</w:t>
            </w:r>
          </w:p>
        </w:tc>
        <w:tc>
          <w:tcPr>
            <w:tcW w:w="759" w:type="dxa"/>
            <w:shd w:val="clear" w:color="auto" w:fill="auto"/>
            <w:noWrap/>
            <w:vAlign w:val="center"/>
            <w:hideMark/>
          </w:tcPr>
          <w:p w14:paraId="442D850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30,995</w:t>
            </w:r>
          </w:p>
        </w:tc>
        <w:tc>
          <w:tcPr>
            <w:tcW w:w="759" w:type="dxa"/>
            <w:shd w:val="clear" w:color="auto" w:fill="auto"/>
            <w:noWrap/>
            <w:vAlign w:val="center"/>
            <w:hideMark/>
          </w:tcPr>
          <w:p w14:paraId="2154FE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31,043</w:t>
            </w:r>
          </w:p>
        </w:tc>
        <w:tc>
          <w:tcPr>
            <w:tcW w:w="759" w:type="dxa"/>
            <w:shd w:val="clear" w:color="auto" w:fill="auto"/>
            <w:noWrap/>
            <w:vAlign w:val="center"/>
            <w:hideMark/>
          </w:tcPr>
          <w:p w14:paraId="54A65F1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31,107</w:t>
            </w:r>
          </w:p>
        </w:tc>
        <w:tc>
          <w:tcPr>
            <w:tcW w:w="759" w:type="dxa"/>
            <w:shd w:val="clear" w:color="auto" w:fill="auto"/>
            <w:noWrap/>
            <w:vAlign w:val="center"/>
            <w:hideMark/>
          </w:tcPr>
          <w:p w14:paraId="0D9A5E5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31,186</w:t>
            </w:r>
          </w:p>
        </w:tc>
        <w:tc>
          <w:tcPr>
            <w:tcW w:w="759" w:type="dxa"/>
            <w:shd w:val="clear" w:color="auto" w:fill="auto"/>
            <w:noWrap/>
            <w:vAlign w:val="center"/>
            <w:hideMark/>
          </w:tcPr>
          <w:p w14:paraId="7622859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31,279</w:t>
            </w:r>
          </w:p>
        </w:tc>
        <w:tc>
          <w:tcPr>
            <w:tcW w:w="759" w:type="dxa"/>
            <w:shd w:val="clear" w:color="auto" w:fill="auto"/>
            <w:noWrap/>
            <w:vAlign w:val="center"/>
            <w:hideMark/>
          </w:tcPr>
          <w:p w14:paraId="256C35C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31,386</w:t>
            </w:r>
          </w:p>
        </w:tc>
        <w:tc>
          <w:tcPr>
            <w:tcW w:w="759" w:type="dxa"/>
            <w:shd w:val="clear" w:color="auto" w:fill="auto"/>
            <w:noWrap/>
            <w:vAlign w:val="center"/>
            <w:hideMark/>
          </w:tcPr>
          <w:p w14:paraId="4358864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31,508</w:t>
            </w:r>
          </w:p>
        </w:tc>
        <w:tc>
          <w:tcPr>
            <w:tcW w:w="759" w:type="dxa"/>
            <w:shd w:val="clear" w:color="auto" w:fill="auto"/>
            <w:noWrap/>
            <w:vAlign w:val="center"/>
            <w:hideMark/>
          </w:tcPr>
          <w:p w14:paraId="36247AA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31,627</w:t>
            </w:r>
          </w:p>
        </w:tc>
        <w:tc>
          <w:tcPr>
            <w:tcW w:w="759" w:type="dxa"/>
            <w:shd w:val="clear" w:color="auto" w:fill="auto"/>
            <w:noWrap/>
            <w:vAlign w:val="center"/>
            <w:hideMark/>
          </w:tcPr>
          <w:p w14:paraId="30834F1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31,742</w:t>
            </w:r>
          </w:p>
        </w:tc>
        <w:tc>
          <w:tcPr>
            <w:tcW w:w="759" w:type="dxa"/>
            <w:shd w:val="clear" w:color="auto" w:fill="auto"/>
            <w:noWrap/>
            <w:vAlign w:val="center"/>
            <w:hideMark/>
          </w:tcPr>
          <w:p w14:paraId="387DCBB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31,851</w:t>
            </w:r>
          </w:p>
        </w:tc>
        <w:tc>
          <w:tcPr>
            <w:tcW w:w="759" w:type="dxa"/>
            <w:shd w:val="clear" w:color="auto" w:fill="auto"/>
            <w:noWrap/>
            <w:vAlign w:val="center"/>
            <w:hideMark/>
          </w:tcPr>
          <w:p w14:paraId="4CFD2BA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31,953</w:t>
            </w:r>
          </w:p>
        </w:tc>
        <w:tc>
          <w:tcPr>
            <w:tcW w:w="759" w:type="dxa"/>
            <w:shd w:val="clear" w:color="auto" w:fill="auto"/>
            <w:noWrap/>
            <w:vAlign w:val="center"/>
            <w:hideMark/>
          </w:tcPr>
          <w:p w14:paraId="2781AA3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32,048</w:t>
            </w:r>
          </w:p>
        </w:tc>
        <w:tc>
          <w:tcPr>
            <w:tcW w:w="759" w:type="dxa"/>
            <w:shd w:val="clear" w:color="auto" w:fill="auto"/>
            <w:noWrap/>
            <w:vAlign w:val="center"/>
            <w:hideMark/>
          </w:tcPr>
          <w:p w14:paraId="346D0C4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32,135</w:t>
            </w:r>
          </w:p>
        </w:tc>
        <w:tc>
          <w:tcPr>
            <w:tcW w:w="759" w:type="dxa"/>
            <w:shd w:val="clear" w:color="auto" w:fill="auto"/>
            <w:noWrap/>
            <w:vAlign w:val="center"/>
            <w:hideMark/>
          </w:tcPr>
          <w:p w14:paraId="567CCE0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32,212</w:t>
            </w:r>
          </w:p>
        </w:tc>
        <w:tc>
          <w:tcPr>
            <w:tcW w:w="759" w:type="dxa"/>
            <w:shd w:val="clear" w:color="auto" w:fill="auto"/>
            <w:noWrap/>
            <w:vAlign w:val="center"/>
            <w:hideMark/>
          </w:tcPr>
          <w:p w14:paraId="0CF8619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32,281</w:t>
            </w:r>
          </w:p>
        </w:tc>
        <w:tc>
          <w:tcPr>
            <w:tcW w:w="759" w:type="dxa"/>
            <w:shd w:val="clear" w:color="auto" w:fill="auto"/>
            <w:noWrap/>
            <w:vAlign w:val="center"/>
            <w:hideMark/>
          </w:tcPr>
          <w:p w14:paraId="2FC3EA0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32,340</w:t>
            </w:r>
          </w:p>
        </w:tc>
      </w:tr>
      <w:tr w:rsidR="002735B4" w:rsidRPr="00445472" w14:paraId="6546715B" w14:textId="77777777" w:rsidTr="002A1F08">
        <w:trPr>
          <w:trHeight w:val="255"/>
        </w:trPr>
        <w:tc>
          <w:tcPr>
            <w:tcW w:w="1101" w:type="dxa"/>
            <w:vMerge/>
            <w:shd w:val="clear" w:color="auto" w:fill="auto"/>
            <w:vAlign w:val="center"/>
            <w:hideMark/>
          </w:tcPr>
          <w:p w14:paraId="29AFC3C3"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56F5E57B"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3271912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569</w:t>
            </w:r>
          </w:p>
        </w:tc>
        <w:tc>
          <w:tcPr>
            <w:tcW w:w="759" w:type="dxa"/>
            <w:shd w:val="clear" w:color="auto" w:fill="auto"/>
            <w:noWrap/>
            <w:vAlign w:val="center"/>
            <w:hideMark/>
          </w:tcPr>
          <w:p w14:paraId="49D9529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608</w:t>
            </w:r>
          </w:p>
        </w:tc>
        <w:tc>
          <w:tcPr>
            <w:tcW w:w="759" w:type="dxa"/>
            <w:shd w:val="clear" w:color="auto" w:fill="auto"/>
            <w:noWrap/>
            <w:vAlign w:val="center"/>
            <w:hideMark/>
          </w:tcPr>
          <w:p w14:paraId="314330A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646</w:t>
            </w:r>
          </w:p>
        </w:tc>
        <w:tc>
          <w:tcPr>
            <w:tcW w:w="759" w:type="dxa"/>
            <w:shd w:val="clear" w:color="auto" w:fill="auto"/>
            <w:noWrap/>
            <w:vAlign w:val="center"/>
            <w:hideMark/>
          </w:tcPr>
          <w:p w14:paraId="79ADFB1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686</w:t>
            </w:r>
          </w:p>
        </w:tc>
        <w:tc>
          <w:tcPr>
            <w:tcW w:w="759" w:type="dxa"/>
            <w:shd w:val="clear" w:color="auto" w:fill="auto"/>
            <w:noWrap/>
            <w:vAlign w:val="center"/>
            <w:hideMark/>
          </w:tcPr>
          <w:p w14:paraId="228670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726</w:t>
            </w:r>
          </w:p>
        </w:tc>
        <w:tc>
          <w:tcPr>
            <w:tcW w:w="759" w:type="dxa"/>
            <w:shd w:val="clear" w:color="auto" w:fill="auto"/>
            <w:noWrap/>
            <w:vAlign w:val="center"/>
            <w:hideMark/>
          </w:tcPr>
          <w:p w14:paraId="1A9031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766</w:t>
            </w:r>
          </w:p>
        </w:tc>
        <w:tc>
          <w:tcPr>
            <w:tcW w:w="759" w:type="dxa"/>
            <w:shd w:val="clear" w:color="auto" w:fill="auto"/>
            <w:noWrap/>
            <w:vAlign w:val="center"/>
            <w:hideMark/>
          </w:tcPr>
          <w:p w14:paraId="28D0F6B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807</w:t>
            </w:r>
          </w:p>
        </w:tc>
        <w:tc>
          <w:tcPr>
            <w:tcW w:w="759" w:type="dxa"/>
            <w:shd w:val="clear" w:color="auto" w:fill="auto"/>
            <w:noWrap/>
            <w:vAlign w:val="center"/>
            <w:hideMark/>
          </w:tcPr>
          <w:p w14:paraId="739619F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848</w:t>
            </w:r>
          </w:p>
        </w:tc>
        <w:tc>
          <w:tcPr>
            <w:tcW w:w="759" w:type="dxa"/>
            <w:shd w:val="clear" w:color="auto" w:fill="auto"/>
            <w:noWrap/>
            <w:vAlign w:val="center"/>
            <w:hideMark/>
          </w:tcPr>
          <w:p w14:paraId="606EA46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890</w:t>
            </w:r>
          </w:p>
        </w:tc>
        <w:tc>
          <w:tcPr>
            <w:tcW w:w="759" w:type="dxa"/>
            <w:shd w:val="clear" w:color="auto" w:fill="auto"/>
            <w:noWrap/>
            <w:vAlign w:val="center"/>
            <w:hideMark/>
          </w:tcPr>
          <w:p w14:paraId="0FA6839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932</w:t>
            </w:r>
          </w:p>
        </w:tc>
        <w:tc>
          <w:tcPr>
            <w:tcW w:w="759" w:type="dxa"/>
            <w:shd w:val="clear" w:color="auto" w:fill="auto"/>
            <w:noWrap/>
            <w:vAlign w:val="center"/>
            <w:hideMark/>
          </w:tcPr>
          <w:p w14:paraId="02135F8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973</w:t>
            </w:r>
          </w:p>
        </w:tc>
        <w:tc>
          <w:tcPr>
            <w:tcW w:w="759" w:type="dxa"/>
            <w:shd w:val="clear" w:color="auto" w:fill="auto"/>
            <w:noWrap/>
            <w:vAlign w:val="center"/>
            <w:hideMark/>
          </w:tcPr>
          <w:p w14:paraId="3C4544F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1,015</w:t>
            </w:r>
          </w:p>
        </w:tc>
        <w:tc>
          <w:tcPr>
            <w:tcW w:w="759" w:type="dxa"/>
            <w:shd w:val="clear" w:color="auto" w:fill="auto"/>
            <w:noWrap/>
            <w:vAlign w:val="center"/>
            <w:hideMark/>
          </w:tcPr>
          <w:p w14:paraId="4873A00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1,056</w:t>
            </w:r>
          </w:p>
        </w:tc>
        <w:tc>
          <w:tcPr>
            <w:tcW w:w="759" w:type="dxa"/>
            <w:shd w:val="clear" w:color="auto" w:fill="auto"/>
            <w:noWrap/>
            <w:vAlign w:val="center"/>
            <w:hideMark/>
          </w:tcPr>
          <w:p w14:paraId="16CF3DC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1,098</w:t>
            </w:r>
          </w:p>
        </w:tc>
        <w:tc>
          <w:tcPr>
            <w:tcW w:w="759" w:type="dxa"/>
            <w:shd w:val="clear" w:color="auto" w:fill="auto"/>
            <w:noWrap/>
            <w:vAlign w:val="center"/>
            <w:hideMark/>
          </w:tcPr>
          <w:p w14:paraId="2780EFB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1,139</w:t>
            </w:r>
          </w:p>
        </w:tc>
        <w:tc>
          <w:tcPr>
            <w:tcW w:w="759" w:type="dxa"/>
            <w:shd w:val="clear" w:color="auto" w:fill="auto"/>
            <w:noWrap/>
            <w:vAlign w:val="center"/>
            <w:hideMark/>
          </w:tcPr>
          <w:p w14:paraId="1878970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1,180</w:t>
            </w:r>
          </w:p>
        </w:tc>
      </w:tr>
      <w:tr w:rsidR="002735B4" w:rsidRPr="00445472" w14:paraId="437172C2" w14:textId="77777777" w:rsidTr="002A1F08">
        <w:trPr>
          <w:trHeight w:val="255"/>
        </w:trPr>
        <w:tc>
          <w:tcPr>
            <w:tcW w:w="1101" w:type="dxa"/>
            <w:vMerge w:val="restart"/>
            <w:shd w:val="clear" w:color="auto" w:fill="auto"/>
            <w:vAlign w:val="center"/>
            <w:hideMark/>
          </w:tcPr>
          <w:p w14:paraId="5A77A864" w14:textId="194AA2D5"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Bulqizë U </w:t>
            </w:r>
            <w:r w:rsidR="00852D7A" w:rsidRPr="00445472">
              <w:rPr>
                <w:rFonts w:ascii="Garamond" w:hAnsi="Garamond"/>
                <w:sz w:val="15"/>
                <w:szCs w:val="15"/>
                <w:lang w:eastAsia="en-GB"/>
              </w:rPr>
              <w:t>sh.a.</w:t>
            </w:r>
          </w:p>
        </w:tc>
        <w:tc>
          <w:tcPr>
            <w:tcW w:w="1494" w:type="dxa"/>
            <w:shd w:val="clear" w:color="auto" w:fill="auto"/>
            <w:noWrap/>
            <w:vAlign w:val="center"/>
            <w:hideMark/>
          </w:tcPr>
          <w:p w14:paraId="3B83F997"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Popullsia e Shërbyer</w:t>
            </w:r>
          </w:p>
        </w:tc>
        <w:tc>
          <w:tcPr>
            <w:tcW w:w="759" w:type="dxa"/>
            <w:shd w:val="clear" w:color="auto" w:fill="auto"/>
            <w:noWrap/>
            <w:vAlign w:val="center"/>
            <w:hideMark/>
          </w:tcPr>
          <w:p w14:paraId="510AF9F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12,352</w:t>
            </w:r>
          </w:p>
        </w:tc>
        <w:tc>
          <w:tcPr>
            <w:tcW w:w="759" w:type="dxa"/>
            <w:shd w:val="clear" w:color="auto" w:fill="auto"/>
            <w:noWrap/>
            <w:vAlign w:val="center"/>
            <w:hideMark/>
          </w:tcPr>
          <w:p w14:paraId="2D241F9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12,608</w:t>
            </w:r>
          </w:p>
        </w:tc>
        <w:tc>
          <w:tcPr>
            <w:tcW w:w="759" w:type="dxa"/>
            <w:shd w:val="clear" w:color="auto" w:fill="auto"/>
            <w:noWrap/>
            <w:vAlign w:val="center"/>
            <w:hideMark/>
          </w:tcPr>
          <w:p w14:paraId="5DDDD4A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12,871</w:t>
            </w:r>
          </w:p>
        </w:tc>
        <w:tc>
          <w:tcPr>
            <w:tcW w:w="759" w:type="dxa"/>
            <w:shd w:val="clear" w:color="auto" w:fill="auto"/>
            <w:noWrap/>
            <w:vAlign w:val="center"/>
            <w:hideMark/>
          </w:tcPr>
          <w:p w14:paraId="2233E5D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13,141</w:t>
            </w:r>
          </w:p>
        </w:tc>
        <w:tc>
          <w:tcPr>
            <w:tcW w:w="759" w:type="dxa"/>
            <w:shd w:val="clear" w:color="auto" w:fill="auto"/>
            <w:noWrap/>
            <w:vAlign w:val="center"/>
            <w:hideMark/>
          </w:tcPr>
          <w:p w14:paraId="3C05DE9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13,418</w:t>
            </w:r>
          </w:p>
        </w:tc>
        <w:tc>
          <w:tcPr>
            <w:tcW w:w="759" w:type="dxa"/>
            <w:shd w:val="clear" w:color="auto" w:fill="auto"/>
            <w:noWrap/>
            <w:vAlign w:val="center"/>
            <w:hideMark/>
          </w:tcPr>
          <w:p w14:paraId="483862F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13,703</w:t>
            </w:r>
          </w:p>
        </w:tc>
        <w:tc>
          <w:tcPr>
            <w:tcW w:w="759" w:type="dxa"/>
            <w:shd w:val="clear" w:color="auto" w:fill="auto"/>
            <w:noWrap/>
            <w:vAlign w:val="center"/>
            <w:hideMark/>
          </w:tcPr>
          <w:p w14:paraId="3639E5C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13,996</w:t>
            </w:r>
          </w:p>
        </w:tc>
        <w:tc>
          <w:tcPr>
            <w:tcW w:w="759" w:type="dxa"/>
            <w:shd w:val="clear" w:color="auto" w:fill="auto"/>
            <w:noWrap/>
            <w:vAlign w:val="center"/>
            <w:hideMark/>
          </w:tcPr>
          <w:p w14:paraId="66314F7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14,290</w:t>
            </w:r>
          </w:p>
        </w:tc>
        <w:tc>
          <w:tcPr>
            <w:tcW w:w="759" w:type="dxa"/>
            <w:shd w:val="clear" w:color="auto" w:fill="auto"/>
            <w:noWrap/>
            <w:vAlign w:val="center"/>
            <w:hideMark/>
          </w:tcPr>
          <w:p w14:paraId="0CC2ADA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14,584</w:t>
            </w:r>
          </w:p>
        </w:tc>
        <w:tc>
          <w:tcPr>
            <w:tcW w:w="759" w:type="dxa"/>
            <w:shd w:val="clear" w:color="auto" w:fill="auto"/>
            <w:noWrap/>
            <w:vAlign w:val="center"/>
            <w:hideMark/>
          </w:tcPr>
          <w:p w14:paraId="238D7BB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14,876</w:t>
            </w:r>
          </w:p>
        </w:tc>
        <w:tc>
          <w:tcPr>
            <w:tcW w:w="759" w:type="dxa"/>
            <w:shd w:val="clear" w:color="auto" w:fill="auto"/>
            <w:noWrap/>
            <w:vAlign w:val="center"/>
            <w:hideMark/>
          </w:tcPr>
          <w:p w14:paraId="05D032B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15,167</w:t>
            </w:r>
          </w:p>
        </w:tc>
        <w:tc>
          <w:tcPr>
            <w:tcW w:w="759" w:type="dxa"/>
            <w:shd w:val="clear" w:color="auto" w:fill="auto"/>
            <w:noWrap/>
            <w:vAlign w:val="center"/>
            <w:hideMark/>
          </w:tcPr>
          <w:p w14:paraId="1F35528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15,456</w:t>
            </w:r>
          </w:p>
        </w:tc>
        <w:tc>
          <w:tcPr>
            <w:tcW w:w="759" w:type="dxa"/>
            <w:shd w:val="clear" w:color="auto" w:fill="auto"/>
            <w:noWrap/>
            <w:vAlign w:val="center"/>
            <w:hideMark/>
          </w:tcPr>
          <w:p w14:paraId="5BAC78B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15,743</w:t>
            </w:r>
          </w:p>
        </w:tc>
        <w:tc>
          <w:tcPr>
            <w:tcW w:w="759" w:type="dxa"/>
            <w:shd w:val="clear" w:color="auto" w:fill="auto"/>
            <w:noWrap/>
            <w:vAlign w:val="center"/>
            <w:hideMark/>
          </w:tcPr>
          <w:p w14:paraId="029FAC4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16,026</w:t>
            </w:r>
          </w:p>
        </w:tc>
        <w:tc>
          <w:tcPr>
            <w:tcW w:w="759" w:type="dxa"/>
            <w:shd w:val="clear" w:color="auto" w:fill="auto"/>
            <w:noWrap/>
            <w:vAlign w:val="center"/>
            <w:hideMark/>
          </w:tcPr>
          <w:p w14:paraId="42A097D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16,306</w:t>
            </w:r>
          </w:p>
        </w:tc>
        <w:tc>
          <w:tcPr>
            <w:tcW w:w="759" w:type="dxa"/>
            <w:shd w:val="clear" w:color="auto" w:fill="auto"/>
            <w:noWrap/>
            <w:vAlign w:val="center"/>
            <w:hideMark/>
          </w:tcPr>
          <w:p w14:paraId="25EE564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16,582</w:t>
            </w:r>
          </w:p>
        </w:tc>
      </w:tr>
      <w:tr w:rsidR="002735B4" w:rsidRPr="00445472" w14:paraId="41980B03" w14:textId="77777777" w:rsidTr="002A1F08">
        <w:trPr>
          <w:trHeight w:val="255"/>
        </w:trPr>
        <w:tc>
          <w:tcPr>
            <w:tcW w:w="1101" w:type="dxa"/>
            <w:vMerge/>
            <w:shd w:val="clear" w:color="auto" w:fill="auto"/>
            <w:vAlign w:val="center"/>
            <w:hideMark/>
          </w:tcPr>
          <w:p w14:paraId="724C4B73"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73F765D9"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750B256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497</w:t>
            </w:r>
          </w:p>
        </w:tc>
        <w:tc>
          <w:tcPr>
            <w:tcW w:w="759" w:type="dxa"/>
            <w:shd w:val="clear" w:color="auto" w:fill="auto"/>
            <w:noWrap/>
            <w:vAlign w:val="center"/>
            <w:hideMark/>
          </w:tcPr>
          <w:p w14:paraId="47A6A5B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504</w:t>
            </w:r>
          </w:p>
        </w:tc>
        <w:tc>
          <w:tcPr>
            <w:tcW w:w="759" w:type="dxa"/>
            <w:shd w:val="clear" w:color="auto" w:fill="auto"/>
            <w:noWrap/>
            <w:vAlign w:val="center"/>
            <w:hideMark/>
          </w:tcPr>
          <w:p w14:paraId="5F30AB2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512</w:t>
            </w:r>
          </w:p>
        </w:tc>
        <w:tc>
          <w:tcPr>
            <w:tcW w:w="759" w:type="dxa"/>
            <w:shd w:val="clear" w:color="auto" w:fill="auto"/>
            <w:noWrap/>
            <w:vAlign w:val="center"/>
            <w:hideMark/>
          </w:tcPr>
          <w:p w14:paraId="69230E8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519</w:t>
            </w:r>
          </w:p>
        </w:tc>
        <w:tc>
          <w:tcPr>
            <w:tcW w:w="759" w:type="dxa"/>
            <w:shd w:val="clear" w:color="auto" w:fill="auto"/>
            <w:noWrap/>
            <w:vAlign w:val="center"/>
            <w:hideMark/>
          </w:tcPr>
          <w:p w14:paraId="00F1013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527</w:t>
            </w:r>
          </w:p>
        </w:tc>
        <w:tc>
          <w:tcPr>
            <w:tcW w:w="759" w:type="dxa"/>
            <w:shd w:val="clear" w:color="auto" w:fill="auto"/>
            <w:noWrap/>
            <w:vAlign w:val="center"/>
            <w:hideMark/>
          </w:tcPr>
          <w:p w14:paraId="38C8B9A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535</w:t>
            </w:r>
          </w:p>
        </w:tc>
        <w:tc>
          <w:tcPr>
            <w:tcW w:w="759" w:type="dxa"/>
            <w:shd w:val="clear" w:color="auto" w:fill="auto"/>
            <w:noWrap/>
            <w:vAlign w:val="center"/>
            <w:hideMark/>
          </w:tcPr>
          <w:p w14:paraId="0788171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542</w:t>
            </w:r>
          </w:p>
        </w:tc>
        <w:tc>
          <w:tcPr>
            <w:tcW w:w="759" w:type="dxa"/>
            <w:shd w:val="clear" w:color="auto" w:fill="auto"/>
            <w:noWrap/>
            <w:vAlign w:val="center"/>
            <w:hideMark/>
          </w:tcPr>
          <w:p w14:paraId="0AEB7C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550</w:t>
            </w:r>
          </w:p>
        </w:tc>
        <w:tc>
          <w:tcPr>
            <w:tcW w:w="759" w:type="dxa"/>
            <w:shd w:val="clear" w:color="auto" w:fill="auto"/>
            <w:noWrap/>
            <w:vAlign w:val="center"/>
            <w:hideMark/>
          </w:tcPr>
          <w:p w14:paraId="071D4A4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558</w:t>
            </w:r>
          </w:p>
        </w:tc>
        <w:tc>
          <w:tcPr>
            <w:tcW w:w="759" w:type="dxa"/>
            <w:shd w:val="clear" w:color="auto" w:fill="auto"/>
            <w:noWrap/>
            <w:vAlign w:val="center"/>
            <w:hideMark/>
          </w:tcPr>
          <w:p w14:paraId="09B6998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565</w:t>
            </w:r>
          </w:p>
        </w:tc>
        <w:tc>
          <w:tcPr>
            <w:tcW w:w="759" w:type="dxa"/>
            <w:shd w:val="clear" w:color="auto" w:fill="auto"/>
            <w:noWrap/>
            <w:vAlign w:val="center"/>
            <w:hideMark/>
          </w:tcPr>
          <w:p w14:paraId="3D2C717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573</w:t>
            </w:r>
          </w:p>
        </w:tc>
        <w:tc>
          <w:tcPr>
            <w:tcW w:w="759" w:type="dxa"/>
            <w:shd w:val="clear" w:color="auto" w:fill="auto"/>
            <w:noWrap/>
            <w:vAlign w:val="center"/>
            <w:hideMark/>
          </w:tcPr>
          <w:p w14:paraId="6D09962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580</w:t>
            </w:r>
          </w:p>
        </w:tc>
        <w:tc>
          <w:tcPr>
            <w:tcW w:w="759" w:type="dxa"/>
            <w:shd w:val="clear" w:color="auto" w:fill="auto"/>
            <w:noWrap/>
            <w:vAlign w:val="center"/>
            <w:hideMark/>
          </w:tcPr>
          <w:p w14:paraId="23D251A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586</w:t>
            </w:r>
          </w:p>
        </w:tc>
        <w:tc>
          <w:tcPr>
            <w:tcW w:w="759" w:type="dxa"/>
            <w:shd w:val="clear" w:color="auto" w:fill="auto"/>
            <w:noWrap/>
            <w:vAlign w:val="center"/>
            <w:hideMark/>
          </w:tcPr>
          <w:p w14:paraId="5693345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593</w:t>
            </w:r>
          </w:p>
        </w:tc>
        <w:tc>
          <w:tcPr>
            <w:tcW w:w="759" w:type="dxa"/>
            <w:shd w:val="clear" w:color="auto" w:fill="auto"/>
            <w:noWrap/>
            <w:vAlign w:val="center"/>
            <w:hideMark/>
          </w:tcPr>
          <w:p w14:paraId="684B71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599</w:t>
            </w:r>
          </w:p>
        </w:tc>
        <w:tc>
          <w:tcPr>
            <w:tcW w:w="759" w:type="dxa"/>
            <w:shd w:val="clear" w:color="auto" w:fill="auto"/>
            <w:noWrap/>
            <w:vAlign w:val="center"/>
            <w:hideMark/>
          </w:tcPr>
          <w:p w14:paraId="314866A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605</w:t>
            </w:r>
          </w:p>
        </w:tc>
      </w:tr>
      <w:tr w:rsidR="002735B4" w:rsidRPr="00445472" w14:paraId="3CB2F3DB" w14:textId="77777777" w:rsidTr="002A1F08">
        <w:trPr>
          <w:trHeight w:val="255"/>
        </w:trPr>
        <w:tc>
          <w:tcPr>
            <w:tcW w:w="1101" w:type="dxa"/>
            <w:vMerge w:val="restart"/>
            <w:shd w:val="clear" w:color="auto" w:fill="auto"/>
            <w:vAlign w:val="center"/>
            <w:hideMark/>
          </w:tcPr>
          <w:p w14:paraId="00EB37DA" w14:textId="388C6B08"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Has U </w:t>
            </w:r>
            <w:r w:rsidR="00852D7A" w:rsidRPr="00445472">
              <w:rPr>
                <w:rFonts w:ascii="Garamond" w:hAnsi="Garamond"/>
                <w:sz w:val="15"/>
                <w:szCs w:val="15"/>
                <w:lang w:eastAsia="en-GB"/>
              </w:rPr>
              <w:t>sh.a.</w:t>
            </w:r>
          </w:p>
        </w:tc>
        <w:tc>
          <w:tcPr>
            <w:tcW w:w="1494" w:type="dxa"/>
            <w:shd w:val="clear" w:color="auto" w:fill="auto"/>
            <w:noWrap/>
            <w:vAlign w:val="center"/>
            <w:hideMark/>
          </w:tcPr>
          <w:p w14:paraId="5ACA5DCA"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Popullsia e Shërbyer</w:t>
            </w:r>
          </w:p>
        </w:tc>
        <w:tc>
          <w:tcPr>
            <w:tcW w:w="759" w:type="dxa"/>
            <w:shd w:val="clear" w:color="auto" w:fill="auto"/>
            <w:noWrap/>
            <w:vAlign w:val="center"/>
            <w:hideMark/>
          </w:tcPr>
          <w:p w14:paraId="207D060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8,919</w:t>
            </w:r>
          </w:p>
        </w:tc>
        <w:tc>
          <w:tcPr>
            <w:tcW w:w="759" w:type="dxa"/>
            <w:shd w:val="clear" w:color="auto" w:fill="auto"/>
            <w:noWrap/>
            <w:vAlign w:val="center"/>
            <w:hideMark/>
          </w:tcPr>
          <w:p w14:paraId="775DBC5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9,237</w:t>
            </w:r>
          </w:p>
        </w:tc>
        <w:tc>
          <w:tcPr>
            <w:tcW w:w="759" w:type="dxa"/>
            <w:shd w:val="clear" w:color="auto" w:fill="auto"/>
            <w:noWrap/>
            <w:vAlign w:val="center"/>
            <w:hideMark/>
          </w:tcPr>
          <w:p w14:paraId="621063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9,561</w:t>
            </w:r>
          </w:p>
        </w:tc>
        <w:tc>
          <w:tcPr>
            <w:tcW w:w="759" w:type="dxa"/>
            <w:shd w:val="clear" w:color="auto" w:fill="auto"/>
            <w:noWrap/>
            <w:vAlign w:val="center"/>
            <w:hideMark/>
          </w:tcPr>
          <w:p w14:paraId="29BF46B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9,891</w:t>
            </w:r>
          </w:p>
        </w:tc>
        <w:tc>
          <w:tcPr>
            <w:tcW w:w="759" w:type="dxa"/>
            <w:shd w:val="clear" w:color="auto" w:fill="auto"/>
            <w:noWrap/>
            <w:vAlign w:val="center"/>
            <w:hideMark/>
          </w:tcPr>
          <w:p w14:paraId="2A07981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10,227</w:t>
            </w:r>
          </w:p>
        </w:tc>
        <w:tc>
          <w:tcPr>
            <w:tcW w:w="759" w:type="dxa"/>
            <w:shd w:val="clear" w:color="auto" w:fill="auto"/>
            <w:noWrap/>
            <w:vAlign w:val="center"/>
            <w:hideMark/>
          </w:tcPr>
          <w:p w14:paraId="00638A0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10,570</w:t>
            </w:r>
          </w:p>
        </w:tc>
        <w:tc>
          <w:tcPr>
            <w:tcW w:w="759" w:type="dxa"/>
            <w:shd w:val="clear" w:color="auto" w:fill="auto"/>
            <w:noWrap/>
            <w:vAlign w:val="center"/>
            <w:hideMark/>
          </w:tcPr>
          <w:p w14:paraId="05B1BFF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10,920</w:t>
            </w:r>
          </w:p>
        </w:tc>
        <w:tc>
          <w:tcPr>
            <w:tcW w:w="759" w:type="dxa"/>
            <w:shd w:val="clear" w:color="auto" w:fill="auto"/>
            <w:noWrap/>
            <w:vAlign w:val="center"/>
            <w:hideMark/>
          </w:tcPr>
          <w:p w14:paraId="0F1E801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11,271</w:t>
            </w:r>
          </w:p>
        </w:tc>
        <w:tc>
          <w:tcPr>
            <w:tcW w:w="759" w:type="dxa"/>
            <w:shd w:val="clear" w:color="auto" w:fill="auto"/>
            <w:noWrap/>
            <w:vAlign w:val="center"/>
            <w:hideMark/>
          </w:tcPr>
          <w:p w14:paraId="2025936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11,623</w:t>
            </w:r>
          </w:p>
        </w:tc>
        <w:tc>
          <w:tcPr>
            <w:tcW w:w="759" w:type="dxa"/>
            <w:shd w:val="clear" w:color="auto" w:fill="auto"/>
            <w:noWrap/>
            <w:vAlign w:val="center"/>
            <w:hideMark/>
          </w:tcPr>
          <w:p w14:paraId="5C9529F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11,975</w:t>
            </w:r>
          </w:p>
        </w:tc>
        <w:tc>
          <w:tcPr>
            <w:tcW w:w="759" w:type="dxa"/>
            <w:shd w:val="clear" w:color="auto" w:fill="auto"/>
            <w:noWrap/>
            <w:vAlign w:val="center"/>
            <w:hideMark/>
          </w:tcPr>
          <w:p w14:paraId="6178438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12,327</w:t>
            </w:r>
          </w:p>
        </w:tc>
        <w:tc>
          <w:tcPr>
            <w:tcW w:w="759" w:type="dxa"/>
            <w:shd w:val="clear" w:color="auto" w:fill="auto"/>
            <w:noWrap/>
            <w:vAlign w:val="center"/>
            <w:hideMark/>
          </w:tcPr>
          <w:p w14:paraId="5DC49E1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12,678</w:t>
            </w:r>
          </w:p>
        </w:tc>
        <w:tc>
          <w:tcPr>
            <w:tcW w:w="759" w:type="dxa"/>
            <w:shd w:val="clear" w:color="auto" w:fill="auto"/>
            <w:noWrap/>
            <w:vAlign w:val="center"/>
            <w:hideMark/>
          </w:tcPr>
          <w:p w14:paraId="5AF29E3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13,027</w:t>
            </w:r>
          </w:p>
        </w:tc>
        <w:tc>
          <w:tcPr>
            <w:tcW w:w="759" w:type="dxa"/>
            <w:shd w:val="clear" w:color="auto" w:fill="auto"/>
            <w:noWrap/>
            <w:vAlign w:val="center"/>
            <w:hideMark/>
          </w:tcPr>
          <w:p w14:paraId="28ACA27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13,374</w:t>
            </w:r>
          </w:p>
        </w:tc>
        <w:tc>
          <w:tcPr>
            <w:tcW w:w="759" w:type="dxa"/>
            <w:shd w:val="clear" w:color="auto" w:fill="auto"/>
            <w:noWrap/>
            <w:vAlign w:val="center"/>
            <w:hideMark/>
          </w:tcPr>
          <w:p w14:paraId="01E153B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13,719</w:t>
            </w:r>
          </w:p>
        </w:tc>
        <w:tc>
          <w:tcPr>
            <w:tcW w:w="759" w:type="dxa"/>
            <w:shd w:val="clear" w:color="auto" w:fill="auto"/>
            <w:noWrap/>
            <w:vAlign w:val="center"/>
            <w:hideMark/>
          </w:tcPr>
          <w:p w14:paraId="3C55A54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14,062</w:t>
            </w:r>
          </w:p>
        </w:tc>
      </w:tr>
      <w:tr w:rsidR="002735B4" w:rsidRPr="00445472" w14:paraId="56752512" w14:textId="77777777" w:rsidTr="002A1F08">
        <w:trPr>
          <w:trHeight w:val="255"/>
        </w:trPr>
        <w:tc>
          <w:tcPr>
            <w:tcW w:w="1101" w:type="dxa"/>
            <w:vMerge/>
            <w:shd w:val="clear" w:color="auto" w:fill="auto"/>
            <w:vAlign w:val="center"/>
            <w:hideMark/>
          </w:tcPr>
          <w:p w14:paraId="3841FF96"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56F6EDF7"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5A13F9B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249</w:t>
            </w:r>
          </w:p>
        </w:tc>
        <w:tc>
          <w:tcPr>
            <w:tcW w:w="759" w:type="dxa"/>
            <w:shd w:val="clear" w:color="auto" w:fill="auto"/>
            <w:noWrap/>
            <w:vAlign w:val="center"/>
            <w:hideMark/>
          </w:tcPr>
          <w:p w14:paraId="4B5FCB4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263</w:t>
            </w:r>
          </w:p>
        </w:tc>
        <w:tc>
          <w:tcPr>
            <w:tcW w:w="759" w:type="dxa"/>
            <w:shd w:val="clear" w:color="auto" w:fill="auto"/>
            <w:noWrap/>
            <w:vAlign w:val="center"/>
            <w:hideMark/>
          </w:tcPr>
          <w:p w14:paraId="35064EE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278</w:t>
            </w:r>
          </w:p>
        </w:tc>
        <w:tc>
          <w:tcPr>
            <w:tcW w:w="759" w:type="dxa"/>
            <w:shd w:val="clear" w:color="auto" w:fill="auto"/>
            <w:noWrap/>
            <w:vAlign w:val="center"/>
            <w:hideMark/>
          </w:tcPr>
          <w:p w14:paraId="4E0E44F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293</w:t>
            </w:r>
          </w:p>
        </w:tc>
        <w:tc>
          <w:tcPr>
            <w:tcW w:w="759" w:type="dxa"/>
            <w:shd w:val="clear" w:color="auto" w:fill="auto"/>
            <w:noWrap/>
            <w:vAlign w:val="center"/>
            <w:hideMark/>
          </w:tcPr>
          <w:p w14:paraId="1478AF6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309</w:t>
            </w:r>
          </w:p>
        </w:tc>
        <w:tc>
          <w:tcPr>
            <w:tcW w:w="759" w:type="dxa"/>
            <w:shd w:val="clear" w:color="auto" w:fill="auto"/>
            <w:noWrap/>
            <w:vAlign w:val="center"/>
            <w:hideMark/>
          </w:tcPr>
          <w:p w14:paraId="74ED6C3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326</w:t>
            </w:r>
          </w:p>
        </w:tc>
        <w:tc>
          <w:tcPr>
            <w:tcW w:w="759" w:type="dxa"/>
            <w:shd w:val="clear" w:color="auto" w:fill="auto"/>
            <w:noWrap/>
            <w:vAlign w:val="center"/>
            <w:hideMark/>
          </w:tcPr>
          <w:p w14:paraId="535E42F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343</w:t>
            </w:r>
          </w:p>
        </w:tc>
        <w:tc>
          <w:tcPr>
            <w:tcW w:w="759" w:type="dxa"/>
            <w:shd w:val="clear" w:color="auto" w:fill="auto"/>
            <w:noWrap/>
            <w:vAlign w:val="center"/>
            <w:hideMark/>
          </w:tcPr>
          <w:p w14:paraId="623CD43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360</w:t>
            </w:r>
          </w:p>
        </w:tc>
        <w:tc>
          <w:tcPr>
            <w:tcW w:w="759" w:type="dxa"/>
            <w:shd w:val="clear" w:color="auto" w:fill="auto"/>
            <w:noWrap/>
            <w:vAlign w:val="center"/>
            <w:hideMark/>
          </w:tcPr>
          <w:p w14:paraId="52A699A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378</w:t>
            </w:r>
          </w:p>
        </w:tc>
        <w:tc>
          <w:tcPr>
            <w:tcW w:w="759" w:type="dxa"/>
            <w:shd w:val="clear" w:color="auto" w:fill="auto"/>
            <w:noWrap/>
            <w:vAlign w:val="center"/>
            <w:hideMark/>
          </w:tcPr>
          <w:p w14:paraId="5C605FD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396</w:t>
            </w:r>
          </w:p>
        </w:tc>
        <w:tc>
          <w:tcPr>
            <w:tcW w:w="759" w:type="dxa"/>
            <w:shd w:val="clear" w:color="auto" w:fill="auto"/>
            <w:noWrap/>
            <w:vAlign w:val="center"/>
            <w:hideMark/>
          </w:tcPr>
          <w:p w14:paraId="7848ED2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415</w:t>
            </w:r>
          </w:p>
        </w:tc>
        <w:tc>
          <w:tcPr>
            <w:tcW w:w="759" w:type="dxa"/>
            <w:shd w:val="clear" w:color="auto" w:fill="auto"/>
            <w:noWrap/>
            <w:vAlign w:val="center"/>
            <w:hideMark/>
          </w:tcPr>
          <w:p w14:paraId="20BFDB2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434</w:t>
            </w:r>
          </w:p>
        </w:tc>
        <w:tc>
          <w:tcPr>
            <w:tcW w:w="759" w:type="dxa"/>
            <w:shd w:val="clear" w:color="auto" w:fill="auto"/>
            <w:noWrap/>
            <w:vAlign w:val="center"/>
            <w:hideMark/>
          </w:tcPr>
          <w:p w14:paraId="7B4707C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453</w:t>
            </w:r>
          </w:p>
        </w:tc>
        <w:tc>
          <w:tcPr>
            <w:tcW w:w="759" w:type="dxa"/>
            <w:shd w:val="clear" w:color="auto" w:fill="auto"/>
            <w:noWrap/>
            <w:vAlign w:val="center"/>
            <w:hideMark/>
          </w:tcPr>
          <w:p w14:paraId="6F019E3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473</w:t>
            </w:r>
          </w:p>
        </w:tc>
        <w:tc>
          <w:tcPr>
            <w:tcW w:w="759" w:type="dxa"/>
            <w:shd w:val="clear" w:color="auto" w:fill="auto"/>
            <w:noWrap/>
            <w:vAlign w:val="center"/>
            <w:hideMark/>
          </w:tcPr>
          <w:p w14:paraId="2C1F0D2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493</w:t>
            </w:r>
          </w:p>
        </w:tc>
        <w:tc>
          <w:tcPr>
            <w:tcW w:w="759" w:type="dxa"/>
            <w:shd w:val="clear" w:color="auto" w:fill="auto"/>
            <w:noWrap/>
            <w:vAlign w:val="center"/>
            <w:hideMark/>
          </w:tcPr>
          <w:p w14:paraId="3E47758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513</w:t>
            </w:r>
          </w:p>
        </w:tc>
      </w:tr>
      <w:tr w:rsidR="002735B4" w:rsidRPr="00445472" w14:paraId="0DCCF6F2" w14:textId="77777777" w:rsidTr="002A1F08">
        <w:trPr>
          <w:trHeight w:val="255"/>
        </w:trPr>
        <w:tc>
          <w:tcPr>
            <w:tcW w:w="1101" w:type="dxa"/>
            <w:vMerge w:val="restart"/>
            <w:shd w:val="clear" w:color="auto" w:fill="auto"/>
            <w:vAlign w:val="center"/>
            <w:hideMark/>
          </w:tcPr>
          <w:p w14:paraId="671BF9A1" w14:textId="7056C4AD"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Kukës UK </w:t>
            </w:r>
            <w:r w:rsidR="00852D7A" w:rsidRPr="00445472">
              <w:rPr>
                <w:rFonts w:ascii="Garamond" w:hAnsi="Garamond"/>
                <w:sz w:val="15"/>
                <w:szCs w:val="15"/>
                <w:lang w:eastAsia="en-GB"/>
              </w:rPr>
              <w:t>sh.a.</w:t>
            </w:r>
          </w:p>
        </w:tc>
        <w:tc>
          <w:tcPr>
            <w:tcW w:w="1494" w:type="dxa"/>
            <w:shd w:val="clear" w:color="auto" w:fill="auto"/>
            <w:noWrap/>
            <w:vAlign w:val="center"/>
            <w:hideMark/>
          </w:tcPr>
          <w:p w14:paraId="37448A61"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Popullsia e Shërbyer</w:t>
            </w:r>
          </w:p>
        </w:tc>
        <w:tc>
          <w:tcPr>
            <w:tcW w:w="759" w:type="dxa"/>
            <w:shd w:val="clear" w:color="auto" w:fill="auto"/>
            <w:noWrap/>
            <w:vAlign w:val="center"/>
            <w:hideMark/>
          </w:tcPr>
          <w:p w14:paraId="5B7D6C8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39,993</w:t>
            </w:r>
          </w:p>
        </w:tc>
        <w:tc>
          <w:tcPr>
            <w:tcW w:w="759" w:type="dxa"/>
            <w:shd w:val="clear" w:color="auto" w:fill="auto"/>
            <w:noWrap/>
            <w:vAlign w:val="center"/>
            <w:hideMark/>
          </w:tcPr>
          <w:p w14:paraId="75B84C5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40,056</w:t>
            </w:r>
          </w:p>
        </w:tc>
        <w:tc>
          <w:tcPr>
            <w:tcW w:w="759" w:type="dxa"/>
            <w:shd w:val="clear" w:color="auto" w:fill="auto"/>
            <w:noWrap/>
            <w:vAlign w:val="center"/>
            <w:hideMark/>
          </w:tcPr>
          <w:p w14:paraId="3A56217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40,138</w:t>
            </w:r>
          </w:p>
        </w:tc>
        <w:tc>
          <w:tcPr>
            <w:tcW w:w="759" w:type="dxa"/>
            <w:shd w:val="clear" w:color="auto" w:fill="auto"/>
            <w:noWrap/>
            <w:vAlign w:val="center"/>
            <w:hideMark/>
          </w:tcPr>
          <w:p w14:paraId="154DB29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40,240</w:t>
            </w:r>
          </w:p>
        </w:tc>
        <w:tc>
          <w:tcPr>
            <w:tcW w:w="759" w:type="dxa"/>
            <w:shd w:val="clear" w:color="auto" w:fill="auto"/>
            <w:noWrap/>
            <w:vAlign w:val="center"/>
            <w:hideMark/>
          </w:tcPr>
          <w:p w14:paraId="60C7EED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40,360</w:t>
            </w:r>
          </w:p>
        </w:tc>
        <w:tc>
          <w:tcPr>
            <w:tcW w:w="759" w:type="dxa"/>
            <w:shd w:val="clear" w:color="auto" w:fill="auto"/>
            <w:noWrap/>
            <w:vAlign w:val="center"/>
            <w:hideMark/>
          </w:tcPr>
          <w:p w14:paraId="7123891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40,497</w:t>
            </w:r>
          </w:p>
        </w:tc>
        <w:tc>
          <w:tcPr>
            <w:tcW w:w="759" w:type="dxa"/>
            <w:shd w:val="clear" w:color="auto" w:fill="auto"/>
            <w:noWrap/>
            <w:vAlign w:val="center"/>
            <w:hideMark/>
          </w:tcPr>
          <w:p w14:paraId="7B4F64B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40,656</w:t>
            </w:r>
          </w:p>
        </w:tc>
        <w:tc>
          <w:tcPr>
            <w:tcW w:w="759" w:type="dxa"/>
            <w:shd w:val="clear" w:color="auto" w:fill="auto"/>
            <w:noWrap/>
            <w:vAlign w:val="center"/>
            <w:hideMark/>
          </w:tcPr>
          <w:p w14:paraId="2FD88CC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40,809</w:t>
            </w:r>
          </w:p>
        </w:tc>
        <w:tc>
          <w:tcPr>
            <w:tcW w:w="759" w:type="dxa"/>
            <w:shd w:val="clear" w:color="auto" w:fill="auto"/>
            <w:noWrap/>
            <w:vAlign w:val="center"/>
            <w:hideMark/>
          </w:tcPr>
          <w:p w14:paraId="219DEB0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40,957</w:t>
            </w:r>
          </w:p>
        </w:tc>
        <w:tc>
          <w:tcPr>
            <w:tcW w:w="759" w:type="dxa"/>
            <w:shd w:val="clear" w:color="auto" w:fill="auto"/>
            <w:noWrap/>
            <w:vAlign w:val="center"/>
            <w:hideMark/>
          </w:tcPr>
          <w:p w14:paraId="424EA75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41,098</w:t>
            </w:r>
          </w:p>
        </w:tc>
        <w:tc>
          <w:tcPr>
            <w:tcW w:w="759" w:type="dxa"/>
            <w:shd w:val="clear" w:color="auto" w:fill="auto"/>
            <w:noWrap/>
            <w:vAlign w:val="center"/>
            <w:hideMark/>
          </w:tcPr>
          <w:p w14:paraId="5E75893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41,230</w:t>
            </w:r>
          </w:p>
        </w:tc>
        <w:tc>
          <w:tcPr>
            <w:tcW w:w="759" w:type="dxa"/>
            <w:shd w:val="clear" w:color="auto" w:fill="auto"/>
            <w:noWrap/>
            <w:vAlign w:val="center"/>
            <w:hideMark/>
          </w:tcPr>
          <w:p w14:paraId="5E1EFFE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41,352</w:t>
            </w:r>
          </w:p>
        </w:tc>
        <w:tc>
          <w:tcPr>
            <w:tcW w:w="759" w:type="dxa"/>
            <w:shd w:val="clear" w:color="auto" w:fill="auto"/>
            <w:noWrap/>
            <w:vAlign w:val="center"/>
            <w:hideMark/>
          </w:tcPr>
          <w:p w14:paraId="664C9F8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41,464</w:t>
            </w:r>
          </w:p>
        </w:tc>
        <w:tc>
          <w:tcPr>
            <w:tcW w:w="759" w:type="dxa"/>
            <w:shd w:val="clear" w:color="auto" w:fill="auto"/>
            <w:noWrap/>
            <w:vAlign w:val="center"/>
            <w:hideMark/>
          </w:tcPr>
          <w:p w14:paraId="2490F0F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41,564</w:t>
            </w:r>
          </w:p>
        </w:tc>
        <w:tc>
          <w:tcPr>
            <w:tcW w:w="759" w:type="dxa"/>
            <w:shd w:val="clear" w:color="auto" w:fill="auto"/>
            <w:noWrap/>
            <w:vAlign w:val="center"/>
            <w:hideMark/>
          </w:tcPr>
          <w:p w14:paraId="6779BF7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41,653</w:t>
            </w:r>
          </w:p>
        </w:tc>
        <w:tc>
          <w:tcPr>
            <w:tcW w:w="759" w:type="dxa"/>
            <w:shd w:val="clear" w:color="auto" w:fill="auto"/>
            <w:noWrap/>
            <w:vAlign w:val="center"/>
            <w:hideMark/>
          </w:tcPr>
          <w:p w14:paraId="44B278B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41,729</w:t>
            </w:r>
          </w:p>
        </w:tc>
      </w:tr>
      <w:tr w:rsidR="002735B4" w:rsidRPr="00445472" w14:paraId="60292DB3" w14:textId="77777777" w:rsidTr="002A1F08">
        <w:trPr>
          <w:trHeight w:val="255"/>
        </w:trPr>
        <w:tc>
          <w:tcPr>
            <w:tcW w:w="1101" w:type="dxa"/>
            <w:vMerge/>
            <w:shd w:val="clear" w:color="auto" w:fill="auto"/>
            <w:noWrap/>
            <w:vAlign w:val="center"/>
            <w:hideMark/>
          </w:tcPr>
          <w:p w14:paraId="0B2A50D3" w14:textId="77777777" w:rsidR="002735B4" w:rsidRPr="00445472" w:rsidRDefault="002735B4" w:rsidP="002A1F08">
            <w:pPr>
              <w:spacing w:before="46" w:after="62"/>
              <w:jc w:val="right"/>
              <w:rPr>
                <w:rFonts w:ascii="Garamond" w:hAnsi="Garamond"/>
                <w:sz w:val="15"/>
                <w:szCs w:val="15"/>
                <w:lang w:eastAsia="en-GB"/>
              </w:rPr>
            </w:pPr>
          </w:p>
        </w:tc>
        <w:tc>
          <w:tcPr>
            <w:tcW w:w="1494" w:type="dxa"/>
            <w:shd w:val="clear" w:color="auto" w:fill="auto"/>
            <w:noWrap/>
            <w:vAlign w:val="center"/>
            <w:hideMark/>
          </w:tcPr>
          <w:p w14:paraId="716B56E3"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Konsumi vjetor i ujit. (m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3DF1310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789</w:t>
            </w:r>
          </w:p>
        </w:tc>
        <w:tc>
          <w:tcPr>
            <w:tcW w:w="759" w:type="dxa"/>
            <w:shd w:val="clear" w:color="auto" w:fill="auto"/>
            <w:noWrap/>
            <w:vAlign w:val="center"/>
            <w:hideMark/>
          </w:tcPr>
          <w:p w14:paraId="68F3EA2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835</w:t>
            </w:r>
          </w:p>
        </w:tc>
        <w:tc>
          <w:tcPr>
            <w:tcW w:w="759" w:type="dxa"/>
            <w:shd w:val="clear" w:color="auto" w:fill="auto"/>
            <w:noWrap/>
            <w:vAlign w:val="center"/>
            <w:hideMark/>
          </w:tcPr>
          <w:p w14:paraId="706BEFD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882</w:t>
            </w:r>
          </w:p>
        </w:tc>
        <w:tc>
          <w:tcPr>
            <w:tcW w:w="759" w:type="dxa"/>
            <w:shd w:val="clear" w:color="auto" w:fill="auto"/>
            <w:noWrap/>
            <w:vAlign w:val="center"/>
            <w:hideMark/>
          </w:tcPr>
          <w:p w14:paraId="77DC814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929</w:t>
            </w:r>
          </w:p>
        </w:tc>
        <w:tc>
          <w:tcPr>
            <w:tcW w:w="759" w:type="dxa"/>
            <w:shd w:val="clear" w:color="auto" w:fill="auto"/>
            <w:noWrap/>
            <w:vAlign w:val="center"/>
            <w:hideMark/>
          </w:tcPr>
          <w:p w14:paraId="6158D5A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977</w:t>
            </w:r>
          </w:p>
        </w:tc>
        <w:tc>
          <w:tcPr>
            <w:tcW w:w="759" w:type="dxa"/>
            <w:shd w:val="clear" w:color="auto" w:fill="auto"/>
            <w:noWrap/>
            <w:vAlign w:val="center"/>
            <w:hideMark/>
          </w:tcPr>
          <w:p w14:paraId="2809B63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1,025</w:t>
            </w:r>
          </w:p>
        </w:tc>
        <w:tc>
          <w:tcPr>
            <w:tcW w:w="759" w:type="dxa"/>
            <w:shd w:val="clear" w:color="auto" w:fill="auto"/>
            <w:noWrap/>
            <w:vAlign w:val="center"/>
            <w:hideMark/>
          </w:tcPr>
          <w:p w14:paraId="17A1606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1,075</w:t>
            </w:r>
          </w:p>
        </w:tc>
        <w:tc>
          <w:tcPr>
            <w:tcW w:w="759" w:type="dxa"/>
            <w:shd w:val="clear" w:color="auto" w:fill="auto"/>
            <w:noWrap/>
            <w:vAlign w:val="center"/>
            <w:hideMark/>
          </w:tcPr>
          <w:p w14:paraId="24FC679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1,125</w:t>
            </w:r>
          </w:p>
        </w:tc>
        <w:tc>
          <w:tcPr>
            <w:tcW w:w="759" w:type="dxa"/>
            <w:shd w:val="clear" w:color="auto" w:fill="auto"/>
            <w:noWrap/>
            <w:vAlign w:val="center"/>
            <w:hideMark/>
          </w:tcPr>
          <w:p w14:paraId="021F2F0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1,174</w:t>
            </w:r>
          </w:p>
        </w:tc>
        <w:tc>
          <w:tcPr>
            <w:tcW w:w="759" w:type="dxa"/>
            <w:shd w:val="clear" w:color="auto" w:fill="auto"/>
            <w:noWrap/>
            <w:vAlign w:val="center"/>
            <w:hideMark/>
          </w:tcPr>
          <w:p w14:paraId="015CD0B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1,224</w:t>
            </w:r>
          </w:p>
        </w:tc>
        <w:tc>
          <w:tcPr>
            <w:tcW w:w="759" w:type="dxa"/>
            <w:shd w:val="clear" w:color="auto" w:fill="auto"/>
            <w:noWrap/>
            <w:vAlign w:val="center"/>
            <w:hideMark/>
          </w:tcPr>
          <w:p w14:paraId="60C0429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1,274</w:t>
            </w:r>
          </w:p>
        </w:tc>
        <w:tc>
          <w:tcPr>
            <w:tcW w:w="759" w:type="dxa"/>
            <w:shd w:val="clear" w:color="auto" w:fill="auto"/>
            <w:noWrap/>
            <w:vAlign w:val="center"/>
            <w:hideMark/>
          </w:tcPr>
          <w:p w14:paraId="4AC7959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1,324</w:t>
            </w:r>
          </w:p>
        </w:tc>
        <w:tc>
          <w:tcPr>
            <w:tcW w:w="759" w:type="dxa"/>
            <w:shd w:val="clear" w:color="auto" w:fill="auto"/>
            <w:noWrap/>
            <w:vAlign w:val="center"/>
            <w:hideMark/>
          </w:tcPr>
          <w:p w14:paraId="65C2501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1,374</w:t>
            </w:r>
          </w:p>
        </w:tc>
        <w:tc>
          <w:tcPr>
            <w:tcW w:w="759" w:type="dxa"/>
            <w:shd w:val="clear" w:color="auto" w:fill="auto"/>
            <w:noWrap/>
            <w:vAlign w:val="center"/>
            <w:hideMark/>
          </w:tcPr>
          <w:p w14:paraId="6A876FD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1,424</w:t>
            </w:r>
          </w:p>
        </w:tc>
        <w:tc>
          <w:tcPr>
            <w:tcW w:w="759" w:type="dxa"/>
            <w:shd w:val="clear" w:color="auto" w:fill="auto"/>
            <w:noWrap/>
            <w:vAlign w:val="center"/>
            <w:hideMark/>
          </w:tcPr>
          <w:p w14:paraId="68D9D9F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1,474</w:t>
            </w:r>
          </w:p>
        </w:tc>
        <w:tc>
          <w:tcPr>
            <w:tcW w:w="759" w:type="dxa"/>
            <w:shd w:val="clear" w:color="auto" w:fill="auto"/>
            <w:noWrap/>
            <w:vAlign w:val="center"/>
            <w:hideMark/>
          </w:tcPr>
          <w:p w14:paraId="088B397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1,523</w:t>
            </w:r>
          </w:p>
        </w:tc>
      </w:tr>
      <w:tr w:rsidR="002735B4" w:rsidRPr="00445472" w14:paraId="18AAE4DD" w14:textId="77777777" w:rsidTr="002A1F08">
        <w:trPr>
          <w:trHeight w:val="255"/>
        </w:trPr>
        <w:tc>
          <w:tcPr>
            <w:tcW w:w="2595" w:type="dxa"/>
            <w:gridSpan w:val="2"/>
            <w:shd w:val="clear" w:color="auto" w:fill="auto"/>
            <w:noWrap/>
            <w:vAlign w:val="center"/>
            <w:hideMark/>
          </w:tcPr>
          <w:p w14:paraId="26CB1C32" w14:textId="37524162"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 xml:space="preserve">Popullsia e </w:t>
            </w:r>
            <w:r w:rsidR="00852D7A" w:rsidRPr="00445472">
              <w:rPr>
                <w:rFonts w:ascii="Garamond" w:hAnsi="Garamond"/>
                <w:b/>
                <w:bCs/>
                <w:sz w:val="15"/>
                <w:szCs w:val="15"/>
                <w:lang w:eastAsia="en-GB"/>
              </w:rPr>
              <w:t>shërbyer</w:t>
            </w:r>
          </w:p>
        </w:tc>
        <w:tc>
          <w:tcPr>
            <w:tcW w:w="759" w:type="dxa"/>
            <w:shd w:val="clear" w:color="auto" w:fill="auto"/>
            <w:noWrap/>
            <w:vAlign w:val="center"/>
            <w:hideMark/>
          </w:tcPr>
          <w:p w14:paraId="590580C8"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343,410</w:t>
            </w:r>
          </w:p>
        </w:tc>
        <w:tc>
          <w:tcPr>
            <w:tcW w:w="759" w:type="dxa"/>
            <w:shd w:val="clear" w:color="auto" w:fill="auto"/>
            <w:noWrap/>
            <w:vAlign w:val="center"/>
            <w:hideMark/>
          </w:tcPr>
          <w:p w14:paraId="432A5199"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351,840</w:t>
            </w:r>
          </w:p>
        </w:tc>
        <w:tc>
          <w:tcPr>
            <w:tcW w:w="759" w:type="dxa"/>
            <w:shd w:val="clear" w:color="auto" w:fill="auto"/>
            <w:noWrap/>
            <w:vAlign w:val="center"/>
            <w:hideMark/>
          </w:tcPr>
          <w:p w14:paraId="4989255C"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360,476</w:t>
            </w:r>
          </w:p>
        </w:tc>
        <w:tc>
          <w:tcPr>
            <w:tcW w:w="759" w:type="dxa"/>
            <w:shd w:val="clear" w:color="auto" w:fill="auto"/>
            <w:noWrap/>
            <w:vAlign w:val="center"/>
            <w:hideMark/>
          </w:tcPr>
          <w:p w14:paraId="2D6B1EE7"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369,321</w:t>
            </w:r>
          </w:p>
        </w:tc>
        <w:tc>
          <w:tcPr>
            <w:tcW w:w="759" w:type="dxa"/>
            <w:shd w:val="clear" w:color="auto" w:fill="auto"/>
            <w:noWrap/>
            <w:vAlign w:val="center"/>
            <w:hideMark/>
          </w:tcPr>
          <w:p w14:paraId="018D4DA7"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378,377</w:t>
            </w:r>
          </w:p>
        </w:tc>
        <w:tc>
          <w:tcPr>
            <w:tcW w:w="759" w:type="dxa"/>
            <w:shd w:val="clear" w:color="auto" w:fill="auto"/>
            <w:noWrap/>
            <w:vAlign w:val="center"/>
            <w:hideMark/>
          </w:tcPr>
          <w:p w14:paraId="24E8A8F5"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387,647</w:t>
            </w:r>
          </w:p>
        </w:tc>
        <w:tc>
          <w:tcPr>
            <w:tcW w:w="759" w:type="dxa"/>
            <w:shd w:val="clear" w:color="auto" w:fill="auto"/>
            <w:noWrap/>
            <w:vAlign w:val="center"/>
            <w:hideMark/>
          </w:tcPr>
          <w:p w14:paraId="0CA675B5"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397,173</w:t>
            </w:r>
          </w:p>
        </w:tc>
        <w:tc>
          <w:tcPr>
            <w:tcW w:w="759" w:type="dxa"/>
            <w:shd w:val="clear" w:color="auto" w:fill="auto"/>
            <w:noWrap/>
            <w:vAlign w:val="center"/>
            <w:hideMark/>
          </w:tcPr>
          <w:p w14:paraId="68FE504B"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406,720</w:t>
            </w:r>
          </w:p>
        </w:tc>
        <w:tc>
          <w:tcPr>
            <w:tcW w:w="759" w:type="dxa"/>
            <w:shd w:val="clear" w:color="auto" w:fill="auto"/>
            <w:noWrap/>
            <w:vAlign w:val="center"/>
            <w:hideMark/>
          </w:tcPr>
          <w:p w14:paraId="7F5B43E4"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416,267</w:t>
            </w:r>
          </w:p>
        </w:tc>
        <w:tc>
          <w:tcPr>
            <w:tcW w:w="759" w:type="dxa"/>
            <w:shd w:val="clear" w:color="auto" w:fill="auto"/>
            <w:noWrap/>
            <w:vAlign w:val="center"/>
            <w:hideMark/>
          </w:tcPr>
          <w:p w14:paraId="6B4886E6"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425,796</w:t>
            </w:r>
          </w:p>
        </w:tc>
        <w:tc>
          <w:tcPr>
            <w:tcW w:w="759" w:type="dxa"/>
            <w:shd w:val="clear" w:color="auto" w:fill="auto"/>
            <w:noWrap/>
            <w:vAlign w:val="center"/>
            <w:hideMark/>
          </w:tcPr>
          <w:p w14:paraId="586C162C"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435,290</w:t>
            </w:r>
          </w:p>
        </w:tc>
        <w:tc>
          <w:tcPr>
            <w:tcW w:w="759" w:type="dxa"/>
            <w:shd w:val="clear" w:color="auto" w:fill="auto"/>
            <w:noWrap/>
            <w:vAlign w:val="center"/>
            <w:hideMark/>
          </w:tcPr>
          <w:p w14:paraId="459B7020"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444,731</w:t>
            </w:r>
          </w:p>
        </w:tc>
        <w:tc>
          <w:tcPr>
            <w:tcW w:w="759" w:type="dxa"/>
            <w:shd w:val="clear" w:color="auto" w:fill="auto"/>
            <w:noWrap/>
            <w:vAlign w:val="center"/>
            <w:hideMark/>
          </w:tcPr>
          <w:p w14:paraId="772942CE"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454,103</w:t>
            </w:r>
          </w:p>
        </w:tc>
        <w:tc>
          <w:tcPr>
            <w:tcW w:w="759" w:type="dxa"/>
            <w:shd w:val="clear" w:color="auto" w:fill="auto"/>
            <w:noWrap/>
            <w:vAlign w:val="center"/>
            <w:hideMark/>
          </w:tcPr>
          <w:p w14:paraId="04F4C81C"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463,393</w:t>
            </w:r>
          </w:p>
        </w:tc>
        <w:tc>
          <w:tcPr>
            <w:tcW w:w="759" w:type="dxa"/>
            <w:shd w:val="clear" w:color="auto" w:fill="auto"/>
            <w:noWrap/>
            <w:vAlign w:val="center"/>
            <w:hideMark/>
          </w:tcPr>
          <w:p w14:paraId="3DAD839C"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472,587</w:t>
            </w:r>
          </w:p>
        </w:tc>
        <w:tc>
          <w:tcPr>
            <w:tcW w:w="759" w:type="dxa"/>
            <w:shd w:val="clear" w:color="auto" w:fill="auto"/>
            <w:noWrap/>
            <w:vAlign w:val="center"/>
            <w:hideMark/>
          </w:tcPr>
          <w:p w14:paraId="449EBC4E"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481,677</w:t>
            </w:r>
          </w:p>
        </w:tc>
      </w:tr>
      <w:tr w:rsidR="002735B4" w:rsidRPr="00445472" w14:paraId="6013991A" w14:textId="77777777" w:rsidTr="002A1F08">
        <w:trPr>
          <w:trHeight w:val="255"/>
        </w:trPr>
        <w:tc>
          <w:tcPr>
            <w:tcW w:w="2595" w:type="dxa"/>
            <w:gridSpan w:val="2"/>
            <w:shd w:val="clear" w:color="auto" w:fill="auto"/>
            <w:noWrap/>
            <w:vAlign w:val="center"/>
            <w:hideMark/>
          </w:tcPr>
          <w:p w14:paraId="6F1AB4AB"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Konsumi vjetor i ujit. (m</w:t>
            </w:r>
            <w:r w:rsidRPr="00445472">
              <w:rPr>
                <w:rFonts w:ascii="Garamond" w:hAnsi="Garamond"/>
                <w:b/>
                <w:bCs/>
                <w:sz w:val="15"/>
                <w:szCs w:val="15"/>
                <w:vertAlign w:val="superscript"/>
                <w:lang w:eastAsia="en-GB"/>
              </w:rPr>
              <w:t>3</w:t>
            </w:r>
            <w:r w:rsidRPr="00445472">
              <w:rPr>
                <w:rFonts w:ascii="Garamond" w:hAnsi="Garamond"/>
                <w:b/>
                <w:bCs/>
                <w:sz w:val="15"/>
                <w:szCs w:val="15"/>
                <w:lang w:eastAsia="en-GB"/>
              </w:rPr>
              <w:t>)</w:t>
            </w:r>
          </w:p>
        </w:tc>
        <w:tc>
          <w:tcPr>
            <w:tcW w:w="759" w:type="dxa"/>
            <w:shd w:val="clear" w:color="auto" w:fill="auto"/>
            <w:noWrap/>
            <w:vAlign w:val="center"/>
            <w:hideMark/>
          </w:tcPr>
          <w:p w14:paraId="6E9201C6"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10,152</w:t>
            </w:r>
          </w:p>
        </w:tc>
        <w:tc>
          <w:tcPr>
            <w:tcW w:w="759" w:type="dxa"/>
            <w:shd w:val="clear" w:color="auto" w:fill="auto"/>
            <w:noWrap/>
            <w:vAlign w:val="center"/>
            <w:hideMark/>
          </w:tcPr>
          <w:p w14:paraId="725AFA4B"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10,665</w:t>
            </w:r>
          </w:p>
        </w:tc>
        <w:tc>
          <w:tcPr>
            <w:tcW w:w="759" w:type="dxa"/>
            <w:shd w:val="clear" w:color="auto" w:fill="auto"/>
            <w:noWrap/>
            <w:vAlign w:val="center"/>
            <w:hideMark/>
          </w:tcPr>
          <w:p w14:paraId="274108B5"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11,178</w:t>
            </w:r>
          </w:p>
        </w:tc>
        <w:tc>
          <w:tcPr>
            <w:tcW w:w="759" w:type="dxa"/>
            <w:shd w:val="clear" w:color="auto" w:fill="auto"/>
            <w:noWrap/>
            <w:vAlign w:val="center"/>
            <w:hideMark/>
          </w:tcPr>
          <w:p w14:paraId="04F7CC2B"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11,691</w:t>
            </w:r>
          </w:p>
        </w:tc>
        <w:tc>
          <w:tcPr>
            <w:tcW w:w="759" w:type="dxa"/>
            <w:shd w:val="clear" w:color="auto" w:fill="auto"/>
            <w:noWrap/>
            <w:vAlign w:val="center"/>
            <w:hideMark/>
          </w:tcPr>
          <w:p w14:paraId="31603AE1"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12,205</w:t>
            </w:r>
          </w:p>
        </w:tc>
        <w:tc>
          <w:tcPr>
            <w:tcW w:w="759" w:type="dxa"/>
            <w:shd w:val="clear" w:color="auto" w:fill="auto"/>
            <w:noWrap/>
            <w:vAlign w:val="center"/>
            <w:hideMark/>
          </w:tcPr>
          <w:p w14:paraId="53BF987D"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12,721</w:t>
            </w:r>
          </w:p>
        </w:tc>
        <w:tc>
          <w:tcPr>
            <w:tcW w:w="759" w:type="dxa"/>
            <w:shd w:val="clear" w:color="auto" w:fill="auto"/>
            <w:noWrap/>
            <w:vAlign w:val="center"/>
            <w:hideMark/>
          </w:tcPr>
          <w:p w14:paraId="7849C993"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13,239</w:t>
            </w:r>
          </w:p>
        </w:tc>
        <w:tc>
          <w:tcPr>
            <w:tcW w:w="759" w:type="dxa"/>
            <w:shd w:val="clear" w:color="auto" w:fill="auto"/>
            <w:noWrap/>
            <w:vAlign w:val="center"/>
            <w:hideMark/>
          </w:tcPr>
          <w:p w14:paraId="41C70842"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13,752</w:t>
            </w:r>
          </w:p>
        </w:tc>
        <w:tc>
          <w:tcPr>
            <w:tcW w:w="759" w:type="dxa"/>
            <w:shd w:val="clear" w:color="auto" w:fill="auto"/>
            <w:noWrap/>
            <w:vAlign w:val="center"/>
            <w:hideMark/>
          </w:tcPr>
          <w:p w14:paraId="0B94AF8F"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14,259</w:t>
            </w:r>
          </w:p>
        </w:tc>
        <w:tc>
          <w:tcPr>
            <w:tcW w:w="759" w:type="dxa"/>
            <w:shd w:val="clear" w:color="auto" w:fill="auto"/>
            <w:noWrap/>
            <w:vAlign w:val="center"/>
            <w:hideMark/>
          </w:tcPr>
          <w:p w14:paraId="621FC3C9"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14,760</w:t>
            </w:r>
          </w:p>
        </w:tc>
        <w:tc>
          <w:tcPr>
            <w:tcW w:w="759" w:type="dxa"/>
            <w:shd w:val="clear" w:color="auto" w:fill="auto"/>
            <w:noWrap/>
            <w:vAlign w:val="center"/>
            <w:hideMark/>
          </w:tcPr>
          <w:p w14:paraId="77A6D0C1"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15,253</w:t>
            </w:r>
          </w:p>
        </w:tc>
        <w:tc>
          <w:tcPr>
            <w:tcW w:w="759" w:type="dxa"/>
            <w:shd w:val="clear" w:color="auto" w:fill="auto"/>
            <w:noWrap/>
            <w:vAlign w:val="center"/>
            <w:hideMark/>
          </w:tcPr>
          <w:p w14:paraId="55A37B0A"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15,738</w:t>
            </w:r>
          </w:p>
        </w:tc>
        <w:tc>
          <w:tcPr>
            <w:tcW w:w="759" w:type="dxa"/>
            <w:shd w:val="clear" w:color="auto" w:fill="auto"/>
            <w:noWrap/>
            <w:vAlign w:val="center"/>
            <w:hideMark/>
          </w:tcPr>
          <w:p w14:paraId="7BB42371"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16,214</w:t>
            </w:r>
          </w:p>
        </w:tc>
        <w:tc>
          <w:tcPr>
            <w:tcW w:w="759" w:type="dxa"/>
            <w:shd w:val="clear" w:color="auto" w:fill="auto"/>
            <w:noWrap/>
            <w:vAlign w:val="center"/>
            <w:hideMark/>
          </w:tcPr>
          <w:p w14:paraId="48C0AD12"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16,680</w:t>
            </w:r>
          </w:p>
        </w:tc>
        <w:tc>
          <w:tcPr>
            <w:tcW w:w="759" w:type="dxa"/>
            <w:shd w:val="clear" w:color="auto" w:fill="auto"/>
            <w:noWrap/>
            <w:vAlign w:val="center"/>
            <w:hideMark/>
          </w:tcPr>
          <w:p w14:paraId="22BC71AB"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17,136</w:t>
            </w:r>
          </w:p>
        </w:tc>
        <w:tc>
          <w:tcPr>
            <w:tcW w:w="759" w:type="dxa"/>
            <w:shd w:val="clear" w:color="auto" w:fill="auto"/>
            <w:noWrap/>
            <w:vAlign w:val="center"/>
            <w:hideMark/>
          </w:tcPr>
          <w:p w14:paraId="326176B4"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17,581</w:t>
            </w:r>
          </w:p>
        </w:tc>
      </w:tr>
      <w:tr w:rsidR="002735B4" w:rsidRPr="00445472" w14:paraId="7C971267" w14:textId="77777777" w:rsidTr="002A1F08">
        <w:trPr>
          <w:trHeight w:val="255"/>
        </w:trPr>
        <w:tc>
          <w:tcPr>
            <w:tcW w:w="14739" w:type="dxa"/>
            <w:gridSpan w:val="18"/>
            <w:shd w:val="clear" w:color="auto" w:fill="F2F2F2"/>
            <w:vAlign w:val="center"/>
          </w:tcPr>
          <w:p w14:paraId="6AE55FBF"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b/>
                <w:sz w:val="15"/>
                <w:szCs w:val="15"/>
                <w:lang w:eastAsia="en-GB"/>
              </w:rPr>
              <w:t>Konsumi i ujit institucional dhe industrial (IKI)</w:t>
            </w:r>
          </w:p>
        </w:tc>
      </w:tr>
      <w:tr w:rsidR="002735B4" w:rsidRPr="00445472" w14:paraId="10208787" w14:textId="77777777" w:rsidTr="002A1F08">
        <w:trPr>
          <w:trHeight w:val="255"/>
        </w:trPr>
        <w:tc>
          <w:tcPr>
            <w:tcW w:w="1101" w:type="dxa"/>
            <w:shd w:val="clear" w:color="auto" w:fill="auto"/>
            <w:vAlign w:val="center"/>
            <w:hideMark/>
          </w:tcPr>
          <w:p w14:paraId="4AA9E889"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Bashkia Pukë UK</w:t>
            </w:r>
          </w:p>
        </w:tc>
        <w:tc>
          <w:tcPr>
            <w:tcW w:w="1494" w:type="dxa"/>
            <w:shd w:val="clear" w:color="auto" w:fill="auto"/>
            <w:noWrap/>
            <w:vAlign w:val="center"/>
            <w:hideMark/>
          </w:tcPr>
          <w:p w14:paraId="734AB7FE"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14817E8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46DF4F8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7FFA525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4134E5B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255C58F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62CD04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6E3BDC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097939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0A95527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1D8A7F3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654054B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6FFE356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0654DE6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00E60C9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147D9C2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c>
          <w:tcPr>
            <w:tcW w:w="759" w:type="dxa"/>
            <w:shd w:val="clear" w:color="auto" w:fill="auto"/>
            <w:noWrap/>
            <w:vAlign w:val="center"/>
            <w:hideMark/>
          </w:tcPr>
          <w:p w14:paraId="31DD415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27</w:t>
            </w:r>
          </w:p>
        </w:tc>
      </w:tr>
      <w:tr w:rsidR="002735B4" w:rsidRPr="00445472" w14:paraId="771F5991" w14:textId="77777777" w:rsidTr="002A1F08">
        <w:trPr>
          <w:trHeight w:val="255"/>
        </w:trPr>
        <w:tc>
          <w:tcPr>
            <w:tcW w:w="1101" w:type="dxa"/>
            <w:shd w:val="clear" w:color="auto" w:fill="auto"/>
            <w:vAlign w:val="center"/>
            <w:hideMark/>
          </w:tcPr>
          <w:p w14:paraId="4AFC0ADD" w14:textId="51BFAE4C" w:rsidR="002735B4" w:rsidRPr="00445472" w:rsidRDefault="00D67757" w:rsidP="002A1F08">
            <w:pPr>
              <w:spacing w:before="46" w:after="62"/>
              <w:rPr>
                <w:rFonts w:ascii="Garamond" w:hAnsi="Garamond"/>
                <w:sz w:val="15"/>
                <w:szCs w:val="15"/>
                <w:lang w:eastAsia="en-GB"/>
              </w:rPr>
            </w:pPr>
            <w:r w:rsidRPr="00445472">
              <w:rPr>
                <w:rFonts w:ascii="Garamond" w:hAnsi="Garamond"/>
                <w:sz w:val="15"/>
                <w:szCs w:val="15"/>
                <w:lang w:eastAsia="en-GB"/>
              </w:rPr>
              <w:t xml:space="preserve">Vau i Dejës </w:t>
            </w:r>
            <w:r w:rsidR="002735B4" w:rsidRPr="00445472">
              <w:rPr>
                <w:rFonts w:ascii="Garamond" w:hAnsi="Garamond"/>
                <w:sz w:val="15"/>
                <w:szCs w:val="15"/>
                <w:lang w:eastAsia="en-GB"/>
              </w:rPr>
              <w:t xml:space="preserve"> U </w:t>
            </w:r>
            <w:r w:rsidR="00852D7A" w:rsidRPr="00445472">
              <w:rPr>
                <w:rFonts w:ascii="Garamond" w:hAnsi="Garamond"/>
                <w:sz w:val="15"/>
                <w:szCs w:val="15"/>
                <w:lang w:eastAsia="en-GB"/>
              </w:rPr>
              <w:t>sh.a.</w:t>
            </w:r>
          </w:p>
        </w:tc>
        <w:tc>
          <w:tcPr>
            <w:tcW w:w="1494" w:type="dxa"/>
            <w:shd w:val="clear" w:color="auto" w:fill="auto"/>
            <w:noWrap/>
            <w:vAlign w:val="center"/>
            <w:hideMark/>
          </w:tcPr>
          <w:p w14:paraId="4239A70D"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38CA68F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48291A3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6BDF144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6818F9D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2136CE6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4E984E6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4405C11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2BCD046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732F42C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7721B83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63A3F8D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248EC74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14806B0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1D95C84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163107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c>
          <w:tcPr>
            <w:tcW w:w="759" w:type="dxa"/>
            <w:shd w:val="clear" w:color="auto" w:fill="auto"/>
            <w:noWrap/>
            <w:vAlign w:val="center"/>
            <w:hideMark/>
          </w:tcPr>
          <w:p w14:paraId="71EB9E2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w:t>
            </w:r>
          </w:p>
        </w:tc>
      </w:tr>
      <w:tr w:rsidR="002735B4" w:rsidRPr="00445472" w14:paraId="6B750C61" w14:textId="77777777" w:rsidTr="002A1F08">
        <w:trPr>
          <w:trHeight w:val="255"/>
        </w:trPr>
        <w:tc>
          <w:tcPr>
            <w:tcW w:w="1101" w:type="dxa"/>
            <w:shd w:val="clear" w:color="auto" w:fill="auto"/>
            <w:vAlign w:val="center"/>
            <w:hideMark/>
          </w:tcPr>
          <w:p w14:paraId="08BC0564" w14:textId="3B46FDD4"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Tropojë U </w:t>
            </w:r>
            <w:r w:rsidR="00852D7A" w:rsidRPr="00445472">
              <w:rPr>
                <w:rFonts w:ascii="Garamond" w:hAnsi="Garamond"/>
                <w:sz w:val="15"/>
                <w:szCs w:val="15"/>
                <w:lang w:eastAsia="en-GB"/>
              </w:rPr>
              <w:t>sh.a.</w:t>
            </w:r>
          </w:p>
        </w:tc>
        <w:tc>
          <w:tcPr>
            <w:tcW w:w="1494" w:type="dxa"/>
            <w:shd w:val="clear" w:color="auto" w:fill="auto"/>
            <w:noWrap/>
            <w:vAlign w:val="center"/>
            <w:hideMark/>
          </w:tcPr>
          <w:p w14:paraId="30278E98"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789618B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313EE08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5437550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69C504A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464FFC6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059268F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5CD2718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105A03B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684C40E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50624F6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668C334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2B98DC8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224FF7F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70E7791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7B1C7AE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c>
          <w:tcPr>
            <w:tcW w:w="759" w:type="dxa"/>
            <w:shd w:val="clear" w:color="auto" w:fill="auto"/>
            <w:noWrap/>
            <w:vAlign w:val="center"/>
            <w:hideMark/>
          </w:tcPr>
          <w:p w14:paraId="0EA5031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56</w:t>
            </w:r>
          </w:p>
        </w:tc>
      </w:tr>
      <w:tr w:rsidR="002735B4" w:rsidRPr="00445472" w14:paraId="7D325FA5" w14:textId="77777777" w:rsidTr="002A1F08">
        <w:trPr>
          <w:trHeight w:val="255"/>
        </w:trPr>
        <w:tc>
          <w:tcPr>
            <w:tcW w:w="1101" w:type="dxa"/>
            <w:shd w:val="clear" w:color="auto" w:fill="auto"/>
            <w:vAlign w:val="center"/>
            <w:hideMark/>
          </w:tcPr>
          <w:p w14:paraId="0468E2D2" w14:textId="39AAE9EF"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Lezhë UK </w:t>
            </w:r>
            <w:r w:rsidR="00852D7A" w:rsidRPr="00445472">
              <w:rPr>
                <w:rFonts w:ascii="Garamond" w:hAnsi="Garamond"/>
                <w:sz w:val="15"/>
                <w:szCs w:val="15"/>
                <w:lang w:eastAsia="en-GB"/>
              </w:rPr>
              <w:t>sh.a.</w:t>
            </w:r>
          </w:p>
        </w:tc>
        <w:tc>
          <w:tcPr>
            <w:tcW w:w="1494" w:type="dxa"/>
            <w:shd w:val="clear" w:color="auto" w:fill="auto"/>
            <w:noWrap/>
            <w:vAlign w:val="center"/>
            <w:hideMark/>
          </w:tcPr>
          <w:p w14:paraId="46D25640"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0E43A56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542E07B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04EAA50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38CA34E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405BFAE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23B43A5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542FFD9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501F803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63867DF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399B719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1B61167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76A82CB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2CC980D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49608FD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187B463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c>
          <w:tcPr>
            <w:tcW w:w="759" w:type="dxa"/>
            <w:shd w:val="clear" w:color="auto" w:fill="auto"/>
            <w:noWrap/>
            <w:vAlign w:val="center"/>
            <w:hideMark/>
          </w:tcPr>
          <w:p w14:paraId="4C4138F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218</w:t>
            </w:r>
          </w:p>
        </w:tc>
      </w:tr>
      <w:tr w:rsidR="002735B4" w:rsidRPr="00445472" w14:paraId="0B8C94CD" w14:textId="77777777" w:rsidTr="002A1F08">
        <w:trPr>
          <w:trHeight w:val="255"/>
        </w:trPr>
        <w:tc>
          <w:tcPr>
            <w:tcW w:w="1101" w:type="dxa"/>
            <w:shd w:val="clear" w:color="auto" w:fill="auto"/>
            <w:vAlign w:val="center"/>
            <w:hideMark/>
          </w:tcPr>
          <w:p w14:paraId="108C44F1" w14:textId="6CCCEB7E"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Pogradec UK </w:t>
            </w:r>
            <w:r w:rsidR="00852D7A" w:rsidRPr="00445472">
              <w:rPr>
                <w:rFonts w:ascii="Garamond" w:hAnsi="Garamond"/>
                <w:sz w:val="15"/>
                <w:szCs w:val="15"/>
                <w:lang w:eastAsia="en-GB"/>
              </w:rPr>
              <w:t>sh.a.</w:t>
            </w:r>
          </w:p>
        </w:tc>
        <w:tc>
          <w:tcPr>
            <w:tcW w:w="1494" w:type="dxa"/>
            <w:shd w:val="clear" w:color="auto" w:fill="auto"/>
            <w:noWrap/>
            <w:vAlign w:val="center"/>
            <w:hideMark/>
          </w:tcPr>
          <w:p w14:paraId="703D78BC"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014DC46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1F75547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7335AB3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6CF6A12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4C92407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21C1197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07F9943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0CB8A4A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22907E5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1C4CB9B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467E361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72EEE80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52491BA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59B7BDD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78FB0D4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c>
          <w:tcPr>
            <w:tcW w:w="759" w:type="dxa"/>
            <w:shd w:val="clear" w:color="auto" w:fill="auto"/>
            <w:noWrap/>
            <w:vAlign w:val="center"/>
            <w:hideMark/>
          </w:tcPr>
          <w:p w14:paraId="5239B97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154</w:t>
            </w:r>
          </w:p>
        </w:tc>
      </w:tr>
      <w:tr w:rsidR="002735B4" w:rsidRPr="00445472" w14:paraId="6C98B7A4" w14:textId="77777777" w:rsidTr="002A1F08">
        <w:trPr>
          <w:trHeight w:val="255"/>
        </w:trPr>
        <w:tc>
          <w:tcPr>
            <w:tcW w:w="1101" w:type="dxa"/>
            <w:shd w:val="clear" w:color="auto" w:fill="auto"/>
            <w:vAlign w:val="center"/>
            <w:hideMark/>
          </w:tcPr>
          <w:p w14:paraId="2B35210A" w14:textId="1402F36E"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Shkodër UK </w:t>
            </w:r>
            <w:r w:rsidR="00852D7A" w:rsidRPr="00445472">
              <w:rPr>
                <w:rFonts w:ascii="Garamond" w:hAnsi="Garamond"/>
                <w:sz w:val="15"/>
                <w:szCs w:val="15"/>
                <w:lang w:eastAsia="en-GB"/>
              </w:rPr>
              <w:t>sh.a.</w:t>
            </w:r>
          </w:p>
        </w:tc>
        <w:tc>
          <w:tcPr>
            <w:tcW w:w="1494" w:type="dxa"/>
            <w:shd w:val="clear" w:color="auto" w:fill="auto"/>
            <w:noWrap/>
            <w:vAlign w:val="center"/>
            <w:hideMark/>
          </w:tcPr>
          <w:p w14:paraId="304148B0"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538E496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14A3AB0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65E3CEA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6F7BCA9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7B17C83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5A69ADC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233D124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78F3C75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3B34789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6702A35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6B41888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4C1EFB1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5B941BD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5BFCE98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109906B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c>
          <w:tcPr>
            <w:tcW w:w="759" w:type="dxa"/>
            <w:shd w:val="clear" w:color="auto" w:fill="auto"/>
            <w:noWrap/>
            <w:vAlign w:val="center"/>
            <w:hideMark/>
          </w:tcPr>
          <w:p w14:paraId="59A3664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522</w:t>
            </w:r>
          </w:p>
        </w:tc>
      </w:tr>
      <w:tr w:rsidR="002735B4" w:rsidRPr="00445472" w14:paraId="7525703E" w14:textId="77777777" w:rsidTr="002A1F08">
        <w:trPr>
          <w:trHeight w:val="255"/>
        </w:trPr>
        <w:tc>
          <w:tcPr>
            <w:tcW w:w="1101" w:type="dxa"/>
            <w:shd w:val="clear" w:color="auto" w:fill="auto"/>
            <w:vAlign w:val="center"/>
            <w:hideMark/>
          </w:tcPr>
          <w:p w14:paraId="39CA11B4"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Pukë fshat</w:t>
            </w:r>
          </w:p>
        </w:tc>
        <w:tc>
          <w:tcPr>
            <w:tcW w:w="1494" w:type="dxa"/>
            <w:shd w:val="clear" w:color="auto" w:fill="auto"/>
            <w:noWrap/>
            <w:vAlign w:val="center"/>
            <w:hideMark/>
          </w:tcPr>
          <w:p w14:paraId="1815FB70"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1E5BB16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3EB0D13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205647C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290C644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5B6EC59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439FF41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6A652C2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465C3E7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5BD55B0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231323A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304B389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50C62BC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5D89687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7B79D0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0B36655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c>
          <w:tcPr>
            <w:tcW w:w="759" w:type="dxa"/>
            <w:shd w:val="clear" w:color="auto" w:fill="auto"/>
            <w:noWrap/>
            <w:vAlign w:val="center"/>
            <w:hideMark/>
          </w:tcPr>
          <w:p w14:paraId="40D98DE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w:t>
            </w:r>
          </w:p>
        </w:tc>
      </w:tr>
      <w:tr w:rsidR="002735B4" w:rsidRPr="00445472" w14:paraId="39900DE4" w14:textId="77777777" w:rsidTr="002A1F08">
        <w:trPr>
          <w:trHeight w:val="255"/>
        </w:trPr>
        <w:tc>
          <w:tcPr>
            <w:tcW w:w="1101" w:type="dxa"/>
            <w:shd w:val="clear" w:color="auto" w:fill="auto"/>
            <w:vAlign w:val="center"/>
            <w:hideMark/>
          </w:tcPr>
          <w:p w14:paraId="384FE380" w14:textId="15E7172E"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Shkodër (F) U </w:t>
            </w:r>
            <w:r w:rsidR="00852D7A" w:rsidRPr="00445472">
              <w:rPr>
                <w:rFonts w:ascii="Garamond" w:hAnsi="Garamond"/>
                <w:sz w:val="15"/>
                <w:szCs w:val="15"/>
                <w:lang w:eastAsia="en-GB"/>
              </w:rPr>
              <w:t>sh.a.</w:t>
            </w:r>
          </w:p>
        </w:tc>
        <w:tc>
          <w:tcPr>
            <w:tcW w:w="1494" w:type="dxa"/>
            <w:shd w:val="clear" w:color="auto" w:fill="auto"/>
            <w:noWrap/>
            <w:vAlign w:val="center"/>
            <w:hideMark/>
          </w:tcPr>
          <w:p w14:paraId="6BD76B68"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424060A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3AC9BC4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68485A5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3ABF7D9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5F41376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63F87EA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4F1FCA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11BB7BE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608DB3B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37339EE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5263418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44D5DAC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5B37762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79BCE99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5F5B53B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4DA7CDD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r>
      <w:tr w:rsidR="002735B4" w:rsidRPr="00445472" w14:paraId="2E37F845" w14:textId="77777777" w:rsidTr="002A1F08">
        <w:trPr>
          <w:trHeight w:val="255"/>
        </w:trPr>
        <w:tc>
          <w:tcPr>
            <w:tcW w:w="1101" w:type="dxa"/>
            <w:shd w:val="clear" w:color="auto" w:fill="auto"/>
            <w:vAlign w:val="center"/>
            <w:hideMark/>
          </w:tcPr>
          <w:p w14:paraId="6671AF6E" w14:textId="38981A7F" w:rsidR="002735B4" w:rsidRPr="00445472" w:rsidRDefault="00852D7A" w:rsidP="002A1F08">
            <w:pPr>
              <w:spacing w:before="46" w:after="62"/>
              <w:rPr>
                <w:rFonts w:ascii="Garamond" w:hAnsi="Garamond"/>
                <w:sz w:val="15"/>
                <w:szCs w:val="15"/>
                <w:lang w:eastAsia="en-GB"/>
              </w:rPr>
            </w:pPr>
            <w:r w:rsidRPr="00445472">
              <w:rPr>
                <w:rFonts w:ascii="Garamond" w:hAnsi="Garamond"/>
                <w:sz w:val="15"/>
                <w:szCs w:val="15"/>
                <w:lang w:eastAsia="en-GB"/>
              </w:rPr>
              <w:t xml:space="preserve">Fushë-Arrëz </w:t>
            </w:r>
            <w:r w:rsidR="002735B4" w:rsidRPr="00445472">
              <w:rPr>
                <w:rFonts w:ascii="Garamond" w:hAnsi="Garamond"/>
                <w:sz w:val="15"/>
                <w:szCs w:val="15"/>
                <w:lang w:eastAsia="en-GB"/>
              </w:rPr>
              <w:t xml:space="preserve"> UK </w:t>
            </w:r>
            <w:r w:rsidRPr="00445472">
              <w:rPr>
                <w:rFonts w:ascii="Garamond" w:hAnsi="Garamond"/>
                <w:sz w:val="15"/>
                <w:szCs w:val="15"/>
                <w:lang w:eastAsia="en-GB"/>
              </w:rPr>
              <w:t>sh.a.</w:t>
            </w:r>
          </w:p>
        </w:tc>
        <w:tc>
          <w:tcPr>
            <w:tcW w:w="1494" w:type="dxa"/>
            <w:shd w:val="clear" w:color="auto" w:fill="auto"/>
            <w:noWrap/>
            <w:vAlign w:val="center"/>
            <w:hideMark/>
          </w:tcPr>
          <w:p w14:paraId="3263F35E"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3F7C1FE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17E1016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2E001C3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5546781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0B79E09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5DAA2A0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641BC76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18BCB6D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1ABF57C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399863C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2638E9B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706AE73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5034619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04901A5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274F88E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c>
          <w:tcPr>
            <w:tcW w:w="759" w:type="dxa"/>
            <w:shd w:val="clear" w:color="auto" w:fill="auto"/>
            <w:noWrap/>
            <w:vAlign w:val="center"/>
            <w:hideMark/>
          </w:tcPr>
          <w:p w14:paraId="31448F3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16</w:t>
            </w:r>
          </w:p>
        </w:tc>
      </w:tr>
      <w:tr w:rsidR="002735B4" w:rsidRPr="00445472" w14:paraId="7BD1F39A" w14:textId="77777777" w:rsidTr="002A1F08">
        <w:trPr>
          <w:trHeight w:val="255"/>
        </w:trPr>
        <w:tc>
          <w:tcPr>
            <w:tcW w:w="1101" w:type="dxa"/>
            <w:shd w:val="clear" w:color="auto" w:fill="auto"/>
            <w:vAlign w:val="center"/>
            <w:hideMark/>
          </w:tcPr>
          <w:p w14:paraId="343C3221" w14:textId="6CD7EC48"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Librazhd UK </w:t>
            </w:r>
            <w:r w:rsidR="00852D7A" w:rsidRPr="00445472">
              <w:rPr>
                <w:rFonts w:ascii="Garamond" w:hAnsi="Garamond"/>
                <w:sz w:val="15"/>
                <w:szCs w:val="15"/>
                <w:lang w:eastAsia="en-GB"/>
              </w:rPr>
              <w:t>sh.a.</w:t>
            </w:r>
          </w:p>
        </w:tc>
        <w:tc>
          <w:tcPr>
            <w:tcW w:w="1494" w:type="dxa"/>
            <w:shd w:val="clear" w:color="auto" w:fill="auto"/>
            <w:noWrap/>
            <w:vAlign w:val="center"/>
            <w:hideMark/>
          </w:tcPr>
          <w:p w14:paraId="045BE546"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5477544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00E8AA7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78E16BE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7AF6603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58D6837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387F13F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7E2E0ED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47FB868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176597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2F677B4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2FF0A87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3E7B78A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21D08AF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586F051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3622E60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c>
          <w:tcPr>
            <w:tcW w:w="759" w:type="dxa"/>
            <w:shd w:val="clear" w:color="auto" w:fill="auto"/>
            <w:noWrap/>
            <w:vAlign w:val="center"/>
            <w:hideMark/>
          </w:tcPr>
          <w:p w14:paraId="73E0380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94</w:t>
            </w:r>
          </w:p>
        </w:tc>
      </w:tr>
      <w:tr w:rsidR="002735B4" w:rsidRPr="00445472" w14:paraId="3B9C7C9A" w14:textId="77777777" w:rsidTr="002A1F08">
        <w:trPr>
          <w:trHeight w:val="255"/>
        </w:trPr>
        <w:tc>
          <w:tcPr>
            <w:tcW w:w="1101" w:type="dxa"/>
            <w:shd w:val="clear" w:color="auto" w:fill="auto"/>
            <w:vAlign w:val="center"/>
            <w:hideMark/>
          </w:tcPr>
          <w:p w14:paraId="407B486A" w14:textId="739B01BF"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Peshkopi U </w:t>
            </w:r>
            <w:r w:rsidR="00852D7A" w:rsidRPr="00445472">
              <w:rPr>
                <w:rFonts w:ascii="Garamond" w:hAnsi="Garamond"/>
                <w:sz w:val="15"/>
                <w:szCs w:val="15"/>
                <w:lang w:eastAsia="en-GB"/>
              </w:rPr>
              <w:t>sh.a.</w:t>
            </w:r>
          </w:p>
        </w:tc>
        <w:tc>
          <w:tcPr>
            <w:tcW w:w="1494" w:type="dxa"/>
            <w:shd w:val="clear" w:color="auto" w:fill="auto"/>
            <w:noWrap/>
            <w:vAlign w:val="center"/>
            <w:hideMark/>
          </w:tcPr>
          <w:p w14:paraId="5495F2E2"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1793A2E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15DDCA8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78B000A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1316BFF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6ACE6B5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0BF822C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495AD4A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3C9DED6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11A877B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0706247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11B0BEE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44991C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40DCDBA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73E25AF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4DC7DD3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c>
          <w:tcPr>
            <w:tcW w:w="759" w:type="dxa"/>
            <w:shd w:val="clear" w:color="auto" w:fill="auto"/>
            <w:noWrap/>
            <w:vAlign w:val="center"/>
            <w:hideMark/>
          </w:tcPr>
          <w:p w14:paraId="077F599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121</w:t>
            </w:r>
          </w:p>
        </w:tc>
      </w:tr>
      <w:tr w:rsidR="002735B4" w:rsidRPr="00445472" w14:paraId="152E63F0" w14:textId="77777777" w:rsidTr="002A1F08">
        <w:trPr>
          <w:trHeight w:val="255"/>
        </w:trPr>
        <w:tc>
          <w:tcPr>
            <w:tcW w:w="1101" w:type="dxa"/>
            <w:shd w:val="clear" w:color="auto" w:fill="auto"/>
            <w:vAlign w:val="center"/>
            <w:hideMark/>
          </w:tcPr>
          <w:p w14:paraId="7D64E0C1" w14:textId="6263DD78"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Bulqizë U </w:t>
            </w:r>
            <w:r w:rsidR="00852D7A" w:rsidRPr="00445472">
              <w:rPr>
                <w:rFonts w:ascii="Garamond" w:hAnsi="Garamond"/>
                <w:sz w:val="15"/>
                <w:szCs w:val="15"/>
                <w:lang w:eastAsia="en-GB"/>
              </w:rPr>
              <w:t>sh.a.</w:t>
            </w:r>
          </w:p>
        </w:tc>
        <w:tc>
          <w:tcPr>
            <w:tcW w:w="1494" w:type="dxa"/>
            <w:shd w:val="clear" w:color="auto" w:fill="auto"/>
            <w:noWrap/>
            <w:vAlign w:val="center"/>
            <w:hideMark/>
          </w:tcPr>
          <w:p w14:paraId="220F50E3"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409EE93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2B6580C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700B1D8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757985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51FD094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735A15A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61FD833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55A0471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00D3792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4BDC5B9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5FB251B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56F60F6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38B9E38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4E5A3DE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7704D56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c>
          <w:tcPr>
            <w:tcW w:w="759" w:type="dxa"/>
            <w:shd w:val="clear" w:color="auto" w:fill="auto"/>
            <w:noWrap/>
            <w:vAlign w:val="center"/>
            <w:hideMark/>
          </w:tcPr>
          <w:p w14:paraId="0F7BA3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115</w:t>
            </w:r>
          </w:p>
        </w:tc>
      </w:tr>
      <w:tr w:rsidR="002735B4" w:rsidRPr="00445472" w14:paraId="1EB05768" w14:textId="77777777" w:rsidTr="002A1F08">
        <w:trPr>
          <w:trHeight w:val="255"/>
        </w:trPr>
        <w:tc>
          <w:tcPr>
            <w:tcW w:w="1101" w:type="dxa"/>
            <w:shd w:val="clear" w:color="auto" w:fill="auto"/>
            <w:vAlign w:val="center"/>
            <w:hideMark/>
          </w:tcPr>
          <w:p w14:paraId="2FBCA915" w14:textId="59A6FCA3"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Has U </w:t>
            </w:r>
            <w:r w:rsidR="00852D7A" w:rsidRPr="00445472">
              <w:rPr>
                <w:rFonts w:ascii="Garamond" w:hAnsi="Garamond"/>
                <w:sz w:val="15"/>
                <w:szCs w:val="15"/>
                <w:lang w:eastAsia="en-GB"/>
              </w:rPr>
              <w:t>sh.a.</w:t>
            </w:r>
          </w:p>
        </w:tc>
        <w:tc>
          <w:tcPr>
            <w:tcW w:w="1494" w:type="dxa"/>
            <w:shd w:val="clear" w:color="auto" w:fill="auto"/>
            <w:noWrap/>
            <w:vAlign w:val="center"/>
            <w:hideMark/>
          </w:tcPr>
          <w:p w14:paraId="73AF5BA0"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295AF08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0CA37F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08D2FA0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0CE572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6F141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105CC5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521ABE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670447B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A41632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986615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350C54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6CAC447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27CBCB7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5048A70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0E3DD1B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c>
          <w:tcPr>
            <w:tcW w:w="759" w:type="dxa"/>
            <w:shd w:val="clear" w:color="auto" w:fill="auto"/>
            <w:noWrap/>
            <w:vAlign w:val="center"/>
            <w:hideMark/>
          </w:tcPr>
          <w:p w14:paraId="74A2A56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40</w:t>
            </w:r>
          </w:p>
        </w:tc>
      </w:tr>
      <w:tr w:rsidR="002735B4" w:rsidRPr="00445472" w14:paraId="08D858C9" w14:textId="77777777" w:rsidTr="002A1F08">
        <w:trPr>
          <w:trHeight w:val="255"/>
        </w:trPr>
        <w:tc>
          <w:tcPr>
            <w:tcW w:w="1101" w:type="dxa"/>
            <w:shd w:val="clear" w:color="auto" w:fill="auto"/>
            <w:vAlign w:val="center"/>
            <w:hideMark/>
          </w:tcPr>
          <w:p w14:paraId="6E15F557" w14:textId="7794B070"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Kukës UK </w:t>
            </w:r>
            <w:r w:rsidR="00852D7A" w:rsidRPr="00445472">
              <w:rPr>
                <w:rFonts w:ascii="Garamond" w:hAnsi="Garamond"/>
                <w:sz w:val="15"/>
                <w:szCs w:val="15"/>
                <w:lang w:eastAsia="en-GB"/>
              </w:rPr>
              <w:t>sh.a.</w:t>
            </w:r>
          </w:p>
        </w:tc>
        <w:tc>
          <w:tcPr>
            <w:tcW w:w="1494" w:type="dxa"/>
            <w:shd w:val="clear" w:color="auto" w:fill="auto"/>
            <w:noWrap/>
            <w:vAlign w:val="center"/>
            <w:hideMark/>
          </w:tcPr>
          <w:p w14:paraId="5B71EC29" w14:textId="7777777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Total (000m</w:t>
            </w:r>
            <w:r w:rsidRPr="00445472">
              <w:rPr>
                <w:rFonts w:ascii="Garamond" w:hAnsi="Garamond"/>
                <w:sz w:val="15"/>
                <w:szCs w:val="15"/>
                <w:vertAlign w:val="superscript"/>
                <w:lang w:eastAsia="en-GB"/>
              </w:rPr>
              <w:t>3</w:t>
            </w:r>
            <w:r w:rsidRPr="00445472">
              <w:rPr>
                <w:rFonts w:ascii="Garamond" w:hAnsi="Garamond"/>
                <w:sz w:val="15"/>
                <w:szCs w:val="15"/>
                <w:lang w:eastAsia="en-GB"/>
              </w:rPr>
              <w:t>)</w:t>
            </w:r>
          </w:p>
        </w:tc>
        <w:tc>
          <w:tcPr>
            <w:tcW w:w="759" w:type="dxa"/>
            <w:shd w:val="clear" w:color="auto" w:fill="auto"/>
            <w:noWrap/>
            <w:vAlign w:val="center"/>
            <w:hideMark/>
          </w:tcPr>
          <w:p w14:paraId="3C7DCDE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41516ED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6C16DA7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43C8F52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0F72C4A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40EECD1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243F2C2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268D6F2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1AEDA0E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29429C2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7B6E578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532055B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1A863E5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2B12E4D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0EE2571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c>
          <w:tcPr>
            <w:tcW w:w="759" w:type="dxa"/>
            <w:shd w:val="clear" w:color="auto" w:fill="auto"/>
            <w:noWrap/>
            <w:vAlign w:val="center"/>
            <w:hideMark/>
          </w:tcPr>
          <w:p w14:paraId="1C33C34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117</w:t>
            </w:r>
          </w:p>
        </w:tc>
      </w:tr>
    </w:tbl>
    <w:p w14:paraId="6ED2DB80" w14:textId="77777777" w:rsidR="002735B4" w:rsidRPr="00445472" w:rsidRDefault="002735B4" w:rsidP="002735B4">
      <w:pPr>
        <w:pStyle w:val="NENTITULL"/>
      </w:pPr>
    </w:p>
    <w:p w14:paraId="2A3BBE74" w14:textId="68CA6AAE" w:rsidR="002735B4" w:rsidRPr="00445472" w:rsidRDefault="002735B4" w:rsidP="002735B4">
      <w:pPr>
        <w:pStyle w:val="NENTITULL"/>
      </w:pPr>
      <w:r w:rsidRPr="00445472">
        <w:t xml:space="preserve">Tabela A 4. 12.: Parashikimet e UPF të ardhshme – Baseni Ujor </w:t>
      </w:r>
      <w:r w:rsidR="007E76E3" w:rsidRPr="00445472">
        <w:t>Drin–Bunë</w:t>
      </w:r>
    </w:p>
    <w:tbl>
      <w:tblPr>
        <w:tblpPr w:leftFromText="180" w:rightFromText="180" w:vertAnchor="text" w:tblpY="257"/>
        <w:tblW w:w="14144"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531"/>
        <w:gridCol w:w="821"/>
        <w:gridCol w:w="737"/>
        <w:gridCol w:w="737"/>
        <w:gridCol w:w="737"/>
        <w:gridCol w:w="737"/>
        <w:gridCol w:w="737"/>
        <w:gridCol w:w="737"/>
        <w:gridCol w:w="737"/>
        <w:gridCol w:w="737"/>
        <w:gridCol w:w="737"/>
        <w:gridCol w:w="737"/>
        <w:gridCol w:w="737"/>
        <w:gridCol w:w="737"/>
        <w:gridCol w:w="737"/>
        <w:gridCol w:w="737"/>
        <w:gridCol w:w="737"/>
        <w:gridCol w:w="737"/>
      </w:tblGrid>
      <w:tr w:rsidR="002735B4" w:rsidRPr="00445472" w14:paraId="322F31CD" w14:textId="77777777" w:rsidTr="002A1F08">
        <w:trPr>
          <w:trHeight w:val="225"/>
        </w:trPr>
        <w:tc>
          <w:tcPr>
            <w:tcW w:w="1531" w:type="dxa"/>
            <w:shd w:val="clear" w:color="auto" w:fill="auto"/>
            <w:noWrap/>
            <w:vAlign w:val="center"/>
            <w:hideMark/>
          </w:tcPr>
          <w:p w14:paraId="510632D8" w14:textId="77777777" w:rsidR="002735B4" w:rsidRPr="00445472" w:rsidRDefault="002735B4" w:rsidP="002A1F08">
            <w:pPr>
              <w:spacing w:before="46" w:after="62"/>
              <w:rPr>
                <w:rFonts w:ascii="Garamond" w:hAnsi="Garamond"/>
                <w:sz w:val="16"/>
                <w:szCs w:val="16"/>
                <w:lang w:eastAsia="en-GB"/>
              </w:rPr>
            </w:pPr>
          </w:p>
        </w:tc>
        <w:tc>
          <w:tcPr>
            <w:tcW w:w="821" w:type="dxa"/>
            <w:shd w:val="clear" w:color="auto" w:fill="auto"/>
            <w:noWrap/>
            <w:vAlign w:val="center"/>
            <w:hideMark/>
          </w:tcPr>
          <w:p w14:paraId="75D965FA"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D9D9D9"/>
            <w:noWrap/>
            <w:vAlign w:val="center"/>
            <w:hideMark/>
          </w:tcPr>
          <w:p w14:paraId="302A1C09"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2016</w:t>
            </w:r>
          </w:p>
        </w:tc>
        <w:tc>
          <w:tcPr>
            <w:tcW w:w="737" w:type="dxa"/>
            <w:shd w:val="clear" w:color="auto" w:fill="D9D9D9"/>
            <w:noWrap/>
            <w:vAlign w:val="center"/>
            <w:hideMark/>
          </w:tcPr>
          <w:p w14:paraId="5A82549E"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2017</w:t>
            </w:r>
          </w:p>
        </w:tc>
        <w:tc>
          <w:tcPr>
            <w:tcW w:w="737" w:type="dxa"/>
            <w:shd w:val="clear" w:color="auto" w:fill="D9D9D9"/>
            <w:noWrap/>
            <w:vAlign w:val="center"/>
            <w:hideMark/>
          </w:tcPr>
          <w:p w14:paraId="54F518F3"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2018</w:t>
            </w:r>
          </w:p>
        </w:tc>
        <w:tc>
          <w:tcPr>
            <w:tcW w:w="737" w:type="dxa"/>
            <w:shd w:val="clear" w:color="auto" w:fill="D9D9D9"/>
            <w:noWrap/>
            <w:vAlign w:val="center"/>
            <w:hideMark/>
          </w:tcPr>
          <w:p w14:paraId="59CAFD2A"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2019</w:t>
            </w:r>
          </w:p>
        </w:tc>
        <w:tc>
          <w:tcPr>
            <w:tcW w:w="737" w:type="dxa"/>
            <w:shd w:val="clear" w:color="auto" w:fill="D9D9D9"/>
            <w:noWrap/>
            <w:vAlign w:val="center"/>
            <w:hideMark/>
          </w:tcPr>
          <w:p w14:paraId="5B5F1AC2"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2020</w:t>
            </w:r>
          </w:p>
        </w:tc>
        <w:tc>
          <w:tcPr>
            <w:tcW w:w="737" w:type="dxa"/>
            <w:shd w:val="clear" w:color="auto" w:fill="D9D9D9"/>
            <w:noWrap/>
            <w:vAlign w:val="center"/>
            <w:hideMark/>
          </w:tcPr>
          <w:p w14:paraId="6A9270E5"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2021</w:t>
            </w:r>
          </w:p>
        </w:tc>
        <w:tc>
          <w:tcPr>
            <w:tcW w:w="737" w:type="dxa"/>
            <w:shd w:val="clear" w:color="auto" w:fill="D9D9D9"/>
            <w:noWrap/>
            <w:vAlign w:val="center"/>
            <w:hideMark/>
          </w:tcPr>
          <w:p w14:paraId="0F01FB07"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2022</w:t>
            </w:r>
          </w:p>
        </w:tc>
        <w:tc>
          <w:tcPr>
            <w:tcW w:w="737" w:type="dxa"/>
            <w:shd w:val="clear" w:color="auto" w:fill="D9D9D9"/>
            <w:noWrap/>
            <w:vAlign w:val="center"/>
            <w:hideMark/>
          </w:tcPr>
          <w:p w14:paraId="5A07FC5B"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2023</w:t>
            </w:r>
          </w:p>
        </w:tc>
        <w:tc>
          <w:tcPr>
            <w:tcW w:w="737" w:type="dxa"/>
            <w:shd w:val="clear" w:color="auto" w:fill="D9D9D9"/>
            <w:noWrap/>
            <w:vAlign w:val="center"/>
            <w:hideMark/>
          </w:tcPr>
          <w:p w14:paraId="7F690D77"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2024</w:t>
            </w:r>
          </w:p>
        </w:tc>
        <w:tc>
          <w:tcPr>
            <w:tcW w:w="737" w:type="dxa"/>
            <w:shd w:val="clear" w:color="auto" w:fill="D9D9D9"/>
            <w:noWrap/>
            <w:vAlign w:val="center"/>
            <w:hideMark/>
          </w:tcPr>
          <w:p w14:paraId="7C368956"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2025</w:t>
            </w:r>
          </w:p>
        </w:tc>
        <w:tc>
          <w:tcPr>
            <w:tcW w:w="737" w:type="dxa"/>
            <w:shd w:val="clear" w:color="auto" w:fill="D9D9D9"/>
            <w:noWrap/>
            <w:vAlign w:val="center"/>
            <w:hideMark/>
          </w:tcPr>
          <w:p w14:paraId="533F92DD"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2026</w:t>
            </w:r>
          </w:p>
        </w:tc>
        <w:tc>
          <w:tcPr>
            <w:tcW w:w="737" w:type="dxa"/>
            <w:shd w:val="clear" w:color="auto" w:fill="D9D9D9"/>
            <w:noWrap/>
            <w:vAlign w:val="center"/>
            <w:hideMark/>
          </w:tcPr>
          <w:p w14:paraId="48F21468"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2027</w:t>
            </w:r>
          </w:p>
        </w:tc>
        <w:tc>
          <w:tcPr>
            <w:tcW w:w="737" w:type="dxa"/>
            <w:shd w:val="clear" w:color="auto" w:fill="D9D9D9"/>
            <w:noWrap/>
            <w:vAlign w:val="center"/>
            <w:hideMark/>
          </w:tcPr>
          <w:p w14:paraId="0A05B7BF"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2028</w:t>
            </w:r>
          </w:p>
        </w:tc>
        <w:tc>
          <w:tcPr>
            <w:tcW w:w="737" w:type="dxa"/>
            <w:shd w:val="clear" w:color="auto" w:fill="D9D9D9"/>
            <w:noWrap/>
            <w:vAlign w:val="center"/>
            <w:hideMark/>
          </w:tcPr>
          <w:p w14:paraId="1866C553"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2029</w:t>
            </w:r>
          </w:p>
        </w:tc>
        <w:tc>
          <w:tcPr>
            <w:tcW w:w="737" w:type="dxa"/>
            <w:shd w:val="clear" w:color="auto" w:fill="D9D9D9"/>
            <w:noWrap/>
            <w:vAlign w:val="center"/>
            <w:hideMark/>
          </w:tcPr>
          <w:p w14:paraId="39ACB7B3"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2030</w:t>
            </w:r>
          </w:p>
        </w:tc>
        <w:tc>
          <w:tcPr>
            <w:tcW w:w="737" w:type="dxa"/>
            <w:shd w:val="clear" w:color="auto" w:fill="D9D9D9"/>
            <w:noWrap/>
            <w:vAlign w:val="center"/>
            <w:hideMark/>
          </w:tcPr>
          <w:p w14:paraId="321030DC"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2031</w:t>
            </w:r>
          </w:p>
        </w:tc>
      </w:tr>
      <w:tr w:rsidR="002735B4" w:rsidRPr="00445472" w14:paraId="1F0238CA" w14:textId="77777777" w:rsidTr="002A1F08">
        <w:trPr>
          <w:trHeight w:val="225"/>
        </w:trPr>
        <w:tc>
          <w:tcPr>
            <w:tcW w:w="1531" w:type="dxa"/>
            <w:shd w:val="clear" w:color="auto" w:fill="auto"/>
            <w:noWrap/>
            <w:vAlign w:val="center"/>
            <w:hideMark/>
          </w:tcPr>
          <w:p w14:paraId="5796630F" w14:textId="77777777"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Bashkia Pukë UK</w:t>
            </w:r>
          </w:p>
        </w:tc>
        <w:tc>
          <w:tcPr>
            <w:tcW w:w="821" w:type="dxa"/>
            <w:shd w:val="clear" w:color="auto" w:fill="auto"/>
            <w:noWrap/>
            <w:vAlign w:val="center"/>
            <w:hideMark/>
          </w:tcPr>
          <w:p w14:paraId="3F630B45"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55B4213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204</w:t>
            </w:r>
          </w:p>
        </w:tc>
        <w:tc>
          <w:tcPr>
            <w:tcW w:w="737" w:type="dxa"/>
            <w:shd w:val="clear" w:color="auto" w:fill="auto"/>
            <w:noWrap/>
            <w:vAlign w:val="center"/>
            <w:hideMark/>
          </w:tcPr>
          <w:p w14:paraId="7A6B42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198</w:t>
            </w:r>
          </w:p>
        </w:tc>
        <w:tc>
          <w:tcPr>
            <w:tcW w:w="737" w:type="dxa"/>
            <w:shd w:val="clear" w:color="auto" w:fill="auto"/>
            <w:noWrap/>
            <w:vAlign w:val="center"/>
            <w:hideMark/>
          </w:tcPr>
          <w:p w14:paraId="7FDB5F7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193</w:t>
            </w:r>
          </w:p>
        </w:tc>
        <w:tc>
          <w:tcPr>
            <w:tcW w:w="737" w:type="dxa"/>
            <w:shd w:val="clear" w:color="auto" w:fill="auto"/>
            <w:noWrap/>
            <w:vAlign w:val="center"/>
            <w:hideMark/>
          </w:tcPr>
          <w:p w14:paraId="1DEA037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188</w:t>
            </w:r>
          </w:p>
        </w:tc>
        <w:tc>
          <w:tcPr>
            <w:tcW w:w="737" w:type="dxa"/>
            <w:shd w:val="clear" w:color="auto" w:fill="auto"/>
            <w:noWrap/>
            <w:vAlign w:val="center"/>
            <w:hideMark/>
          </w:tcPr>
          <w:p w14:paraId="3593BEB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182</w:t>
            </w:r>
          </w:p>
        </w:tc>
        <w:tc>
          <w:tcPr>
            <w:tcW w:w="737" w:type="dxa"/>
            <w:shd w:val="clear" w:color="auto" w:fill="auto"/>
            <w:noWrap/>
            <w:vAlign w:val="center"/>
            <w:hideMark/>
          </w:tcPr>
          <w:p w14:paraId="0008BEE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177</w:t>
            </w:r>
          </w:p>
        </w:tc>
        <w:tc>
          <w:tcPr>
            <w:tcW w:w="737" w:type="dxa"/>
            <w:shd w:val="clear" w:color="auto" w:fill="auto"/>
            <w:noWrap/>
            <w:vAlign w:val="center"/>
            <w:hideMark/>
          </w:tcPr>
          <w:p w14:paraId="6A8FD1B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172</w:t>
            </w:r>
          </w:p>
        </w:tc>
        <w:tc>
          <w:tcPr>
            <w:tcW w:w="737" w:type="dxa"/>
            <w:shd w:val="clear" w:color="auto" w:fill="auto"/>
            <w:noWrap/>
            <w:vAlign w:val="center"/>
            <w:hideMark/>
          </w:tcPr>
          <w:p w14:paraId="2A6D761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167</w:t>
            </w:r>
          </w:p>
        </w:tc>
        <w:tc>
          <w:tcPr>
            <w:tcW w:w="737" w:type="dxa"/>
            <w:shd w:val="clear" w:color="auto" w:fill="auto"/>
            <w:noWrap/>
            <w:vAlign w:val="center"/>
            <w:hideMark/>
          </w:tcPr>
          <w:p w14:paraId="4457DCD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161</w:t>
            </w:r>
          </w:p>
        </w:tc>
        <w:tc>
          <w:tcPr>
            <w:tcW w:w="737" w:type="dxa"/>
            <w:shd w:val="clear" w:color="auto" w:fill="auto"/>
            <w:noWrap/>
            <w:vAlign w:val="center"/>
            <w:hideMark/>
          </w:tcPr>
          <w:p w14:paraId="79C117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156</w:t>
            </w:r>
          </w:p>
        </w:tc>
        <w:tc>
          <w:tcPr>
            <w:tcW w:w="737" w:type="dxa"/>
            <w:shd w:val="clear" w:color="auto" w:fill="auto"/>
            <w:noWrap/>
            <w:vAlign w:val="center"/>
            <w:hideMark/>
          </w:tcPr>
          <w:p w14:paraId="7FA7B8F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151</w:t>
            </w:r>
          </w:p>
        </w:tc>
        <w:tc>
          <w:tcPr>
            <w:tcW w:w="737" w:type="dxa"/>
            <w:shd w:val="clear" w:color="auto" w:fill="auto"/>
            <w:noWrap/>
            <w:vAlign w:val="center"/>
            <w:hideMark/>
          </w:tcPr>
          <w:p w14:paraId="606FCD6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145</w:t>
            </w:r>
          </w:p>
        </w:tc>
        <w:tc>
          <w:tcPr>
            <w:tcW w:w="737" w:type="dxa"/>
            <w:shd w:val="clear" w:color="auto" w:fill="auto"/>
            <w:noWrap/>
            <w:vAlign w:val="center"/>
            <w:hideMark/>
          </w:tcPr>
          <w:p w14:paraId="3C278AA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140</w:t>
            </w:r>
          </w:p>
        </w:tc>
        <w:tc>
          <w:tcPr>
            <w:tcW w:w="737" w:type="dxa"/>
            <w:shd w:val="clear" w:color="auto" w:fill="auto"/>
            <w:noWrap/>
            <w:vAlign w:val="center"/>
            <w:hideMark/>
          </w:tcPr>
          <w:p w14:paraId="53FF4F9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135</w:t>
            </w:r>
          </w:p>
        </w:tc>
        <w:tc>
          <w:tcPr>
            <w:tcW w:w="737" w:type="dxa"/>
            <w:shd w:val="clear" w:color="auto" w:fill="auto"/>
            <w:noWrap/>
            <w:vAlign w:val="center"/>
            <w:hideMark/>
          </w:tcPr>
          <w:p w14:paraId="049DE1D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130</w:t>
            </w:r>
          </w:p>
        </w:tc>
        <w:tc>
          <w:tcPr>
            <w:tcW w:w="737" w:type="dxa"/>
            <w:shd w:val="clear" w:color="auto" w:fill="auto"/>
            <w:noWrap/>
            <w:vAlign w:val="center"/>
            <w:hideMark/>
          </w:tcPr>
          <w:p w14:paraId="37ED207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124</w:t>
            </w:r>
          </w:p>
        </w:tc>
      </w:tr>
      <w:tr w:rsidR="002735B4" w:rsidRPr="00445472" w14:paraId="22C256B4" w14:textId="77777777" w:rsidTr="002A1F08">
        <w:trPr>
          <w:trHeight w:val="225"/>
        </w:trPr>
        <w:tc>
          <w:tcPr>
            <w:tcW w:w="1531" w:type="dxa"/>
            <w:shd w:val="clear" w:color="auto" w:fill="auto"/>
            <w:noWrap/>
            <w:vAlign w:val="center"/>
            <w:hideMark/>
          </w:tcPr>
          <w:p w14:paraId="33495787" w14:textId="0E2CB26A" w:rsidR="002735B4" w:rsidRPr="00445472" w:rsidRDefault="00D67757" w:rsidP="002A1F08">
            <w:pPr>
              <w:spacing w:before="46" w:after="62"/>
              <w:rPr>
                <w:rFonts w:ascii="Garamond" w:hAnsi="Garamond"/>
                <w:sz w:val="16"/>
                <w:szCs w:val="16"/>
                <w:lang w:eastAsia="en-GB"/>
              </w:rPr>
            </w:pPr>
            <w:r w:rsidRPr="00445472">
              <w:rPr>
                <w:rFonts w:ascii="Garamond" w:hAnsi="Garamond"/>
                <w:sz w:val="16"/>
                <w:szCs w:val="16"/>
                <w:lang w:eastAsia="en-GB"/>
              </w:rPr>
              <w:t xml:space="preserve">Vau i Dejës </w:t>
            </w:r>
            <w:r w:rsidR="002735B4" w:rsidRPr="00445472">
              <w:rPr>
                <w:rFonts w:ascii="Garamond" w:hAnsi="Garamond"/>
                <w:sz w:val="16"/>
                <w:szCs w:val="16"/>
                <w:lang w:eastAsia="en-GB"/>
              </w:rPr>
              <w:t xml:space="preserve"> U </w:t>
            </w:r>
            <w:r w:rsidR="00B40EC2" w:rsidRPr="00445472">
              <w:rPr>
                <w:rFonts w:ascii="Garamond" w:hAnsi="Garamond"/>
                <w:sz w:val="16"/>
                <w:szCs w:val="16"/>
                <w:lang w:eastAsia="en-GB"/>
              </w:rPr>
              <w:t>sh.a.</w:t>
            </w:r>
          </w:p>
        </w:tc>
        <w:tc>
          <w:tcPr>
            <w:tcW w:w="821" w:type="dxa"/>
            <w:shd w:val="clear" w:color="auto" w:fill="auto"/>
            <w:noWrap/>
            <w:vAlign w:val="center"/>
            <w:hideMark/>
          </w:tcPr>
          <w:p w14:paraId="1FAFAE16"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31B645E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517</w:t>
            </w:r>
          </w:p>
        </w:tc>
        <w:tc>
          <w:tcPr>
            <w:tcW w:w="737" w:type="dxa"/>
            <w:shd w:val="clear" w:color="auto" w:fill="auto"/>
            <w:noWrap/>
            <w:vAlign w:val="center"/>
            <w:hideMark/>
          </w:tcPr>
          <w:p w14:paraId="38A391F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500</w:t>
            </w:r>
          </w:p>
        </w:tc>
        <w:tc>
          <w:tcPr>
            <w:tcW w:w="737" w:type="dxa"/>
            <w:shd w:val="clear" w:color="auto" w:fill="auto"/>
            <w:noWrap/>
            <w:vAlign w:val="center"/>
            <w:hideMark/>
          </w:tcPr>
          <w:p w14:paraId="7622B62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484</w:t>
            </w:r>
          </w:p>
        </w:tc>
        <w:tc>
          <w:tcPr>
            <w:tcW w:w="737" w:type="dxa"/>
            <w:shd w:val="clear" w:color="auto" w:fill="auto"/>
            <w:noWrap/>
            <w:vAlign w:val="center"/>
            <w:hideMark/>
          </w:tcPr>
          <w:p w14:paraId="2CB2A35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467</w:t>
            </w:r>
          </w:p>
        </w:tc>
        <w:tc>
          <w:tcPr>
            <w:tcW w:w="737" w:type="dxa"/>
            <w:shd w:val="clear" w:color="auto" w:fill="auto"/>
            <w:noWrap/>
            <w:vAlign w:val="center"/>
            <w:hideMark/>
          </w:tcPr>
          <w:p w14:paraId="5C317B8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450</w:t>
            </w:r>
          </w:p>
        </w:tc>
        <w:tc>
          <w:tcPr>
            <w:tcW w:w="737" w:type="dxa"/>
            <w:shd w:val="clear" w:color="auto" w:fill="auto"/>
            <w:noWrap/>
            <w:vAlign w:val="center"/>
            <w:hideMark/>
          </w:tcPr>
          <w:p w14:paraId="715DB17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434</w:t>
            </w:r>
          </w:p>
        </w:tc>
        <w:tc>
          <w:tcPr>
            <w:tcW w:w="737" w:type="dxa"/>
            <w:shd w:val="clear" w:color="auto" w:fill="auto"/>
            <w:noWrap/>
            <w:vAlign w:val="center"/>
            <w:hideMark/>
          </w:tcPr>
          <w:p w14:paraId="326E8CA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417</w:t>
            </w:r>
          </w:p>
        </w:tc>
        <w:tc>
          <w:tcPr>
            <w:tcW w:w="737" w:type="dxa"/>
            <w:shd w:val="clear" w:color="auto" w:fill="auto"/>
            <w:noWrap/>
            <w:vAlign w:val="center"/>
            <w:hideMark/>
          </w:tcPr>
          <w:p w14:paraId="5617D6B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400</w:t>
            </w:r>
          </w:p>
        </w:tc>
        <w:tc>
          <w:tcPr>
            <w:tcW w:w="737" w:type="dxa"/>
            <w:shd w:val="clear" w:color="auto" w:fill="auto"/>
            <w:noWrap/>
            <w:vAlign w:val="center"/>
            <w:hideMark/>
          </w:tcPr>
          <w:p w14:paraId="6B93F1D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384</w:t>
            </w:r>
          </w:p>
        </w:tc>
        <w:tc>
          <w:tcPr>
            <w:tcW w:w="737" w:type="dxa"/>
            <w:shd w:val="clear" w:color="auto" w:fill="auto"/>
            <w:noWrap/>
            <w:vAlign w:val="center"/>
            <w:hideMark/>
          </w:tcPr>
          <w:p w14:paraId="25B2492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367</w:t>
            </w:r>
          </w:p>
        </w:tc>
        <w:tc>
          <w:tcPr>
            <w:tcW w:w="737" w:type="dxa"/>
            <w:shd w:val="clear" w:color="auto" w:fill="auto"/>
            <w:noWrap/>
            <w:vAlign w:val="center"/>
            <w:hideMark/>
          </w:tcPr>
          <w:p w14:paraId="43AE55D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350</w:t>
            </w:r>
          </w:p>
        </w:tc>
        <w:tc>
          <w:tcPr>
            <w:tcW w:w="737" w:type="dxa"/>
            <w:shd w:val="clear" w:color="auto" w:fill="auto"/>
            <w:noWrap/>
            <w:vAlign w:val="center"/>
            <w:hideMark/>
          </w:tcPr>
          <w:p w14:paraId="121FAA5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334</w:t>
            </w:r>
          </w:p>
        </w:tc>
        <w:tc>
          <w:tcPr>
            <w:tcW w:w="737" w:type="dxa"/>
            <w:shd w:val="clear" w:color="auto" w:fill="auto"/>
            <w:noWrap/>
            <w:vAlign w:val="center"/>
            <w:hideMark/>
          </w:tcPr>
          <w:p w14:paraId="63D69CE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317</w:t>
            </w:r>
          </w:p>
        </w:tc>
        <w:tc>
          <w:tcPr>
            <w:tcW w:w="737" w:type="dxa"/>
            <w:shd w:val="clear" w:color="auto" w:fill="auto"/>
            <w:noWrap/>
            <w:vAlign w:val="center"/>
            <w:hideMark/>
          </w:tcPr>
          <w:p w14:paraId="3B4E26D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301</w:t>
            </w:r>
          </w:p>
        </w:tc>
        <w:tc>
          <w:tcPr>
            <w:tcW w:w="737" w:type="dxa"/>
            <w:shd w:val="clear" w:color="auto" w:fill="auto"/>
            <w:noWrap/>
            <w:vAlign w:val="center"/>
            <w:hideMark/>
          </w:tcPr>
          <w:p w14:paraId="403475D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284</w:t>
            </w:r>
          </w:p>
        </w:tc>
        <w:tc>
          <w:tcPr>
            <w:tcW w:w="737" w:type="dxa"/>
            <w:shd w:val="clear" w:color="auto" w:fill="auto"/>
            <w:noWrap/>
            <w:vAlign w:val="center"/>
            <w:hideMark/>
          </w:tcPr>
          <w:p w14:paraId="3799CFB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267</w:t>
            </w:r>
          </w:p>
        </w:tc>
      </w:tr>
      <w:tr w:rsidR="002735B4" w:rsidRPr="00445472" w14:paraId="546AADC3" w14:textId="77777777" w:rsidTr="002A1F08">
        <w:trPr>
          <w:trHeight w:val="225"/>
        </w:trPr>
        <w:tc>
          <w:tcPr>
            <w:tcW w:w="1531" w:type="dxa"/>
            <w:shd w:val="clear" w:color="auto" w:fill="auto"/>
            <w:noWrap/>
            <w:vAlign w:val="center"/>
            <w:hideMark/>
          </w:tcPr>
          <w:p w14:paraId="14850C36" w14:textId="5E30F821"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Tropojë U </w:t>
            </w:r>
            <w:r w:rsidR="00B40EC2" w:rsidRPr="00445472">
              <w:rPr>
                <w:rFonts w:ascii="Garamond" w:hAnsi="Garamond"/>
                <w:sz w:val="16"/>
                <w:szCs w:val="16"/>
                <w:lang w:eastAsia="en-GB"/>
              </w:rPr>
              <w:t>sh.a.</w:t>
            </w:r>
          </w:p>
        </w:tc>
        <w:tc>
          <w:tcPr>
            <w:tcW w:w="821" w:type="dxa"/>
            <w:shd w:val="clear" w:color="auto" w:fill="auto"/>
            <w:noWrap/>
            <w:vAlign w:val="center"/>
            <w:hideMark/>
          </w:tcPr>
          <w:p w14:paraId="4F323EC5"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559EEC8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1,015</w:t>
            </w:r>
          </w:p>
        </w:tc>
        <w:tc>
          <w:tcPr>
            <w:tcW w:w="737" w:type="dxa"/>
            <w:shd w:val="clear" w:color="auto" w:fill="auto"/>
            <w:noWrap/>
            <w:vAlign w:val="center"/>
            <w:hideMark/>
          </w:tcPr>
          <w:p w14:paraId="4CE4AC2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963</w:t>
            </w:r>
          </w:p>
        </w:tc>
        <w:tc>
          <w:tcPr>
            <w:tcW w:w="737" w:type="dxa"/>
            <w:shd w:val="clear" w:color="auto" w:fill="auto"/>
            <w:noWrap/>
            <w:vAlign w:val="center"/>
            <w:hideMark/>
          </w:tcPr>
          <w:p w14:paraId="7BADBF2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910</w:t>
            </w:r>
          </w:p>
        </w:tc>
        <w:tc>
          <w:tcPr>
            <w:tcW w:w="737" w:type="dxa"/>
            <w:shd w:val="clear" w:color="auto" w:fill="auto"/>
            <w:noWrap/>
            <w:vAlign w:val="center"/>
            <w:hideMark/>
          </w:tcPr>
          <w:p w14:paraId="538AB9E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858</w:t>
            </w:r>
          </w:p>
        </w:tc>
        <w:tc>
          <w:tcPr>
            <w:tcW w:w="737" w:type="dxa"/>
            <w:shd w:val="clear" w:color="auto" w:fill="auto"/>
            <w:noWrap/>
            <w:vAlign w:val="center"/>
            <w:hideMark/>
          </w:tcPr>
          <w:p w14:paraId="0C0A5CB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806</w:t>
            </w:r>
          </w:p>
        </w:tc>
        <w:tc>
          <w:tcPr>
            <w:tcW w:w="737" w:type="dxa"/>
            <w:shd w:val="clear" w:color="auto" w:fill="auto"/>
            <w:noWrap/>
            <w:vAlign w:val="center"/>
            <w:hideMark/>
          </w:tcPr>
          <w:p w14:paraId="04946A4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754</w:t>
            </w:r>
          </w:p>
        </w:tc>
        <w:tc>
          <w:tcPr>
            <w:tcW w:w="737" w:type="dxa"/>
            <w:shd w:val="clear" w:color="auto" w:fill="auto"/>
            <w:noWrap/>
            <w:vAlign w:val="center"/>
            <w:hideMark/>
          </w:tcPr>
          <w:p w14:paraId="4CBDA7F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702</w:t>
            </w:r>
          </w:p>
        </w:tc>
        <w:tc>
          <w:tcPr>
            <w:tcW w:w="737" w:type="dxa"/>
            <w:shd w:val="clear" w:color="auto" w:fill="auto"/>
            <w:noWrap/>
            <w:vAlign w:val="center"/>
            <w:hideMark/>
          </w:tcPr>
          <w:p w14:paraId="22E192D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650</w:t>
            </w:r>
          </w:p>
        </w:tc>
        <w:tc>
          <w:tcPr>
            <w:tcW w:w="737" w:type="dxa"/>
            <w:shd w:val="clear" w:color="auto" w:fill="auto"/>
            <w:noWrap/>
            <w:vAlign w:val="center"/>
            <w:hideMark/>
          </w:tcPr>
          <w:p w14:paraId="42CAE8F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597</w:t>
            </w:r>
          </w:p>
        </w:tc>
        <w:tc>
          <w:tcPr>
            <w:tcW w:w="737" w:type="dxa"/>
            <w:shd w:val="clear" w:color="auto" w:fill="auto"/>
            <w:noWrap/>
            <w:vAlign w:val="center"/>
            <w:hideMark/>
          </w:tcPr>
          <w:p w14:paraId="7D593C8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545</w:t>
            </w:r>
          </w:p>
        </w:tc>
        <w:tc>
          <w:tcPr>
            <w:tcW w:w="737" w:type="dxa"/>
            <w:shd w:val="clear" w:color="auto" w:fill="auto"/>
            <w:noWrap/>
            <w:vAlign w:val="center"/>
            <w:hideMark/>
          </w:tcPr>
          <w:p w14:paraId="6373E23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493</w:t>
            </w:r>
          </w:p>
        </w:tc>
        <w:tc>
          <w:tcPr>
            <w:tcW w:w="737" w:type="dxa"/>
            <w:shd w:val="clear" w:color="auto" w:fill="auto"/>
            <w:noWrap/>
            <w:vAlign w:val="center"/>
            <w:hideMark/>
          </w:tcPr>
          <w:p w14:paraId="6FBACD8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441</w:t>
            </w:r>
          </w:p>
        </w:tc>
        <w:tc>
          <w:tcPr>
            <w:tcW w:w="737" w:type="dxa"/>
            <w:shd w:val="clear" w:color="auto" w:fill="auto"/>
            <w:noWrap/>
            <w:vAlign w:val="center"/>
            <w:hideMark/>
          </w:tcPr>
          <w:p w14:paraId="6C6B4A3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389</w:t>
            </w:r>
          </w:p>
        </w:tc>
        <w:tc>
          <w:tcPr>
            <w:tcW w:w="737" w:type="dxa"/>
            <w:shd w:val="clear" w:color="auto" w:fill="auto"/>
            <w:noWrap/>
            <w:vAlign w:val="center"/>
            <w:hideMark/>
          </w:tcPr>
          <w:p w14:paraId="6B0B3D8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337</w:t>
            </w:r>
          </w:p>
        </w:tc>
        <w:tc>
          <w:tcPr>
            <w:tcW w:w="737" w:type="dxa"/>
            <w:shd w:val="clear" w:color="auto" w:fill="auto"/>
            <w:noWrap/>
            <w:vAlign w:val="center"/>
            <w:hideMark/>
          </w:tcPr>
          <w:p w14:paraId="29454A2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284</w:t>
            </w:r>
          </w:p>
        </w:tc>
        <w:tc>
          <w:tcPr>
            <w:tcW w:w="737" w:type="dxa"/>
            <w:shd w:val="clear" w:color="auto" w:fill="auto"/>
            <w:noWrap/>
            <w:vAlign w:val="center"/>
            <w:hideMark/>
          </w:tcPr>
          <w:p w14:paraId="623989D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232</w:t>
            </w:r>
          </w:p>
        </w:tc>
      </w:tr>
      <w:tr w:rsidR="002735B4" w:rsidRPr="00445472" w14:paraId="1C3F2B75" w14:textId="77777777" w:rsidTr="002A1F08">
        <w:trPr>
          <w:trHeight w:val="225"/>
        </w:trPr>
        <w:tc>
          <w:tcPr>
            <w:tcW w:w="1531" w:type="dxa"/>
            <w:shd w:val="clear" w:color="auto" w:fill="auto"/>
            <w:noWrap/>
            <w:vAlign w:val="center"/>
            <w:hideMark/>
          </w:tcPr>
          <w:p w14:paraId="1B9900D0" w14:textId="75871ED6"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Lezhë UK </w:t>
            </w:r>
            <w:r w:rsidR="00B40EC2" w:rsidRPr="00445472">
              <w:rPr>
                <w:rFonts w:ascii="Garamond" w:hAnsi="Garamond"/>
                <w:sz w:val="16"/>
                <w:szCs w:val="16"/>
                <w:lang w:eastAsia="en-GB"/>
              </w:rPr>
              <w:t>sh.a.</w:t>
            </w:r>
          </w:p>
        </w:tc>
        <w:tc>
          <w:tcPr>
            <w:tcW w:w="821" w:type="dxa"/>
            <w:shd w:val="clear" w:color="auto" w:fill="auto"/>
            <w:noWrap/>
            <w:vAlign w:val="center"/>
            <w:hideMark/>
          </w:tcPr>
          <w:p w14:paraId="57C0DF69"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1D47B3A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979</w:t>
            </w:r>
          </w:p>
        </w:tc>
        <w:tc>
          <w:tcPr>
            <w:tcW w:w="737" w:type="dxa"/>
            <w:shd w:val="clear" w:color="auto" w:fill="auto"/>
            <w:noWrap/>
            <w:vAlign w:val="center"/>
            <w:hideMark/>
          </w:tcPr>
          <w:p w14:paraId="62C41F2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970</w:t>
            </w:r>
          </w:p>
        </w:tc>
        <w:tc>
          <w:tcPr>
            <w:tcW w:w="737" w:type="dxa"/>
            <w:shd w:val="clear" w:color="auto" w:fill="auto"/>
            <w:noWrap/>
            <w:vAlign w:val="center"/>
            <w:hideMark/>
          </w:tcPr>
          <w:p w14:paraId="18ECF7D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960</w:t>
            </w:r>
          </w:p>
        </w:tc>
        <w:tc>
          <w:tcPr>
            <w:tcW w:w="737" w:type="dxa"/>
            <w:shd w:val="clear" w:color="auto" w:fill="auto"/>
            <w:noWrap/>
            <w:vAlign w:val="center"/>
            <w:hideMark/>
          </w:tcPr>
          <w:p w14:paraId="55EBA0B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950</w:t>
            </w:r>
          </w:p>
        </w:tc>
        <w:tc>
          <w:tcPr>
            <w:tcW w:w="737" w:type="dxa"/>
            <w:shd w:val="clear" w:color="auto" w:fill="auto"/>
            <w:noWrap/>
            <w:vAlign w:val="center"/>
            <w:hideMark/>
          </w:tcPr>
          <w:p w14:paraId="4B8117C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941</w:t>
            </w:r>
          </w:p>
        </w:tc>
        <w:tc>
          <w:tcPr>
            <w:tcW w:w="737" w:type="dxa"/>
            <w:shd w:val="clear" w:color="auto" w:fill="auto"/>
            <w:noWrap/>
            <w:vAlign w:val="center"/>
            <w:hideMark/>
          </w:tcPr>
          <w:p w14:paraId="327AB0F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931</w:t>
            </w:r>
          </w:p>
        </w:tc>
        <w:tc>
          <w:tcPr>
            <w:tcW w:w="737" w:type="dxa"/>
            <w:shd w:val="clear" w:color="auto" w:fill="auto"/>
            <w:noWrap/>
            <w:vAlign w:val="center"/>
            <w:hideMark/>
          </w:tcPr>
          <w:p w14:paraId="27E4EFD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922</w:t>
            </w:r>
          </w:p>
        </w:tc>
        <w:tc>
          <w:tcPr>
            <w:tcW w:w="737" w:type="dxa"/>
            <w:shd w:val="clear" w:color="auto" w:fill="auto"/>
            <w:noWrap/>
            <w:vAlign w:val="center"/>
            <w:hideMark/>
          </w:tcPr>
          <w:p w14:paraId="14D1F6B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912</w:t>
            </w:r>
          </w:p>
        </w:tc>
        <w:tc>
          <w:tcPr>
            <w:tcW w:w="737" w:type="dxa"/>
            <w:shd w:val="clear" w:color="auto" w:fill="auto"/>
            <w:noWrap/>
            <w:vAlign w:val="center"/>
            <w:hideMark/>
          </w:tcPr>
          <w:p w14:paraId="55F22AE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902</w:t>
            </w:r>
          </w:p>
        </w:tc>
        <w:tc>
          <w:tcPr>
            <w:tcW w:w="737" w:type="dxa"/>
            <w:shd w:val="clear" w:color="auto" w:fill="auto"/>
            <w:noWrap/>
            <w:vAlign w:val="center"/>
            <w:hideMark/>
          </w:tcPr>
          <w:p w14:paraId="466600F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893</w:t>
            </w:r>
          </w:p>
        </w:tc>
        <w:tc>
          <w:tcPr>
            <w:tcW w:w="737" w:type="dxa"/>
            <w:shd w:val="clear" w:color="auto" w:fill="auto"/>
            <w:noWrap/>
            <w:vAlign w:val="center"/>
            <w:hideMark/>
          </w:tcPr>
          <w:p w14:paraId="5240046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883</w:t>
            </w:r>
          </w:p>
        </w:tc>
        <w:tc>
          <w:tcPr>
            <w:tcW w:w="737" w:type="dxa"/>
            <w:shd w:val="clear" w:color="auto" w:fill="auto"/>
            <w:noWrap/>
            <w:vAlign w:val="center"/>
            <w:hideMark/>
          </w:tcPr>
          <w:p w14:paraId="7CF4F8B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873</w:t>
            </w:r>
          </w:p>
        </w:tc>
        <w:tc>
          <w:tcPr>
            <w:tcW w:w="737" w:type="dxa"/>
            <w:shd w:val="clear" w:color="auto" w:fill="auto"/>
            <w:noWrap/>
            <w:vAlign w:val="center"/>
            <w:hideMark/>
          </w:tcPr>
          <w:p w14:paraId="5CF691D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864</w:t>
            </w:r>
          </w:p>
        </w:tc>
        <w:tc>
          <w:tcPr>
            <w:tcW w:w="737" w:type="dxa"/>
            <w:shd w:val="clear" w:color="auto" w:fill="auto"/>
            <w:noWrap/>
            <w:vAlign w:val="center"/>
            <w:hideMark/>
          </w:tcPr>
          <w:p w14:paraId="7A46E88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854</w:t>
            </w:r>
          </w:p>
        </w:tc>
        <w:tc>
          <w:tcPr>
            <w:tcW w:w="737" w:type="dxa"/>
            <w:shd w:val="clear" w:color="auto" w:fill="auto"/>
            <w:noWrap/>
            <w:vAlign w:val="center"/>
            <w:hideMark/>
          </w:tcPr>
          <w:p w14:paraId="0D5499E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845</w:t>
            </w:r>
          </w:p>
        </w:tc>
        <w:tc>
          <w:tcPr>
            <w:tcW w:w="737" w:type="dxa"/>
            <w:shd w:val="clear" w:color="auto" w:fill="auto"/>
            <w:noWrap/>
            <w:vAlign w:val="center"/>
            <w:hideMark/>
          </w:tcPr>
          <w:p w14:paraId="01A118C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835</w:t>
            </w:r>
          </w:p>
        </w:tc>
      </w:tr>
      <w:tr w:rsidR="002735B4" w:rsidRPr="00445472" w14:paraId="00727A2F" w14:textId="77777777" w:rsidTr="002A1F08">
        <w:trPr>
          <w:trHeight w:val="225"/>
        </w:trPr>
        <w:tc>
          <w:tcPr>
            <w:tcW w:w="1531" w:type="dxa"/>
            <w:shd w:val="clear" w:color="auto" w:fill="auto"/>
            <w:noWrap/>
            <w:vAlign w:val="center"/>
            <w:hideMark/>
          </w:tcPr>
          <w:p w14:paraId="3E72F9B4" w14:textId="4BAA413C"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Pogradec UK </w:t>
            </w:r>
            <w:r w:rsidR="00B40EC2" w:rsidRPr="00445472">
              <w:rPr>
                <w:rFonts w:ascii="Garamond" w:hAnsi="Garamond"/>
                <w:sz w:val="16"/>
                <w:szCs w:val="16"/>
                <w:lang w:eastAsia="en-GB"/>
              </w:rPr>
              <w:t>sh.a.</w:t>
            </w:r>
          </w:p>
        </w:tc>
        <w:tc>
          <w:tcPr>
            <w:tcW w:w="821" w:type="dxa"/>
            <w:shd w:val="clear" w:color="auto" w:fill="auto"/>
            <w:noWrap/>
            <w:vAlign w:val="center"/>
            <w:hideMark/>
          </w:tcPr>
          <w:p w14:paraId="5BE23755"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10719E3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1,142</w:t>
            </w:r>
          </w:p>
        </w:tc>
        <w:tc>
          <w:tcPr>
            <w:tcW w:w="737" w:type="dxa"/>
            <w:shd w:val="clear" w:color="auto" w:fill="auto"/>
            <w:noWrap/>
            <w:vAlign w:val="center"/>
            <w:hideMark/>
          </w:tcPr>
          <w:p w14:paraId="71D01BE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1,153</w:t>
            </w:r>
          </w:p>
        </w:tc>
        <w:tc>
          <w:tcPr>
            <w:tcW w:w="737" w:type="dxa"/>
            <w:shd w:val="clear" w:color="auto" w:fill="auto"/>
            <w:noWrap/>
            <w:vAlign w:val="center"/>
            <w:hideMark/>
          </w:tcPr>
          <w:p w14:paraId="57CBE21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1,164</w:t>
            </w:r>
          </w:p>
        </w:tc>
        <w:tc>
          <w:tcPr>
            <w:tcW w:w="737" w:type="dxa"/>
            <w:shd w:val="clear" w:color="auto" w:fill="auto"/>
            <w:noWrap/>
            <w:vAlign w:val="center"/>
            <w:hideMark/>
          </w:tcPr>
          <w:p w14:paraId="43AD260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1,175</w:t>
            </w:r>
          </w:p>
        </w:tc>
        <w:tc>
          <w:tcPr>
            <w:tcW w:w="737" w:type="dxa"/>
            <w:shd w:val="clear" w:color="auto" w:fill="auto"/>
            <w:noWrap/>
            <w:vAlign w:val="center"/>
            <w:hideMark/>
          </w:tcPr>
          <w:p w14:paraId="6499CC8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1,186</w:t>
            </w:r>
          </w:p>
        </w:tc>
        <w:tc>
          <w:tcPr>
            <w:tcW w:w="737" w:type="dxa"/>
            <w:shd w:val="clear" w:color="auto" w:fill="auto"/>
            <w:noWrap/>
            <w:vAlign w:val="center"/>
            <w:hideMark/>
          </w:tcPr>
          <w:p w14:paraId="7B48A1B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1,197</w:t>
            </w:r>
          </w:p>
        </w:tc>
        <w:tc>
          <w:tcPr>
            <w:tcW w:w="737" w:type="dxa"/>
            <w:shd w:val="clear" w:color="auto" w:fill="auto"/>
            <w:noWrap/>
            <w:vAlign w:val="center"/>
            <w:hideMark/>
          </w:tcPr>
          <w:p w14:paraId="2C711D0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1,208</w:t>
            </w:r>
          </w:p>
        </w:tc>
        <w:tc>
          <w:tcPr>
            <w:tcW w:w="737" w:type="dxa"/>
            <w:shd w:val="clear" w:color="auto" w:fill="auto"/>
            <w:noWrap/>
            <w:vAlign w:val="center"/>
            <w:hideMark/>
          </w:tcPr>
          <w:p w14:paraId="0A72B7A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1,219</w:t>
            </w:r>
          </w:p>
        </w:tc>
        <w:tc>
          <w:tcPr>
            <w:tcW w:w="737" w:type="dxa"/>
            <w:shd w:val="clear" w:color="auto" w:fill="auto"/>
            <w:noWrap/>
            <w:vAlign w:val="center"/>
            <w:hideMark/>
          </w:tcPr>
          <w:p w14:paraId="6DFC916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1,230</w:t>
            </w:r>
          </w:p>
        </w:tc>
        <w:tc>
          <w:tcPr>
            <w:tcW w:w="737" w:type="dxa"/>
            <w:shd w:val="clear" w:color="auto" w:fill="auto"/>
            <w:noWrap/>
            <w:vAlign w:val="center"/>
            <w:hideMark/>
          </w:tcPr>
          <w:p w14:paraId="0D621EE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1,241</w:t>
            </w:r>
          </w:p>
        </w:tc>
        <w:tc>
          <w:tcPr>
            <w:tcW w:w="737" w:type="dxa"/>
            <w:shd w:val="clear" w:color="auto" w:fill="auto"/>
            <w:noWrap/>
            <w:vAlign w:val="center"/>
            <w:hideMark/>
          </w:tcPr>
          <w:p w14:paraId="0848C76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1,252</w:t>
            </w:r>
          </w:p>
        </w:tc>
        <w:tc>
          <w:tcPr>
            <w:tcW w:w="737" w:type="dxa"/>
            <w:shd w:val="clear" w:color="auto" w:fill="auto"/>
            <w:noWrap/>
            <w:vAlign w:val="center"/>
            <w:hideMark/>
          </w:tcPr>
          <w:p w14:paraId="6B16B6C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1,263</w:t>
            </w:r>
          </w:p>
        </w:tc>
        <w:tc>
          <w:tcPr>
            <w:tcW w:w="737" w:type="dxa"/>
            <w:shd w:val="clear" w:color="auto" w:fill="auto"/>
            <w:noWrap/>
            <w:vAlign w:val="center"/>
            <w:hideMark/>
          </w:tcPr>
          <w:p w14:paraId="616F9E0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1,274</w:t>
            </w:r>
          </w:p>
        </w:tc>
        <w:tc>
          <w:tcPr>
            <w:tcW w:w="737" w:type="dxa"/>
            <w:shd w:val="clear" w:color="auto" w:fill="auto"/>
            <w:noWrap/>
            <w:vAlign w:val="center"/>
            <w:hideMark/>
          </w:tcPr>
          <w:p w14:paraId="120E5E5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1,285</w:t>
            </w:r>
          </w:p>
        </w:tc>
        <w:tc>
          <w:tcPr>
            <w:tcW w:w="737" w:type="dxa"/>
            <w:shd w:val="clear" w:color="auto" w:fill="auto"/>
            <w:noWrap/>
            <w:vAlign w:val="center"/>
            <w:hideMark/>
          </w:tcPr>
          <w:p w14:paraId="4C46FE3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1,296</w:t>
            </w:r>
          </w:p>
        </w:tc>
        <w:tc>
          <w:tcPr>
            <w:tcW w:w="737" w:type="dxa"/>
            <w:shd w:val="clear" w:color="auto" w:fill="auto"/>
            <w:noWrap/>
            <w:vAlign w:val="center"/>
            <w:hideMark/>
          </w:tcPr>
          <w:p w14:paraId="5A94259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1,306</w:t>
            </w:r>
          </w:p>
        </w:tc>
      </w:tr>
      <w:tr w:rsidR="002735B4" w:rsidRPr="00445472" w14:paraId="436325F6" w14:textId="77777777" w:rsidTr="002A1F08">
        <w:trPr>
          <w:trHeight w:val="225"/>
        </w:trPr>
        <w:tc>
          <w:tcPr>
            <w:tcW w:w="1531" w:type="dxa"/>
            <w:shd w:val="clear" w:color="auto" w:fill="auto"/>
            <w:noWrap/>
            <w:vAlign w:val="center"/>
            <w:hideMark/>
          </w:tcPr>
          <w:p w14:paraId="42C60144" w14:textId="40B3993B"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Shkodër UK </w:t>
            </w:r>
            <w:r w:rsidR="00B40EC2" w:rsidRPr="00445472">
              <w:rPr>
                <w:rFonts w:ascii="Garamond" w:hAnsi="Garamond"/>
                <w:sz w:val="16"/>
                <w:szCs w:val="16"/>
                <w:lang w:eastAsia="en-GB"/>
              </w:rPr>
              <w:t>sh.a.</w:t>
            </w:r>
          </w:p>
        </w:tc>
        <w:tc>
          <w:tcPr>
            <w:tcW w:w="821" w:type="dxa"/>
            <w:shd w:val="clear" w:color="auto" w:fill="auto"/>
            <w:noWrap/>
            <w:vAlign w:val="center"/>
            <w:hideMark/>
          </w:tcPr>
          <w:p w14:paraId="412B5D47"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37A64E5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9,001</w:t>
            </w:r>
          </w:p>
        </w:tc>
        <w:tc>
          <w:tcPr>
            <w:tcW w:w="737" w:type="dxa"/>
            <w:shd w:val="clear" w:color="auto" w:fill="auto"/>
            <w:noWrap/>
            <w:vAlign w:val="center"/>
            <w:hideMark/>
          </w:tcPr>
          <w:p w14:paraId="0218993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8,585</w:t>
            </w:r>
          </w:p>
        </w:tc>
        <w:tc>
          <w:tcPr>
            <w:tcW w:w="737" w:type="dxa"/>
            <w:shd w:val="clear" w:color="auto" w:fill="auto"/>
            <w:noWrap/>
            <w:vAlign w:val="center"/>
            <w:hideMark/>
          </w:tcPr>
          <w:p w14:paraId="04BA36D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8,169</w:t>
            </w:r>
          </w:p>
        </w:tc>
        <w:tc>
          <w:tcPr>
            <w:tcW w:w="737" w:type="dxa"/>
            <w:shd w:val="clear" w:color="auto" w:fill="auto"/>
            <w:noWrap/>
            <w:vAlign w:val="center"/>
            <w:hideMark/>
          </w:tcPr>
          <w:p w14:paraId="76D571A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7,754</w:t>
            </w:r>
          </w:p>
        </w:tc>
        <w:tc>
          <w:tcPr>
            <w:tcW w:w="737" w:type="dxa"/>
            <w:shd w:val="clear" w:color="auto" w:fill="auto"/>
            <w:noWrap/>
            <w:vAlign w:val="center"/>
            <w:hideMark/>
          </w:tcPr>
          <w:p w14:paraId="7575E4F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7,338</w:t>
            </w:r>
          </w:p>
        </w:tc>
        <w:tc>
          <w:tcPr>
            <w:tcW w:w="737" w:type="dxa"/>
            <w:shd w:val="clear" w:color="auto" w:fill="auto"/>
            <w:noWrap/>
            <w:vAlign w:val="center"/>
            <w:hideMark/>
          </w:tcPr>
          <w:p w14:paraId="46DD58B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6,922</w:t>
            </w:r>
          </w:p>
        </w:tc>
        <w:tc>
          <w:tcPr>
            <w:tcW w:w="737" w:type="dxa"/>
            <w:shd w:val="clear" w:color="auto" w:fill="auto"/>
            <w:noWrap/>
            <w:vAlign w:val="center"/>
            <w:hideMark/>
          </w:tcPr>
          <w:p w14:paraId="34A0D92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6,506</w:t>
            </w:r>
          </w:p>
        </w:tc>
        <w:tc>
          <w:tcPr>
            <w:tcW w:w="737" w:type="dxa"/>
            <w:shd w:val="clear" w:color="auto" w:fill="auto"/>
            <w:noWrap/>
            <w:vAlign w:val="center"/>
            <w:hideMark/>
          </w:tcPr>
          <w:p w14:paraId="19B8100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6,090</w:t>
            </w:r>
          </w:p>
        </w:tc>
        <w:tc>
          <w:tcPr>
            <w:tcW w:w="737" w:type="dxa"/>
            <w:shd w:val="clear" w:color="auto" w:fill="auto"/>
            <w:noWrap/>
            <w:vAlign w:val="center"/>
            <w:hideMark/>
          </w:tcPr>
          <w:p w14:paraId="454C9CD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5,674</w:t>
            </w:r>
          </w:p>
        </w:tc>
        <w:tc>
          <w:tcPr>
            <w:tcW w:w="737" w:type="dxa"/>
            <w:shd w:val="clear" w:color="auto" w:fill="auto"/>
            <w:noWrap/>
            <w:vAlign w:val="center"/>
            <w:hideMark/>
          </w:tcPr>
          <w:p w14:paraId="272A917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5,259</w:t>
            </w:r>
          </w:p>
        </w:tc>
        <w:tc>
          <w:tcPr>
            <w:tcW w:w="737" w:type="dxa"/>
            <w:shd w:val="clear" w:color="auto" w:fill="auto"/>
            <w:noWrap/>
            <w:vAlign w:val="center"/>
            <w:hideMark/>
          </w:tcPr>
          <w:p w14:paraId="271B718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4,843</w:t>
            </w:r>
          </w:p>
        </w:tc>
        <w:tc>
          <w:tcPr>
            <w:tcW w:w="737" w:type="dxa"/>
            <w:shd w:val="clear" w:color="auto" w:fill="auto"/>
            <w:noWrap/>
            <w:vAlign w:val="center"/>
            <w:hideMark/>
          </w:tcPr>
          <w:p w14:paraId="62DE0B3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4,427</w:t>
            </w:r>
          </w:p>
        </w:tc>
        <w:tc>
          <w:tcPr>
            <w:tcW w:w="737" w:type="dxa"/>
            <w:shd w:val="clear" w:color="auto" w:fill="auto"/>
            <w:noWrap/>
            <w:vAlign w:val="center"/>
            <w:hideMark/>
          </w:tcPr>
          <w:p w14:paraId="7B616DB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4,011</w:t>
            </w:r>
          </w:p>
        </w:tc>
        <w:tc>
          <w:tcPr>
            <w:tcW w:w="737" w:type="dxa"/>
            <w:shd w:val="clear" w:color="auto" w:fill="auto"/>
            <w:noWrap/>
            <w:vAlign w:val="center"/>
            <w:hideMark/>
          </w:tcPr>
          <w:p w14:paraId="63BBB1F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3,595</w:t>
            </w:r>
          </w:p>
        </w:tc>
        <w:tc>
          <w:tcPr>
            <w:tcW w:w="737" w:type="dxa"/>
            <w:shd w:val="clear" w:color="auto" w:fill="auto"/>
            <w:noWrap/>
            <w:vAlign w:val="center"/>
            <w:hideMark/>
          </w:tcPr>
          <w:p w14:paraId="32A6531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3,180</w:t>
            </w:r>
          </w:p>
        </w:tc>
        <w:tc>
          <w:tcPr>
            <w:tcW w:w="737" w:type="dxa"/>
            <w:shd w:val="clear" w:color="auto" w:fill="auto"/>
            <w:noWrap/>
            <w:vAlign w:val="center"/>
            <w:hideMark/>
          </w:tcPr>
          <w:p w14:paraId="31CDE8A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2,764</w:t>
            </w:r>
          </w:p>
        </w:tc>
      </w:tr>
      <w:tr w:rsidR="002735B4" w:rsidRPr="00445472" w14:paraId="4263CBB0" w14:textId="77777777" w:rsidTr="002A1F08">
        <w:trPr>
          <w:trHeight w:val="225"/>
        </w:trPr>
        <w:tc>
          <w:tcPr>
            <w:tcW w:w="1531" w:type="dxa"/>
            <w:shd w:val="clear" w:color="auto" w:fill="auto"/>
            <w:noWrap/>
            <w:vAlign w:val="center"/>
            <w:hideMark/>
          </w:tcPr>
          <w:p w14:paraId="4DB4194C" w14:textId="2548CF57" w:rsidR="002735B4" w:rsidRPr="00445472" w:rsidRDefault="002735B4" w:rsidP="00B40EC2">
            <w:pPr>
              <w:spacing w:before="46" w:after="62"/>
              <w:rPr>
                <w:rFonts w:ascii="Garamond" w:hAnsi="Garamond"/>
                <w:sz w:val="16"/>
                <w:szCs w:val="16"/>
                <w:lang w:eastAsia="en-GB"/>
              </w:rPr>
            </w:pPr>
            <w:r w:rsidRPr="00445472">
              <w:rPr>
                <w:rFonts w:ascii="Garamond" w:hAnsi="Garamond"/>
                <w:sz w:val="16"/>
                <w:szCs w:val="16"/>
                <w:lang w:eastAsia="en-GB"/>
              </w:rPr>
              <w:t>Puk</w:t>
            </w:r>
            <w:r w:rsidR="00B40EC2" w:rsidRPr="00445472">
              <w:rPr>
                <w:rFonts w:ascii="Garamond" w:hAnsi="Garamond"/>
                <w:sz w:val="16"/>
                <w:szCs w:val="16"/>
                <w:lang w:eastAsia="en-GB"/>
              </w:rPr>
              <w:t>ë</w:t>
            </w:r>
            <w:r w:rsidRPr="00445472">
              <w:rPr>
                <w:rFonts w:ascii="Garamond" w:hAnsi="Garamond"/>
                <w:sz w:val="16"/>
                <w:szCs w:val="16"/>
                <w:lang w:eastAsia="en-GB"/>
              </w:rPr>
              <w:t xml:space="preserve"> fshat</w:t>
            </w:r>
          </w:p>
        </w:tc>
        <w:tc>
          <w:tcPr>
            <w:tcW w:w="821" w:type="dxa"/>
            <w:shd w:val="clear" w:color="auto" w:fill="auto"/>
            <w:noWrap/>
            <w:vAlign w:val="center"/>
            <w:hideMark/>
          </w:tcPr>
          <w:p w14:paraId="113B44AA"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29C5EF3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290</w:t>
            </w:r>
          </w:p>
        </w:tc>
        <w:tc>
          <w:tcPr>
            <w:tcW w:w="737" w:type="dxa"/>
            <w:shd w:val="clear" w:color="auto" w:fill="auto"/>
            <w:noWrap/>
            <w:vAlign w:val="center"/>
            <w:hideMark/>
          </w:tcPr>
          <w:p w14:paraId="2978144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288</w:t>
            </w:r>
          </w:p>
        </w:tc>
        <w:tc>
          <w:tcPr>
            <w:tcW w:w="737" w:type="dxa"/>
            <w:shd w:val="clear" w:color="auto" w:fill="auto"/>
            <w:noWrap/>
            <w:vAlign w:val="center"/>
            <w:hideMark/>
          </w:tcPr>
          <w:p w14:paraId="7EAF0A8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285</w:t>
            </w:r>
          </w:p>
        </w:tc>
        <w:tc>
          <w:tcPr>
            <w:tcW w:w="737" w:type="dxa"/>
            <w:shd w:val="clear" w:color="auto" w:fill="auto"/>
            <w:noWrap/>
            <w:vAlign w:val="center"/>
            <w:hideMark/>
          </w:tcPr>
          <w:p w14:paraId="1C3417B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282</w:t>
            </w:r>
          </w:p>
        </w:tc>
        <w:tc>
          <w:tcPr>
            <w:tcW w:w="737" w:type="dxa"/>
            <w:shd w:val="clear" w:color="auto" w:fill="auto"/>
            <w:noWrap/>
            <w:vAlign w:val="center"/>
            <w:hideMark/>
          </w:tcPr>
          <w:p w14:paraId="157DA6C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279</w:t>
            </w:r>
          </w:p>
        </w:tc>
        <w:tc>
          <w:tcPr>
            <w:tcW w:w="737" w:type="dxa"/>
            <w:shd w:val="clear" w:color="auto" w:fill="auto"/>
            <w:noWrap/>
            <w:vAlign w:val="center"/>
            <w:hideMark/>
          </w:tcPr>
          <w:p w14:paraId="107348E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277</w:t>
            </w:r>
          </w:p>
        </w:tc>
        <w:tc>
          <w:tcPr>
            <w:tcW w:w="737" w:type="dxa"/>
            <w:shd w:val="clear" w:color="auto" w:fill="auto"/>
            <w:noWrap/>
            <w:vAlign w:val="center"/>
            <w:hideMark/>
          </w:tcPr>
          <w:p w14:paraId="31C18DE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274</w:t>
            </w:r>
          </w:p>
        </w:tc>
        <w:tc>
          <w:tcPr>
            <w:tcW w:w="737" w:type="dxa"/>
            <w:shd w:val="clear" w:color="auto" w:fill="auto"/>
            <w:noWrap/>
            <w:vAlign w:val="center"/>
            <w:hideMark/>
          </w:tcPr>
          <w:p w14:paraId="696CCC2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271</w:t>
            </w:r>
          </w:p>
        </w:tc>
        <w:tc>
          <w:tcPr>
            <w:tcW w:w="737" w:type="dxa"/>
            <w:shd w:val="clear" w:color="auto" w:fill="auto"/>
            <w:noWrap/>
            <w:vAlign w:val="center"/>
            <w:hideMark/>
          </w:tcPr>
          <w:p w14:paraId="0DE0BEB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269</w:t>
            </w:r>
          </w:p>
        </w:tc>
        <w:tc>
          <w:tcPr>
            <w:tcW w:w="737" w:type="dxa"/>
            <w:shd w:val="clear" w:color="auto" w:fill="auto"/>
            <w:noWrap/>
            <w:vAlign w:val="center"/>
            <w:hideMark/>
          </w:tcPr>
          <w:p w14:paraId="02018EC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266</w:t>
            </w:r>
          </w:p>
        </w:tc>
        <w:tc>
          <w:tcPr>
            <w:tcW w:w="737" w:type="dxa"/>
            <w:shd w:val="clear" w:color="auto" w:fill="auto"/>
            <w:noWrap/>
            <w:vAlign w:val="center"/>
            <w:hideMark/>
          </w:tcPr>
          <w:p w14:paraId="10CF64C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263</w:t>
            </w:r>
          </w:p>
        </w:tc>
        <w:tc>
          <w:tcPr>
            <w:tcW w:w="737" w:type="dxa"/>
            <w:shd w:val="clear" w:color="auto" w:fill="auto"/>
            <w:noWrap/>
            <w:vAlign w:val="center"/>
            <w:hideMark/>
          </w:tcPr>
          <w:p w14:paraId="7F58E84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261</w:t>
            </w:r>
          </w:p>
        </w:tc>
        <w:tc>
          <w:tcPr>
            <w:tcW w:w="737" w:type="dxa"/>
            <w:shd w:val="clear" w:color="auto" w:fill="auto"/>
            <w:noWrap/>
            <w:vAlign w:val="center"/>
            <w:hideMark/>
          </w:tcPr>
          <w:p w14:paraId="10D3C41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258</w:t>
            </w:r>
          </w:p>
        </w:tc>
        <w:tc>
          <w:tcPr>
            <w:tcW w:w="737" w:type="dxa"/>
            <w:shd w:val="clear" w:color="auto" w:fill="auto"/>
            <w:noWrap/>
            <w:vAlign w:val="center"/>
            <w:hideMark/>
          </w:tcPr>
          <w:p w14:paraId="27154C6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255</w:t>
            </w:r>
          </w:p>
        </w:tc>
        <w:tc>
          <w:tcPr>
            <w:tcW w:w="737" w:type="dxa"/>
            <w:shd w:val="clear" w:color="auto" w:fill="auto"/>
            <w:noWrap/>
            <w:vAlign w:val="center"/>
            <w:hideMark/>
          </w:tcPr>
          <w:p w14:paraId="7720631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253</w:t>
            </w:r>
          </w:p>
        </w:tc>
        <w:tc>
          <w:tcPr>
            <w:tcW w:w="737" w:type="dxa"/>
            <w:shd w:val="clear" w:color="auto" w:fill="auto"/>
            <w:noWrap/>
            <w:vAlign w:val="center"/>
            <w:hideMark/>
          </w:tcPr>
          <w:p w14:paraId="3086E74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250</w:t>
            </w:r>
          </w:p>
        </w:tc>
      </w:tr>
      <w:tr w:rsidR="002735B4" w:rsidRPr="00445472" w14:paraId="63CD71DF" w14:textId="77777777" w:rsidTr="002A1F08">
        <w:trPr>
          <w:trHeight w:val="225"/>
        </w:trPr>
        <w:tc>
          <w:tcPr>
            <w:tcW w:w="1531" w:type="dxa"/>
            <w:shd w:val="clear" w:color="auto" w:fill="auto"/>
            <w:noWrap/>
            <w:vAlign w:val="center"/>
            <w:hideMark/>
          </w:tcPr>
          <w:p w14:paraId="0989F58F" w14:textId="512FAF41"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Shkodër (F) U </w:t>
            </w:r>
            <w:r w:rsidR="00B40EC2" w:rsidRPr="00445472">
              <w:rPr>
                <w:rFonts w:ascii="Garamond" w:hAnsi="Garamond"/>
                <w:sz w:val="16"/>
                <w:szCs w:val="16"/>
                <w:lang w:eastAsia="en-GB"/>
              </w:rPr>
              <w:t>sh.a.</w:t>
            </w:r>
          </w:p>
        </w:tc>
        <w:tc>
          <w:tcPr>
            <w:tcW w:w="821" w:type="dxa"/>
            <w:shd w:val="clear" w:color="auto" w:fill="auto"/>
            <w:noWrap/>
            <w:vAlign w:val="center"/>
            <w:hideMark/>
          </w:tcPr>
          <w:p w14:paraId="0C9E2187"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297902D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633</w:t>
            </w:r>
          </w:p>
        </w:tc>
        <w:tc>
          <w:tcPr>
            <w:tcW w:w="737" w:type="dxa"/>
            <w:shd w:val="clear" w:color="auto" w:fill="auto"/>
            <w:noWrap/>
            <w:vAlign w:val="center"/>
            <w:hideMark/>
          </w:tcPr>
          <w:p w14:paraId="226E16C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704</w:t>
            </w:r>
          </w:p>
        </w:tc>
        <w:tc>
          <w:tcPr>
            <w:tcW w:w="737" w:type="dxa"/>
            <w:shd w:val="clear" w:color="auto" w:fill="auto"/>
            <w:noWrap/>
            <w:vAlign w:val="center"/>
            <w:hideMark/>
          </w:tcPr>
          <w:p w14:paraId="746C4D4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775</w:t>
            </w:r>
          </w:p>
        </w:tc>
        <w:tc>
          <w:tcPr>
            <w:tcW w:w="737" w:type="dxa"/>
            <w:shd w:val="clear" w:color="auto" w:fill="auto"/>
            <w:noWrap/>
            <w:vAlign w:val="center"/>
            <w:hideMark/>
          </w:tcPr>
          <w:p w14:paraId="79DE2C4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847</w:t>
            </w:r>
          </w:p>
        </w:tc>
        <w:tc>
          <w:tcPr>
            <w:tcW w:w="737" w:type="dxa"/>
            <w:shd w:val="clear" w:color="auto" w:fill="auto"/>
            <w:noWrap/>
            <w:vAlign w:val="center"/>
            <w:hideMark/>
          </w:tcPr>
          <w:p w14:paraId="5B54BD1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918</w:t>
            </w:r>
          </w:p>
        </w:tc>
        <w:tc>
          <w:tcPr>
            <w:tcW w:w="737" w:type="dxa"/>
            <w:shd w:val="clear" w:color="auto" w:fill="auto"/>
            <w:noWrap/>
            <w:vAlign w:val="center"/>
            <w:hideMark/>
          </w:tcPr>
          <w:p w14:paraId="5CE7D2F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989</w:t>
            </w:r>
          </w:p>
        </w:tc>
        <w:tc>
          <w:tcPr>
            <w:tcW w:w="737" w:type="dxa"/>
            <w:shd w:val="clear" w:color="auto" w:fill="auto"/>
            <w:noWrap/>
            <w:vAlign w:val="center"/>
            <w:hideMark/>
          </w:tcPr>
          <w:p w14:paraId="4495D20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1,060</w:t>
            </w:r>
          </w:p>
        </w:tc>
        <w:tc>
          <w:tcPr>
            <w:tcW w:w="737" w:type="dxa"/>
            <w:shd w:val="clear" w:color="auto" w:fill="auto"/>
            <w:noWrap/>
            <w:vAlign w:val="center"/>
            <w:hideMark/>
          </w:tcPr>
          <w:p w14:paraId="42A7577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1,131</w:t>
            </w:r>
          </w:p>
        </w:tc>
        <w:tc>
          <w:tcPr>
            <w:tcW w:w="737" w:type="dxa"/>
            <w:shd w:val="clear" w:color="auto" w:fill="auto"/>
            <w:noWrap/>
            <w:vAlign w:val="center"/>
            <w:hideMark/>
          </w:tcPr>
          <w:p w14:paraId="28D46DC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1,203</w:t>
            </w:r>
          </w:p>
        </w:tc>
        <w:tc>
          <w:tcPr>
            <w:tcW w:w="737" w:type="dxa"/>
            <w:shd w:val="clear" w:color="auto" w:fill="auto"/>
            <w:noWrap/>
            <w:vAlign w:val="center"/>
            <w:hideMark/>
          </w:tcPr>
          <w:p w14:paraId="7883CEB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1,274</w:t>
            </w:r>
          </w:p>
        </w:tc>
        <w:tc>
          <w:tcPr>
            <w:tcW w:w="737" w:type="dxa"/>
            <w:shd w:val="clear" w:color="auto" w:fill="auto"/>
            <w:noWrap/>
            <w:vAlign w:val="center"/>
            <w:hideMark/>
          </w:tcPr>
          <w:p w14:paraId="739F475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1,345</w:t>
            </w:r>
          </w:p>
        </w:tc>
        <w:tc>
          <w:tcPr>
            <w:tcW w:w="737" w:type="dxa"/>
            <w:shd w:val="clear" w:color="auto" w:fill="auto"/>
            <w:noWrap/>
            <w:vAlign w:val="center"/>
            <w:hideMark/>
          </w:tcPr>
          <w:p w14:paraId="4081637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1,416</w:t>
            </w:r>
          </w:p>
        </w:tc>
        <w:tc>
          <w:tcPr>
            <w:tcW w:w="737" w:type="dxa"/>
            <w:shd w:val="clear" w:color="auto" w:fill="auto"/>
            <w:noWrap/>
            <w:vAlign w:val="center"/>
            <w:hideMark/>
          </w:tcPr>
          <w:p w14:paraId="3ED1E4B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1,488</w:t>
            </w:r>
          </w:p>
        </w:tc>
        <w:tc>
          <w:tcPr>
            <w:tcW w:w="737" w:type="dxa"/>
            <w:shd w:val="clear" w:color="auto" w:fill="auto"/>
            <w:noWrap/>
            <w:vAlign w:val="center"/>
            <w:hideMark/>
          </w:tcPr>
          <w:p w14:paraId="153FE61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1,559</w:t>
            </w:r>
          </w:p>
        </w:tc>
        <w:tc>
          <w:tcPr>
            <w:tcW w:w="737" w:type="dxa"/>
            <w:shd w:val="clear" w:color="auto" w:fill="auto"/>
            <w:noWrap/>
            <w:vAlign w:val="center"/>
            <w:hideMark/>
          </w:tcPr>
          <w:p w14:paraId="4F6B079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1,630</w:t>
            </w:r>
          </w:p>
        </w:tc>
        <w:tc>
          <w:tcPr>
            <w:tcW w:w="737" w:type="dxa"/>
            <w:shd w:val="clear" w:color="auto" w:fill="auto"/>
            <w:noWrap/>
            <w:vAlign w:val="center"/>
            <w:hideMark/>
          </w:tcPr>
          <w:p w14:paraId="580F737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1,701</w:t>
            </w:r>
          </w:p>
        </w:tc>
      </w:tr>
      <w:tr w:rsidR="002735B4" w:rsidRPr="00445472" w14:paraId="25067430" w14:textId="77777777" w:rsidTr="002A1F08">
        <w:trPr>
          <w:trHeight w:val="225"/>
        </w:trPr>
        <w:tc>
          <w:tcPr>
            <w:tcW w:w="1531" w:type="dxa"/>
            <w:shd w:val="clear" w:color="auto" w:fill="auto"/>
            <w:noWrap/>
            <w:vAlign w:val="center"/>
            <w:hideMark/>
          </w:tcPr>
          <w:p w14:paraId="5B966974" w14:textId="3FB6ED4E" w:rsidR="002735B4" w:rsidRPr="00445472" w:rsidRDefault="00B40EC2" w:rsidP="002A1F08">
            <w:pPr>
              <w:spacing w:before="46" w:after="62"/>
              <w:rPr>
                <w:rFonts w:ascii="Garamond" w:hAnsi="Garamond"/>
                <w:sz w:val="16"/>
                <w:szCs w:val="16"/>
                <w:lang w:eastAsia="en-GB"/>
              </w:rPr>
            </w:pPr>
            <w:r w:rsidRPr="00445472">
              <w:rPr>
                <w:rFonts w:ascii="Garamond" w:hAnsi="Garamond"/>
                <w:sz w:val="16"/>
                <w:szCs w:val="16"/>
                <w:lang w:eastAsia="en-GB"/>
              </w:rPr>
              <w:t>Fushë-</w:t>
            </w:r>
            <w:r w:rsidR="002735B4" w:rsidRPr="00445472">
              <w:rPr>
                <w:rFonts w:ascii="Garamond" w:hAnsi="Garamond"/>
                <w:sz w:val="16"/>
                <w:szCs w:val="16"/>
                <w:lang w:eastAsia="en-GB"/>
              </w:rPr>
              <w:t>Arrëz UK Sh.A</w:t>
            </w:r>
          </w:p>
        </w:tc>
        <w:tc>
          <w:tcPr>
            <w:tcW w:w="821" w:type="dxa"/>
            <w:shd w:val="clear" w:color="auto" w:fill="auto"/>
            <w:noWrap/>
            <w:vAlign w:val="center"/>
            <w:hideMark/>
          </w:tcPr>
          <w:p w14:paraId="34586121"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3D930E9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331</w:t>
            </w:r>
          </w:p>
        </w:tc>
        <w:tc>
          <w:tcPr>
            <w:tcW w:w="737" w:type="dxa"/>
            <w:shd w:val="clear" w:color="auto" w:fill="auto"/>
            <w:noWrap/>
            <w:vAlign w:val="center"/>
            <w:hideMark/>
          </w:tcPr>
          <w:p w14:paraId="4DA3D4B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316</w:t>
            </w:r>
          </w:p>
        </w:tc>
        <w:tc>
          <w:tcPr>
            <w:tcW w:w="737" w:type="dxa"/>
            <w:shd w:val="clear" w:color="auto" w:fill="auto"/>
            <w:noWrap/>
            <w:vAlign w:val="center"/>
            <w:hideMark/>
          </w:tcPr>
          <w:p w14:paraId="2124D8E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301</w:t>
            </w:r>
          </w:p>
        </w:tc>
        <w:tc>
          <w:tcPr>
            <w:tcW w:w="737" w:type="dxa"/>
            <w:shd w:val="clear" w:color="auto" w:fill="auto"/>
            <w:noWrap/>
            <w:vAlign w:val="center"/>
            <w:hideMark/>
          </w:tcPr>
          <w:p w14:paraId="1DA2275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286</w:t>
            </w:r>
          </w:p>
        </w:tc>
        <w:tc>
          <w:tcPr>
            <w:tcW w:w="737" w:type="dxa"/>
            <w:shd w:val="clear" w:color="auto" w:fill="auto"/>
            <w:noWrap/>
            <w:vAlign w:val="center"/>
            <w:hideMark/>
          </w:tcPr>
          <w:p w14:paraId="70CC973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271</w:t>
            </w:r>
          </w:p>
        </w:tc>
        <w:tc>
          <w:tcPr>
            <w:tcW w:w="737" w:type="dxa"/>
            <w:shd w:val="clear" w:color="auto" w:fill="auto"/>
            <w:noWrap/>
            <w:vAlign w:val="center"/>
            <w:hideMark/>
          </w:tcPr>
          <w:p w14:paraId="73D0F11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257</w:t>
            </w:r>
          </w:p>
        </w:tc>
        <w:tc>
          <w:tcPr>
            <w:tcW w:w="737" w:type="dxa"/>
            <w:shd w:val="clear" w:color="auto" w:fill="auto"/>
            <w:noWrap/>
            <w:vAlign w:val="center"/>
            <w:hideMark/>
          </w:tcPr>
          <w:p w14:paraId="31BCF0E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242</w:t>
            </w:r>
          </w:p>
        </w:tc>
        <w:tc>
          <w:tcPr>
            <w:tcW w:w="737" w:type="dxa"/>
            <w:shd w:val="clear" w:color="auto" w:fill="auto"/>
            <w:noWrap/>
            <w:vAlign w:val="center"/>
            <w:hideMark/>
          </w:tcPr>
          <w:p w14:paraId="387335D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227</w:t>
            </w:r>
          </w:p>
        </w:tc>
        <w:tc>
          <w:tcPr>
            <w:tcW w:w="737" w:type="dxa"/>
            <w:shd w:val="clear" w:color="auto" w:fill="auto"/>
            <w:noWrap/>
            <w:vAlign w:val="center"/>
            <w:hideMark/>
          </w:tcPr>
          <w:p w14:paraId="36E499F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212</w:t>
            </w:r>
          </w:p>
        </w:tc>
        <w:tc>
          <w:tcPr>
            <w:tcW w:w="737" w:type="dxa"/>
            <w:shd w:val="clear" w:color="auto" w:fill="auto"/>
            <w:noWrap/>
            <w:vAlign w:val="center"/>
            <w:hideMark/>
          </w:tcPr>
          <w:p w14:paraId="7AF2BEE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197</w:t>
            </w:r>
          </w:p>
        </w:tc>
        <w:tc>
          <w:tcPr>
            <w:tcW w:w="737" w:type="dxa"/>
            <w:shd w:val="clear" w:color="auto" w:fill="auto"/>
            <w:noWrap/>
            <w:vAlign w:val="center"/>
            <w:hideMark/>
          </w:tcPr>
          <w:p w14:paraId="4D9212D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182</w:t>
            </w:r>
          </w:p>
        </w:tc>
        <w:tc>
          <w:tcPr>
            <w:tcW w:w="737" w:type="dxa"/>
            <w:shd w:val="clear" w:color="auto" w:fill="auto"/>
            <w:noWrap/>
            <w:vAlign w:val="center"/>
            <w:hideMark/>
          </w:tcPr>
          <w:p w14:paraId="77E965B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167</w:t>
            </w:r>
          </w:p>
        </w:tc>
        <w:tc>
          <w:tcPr>
            <w:tcW w:w="737" w:type="dxa"/>
            <w:shd w:val="clear" w:color="auto" w:fill="auto"/>
            <w:noWrap/>
            <w:vAlign w:val="center"/>
            <w:hideMark/>
          </w:tcPr>
          <w:p w14:paraId="4FEF423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152</w:t>
            </w:r>
          </w:p>
        </w:tc>
        <w:tc>
          <w:tcPr>
            <w:tcW w:w="737" w:type="dxa"/>
            <w:shd w:val="clear" w:color="auto" w:fill="auto"/>
            <w:noWrap/>
            <w:vAlign w:val="center"/>
            <w:hideMark/>
          </w:tcPr>
          <w:p w14:paraId="28CC2F3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137</w:t>
            </w:r>
          </w:p>
        </w:tc>
        <w:tc>
          <w:tcPr>
            <w:tcW w:w="737" w:type="dxa"/>
            <w:shd w:val="clear" w:color="auto" w:fill="auto"/>
            <w:noWrap/>
            <w:vAlign w:val="center"/>
            <w:hideMark/>
          </w:tcPr>
          <w:p w14:paraId="3C3B444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122</w:t>
            </w:r>
          </w:p>
        </w:tc>
        <w:tc>
          <w:tcPr>
            <w:tcW w:w="737" w:type="dxa"/>
            <w:shd w:val="clear" w:color="auto" w:fill="auto"/>
            <w:noWrap/>
            <w:vAlign w:val="center"/>
            <w:hideMark/>
          </w:tcPr>
          <w:p w14:paraId="48B6B9E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107</w:t>
            </w:r>
          </w:p>
        </w:tc>
      </w:tr>
      <w:tr w:rsidR="002735B4" w:rsidRPr="00445472" w14:paraId="4185BBBC" w14:textId="77777777" w:rsidTr="002A1F08">
        <w:trPr>
          <w:trHeight w:val="225"/>
        </w:trPr>
        <w:tc>
          <w:tcPr>
            <w:tcW w:w="1531" w:type="dxa"/>
            <w:shd w:val="clear" w:color="auto" w:fill="auto"/>
            <w:noWrap/>
            <w:vAlign w:val="center"/>
            <w:hideMark/>
          </w:tcPr>
          <w:p w14:paraId="03A421CB" w14:textId="52796E5D"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Librazhd UK </w:t>
            </w:r>
            <w:r w:rsidR="00B40EC2" w:rsidRPr="00445472">
              <w:rPr>
                <w:rFonts w:ascii="Garamond" w:hAnsi="Garamond"/>
                <w:sz w:val="16"/>
                <w:szCs w:val="16"/>
                <w:lang w:eastAsia="en-GB"/>
              </w:rPr>
              <w:t>sh.a.</w:t>
            </w:r>
          </w:p>
        </w:tc>
        <w:tc>
          <w:tcPr>
            <w:tcW w:w="821" w:type="dxa"/>
            <w:shd w:val="clear" w:color="auto" w:fill="auto"/>
            <w:noWrap/>
            <w:vAlign w:val="center"/>
            <w:hideMark/>
          </w:tcPr>
          <w:p w14:paraId="4AB11FBE"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081BA24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184</w:t>
            </w:r>
          </w:p>
        </w:tc>
        <w:tc>
          <w:tcPr>
            <w:tcW w:w="737" w:type="dxa"/>
            <w:shd w:val="clear" w:color="auto" w:fill="auto"/>
            <w:noWrap/>
            <w:vAlign w:val="center"/>
            <w:hideMark/>
          </w:tcPr>
          <w:p w14:paraId="272E3B7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201</w:t>
            </w:r>
          </w:p>
        </w:tc>
        <w:tc>
          <w:tcPr>
            <w:tcW w:w="737" w:type="dxa"/>
            <w:shd w:val="clear" w:color="auto" w:fill="auto"/>
            <w:noWrap/>
            <w:vAlign w:val="center"/>
            <w:hideMark/>
          </w:tcPr>
          <w:p w14:paraId="33AD0A3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218</w:t>
            </w:r>
          </w:p>
        </w:tc>
        <w:tc>
          <w:tcPr>
            <w:tcW w:w="737" w:type="dxa"/>
            <w:shd w:val="clear" w:color="auto" w:fill="auto"/>
            <w:noWrap/>
            <w:vAlign w:val="center"/>
            <w:hideMark/>
          </w:tcPr>
          <w:p w14:paraId="106ED29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236</w:t>
            </w:r>
          </w:p>
        </w:tc>
        <w:tc>
          <w:tcPr>
            <w:tcW w:w="737" w:type="dxa"/>
            <w:shd w:val="clear" w:color="auto" w:fill="auto"/>
            <w:noWrap/>
            <w:vAlign w:val="center"/>
            <w:hideMark/>
          </w:tcPr>
          <w:p w14:paraId="06913A6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253</w:t>
            </w:r>
          </w:p>
        </w:tc>
        <w:tc>
          <w:tcPr>
            <w:tcW w:w="737" w:type="dxa"/>
            <w:shd w:val="clear" w:color="auto" w:fill="auto"/>
            <w:noWrap/>
            <w:vAlign w:val="center"/>
            <w:hideMark/>
          </w:tcPr>
          <w:p w14:paraId="0C79611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270</w:t>
            </w:r>
          </w:p>
        </w:tc>
        <w:tc>
          <w:tcPr>
            <w:tcW w:w="737" w:type="dxa"/>
            <w:shd w:val="clear" w:color="auto" w:fill="auto"/>
            <w:noWrap/>
            <w:vAlign w:val="center"/>
            <w:hideMark/>
          </w:tcPr>
          <w:p w14:paraId="278DD47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287</w:t>
            </w:r>
          </w:p>
        </w:tc>
        <w:tc>
          <w:tcPr>
            <w:tcW w:w="737" w:type="dxa"/>
            <w:shd w:val="clear" w:color="auto" w:fill="auto"/>
            <w:noWrap/>
            <w:vAlign w:val="center"/>
            <w:hideMark/>
          </w:tcPr>
          <w:p w14:paraId="071CCCC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305</w:t>
            </w:r>
          </w:p>
        </w:tc>
        <w:tc>
          <w:tcPr>
            <w:tcW w:w="737" w:type="dxa"/>
            <w:shd w:val="clear" w:color="auto" w:fill="auto"/>
            <w:noWrap/>
            <w:vAlign w:val="center"/>
            <w:hideMark/>
          </w:tcPr>
          <w:p w14:paraId="76E87ED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322</w:t>
            </w:r>
          </w:p>
        </w:tc>
        <w:tc>
          <w:tcPr>
            <w:tcW w:w="737" w:type="dxa"/>
            <w:shd w:val="clear" w:color="auto" w:fill="auto"/>
            <w:noWrap/>
            <w:vAlign w:val="center"/>
            <w:hideMark/>
          </w:tcPr>
          <w:p w14:paraId="5057508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339</w:t>
            </w:r>
          </w:p>
        </w:tc>
        <w:tc>
          <w:tcPr>
            <w:tcW w:w="737" w:type="dxa"/>
            <w:shd w:val="clear" w:color="auto" w:fill="auto"/>
            <w:noWrap/>
            <w:vAlign w:val="center"/>
            <w:hideMark/>
          </w:tcPr>
          <w:p w14:paraId="40B8408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356</w:t>
            </w:r>
          </w:p>
        </w:tc>
        <w:tc>
          <w:tcPr>
            <w:tcW w:w="737" w:type="dxa"/>
            <w:shd w:val="clear" w:color="auto" w:fill="auto"/>
            <w:noWrap/>
            <w:vAlign w:val="center"/>
            <w:hideMark/>
          </w:tcPr>
          <w:p w14:paraId="778F4DF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374</w:t>
            </w:r>
          </w:p>
        </w:tc>
        <w:tc>
          <w:tcPr>
            <w:tcW w:w="737" w:type="dxa"/>
            <w:shd w:val="clear" w:color="auto" w:fill="auto"/>
            <w:noWrap/>
            <w:vAlign w:val="center"/>
            <w:hideMark/>
          </w:tcPr>
          <w:p w14:paraId="4FAE999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391</w:t>
            </w:r>
          </w:p>
        </w:tc>
        <w:tc>
          <w:tcPr>
            <w:tcW w:w="737" w:type="dxa"/>
            <w:shd w:val="clear" w:color="auto" w:fill="auto"/>
            <w:noWrap/>
            <w:vAlign w:val="center"/>
            <w:hideMark/>
          </w:tcPr>
          <w:p w14:paraId="78469A0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408</w:t>
            </w:r>
          </w:p>
        </w:tc>
        <w:tc>
          <w:tcPr>
            <w:tcW w:w="737" w:type="dxa"/>
            <w:shd w:val="clear" w:color="auto" w:fill="auto"/>
            <w:noWrap/>
            <w:vAlign w:val="center"/>
            <w:hideMark/>
          </w:tcPr>
          <w:p w14:paraId="4790FC6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425</w:t>
            </w:r>
          </w:p>
        </w:tc>
        <w:tc>
          <w:tcPr>
            <w:tcW w:w="737" w:type="dxa"/>
            <w:shd w:val="clear" w:color="auto" w:fill="auto"/>
            <w:noWrap/>
            <w:vAlign w:val="center"/>
            <w:hideMark/>
          </w:tcPr>
          <w:p w14:paraId="202EE14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443</w:t>
            </w:r>
          </w:p>
        </w:tc>
      </w:tr>
      <w:tr w:rsidR="002735B4" w:rsidRPr="00445472" w14:paraId="7CC6B990" w14:textId="77777777" w:rsidTr="002A1F08">
        <w:trPr>
          <w:trHeight w:val="225"/>
        </w:trPr>
        <w:tc>
          <w:tcPr>
            <w:tcW w:w="1531" w:type="dxa"/>
            <w:shd w:val="clear" w:color="auto" w:fill="auto"/>
            <w:noWrap/>
            <w:vAlign w:val="center"/>
            <w:hideMark/>
          </w:tcPr>
          <w:p w14:paraId="427FEBB2" w14:textId="2E81423E"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Peshkopi U </w:t>
            </w:r>
            <w:r w:rsidR="00B40EC2" w:rsidRPr="00445472">
              <w:rPr>
                <w:rFonts w:ascii="Garamond" w:hAnsi="Garamond"/>
                <w:sz w:val="16"/>
                <w:szCs w:val="16"/>
                <w:lang w:eastAsia="en-GB"/>
              </w:rPr>
              <w:t>sh.a.</w:t>
            </w:r>
          </w:p>
        </w:tc>
        <w:tc>
          <w:tcPr>
            <w:tcW w:w="821" w:type="dxa"/>
            <w:shd w:val="clear" w:color="auto" w:fill="auto"/>
            <w:noWrap/>
            <w:vAlign w:val="center"/>
            <w:hideMark/>
          </w:tcPr>
          <w:p w14:paraId="4081E1AF"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51BBBE2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1,110</w:t>
            </w:r>
          </w:p>
        </w:tc>
        <w:tc>
          <w:tcPr>
            <w:tcW w:w="737" w:type="dxa"/>
            <w:shd w:val="clear" w:color="auto" w:fill="auto"/>
            <w:noWrap/>
            <w:vAlign w:val="center"/>
            <w:hideMark/>
          </w:tcPr>
          <w:p w14:paraId="2A79E3B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1,082</w:t>
            </w:r>
          </w:p>
        </w:tc>
        <w:tc>
          <w:tcPr>
            <w:tcW w:w="737" w:type="dxa"/>
            <w:shd w:val="clear" w:color="auto" w:fill="auto"/>
            <w:noWrap/>
            <w:vAlign w:val="center"/>
            <w:hideMark/>
          </w:tcPr>
          <w:p w14:paraId="212284C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1,055</w:t>
            </w:r>
          </w:p>
        </w:tc>
        <w:tc>
          <w:tcPr>
            <w:tcW w:w="737" w:type="dxa"/>
            <w:shd w:val="clear" w:color="auto" w:fill="auto"/>
            <w:noWrap/>
            <w:vAlign w:val="center"/>
            <w:hideMark/>
          </w:tcPr>
          <w:p w14:paraId="444CAC3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1,028</w:t>
            </w:r>
          </w:p>
        </w:tc>
        <w:tc>
          <w:tcPr>
            <w:tcW w:w="737" w:type="dxa"/>
            <w:shd w:val="clear" w:color="auto" w:fill="auto"/>
            <w:noWrap/>
            <w:vAlign w:val="center"/>
            <w:hideMark/>
          </w:tcPr>
          <w:p w14:paraId="4C76D53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1,001</w:t>
            </w:r>
          </w:p>
        </w:tc>
        <w:tc>
          <w:tcPr>
            <w:tcW w:w="737" w:type="dxa"/>
            <w:shd w:val="clear" w:color="auto" w:fill="auto"/>
            <w:noWrap/>
            <w:vAlign w:val="center"/>
            <w:hideMark/>
          </w:tcPr>
          <w:p w14:paraId="05DDF9F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973</w:t>
            </w:r>
          </w:p>
        </w:tc>
        <w:tc>
          <w:tcPr>
            <w:tcW w:w="737" w:type="dxa"/>
            <w:shd w:val="clear" w:color="auto" w:fill="auto"/>
            <w:noWrap/>
            <w:vAlign w:val="center"/>
            <w:hideMark/>
          </w:tcPr>
          <w:p w14:paraId="2FCB5CE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946</w:t>
            </w:r>
          </w:p>
        </w:tc>
        <w:tc>
          <w:tcPr>
            <w:tcW w:w="737" w:type="dxa"/>
            <w:shd w:val="clear" w:color="auto" w:fill="auto"/>
            <w:noWrap/>
            <w:vAlign w:val="center"/>
            <w:hideMark/>
          </w:tcPr>
          <w:p w14:paraId="27B82AD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919</w:t>
            </w:r>
          </w:p>
        </w:tc>
        <w:tc>
          <w:tcPr>
            <w:tcW w:w="737" w:type="dxa"/>
            <w:shd w:val="clear" w:color="auto" w:fill="auto"/>
            <w:noWrap/>
            <w:vAlign w:val="center"/>
            <w:hideMark/>
          </w:tcPr>
          <w:p w14:paraId="5F51406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892</w:t>
            </w:r>
          </w:p>
        </w:tc>
        <w:tc>
          <w:tcPr>
            <w:tcW w:w="737" w:type="dxa"/>
            <w:shd w:val="clear" w:color="auto" w:fill="auto"/>
            <w:noWrap/>
            <w:vAlign w:val="center"/>
            <w:hideMark/>
          </w:tcPr>
          <w:p w14:paraId="4B21246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864</w:t>
            </w:r>
          </w:p>
        </w:tc>
        <w:tc>
          <w:tcPr>
            <w:tcW w:w="737" w:type="dxa"/>
            <w:shd w:val="clear" w:color="auto" w:fill="auto"/>
            <w:noWrap/>
            <w:vAlign w:val="center"/>
            <w:hideMark/>
          </w:tcPr>
          <w:p w14:paraId="517F8ED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837</w:t>
            </w:r>
          </w:p>
        </w:tc>
        <w:tc>
          <w:tcPr>
            <w:tcW w:w="737" w:type="dxa"/>
            <w:shd w:val="clear" w:color="auto" w:fill="auto"/>
            <w:noWrap/>
            <w:vAlign w:val="center"/>
            <w:hideMark/>
          </w:tcPr>
          <w:p w14:paraId="2596AF4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810</w:t>
            </w:r>
          </w:p>
        </w:tc>
        <w:tc>
          <w:tcPr>
            <w:tcW w:w="737" w:type="dxa"/>
            <w:shd w:val="clear" w:color="auto" w:fill="auto"/>
            <w:noWrap/>
            <w:vAlign w:val="center"/>
            <w:hideMark/>
          </w:tcPr>
          <w:p w14:paraId="20CE4DD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783</w:t>
            </w:r>
          </w:p>
        </w:tc>
        <w:tc>
          <w:tcPr>
            <w:tcW w:w="737" w:type="dxa"/>
            <w:shd w:val="clear" w:color="auto" w:fill="auto"/>
            <w:noWrap/>
            <w:vAlign w:val="center"/>
            <w:hideMark/>
          </w:tcPr>
          <w:p w14:paraId="258C38C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755</w:t>
            </w:r>
          </w:p>
        </w:tc>
        <w:tc>
          <w:tcPr>
            <w:tcW w:w="737" w:type="dxa"/>
            <w:shd w:val="clear" w:color="auto" w:fill="auto"/>
            <w:noWrap/>
            <w:vAlign w:val="center"/>
            <w:hideMark/>
          </w:tcPr>
          <w:p w14:paraId="0F6AC25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728</w:t>
            </w:r>
          </w:p>
        </w:tc>
        <w:tc>
          <w:tcPr>
            <w:tcW w:w="737" w:type="dxa"/>
            <w:shd w:val="clear" w:color="auto" w:fill="auto"/>
            <w:noWrap/>
            <w:vAlign w:val="center"/>
            <w:hideMark/>
          </w:tcPr>
          <w:p w14:paraId="0DAE8F9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701</w:t>
            </w:r>
          </w:p>
        </w:tc>
      </w:tr>
      <w:tr w:rsidR="002735B4" w:rsidRPr="00445472" w14:paraId="72D6AA6D" w14:textId="77777777" w:rsidTr="002A1F08">
        <w:trPr>
          <w:trHeight w:val="225"/>
        </w:trPr>
        <w:tc>
          <w:tcPr>
            <w:tcW w:w="1531" w:type="dxa"/>
            <w:shd w:val="clear" w:color="auto" w:fill="auto"/>
            <w:noWrap/>
            <w:vAlign w:val="center"/>
            <w:hideMark/>
          </w:tcPr>
          <w:p w14:paraId="6EC9CE3C" w14:textId="2F67D52F"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Bulqizë U </w:t>
            </w:r>
            <w:r w:rsidR="00B40EC2" w:rsidRPr="00445472">
              <w:rPr>
                <w:rFonts w:ascii="Garamond" w:hAnsi="Garamond"/>
                <w:sz w:val="16"/>
                <w:szCs w:val="16"/>
                <w:lang w:eastAsia="en-GB"/>
              </w:rPr>
              <w:t>sh.a.</w:t>
            </w:r>
          </w:p>
        </w:tc>
        <w:tc>
          <w:tcPr>
            <w:tcW w:w="821" w:type="dxa"/>
            <w:shd w:val="clear" w:color="auto" w:fill="auto"/>
            <w:noWrap/>
            <w:vAlign w:val="center"/>
            <w:hideMark/>
          </w:tcPr>
          <w:p w14:paraId="4EF9B6A0"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5CE0087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949</w:t>
            </w:r>
          </w:p>
        </w:tc>
        <w:tc>
          <w:tcPr>
            <w:tcW w:w="737" w:type="dxa"/>
            <w:shd w:val="clear" w:color="auto" w:fill="auto"/>
            <w:noWrap/>
            <w:vAlign w:val="center"/>
            <w:hideMark/>
          </w:tcPr>
          <w:p w14:paraId="19B0BB9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912</w:t>
            </w:r>
          </w:p>
        </w:tc>
        <w:tc>
          <w:tcPr>
            <w:tcW w:w="737" w:type="dxa"/>
            <w:shd w:val="clear" w:color="auto" w:fill="auto"/>
            <w:noWrap/>
            <w:vAlign w:val="center"/>
            <w:hideMark/>
          </w:tcPr>
          <w:p w14:paraId="2C19FA0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874</w:t>
            </w:r>
          </w:p>
        </w:tc>
        <w:tc>
          <w:tcPr>
            <w:tcW w:w="737" w:type="dxa"/>
            <w:shd w:val="clear" w:color="auto" w:fill="auto"/>
            <w:noWrap/>
            <w:vAlign w:val="center"/>
            <w:hideMark/>
          </w:tcPr>
          <w:p w14:paraId="7B98EA4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837</w:t>
            </w:r>
          </w:p>
        </w:tc>
        <w:tc>
          <w:tcPr>
            <w:tcW w:w="737" w:type="dxa"/>
            <w:shd w:val="clear" w:color="auto" w:fill="auto"/>
            <w:noWrap/>
            <w:vAlign w:val="center"/>
            <w:hideMark/>
          </w:tcPr>
          <w:p w14:paraId="345F9D0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799</w:t>
            </w:r>
          </w:p>
        </w:tc>
        <w:tc>
          <w:tcPr>
            <w:tcW w:w="737" w:type="dxa"/>
            <w:shd w:val="clear" w:color="auto" w:fill="auto"/>
            <w:noWrap/>
            <w:vAlign w:val="center"/>
            <w:hideMark/>
          </w:tcPr>
          <w:p w14:paraId="5318C2A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762</w:t>
            </w:r>
          </w:p>
        </w:tc>
        <w:tc>
          <w:tcPr>
            <w:tcW w:w="737" w:type="dxa"/>
            <w:shd w:val="clear" w:color="auto" w:fill="auto"/>
            <w:noWrap/>
            <w:vAlign w:val="center"/>
            <w:hideMark/>
          </w:tcPr>
          <w:p w14:paraId="77F1679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725</w:t>
            </w:r>
          </w:p>
        </w:tc>
        <w:tc>
          <w:tcPr>
            <w:tcW w:w="737" w:type="dxa"/>
            <w:shd w:val="clear" w:color="auto" w:fill="auto"/>
            <w:noWrap/>
            <w:vAlign w:val="center"/>
            <w:hideMark/>
          </w:tcPr>
          <w:p w14:paraId="031F4E7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687</w:t>
            </w:r>
          </w:p>
        </w:tc>
        <w:tc>
          <w:tcPr>
            <w:tcW w:w="737" w:type="dxa"/>
            <w:shd w:val="clear" w:color="auto" w:fill="auto"/>
            <w:noWrap/>
            <w:vAlign w:val="center"/>
            <w:hideMark/>
          </w:tcPr>
          <w:p w14:paraId="6312F46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650</w:t>
            </w:r>
          </w:p>
        </w:tc>
        <w:tc>
          <w:tcPr>
            <w:tcW w:w="737" w:type="dxa"/>
            <w:shd w:val="clear" w:color="auto" w:fill="auto"/>
            <w:noWrap/>
            <w:vAlign w:val="center"/>
            <w:hideMark/>
          </w:tcPr>
          <w:p w14:paraId="6936782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612</w:t>
            </w:r>
          </w:p>
        </w:tc>
        <w:tc>
          <w:tcPr>
            <w:tcW w:w="737" w:type="dxa"/>
            <w:shd w:val="clear" w:color="auto" w:fill="auto"/>
            <w:noWrap/>
            <w:vAlign w:val="center"/>
            <w:hideMark/>
          </w:tcPr>
          <w:p w14:paraId="69AC0FC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575</w:t>
            </w:r>
          </w:p>
        </w:tc>
        <w:tc>
          <w:tcPr>
            <w:tcW w:w="737" w:type="dxa"/>
            <w:shd w:val="clear" w:color="auto" w:fill="auto"/>
            <w:noWrap/>
            <w:vAlign w:val="center"/>
            <w:hideMark/>
          </w:tcPr>
          <w:p w14:paraId="08E684E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538</w:t>
            </w:r>
          </w:p>
        </w:tc>
        <w:tc>
          <w:tcPr>
            <w:tcW w:w="737" w:type="dxa"/>
            <w:shd w:val="clear" w:color="auto" w:fill="auto"/>
            <w:noWrap/>
            <w:vAlign w:val="center"/>
            <w:hideMark/>
          </w:tcPr>
          <w:p w14:paraId="0E84BD6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500</w:t>
            </w:r>
          </w:p>
        </w:tc>
        <w:tc>
          <w:tcPr>
            <w:tcW w:w="737" w:type="dxa"/>
            <w:shd w:val="clear" w:color="auto" w:fill="auto"/>
            <w:noWrap/>
            <w:vAlign w:val="center"/>
            <w:hideMark/>
          </w:tcPr>
          <w:p w14:paraId="1562D01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463</w:t>
            </w:r>
          </w:p>
        </w:tc>
        <w:tc>
          <w:tcPr>
            <w:tcW w:w="737" w:type="dxa"/>
            <w:shd w:val="clear" w:color="auto" w:fill="auto"/>
            <w:noWrap/>
            <w:vAlign w:val="center"/>
            <w:hideMark/>
          </w:tcPr>
          <w:p w14:paraId="0AD5DAA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425</w:t>
            </w:r>
          </w:p>
        </w:tc>
        <w:tc>
          <w:tcPr>
            <w:tcW w:w="737" w:type="dxa"/>
            <w:shd w:val="clear" w:color="auto" w:fill="auto"/>
            <w:noWrap/>
            <w:vAlign w:val="center"/>
            <w:hideMark/>
          </w:tcPr>
          <w:p w14:paraId="4930DE8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388</w:t>
            </w:r>
          </w:p>
        </w:tc>
      </w:tr>
      <w:tr w:rsidR="002735B4" w:rsidRPr="00445472" w14:paraId="5BD701B9" w14:textId="77777777" w:rsidTr="002A1F08">
        <w:trPr>
          <w:trHeight w:val="225"/>
        </w:trPr>
        <w:tc>
          <w:tcPr>
            <w:tcW w:w="1531" w:type="dxa"/>
            <w:shd w:val="clear" w:color="auto" w:fill="auto"/>
            <w:noWrap/>
            <w:vAlign w:val="center"/>
            <w:hideMark/>
          </w:tcPr>
          <w:p w14:paraId="30550452" w14:textId="3FDDAAB2"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Has U </w:t>
            </w:r>
            <w:r w:rsidR="00B40EC2" w:rsidRPr="00445472">
              <w:rPr>
                <w:rFonts w:ascii="Garamond" w:hAnsi="Garamond"/>
                <w:sz w:val="16"/>
                <w:szCs w:val="16"/>
                <w:lang w:eastAsia="en-GB"/>
              </w:rPr>
              <w:t>sh.a.</w:t>
            </w:r>
          </w:p>
        </w:tc>
        <w:tc>
          <w:tcPr>
            <w:tcW w:w="821" w:type="dxa"/>
            <w:shd w:val="clear" w:color="auto" w:fill="auto"/>
            <w:noWrap/>
            <w:vAlign w:val="center"/>
            <w:hideMark/>
          </w:tcPr>
          <w:p w14:paraId="489386D8"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5EA8EA2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349</w:t>
            </w:r>
          </w:p>
        </w:tc>
        <w:tc>
          <w:tcPr>
            <w:tcW w:w="737" w:type="dxa"/>
            <w:shd w:val="clear" w:color="auto" w:fill="auto"/>
            <w:noWrap/>
            <w:vAlign w:val="center"/>
            <w:hideMark/>
          </w:tcPr>
          <w:p w14:paraId="112ACFC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346</w:t>
            </w:r>
          </w:p>
        </w:tc>
        <w:tc>
          <w:tcPr>
            <w:tcW w:w="737" w:type="dxa"/>
            <w:shd w:val="clear" w:color="auto" w:fill="auto"/>
            <w:noWrap/>
            <w:vAlign w:val="center"/>
            <w:hideMark/>
          </w:tcPr>
          <w:p w14:paraId="3271CC5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343</w:t>
            </w:r>
          </w:p>
        </w:tc>
        <w:tc>
          <w:tcPr>
            <w:tcW w:w="737" w:type="dxa"/>
            <w:shd w:val="clear" w:color="auto" w:fill="auto"/>
            <w:noWrap/>
            <w:vAlign w:val="center"/>
            <w:hideMark/>
          </w:tcPr>
          <w:p w14:paraId="52B86D7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339</w:t>
            </w:r>
          </w:p>
        </w:tc>
        <w:tc>
          <w:tcPr>
            <w:tcW w:w="737" w:type="dxa"/>
            <w:shd w:val="clear" w:color="auto" w:fill="auto"/>
            <w:noWrap/>
            <w:vAlign w:val="center"/>
            <w:hideMark/>
          </w:tcPr>
          <w:p w14:paraId="084D060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336</w:t>
            </w:r>
          </w:p>
        </w:tc>
        <w:tc>
          <w:tcPr>
            <w:tcW w:w="737" w:type="dxa"/>
            <w:shd w:val="clear" w:color="auto" w:fill="auto"/>
            <w:noWrap/>
            <w:vAlign w:val="center"/>
            <w:hideMark/>
          </w:tcPr>
          <w:p w14:paraId="0DEC846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332</w:t>
            </w:r>
          </w:p>
        </w:tc>
        <w:tc>
          <w:tcPr>
            <w:tcW w:w="737" w:type="dxa"/>
            <w:shd w:val="clear" w:color="auto" w:fill="auto"/>
            <w:noWrap/>
            <w:vAlign w:val="center"/>
            <w:hideMark/>
          </w:tcPr>
          <w:p w14:paraId="459EFDD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329</w:t>
            </w:r>
          </w:p>
        </w:tc>
        <w:tc>
          <w:tcPr>
            <w:tcW w:w="737" w:type="dxa"/>
            <w:shd w:val="clear" w:color="auto" w:fill="auto"/>
            <w:noWrap/>
            <w:vAlign w:val="center"/>
            <w:hideMark/>
          </w:tcPr>
          <w:p w14:paraId="7F7CE5F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325</w:t>
            </w:r>
          </w:p>
        </w:tc>
        <w:tc>
          <w:tcPr>
            <w:tcW w:w="737" w:type="dxa"/>
            <w:shd w:val="clear" w:color="auto" w:fill="auto"/>
            <w:noWrap/>
            <w:vAlign w:val="center"/>
            <w:hideMark/>
          </w:tcPr>
          <w:p w14:paraId="758F0BC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322</w:t>
            </w:r>
          </w:p>
        </w:tc>
        <w:tc>
          <w:tcPr>
            <w:tcW w:w="737" w:type="dxa"/>
            <w:shd w:val="clear" w:color="auto" w:fill="auto"/>
            <w:noWrap/>
            <w:vAlign w:val="center"/>
            <w:hideMark/>
          </w:tcPr>
          <w:p w14:paraId="0BC46DA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319</w:t>
            </w:r>
          </w:p>
        </w:tc>
        <w:tc>
          <w:tcPr>
            <w:tcW w:w="737" w:type="dxa"/>
            <w:shd w:val="clear" w:color="auto" w:fill="auto"/>
            <w:noWrap/>
            <w:vAlign w:val="center"/>
            <w:hideMark/>
          </w:tcPr>
          <w:p w14:paraId="09AF395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315</w:t>
            </w:r>
          </w:p>
        </w:tc>
        <w:tc>
          <w:tcPr>
            <w:tcW w:w="737" w:type="dxa"/>
            <w:shd w:val="clear" w:color="auto" w:fill="auto"/>
            <w:noWrap/>
            <w:vAlign w:val="center"/>
            <w:hideMark/>
          </w:tcPr>
          <w:p w14:paraId="2238B09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312</w:t>
            </w:r>
          </w:p>
        </w:tc>
        <w:tc>
          <w:tcPr>
            <w:tcW w:w="737" w:type="dxa"/>
            <w:shd w:val="clear" w:color="auto" w:fill="auto"/>
            <w:noWrap/>
            <w:vAlign w:val="center"/>
            <w:hideMark/>
          </w:tcPr>
          <w:p w14:paraId="73DBDB8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308</w:t>
            </w:r>
          </w:p>
        </w:tc>
        <w:tc>
          <w:tcPr>
            <w:tcW w:w="737" w:type="dxa"/>
            <w:shd w:val="clear" w:color="auto" w:fill="auto"/>
            <w:noWrap/>
            <w:vAlign w:val="center"/>
            <w:hideMark/>
          </w:tcPr>
          <w:p w14:paraId="5481FD9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305</w:t>
            </w:r>
          </w:p>
        </w:tc>
        <w:tc>
          <w:tcPr>
            <w:tcW w:w="737" w:type="dxa"/>
            <w:shd w:val="clear" w:color="auto" w:fill="auto"/>
            <w:noWrap/>
            <w:vAlign w:val="center"/>
            <w:hideMark/>
          </w:tcPr>
          <w:p w14:paraId="19E9ABF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301</w:t>
            </w:r>
          </w:p>
        </w:tc>
        <w:tc>
          <w:tcPr>
            <w:tcW w:w="737" w:type="dxa"/>
            <w:shd w:val="clear" w:color="auto" w:fill="auto"/>
            <w:noWrap/>
            <w:vAlign w:val="center"/>
            <w:hideMark/>
          </w:tcPr>
          <w:p w14:paraId="3477327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298</w:t>
            </w:r>
          </w:p>
        </w:tc>
      </w:tr>
      <w:tr w:rsidR="002735B4" w:rsidRPr="00445472" w14:paraId="664B1FA1" w14:textId="77777777" w:rsidTr="002A1F08">
        <w:trPr>
          <w:trHeight w:val="225"/>
        </w:trPr>
        <w:tc>
          <w:tcPr>
            <w:tcW w:w="1531" w:type="dxa"/>
            <w:shd w:val="clear" w:color="auto" w:fill="auto"/>
            <w:noWrap/>
            <w:vAlign w:val="center"/>
            <w:hideMark/>
          </w:tcPr>
          <w:p w14:paraId="626A0CE4" w14:textId="62F610C8"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Kukës UK Sh.A</w:t>
            </w:r>
            <w:r w:rsidR="00B40EC2" w:rsidRPr="00445472">
              <w:rPr>
                <w:rFonts w:ascii="Garamond" w:hAnsi="Garamond"/>
                <w:sz w:val="16"/>
                <w:szCs w:val="16"/>
                <w:lang w:eastAsia="en-GB"/>
              </w:rPr>
              <w:t>.</w:t>
            </w:r>
          </w:p>
        </w:tc>
        <w:tc>
          <w:tcPr>
            <w:tcW w:w="821" w:type="dxa"/>
            <w:shd w:val="clear" w:color="auto" w:fill="auto"/>
            <w:noWrap/>
            <w:vAlign w:val="center"/>
            <w:hideMark/>
          </w:tcPr>
          <w:p w14:paraId="197D7C3E" w14:textId="77777777" w:rsidR="002735B4" w:rsidRPr="00445472" w:rsidRDefault="002735B4" w:rsidP="002A1F08">
            <w:pPr>
              <w:spacing w:before="46" w:after="62"/>
              <w:jc w:val="center"/>
              <w:rPr>
                <w:rFonts w:ascii="Garamond" w:hAnsi="Garamond"/>
                <w:sz w:val="16"/>
                <w:szCs w:val="16"/>
                <w:lang w:eastAsia="en-GB"/>
              </w:rPr>
            </w:pPr>
            <w:r w:rsidRPr="00445472">
              <w:rPr>
                <w:rFonts w:ascii="Garamond" w:hAnsi="Garamond"/>
                <w:sz w:val="16"/>
                <w:szCs w:val="16"/>
                <w:lang w:eastAsia="en-GB"/>
              </w:rPr>
              <w:t>(000m</w:t>
            </w:r>
            <w:r w:rsidRPr="00445472">
              <w:rPr>
                <w:rFonts w:ascii="Garamond" w:hAnsi="Garamond"/>
                <w:sz w:val="16"/>
                <w:szCs w:val="16"/>
                <w:vertAlign w:val="superscript"/>
                <w:lang w:eastAsia="en-GB"/>
              </w:rPr>
              <w:t>3</w:t>
            </w:r>
            <w:r w:rsidRPr="00445472">
              <w:rPr>
                <w:rFonts w:ascii="Garamond" w:hAnsi="Garamond"/>
                <w:sz w:val="16"/>
                <w:szCs w:val="16"/>
                <w:lang w:eastAsia="en-GB"/>
              </w:rPr>
              <w:t>)</w:t>
            </w:r>
          </w:p>
        </w:tc>
        <w:tc>
          <w:tcPr>
            <w:tcW w:w="737" w:type="dxa"/>
            <w:shd w:val="clear" w:color="auto" w:fill="auto"/>
            <w:noWrap/>
            <w:vAlign w:val="center"/>
            <w:hideMark/>
          </w:tcPr>
          <w:p w14:paraId="7E14223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177</w:t>
            </w:r>
          </w:p>
        </w:tc>
        <w:tc>
          <w:tcPr>
            <w:tcW w:w="737" w:type="dxa"/>
            <w:shd w:val="clear" w:color="auto" w:fill="auto"/>
            <w:noWrap/>
            <w:vAlign w:val="center"/>
            <w:hideMark/>
          </w:tcPr>
          <w:p w14:paraId="6570E9E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224</w:t>
            </w:r>
          </w:p>
        </w:tc>
        <w:tc>
          <w:tcPr>
            <w:tcW w:w="737" w:type="dxa"/>
            <w:shd w:val="clear" w:color="auto" w:fill="auto"/>
            <w:noWrap/>
            <w:vAlign w:val="center"/>
            <w:hideMark/>
          </w:tcPr>
          <w:p w14:paraId="37CA01A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271</w:t>
            </w:r>
          </w:p>
        </w:tc>
        <w:tc>
          <w:tcPr>
            <w:tcW w:w="737" w:type="dxa"/>
            <w:shd w:val="clear" w:color="auto" w:fill="auto"/>
            <w:noWrap/>
            <w:vAlign w:val="center"/>
            <w:hideMark/>
          </w:tcPr>
          <w:p w14:paraId="5BAD7EF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318</w:t>
            </w:r>
          </w:p>
        </w:tc>
        <w:tc>
          <w:tcPr>
            <w:tcW w:w="737" w:type="dxa"/>
            <w:shd w:val="clear" w:color="auto" w:fill="auto"/>
            <w:noWrap/>
            <w:vAlign w:val="center"/>
            <w:hideMark/>
          </w:tcPr>
          <w:p w14:paraId="29EC9EC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365</w:t>
            </w:r>
          </w:p>
        </w:tc>
        <w:tc>
          <w:tcPr>
            <w:tcW w:w="737" w:type="dxa"/>
            <w:shd w:val="clear" w:color="auto" w:fill="auto"/>
            <w:noWrap/>
            <w:vAlign w:val="center"/>
            <w:hideMark/>
          </w:tcPr>
          <w:p w14:paraId="7593F1F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412</w:t>
            </w:r>
          </w:p>
        </w:tc>
        <w:tc>
          <w:tcPr>
            <w:tcW w:w="737" w:type="dxa"/>
            <w:shd w:val="clear" w:color="auto" w:fill="auto"/>
            <w:noWrap/>
            <w:vAlign w:val="center"/>
            <w:hideMark/>
          </w:tcPr>
          <w:p w14:paraId="47B74B8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459</w:t>
            </w:r>
          </w:p>
        </w:tc>
        <w:tc>
          <w:tcPr>
            <w:tcW w:w="737" w:type="dxa"/>
            <w:shd w:val="clear" w:color="auto" w:fill="auto"/>
            <w:noWrap/>
            <w:vAlign w:val="center"/>
            <w:hideMark/>
          </w:tcPr>
          <w:p w14:paraId="5DD8708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506</w:t>
            </w:r>
          </w:p>
        </w:tc>
        <w:tc>
          <w:tcPr>
            <w:tcW w:w="737" w:type="dxa"/>
            <w:shd w:val="clear" w:color="auto" w:fill="auto"/>
            <w:noWrap/>
            <w:vAlign w:val="center"/>
            <w:hideMark/>
          </w:tcPr>
          <w:p w14:paraId="53629F2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554</w:t>
            </w:r>
          </w:p>
        </w:tc>
        <w:tc>
          <w:tcPr>
            <w:tcW w:w="737" w:type="dxa"/>
            <w:shd w:val="clear" w:color="auto" w:fill="auto"/>
            <w:noWrap/>
            <w:vAlign w:val="center"/>
            <w:hideMark/>
          </w:tcPr>
          <w:p w14:paraId="09804B0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601</w:t>
            </w:r>
          </w:p>
        </w:tc>
        <w:tc>
          <w:tcPr>
            <w:tcW w:w="737" w:type="dxa"/>
            <w:shd w:val="clear" w:color="auto" w:fill="auto"/>
            <w:noWrap/>
            <w:vAlign w:val="center"/>
            <w:hideMark/>
          </w:tcPr>
          <w:p w14:paraId="19CBE7D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648</w:t>
            </w:r>
          </w:p>
        </w:tc>
        <w:tc>
          <w:tcPr>
            <w:tcW w:w="737" w:type="dxa"/>
            <w:shd w:val="clear" w:color="auto" w:fill="auto"/>
            <w:noWrap/>
            <w:vAlign w:val="center"/>
            <w:hideMark/>
          </w:tcPr>
          <w:p w14:paraId="3E8942A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695</w:t>
            </w:r>
          </w:p>
        </w:tc>
        <w:tc>
          <w:tcPr>
            <w:tcW w:w="737" w:type="dxa"/>
            <w:shd w:val="clear" w:color="auto" w:fill="auto"/>
            <w:noWrap/>
            <w:vAlign w:val="center"/>
            <w:hideMark/>
          </w:tcPr>
          <w:p w14:paraId="32CFA31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742</w:t>
            </w:r>
          </w:p>
        </w:tc>
        <w:tc>
          <w:tcPr>
            <w:tcW w:w="737" w:type="dxa"/>
            <w:shd w:val="clear" w:color="auto" w:fill="auto"/>
            <w:noWrap/>
            <w:vAlign w:val="center"/>
            <w:hideMark/>
          </w:tcPr>
          <w:p w14:paraId="62B084B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789</w:t>
            </w:r>
          </w:p>
        </w:tc>
        <w:tc>
          <w:tcPr>
            <w:tcW w:w="737" w:type="dxa"/>
            <w:shd w:val="clear" w:color="auto" w:fill="auto"/>
            <w:noWrap/>
            <w:vAlign w:val="center"/>
            <w:hideMark/>
          </w:tcPr>
          <w:p w14:paraId="28DF644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836</w:t>
            </w:r>
          </w:p>
        </w:tc>
        <w:tc>
          <w:tcPr>
            <w:tcW w:w="737" w:type="dxa"/>
            <w:shd w:val="clear" w:color="auto" w:fill="auto"/>
            <w:noWrap/>
            <w:vAlign w:val="center"/>
            <w:hideMark/>
          </w:tcPr>
          <w:p w14:paraId="1D15BEF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883</w:t>
            </w:r>
          </w:p>
        </w:tc>
      </w:tr>
      <w:tr w:rsidR="002735B4" w:rsidRPr="00445472" w14:paraId="2FC92541" w14:textId="77777777" w:rsidTr="002A1F08">
        <w:trPr>
          <w:trHeight w:val="225"/>
        </w:trPr>
        <w:tc>
          <w:tcPr>
            <w:tcW w:w="1531" w:type="dxa"/>
            <w:shd w:val="clear" w:color="auto" w:fill="auto"/>
            <w:noWrap/>
            <w:vAlign w:val="center"/>
            <w:hideMark/>
          </w:tcPr>
          <w:p w14:paraId="6B095BE5" w14:textId="77777777" w:rsidR="002735B4" w:rsidRPr="00445472" w:rsidRDefault="002735B4" w:rsidP="002A1F08">
            <w:pPr>
              <w:spacing w:before="46" w:after="62"/>
              <w:jc w:val="right"/>
              <w:rPr>
                <w:rFonts w:ascii="Garamond" w:hAnsi="Garamond"/>
                <w:sz w:val="16"/>
                <w:szCs w:val="16"/>
                <w:lang w:eastAsia="en-GB"/>
              </w:rPr>
            </w:pPr>
          </w:p>
        </w:tc>
        <w:tc>
          <w:tcPr>
            <w:tcW w:w="821" w:type="dxa"/>
            <w:shd w:val="clear" w:color="auto" w:fill="auto"/>
            <w:noWrap/>
            <w:vAlign w:val="center"/>
            <w:hideMark/>
          </w:tcPr>
          <w:p w14:paraId="61175C6C"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58417B5E"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6326A0B6"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5BF03E9B"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2A9EAE01"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24863335"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4B673FBC"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5304F413"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00146282"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2913D465"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78C7DEE3"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26BE9AC9"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7944CF48"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5FD0FB2F"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6F4127FE"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31A82706" w14:textId="77777777" w:rsidR="002735B4" w:rsidRPr="00445472" w:rsidRDefault="002735B4" w:rsidP="002A1F08">
            <w:pPr>
              <w:spacing w:before="46" w:after="62"/>
              <w:rPr>
                <w:rFonts w:ascii="Garamond" w:hAnsi="Garamond"/>
                <w:sz w:val="16"/>
                <w:szCs w:val="16"/>
                <w:lang w:eastAsia="en-GB"/>
              </w:rPr>
            </w:pPr>
          </w:p>
        </w:tc>
        <w:tc>
          <w:tcPr>
            <w:tcW w:w="737" w:type="dxa"/>
            <w:shd w:val="clear" w:color="auto" w:fill="auto"/>
            <w:noWrap/>
            <w:vAlign w:val="center"/>
            <w:hideMark/>
          </w:tcPr>
          <w:p w14:paraId="1AEDCC73" w14:textId="77777777" w:rsidR="002735B4" w:rsidRPr="00445472" w:rsidRDefault="002735B4" w:rsidP="002A1F08">
            <w:pPr>
              <w:spacing w:before="46" w:after="62"/>
              <w:rPr>
                <w:rFonts w:ascii="Garamond" w:hAnsi="Garamond"/>
                <w:sz w:val="16"/>
                <w:szCs w:val="16"/>
                <w:lang w:eastAsia="en-GB"/>
              </w:rPr>
            </w:pPr>
          </w:p>
        </w:tc>
      </w:tr>
    </w:tbl>
    <w:p w14:paraId="52A70169" w14:textId="77777777" w:rsidR="002735B4" w:rsidRPr="00445472" w:rsidRDefault="002735B4" w:rsidP="002735B4">
      <w:pPr>
        <w:pStyle w:val="NENTITULL"/>
      </w:pPr>
    </w:p>
    <w:p w14:paraId="20E8F23B" w14:textId="77777777" w:rsidR="002735B4" w:rsidRPr="00445472" w:rsidRDefault="002735B4" w:rsidP="002735B4">
      <w:pPr>
        <w:pStyle w:val="NENTITULL"/>
      </w:pPr>
    </w:p>
    <w:p w14:paraId="23A192E2" w14:textId="1092493A" w:rsidR="002735B4" w:rsidRPr="00445472" w:rsidRDefault="002735B4" w:rsidP="002735B4">
      <w:pPr>
        <w:pStyle w:val="NENTITULL"/>
      </w:pPr>
      <w:r w:rsidRPr="00445472">
        <w:t xml:space="preserve">Tabela A 4. 13: Kostot financiare të Basenit Ujor </w:t>
      </w:r>
      <w:r w:rsidR="007E76E3" w:rsidRPr="00445472">
        <w:t>Drin–Bunë</w:t>
      </w:r>
    </w:p>
    <w:tbl>
      <w:tblPr>
        <w:tblW w:w="14090" w:type="dxa"/>
        <w:tblInd w:w="103"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892"/>
        <w:gridCol w:w="770"/>
        <w:gridCol w:w="789"/>
        <w:gridCol w:w="770"/>
        <w:gridCol w:w="850"/>
        <w:gridCol w:w="850"/>
        <w:gridCol w:w="850"/>
        <w:gridCol w:w="771"/>
        <w:gridCol w:w="850"/>
        <w:gridCol w:w="771"/>
        <w:gridCol w:w="830"/>
        <w:gridCol w:w="842"/>
        <w:gridCol w:w="771"/>
        <w:gridCol w:w="771"/>
        <w:gridCol w:w="771"/>
        <w:gridCol w:w="968"/>
      </w:tblGrid>
      <w:tr w:rsidR="002735B4" w:rsidRPr="00445472" w14:paraId="698838AF" w14:textId="77777777" w:rsidTr="002A1F08">
        <w:trPr>
          <w:trHeight w:val="690"/>
          <w:tblHeader/>
        </w:trPr>
        <w:tc>
          <w:tcPr>
            <w:tcW w:w="1905" w:type="dxa"/>
            <w:shd w:val="clear" w:color="auto" w:fill="D9D9D9"/>
            <w:vAlign w:val="center"/>
            <w:hideMark/>
          </w:tcPr>
          <w:p w14:paraId="088CAC97" w14:textId="77777777" w:rsidR="002735B4" w:rsidRPr="00445472" w:rsidRDefault="002735B4" w:rsidP="002A1F08">
            <w:pPr>
              <w:spacing w:before="46" w:after="62"/>
              <w:rPr>
                <w:rFonts w:ascii="Garamond" w:hAnsi="Garamond"/>
                <w:b/>
                <w:sz w:val="16"/>
                <w:szCs w:val="16"/>
                <w:lang w:eastAsia="en-GB"/>
              </w:rPr>
            </w:pPr>
            <w:r w:rsidRPr="00445472">
              <w:rPr>
                <w:rFonts w:ascii="Garamond" w:hAnsi="Garamond"/>
                <w:b/>
                <w:sz w:val="16"/>
                <w:szCs w:val="16"/>
                <w:lang w:eastAsia="en-GB"/>
              </w:rPr>
              <w:t>Emri i ndërmarrjes</w:t>
            </w:r>
          </w:p>
        </w:tc>
        <w:tc>
          <w:tcPr>
            <w:tcW w:w="775" w:type="dxa"/>
            <w:shd w:val="clear" w:color="auto" w:fill="D9D9D9"/>
            <w:vAlign w:val="center"/>
            <w:hideMark/>
          </w:tcPr>
          <w:p w14:paraId="17C5D115"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Bashkia Pukë UK</w:t>
            </w:r>
          </w:p>
        </w:tc>
        <w:tc>
          <w:tcPr>
            <w:tcW w:w="794" w:type="dxa"/>
            <w:shd w:val="clear" w:color="auto" w:fill="D9D9D9"/>
            <w:vAlign w:val="center"/>
            <w:hideMark/>
          </w:tcPr>
          <w:p w14:paraId="1AF2DD43" w14:textId="064C7CFF"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Vau i Dejës U </w:t>
            </w:r>
            <w:r w:rsidR="00B40EC2" w:rsidRPr="00445472">
              <w:rPr>
                <w:rFonts w:ascii="Garamond" w:hAnsi="Garamond"/>
                <w:b/>
                <w:sz w:val="16"/>
                <w:szCs w:val="16"/>
                <w:lang w:eastAsia="en-GB"/>
              </w:rPr>
              <w:t>sh.a.</w:t>
            </w:r>
          </w:p>
        </w:tc>
        <w:tc>
          <w:tcPr>
            <w:tcW w:w="775" w:type="dxa"/>
            <w:shd w:val="clear" w:color="auto" w:fill="D9D9D9"/>
            <w:vAlign w:val="center"/>
            <w:hideMark/>
          </w:tcPr>
          <w:p w14:paraId="721F0384" w14:textId="54BDA943"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Tropojë U </w:t>
            </w:r>
            <w:r w:rsidR="00B40EC2" w:rsidRPr="00445472">
              <w:rPr>
                <w:rFonts w:ascii="Garamond" w:hAnsi="Garamond"/>
                <w:b/>
                <w:sz w:val="16"/>
                <w:szCs w:val="16"/>
                <w:lang w:eastAsia="en-GB"/>
              </w:rPr>
              <w:t>sh.a.</w:t>
            </w:r>
          </w:p>
        </w:tc>
        <w:tc>
          <w:tcPr>
            <w:tcW w:w="855" w:type="dxa"/>
            <w:shd w:val="clear" w:color="auto" w:fill="D9D9D9"/>
            <w:vAlign w:val="center"/>
            <w:hideMark/>
          </w:tcPr>
          <w:p w14:paraId="2AD6D74A" w14:textId="5CBAF518"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Lezhë UK </w:t>
            </w:r>
            <w:r w:rsidR="00B40EC2" w:rsidRPr="00445472">
              <w:rPr>
                <w:rFonts w:ascii="Garamond" w:hAnsi="Garamond"/>
                <w:b/>
                <w:sz w:val="16"/>
                <w:szCs w:val="16"/>
                <w:lang w:eastAsia="en-GB"/>
              </w:rPr>
              <w:t>sh.a.</w:t>
            </w:r>
          </w:p>
        </w:tc>
        <w:tc>
          <w:tcPr>
            <w:tcW w:w="855" w:type="dxa"/>
            <w:shd w:val="clear" w:color="auto" w:fill="D9D9D9"/>
            <w:vAlign w:val="center"/>
            <w:hideMark/>
          </w:tcPr>
          <w:p w14:paraId="0F0E00EF" w14:textId="2E80C195"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Pogradec UK </w:t>
            </w:r>
            <w:r w:rsidR="00B40EC2" w:rsidRPr="00445472">
              <w:rPr>
                <w:rFonts w:ascii="Garamond" w:hAnsi="Garamond"/>
                <w:b/>
                <w:sz w:val="16"/>
                <w:szCs w:val="16"/>
                <w:lang w:eastAsia="en-GB"/>
              </w:rPr>
              <w:t>sh.a.</w:t>
            </w:r>
          </w:p>
        </w:tc>
        <w:tc>
          <w:tcPr>
            <w:tcW w:w="855" w:type="dxa"/>
            <w:shd w:val="clear" w:color="auto" w:fill="D9D9D9"/>
            <w:vAlign w:val="center"/>
            <w:hideMark/>
          </w:tcPr>
          <w:p w14:paraId="27469C81" w14:textId="4776DBB2"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Shkodër UK </w:t>
            </w:r>
            <w:r w:rsidR="00B40EC2" w:rsidRPr="00445472">
              <w:rPr>
                <w:rFonts w:ascii="Garamond" w:hAnsi="Garamond"/>
                <w:b/>
                <w:sz w:val="16"/>
                <w:szCs w:val="16"/>
                <w:lang w:eastAsia="en-GB"/>
              </w:rPr>
              <w:t>sh.a.</w:t>
            </w:r>
          </w:p>
        </w:tc>
        <w:tc>
          <w:tcPr>
            <w:tcW w:w="776" w:type="dxa"/>
            <w:shd w:val="clear" w:color="auto" w:fill="D9D9D9"/>
            <w:vAlign w:val="center"/>
            <w:hideMark/>
          </w:tcPr>
          <w:p w14:paraId="5AEEC5DF" w14:textId="77777777"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Pukë fshat</w:t>
            </w:r>
          </w:p>
        </w:tc>
        <w:tc>
          <w:tcPr>
            <w:tcW w:w="855" w:type="dxa"/>
            <w:shd w:val="clear" w:color="auto" w:fill="D9D9D9"/>
            <w:vAlign w:val="center"/>
            <w:hideMark/>
          </w:tcPr>
          <w:p w14:paraId="1529E105" w14:textId="734B7A82"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Shkodër (F) U </w:t>
            </w:r>
            <w:r w:rsidR="00B40EC2" w:rsidRPr="00445472">
              <w:rPr>
                <w:rFonts w:ascii="Garamond" w:hAnsi="Garamond"/>
                <w:b/>
                <w:sz w:val="16"/>
                <w:szCs w:val="16"/>
                <w:lang w:eastAsia="en-GB"/>
              </w:rPr>
              <w:t>sh.a.</w:t>
            </w:r>
          </w:p>
        </w:tc>
        <w:tc>
          <w:tcPr>
            <w:tcW w:w="776" w:type="dxa"/>
            <w:shd w:val="clear" w:color="auto" w:fill="D9D9D9"/>
            <w:vAlign w:val="center"/>
            <w:hideMark/>
          </w:tcPr>
          <w:p w14:paraId="02AA2A9A" w14:textId="4E1C99E9" w:rsidR="002735B4" w:rsidRPr="00445472" w:rsidRDefault="00852D7A"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Fushë-Arrëz </w:t>
            </w:r>
            <w:r w:rsidR="002735B4" w:rsidRPr="00445472">
              <w:rPr>
                <w:rFonts w:ascii="Garamond" w:hAnsi="Garamond"/>
                <w:b/>
                <w:sz w:val="16"/>
                <w:szCs w:val="16"/>
                <w:lang w:eastAsia="en-GB"/>
              </w:rPr>
              <w:t xml:space="preserve"> UK </w:t>
            </w:r>
            <w:r w:rsidR="00B40EC2" w:rsidRPr="00445472">
              <w:rPr>
                <w:rFonts w:ascii="Garamond" w:hAnsi="Garamond"/>
                <w:b/>
                <w:sz w:val="16"/>
                <w:szCs w:val="16"/>
                <w:lang w:eastAsia="en-GB"/>
              </w:rPr>
              <w:t>sh.a.</w:t>
            </w:r>
          </w:p>
        </w:tc>
        <w:tc>
          <w:tcPr>
            <w:tcW w:w="776" w:type="dxa"/>
            <w:shd w:val="clear" w:color="auto" w:fill="D9D9D9"/>
            <w:vAlign w:val="center"/>
            <w:hideMark/>
          </w:tcPr>
          <w:p w14:paraId="553108BF" w14:textId="42CFAC0C"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Librazhd UK </w:t>
            </w:r>
            <w:r w:rsidR="00B40EC2" w:rsidRPr="00445472">
              <w:rPr>
                <w:rFonts w:ascii="Garamond" w:hAnsi="Garamond"/>
                <w:b/>
                <w:sz w:val="16"/>
                <w:szCs w:val="16"/>
                <w:lang w:eastAsia="en-GB"/>
              </w:rPr>
              <w:t>sh.a.</w:t>
            </w:r>
          </w:p>
        </w:tc>
        <w:tc>
          <w:tcPr>
            <w:tcW w:w="791" w:type="dxa"/>
            <w:shd w:val="clear" w:color="auto" w:fill="D9D9D9"/>
            <w:vAlign w:val="center"/>
            <w:hideMark/>
          </w:tcPr>
          <w:p w14:paraId="55296712" w14:textId="48A1BF5A"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Peshkopi U </w:t>
            </w:r>
            <w:r w:rsidR="00B40EC2" w:rsidRPr="00445472">
              <w:rPr>
                <w:rFonts w:ascii="Garamond" w:hAnsi="Garamond"/>
                <w:b/>
                <w:sz w:val="16"/>
                <w:szCs w:val="16"/>
                <w:lang w:eastAsia="en-GB"/>
              </w:rPr>
              <w:t>sh.a.</w:t>
            </w:r>
          </w:p>
        </w:tc>
        <w:tc>
          <w:tcPr>
            <w:tcW w:w="776" w:type="dxa"/>
            <w:shd w:val="clear" w:color="auto" w:fill="D9D9D9"/>
            <w:vAlign w:val="center"/>
            <w:hideMark/>
          </w:tcPr>
          <w:p w14:paraId="30640CA9" w14:textId="146463E5"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Bulqizë U </w:t>
            </w:r>
            <w:r w:rsidR="00B40EC2" w:rsidRPr="00445472">
              <w:rPr>
                <w:rFonts w:ascii="Garamond" w:hAnsi="Garamond"/>
                <w:b/>
                <w:sz w:val="16"/>
                <w:szCs w:val="16"/>
                <w:lang w:eastAsia="en-GB"/>
              </w:rPr>
              <w:t>sh.a.</w:t>
            </w:r>
          </w:p>
        </w:tc>
        <w:tc>
          <w:tcPr>
            <w:tcW w:w="776" w:type="dxa"/>
            <w:shd w:val="clear" w:color="auto" w:fill="D9D9D9"/>
            <w:vAlign w:val="center"/>
            <w:hideMark/>
          </w:tcPr>
          <w:p w14:paraId="0946712F" w14:textId="297CA1A6"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Has U </w:t>
            </w:r>
            <w:r w:rsidR="00B40EC2" w:rsidRPr="00445472">
              <w:rPr>
                <w:rFonts w:ascii="Garamond" w:hAnsi="Garamond"/>
                <w:b/>
                <w:sz w:val="16"/>
                <w:szCs w:val="16"/>
                <w:lang w:eastAsia="en-GB"/>
              </w:rPr>
              <w:t>sh.a.</w:t>
            </w:r>
          </w:p>
        </w:tc>
        <w:tc>
          <w:tcPr>
            <w:tcW w:w="776" w:type="dxa"/>
            <w:shd w:val="clear" w:color="auto" w:fill="D9D9D9"/>
            <w:vAlign w:val="center"/>
            <w:hideMark/>
          </w:tcPr>
          <w:p w14:paraId="6E70DDFB" w14:textId="09502708" w:rsidR="002735B4" w:rsidRPr="00445472" w:rsidRDefault="002735B4" w:rsidP="002A1F08">
            <w:pPr>
              <w:spacing w:before="46" w:after="62"/>
              <w:jc w:val="center"/>
              <w:rPr>
                <w:rFonts w:ascii="Garamond" w:hAnsi="Garamond"/>
                <w:b/>
                <w:sz w:val="16"/>
                <w:szCs w:val="16"/>
                <w:lang w:eastAsia="en-GB"/>
              </w:rPr>
            </w:pPr>
            <w:r w:rsidRPr="00445472">
              <w:rPr>
                <w:rFonts w:ascii="Garamond" w:hAnsi="Garamond"/>
                <w:b/>
                <w:sz w:val="16"/>
                <w:szCs w:val="16"/>
                <w:lang w:eastAsia="en-GB"/>
              </w:rPr>
              <w:t xml:space="preserve">Kukës UK </w:t>
            </w:r>
            <w:r w:rsidR="00B40EC2" w:rsidRPr="00445472">
              <w:rPr>
                <w:rFonts w:ascii="Garamond" w:hAnsi="Garamond"/>
                <w:b/>
                <w:sz w:val="16"/>
                <w:szCs w:val="16"/>
                <w:lang w:eastAsia="en-GB"/>
              </w:rPr>
              <w:t>sh.a.</w:t>
            </w:r>
          </w:p>
        </w:tc>
        <w:tc>
          <w:tcPr>
            <w:tcW w:w="974" w:type="dxa"/>
            <w:shd w:val="clear" w:color="auto" w:fill="D9D9D9"/>
            <w:vAlign w:val="center"/>
            <w:hideMark/>
          </w:tcPr>
          <w:p w14:paraId="7B00D214" w14:textId="16AD4441" w:rsidR="002735B4" w:rsidRPr="00445472" w:rsidRDefault="002735B4" w:rsidP="002A1F08">
            <w:pPr>
              <w:spacing w:before="46" w:after="62"/>
              <w:jc w:val="center"/>
              <w:rPr>
                <w:rFonts w:ascii="Garamond" w:hAnsi="Garamond"/>
                <w:b/>
                <w:bCs/>
                <w:sz w:val="16"/>
                <w:szCs w:val="16"/>
                <w:lang w:eastAsia="en-GB"/>
              </w:rPr>
            </w:pPr>
            <w:r w:rsidRPr="00445472">
              <w:rPr>
                <w:rFonts w:ascii="Garamond" w:hAnsi="Garamond"/>
                <w:b/>
                <w:bCs/>
                <w:sz w:val="16"/>
                <w:szCs w:val="16"/>
                <w:lang w:eastAsia="en-GB"/>
              </w:rPr>
              <w:t xml:space="preserve">Baseni </w:t>
            </w:r>
            <w:r w:rsidR="00B40EC2" w:rsidRPr="00445472">
              <w:rPr>
                <w:rFonts w:ascii="Garamond" w:hAnsi="Garamond"/>
                <w:b/>
                <w:bCs/>
                <w:sz w:val="16"/>
                <w:szCs w:val="16"/>
                <w:lang w:eastAsia="en-GB"/>
              </w:rPr>
              <w:t>ujor</w:t>
            </w:r>
          </w:p>
        </w:tc>
      </w:tr>
      <w:tr w:rsidR="002735B4" w:rsidRPr="00445472" w14:paraId="46E88D9E" w14:textId="77777777" w:rsidTr="002A1F08">
        <w:trPr>
          <w:trHeight w:val="255"/>
        </w:trPr>
        <w:tc>
          <w:tcPr>
            <w:tcW w:w="1905" w:type="dxa"/>
            <w:shd w:val="clear" w:color="auto" w:fill="auto"/>
            <w:noWrap/>
            <w:vAlign w:val="center"/>
            <w:hideMark/>
          </w:tcPr>
          <w:p w14:paraId="29F36F50" w14:textId="77777777"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 financiare</w:t>
            </w:r>
          </w:p>
        </w:tc>
        <w:tc>
          <w:tcPr>
            <w:tcW w:w="775" w:type="dxa"/>
            <w:shd w:val="clear" w:color="auto" w:fill="auto"/>
            <w:noWrap/>
            <w:vAlign w:val="center"/>
            <w:hideMark/>
          </w:tcPr>
          <w:p w14:paraId="7B020C74"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18A4A76B"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7FB76F49"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3B35454C"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05B03F2B"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573FDD5"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5DDDAA78"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1BE1B27C"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3C89004F"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EDDB88E"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4AFE01F7"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0D9E4D9B"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0D13E3DE"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F1963BC"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1C1403F5" w14:textId="77777777" w:rsidR="002735B4" w:rsidRPr="00445472" w:rsidRDefault="002735B4" w:rsidP="002A1F08">
            <w:pPr>
              <w:spacing w:before="46" w:after="62"/>
              <w:rPr>
                <w:rFonts w:ascii="Garamond" w:hAnsi="Garamond"/>
                <w:sz w:val="16"/>
                <w:szCs w:val="16"/>
                <w:lang w:eastAsia="en-GB"/>
              </w:rPr>
            </w:pPr>
          </w:p>
        </w:tc>
      </w:tr>
      <w:tr w:rsidR="002735B4" w:rsidRPr="00445472" w14:paraId="214B7D89" w14:textId="77777777" w:rsidTr="002A1F08">
        <w:trPr>
          <w:trHeight w:val="225"/>
        </w:trPr>
        <w:tc>
          <w:tcPr>
            <w:tcW w:w="1905" w:type="dxa"/>
            <w:shd w:val="clear" w:color="auto" w:fill="auto"/>
            <w:noWrap/>
            <w:vAlign w:val="center"/>
            <w:hideMark/>
          </w:tcPr>
          <w:p w14:paraId="628DC867" w14:textId="77777777"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Shërbimet e ujit</w:t>
            </w:r>
          </w:p>
        </w:tc>
        <w:tc>
          <w:tcPr>
            <w:tcW w:w="775" w:type="dxa"/>
            <w:shd w:val="clear" w:color="auto" w:fill="auto"/>
            <w:noWrap/>
            <w:vAlign w:val="center"/>
            <w:hideMark/>
          </w:tcPr>
          <w:p w14:paraId="744E07BC"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708B9BD9"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36E6CB0B"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4F083E89"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0A53E9EF"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0423955"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179E64F9"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329457EF"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FFE3D7E"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578A0A86"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65C2AB57"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83421B0"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02FD4B29"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A391EDD"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0C61DC42" w14:textId="77777777" w:rsidR="002735B4" w:rsidRPr="00445472" w:rsidRDefault="002735B4" w:rsidP="002A1F08">
            <w:pPr>
              <w:spacing w:before="46" w:after="62"/>
              <w:rPr>
                <w:rFonts w:ascii="Garamond" w:hAnsi="Garamond"/>
                <w:sz w:val="16"/>
                <w:szCs w:val="16"/>
                <w:lang w:eastAsia="en-GB"/>
              </w:rPr>
            </w:pPr>
          </w:p>
        </w:tc>
      </w:tr>
      <w:tr w:rsidR="002735B4" w:rsidRPr="00445472" w14:paraId="57EE8660" w14:textId="77777777" w:rsidTr="002A1F08">
        <w:trPr>
          <w:trHeight w:val="225"/>
        </w:trPr>
        <w:tc>
          <w:tcPr>
            <w:tcW w:w="1905" w:type="dxa"/>
            <w:shd w:val="clear" w:color="auto" w:fill="auto"/>
            <w:noWrap/>
            <w:vAlign w:val="center"/>
            <w:hideMark/>
          </w:tcPr>
          <w:p w14:paraId="681BB507" w14:textId="59484429"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B40EC2" w:rsidRPr="00445472">
              <w:rPr>
                <w:rFonts w:ascii="Garamond" w:hAnsi="Garamond"/>
                <w:b/>
                <w:bCs/>
                <w:sz w:val="16"/>
                <w:szCs w:val="16"/>
                <w:lang w:eastAsia="en-GB"/>
              </w:rPr>
              <w:t>ja</w:t>
            </w:r>
            <w:r w:rsidRPr="00445472">
              <w:rPr>
                <w:rFonts w:ascii="Garamond" w:hAnsi="Garamond"/>
                <w:b/>
                <w:bCs/>
                <w:sz w:val="16"/>
                <w:szCs w:val="16"/>
                <w:lang w:eastAsia="en-GB"/>
              </w:rPr>
              <w:t xml:space="preserve"> operimi dhe mirëmbajtjeje</w:t>
            </w:r>
          </w:p>
        </w:tc>
        <w:tc>
          <w:tcPr>
            <w:tcW w:w="775" w:type="dxa"/>
            <w:shd w:val="clear" w:color="auto" w:fill="auto"/>
            <w:noWrap/>
            <w:vAlign w:val="center"/>
            <w:hideMark/>
          </w:tcPr>
          <w:p w14:paraId="09FCB998"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3F68ACD9"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2DBBD640"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1A1731CA"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06DDD260"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06DC6500"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501B6659"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46324AC2"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126AD9EF"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2837570E"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6E137486"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B6A1A9C"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308BBC19"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BBBD46F"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6FD19FDB" w14:textId="77777777" w:rsidR="002735B4" w:rsidRPr="00445472" w:rsidRDefault="002735B4" w:rsidP="002A1F08">
            <w:pPr>
              <w:spacing w:before="46" w:after="62"/>
              <w:rPr>
                <w:rFonts w:ascii="Garamond" w:hAnsi="Garamond"/>
                <w:sz w:val="16"/>
                <w:szCs w:val="16"/>
                <w:lang w:eastAsia="en-GB"/>
              </w:rPr>
            </w:pPr>
          </w:p>
        </w:tc>
      </w:tr>
      <w:tr w:rsidR="002735B4" w:rsidRPr="00445472" w14:paraId="45DF4674" w14:textId="77777777" w:rsidTr="002A1F08">
        <w:trPr>
          <w:trHeight w:val="225"/>
        </w:trPr>
        <w:tc>
          <w:tcPr>
            <w:tcW w:w="1905" w:type="dxa"/>
            <w:shd w:val="clear" w:color="auto" w:fill="auto"/>
            <w:noWrap/>
            <w:vAlign w:val="center"/>
            <w:hideMark/>
          </w:tcPr>
          <w:p w14:paraId="74A5E76A" w14:textId="3C5B2D3B"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e punës</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1BABC5D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7,912</w:t>
            </w:r>
          </w:p>
        </w:tc>
        <w:tc>
          <w:tcPr>
            <w:tcW w:w="794" w:type="dxa"/>
            <w:shd w:val="clear" w:color="auto" w:fill="auto"/>
            <w:noWrap/>
            <w:vAlign w:val="center"/>
            <w:hideMark/>
          </w:tcPr>
          <w:p w14:paraId="27D1BE8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4,687</w:t>
            </w:r>
          </w:p>
        </w:tc>
        <w:tc>
          <w:tcPr>
            <w:tcW w:w="775" w:type="dxa"/>
            <w:shd w:val="clear" w:color="auto" w:fill="auto"/>
            <w:noWrap/>
            <w:vAlign w:val="center"/>
            <w:hideMark/>
          </w:tcPr>
          <w:p w14:paraId="3486BFF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10,427</w:t>
            </w:r>
          </w:p>
        </w:tc>
        <w:tc>
          <w:tcPr>
            <w:tcW w:w="855" w:type="dxa"/>
            <w:shd w:val="clear" w:color="auto" w:fill="auto"/>
            <w:noWrap/>
            <w:vAlign w:val="center"/>
            <w:hideMark/>
          </w:tcPr>
          <w:p w14:paraId="30805EA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28,594</w:t>
            </w:r>
          </w:p>
        </w:tc>
        <w:tc>
          <w:tcPr>
            <w:tcW w:w="855" w:type="dxa"/>
            <w:shd w:val="clear" w:color="auto" w:fill="auto"/>
            <w:noWrap/>
            <w:vAlign w:val="center"/>
            <w:hideMark/>
          </w:tcPr>
          <w:p w14:paraId="47BBC4F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27,885</w:t>
            </w:r>
          </w:p>
        </w:tc>
        <w:tc>
          <w:tcPr>
            <w:tcW w:w="855" w:type="dxa"/>
            <w:shd w:val="clear" w:color="auto" w:fill="auto"/>
            <w:noWrap/>
            <w:vAlign w:val="center"/>
            <w:hideMark/>
          </w:tcPr>
          <w:p w14:paraId="097F4C1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54,971</w:t>
            </w:r>
          </w:p>
        </w:tc>
        <w:tc>
          <w:tcPr>
            <w:tcW w:w="776" w:type="dxa"/>
            <w:shd w:val="clear" w:color="auto" w:fill="auto"/>
            <w:noWrap/>
            <w:vAlign w:val="center"/>
            <w:hideMark/>
          </w:tcPr>
          <w:p w14:paraId="7395B49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5,784</w:t>
            </w:r>
          </w:p>
        </w:tc>
        <w:tc>
          <w:tcPr>
            <w:tcW w:w="855" w:type="dxa"/>
            <w:shd w:val="clear" w:color="auto" w:fill="auto"/>
            <w:noWrap/>
            <w:vAlign w:val="center"/>
            <w:hideMark/>
          </w:tcPr>
          <w:p w14:paraId="513ECAB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43,303</w:t>
            </w:r>
          </w:p>
        </w:tc>
        <w:tc>
          <w:tcPr>
            <w:tcW w:w="776" w:type="dxa"/>
            <w:shd w:val="clear" w:color="auto" w:fill="auto"/>
            <w:noWrap/>
            <w:vAlign w:val="center"/>
            <w:hideMark/>
          </w:tcPr>
          <w:p w14:paraId="70F3CD0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4,534</w:t>
            </w:r>
          </w:p>
        </w:tc>
        <w:tc>
          <w:tcPr>
            <w:tcW w:w="776" w:type="dxa"/>
            <w:shd w:val="clear" w:color="auto" w:fill="auto"/>
            <w:noWrap/>
            <w:vAlign w:val="center"/>
            <w:hideMark/>
          </w:tcPr>
          <w:p w14:paraId="540DA41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19,593</w:t>
            </w:r>
          </w:p>
        </w:tc>
        <w:tc>
          <w:tcPr>
            <w:tcW w:w="791" w:type="dxa"/>
            <w:shd w:val="clear" w:color="auto" w:fill="auto"/>
            <w:noWrap/>
            <w:vAlign w:val="center"/>
            <w:hideMark/>
          </w:tcPr>
          <w:p w14:paraId="2A5CEDA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15,136</w:t>
            </w:r>
          </w:p>
        </w:tc>
        <w:tc>
          <w:tcPr>
            <w:tcW w:w="776" w:type="dxa"/>
            <w:shd w:val="clear" w:color="auto" w:fill="auto"/>
            <w:noWrap/>
            <w:vAlign w:val="center"/>
            <w:hideMark/>
          </w:tcPr>
          <w:p w14:paraId="4A17188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10,443</w:t>
            </w:r>
          </w:p>
        </w:tc>
        <w:tc>
          <w:tcPr>
            <w:tcW w:w="776" w:type="dxa"/>
            <w:shd w:val="clear" w:color="auto" w:fill="auto"/>
            <w:noWrap/>
            <w:vAlign w:val="center"/>
            <w:hideMark/>
          </w:tcPr>
          <w:p w14:paraId="7315F27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11,988</w:t>
            </w:r>
          </w:p>
        </w:tc>
        <w:tc>
          <w:tcPr>
            <w:tcW w:w="776" w:type="dxa"/>
            <w:shd w:val="clear" w:color="auto" w:fill="auto"/>
            <w:noWrap/>
            <w:vAlign w:val="center"/>
            <w:hideMark/>
          </w:tcPr>
          <w:p w14:paraId="2C03111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28,207</w:t>
            </w:r>
          </w:p>
        </w:tc>
        <w:tc>
          <w:tcPr>
            <w:tcW w:w="974" w:type="dxa"/>
            <w:shd w:val="clear" w:color="auto" w:fill="auto"/>
            <w:noWrap/>
            <w:vAlign w:val="center"/>
            <w:hideMark/>
          </w:tcPr>
          <w:p w14:paraId="0CB2E3F1"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273,464</w:t>
            </w:r>
          </w:p>
        </w:tc>
      </w:tr>
      <w:tr w:rsidR="002735B4" w:rsidRPr="00445472" w14:paraId="073F3D7C" w14:textId="77777777" w:rsidTr="002A1F08">
        <w:trPr>
          <w:trHeight w:val="225"/>
        </w:trPr>
        <w:tc>
          <w:tcPr>
            <w:tcW w:w="1905" w:type="dxa"/>
            <w:shd w:val="clear" w:color="auto" w:fill="auto"/>
            <w:noWrap/>
            <w:vAlign w:val="center"/>
            <w:hideMark/>
          </w:tcPr>
          <w:p w14:paraId="219EA8EF" w14:textId="446BCDA2"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materiale (përfshirë Kimikatet)</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5EC395A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1051877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260</w:t>
            </w:r>
          </w:p>
        </w:tc>
        <w:tc>
          <w:tcPr>
            <w:tcW w:w="775" w:type="dxa"/>
            <w:shd w:val="clear" w:color="auto" w:fill="auto"/>
            <w:noWrap/>
            <w:vAlign w:val="center"/>
            <w:hideMark/>
          </w:tcPr>
          <w:p w14:paraId="22C742A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153</w:t>
            </w:r>
          </w:p>
        </w:tc>
        <w:tc>
          <w:tcPr>
            <w:tcW w:w="855" w:type="dxa"/>
            <w:shd w:val="clear" w:color="auto" w:fill="auto"/>
            <w:noWrap/>
            <w:vAlign w:val="center"/>
            <w:hideMark/>
          </w:tcPr>
          <w:p w14:paraId="51554A7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1,250</w:t>
            </w:r>
          </w:p>
        </w:tc>
        <w:tc>
          <w:tcPr>
            <w:tcW w:w="855" w:type="dxa"/>
            <w:shd w:val="clear" w:color="auto" w:fill="auto"/>
            <w:noWrap/>
            <w:vAlign w:val="center"/>
            <w:hideMark/>
          </w:tcPr>
          <w:p w14:paraId="5015FDA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160</w:t>
            </w:r>
          </w:p>
        </w:tc>
        <w:tc>
          <w:tcPr>
            <w:tcW w:w="855" w:type="dxa"/>
            <w:shd w:val="clear" w:color="auto" w:fill="auto"/>
            <w:noWrap/>
            <w:vAlign w:val="center"/>
            <w:hideMark/>
          </w:tcPr>
          <w:p w14:paraId="76B20F9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3,074</w:t>
            </w:r>
          </w:p>
        </w:tc>
        <w:tc>
          <w:tcPr>
            <w:tcW w:w="776" w:type="dxa"/>
            <w:shd w:val="clear" w:color="auto" w:fill="auto"/>
            <w:noWrap/>
            <w:vAlign w:val="center"/>
            <w:hideMark/>
          </w:tcPr>
          <w:p w14:paraId="280D1F1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210</w:t>
            </w:r>
          </w:p>
        </w:tc>
        <w:tc>
          <w:tcPr>
            <w:tcW w:w="855" w:type="dxa"/>
            <w:shd w:val="clear" w:color="auto" w:fill="auto"/>
            <w:noWrap/>
            <w:vAlign w:val="center"/>
            <w:hideMark/>
          </w:tcPr>
          <w:p w14:paraId="1A6DE24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3,240</w:t>
            </w:r>
          </w:p>
        </w:tc>
        <w:tc>
          <w:tcPr>
            <w:tcW w:w="776" w:type="dxa"/>
            <w:shd w:val="clear" w:color="auto" w:fill="auto"/>
            <w:noWrap/>
            <w:vAlign w:val="center"/>
            <w:hideMark/>
          </w:tcPr>
          <w:p w14:paraId="048DED5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136</w:t>
            </w:r>
          </w:p>
        </w:tc>
        <w:tc>
          <w:tcPr>
            <w:tcW w:w="776" w:type="dxa"/>
            <w:shd w:val="clear" w:color="auto" w:fill="auto"/>
            <w:noWrap/>
            <w:vAlign w:val="center"/>
            <w:hideMark/>
          </w:tcPr>
          <w:p w14:paraId="53D6397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165</w:t>
            </w:r>
          </w:p>
        </w:tc>
        <w:tc>
          <w:tcPr>
            <w:tcW w:w="791" w:type="dxa"/>
            <w:shd w:val="clear" w:color="auto" w:fill="auto"/>
            <w:noWrap/>
            <w:vAlign w:val="center"/>
            <w:hideMark/>
          </w:tcPr>
          <w:p w14:paraId="5C68039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475</w:t>
            </w:r>
          </w:p>
        </w:tc>
        <w:tc>
          <w:tcPr>
            <w:tcW w:w="776" w:type="dxa"/>
            <w:shd w:val="clear" w:color="auto" w:fill="auto"/>
            <w:noWrap/>
            <w:vAlign w:val="center"/>
            <w:hideMark/>
          </w:tcPr>
          <w:p w14:paraId="1D5EA4E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297</w:t>
            </w:r>
          </w:p>
        </w:tc>
        <w:tc>
          <w:tcPr>
            <w:tcW w:w="776" w:type="dxa"/>
            <w:shd w:val="clear" w:color="auto" w:fill="auto"/>
            <w:noWrap/>
            <w:vAlign w:val="center"/>
            <w:hideMark/>
          </w:tcPr>
          <w:p w14:paraId="52E80A3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2ADD3FA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2,043</w:t>
            </w:r>
          </w:p>
        </w:tc>
        <w:tc>
          <w:tcPr>
            <w:tcW w:w="974" w:type="dxa"/>
            <w:shd w:val="clear" w:color="auto" w:fill="auto"/>
            <w:noWrap/>
            <w:vAlign w:val="center"/>
            <w:hideMark/>
          </w:tcPr>
          <w:p w14:paraId="04DF57F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11,464</w:t>
            </w:r>
          </w:p>
        </w:tc>
      </w:tr>
      <w:tr w:rsidR="002735B4" w:rsidRPr="00445472" w14:paraId="6ABDDA42" w14:textId="77777777" w:rsidTr="002A1F08">
        <w:trPr>
          <w:trHeight w:val="225"/>
        </w:trPr>
        <w:tc>
          <w:tcPr>
            <w:tcW w:w="1905" w:type="dxa"/>
            <w:shd w:val="clear" w:color="auto" w:fill="auto"/>
            <w:noWrap/>
            <w:vAlign w:val="center"/>
            <w:hideMark/>
          </w:tcPr>
          <w:p w14:paraId="202676D8" w14:textId="006081FC"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 të energjisë</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7EAA0A2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w:t>
            </w:r>
          </w:p>
        </w:tc>
        <w:tc>
          <w:tcPr>
            <w:tcW w:w="794" w:type="dxa"/>
            <w:shd w:val="clear" w:color="auto" w:fill="auto"/>
            <w:noWrap/>
            <w:vAlign w:val="center"/>
            <w:hideMark/>
          </w:tcPr>
          <w:p w14:paraId="5C54FB5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10,665</w:t>
            </w:r>
          </w:p>
        </w:tc>
        <w:tc>
          <w:tcPr>
            <w:tcW w:w="775" w:type="dxa"/>
            <w:shd w:val="clear" w:color="auto" w:fill="auto"/>
            <w:noWrap/>
            <w:vAlign w:val="center"/>
            <w:hideMark/>
          </w:tcPr>
          <w:p w14:paraId="433A619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4,489</w:t>
            </w:r>
          </w:p>
        </w:tc>
        <w:tc>
          <w:tcPr>
            <w:tcW w:w="855" w:type="dxa"/>
            <w:shd w:val="clear" w:color="auto" w:fill="auto"/>
            <w:noWrap/>
            <w:vAlign w:val="center"/>
            <w:hideMark/>
          </w:tcPr>
          <w:p w14:paraId="31BFA2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61,890</w:t>
            </w:r>
          </w:p>
        </w:tc>
        <w:tc>
          <w:tcPr>
            <w:tcW w:w="855" w:type="dxa"/>
            <w:shd w:val="clear" w:color="auto" w:fill="auto"/>
            <w:noWrap/>
            <w:vAlign w:val="center"/>
            <w:hideMark/>
          </w:tcPr>
          <w:p w14:paraId="1FC2046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18,320</w:t>
            </w:r>
          </w:p>
        </w:tc>
        <w:tc>
          <w:tcPr>
            <w:tcW w:w="855" w:type="dxa"/>
            <w:shd w:val="clear" w:color="auto" w:fill="auto"/>
            <w:noWrap/>
            <w:vAlign w:val="center"/>
            <w:hideMark/>
          </w:tcPr>
          <w:p w14:paraId="713049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105,902</w:t>
            </w:r>
          </w:p>
        </w:tc>
        <w:tc>
          <w:tcPr>
            <w:tcW w:w="776" w:type="dxa"/>
            <w:shd w:val="clear" w:color="auto" w:fill="auto"/>
            <w:noWrap/>
            <w:vAlign w:val="center"/>
            <w:hideMark/>
          </w:tcPr>
          <w:p w14:paraId="6478CCF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380.</w:t>
            </w:r>
          </w:p>
        </w:tc>
        <w:tc>
          <w:tcPr>
            <w:tcW w:w="855" w:type="dxa"/>
            <w:shd w:val="clear" w:color="auto" w:fill="auto"/>
            <w:noWrap/>
            <w:vAlign w:val="center"/>
            <w:hideMark/>
          </w:tcPr>
          <w:p w14:paraId="095AF56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34,079</w:t>
            </w:r>
          </w:p>
        </w:tc>
        <w:tc>
          <w:tcPr>
            <w:tcW w:w="776" w:type="dxa"/>
            <w:shd w:val="clear" w:color="auto" w:fill="auto"/>
            <w:noWrap/>
            <w:vAlign w:val="center"/>
            <w:hideMark/>
          </w:tcPr>
          <w:p w14:paraId="0185E8B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93E262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902</w:t>
            </w:r>
          </w:p>
        </w:tc>
        <w:tc>
          <w:tcPr>
            <w:tcW w:w="791" w:type="dxa"/>
            <w:shd w:val="clear" w:color="auto" w:fill="auto"/>
            <w:noWrap/>
            <w:vAlign w:val="center"/>
            <w:hideMark/>
          </w:tcPr>
          <w:p w14:paraId="30496B7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86</w:t>
            </w:r>
          </w:p>
        </w:tc>
        <w:tc>
          <w:tcPr>
            <w:tcW w:w="776" w:type="dxa"/>
            <w:shd w:val="clear" w:color="auto" w:fill="auto"/>
            <w:noWrap/>
            <w:vAlign w:val="center"/>
            <w:hideMark/>
          </w:tcPr>
          <w:p w14:paraId="0BABE73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677</w:t>
            </w:r>
          </w:p>
        </w:tc>
        <w:tc>
          <w:tcPr>
            <w:tcW w:w="776" w:type="dxa"/>
            <w:shd w:val="clear" w:color="auto" w:fill="auto"/>
            <w:noWrap/>
            <w:vAlign w:val="center"/>
            <w:hideMark/>
          </w:tcPr>
          <w:p w14:paraId="5CD30A2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8,455</w:t>
            </w:r>
          </w:p>
        </w:tc>
        <w:tc>
          <w:tcPr>
            <w:tcW w:w="776" w:type="dxa"/>
            <w:shd w:val="clear" w:color="auto" w:fill="auto"/>
            <w:noWrap/>
            <w:vAlign w:val="center"/>
            <w:hideMark/>
          </w:tcPr>
          <w:p w14:paraId="27396D7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234</w:t>
            </w:r>
          </w:p>
        </w:tc>
        <w:tc>
          <w:tcPr>
            <w:tcW w:w="974" w:type="dxa"/>
            <w:shd w:val="clear" w:color="auto" w:fill="auto"/>
            <w:noWrap/>
            <w:vAlign w:val="center"/>
            <w:hideMark/>
          </w:tcPr>
          <w:p w14:paraId="6128868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246,095</w:t>
            </w:r>
          </w:p>
        </w:tc>
      </w:tr>
      <w:tr w:rsidR="002735B4" w:rsidRPr="00445472" w14:paraId="1F46F353" w14:textId="77777777" w:rsidTr="002A1F08">
        <w:trPr>
          <w:trHeight w:val="225"/>
        </w:trPr>
        <w:tc>
          <w:tcPr>
            <w:tcW w:w="1905" w:type="dxa"/>
            <w:shd w:val="clear" w:color="auto" w:fill="auto"/>
            <w:noWrap/>
            <w:vAlign w:val="center"/>
            <w:hideMark/>
          </w:tcPr>
          <w:p w14:paraId="106B016D" w14:textId="76BC998A"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w:t>
            </w:r>
            <w:r w:rsidR="00B40EC2" w:rsidRPr="00445472">
              <w:rPr>
                <w:rFonts w:ascii="Garamond" w:hAnsi="Garamond"/>
                <w:sz w:val="16"/>
                <w:szCs w:val="16"/>
                <w:lang w:eastAsia="en-GB"/>
              </w:rPr>
              <w:t xml:space="preserve">riparimi </w:t>
            </w:r>
            <w:r w:rsidRPr="00445472">
              <w:rPr>
                <w:rFonts w:ascii="Garamond" w:hAnsi="Garamond"/>
                <w:sz w:val="16"/>
                <w:szCs w:val="16"/>
                <w:lang w:eastAsia="en-GB"/>
              </w:rPr>
              <w:t>dhe mirëmbajtjeje</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7422783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926</w:t>
            </w:r>
          </w:p>
        </w:tc>
        <w:tc>
          <w:tcPr>
            <w:tcW w:w="794" w:type="dxa"/>
            <w:shd w:val="clear" w:color="auto" w:fill="auto"/>
            <w:noWrap/>
            <w:vAlign w:val="center"/>
            <w:hideMark/>
          </w:tcPr>
          <w:p w14:paraId="696A594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839</w:t>
            </w:r>
          </w:p>
        </w:tc>
        <w:tc>
          <w:tcPr>
            <w:tcW w:w="775" w:type="dxa"/>
            <w:shd w:val="clear" w:color="auto" w:fill="auto"/>
            <w:noWrap/>
            <w:vAlign w:val="center"/>
            <w:hideMark/>
          </w:tcPr>
          <w:p w14:paraId="2FEFD25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225</w:t>
            </w:r>
          </w:p>
        </w:tc>
        <w:tc>
          <w:tcPr>
            <w:tcW w:w="855" w:type="dxa"/>
            <w:shd w:val="clear" w:color="auto" w:fill="auto"/>
            <w:noWrap/>
            <w:vAlign w:val="center"/>
            <w:hideMark/>
          </w:tcPr>
          <w:p w14:paraId="1E64E30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5,508</w:t>
            </w:r>
          </w:p>
        </w:tc>
        <w:tc>
          <w:tcPr>
            <w:tcW w:w="855" w:type="dxa"/>
            <w:shd w:val="clear" w:color="auto" w:fill="auto"/>
            <w:noWrap/>
            <w:vAlign w:val="center"/>
            <w:hideMark/>
          </w:tcPr>
          <w:p w14:paraId="1F66E08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638</w:t>
            </w:r>
          </w:p>
        </w:tc>
        <w:tc>
          <w:tcPr>
            <w:tcW w:w="855" w:type="dxa"/>
            <w:shd w:val="clear" w:color="auto" w:fill="auto"/>
            <w:noWrap/>
            <w:vAlign w:val="center"/>
            <w:hideMark/>
          </w:tcPr>
          <w:p w14:paraId="48BFA7F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4,756</w:t>
            </w:r>
          </w:p>
        </w:tc>
        <w:tc>
          <w:tcPr>
            <w:tcW w:w="776" w:type="dxa"/>
            <w:shd w:val="clear" w:color="auto" w:fill="auto"/>
            <w:noWrap/>
            <w:vAlign w:val="center"/>
            <w:hideMark/>
          </w:tcPr>
          <w:p w14:paraId="7B9B157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369</w:t>
            </w:r>
          </w:p>
        </w:tc>
        <w:tc>
          <w:tcPr>
            <w:tcW w:w="855" w:type="dxa"/>
            <w:shd w:val="clear" w:color="auto" w:fill="auto"/>
            <w:noWrap/>
            <w:vAlign w:val="center"/>
            <w:hideMark/>
          </w:tcPr>
          <w:p w14:paraId="0793E15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9,213</w:t>
            </w:r>
          </w:p>
        </w:tc>
        <w:tc>
          <w:tcPr>
            <w:tcW w:w="776" w:type="dxa"/>
            <w:shd w:val="clear" w:color="auto" w:fill="auto"/>
            <w:noWrap/>
            <w:vAlign w:val="center"/>
            <w:hideMark/>
          </w:tcPr>
          <w:p w14:paraId="4F39399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447</w:t>
            </w:r>
          </w:p>
        </w:tc>
        <w:tc>
          <w:tcPr>
            <w:tcW w:w="776" w:type="dxa"/>
            <w:shd w:val="clear" w:color="auto" w:fill="auto"/>
            <w:noWrap/>
            <w:vAlign w:val="center"/>
            <w:hideMark/>
          </w:tcPr>
          <w:p w14:paraId="61637EB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2,167</w:t>
            </w:r>
          </w:p>
        </w:tc>
        <w:tc>
          <w:tcPr>
            <w:tcW w:w="791" w:type="dxa"/>
            <w:shd w:val="clear" w:color="auto" w:fill="auto"/>
            <w:noWrap/>
            <w:vAlign w:val="center"/>
            <w:hideMark/>
          </w:tcPr>
          <w:p w14:paraId="410228E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3,464</w:t>
            </w:r>
          </w:p>
        </w:tc>
        <w:tc>
          <w:tcPr>
            <w:tcW w:w="776" w:type="dxa"/>
            <w:shd w:val="clear" w:color="auto" w:fill="auto"/>
            <w:noWrap/>
            <w:vAlign w:val="center"/>
            <w:hideMark/>
          </w:tcPr>
          <w:p w14:paraId="0AE7CC4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1,126</w:t>
            </w:r>
          </w:p>
        </w:tc>
        <w:tc>
          <w:tcPr>
            <w:tcW w:w="776" w:type="dxa"/>
            <w:shd w:val="clear" w:color="auto" w:fill="auto"/>
            <w:noWrap/>
            <w:vAlign w:val="center"/>
            <w:hideMark/>
          </w:tcPr>
          <w:p w14:paraId="7994BFF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132</w:t>
            </w:r>
          </w:p>
        </w:tc>
        <w:tc>
          <w:tcPr>
            <w:tcW w:w="776" w:type="dxa"/>
            <w:shd w:val="clear" w:color="auto" w:fill="auto"/>
            <w:noWrap/>
            <w:vAlign w:val="center"/>
            <w:hideMark/>
          </w:tcPr>
          <w:p w14:paraId="5A966B4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5,189</w:t>
            </w:r>
          </w:p>
        </w:tc>
        <w:tc>
          <w:tcPr>
            <w:tcW w:w="974" w:type="dxa"/>
            <w:shd w:val="clear" w:color="auto" w:fill="auto"/>
            <w:noWrap/>
            <w:vAlign w:val="center"/>
            <w:hideMark/>
          </w:tcPr>
          <w:p w14:paraId="579F8F3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35,000</w:t>
            </w:r>
          </w:p>
        </w:tc>
      </w:tr>
      <w:tr w:rsidR="002735B4" w:rsidRPr="00445472" w14:paraId="566B7628" w14:textId="77777777" w:rsidTr="002A1F08">
        <w:trPr>
          <w:trHeight w:val="225"/>
        </w:trPr>
        <w:tc>
          <w:tcPr>
            <w:tcW w:w="1905" w:type="dxa"/>
            <w:shd w:val="clear" w:color="auto" w:fill="auto"/>
            <w:noWrap/>
            <w:vAlign w:val="center"/>
            <w:hideMark/>
          </w:tcPr>
          <w:p w14:paraId="7FF17AA9" w14:textId="41BCF243"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 të shërbimeve të kontraktuara</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6DFB987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6815A6E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21B0243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89</w:t>
            </w:r>
          </w:p>
        </w:tc>
        <w:tc>
          <w:tcPr>
            <w:tcW w:w="855" w:type="dxa"/>
            <w:shd w:val="clear" w:color="auto" w:fill="auto"/>
            <w:noWrap/>
            <w:vAlign w:val="center"/>
            <w:hideMark/>
          </w:tcPr>
          <w:p w14:paraId="7D6A0BF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685A3FE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9,087</w:t>
            </w:r>
          </w:p>
        </w:tc>
        <w:tc>
          <w:tcPr>
            <w:tcW w:w="855" w:type="dxa"/>
            <w:shd w:val="clear" w:color="auto" w:fill="auto"/>
            <w:noWrap/>
            <w:vAlign w:val="center"/>
            <w:hideMark/>
          </w:tcPr>
          <w:p w14:paraId="695333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9,147</w:t>
            </w:r>
          </w:p>
        </w:tc>
        <w:tc>
          <w:tcPr>
            <w:tcW w:w="776" w:type="dxa"/>
            <w:shd w:val="clear" w:color="auto" w:fill="auto"/>
            <w:noWrap/>
            <w:vAlign w:val="center"/>
            <w:hideMark/>
          </w:tcPr>
          <w:p w14:paraId="37E3E06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3C24713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D17FB6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C13C57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3,116</w:t>
            </w:r>
          </w:p>
        </w:tc>
        <w:tc>
          <w:tcPr>
            <w:tcW w:w="791" w:type="dxa"/>
            <w:shd w:val="clear" w:color="auto" w:fill="auto"/>
            <w:noWrap/>
            <w:vAlign w:val="center"/>
            <w:hideMark/>
          </w:tcPr>
          <w:p w14:paraId="1D8BC23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3,995</w:t>
            </w:r>
          </w:p>
        </w:tc>
        <w:tc>
          <w:tcPr>
            <w:tcW w:w="776" w:type="dxa"/>
            <w:shd w:val="clear" w:color="auto" w:fill="auto"/>
            <w:noWrap/>
            <w:vAlign w:val="center"/>
            <w:hideMark/>
          </w:tcPr>
          <w:p w14:paraId="15A6C39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7,676</w:t>
            </w:r>
          </w:p>
        </w:tc>
        <w:tc>
          <w:tcPr>
            <w:tcW w:w="776" w:type="dxa"/>
            <w:shd w:val="clear" w:color="auto" w:fill="auto"/>
            <w:noWrap/>
            <w:vAlign w:val="center"/>
            <w:hideMark/>
          </w:tcPr>
          <w:p w14:paraId="39A9A11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3B95BC2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974" w:type="dxa"/>
            <w:shd w:val="clear" w:color="auto" w:fill="auto"/>
            <w:noWrap/>
            <w:vAlign w:val="center"/>
            <w:hideMark/>
          </w:tcPr>
          <w:p w14:paraId="7A602B56"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33,110</w:t>
            </w:r>
          </w:p>
        </w:tc>
      </w:tr>
      <w:tr w:rsidR="002735B4" w:rsidRPr="00445472" w14:paraId="5873A47E" w14:textId="77777777" w:rsidTr="002A1F08">
        <w:trPr>
          <w:trHeight w:val="225"/>
        </w:trPr>
        <w:tc>
          <w:tcPr>
            <w:tcW w:w="1905" w:type="dxa"/>
            <w:shd w:val="clear" w:color="auto" w:fill="auto"/>
            <w:noWrap/>
            <w:vAlign w:val="center"/>
            <w:hideMark/>
          </w:tcPr>
          <w:p w14:paraId="73A0B65E" w14:textId="0F080538"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 të tjera</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77812C2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845</w:t>
            </w:r>
          </w:p>
        </w:tc>
        <w:tc>
          <w:tcPr>
            <w:tcW w:w="794" w:type="dxa"/>
            <w:shd w:val="clear" w:color="auto" w:fill="auto"/>
            <w:noWrap/>
            <w:vAlign w:val="center"/>
            <w:hideMark/>
          </w:tcPr>
          <w:p w14:paraId="3188E09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353</w:t>
            </w:r>
          </w:p>
        </w:tc>
        <w:tc>
          <w:tcPr>
            <w:tcW w:w="775" w:type="dxa"/>
            <w:shd w:val="clear" w:color="auto" w:fill="auto"/>
            <w:noWrap/>
            <w:vAlign w:val="center"/>
            <w:hideMark/>
          </w:tcPr>
          <w:p w14:paraId="6B1DC34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143</w:t>
            </w:r>
          </w:p>
        </w:tc>
        <w:tc>
          <w:tcPr>
            <w:tcW w:w="855" w:type="dxa"/>
            <w:shd w:val="clear" w:color="auto" w:fill="auto"/>
            <w:noWrap/>
            <w:vAlign w:val="center"/>
            <w:hideMark/>
          </w:tcPr>
          <w:p w14:paraId="6FD91EE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4,790</w:t>
            </w:r>
          </w:p>
        </w:tc>
        <w:tc>
          <w:tcPr>
            <w:tcW w:w="855" w:type="dxa"/>
            <w:shd w:val="clear" w:color="auto" w:fill="auto"/>
            <w:noWrap/>
            <w:vAlign w:val="center"/>
            <w:hideMark/>
          </w:tcPr>
          <w:p w14:paraId="7783996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3,060</w:t>
            </w:r>
          </w:p>
        </w:tc>
        <w:tc>
          <w:tcPr>
            <w:tcW w:w="855" w:type="dxa"/>
            <w:shd w:val="clear" w:color="auto" w:fill="auto"/>
            <w:noWrap/>
            <w:vAlign w:val="center"/>
            <w:hideMark/>
          </w:tcPr>
          <w:p w14:paraId="0EA0C64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1,141</w:t>
            </w:r>
          </w:p>
        </w:tc>
        <w:tc>
          <w:tcPr>
            <w:tcW w:w="776" w:type="dxa"/>
            <w:shd w:val="clear" w:color="auto" w:fill="auto"/>
            <w:noWrap/>
            <w:vAlign w:val="center"/>
            <w:hideMark/>
          </w:tcPr>
          <w:p w14:paraId="48E3851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496</w:t>
            </w:r>
          </w:p>
        </w:tc>
        <w:tc>
          <w:tcPr>
            <w:tcW w:w="855" w:type="dxa"/>
            <w:shd w:val="clear" w:color="auto" w:fill="auto"/>
            <w:noWrap/>
            <w:vAlign w:val="center"/>
            <w:hideMark/>
          </w:tcPr>
          <w:p w14:paraId="5B764B8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2,998</w:t>
            </w:r>
          </w:p>
        </w:tc>
        <w:tc>
          <w:tcPr>
            <w:tcW w:w="776" w:type="dxa"/>
            <w:shd w:val="clear" w:color="auto" w:fill="auto"/>
            <w:noWrap/>
            <w:vAlign w:val="center"/>
            <w:hideMark/>
          </w:tcPr>
          <w:p w14:paraId="643D4BE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125</w:t>
            </w:r>
          </w:p>
        </w:tc>
        <w:tc>
          <w:tcPr>
            <w:tcW w:w="776" w:type="dxa"/>
            <w:shd w:val="clear" w:color="auto" w:fill="auto"/>
            <w:noWrap/>
            <w:vAlign w:val="center"/>
            <w:hideMark/>
          </w:tcPr>
          <w:p w14:paraId="1E956AB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3,987</w:t>
            </w:r>
          </w:p>
        </w:tc>
        <w:tc>
          <w:tcPr>
            <w:tcW w:w="791" w:type="dxa"/>
            <w:shd w:val="clear" w:color="auto" w:fill="auto"/>
            <w:noWrap/>
            <w:vAlign w:val="center"/>
            <w:hideMark/>
          </w:tcPr>
          <w:p w14:paraId="652B656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708</w:t>
            </w:r>
          </w:p>
        </w:tc>
        <w:tc>
          <w:tcPr>
            <w:tcW w:w="776" w:type="dxa"/>
            <w:shd w:val="clear" w:color="auto" w:fill="auto"/>
            <w:noWrap/>
            <w:vAlign w:val="center"/>
            <w:hideMark/>
          </w:tcPr>
          <w:p w14:paraId="4CDE6E2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2,175</w:t>
            </w:r>
          </w:p>
        </w:tc>
        <w:tc>
          <w:tcPr>
            <w:tcW w:w="776" w:type="dxa"/>
            <w:shd w:val="clear" w:color="auto" w:fill="auto"/>
            <w:noWrap/>
            <w:vAlign w:val="center"/>
            <w:hideMark/>
          </w:tcPr>
          <w:p w14:paraId="0C355F9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1,308</w:t>
            </w:r>
          </w:p>
        </w:tc>
        <w:tc>
          <w:tcPr>
            <w:tcW w:w="776" w:type="dxa"/>
            <w:shd w:val="clear" w:color="auto" w:fill="auto"/>
            <w:noWrap/>
            <w:vAlign w:val="center"/>
            <w:hideMark/>
          </w:tcPr>
          <w:p w14:paraId="76A0A98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543</w:t>
            </w:r>
          </w:p>
        </w:tc>
        <w:tc>
          <w:tcPr>
            <w:tcW w:w="974" w:type="dxa"/>
            <w:shd w:val="clear" w:color="auto" w:fill="auto"/>
            <w:noWrap/>
            <w:vAlign w:val="center"/>
            <w:hideMark/>
          </w:tcPr>
          <w:p w14:paraId="0C95589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22,673</w:t>
            </w:r>
          </w:p>
        </w:tc>
      </w:tr>
      <w:tr w:rsidR="002735B4" w:rsidRPr="00445472" w14:paraId="28A2F577" w14:textId="77777777" w:rsidTr="002A1F08">
        <w:trPr>
          <w:trHeight w:val="225"/>
        </w:trPr>
        <w:tc>
          <w:tcPr>
            <w:tcW w:w="1905" w:type="dxa"/>
            <w:shd w:val="clear" w:color="auto" w:fill="auto"/>
            <w:noWrap/>
            <w:vAlign w:val="center"/>
            <w:hideMark/>
          </w:tcPr>
          <w:p w14:paraId="677A4C3D" w14:textId="10E31211"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B40EC2" w:rsidRPr="00445472">
              <w:rPr>
                <w:rFonts w:ascii="Garamond" w:hAnsi="Garamond"/>
                <w:b/>
                <w:bCs/>
                <w:sz w:val="16"/>
                <w:szCs w:val="16"/>
                <w:lang w:eastAsia="en-GB"/>
              </w:rPr>
              <w:t>ja</w:t>
            </w:r>
            <w:r w:rsidRPr="00445472">
              <w:rPr>
                <w:rFonts w:ascii="Garamond" w:hAnsi="Garamond"/>
                <w:b/>
                <w:bCs/>
                <w:sz w:val="16"/>
                <w:szCs w:val="16"/>
                <w:lang w:eastAsia="en-GB"/>
              </w:rPr>
              <w:t xml:space="preserve"> direkte operative (DOC)- ujë (000 </w:t>
            </w:r>
            <w:r w:rsidR="00B40EC2" w:rsidRPr="00445472">
              <w:rPr>
                <w:rFonts w:ascii="Garamond" w:hAnsi="Garamond"/>
                <w:b/>
                <w:bCs/>
                <w:sz w:val="16"/>
                <w:szCs w:val="16"/>
                <w:lang w:eastAsia="en-GB"/>
              </w:rPr>
              <w:t>lek</w:t>
            </w:r>
            <w:r w:rsidRPr="00445472">
              <w:rPr>
                <w:rFonts w:ascii="Garamond" w:hAnsi="Garamond"/>
                <w:b/>
                <w:bCs/>
                <w:sz w:val="16"/>
                <w:szCs w:val="16"/>
                <w:lang w:eastAsia="en-GB"/>
              </w:rPr>
              <w:t>)</w:t>
            </w:r>
          </w:p>
        </w:tc>
        <w:tc>
          <w:tcPr>
            <w:tcW w:w="775" w:type="dxa"/>
            <w:shd w:val="clear" w:color="auto" w:fill="auto"/>
            <w:noWrap/>
            <w:vAlign w:val="center"/>
            <w:hideMark/>
          </w:tcPr>
          <w:p w14:paraId="59CBB18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9,698</w:t>
            </w:r>
          </w:p>
        </w:tc>
        <w:tc>
          <w:tcPr>
            <w:tcW w:w="794" w:type="dxa"/>
            <w:shd w:val="clear" w:color="auto" w:fill="auto"/>
            <w:noWrap/>
            <w:vAlign w:val="center"/>
            <w:hideMark/>
          </w:tcPr>
          <w:p w14:paraId="76665B0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16,804</w:t>
            </w:r>
          </w:p>
        </w:tc>
        <w:tc>
          <w:tcPr>
            <w:tcW w:w="775" w:type="dxa"/>
            <w:shd w:val="clear" w:color="auto" w:fill="auto"/>
            <w:noWrap/>
            <w:vAlign w:val="center"/>
            <w:hideMark/>
          </w:tcPr>
          <w:p w14:paraId="4FC0588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15,526</w:t>
            </w:r>
          </w:p>
        </w:tc>
        <w:tc>
          <w:tcPr>
            <w:tcW w:w="855" w:type="dxa"/>
            <w:shd w:val="clear" w:color="auto" w:fill="auto"/>
            <w:noWrap/>
            <w:vAlign w:val="center"/>
            <w:hideMark/>
          </w:tcPr>
          <w:p w14:paraId="21119D5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102,032</w:t>
            </w:r>
          </w:p>
        </w:tc>
        <w:tc>
          <w:tcPr>
            <w:tcW w:w="855" w:type="dxa"/>
            <w:shd w:val="clear" w:color="auto" w:fill="auto"/>
            <w:noWrap/>
            <w:vAlign w:val="center"/>
            <w:hideMark/>
          </w:tcPr>
          <w:p w14:paraId="3BCE126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59,151</w:t>
            </w:r>
          </w:p>
        </w:tc>
        <w:tc>
          <w:tcPr>
            <w:tcW w:w="855" w:type="dxa"/>
            <w:shd w:val="clear" w:color="auto" w:fill="auto"/>
            <w:noWrap/>
            <w:vAlign w:val="center"/>
            <w:hideMark/>
          </w:tcPr>
          <w:p w14:paraId="6BA60184"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178,992</w:t>
            </w:r>
          </w:p>
        </w:tc>
        <w:tc>
          <w:tcPr>
            <w:tcW w:w="776" w:type="dxa"/>
            <w:shd w:val="clear" w:color="auto" w:fill="auto"/>
            <w:noWrap/>
            <w:vAlign w:val="center"/>
            <w:hideMark/>
          </w:tcPr>
          <w:p w14:paraId="5A9512F2"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7,239</w:t>
            </w:r>
          </w:p>
        </w:tc>
        <w:tc>
          <w:tcPr>
            <w:tcW w:w="855" w:type="dxa"/>
            <w:shd w:val="clear" w:color="auto" w:fill="auto"/>
            <w:noWrap/>
            <w:vAlign w:val="center"/>
            <w:hideMark/>
          </w:tcPr>
          <w:p w14:paraId="2404C0A2"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92,833</w:t>
            </w:r>
          </w:p>
        </w:tc>
        <w:tc>
          <w:tcPr>
            <w:tcW w:w="776" w:type="dxa"/>
            <w:shd w:val="clear" w:color="auto" w:fill="auto"/>
            <w:noWrap/>
            <w:vAlign w:val="center"/>
            <w:hideMark/>
          </w:tcPr>
          <w:p w14:paraId="655EBDD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5,241</w:t>
            </w:r>
          </w:p>
        </w:tc>
        <w:tc>
          <w:tcPr>
            <w:tcW w:w="776" w:type="dxa"/>
            <w:shd w:val="clear" w:color="auto" w:fill="auto"/>
            <w:noWrap/>
            <w:vAlign w:val="center"/>
            <w:hideMark/>
          </w:tcPr>
          <w:p w14:paraId="7EA6141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29,930</w:t>
            </w:r>
          </w:p>
        </w:tc>
        <w:tc>
          <w:tcPr>
            <w:tcW w:w="791" w:type="dxa"/>
            <w:shd w:val="clear" w:color="auto" w:fill="auto"/>
            <w:noWrap/>
            <w:vAlign w:val="center"/>
            <w:hideMark/>
          </w:tcPr>
          <w:p w14:paraId="445E4DB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23,863</w:t>
            </w:r>
          </w:p>
        </w:tc>
        <w:tc>
          <w:tcPr>
            <w:tcW w:w="776" w:type="dxa"/>
            <w:shd w:val="clear" w:color="auto" w:fill="auto"/>
            <w:noWrap/>
            <w:vAlign w:val="center"/>
            <w:hideMark/>
          </w:tcPr>
          <w:p w14:paraId="70D738C5"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22,394</w:t>
            </w:r>
          </w:p>
        </w:tc>
        <w:tc>
          <w:tcPr>
            <w:tcW w:w="776" w:type="dxa"/>
            <w:shd w:val="clear" w:color="auto" w:fill="auto"/>
            <w:noWrap/>
            <w:vAlign w:val="center"/>
            <w:hideMark/>
          </w:tcPr>
          <w:p w14:paraId="0BA9C39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21,883</w:t>
            </w:r>
          </w:p>
        </w:tc>
        <w:tc>
          <w:tcPr>
            <w:tcW w:w="776" w:type="dxa"/>
            <w:shd w:val="clear" w:color="auto" w:fill="auto"/>
            <w:noWrap/>
            <w:vAlign w:val="center"/>
            <w:hideMark/>
          </w:tcPr>
          <w:p w14:paraId="0AC26D8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36,215</w:t>
            </w:r>
          </w:p>
        </w:tc>
        <w:tc>
          <w:tcPr>
            <w:tcW w:w="974" w:type="dxa"/>
            <w:shd w:val="clear" w:color="auto" w:fill="auto"/>
            <w:noWrap/>
            <w:vAlign w:val="center"/>
            <w:hideMark/>
          </w:tcPr>
          <w:p w14:paraId="5FF0817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621,807</w:t>
            </w:r>
          </w:p>
        </w:tc>
      </w:tr>
      <w:tr w:rsidR="002735B4" w:rsidRPr="00445472" w14:paraId="7761418C" w14:textId="77777777" w:rsidTr="002A1F08">
        <w:trPr>
          <w:trHeight w:val="225"/>
        </w:trPr>
        <w:tc>
          <w:tcPr>
            <w:tcW w:w="1905" w:type="dxa"/>
            <w:shd w:val="clear" w:color="auto" w:fill="auto"/>
            <w:noWrap/>
            <w:vAlign w:val="center"/>
            <w:hideMark/>
          </w:tcPr>
          <w:p w14:paraId="0EAFA429" w14:textId="7C02AFA2"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B40EC2" w:rsidRPr="00445472">
              <w:rPr>
                <w:rFonts w:ascii="Garamond" w:hAnsi="Garamond"/>
                <w:b/>
                <w:bCs/>
                <w:sz w:val="16"/>
                <w:szCs w:val="16"/>
                <w:lang w:eastAsia="en-GB"/>
              </w:rPr>
              <w:t>ja</w:t>
            </w:r>
            <w:r w:rsidRPr="00445472">
              <w:rPr>
                <w:rFonts w:ascii="Garamond" w:hAnsi="Garamond"/>
                <w:b/>
                <w:bCs/>
                <w:sz w:val="16"/>
                <w:szCs w:val="16"/>
                <w:lang w:eastAsia="en-GB"/>
              </w:rPr>
              <w:t xml:space="preserve"> kapitale</w:t>
            </w:r>
          </w:p>
        </w:tc>
        <w:tc>
          <w:tcPr>
            <w:tcW w:w="775" w:type="dxa"/>
            <w:shd w:val="clear" w:color="auto" w:fill="auto"/>
            <w:noWrap/>
            <w:vAlign w:val="center"/>
            <w:hideMark/>
          </w:tcPr>
          <w:p w14:paraId="033968C7" w14:textId="77777777" w:rsidR="002735B4" w:rsidRPr="00445472" w:rsidRDefault="002735B4" w:rsidP="002A1F08">
            <w:pPr>
              <w:spacing w:before="46" w:after="62"/>
              <w:rPr>
                <w:rFonts w:ascii="Garamond" w:hAnsi="Garamond"/>
                <w:b/>
                <w:bCs/>
                <w:sz w:val="16"/>
                <w:szCs w:val="16"/>
                <w:lang w:eastAsia="en-GB"/>
              </w:rPr>
            </w:pPr>
          </w:p>
        </w:tc>
        <w:tc>
          <w:tcPr>
            <w:tcW w:w="794" w:type="dxa"/>
            <w:shd w:val="clear" w:color="auto" w:fill="auto"/>
            <w:noWrap/>
            <w:vAlign w:val="center"/>
            <w:hideMark/>
          </w:tcPr>
          <w:p w14:paraId="4C755064"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4B99EBB7"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6AF49EB9"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457A17D7"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77F17E06"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067CB41A"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79161019"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5E749A4C"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3A504255" w14:textId="77777777" w:rsidR="002735B4" w:rsidRPr="00445472" w:rsidRDefault="002735B4" w:rsidP="002A1F08">
            <w:pPr>
              <w:spacing w:before="46" w:after="62"/>
              <w:rPr>
                <w:rFonts w:ascii="Garamond" w:hAnsi="Garamond"/>
                <w:b/>
                <w:bCs/>
                <w:sz w:val="16"/>
                <w:szCs w:val="16"/>
                <w:lang w:eastAsia="en-GB"/>
              </w:rPr>
            </w:pPr>
          </w:p>
        </w:tc>
        <w:tc>
          <w:tcPr>
            <w:tcW w:w="791" w:type="dxa"/>
            <w:shd w:val="clear" w:color="auto" w:fill="auto"/>
            <w:noWrap/>
            <w:vAlign w:val="center"/>
            <w:hideMark/>
          </w:tcPr>
          <w:p w14:paraId="340D7FDC"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04EEF19E"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5DB7F3F1"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75165192" w14:textId="77777777" w:rsidR="002735B4" w:rsidRPr="00445472" w:rsidRDefault="002735B4" w:rsidP="002A1F08">
            <w:pPr>
              <w:spacing w:before="46" w:after="62"/>
              <w:rPr>
                <w:rFonts w:ascii="Garamond" w:hAnsi="Garamond"/>
                <w:b/>
                <w:bCs/>
                <w:sz w:val="16"/>
                <w:szCs w:val="16"/>
                <w:lang w:eastAsia="en-GB"/>
              </w:rPr>
            </w:pPr>
          </w:p>
        </w:tc>
        <w:tc>
          <w:tcPr>
            <w:tcW w:w="974" w:type="dxa"/>
            <w:shd w:val="clear" w:color="auto" w:fill="auto"/>
            <w:noWrap/>
            <w:vAlign w:val="center"/>
            <w:hideMark/>
          </w:tcPr>
          <w:p w14:paraId="744432E4"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3CF82728" w14:textId="77777777" w:rsidTr="002A1F08">
        <w:trPr>
          <w:trHeight w:val="225"/>
        </w:trPr>
        <w:tc>
          <w:tcPr>
            <w:tcW w:w="1905" w:type="dxa"/>
            <w:shd w:val="clear" w:color="auto" w:fill="auto"/>
            <w:noWrap/>
            <w:vAlign w:val="center"/>
            <w:hideMark/>
          </w:tcPr>
          <w:p w14:paraId="691C8747" w14:textId="612A5D0C"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Zhvlerësim-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067E8C8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1,068.0</w:t>
            </w:r>
          </w:p>
        </w:tc>
        <w:tc>
          <w:tcPr>
            <w:tcW w:w="794" w:type="dxa"/>
            <w:shd w:val="clear" w:color="auto" w:fill="auto"/>
            <w:noWrap/>
            <w:vAlign w:val="center"/>
            <w:hideMark/>
          </w:tcPr>
          <w:p w14:paraId="3FE1F9C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960.0</w:t>
            </w:r>
          </w:p>
        </w:tc>
        <w:tc>
          <w:tcPr>
            <w:tcW w:w="775" w:type="dxa"/>
            <w:shd w:val="clear" w:color="auto" w:fill="auto"/>
            <w:noWrap/>
            <w:vAlign w:val="center"/>
            <w:hideMark/>
          </w:tcPr>
          <w:p w14:paraId="5B38F06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7,021.5</w:t>
            </w:r>
          </w:p>
        </w:tc>
        <w:tc>
          <w:tcPr>
            <w:tcW w:w="855" w:type="dxa"/>
            <w:shd w:val="clear" w:color="auto" w:fill="auto"/>
            <w:noWrap/>
            <w:vAlign w:val="center"/>
            <w:hideMark/>
          </w:tcPr>
          <w:p w14:paraId="326AC14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42,348.0</w:t>
            </w:r>
          </w:p>
        </w:tc>
        <w:tc>
          <w:tcPr>
            <w:tcW w:w="855" w:type="dxa"/>
            <w:shd w:val="clear" w:color="auto" w:fill="auto"/>
            <w:noWrap/>
            <w:vAlign w:val="center"/>
            <w:hideMark/>
          </w:tcPr>
          <w:p w14:paraId="4486C82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22,800.0</w:t>
            </w:r>
          </w:p>
        </w:tc>
        <w:tc>
          <w:tcPr>
            <w:tcW w:w="855" w:type="dxa"/>
            <w:shd w:val="clear" w:color="auto" w:fill="auto"/>
            <w:noWrap/>
            <w:vAlign w:val="center"/>
            <w:hideMark/>
          </w:tcPr>
          <w:p w14:paraId="01B9021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46,639.9</w:t>
            </w:r>
          </w:p>
        </w:tc>
        <w:tc>
          <w:tcPr>
            <w:tcW w:w="776" w:type="dxa"/>
            <w:shd w:val="clear" w:color="auto" w:fill="auto"/>
            <w:noWrap/>
            <w:vAlign w:val="center"/>
            <w:hideMark/>
          </w:tcPr>
          <w:p w14:paraId="3193081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2,520.0</w:t>
            </w:r>
          </w:p>
        </w:tc>
        <w:tc>
          <w:tcPr>
            <w:tcW w:w="855" w:type="dxa"/>
            <w:shd w:val="clear" w:color="auto" w:fill="auto"/>
            <w:noWrap/>
            <w:vAlign w:val="center"/>
            <w:hideMark/>
          </w:tcPr>
          <w:p w14:paraId="70AA80B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37,680.0</w:t>
            </w:r>
          </w:p>
        </w:tc>
        <w:tc>
          <w:tcPr>
            <w:tcW w:w="776" w:type="dxa"/>
            <w:shd w:val="clear" w:color="auto" w:fill="auto"/>
            <w:noWrap/>
            <w:vAlign w:val="center"/>
            <w:hideMark/>
          </w:tcPr>
          <w:p w14:paraId="581826C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1,797.9</w:t>
            </w:r>
          </w:p>
        </w:tc>
        <w:tc>
          <w:tcPr>
            <w:tcW w:w="776" w:type="dxa"/>
            <w:shd w:val="clear" w:color="auto" w:fill="auto"/>
            <w:noWrap/>
            <w:vAlign w:val="center"/>
            <w:hideMark/>
          </w:tcPr>
          <w:p w14:paraId="31953CF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4,473.0</w:t>
            </w:r>
          </w:p>
        </w:tc>
        <w:tc>
          <w:tcPr>
            <w:tcW w:w="791" w:type="dxa"/>
            <w:shd w:val="clear" w:color="auto" w:fill="auto"/>
            <w:noWrap/>
            <w:vAlign w:val="center"/>
            <w:hideMark/>
          </w:tcPr>
          <w:p w14:paraId="454FEBC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6,600.0</w:t>
            </w:r>
          </w:p>
        </w:tc>
        <w:tc>
          <w:tcPr>
            <w:tcW w:w="776" w:type="dxa"/>
            <w:shd w:val="clear" w:color="auto" w:fill="auto"/>
            <w:noWrap/>
            <w:vAlign w:val="center"/>
            <w:hideMark/>
          </w:tcPr>
          <w:p w14:paraId="2614FF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3,900.0</w:t>
            </w:r>
          </w:p>
        </w:tc>
        <w:tc>
          <w:tcPr>
            <w:tcW w:w="776" w:type="dxa"/>
            <w:shd w:val="clear" w:color="auto" w:fill="auto"/>
            <w:noWrap/>
            <w:vAlign w:val="center"/>
            <w:hideMark/>
          </w:tcPr>
          <w:p w14:paraId="0E92BD7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4,524.0</w:t>
            </w:r>
          </w:p>
        </w:tc>
        <w:tc>
          <w:tcPr>
            <w:tcW w:w="776" w:type="dxa"/>
            <w:shd w:val="clear" w:color="auto" w:fill="auto"/>
            <w:noWrap/>
            <w:vAlign w:val="center"/>
            <w:hideMark/>
          </w:tcPr>
          <w:p w14:paraId="2E7B09D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16,620.0</w:t>
            </w:r>
          </w:p>
        </w:tc>
        <w:tc>
          <w:tcPr>
            <w:tcW w:w="974" w:type="dxa"/>
            <w:shd w:val="clear" w:color="auto" w:fill="auto"/>
            <w:noWrap/>
            <w:vAlign w:val="center"/>
            <w:hideMark/>
          </w:tcPr>
          <w:p w14:paraId="4135833A"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198,952</w:t>
            </w:r>
          </w:p>
        </w:tc>
      </w:tr>
      <w:tr w:rsidR="002735B4" w:rsidRPr="00445472" w14:paraId="776B9EFB" w14:textId="77777777" w:rsidTr="002A1F08">
        <w:trPr>
          <w:trHeight w:val="225"/>
        </w:trPr>
        <w:tc>
          <w:tcPr>
            <w:tcW w:w="1905" w:type="dxa"/>
            <w:shd w:val="clear" w:color="auto" w:fill="auto"/>
            <w:noWrap/>
            <w:vAlign w:val="center"/>
            <w:hideMark/>
          </w:tcPr>
          <w:p w14:paraId="1702F044" w14:textId="5BE46A87"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Shlyerje </w:t>
            </w:r>
            <w:r w:rsidR="00B40EC2" w:rsidRPr="00445472">
              <w:rPr>
                <w:rFonts w:ascii="Garamond" w:hAnsi="Garamond"/>
                <w:sz w:val="16"/>
                <w:szCs w:val="16"/>
                <w:lang w:eastAsia="en-GB"/>
              </w:rPr>
              <w:t xml:space="preserve">borxhi </w:t>
            </w:r>
            <w:r w:rsidRPr="00445472">
              <w:rPr>
                <w:rFonts w:ascii="Garamond" w:hAnsi="Garamond"/>
                <w:sz w:val="16"/>
                <w:szCs w:val="16"/>
                <w:lang w:eastAsia="en-GB"/>
              </w:rPr>
              <w:t>(principalit)</w:t>
            </w:r>
          </w:p>
        </w:tc>
        <w:tc>
          <w:tcPr>
            <w:tcW w:w="775" w:type="dxa"/>
            <w:shd w:val="clear" w:color="auto" w:fill="auto"/>
            <w:noWrap/>
            <w:vAlign w:val="center"/>
            <w:hideMark/>
          </w:tcPr>
          <w:p w14:paraId="66C8262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276CDB5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1627A0C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094EC12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2D5532D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2,470.0</w:t>
            </w:r>
          </w:p>
        </w:tc>
        <w:tc>
          <w:tcPr>
            <w:tcW w:w="855" w:type="dxa"/>
            <w:shd w:val="clear" w:color="auto" w:fill="auto"/>
            <w:noWrap/>
            <w:vAlign w:val="center"/>
            <w:hideMark/>
          </w:tcPr>
          <w:p w14:paraId="388B252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D1C85C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5A4624B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FFBB4D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655313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0D4EAD2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1E56842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50.0</w:t>
            </w:r>
          </w:p>
        </w:tc>
        <w:tc>
          <w:tcPr>
            <w:tcW w:w="776" w:type="dxa"/>
            <w:shd w:val="clear" w:color="auto" w:fill="auto"/>
            <w:noWrap/>
            <w:vAlign w:val="center"/>
            <w:hideMark/>
          </w:tcPr>
          <w:p w14:paraId="78184F6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7AA81E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974" w:type="dxa"/>
            <w:shd w:val="clear" w:color="auto" w:fill="auto"/>
            <w:noWrap/>
            <w:vAlign w:val="center"/>
            <w:hideMark/>
          </w:tcPr>
          <w:p w14:paraId="434634F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2,520</w:t>
            </w:r>
          </w:p>
        </w:tc>
      </w:tr>
      <w:tr w:rsidR="002735B4" w:rsidRPr="00445472" w14:paraId="26AFF10A" w14:textId="77777777" w:rsidTr="002A1F08">
        <w:trPr>
          <w:trHeight w:val="225"/>
        </w:trPr>
        <w:tc>
          <w:tcPr>
            <w:tcW w:w="1905" w:type="dxa"/>
            <w:shd w:val="clear" w:color="auto" w:fill="auto"/>
            <w:noWrap/>
            <w:vAlign w:val="center"/>
            <w:hideMark/>
          </w:tcPr>
          <w:p w14:paraId="76BEF18D" w14:textId="41B34E8C"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B40EC2" w:rsidRPr="00445472">
              <w:rPr>
                <w:rFonts w:ascii="Garamond" w:hAnsi="Garamond"/>
                <w:b/>
                <w:bCs/>
                <w:sz w:val="16"/>
                <w:szCs w:val="16"/>
                <w:lang w:eastAsia="en-GB"/>
              </w:rPr>
              <w:t>ja</w:t>
            </w:r>
            <w:r w:rsidRPr="00445472">
              <w:rPr>
                <w:rFonts w:ascii="Garamond" w:hAnsi="Garamond"/>
                <w:b/>
                <w:bCs/>
                <w:sz w:val="16"/>
                <w:szCs w:val="16"/>
                <w:lang w:eastAsia="en-GB"/>
              </w:rPr>
              <w:t xml:space="preserve"> administrative</w:t>
            </w:r>
          </w:p>
        </w:tc>
        <w:tc>
          <w:tcPr>
            <w:tcW w:w="775" w:type="dxa"/>
            <w:shd w:val="clear" w:color="auto" w:fill="auto"/>
            <w:noWrap/>
            <w:vAlign w:val="center"/>
            <w:hideMark/>
          </w:tcPr>
          <w:p w14:paraId="16459D7E" w14:textId="77777777" w:rsidR="002735B4" w:rsidRPr="00445472" w:rsidRDefault="002735B4" w:rsidP="002A1F08">
            <w:pPr>
              <w:spacing w:before="46" w:after="62"/>
              <w:rPr>
                <w:rFonts w:ascii="Garamond" w:hAnsi="Garamond"/>
                <w:b/>
                <w:bCs/>
                <w:sz w:val="16"/>
                <w:szCs w:val="16"/>
                <w:lang w:eastAsia="en-GB"/>
              </w:rPr>
            </w:pPr>
          </w:p>
        </w:tc>
        <w:tc>
          <w:tcPr>
            <w:tcW w:w="794" w:type="dxa"/>
            <w:shd w:val="clear" w:color="auto" w:fill="auto"/>
            <w:noWrap/>
            <w:vAlign w:val="center"/>
            <w:hideMark/>
          </w:tcPr>
          <w:p w14:paraId="07B7BA93"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2E7D5E0A"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1A8D67CC"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3DD3BF7F"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7F66426D"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110F40E4"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113936E2"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5AFB3D96"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73769A40" w14:textId="77777777" w:rsidR="002735B4" w:rsidRPr="00445472" w:rsidRDefault="002735B4" w:rsidP="002A1F08">
            <w:pPr>
              <w:spacing w:before="46" w:after="62"/>
              <w:rPr>
                <w:rFonts w:ascii="Garamond" w:hAnsi="Garamond"/>
                <w:b/>
                <w:bCs/>
                <w:sz w:val="16"/>
                <w:szCs w:val="16"/>
                <w:lang w:eastAsia="en-GB"/>
              </w:rPr>
            </w:pPr>
          </w:p>
        </w:tc>
        <w:tc>
          <w:tcPr>
            <w:tcW w:w="791" w:type="dxa"/>
            <w:shd w:val="clear" w:color="auto" w:fill="auto"/>
            <w:noWrap/>
            <w:vAlign w:val="center"/>
            <w:hideMark/>
          </w:tcPr>
          <w:p w14:paraId="280885A2"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69FB5F68"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6B880487"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5C229086" w14:textId="77777777" w:rsidR="002735B4" w:rsidRPr="00445472" w:rsidRDefault="002735B4" w:rsidP="002A1F08">
            <w:pPr>
              <w:spacing w:before="46" w:after="62"/>
              <w:rPr>
                <w:rFonts w:ascii="Garamond" w:hAnsi="Garamond"/>
                <w:b/>
                <w:bCs/>
                <w:sz w:val="16"/>
                <w:szCs w:val="16"/>
                <w:lang w:eastAsia="en-GB"/>
              </w:rPr>
            </w:pPr>
          </w:p>
        </w:tc>
        <w:tc>
          <w:tcPr>
            <w:tcW w:w="974" w:type="dxa"/>
            <w:shd w:val="clear" w:color="auto" w:fill="auto"/>
            <w:noWrap/>
            <w:vAlign w:val="center"/>
            <w:hideMark/>
          </w:tcPr>
          <w:p w14:paraId="350F4AA8"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1B5EF7E9" w14:textId="77777777" w:rsidTr="002A1F08">
        <w:trPr>
          <w:trHeight w:val="225"/>
        </w:trPr>
        <w:tc>
          <w:tcPr>
            <w:tcW w:w="1905" w:type="dxa"/>
            <w:shd w:val="clear" w:color="auto" w:fill="auto"/>
            <w:noWrap/>
            <w:vAlign w:val="center"/>
            <w:hideMark/>
          </w:tcPr>
          <w:p w14:paraId="46BED696" w14:textId="410D98FF"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Interes – ujë</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223B1D0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50D6260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427ED8F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756CC4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77E6C6D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3,251.4</w:t>
            </w:r>
          </w:p>
        </w:tc>
        <w:tc>
          <w:tcPr>
            <w:tcW w:w="855" w:type="dxa"/>
            <w:shd w:val="clear" w:color="auto" w:fill="auto"/>
            <w:noWrap/>
            <w:vAlign w:val="center"/>
            <w:hideMark/>
          </w:tcPr>
          <w:p w14:paraId="6B67B95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53D38B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8B5615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163AAB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6799B24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0E585E2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6F20CAB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80ECD4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AE669D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12.9</w:t>
            </w:r>
          </w:p>
        </w:tc>
        <w:tc>
          <w:tcPr>
            <w:tcW w:w="974" w:type="dxa"/>
            <w:shd w:val="clear" w:color="auto" w:fill="auto"/>
            <w:noWrap/>
            <w:vAlign w:val="center"/>
            <w:hideMark/>
          </w:tcPr>
          <w:p w14:paraId="04786FA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3,264</w:t>
            </w:r>
          </w:p>
        </w:tc>
      </w:tr>
      <w:tr w:rsidR="002735B4" w:rsidRPr="00445472" w14:paraId="3067B96A" w14:textId="77777777" w:rsidTr="002A1F08">
        <w:trPr>
          <w:trHeight w:val="225"/>
        </w:trPr>
        <w:tc>
          <w:tcPr>
            <w:tcW w:w="1905" w:type="dxa"/>
            <w:shd w:val="clear" w:color="auto" w:fill="auto"/>
            <w:noWrap/>
            <w:vAlign w:val="center"/>
            <w:hideMark/>
          </w:tcPr>
          <w:p w14:paraId="2559749F" w14:textId="3A3989B0"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Kosto të tjera financiare - ujë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73DBBC7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112.0</w:t>
            </w:r>
          </w:p>
        </w:tc>
        <w:tc>
          <w:tcPr>
            <w:tcW w:w="794" w:type="dxa"/>
            <w:shd w:val="clear" w:color="auto" w:fill="auto"/>
            <w:noWrap/>
            <w:vAlign w:val="center"/>
            <w:hideMark/>
          </w:tcPr>
          <w:p w14:paraId="4FDA371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01802BA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2D164A6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4B32255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4,002.8</w:t>
            </w:r>
          </w:p>
        </w:tc>
        <w:tc>
          <w:tcPr>
            <w:tcW w:w="855" w:type="dxa"/>
            <w:shd w:val="clear" w:color="auto" w:fill="auto"/>
            <w:noWrap/>
            <w:vAlign w:val="center"/>
            <w:hideMark/>
          </w:tcPr>
          <w:p w14:paraId="5DD0707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3,950.9</w:t>
            </w:r>
          </w:p>
        </w:tc>
        <w:tc>
          <w:tcPr>
            <w:tcW w:w="776" w:type="dxa"/>
            <w:shd w:val="clear" w:color="auto" w:fill="auto"/>
            <w:noWrap/>
            <w:vAlign w:val="center"/>
            <w:hideMark/>
          </w:tcPr>
          <w:p w14:paraId="207730D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799770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463.0</w:t>
            </w:r>
          </w:p>
        </w:tc>
        <w:tc>
          <w:tcPr>
            <w:tcW w:w="776" w:type="dxa"/>
            <w:shd w:val="clear" w:color="auto" w:fill="auto"/>
            <w:noWrap/>
            <w:vAlign w:val="center"/>
            <w:hideMark/>
          </w:tcPr>
          <w:p w14:paraId="7577457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BB0D9D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4AA217C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104.0</w:t>
            </w:r>
          </w:p>
        </w:tc>
        <w:tc>
          <w:tcPr>
            <w:tcW w:w="776" w:type="dxa"/>
            <w:shd w:val="clear" w:color="auto" w:fill="auto"/>
            <w:noWrap/>
            <w:vAlign w:val="center"/>
            <w:hideMark/>
          </w:tcPr>
          <w:p w14:paraId="4777CF5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1,516.0</w:t>
            </w:r>
          </w:p>
        </w:tc>
        <w:tc>
          <w:tcPr>
            <w:tcW w:w="776" w:type="dxa"/>
            <w:shd w:val="clear" w:color="auto" w:fill="auto"/>
            <w:noWrap/>
            <w:vAlign w:val="center"/>
            <w:hideMark/>
          </w:tcPr>
          <w:p w14:paraId="5A5A1B7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DDC7C6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2,047.0</w:t>
            </w:r>
          </w:p>
        </w:tc>
        <w:tc>
          <w:tcPr>
            <w:tcW w:w="974" w:type="dxa"/>
            <w:shd w:val="clear" w:color="auto" w:fill="auto"/>
            <w:noWrap/>
            <w:vAlign w:val="center"/>
            <w:hideMark/>
          </w:tcPr>
          <w:p w14:paraId="1E9E0D0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12,196</w:t>
            </w:r>
          </w:p>
        </w:tc>
      </w:tr>
      <w:tr w:rsidR="002735B4" w:rsidRPr="00445472" w14:paraId="0FACE28F" w14:textId="77777777" w:rsidTr="002A1F08">
        <w:trPr>
          <w:trHeight w:val="225"/>
        </w:trPr>
        <w:tc>
          <w:tcPr>
            <w:tcW w:w="1905" w:type="dxa"/>
            <w:shd w:val="clear" w:color="auto" w:fill="auto"/>
            <w:noWrap/>
            <w:vAlign w:val="center"/>
            <w:hideMark/>
          </w:tcPr>
          <w:p w14:paraId="1640DD7E" w14:textId="77777777"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Taksa dhe subvencione</w:t>
            </w:r>
          </w:p>
        </w:tc>
        <w:tc>
          <w:tcPr>
            <w:tcW w:w="775" w:type="dxa"/>
            <w:shd w:val="clear" w:color="auto" w:fill="auto"/>
            <w:noWrap/>
            <w:vAlign w:val="center"/>
            <w:hideMark/>
          </w:tcPr>
          <w:p w14:paraId="517DF746"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688423BA"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305B749B"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3F953693"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A5B7E31"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03050103"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2047015"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2F4CC4FA"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2F2D723A"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D83F8E1"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4AEFB976"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9AAC918"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57F186C4"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7CC005E"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1836F6F5"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3A03EAB4" w14:textId="77777777" w:rsidTr="002A1F08">
        <w:trPr>
          <w:trHeight w:val="225"/>
        </w:trPr>
        <w:tc>
          <w:tcPr>
            <w:tcW w:w="1905" w:type="dxa"/>
            <w:shd w:val="clear" w:color="auto" w:fill="auto"/>
            <w:noWrap/>
            <w:vAlign w:val="center"/>
            <w:hideMark/>
          </w:tcPr>
          <w:p w14:paraId="767C3B59" w14:textId="2457F30B"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Taksa dhe detyrime – ujë</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16FDB66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1E4B44A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48951C6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B6F403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5FF123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1,302.7</w:t>
            </w:r>
          </w:p>
        </w:tc>
        <w:tc>
          <w:tcPr>
            <w:tcW w:w="855" w:type="dxa"/>
            <w:shd w:val="clear" w:color="auto" w:fill="auto"/>
            <w:noWrap/>
            <w:vAlign w:val="center"/>
            <w:hideMark/>
          </w:tcPr>
          <w:p w14:paraId="756A7D1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114E465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02ECF65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7B2F15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6E1AE5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1AEA034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10.0</w:t>
            </w:r>
          </w:p>
        </w:tc>
        <w:tc>
          <w:tcPr>
            <w:tcW w:w="776" w:type="dxa"/>
            <w:shd w:val="clear" w:color="auto" w:fill="auto"/>
            <w:noWrap/>
            <w:vAlign w:val="center"/>
            <w:hideMark/>
          </w:tcPr>
          <w:p w14:paraId="1E8C225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265.0</w:t>
            </w:r>
          </w:p>
        </w:tc>
        <w:tc>
          <w:tcPr>
            <w:tcW w:w="776" w:type="dxa"/>
            <w:shd w:val="clear" w:color="auto" w:fill="auto"/>
            <w:noWrap/>
            <w:vAlign w:val="center"/>
            <w:hideMark/>
          </w:tcPr>
          <w:p w14:paraId="010F41C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15A0EC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482.6</w:t>
            </w:r>
          </w:p>
        </w:tc>
        <w:tc>
          <w:tcPr>
            <w:tcW w:w="974" w:type="dxa"/>
            <w:shd w:val="clear" w:color="auto" w:fill="auto"/>
            <w:noWrap/>
            <w:vAlign w:val="center"/>
            <w:hideMark/>
          </w:tcPr>
          <w:p w14:paraId="36F6ED8C"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2,060</w:t>
            </w:r>
          </w:p>
        </w:tc>
      </w:tr>
      <w:tr w:rsidR="002735B4" w:rsidRPr="00445472" w14:paraId="27BF0306" w14:textId="77777777" w:rsidTr="002A1F08">
        <w:trPr>
          <w:trHeight w:val="225"/>
        </w:trPr>
        <w:tc>
          <w:tcPr>
            <w:tcW w:w="1905" w:type="dxa"/>
            <w:shd w:val="clear" w:color="auto" w:fill="auto"/>
            <w:noWrap/>
            <w:vAlign w:val="center"/>
            <w:hideMark/>
          </w:tcPr>
          <w:p w14:paraId="434FC2DF" w14:textId="07B3F3EF"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 xml:space="preserve">Kostot totale financiare - ujë (000 </w:t>
            </w:r>
            <w:r w:rsidR="00B40EC2" w:rsidRPr="00445472">
              <w:rPr>
                <w:rFonts w:ascii="Garamond" w:hAnsi="Garamond"/>
                <w:b/>
                <w:bCs/>
                <w:sz w:val="16"/>
                <w:szCs w:val="16"/>
                <w:lang w:eastAsia="en-GB"/>
              </w:rPr>
              <w:t>lek</w:t>
            </w:r>
            <w:r w:rsidRPr="00445472">
              <w:rPr>
                <w:rFonts w:ascii="Garamond" w:hAnsi="Garamond"/>
                <w:b/>
                <w:bCs/>
                <w:sz w:val="16"/>
                <w:szCs w:val="16"/>
                <w:lang w:eastAsia="en-GB"/>
              </w:rPr>
              <w:t>)</w:t>
            </w:r>
          </w:p>
        </w:tc>
        <w:tc>
          <w:tcPr>
            <w:tcW w:w="775" w:type="dxa"/>
            <w:shd w:val="clear" w:color="auto" w:fill="auto"/>
            <w:noWrap/>
            <w:vAlign w:val="center"/>
            <w:hideMark/>
          </w:tcPr>
          <w:p w14:paraId="65F3C9CA"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10,878</w:t>
            </w:r>
          </w:p>
        </w:tc>
        <w:tc>
          <w:tcPr>
            <w:tcW w:w="794" w:type="dxa"/>
            <w:shd w:val="clear" w:color="auto" w:fill="auto"/>
            <w:noWrap/>
            <w:vAlign w:val="center"/>
            <w:hideMark/>
          </w:tcPr>
          <w:p w14:paraId="54912FFC"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17,764</w:t>
            </w:r>
          </w:p>
        </w:tc>
        <w:tc>
          <w:tcPr>
            <w:tcW w:w="775" w:type="dxa"/>
            <w:shd w:val="clear" w:color="auto" w:fill="auto"/>
            <w:noWrap/>
            <w:vAlign w:val="center"/>
            <w:hideMark/>
          </w:tcPr>
          <w:p w14:paraId="60EABC1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22,547</w:t>
            </w:r>
          </w:p>
        </w:tc>
        <w:tc>
          <w:tcPr>
            <w:tcW w:w="855" w:type="dxa"/>
            <w:shd w:val="clear" w:color="auto" w:fill="auto"/>
            <w:noWrap/>
            <w:vAlign w:val="center"/>
            <w:hideMark/>
          </w:tcPr>
          <w:p w14:paraId="283E037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144,380</w:t>
            </w:r>
          </w:p>
        </w:tc>
        <w:tc>
          <w:tcPr>
            <w:tcW w:w="855" w:type="dxa"/>
            <w:shd w:val="clear" w:color="auto" w:fill="auto"/>
            <w:noWrap/>
            <w:vAlign w:val="center"/>
            <w:hideMark/>
          </w:tcPr>
          <w:p w14:paraId="6E17A88C"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92,978</w:t>
            </w:r>
          </w:p>
        </w:tc>
        <w:tc>
          <w:tcPr>
            <w:tcW w:w="855" w:type="dxa"/>
            <w:shd w:val="clear" w:color="auto" w:fill="auto"/>
            <w:noWrap/>
            <w:vAlign w:val="center"/>
            <w:hideMark/>
          </w:tcPr>
          <w:p w14:paraId="1CA9E52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229,583</w:t>
            </w:r>
          </w:p>
        </w:tc>
        <w:tc>
          <w:tcPr>
            <w:tcW w:w="776" w:type="dxa"/>
            <w:shd w:val="clear" w:color="auto" w:fill="auto"/>
            <w:noWrap/>
            <w:vAlign w:val="center"/>
            <w:hideMark/>
          </w:tcPr>
          <w:p w14:paraId="3CC96216"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9,759</w:t>
            </w:r>
          </w:p>
        </w:tc>
        <w:tc>
          <w:tcPr>
            <w:tcW w:w="855" w:type="dxa"/>
            <w:shd w:val="clear" w:color="auto" w:fill="auto"/>
            <w:noWrap/>
            <w:vAlign w:val="center"/>
            <w:hideMark/>
          </w:tcPr>
          <w:p w14:paraId="14C4BA11"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130,976</w:t>
            </w:r>
          </w:p>
        </w:tc>
        <w:tc>
          <w:tcPr>
            <w:tcW w:w="776" w:type="dxa"/>
            <w:shd w:val="clear" w:color="auto" w:fill="auto"/>
            <w:noWrap/>
            <w:vAlign w:val="center"/>
            <w:hideMark/>
          </w:tcPr>
          <w:p w14:paraId="5A22CA02"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7,039</w:t>
            </w:r>
          </w:p>
        </w:tc>
        <w:tc>
          <w:tcPr>
            <w:tcW w:w="776" w:type="dxa"/>
            <w:shd w:val="clear" w:color="auto" w:fill="auto"/>
            <w:noWrap/>
            <w:vAlign w:val="center"/>
            <w:hideMark/>
          </w:tcPr>
          <w:p w14:paraId="03AC928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34,403</w:t>
            </w:r>
          </w:p>
        </w:tc>
        <w:tc>
          <w:tcPr>
            <w:tcW w:w="791" w:type="dxa"/>
            <w:shd w:val="clear" w:color="auto" w:fill="auto"/>
            <w:noWrap/>
            <w:vAlign w:val="center"/>
            <w:hideMark/>
          </w:tcPr>
          <w:p w14:paraId="0E7E432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30,577</w:t>
            </w:r>
          </w:p>
        </w:tc>
        <w:tc>
          <w:tcPr>
            <w:tcW w:w="776" w:type="dxa"/>
            <w:shd w:val="clear" w:color="auto" w:fill="auto"/>
            <w:noWrap/>
            <w:vAlign w:val="center"/>
            <w:hideMark/>
          </w:tcPr>
          <w:p w14:paraId="1CE2D72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28,125</w:t>
            </w:r>
          </w:p>
        </w:tc>
        <w:tc>
          <w:tcPr>
            <w:tcW w:w="776" w:type="dxa"/>
            <w:shd w:val="clear" w:color="auto" w:fill="auto"/>
            <w:noWrap/>
            <w:vAlign w:val="center"/>
            <w:hideMark/>
          </w:tcPr>
          <w:p w14:paraId="4565D966"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26,407</w:t>
            </w:r>
          </w:p>
        </w:tc>
        <w:tc>
          <w:tcPr>
            <w:tcW w:w="776" w:type="dxa"/>
            <w:shd w:val="clear" w:color="auto" w:fill="auto"/>
            <w:noWrap/>
            <w:vAlign w:val="center"/>
            <w:hideMark/>
          </w:tcPr>
          <w:p w14:paraId="6F52082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55,378</w:t>
            </w:r>
          </w:p>
        </w:tc>
        <w:tc>
          <w:tcPr>
            <w:tcW w:w="974" w:type="dxa"/>
            <w:shd w:val="clear" w:color="auto" w:fill="auto"/>
            <w:noWrap/>
            <w:vAlign w:val="center"/>
            <w:hideMark/>
          </w:tcPr>
          <w:p w14:paraId="390FA1C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840,799</w:t>
            </w:r>
          </w:p>
        </w:tc>
      </w:tr>
      <w:tr w:rsidR="002735B4" w:rsidRPr="00445472" w14:paraId="6B1D8DB3" w14:textId="77777777" w:rsidTr="002A1F08">
        <w:trPr>
          <w:trHeight w:val="225"/>
        </w:trPr>
        <w:tc>
          <w:tcPr>
            <w:tcW w:w="1905" w:type="dxa"/>
            <w:shd w:val="clear" w:color="auto" w:fill="auto"/>
            <w:noWrap/>
            <w:vAlign w:val="center"/>
            <w:hideMark/>
          </w:tcPr>
          <w:p w14:paraId="65E3D6F1"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70B9CC9D" w14:textId="77777777" w:rsidR="002735B4" w:rsidRPr="00445472" w:rsidRDefault="002735B4" w:rsidP="002A1F08">
            <w:pPr>
              <w:spacing w:before="46" w:after="62"/>
              <w:rPr>
                <w:rFonts w:ascii="Garamond" w:hAnsi="Garamond"/>
                <w:b/>
                <w:bCs/>
                <w:sz w:val="16"/>
                <w:szCs w:val="16"/>
                <w:lang w:eastAsia="en-GB"/>
              </w:rPr>
            </w:pPr>
          </w:p>
        </w:tc>
        <w:tc>
          <w:tcPr>
            <w:tcW w:w="794" w:type="dxa"/>
            <w:shd w:val="clear" w:color="auto" w:fill="auto"/>
            <w:noWrap/>
            <w:vAlign w:val="center"/>
            <w:hideMark/>
          </w:tcPr>
          <w:p w14:paraId="22EBA6E9"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456F067F"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4F590569"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25316DBB"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744B5794"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096BAEE6"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032150DA"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30275D84"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713B4BC6" w14:textId="77777777" w:rsidR="002735B4" w:rsidRPr="00445472" w:rsidRDefault="002735B4" w:rsidP="002A1F08">
            <w:pPr>
              <w:spacing w:before="46" w:after="62"/>
              <w:rPr>
                <w:rFonts w:ascii="Garamond" w:hAnsi="Garamond"/>
                <w:b/>
                <w:bCs/>
                <w:sz w:val="16"/>
                <w:szCs w:val="16"/>
                <w:lang w:eastAsia="en-GB"/>
              </w:rPr>
            </w:pPr>
          </w:p>
        </w:tc>
        <w:tc>
          <w:tcPr>
            <w:tcW w:w="791" w:type="dxa"/>
            <w:shd w:val="clear" w:color="auto" w:fill="auto"/>
            <w:noWrap/>
            <w:vAlign w:val="center"/>
            <w:hideMark/>
          </w:tcPr>
          <w:p w14:paraId="0AD6CBF7"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6D5B7EE5"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6A2011EC"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6B5C78F4" w14:textId="77777777" w:rsidR="002735B4" w:rsidRPr="00445472" w:rsidRDefault="002735B4" w:rsidP="002A1F08">
            <w:pPr>
              <w:spacing w:before="46" w:after="62"/>
              <w:rPr>
                <w:rFonts w:ascii="Garamond" w:hAnsi="Garamond"/>
                <w:b/>
                <w:bCs/>
                <w:sz w:val="16"/>
                <w:szCs w:val="16"/>
                <w:lang w:eastAsia="en-GB"/>
              </w:rPr>
            </w:pPr>
          </w:p>
        </w:tc>
        <w:tc>
          <w:tcPr>
            <w:tcW w:w="974" w:type="dxa"/>
            <w:shd w:val="clear" w:color="auto" w:fill="auto"/>
            <w:noWrap/>
            <w:vAlign w:val="center"/>
            <w:hideMark/>
          </w:tcPr>
          <w:p w14:paraId="559909E6"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38D74993" w14:textId="77777777" w:rsidTr="002A1F08">
        <w:trPr>
          <w:trHeight w:val="225"/>
        </w:trPr>
        <w:tc>
          <w:tcPr>
            <w:tcW w:w="1905" w:type="dxa"/>
            <w:shd w:val="clear" w:color="auto" w:fill="auto"/>
            <w:noWrap/>
            <w:vAlign w:val="center"/>
            <w:hideMark/>
          </w:tcPr>
          <w:p w14:paraId="67D2015D" w14:textId="77777777"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Shërbime kanalizime</w:t>
            </w:r>
          </w:p>
        </w:tc>
        <w:tc>
          <w:tcPr>
            <w:tcW w:w="775" w:type="dxa"/>
            <w:shd w:val="clear" w:color="auto" w:fill="auto"/>
            <w:noWrap/>
            <w:vAlign w:val="center"/>
            <w:hideMark/>
          </w:tcPr>
          <w:p w14:paraId="7E8B3801"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3DF07BCB"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4DC9F748"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8206B82"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6EC938B5"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389179D5"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3FFBA071"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3346F481"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41ED074"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D2FD8F1"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5FA2777B"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6CE931B"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DEE6273"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D43C87D"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5C6F6735"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38F1197D" w14:textId="77777777" w:rsidTr="002A1F08">
        <w:trPr>
          <w:trHeight w:val="225"/>
        </w:trPr>
        <w:tc>
          <w:tcPr>
            <w:tcW w:w="1905" w:type="dxa"/>
            <w:shd w:val="clear" w:color="auto" w:fill="auto"/>
            <w:noWrap/>
            <w:vAlign w:val="center"/>
            <w:hideMark/>
          </w:tcPr>
          <w:p w14:paraId="362E66C4" w14:textId="124B74FE"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B40EC2" w:rsidRPr="00445472">
              <w:rPr>
                <w:rFonts w:ascii="Garamond" w:hAnsi="Garamond"/>
                <w:b/>
                <w:bCs/>
                <w:sz w:val="16"/>
                <w:szCs w:val="16"/>
                <w:lang w:eastAsia="en-GB"/>
              </w:rPr>
              <w:t>ja</w:t>
            </w:r>
            <w:r w:rsidRPr="00445472">
              <w:rPr>
                <w:rFonts w:ascii="Garamond" w:hAnsi="Garamond"/>
                <w:b/>
                <w:bCs/>
                <w:sz w:val="16"/>
                <w:szCs w:val="16"/>
                <w:lang w:eastAsia="en-GB"/>
              </w:rPr>
              <w:t xml:space="preserve"> operative dhe mirëmbajtjeje</w:t>
            </w:r>
          </w:p>
        </w:tc>
        <w:tc>
          <w:tcPr>
            <w:tcW w:w="775" w:type="dxa"/>
            <w:shd w:val="clear" w:color="auto" w:fill="auto"/>
            <w:noWrap/>
            <w:vAlign w:val="center"/>
            <w:hideMark/>
          </w:tcPr>
          <w:p w14:paraId="2D29494B"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23ED7ECA"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6925DC3A"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6C7E9CE5"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055F8BF"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0D34A576"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37BC4CD3"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4DDC13E4"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0EF3F87C"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0905AAE"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7CF39070"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26F9009D"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39995E7A"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BCA472F"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2A19C040"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6599C435" w14:textId="77777777" w:rsidTr="002A1F08">
        <w:trPr>
          <w:trHeight w:val="225"/>
        </w:trPr>
        <w:tc>
          <w:tcPr>
            <w:tcW w:w="1905" w:type="dxa"/>
            <w:shd w:val="clear" w:color="auto" w:fill="auto"/>
            <w:noWrap/>
            <w:vAlign w:val="center"/>
            <w:hideMark/>
          </w:tcPr>
          <w:p w14:paraId="146B99C5" w14:textId="32C6BE84"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e punës- S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7EF6C75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1,039</w:t>
            </w:r>
          </w:p>
        </w:tc>
        <w:tc>
          <w:tcPr>
            <w:tcW w:w="794" w:type="dxa"/>
            <w:shd w:val="clear" w:color="auto" w:fill="auto"/>
            <w:noWrap/>
            <w:vAlign w:val="center"/>
            <w:hideMark/>
          </w:tcPr>
          <w:p w14:paraId="5C4B792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5674A25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5383D7A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9,406</w:t>
            </w:r>
          </w:p>
        </w:tc>
        <w:tc>
          <w:tcPr>
            <w:tcW w:w="855" w:type="dxa"/>
            <w:shd w:val="clear" w:color="auto" w:fill="auto"/>
            <w:noWrap/>
            <w:vAlign w:val="center"/>
            <w:hideMark/>
          </w:tcPr>
          <w:p w14:paraId="03F47CB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11,184</w:t>
            </w:r>
          </w:p>
        </w:tc>
        <w:tc>
          <w:tcPr>
            <w:tcW w:w="855" w:type="dxa"/>
            <w:shd w:val="clear" w:color="auto" w:fill="auto"/>
            <w:noWrap/>
            <w:vAlign w:val="center"/>
            <w:hideMark/>
          </w:tcPr>
          <w:p w14:paraId="5561D6B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48,656</w:t>
            </w:r>
          </w:p>
        </w:tc>
        <w:tc>
          <w:tcPr>
            <w:tcW w:w="776" w:type="dxa"/>
            <w:shd w:val="clear" w:color="auto" w:fill="auto"/>
            <w:noWrap/>
            <w:vAlign w:val="center"/>
            <w:hideMark/>
          </w:tcPr>
          <w:p w14:paraId="257720F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1,416</w:t>
            </w:r>
          </w:p>
        </w:tc>
        <w:tc>
          <w:tcPr>
            <w:tcW w:w="855" w:type="dxa"/>
            <w:shd w:val="clear" w:color="auto" w:fill="auto"/>
            <w:noWrap/>
            <w:vAlign w:val="center"/>
            <w:hideMark/>
          </w:tcPr>
          <w:p w14:paraId="66379E0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1,660</w:t>
            </w:r>
          </w:p>
        </w:tc>
        <w:tc>
          <w:tcPr>
            <w:tcW w:w="776" w:type="dxa"/>
            <w:shd w:val="clear" w:color="auto" w:fill="auto"/>
            <w:noWrap/>
            <w:vAlign w:val="center"/>
            <w:hideMark/>
          </w:tcPr>
          <w:p w14:paraId="7EB77D7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2,570</w:t>
            </w:r>
          </w:p>
        </w:tc>
        <w:tc>
          <w:tcPr>
            <w:tcW w:w="776" w:type="dxa"/>
            <w:shd w:val="clear" w:color="auto" w:fill="auto"/>
            <w:noWrap/>
            <w:vAlign w:val="center"/>
            <w:hideMark/>
          </w:tcPr>
          <w:p w14:paraId="60560EA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4,719</w:t>
            </w:r>
          </w:p>
        </w:tc>
        <w:tc>
          <w:tcPr>
            <w:tcW w:w="791" w:type="dxa"/>
            <w:shd w:val="clear" w:color="auto" w:fill="auto"/>
            <w:noWrap/>
            <w:vAlign w:val="center"/>
            <w:hideMark/>
          </w:tcPr>
          <w:p w14:paraId="607D32B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1,288</w:t>
            </w:r>
          </w:p>
        </w:tc>
        <w:tc>
          <w:tcPr>
            <w:tcW w:w="776" w:type="dxa"/>
            <w:shd w:val="clear" w:color="auto" w:fill="auto"/>
            <w:noWrap/>
            <w:vAlign w:val="center"/>
            <w:hideMark/>
          </w:tcPr>
          <w:p w14:paraId="3E10C2E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2412A30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A057F2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2,080</w:t>
            </w:r>
          </w:p>
        </w:tc>
        <w:tc>
          <w:tcPr>
            <w:tcW w:w="974" w:type="dxa"/>
            <w:shd w:val="clear" w:color="auto" w:fill="auto"/>
            <w:noWrap/>
            <w:vAlign w:val="center"/>
            <w:hideMark/>
          </w:tcPr>
          <w:p w14:paraId="3FEC4181"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84,019</w:t>
            </w:r>
          </w:p>
        </w:tc>
      </w:tr>
      <w:tr w:rsidR="002735B4" w:rsidRPr="00445472" w14:paraId="45A8B5BB" w14:textId="77777777" w:rsidTr="002A1F08">
        <w:trPr>
          <w:trHeight w:val="225"/>
        </w:trPr>
        <w:tc>
          <w:tcPr>
            <w:tcW w:w="1905" w:type="dxa"/>
            <w:shd w:val="clear" w:color="auto" w:fill="auto"/>
            <w:noWrap/>
            <w:vAlign w:val="center"/>
            <w:hideMark/>
          </w:tcPr>
          <w:p w14:paraId="570916FE" w14:textId="3AFFB530"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materiale (përfshirë </w:t>
            </w:r>
            <w:r w:rsidR="00B40EC2" w:rsidRPr="00445472">
              <w:rPr>
                <w:rFonts w:ascii="Garamond" w:hAnsi="Garamond"/>
                <w:sz w:val="16"/>
                <w:szCs w:val="16"/>
                <w:lang w:eastAsia="en-GB"/>
              </w:rPr>
              <w:t>kimikatet</w:t>
            </w:r>
            <w:r w:rsidRPr="00445472">
              <w:rPr>
                <w:rFonts w:ascii="Garamond" w:hAnsi="Garamond"/>
                <w:sz w:val="16"/>
                <w:szCs w:val="16"/>
                <w:lang w:eastAsia="en-GB"/>
              </w:rPr>
              <w:t>)</w:t>
            </w:r>
            <w:r w:rsidR="00B40EC2" w:rsidRPr="00445472">
              <w:rPr>
                <w:rFonts w:ascii="Garamond" w:hAnsi="Garamond"/>
                <w:sz w:val="16"/>
                <w:szCs w:val="16"/>
                <w:lang w:eastAsia="en-GB"/>
              </w:rPr>
              <w:t xml:space="preserve"> </w:t>
            </w:r>
            <w:r w:rsidRPr="00445472">
              <w:rPr>
                <w:rFonts w:ascii="Garamond" w:hAnsi="Garamond"/>
                <w:sz w:val="16"/>
                <w:szCs w:val="16"/>
                <w:lang w:eastAsia="en-GB"/>
              </w:rPr>
              <w:t xml:space="preserve">- S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12C4042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04DF81D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0D84E7C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3EBB980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230</w:t>
            </w:r>
          </w:p>
        </w:tc>
        <w:tc>
          <w:tcPr>
            <w:tcW w:w="855" w:type="dxa"/>
            <w:shd w:val="clear" w:color="auto" w:fill="auto"/>
            <w:noWrap/>
            <w:vAlign w:val="center"/>
            <w:hideMark/>
          </w:tcPr>
          <w:p w14:paraId="3DC31D6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014AE2D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6.6</w:t>
            </w:r>
          </w:p>
        </w:tc>
        <w:tc>
          <w:tcPr>
            <w:tcW w:w="776" w:type="dxa"/>
            <w:shd w:val="clear" w:color="auto" w:fill="auto"/>
            <w:noWrap/>
            <w:vAlign w:val="center"/>
            <w:hideMark/>
          </w:tcPr>
          <w:p w14:paraId="30EDFCD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28</w:t>
            </w:r>
          </w:p>
        </w:tc>
        <w:tc>
          <w:tcPr>
            <w:tcW w:w="855" w:type="dxa"/>
            <w:shd w:val="clear" w:color="auto" w:fill="auto"/>
            <w:noWrap/>
            <w:vAlign w:val="center"/>
            <w:hideMark/>
          </w:tcPr>
          <w:p w14:paraId="3509CC0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3E4FA8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100</w:t>
            </w:r>
          </w:p>
        </w:tc>
        <w:tc>
          <w:tcPr>
            <w:tcW w:w="776" w:type="dxa"/>
            <w:shd w:val="clear" w:color="auto" w:fill="auto"/>
            <w:noWrap/>
            <w:vAlign w:val="center"/>
            <w:hideMark/>
          </w:tcPr>
          <w:p w14:paraId="126CD8C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445</w:t>
            </w:r>
          </w:p>
        </w:tc>
        <w:tc>
          <w:tcPr>
            <w:tcW w:w="791" w:type="dxa"/>
            <w:shd w:val="clear" w:color="auto" w:fill="auto"/>
            <w:noWrap/>
            <w:vAlign w:val="center"/>
            <w:hideMark/>
          </w:tcPr>
          <w:p w14:paraId="74C58C3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797</w:t>
            </w:r>
          </w:p>
        </w:tc>
        <w:tc>
          <w:tcPr>
            <w:tcW w:w="776" w:type="dxa"/>
            <w:shd w:val="clear" w:color="auto" w:fill="auto"/>
            <w:noWrap/>
            <w:vAlign w:val="center"/>
            <w:hideMark/>
          </w:tcPr>
          <w:p w14:paraId="59A0AA6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3B58FC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675989C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875</w:t>
            </w:r>
          </w:p>
        </w:tc>
        <w:tc>
          <w:tcPr>
            <w:tcW w:w="974" w:type="dxa"/>
            <w:shd w:val="clear" w:color="auto" w:fill="auto"/>
            <w:noWrap/>
            <w:vAlign w:val="center"/>
            <w:hideMark/>
          </w:tcPr>
          <w:p w14:paraId="710771E1"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2,482</w:t>
            </w:r>
          </w:p>
        </w:tc>
      </w:tr>
      <w:tr w:rsidR="002735B4" w:rsidRPr="00445472" w14:paraId="50F50E56" w14:textId="77777777" w:rsidTr="002A1F08">
        <w:trPr>
          <w:trHeight w:val="225"/>
        </w:trPr>
        <w:tc>
          <w:tcPr>
            <w:tcW w:w="1905" w:type="dxa"/>
            <w:shd w:val="clear" w:color="auto" w:fill="auto"/>
            <w:noWrap/>
            <w:vAlign w:val="center"/>
            <w:hideMark/>
          </w:tcPr>
          <w:p w14:paraId="74509D79" w14:textId="3FCA6153"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të energjisë- S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53B6234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0D74C34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5375064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4B7F09E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3,150</w:t>
            </w:r>
          </w:p>
        </w:tc>
        <w:tc>
          <w:tcPr>
            <w:tcW w:w="855" w:type="dxa"/>
            <w:shd w:val="clear" w:color="auto" w:fill="auto"/>
            <w:noWrap/>
            <w:vAlign w:val="center"/>
            <w:hideMark/>
          </w:tcPr>
          <w:p w14:paraId="63AB54D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7,107</w:t>
            </w:r>
          </w:p>
        </w:tc>
        <w:tc>
          <w:tcPr>
            <w:tcW w:w="855" w:type="dxa"/>
            <w:shd w:val="clear" w:color="auto" w:fill="auto"/>
            <w:noWrap/>
            <w:vAlign w:val="center"/>
            <w:hideMark/>
          </w:tcPr>
          <w:p w14:paraId="3EE2438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1,648</w:t>
            </w:r>
          </w:p>
        </w:tc>
        <w:tc>
          <w:tcPr>
            <w:tcW w:w="776" w:type="dxa"/>
            <w:shd w:val="clear" w:color="auto" w:fill="auto"/>
            <w:noWrap/>
            <w:vAlign w:val="center"/>
            <w:hideMark/>
          </w:tcPr>
          <w:p w14:paraId="094544D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416EF22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163</w:t>
            </w:r>
          </w:p>
        </w:tc>
        <w:tc>
          <w:tcPr>
            <w:tcW w:w="776" w:type="dxa"/>
            <w:shd w:val="clear" w:color="auto" w:fill="auto"/>
            <w:noWrap/>
            <w:vAlign w:val="center"/>
            <w:hideMark/>
          </w:tcPr>
          <w:p w14:paraId="584C9A4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DC7AD6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405300F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B58A2F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227120D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6905D80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974" w:type="dxa"/>
            <w:shd w:val="clear" w:color="auto" w:fill="auto"/>
            <w:noWrap/>
            <w:vAlign w:val="center"/>
            <w:hideMark/>
          </w:tcPr>
          <w:p w14:paraId="203CA0E4"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12,069</w:t>
            </w:r>
          </w:p>
        </w:tc>
      </w:tr>
      <w:tr w:rsidR="002735B4" w:rsidRPr="00445472" w14:paraId="57D995EC" w14:textId="77777777" w:rsidTr="002A1F08">
        <w:trPr>
          <w:trHeight w:val="225"/>
        </w:trPr>
        <w:tc>
          <w:tcPr>
            <w:tcW w:w="1905" w:type="dxa"/>
            <w:shd w:val="clear" w:color="auto" w:fill="auto"/>
            <w:noWrap/>
            <w:vAlign w:val="center"/>
            <w:hideMark/>
          </w:tcPr>
          <w:p w14:paraId="6433EC55" w14:textId="52048412"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Kosto</w:t>
            </w:r>
            <w:r w:rsidR="00B40EC2" w:rsidRPr="00445472">
              <w:rPr>
                <w:rFonts w:ascii="Garamond" w:hAnsi="Garamond"/>
                <w:sz w:val="16"/>
                <w:szCs w:val="16"/>
                <w:lang w:eastAsia="en-GB"/>
              </w:rPr>
              <w:t>ja</w:t>
            </w:r>
            <w:r w:rsidRPr="00445472">
              <w:rPr>
                <w:rFonts w:ascii="Garamond" w:hAnsi="Garamond"/>
                <w:sz w:val="16"/>
                <w:szCs w:val="16"/>
                <w:lang w:eastAsia="en-GB"/>
              </w:rPr>
              <w:t xml:space="preserve"> riparimi dhe mirëmbajtjeje- S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36FE52B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292</w:t>
            </w:r>
          </w:p>
        </w:tc>
        <w:tc>
          <w:tcPr>
            <w:tcW w:w="794" w:type="dxa"/>
            <w:shd w:val="clear" w:color="auto" w:fill="auto"/>
            <w:noWrap/>
            <w:vAlign w:val="center"/>
            <w:hideMark/>
          </w:tcPr>
          <w:p w14:paraId="55B82E8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15DD575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676C993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1,287</w:t>
            </w:r>
          </w:p>
        </w:tc>
        <w:tc>
          <w:tcPr>
            <w:tcW w:w="855" w:type="dxa"/>
            <w:shd w:val="clear" w:color="auto" w:fill="auto"/>
            <w:noWrap/>
            <w:vAlign w:val="center"/>
            <w:hideMark/>
          </w:tcPr>
          <w:p w14:paraId="4C3DDEE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499</w:t>
            </w:r>
          </w:p>
        </w:tc>
        <w:tc>
          <w:tcPr>
            <w:tcW w:w="855" w:type="dxa"/>
            <w:shd w:val="clear" w:color="auto" w:fill="auto"/>
            <w:noWrap/>
            <w:vAlign w:val="center"/>
            <w:hideMark/>
          </w:tcPr>
          <w:p w14:paraId="7C9DA95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4,712</w:t>
            </w:r>
          </w:p>
        </w:tc>
        <w:tc>
          <w:tcPr>
            <w:tcW w:w="776" w:type="dxa"/>
            <w:shd w:val="clear" w:color="auto" w:fill="auto"/>
            <w:noWrap/>
            <w:vAlign w:val="center"/>
            <w:hideMark/>
          </w:tcPr>
          <w:p w14:paraId="47769C3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214</w:t>
            </w:r>
          </w:p>
        </w:tc>
        <w:tc>
          <w:tcPr>
            <w:tcW w:w="855" w:type="dxa"/>
            <w:shd w:val="clear" w:color="auto" w:fill="auto"/>
            <w:noWrap/>
            <w:vAlign w:val="center"/>
            <w:hideMark/>
          </w:tcPr>
          <w:p w14:paraId="2C53BE9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733</w:t>
            </w:r>
          </w:p>
        </w:tc>
        <w:tc>
          <w:tcPr>
            <w:tcW w:w="776" w:type="dxa"/>
            <w:shd w:val="clear" w:color="auto" w:fill="auto"/>
            <w:noWrap/>
            <w:vAlign w:val="center"/>
            <w:hideMark/>
          </w:tcPr>
          <w:p w14:paraId="23C2EA0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130</w:t>
            </w:r>
          </w:p>
        </w:tc>
        <w:tc>
          <w:tcPr>
            <w:tcW w:w="776" w:type="dxa"/>
            <w:shd w:val="clear" w:color="auto" w:fill="auto"/>
            <w:noWrap/>
            <w:vAlign w:val="center"/>
            <w:hideMark/>
          </w:tcPr>
          <w:p w14:paraId="0798626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55</w:t>
            </w:r>
          </w:p>
        </w:tc>
        <w:tc>
          <w:tcPr>
            <w:tcW w:w="791" w:type="dxa"/>
            <w:shd w:val="clear" w:color="auto" w:fill="auto"/>
            <w:noWrap/>
            <w:vAlign w:val="center"/>
            <w:hideMark/>
          </w:tcPr>
          <w:p w14:paraId="7C04308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1,002</w:t>
            </w:r>
          </w:p>
        </w:tc>
        <w:tc>
          <w:tcPr>
            <w:tcW w:w="776" w:type="dxa"/>
            <w:shd w:val="clear" w:color="auto" w:fill="auto"/>
            <w:noWrap/>
            <w:vAlign w:val="center"/>
            <w:hideMark/>
          </w:tcPr>
          <w:p w14:paraId="47C5C75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97C2B0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B8C1CC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757</w:t>
            </w:r>
          </w:p>
        </w:tc>
        <w:tc>
          <w:tcPr>
            <w:tcW w:w="974" w:type="dxa"/>
            <w:shd w:val="clear" w:color="auto" w:fill="auto"/>
            <w:noWrap/>
            <w:vAlign w:val="center"/>
            <w:hideMark/>
          </w:tcPr>
          <w:p w14:paraId="493A2CE8"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9,682</w:t>
            </w:r>
          </w:p>
        </w:tc>
      </w:tr>
      <w:tr w:rsidR="002735B4" w:rsidRPr="00445472" w14:paraId="6E2DAB24" w14:textId="77777777" w:rsidTr="002A1F08">
        <w:trPr>
          <w:trHeight w:val="225"/>
        </w:trPr>
        <w:tc>
          <w:tcPr>
            <w:tcW w:w="1905" w:type="dxa"/>
            <w:shd w:val="clear" w:color="auto" w:fill="auto"/>
            <w:noWrap/>
            <w:vAlign w:val="center"/>
            <w:hideMark/>
          </w:tcPr>
          <w:p w14:paraId="5159702D" w14:textId="34A56A1E"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Shërbime të kontraktuara- S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6F31485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50B0EAD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2E2E7E5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48B1C4F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66DD3C9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2,434</w:t>
            </w:r>
          </w:p>
        </w:tc>
        <w:tc>
          <w:tcPr>
            <w:tcW w:w="855" w:type="dxa"/>
            <w:shd w:val="clear" w:color="auto" w:fill="auto"/>
            <w:noWrap/>
            <w:vAlign w:val="center"/>
            <w:hideMark/>
          </w:tcPr>
          <w:p w14:paraId="506B8F4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963953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0C61433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A5B763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1D2AD1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3A46288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308DF50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0FCC3A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BEC03B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974" w:type="dxa"/>
            <w:shd w:val="clear" w:color="auto" w:fill="auto"/>
            <w:noWrap/>
            <w:vAlign w:val="center"/>
            <w:hideMark/>
          </w:tcPr>
          <w:p w14:paraId="78584A7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2,435</w:t>
            </w:r>
          </w:p>
        </w:tc>
      </w:tr>
      <w:tr w:rsidR="002735B4" w:rsidRPr="00445472" w14:paraId="0529BA0B" w14:textId="77777777" w:rsidTr="002A1F08">
        <w:trPr>
          <w:trHeight w:val="225"/>
        </w:trPr>
        <w:tc>
          <w:tcPr>
            <w:tcW w:w="1905" w:type="dxa"/>
            <w:shd w:val="clear" w:color="auto" w:fill="auto"/>
            <w:noWrap/>
            <w:vAlign w:val="center"/>
            <w:hideMark/>
          </w:tcPr>
          <w:p w14:paraId="690B8447" w14:textId="3F4AFCEB"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Kosto të tjera- S (000 </w:t>
            </w:r>
            <w:r w:rsidR="00B40EC2"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79DE8FE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6A43714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385D7B0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7546556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787</w:t>
            </w:r>
          </w:p>
        </w:tc>
        <w:tc>
          <w:tcPr>
            <w:tcW w:w="855" w:type="dxa"/>
            <w:shd w:val="clear" w:color="auto" w:fill="auto"/>
            <w:noWrap/>
            <w:vAlign w:val="center"/>
            <w:hideMark/>
          </w:tcPr>
          <w:p w14:paraId="2647F6D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3,322</w:t>
            </w:r>
          </w:p>
        </w:tc>
        <w:tc>
          <w:tcPr>
            <w:tcW w:w="855" w:type="dxa"/>
            <w:shd w:val="clear" w:color="auto" w:fill="auto"/>
            <w:noWrap/>
            <w:vAlign w:val="center"/>
            <w:hideMark/>
          </w:tcPr>
          <w:p w14:paraId="31D456A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1,084</w:t>
            </w:r>
          </w:p>
        </w:tc>
        <w:tc>
          <w:tcPr>
            <w:tcW w:w="776" w:type="dxa"/>
            <w:shd w:val="clear" w:color="auto" w:fill="auto"/>
            <w:noWrap/>
            <w:vAlign w:val="center"/>
            <w:hideMark/>
          </w:tcPr>
          <w:p w14:paraId="3A0D8E1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3510525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170</w:t>
            </w:r>
          </w:p>
        </w:tc>
        <w:tc>
          <w:tcPr>
            <w:tcW w:w="776" w:type="dxa"/>
            <w:shd w:val="clear" w:color="auto" w:fill="auto"/>
            <w:noWrap/>
            <w:vAlign w:val="center"/>
            <w:hideMark/>
          </w:tcPr>
          <w:p w14:paraId="4E33622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w:t>
            </w:r>
          </w:p>
        </w:tc>
        <w:tc>
          <w:tcPr>
            <w:tcW w:w="776" w:type="dxa"/>
            <w:shd w:val="clear" w:color="auto" w:fill="auto"/>
            <w:noWrap/>
            <w:vAlign w:val="center"/>
            <w:hideMark/>
          </w:tcPr>
          <w:p w14:paraId="2448E20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279</w:t>
            </w:r>
          </w:p>
        </w:tc>
        <w:tc>
          <w:tcPr>
            <w:tcW w:w="791" w:type="dxa"/>
            <w:shd w:val="clear" w:color="auto" w:fill="auto"/>
            <w:noWrap/>
            <w:vAlign w:val="center"/>
            <w:hideMark/>
          </w:tcPr>
          <w:p w14:paraId="1B15314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207</w:t>
            </w:r>
          </w:p>
        </w:tc>
        <w:tc>
          <w:tcPr>
            <w:tcW w:w="776" w:type="dxa"/>
            <w:shd w:val="clear" w:color="auto" w:fill="auto"/>
            <w:noWrap/>
            <w:vAlign w:val="center"/>
            <w:hideMark/>
          </w:tcPr>
          <w:p w14:paraId="170FD30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52048E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29A969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76</w:t>
            </w:r>
          </w:p>
        </w:tc>
        <w:tc>
          <w:tcPr>
            <w:tcW w:w="974" w:type="dxa"/>
            <w:shd w:val="clear" w:color="auto" w:fill="auto"/>
            <w:noWrap/>
            <w:vAlign w:val="center"/>
            <w:hideMark/>
          </w:tcPr>
          <w:p w14:paraId="0F8F3D2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5,937</w:t>
            </w:r>
          </w:p>
        </w:tc>
      </w:tr>
      <w:tr w:rsidR="002735B4" w:rsidRPr="00445472" w14:paraId="10B42F11" w14:textId="77777777" w:rsidTr="002A1F08">
        <w:trPr>
          <w:trHeight w:val="225"/>
        </w:trPr>
        <w:tc>
          <w:tcPr>
            <w:tcW w:w="1905" w:type="dxa"/>
            <w:shd w:val="clear" w:color="auto" w:fill="auto"/>
            <w:noWrap/>
            <w:vAlign w:val="center"/>
            <w:hideMark/>
          </w:tcPr>
          <w:p w14:paraId="2CD2E64E" w14:textId="0665D54A"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B40EC2" w:rsidRPr="00445472">
              <w:rPr>
                <w:rFonts w:ascii="Garamond" w:hAnsi="Garamond"/>
                <w:b/>
                <w:bCs/>
                <w:sz w:val="16"/>
                <w:szCs w:val="16"/>
                <w:lang w:eastAsia="en-GB"/>
              </w:rPr>
              <w:t>ja</w:t>
            </w:r>
            <w:r w:rsidRPr="00445472">
              <w:rPr>
                <w:rFonts w:ascii="Garamond" w:hAnsi="Garamond"/>
                <w:b/>
                <w:bCs/>
                <w:sz w:val="16"/>
                <w:szCs w:val="16"/>
                <w:lang w:eastAsia="en-GB"/>
              </w:rPr>
              <w:t xml:space="preserve"> e drejtpërdrejtë e operimit (DOC) – </w:t>
            </w:r>
            <w:r w:rsidR="00316F21" w:rsidRPr="00445472">
              <w:rPr>
                <w:rFonts w:ascii="Garamond" w:hAnsi="Garamond"/>
                <w:b/>
                <w:bCs/>
                <w:sz w:val="16"/>
                <w:szCs w:val="16"/>
                <w:lang w:eastAsia="en-GB"/>
              </w:rPr>
              <w:t xml:space="preserve">Ujërat </w:t>
            </w:r>
            <w:r w:rsidRPr="00445472">
              <w:rPr>
                <w:rFonts w:ascii="Garamond" w:hAnsi="Garamond"/>
                <w:b/>
                <w:bCs/>
                <w:sz w:val="16"/>
                <w:szCs w:val="16"/>
                <w:lang w:eastAsia="en-GB"/>
              </w:rPr>
              <w:t xml:space="preserve">e ndotura (000 </w:t>
            </w:r>
            <w:r w:rsidR="00B40EC2" w:rsidRPr="00445472">
              <w:rPr>
                <w:rFonts w:ascii="Garamond" w:hAnsi="Garamond"/>
                <w:b/>
                <w:bCs/>
                <w:sz w:val="16"/>
                <w:szCs w:val="16"/>
                <w:lang w:eastAsia="en-GB"/>
              </w:rPr>
              <w:t>lek</w:t>
            </w:r>
            <w:r w:rsidRPr="00445472">
              <w:rPr>
                <w:rFonts w:ascii="Garamond" w:hAnsi="Garamond"/>
                <w:b/>
                <w:bCs/>
                <w:sz w:val="16"/>
                <w:szCs w:val="16"/>
                <w:lang w:eastAsia="en-GB"/>
              </w:rPr>
              <w:t>)</w:t>
            </w:r>
          </w:p>
        </w:tc>
        <w:tc>
          <w:tcPr>
            <w:tcW w:w="775" w:type="dxa"/>
            <w:shd w:val="clear" w:color="auto" w:fill="auto"/>
            <w:noWrap/>
            <w:vAlign w:val="center"/>
            <w:hideMark/>
          </w:tcPr>
          <w:p w14:paraId="31D9FB8E"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1,331</w:t>
            </w:r>
          </w:p>
        </w:tc>
        <w:tc>
          <w:tcPr>
            <w:tcW w:w="794" w:type="dxa"/>
            <w:shd w:val="clear" w:color="auto" w:fill="auto"/>
            <w:noWrap/>
            <w:vAlign w:val="center"/>
            <w:hideMark/>
          </w:tcPr>
          <w:p w14:paraId="1294396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775" w:type="dxa"/>
            <w:shd w:val="clear" w:color="auto" w:fill="auto"/>
            <w:noWrap/>
            <w:vAlign w:val="center"/>
            <w:hideMark/>
          </w:tcPr>
          <w:p w14:paraId="5B6BBEF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855" w:type="dxa"/>
            <w:shd w:val="clear" w:color="auto" w:fill="auto"/>
            <w:noWrap/>
            <w:vAlign w:val="center"/>
            <w:hideMark/>
          </w:tcPr>
          <w:p w14:paraId="4F8A2F06"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14,860</w:t>
            </w:r>
          </w:p>
        </w:tc>
        <w:tc>
          <w:tcPr>
            <w:tcW w:w="855" w:type="dxa"/>
            <w:shd w:val="clear" w:color="auto" w:fill="auto"/>
            <w:noWrap/>
            <w:vAlign w:val="center"/>
            <w:hideMark/>
          </w:tcPr>
          <w:p w14:paraId="033AC77C"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24,549</w:t>
            </w:r>
          </w:p>
        </w:tc>
        <w:tc>
          <w:tcPr>
            <w:tcW w:w="855" w:type="dxa"/>
            <w:shd w:val="clear" w:color="auto" w:fill="auto"/>
            <w:noWrap/>
            <w:vAlign w:val="center"/>
            <w:hideMark/>
          </w:tcPr>
          <w:p w14:paraId="01038C6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56,108</w:t>
            </w:r>
          </w:p>
        </w:tc>
        <w:tc>
          <w:tcPr>
            <w:tcW w:w="776" w:type="dxa"/>
            <w:shd w:val="clear" w:color="auto" w:fill="auto"/>
            <w:noWrap/>
            <w:vAlign w:val="center"/>
            <w:hideMark/>
          </w:tcPr>
          <w:p w14:paraId="002E39A5"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1,658</w:t>
            </w:r>
          </w:p>
        </w:tc>
        <w:tc>
          <w:tcPr>
            <w:tcW w:w="855" w:type="dxa"/>
            <w:shd w:val="clear" w:color="auto" w:fill="auto"/>
            <w:noWrap/>
            <w:vAlign w:val="center"/>
            <w:hideMark/>
          </w:tcPr>
          <w:p w14:paraId="08661A7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2,726</w:t>
            </w:r>
          </w:p>
        </w:tc>
        <w:tc>
          <w:tcPr>
            <w:tcW w:w="776" w:type="dxa"/>
            <w:shd w:val="clear" w:color="auto" w:fill="auto"/>
            <w:noWrap/>
            <w:vAlign w:val="center"/>
            <w:hideMark/>
          </w:tcPr>
          <w:p w14:paraId="501248C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2,810</w:t>
            </w:r>
          </w:p>
        </w:tc>
        <w:tc>
          <w:tcPr>
            <w:tcW w:w="776" w:type="dxa"/>
            <w:shd w:val="clear" w:color="auto" w:fill="auto"/>
            <w:noWrap/>
            <w:vAlign w:val="center"/>
            <w:hideMark/>
          </w:tcPr>
          <w:p w14:paraId="687E479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5,498</w:t>
            </w:r>
          </w:p>
        </w:tc>
        <w:tc>
          <w:tcPr>
            <w:tcW w:w="791" w:type="dxa"/>
            <w:shd w:val="clear" w:color="auto" w:fill="auto"/>
            <w:noWrap/>
            <w:vAlign w:val="center"/>
            <w:hideMark/>
          </w:tcPr>
          <w:p w14:paraId="4F8CBCA6"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3,294</w:t>
            </w:r>
          </w:p>
        </w:tc>
        <w:tc>
          <w:tcPr>
            <w:tcW w:w="776" w:type="dxa"/>
            <w:shd w:val="clear" w:color="auto" w:fill="auto"/>
            <w:noWrap/>
            <w:vAlign w:val="center"/>
            <w:hideMark/>
          </w:tcPr>
          <w:p w14:paraId="652E1BD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776" w:type="dxa"/>
            <w:shd w:val="clear" w:color="auto" w:fill="auto"/>
            <w:noWrap/>
            <w:vAlign w:val="center"/>
            <w:hideMark/>
          </w:tcPr>
          <w:p w14:paraId="34F0259C"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776" w:type="dxa"/>
            <w:shd w:val="clear" w:color="auto" w:fill="auto"/>
            <w:noWrap/>
            <w:vAlign w:val="center"/>
            <w:hideMark/>
          </w:tcPr>
          <w:p w14:paraId="7BDFA53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3,788</w:t>
            </w:r>
          </w:p>
        </w:tc>
        <w:tc>
          <w:tcPr>
            <w:tcW w:w="974" w:type="dxa"/>
            <w:shd w:val="clear" w:color="auto" w:fill="auto"/>
            <w:noWrap/>
            <w:vAlign w:val="center"/>
            <w:hideMark/>
          </w:tcPr>
          <w:p w14:paraId="4DD21D2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116,624</w:t>
            </w:r>
          </w:p>
        </w:tc>
      </w:tr>
      <w:tr w:rsidR="002735B4" w:rsidRPr="00445472" w14:paraId="76A59281" w14:textId="77777777" w:rsidTr="002A1F08">
        <w:trPr>
          <w:trHeight w:val="225"/>
        </w:trPr>
        <w:tc>
          <w:tcPr>
            <w:tcW w:w="1905" w:type="dxa"/>
            <w:shd w:val="clear" w:color="auto" w:fill="auto"/>
            <w:noWrap/>
            <w:vAlign w:val="center"/>
            <w:hideMark/>
          </w:tcPr>
          <w:p w14:paraId="6B7E5BDE" w14:textId="051AD08D"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w:t>
            </w:r>
            <w:r w:rsidR="0012668D" w:rsidRPr="00445472">
              <w:rPr>
                <w:rFonts w:ascii="Garamond" w:hAnsi="Garamond"/>
                <w:b/>
                <w:bCs/>
                <w:sz w:val="16"/>
                <w:szCs w:val="16"/>
                <w:lang w:eastAsia="en-GB"/>
              </w:rPr>
              <w:t>ja</w:t>
            </w:r>
            <w:r w:rsidRPr="00445472">
              <w:rPr>
                <w:rFonts w:ascii="Garamond" w:hAnsi="Garamond"/>
                <w:b/>
                <w:bCs/>
                <w:sz w:val="16"/>
                <w:szCs w:val="16"/>
                <w:lang w:eastAsia="en-GB"/>
              </w:rPr>
              <w:t xml:space="preserve"> kapitale</w:t>
            </w:r>
          </w:p>
        </w:tc>
        <w:tc>
          <w:tcPr>
            <w:tcW w:w="775" w:type="dxa"/>
            <w:shd w:val="clear" w:color="auto" w:fill="auto"/>
            <w:noWrap/>
            <w:vAlign w:val="center"/>
            <w:hideMark/>
          </w:tcPr>
          <w:p w14:paraId="6997326E" w14:textId="77777777" w:rsidR="002735B4" w:rsidRPr="00445472" w:rsidRDefault="002735B4" w:rsidP="002A1F08">
            <w:pPr>
              <w:spacing w:before="46" w:after="62"/>
              <w:rPr>
                <w:rFonts w:ascii="Garamond" w:hAnsi="Garamond"/>
                <w:b/>
                <w:bCs/>
                <w:sz w:val="16"/>
                <w:szCs w:val="16"/>
                <w:lang w:eastAsia="en-GB"/>
              </w:rPr>
            </w:pPr>
          </w:p>
        </w:tc>
        <w:tc>
          <w:tcPr>
            <w:tcW w:w="794" w:type="dxa"/>
            <w:shd w:val="clear" w:color="auto" w:fill="auto"/>
            <w:noWrap/>
            <w:vAlign w:val="center"/>
            <w:hideMark/>
          </w:tcPr>
          <w:p w14:paraId="68769D9F"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2989B9AD"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23A4DE51"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06F1934F"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7CACF4EB"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123CD68E"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42FFD0BD"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6AF7C39D"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3E185FE3" w14:textId="77777777" w:rsidR="002735B4" w:rsidRPr="00445472" w:rsidRDefault="002735B4" w:rsidP="002A1F08">
            <w:pPr>
              <w:spacing w:before="46" w:after="62"/>
              <w:rPr>
                <w:rFonts w:ascii="Garamond" w:hAnsi="Garamond"/>
                <w:b/>
                <w:bCs/>
                <w:sz w:val="16"/>
                <w:szCs w:val="16"/>
                <w:lang w:eastAsia="en-GB"/>
              </w:rPr>
            </w:pPr>
          </w:p>
        </w:tc>
        <w:tc>
          <w:tcPr>
            <w:tcW w:w="791" w:type="dxa"/>
            <w:shd w:val="clear" w:color="auto" w:fill="auto"/>
            <w:noWrap/>
            <w:vAlign w:val="center"/>
            <w:hideMark/>
          </w:tcPr>
          <w:p w14:paraId="48235910"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0F1C8D3D"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55630924"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53629BD2" w14:textId="77777777" w:rsidR="002735B4" w:rsidRPr="00445472" w:rsidRDefault="002735B4" w:rsidP="002A1F08">
            <w:pPr>
              <w:spacing w:before="46" w:after="62"/>
              <w:rPr>
                <w:rFonts w:ascii="Garamond" w:hAnsi="Garamond"/>
                <w:b/>
                <w:bCs/>
                <w:sz w:val="16"/>
                <w:szCs w:val="16"/>
                <w:lang w:eastAsia="en-GB"/>
              </w:rPr>
            </w:pPr>
          </w:p>
        </w:tc>
        <w:tc>
          <w:tcPr>
            <w:tcW w:w="974" w:type="dxa"/>
            <w:shd w:val="clear" w:color="auto" w:fill="auto"/>
            <w:noWrap/>
            <w:vAlign w:val="center"/>
            <w:hideMark/>
          </w:tcPr>
          <w:p w14:paraId="090096CB"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221D0F76" w14:textId="77777777" w:rsidTr="002A1F08">
        <w:trPr>
          <w:trHeight w:val="225"/>
        </w:trPr>
        <w:tc>
          <w:tcPr>
            <w:tcW w:w="1905" w:type="dxa"/>
            <w:shd w:val="clear" w:color="auto" w:fill="auto"/>
            <w:noWrap/>
            <w:vAlign w:val="center"/>
            <w:hideMark/>
          </w:tcPr>
          <w:p w14:paraId="48F257DF" w14:textId="176737FA"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Zhvlerësimi- S (000 </w:t>
            </w:r>
            <w:r w:rsidR="0012668D"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1421ED5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876</w:t>
            </w:r>
          </w:p>
        </w:tc>
        <w:tc>
          <w:tcPr>
            <w:tcW w:w="794" w:type="dxa"/>
            <w:shd w:val="clear" w:color="auto" w:fill="auto"/>
            <w:noWrap/>
            <w:vAlign w:val="center"/>
            <w:hideMark/>
          </w:tcPr>
          <w:p w14:paraId="749AE89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75D9B55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3C0F4F6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24,648</w:t>
            </w:r>
          </w:p>
        </w:tc>
        <w:tc>
          <w:tcPr>
            <w:tcW w:w="855" w:type="dxa"/>
            <w:shd w:val="clear" w:color="auto" w:fill="auto"/>
            <w:noWrap/>
            <w:vAlign w:val="center"/>
            <w:hideMark/>
          </w:tcPr>
          <w:p w14:paraId="3267140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18,000</w:t>
            </w:r>
          </w:p>
        </w:tc>
        <w:tc>
          <w:tcPr>
            <w:tcW w:w="855" w:type="dxa"/>
            <w:shd w:val="clear" w:color="auto" w:fill="auto"/>
            <w:noWrap/>
            <w:vAlign w:val="center"/>
            <w:hideMark/>
          </w:tcPr>
          <w:p w14:paraId="37789EB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41,360</w:t>
            </w:r>
          </w:p>
        </w:tc>
        <w:tc>
          <w:tcPr>
            <w:tcW w:w="776" w:type="dxa"/>
            <w:shd w:val="clear" w:color="auto" w:fill="auto"/>
            <w:noWrap/>
            <w:vAlign w:val="center"/>
            <w:hideMark/>
          </w:tcPr>
          <w:p w14:paraId="296EDA6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720.0</w:t>
            </w:r>
          </w:p>
        </w:tc>
        <w:tc>
          <w:tcPr>
            <w:tcW w:w="855" w:type="dxa"/>
            <w:shd w:val="clear" w:color="auto" w:fill="auto"/>
            <w:noWrap/>
            <w:vAlign w:val="center"/>
            <w:hideMark/>
          </w:tcPr>
          <w:p w14:paraId="1CBE8E0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55B2A69"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90</w:t>
            </w:r>
          </w:p>
        </w:tc>
        <w:tc>
          <w:tcPr>
            <w:tcW w:w="776" w:type="dxa"/>
            <w:shd w:val="clear" w:color="auto" w:fill="auto"/>
            <w:noWrap/>
            <w:vAlign w:val="center"/>
            <w:hideMark/>
          </w:tcPr>
          <w:p w14:paraId="2576DAC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1,077</w:t>
            </w:r>
          </w:p>
        </w:tc>
        <w:tc>
          <w:tcPr>
            <w:tcW w:w="791" w:type="dxa"/>
            <w:shd w:val="clear" w:color="auto" w:fill="auto"/>
            <w:noWrap/>
            <w:vAlign w:val="center"/>
            <w:hideMark/>
          </w:tcPr>
          <w:p w14:paraId="5BB30B6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ECA7BA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38F7EB0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1A00282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510</w:t>
            </w:r>
          </w:p>
        </w:tc>
        <w:tc>
          <w:tcPr>
            <w:tcW w:w="974" w:type="dxa"/>
            <w:shd w:val="clear" w:color="auto" w:fill="auto"/>
            <w:noWrap/>
            <w:vAlign w:val="center"/>
            <w:hideMark/>
          </w:tcPr>
          <w:p w14:paraId="131184B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87,281</w:t>
            </w:r>
          </w:p>
        </w:tc>
      </w:tr>
      <w:tr w:rsidR="002735B4" w:rsidRPr="00445472" w14:paraId="13DEB1E9" w14:textId="77777777" w:rsidTr="002A1F08">
        <w:trPr>
          <w:trHeight w:val="225"/>
        </w:trPr>
        <w:tc>
          <w:tcPr>
            <w:tcW w:w="1905" w:type="dxa"/>
            <w:shd w:val="clear" w:color="auto" w:fill="auto"/>
            <w:noWrap/>
            <w:vAlign w:val="center"/>
            <w:hideMark/>
          </w:tcPr>
          <w:p w14:paraId="4FE6F76F" w14:textId="77777777"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Kosto administrative</w:t>
            </w:r>
          </w:p>
        </w:tc>
        <w:tc>
          <w:tcPr>
            <w:tcW w:w="775" w:type="dxa"/>
            <w:shd w:val="clear" w:color="auto" w:fill="auto"/>
            <w:noWrap/>
            <w:vAlign w:val="center"/>
            <w:hideMark/>
          </w:tcPr>
          <w:p w14:paraId="6AAF47CC"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61623B38"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1086B295"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1A7DAC70"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624D01E7"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3F4EE41E"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50922DA3"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12ED9EC8"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0F12CF5"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F5685B9"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3554F86D"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17CB4EEF"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D9FD86D"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283EB0E1"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08147525"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4205AE14" w14:textId="77777777" w:rsidTr="002A1F08">
        <w:trPr>
          <w:trHeight w:val="225"/>
        </w:trPr>
        <w:tc>
          <w:tcPr>
            <w:tcW w:w="1905" w:type="dxa"/>
            <w:shd w:val="clear" w:color="auto" w:fill="auto"/>
            <w:noWrap/>
            <w:vAlign w:val="center"/>
            <w:hideMark/>
          </w:tcPr>
          <w:p w14:paraId="615BE43A" w14:textId="2C5E7727"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Interesi-S (000 </w:t>
            </w:r>
            <w:r w:rsidR="0012668D"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1D4F61D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0968FD4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1BC9388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18B561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2971595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4.0</w:t>
            </w:r>
          </w:p>
        </w:tc>
        <w:tc>
          <w:tcPr>
            <w:tcW w:w="855" w:type="dxa"/>
            <w:shd w:val="clear" w:color="auto" w:fill="auto"/>
            <w:noWrap/>
            <w:vAlign w:val="center"/>
            <w:hideMark/>
          </w:tcPr>
          <w:p w14:paraId="7C7C200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0E6E30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74A0358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1320F1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38792B2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1B78B263"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0603D2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0717F6E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3D682362"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974" w:type="dxa"/>
            <w:shd w:val="clear" w:color="auto" w:fill="auto"/>
            <w:noWrap/>
            <w:vAlign w:val="center"/>
            <w:hideMark/>
          </w:tcPr>
          <w:p w14:paraId="5F224D8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4</w:t>
            </w:r>
          </w:p>
        </w:tc>
      </w:tr>
      <w:tr w:rsidR="002735B4" w:rsidRPr="00445472" w14:paraId="3FE1F3EB" w14:textId="77777777" w:rsidTr="002A1F08">
        <w:trPr>
          <w:trHeight w:val="225"/>
        </w:trPr>
        <w:tc>
          <w:tcPr>
            <w:tcW w:w="1905" w:type="dxa"/>
            <w:shd w:val="clear" w:color="auto" w:fill="auto"/>
            <w:noWrap/>
            <w:vAlign w:val="center"/>
            <w:hideMark/>
          </w:tcPr>
          <w:p w14:paraId="6EF41446" w14:textId="66D29335"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 xml:space="preserve">Shpenzime të tjera financiare- S (000 </w:t>
            </w:r>
            <w:r w:rsidR="0012668D" w:rsidRPr="00445472">
              <w:rPr>
                <w:rFonts w:ascii="Garamond" w:hAnsi="Garamond"/>
                <w:sz w:val="16"/>
                <w:szCs w:val="16"/>
                <w:lang w:eastAsia="en-GB"/>
              </w:rPr>
              <w:t>lek</w:t>
            </w:r>
            <w:r w:rsidRPr="00445472">
              <w:rPr>
                <w:rFonts w:ascii="Garamond" w:hAnsi="Garamond"/>
                <w:sz w:val="16"/>
                <w:szCs w:val="16"/>
                <w:lang w:eastAsia="en-GB"/>
              </w:rPr>
              <w:t>)</w:t>
            </w:r>
          </w:p>
        </w:tc>
        <w:tc>
          <w:tcPr>
            <w:tcW w:w="775" w:type="dxa"/>
            <w:shd w:val="clear" w:color="auto" w:fill="auto"/>
            <w:noWrap/>
            <w:vAlign w:val="center"/>
            <w:hideMark/>
          </w:tcPr>
          <w:p w14:paraId="24BAA78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92.0</w:t>
            </w:r>
          </w:p>
        </w:tc>
        <w:tc>
          <w:tcPr>
            <w:tcW w:w="794" w:type="dxa"/>
            <w:shd w:val="clear" w:color="auto" w:fill="auto"/>
            <w:noWrap/>
            <w:vAlign w:val="center"/>
            <w:hideMark/>
          </w:tcPr>
          <w:p w14:paraId="27BAE29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47941CF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1828F71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769C1DB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1,234</w:t>
            </w:r>
          </w:p>
        </w:tc>
        <w:tc>
          <w:tcPr>
            <w:tcW w:w="855" w:type="dxa"/>
            <w:shd w:val="clear" w:color="auto" w:fill="auto"/>
            <w:noWrap/>
            <w:vAlign w:val="center"/>
            <w:hideMark/>
          </w:tcPr>
          <w:p w14:paraId="5E2E13E8"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3,501</w:t>
            </w:r>
          </w:p>
        </w:tc>
        <w:tc>
          <w:tcPr>
            <w:tcW w:w="776" w:type="dxa"/>
            <w:shd w:val="clear" w:color="auto" w:fill="auto"/>
            <w:noWrap/>
            <w:vAlign w:val="center"/>
            <w:hideMark/>
          </w:tcPr>
          <w:p w14:paraId="28BE9E4C"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33CB9C7B"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253EF07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120</w:t>
            </w:r>
          </w:p>
        </w:tc>
        <w:tc>
          <w:tcPr>
            <w:tcW w:w="776" w:type="dxa"/>
            <w:shd w:val="clear" w:color="auto" w:fill="auto"/>
            <w:noWrap/>
            <w:vAlign w:val="center"/>
            <w:hideMark/>
          </w:tcPr>
          <w:p w14:paraId="7A9C515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59E921F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FC9C757"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AF14C0A"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75FF0A0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383</w:t>
            </w:r>
          </w:p>
        </w:tc>
        <w:tc>
          <w:tcPr>
            <w:tcW w:w="974" w:type="dxa"/>
            <w:shd w:val="clear" w:color="auto" w:fill="auto"/>
            <w:noWrap/>
            <w:vAlign w:val="center"/>
            <w:hideMark/>
          </w:tcPr>
          <w:p w14:paraId="542F9131"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5,332</w:t>
            </w:r>
          </w:p>
        </w:tc>
      </w:tr>
      <w:tr w:rsidR="002735B4" w:rsidRPr="00445472" w14:paraId="7CAE702A" w14:textId="77777777" w:rsidTr="002A1F08">
        <w:trPr>
          <w:trHeight w:val="225"/>
        </w:trPr>
        <w:tc>
          <w:tcPr>
            <w:tcW w:w="1905" w:type="dxa"/>
            <w:shd w:val="clear" w:color="auto" w:fill="auto"/>
            <w:noWrap/>
            <w:vAlign w:val="center"/>
            <w:hideMark/>
          </w:tcPr>
          <w:p w14:paraId="5A576685" w14:textId="77777777"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Taksa dhe subvencione</w:t>
            </w:r>
          </w:p>
        </w:tc>
        <w:tc>
          <w:tcPr>
            <w:tcW w:w="775" w:type="dxa"/>
            <w:shd w:val="clear" w:color="auto" w:fill="auto"/>
            <w:noWrap/>
            <w:vAlign w:val="center"/>
            <w:hideMark/>
          </w:tcPr>
          <w:p w14:paraId="6604E896" w14:textId="77777777" w:rsidR="002735B4" w:rsidRPr="00445472" w:rsidRDefault="002735B4" w:rsidP="002A1F08">
            <w:pPr>
              <w:spacing w:before="46" w:after="62"/>
              <w:rPr>
                <w:rFonts w:ascii="Garamond" w:hAnsi="Garamond"/>
                <w:sz w:val="16"/>
                <w:szCs w:val="16"/>
                <w:lang w:eastAsia="en-GB"/>
              </w:rPr>
            </w:pPr>
          </w:p>
        </w:tc>
        <w:tc>
          <w:tcPr>
            <w:tcW w:w="794" w:type="dxa"/>
            <w:shd w:val="clear" w:color="auto" w:fill="auto"/>
            <w:noWrap/>
            <w:vAlign w:val="center"/>
            <w:hideMark/>
          </w:tcPr>
          <w:p w14:paraId="655BAE63" w14:textId="77777777" w:rsidR="002735B4" w:rsidRPr="00445472" w:rsidRDefault="002735B4" w:rsidP="002A1F08">
            <w:pPr>
              <w:spacing w:before="46" w:after="62"/>
              <w:rPr>
                <w:rFonts w:ascii="Garamond" w:hAnsi="Garamond"/>
                <w:sz w:val="16"/>
                <w:szCs w:val="16"/>
                <w:lang w:eastAsia="en-GB"/>
              </w:rPr>
            </w:pPr>
          </w:p>
        </w:tc>
        <w:tc>
          <w:tcPr>
            <w:tcW w:w="775" w:type="dxa"/>
            <w:shd w:val="clear" w:color="auto" w:fill="auto"/>
            <w:noWrap/>
            <w:vAlign w:val="center"/>
            <w:hideMark/>
          </w:tcPr>
          <w:p w14:paraId="093DFB63"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29E1BC43"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4003220"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268FE306"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9051825" w14:textId="77777777" w:rsidR="002735B4" w:rsidRPr="00445472" w:rsidRDefault="002735B4" w:rsidP="002A1F08">
            <w:pPr>
              <w:spacing w:before="46" w:after="62"/>
              <w:rPr>
                <w:rFonts w:ascii="Garamond" w:hAnsi="Garamond"/>
                <w:sz w:val="16"/>
                <w:szCs w:val="16"/>
                <w:lang w:eastAsia="en-GB"/>
              </w:rPr>
            </w:pPr>
          </w:p>
        </w:tc>
        <w:tc>
          <w:tcPr>
            <w:tcW w:w="855" w:type="dxa"/>
            <w:shd w:val="clear" w:color="auto" w:fill="auto"/>
            <w:noWrap/>
            <w:vAlign w:val="center"/>
            <w:hideMark/>
          </w:tcPr>
          <w:p w14:paraId="537C41C5"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0F405FF"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0C96E2E7" w14:textId="77777777" w:rsidR="002735B4" w:rsidRPr="00445472" w:rsidRDefault="002735B4" w:rsidP="002A1F08">
            <w:pPr>
              <w:spacing w:before="46" w:after="62"/>
              <w:rPr>
                <w:rFonts w:ascii="Garamond" w:hAnsi="Garamond"/>
                <w:sz w:val="16"/>
                <w:szCs w:val="16"/>
                <w:lang w:eastAsia="en-GB"/>
              </w:rPr>
            </w:pPr>
          </w:p>
        </w:tc>
        <w:tc>
          <w:tcPr>
            <w:tcW w:w="791" w:type="dxa"/>
            <w:shd w:val="clear" w:color="auto" w:fill="auto"/>
            <w:noWrap/>
            <w:vAlign w:val="center"/>
            <w:hideMark/>
          </w:tcPr>
          <w:p w14:paraId="138B748A"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68028395"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437EE6D6" w14:textId="77777777" w:rsidR="002735B4" w:rsidRPr="00445472" w:rsidRDefault="002735B4" w:rsidP="002A1F08">
            <w:pPr>
              <w:spacing w:before="46" w:after="62"/>
              <w:rPr>
                <w:rFonts w:ascii="Garamond" w:hAnsi="Garamond"/>
                <w:sz w:val="16"/>
                <w:szCs w:val="16"/>
                <w:lang w:eastAsia="en-GB"/>
              </w:rPr>
            </w:pPr>
          </w:p>
        </w:tc>
        <w:tc>
          <w:tcPr>
            <w:tcW w:w="776" w:type="dxa"/>
            <w:shd w:val="clear" w:color="auto" w:fill="auto"/>
            <w:noWrap/>
            <w:vAlign w:val="center"/>
            <w:hideMark/>
          </w:tcPr>
          <w:p w14:paraId="766A754F" w14:textId="77777777" w:rsidR="002735B4" w:rsidRPr="00445472" w:rsidRDefault="002735B4" w:rsidP="002A1F08">
            <w:pPr>
              <w:spacing w:before="46" w:after="62"/>
              <w:rPr>
                <w:rFonts w:ascii="Garamond" w:hAnsi="Garamond"/>
                <w:sz w:val="16"/>
                <w:szCs w:val="16"/>
                <w:lang w:eastAsia="en-GB"/>
              </w:rPr>
            </w:pPr>
          </w:p>
        </w:tc>
        <w:tc>
          <w:tcPr>
            <w:tcW w:w="974" w:type="dxa"/>
            <w:shd w:val="clear" w:color="auto" w:fill="auto"/>
            <w:noWrap/>
            <w:vAlign w:val="center"/>
            <w:hideMark/>
          </w:tcPr>
          <w:p w14:paraId="6D23422B"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13C7E229" w14:textId="77777777" w:rsidTr="002A1F08">
        <w:trPr>
          <w:trHeight w:val="225"/>
        </w:trPr>
        <w:tc>
          <w:tcPr>
            <w:tcW w:w="1905" w:type="dxa"/>
            <w:shd w:val="clear" w:color="auto" w:fill="auto"/>
            <w:noWrap/>
            <w:vAlign w:val="center"/>
            <w:hideMark/>
          </w:tcPr>
          <w:p w14:paraId="4B1207E6" w14:textId="77777777" w:rsidR="002735B4" w:rsidRPr="00445472" w:rsidRDefault="002735B4" w:rsidP="002A1F08">
            <w:pPr>
              <w:spacing w:before="46" w:after="62"/>
              <w:rPr>
                <w:rFonts w:ascii="Garamond" w:hAnsi="Garamond"/>
                <w:sz w:val="16"/>
                <w:szCs w:val="16"/>
                <w:lang w:eastAsia="en-GB"/>
              </w:rPr>
            </w:pPr>
            <w:r w:rsidRPr="00445472">
              <w:rPr>
                <w:rFonts w:ascii="Garamond" w:hAnsi="Garamond"/>
                <w:sz w:val="16"/>
                <w:szCs w:val="16"/>
                <w:lang w:eastAsia="en-GB"/>
              </w:rPr>
              <w:t>Taksa dhe detyrime- S (000 Lek)</w:t>
            </w:r>
          </w:p>
        </w:tc>
        <w:tc>
          <w:tcPr>
            <w:tcW w:w="775" w:type="dxa"/>
            <w:shd w:val="clear" w:color="auto" w:fill="auto"/>
            <w:noWrap/>
            <w:vAlign w:val="center"/>
            <w:hideMark/>
          </w:tcPr>
          <w:p w14:paraId="0DC5DA2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4" w:type="dxa"/>
            <w:shd w:val="clear" w:color="auto" w:fill="auto"/>
            <w:noWrap/>
            <w:vAlign w:val="center"/>
            <w:hideMark/>
          </w:tcPr>
          <w:p w14:paraId="7A4EA43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5" w:type="dxa"/>
            <w:shd w:val="clear" w:color="auto" w:fill="auto"/>
            <w:noWrap/>
            <w:vAlign w:val="center"/>
            <w:hideMark/>
          </w:tcPr>
          <w:p w14:paraId="35FFC07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2F870B9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6AD382F4"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830.4</w:t>
            </w:r>
          </w:p>
        </w:tc>
        <w:tc>
          <w:tcPr>
            <w:tcW w:w="855" w:type="dxa"/>
            <w:shd w:val="clear" w:color="auto" w:fill="auto"/>
            <w:noWrap/>
            <w:vAlign w:val="center"/>
            <w:hideMark/>
          </w:tcPr>
          <w:p w14:paraId="4F53BD3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A8E69C0"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855" w:type="dxa"/>
            <w:shd w:val="clear" w:color="auto" w:fill="auto"/>
            <w:noWrap/>
            <w:vAlign w:val="center"/>
            <w:hideMark/>
          </w:tcPr>
          <w:p w14:paraId="247BE03D"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3F5656CE"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6E4D041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91" w:type="dxa"/>
            <w:shd w:val="clear" w:color="auto" w:fill="auto"/>
            <w:noWrap/>
            <w:vAlign w:val="center"/>
            <w:hideMark/>
          </w:tcPr>
          <w:p w14:paraId="1BA2A55F"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49AEFE36"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595B2925"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0.0</w:t>
            </w:r>
          </w:p>
        </w:tc>
        <w:tc>
          <w:tcPr>
            <w:tcW w:w="776" w:type="dxa"/>
            <w:shd w:val="clear" w:color="auto" w:fill="auto"/>
            <w:noWrap/>
            <w:vAlign w:val="center"/>
            <w:hideMark/>
          </w:tcPr>
          <w:p w14:paraId="19464DE1" w14:textId="77777777" w:rsidR="002735B4" w:rsidRPr="00445472" w:rsidRDefault="002735B4" w:rsidP="002A1F08">
            <w:pPr>
              <w:spacing w:before="46" w:after="62"/>
              <w:jc w:val="right"/>
              <w:rPr>
                <w:rFonts w:ascii="Garamond" w:hAnsi="Garamond"/>
                <w:sz w:val="16"/>
                <w:szCs w:val="16"/>
                <w:lang w:eastAsia="en-GB"/>
              </w:rPr>
            </w:pPr>
            <w:r w:rsidRPr="00445472">
              <w:rPr>
                <w:rFonts w:ascii="Garamond" w:hAnsi="Garamond"/>
                <w:sz w:val="16"/>
                <w:szCs w:val="16"/>
                <w:lang w:eastAsia="en-GB"/>
              </w:rPr>
              <w:t>84.0</w:t>
            </w:r>
          </w:p>
        </w:tc>
        <w:tc>
          <w:tcPr>
            <w:tcW w:w="974" w:type="dxa"/>
            <w:shd w:val="clear" w:color="auto" w:fill="auto"/>
            <w:noWrap/>
            <w:vAlign w:val="center"/>
            <w:hideMark/>
          </w:tcPr>
          <w:p w14:paraId="3926779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914</w:t>
            </w:r>
          </w:p>
        </w:tc>
      </w:tr>
      <w:tr w:rsidR="002735B4" w:rsidRPr="00445472" w14:paraId="3C8E008A" w14:textId="77777777" w:rsidTr="002A1F08">
        <w:trPr>
          <w:trHeight w:val="225"/>
        </w:trPr>
        <w:tc>
          <w:tcPr>
            <w:tcW w:w="1905" w:type="dxa"/>
            <w:shd w:val="clear" w:color="auto" w:fill="auto"/>
            <w:noWrap/>
            <w:vAlign w:val="center"/>
            <w:hideMark/>
          </w:tcPr>
          <w:p w14:paraId="763BF8BC" w14:textId="3A485CBF" w:rsidR="002735B4" w:rsidRPr="00445472" w:rsidRDefault="002735B4" w:rsidP="002A1F08">
            <w:pPr>
              <w:spacing w:before="46" w:after="62"/>
              <w:rPr>
                <w:rFonts w:ascii="Garamond" w:hAnsi="Garamond"/>
                <w:b/>
                <w:bCs/>
                <w:sz w:val="16"/>
                <w:szCs w:val="16"/>
                <w:lang w:eastAsia="en-GB"/>
              </w:rPr>
            </w:pPr>
            <w:r w:rsidRPr="00445472">
              <w:rPr>
                <w:rFonts w:ascii="Garamond" w:hAnsi="Garamond"/>
                <w:b/>
                <w:bCs/>
                <w:sz w:val="16"/>
                <w:szCs w:val="16"/>
                <w:lang w:eastAsia="en-GB"/>
              </w:rPr>
              <w:t xml:space="preserve">Kosto totale financiare – Ujërat e ndotura (000 </w:t>
            </w:r>
            <w:r w:rsidR="0012668D" w:rsidRPr="00445472">
              <w:rPr>
                <w:rFonts w:ascii="Garamond" w:hAnsi="Garamond"/>
                <w:b/>
                <w:bCs/>
                <w:sz w:val="16"/>
                <w:szCs w:val="16"/>
                <w:lang w:eastAsia="en-GB"/>
              </w:rPr>
              <w:t>lek</w:t>
            </w:r>
            <w:r w:rsidRPr="00445472">
              <w:rPr>
                <w:rFonts w:ascii="Garamond" w:hAnsi="Garamond"/>
                <w:b/>
                <w:bCs/>
                <w:sz w:val="16"/>
                <w:szCs w:val="16"/>
                <w:lang w:eastAsia="en-GB"/>
              </w:rPr>
              <w:t>)</w:t>
            </w:r>
          </w:p>
        </w:tc>
        <w:tc>
          <w:tcPr>
            <w:tcW w:w="775" w:type="dxa"/>
            <w:shd w:val="clear" w:color="auto" w:fill="auto"/>
            <w:noWrap/>
            <w:vAlign w:val="center"/>
            <w:hideMark/>
          </w:tcPr>
          <w:p w14:paraId="75C24D3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2,299</w:t>
            </w:r>
          </w:p>
        </w:tc>
        <w:tc>
          <w:tcPr>
            <w:tcW w:w="794" w:type="dxa"/>
            <w:shd w:val="clear" w:color="auto" w:fill="auto"/>
            <w:noWrap/>
            <w:vAlign w:val="center"/>
            <w:hideMark/>
          </w:tcPr>
          <w:p w14:paraId="3A18253F"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775" w:type="dxa"/>
            <w:shd w:val="clear" w:color="auto" w:fill="auto"/>
            <w:noWrap/>
            <w:vAlign w:val="center"/>
            <w:hideMark/>
          </w:tcPr>
          <w:p w14:paraId="4B59B0A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855" w:type="dxa"/>
            <w:shd w:val="clear" w:color="auto" w:fill="auto"/>
            <w:noWrap/>
            <w:vAlign w:val="center"/>
            <w:hideMark/>
          </w:tcPr>
          <w:p w14:paraId="4ADA3362"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39,508</w:t>
            </w:r>
          </w:p>
        </w:tc>
        <w:tc>
          <w:tcPr>
            <w:tcW w:w="855" w:type="dxa"/>
            <w:shd w:val="clear" w:color="auto" w:fill="auto"/>
            <w:noWrap/>
            <w:vAlign w:val="center"/>
            <w:hideMark/>
          </w:tcPr>
          <w:p w14:paraId="2FF20C1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44,618</w:t>
            </w:r>
          </w:p>
        </w:tc>
        <w:tc>
          <w:tcPr>
            <w:tcW w:w="855" w:type="dxa"/>
            <w:shd w:val="clear" w:color="auto" w:fill="auto"/>
            <w:noWrap/>
            <w:vAlign w:val="center"/>
            <w:hideMark/>
          </w:tcPr>
          <w:p w14:paraId="73C6D838"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100,969</w:t>
            </w:r>
          </w:p>
        </w:tc>
        <w:tc>
          <w:tcPr>
            <w:tcW w:w="776" w:type="dxa"/>
            <w:shd w:val="clear" w:color="auto" w:fill="auto"/>
            <w:noWrap/>
            <w:vAlign w:val="center"/>
            <w:hideMark/>
          </w:tcPr>
          <w:p w14:paraId="2E61E4F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2,378</w:t>
            </w:r>
          </w:p>
        </w:tc>
        <w:tc>
          <w:tcPr>
            <w:tcW w:w="855" w:type="dxa"/>
            <w:shd w:val="clear" w:color="auto" w:fill="auto"/>
            <w:noWrap/>
            <w:vAlign w:val="center"/>
            <w:hideMark/>
          </w:tcPr>
          <w:p w14:paraId="7C98AA1E"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2,726</w:t>
            </w:r>
          </w:p>
        </w:tc>
        <w:tc>
          <w:tcPr>
            <w:tcW w:w="776" w:type="dxa"/>
            <w:shd w:val="clear" w:color="auto" w:fill="auto"/>
            <w:noWrap/>
            <w:vAlign w:val="center"/>
            <w:hideMark/>
          </w:tcPr>
          <w:p w14:paraId="07C3466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3,020</w:t>
            </w:r>
          </w:p>
        </w:tc>
        <w:tc>
          <w:tcPr>
            <w:tcW w:w="776" w:type="dxa"/>
            <w:shd w:val="clear" w:color="auto" w:fill="auto"/>
            <w:noWrap/>
            <w:vAlign w:val="center"/>
            <w:hideMark/>
          </w:tcPr>
          <w:p w14:paraId="69716B15"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6,575</w:t>
            </w:r>
          </w:p>
        </w:tc>
        <w:tc>
          <w:tcPr>
            <w:tcW w:w="791" w:type="dxa"/>
            <w:shd w:val="clear" w:color="auto" w:fill="auto"/>
            <w:noWrap/>
            <w:vAlign w:val="center"/>
            <w:hideMark/>
          </w:tcPr>
          <w:p w14:paraId="3F25FA44"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3,294</w:t>
            </w:r>
          </w:p>
        </w:tc>
        <w:tc>
          <w:tcPr>
            <w:tcW w:w="776" w:type="dxa"/>
            <w:shd w:val="clear" w:color="auto" w:fill="auto"/>
            <w:noWrap/>
            <w:vAlign w:val="center"/>
            <w:hideMark/>
          </w:tcPr>
          <w:p w14:paraId="2EFEE349"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776" w:type="dxa"/>
            <w:shd w:val="clear" w:color="auto" w:fill="auto"/>
            <w:noWrap/>
            <w:vAlign w:val="center"/>
            <w:hideMark/>
          </w:tcPr>
          <w:p w14:paraId="03624688"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0.0</w:t>
            </w:r>
          </w:p>
        </w:tc>
        <w:tc>
          <w:tcPr>
            <w:tcW w:w="776" w:type="dxa"/>
            <w:shd w:val="clear" w:color="auto" w:fill="auto"/>
            <w:noWrap/>
            <w:vAlign w:val="center"/>
            <w:hideMark/>
          </w:tcPr>
          <w:p w14:paraId="6C388F2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4,765</w:t>
            </w:r>
          </w:p>
        </w:tc>
        <w:tc>
          <w:tcPr>
            <w:tcW w:w="974" w:type="dxa"/>
            <w:shd w:val="clear" w:color="auto" w:fill="auto"/>
            <w:noWrap/>
            <w:vAlign w:val="center"/>
            <w:hideMark/>
          </w:tcPr>
          <w:p w14:paraId="50D9549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210,155</w:t>
            </w:r>
          </w:p>
        </w:tc>
      </w:tr>
      <w:tr w:rsidR="002735B4" w:rsidRPr="00445472" w14:paraId="4F0418B5" w14:textId="77777777" w:rsidTr="002A1F08">
        <w:trPr>
          <w:trHeight w:val="225"/>
        </w:trPr>
        <w:tc>
          <w:tcPr>
            <w:tcW w:w="1905" w:type="dxa"/>
            <w:shd w:val="clear" w:color="auto" w:fill="auto"/>
            <w:noWrap/>
            <w:vAlign w:val="center"/>
            <w:hideMark/>
          </w:tcPr>
          <w:p w14:paraId="2EB77B03"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4FF6E380" w14:textId="77777777" w:rsidR="002735B4" w:rsidRPr="00445472" w:rsidRDefault="002735B4" w:rsidP="002A1F08">
            <w:pPr>
              <w:spacing w:before="46" w:after="62"/>
              <w:rPr>
                <w:rFonts w:ascii="Garamond" w:hAnsi="Garamond"/>
                <w:b/>
                <w:bCs/>
                <w:sz w:val="16"/>
                <w:szCs w:val="16"/>
                <w:lang w:eastAsia="en-GB"/>
              </w:rPr>
            </w:pPr>
          </w:p>
        </w:tc>
        <w:tc>
          <w:tcPr>
            <w:tcW w:w="794" w:type="dxa"/>
            <w:shd w:val="clear" w:color="auto" w:fill="auto"/>
            <w:noWrap/>
            <w:vAlign w:val="center"/>
            <w:hideMark/>
          </w:tcPr>
          <w:p w14:paraId="4D82954B" w14:textId="77777777" w:rsidR="002735B4" w:rsidRPr="00445472" w:rsidRDefault="002735B4" w:rsidP="002A1F08">
            <w:pPr>
              <w:spacing w:before="46" w:after="62"/>
              <w:rPr>
                <w:rFonts w:ascii="Garamond" w:hAnsi="Garamond"/>
                <w:b/>
                <w:bCs/>
                <w:sz w:val="16"/>
                <w:szCs w:val="16"/>
                <w:lang w:eastAsia="en-GB"/>
              </w:rPr>
            </w:pPr>
          </w:p>
        </w:tc>
        <w:tc>
          <w:tcPr>
            <w:tcW w:w="775" w:type="dxa"/>
            <w:shd w:val="clear" w:color="auto" w:fill="auto"/>
            <w:noWrap/>
            <w:vAlign w:val="center"/>
            <w:hideMark/>
          </w:tcPr>
          <w:p w14:paraId="25A63863"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74CDF525"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1C427BB6"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3D90C4EB"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75DF3001" w14:textId="77777777" w:rsidR="002735B4" w:rsidRPr="00445472" w:rsidRDefault="002735B4" w:rsidP="002A1F08">
            <w:pPr>
              <w:spacing w:before="46" w:after="62"/>
              <w:rPr>
                <w:rFonts w:ascii="Garamond" w:hAnsi="Garamond"/>
                <w:b/>
                <w:bCs/>
                <w:sz w:val="16"/>
                <w:szCs w:val="16"/>
                <w:lang w:eastAsia="en-GB"/>
              </w:rPr>
            </w:pPr>
          </w:p>
        </w:tc>
        <w:tc>
          <w:tcPr>
            <w:tcW w:w="855" w:type="dxa"/>
            <w:shd w:val="clear" w:color="auto" w:fill="auto"/>
            <w:noWrap/>
            <w:vAlign w:val="center"/>
            <w:hideMark/>
          </w:tcPr>
          <w:p w14:paraId="0E417EE4"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01ADB34B"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7FC3FC24" w14:textId="77777777" w:rsidR="002735B4" w:rsidRPr="00445472" w:rsidRDefault="002735B4" w:rsidP="002A1F08">
            <w:pPr>
              <w:spacing w:before="46" w:after="62"/>
              <w:rPr>
                <w:rFonts w:ascii="Garamond" w:hAnsi="Garamond"/>
                <w:b/>
                <w:bCs/>
                <w:sz w:val="16"/>
                <w:szCs w:val="16"/>
                <w:lang w:eastAsia="en-GB"/>
              </w:rPr>
            </w:pPr>
          </w:p>
        </w:tc>
        <w:tc>
          <w:tcPr>
            <w:tcW w:w="791" w:type="dxa"/>
            <w:shd w:val="clear" w:color="auto" w:fill="auto"/>
            <w:noWrap/>
            <w:vAlign w:val="center"/>
            <w:hideMark/>
          </w:tcPr>
          <w:p w14:paraId="1CACDE41"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2ED720AE"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0E0D8E7A" w14:textId="77777777" w:rsidR="002735B4" w:rsidRPr="00445472" w:rsidRDefault="002735B4" w:rsidP="002A1F08">
            <w:pPr>
              <w:spacing w:before="46" w:after="62"/>
              <w:rPr>
                <w:rFonts w:ascii="Garamond" w:hAnsi="Garamond"/>
                <w:b/>
                <w:bCs/>
                <w:sz w:val="16"/>
                <w:szCs w:val="16"/>
                <w:lang w:eastAsia="en-GB"/>
              </w:rPr>
            </w:pPr>
          </w:p>
        </w:tc>
        <w:tc>
          <w:tcPr>
            <w:tcW w:w="776" w:type="dxa"/>
            <w:shd w:val="clear" w:color="auto" w:fill="auto"/>
            <w:noWrap/>
            <w:vAlign w:val="center"/>
            <w:hideMark/>
          </w:tcPr>
          <w:p w14:paraId="391F9AF0" w14:textId="77777777" w:rsidR="002735B4" w:rsidRPr="00445472" w:rsidRDefault="002735B4" w:rsidP="002A1F08">
            <w:pPr>
              <w:spacing w:before="46" w:after="62"/>
              <w:rPr>
                <w:rFonts w:ascii="Garamond" w:hAnsi="Garamond"/>
                <w:b/>
                <w:bCs/>
                <w:sz w:val="16"/>
                <w:szCs w:val="16"/>
                <w:lang w:eastAsia="en-GB"/>
              </w:rPr>
            </w:pPr>
          </w:p>
        </w:tc>
        <w:tc>
          <w:tcPr>
            <w:tcW w:w="974" w:type="dxa"/>
            <w:shd w:val="clear" w:color="auto" w:fill="auto"/>
            <w:noWrap/>
            <w:vAlign w:val="center"/>
            <w:hideMark/>
          </w:tcPr>
          <w:p w14:paraId="0C87C102" w14:textId="77777777" w:rsidR="002735B4" w:rsidRPr="00445472" w:rsidRDefault="002735B4" w:rsidP="002A1F08">
            <w:pPr>
              <w:spacing w:before="46" w:after="62"/>
              <w:rPr>
                <w:rFonts w:ascii="Garamond" w:hAnsi="Garamond"/>
                <w:b/>
                <w:bCs/>
                <w:sz w:val="16"/>
                <w:szCs w:val="16"/>
                <w:lang w:eastAsia="en-GB"/>
              </w:rPr>
            </w:pPr>
          </w:p>
        </w:tc>
      </w:tr>
      <w:tr w:rsidR="002735B4" w:rsidRPr="00445472" w14:paraId="6FFFC143" w14:textId="77777777" w:rsidTr="002A1F08">
        <w:trPr>
          <w:trHeight w:val="225"/>
        </w:trPr>
        <w:tc>
          <w:tcPr>
            <w:tcW w:w="1905" w:type="dxa"/>
            <w:shd w:val="clear" w:color="auto" w:fill="auto"/>
            <w:noWrap/>
            <w:vAlign w:val="center"/>
            <w:hideMark/>
          </w:tcPr>
          <w:p w14:paraId="6B34AD52" w14:textId="681DE3B4" w:rsidR="002735B4" w:rsidRPr="00445472" w:rsidRDefault="002735B4" w:rsidP="0012668D">
            <w:pPr>
              <w:spacing w:before="46" w:after="62"/>
              <w:rPr>
                <w:rFonts w:ascii="Garamond" w:hAnsi="Garamond"/>
                <w:b/>
                <w:bCs/>
                <w:sz w:val="16"/>
                <w:szCs w:val="16"/>
                <w:lang w:eastAsia="en-GB"/>
              </w:rPr>
            </w:pPr>
            <w:r w:rsidRPr="00445472">
              <w:rPr>
                <w:rFonts w:ascii="Garamond" w:hAnsi="Garamond"/>
                <w:b/>
                <w:bCs/>
                <w:sz w:val="16"/>
                <w:szCs w:val="16"/>
                <w:lang w:eastAsia="en-GB"/>
              </w:rPr>
              <w:t>Kostot totale financiare – ujë</w:t>
            </w:r>
            <w:r w:rsidR="0012668D" w:rsidRPr="00445472">
              <w:rPr>
                <w:rFonts w:ascii="Garamond" w:hAnsi="Garamond"/>
                <w:b/>
                <w:bCs/>
                <w:sz w:val="16"/>
                <w:szCs w:val="16"/>
                <w:lang w:eastAsia="en-GB"/>
              </w:rPr>
              <w:t xml:space="preserve"> dhe ujërat </w:t>
            </w:r>
            <w:r w:rsidRPr="00445472">
              <w:rPr>
                <w:rFonts w:ascii="Garamond" w:hAnsi="Garamond"/>
                <w:b/>
                <w:bCs/>
                <w:sz w:val="16"/>
                <w:szCs w:val="16"/>
                <w:lang w:eastAsia="en-GB"/>
              </w:rPr>
              <w:t xml:space="preserve">e ndotura (000 </w:t>
            </w:r>
            <w:r w:rsidR="0012668D" w:rsidRPr="00445472">
              <w:rPr>
                <w:rFonts w:ascii="Garamond" w:hAnsi="Garamond"/>
                <w:b/>
                <w:bCs/>
                <w:sz w:val="16"/>
                <w:szCs w:val="16"/>
                <w:lang w:eastAsia="en-GB"/>
              </w:rPr>
              <w:t>lek</w:t>
            </w:r>
            <w:r w:rsidRPr="00445472">
              <w:rPr>
                <w:rFonts w:ascii="Garamond" w:hAnsi="Garamond"/>
                <w:b/>
                <w:bCs/>
                <w:sz w:val="16"/>
                <w:szCs w:val="16"/>
                <w:lang w:eastAsia="en-GB"/>
              </w:rPr>
              <w:t>)</w:t>
            </w:r>
          </w:p>
        </w:tc>
        <w:tc>
          <w:tcPr>
            <w:tcW w:w="775" w:type="dxa"/>
            <w:shd w:val="clear" w:color="auto" w:fill="auto"/>
            <w:noWrap/>
            <w:vAlign w:val="center"/>
            <w:hideMark/>
          </w:tcPr>
          <w:p w14:paraId="5EEA0D4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13,177</w:t>
            </w:r>
          </w:p>
        </w:tc>
        <w:tc>
          <w:tcPr>
            <w:tcW w:w="794" w:type="dxa"/>
            <w:shd w:val="clear" w:color="auto" w:fill="auto"/>
            <w:noWrap/>
            <w:vAlign w:val="center"/>
            <w:hideMark/>
          </w:tcPr>
          <w:p w14:paraId="540BA186"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17,764</w:t>
            </w:r>
          </w:p>
        </w:tc>
        <w:tc>
          <w:tcPr>
            <w:tcW w:w="775" w:type="dxa"/>
            <w:shd w:val="clear" w:color="auto" w:fill="auto"/>
            <w:noWrap/>
            <w:vAlign w:val="center"/>
            <w:hideMark/>
          </w:tcPr>
          <w:p w14:paraId="5D4077E1"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22,547</w:t>
            </w:r>
          </w:p>
        </w:tc>
        <w:tc>
          <w:tcPr>
            <w:tcW w:w="855" w:type="dxa"/>
            <w:shd w:val="clear" w:color="auto" w:fill="auto"/>
            <w:noWrap/>
            <w:vAlign w:val="center"/>
            <w:hideMark/>
          </w:tcPr>
          <w:p w14:paraId="0D43E9A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183,888</w:t>
            </w:r>
          </w:p>
        </w:tc>
        <w:tc>
          <w:tcPr>
            <w:tcW w:w="855" w:type="dxa"/>
            <w:shd w:val="clear" w:color="auto" w:fill="auto"/>
            <w:noWrap/>
            <w:vAlign w:val="center"/>
            <w:hideMark/>
          </w:tcPr>
          <w:p w14:paraId="0167694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137,596</w:t>
            </w:r>
          </w:p>
        </w:tc>
        <w:tc>
          <w:tcPr>
            <w:tcW w:w="855" w:type="dxa"/>
            <w:shd w:val="clear" w:color="auto" w:fill="auto"/>
            <w:noWrap/>
            <w:vAlign w:val="center"/>
            <w:hideMark/>
          </w:tcPr>
          <w:p w14:paraId="773DEEA7"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330,553</w:t>
            </w:r>
          </w:p>
        </w:tc>
        <w:tc>
          <w:tcPr>
            <w:tcW w:w="776" w:type="dxa"/>
            <w:shd w:val="clear" w:color="auto" w:fill="auto"/>
            <w:noWrap/>
            <w:vAlign w:val="center"/>
            <w:hideMark/>
          </w:tcPr>
          <w:p w14:paraId="1DF9692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12,137</w:t>
            </w:r>
          </w:p>
        </w:tc>
        <w:tc>
          <w:tcPr>
            <w:tcW w:w="855" w:type="dxa"/>
            <w:shd w:val="clear" w:color="auto" w:fill="auto"/>
            <w:noWrap/>
            <w:vAlign w:val="center"/>
            <w:hideMark/>
          </w:tcPr>
          <w:p w14:paraId="0444563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133,702</w:t>
            </w:r>
          </w:p>
        </w:tc>
        <w:tc>
          <w:tcPr>
            <w:tcW w:w="776" w:type="dxa"/>
            <w:shd w:val="clear" w:color="auto" w:fill="auto"/>
            <w:noWrap/>
            <w:vAlign w:val="center"/>
            <w:hideMark/>
          </w:tcPr>
          <w:p w14:paraId="4CAD1DC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10,059</w:t>
            </w:r>
          </w:p>
        </w:tc>
        <w:tc>
          <w:tcPr>
            <w:tcW w:w="776" w:type="dxa"/>
            <w:shd w:val="clear" w:color="auto" w:fill="auto"/>
            <w:noWrap/>
            <w:vAlign w:val="center"/>
            <w:hideMark/>
          </w:tcPr>
          <w:p w14:paraId="285D31CB"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40,978</w:t>
            </w:r>
          </w:p>
        </w:tc>
        <w:tc>
          <w:tcPr>
            <w:tcW w:w="791" w:type="dxa"/>
            <w:shd w:val="clear" w:color="auto" w:fill="auto"/>
            <w:noWrap/>
            <w:vAlign w:val="center"/>
            <w:hideMark/>
          </w:tcPr>
          <w:p w14:paraId="1A4BF6F0"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33,871</w:t>
            </w:r>
          </w:p>
        </w:tc>
        <w:tc>
          <w:tcPr>
            <w:tcW w:w="776" w:type="dxa"/>
            <w:shd w:val="clear" w:color="auto" w:fill="auto"/>
            <w:noWrap/>
            <w:vAlign w:val="center"/>
            <w:hideMark/>
          </w:tcPr>
          <w:p w14:paraId="6F4D25E2"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28,125</w:t>
            </w:r>
          </w:p>
        </w:tc>
        <w:tc>
          <w:tcPr>
            <w:tcW w:w="776" w:type="dxa"/>
            <w:shd w:val="clear" w:color="auto" w:fill="auto"/>
            <w:noWrap/>
            <w:vAlign w:val="center"/>
            <w:hideMark/>
          </w:tcPr>
          <w:p w14:paraId="7DB340FD"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26,407</w:t>
            </w:r>
          </w:p>
        </w:tc>
        <w:tc>
          <w:tcPr>
            <w:tcW w:w="776" w:type="dxa"/>
            <w:shd w:val="clear" w:color="auto" w:fill="auto"/>
            <w:noWrap/>
            <w:vAlign w:val="center"/>
            <w:hideMark/>
          </w:tcPr>
          <w:p w14:paraId="60D12DB5"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60,144</w:t>
            </w:r>
          </w:p>
        </w:tc>
        <w:tc>
          <w:tcPr>
            <w:tcW w:w="974" w:type="dxa"/>
            <w:shd w:val="clear" w:color="auto" w:fill="auto"/>
            <w:noWrap/>
            <w:vAlign w:val="center"/>
            <w:hideMark/>
          </w:tcPr>
          <w:p w14:paraId="53D36613" w14:textId="77777777" w:rsidR="002735B4" w:rsidRPr="00445472" w:rsidRDefault="002735B4" w:rsidP="002A1F08">
            <w:pPr>
              <w:spacing w:before="46" w:after="62"/>
              <w:jc w:val="right"/>
              <w:rPr>
                <w:rFonts w:ascii="Garamond" w:hAnsi="Garamond"/>
                <w:b/>
                <w:bCs/>
                <w:sz w:val="16"/>
                <w:szCs w:val="16"/>
                <w:lang w:eastAsia="en-GB"/>
              </w:rPr>
            </w:pPr>
            <w:r w:rsidRPr="00445472">
              <w:rPr>
                <w:rFonts w:ascii="Garamond" w:hAnsi="Garamond"/>
                <w:b/>
                <w:bCs/>
                <w:sz w:val="16"/>
                <w:szCs w:val="16"/>
                <w:lang w:eastAsia="en-GB"/>
              </w:rPr>
              <w:t>1,050,954</w:t>
            </w:r>
          </w:p>
        </w:tc>
      </w:tr>
    </w:tbl>
    <w:p w14:paraId="41A629CA" w14:textId="77777777" w:rsidR="002735B4" w:rsidRPr="00445472" w:rsidRDefault="002735B4" w:rsidP="002735B4">
      <w:pPr>
        <w:pStyle w:val="TEKSTIIII"/>
      </w:pPr>
    </w:p>
    <w:p w14:paraId="412331E5" w14:textId="77777777" w:rsidR="002735B4" w:rsidRPr="00445472" w:rsidRDefault="002735B4" w:rsidP="002735B4">
      <w:pPr>
        <w:pStyle w:val="TEKSTIIII"/>
      </w:pPr>
    </w:p>
    <w:p w14:paraId="7E3DE359" w14:textId="77777777" w:rsidR="002735B4" w:rsidRPr="00445472" w:rsidRDefault="002735B4" w:rsidP="002735B4">
      <w:pPr>
        <w:pStyle w:val="TEKSTIIII"/>
      </w:pPr>
    </w:p>
    <w:p w14:paraId="2747C046" w14:textId="77777777" w:rsidR="002735B4" w:rsidRPr="00445472" w:rsidRDefault="002735B4" w:rsidP="002735B4">
      <w:pPr>
        <w:pStyle w:val="TEKSTIIII"/>
      </w:pPr>
    </w:p>
    <w:p w14:paraId="06A8097C" w14:textId="77777777" w:rsidR="002735B4" w:rsidRPr="00445472" w:rsidRDefault="002735B4" w:rsidP="002735B4">
      <w:pPr>
        <w:pStyle w:val="TEKSTIIII"/>
      </w:pPr>
    </w:p>
    <w:p w14:paraId="77809B88" w14:textId="77777777" w:rsidR="002735B4" w:rsidRPr="00445472" w:rsidRDefault="002735B4" w:rsidP="002735B4">
      <w:pPr>
        <w:pStyle w:val="TEKSTIIII"/>
      </w:pPr>
    </w:p>
    <w:p w14:paraId="1BDBA72C" w14:textId="77777777" w:rsidR="002735B4" w:rsidRPr="00445472" w:rsidRDefault="002735B4" w:rsidP="002735B4">
      <w:pPr>
        <w:pStyle w:val="TEKSTIIII"/>
      </w:pPr>
    </w:p>
    <w:p w14:paraId="1E9E0D5E" w14:textId="1C2B673F" w:rsidR="002735B4" w:rsidRPr="00445472" w:rsidRDefault="002735B4" w:rsidP="002735B4">
      <w:pPr>
        <w:pStyle w:val="NENTITULL"/>
      </w:pPr>
      <w:r w:rsidRPr="00445472">
        <w:t xml:space="preserve">Tabela A 4. 14: Të ardhurat financiare nga uji/shërbimet e kanalizimeve, Baseni Ujor </w:t>
      </w:r>
      <w:r w:rsidR="007E76E3" w:rsidRPr="00445472">
        <w:t>Drin–Bunë</w:t>
      </w:r>
      <w:r w:rsidRPr="00445472">
        <w:t>, 2015</w:t>
      </w:r>
    </w:p>
    <w:tbl>
      <w:tblPr>
        <w:tblW w:w="13282" w:type="dxa"/>
        <w:tblInd w:w="113"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ayout w:type="fixed"/>
        <w:tblLook w:val="04A0" w:firstRow="1" w:lastRow="0" w:firstColumn="1" w:lastColumn="0" w:noHBand="0" w:noVBand="1"/>
      </w:tblPr>
      <w:tblGrid>
        <w:gridCol w:w="1897"/>
        <w:gridCol w:w="1897"/>
        <w:gridCol w:w="1898"/>
        <w:gridCol w:w="1897"/>
        <w:gridCol w:w="1898"/>
        <w:gridCol w:w="1897"/>
        <w:gridCol w:w="1898"/>
      </w:tblGrid>
      <w:tr w:rsidR="002735B4" w:rsidRPr="00445472" w14:paraId="7944FD5D" w14:textId="77777777" w:rsidTr="002A1F08">
        <w:trPr>
          <w:trHeight w:val="694"/>
          <w:tblHeader/>
        </w:trPr>
        <w:tc>
          <w:tcPr>
            <w:tcW w:w="1897" w:type="dxa"/>
            <w:shd w:val="clear" w:color="auto" w:fill="D9D9D9"/>
            <w:vAlign w:val="center"/>
            <w:hideMark/>
          </w:tcPr>
          <w:p w14:paraId="3073809A"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Ujësjellësi</w:t>
            </w:r>
          </w:p>
        </w:tc>
        <w:tc>
          <w:tcPr>
            <w:tcW w:w="1897" w:type="dxa"/>
            <w:shd w:val="clear" w:color="auto" w:fill="D9D9D9"/>
            <w:vAlign w:val="center"/>
            <w:hideMark/>
          </w:tcPr>
          <w:p w14:paraId="5A19694A"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Të ardhurat nga shërbimet e ujit </w:t>
            </w:r>
          </w:p>
          <w:p w14:paraId="1BE91174" w14:textId="468B613D"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(000 </w:t>
            </w:r>
            <w:r w:rsidR="0012668D" w:rsidRPr="00445472">
              <w:rPr>
                <w:rFonts w:ascii="Garamond" w:eastAsia="MS Mincho" w:hAnsi="Garamond"/>
                <w:b/>
                <w:sz w:val="16"/>
                <w:szCs w:val="16"/>
                <w:lang w:eastAsia="en-GB"/>
              </w:rPr>
              <w:t>lek</w:t>
            </w:r>
            <w:r w:rsidRPr="00445472">
              <w:rPr>
                <w:rFonts w:ascii="Garamond" w:eastAsia="MS Mincho" w:hAnsi="Garamond"/>
                <w:b/>
                <w:sz w:val="16"/>
                <w:szCs w:val="16"/>
                <w:lang w:eastAsia="en-GB"/>
              </w:rPr>
              <w:t>)</w:t>
            </w:r>
          </w:p>
        </w:tc>
        <w:tc>
          <w:tcPr>
            <w:tcW w:w="1898" w:type="dxa"/>
            <w:shd w:val="clear" w:color="auto" w:fill="D9D9D9"/>
            <w:vAlign w:val="center"/>
            <w:hideMark/>
          </w:tcPr>
          <w:p w14:paraId="574F5340"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Të ardhurat nga shërbimet e ujit </w:t>
            </w:r>
          </w:p>
          <w:p w14:paraId="19399C5D" w14:textId="6A294DEB"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(000 </w:t>
            </w:r>
            <w:r w:rsidR="0012668D" w:rsidRPr="00445472">
              <w:rPr>
                <w:rFonts w:ascii="Garamond" w:eastAsia="MS Mincho" w:hAnsi="Garamond"/>
                <w:b/>
                <w:sz w:val="16"/>
                <w:szCs w:val="16"/>
                <w:lang w:eastAsia="en-GB"/>
              </w:rPr>
              <w:t>lek</w:t>
            </w:r>
            <w:r w:rsidRPr="00445472">
              <w:rPr>
                <w:rFonts w:ascii="Garamond" w:eastAsia="MS Mincho" w:hAnsi="Garamond"/>
                <w:b/>
                <w:sz w:val="16"/>
                <w:szCs w:val="16"/>
                <w:lang w:eastAsia="en-GB"/>
              </w:rPr>
              <w:t>)</w:t>
            </w:r>
          </w:p>
        </w:tc>
        <w:tc>
          <w:tcPr>
            <w:tcW w:w="1897" w:type="dxa"/>
            <w:shd w:val="clear" w:color="auto" w:fill="D9D9D9"/>
            <w:vAlign w:val="center"/>
            <w:hideMark/>
          </w:tcPr>
          <w:p w14:paraId="523054A8" w14:textId="44CD7363"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Të ardhurat totale operative (000 </w:t>
            </w:r>
            <w:r w:rsidR="0012668D" w:rsidRPr="00445472">
              <w:rPr>
                <w:rFonts w:ascii="Garamond" w:eastAsia="MS Mincho" w:hAnsi="Garamond"/>
                <w:b/>
                <w:sz w:val="16"/>
                <w:szCs w:val="16"/>
                <w:lang w:eastAsia="en-GB"/>
              </w:rPr>
              <w:t>lek</w:t>
            </w:r>
            <w:r w:rsidRPr="00445472">
              <w:rPr>
                <w:rFonts w:ascii="Garamond" w:eastAsia="MS Mincho" w:hAnsi="Garamond"/>
                <w:b/>
                <w:sz w:val="16"/>
                <w:szCs w:val="16"/>
                <w:lang w:eastAsia="en-GB"/>
              </w:rPr>
              <w:t>)</w:t>
            </w:r>
          </w:p>
        </w:tc>
        <w:tc>
          <w:tcPr>
            <w:tcW w:w="1898" w:type="dxa"/>
            <w:shd w:val="clear" w:color="auto" w:fill="D9D9D9"/>
            <w:vAlign w:val="center"/>
            <w:hideMark/>
          </w:tcPr>
          <w:p w14:paraId="232C85B4"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Subvencionet </w:t>
            </w:r>
          </w:p>
          <w:p w14:paraId="7E12079B" w14:textId="16B9FB2D"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(000 </w:t>
            </w:r>
            <w:r w:rsidR="0012668D" w:rsidRPr="00445472">
              <w:rPr>
                <w:rFonts w:ascii="Garamond" w:eastAsia="MS Mincho" w:hAnsi="Garamond"/>
                <w:b/>
                <w:sz w:val="16"/>
                <w:szCs w:val="16"/>
                <w:lang w:eastAsia="en-GB"/>
              </w:rPr>
              <w:t>lek</w:t>
            </w:r>
            <w:r w:rsidRPr="00445472">
              <w:rPr>
                <w:rFonts w:ascii="Garamond" w:eastAsia="MS Mincho" w:hAnsi="Garamond"/>
                <w:b/>
                <w:sz w:val="16"/>
                <w:szCs w:val="16"/>
                <w:lang w:eastAsia="en-GB"/>
              </w:rPr>
              <w:t>)</w:t>
            </w:r>
          </w:p>
        </w:tc>
        <w:tc>
          <w:tcPr>
            <w:tcW w:w="1897" w:type="dxa"/>
            <w:shd w:val="clear" w:color="auto" w:fill="D9D9D9"/>
            <w:vAlign w:val="center"/>
            <w:hideMark/>
          </w:tcPr>
          <w:p w14:paraId="14BAAE83"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Të ardhurat totale operative</w:t>
            </w:r>
          </w:p>
          <w:p w14:paraId="58C58BF7" w14:textId="6E23E62C"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(000 </w:t>
            </w:r>
            <w:r w:rsidR="0012668D" w:rsidRPr="00445472">
              <w:rPr>
                <w:rFonts w:ascii="Garamond" w:eastAsia="MS Mincho" w:hAnsi="Garamond"/>
                <w:b/>
                <w:sz w:val="16"/>
                <w:szCs w:val="16"/>
                <w:lang w:eastAsia="en-GB"/>
              </w:rPr>
              <w:t>lek</w:t>
            </w:r>
            <w:r w:rsidRPr="00445472">
              <w:rPr>
                <w:rFonts w:ascii="Garamond" w:eastAsia="MS Mincho" w:hAnsi="Garamond"/>
                <w:b/>
                <w:sz w:val="16"/>
                <w:szCs w:val="16"/>
                <w:lang w:eastAsia="en-GB"/>
              </w:rPr>
              <w:t>)</w:t>
            </w:r>
          </w:p>
        </w:tc>
        <w:tc>
          <w:tcPr>
            <w:tcW w:w="1898" w:type="dxa"/>
            <w:shd w:val="clear" w:color="auto" w:fill="D9D9D9"/>
            <w:vAlign w:val="center"/>
            <w:hideMark/>
          </w:tcPr>
          <w:p w14:paraId="2D975B4C"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 xml:space="preserve">Të ardhurat totale operative </w:t>
            </w:r>
          </w:p>
          <w:p w14:paraId="229640E9"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(000 euro)</w:t>
            </w:r>
          </w:p>
        </w:tc>
      </w:tr>
      <w:tr w:rsidR="002735B4" w:rsidRPr="00445472" w14:paraId="71F58FA3" w14:textId="77777777" w:rsidTr="002A1F08">
        <w:trPr>
          <w:trHeight w:val="225"/>
        </w:trPr>
        <w:tc>
          <w:tcPr>
            <w:tcW w:w="1897" w:type="dxa"/>
            <w:shd w:val="clear" w:color="auto" w:fill="auto"/>
            <w:vAlign w:val="center"/>
            <w:hideMark/>
          </w:tcPr>
          <w:p w14:paraId="66B8C70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Bashkia Pukë UK</w:t>
            </w:r>
          </w:p>
        </w:tc>
        <w:tc>
          <w:tcPr>
            <w:tcW w:w="1897" w:type="dxa"/>
            <w:shd w:val="clear" w:color="auto" w:fill="auto"/>
            <w:noWrap/>
            <w:vAlign w:val="center"/>
            <w:hideMark/>
          </w:tcPr>
          <w:p w14:paraId="59B752B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8,713</w:t>
            </w:r>
          </w:p>
        </w:tc>
        <w:tc>
          <w:tcPr>
            <w:tcW w:w="1898" w:type="dxa"/>
            <w:shd w:val="clear" w:color="auto" w:fill="auto"/>
            <w:noWrap/>
            <w:vAlign w:val="center"/>
            <w:hideMark/>
          </w:tcPr>
          <w:p w14:paraId="68EC4EA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1,320</w:t>
            </w:r>
          </w:p>
        </w:tc>
        <w:tc>
          <w:tcPr>
            <w:tcW w:w="1897" w:type="dxa"/>
            <w:shd w:val="clear" w:color="auto" w:fill="auto"/>
            <w:noWrap/>
            <w:vAlign w:val="center"/>
            <w:hideMark/>
          </w:tcPr>
          <w:p w14:paraId="4C9159C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10,034</w:t>
            </w:r>
          </w:p>
        </w:tc>
        <w:tc>
          <w:tcPr>
            <w:tcW w:w="1898" w:type="dxa"/>
            <w:shd w:val="clear" w:color="auto" w:fill="auto"/>
            <w:noWrap/>
            <w:vAlign w:val="center"/>
            <w:hideMark/>
          </w:tcPr>
          <w:p w14:paraId="7F2DA7E4"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1,500</w:t>
            </w:r>
          </w:p>
        </w:tc>
        <w:tc>
          <w:tcPr>
            <w:tcW w:w="1897" w:type="dxa"/>
            <w:shd w:val="clear" w:color="auto" w:fill="auto"/>
            <w:noWrap/>
            <w:vAlign w:val="center"/>
            <w:hideMark/>
          </w:tcPr>
          <w:p w14:paraId="158EC10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11,534</w:t>
            </w:r>
          </w:p>
        </w:tc>
        <w:tc>
          <w:tcPr>
            <w:tcW w:w="1898" w:type="dxa"/>
            <w:shd w:val="clear" w:color="auto" w:fill="auto"/>
            <w:noWrap/>
            <w:vAlign w:val="center"/>
            <w:hideMark/>
          </w:tcPr>
          <w:p w14:paraId="2090E6D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84</w:t>
            </w:r>
          </w:p>
        </w:tc>
      </w:tr>
      <w:tr w:rsidR="002735B4" w:rsidRPr="00445472" w14:paraId="23F0F975" w14:textId="77777777" w:rsidTr="002A1F08">
        <w:trPr>
          <w:trHeight w:val="225"/>
        </w:trPr>
        <w:tc>
          <w:tcPr>
            <w:tcW w:w="1897" w:type="dxa"/>
            <w:shd w:val="clear" w:color="auto" w:fill="auto"/>
            <w:vAlign w:val="center"/>
            <w:hideMark/>
          </w:tcPr>
          <w:p w14:paraId="74945ADF" w14:textId="7EB76FB9" w:rsidR="002735B4" w:rsidRPr="00445472" w:rsidRDefault="00D67757"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Vau i Dejës </w:t>
            </w:r>
            <w:r w:rsidR="002735B4" w:rsidRPr="00445472">
              <w:rPr>
                <w:rFonts w:ascii="Garamond" w:eastAsia="MS Mincho" w:hAnsi="Garamond"/>
                <w:sz w:val="16"/>
                <w:szCs w:val="16"/>
                <w:lang w:eastAsia="en-GB"/>
              </w:rPr>
              <w:t xml:space="preserve"> U </w:t>
            </w:r>
            <w:r w:rsidR="0012668D" w:rsidRPr="00445472">
              <w:rPr>
                <w:rFonts w:ascii="Garamond" w:eastAsia="MS Mincho" w:hAnsi="Garamond"/>
                <w:sz w:val="16"/>
                <w:szCs w:val="16"/>
                <w:lang w:eastAsia="en-GB"/>
              </w:rPr>
              <w:t>sh.a.</w:t>
            </w:r>
          </w:p>
        </w:tc>
        <w:tc>
          <w:tcPr>
            <w:tcW w:w="1897" w:type="dxa"/>
            <w:shd w:val="clear" w:color="auto" w:fill="auto"/>
            <w:noWrap/>
            <w:vAlign w:val="center"/>
            <w:hideMark/>
          </w:tcPr>
          <w:p w14:paraId="7A6F042F"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4,420</w:t>
            </w:r>
          </w:p>
        </w:tc>
        <w:tc>
          <w:tcPr>
            <w:tcW w:w="1898" w:type="dxa"/>
            <w:shd w:val="clear" w:color="auto" w:fill="auto"/>
            <w:noWrap/>
            <w:vAlign w:val="center"/>
            <w:hideMark/>
          </w:tcPr>
          <w:p w14:paraId="100083ED"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7ED1D08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4,420</w:t>
            </w:r>
          </w:p>
        </w:tc>
        <w:tc>
          <w:tcPr>
            <w:tcW w:w="1898" w:type="dxa"/>
            <w:shd w:val="clear" w:color="auto" w:fill="auto"/>
            <w:noWrap/>
            <w:vAlign w:val="center"/>
            <w:hideMark/>
          </w:tcPr>
          <w:p w14:paraId="52396BB6"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5,200</w:t>
            </w:r>
          </w:p>
        </w:tc>
        <w:tc>
          <w:tcPr>
            <w:tcW w:w="1897" w:type="dxa"/>
            <w:shd w:val="clear" w:color="auto" w:fill="auto"/>
            <w:noWrap/>
            <w:vAlign w:val="center"/>
            <w:hideMark/>
          </w:tcPr>
          <w:p w14:paraId="7FE6067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9,620</w:t>
            </w:r>
          </w:p>
        </w:tc>
        <w:tc>
          <w:tcPr>
            <w:tcW w:w="1898" w:type="dxa"/>
            <w:shd w:val="clear" w:color="auto" w:fill="auto"/>
            <w:noWrap/>
            <w:vAlign w:val="center"/>
            <w:hideMark/>
          </w:tcPr>
          <w:p w14:paraId="369241B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70</w:t>
            </w:r>
          </w:p>
        </w:tc>
      </w:tr>
      <w:tr w:rsidR="002735B4" w:rsidRPr="00445472" w14:paraId="70A23F70" w14:textId="77777777" w:rsidTr="002A1F08">
        <w:trPr>
          <w:trHeight w:val="225"/>
        </w:trPr>
        <w:tc>
          <w:tcPr>
            <w:tcW w:w="1897" w:type="dxa"/>
            <w:shd w:val="clear" w:color="auto" w:fill="auto"/>
            <w:vAlign w:val="center"/>
            <w:hideMark/>
          </w:tcPr>
          <w:p w14:paraId="6E9EB267" w14:textId="021134C0"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Tropojë U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592EFC66" w14:textId="57B41C2C" w:rsidR="002735B4" w:rsidRPr="00445472" w:rsidRDefault="0012668D"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14,280</w:t>
            </w:r>
          </w:p>
        </w:tc>
        <w:tc>
          <w:tcPr>
            <w:tcW w:w="1898" w:type="dxa"/>
            <w:shd w:val="clear" w:color="auto" w:fill="auto"/>
            <w:noWrap/>
            <w:vAlign w:val="center"/>
            <w:hideMark/>
          </w:tcPr>
          <w:p w14:paraId="7A95ACF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5B189C3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14,280</w:t>
            </w:r>
          </w:p>
        </w:tc>
        <w:tc>
          <w:tcPr>
            <w:tcW w:w="1898" w:type="dxa"/>
            <w:shd w:val="clear" w:color="auto" w:fill="auto"/>
            <w:noWrap/>
            <w:vAlign w:val="center"/>
            <w:hideMark/>
          </w:tcPr>
          <w:p w14:paraId="5A2E2E84"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38BB68CD"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14,280</w:t>
            </w:r>
          </w:p>
        </w:tc>
        <w:tc>
          <w:tcPr>
            <w:tcW w:w="1898" w:type="dxa"/>
            <w:shd w:val="clear" w:color="auto" w:fill="auto"/>
            <w:noWrap/>
            <w:vAlign w:val="center"/>
            <w:hideMark/>
          </w:tcPr>
          <w:p w14:paraId="08B05B1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104</w:t>
            </w:r>
          </w:p>
        </w:tc>
      </w:tr>
      <w:tr w:rsidR="002735B4" w:rsidRPr="00445472" w14:paraId="70F4AAA5" w14:textId="77777777" w:rsidTr="002A1F08">
        <w:trPr>
          <w:trHeight w:val="225"/>
        </w:trPr>
        <w:tc>
          <w:tcPr>
            <w:tcW w:w="1897" w:type="dxa"/>
            <w:shd w:val="clear" w:color="auto" w:fill="auto"/>
            <w:vAlign w:val="center"/>
            <w:hideMark/>
          </w:tcPr>
          <w:p w14:paraId="1B68A898" w14:textId="69215DC0"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Lezhë UK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1918A14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106,957</w:t>
            </w:r>
          </w:p>
        </w:tc>
        <w:tc>
          <w:tcPr>
            <w:tcW w:w="1898" w:type="dxa"/>
            <w:shd w:val="clear" w:color="auto" w:fill="auto"/>
            <w:noWrap/>
            <w:vAlign w:val="center"/>
            <w:hideMark/>
          </w:tcPr>
          <w:p w14:paraId="60EF839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22,209</w:t>
            </w:r>
          </w:p>
        </w:tc>
        <w:tc>
          <w:tcPr>
            <w:tcW w:w="1897" w:type="dxa"/>
            <w:shd w:val="clear" w:color="auto" w:fill="auto"/>
            <w:noWrap/>
            <w:vAlign w:val="center"/>
            <w:hideMark/>
          </w:tcPr>
          <w:p w14:paraId="5F97580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129,166</w:t>
            </w:r>
          </w:p>
        </w:tc>
        <w:tc>
          <w:tcPr>
            <w:tcW w:w="1898" w:type="dxa"/>
            <w:shd w:val="clear" w:color="auto" w:fill="auto"/>
            <w:noWrap/>
            <w:vAlign w:val="center"/>
            <w:hideMark/>
          </w:tcPr>
          <w:p w14:paraId="4C18ABC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9,000</w:t>
            </w:r>
          </w:p>
        </w:tc>
        <w:tc>
          <w:tcPr>
            <w:tcW w:w="1897" w:type="dxa"/>
            <w:shd w:val="clear" w:color="auto" w:fill="auto"/>
            <w:noWrap/>
            <w:vAlign w:val="center"/>
            <w:hideMark/>
          </w:tcPr>
          <w:p w14:paraId="6983DE9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138,166</w:t>
            </w:r>
          </w:p>
        </w:tc>
        <w:tc>
          <w:tcPr>
            <w:tcW w:w="1898" w:type="dxa"/>
            <w:shd w:val="clear" w:color="auto" w:fill="auto"/>
            <w:noWrap/>
            <w:vAlign w:val="center"/>
            <w:hideMark/>
          </w:tcPr>
          <w:p w14:paraId="02FE4DA0"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1,009</w:t>
            </w:r>
          </w:p>
        </w:tc>
      </w:tr>
      <w:tr w:rsidR="002735B4" w:rsidRPr="00445472" w14:paraId="7D92073D" w14:textId="77777777" w:rsidTr="002A1F08">
        <w:trPr>
          <w:trHeight w:val="225"/>
        </w:trPr>
        <w:tc>
          <w:tcPr>
            <w:tcW w:w="1897" w:type="dxa"/>
            <w:shd w:val="clear" w:color="auto" w:fill="auto"/>
            <w:vAlign w:val="center"/>
            <w:hideMark/>
          </w:tcPr>
          <w:p w14:paraId="75436CA2" w14:textId="40166AD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Pogradec UK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36AB7AF6"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79,678</w:t>
            </w:r>
          </w:p>
        </w:tc>
        <w:tc>
          <w:tcPr>
            <w:tcW w:w="1898" w:type="dxa"/>
            <w:shd w:val="clear" w:color="auto" w:fill="auto"/>
            <w:noWrap/>
            <w:vAlign w:val="center"/>
            <w:hideMark/>
          </w:tcPr>
          <w:p w14:paraId="6B990FCC"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25,402</w:t>
            </w:r>
          </w:p>
        </w:tc>
        <w:tc>
          <w:tcPr>
            <w:tcW w:w="1897" w:type="dxa"/>
            <w:shd w:val="clear" w:color="auto" w:fill="auto"/>
            <w:noWrap/>
            <w:vAlign w:val="center"/>
            <w:hideMark/>
          </w:tcPr>
          <w:p w14:paraId="69FFFC8B"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105,080</w:t>
            </w:r>
          </w:p>
        </w:tc>
        <w:tc>
          <w:tcPr>
            <w:tcW w:w="1898" w:type="dxa"/>
            <w:shd w:val="clear" w:color="auto" w:fill="auto"/>
            <w:noWrap/>
            <w:vAlign w:val="center"/>
            <w:hideMark/>
          </w:tcPr>
          <w:p w14:paraId="1C884F0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9,200</w:t>
            </w:r>
          </w:p>
        </w:tc>
        <w:tc>
          <w:tcPr>
            <w:tcW w:w="1897" w:type="dxa"/>
            <w:shd w:val="clear" w:color="auto" w:fill="auto"/>
            <w:noWrap/>
            <w:vAlign w:val="center"/>
            <w:hideMark/>
          </w:tcPr>
          <w:p w14:paraId="344C233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114,280</w:t>
            </w:r>
          </w:p>
        </w:tc>
        <w:tc>
          <w:tcPr>
            <w:tcW w:w="1898" w:type="dxa"/>
            <w:shd w:val="clear" w:color="auto" w:fill="auto"/>
            <w:noWrap/>
            <w:vAlign w:val="center"/>
            <w:hideMark/>
          </w:tcPr>
          <w:p w14:paraId="67F00238"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834</w:t>
            </w:r>
          </w:p>
        </w:tc>
      </w:tr>
      <w:tr w:rsidR="002735B4" w:rsidRPr="00445472" w14:paraId="259BAF81" w14:textId="77777777" w:rsidTr="002A1F08">
        <w:trPr>
          <w:trHeight w:val="225"/>
        </w:trPr>
        <w:tc>
          <w:tcPr>
            <w:tcW w:w="1897" w:type="dxa"/>
            <w:shd w:val="clear" w:color="auto" w:fill="auto"/>
            <w:vAlign w:val="center"/>
            <w:hideMark/>
          </w:tcPr>
          <w:p w14:paraId="662CBAC0" w14:textId="370D8DA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Shkodër UK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5D0540DF"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203,289</w:t>
            </w:r>
          </w:p>
        </w:tc>
        <w:tc>
          <w:tcPr>
            <w:tcW w:w="1898" w:type="dxa"/>
            <w:shd w:val="clear" w:color="auto" w:fill="auto"/>
            <w:noWrap/>
            <w:vAlign w:val="center"/>
            <w:hideMark/>
          </w:tcPr>
          <w:p w14:paraId="2D96A52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50,750</w:t>
            </w:r>
          </w:p>
        </w:tc>
        <w:tc>
          <w:tcPr>
            <w:tcW w:w="1897" w:type="dxa"/>
            <w:shd w:val="clear" w:color="auto" w:fill="auto"/>
            <w:noWrap/>
            <w:vAlign w:val="center"/>
            <w:hideMark/>
          </w:tcPr>
          <w:p w14:paraId="074A592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254,039</w:t>
            </w:r>
          </w:p>
        </w:tc>
        <w:tc>
          <w:tcPr>
            <w:tcW w:w="1898" w:type="dxa"/>
            <w:shd w:val="clear" w:color="auto" w:fill="auto"/>
            <w:noWrap/>
            <w:vAlign w:val="center"/>
            <w:hideMark/>
          </w:tcPr>
          <w:p w14:paraId="4A4A14E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17112B4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254,039</w:t>
            </w:r>
          </w:p>
        </w:tc>
        <w:tc>
          <w:tcPr>
            <w:tcW w:w="1898" w:type="dxa"/>
            <w:shd w:val="clear" w:color="auto" w:fill="auto"/>
            <w:noWrap/>
            <w:vAlign w:val="center"/>
            <w:hideMark/>
          </w:tcPr>
          <w:p w14:paraId="08B512B7"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1,855</w:t>
            </w:r>
          </w:p>
        </w:tc>
      </w:tr>
      <w:tr w:rsidR="002735B4" w:rsidRPr="00445472" w14:paraId="385ECCB2" w14:textId="77777777" w:rsidTr="002A1F08">
        <w:trPr>
          <w:trHeight w:val="225"/>
        </w:trPr>
        <w:tc>
          <w:tcPr>
            <w:tcW w:w="1897" w:type="dxa"/>
            <w:shd w:val="clear" w:color="auto" w:fill="auto"/>
            <w:vAlign w:val="center"/>
            <w:hideMark/>
          </w:tcPr>
          <w:p w14:paraId="60A8A41B"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Pukë fshat</w:t>
            </w:r>
          </w:p>
        </w:tc>
        <w:tc>
          <w:tcPr>
            <w:tcW w:w="1897" w:type="dxa"/>
            <w:shd w:val="clear" w:color="auto" w:fill="auto"/>
            <w:noWrap/>
            <w:vAlign w:val="center"/>
            <w:hideMark/>
          </w:tcPr>
          <w:p w14:paraId="40AC7B25"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2,269</w:t>
            </w:r>
          </w:p>
        </w:tc>
        <w:tc>
          <w:tcPr>
            <w:tcW w:w="1898" w:type="dxa"/>
            <w:shd w:val="clear" w:color="auto" w:fill="auto"/>
            <w:noWrap/>
            <w:vAlign w:val="center"/>
            <w:hideMark/>
          </w:tcPr>
          <w:p w14:paraId="33FD2464"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231</w:t>
            </w:r>
          </w:p>
        </w:tc>
        <w:tc>
          <w:tcPr>
            <w:tcW w:w="1897" w:type="dxa"/>
            <w:shd w:val="clear" w:color="auto" w:fill="auto"/>
            <w:noWrap/>
            <w:vAlign w:val="center"/>
            <w:hideMark/>
          </w:tcPr>
          <w:p w14:paraId="1169E407"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2,500</w:t>
            </w:r>
          </w:p>
        </w:tc>
        <w:tc>
          <w:tcPr>
            <w:tcW w:w="1898" w:type="dxa"/>
            <w:shd w:val="clear" w:color="auto" w:fill="auto"/>
            <w:noWrap/>
            <w:vAlign w:val="center"/>
            <w:hideMark/>
          </w:tcPr>
          <w:p w14:paraId="265D8FE6"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3,300</w:t>
            </w:r>
          </w:p>
        </w:tc>
        <w:tc>
          <w:tcPr>
            <w:tcW w:w="1897" w:type="dxa"/>
            <w:shd w:val="clear" w:color="auto" w:fill="auto"/>
            <w:noWrap/>
            <w:vAlign w:val="center"/>
            <w:hideMark/>
          </w:tcPr>
          <w:p w14:paraId="6E663C9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5,800</w:t>
            </w:r>
          </w:p>
        </w:tc>
        <w:tc>
          <w:tcPr>
            <w:tcW w:w="1898" w:type="dxa"/>
            <w:shd w:val="clear" w:color="auto" w:fill="auto"/>
            <w:noWrap/>
            <w:vAlign w:val="center"/>
            <w:hideMark/>
          </w:tcPr>
          <w:p w14:paraId="632FB5D0"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42</w:t>
            </w:r>
          </w:p>
        </w:tc>
      </w:tr>
      <w:tr w:rsidR="002735B4" w:rsidRPr="00445472" w14:paraId="4DA32A6C" w14:textId="77777777" w:rsidTr="002A1F08">
        <w:trPr>
          <w:trHeight w:val="225"/>
        </w:trPr>
        <w:tc>
          <w:tcPr>
            <w:tcW w:w="1897" w:type="dxa"/>
            <w:shd w:val="clear" w:color="auto" w:fill="auto"/>
            <w:vAlign w:val="center"/>
            <w:hideMark/>
          </w:tcPr>
          <w:p w14:paraId="27DFA43A" w14:textId="1E000774"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Shkodër (F) U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49AC1D8F"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48,519</w:t>
            </w:r>
          </w:p>
        </w:tc>
        <w:tc>
          <w:tcPr>
            <w:tcW w:w="1898" w:type="dxa"/>
            <w:shd w:val="clear" w:color="auto" w:fill="auto"/>
            <w:noWrap/>
            <w:vAlign w:val="center"/>
            <w:hideMark/>
          </w:tcPr>
          <w:p w14:paraId="6AF6E4A4"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1CAE64C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48,519</w:t>
            </w:r>
          </w:p>
        </w:tc>
        <w:tc>
          <w:tcPr>
            <w:tcW w:w="1898" w:type="dxa"/>
            <w:shd w:val="clear" w:color="auto" w:fill="auto"/>
            <w:noWrap/>
            <w:vAlign w:val="center"/>
            <w:hideMark/>
          </w:tcPr>
          <w:p w14:paraId="695D3A93"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23,000</w:t>
            </w:r>
          </w:p>
        </w:tc>
        <w:tc>
          <w:tcPr>
            <w:tcW w:w="1897" w:type="dxa"/>
            <w:shd w:val="clear" w:color="auto" w:fill="auto"/>
            <w:noWrap/>
            <w:vAlign w:val="center"/>
            <w:hideMark/>
          </w:tcPr>
          <w:p w14:paraId="389D0526"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71,519</w:t>
            </w:r>
          </w:p>
        </w:tc>
        <w:tc>
          <w:tcPr>
            <w:tcW w:w="1898" w:type="dxa"/>
            <w:shd w:val="clear" w:color="auto" w:fill="auto"/>
            <w:noWrap/>
            <w:vAlign w:val="center"/>
            <w:hideMark/>
          </w:tcPr>
          <w:p w14:paraId="7ADB6448"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522</w:t>
            </w:r>
          </w:p>
        </w:tc>
      </w:tr>
      <w:tr w:rsidR="002735B4" w:rsidRPr="00445472" w14:paraId="67A701BB" w14:textId="77777777" w:rsidTr="002A1F08">
        <w:trPr>
          <w:trHeight w:val="225"/>
        </w:trPr>
        <w:tc>
          <w:tcPr>
            <w:tcW w:w="1897" w:type="dxa"/>
            <w:shd w:val="clear" w:color="auto" w:fill="auto"/>
            <w:vAlign w:val="center"/>
            <w:hideMark/>
          </w:tcPr>
          <w:p w14:paraId="079F4C47" w14:textId="2C426CFA" w:rsidR="002735B4" w:rsidRPr="00445472" w:rsidRDefault="00852D7A"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Fushë-Arrëz </w:t>
            </w:r>
            <w:r w:rsidR="002735B4" w:rsidRPr="00445472">
              <w:rPr>
                <w:rFonts w:ascii="Garamond" w:eastAsia="MS Mincho" w:hAnsi="Garamond"/>
                <w:sz w:val="16"/>
                <w:szCs w:val="16"/>
                <w:lang w:eastAsia="en-GB"/>
              </w:rPr>
              <w:t xml:space="preserve"> UK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053DE78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3,151</w:t>
            </w:r>
          </w:p>
        </w:tc>
        <w:tc>
          <w:tcPr>
            <w:tcW w:w="1898" w:type="dxa"/>
            <w:shd w:val="clear" w:color="auto" w:fill="auto"/>
            <w:noWrap/>
            <w:vAlign w:val="center"/>
            <w:hideMark/>
          </w:tcPr>
          <w:p w14:paraId="32E7240B"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643</w:t>
            </w:r>
          </w:p>
        </w:tc>
        <w:tc>
          <w:tcPr>
            <w:tcW w:w="1897" w:type="dxa"/>
            <w:shd w:val="clear" w:color="auto" w:fill="auto"/>
            <w:noWrap/>
            <w:vAlign w:val="center"/>
            <w:hideMark/>
          </w:tcPr>
          <w:p w14:paraId="685E8E37"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3,794</w:t>
            </w:r>
          </w:p>
        </w:tc>
        <w:tc>
          <w:tcPr>
            <w:tcW w:w="1898" w:type="dxa"/>
            <w:shd w:val="clear" w:color="auto" w:fill="auto"/>
            <w:noWrap/>
            <w:vAlign w:val="center"/>
            <w:hideMark/>
          </w:tcPr>
          <w:p w14:paraId="0E82B41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2,500</w:t>
            </w:r>
          </w:p>
        </w:tc>
        <w:tc>
          <w:tcPr>
            <w:tcW w:w="1897" w:type="dxa"/>
            <w:shd w:val="clear" w:color="auto" w:fill="auto"/>
            <w:noWrap/>
            <w:vAlign w:val="center"/>
            <w:hideMark/>
          </w:tcPr>
          <w:p w14:paraId="4744981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6,294</w:t>
            </w:r>
          </w:p>
        </w:tc>
        <w:tc>
          <w:tcPr>
            <w:tcW w:w="1898" w:type="dxa"/>
            <w:shd w:val="clear" w:color="auto" w:fill="auto"/>
            <w:noWrap/>
            <w:vAlign w:val="center"/>
            <w:hideMark/>
          </w:tcPr>
          <w:p w14:paraId="2D8BCF93"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46</w:t>
            </w:r>
          </w:p>
        </w:tc>
      </w:tr>
      <w:tr w:rsidR="002735B4" w:rsidRPr="00445472" w14:paraId="27BFEEB9" w14:textId="77777777" w:rsidTr="002A1F08">
        <w:trPr>
          <w:trHeight w:val="225"/>
        </w:trPr>
        <w:tc>
          <w:tcPr>
            <w:tcW w:w="1897" w:type="dxa"/>
            <w:shd w:val="clear" w:color="auto" w:fill="auto"/>
            <w:vAlign w:val="center"/>
            <w:hideMark/>
          </w:tcPr>
          <w:p w14:paraId="0CFA6024" w14:textId="3871DE4C"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Librazhd UK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7C470C8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26,941</w:t>
            </w:r>
          </w:p>
        </w:tc>
        <w:tc>
          <w:tcPr>
            <w:tcW w:w="1898" w:type="dxa"/>
            <w:shd w:val="clear" w:color="auto" w:fill="auto"/>
            <w:noWrap/>
            <w:vAlign w:val="center"/>
            <w:hideMark/>
          </w:tcPr>
          <w:p w14:paraId="4CB9AEB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7,624</w:t>
            </w:r>
          </w:p>
        </w:tc>
        <w:tc>
          <w:tcPr>
            <w:tcW w:w="1897" w:type="dxa"/>
            <w:shd w:val="clear" w:color="auto" w:fill="auto"/>
            <w:noWrap/>
            <w:vAlign w:val="center"/>
            <w:hideMark/>
          </w:tcPr>
          <w:p w14:paraId="0A70FB40"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34,565</w:t>
            </w:r>
          </w:p>
        </w:tc>
        <w:tc>
          <w:tcPr>
            <w:tcW w:w="1898" w:type="dxa"/>
            <w:shd w:val="clear" w:color="auto" w:fill="auto"/>
            <w:noWrap/>
            <w:vAlign w:val="center"/>
            <w:hideMark/>
          </w:tcPr>
          <w:p w14:paraId="2B638C6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1,500</w:t>
            </w:r>
          </w:p>
        </w:tc>
        <w:tc>
          <w:tcPr>
            <w:tcW w:w="1897" w:type="dxa"/>
            <w:shd w:val="clear" w:color="auto" w:fill="auto"/>
            <w:noWrap/>
            <w:vAlign w:val="center"/>
            <w:hideMark/>
          </w:tcPr>
          <w:p w14:paraId="250D660B"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36,065</w:t>
            </w:r>
          </w:p>
        </w:tc>
        <w:tc>
          <w:tcPr>
            <w:tcW w:w="1898" w:type="dxa"/>
            <w:shd w:val="clear" w:color="auto" w:fill="auto"/>
            <w:noWrap/>
            <w:vAlign w:val="center"/>
            <w:hideMark/>
          </w:tcPr>
          <w:p w14:paraId="0E1070B1"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263</w:t>
            </w:r>
          </w:p>
        </w:tc>
      </w:tr>
      <w:tr w:rsidR="002735B4" w:rsidRPr="00445472" w14:paraId="0F609FFA" w14:textId="77777777" w:rsidTr="002A1F08">
        <w:trPr>
          <w:trHeight w:val="225"/>
        </w:trPr>
        <w:tc>
          <w:tcPr>
            <w:tcW w:w="1897" w:type="dxa"/>
            <w:shd w:val="clear" w:color="auto" w:fill="auto"/>
            <w:vAlign w:val="center"/>
            <w:hideMark/>
          </w:tcPr>
          <w:p w14:paraId="0936006F" w14:textId="0369CA4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Peshkopi U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77BB51E7"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25,004</w:t>
            </w:r>
          </w:p>
        </w:tc>
        <w:tc>
          <w:tcPr>
            <w:tcW w:w="1898" w:type="dxa"/>
            <w:shd w:val="clear" w:color="auto" w:fill="auto"/>
            <w:noWrap/>
            <w:vAlign w:val="center"/>
            <w:hideMark/>
          </w:tcPr>
          <w:p w14:paraId="6841F1D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6,030</w:t>
            </w:r>
          </w:p>
        </w:tc>
        <w:tc>
          <w:tcPr>
            <w:tcW w:w="1897" w:type="dxa"/>
            <w:shd w:val="clear" w:color="auto" w:fill="auto"/>
            <w:noWrap/>
            <w:vAlign w:val="center"/>
            <w:hideMark/>
          </w:tcPr>
          <w:p w14:paraId="44E8C1AB"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31,034</w:t>
            </w:r>
          </w:p>
        </w:tc>
        <w:tc>
          <w:tcPr>
            <w:tcW w:w="1898" w:type="dxa"/>
            <w:shd w:val="clear" w:color="auto" w:fill="auto"/>
            <w:noWrap/>
            <w:vAlign w:val="center"/>
            <w:hideMark/>
          </w:tcPr>
          <w:p w14:paraId="305A85C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1BCBEAA8"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31,034</w:t>
            </w:r>
          </w:p>
        </w:tc>
        <w:tc>
          <w:tcPr>
            <w:tcW w:w="1898" w:type="dxa"/>
            <w:shd w:val="clear" w:color="auto" w:fill="auto"/>
            <w:noWrap/>
            <w:vAlign w:val="center"/>
            <w:hideMark/>
          </w:tcPr>
          <w:p w14:paraId="78F5F90F"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227</w:t>
            </w:r>
          </w:p>
        </w:tc>
      </w:tr>
      <w:tr w:rsidR="002735B4" w:rsidRPr="00445472" w14:paraId="46E10D8B" w14:textId="77777777" w:rsidTr="002A1F08">
        <w:trPr>
          <w:trHeight w:val="225"/>
        </w:trPr>
        <w:tc>
          <w:tcPr>
            <w:tcW w:w="1897" w:type="dxa"/>
            <w:shd w:val="clear" w:color="auto" w:fill="auto"/>
            <w:vAlign w:val="center"/>
            <w:hideMark/>
          </w:tcPr>
          <w:p w14:paraId="08E5E01D" w14:textId="0C81C6E9"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Bulqizë U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75D3650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22,714</w:t>
            </w:r>
          </w:p>
        </w:tc>
        <w:tc>
          <w:tcPr>
            <w:tcW w:w="1898" w:type="dxa"/>
            <w:shd w:val="clear" w:color="auto" w:fill="auto"/>
            <w:noWrap/>
            <w:vAlign w:val="center"/>
            <w:hideMark/>
          </w:tcPr>
          <w:p w14:paraId="49D82CC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053B1A7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22,714</w:t>
            </w:r>
          </w:p>
        </w:tc>
        <w:tc>
          <w:tcPr>
            <w:tcW w:w="1898" w:type="dxa"/>
            <w:shd w:val="clear" w:color="auto" w:fill="auto"/>
            <w:noWrap/>
            <w:vAlign w:val="center"/>
            <w:hideMark/>
          </w:tcPr>
          <w:p w14:paraId="47736CAC"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5,190</w:t>
            </w:r>
          </w:p>
        </w:tc>
        <w:tc>
          <w:tcPr>
            <w:tcW w:w="1897" w:type="dxa"/>
            <w:shd w:val="clear" w:color="auto" w:fill="auto"/>
            <w:noWrap/>
            <w:vAlign w:val="center"/>
            <w:hideMark/>
          </w:tcPr>
          <w:p w14:paraId="321CDEB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27,904</w:t>
            </w:r>
          </w:p>
        </w:tc>
        <w:tc>
          <w:tcPr>
            <w:tcW w:w="1898" w:type="dxa"/>
            <w:shd w:val="clear" w:color="auto" w:fill="auto"/>
            <w:noWrap/>
            <w:vAlign w:val="center"/>
            <w:hideMark/>
          </w:tcPr>
          <w:p w14:paraId="189929B0"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204</w:t>
            </w:r>
          </w:p>
        </w:tc>
      </w:tr>
      <w:tr w:rsidR="002735B4" w:rsidRPr="00445472" w14:paraId="6B4A7CEC" w14:textId="77777777" w:rsidTr="002A1F08">
        <w:trPr>
          <w:trHeight w:val="225"/>
        </w:trPr>
        <w:tc>
          <w:tcPr>
            <w:tcW w:w="1897" w:type="dxa"/>
            <w:shd w:val="clear" w:color="auto" w:fill="auto"/>
            <w:vAlign w:val="center"/>
            <w:hideMark/>
          </w:tcPr>
          <w:p w14:paraId="42D167B6" w14:textId="69B88633"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Has U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76847F44"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9,085</w:t>
            </w:r>
          </w:p>
        </w:tc>
        <w:tc>
          <w:tcPr>
            <w:tcW w:w="1898" w:type="dxa"/>
            <w:shd w:val="clear" w:color="auto" w:fill="auto"/>
            <w:noWrap/>
            <w:vAlign w:val="center"/>
            <w:hideMark/>
          </w:tcPr>
          <w:p w14:paraId="54133ED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0</w:t>
            </w:r>
          </w:p>
        </w:tc>
        <w:tc>
          <w:tcPr>
            <w:tcW w:w="1897" w:type="dxa"/>
            <w:shd w:val="clear" w:color="auto" w:fill="auto"/>
            <w:noWrap/>
            <w:vAlign w:val="center"/>
            <w:hideMark/>
          </w:tcPr>
          <w:p w14:paraId="015F0173"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9,085</w:t>
            </w:r>
          </w:p>
        </w:tc>
        <w:tc>
          <w:tcPr>
            <w:tcW w:w="1898" w:type="dxa"/>
            <w:shd w:val="clear" w:color="auto" w:fill="auto"/>
            <w:noWrap/>
            <w:vAlign w:val="center"/>
            <w:hideMark/>
          </w:tcPr>
          <w:p w14:paraId="34C73A7F"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10,820</w:t>
            </w:r>
          </w:p>
        </w:tc>
        <w:tc>
          <w:tcPr>
            <w:tcW w:w="1897" w:type="dxa"/>
            <w:shd w:val="clear" w:color="auto" w:fill="auto"/>
            <w:noWrap/>
            <w:vAlign w:val="center"/>
            <w:hideMark/>
          </w:tcPr>
          <w:p w14:paraId="5A1BE9EF"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19,905</w:t>
            </w:r>
          </w:p>
        </w:tc>
        <w:tc>
          <w:tcPr>
            <w:tcW w:w="1898" w:type="dxa"/>
            <w:shd w:val="clear" w:color="auto" w:fill="auto"/>
            <w:noWrap/>
            <w:vAlign w:val="center"/>
            <w:hideMark/>
          </w:tcPr>
          <w:p w14:paraId="7BEA6C52"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145</w:t>
            </w:r>
          </w:p>
        </w:tc>
      </w:tr>
      <w:tr w:rsidR="002735B4" w:rsidRPr="00445472" w14:paraId="2D90D5A2" w14:textId="77777777" w:rsidTr="002A1F08">
        <w:trPr>
          <w:trHeight w:val="225"/>
        </w:trPr>
        <w:tc>
          <w:tcPr>
            <w:tcW w:w="1897" w:type="dxa"/>
            <w:shd w:val="clear" w:color="auto" w:fill="auto"/>
            <w:vAlign w:val="center"/>
            <w:hideMark/>
          </w:tcPr>
          <w:p w14:paraId="23A762BF" w14:textId="67013D26"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 xml:space="preserve">Kukës UK </w:t>
            </w:r>
            <w:r w:rsidR="00D45EAA" w:rsidRPr="00445472">
              <w:rPr>
                <w:rFonts w:ascii="Garamond" w:eastAsia="MS Mincho" w:hAnsi="Garamond"/>
                <w:sz w:val="16"/>
                <w:szCs w:val="16"/>
                <w:lang w:eastAsia="en-GB"/>
              </w:rPr>
              <w:t>sh.a</w:t>
            </w:r>
            <w:r w:rsidR="0012668D" w:rsidRPr="00445472">
              <w:rPr>
                <w:rFonts w:ascii="Garamond" w:eastAsia="MS Mincho" w:hAnsi="Garamond"/>
                <w:sz w:val="16"/>
                <w:szCs w:val="16"/>
                <w:lang w:eastAsia="en-GB"/>
              </w:rPr>
              <w:t>.</w:t>
            </w:r>
          </w:p>
        </w:tc>
        <w:tc>
          <w:tcPr>
            <w:tcW w:w="1897" w:type="dxa"/>
            <w:shd w:val="clear" w:color="auto" w:fill="auto"/>
            <w:noWrap/>
            <w:vAlign w:val="center"/>
            <w:hideMark/>
          </w:tcPr>
          <w:p w14:paraId="6783FA59"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26,702</w:t>
            </w:r>
          </w:p>
        </w:tc>
        <w:tc>
          <w:tcPr>
            <w:tcW w:w="1898" w:type="dxa"/>
            <w:shd w:val="clear" w:color="auto" w:fill="auto"/>
            <w:noWrap/>
            <w:vAlign w:val="center"/>
            <w:hideMark/>
          </w:tcPr>
          <w:p w14:paraId="4D2814AE"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5,769</w:t>
            </w:r>
          </w:p>
        </w:tc>
        <w:tc>
          <w:tcPr>
            <w:tcW w:w="1897" w:type="dxa"/>
            <w:shd w:val="clear" w:color="auto" w:fill="auto"/>
            <w:noWrap/>
            <w:vAlign w:val="center"/>
            <w:hideMark/>
          </w:tcPr>
          <w:p w14:paraId="15AE23B7"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32,471</w:t>
            </w:r>
          </w:p>
        </w:tc>
        <w:tc>
          <w:tcPr>
            <w:tcW w:w="1898" w:type="dxa"/>
            <w:shd w:val="clear" w:color="auto" w:fill="auto"/>
            <w:noWrap/>
            <w:vAlign w:val="center"/>
            <w:hideMark/>
          </w:tcPr>
          <w:p w14:paraId="549CE86A"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10,500</w:t>
            </w:r>
          </w:p>
        </w:tc>
        <w:tc>
          <w:tcPr>
            <w:tcW w:w="1897" w:type="dxa"/>
            <w:shd w:val="clear" w:color="auto" w:fill="auto"/>
            <w:noWrap/>
            <w:vAlign w:val="center"/>
            <w:hideMark/>
          </w:tcPr>
          <w:p w14:paraId="228D088C"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42,971</w:t>
            </w:r>
          </w:p>
        </w:tc>
        <w:tc>
          <w:tcPr>
            <w:tcW w:w="1898" w:type="dxa"/>
            <w:shd w:val="clear" w:color="auto" w:fill="auto"/>
            <w:noWrap/>
            <w:vAlign w:val="center"/>
            <w:hideMark/>
          </w:tcPr>
          <w:p w14:paraId="178D94C4" w14:textId="77777777" w:rsidR="002735B4" w:rsidRPr="00445472" w:rsidRDefault="002735B4" w:rsidP="002A1F08">
            <w:pPr>
              <w:spacing w:before="15" w:after="15"/>
              <w:ind w:right="44"/>
              <w:jc w:val="center"/>
              <w:rPr>
                <w:rFonts w:ascii="Garamond" w:eastAsia="MS Mincho" w:hAnsi="Garamond"/>
                <w:sz w:val="16"/>
                <w:szCs w:val="16"/>
                <w:lang w:eastAsia="en-GB"/>
              </w:rPr>
            </w:pPr>
            <w:r w:rsidRPr="00445472">
              <w:rPr>
                <w:rFonts w:ascii="Garamond" w:eastAsia="MS Mincho" w:hAnsi="Garamond"/>
                <w:sz w:val="16"/>
                <w:szCs w:val="16"/>
                <w:lang w:eastAsia="en-GB"/>
              </w:rPr>
              <w:t>314</w:t>
            </w:r>
          </w:p>
        </w:tc>
      </w:tr>
      <w:tr w:rsidR="002735B4" w:rsidRPr="00445472" w14:paraId="2AAE06B0" w14:textId="77777777" w:rsidTr="002A1F08">
        <w:trPr>
          <w:trHeight w:val="225"/>
        </w:trPr>
        <w:tc>
          <w:tcPr>
            <w:tcW w:w="1897" w:type="dxa"/>
            <w:shd w:val="clear" w:color="auto" w:fill="auto"/>
            <w:noWrap/>
            <w:vAlign w:val="center"/>
            <w:hideMark/>
          </w:tcPr>
          <w:p w14:paraId="286064B2"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Totali</w:t>
            </w:r>
          </w:p>
        </w:tc>
        <w:tc>
          <w:tcPr>
            <w:tcW w:w="1897" w:type="dxa"/>
            <w:shd w:val="clear" w:color="auto" w:fill="auto"/>
            <w:noWrap/>
            <w:vAlign w:val="center"/>
            <w:hideMark/>
          </w:tcPr>
          <w:p w14:paraId="1503C706"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581,721</w:t>
            </w:r>
          </w:p>
        </w:tc>
        <w:tc>
          <w:tcPr>
            <w:tcW w:w="1898" w:type="dxa"/>
            <w:shd w:val="clear" w:color="auto" w:fill="auto"/>
            <w:noWrap/>
            <w:vAlign w:val="center"/>
            <w:hideMark/>
          </w:tcPr>
          <w:p w14:paraId="4CF6FA29"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119,979</w:t>
            </w:r>
          </w:p>
        </w:tc>
        <w:tc>
          <w:tcPr>
            <w:tcW w:w="1897" w:type="dxa"/>
            <w:shd w:val="clear" w:color="auto" w:fill="auto"/>
            <w:noWrap/>
            <w:vAlign w:val="center"/>
            <w:hideMark/>
          </w:tcPr>
          <w:p w14:paraId="39E7CD96"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701,700</w:t>
            </w:r>
          </w:p>
        </w:tc>
        <w:tc>
          <w:tcPr>
            <w:tcW w:w="1898" w:type="dxa"/>
            <w:shd w:val="clear" w:color="auto" w:fill="auto"/>
            <w:noWrap/>
            <w:vAlign w:val="center"/>
            <w:hideMark/>
          </w:tcPr>
          <w:p w14:paraId="0CC6D367"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81,710</w:t>
            </w:r>
          </w:p>
        </w:tc>
        <w:tc>
          <w:tcPr>
            <w:tcW w:w="1897" w:type="dxa"/>
            <w:shd w:val="clear" w:color="auto" w:fill="auto"/>
            <w:noWrap/>
            <w:vAlign w:val="center"/>
            <w:hideMark/>
          </w:tcPr>
          <w:p w14:paraId="42A8DD13"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783,410</w:t>
            </w:r>
          </w:p>
        </w:tc>
        <w:tc>
          <w:tcPr>
            <w:tcW w:w="1898" w:type="dxa"/>
            <w:shd w:val="clear" w:color="auto" w:fill="auto"/>
            <w:noWrap/>
            <w:vAlign w:val="center"/>
            <w:hideMark/>
          </w:tcPr>
          <w:p w14:paraId="633606C1" w14:textId="77777777" w:rsidR="002735B4" w:rsidRPr="00445472" w:rsidRDefault="002735B4" w:rsidP="002A1F08">
            <w:pPr>
              <w:spacing w:before="15" w:after="15"/>
              <w:ind w:right="44"/>
              <w:jc w:val="center"/>
              <w:rPr>
                <w:rFonts w:ascii="Garamond" w:eastAsia="MS Mincho" w:hAnsi="Garamond"/>
                <w:b/>
                <w:sz w:val="16"/>
                <w:szCs w:val="16"/>
                <w:lang w:eastAsia="en-GB"/>
              </w:rPr>
            </w:pPr>
            <w:r w:rsidRPr="00445472">
              <w:rPr>
                <w:rFonts w:ascii="Garamond" w:eastAsia="MS Mincho" w:hAnsi="Garamond"/>
                <w:b/>
                <w:sz w:val="16"/>
                <w:szCs w:val="16"/>
                <w:lang w:eastAsia="en-GB"/>
              </w:rPr>
              <w:t>5,719</w:t>
            </w:r>
          </w:p>
        </w:tc>
      </w:tr>
    </w:tbl>
    <w:p w14:paraId="714348FA" w14:textId="77777777" w:rsidR="002735B4" w:rsidRPr="00445472" w:rsidRDefault="002735B4" w:rsidP="002735B4">
      <w:pPr>
        <w:pStyle w:val="NENTITULL"/>
      </w:pPr>
    </w:p>
    <w:p w14:paraId="6BE845FC" w14:textId="77777777" w:rsidR="002735B4" w:rsidRPr="00445472" w:rsidRDefault="002735B4" w:rsidP="002735B4">
      <w:pPr>
        <w:pStyle w:val="NENTITULL"/>
      </w:pPr>
    </w:p>
    <w:p w14:paraId="3D53A41E" w14:textId="3CD09DA4" w:rsidR="002735B4" w:rsidRPr="00445472" w:rsidRDefault="002735B4" w:rsidP="002735B4">
      <w:pPr>
        <w:pStyle w:val="NENTITULL"/>
      </w:pPr>
      <w:r w:rsidRPr="00445472">
        <w:t xml:space="preserve">Tabela A 4. 15: Rikuperimi i kostos financiare në Basenin Ujor </w:t>
      </w:r>
      <w:r w:rsidR="007E76E3" w:rsidRPr="00445472">
        <w:t>Drin–Bunë</w:t>
      </w:r>
      <w:r w:rsidRPr="00445472">
        <w:t>, 2015</w:t>
      </w:r>
    </w:p>
    <w:tbl>
      <w:tblPr>
        <w:tblW w:w="14066" w:type="dxa"/>
        <w:tblInd w:w="108"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1706"/>
        <w:gridCol w:w="805"/>
        <w:gridCol w:w="805"/>
        <w:gridCol w:w="804"/>
        <w:gridCol w:w="888"/>
        <w:gridCol w:w="863"/>
        <w:gridCol w:w="888"/>
        <w:gridCol w:w="720"/>
        <w:gridCol w:w="888"/>
        <w:gridCol w:w="720"/>
        <w:gridCol w:w="804"/>
        <w:gridCol w:w="838"/>
        <w:gridCol w:w="804"/>
        <w:gridCol w:w="804"/>
        <w:gridCol w:w="804"/>
        <w:gridCol w:w="925"/>
      </w:tblGrid>
      <w:tr w:rsidR="002735B4" w:rsidRPr="00445472" w14:paraId="5FFC0E82" w14:textId="77777777" w:rsidTr="002A1F08">
        <w:trPr>
          <w:trHeight w:val="255"/>
          <w:tblHeader/>
        </w:trPr>
        <w:tc>
          <w:tcPr>
            <w:tcW w:w="1706" w:type="dxa"/>
            <w:shd w:val="clear" w:color="auto" w:fill="D9D9D9"/>
            <w:noWrap/>
            <w:vAlign w:val="center"/>
          </w:tcPr>
          <w:p w14:paraId="4CCBF222" w14:textId="77777777" w:rsidR="002735B4" w:rsidRPr="00445472" w:rsidRDefault="002735B4" w:rsidP="002A1F08">
            <w:pPr>
              <w:spacing w:before="46" w:after="62"/>
              <w:rPr>
                <w:rFonts w:ascii="Garamond" w:hAnsi="Garamond"/>
                <w:b/>
                <w:bCs/>
                <w:sz w:val="15"/>
                <w:szCs w:val="15"/>
                <w:lang w:eastAsia="en-GB"/>
              </w:rPr>
            </w:pPr>
          </w:p>
        </w:tc>
        <w:tc>
          <w:tcPr>
            <w:tcW w:w="805" w:type="dxa"/>
            <w:shd w:val="clear" w:color="auto" w:fill="D9D9D9"/>
            <w:noWrap/>
            <w:vAlign w:val="center"/>
          </w:tcPr>
          <w:p w14:paraId="4714D705" w14:textId="08029689" w:rsidR="002735B4" w:rsidRPr="00445472" w:rsidRDefault="002735B4" w:rsidP="00D45EAA">
            <w:pPr>
              <w:spacing w:before="46" w:after="62"/>
              <w:rPr>
                <w:rFonts w:ascii="Garamond" w:hAnsi="Garamond"/>
                <w:b/>
                <w:sz w:val="15"/>
                <w:szCs w:val="15"/>
                <w:lang w:eastAsia="en-GB"/>
              </w:rPr>
            </w:pPr>
            <w:r w:rsidRPr="00445472">
              <w:rPr>
                <w:rFonts w:ascii="Garamond" w:hAnsi="Garamond"/>
                <w:b/>
                <w:sz w:val="15"/>
                <w:szCs w:val="15"/>
                <w:lang w:eastAsia="en-GB"/>
              </w:rPr>
              <w:t>Bashkia Puk</w:t>
            </w:r>
            <w:r w:rsidR="00D45EAA" w:rsidRPr="00445472">
              <w:rPr>
                <w:rFonts w:ascii="Garamond" w:hAnsi="Garamond"/>
                <w:b/>
                <w:sz w:val="15"/>
                <w:szCs w:val="15"/>
                <w:lang w:eastAsia="en-GB"/>
              </w:rPr>
              <w:t>ë</w:t>
            </w:r>
            <w:r w:rsidRPr="00445472">
              <w:rPr>
                <w:rFonts w:ascii="Garamond" w:hAnsi="Garamond"/>
                <w:b/>
                <w:sz w:val="15"/>
                <w:szCs w:val="15"/>
                <w:lang w:eastAsia="en-GB"/>
              </w:rPr>
              <w:t xml:space="preserve"> UK</w:t>
            </w:r>
          </w:p>
        </w:tc>
        <w:tc>
          <w:tcPr>
            <w:tcW w:w="805" w:type="dxa"/>
            <w:shd w:val="clear" w:color="auto" w:fill="D9D9D9"/>
            <w:noWrap/>
            <w:vAlign w:val="center"/>
          </w:tcPr>
          <w:p w14:paraId="26F62AD0" w14:textId="77777777" w:rsidR="00D45EAA" w:rsidRPr="00445472" w:rsidRDefault="002735B4" w:rsidP="00D45EAA">
            <w:pPr>
              <w:spacing w:before="46" w:after="62"/>
              <w:rPr>
                <w:rFonts w:ascii="Garamond" w:hAnsi="Garamond"/>
                <w:b/>
                <w:sz w:val="15"/>
                <w:szCs w:val="15"/>
                <w:lang w:eastAsia="en-GB"/>
              </w:rPr>
            </w:pPr>
            <w:r w:rsidRPr="00445472">
              <w:rPr>
                <w:rFonts w:ascii="Garamond" w:hAnsi="Garamond"/>
                <w:b/>
                <w:sz w:val="15"/>
                <w:szCs w:val="15"/>
                <w:lang w:eastAsia="en-GB"/>
              </w:rPr>
              <w:t>Vau i</w:t>
            </w:r>
            <w:r w:rsidR="00D45EAA" w:rsidRPr="00445472">
              <w:rPr>
                <w:rFonts w:ascii="Garamond" w:hAnsi="Garamond"/>
                <w:b/>
                <w:sz w:val="15"/>
                <w:szCs w:val="15"/>
                <w:lang w:eastAsia="en-GB"/>
              </w:rPr>
              <w:t xml:space="preserve"> </w:t>
            </w:r>
            <w:r w:rsidRPr="00445472">
              <w:rPr>
                <w:rFonts w:ascii="Garamond" w:hAnsi="Garamond"/>
                <w:b/>
                <w:sz w:val="15"/>
                <w:szCs w:val="15"/>
                <w:lang w:eastAsia="en-GB"/>
              </w:rPr>
              <w:t>Dej</w:t>
            </w:r>
            <w:r w:rsidR="00D45EAA" w:rsidRPr="00445472">
              <w:rPr>
                <w:rFonts w:ascii="Garamond" w:hAnsi="Garamond"/>
                <w:b/>
                <w:sz w:val="15"/>
                <w:szCs w:val="15"/>
                <w:lang w:eastAsia="en-GB"/>
              </w:rPr>
              <w:t>ë</w:t>
            </w:r>
            <w:r w:rsidRPr="00445472">
              <w:rPr>
                <w:rFonts w:ascii="Garamond" w:hAnsi="Garamond"/>
                <w:b/>
                <w:sz w:val="15"/>
                <w:szCs w:val="15"/>
                <w:lang w:eastAsia="en-GB"/>
              </w:rPr>
              <w:t xml:space="preserve">s </w:t>
            </w:r>
          </w:p>
          <w:p w14:paraId="0589BE66" w14:textId="53758F7D" w:rsidR="002735B4" w:rsidRPr="00445472" w:rsidRDefault="002735B4" w:rsidP="00D45EAA">
            <w:pPr>
              <w:spacing w:before="46" w:after="62"/>
              <w:rPr>
                <w:rFonts w:ascii="Garamond" w:hAnsi="Garamond"/>
                <w:b/>
                <w:sz w:val="15"/>
                <w:szCs w:val="15"/>
                <w:lang w:eastAsia="en-GB"/>
              </w:rPr>
            </w:pPr>
            <w:r w:rsidRPr="00445472">
              <w:rPr>
                <w:rFonts w:ascii="Garamond" w:hAnsi="Garamond"/>
                <w:b/>
                <w:sz w:val="15"/>
                <w:szCs w:val="15"/>
                <w:lang w:eastAsia="en-GB"/>
              </w:rPr>
              <w:t xml:space="preserve">U </w:t>
            </w:r>
            <w:r w:rsidR="00D45EAA" w:rsidRPr="00445472">
              <w:rPr>
                <w:rFonts w:ascii="Garamond" w:hAnsi="Garamond"/>
                <w:b/>
                <w:sz w:val="15"/>
                <w:szCs w:val="15"/>
                <w:lang w:eastAsia="en-GB"/>
              </w:rPr>
              <w:t>sh.a.</w:t>
            </w:r>
          </w:p>
        </w:tc>
        <w:tc>
          <w:tcPr>
            <w:tcW w:w="804" w:type="dxa"/>
            <w:shd w:val="clear" w:color="auto" w:fill="D9D9D9"/>
            <w:noWrap/>
            <w:vAlign w:val="center"/>
          </w:tcPr>
          <w:p w14:paraId="105A11E5" w14:textId="0B6BEFE4"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Tropojë U </w:t>
            </w:r>
            <w:r w:rsidR="00D45EAA" w:rsidRPr="00445472">
              <w:rPr>
                <w:rFonts w:ascii="Garamond" w:hAnsi="Garamond"/>
                <w:b/>
                <w:sz w:val="15"/>
                <w:szCs w:val="15"/>
                <w:lang w:eastAsia="en-GB"/>
              </w:rPr>
              <w:t>sh.a.</w:t>
            </w:r>
          </w:p>
        </w:tc>
        <w:tc>
          <w:tcPr>
            <w:tcW w:w="888" w:type="dxa"/>
            <w:shd w:val="clear" w:color="auto" w:fill="D9D9D9"/>
            <w:noWrap/>
            <w:vAlign w:val="center"/>
          </w:tcPr>
          <w:p w14:paraId="6A6D3290" w14:textId="4E5B0800"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Lezhë UK </w:t>
            </w:r>
            <w:r w:rsidR="00D45EAA" w:rsidRPr="00445472">
              <w:rPr>
                <w:rFonts w:ascii="Garamond" w:hAnsi="Garamond"/>
                <w:b/>
                <w:sz w:val="15"/>
                <w:szCs w:val="15"/>
                <w:lang w:eastAsia="en-GB"/>
              </w:rPr>
              <w:t>sh.a.</w:t>
            </w:r>
          </w:p>
        </w:tc>
        <w:tc>
          <w:tcPr>
            <w:tcW w:w="863" w:type="dxa"/>
            <w:shd w:val="clear" w:color="auto" w:fill="D9D9D9"/>
            <w:noWrap/>
            <w:vAlign w:val="center"/>
          </w:tcPr>
          <w:p w14:paraId="7A39BD3D" w14:textId="0103A951"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Pogradec UK </w:t>
            </w:r>
            <w:r w:rsidR="00D45EAA" w:rsidRPr="00445472">
              <w:rPr>
                <w:rFonts w:ascii="Garamond" w:hAnsi="Garamond"/>
                <w:b/>
                <w:sz w:val="15"/>
                <w:szCs w:val="15"/>
                <w:lang w:eastAsia="en-GB"/>
              </w:rPr>
              <w:t>sh.a.</w:t>
            </w:r>
          </w:p>
        </w:tc>
        <w:tc>
          <w:tcPr>
            <w:tcW w:w="888" w:type="dxa"/>
            <w:shd w:val="clear" w:color="auto" w:fill="D9D9D9"/>
            <w:noWrap/>
            <w:vAlign w:val="center"/>
          </w:tcPr>
          <w:p w14:paraId="141DC1D4" w14:textId="123B89BD"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Shkodër UK </w:t>
            </w:r>
            <w:r w:rsidR="00D45EAA" w:rsidRPr="00445472">
              <w:rPr>
                <w:rFonts w:ascii="Garamond" w:hAnsi="Garamond"/>
                <w:b/>
                <w:sz w:val="15"/>
                <w:szCs w:val="15"/>
                <w:lang w:eastAsia="en-GB"/>
              </w:rPr>
              <w:t>sh.a.</w:t>
            </w:r>
          </w:p>
        </w:tc>
        <w:tc>
          <w:tcPr>
            <w:tcW w:w="720" w:type="dxa"/>
            <w:shd w:val="clear" w:color="auto" w:fill="D9D9D9"/>
            <w:noWrap/>
            <w:vAlign w:val="center"/>
          </w:tcPr>
          <w:p w14:paraId="54A18E72" w14:textId="77777777"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Pukë fshat</w:t>
            </w:r>
          </w:p>
        </w:tc>
        <w:tc>
          <w:tcPr>
            <w:tcW w:w="888" w:type="dxa"/>
            <w:shd w:val="clear" w:color="auto" w:fill="D9D9D9"/>
            <w:noWrap/>
            <w:vAlign w:val="center"/>
          </w:tcPr>
          <w:p w14:paraId="54E2A09A" w14:textId="7183797A"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Shkodër (F) U </w:t>
            </w:r>
            <w:r w:rsidR="00D45EAA" w:rsidRPr="00445472">
              <w:rPr>
                <w:rFonts w:ascii="Garamond" w:hAnsi="Garamond"/>
                <w:b/>
                <w:sz w:val="15"/>
                <w:szCs w:val="15"/>
                <w:lang w:eastAsia="en-GB"/>
              </w:rPr>
              <w:t>sh.a.</w:t>
            </w:r>
          </w:p>
        </w:tc>
        <w:tc>
          <w:tcPr>
            <w:tcW w:w="720" w:type="dxa"/>
            <w:shd w:val="clear" w:color="auto" w:fill="D9D9D9"/>
            <w:noWrap/>
            <w:vAlign w:val="center"/>
          </w:tcPr>
          <w:p w14:paraId="15381116" w14:textId="4DDC7418"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Fushë</w:t>
            </w:r>
            <w:r w:rsidR="00D45EAA" w:rsidRPr="00445472">
              <w:rPr>
                <w:rFonts w:ascii="Garamond" w:hAnsi="Garamond"/>
                <w:b/>
                <w:sz w:val="15"/>
                <w:szCs w:val="15"/>
                <w:lang w:eastAsia="en-GB"/>
              </w:rPr>
              <w:t>-</w:t>
            </w:r>
            <w:r w:rsidRPr="00445472">
              <w:rPr>
                <w:rFonts w:ascii="Garamond" w:hAnsi="Garamond"/>
                <w:b/>
                <w:sz w:val="15"/>
                <w:szCs w:val="15"/>
                <w:lang w:eastAsia="en-GB"/>
              </w:rPr>
              <w:t xml:space="preserve"> Arrëz UK </w:t>
            </w:r>
            <w:r w:rsidR="00D45EAA" w:rsidRPr="00445472">
              <w:rPr>
                <w:rFonts w:ascii="Garamond" w:hAnsi="Garamond"/>
                <w:b/>
                <w:sz w:val="15"/>
                <w:szCs w:val="15"/>
                <w:lang w:eastAsia="en-GB"/>
              </w:rPr>
              <w:t>sh.a.</w:t>
            </w:r>
          </w:p>
        </w:tc>
        <w:tc>
          <w:tcPr>
            <w:tcW w:w="804" w:type="dxa"/>
            <w:shd w:val="clear" w:color="auto" w:fill="D9D9D9"/>
            <w:noWrap/>
            <w:vAlign w:val="center"/>
          </w:tcPr>
          <w:p w14:paraId="22F42401" w14:textId="0484ED2C"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Librazhd UK </w:t>
            </w:r>
            <w:r w:rsidR="00D45EAA" w:rsidRPr="00445472">
              <w:rPr>
                <w:rFonts w:ascii="Garamond" w:hAnsi="Garamond"/>
                <w:b/>
                <w:sz w:val="15"/>
                <w:szCs w:val="15"/>
                <w:lang w:eastAsia="en-GB"/>
              </w:rPr>
              <w:t>sh.a.</w:t>
            </w:r>
          </w:p>
        </w:tc>
        <w:tc>
          <w:tcPr>
            <w:tcW w:w="838" w:type="dxa"/>
            <w:shd w:val="clear" w:color="auto" w:fill="D9D9D9"/>
            <w:noWrap/>
            <w:vAlign w:val="center"/>
          </w:tcPr>
          <w:p w14:paraId="0B15F7E2" w14:textId="135D5E6C"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Peshkopi U </w:t>
            </w:r>
            <w:r w:rsidR="00D45EAA" w:rsidRPr="00445472">
              <w:rPr>
                <w:rFonts w:ascii="Garamond" w:hAnsi="Garamond"/>
                <w:b/>
                <w:sz w:val="15"/>
                <w:szCs w:val="15"/>
                <w:lang w:eastAsia="en-GB"/>
              </w:rPr>
              <w:t>sh.a.</w:t>
            </w:r>
          </w:p>
        </w:tc>
        <w:tc>
          <w:tcPr>
            <w:tcW w:w="804" w:type="dxa"/>
            <w:shd w:val="clear" w:color="auto" w:fill="D9D9D9"/>
            <w:noWrap/>
            <w:vAlign w:val="center"/>
          </w:tcPr>
          <w:p w14:paraId="64D35172" w14:textId="3B03DBE4"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Bulqizë U </w:t>
            </w:r>
            <w:r w:rsidR="00D45EAA" w:rsidRPr="00445472">
              <w:rPr>
                <w:rFonts w:ascii="Garamond" w:hAnsi="Garamond"/>
                <w:b/>
                <w:sz w:val="15"/>
                <w:szCs w:val="15"/>
                <w:lang w:eastAsia="en-GB"/>
              </w:rPr>
              <w:t>sh.a.</w:t>
            </w:r>
          </w:p>
        </w:tc>
        <w:tc>
          <w:tcPr>
            <w:tcW w:w="804" w:type="dxa"/>
            <w:shd w:val="clear" w:color="auto" w:fill="D9D9D9"/>
            <w:noWrap/>
            <w:vAlign w:val="center"/>
          </w:tcPr>
          <w:p w14:paraId="19E87309" w14:textId="3E7C79D2"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Has U </w:t>
            </w:r>
            <w:r w:rsidR="00D45EAA" w:rsidRPr="00445472">
              <w:rPr>
                <w:rFonts w:ascii="Garamond" w:hAnsi="Garamond"/>
                <w:b/>
                <w:sz w:val="15"/>
                <w:szCs w:val="15"/>
                <w:lang w:eastAsia="en-GB"/>
              </w:rPr>
              <w:t>sh.a.</w:t>
            </w:r>
          </w:p>
        </w:tc>
        <w:tc>
          <w:tcPr>
            <w:tcW w:w="804" w:type="dxa"/>
            <w:shd w:val="clear" w:color="auto" w:fill="D9D9D9"/>
            <w:noWrap/>
            <w:vAlign w:val="center"/>
          </w:tcPr>
          <w:p w14:paraId="0591D3F9" w14:textId="62E1CB1B" w:rsidR="002735B4" w:rsidRPr="00445472" w:rsidRDefault="002735B4" w:rsidP="002A1F08">
            <w:pPr>
              <w:spacing w:before="46" w:after="62"/>
              <w:rPr>
                <w:rFonts w:ascii="Garamond" w:hAnsi="Garamond"/>
                <w:b/>
                <w:sz w:val="15"/>
                <w:szCs w:val="15"/>
                <w:lang w:eastAsia="en-GB"/>
              </w:rPr>
            </w:pPr>
            <w:r w:rsidRPr="00445472">
              <w:rPr>
                <w:rFonts w:ascii="Garamond" w:hAnsi="Garamond"/>
                <w:b/>
                <w:sz w:val="15"/>
                <w:szCs w:val="15"/>
                <w:lang w:eastAsia="en-GB"/>
              </w:rPr>
              <w:t xml:space="preserve">Kukës UK </w:t>
            </w:r>
            <w:r w:rsidR="00D45EAA" w:rsidRPr="00445472">
              <w:rPr>
                <w:rFonts w:ascii="Garamond" w:hAnsi="Garamond"/>
                <w:b/>
                <w:sz w:val="15"/>
                <w:szCs w:val="15"/>
                <w:lang w:eastAsia="en-GB"/>
              </w:rPr>
              <w:t>sh.a.</w:t>
            </w:r>
          </w:p>
        </w:tc>
        <w:tc>
          <w:tcPr>
            <w:tcW w:w="925" w:type="dxa"/>
            <w:shd w:val="clear" w:color="auto" w:fill="D9D9D9"/>
            <w:noWrap/>
            <w:vAlign w:val="center"/>
          </w:tcPr>
          <w:p w14:paraId="467DB7AC" w14:textId="77777777" w:rsidR="002735B4" w:rsidRPr="00445472" w:rsidRDefault="002735B4" w:rsidP="002A1F08">
            <w:pPr>
              <w:spacing w:before="46" w:after="62"/>
              <w:jc w:val="center"/>
              <w:rPr>
                <w:rFonts w:ascii="Garamond" w:hAnsi="Garamond"/>
                <w:b/>
                <w:bCs/>
                <w:sz w:val="15"/>
                <w:szCs w:val="15"/>
                <w:lang w:eastAsia="en-GB"/>
              </w:rPr>
            </w:pPr>
            <w:r w:rsidRPr="00445472">
              <w:rPr>
                <w:rFonts w:ascii="Garamond" w:hAnsi="Garamond"/>
                <w:b/>
                <w:bCs/>
                <w:sz w:val="15"/>
                <w:szCs w:val="15"/>
                <w:lang w:eastAsia="en-GB"/>
              </w:rPr>
              <w:t>Baseni Ujor</w:t>
            </w:r>
          </w:p>
        </w:tc>
      </w:tr>
      <w:tr w:rsidR="002735B4" w:rsidRPr="00445472" w14:paraId="2C636DF8" w14:textId="77777777" w:rsidTr="002A1F08">
        <w:trPr>
          <w:trHeight w:val="255"/>
        </w:trPr>
        <w:tc>
          <w:tcPr>
            <w:tcW w:w="1706" w:type="dxa"/>
            <w:shd w:val="clear" w:color="auto" w:fill="auto"/>
            <w:noWrap/>
            <w:vAlign w:val="center"/>
          </w:tcPr>
          <w:p w14:paraId="63C586F0"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Kosto financiare</w:t>
            </w:r>
          </w:p>
        </w:tc>
        <w:tc>
          <w:tcPr>
            <w:tcW w:w="805" w:type="dxa"/>
            <w:shd w:val="clear" w:color="auto" w:fill="auto"/>
            <w:noWrap/>
            <w:vAlign w:val="center"/>
          </w:tcPr>
          <w:p w14:paraId="2BD68CBD"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tcPr>
          <w:p w14:paraId="60E2098C"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5A95265C"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26ED83D8"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tcPr>
          <w:p w14:paraId="00E7C8F1"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5714865D"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49737C32"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6E706A5F"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69ADA10A"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4507F771"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tcPr>
          <w:p w14:paraId="5DAC78B9"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3CA046C5"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6BC7CD2E"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6B1740D7"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tcPr>
          <w:p w14:paraId="761F5DEE"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509FFF80" w14:textId="77777777" w:rsidTr="002A1F08">
        <w:trPr>
          <w:trHeight w:val="255"/>
        </w:trPr>
        <w:tc>
          <w:tcPr>
            <w:tcW w:w="1706" w:type="dxa"/>
            <w:shd w:val="clear" w:color="auto" w:fill="auto"/>
            <w:noWrap/>
            <w:vAlign w:val="center"/>
          </w:tcPr>
          <w:p w14:paraId="7D7E9C54"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Shërbimet e ujit</w:t>
            </w:r>
          </w:p>
        </w:tc>
        <w:tc>
          <w:tcPr>
            <w:tcW w:w="805" w:type="dxa"/>
            <w:shd w:val="clear" w:color="auto" w:fill="auto"/>
            <w:noWrap/>
            <w:vAlign w:val="center"/>
          </w:tcPr>
          <w:p w14:paraId="7D404F87"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tcPr>
          <w:p w14:paraId="2737E88D"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26E14277"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2ABF8F85"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tcPr>
          <w:p w14:paraId="11F1B550"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00C5894B"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3530C3CF"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2AD4B392"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3CF99F13"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4F58727B"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tcPr>
          <w:p w14:paraId="0F2CC149"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42FFD6E0"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6BE3228B"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03B1202B"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tcPr>
          <w:p w14:paraId="3D2BB3DD"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0903513D" w14:textId="77777777" w:rsidTr="002A1F08">
        <w:trPr>
          <w:trHeight w:val="255"/>
        </w:trPr>
        <w:tc>
          <w:tcPr>
            <w:tcW w:w="1706" w:type="dxa"/>
            <w:shd w:val="clear" w:color="auto" w:fill="auto"/>
            <w:noWrap/>
            <w:vAlign w:val="center"/>
          </w:tcPr>
          <w:p w14:paraId="25199FA7" w14:textId="5CCE0226" w:rsidR="002735B4" w:rsidRPr="00445472" w:rsidRDefault="002735B4" w:rsidP="002A1F08">
            <w:pPr>
              <w:spacing w:before="46" w:after="62"/>
              <w:rPr>
                <w:rFonts w:ascii="Garamond" w:hAnsi="Garamond"/>
                <w:bCs/>
                <w:sz w:val="15"/>
                <w:szCs w:val="15"/>
                <w:lang w:eastAsia="en-GB"/>
              </w:rPr>
            </w:pPr>
            <w:r w:rsidRPr="00445472">
              <w:rPr>
                <w:rFonts w:ascii="Garamond" w:hAnsi="Garamond"/>
                <w:bCs/>
                <w:sz w:val="15"/>
                <w:szCs w:val="15"/>
                <w:lang w:eastAsia="en-GB"/>
              </w:rPr>
              <w:t xml:space="preserve">Kostot totale financiare - ujë (000 </w:t>
            </w:r>
            <w:r w:rsidR="00D45EAA" w:rsidRPr="00445472">
              <w:rPr>
                <w:rFonts w:ascii="Garamond" w:hAnsi="Garamond"/>
                <w:bCs/>
                <w:sz w:val="15"/>
                <w:szCs w:val="15"/>
                <w:lang w:eastAsia="en-GB"/>
              </w:rPr>
              <w:t>lek</w:t>
            </w:r>
            <w:r w:rsidRPr="00445472">
              <w:rPr>
                <w:rFonts w:ascii="Garamond" w:hAnsi="Garamond"/>
                <w:bCs/>
                <w:sz w:val="15"/>
                <w:szCs w:val="15"/>
                <w:lang w:eastAsia="en-GB"/>
              </w:rPr>
              <w:t>)</w:t>
            </w:r>
          </w:p>
        </w:tc>
        <w:tc>
          <w:tcPr>
            <w:tcW w:w="805" w:type="dxa"/>
            <w:shd w:val="clear" w:color="auto" w:fill="auto"/>
            <w:noWrap/>
            <w:vAlign w:val="center"/>
          </w:tcPr>
          <w:p w14:paraId="630E8E73"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10,878.8</w:t>
            </w:r>
          </w:p>
        </w:tc>
        <w:tc>
          <w:tcPr>
            <w:tcW w:w="805" w:type="dxa"/>
            <w:shd w:val="clear" w:color="auto" w:fill="auto"/>
            <w:noWrap/>
            <w:vAlign w:val="center"/>
          </w:tcPr>
          <w:p w14:paraId="407BC83D"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17,764.7</w:t>
            </w:r>
          </w:p>
        </w:tc>
        <w:tc>
          <w:tcPr>
            <w:tcW w:w="804" w:type="dxa"/>
            <w:shd w:val="clear" w:color="auto" w:fill="auto"/>
            <w:noWrap/>
            <w:vAlign w:val="center"/>
          </w:tcPr>
          <w:p w14:paraId="67BDACAA"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22,547.5</w:t>
            </w:r>
          </w:p>
        </w:tc>
        <w:tc>
          <w:tcPr>
            <w:tcW w:w="888" w:type="dxa"/>
            <w:shd w:val="clear" w:color="auto" w:fill="auto"/>
            <w:noWrap/>
            <w:vAlign w:val="center"/>
          </w:tcPr>
          <w:p w14:paraId="7295F429"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144,380.0</w:t>
            </w:r>
          </w:p>
        </w:tc>
        <w:tc>
          <w:tcPr>
            <w:tcW w:w="863" w:type="dxa"/>
            <w:shd w:val="clear" w:color="auto" w:fill="auto"/>
            <w:noWrap/>
            <w:vAlign w:val="center"/>
          </w:tcPr>
          <w:p w14:paraId="7DC4B324"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92,978.0</w:t>
            </w:r>
          </w:p>
        </w:tc>
        <w:tc>
          <w:tcPr>
            <w:tcW w:w="888" w:type="dxa"/>
            <w:shd w:val="clear" w:color="auto" w:fill="auto"/>
            <w:noWrap/>
            <w:vAlign w:val="center"/>
          </w:tcPr>
          <w:p w14:paraId="7E195BCB"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229,583.3</w:t>
            </w:r>
          </w:p>
        </w:tc>
        <w:tc>
          <w:tcPr>
            <w:tcW w:w="720" w:type="dxa"/>
            <w:shd w:val="clear" w:color="auto" w:fill="auto"/>
            <w:noWrap/>
            <w:vAlign w:val="center"/>
          </w:tcPr>
          <w:p w14:paraId="2DE3745B"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9,759.1</w:t>
            </w:r>
          </w:p>
        </w:tc>
        <w:tc>
          <w:tcPr>
            <w:tcW w:w="888" w:type="dxa"/>
            <w:shd w:val="clear" w:color="auto" w:fill="auto"/>
            <w:noWrap/>
            <w:vAlign w:val="center"/>
          </w:tcPr>
          <w:p w14:paraId="09F39969"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130,976.0</w:t>
            </w:r>
          </w:p>
        </w:tc>
        <w:tc>
          <w:tcPr>
            <w:tcW w:w="720" w:type="dxa"/>
            <w:shd w:val="clear" w:color="auto" w:fill="auto"/>
            <w:noWrap/>
            <w:vAlign w:val="center"/>
          </w:tcPr>
          <w:p w14:paraId="6150F628"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7,039.7</w:t>
            </w:r>
          </w:p>
        </w:tc>
        <w:tc>
          <w:tcPr>
            <w:tcW w:w="804" w:type="dxa"/>
            <w:shd w:val="clear" w:color="auto" w:fill="auto"/>
            <w:noWrap/>
            <w:vAlign w:val="center"/>
          </w:tcPr>
          <w:p w14:paraId="7A005264"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34,403.3</w:t>
            </w:r>
          </w:p>
        </w:tc>
        <w:tc>
          <w:tcPr>
            <w:tcW w:w="838" w:type="dxa"/>
            <w:shd w:val="clear" w:color="auto" w:fill="auto"/>
            <w:noWrap/>
            <w:vAlign w:val="center"/>
          </w:tcPr>
          <w:p w14:paraId="7965BBD0"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30,577.7</w:t>
            </w:r>
          </w:p>
        </w:tc>
        <w:tc>
          <w:tcPr>
            <w:tcW w:w="804" w:type="dxa"/>
            <w:shd w:val="clear" w:color="auto" w:fill="auto"/>
            <w:noWrap/>
            <w:vAlign w:val="center"/>
          </w:tcPr>
          <w:p w14:paraId="4EE31392"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28,125.6</w:t>
            </w:r>
          </w:p>
        </w:tc>
        <w:tc>
          <w:tcPr>
            <w:tcW w:w="804" w:type="dxa"/>
            <w:shd w:val="clear" w:color="auto" w:fill="auto"/>
            <w:noWrap/>
            <w:vAlign w:val="center"/>
          </w:tcPr>
          <w:p w14:paraId="7872AF5D"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26,407.0</w:t>
            </w:r>
          </w:p>
        </w:tc>
        <w:tc>
          <w:tcPr>
            <w:tcW w:w="804" w:type="dxa"/>
            <w:shd w:val="clear" w:color="auto" w:fill="auto"/>
            <w:noWrap/>
            <w:vAlign w:val="center"/>
          </w:tcPr>
          <w:p w14:paraId="62BE6F21"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55,378.4</w:t>
            </w:r>
          </w:p>
        </w:tc>
        <w:tc>
          <w:tcPr>
            <w:tcW w:w="925" w:type="dxa"/>
            <w:shd w:val="clear" w:color="auto" w:fill="auto"/>
            <w:noWrap/>
            <w:vAlign w:val="center"/>
          </w:tcPr>
          <w:p w14:paraId="3EBA3801"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840,799</w:t>
            </w:r>
          </w:p>
        </w:tc>
      </w:tr>
      <w:tr w:rsidR="002735B4" w:rsidRPr="00445472" w14:paraId="3F9805AF" w14:textId="77777777" w:rsidTr="002A1F08">
        <w:trPr>
          <w:trHeight w:val="255"/>
        </w:trPr>
        <w:tc>
          <w:tcPr>
            <w:tcW w:w="1706" w:type="dxa"/>
            <w:shd w:val="clear" w:color="auto" w:fill="auto"/>
            <w:noWrap/>
            <w:vAlign w:val="center"/>
          </w:tcPr>
          <w:p w14:paraId="5F504097" w14:textId="77777777" w:rsidR="002735B4" w:rsidRPr="00445472" w:rsidRDefault="002735B4" w:rsidP="002A1F08">
            <w:pPr>
              <w:spacing w:before="46" w:after="62"/>
              <w:rPr>
                <w:rFonts w:ascii="Garamond" w:hAnsi="Garamond"/>
                <w:b/>
                <w:bCs/>
                <w:sz w:val="15"/>
                <w:szCs w:val="15"/>
                <w:lang w:eastAsia="en-GB"/>
              </w:rPr>
            </w:pPr>
          </w:p>
        </w:tc>
        <w:tc>
          <w:tcPr>
            <w:tcW w:w="805" w:type="dxa"/>
            <w:shd w:val="clear" w:color="auto" w:fill="auto"/>
            <w:noWrap/>
            <w:vAlign w:val="center"/>
          </w:tcPr>
          <w:p w14:paraId="24CAB9DF"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tcPr>
          <w:p w14:paraId="104971C3"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6C9DFFD5"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046C7EDA"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tcPr>
          <w:p w14:paraId="514B1709"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48BF83B1"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762C0BD1"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12CE4E0F"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0F95561E"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6F156701"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tcPr>
          <w:p w14:paraId="231D94B7"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40DEF3FE"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44432400"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5EC8EDD6"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tcPr>
          <w:p w14:paraId="5D5922C7"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63EDD767" w14:textId="77777777" w:rsidTr="002A1F08">
        <w:trPr>
          <w:trHeight w:val="255"/>
        </w:trPr>
        <w:tc>
          <w:tcPr>
            <w:tcW w:w="1706" w:type="dxa"/>
            <w:shd w:val="clear" w:color="auto" w:fill="auto"/>
            <w:noWrap/>
            <w:vAlign w:val="center"/>
          </w:tcPr>
          <w:p w14:paraId="461ED8CD"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Shërbime kanalizime</w:t>
            </w:r>
          </w:p>
        </w:tc>
        <w:tc>
          <w:tcPr>
            <w:tcW w:w="805" w:type="dxa"/>
            <w:shd w:val="clear" w:color="auto" w:fill="auto"/>
            <w:noWrap/>
            <w:vAlign w:val="center"/>
          </w:tcPr>
          <w:p w14:paraId="286FFC3A"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tcPr>
          <w:p w14:paraId="6B2C090C"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1363F23F"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7C51091D"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tcPr>
          <w:p w14:paraId="4BD7A082"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2A35888C"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62C43D39"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1D6D8FCC"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0F3241A8"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160D7485"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tcPr>
          <w:p w14:paraId="1D3BC56C"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19116F11"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4CDEA6CF"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14B21F8E"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tcPr>
          <w:p w14:paraId="10714196"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54A24FA0" w14:textId="77777777" w:rsidTr="002A1F08">
        <w:trPr>
          <w:trHeight w:val="255"/>
        </w:trPr>
        <w:tc>
          <w:tcPr>
            <w:tcW w:w="1706" w:type="dxa"/>
            <w:shd w:val="clear" w:color="auto" w:fill="auto"/>
            <w:noWrap/>
            <w:vAlign w:val="center"/>
          </w:tcPr>
          <w:p w14:paraId="366D884C" w14:textId="0382289D" w:rsidR="002735B4" w:rsidRPr="00445472" w:rsidRDefault="002735B4" w:rsidP="002A1F08">
            <w:pPr>
              <w:spacing w:before="46" w:after="62"/>
              <w:rPr>
                <w:rFonts w:ascii="Garamond" w:hAnsi="Garamond"/>
                <w:bCs/>
                <w:sz w:val="15"/>
                <w:szCs w:val="15"/>
                <w:lang w:eastAsia="en-GB"/>
              </w:rPr>
            </w:pPr>
            <w:r w:rsidRPr="00445472">
              <w:rPr>
                <w:rFonts w:ascii="Garamond" w:hAnsi="Garamond"/>
                <w:bCs/>
                <w:sz w:val="15"/>
                <w:szCs w:val="15"/>
                <w:lang w:eastAsia="en-GB"/>
              </w:rPr>
              <w:t xml:space="preserve">Kosto totale financiare – ujërat e ndotura (000 </w:t>
            </w:r>
            <w:r w:rsidR="00D45EAA" w:rsidRPr="00445472">
              <w:rPr>
                <w:rFonts w:ascii="Garamond" w:hAnsi="Garamond"/>
                <w:bCs/>
                <w:sz w:val="15"/>
                <w:szCs w:val="15"/>
                <w:lang w:eastAsia="en-GB"/>
              </w:rPr>
              <w:t>lek</w:t>
            </w:r>
            <w:r w:rsidRPr="00445472">
              <w:rPr>
                <w:rFonts w:ascii="Garamond" w:hAnsi="Garamond"/>
                <w:bCs/>
                <w:sz w:val="15"/>
                <w:szCs w:val="15"/>
                <w:lang w:eastAsia="en-GB"/>
              </w:rPr>
              <w:t>)</w:t>
            </w:r>
          </w:p>
        </w:tc>
        <w:tc>
          <w:tcPr>
            <w:tcW w:w="805" w:type="dxa"/>
            <w:shd w:val="clear" w:color="auto" w:fill="auto"/>
            <w:noWrap/>
            <w:vAlign w:val="center"/>
          </w:tcPr>
          <w:p w14:paraId="2312AB72"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2,299</w:t>
            </w:r>
          </w:p>
        </w:tc>
        <w:tc>
          <w:tcPr>
            <w:tcW w:w="805" w:type="dxa"/>
            <w:shd w:val="clear" w:color="auto" w:fill="auto"/>
            <w:noWrap/>
            <w:vAlign w:val="center"/>
          </w:tcPr>
          <w:p w14:paraId="1E47F41B"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0.0</w:t>
            </w:r>
          </w:p>
        </w:tc>
        <w:tc>
          <w:tcPr>
            <w:tcW w:w="804" w:type="dxa"/>
            <w:shd w:val="clear" w:color="auto" w:fill="auto"/>
            <w:noWrap/>
            <w:vAlign w:val="center"/>
          </w:tcPr>
          <w:p w14:paraId="496C726B"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0.0</w:t>
            </w:r>
          </w:p>
        </w:tc>
        <w:tc>
          <w:tcPr>
            <w:tcW w:w="888" w:type="dxa"/>
            <w:shd w:val="clear" w:color="auto" w:fill="auto"/>
            <w:noWrap/>
            <w:vAlign w:val="center"/>
          </w:tcPr>
          <w:p w14:paraId="606E5F11"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39,508</w:t>
            </w:r>
          </w:p>
        </w:tc>
        <w:tc>
          <w:tcPr>
            <w:tcW w:w="863" w:type="dxa"/>
            <w:shd w:val="clear" w:color="auto" w:fill="auto"/>
            <w:noWrap/>
            <w:vAlign w:val="center"/>
          </w:tcPr>
          <w:p w14:paraId="0541F41C"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44,618</w:t>
            </w:r>
          </w:p>
        </w:tc>
        <w:tc>
          <w:tcPr>
            <w:tcW w:w="888" w:type="dxa"/>
            <w:shd w:val="clear" w:color="auto" w:fill="auto"/>
            <w:noWrap/>
            <w:vAlign w:val="center"/>
          </w:tcPr>
          <w:p w14:paraId="4E3E7CFC"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100,969</w:t>
            </w:r>
          </w:p>
        </w:tc>
        <w:tc>
          <w:tcPr>
            <w:tcW w:w="720" w:type="dxa"/>
            <w:shd w:val="clear" w:color="auto" w:fill="auto"/>
            <w:noWrap/>
            <w:vAlign w:val="center"/>
          </w:tcPr>
          <w:p w14:paraId="4E4DACD5"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2,378</w:t>
            </w:r>
          </w:p>
        </w:tc>
        <w:tc>
          <w:tcPr>
            <w:tcW w:w="888" w:type="dxa"/>
            <w:shd w:val="clear" w:color="auto" w:fill="auto"/>
            <w:noWrap/>
            <w:vAlign w:val="center"/>
          </w:tcPr>
          <w:p w14:paraId="14EC46B1"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2,726</w:t>
            </w:r>
          </w:p>
        </w:tc>
        <w:tc>
          <w:tcPr>
            <w:tcW w:w="720" w:type="dxa"/>
            <w:shd w:val="clear" w:color="auto" w:fill="auto"/>
            <w:noWrap/>
            <w:vAlign w:val="center"/>
          </w:tcPr>
          <w:p w14:paraId="4760A993"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3,020</w:t>
            </w:r>
          </w:p>
        </w:tc>
        <w:tc>
          <w:tcPr>
            <w:tcW w:w="804" w:type="dxa"/>
            <w:shd w:val="clear" w:color="auto" w:fill="auto"/>
            <w:noWrap/>
            <w:vAlign w:val="center"/>
          </w:tcPr>
          <w:p w14:paraId="62564BDC"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6,575</w:t>
            </w:r>
          </w:p>
        </w:tc>
        <w:tc>
          <w:tcPr>
            <w:tcW w:w="838" w:type="dxa"/>
            <w:shd w:val="clear" w:color="auto" w:fill="auto"/>
            <w:noWrap/>
            <w:vAlign w:val="center"/>
          </w:tcPr>
          <w:p w14:paraId="23A9207F"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3,294</w:t>
            </w:r>
          </w:p>
        </w:tc>
        <w:tc>
          <w:tcPr>
            <w:tcW w:w="804" w:type="dxa"/>
            <w:shd w:val="clear" w:color="auto" w:fill="auto"/>
            <w:noWrap/>
            <w:vAlign w:val="center"/>
          </w:tcPr>
          <w:p w14:paraId="2A507F5B"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0.0</w:t>
            </w:r>
          </w:p>
        </w:tc>
        <w:tc>
          <w:tcPr>
            <w:tcW w:w="804" w:type="dxa"/>
            <w:shd w:val="clear" w:color="auto" w:fill="auto"/>
            <w:noWrap/>
            <w:vAlign w:val="center"/>
          </w:tcPr>
          <w:p w14:paraId="6D328A04"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0.0</w:t>
            </w:r>
          </w:p>
        </w:tc>
        <w:tc>
          <w:tcPr>
            <w:tcW w:w="804" w:type="dxa"/>
            <w:shd w:val="clear" w:color="auto" w:fill="auto"/>
            <w:noWrap/>
            <w:vAlign w:val="center"/>
          </w:tcPr>
          <w:p w14:paraId="46E5B1FD"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4,765</w:t>
            </w:r>
          </w:p>
        </w:tc>
        <w:tc>
          <w:tcPr>
            <w:tcW w:w="925" w:type="dxa"/>
            <w:shd w:val="clear" w:color="auto" w:fill="auto"/>
            <w:noWrap/>
            <w:vAlign w:val="center"/>
          </w:tcPr>
          <w:p w14:paraId="74EA1E88" w14:textId="77777777" w:rsidR="002735B4" w:rsidRPr="00445472" w:rsidRDefault="002735B4" w:rsidP="002A1F08">
            <w:pPr>
              <w:spacing w:before="46" w:after="62"/>
              <w:jc w:val="right"/>
              <w:rPr>
                <w:rFonts w:ascii="Garamond" w:hAnsi="Garamond"/>
                <w:bCs/>
                <w:sz w:val="15"/>
                <w:szCs w:val="15"/>
                <w:lang w:eastAsia="en-GB"/>
              </w:rPr>
            </w:pPr>
            <w:r w:rsidRPr="00445472">
              <w:rPr>
                <w:rFonts w:ascii="Garamond" w:hAnsi="Garamond"/>
                <w:bCs/>
                <w:sz w:val="15"/>
                <w:szCs w:val="15"/>
                <w:lang w:eastAsia="en-GB"/>
              </w:rPr>
              <w:t>210,155</w:t>
            </w:r>
          </w:p>
        </w:tc>
      </w:tr>
      <w:tr w:rsidR="002735B4" w:rsidRPr="00445472" w14:paraId="02C4735A" w14:textId="77777777" w:rsidTr="002A1F08">
        <w:trPr>
          <w:trHeight w:val="255"/>
        </w:trPr>
        <w:tc>
          <w:tcPr>
            <w:tcW w:w="1706" w:type="dxa"/>
            <w:shd w:val="clear" w:color="auto" w:fill="auto"/>
            <w:noWrap/>
            <w:vAlign w:val="center"/>
          </w:tcPr>
          <w:p w14:paraId="71D58FA7" w14:textId="77777777" w:rsidR="002735B4" w:rsidRPr="00445472" w:rsidRDefault="002735B4" w:rsidP="002A1F08">
            <w:pPr>
              <w:spacing w:before="46" w:after="62"/>
              <w:rPr>
                <w:rFonts w:ascii="Garamond" w:hAnsi="Garamond"/>
                <w:b/>
                <w:bCs/>
                <w:sz w:val="15"/>
                <w:szCs w:val="15"/>
                <w:lang w:eastAsia="en-GB"/>
              </w:rPr>
            </w:pPr>
          </w:p>
        </w:tc>
        <w:tc>
          <w:tcPr>
            <w:tcW w:w="805" w:type="dxa"/>
            <w:shd w:val="clear" w:color="auto" w:fill="auto"/>
            <w:noWrap/>
            <w:vAlign w:val="center"/>
          </w:tcPr>
          <w:p w14:paraId="28F4F467" w14:textId="77777777" w:rsidR="002735B4" w:rsidRPr="00445472" w:rsidRDefault="002735B4" w:rsidP="002A1F08">
            <w:pPr>
              <w:spacing w:before="46" w:after="62"/>
              <w:rPr>
                <w:rFonts w:ascii="Garamond" w:hAnsi="Garamond"/>
                <w:b/>
                <w:bCs/>
                <w:sz w:val="15"/>
                <w:szCs w:val="15"/>
                <w:lang w:eastAsia="en-GB"/>
              </w:rPr>
            </w:pPr>
          </w:p>
        </w:tc>
        <w:tc>
          <w:tcPr>
            <w:tcW w:w="805" w:type="dxa"/>
            <w:shd w:val="clear" w:color="auto" w:fill="auto"/>
            <w:noWrap/>
            <w:vAlign w:val="center"/>
          </w:tcPr>
          <w:p w14:paraId="5850DB46" w14:textId="77777777" w:rsidR="002735B4" w:rsidRPr="00445472" w:rsidRDefault="002735B4" w:rsidP="002A1F08">
            <w:pPr>
              <w:spacing w:before="46" w:after="62"/>
              <w:rPr>
                <w:rFonts w:ascii="Garamond" w:hAnsi="Garamond"/>
                <w:b/>
                <w:bCs/>
                <w:sz w:val="15"/>
                <w:szCs w:val="15"/>
                <w:lang w:eastAsia="en-GB"/>
              </w:rPr>
            </w:pPr>
          </w:p>
        </w:tc>
        <w:tc>
          <w:tcPr>
            <w:tcW w:w="804" w:type="dxa"/>
            <w:shd w:val="clear" w:color="auto" w:fill="auto"/>
            <w:noWrap/>
            <w:vAlign w:val="center"/>
          </w:tcPr>
          <w:p w14:paraId="30F8EDB0" w14:textId="77777777" w:rsidR="002735B4" w:rsidRPr="00445472" w:rsidRDefault="002735B4" w:rsidP="002A1F08">
            <w:pPr>
              <w:spacing w:before="46" w:after="62"/>
              <w:rPr>
                <w:rFonts w:ascii="Garamond" w:hAnsi="Garamond"/>
                <w:b/>
                <w:bCs/>
                <w:sz w:val="15"/>
                <w:szCs w:val="15"/>
                <w:lang w:eastAsia="en-GB"/>
              </w:rPr>
            </w:pPr>
          </w:p>
        </w:tc>
        <w:tc>
          <w:tcPr>
            <w:tcW w:w="888" w:type="dxa"/>
            <w:shd w:val="clear" w:color="auto" w:fill="auto"/>
            <w:noWrap/>
            <w:vAlign w:val="center"/>
          </w:tcPr>
          <w:p w14:paraId="58C349EF" w14:textId="77777777" w:rsidR="002735B4" w:rsidRPr="00445472" w:rsidRDefault="002735B4" w:rsidP="002A1F08">
            <w:pPr>
              <w:spacing w:before="46" w:after="62"/>
              <w:rPr>
                <w:rFonts w:ascii="Garamond" w:hAnsi="Garamond"/>
                <w:b/>
                <w:bCs/>
                <w:sz w:val="15"/>
                <w:szCs w:val="15"/>
                <w:lang w:eastAsia="en-GB"/>
              </w:rPr>
            </w:pPr>
          </w:p>
        </w:tc>
        <w:tc>
          <w:tcPr>
            <w:tcW w:w="863" w:type="dxa"/>
            <w:shd w:val="clear" w:color="auto" w:fill="auto"/>
            <w:noWrap/>
            <w:vAlign w:val="center"/>
          </w:tcPr>
          <w:p w14:paraId="56F83D39" w14:textId="77777777" w:rsidR="002735B4" w:rsidRPr="00445472" w:rsidRDefault="002735B4" w:rsidP="002A1F08">
            <w:pPr>
              <w:spacing w:before="46" w:after="62"/>
              <w:rPr>
                <w:rFonts w:ascii="Garamond" w:hAnsi="Garamond"/>
                <w:b/>
                <w:bCs/>
                <w:sz w:val="15"/>
                <w:szCs w:val="15"/>
                <w:lang w:eastAsia="en-GB"/>
              </w:rPr>
            </w:pPr>
          </w:p>
        </w:tc>
        <w:tc>
          <w:tcPr>
            <w:tcW w:w="888" w:type="dxa"/>
            <w:shd w:val="clear" w:color="auto" w:fill="auto"/>
            <w:noWrap/>
            <w:vAlign w:val="center"/>
          </w:tcPr>
          <w:p w14:paraId="0C51A706" w14:textId="77777777" w:rsidR="002735B4" w:rsidRPr="00445472" w:rsidRDefault="002735B4" w:rsidP="002A1F08">
            <w:pPr>
              <w:spacing w:before="46" w:after="62"/>
              <w:rPr>
                <w:rFonts w:ascii="Garamond" w:hAnsi="Garamond"/>
                <w:b/>
                <w:bCs/>
                <w:sz w:val="15"/>
                <w:szCs w:val="15"/>
                <w:lang w:eastAsia="en-GB"/>
              </w:rPr>
            </w:pPr>
          </w:p>
        </w:tc>
        <w:tc>
          <w:tcPr>
            <w:tcW w:w="720" w:type="dxa"/>
            <w:shd w:val="clear" w:color="auto" w:fill="auto"/>
            <w:noWrap/>
            <w:vAlign w:val="center"/>
          </w:tcPr>
          <w:p w14:paraId="33815990" w14:textId="77777777" w:rsidR="002735B4" w:rsidRPr="00445472" w:rsidRDefault="002735B4" w:rsidP="002A1F08">
            <w:pPr>
              <w:spacing w:before="46" w:after="62"/>
              <w:rPr>
                <w:rFonts w:ascii="Garamond" w:hAnsi="Garamond"/>
                <w:b/>
                <w:bCs/>
                <w:sz w:val="15"/>
                <w:szCs w:val="15"/>
                <w:lang w:eastAsia="en-GB"/>
              </w:rPr>
            </w:pPr>
          </w:p>
        </w:tc>
        <w:tc>
          <w:tcPr>
            <w:tcW w:w="888" w:type="dxa"/>
            <w:shd w:val="clear" w:color="auto" w:fill="auto"/>
            <w:noWrap/>
            <w:vAlign w:val="center"/>
          </w:tcPr>
          <w:p w14:paraId="0455AEA0" w14:textId="77777777" w:rsidR="002735B4" w:rsidRPr="00445472" w:rsidRDefault="002735B4" w:rsidP="002A1F08">
            <w:pPr>
              <w:spacing w:before="46" w:after="62"/>
              <w:rPr>
                <w:rFonts w:ascii="Garamond" w:hAnsi="Garamond"/>
                <w:b/>
                <w:bCs/>
                <w:sz w:val="15"/>
                <w:szCs w:val="15"/>
                <w:lang w:eastAsia="en-GB"/>
              </w:rPr>
            </w:pPr>
          </w:p>
        </w:tc>
        <w:tc>
          <w:tcPr>
            <w:tcW w:w="720" w:type="dxa"/>
            <w:shd w:val="clear" w:color="auto" w:fill="auto"/>
            <w:noWrap/>
            <w:vAlign w:val="center"/>
          </w:tcPr>
          <w:p w14:paraId="6618E446" w14:textId="77777777" w:rsidR="002735B4" w:rsidRPr="00445472" w:rsidRDefault="002735B4" w:rsidP="002A1F08">
            <w:pPr>
              <w:spacing w:before="46" w:after="62"/>
              <w:rPr>
                <w:rFonts w:ascii="Garamond" w:hAnsi="Garamond"/>
                <w:b/>
                <w:bCs/>
                <w:sz w:val="15"/>
                <w:szCs w:val="15"/>
                <w:lang w:eastAsia="en-GB"/>
              </w:rPr>
            </w:pPr>
          </w:p>
        </w:tc>
        <w:tc>
          <w:tcPr>
            <w:tcW w:w="804" w:type="dxa"/>
            <w:shd w:val="clear" w:color="auto" w:fill="auto"/>
            <w:noWrap/>
            <w:vAlign w:val="center"/>
          </w:tcPr>
          <w:p w14:paraId="63FA3B74" w14:textId="77777777" w:rsidR="002735B4" w:rsidRPr="00445472" w:rsidRDefault="002735B4" w:rsidP="002A1F08">
            <w:pPr>
              <w:spacing w:before="46" w:after="62"/>
              <w:rPr>
                <w:rFonts w:ascii="Garamond" w:hAnsi="Garamond"/>
                <w:b/>
                <w:bCs/>
                <w:sz w:val="15"/>
                <w:szCs w:val="15"/>
                <w:lang w:eastAsia="en-GB"/>
              </w:rPr>
            </w:pPr>
          </w:p>
        </w:tc>
        <w:tc>
          <w:tcPr>
            <w:tcW w:w="838" w:type="dxa"/>
            <w:shd w:val="clear" w:color="auto" w:fill="auto"/>
            <w:noWrap/>
            <w:vAlign w:val="center"/>
          </w:tcPr>
          <w:p w14:paraId="11C7ABCF" w14:textId="77777777" w:rsidR="002735B4" w:rsidRPr="00445472" w:rsidRDefault="002735B4" w:rsidP="002A1F08">
            <w:pPr>
              <w:spacing w:before="46" w:after="62"/>
              <w:rPr>
                <w:rFonts w:ascii="Garamond" w:hAnsi="Garamond"/>
                <w:b/>
                <w:bCs/>
                <w:sz w:val="15"/>
                <w:szCs w:val="15"/>
                <w:lang w:eastAsia="en-GB"/>
              </w:rPr>
            </w:pPr>
          </w:p>
        </w:tc>
        <w:tc>
          <w:tcPr>
            <w:tcW w:w="804" w:type="dxa"/>
            <w:shd w:val="clear" w:color="auto" w:fill="auto"/>
            <w:noWrap/>
            <w:vAlign w:val="center"/>
          </w:tcPr>
          <w:p w14:paraId="3416CF6F" w14:textId="77777777" w:rsidR="002735B4" w:rsidRPr="00445472" w:rsidRDefault="002735B4" w:rsidP="002A1F08">
            <w:pPr>
              <w:spacing w:before="46" w:after="62"/>
              <w:rPr>
                <w:rFonts w:ascii="Garamond" w:hAnsi="Garamond"/>
                <w:b/>
                <w:bCs/>
                <w:sz w:val="15"/>
                <w:szCs w:val="15"/>
                <w:lang w:eastAsia="en-GB"/>
              </w:rPr>
            </w:pPr>
          </w:p>
        </w:tc>
        <w:tc>
          <w:tcPr>
            <w:tcW w:w="804" w:type="dxa"/>
            <w:shd w:val="clear" w:color="auto" w:fill="auto"/>
            <w:noWrap/>
            <w:vAlign w:val="center"/>
          </w:tcPr>
          <w:p w14:paraId="6A20A7BE" w14:textId="77777777" w:rsidR="002735B4" w:rsidRPr="00445472" w:rsidRDefault="002735B4" w:rsidP="002A1F08">
            <w:pPr>
              <w:spacing w:before="46" w:after="62"/>
              <w:rPr>
                <w:rFonts w:ascii="Garamond" w:hAnsi="Garamond"/>
                <w:b/>
                <w:bCs/>
                <w:sz w:val="15"/>
                <w:szCs w:val="15"/>
                <w:lang w:eastAsia="en-GB"/>
              </w:rPr>
            </w:pPr>
          </w:p>
        </w:tc>
        <w:tc>
          <w:tcPr>
            <w:tcW w:w="804" w:type="dxa"/>
            <w:shd w:val="clear" w:color="auto" w:fill="auto"/>
            <w:noWrap/>
            <w:vAlign w:val="center"/>
          </w:tcPr>
          <w:p w14:paraId="01D01CBD" w14:textId="77777777" w:rsidR="002735B4" w:rsidRPr="00445472" w:rsidRDefault="002735B4" w:rsidP="002A1F08">
            <w:pPr>
              <w:spacing w:before="46" w:after="62"/>
              <w:rPr>
                <w:rFonts w:ascii="Garamond" w:hAnsi="Garamond"/>
                <w:b/>
                <w:bCs/>
                <w:sz w:val="15"/>
                <w:szCs w:val="15"/>
                <w:lang w:eastAsia="en-GB"/>
              </w:rPr>
            </w:pPr>
          </w:p>
        </w:tc>
        <w:tc>
          <w:tcPr>
            <w:tcW w:w="925" w:type="dxa"/>
            <w:shd w:val="clear" w:color="auto" w:fill="auto"/>
            <w:noWrap/>
            <w:vAlign w:val="center"/>
          </w:tcPr>
          <w:p w14:paraId="27EB23AD"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6BC919C5" w14:textId="77777777" w:rsidTr="002A1F08">
        <w:trPr>
          <w:trHeight w:val="255"/>
        </w:trPr>
        <w:tc>
          <w:tcPr>
            <w:tcW w:w="1706" w:type="dxa"/>
            <w:shd w:val="clear" w:color="auto" w:fill="auto"/>
            <w:noWrap/>
            <w:vAlign w:val="center"/>
          </w:tcPr>
          <w:p w14:paraId="458A0376" w14:textId="04EBAEC9"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 xml:space="preserve">Kostot totale financiare – </w:t>
            </w:r>
            <w:r w:rsidR="00D45EAA" w:rsidRPr="00445472">
              <w:rPr>
                <w:rFonts w:ascii="Garamond" w:hAnsi="Garamond"/>
                <w:b/>
                <w:bCs/>
                <w:sz w:val="15"/>
                <w:szCs w:val="15"/>
                <w:lang w:eastAsia="en-GB"/>
              </w:rPr>
              <w:t xml:space="preserve">Ujë </w:t>
            </w:r>
            <w:r w:rsidRPr="00445472">
              <w:rPr>
                <w:rFonts w:ascii="Garamond" w:hAnsi="Garamond"/>
                <w:b/>
                <w:bCs/>
                <w:sz w:val="15"/>
                <w:szCs w:val="15"/>
                <w:lang w:eastAsia="en-GB"/>
              </w:rPr>
              <w:t xml:space="preserve">&amp; ujëra të </w:t>
            </w:r>
            <w:r w:rsidR="00D45EAA" w:rsidRPr="00445472">
              <w:rPr>
                <w:rFonts w:ascii="Garamond" w:hAnsi="Garamond"/>
                <w:b/>
                <w:bCs/>
                <w:sz w:val="15"/>
                <w:szCs w:val="15"/>
                <w:lang w:eastAsia="en-GB"/>
              </w:rPr>
              <w:t xml:space="preserve"> </w:t>
            </w:r>
            <w:r w:rsidRPr="00445472">
              <w:rPr>
                <w:rFonts w:ascii="Garamond" w:hAnsi="Garamond"/>
                <w:b/>
                <w:bCs/>
                <w:sz w:val="15"/>
                <w:szCs w:val="15"/>
                <w:lang w:eastAsia="en-GB"/>
              </w:rPr>
              <w:t>ndotura (000 Lek)</w:t>
            </w:r>
          </w:p>
        </w:tc>
        <w:tc>
          <w:tcPr>
            <w:tcW w:w="805" w:type="dxa"/>
            <w:shd w:val="clear" w:color="auto" w:fill="auto"/>
            <w:noWrap/>
            <w:vAlign w:val="center"/>
          </w:tcPr>
          <w:p w14:paraId="5AB38F73"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13,177</w:t>
            </w:r>
          </w:p>
        </w:tc>
        <w:tc>
          <w:tcPr>
            <w:tcW w:w="805" w:type="dxa"/>
            <w:shd w:val="clear" w:color="auto" w:fill="auto"/>
            <w:noWrap/>
            <w:vAlign w:val="center"/>
          </w:tcPr>
          <w:p w14:paraId="3593077E"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17,764</w:t>
            </w:r>
          </w:p>
        </w:tc>
        <w:tc>
          <w:tcPr>
            <w:tcW w:w="804" w:type="dxa"/>
            <w:shd w:val="clear" w:color="auto" w:fill="auto"/>
            <w:noWrap/>
            <w:vAlign w:val="center"/>
          </w:tcPr>
          <w:p w14:paraId="64934902"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22,547</w:t>
            </w:r>
          </w:p>
        </w:tc>
        <w:tc>
          <w:tcPr>
            <w:tcW w:w="888" w:type="dxa"/>
            <w:shd w:val="clear" w:color="auto" w:fill="auto"/>
            <w:noWrap/>
            <w:vAlign w:val="center"/>
          </w:tcPr>
          <w:p w14:paraId="0164C293"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183,888</w:t>
            </w:r>
          </w:p>
        </w:tc>
        <w:tc>
          <w:tcPr>
            <w:tcW w:w="863" w:type="dxa"/>
            <w:shd w:val="clear" w:color="auto" w:fill="auto"/>
            <w:noWrap/>
            <w:vAlign w:val="center"/>
          </w:tcPr>
          <w:p w14:paraId="118923A6"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137,596</w:t>
            </w:r>
          </w:p>
        </w:tc>
        <w:tc>
          <w:tcPr>
            <w:tcW w:w="888" w:type="dxa"/>
            <w:shd w:val="clear" w:color="auto" w:fill="auto"/>
            <w:noWrap/>
            <w:vAlign w:val="center"/>
          </w:tcPr>
          <w:p w14:paraId="55294B28"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330,553</w:t>
            </w:r>
          </w:p>
        </w:tc>
        <w:tc>
          <w:tcPr>
            <w:tcW w:w="720" w:type="dxa"/>
            <w:shd w:val="clear" w:color="auto" w:fill="auto"/>
            <w:noWrap/>
            <w:vAlign w:val="center"/>
          </w:tcPr>
          <w:p w14:paraId="2C35172F"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12,137</w:t>
            </w:r>
          </w:p>
        </w:tc>
        <w:tc>
          <w:tcPr>
            <w:tcW w:w="888" w:type="dxa"/>
            <w:shd w:val="clear" w:color="auto" w:fill="auto"/>
            <w:noWrap/>
            <w:vAlign w:val="center"/>
          </w:tcPr>
          <w:p w14:paraId="0BC7398C"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133,702</w:t>
            </w:r>
          </w:p>
        </w:tc>
        <w:tc>
          <w:tcPr>
            <w:tcW w:w="720" w:type="dxa"/>
            <w:shd w:val="clear" w:color="auto" w:fill="auto"/>
            <w:noWrap/>
            <w:vAlign w:val="center"/>
          </w:tcPr>
          <w:p w14:paraId="74F770AB"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10,059</w:t>
            </w:r>
          </w:p>
        </w:tc>
        <w:tc>
          <w:tcPr>
            <w:tcW w:w="804" w:type="dxa"/>
            <w:shd w:val="clear" w:color="auto" w:fill="auto"/>
            <w:noWrap/>
            <w:vAlign w:val="center"/>
          </w:tcPr>
          <w:p w14:paraId="53AA54E5"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40,978</w:t>
            </w:r>
          </w:p>
        </w:tc>
        <w:tc>
          <w:tcPr>
            <w:tcW w:w="838" w:type="dxa"/>
            <w:shd w:val="clear" w:color="auto" w:fill="auto"/>
            <w:noWrap/>
            <w:vAlign w:val="center"/>
          </w:tcPr>
          <w:p w14:paraId="4887A9EF"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33,871</w:t>
            </w:r>
          </w:p>
        </w:tc>
        <w:tc>
          <w:tcPr>
            <w:tcW w:w="804" w:type="dxa"/>
            <w:shd w:val="clear" w:color="auto" w:fill="auto"/>
            <w:noWrap/>
            <w:vAlign w:val="center"/>
          </w:tcPr>
          <w:p w14:paraId="178F2060"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28,125</w:t>
            </w:r>
          </w:p>
        </w:tc>
        <w:tc>
          <w:tcPr>
            <w:tcW w:w="804" w:type="dxa"/>
            <w:shd w:val="clear" w:color="auto" w:fill="auto"/>
            <w:noWrap/>
            <w:vAlign w:val="center"/>
          </w:tcPr>
          <w:p w14:paraId="68D9C196"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26,407</w:t>
            </w:r>
          </w:p>
        </w:tc>
        <w:tc>
          <w:tcPr>
            <w:tcW w:w="804" w:type="dxa"/>
            <w:shd w:val="clear" w:color="auto" w:fill="auto"/>
            <w:noWrap/>
            <w:vAlign w:val="center"/>
          </w:tcPr>
          <w:p w14:paraId="04E498F9"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60,144</w:t>
            </w:r>
          </w:p>
        </w:tc>
        <w:tc>
          <w:tcPr>
            <w:tcW w:w="925" w:type="dxa"/>
            <w:shd w:val="clear" w:color="auto" w:fill="auto"/>
            <w:noWrap/>
            <w:vAlign w:val="center"/>
          </w:tcPr>
          <w:p w14:paraId="50CD3723"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1,050,954</w:t>
            </w:r>
          </w:p>
        </w:tc>
      </w:tr>
      <w:tr w:rsidR="002735B4" w:rsidRPr="00445472" w14:paraId="7CB2ABC1" w14:textId="77777777" w:rsidTr="002A1F08">
        <w:trPr>
          <w:trHeight w:val="255"/>
        </w:trPr>
        <w:tc>
          <w:tcPr>
            <w:tcW w:w="1706" w:type="dxa"/>
            <w:shd w:val="clear" w:color="auto" w:fill="auto"/>
            <w:noWrap/>
            <w:vAlign w:val="center"/>
          </w:tcPr>
          <w:p w14:paraId="1CEE9587" w14:textId="77777777" w:rsidR="002735B4" w:rsidRPr="00445472" w:rsidRDefault="002735B4" w:rsidP="002A1F08">
            <w:pPr>
              <w:spacing w:before="46" w:after="62"/>
              <w:rPr>
                <w:rFonts w:ascii="Garamond" w:hAnsi="Garamond"/>
                <w:b/>
                <w:bCs/>
                <w:sz w:val="15"/>
                <w:szCs w:val="15"/>
                <w:lang w:eastAsia="en-GB"/>
              </w:rPr>
            </w:pPr>
          </w:p>
        </w:tc>
        <w:tc>
          <w:tcPr>
            <w:tcW w:w="805" w:type="dxa"/>
            <w:shd w:val="clear" w:color="auto" w:fill="auto"/>
            <w:noWrap/>
            <w:vAlign w:val="center"/>
          </w:tcPr>
          <w:p w14:paraId="07EB125F"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tcPr>
          <w:p w14:paraId="602C6E12"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2387A526"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25D758E8"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tcPr>
          <w:p w14:paraId="517A754D"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61F2ED94"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3F91221B"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tcPr>
          <w:p w14:paraId="3DD62965"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tcPr>
          <w:p w14:paraId="5BFEDB63"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5B333AAE"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tcPr>
          <w:p w14:paraId="575F1D9F"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770032A0"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5DA32A78"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tcPr>
          <w:p w14:paraId="57A131A8"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tcPr>
          <w:p w14:paraId="5DFAE1BB"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006CBEBE" w14:textId="77777777" w:rsidTr="002A1F08">
        <w:trPr>
          <w:trHeight w:val="255"/>
        </w:trPr>
        <w:tc>
          <w:tcPr>
            <w:tcW w:w="1706" w:type="dxa"/>
            <w:shd w:val="clear" w:color="auto" w:fill="auto"/>
            <w:noWrap/>
            <w:vAlign w:val="center"/>
            <w:hideMark/>
          </w:tcPr>
          <w:p w14:paraId="6D740FBC"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Të ardhurat financiare</w:t>
            </w:r>
          </w:p>
        </w:tc>
        <w:tc>
          <w:tcPr>
            <w:tcW w:w="805" w:type="dxa"/>
            <w:shd w:val="clear" w:color="auto" w:fill="auto"/>
            <w:noWrap/>
            <w:vAlign w:val="center"/>
            <w:hideMark/>
          </w:tcPr>
          <w:p w14:paraId="188C8C9F"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62FB63D6"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6131EBCC"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532FCFE5"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hideMark/>
          </w:tcPr>
          <w:p w14:paraId="6C475569"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07A49974"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509FB7CE"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1A5B2A50"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3672F5B0"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7348245F"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hideMark/>
          </w:tcPr>
          <w:p w14:paraId="31A83CA2"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1E2AF0E4"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70680CBA"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62BD3AB9"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hideMark/>
          </w:tcPr>
          <w:p w14:paraId="1082AE7E"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28AEB5D5" w14:textId="77777777" w:rsidTr="002A1F08">
        <w:trPr>
          <w:trHeight w:val="225"/>
        </w:trPr>
        <w:tc>
          <w:tcPr>
            <w:tcW w:w="1706" w:type="dxa"/>
            <w:shd w:val="clear" w:color="auto" w:fill="auto"/>
            <w:noWrap/>
            <w:vAlign w:val="center"/>
            <w:hideMark/>
          </w:tcPr>
          <w:p w14:paraId="66DE1D84"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Shërbimet e ujit</w:t>
            </w:r>
          </w:p>
        </w:tc>
        <w:tc>
          <w:tcPr>
            <w:tcW w:w="805" w:type="dxa"/>
            <w:shd w:val="clear" w:color="auto" w:fill="auto"/>
            <w:noWrap/>
            <w:vAlign w:val="center"/>
            <w:hideMark/>
          </w:tcPr>
          <w:p w14:paraId="721F4E62"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360EED74"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75B84BB0"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3A3C82E4"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hideMark/>
          </w:tcPr>
          <w:p w14:paraId="3E764AA8"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5B1AE319"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31872EA5"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2A152D62"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097AE059"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49FD5E58"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hideMark/>
          </w:tcPr>
          <w:p w14:paraId="18192FA9"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19462A22"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33CB159F"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1109423E"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hideMark/>
          </w:tcPr>
          <w:p w14:paraId="2B3EF0F5"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78AEAF7A" w14:textId="77777777" w:rsidTr="002A1F08">
        <w:trPr>
          <w:trHeight w:val="225"/>
        </w:trPr>
        <w:tc>
          <w:tcPr>
            <w:tcW w:w="1706" w:type="dxa"/>
            <w:shd w:val="clear" w:color="auto" w:fill="auto"/>
            <w:noWrap/>
            <w:vAlign w:val="center"/>
            <w:hideMark/>
          </w:tcPr>
          <w:p w14:paraId="51826327" w14:textId="75FCC76D"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Shuma totale e faturave të ujit- </w:t>
            </w:r>
            <w:r w:rsidR="00D45EAA" w:rsidRPr="00445472">
              <w:rPr>
                <w:rFonts w:ascii="Garamond" w:hAnsi="Garamond"/>
                <w:sz w:val="15"/>
                <w:szCs w:val="15"/>
                <w:lang w:eastAsia="en-GB"/>
              </w:rPr>
              <w:t>totali (000 lek)</w:t>
            </w:r>
          </w:p>
        </w:tc>
        <w:tc>
          <w:tcPr>
            <w:tcW w:w="805" w:type="dxa"/>
            <w:shd w:val="clear" w:color="auto" w:fill="auto"/>
            <w:noWrap/>
            <w:vAlign w:val="center"/>
            <w:hideMark/>
          </w:tcPr>
          <w:p w14:paraId="1222A08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8,713</w:t>
            </w:r>
          </w:p>
        </w:tc>
        <w:tc>
          <w:tcPr>
            <w:tcW w:w="805" w:type="dxa"/>
            <w:shd w:val="clear" w:color="auto" w:fill="auto"/>
            <w:noWrap/>
            <w:vAlign w:val="center"/>
            <w:hideMark/>
          </w:tcPr>
          <w:p w14:paraId="5575B20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4,420</w:t>
            </w:r>
          </w:p>
        </w:tc>
        <w:tc>
          <w:tcPr>
            <w:tcW w:w="804" w:type="dxa"/>
            <w:shd w:val="clear" w:color="auto" w:fill="auto"/>
            <w:noWrap/>
            <w:vAlign w:val="center"/>
            <w:hideMark/>
          </w:tcPr>
          <w:p w14:paraId="1F3AFBC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14,280</w:t>
            </w:r>
          </w:p>
        </w:tc>
        <w:tc>
          <w:tcPr>
            <w:tcW w:w="888" w:type="dxa"/>
            <w:shd w:val="clear" w:color="auto" w:fill="auto"/>
            <w:noWrap/>
            <w:vAlign w:val="center"/>
            <w:hideMark/>
          </w:tcPr>
          <w:p w14:paraId="34DAB1B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106,957</w:t>
            </w:r>
          </w:p>
        </w:tc>
        <w:tc>
          <w:tcPr>
            <w:tcW w:w="863" w:type="dxa"/>
            <w:shd w:val="clear" w:color="auto" w:fill="auto"/>
            <w:noWrap/>
            <w:vAlign w:val="center"/>
            <w:hideMark/>
          </w:tcPr>
          <w:p w14:paraId="44E106A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79,678</w:t>
            </w:r>
          </w:p>
        </w:tc>
        <w:tc>
          <w:tcPr>
            <w:tcW w:w="888" w:type="dxa"/>
            <w:shd w:val="clear" w:color="auto" w:fill="auto"/>
            <w:noWrap/>
            <w:vAlign w:val="center"/>
            <w:hideMark/>
          </w:tcPr>
          <w:p w14:paraId="07C85B6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203,288</w:t>
            </w:r>
          </w:p>
        </w:tc>
        <w:tc>
          <w:tcPr>
            <w:tcW w:w="720" w:type="dxa"/>
            <w:shd w:val="clear" w:color="auto" w:fill="auto"/>
            <w:noWrap/>
            <w:vAlign w:val="center"/>
            <w:hideMark/>
          </w:tcPr>
          <w:p w14:paraId="2C6857F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2,268</w:t>
            </w:r>
          </w:p>
        </w:tc>
        <w:tc>
          <w:tcPr>
            <w:tcW w:w="888" w:type="dxa"/>
            <w:shd w:val="clear" w:color="auto" w:fill="auto"/>
            <w:noWrap/>
            <w:vAlign w:val="center"/>
            <w:hideMark/>
          </w:tcPr>
          <w:p w14:paraId="3A04544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48,519</w:t>
            </w:r>
          </w:p>
        </w:tc>
        <w:tc>
          <w:tcPr>
            <w:tcW w:w="720" w:type="dxa"/>
            <w:shd w:val="clear" w:color="auto" w:fill="auto"/>
            <w:noWrap/>
            <w:vAlign w:val="center"/>
            <w:hideMark/>
          </w:tcPr>
          <w:p w14:paraId="53214F8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3,151</w:t>
            </w:r>
          </w:p>
        </w:tc>
        <w:tc>
          <w:tcPr>
            <w:tcW w:w="804" w:type="dxa"/>
            <w:shd w:val="clear" w:color="auto" w:fill="auto"/>
            <w:noWrap/>
            <w:vAlign w:val="center"/>
            <w:hideMark/>
          </w:tcPr>
          <w:p w14:paraId="3FF4C8E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26,941</w:t>
            </w:r>
          </w:p>
        </w:tc>
        <w:tc>
          <w:tcPr>
            <w:tcW w:w="838" w:type="dxa"/>
            <w:shd w:val="clear" w:color="auto" w:fill="auto"/>
            <w:noWrap/>
            <w:vAlign w:val="center"/>
            <w:hideMark/>
          </w:tcPr>
          <w:p w14:paraId="2CCD38F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25,003</w:t>
            </w:r>
          </w:p>
        </w:tc>
        <w:tc>
          <w:tcPr>
            <w:tcW w:w="804" w:type="dxa"/>
            <w:shd w:val="clear" w:color="auto" w:fill="auto"/>
            <w:noWrap/>
            <w:vAlign w:val="center"/>
            <w:hideMark/>
          </w:tcPr>
          <w:p w14:paraId="580F21C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22,714</w:t>
            </w:r>
          </w:p>
        </w:tc>
        <w:tc>
          <w:tcPr>
            <w:tcW w:w="804" w:type="dxa"/>
            <w:shd w:val="clear" w:color="auto" w:fill="auto"/>
            <w:noWrap/>
            <w:vAlign w:val="center"/>
            <w:hideMark/>
          </w:tcPr>
          <w:p w14:paraId="579015D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9,084</w:t>
            </w:r>
          </w:p>
        </w:tc>
        <w:tc>
          <w:tcPr>
            <w:tcW w:w="804" w:type="dxa"/>
            <w:shd w:val="clear" w:color="auto" w:fill="auto"/>
            <w:noWrap/>
            <w:vAlign w:val="center"/>
            <w:hideMark/>
          </w:tcPr>
          <w:p w14:paraId="4DA3335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26,702</w:t>
            </w:r>
          </w:p>
        </w:tc>
        <w:tc>
          <w:tcPr>
            <w:tcW w:w="925" w:type="dxa"/>
            <w:shd w:val="clear" w:color="auto" w:fill="auto"/>
            <w:noWrap/>
            <w:vAlign w:val="center"/>
            <w:hideMark/>
          </w:tcPr>
          <w:p w14:paraId="08F6A1ED"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581,721</w:t>
            </w:r>
          </w:p>
        </w:tc>
      </w:tr>
      <w:tr w:rsidR="002735B4" w:rsidRPr="00445472" w14:paraId="32C136B0" w14:textId="77777777" w:rsidTr="002A1F08">
        <w:trPr>
          <w:trHeight w:val="225"/>
        </w:trPr>
        <w:tc>
          <w:tcPr>
            <w:tcW w:w="1706" w:type="dxa"/>
            <w:shd w:val="clear" w:color="auto" w:fill="auto"/>
            <w:noWrap/>
            <w:vAlign w:val="center"/>
            <w:hideMark/>
          </w:tcPr>
          <w:p w14:paraId="608EC5DE"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6049BAE0"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07930C6E"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2F507E67"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3E0DEFDD"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hideMark/>
          </w:tcPr>
          <w:p w14:paraId="37B7BED6"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1F20F182"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4DDDD2EE"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51F1D1F8"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45110B4F"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39EBA4F9"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hideMark/>
          </w:tcPr>
          <w:p w14:paraId="2024C50B"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3DA7EFA4"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6EA14CB4"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3D088556"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hideMark/>
          </w:tcPr>
          <w:p w14:paraId="0AEFF61C"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35ED7C57" w14:textId="77777777" w:rsidTr="002A1F08">
        <w:trPr>
          <w:trHeight w:val="225"/>
        </w:trPr>
        <w:tc>
          <w:tcPr>
            <w:tcW w:w="1706" w:type="dxa"/>
            <w:shd w:val="clear" w:color="auto" w:fill="auto"/>
            <w:noWrap/>
            <w:vAlign w:val="center"/>
            <w:hideMark/>
          </w:tcPr>
          <w:p w14:paraId="395BBF5A" w14:textId="77777777"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Shërbime kanalizime</w:t>
            </w:r>
          </w:p>
        </w:tc>
        <w:tc>
          <w:tcPr>
            <w:tcW w:w="805" w:type="dxa"/>
            <w:shd w:val="clear" w:color="auto" w:fill="auto"/>
            <w:noWrap/>
            <w:vAlign w:val="center"/>
            <w:hideMark/>
          </w:tcPr>
          <w:p w14:paraId="0FC8A921"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200D0AC4"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2F62C863"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7BAE46DE"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hideMark/>
          </w:tcPr>
          <w:p w14:paraId="67E1A8BC"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57131853"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129914CD"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15BFBE7D"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77FB75DB"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04E55876"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hideMark/>
          </w:tcPr>
          <w:p w14:paraId="6D7F4AC1"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4763CE8A"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5AF76ADC"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60CB54E2"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hideMark/>
          </w:tcPr>
          <w:p w14:paraId="73844F92"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3791F581" w14:textId="77777777" w:rsidTr="002A1F08">
        <w:trPr>
          <w:trHeight w:val="225"/>
        </w:trPr>
        <w:tc>
          <w:tcPr>
            <w:tcW w:w="1706" w:type="dxa"/>
            <w:shd w:val="clear" w:color="auto" w:fill="auto"/>
            <w:noWrap/>
            <w:vAlign w:val="center"/>
            <w:hideMark/>
          </w:tcPr>
          <w:p w14:paraId="72C7E973" w14:textId="57001897"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Shuma totale e faturave të kanalizimeve </w:t>
            </w:r>
            <w:r w:rsidR="00D45EAA" w:rsidRPr="00445472">
              <w:rPr>
                <w:rFonts w:ascii="Garamond" w:hAnsi="Garamond"/>
                <w:sz w:val="15"/>
                <w:szCs w:val="15"/>
                <w:lang w:eastAsia="en-GB"/>
              </w:rPr>
              <w:t>- total (000 lek)</w:t>
            </w:r>
          </w:p>
        </w:tc>
        <w:tc>
          <w:tcPr>
            <w:tcW w:w="805" w:type="dxa"/>
            <w:shd w:val="clear" w:color="auto" w:fill="auto"/>
            <w:noWrap/>
            <w:vAlign w:val="center"/>
            <w:hideMark/>
          </w:tcPr>
          <w:p w14:paraId="7A53C46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1,320</w:t>
            </w:r>
          </w:p>
        </w:tc>
        <w:tc>
          <w:tcPr>
            <w:tcW w:w="805" w:type="dxa"/>
            <w:shd w:val="clear" w:color="auto" w:fill="auto"/>
            <w:noWrap/>
            <w:vAlign w:val="center"/>
            <w:hideMark/>
          </w:tcPr>
          <w:p w14:paraId="7AA3A04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804" w:type="dxa"/>
            <w:shd w:val="clear" w:color="auto" w:fill="auto"/>
            <w:noWrap/>
            <w:vAlign w:val="center"/>
            <w:hideMark/>
          </w:tcPr>
          <w:p w14:paraId="7248A86B"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888" w:type="dxa"/>
            <w:shd w:val="clear" w:color="auto" w:fill="auto"/>
            <w:noWrap/>
            <w:vAlign w:val="center"/>
            <w:hideMark/>
          </w:tcPr>
          <w:p w14:paraId="68720EF9"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22,209</w:t>
            </w:r>
          </w:p>
        </w:tc>
        <w:tc>
          <w:tcPr>
            <w:tcW w:w="863" w:type="dxa"/>
            <w:shd w:val="clear" w:color="auto" w:fill="auto"/>
            <w:noWrap/>
            <w:vAlign w:val="center"/>
            <w:hideMark/>
          </w:tcPr>
          <w:p w14:paraId="7AB55B4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25,401</w:t>
            </w:r>
          </w:p>
        </w:tc>
        <w:tc>
          <w:tcPr>
            <w:tcW w:w="888" w:type="dxa"/>
            <w:shd w:val="clear" w:color="auto" w:fill="auto"/>
            <w:noWrap/>
            <w:vAlign w:val="center"/>
            <w:hideMark/>
          </w:tcPr>
          <w:p w14:paraId="1A7B46BA"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50,750</w:t>
            </w:r>
          </w:p>
        </w:tc>
        <w:tc>
          <w:tcPr>
            <w:tcW w:w="720" w:type="dxa"/>
            <w:shd w:val="clear" w:color="auto" w:fill="auto"/>
            <w:noWrap/>
            <w:vAlign w:val="center"/>
            <w:hideMark/>
          </w:tcPr>
          <w:p w14:paraId="06550D5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231</w:t>
            </w:r>
          </w:p>
        </w:tc>
        <w:tc>
          <w:tcPr>
            <w:tcW w:w="888" w:type="dxa"/>
            <w:shd w:val="clear" w:color="auto" w:fill="auto"/>
            <w:noWrap/>
            <w:vAlign w:val="center"/>
            <w:hideMark/>
          </w:tcPr>
          <w:p w14:paraId="07ED65D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720" w:type="dxa"/>
            <w:shd w:val="clear" w:color="auto" w:fill="auto"/>
            <w:noWrap/>
            <w:vAlign w:val="center"/>
            <w:hideMark/>
          </w:tcPr>
          <w:p w14:paraId="3968115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643</w:t>
            </w:r>
          </w:p>
        </w:tc>
        <w:tc>
          <w:tcPr>
            <w:tcW w:w="804" w:type="dxa"/>
            <w:shd w:val="clear" w:color="auto" w:fill="auto"/>
            <w:noWrap/>
            <w:vAlign w:val="center"/>
            <w:hideMark/>
          </w:tcPr>
          <w:p w14:paraId="686F021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7,624</w:t>
            </w:r>
          </w:p>
        </w:tc>
        <w:tc>
          <w:tcPr>
            <w:tcW w:w="838" w:type="dxa"/>
            <w:shd w:val="clear" w:color="auto" w:fill="auto"/>
            <w:noWrap/>
            <w:vAlign w:val="center"/>
            <w:hideMark/>
          </w:tcPr>
          <w:p w14:paraId="05AFF60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6,030</w:t>
            </w:r>
          </w:p>
        </w:tc>
        <w:tc>
          <w:tcPr>
            <w:tcW w:w="804" w:type="dxa"/>
            <w:shd w:val="clear" w:color="auto" w:fill="auto"/>
            <w:noWrap/>
            <w:vAlign w:val="center"/>
            <w:hideMark/>
          </w:tcPr>
          <w:p w14:paraId="4A7D99C5"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804" w:type="dxa"/>
            <w:shd w:val="clear" w:color="auto" w:fill="auto"/>
            <w:noWrap/>
            <w:vAlign w:val="center"/>
            <w:hideMark/>
          </w:tcPr>
          <w:p w14:paraId="4F80FBBF"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804" w:type="dxa"/>
            <w:shd w:val="clear" w:color="auto" w:fill="auto"/>
            <w:noWrap/>
            <w:vAlign w:val="center"/>
            <w:hideMark/>
          </w:tcPr>
          <w:p w14:paraId="2246BEC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5,768</w:t>
            </w:r>
          </w:p>
        </w:tc>
        <w:tc>
          <w:tcPr>
            <w:tcW w:w="925" w:type="dxa"/>
            <w:shd w:val="clear" w:color="auto" w:fill="auto"/>
            <w:noWrap/>
            <w:vAlign w:val="center"/>
            <w:hideMark/>
          </w:tcPr>
          <w:p w14:paraId="0F11C3D2"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119,979</w:t>
            </w:r>
          </w:p>
        </w:tc>
      </w:tr>
      <w:tr w:rsidR="002735B4" w:rsidRPr="00445472" w14:paraId="784859FE" w14:textId="77777777" w:rsidTr="002A1F08">
        <w:trPr>
          <w:trHeight w:val="225"/>
        </w:trPr>
        <w:tc>
          <w:tcPr>
            <w:tcW w:w="1706" w:type="dxa"/>
            <w:shd w:val="clear" w:color="auto" w:fill="auto"/>
            <w:noWrap/>
            <w:vAlign w:val="center"/>
            <w:hideMark/>
          </w:tcPr>
          <w:p w14:paraId="758421C3"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6910361D"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2DF8F58A"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42F08467"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20143205"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hideMark/>
          </w:tcPr>
          <w:p w14:paraId="41CFB20C"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57EE5418"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6D1CFF79"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0C81AE3C"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6605EF37"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0CB6EC65"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hideMark/>
          </w:tcPr>
          <w:p w14:paraId="6097A93E"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3544A576"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258C75F6"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18962CE5"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hideMark/>
          </w:tcPr>
          <w:p w14:paraId="54450E74"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571B70E6" w14:textId="77777777" w:rsidTr="002A1F08">
        <w:trPr>
          <w:trHeight w:val="225"/>
        </w:trPr>
        <w:tc>
          <w:tcPr>
            <w:tcW w:w="1706" w:type="dxa"/>
            <w:shd w:val="clear" w:color="auto" w:fill="auto"/>
            <w:noWrap/>
            <w:vAlign w:val="center"/>
            <w:hideMark/>
          </w:tcPr>
          <w:p w14:paraId="0AB16E05" w14:textId="38222238" w:rsidR="002735B4" w:rsidRPr="00445472" w:rsidRDefault="002735B4" w:rsidP="002A1F08">
            <w:pPr>
              <w:spacing w:before="46" w:after="62"/>
              <w:rPr>
                <w:rFonts w:ascii="Garamond" w:hAnsi="Garamond"/>
                <w:sz w:val="15"/>
                <w:szCs w:val="15"/>
                <w:lang w:eastAsia="en-GB"/>
              </w:rPr>
            </w:pPr>
            <w:r w:rsidRPr="00445472">
              <w:rPr>
                <w:rFonts w:ascii="Garamond" w:hAnsi="Garamond"/>
                <w:sz w:val="15"/>
                <w:szCs w:val="15"/>
                <w:lang w:eastAsia="en-GB"/>
              </w:rPr>
              <w:t xml:space="preserve">Subvencioni për operacion (000 </w:t>
            </w:r>
            <w:r w:rsidR="00D45EAA" w:rsidRPr="00445472">
              <w:rPr>
                <w:rFonts w:ascii="Garamond" w:hAnsi="Garamond"/>
                <w:sz w:val="15"/>
                <w:szCs w:val="15"/>
                <w:lang w:eastAsia="en-GB"/>
              </w:rPr>
              <w:t>lek</w:t>
            </w:r>
            <w:r w:rsidRPr="00445472">
              <w:rPr>
                <w:rFonts w:ascii="Garamond" w:hAnsi="Garamond"/>
                <w:sz w:val="15"/>
                <w:szCs w:val="15"/>
                <w:lang w:eastAsia="en-GB"/>
              </w:rPr>
              <w:t>)</w:t>
            </w:r>
          </w:p>
        </w:tc>
        <w:tc>
          <w:tcPr>
            <w:tcW w:w="805" w:type="dxa"/>
            <w:shd w:val="clear" w:color="auto" w:fill="auto"/>
            <w:noWrap/>
            <w:vAlign w:val="center"/>
            <w:hideMark/>
          </w:tcPr>
          <w:p w14:paraId="53D67C53"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1,500</w:t>
            </w:r>
          </w:p>
        </w:tc>
        <w:tc>
          <w:tcPr>
            <w:tcW w:w="805" w:type="dxa"/>
            <w:shd w:val="clear" w:color="auto" w:fill="auto"/>
            <w:noWrap/>
            <w:vAlign w:val="center"/>
            <w:hideMark/>
          </w:tcPr>
          <w:p w14:paraId="666C5311"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5,200</w:t>
            </w:r>
          </w:p>
        </w:tc>
        <w:tc>
          <w:tcPr>
            <w:tcW w:w="804" w:type="dxa"/>
            <w:shd w:val="clear" w:color="auto" w:fill="auto"/>
            <w:noWrap/>
            <w:vAlign w:val="center"/>
            <w:hideMark/>
          </w:tcPr>
          <w:p w14:paraId="64BBA7F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888" w:type="dxa"/>
            <w:shd w:val="clear" w:color="auto" w:fill="auto"/>
            <w:noWrap/>
            <w:vAlign w:val="center"/>
            <w:hideMark/>
          </w:tcPr>
          <w:p w14:paraId="0E287592"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9,000</w:t>
            </w:r>
          </w:p>
        </w:tc>
        <w:tc>
          <w:tcPr>
            <w:tcW w:w="863" w:type="dxa"/>
            <w:shd w:val="clear" w:color="auto" w:fill="auto"/>
            <w:noWrap/>
            <w:vAlign w:val="center"/>
            <w:hideMark/>
          </w:tcPr>
          <w:p w14:paraId="413321A7"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9,200</w:t>
            </w:r>
          </w:p>
        </w:tc>
        <w:tc>
          <w:tcPr>
            <w:tcW w:w="888" w:type="dxa"/>
            <w:shd w:val="clear" w:color="auto" w:fill="auto"/>
            <w:noWrap/>
            <w:vAlign w:val="center"/>
            <w:hideMark/>
          </w:tcPr>
          <w:p w14:paraId="619EE5AC"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720" w:type="dxa"/>
            <w:shd w:val="clear" w:color="auto" w:fill="auto"/>
            <w:noWrap/>
            <w:vAlign w:val="center"/>
            <w:hideMark/>
          </w:tcPr>
          <w:p w14:paraId="27DDE7CE"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3,300</w:t>
            </w:r>
          </w:p>
        </w:tc>
        <w:tc>
          <w:tcPr>
            <w:tcW w:w="888" w:type="dxa"/>
            <w:shd w:val="clear" w:color="auto" w:fill="auto"/>
            <w:noWrap/>
            <w:vAlign w:val="center"/>
            <w:hideMark/>
          </w:tcPr>
          <w:p w14:paraId="0712880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23,000</w:t>
            </w:r>
          </w:p>
        </w:tc>
        <w:tc>
          <w:tcPr>
            <w:tcW w:w="720" w:type="dxa"/>
            <w:shd w:val="clear" w:color="auto" w:fill="auto"/>
            <w:noWrap/>
            <w:vAlign w:val="center"/>
            <w:hideMark/>
          </w:tcPr>
          <w:p w14:paraId="6CF9453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2,500</w:t>
            </w:r>
          </w:p>
        </w:tc>
        <w:tc>
          <w:tcPr>
            <w:tcW w:w="804" w:type="dxa"/>
            <w:shd w:val="clear" w:color="auto" w:fill="auto"/>
            <w:noWrap/>
            <w:vAlign w:val="center"/>
            <w:hideMark/>
          </w:tcPr>
          <w:p w14:paraId="31E2270D"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1,500</w:t>
            </w:r>
          </w:p>
        </w:tc>
        <w:tc>
          <w:tcPr>
            <w:tcW w:w="838" w:type="dxa"/>
            <w:shd w:val="clear" w:color="auto" w:fill="auto"/>
            <w:noWrap/>
            <w:vAlign w:val="center"/>
            <w:hideMark/>
          </w:tcPr>
          <w:p w14:paraId="4C00FB28"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0.0</w:t>
            </w:r>
          </w:p>
        </w:tc>
        <w:tc>
          <w:tcPr>
            <w:tcW w:w="804" w:type="dxa"/>
            <w:shd w:val="clear" w:color="auto" w:fill="auto"/>
            <w:noWrap/>
            <w:vAlign w:val="center"/>
            <w:hideMark/>
          </w:tcPr>
          <w:p w14:paraId="5CB01AC6"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5,190</w:t>
            </w:r>
          </w:p>
        </w:tc>
        <w:tc>
          <w:tcPr>
            <w:tcW w:w="804" w:type="dxa"/>
            <w:shd w:val="clear" w:color="auto" w:fill="auto"/>
            <w:noWrap/>
            <w:vAlign w:val="center"/>
            <w:hideMark/>
          </w:tcPr>
          <w:p w14:paraId="6B0017B0"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10,820</w:t>
            </w:r>
          </w:p>
        </w:tc>
        <w:tc>
          <w:tcPr>
            <w:tcW w:w="804" w:type="dxa"/>
            <w:shd w:val="clear" w:color="auto" w:fill="auto"/>
            <w:noWrap/>
            <w:vAlign w:val="center"/>
            <w:hideMark/>
          </w:tcPr>
          <w:p w14:paraId="7D999B24" w14:textId="77777777" w:rsidR="002735B4" w:rsidRPr="00445472" w:rsidRDefault="002735B4" w:rsidP="002A1F08">
            <w:pPr>
              <w:spacing w:before="46" w:after="62"/>
              <w:jc w:val="right"/>
              <w:rPr>
                <w:rFonts w:ascii="Garamond" w:hAnsi="Garamond"/>
                <w:sz w:val="15"/>
                <w:szCs w:val="15"/>
                <w:lang w:eastAsia="en-GB"/>
              </w:rPr>
            </w:pPr>
            <w:r w:rsidRPr="00445472">
              <w:rPr>
                <w:rFonts w:ascii="Garamond" w:hAnsi="Garamond"/>
                <w:sz w:val="15"/>
                <w:szCs w:val="15"/>
                <w:lang w:eastAsia="en-GB"/>
              </w:rPr>
              <w:t>10,500</w:t>
            </w:r>
          </w:p>
        </w:tc>
        <w:tc>
          <w:tcPr>
            <w:tcW w:w="925" w:type="dxa"/>
            <w:shd w:val="clear" w:color="auto" w:fill="auto"/>
            <w:noWrap/>
            <w:vAlign w:val="center"/>
            <w:hideMark/>
          </w:tcPr>
          <w:p w14:paraId="08E1BCFA"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81,710</w:t>
            </w:r>
          </w:p>
        </w:tc>
      </w:tr>
      <w:tr w:rsidR="002735B4" w:rsidRPr="00445472" w14:paraId="47E0EE9A" w14:textId="77777777" w:rsidTr="002A1F08">
        <w:trPr>
          <w:trHeight w:val="225"/>
        </w:trPr>
        <w:tc>
          <w:tcPr>
            <w:tcW w:w="1706" w:type="dxa"/>
            <w:shd w:val="clear" w:color="auto" w:fill="auto"/>
            <w:noWrap/>
            <w:vAlign w:val="center"/>
            <w:hideMark/>
          </w:tcPr>
          <w:p w14:paraId="52C71C98"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3BA0C26B" w14:textId="77777777" w:rsidR="002735B4" w:rsidRPr="00445472" w:rsidRDefault="002735B4" w:rsidP="002A1F08">
            <w:pPr>
              <w:spacing w:before="46" w:after="62"/>
              <w:rPr>
                <w:rFonts w:ascii="Garamond" w:hAnsi="Garamond"/>
                <w:sz w:val="15"/>
                <w:szCs w:val="15"/>
                <w:lang w:eastAsia="en-GB"/>
              </w:rPr>
            </w:pPr>
          </w:p>
        </w:tc>
        <w:tc>
          <w:tcPr>
            <w:tcW w:w="805" w:type="dxa"/>
            <w:shd w:val="clear" w:color="auto" w:fill="auto"/>
            <w:noWrap/>
            <w:vAlign w:val="center"/>
            <w:hideMark/>
          </w:tcPr>
          <w:p w14:paraId="214F5C7D"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7C9BE42C"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038D781B" w14:textId="77777777" w:rsidR="002735B4" w:rsidRPr="00445472" w:rsidRDefault="002735B4" w:rsidP="002A1F08">
            <w:pPr>
              <w:spacing w:before="46" w:after="62"/>
              <w:rPr>
                <w:rFonts w:ascii="Garamond" w:hAnsi="Garamond"/>
                <w:sz w:val="15"/>
                <w:szCs w:val="15"/>
                <w:lang w:eastAsia="en-GB"/>
              </w:rPr>
            </w:pPr>
          </w:p>
        </w:tc>
        <w:tc>
          <w:tcPr>
            <w:tcW w:w="863" w:type="dxa"/>
            <w:shd w:val="clear" w:color="auto" w:fill="auto"/>
            <w:noWrap/>
            <w:vAlign w:val="center"/>
            <w:hideMark/>
          </w:tcPr>
          <w:p w14:paraId="65454AB2"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2E4F72EB"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38F87C8F" w14:textId="77777777" w:rsidR="002735B4" w:rsidRPr="00445472" w:rsidRDefault="002735B4" w:rsidP="002A1F08">
            <w:pPr>
              <w:spacing w:before="46" w:after="62"/>
              <w:rPr>
                <w:rFonts w:ascii="Garamond" w:hAnsi="Garamond"/>
                <w:sz w:val="15"/>
                <w:szCs w:val="15"/>
                <w:lang w:eastAsia="en-GB"/>
              </w:rPr>
            </w:pPr>
          </w:p>
        </w:tc>
        <w:tc>
          <w:tcPr>
            <w:tcW w:w="888" w:type="dxa"/>
            <w:shd w:val="clear" w:color="auto" w:fill="auto"/>
            <w:noWrap/>
            <w:vAlign w:val="center"/>
            <w:hideMark/>
          </w:tcPr>
          <w:p w14:paraId="2FCF55F6" w14:textId="77777777" w:rsidR="002735B4" w:rsidRPr="00445472" w:rsidRDefault="002735B4" w:rsidP="002A1F08">
            <w:pPr>
              <w:spacing w:before="46" w:after="62"/>
              <w:rPr>
                <w:rFonts w:ascii="Garamond" w:hAnsi="Garamond"/>
                <w:sz w:val="15"/>
                <w:szCs w:val="15"/>
                <w:lang w:eastAsia="en-GB"/>
              </w:rPr>
            </w:pPr>
          </w:p>
        </w:tc>
        <w:tc>
          <w:tcPr>
            <w:tcW w:w="720" w:type="dxa"/>
            <w:shd w:val="clear" w:color="auto" w:fill="auto"/>
            <w:noWrap/>
            <w:vAlign w:val="center"/>
            <w:hideMark/>
          </w:tcPr>
          <w:p w14:paraId="40219A4E"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6429774E" w14:textId="77777777" w:rsidR="002735B4" w:rsidRPr="00445472" w:rsidRDefault="002735B4" w:rsidP="002A1F08">
            <w:pPr>
              <w:spacing w:before="46" w:after="62"/>
              <w:rPr>
                <w:rFonts w:ascii="Garamond" w:hAnsi="Garamond"/>
                <w:sz w:val="15"/>
                <w:szCs w:val="15"/>
                <w:lang w:eastAsia="en-GB"/>
              </w:rPr>
            </w:pPr>
          </w:p>
        </w:tc>
        <w:tc>
          <w:tcPr>
            <w:tcW w:w="838" w:type="dxa"/>
            <w:shd w:val="clear" w:color="auto" w:fill="auto"/>
            <w:noWrap/>
            <w:vAlign w:val="center"/>
            <w:hideMark/>
          </w:tcPr>
          <w:p w14:paraId="25D2C46D"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21C66251"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52B6734C" w14:textId="77777777" w:rsidR="002735B4" w:rsidRPr="00445472" w:rsidRDefault="002735B4" w:rsidP="002A1F08">
            <w:pPr>
              <w:spacing w:before="46" w:after="62"/>
              <w:rPr>
                <w:rFonts w:ascii="Garamond" w:hAnsi="Garamond"/>
                <w:sz w:val="15"/>
                <w:szCs w:val="15"/>
                <w:lang w:eastAsia="en-GB"/>
              </w:rPr>
            </w:pPr>
          </w:p>
        </w:tc>
        <w:tc>
          <w:tcPr>
            <w:tcW w:w="804" w:type="dxa"/>
            <w:shd w:val="clear" w:color="auto" w:fill="auto"/>
            <w:noWrap/>
            <w:vAlign w:val="center"/>
            <w:hideMark/>
          </w:tcPr>
          <w:p w14:paraId="3C721B74" w14:textId="77777777" w:rsidR="002735B4" w:rsidRPr="00445472" w:rsidRDefault="002735B4" w:rsidP="002A1F08">
            <w:pPr>
              <w:spacing w:before="46" w:after="62"/>
              <w:rPr>
                <w:rFonts w:ascii="Garamond" w:hAnsi="Garamond"/>
                <w:sz w:val="15"/>
                <w:szCs w:val="15"/>
                <w:lang w:eastAsia="en-GB"/>
              </w:rPr>
            </w:pPr>
          </w:p>
        </w:tc>
        <w:tc>
          <w:tcPr>
            <w:tcW w:w="925" w:type="dxa"/>
            <w:shd w:val="clear" w:color="auto" w:fill="auto"/>
            <w:noWrap/>
            <w:vAlign w:val="center"/>
            <w:hideMark/>
          </w:tcPr>
          <w:p w14:paraId="0093F9C0" w14:textId="77777777" w:rsidR="002735B4" w:rsidRPr="00445472" w:rsidRDefault="002735B4" w:rsidP="002A1F08">
            <w:pPr>
              <w:spacing w:before="46" w:after="62"/>
              <w:rPr>
                <w:rFonts w:ascii="Garamond" w:hAnsi="Garamond"/>
                <w:b/>
                <w:bCs/>
                <w:sz w:val="15"/>
                <w:szCs w:val="15"/>
                <w:lang w:eastAsia="en-GB"/>
              </w:rPr>
            </w:pPr>
          </w:p>
        </w:tc>
      </w:tr>
      <w:tr w:rsidR="002735B4" w:rsidRPr="00445472" w14:paraId="43D44B4D" w14:textId="77777777" w:rsidTr="002A1F08">
        <w:trPr>
          <w:trHeight w:val="225"/>
        </w:trPr>
        <w:tc>
          <w:tcPr>
            <w:tcW w:w="1706" w:type="dxa"/>
            <w:shd w:val="clear" w:color="auto" w:fill="auto"/>
            <w:noWrap/>
            <w:vAlign w:val="center"/>
            <w:hideMark/>
          </w:tcPr>
          <w:p w14:paraId="1B2E5819" w14:textId="3E560431" w:rsidR="002735B4" w:rsidRPr="00445472" w:rsidRDefault="002735B4" w:rsidP="002A1F08">
            <w:pPr>
              <w:spacing w:before="46" w:after="62"/>
              <w:rPr>
                <w:rFonts w:ascii="Garamond" w:hAnsi="Garamond"/>
                <w:b/>
                <w:bCs/>
                <w:sz w:val="15"/>
                <w:szCs w:val="15"/>
                <w:lang w:eastAsia="en-GB"/>
              </w:rPr>
            </w:pPr>
            <w:r w:rsidRPr="00445472">
              <w:rPr>
                <w:rFonts w:ascii="Garamond" w:hAnsi="Garamond"/>
                <w:b/>
                <w:bCs/>
                <w:sz w:val="15"/>
                <w:szCs w:val="15"/>
                <w:lang w:eastAsia="en-GB"/>
              </w:rPr>
              <w:t xml:space="preserve">Totali i të ardhurave financiare - uji dhe ujërat e ndotura (000 </w:t>
            </w:r>
            <w:r w:rsidR="00D45EAA" w:rsidRPr="00445472">
              <w:rPr>
                <w:rFonts w:ascii="Garamond" w:hAnsi="Garamond"/>
                <w:b/>
                <w:bCs/>
                <w:sz w:val="15"/>
                <w:szCs w:val="15"/>
                <w:lang w:eastAsia="en-GB"/>
              </w:rPr>
              <w:t>LEK</w:t>
            </w:r>
            <w:r w:rsidRPr="00445472">
              <w:rPr>
                <w:rFonts w:ascii="Garamond" w:hAnsi="Garamond"/>
                <w:b/>
                <w:bCs/>
                <w:sz w:val="15"/>
                <w:szCs w:val="15"/>
                <w:lang w:eastAsia="en-GB"/>
              </w:rPr>
              <w:t>)</w:t>
            </w:r>
          </w:p>
        </w:tc>
        <w:tc>
          <w:tcPr>
            <w:tcW w:w="805" w:type="dxa"/>
            <w:shd w:val="clear" w:color="auto" w:fill="auto"/>
            <w:noWrap/>
            <w:vAlign w:val="center"/>
            <w:hideMark/>
          </w:tcPr>
          <w:p w14:paraId="5BF68754"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11,533</w:t>
            </w:r>
          </w:p>
        </w:tc>
        <w:tc>
          <w:tcPr>
            <w:tcW w:w="805" w:type="dxa"/>
            <w:shd w:val="clear" w:color="auto" w:fill="auto"/>
            <w:noWrap/>
            <w:vAlign w:val="center"/>
            <w:hideMark/>
          </w:tcPr>
          <w:p w14:paraId="1BB28FF6"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9,620</w:t>
            </w:r>
          </w:p>
        </w:tc>
        <w:tc>
          <w:tcPr>
            <w:tcW w:w="804" w:type="dxa"/>
            <w:shd w:val="clear" w:color="auto" w:fill="auto"/>
            <w:noWrap/>
            <w:vAlign w:val="center"/>
            <w:hideMark/>
          </w:tcPr>
          <w:p w14:paraId="2C49A02B"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14,280</w:t>
            </w:r>
          </w:p>
        </w:tc>
        <w:tc>
          <w:tcPr>
            <w:tcW w:w="888" w:type="dxa"/>
            <w:shd w:val="clear" w:color="auto" w:fill="auto"/>
            <w:noWrap/>
            <w:vAlign w:val="center"/>
            <w:hideMark/>
          </w:tcPr>
          <w:p w14:paraId="1F925642"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138,166</w:t>
            </w:r>
          </w:p>
        </w:tc>
        <w:tc>
          <w:tcPr>
            <w:tcW w:w="863" w:type="dxa"/>
            <w:shd w:val="clear" w:color="auto" w:fill="auto"/>
            <w:noWrap/>
            <w:vAlign w:val="center"/>
            <w:hideMark/>
          </w:tcPr>
          <w:p w14:paraId="4C03E423"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114,280</w:t>
            </w:r>
          </w:p>
        </w:tc>
        <w:tc>
          <w:tcPr>
            <w:tcW w:w="888" w:type="dxa"/>
            <w:shd w:val="clear" w:color="auto" w:fill="auto"/>
            <w:noWrap/>
            <w:vAlign w:val="center"/>
            <w:hideMark/>
          </w:tcPr>
          <w:p w14:paraId="4C53FB77"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254,039</w:t>
            </w:r>
          </w:p>
        </w:tc>
        <w:tc>
          <w:tcPr>
            <w:tcW w:w="720" w:type="dxa"/>
            <w:shd w:val="clear" w:color="auto" w:fill="auto"/>
            <w:noWrap/>
            <w:vAlign w:val="center"/>
            <w:hideMark/>
          </w:tcPr>
          <w:p w14:paraId="4CE2DB85"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5,799</w:t>
            </w:r>
          </w:p>
        </w:tc>
        <w:tc>
          <w:tcPr>
            <w:tcW w:w="888" w:type="dxa"/>
            <w:shd w:val="clear" w:color="auto" w:fill="auto"/>
            <w:noWrap/>
            <w:vAlign w:val="center"/>
            <w:hideMark/>
          </w:tcPr>
          <w:p w14:paraId="360C6E9C"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71,519</w:t>
            </w:r>
          </w:p>
        </w:tc>
        <w:tc>
          <w:tcPr>
            <w:tcW w:w="720" w:type="dxa"/>
            <w:shd w:val="clear" w:color="auto" w:fill="auto"/>
            <w:noWrap/>
            <w:vAlign w:val="center"/>
            <w:hideMark/>
          </w:tcPr>
          <w:p w14:paraId="15FC22BA"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6,294</w:t>
            </w:r>
          </w:p>
        </w:tc>
        <w:tc>
          <w:tcPr>
            <w:tcW w:w="804" w:type="dxa"/>
            <w:shd w:val="clear" w:color="auto" w:fill="auto"/>
            <w:noWrap/>
            <w:vAlign w:val="center"/>
            <w:hideMark/>
          </w:tcPr>
          <w:p w14:paraId="04CCFB10"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36,065</w:t>
            </w:r>
          </w:p>
        </w:tc>
        <w:tc>
          <w:tcPr>
            <w:tcW w:w="838" w:type="dxa"/>
            <w:shd w:val="clear" w:color="auto" w:fill="auto"/>
            <w:noWrap/>
            <w:vAlign w:val="center"/>
            <w:hideMark/>
          </w:tcPr>
          <w:p w14:paraId="46C83ED9"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31,034</w:t>
            </w:r>
          </w:p>
        </w:tc>
        <w:tc>
          <w:tcPr>
            <w:tcW w:w="804" w:type="dxa"/>
            <w:shd w:val="clear" w:color="auto" w:fill="auto"/>
            <w:noWrap/>
            <w:vAlign w:val="center"/>
            <w:hideMark/>
          </w:tcPr>
          <w:p w14:paraId="0B1FE0DA"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27,904</w:t>
            </w:r>
          </w:p>
        </w:tc>
        <w:tc>
          <w:tcPr>
            <w:tcW w:w="804" w:type="dxa"/>
            <w:shd w:val="clear" w:color="auto" w:fill="auto"/>
            <w:noWrap/>
            <w:vAlign w:val="center"/>
            <w:hideMark/>
          </w:tcPr>
          <w:p w14:paraId="6101D2C0"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19,904</w:t>
            </w:r>
          </w:p>
        </w:tc>
        <w:tc>
          <w:tcPr>
            <w:tcW w:w="804" w:type="dxa"/>
            <w:shd w:val="clear" w:color="auto" w:fill="auto"/>
            <w:noWrap/>
            <w:vAlign w:val="center"/>
            <w:hideMark/>
          </w:tcPr>
          <w:p w14:paraId="1DFEFB80"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42,970</w:t>
            </w:r>
          </w:p>
        </w:tc>
        <w:tc>
          <w:tcPr>
            <w:tcW w:w="925" w:type="dxa"/>
            <w:shd w:val="clear" w:color="auto" w:fill="auto"/>
            <w:noWrap/>
            <w:vAlign w:val="center"/>
            <w:hideMark/>
          </w:tcPr>
          <w:p w14:paraId="5A03189E" w14:textId="77777777" w:rsidR="002735B4" w:rsidRPr="00445472" w:rsidRDefault="002735B4" w:rsidP="002A1F08">
            <w:pPr>
              <w:spacing w:before="46" w:after="62"/>
              <w:jc w:val="right"/>
              <w:rPr>
                <w:rFonts w:ascii="Garamond" w:hAnsi="Garamond"/>
                <w:b/>
                <w:bCs/>
                <w:sz w:val="15"/>
                <w:szCs w:val="15"/>
                <w:lang w:eastAsia="en-GB"/>
              </w:rPr>
            </w:pPr>
            <w:r w:rsidRPr="00445472">
              <w:rPr>
                <w:rFonts w:ascii="Garamond" w:hAnsi="Garamond"/>
                <w:b/>
                <w:bCs/>
                <w:sz w:val="15"/>
                <w:szCs w:val="15"/>
                <w:lang w:eastAsia="en-GB"/>
              </w:rPr>
              <w:t>783,410</w:t>
            </w:r>
          </w:p>
        </w:tc>
      </w:tr>
    </w:tbl>
    <w:p w14:paraId="4259A403" w14:textId="77777777" w:rsidR="002735B4" w:rsidRPr="00445472" w:rsidRDefault="002735B4" w:rsidP="002735B4">
      <w:pPr>
        <w:pStyle w:val="NENTITULL"/>
      </w:pPr>
    </w:p>
    <w:p w14:paraId="073EA834" w14:textId="77777777" w:rsidR="002735B4" w:rsidRPr="00445472" w:rsidRDefault="002735B4" w:rsidP="002735B4">
      <w:pPr>
        <w:pStyle w:val="NENTITULL"/>
      </w:pPr>
    </w:p>
    <w:p w14:paraId="09C78B64" w14:textId="77777777" w:rsidR="002735B4" w:rsidRPr="00445472" w:rsidRDefault="002735B4" w:rsidP="002735B4">
      <w:pPr>
        <w:pStyle w:val="NENTITULL"/>
      </w:pPr>
    </w:p>
    <w:p w14:paraId="473B2D28" w14:textId="77777777" w:rsidR="002735B4" w:rsidRPr="00445472" w:rsidRDefault="002735B4" w:rsidP="002735B4">
      <w:pPr>
        <w:rPr>
          <w:rFonts w:ascii="Garamond" w:hAnsi="Garamond"/>
        </w:rPr>
      </w:pPr>
    </w:p>
    <w:p w14:paraId="4440295A" w14:textId="77777777" w:rsidR="002735B4" w:rsidRPr="00445472" w:rsidRDefault="002735B4" w:rsidP="002735B4">
      <w:pPr>
        <w:rPr>
          <w:rFonts w:ascii="Garamond" w:hAnsi="Garamond"/>
        </w:rPr>
      </w:pPr>
    </w:p>
    <w:p w14:paraId="03F5D52B" w14:textId="6A617205" w:rsidR="002735B4" w:rsidRPr="00445472" w:rsidRDefault="002735B4" w:rsidP="002735B4">
      <w:pPr>
        <w:pStyle w:val="NENTITULL"/>
      </w:pPr>
      <w:r w:rsidRPr="00445472">
        <w:t xml:space="preserve">Tabela A 4. 16. </w:t>
      </w:r>
      <w:r w:rsidRPr="00445472">
        <w:rPr>
          <w:rStyle w:val="mw-headline"/>
        </w:rPr>
        <w:t>Rikuperimi</w:t>
      </w:r>
      <w:r w:rsidRPr="00445472">
        <w:t xml:space="preserve"> i kostos ekonomike në Basenin Ujor </w:t>
      </w:r>
      <w:r w:rsidR="007E76E3" w:rsidRPr="00445472">
        <w:t>Drin–Bunë</w:t>
      </w:r>
      <w:r w:rsidRPr="00445472">
        <w:t>, 2015</w:t>
      </w:r>
    </w:p>
    <w:tbl>
      <w:tblPr>
        <w:tblW w:w="13511" w:type="dxa"/>
        <w:tblInd w:w="108" w:type="dxa"/>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2041"/>
        <w:gridCol w:w="737"/>
        <w:gridCol w:w="737"/>
        <w:gridCol w:w="737"/>
        <w:gridCol w:w="795"/>
        <w:gridCol w:w="823"/>
        <w:gridCol w:w="795"/>
        <w:gridCol w:w="737"/>
        <w:gridCol w:w="795"/>
        <w:gridCol w:w="737"/>
        <w:gridCol w:w="803"/>
        <w:gridCol w:w="815"/>
        <w:gridCol w:w="737"/>
        <w:gridCol w:w="737"/>
        <w:gridCol w:w="737"/>
        <w:gridCol w:w="795"/>
      </w:tblGrid>
      <w:tr w:rsidR="002735B4" w:rsidRPr="00445472" w14:paraId="475D9CBB" w14:textId="77777777" w:rsidTr="002A1F08">
        <w:trPr>
          <w:trHeight w:val="255"/>
          <w:tblHeader/>
        </w:trPr>
        <w:tc>
          <w:tcPr>
            <w:tcW w:w="2041" w:type="dxa"/>
            <w:shd w:val="clear" w:color="auto" w:fill="D9D9D9"/>
            <w:noWrap/>
            <w:vAlign w:val="center"/>
            <w:hideMark/>
          </w:tcPr>
          <w:p w14:paraId="08FF9071" w14:textId="10A70CA8"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ekonomike</w:t>
            </w:r>
          </w:p>
        </w:tc>
        <w:tc>
          <w:tcPr>
            <w:tcW w:w="737" w:type="dxa"/>
            <w:shd w:val="clear" w:color="auto" w:fill="D9D9D9"/>
            <w:noWrap/>
            <w:vAlign w:val="center"/>
            <w:hideMark/>
          </w:tcPr>
          <w:p w14:paraId="4F54ECE8"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0811606B"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1DAC9E13"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D9D9D9"/>
            <w:noWrap/>
            <w:vAlign w:val="center"/>
            <w:hideMark/>
          </w:tcPr>
          <w:p w14:paraId="0238F109"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D9D9D9"/>
            <w:noWrap/>
            <w:vAlign w:val="center"/>
            <w:hideMark/>
          </w:tcPr>
          <w:p w14:paraId="5D83873D"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D9D9D9"/>
            <w:noWrap/>
            <w:vAlign w:val="center"/>
            <w:hideMark/>
          </w:tcPr>
          <w:p w14:paraId="19E80602"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753B32D8"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D9D9D9"/>
            <w:noWrap/>
            <w:vAlign w:val="center"/>
            <w:hideMark/>
          </w:tcPr>
          <w:p w14:paraId="7B1A8A8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4441DCEC"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D9D9D9"/>
            <w:noWrap/>
            <w:vAlign w:val="center"/>
            <w:hideMark/>
          </w:tcPr>
          <w:p w14:paraId="2DC52F43"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D9D9D9"/>
            <w:noWrap/>
            <w:vAlign w:val="center"/>
            <w:hideMark/>
          </w:tcPr>
          <w:p w14:paraId="00B2FBE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6D76893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777BA51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D9D9D9"/>
            <w:noWrap/>
            <w:vAlign w:val="center"/>
            <w:hideMark/>
          </w:tcPr>
          <w:p w14:paraId="5D79C7CF"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D9D9D9"/>
            <w:noWrap/>
            <w:vAlign w:val="center"/>
            <w:hideMark/>
          </w:tcPr>
          <w:p w14:paraId="23F349A9" w14:textId="77777777" w:rsidR="002735B4" w:rsidRPr="00445472" w:rsidRDefault="002735B4" w:rsidP="002A1F08">
            <w:pPr>
              <w:spacing w:before="46" w:after="62"/>
              <w:rPr>
                <w:rFonts w:ascii="Garamond" w:hAnsi="Garamond"/>
                <w:spacing w:val="-4"/>
                <w:sz w:val="16"/>
                <w:szCs w:val="16"/>
                <w:lang w:eastAsia="en-GB"/>
              </w:rPr>
            </w:pPr>
          </w:p>
        </w:tc>
      </w:tr>
      <w:tr w:rsidR="002735B4" w:rsidRPr="00445472" w14:paraId="13A41202" w14:textId="77777777" w:rsidTr="00D45EAA">
        <w:trPr>
          <w:trHeight w:val="225"/>
          <w:tblHeader/>
        </w:trPr>
        <w:tc>
          <w:tcPr>
            <w:tcW w:w="2041" w:type="dxa"/>
            <w:shd w:val="clear" w:color="auto" w:fill="D9D9D9"/>
            <w:noWrap/>
            <w:vAlign w:val="center"/>
            <w:hideMark/>
          </w:tcPr>
          <w:p w14:paraId="6D527E95" w14:textId="77777777" w:rsidR="002735B4" w:rsidRPr="00445472" w:rsidRDefault="002735B4" w:rsidP="00D45EAA">
            <w:pPr>
              <w:spacing w:after="0"/>
              <w:jc w:val="center"/>
              <w:rPr>
                <w:rFonts w:ascii="Garamond" w:hAnsi="Garamond"/>
                <w:b/>
                <w:bCs/>
                <w:spacing w:val="-4"/>
                <w:sz w:val="16"/>
                <w:szCs w:val="16"/>
                <w:lang w:eastAsia="en-GB"/>
              </w:rPr>
            </w:pPr>
            <w:r w:rsidRPr="00445472">
              <w:rPr>
                <w:rFonts w:ascii="Garamond" w:hAnsi="Garamond"/>
                <w:b/>
                <w:bCs/>
                <w:spacing w:val="-4"/>
                <w:sz w:val="16"/>
                <w:szCs w:val="16"/>
                <w:lang w:eastAsia="en-GB"/>
              </w:rPr>
              <w:t>Shërbimet e ujit</w:t>
            </w:r>
          </w:p>
        </w:tc>
        <w:tc>
          <w:tcPr>
            <w:tcW w:w="737" w:type="dxa"/>
            <w:shd w:val="clear" w:color="auto" w:fill="D9D9D9"/>
            <w:noWrap/>
            <w:vAlign w:val="center"/>
            <w:hideMark/>
          </w:tcPr>
          <w:p w14:paraId="10CF135E" w14:textId="77777777"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Bashkia Pukë UK</w:t>
            </w:r>
          </w:p>
        </w:tc>
        <w:tc>
          <w:tcPr>
            <w:tcW w:w="737" w:type="dxa"/>
            <w:shd w:val="clear" w:color="auto" w:fill="D9D9D9"/>
            <w:noWrap/>
            <w:vAlign w:val="center"/>
            <w:hideMark/>
          </w:tcPr>
          <w:p w14:paraId="43748D47" w14:textId="77777777" w:rsidR="00D45EAA" w:rsidRPr="00445472" w:rsidRDefault="002735B4" w:rsidP="00D45EAA">
            <w:pPr>
              <w:spacing w:after="0" w:line="240" w:lineRule="auto"/>
              <w:jc w:val="center"/>
              <w:rPr>
                <w:rFonts w:ascii="Garamond" w:hAnsi="Garamond"/>
                <w:b/>
                <w:spacing w:val="-4"/>
                <w:sz w:val="16"/>
                <w:szCs w:val="16"/>
                <w:lang w:eastAsia="en-GB"/>
              </w:rPr>
            </w:pPr>
            <w:r w:rsidRPr="00445472">
              <w:rPr>
                <w:rFonts w:ascii="Garamond" w:hAnsi="Garamond"/>
                <w:b/>
                <w:spacing w:val="-4"/>
                <w:sz w:val="16"/>
                <w:szCs w:val="16"/>
                <w:lang w:eastAsia="en-GB"/>
              </w:rPr>
              <w:t>Vau i Dejës</w:t>
            </w:r>
          </w:p>
          <w:p w14:paraId="7326ACBA" w14:textId="695CB907" w:rsidR="002735B4" w:rsidRPr="00445472" w:rsidRDefault="002735B4" w:rsidP="00D45EAA">
            <w:pPr>
              <w:spacing w:after="0" w:line="240" w:lineRule="auto"/>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U </w:t>
            </w:r>
            <w:r w:rsidR="00D45EAA" w:rsidRPr="00445472">
              <w:rPr>
                <w:rFonts w:ascii="Garamond" w:hAnsi="Garamond"/>
                <w:b/>
                <w:spacing w:val="-4"/>
                <w:sz w:val="16"/>
                <w:szCs w:val="16"/>
                <w:lang w:eastAsia="en-GB"/>
              </w:rPr>
              <w:t>sh.a.</w:t>
            </w:r>
          </w:p>
        </w:tc>
        <w:tc>
          <w:tcPr>
            <w:tcW w:w="737" w:type="dxa"/>
            <w:shd w:val="clear" w:color="auto" w:fill="D9D9D9"/>
            <w:noWrap/>
            <w:vAlign w:val="center"/>
            <w:hideMark/>
          </w:tcPr>
          <w:p w14:paraId="2DBD4286" w14:textId="2272B3C7"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Tropojë U </w:t>
            </w:r>
            <w:r w:rsidR="00D45EAA" w:rsidRPr="00445472">
              <w:rPr>
                <w:rFonts w:ascii="Garamond" w:hAnsi="Garamond"/>
                <w:b/>
                <w:spacing w:val="-4"/>
                <w:sz w:val="16"/>
                <w:szCs w:val="16"/>
                <w:lang w:eastAsia="en-GB"/>
              </w:rPr>
              <w:t>sh.a.</w:t>
            </w:r>
          </w:p>
        </w:tc>
        <w:tc>
          <w:tcPr>
            <w:tcW w:w="795" w:type="dxa"/>
            <w:shd w:val="clear" w:color="auto" w:fill="D9D9D9"/>
            <w:noWrap/>
            <w:vAlign w:val="center"/>
            <w:hideMark/>
          </w:tcPr>
          <w:p w14:paraId="50ADD855" w14:textId="122860E1"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Lezhë UK </w:t>
            </w:r>
            <w:r w:rsidR="00D45EAA" w:rsidRPr="00445472">
              <w:rPr>
                <w:rFonts w:ascii="Garamond" w:hAnsi="Garamond"/>
                <w:b/>
                <w:spacing w:val="-4"/>
                <w:sz w:val="16"/>
                <w:szCs w:val="16"/>
                <w:lang w:eastAsia="en-GB"/>
              </w:rPr>
              <w:t>sh.a.</w:t>
            </w:r>
          </w:p>
        </w:tc>
        <w:tc>
          <w:tcPr>
            <w:tcW w:w="823" w:type="dxa"/>
            <w:shd w:val="clear" w:color="auto" w:fill="D9D9D9"/>
            <w:noWrap/>
            <w:vAlign w:val="center"/>
            <w:hideMark/>
          </w:tcPr>
          <w:p w14:paraId="385123EC" w14:textId="65391019"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Pogradec UK </w:t>
            </w:r>
            <w:r w:rsidR="00D45EAA" w:rsidRPr="00445472">
              <w:rPr>
                <w:rFonts w:ascii="Garamond" w:hAnsi="Garamond"/>
                <w:b/>
                <w:spacing w:val="-4"/>
                <w:sz w:val="16"/>
                <w:szCs w:val="16"/>
                <w:lang w:eastAsia="en-GB"/>
              </w:rPr>
              <w:t>sh.a.</w:t>
            </w:r>
          </w:p>
        </w:tc>
        <w:tc>
          <w:tcPr>
            <w:tcW w:w="795" w:type="dxa"/>
            <w:shd w:val="clear" w:color="auto" w:fill="D9D9D9"/>
            <w:noWrap/>
            <w:vAlign w:val="center"/>
            <w:hideMark/>
          </w:tcPr>
          <w:p w14:paraId="1BDBF5EB" w14:textId="4E657473"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Shkodër UK </w:t>
            </w:r>
            <w:r w:rsidR="00D45EAA" w:rsidRPr="00445472">
              <w:rPr>
                <w:rFonts w:ascii="Garamond" w:hAnsi="Garamond"/>
                <w:b/>
                <w:spacing w:val="-4"/>
                <w:sz w:val="16"/>
                <w:szCs w:val="16"/>
                <w:lang w:eastAsia="en-GB"/>
              </w:rPr>
              <w:t>sh.a.</w:t>
            </w:r>
          </w:p>
        </w:tc>
        <w:tc>
          <w:tcPr>
            <w:tcW w:w="737" w:type="dxa"/>
            <w:shd w:val="clear" w:color="auto" w:fill="D9D9D9"/>
            <w:noWrap/>
            <w:vAlign w:val="center"/>
            <w:hideMark/>
          </w:tcPr>
          <w:p w14:paraId="60760266" w14:textId="77777777"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Pukë fshat</w:t>
            </w:r>
          </w:p>
        </w:tc>
        <w:tc>
          <w:tcPr>
            <w:tcW w:w="795" w:type="dxa"/>
            <w:shd w:val="clear" w:color="auto" w:fill="D9D9D9"/>
            <w:noWrap/>
            <w:vAlign w:val="center"/>
            <w:hideMark/>
          </w:tcPr>
          <w:p w14:paraId="2A46EE94" w14:textId="6E3F7FC3"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Shkodër (F) U </w:t>
            </w:r>
            <w:r w:rsidR="00D45EAA" w:rsidRPr="00445472">
              <w:rPr>
                <w:rFonts w:ascii="Garamond" w:hAnsi="Garamond"/>
                <w:b/>
                <w:spacing w:val="-4"/>
                <w:sz w:val="16"/>
                <w:szCs w:val="16"/>
                <w:lang w:eastAsia="en-GB"/>
              </w:rPr>
              <w:t>sh.a.</w:t>
            </w:r>
          </w:p>
        </w:tc>
        <w:tc>
          <w:tcPr>
            <w:tcW w:w="737" w:type="dxa"/>
            <w:shd w:val="clear" w:color="auto" w:fill="D9D9D9"/>
            <w:noWrap/>
            <w:vAlign w:val="center"/>
            <w:hideMark/>
          </w:tcPr>
          <w:p w14:paraId="7E3B7057" w14:textId="745B48EA"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Fushë</w:t>
            </w:r>
            <w:r w:rsidR="00D45EAA" w:rsidRPr="00445472">
              <w:rPr>
                <w:rFonts w:ascii="Garamond" w:hAnsi="Garamond"/>
                <w:b/>
                <w:spacing w:val="-4"/>
                <w:sz w:val="16"/>
                <w:szCs w:val="16"/>
                <w:lang w:eastAsia="en-GB"/>
              </w:rPr>
              <w:t>-</w:t>
            </w:r>
            <w:r w:rsidRPr="00445472">
              <w:rPr>
                <w:rFonts w:ascii="Garamond" w:hAnsi="Garamond"/>
                <w:b/>
                <w:spacing w:val="-4"/>
                <w:sz w:val="16"/>
                <w:szCs w:val="16"/>
                <w:lang w:eastAsia="en-GB"/>
              </w:rPr>
              <w:t xml:space="preserve"> Arrëz UK </w:t>
            </w:r>
            <w:r w:rsidR="00D45EAA" w:rsidRPr="00445472">
              <w:rPr>
                <w:rFonts w:ascii="Garamond" w:hAnsi="Garamond"/>
                <w:b/>
                <w:spacing w:val="-4"/>
                <w:sz w:val="16"/>
                <w:szCs w:val="16"/>
                <w:lang w:eastAsia="en-GB"/>
              </w:rPr>
              <w:t>sh.a.</w:t>
            </w:r>
          </w:p>
        </w:tc>
        <w:tc>
          <w:tcPr>
            <w:tcW w:w="768" w:type="dxa"/>
            <w:shd w:val="clear" w:color="auto" w:fill="D9D9D9"/>
            <w:noWrap/>
            <w:vAlign w:val="center"/>
            <w:hideMark/>
          </w:tcPr>
          <w:p w14:paraId="4951ABDF" w14:textId="4D6BB04B"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Librazhd UK </w:t>
            </w:r>
            <w:r w:rsidR="00D45EAA" w:rsidRPr="00445472">
              <w:rPr>
                <w:rFonts w:ascii="Garamond" w:hAnsi="Garamond"/>
                <w:b/>
                <w:spacing w:val="-4"/>
                <w:sz w:val="16"/>
                <w:szCs w:val="16"/>
                <w:lang w:eastAsia="en-GB"/>
              </w:rPr>
              <w:t>sh.a.</w:t>
            </w:r>
          </w:p>
        </w:tc>
        <w:tc>
          <w:tcPr>
            <w:tcW w:w="803" w:type="dxa"/>
            <w:shd w:val="clear" w:color="auto" w:fill="D9D9D9"/>
            <w:noWrap/>
            <w:vAlign w:val="center"/>
            <w:hideMark/>
          </w:tcPr>
          <w:p w14:paraId="5D3B6400" w14:textId="7D1C02D8"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Peshkopi U </w:t>
            </w:r>
            <w:r w:rsidR="00D45EAA" w:rsidRPr="00445472">
              <w:rPr>
                <w:rFonts w:ascii="Garamond" w:hAnsi="Garamond"/>
                <w:b/>
                <w:spacing w:val="-4"/>
                <w:sz w:val="16"/>
                <w:szCs w:val="16"/>
                <w:lang w:eastAsia="en-GB"/>
              </w:rPr>
              <w:t>sh.a.</w:t>
            </w:r>
          </w:p>
        </w:tc>
        <w:tc>
          <w:tcPr>
            <w:tcW w:w="737" w:type="dxa"/>
            <w:shd w:val="clear" w:color="auto" w:fill="D9D9D9"/>
            <w:noWrap/>
            <w:vAlign w:val="center"/>
            <w:hideMark/>
          </w:tcPr>
          <w:p w14:paraId="4A78339C" w14:textId="0EC0A7E7"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Bulqizë U </w:t>
            </w:r>
            <w:r w:rsidR="00D45EAA" w:rsidRPr="00445472">
              <w:rPr>
                <w:rFonts w:ascii="Garamond" w:hAnsi="Garamond"/>
                <w:b/>
                <w:spacing w:val="-4"/>
                <w:sz w:val="16"/>
                <w:szCs w:val="16"/>
                <w:lang w:eastAsia="en-GB"/>
              </w:rPr>
              <w:t>sh.a.</w:t>
            </w:r>
          </w:p>
        </w:tc>
        <w:tc>
          <w:tcPr>
            <w:tcW w:w="737" w:type="dxa"/>
            <w:shd w:val="clear" w:color="auto" w:fill="D9D9D9"/>
            <w:noWrap/>
            <w:vAlign w:val="center"/>
            <w:hideMark/>
          </w:tcPr>
          <w:p w14:paraId="0060B8D3" w14:textId="49223494"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Has U </w:t>
            </w:r>
            <w:r w:rsidR="00D45EAA" w:rsidRPr="00445472">
              <w:rPr>
                <w:rFonts w:ascii="Garamond" w:hAnsi="Garamond"/>
                <w:b/>
                <w:spacing w:val="-4"/>
                <w:sz w:val="16"/>
                <w:szCs w:val="16"/>
                <w:lang w:eastAsia="en-GB"/>
              </w:rPr>
              <w:t>sh.a.</w:t>
            </w:r>
          </w:p>
        </w:tc>
        <w:tc>
          <w:tcPr>
            <w:tcW w:w="737" w:type="dxa"/>
            <w:shd w:val="clear" w:color="auto" w:fill="D9D9D9"/>
            <w:noWrap/>
            <w:vAlign w:val="center"/>
            <w:hideMark/>
          </w:tcPr>
          <w:p w14:paraId="199F1F44" w14:textId="24C9EC97" w:rsidR="002735B4" w:rsidRPr="00445472" w:rsidRDefault="002735B4" w:rsidP="00D45EAA">
            <w:pPr>
              <w:spacing w:after="0"/>
              <w:jc w:val="center"/>
              <w:rPr>
                <w:rFonts w:ascii="Garamond" w:hAnsi="Garamond"/>
                <w:b/>
                <w:spacing w:val="-4"/>
                <w:sz w:val="16"/>
                <w:szCs w:val="16"/>
                <w:lang w:eastAsia="en-GB"/>
              </w:rPr>
            </w:pPr>
            <w:r w:rsidRPr="00445472">
              <w:rPr>
                <w:rFonts w:ascii="Garamond" w:hAnsi="Garamond"/>
                <w:b/>
                <w:spacing w:val="-4"/>
                <w:sz w:val="16"/>
                <w:szCs w:val="16"/>
                <w:lang w:eastAsia="en-GB"/>
              </w:rPr>
              <w:t xml:space="preserve">Kukës UK </w:t>
            </w:r>
            <w:r w:rsidR="00D45EAA" w:rsidRPr="00445472">
              <w:rPr>
                <w:rFonts w:ascii="Garamond" w:hAnsi="Garamond"/>
                <w:b/>
                <w:spacing w:val="-4"/>
                <w:sz w:val="16"/>
                <w:szCs w:val="16"/>
                <w:lang w:eastAsia="en-GB"/>
              </w:rPr>
              <w:t>sh.a.</w:t>
            </w:r>
          </w:p>
        </w:tc>
        <w:tc>
          <w:tcPr>
            <w:tcW w:w="795" w:type="dxa"/>
            <w:shd w:val="clear" w:color="auto" w:fill="D9D9D9"/>
            <w:noWrap/>
            <w:vAlign w:val="center"/>
            <w:hideMark/>
          </w:tcPr>
          <w:p w14:paraId="087F386B" w14:textId="77777777" w:rsidR="002735B4" w:rsidRPr="00445472" w:rsidRDefault="002735B4" w:rsidP="00D45EAA">
            <w:pPr>
              <w:spacing w:after="0"/>
              <w:jc w:val="center"/>
              <w:rPr>
                <w:rFonts w:ascii="Garamond" w:hAnsi="Garamond"/>
                <w:b/>
                <w:bCs/>
                <w:spacing w:val="-4"/>
                <w:sz w:val="16"/>
                <w:szCs w:val="16"/>
                <w:lang w:eastAsia="en-GB"/>
              </w:rPr>
            </w:pPr>
            <w:r w:rsidRPr="00445472">
              <w:rPr>
                <w:rFonts w:ascii="Garamond" w:hAnsi="Garamond"/>
                <w:b/>
                <w:bCs/>
                <w:spacing w:val="-4"/>
                <w:sz w:val="16"/>
                <w:szCs w:val="16"/>
                <w:lang w:eastAsia="en-GB"/>
              </w:rPr>
              <w:t>Baseni Ujor</w:t>
            </w:r>
          </w:p>
        </w:tc>
      </w:tr>
      <w:tr w:rsidR="002735B4" w:rsidRPr="00445472" w14:paraId="22F4D6AF" w14:textId="77777777" w:rsidTr="002A1F08">
        <w:trPr>
          <w:trHeight w:val="225"/>
        </w:trPr>
        <w:tc>
          <w:tcPr>
            <w:tcW w:w="2041" w:type="dxa"/>
            <w:shd w:val="clear" w:color="auto" w:fill="auto"/>
            <w:noWrap/>
            <w:vAlign w:val="center"/>
            <w:hideMark/>
          </w:tcPr>
          <w:p w14:paraId="1853980C"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 operative dhe mirëmbajtjeje</w:t>
            </w:r>
          </w:p>
        </w:tc>
        <w:tc>
          <w:tcPr>
            <w:tcW w:w="737" w:type="dxa"/>
            <w:shd w:val="clear" w:color="auto" w:fill="auto"/>
            <w:noWrap/>
            <w:vAlign w:val="center"/>
            <w:hideMark/>
          </w:tcPr>
          <w:p w14:paraId="59FCCEAB"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2915F0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DF67019"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237348A"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7AE77A94"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1D5687E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BA8D122"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66BD6E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21F1AD3"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5E550D7B"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7FF3190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C14DABF"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7188EC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42952E3"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05DA0F7" w14:textId="77777777" w:rsidR="002735B4" w:rsidRPr="00445472" w:rsidRDefault="002735B4" w:rsidP="002A1F08">
            <w:pPr>
              <w:spacing w:before="46" w:after="62"/>
              <w:rPr>
                <w:rFonts w:ascii="Garamond" w:hAnsi="Garamond"/>
                <w:spacing w:val="-4"/>
                <w:sz w:val="16"/>
                <w:szCs w:val="16"/>
                <w:lang w:eastAsia="en-GB"/>
              </w:rPr>
            </w:pPr>
          </w:p>
        </w:tc>
      </w:tr>
      <w:tr w:rsidR="002735B4" w:rsidRPr="00445472" w14:paraId="7B522AFA" w14:textId="77777777" w:rsidTr="002A1F08">
        <w:trPr>
          <w:trHeight w:val="225"/>
        </w:trPr>
        <w:tc>
          <w:tcPr>
            <w:tcW w:w="2041" w:type="dxa"/>
            <w:shd w:val="clear" w:color="auto" w:fill="auto"/>
            <w:noWrap/>
            <w:vAlign w:val="center"/>
            <w:hideMark/>
          </w:tcPr>
          <w:p w14:paraId="25DCBED6" w14:textId="449B30AC"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Kost</w:t>
            </w:r>
            <w:r w:rsidR="00D45EAA" w:rsidRPr="00445472">
              <w:rPr>
                <w:rFonts w:ascii="Garamond" w:hAnsi="Garamond"/>
                <w:spacing w:val="-4"/>
                <w:sz w:val="16"/>
                <w:szCs w:val="16"/>
                <w:lang w:eastAsia="en-GB"/>
              </w:rPr>
              <w:t>ja</w:t>
            </w:r>
            <w:r w:rsidRPr="00445472">
              <w:rPr>
                <w:rFonts w:ascii="Garamond" w:hAnsi="Garamond"/>
                <w:spacing w:val="-4"/>
                <w:sz w:val="16"/>
                <w:szCs w:val="16"/>
                <w:lang w:eastAsia="en-GB"/>
              </w:rPr>
              <w:t xml:space="preserve">o e punës-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2091CFA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6,020</w:t>
            </w:r>
          </w:p>
        </w:tc>
        <w:tc>
          <w:tcPr>
            <w:tcW w:w="737" w:type="dxa"/>
            <w:shd w:val="clear" w:color="auto" w:fill="auto"/>
            <w:noWrap/>
            <w:vAlign w:val="center"/>
            <w:hideMark/>
          </w:tcPr>
          <w:p w14:paraId="14D78D6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3,566</w:t>
            </w:r>
          </w:p>
        </w:tc>
        <w:tc>
          <w:tcPr>
            <w:tcW w:w="737" w:type="dxa"/>
            <w:shd w:val="clear" w:color="auto" w:fill="auto"/>
            <w:noWrap/>
            <w:vAlign w:val="center"/>
            <w:hideMark/>
          </w:tcPr>
          <w:p w14:paraId="2C57DB6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7,934</w:t>
            </w:r>
          </w:p>
        </w:tc>
        <w:tc>
          <w:tcPr>
            <w:tcW w:w="795" w:type="dxa"/>
            <w:shd w:val="clear" w:color="auto" w:fill="auto"/>
            <w:noWrap/>
            <w:vAlign w:val="center"/>
            <w:hideMark/>
          </w:tcPr>
          <w:p w14:paraId="41886FA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21,758</w:t>
            </w:r>
          </w:p>
        </w:tc>
        <w:tc>
          <w:tcPr>
            <w:tcW w:w="823" w:type="dxa"/>
            <w:shd w:val="clear" w:color="auto" w:fill="auto"/>
            <w:noWrap/>
            <w:vAlign w:val="center"/>
            <w:hideMark/>
          </w:tcPr>
          <w:p w14:paraId="2A30623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21,218</w:t>
            </w:r>
          </w:p>
        </w:tc>
        <w:tc>
          <w:tcPr>
            <w:tcW w:w="795" w:type="dxa"/>
            <w:shd w:val="clear" w:color="auto" w:fill="auto"/>
            <w:noWrap/>
            <w:vAlign w:val="center"/>
            <w:hideMark/>
          </w:tcPr>
          <w:p w14:paraId="1D33A35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41,829</w:t>
            </w:r>
          </w:p>
        </w:tc>
        <w:tc>
          <w:tcPr>
            <w:tcW w:w="737" w:type="dxa"/>
            <w:shd w:val="clear" w:color="auto" w:fill="auto"/>
            <w:noWrap/>
            <w:vAlign w:val="center"/>
            <w:hideMark/>
          </w:tcPr>
          <w:p w14:paraId="610DA9D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4,401</w:t>
            </w:r>
          </w:p>
        </w:tc>
        <w:tc>
          <w:tcPr>
            <w:tcW w:w="795" w:type="dxa"/>
            <w:shd w:val="clear" w:color="auto" w:fill="auto"/>
            <w:noWrap/>
            <w:vAlign w:val="center"/>
            <w:hideMark/>
          </w:tcPr>
          <w:p w14:paraId="6438FB7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32,950</w:t>
            </w:r>
          </w:p>
        </w:tc>
        <w:tc>
          <w:tcPr>
            <w:tcW w:w="737" w:type="dxa"/>
            <w:shd w:val="clear" w:color="auto" w:fill="auto"/>
            <w:noWrap/>
            <w:vAlign w:val="center"/>
            <w:hideMark/>
          </w:tcPr>
          <w:p w14:paraId="7913C8B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3,450</w:t>
            </w:r>
          </w:p>
        </w:tc>
        <w:tc>
          <w:tcPr>
            <w:tcW w:w="768" w:type="dxa"/>
            <w:shd w:val="clear" w:color="auto" w:fill="auto"/>
            <w:noWrap/>
            <w:vAlign w:val="center"/>
            <w:hideMark/>
          </w:tcPr>
          <w:p w14:paraId="0707EF1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14,909</w:t>
            </w:r>
          </w:p>
        </w:tc>
        <w:tc>
          <w:tcPr>
            <w:tcW w:w="803" w:type="dxa"/>
            <w:shd w:val="clear" w:color="auto" w:fill="auto"/>
            <w:noWrap/>
            <w:vAlign w:val="center"/>
            <w:hideMark/>
          </w:tcPr>
          <w:p w14:paraId="566B503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11,517</w:t>
            </w:r>
          </w:p>
        </w:tc>
        <w:tc>
          <w:tcPr>
            <w:tcW w:w="737" w:type="dxa"/>
            <w:shd w:val="clear" w:color="auto" w:fill="auto"/>
            <w:noWrap/>
            <w:vAlign w:val="center"/>
            <w:hideMark/>
          </w:tcPr>
          <w:p w14:paraId="6DF2380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7,946</w:t>
            </w:r>
          </w:p>
        </w:tc>
        <w:tc>
          <w:tcPr>
            <w:tcW w:w="737" w:type="dxa"/>
            <w:shd w:val="clear" w:color="auto" w:fill="auto"/>
            <w:noWrap/>
            <w:vAlign w:val="center"/>
            <w:hideMark/>
          </w:tcPr>
          <w:p w14:paraId="005C7F2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9,122</w:t>
            </w:r>
          </w:p>
        </w:tc>
        <w:tc>
          <w:tcPr>
            <w:tcW w:w="737" w:type="dxa"/>
            <w:shd w:val="clear" w:color="auto" w:fill="auto"/>
            <w:noWrap/>
            <w:vAlign w:val="center"/>
            <w:hideMark/>
          </w:tcPr>
          <w:p w14:paraId="7785979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21,463</w:t>
            </w:r>
          </w:p>
        </w:tc>
        <w:tc>
          <w:tcPr>
            <w:tcW w:w="795" w:type="dxa"/>
            <w:shd w:val="clear" w:color="auto" w:fill="auto"/>
            <w:noWrap/>
            <w:vAlign w:val="center"/>
            <w:hideMark/>
          </w:tcPr>
          <w:p w14:paraId="5B162339"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208,086</w:t>
            </w:r>
          </w:p>
        </w:tc>
      </w:tr>
      <w:tr w:rsidR="002735B4" w:rsidRPr="00445472" w14:paraId="4E2A9F89" w14:textId="77777777" w:rsidTr="002A1F08">
        <w:trPr>
          <w:trHeight w:val="225"/>
        </w:trPr>
        <w:tc>
          <w:tcPr>
            <w:tcW w:w="2041" w:type="dxa"/>
            <w:shd w:val="clear" w:color="auto" w:fill="auto"/>
            <w:noWrap/>
            <w:vAlign w:val="center"/>
            <w:hideMark/>
          </w:tcPr>
          <w:p w14:paraId="1A47C0E5" w14:textId="443872DC"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Kosto</w:t>
            </w:r>
            <w:r w:rsidR="00D45EAA" w:rsidRPr="00445472">
              <w:rPr>
                <w:rFonts w:ascii="Garamond" w:hAnsi="Garamond"/>
                <w:spacing w:val="-4"/>
                <w:sz w:val="16"/>
                <w:szCs w:val="16"/>
                <w:lang w:eastAsia="en-GB"/>
              </w:rPr>
              <w:t>ja</w:t>
            </w:r>
            <w:r w:rsidRPr="00445472">
              <w:rPr>
                <w:rFonts w:ascii="Garamond" w:hAnsi="Garamond"/>
                <w:spacing w:val="-4"/>
                <w:sz w:val="16"/>
                <w:szCs w:val="16"/>
                <w:lang w:eastAsia="en-GB"/>
              </w:rPr>
              <w:t xml:space="preserve"> materiale -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4DBFBF4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019AF1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217</w:t>
            </w:r>
          </w:p>
        </w:tc>
        <w:tc>
          <w:tcPr>
            <w:tcW w:w="737" w:type="dxa"/>
            <w:shd w:val="clear" w:color="auto" w:fill="auto"/>
            <w:noWrap/>
            <w:vAlign w:val="center"/>
            <w:hideMark/>
          </w:tcPr>
          <w:p w14:paraId="045F6E0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128</w:t>
            </w:r>
          </w:p>
        </w:tc>
        <w:tc>
          <w:tcPr>
            <w:tcW w:w="795" w:type="dxa"/>
            <w:shd w:val="clear" w:color="auto" w:fill="auto"/>
            <w:noWrap/>
            <w:vAlign w:val="center"/>
            <w:hideMark/>
          </w:tcPr>
          <w:p w14:paraId="5C0C1C5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1,042</w:t>
            </w:r>
          </w:p>
        </w:tc>
        <w:tc>
          <w:tcPr>
            <w:tcW w:w="823" w:type="dxa"/>
            <w:shd w:val="clear" w:color="auto" w:fill="auto"/>
            <w:noWrap/>
            <w:vAlign w:val="center"/>
            <w:hideMark/>
          </w:tcPr>
          <w:p w14:paraId="57A818B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133</w:t>
            </w:r>
          </w:p>
        </w:tc>
        <w:tc>
          <w:tcPr>
            <w:tcW w:w="795" w:type="dxa"/>
            <w:shd w:val="clear" w:color="auto" w:fill="auto"/>
            <w:noWrap/>
            <w:vAlign w:val="center"/>
            <w:hideMark/>
          </w:tcPr>
          <w:p w14:paraId="66C9CA0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2,562</w:t>
            </w:r>
          </w:p>
        </w:tc>
        <w:tc>
          <w:tcPr>
            <w:tcW w:w="737" w:type="dxa"/>
            <w:shd w:val="clear" w:color="auto" w:fill="auto"/>
            <w:noWrap/>
            <w:vAlign w:val="center"/>
            <w:hideMark/>
          </w:tcPr>
          <w:p w14:paraId="665921D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175</w:t>
            </w:r>
          </w:p>
        </w:tc>
        <w:tc>
          <w:tcPr>
            <w:tcW w:w="795" w:type="dxa"/>
            <w:shd w:val="clear" w:color="auto" w:fill="auto"/>
            <w:noWrap/>
            <w:vAlign w:val="center"/>
            <w:hideMark/>
          </w:tcPr>
          <w:p w14:paraId="047371F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2,700</w:t>
            </w:r>
          </w:p>
        </w:tc>
        <w:tc>
          <w:tcPr>
            <w:tcW w:w="737" w:type="dxa"/>
            <w:shd w:val="clear" w:color="auto" w:fill="auto"/>
            <w:noWrap/>
            <w:vAlign w:val="center"/>
            <w:hideMark/>
          </w:tcPr>
          <w:p w14:paraId="5BE81A8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113</w:t>
            </w:r>
          </w:p>
        </w:tc>
        <w:tc>
          <w:tcPr>
            <w:tcW w:w="768" w:type="dxa"/>
            <w:shd w:val="clear" w:color="auto" w:fill="auto"/>
            <w:noWrap/>
            <w:vAlign w:val="center"/>
            <w:hideMark/>
          </w:tcPr>
          <w:p w14:paraId="724E61F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138</w:t>
            </w:r>
          </w:p>
        </w:tc>
        <w:tc>
          <w:tcPr>
            <w:tcW w:w="803" w:type="dxa"/>
            <w:shd w:val="clear" w:color="auto" w:fill="auto"/>
            <w:noWrap/>
            <w:vAlign w:val="center"/>
            <w:hideMark/>
          </w:tcPr>
          <w:p w14:paraId="44103D8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396</w:t>
            </w:r>
          </w:p>
        </w:tc>
        <w:tc>
          <w:tcPr>
            <w:tcW w:w="737" w:type="dxa"/>
            <w:shd w:val="clear" w:color="auto" w:fill="auto"/>
            <w:noWrap/>
            <w:vAlign w:val="center"/>
            <w:hideMark/>
          </w:tcPr>
          <w:p w14:paraId="3E15624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248</w:t>
            </w:r>
          </w:p>
        </w:tc>
        <w:tc>
          <w:tcPr>
            <w:tcW w:w="737" w:type="dxa"/>
            <w:shd w:val="clear" w:color="auto" w:fill="auto"/>
            <w:noWrap/>
            <w:vAlign w:val="center"/>
            <w:hideMark/>
          </w:tcPr>
          <w:p w14:paraId="5568D9E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27D042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1,703</w:t>
            </w:r>
          </w:p>
        </w:tc>
        <w:tc>
          <w:tcPr>
            <w:tcW w:w="795" w:type="dxa"/>
            <w:shd w:val="clear" w:color="auto" w:fill="auto"/>
            <w:noWrap/>
            <w:vAlign w:val="center"/>
            <w:hideMark/>
          </w:tcPr>
          <w:p w14:paraId="01164390"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9,553</w:t>
            </w:r>
          </w:p>
        </w:tc>
      </w:tr>
      <w:tr w:rsidR="002735B4" w:rsidRPr="00445472" w14:paraId="50045406" w14:textId="77777777" w:rsidTr="002A1F08">
        <w:trPr>
          <w:trHeight w:val="225"/>
        </w:trPr>
        <w:tc>
          <w:tcPr>
            <w:tcW w:w="2041" w:type="dxa"/>
            <w:shd w:val="clear" w:color="auto" w:fill="auto"/>
            <w:noWrap/>
            <w:vAlign w:val="center"/>
            <w:hideMark/>
          </w:tcPr>
          <w:p w14:paraId="54373BC3" w14:textId="4AD40E61"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Kosto</w:t>
            </w:r>
            <w:r w:rsidR="00D45EAA" w:rsidRPr="00445472">
              <w:rPr>
                <w:rFonts w:ascii="Garamond" w:hAnsi="Garamond"/>
                <w:spacing w:val="-4"/>
                <w:sz w:val="16"/>
                <w:szCs w:val="16"/>
                <w:lang w:eastAsia="en-GB"/>
              </w:rPr>
              <w:t>ja</w:t>
            </w:r>
            <w:r w:rsidRPr="00445472">
              <w:rPr>
                <w:rFonts w:ascii="Garamond" w:hAnsi="Garamond"/>
                <w:spacing w:val="-4"/>
                <w:sz w:val="16"/>
                <w:szCs w:val="16"/>
                <w:lang w:eastAsia="en-GB"/>
              </w:rPr>
              <w:t xml:space="preserve"> të energjisë</w:t>
            </w:r>
            <w:r w:rsidR="00D45EAA" w:rsidRPr="00445472">
              <w:rPr>
                <w:rFonts w:ascii="Garamond" w:hAnsi="Garamond"/>
                <w:spacing w:val="-4"/>
                <w:sz w:val="16"/>
                <w:szCs w:val="16"/>
                <w:lang w:eastAsia="en-GB"/>
              </w:rPr>
              <w:t xml:space="preserve"> </w:t>
            </w:r>
            <w:r w:rsidRPr="00445472">
              <w:rPr>
                <w:rFonts w:ascii="Garamond" w:hAnsi="Garamond"/>
                <w:spacing w:val="-4"/>
                <w:sz w:val="16"/>
                <w:szCs w:val="16"/>
                <w:lang w:eastAsia="en-GB"/>
              </w:rPr>
              <w:t xml:space="preserve">-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65FC89D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w:t>
            </w:r>
          </w:p>
        </w:tc>
        <w:tc>
          <w:tcPr>
            <w:tcW w:w="737" w:type="dxa"/>
            <w:shd w:val="clear" w:color="auto" w:fill="auto"/>
            <w:noWrap/>
            <w:vAlign w:val="center"/>
            <w:hideMark/>
          </w:tcPr>
          <w:p w14:paraId="244113C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8,888</w:t>
            </w:r>
          </w:p>
        </w:tc>
        <w:tc>
          <w:tcPr>
            <w:tcW w:w="737" w:type="dxa"/>
            <w:shd w:val="clear" w:color="auto" w:fill="auto"/>
            <w:noWrap/>
            <w:vAlign w:val="center"/>
            <w:hideMark/>
          </w:tcPr>
          <w:p w14:paraId="6FA0EA9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3,741</w:t>
            </w:r>
          </w:p>
        </w:tc>
        <w:tc>
          <w:tcPr>
            <w:tcW w:w="795" w:type="dxa"/>
            <w:shd w:val="clear" w:color="auto" w:fill="auto"/>
            <w:noWrap/>
            <w:vAlign w:val="center"/>
            <w:hideMark/>
          </w:tcPr>
          <w:p w14:paraId="0B53DA1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51,575</w:t>
            </w:r>
          </w:p>
        </w:tc>
        <w:tc>
          <w:tcPr>
            <w:tcW w:w="823" w:type="dxa"/>
            <w:shd w:val="clear" w:color="auto" w:fill="auto"/>
            <w:noWrap/>
            <w:vAlign w:val="center"/>
            <w:hideMark/>
          </w:tcPr>
          <w:p w14:paraId="2AE2E30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15,267</w:t>
            </w:r>
          </w:p>
        </w:tc>
        <w:tc>
          <w:tcPr>
            <w:tcW w:w="795" w:type="dxa"/>
            <w:shd w:val="clear" w:color="auto" w:fill="auto"/>
            <w:noWrap/>
            <w:vAlign w:val="center"/>
            <w:hideMark/>
          </w:tcPr>
          <w:p w14:paraId="5D2D27C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88,252</w:t>
            </w:r>
          </w:p>
        </w:tc>
        <w:tc>
          <w:tcPr>
            <w:tcW w:w="737" w:type="dxa"/>
            <w:shd w:val="clear" w:color="auto" w:fill="auto"/>
            <w:noWrap/>
            <w:vAlign w:val="center"/>
            <w:hideMark/>
          </w:tcPr>
          <w:p w14:paraId="285B4CF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317</w:t>
            </w:r>
          </w:p>
        </w:tc>
        <w:tc>
          <w:tcPr>
            <w:tcW w:w="795" w:type="dxa"/>
            <w:shd w:val="clear" w:color="auto" w:fill="auto"/>
            <w:noWrap/>
            <w:vAlign w:val="center"/>
            <w:hideMark/>
          </w:tcPr>
          <w:p w14:paraId="51A4738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28,399</w:t>
            </w:r>
          </w:p>
        </w:tc>
        <w:tc>
          <w:tcPr>
            <w:tcW w:w="737" w:type="dxa"/>
            <w:shd w:val="clear" w:color="auto" w:fill="auto"/>
            <w:noWrap/>
            <w:vAlign w:val="center"/>
            <w:hideMark/>
          </w:tcPr>
          <w:p w14:paraId="2CEFD23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075F495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752</w:t>
            </w:r>
          </w:p>
        </w:tc>
        <w:tc>
          <w:tcPr>
            <w:tcW w:w="803" w:type="dxa"/>
            <w:shd w:val="clear" w:color="auto" w:fill="auto"/>
            <w:noWrap/>
            <w:vAlign w:val="center"/>
            <w:hideMark/>
          </w:tcPr>
          <w:p w14:paraId="6D8E4B0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71</w:t>
            </w:r>
          </w:p>
        </w:tc>
        <w:tc>
          <w:tcPr>
            <w:tcW w:w="737" w:type="dxa"/>
            <w:shd w:val="clear" w:color="auto" w:fill="auto"/>
            <w:noWrap/>
            <w:vAlign w:val="center"/>
            <w:hideMark/>
          </w:tcPr>
          <w:p w14:paraId="06E1280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564</w:t>
            </w:r>
          </w:p>
        </w:tc>
        <w:tc>
          <w:tcPr>
            <w:tcW w:w="737" w:type="dxa"/>
            <w:shd w:val="clear" w:color="auto" w:fill="auto"/>
            <w:noWrap/>
            <w:vAlign w:val="center"/>
            <w:hideMark/>
          </w:tcPr>
          <w:p w14:paraId="06C88DE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7,046</w:t>
            </w:r>
          </w:p>
        </w:tc>
        <w:tc>
          <w:tcPr>
            <w:tcW w:w="737" w:type="dxa"/>
            <w:shd w:val="clear" w:color="auto" w:fill="auto"/>
            <w:noWrap/>
            <w:vAlign w:val="center"/>
            <w:hideMark/>
          </w:tcPr>
          <w:p w14:paraId="56F87AB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195</w:t>
            </w:r>
          </w:p>
        </w:tc>
        <w:tc>
          <w:tcPr>
            <w:tcW w:w="795" w:type="dxa"/>
            <w:shd w:val="clear" w:color="auto" w:fill="auto"/>
            <w:noWrap/>
            <w:vAlign w:val="center"/>
            <w:hideMark/>
          </w:tcPr>
          <w:p w14:paraId="15895165"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205,079</w:t>
            </w:r>
          </w:p>
        </w:tc>
      </w:tr>
      <w:tr w:rsidR="002735B4" w:rsidRPr="00445472" w14:paraId="6897A3CF" w14:textId="77777777" w:rsidTr="002A1F08">
        <w:trPr>
          <w:trHeight w:val="225"/>
        </w:trPr>
        <w:tc>
          <w:tcPr>
            <w:tcW w:w="2041" w:type="dxa"/>
            <w:shd w:val="clear" w:color="auto" w:fill="auto"/>
            <w:noWrap/>
            <w:vAlign w:val="center"/>
            <w:hideMark/>
          </w:tcPr>
          <w:p w14:paraId="51185D32" w14:textId="7A3F49FD"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riparimi dhe mirëmbajtjeje-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2EBC1A0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926</w:t>
            </w:r>
          </w:p>
        </w:tc>
        <w:tc>
          <w:tcPr>
            <w:tcW w:w="737" w:type="dxa"/>
            <w:shd w:val="clear" w:color="auto" w:fill="auto"/>
            <w:noWrap/>
            <w:vAlign w:val="center"/>
            <w:hideMark/>
          </w:tcPr>
          <w:p w14:paraId="013FA11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840</w:t>
            </w:r>
          </w:p>
        </w:tc>
        <w:tc>
          <w:tcPr>
            <w:tcW w:w="737" w:type="dxa"/>
            <w:shd w:val="clear" w:color="auto" w:fill="auto"/>
            <w:noWrap/>
            <w:vAlign w:val="center"/>
            <w:hideMark/>
          </w:tcPr>
          <w:p w14:paraId="0112BBD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225</w:t>
            </w:r>
          </w:p>
        </w:tc>
        <w:tc>
          <w:tcPr>
            <w:tcW w:w="795" w:type="dxa"/>
            <w:shd w:val="clear" w:color="auto" w:fill="auto"/>
            <w:noWrap/>
            <w:vAlign w:val="center"/>
            <w:hideMark/>
          </w:tcPr>
          <w:p w14:paraId="46BC85C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5,508</w:t>
            </w:r>
          </w:p>
        </w:tc>
        <w:tc>
          <w:tcPr>
            <w:tcW w:w="823" w:type="dxa"/>
            <w:shd w:val="clear" w:color="auto" w:fill="auto"/>
            <w:noWrap/>
            <w:vAlign w:val="center"/>
            <w:hideMark/>
          </w:tcPr>
          <w:p w14:paraId="496475B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638</w:t>
            </w:r>
          </w:p>
        </w:tc>
        <w:tc>
          <w:tcPr>
            <w:tcW w:w="795" w:type="dxa"/>
            <w:shd w:val="clear" w:color="auto" w:fill="auto"/>
            <w:noWrap/>
            <w:vAlign w:val="center"/>
            <w:hideMark/>
          </w:tcPr>
          <w:p w14:paraId="2E0415D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4,756</w:t>
            </w:r>
          </w:p>
        </w:tc>
        <w:tc>
          <w:tcPr>
            <w:tcW w:w="737" w:type="dxa"/>
            <w:shd w:val="clear" w:color="auto" w:fill="auto"/>
            <w:noWrap/>
            <w:vAlign w:val="center"/>
            <w:hideMark/>
          </w:tcPr>
          <w:p w14:paraId="6DC5B8D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369</w:t>
            </w:r>
          </w:p>
        </w:tc>
        <w:tc>
          <w:tcPr>
            <w:tcW w:w="795" w:type="dxa"/>
            <w:shd w:val="clear" w:color="auto" w:fill="auto"/>
            <w:noWrap/>
            <w:vAlign w:val="center"/>
            <w:hideMark/>
          </w:tcPr>
          <w:p w14:paraId="5550AF4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9,213</w:t>
            </w:r>
          </w:p>
        </w:tc>
        <w:tc>
          <w:tcPr>
            <w:tcW w:w="737" w:type="dxa"/>
            <w:shd w:val="clear" w:color="auto" w:fill="auto"/>
            <w:noWrap/>
            <w:vAlign w:val="center"/>
            <w:hideMark/>
          </w:tcPr>
          <w:p w14:paraId="1360FFD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447</w:t>
            </w:r>
          </w:p>
        </w:tc>
        <w:tc>
          <w:tcPr>
            <w:tcW w:w="768" w:type="dxa"/>
            <w:shd w:val="clear" w:color="auto" w:fill="auto"/>
            <w:noWrap/>
            <w:vAlign w:val="center"/>
            <w:hideMark/>
          </w:tcPr>
          <w:p w14:paraId="0B44057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2,167</w:t>
            </w:r>
          </w:p>
        </w:tc>
        <w:tc>
          <w:tcPr>
            <w:tcW w:w="803" w:type="dxa"/>
            <w:shd w:val="clear" w:color="auto" w:fill="auto"/>
            <w:noWrap/>
            <w:vAlign w:val="center"/>
            <w:hideMark/>
          </w:tcPr>
          <w:p w14:paraId="4B938E8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3,464</w:t>
            </w:r>
          </w:p>
        </w:tc>
        <w:tc>
          <w:tcPr>
            <w:tcW w:w="737" w:type="dxa"/>
            <w:shd w:val="clear" w:color="auto" w:fill="auto"/>
            <w:noWrap/>
            <w:vAlign w:val="center"/>
            <w:hideMark/>
          </w:tcPr>
          <w:p w14:paraId="76D0F15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1,127</w:t>
            </w:r>
          </w:p>
        </w:tc>
        <w:tc>
          <w:tcPr>
            <w:tcW w:w="737" w:type="dxa"/>
            <w:shd w:val="clear" w:color="auto" w:fill="auto"/>
            <w:noWrap/>
            <w:vAlign w:val="center"/>
            <w:hideMark/>
          </w:tcPr>
          <w:p w14:paraId="48C79E4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132</w:t>
            </w:r>
          </w:p>
        </w:tc>
        <w:tc>
          <w:tcPr>
            <w:tcW w:w="737" w:type="dxa"/>
            <w:shd w:val="clear" w:color="auto" w:fill="auto"/>
            <w:noWrap/>
            <w:vAlign w:val="center"/>
            <w:hideMark/>
          </w:tcPr>
          <w:p w14:paraId="2D10C80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5,189</w:t>
            </w:r>
          </w:p>
        </w:tc>
        <w:tc>
          <w:tcPr>
            <w:tcW w:w="795" w:type="dxa"/>
            <w:shd w:val="clear" w:color="auto" w:fill="auto"/>
            <w:noWrap/>
            <w:vAlign w:val="center"/>
            <w:hideMark/>
          </w:tcPr>
          <w:p w14:paraId="77D60556"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35,000</w:t>
            </w:r>
          </w:p>
        </w:tc>
      </w:tr>
      <w:tr w:rsidR="002735B4" w:rsidRPr="00445472" w14:paraId="77F57969" w14:textId="77777777" w:rsidTr="002A1F08">
        <w:trPr>
          <w:trHeight w:val="225"/>
        </w:trPr>
        <w:tc>
          <w:tcPr>
            <w:tcW w:w="2041" w:type="dxa"/>
            <w:shd w:val="clear" w:color="auto" w:fill="auto"/>
            <w:noWrap/>
            <w:vAlign w:val="center"/>
            <w:hideMark/>
          </w:tcPr>
          <w:p w14:paraId="1C7427E0" w14:textId="2C441EE9"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e Shërbime të kontraktuara-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2F2A708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A2BAEB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8DA0A0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89</w:t>
            </w:r>
          </w:p>
        </w:tc>
        <w:tc>
          <w:tcPr>
            <w:tcW w:w="795" w:type="dxa"/>
            <w:shd w:val="clear" w:color="auto" w:fill="auto"/>
            <w:noWrap/>
            <w:vAlign w:val="center"/>
            <w:hideMark/>
          </w:tcPr>
          <w:p w14:paraId="6FC08CA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48E1E7F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9,087</w:t>
            </w:r>
          </w:p>
        </w:tc>
        <w:tc>
          <w:tcPr>
            <w:tcW w:w="795" w:type="dxa"/>
            <w:shd w:val="clear" w:color="auto" w:fill="auto"/>
            <w:noWrap/>
            <w:vAlign w:val="center"/>
            <w:hideMark/>
          </w:tcPr>
          <w:p w14:paraId="1D8DF3F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9,147</w:t>
            </w:r>
          </w:p>
        </w:tc>
        <w:tc>
          <w:tcPr>
            <w:tcW w:w="737" w:type="dxa"/>
            <w:shd w:val="clear" w:color="auto" w:fill="auto"/>
            <w:noWrap/>
            <w:vAlign w:val="center"/>
            <w:hideMark/>
          </w:tcPr>
          <w:p w14:paraId="69D5D5E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B7CB49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A2920B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66D8926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3,116</w:t>
            </w:r>
          </w:p>
        </w:tc>
        <w:tc>
          <w:tcPr>
            <w:tcW w:w="803" w:type="dxa"/>
            <w:shd w:val="clear" w:color="auto" w:fill="auto"/>
            <w:noWrap/>
            <w:vAlign w:val="center"/>
            <w:hideMark/>
          </w:tcPr>
          <w:p w14:paraId="1D753A4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3,995</w:t>
            </w:r>
          </w:p>
        </w:tc>
        <w:tc>
          <w:tcPr>
            <w:tcW w:w="737" w:type="dxa"/>
            <w:shd w:val="clear" w:color="auto" w:fill="auto"/>
            <w:noWrap/>
            <w:vAlign w:val="center"/>
            <w:hideMark/>
          </w:tcPr>
          <w:p w14:paraId="354AA7B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7,676</w:t>
            </w:r>
          </w:p>
        </w:tc>
        <w:tc>
          <w:tcPr>
            <w:tcW w:w="737" w:type="dxa"/>
            <w:shd w:val="clear" w:color="auto" w:fill="auto"/>
            <w:noWrap/>
            <w:vAlign w:val="center"/>
            <w:hideMark/>
          </w:tcPr>
          <w:p w14:paraId="0C10E81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FA5185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7BA4AFB4"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33,110</w:t>
            </w:r>
          </w:p>
        </w:tc>
      </w:tr>
      <w:tr w:rsidR="002735B4" w:rsidRPr="00445472" w14:paraId="56B6377C" w14:textId="77777777" w:rsidTr="002A1F08">
        <w:trPr>
          <w:trHeight w:val="225"/>
        </w:trPr>
        <w:tc>
          <w:tcPr>
            <w:tcW w:w="2041" w:type="dxa"/>
            <w:shd w:val="clear" w:color="auto" w:fill="auto"/>
            <w:noWrap/>
            <w:vAlign w:val="center"/>
            <w:hideMark/>
          </w:tcPr>
          <w:p w14:paraId="1F3F9613" w14:textId="79338512"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të tjera-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656D242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845</w:t>
            </w:r>
          </w:p>
        </w:tc>
        <w:tc>
          <w:tcPr>
            <w:tcW w:w="737" w:type="dxa"/>
            <w:shd w:val="clear" w:color="auto" w:fill="auto"/>
            <w:noWrap/>
            <w:vAlign w:val="center"/>
            <w:hideMark/>
          </w:tcPr>
          <w:p w14:paraId="2710D06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353</w:t>
            </w:r>
          </w:p>
        </w:tc>
        <w:tc>
          <w:tcPr>
            <w:tcW w:w="737" w:type="dxa"/>
            <w:shd w:val="clear" w:color="auto" w:fill="auto"/>
            <w:noWrap/>
            <w:vAlign w:val="center"/>
            <w:hideMark/>
          </w:tcPr>
          <w:p w14:paraId="4B189A6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143</w:t>
            </w:r>
          </w:p>
        </w:tc>
        <w:tc>
          <w:tcPr>
            <w:tcW w:w="795" w:type="dxa"/>
            <w:shd w:val="clear" w:color="auto" w:fill="auto"/>
            <w:noWrap/>
            <w:vAlign w:val="center"/>
            <w:hideMark/>
          </w:tcPr>
          <w:p w14:paraId="09E8FD4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4,790</w:t>
            </w:r>
          </w:p>
        </w:tc>
        <w:tc>
          <w:tcPr>
            <w:tcW w:w="823" w:type="dxa"/>
            <w:shd w:val="clear" w:color="auto" w:fill="auto"/>
            <w:noWrap/>
            <w:vAlign w:val="center"/>
            <w:hideMark/>
          </w:tcPr>
          <w:p w14:paraId="4A4835D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3,061</w:t>
            </w:r>
          </w:p>
        </w:tc>
        <w:tc>
          <w:tcPr>
            <w:tcW w:w="795" w:type="dxa"/>
            <w:shd w:val="clear" w:color="auto" w:fill="auto"/>
            <w:noWrap/>
            <w:vAlign w:val="center"/>
            <w:hideMark/>
          </w:tcPr>
          <w:p w14:paraId="4F45B49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1,142</w:t>
            </w:r>
          </w:p>
        </w:tc>
        <w:tc>
          <w:tcPr>
            <w:tcW w:w="737" w:type="dxa"/>
            <w:shd w:val="clear" w:color="auto" w:fill="auto"/>
            <w:noWrap/>
            <w:vAlign w:val="center"/>
            <w:hideMark/>
          </w:tcPr>
          <w:p w14:paraId="402F10D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496</w:t>
            </w:r>
          </w:p>
        </w:tc>
        <w:tc>
          <w:tcPr>
            <w:tcW w:w="795" w:type="dxa"/>
            <w:shd w:val="clear" w:color="auto" w:fill="auto"/>
            <w:noWrap/>
            <w:vAlign w:val="center"/>
            <w:hideMark/>
          </w:tcPr>
          <w:p w14:paraId="68A653E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2,998</w:t>
            </w:r>
          </w:p>
        </w:tc>
        <w:tc>
          <w:tcPr>
            <w:tcW w:w="737" w:type="dxa"/>
            <w:shd w:val="clear" w:color="auto" w:fill="auto"/>
            <w:noWrap/>
            <w:vAlign w:val="center"/>
            <w:hideMark/>
          </w:tcPr>
          <w:p w14:paraId="4FEDEDE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125</w:t>
            </w:r>
          </w:p>
        </w:tc>
        <w:tc>
          <w:tcPr>
            <w:tcW w:w="768" w:type="dxa"/>
            <w:shd w:val="clear" w:color="auto" w:fill="auto"/>
            <w:noWrap/>
            <w:vAlign w:val="center"/>
            <w:hideMark/>
          </w:tcPr>
          <w:p w14:paraId="75CBC19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3,987</w:t>
            </w:r>
          </w:p>
        </w:tc>
        <w:tc>
          <w:tcPr>
            <w:tcW w:w="803" w:type="dxa"/>
            <w:shd w:val="clear" w:color="auto" w:fill="auto"/>
            <w:noWrap/>
            <w:vAlign w:val="center"/>
            <w:hideMark/>
          </w:tcPr>
          <w:p w14:paraId="24CE39B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708</w:t>
            </w:r>
          </w:p>
        </w:tc>
        <w:tc>
          <w:tcPr>
            <w:tcW w:w="737" w:type="dxa"/>
            <w:shd w:val="clear" w:color="auto" w:fill="auto"/>
            <w:noWrap/>
            <w:vAlign w:val="center"/>
            <w:hideMark/>
          </w:tcPr>
          <w:p w14:paraId="1689BB9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2,175</w:t>
            </w:r>
          </w:p>
        </w:tc>
        <w:tc>
          <w:tcPr>
            <w:tcW w:w="737" w:type="dxa"/>
            <w:shd w:val="clear" w:color="auto" w:fill="auto"/>
            <w:noWrap/>
            <w:vAlign w:val="center"/>
            <w:hideMark/>
          </w:tcPr>
          <w:p w14:paraId="3CEE3E9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1,308</w:t>
            </w:r>
          </w:p>
        </w:tc>
        <w:tc>
          <w:tcPr>
            <w:tcW w:w="737" w:type="dxa"/>
            <w:shd w:val="clear" w:color="auto" w:fill="auto"/>
            <w:noWrap/>
            <w:vAlign w:val="center"/>
            <w:hideMark/>
          </w:tcPr>
          <w:p w14:paraId="1AE4CDB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543</w:t>
            </w:r>
          </w:p>
        </w:tc>
        <w:tc>
          <w:tcPr>
            <w:tcW w:w="795" w:type="dxa"/>
            <w:shd w:val="clear" w:color="auto" w:fill="auto"/>
            <w:noWrap/>
            <w:vAlign w:val="center"/>
            <w:hideMark/>
          </w:tcPr>
          <w:p w14:paraId="56B41C80"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22,673</w:t>
            </w:r>
          </w:p>
        </w:tc>
      </w:tr>
      <w:tr w:rsidR="002735B4" w:rsidRPr="00445472" w14:paraId="4A454868" w14:textId="77777777" w:rsidTr="002A1F08">
        <w:trPr>
          <w:trHeight w:val="225"/>
        </w:trPr>
        <w:tc>
          <w:tcPr>
            <w:tcW w:w="2041" w:type="dxa"/>
            <w:shd w:val="clear" w:color="auto" w:fill="auto"/>
            <w:noWrap/>
            <w:vAlign w:val="center"/>
            <w:hideMark/>
          </w:tcPr>
          <w:p w14:paraId="277B79D9" w14:textId="287524F9"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 xml:space="preserve">Kosto direkte </w:t>
            </w:r>
            <w:r w:rsidR="00D45EAA" w:rsidRPr="00445472">
              <w:rPr>
                <w:rFonts w:ascii="Garamond" w:hAnsi="Garamond"/>
                <w:b/>
                <w:bCs/>
                <w:spacing w:val="-4"/>
                <w:sz w:val="16"/>
                <w:szCs w:val="16"/>
                <w:lang w:eastAsia="en-GB"/>
              </w:rPr>
              <w:t xml:space="preserve">operative </w:t>
            </w:r>
            <w:r w:rsidRPr="00445472">
              <w:rPr>
                <w:rFonts w:ascii="Garamond" w:hAnsi="Garamond"/>
                <w:b/>
                <w:bCs/>
                <w:spacing w:val="-4"/>
                <w:sz w:val="16"/>
                <w:szCs w:val="16"/>
                <w:lang w:eastAsia="en-GB"/>
              </w:rPr>
              <w:t xml:space="preserve">- </w:t>
            </w:r>
            <w:r w:rsidR="00D45EAA" w:rsidRPr="00445472">
              <w:rPr>
                <w:rFonts w:ascii="Garamond" w:hAnsi="Garamond"/>
                <w:b/>
                <w:bCs/>
                <w:spacing w:val="-4"/>
                <w:sz w:val="16"/>
                <w:szCs w:val="16"/>
                <w:lang w:eastAsia="en-GB"/>
              </w:rPr>
              <w:t xml:space="preserve">ujë </w:t>
            </w:r>
            <w:r w:rsidRPr="00445472">
              <w:rPr>
                <w:rFonts w:ascii="Garamond" w:hAnsi="Garamond"/>
                <w:b/>
                <w:bCs/>
                <w:spacing w:val="-4"/>
                <w:sz w:val="16"/>
                <w:szCs w:val="16"/>
                <w:lang w:eastAsia="en-GB"/>
              </w:rPr>
              <w:t xml:space="preserve">(000 </w:t>
            </w:r>
            <w:r w:rsidR="00D45EAA" w:rsidRPr="00445472">
              <w:rPr>
                <w:rFonts w:ascii="Garamond" w:hAnsi="Garamond"/>
                <w:b/>
                <w:bCs/>
                <w:spacing w:val="-4"/>
                <w:sz w:val="16"/>
                <w:szCs w:val="16"/>
                <w:lang w:eastAsia="en-GB"/>
              </w:rPr>
              <w:t>lek</w:t>
            </w:r>
            <w:r w:rsidRPr="00445472">
              <w:rPr>
                <w:rFonts w:ascii="Garamond" w:hAnsi="Garamond"/>
                <w:b/>
                <w:bCs/>
                <w:spacing w:val="-4"/>
                <w:sz w:val="16"/>
                <w:szCs w:val="16"/>
                <w:lang w:eastAsia="en-GB"/>
              </w:rPr>
              <w:t>)</w:t>
            </w:r>
          </w:p>
        </w:tc>
        <w:tc>
          <w:tcPr>
            <w:tcW w:w="737" w:type="dxa"/>
            <w:shd w:val="clear" w:color="auto" w:fill="auto"/>
            <w:noWrap/>
            <w:vAlign w:val="center"/>
            <w:hideMark/>
          </w:tcPr>
          <w:p w14:paraId="46FE3F9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7,805</w:t>
            </w:r>
          </w:p>
        </w:tc>
        <w:tc>
          <w:tcPr>
            <w:tcW w:w="737" w:type="dxa"/>
            <w:shd w:val="clear" w:color="auto" w:fill="auto"/>
            <w:noWrap/>
            <w:vAlign w:val="center"/>
            <w:hideMark/>
          </w:tcPr>
          <w:p w14:paraId="22DA61D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13,863</w:t>
            </w:r>
          </w:p>
        </w:tc>
        <w:tc>
          <w:tcPr>
            <w:tcW w:w="737" w:type="dxa"/>
            <w:shd w:val="clear" w:color="auto" w:fill="auto"/>
            <w:noWrap/>
            <w:vAlign w:val="center"/>
            <w:hideMark/>
          </w:tcPr>
          <w:p w14:paraId="2EE7603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12,260</w:t>
            </w:r>
          </w:p>
        </w:tc>
        <w:tc>
          <w:tcPr>
            <w:tcW w:w="795" w:type="dxa"/>
            <w:shd w:val="clear" w:color="auto" w:fill="auto"/>
            <w:noWrap/>
            <w:vAlign w:val="center"/>
            <w:hideMark/>
          </w:tcPr>
          <w:p w14:paraId="7D63479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84,673</w:t>
            </w:r>
          </w:p>
        </w:tc>
        <w:tc>
          <w:tcPr>
            <w:tcW w:w="823" w:type="dxa"/>
            <w:shd w:val="clear" w:color="auto" w:fill="auto"/>
            <w:noWrap/>
            <w:vAlign w:val="center"/>
            <w:hideMark/>
          </w:tcPr>
          <w:p w14:paraId="64BF5B3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49,404</w:t>
            </w:r>
          </w:p>
        </w:tc>
        <w:tc>
          <w:tcPr>
            <w:tcW w:w="795" w:type="dxa"/>
            <w:shd w:val="clear" w:color="auto" w:fill="auto"/>
            <w:noWrap/>
            <w:vAlign w:val="center"/>
            <w:hideMark/>
          </w:tcPr>
          <w:p w14:paraId="1C1BB06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147,687</w:t>
            </w:r>
          </w:p>
        </w:tc>
        <w:tc>
          <w:tcPr>
            <w:tcW w:w="737" w:type="dxa"/>
            <w:shd w:val="clear" w:color="auto" w:fill="auto"/>
            <w:noWrap/>
            <w:vAlign w:val="center"/>
            <w:hideMark/>
          </w:tcPr>
          <w:p w14:paraId="6D4AAA8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5,758</w:t>
            </w:r>
          </w:p>
        </w:tc>
        <w:tc>
          <w:tcPr>
            <w:tcW w:w="795" w:type="dxa"/>
            <w:shd w:val="clear" w:color="auto" w:fill="auto"/>
            <w:noWrap/>
            <w:vAlign w:val="center"/>
            <w:hideMark/>
          </w:tcPr>
          <w:p w14:paraId="647C810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76,261</w:t>
            </w:r>
          </w:p>
        </w:tc>
        <w:tc>
          <w:tcPr>
            <w:tcW w:w="737" w:type="dxa"/>
            <w:shd w:val="clear" w:color="auto" w:fill="auto"/>
            <w:noWrap/>
            <w:vAlign w:val="center"/>
            <w:hideMark/>
          </w:tcPr>
          <w:p w14:paraId="176E420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4,135</w:t>
            </w:r>
          </w:p>
        </w:tc>
        <w:tc>
          <w:tcPr>
            <w:tcW w:w="768" w:type="dxa"/>
            <w:shd w:val="clear" w:color="auto" w:fill="auto"/>
            <w:noWrap/>
            <w:vAlign w:val="center"/>
            <w:hideMark/>
          </w:tcPr>
          <w:p w14:paraId="7BE8F77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25,068</w:t>
            </w:r>
          </w:p>
        </w:tc>
        <w:tc>
          <w:tcPr>
            <w:tcW w:w="803" w:type="dxa"/>
            <w:shd w:val="clear" w:color="auto" w:fill="auto"/>
            <w:noWrap/>
            <w:vAlign w:val="center"/>
            <w:hideMark/>
          </w:tcPr>
          <w:p w14:paraId="336B5F8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20,152</w:t>
            </w:r>
          </w:p>
        </w:tc>
        <w:tc>
          <w:tcPr>
            <w:tcW w:w="737" w:type="dxa"/>
            <w:shd w:val="clear" w:color="auto" w:fill="auto"/>
            <w:noWrap/>
            <w:vAlign w:val="center"/>
            <w:hideMark/>
          </w:tcPr>
          <w:p w14:paraId="393CDE9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19,736</w:t>
            </w:r>
          </w:p>
        </w:tc>
        <w:tc>
          <w:tcPr>
            <w:tcW w:w="737" w:type="dxa"/>
            <w:shd w:val="clear" w:color="auto" w:fill="auto"/>
            <w:noWrap/>
            <w:vAlign w:val="center"/>
            <w:hideMark/>
          </w:tcPr>
          <w:p w14:paraId="6F3510B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17,608</w:t>
            </w:r>
          </w:p>
        </w:tc>
        <w:tc>
          <w:tcPr>
            <w:tcW w:w="737" w:type="dxa"/>
            <w:shd w:val="clear" w:color="auto" w:fill="auto"/>
            <w:noWrap/>
            <w:vAlign w:val="center"/>
            <w:hideMark/>
          </w:tcPr>
          <w:p w14:paraId="61CE201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29,093</w:t>
            </w:r>
          </w:p>
        </w:tc>
        <w:tc>
          <w:tcPr>
            <w:tcW w:w="795" w:type="dxa"/>
            <w:shd w:val="clear" w:color="auto" w:fill="auto"/>
            <w:noWrap/>
            <w:vAlign w:val="center"/>
            <w:hideMark/>
          </w:tcPr>
          <w:p w14:paraId="3BB28280"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513,502</w:t>
            </w:r>
          </w:p>
        </w:tc>
      </w:tr>
      <w:tr w:rsidR="002735B4" w:rsidRPr="00445472" w14:paraId="4F165FB5" w14:textId="77777777" w:rsidTr="002A1F08">
        <w:trPr>
          <w:trHeight w:val="225"/>
        </w:trPr>
        <w:tc>
          <w:tcPr>
            <w:tcW w:w="2041" w:type="dxa"/>
            <w:shd w:val="clear" w:color="auto" w:fill="auto"/>
            <w:noWrap/>
            <w:vAlign w:val="center"/>
            <w:hideMark/>
          </w:tcPr>
          <w:p w14:paraId="5EF7AACD"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 kapitale</w:t>
            </w:r>
          </w:p>
        </w:tc>
        <w:tc>
          <w:tcPr>
            <w:tcW w:w="737" w:type="dxa"/>
            <w:shd w:val="clear" w:color="auto" w:fill="auto"/>
            <w:noWrap/>
            <w:vAlign w:val="center"/>
            <w:hideMark/>
          </w:tcPr>
          <w:p w14:paraId="5E605F5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235DFB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7D49D9D"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12AF6EF9"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F40FF40"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2B8D2E5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2369AD6"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3DEF38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B31A8E8"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3B29B9D4"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4ACAC312"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FAA673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745EB5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0614975"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F4BEED5"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0EE888F9" w14:textId="77777777" w:rsidTr="002A1F08">
        <w:trPr>
          <w:trHeight w:val="225"/>
        </w:trPr>
        <w:tc>
          <w:tcPr>
            <w:tcW w:w="2041" w:type="dxa"/>
            <w:shd w:val="clear" w:color="auto" w:fill="auto"/>
            <w:noWrap/>
            <w:vAlign w:val="center"/>
            <w:hideMark/>
          </w:tcPr>
          <w:p w14:paraId="2862862F" w14:textId="1E616C7C"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Zhvlerësimi</w:t>
            </w:r>
            <w:r w:rsidR="00D45EAA" w:rsidRPr="00445472">
              <w:rPr>
                <w:rFonts w:ascii="Garamond" w:hAnsi="Garamond"/>
                <w:spacing w:val="-4"/>
                <w:sz w:val="16"/>
                <w:szCs w:val="16"/>
                <w:lang w:eastAsia="en-GB"/>
              </w:rPr>
              <w:t xml:space="preserve"> </w:t>
            </w:r>
            <w:r w:rsidRPr="00445472">
              <w:rPr>
                <w:rFonts w:ascii="Garamond" w:hAnsi="Garamond"/>
                <w:spacing w:val="-4"/>
                <w:sz w:val="16"/>
                <w:szCs w:val="16"/>
                <w:lang w:eastAsia="en-GB"/>
              </w:rPr>
              <w:t xml:space="preserve">- </w:t>
            </w:r>
            <w:r w:rsidR="00D45EAA" w:rsidRPr="00445472">
              <w:rPr>
                <w:rFonts w:ascii="Garamond" w:hAnsi="Garamond"/>
                <w:spacing w:val="-4"/>
                <w:sz w:val="16"/>
                <w:szCs w:val="16"/>
                <w:lang w:eastAsia="en-GB"/>
              </w:rPr>
              <w:t xml:space="preserve">ujë </w:t>
            </w:r>
            <w:r w:rsidRPr="00445472">
              <w:rPr>
                <w:rFonts w:ascii="Garamond" w:hAnsi="Garamond"/>
                <w:spacing w:val="-4"/>
                <w:sz w:val="16"/>
                <w:szCs w:val="16"/>
                <w:lang w:eastAsia="en-GB"/>
              </w:rPr>
              <w:t>(000 Lek)</w:t>
            </w:r>
          </w:p>
        </w:tc>
        <w:tc>
          <w:tcPr>
            <w:tcW w:w="737" w:type="dxa"/>
            <w:shd w:val="clear" w:color="auto" w:fill="auto"/>
            <w:noWrap/>
            <w:vAlign w:val="center"/>
            <w:hideMark/>
          </w:tcPr>
          <w:p w14:paraId="66C2945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1,068</w:t>
            </w:r>
          </w:p>
        </w:tc>
        <w:tc>
          <w:tcPr>
            <w:tcW w:w="737" w:type="dxa"/>
            <w:shd w:val="clear" w:color="auto" w:fill="auto"/>
            <w:noWrap/>
            <w:vAlign w:val="center"/>
            <w:hideMark/>
          </w:tcPr>
          <w:p w14:paraId="51C18A3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960</w:t>
            </w:r>
          </w:p>
        </w:tc>
        <w:tc>
          <w:tcPr>
            <w:tcW w:w="737" w:type="dxa"/>
            <w:shd w:val="clear" w:color="auto" w:fill="auto"/>
            <w:noWrap/>
            <w:vAlign w:val="center"/>
            <w:hideMark/>
          </w:tcPr>
          <w:p w14:paraId="08E0848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7,022</w:t>
            </w:r>
          </w:p>
        </w:tc>
        <w:tc>
          <w:tcPr>
            <w:tcW w:w="795" w:type="dxa"/>
            <w:shd w:val="clear" w:color="auto" w:fill="auto"/>
            <w:noWrap/>
            <w:vAlign w:val="center"/>
            <w:hideMark/>
          </w:tcPr>
          <w:p w14:paraId="2848DE0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42,348</w:t>
            </w:r>
          </w:p>
        </w:tc>
        <w:tc>
          <w:tcPr>
            <w:tcW w:w="823" w:type="dxa"/>
            <w:shd w:val="clear" w:color="auto" w:fill="auto"/>
            <w:noWrap/>
            <w:vAlign w:val="center"/>
            <w:hideMark/>
          </w:tcPr>
          <w:p w14:paraId="0E7A61C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22,800</w:t>
            </w:r>
          </w:p>
        </w:tc>
        <w:tc>
          <w:tcPr>
            <w:tcW w:w="795" w:type="dxa"/>
            <w:shd w:val="clear" w:color="auto" w:fill="auto"/>
            <w:noWrap/>
            <w:vAlign w:val="center"/>
            <w:hideMark/>
          </w:tcPr>
          <w:p w14:paraId="0804C6D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46,640</w:t>
            </w:r>
          </w:p>
        </w:tc>
        <w:tc>
          <w:tcPr>
            <w:tcW w:w="737" w:type="dxa"/>
            <w:shd w:val="clear" w:color="auto" w:fill="auto"/>
            <w:noWrap/>
            <w:vAlign w:val="center"/>
            <w:hideMark/>
          </w:tcPr>
          <w:p w14:paraId="3A4DC40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2,520</w:t>
            </w:r>
          </w:p>
        </w:tc>
        <w:tc>
          <w:tcPr>
            <w:tcW w:w="795" w:type="dxa"/>
            <w:shd w:val="clear" w:color="auto" w:fill="auto"/>
            <w:noWrap/>
            <w:vAlign w:val="center"/>
            <w:hideMark/>
          </w:tcPr>
          <w:p w14:paraId="5466462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37,680</w:t>
            </w:r>
          </w:p>
        </w:tc>
        <w:tc>
          <w:tcPr>
            <w:tcW w:w="737" w:type="dxa"/>
            <w:shd w:val="clear" w:color="auto" w:fill="auto"/>
            <w:noWrap/>
            <w:vAlign w:val="center"/>
            <w:hideMark/>
          </w:tcPr>
          <w:p w14:paraId="729DA7B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1,798</w:t>
            </w:r>
          </w:p>
        </w:tc>
        <w:tc>
          <w:tcPr>
            <w:tcW w:w="768" w:type="dxa"/>
            <w:shd w:val="clear" w:color="auto" w:fill="auto"/>
            <w:noWrap/>
            <w:vAlign w:val="center"/>
            <w:hideMark/>
          </w:tcPr>
          <w:p w14:paraId="25392DF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4,473</w:t>
            </w:r>
          </w:p>
        </w:tc>
        <w:tc>
          <w:tcPr>
            <w:tcW w:w="803" w:type="dxa"/>
            <w:shd w:val="clear" w:color="auto" w:fill="auto"/>
            <w:noWrap/>
            <w:vAlign w:val="center"/>
            <w:hideMark/>
          </w:tcPr>
          <w:p w14:paraId="1DA5460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6,600</w:t>
            </w:r>
          </w:p>
        </w:tc>
        <w:tc>
          <w:tcPr>
            <w:tcW w:w="737" w:type="dxa"/>
            <w:shd w:val="clear" w:color="auto" w:fill="auto"/>
            <w:noWrap/>
            <w:vAlign w:val="center"/>
            <w:hideMark/>
          </w:tcPr>
          <w:p w14:paraId="687B761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3,900</w:t>
            </w:r>
          </w:p>
        </w:tc>
        <w:tc>
          <w:tcPr>
            <w:tcW w:w="737" w:type="dxa"/>
            <w:shd w:val="clear" w:color="auto" w:fill="auto"/>
            <w:noWrap/>
            <w:vAlign w:val="center"/>
            <w:hideMark/>
          </w:tcPr>
          <w:p w14:paraId="636D64F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4,524</w:t>
            </w:r>
          </w:p>
        </w:tc>
        <w:tc>
          <w:tcPr>
            <w:tcW w:w="737" w:type="dxa"/>
            <w:shd w:val="clear" w:color="auto" w:fill="auto"/>
            <w:noWrap/>
            <w:vAlign w:val="center"/>
            <w:hideMark/>
          </w:tcPr>
          <w:p w14:paraId="76C7E63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16,620</w:t>
            </w:r>
          </w:p>
        </w:tc>
        <w:tc>
          <w:tcPr>
            <w:tcW w:w="795" w:type="dxa"/>
            <w:shd w:val="clear" w:color="auto" w:fill="auto"/>
            <w:noWrap/>
            <w:vAlign w:val="center"/>
            <w:hideMark/>
          </w:tcPr>
          <w:p w14:paraId="6DD7E7E7"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198,952</w:t>
            </w:r>
          </w:p>
        </w:tc>
      </w:tr>
      <w:tr w:rsidR="002735B4" w:rsidRPr="00445472" w14:paraId="37ABCB1D" w14:textId="77777777" w:rsidTr="002A1F08">
        <w:trPr>
          <w:trHeight w:val="225"/>
        </w:trPr>
        <w:tc>
          <w:tcPr>
            <w:tcW w:w="2041" w:type="dxa"/>
            <w:shd w:val="clear" w:color="auto" w:fill="auto"/>
            <w:noWrap/>
            <w:vAlign w:val="center"/>
            <w:hideMark/>
          </w:tcPr>
          <w:p w14:paraId="09DB7C45" w14:textId="325BC415"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Shlyerje </w:t>
            </w:r>
            <w:r w:rsidR="00D45EAA" w:rsidRPr="00445472">
              <w:rPr>
                <w:rFonts w:ascii="Garamond" w:hAnsi="Garamond"/>
                <w:spacing w:val="-4"/>
                <w:sz w:val="16"/>
                <w:szCs w:val="16"/>
                <w:lang w:eastAsia="en-GB"/>
              </w:rPr>
              <w:t xml:space="preserve">borxhi </w:t>
            </w:r>
            <w:r w:rsidRPr="00445472">
              <w:rPr>
                <w:rFonts w:ascii="Garamond" w:hAnsi="Garamond"/>
                <w:spacing w:val="-4"/>
                <w:sz w:val="16"/>
                <w:szCs w:val="16"/>
                <w:lang w:eastAsia="en-GB"/>
              </w:rPr>
              <w:t>(principalit)</w:t>
            </w:r>
          </w:p>
        </w:tc>
        <w:tc>
          <w:tcPr>
            <w:tcW w:w="737" w:type="dxa"/>
            <w:shd w:val="clear" w:color="auto" w:fill="auto"/>
            <w:noWrap/>
            <w:vAlign w:val="center"/>
            <w:hideMark/>
          </w:tcPr>
          <w:p w14:paraId="443B254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C12EAB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CC25B7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773BFC4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53495EF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2,470</w:t>
            </w:r>
          </w:p>
        </w:tc>
        <w:tc>
          <w:tcPr>
            <w:tcW w:w="795" w:type="dxa"/>
            <w:shd w:val="clear" w:color="auto" w:fill="auto"/>
            <w:noWrap/>
            <w:vAlign w:val="center"/>
            <w:hideMark/>
          </w:tcPr>
          <w:p w14:paraId="40CC443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761540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6BE0B7C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6F637A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4EC2326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0B1545E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A26B11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50</w:t>
            </w:r>
          </w:p>
        </w:tc>
        <w:tc>
          <w:tcPr>
            <w:tcW w:w="737" w:type="dxa"/>
            <w:shd w:val="clear" w:color="auto" w:fill="auto"/>
            <w:noWrap/>
            <w:vAlign w:val="center"/>
            <w:hideMark/>
          </w:tcPr>
          <w:p w14:paraId="4965805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5F9B5D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67C2CFD3"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2,520</w:t>
            </w:r>
          </w:p>
        </w:tc>
      </w:tr>
      <w:tr w:rsidR="002735B4" w:rsidRPr="00445472" w14:paraId="4E0976D4" w14:textId="77777777" w:rsidTr="002A1F08">
        <w:trPr>
          <w:trHeight w:val="225"/>
        </w:trPr>
        <w:tc>
          <w:tcPr>
            <w:tcW w:w="2041" w:type="dxa"/>
            <w:shd w:val="clear" w:color="auto" w:fill="auto"/>
            <w:noWrap/>
            <w:vAlign w:val="center"/>
            <w:hideMark/>
          </w:tcPr>
          <w:p w14:paraId="549BDBDE"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 administrative</w:t>
            </w:r>
          </w:p>
        </w:tc>
        <w:tc>
          <w:tcPr>
            <w:tcW w:w="737" w:type="dxa"/>
            <w:shd w:val="clear" w:color="auto" w:fill="auto"/>
            <w:noWrap/>
            <w:vAlign w:val="center"/>
            <w:hideMark/>
          </w:tcPr>
          <w:p w14:paraId="7A4EC6A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B283AA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15E086F"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F764AE9"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5824BC83"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1460CEB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0E66C16"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2CD77A4"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F73746B"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2B45FC4D"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36ECCEC5"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5C52945"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7CCFD6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E22413E"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432DC5C9"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73A68D95" w14:textId="77777777" w:rsidTr="002A1F08">
        <w:trPr>
          <w:trHeight w:val="225"/>
        </w:trPr>
        <w:tc>
          <w:tcPr>
            <w:tcW w:w="2041" w:type="dxa"/>
            <w:shd w:val="clear" w:color="auto" w:fill="auto"/>
            <w:noWrap/>
            <w:vAlign w:val="center"/>
            <w:hideMark/>
          </w:tcPr>
          <w:p w14:paraId="5C206F71" w14:textId="48857AA0"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Interes – ujë</w:t>
            </w:r>
            <w:r w:rsidR="00D45EAA" w:rsidRPr="00445472">
              <w:rPr>
                <w:rFonts w:ascii="Garamond" w:hAnsi="Garamond"/>
                <w:spacing w:val="-4"/>
                <w:sz w:val="16"/>
                <w:szCs w:val="16"/>
                <w:lang w:eastAsia="en-GB"/>
              </w:rPr>
              <w:t xml:space="preserve">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6360266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AAD396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27FAF9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577FC38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5B7C775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3,251</w:t>
            </w:r>
          </w:p>
        </w:tc>
        <w:tc>
          <w:tcPr>
            <w:tcW w:w="795" w:type="dxa"/>
            <w:shd w:val="clear" w:color="auto" w:fill="auto"/>
            <w:noWrap/>
            <w:vAlign w:val="center"/>
            <w:hideMark/>
          </w:tcPr>
          <w:p w14:paraId="50FC37E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6F8675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32A13BB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E7C9D7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3DB2C59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0E52EB0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1E0F35B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88CCD4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CACEDA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w:t>
            </w:r>
          </w:p>
        </w:tc>
        <w:tc>
          <w:tcPr>
            <w:tcW w:w="795" w:type="dxa"/>
            <w:shd w:val="clear" w:color="auto" w:fill="auto"/>
            <w:noWrap/>
            <w:vAlign w:val="center"/>
            <w:hideMark/>
          </w:tcPr>
          <w:p w14:paraId="7126AC22"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3,264</w:t>
            </w:r>
          </w:p>
        </w:tc>
      </w:tr>
      <w:tr w:rsidR="002735B4" w:rsidRPr="00445472" w14:paraId="722BF5A5" w14:textId="77777777" w:rsidTr="002A1F08">
        <w:trPr>
          <w:trHeight w:val="225"/>
        </w:trPr>
        <w:tc>
          <w:tcPr>
            <w:tcW w:w="2041" w:type="dxa"/>
            <w:shd w:val="clear" w:color="auto" w:fill="auto"/>
            <w:noWrap/>
            <w:vAlign w:val="center"/>
            <w:hideMark/>
          </w:tcPr>
          <w:p w14:paraId="5792896F" w14:textId="2C609ACB"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të tjera financiare - ujë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2BAF4E5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112</w:t>
            </w:r>
          </w:p>
        </w:tc>
        <w:tc>
          <w:tcPr>
            <w:tcW w:w="737" w:type="dxa"/>
            <w:shd w:val="clear" w:color="auto" w:fill="auto"/>
            <w:noWrap/>
            <w:vAlign w:val="center"/>
            <w:hideMark/>
          </w:tcPr>
          <w:p w14:paraId="7F5DA32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649859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0D97753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067758C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4,003</w:t>
            </w:r>
          </w:p>
        </w:tc>
        <w:tc>
          <w:tcPr>
            <w:tcW w:w="795" w:type="dxa"/>
            <w:shd w:val="clear" w:color="auto" w:fill="auto"/>
            <w:noWrap/>
            <w:vAlign w:val="center"/>
            <w:hideMark/>
          </w:tcPr>
          <w:p w14:paraId="2B968A5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3,951</w:t>
            </w:r>
          </w:p>
        </w:tc>
        <w:tc>
          <w:tcPr>
            <w:tcW w:w="737" w:type="dxa"/>
            <w:shd w:val="clear" w:color="auto" w:fill="auto"/>
            <w:noWrap/>
            <w:vAlign w:val="center"/>
            <w:hideMark/>
          </w:tcPr>
          <w:p w14:paraId="4944F0B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74D435A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463</w:t>
            </w:r>
          </w:p>
        </w:tc>
        <w:tc>
          <w:tcPr>
            <w:tcW w:w="737" w:type="dxa"/>
            <w:shd w:val="clear" w:color="auto" w:fill="auto"/>
            <w:noWrap/>
            <w:vAlign w:val="center"/>
            <w:hideMark/>
          </w:tcPr>
          <w:p w14:paraId="0C1C6F2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39E16A0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17ACC11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104</w:t>
            </w:r>
          </w:p>
        </w:tc>
        <w:tc>
          <w:tcPr>
            <w:tcW w:w="737" w:type="dxa"/>
            <w:shd w:val="clear" w:color="auto" w:fill="auto"/>
            <w:noWrap/>
            <w:vAlign w:val="center"/>
            <w:hideMark/>
          </w:tcPr>
          <w:p w14:paraId="59778A0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1,516</w:t>
            </w:r>
          </w:p>
        </w:tc>
        <w:tc>
          <w:tcPr>
            <w:tcW w:w="737" w:type="dxa"/>
            <w:shd w:val="clear" w:color="auto" w:fill="auto"/>
            <w:noWrap/>
            <w:vAlign w:val="center"/>
            <w:hideMark/>
          </w:tcPr>
          <w:p w14:paraId="59F835F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23B40B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2,047</w:t>
            </w:r>
          </w:p>
        </w:tc>
        <w:tc>
          <w:tcPr>
            <w:tcW w:w="795" w:type="dxa"/>
            <w:shd w:val="clear" w:color="auto" w:fill="auto"/>
            <w:noWrap/>
            <w:vAlign w:val="center"/>
            <w:hideMark/>
          </w:tcPr>
          <w:p w14:paraId="562F5DBD"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12,196</w:t>
            </w:r>
          </w:p>
        </w:tc>
      </w:tr>
      <w:tr w:rsidR="002735B4" w:rsidRPr="00445472" w14:paraId="50AF1CCB" w14:textId="77777777" w:rsidTr="002A1F08">
        <w:trPr>
          <w:trHeight w:val="225"/>
        </w:trPr>
        <w:tc>
          <w:tcPr>
            <w:tcW w:w="2041" w:type="dxa"/>
            <w:shd w:val="clear" w:color="auto" w:fill="auto"/>
            <w:noWrap/>
            <w:vAlign w:val="center"/>
            <w:hideMark/>
          </w:tcPr>
          <w:p w14:paraId="1B7BC0EA" w14:textId="25B80B9C"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burimore</w:t>
            </w:r>
          </w:p>
        </w:tc>
        <w:tc>
          <w:tcPr>
            <w:tcW w:w="737" w:type="dxa"/>
            <w:shd w:val="clear" w:color="auto" w:fill="auto"/>
            <w:noWrap/>
            <w:vAlign w:val="center"/>
            <w:hideMark/>
          </w:tcPr>
          <w:p w14:paraId="75A4A22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7EDA78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33FEB1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62A820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67CC55D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505E22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DC21C8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ACE4F5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7C7DCF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7975717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298F75E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FAA8F8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D5231B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54A58D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703F8A72"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0</w:t>
            </w:r>
          </w:p>
        </w:tc>
      </w:tr>
      <w:tr w:rsidR="002735B4" w:rsidRPr="00445472" w14:paraId="216A39B4" w14:textId="77777777" w:rsidTr="002A1F08">
        <w:trPr>
          <w:trHeight w:val="225"/>
        </w:trPr>
        <w:tc>
          <w:tcPr>
            <w:tcW w:w="2041" w:type="dxa"/>
            <w:shd w:val="clear" w:color="auto" w:fill="auto"/>
            <w:noWrap/>
            <w:vAlign w:val="center"/>
            <w:hideMark/>
          </w:tcPr>
          <w:p w14:paraId="68F0687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9E3A8F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DD502F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FE06ACB"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F6DC124"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0976249"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2AA26D0D"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43E6018"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7F9406D"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02968EC"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1FAAD89D"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7844BF52"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06CA72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355281B"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4F082B4"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29D3121A"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0DAA141A" w14:textId="77777777" w:rsidTr="002A1F08">
        <w:trPr>
          <w:trHeight w:val="225"/>
        </w:trPr>
        <w:tc>
          <w:tcPr>
            <w:tcW w:w="2041" w:type="dxa"/>
            <w:shd w:val="clear" w:color="auto" w:fill="auto"/>
            <w:noWrap/>
            <w:vAlign w:val="center"/>
            <w:hideMark/>
          </w:tcPr>
          <w:p w14:paraId="03346218" w14:textId="6642A4C5"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mjedisore</w:t>
            </w:r>
          </w:p>
        </w:tc>
        <w:tc>
          <w:tcPr>
            <w:tcW w:w="737" w:type="dxa"/>
            <w:shd w:val="clear" w:color="auto" w:fill="auto"/>
            <w:noWrap/>
            <w:vAlign w:val="center"/>
            <w:hideMark/>
          </w:tcPr>
          <w:p w14:paraId="0BA3F2F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BAB87D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E879C8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638D295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3978EB7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6EEE18C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F39A7B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1E4097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44B3ED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15B5C10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78BBE37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B13357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AF6BDD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6DECAD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1C193244"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0</w:t>
            </w:r>
          </w:p>
        </w:tc>
      </w:tr>
      <w:tr w:rsidR="002735B4" w:rsidRPr="00445472" w14:paraId="40EF44CE" w14:textId="77777777" w:rsidTr="002A1F08">
        <w:trPr>
          <w:trHeight w:val="225"/>
        </w:trPr>
        <w:tc>
          <w:tcPr>
            <w:tcW w:w="2041" w:type="dxa"/>
            <w:shd w:val="clear" w:color="auto" w:fill="auto"/>
            <w:noWrap/>
            <w:vAlign w:val="center"/>
            <w:hideMark/>
          </w:tcPr>
          <w:p w14:paraId="50D1E22A" w14:textId="7E51A37C"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totale ekonomike - </w:t>
            </w:r>
            <w:r w:rsidR="00D45EAA" w:rsidRPr="00445472">
              <w:rPr>
                <w:rFonts w:ascii="Garamond" w:hAnsi="Garamond"/>
                <w:b/>
                <w:bCs/>
                <w:spacing w:val="-4"/>
                <w:sz w:val="16"/>
                <w:szCs w:val="16"/>
                <w:lang w:eastAsia="en-GB"/>
              </w:rPr>
              <w:t xml:space="preserve">ujë </w:t>
            </w:r>
            <w:r w:rsidRPr="00445472">
              <w:rPr>
                <w:rFonts w:ascii="Garamond" w:hAnsi="Garamond"/>
                <w:b/>
                <w:bCs/>
                <w:spacing w:val="-4"/>
                <w:sz w:val="16"/>
                <w:szCs w:val="16"/>
                <w:lang w:eastAsia="en-GB"/>
              </w:rPr>
              <w:t xml:space="preserve">(000 </w:t>
            </w:r>
            <w:r w:rsidR="00D45EAA" w:rsidRPr="00445472">
              <w:rPr>
                <w:rFonts w:ascii="Garamond" w:hAnsi="Garamond"/>
                <w:b/>
                <w:bCs/>
                <w:spacing w:val="-4"/>
                <w:sz w:val="16"/>
                <w:szCs w:val="16"/>
                <w:lang w:eastAsia="en-GB"/>
              </w:rPr>
              <w:t>lek</w:t>
            </w:r>
            <w:r w:rsidRPr="00445472">
              <w:rPr>
                <w:rFonts w:ascii="Garamond" w:hAnsi="Garamond"/>
                <w:b/>
                <w:bCs/>
                <w:spacing w:val="-4"/>
                <w:sz w:val="16"/>
                <w:szCs w:val="16"/>
                <w:lang w:eastAsia="en-GB"/>
              </w:rPr>
              <w:t>)</w:t>
            </w:r>
          </w:p>
        </w:tc>
        <w:tc>
          <w:tcPr>
            <w:tcW w:w="737" w:type="dxa"/>
            <w:shd w:val="clear" w:color="auto" w:fill="auto"/>
            <w:noWrap/>
            <w:vAlign w:val="center"/>
            <w:hideMark/>
          </w:tcPr>
          <w:p w14:paraId="1EDE525B"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8,985</w:t>
            </w:r>
          </w:p>
        </w:tc>
        <w:tc>
          <w:tcPr>
            <w:tcW w:w="737" w:type="dxa"/>
            <w:shd w:val="clear" w:color="auto" w:fill="auto"/>
            <w:noWrap/>
            <w:vAlign w:val="center"/>
            <w:hideMark/>
          </w:tcPr>
          <w:p w14:paraId="520A328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14,823</w:t>
            </w:r>
          </w:p>
        </w:tc>
        <w:tc>
          <w:tcPr>
            <w:tcW w:w="737" w:type="dxa"/>
            <w:shd w:val="clear" w:color="auto" w:fill="auto"/>
            <w:noWrap/>
            <w:vAlign w:val="center"/>
            <w:hideMark/>
          </w:tcPr>
          <w:p w14:paraId="6C40DA67"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19,281</w:t>
            </w:r>
          </w:p>
        </w:tc>
        <w:tc>
          <w:tcPr>
            <w:tcW w:w="795" w:type="dxa"/>
            <w:shd w:val="clear" w:color="auto" w:fill="auto"/>
            <w:noWrap/>
            <w:vAlign w:val="center"/>
            <w:hideMark/>
          </w:tcPr>
          <w:p w14:paraId="0F07833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127,021</w:t>
            </w:r>
          </w:p>
        </w:tc>
        <w:tc>
          <w:tcPr>
            <w:tcW w:w="823" w:type="dxa"/>
            <w:shd w:val="clear" w:color="auto" w:fill="auto"/>
            <w:noWrap/>
            <w:vAlign w:val="center"/>
            <w:hideMark/>
          </w:tcPr>
          <w:p w14:paraId="2E41170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81,929</w:t>
            </w:r>
          </w:p>
        </w:tc>
        <w:tc>
          <w:tcPr>
            <w:tcW w:w="795" w:type="dxa"/>
            <w:shd w:val="clear" w:color="auto" w:fill="auto"/>
            <w:noWrap/>
            <w:vAlign w:val="center"/>
            <w:hideMark/>
          </w:tcPr>
          <w:p w14:paraId="121CC5FA"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198,278</w:t>
            </w:r>
          </w:p>
        </w:tc>
        <w:tc>
          <w:tcPr>
            <w:tcW w:w="737" w:type="dxa"/>
            <w:shd w:val="clear" w:color="auto" w:fill="auto"/>
            <w:noWrap/>
            <w:vAlign w:val="center"/>
            <w:hideMark/>
          </w:tcPr>
          <w:p w14:paraId="74E3D345"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8,278</w:t>
            </w:r>
          </w:p>
        </w:tc>
        <w:tc>
          <w:tcPr>
            <w:tcW w:w="795" w:type="dxa"/>
            <w:shd w:val="clear" w:color="auto" w:fill="auto"/>
            <w:noWrap/>
            <w:vAlign w:val="center"/>
            <w:hideMark/>
          </w:tcPr>
          <w:p w14:paraId="632CFAE5"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114,404</w:t>
            </w:r>
          </w:p>
        </w:tc>
        <w:tc>
          <w:tcPr>
            <w:tcW w:w="737" w:type="dxa"/>
            <w:shd w:val="clear" w:color="auto" w:fill="auto"/>
            <w:noWrap/>
            <w:vAlign w:val="center"/>
            <w:hideMark/>
          </w:tcPr>
          <w:p w14:paraId="4FA214B5"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5,933</w:t>
            </w:r>
          </w:p>
        </w:tc>
        <w:tc>
          <w:tcPr>
            <w:tcW w:w="768" w:type="dxa"/>
            <w:shd w:val="clear" w:color="auto" w:fill="auto"/>
            <w:noWrap/>
            <w:vAlign w:val="center"/>
            <w:hideMark/>
          </w:tcPr>
          <w:p w14:paraId="180144B7"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29,541</w:t>
            </w:r>
          </w:p>
        </w:tc>
        <w:tc>
          <w:tcPr>
            <w:tcW w:w="803" w:type="dxa"/>
            <w:shd w:val="clear" w:color="auto" w:fill="auto"/>
            <w:noWrap/>
            <w:vAlign w:val="center"/>
            <w:hideMark/>
          </w:tcPr>
          <w:p w14:paraId="03B5D59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26,856</w:t>
            </w:r>
          </w:p>
        </w:tc>
        <w:tc>
          <w:tcPr>
            <w:tcW w:w="737" w:type="dxa"/>
            <w:shd w:val="clear" w:color="auto" w:fill="auto"/>
            <w:noWrap/>
            <w:vAlign w:val="center"/>
            <w:hideMark/>
          </w:tcPr>
          <w:p w14:paraId="71D06CD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25,202</w:t>
            </w:r>
          </w:p>
        </w:tc>
        <w:tc>
          <w:tcPr>
            <w:tcW w:w="737" w:type="dxa"/>
            <w:shd w:val="clear" w:color="auto" w:fill="auto"/>
            <w:noWrap/>
            <w:vAlign w:val="center"/>
            <w:hideMark/>
          </w:tcPr>
          <w:p w14:paraId="63EBF2D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22,132</w:t>
            </w:r>
          </w:p>
        </w:tc>
        <w:tc>
          <w:tcPr>
            <w:tcW w:w="737" w:type="dxa"/>
            <w:shd w:val="clear" w:color="auto" w:fill="auto"/>
            <w:noWrap/>
            <w:vAlign w:val="center"/>
            <w:hideMark/>
          </w:tcPr>
          <w:p w14:paraId="6DCFABEB"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47,773</w:t>
            </w:r>
          </w:p>
        </w:tc>
        <w:tc>
          <w:tcPr>
            <w:tcW w:w="795" w:type="dxa"/>
            <w:shd w:val="clear" w:color="auto" w:fill="auto"/>
            <w:noWrap/>
            <w:vAlign w:val="center"/>
            <w:hideMark/>
          </w:tcPr>
          <w:p w14:paraId="53034EB5"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730,434</w:t>
            </w:r>
          </w:p>
        </w:tc>
      </w:tr>
      <w:tr w:rsidR="002735B4" w:rsidRPr="00445472" w14:paraId="51493022" w14:textId="77777777" w:rsidTr="002A1F08">
        <w:trPr>
          <w:trHeight w:val="225"/>
        </w:trPr>
        <w:tc>
          <w:tcPr>
            <w:tcW w:w="2041" w:type="dxa"/>
            <w:shd w:val="clear" w:color="auto" w:fill="auto"/>
            <w:noWrap/>
            <w:vAlign w:val="center"/>
            <w:hideMark/>
          </w:tcPr>
          <w:p w14:paraId="362F5E84"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5249B2F6"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0636C5E"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1414CA8"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126A246"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322C17B8"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096C1D6"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2972056"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4AC044CE"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D1C6A34"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56231EC9"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1C60F35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E632C4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DA6DFC2"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5E2FD41"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401A700B"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14680A9D" w14:textId="77777777" w:rsidTr="002A1F08">
        <w:trPr>
          <w:trHeight w:val="225"/>
        </w:trPr>
        <w:tc>
          <w:tcPr>
            <w:tcW w:w="2041" w:type="dxa"/>
            <w:shd w:val="clear" w:color="auto" w:fill="auto"/>
            <w:noWrap/>
            <w:vAlign w:val="center"/>
            <w:hideMark/>
          </w:tcPr>
          <w:p w14:paraId="7FC875E5"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Shërbime kanalizime</w:t>
            </w:r>
          </w:p>
        </w:tc>
        <w:tc>
          <w:tcPr>
            <w:tcW w:w="737" w:type="dxa"/>
            <w:shd w:val="clear" w:color="auto" w:fill="auto"/>
            <w:noWrap/>
            <w:vAlign w:val="center"/>
            <w:hideMark/>
          </w:tcPr>
          <w:p w14:paraId="485FC176"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C8D9BAB"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F99B3C0"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4691DBA3"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4A3E50A"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7E968EE4"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0F4ADFF"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75C4028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BA0D3DE"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63ECF717"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14D0088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BE4988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BBB8F2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570133A"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779E7128"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78266AFF" w14:textId="77777777" w:rsidTr="002A1F08">
        <w:trPr>
          <w:trHeight w:val="225"/>
        </w:trPr>
        <w:tc>
          <w:tcPr>
            <w:tcW w:w="2041" w:type="dxa"/>
            <w:shd w:val="clear" w:color="auto" w:fill="auto"/>
            <w:noWrap/>
            <w:vAlign w:val="center"/>
            <w:hideMark/>
          </w:tcPr>
          <w:p w14:paraId="766BDEE8" w14:textId="5EB9B951"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operative dhe mirëmbajtjeje</w:t>
            </w:r>
          </w:p>
        </w:tc>
        <w:tc>
          <w:tcPr>
            <w:tcW w:w="737" w:type="dxa"/>
            <w:shd w:val="clear" w:color="auto" w:fill="auto"/>
            <w:noWrap/>
            <w:vAlign w:val="center"/>
            <w:hideMark/>
          </w:tcPr>
          <w:p w14:paraId="23535B2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FDBA36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817A864"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7EA3CA3C"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C924BB1"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436EB4B8"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917D495"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72431485"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2771B98"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7E6A51A2"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4FCAB5A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EA6AC0B"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B22F192"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69A4422"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7349AE1"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1EA3675F" w14:textId="77777777" w:rsidTr="002A1F08">
        <w:trPr>
          <w:trHeight w:val="225"/>
        </w:trPr>
        <w:tc>
          <w:tcPr>
            <w:tcW w:w="2041" w:type="dxa"/>
            <w:shd w:val="clear" w:color="auto" w:fill="auto"/>
            <w:noWrap/>
            <w:vAlign w:val="center"/>
            <w:hideMark/>
          </w:tcPr>
          <w:p w14:paraId="74E3C0DA" w14:textId="35CB9902"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e punës-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606A741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791</w:t>
            </w:r>
          </w:p>
        </w:tc>
        <w:tc>
          <w:tcPr>
            <w:tcW w:w="737" w:type="dxa"/>
            <w:shd w:val="clear" w:color="auto" w:fill="auto"/>
            <w:noWrap/>
            <w:vAlign w:val="center"/>
            <w:hideMark/>
          </w:tcPr>
          <w:p w14:paraId="6EF46AC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1B2092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1615C62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7,157</w:t>
            </w:r>
          </w:p>
        </w:tc>
        <w:tc>
          <w:tcPr>
            <w:tcW w:w="823" w:type="dxa"/>
            <w:shd w:val="clear" w:color="auto" w:fill="auto"/>
            <w:noWrap/>
            <w:vAlign w:val="center"/>
            <w:hideMark/>
          </w:tcPr>
          <w:p w14:paraId="5C5FADB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8,511</w:t>
            </w:r>
          </w:p>
        </w:tc>
        <w:tc>
          <w:tcPr>
            <w:tcW w:w="795" w:type="dxa"/>
            <w:shd w:val="clear" w:color="auto" w:fill="auto"/>
            <w:noWrap/>
            <w:vAlign w:val="center"/>
            <w:hideMark/>
          </w:tcPr>
          <w:p w14:paraId="5D9846B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37,024</w:t>
            </w:r>
          </w:p>
        </w:tc>
        <w:tc>
          <w:tcPr>
            <w:tcW w:w="737" w:type="dxa"/>
            <w:shd w:val="clear" w:color="auto" w:fill="auto"/>
            <w:noWrap/>
            <w:vAlign w:val="center"/>
            <w:hideMark/>
          </w:tcPr>
          <w:p w14:paraId="35DE5A7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1,077</w:t>
            </w:r>
          </w:p>
        </w:tc>
        <w:tc>
          <w:tcPr>
            <w:tcW w:w="795" w:type="dxa"/>
            <w:shd w:val="clear" w:color="auto" w:fill="auto"/>
            <w:noWrap/>
            <w:vAlign w:val="center"/>
            <w:hideMark/>
          </w:tcPr>
          <w:p w14:paraId="2E4040B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1,264</w:t>
            </w:r>
          </w:p>
        </w:tc>
        <w:tc>
          <w:tcPr>
            <w:tcW w:w="737" w:type="dxa"/>
            <w:shd w:val="clear" w:color="auto" w:fill="auto"/>
            <w:noWrap/>
            <w:vAlign w:val="center"/>
            <w:hideMark/>
          </w:tcPr>
          <w:p w14:paraId="7200B2D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1,956</w:t>
            </w:r>
          </w:p>
        </w:tc>
        <w:tc>
          <w:tcPr>
            <w:tcW w:w="768" w:type="dxa"/>
            <w:shd w:val="clear" w:color="auto" w:fill="auto"/>
            <w:noWrap/>
            <w:vAlign w:val="center"/>
            <w:hideMark/>
          </w:tcPr>
          <w:p w14:paraId="1FDA62B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3,591</w:t>
            </w:r>
          </w:p>
        </w:tc>
        <w:tc>
          <w:tcPr>
            <w:tcW w:w="803" w:type="dxa"/>
            <w:shd w:val="clear" w:color="auto" w:fill="auto"/>
            <w:noWrap/>
            <w:vAlign w:val="center"/>
            <w:hideMark/>
          </w:tcPr>
          <w:p w14:paraId="180AA4C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980</w:t>
            </w:r>
          </w:p>
        </w:tc>
        <w:tc>
          <w:tcPr>
            <w:tcW w:w="737" w:type="dxa"/>
            <w:shd w:val="clear" w:color="auto" w:fill="auto"/>
            <w:noWrap/>
            <w:vAlign w:val="center"/>
            <w:hideMark/>
          </w:tcPr>
          <w:p w14:paraId="6B60685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C90C49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8D220E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1,583</w:t>
            </w:r>
          </w:p>
        </w:tc>
        <w:tc>
          <w:tcPr>
            <w:tcW w:w="795" w:type="dxa"/>
            <w:shd w:val="clear" w:color="auto" w:fill="auto"/>
            <w:noWrap/>
            <w:vAlign w:val="center"/>
            <w:hideMark/>
          </w:tcPr>
          <w:p w14:paraId="00462919"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63,932</w:t>
            </w:r>
          </w:p>
        </w:tc>
      </w:tr>
      <w:tr w:rsidR="002735B4" w:rsidRPr="00445472" w14:paraId="53A068AC" w14:textId="77777777" w:rsidTr="002A1F08">
        <w:trPr>
          <w:trHeight w:val="225"/>
        </w:trPr>
        <w:tc>
          <w:tcPr>
            <w:tcW w:w="2041" w:type="dxa"/>
            <w:shd w:val="clear" w:color="auto" w:fill="auto"/>
            <w:noWrap/>
            <w:vAlign w:val="center"/>
            <w:hideMark/>
          </w:tcPr>
          <w:p w14:paraId="7DC15F55" w14:textId="4D93378A"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materiale -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7E73347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4B0AB5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8AA416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69B347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192</w:t>
            </w:r>
          </w:p>
        </w:tc>
        <w:tc>
          <w:tcPr>
            <w:tcW w:w="823" w:type="dxa"/>
            <w:shd w:val="clear" w:color="auto" w:fill="auto"/>
            <w:noWrap/>
            <w:vAlign w:val="center"/>
            <w:hideMark/>
          </w:tcPr>
          <w:p w14:paraId="2B38168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1C5822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6</w:t>
            </w:r>
          </w:p>
        </w:tc>
        <w:tc>
          <w:tcPr>
            <w:tcW w:w="737" w:type="dxa"/>
            <w:shd w:val="clear" w:color="auto" w:fill="auto"/>
            <w:noWrap/>
            <w:vAlign w:val="center"/>
            <w:hideMark/>
          </w:tcPr>
          <w:p w14:paraId="311ED9B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24</w:t>
            </w:r>
          </w:p>
        </w:tc>
        <w:tc>
          <w:tcPr>
            <w:tcW w:w="795" w:type="dxa"/>
            <w:shd w:val="clear" w:color="auto" w:fill="auto"/>
            <w:noWrap/>
            <w:vAlign w:val="center"/>
            <w:hideMark/>
          </w:tcPr>
          <w:p w14:paraId="079379F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FBA671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83</w:t>
            </w:r>
          </w:p>
        </w:tc>
        <w:tc>
          <w:tcPr>
            <w:tcW w:w="768" w:type="dxa"/>
            <w:shd w:val="clear" w:color="auto" w:fill="auto"/>
            <w:noWrap/>
            <w:vAlign w:val="center"/>
            <w:hideMark/>
          </w:tcPr>
          <w:p w14:paraId="6D12F62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371</w:t>
            </w:r>
          </w:p>
        </w:tc>
        <w:tc>
          <w:tcPr>
            <w:tcW w:w="803" w:type="dxa"/>
            <w:shd w:val="clear" w:color="auto" w:fill="auto"/>
            <w:noWrap/>
            <w:vAlign w:val="center"/>
            <w:hideMark/>
          </w:tcPr>
          <w:p w14:paraId="0B7A844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664</w:t>
            </w:r>
          </w:p>
        </w:tc>
        <w:tc>
          <w:tcPr>
            <w:tcW w:w="737" w:type="dxa"/>
            <w:shd w:val="clear" w:color="auto" w:fill="auto"/>
            <w:noWrap/>
            <w:vAlign w:val="center"/>
            <w:hideMark/>
          </w:tcPr>
          <w:p w14:paraId="763225C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CDF6E9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2A3C06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729</w:t>
            </w:r>
          </w:p>
        </w:tc>
        <w:tc>
          <w:tcPr>
            <w:tcW w:w="795" w:type="dxa"/>
            <w:shd w:val="clear" w:color="auto" w:fill="auto"/>
            <w:noWrap/>
            <w:vAlign w:val="center"/>
            <w:hideMark/>
          </w:tcPr>
          <w:p w14:paraId="7F17EB07"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2,068</w:t>
            </w:r>
          </w:p>
        </w:tc>
      </w:tr>
      <w:tr w:rsidR="002735B4" w:rsidRPr="00445472" w14:paraId="792D9B51" w14:textId="77777777" w:rsidTr="002A1F08">
        <w:trPr>
          <w:trHeight w:val="225"/>
        </w:trPr>
        <w:tc>
          <w:tcPr>
            <w:tcW w:w="2041" w:type="dxa"/>
            <w:shd w:val="clear" w:color="auto" w:fill="auto"/>
            <w:noWrap/>
            <w:vAlign w:val="center"/>
            <w:hideMark/>
          </w:tcPr>
          <w:p w14:paraId="4BDC7583" w14:textId="151735D4"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të energjisë- S (000 </w:t>
            </w:r>
            <w:r w:rsidR="00D45EAA" w:rsidRPr="00445472">
              <w:rPr>
                <w:rFonts w:ascii="Garamond" w:hAnsi="Garamond"/>
                <w:spacing w:val="-4"/>
                <w:sz w:val="16"/>
                <w:szCs w:val="16"/>
                <w:lang w:eastAsia="en-GB"/>
              </w:rPr>
              <w:t>lek)</w:t>
            </w:r>
          </w:p>
        </w:tc>
        <w:tc>
          <w:tcPr>
            <w:tcW w:w="737" w:type="dxa"/>
            <w:shd w:val="clear" w:color="auto" w:fill="auto"/>
            <w:noWrap/>
            <w:vAlign w:val="center"/>
            <w:hideMark/>
          </w:tcPr>
          <w:p w14:paraId="6394F31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43D89C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7DC40E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7B2F06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2,625</w:t>
            </w:r>
          </w:p>
        </w:tc>
        <w:tc>
          <w:tcPr>
            <w:tcW w:w="823" w:type="dxa"/>
            <w:shd w:val="clear" w:color="auto" w:fill="auto"/>
            <w:noWrap/>
            <w:vAlign w:val="center"/>
            <w:hideMark/>
          </w:tcPr>
          <w:p w14:paraId="36BD7D6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5,923</w:t>
            </w:r>
          </w:p>
        </w:tc>
        <w:tc>
          <w:tcPr>
            <w:tcW w:w="795" w:type="dxa"/>
            <w:shd w:val="clear" w:color="auto" w:fill="auto"/>
            <w:noWrap/>
            <w:vAlign w:val="center"/>
            <w:hideMark/>
          </w:tcPr>
          <w:p w14:paraId="1E7FC38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1,374</w:t>
            </w:r>
          </w:p>
        </w:tc>
        <w:tc>
          <w:tcPr>
            <w:tcW w:w="737" w:type="dxa"/>
            <w:shd w:val="clear" w:color="auto" w:fill="auto"/>
            <w:noWrap/>
            <w:vAlign w:val="center"/>
            <w:hideMark/>
          </w:tcPr>
          <w:p w14:paraId="267D3BA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D67650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136</w:t>
            </w:r>
          </w:p>
        </w:tc>
        <w:tc>
          <w:tcPr>
            <w:tcW w:w="737" w:type="dxa"/>
            <w:shd w:val="clear" w:color="auto" w:fill="auto"/>
            <w:noWrap/>
            <w:vAlign w:val="center"/>
            <w:hideMark/>
          </w:tcPr>
          <w:p w14:paraId="729C20D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6AA60EF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7F98C84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347847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9B17FB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97CF84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A4CA39D"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10,058</w:t>
            </w:r>
          </w:p>
        </w:tc>
      </w:tr>
      <w:tr w:rsidR="002735B4" w:rsidRPr="00445472" w14:paraId="23CA099D" w14:textId="77777777" w:rsidTr="002A1F08">
        <w:trPr>
          <w:trHeight w:val="225"/>
        </w:trPr>
        <w:tc>
          <w:tcPr>
            <w:tcW w:w="2041" w:type="dxa"/>
            <w:shd w:val="clear" w:color="auto" w:fill="auto"/>
            <w:noWrap/>
            <w:vAlign w:val="center"/>
            <w:hideMark/>
          </w:tcPr>
          <w:p w14:paraId="65AC7819" w14:textId="6AF79836"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Kosto riparimi dhe mirëmbajtjeje</w:t>
            </w:r>
            <w:r w:rsidR="00D45EAA" w:rsidRPr="00445472">
              <w:rPr>
                <w:rFonts w:ascii="Garamond" w:hAnsi="Garamond"/>
                <w:spacing w:val="-4"/>
                <w:sz w:val="16"/>
                <w:szCs w:val="16"/>
                <w:lang w:eastAsia="en-GB"/>
              </w:rPr>
              <w:t xml:space="preserve"> </w:t>
            </w:r>
            <w:r w:rsidRPr="00445472">
              <w:rPr>
                <w:rFonts w:ascii="Garamond" w:hAnsi="Garamond"/>
                <w:spacing w:val="-4"/>
                <w:sz w:val="16"/>
                <w:szCs w:val="16"/>
                <w:lang w:eastAsia="en-GB"/>
              </w:rPr>
              <w:t xml:space="preserve">-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248832B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292</w:t>
            </w:r>
          </w:p>
        </w:tc>
        <w:tc>
          <w:tcPr>
            <w:tcW w:w="737" w:type="dxa"/>
            <w:shd w:val="clear" w:color="auto" w:fill="auto"/>
            <w:noWrap/>
            <w:vAlign w:val="center"/>
            <w:hideMark/>
          </w:tcPr>
          <w:p w14:paraId="180E9C4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38F1F8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4BA151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1,287</w:t>
            </w:r>
          </w:p>
        </w:tc>
        <w:tc>
          <w:tcPr>
            <w:tcW w:w="823" w:type="dxa"/>
            <w:shd w:val="clear" w:color="auto" w:fill="auto"/>
            <w:noWrap/>
            <w:vAlign w:val="center"/>
            <w:hideMark/>
          </w:tcPr>
          <w:p w14:paraId="11C7643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500</w:t>
            </w:r>
          </w:p>
        </w:tc>
        <w:tc>
          <w:tcPr>
            <w:tcW w:w="795" w:type="dxa"/>
            <w:shd w:val="clear" w:color="auto" w:fill="auto"/>
            <w:noWrap/>
            <w:vAlign w:val="center"/>
            <w:hideMark/>
          </w:tcPr>
          <w:p w14:paraId="295CD53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4,712</w:t>
            </w:r>
          </w:p>
        </w:tc>
        <w:tc>
          <w:tcPr>
            <w:tcW w:w="737" w:type="dxa"/>
            <w:shd w:val="clear" w:color="auto" w:fill="auto"/>
            <w:noWrap/>
            <w:vAlign w:val="center"/>
            <w:hideMark/>
          </w:tcPr>
          <w:p w14:paraId="696D92F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214</w:t>
            </w:r>
          </w:p>
        </w:tc>
        <w:tc>
          <w:tcPr>
            <w:tcW w:w="795" w:type="dxa"/>
            <w:shd w:val="clear" w:color="auto" w:fill="auto"/>
            <w:noWrap/>
            <w:vAlign w:val="center"/>
            <w:hideMark/>
          </w:tcPr>
          <w:p w14:paraId="2BAD3AE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733</w:t>
            </w:r>
          </w:p>
        </w:tc>
        <w:tc>
          <w:tcPr>
            <w:tcW w:w="737" w:type="dxa"/>
            <w:shd w:val="clear" w:color="auto" w:fill="auto"/>
            <w:noWrap/>
            <w:vAlign w:val="center"/>
            <w:hideMark/>
          </w:tcPr>
          <w:p w14:paraId="2FBA33F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130</w:t>
            </w:r>
          </w:p>
        </w:tc>
        <w:tc>
          <w:tcPr>
            <w:tcW w:w="768" w:type="dxa"/>
            <w:shd w:val="clear" w:color="auto" w:fill="auto"/>
            <w:noWrap/>
            <w:vAlign w:val="center"/>
            <w:hideMark/>
          </w:tcPr>
          <w:p w14:paraId="1569835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55</w:t>
            </w:r>
          </w:p>
        </w:tc>
        <w:tc>
          <w:tcPr>
            <w:tcW w:w="803" w:type="dxa"/>
            <w:shd w:val="clear" w:color="auto" w:fill="auto"/>
            <w:noWrap/>
            <w:vAlign w:val="center"/>
            <w:hideMark/>
          </w:tcPr>
          <w:p w14:paraId="0BDFB7C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1,002</w:t>
            </w:r>
          </w:p>
        </w:tc>
        <w:tc>
          <w:tcPr>
            <w:tcW w:w="737" w:type="dxa"/>
            <w:shd w:val="clear" w:color="auto" w:fill="auto"/>
            <w:noWrap/>
            <w:vAlign w:val="center"/>
            <w:hideMark/>
          </w:tcPr>
          <w:p w14:paraId="209A491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9F23A7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CB8C10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757</w:t>
            </w:r>
          </w:p>
        </w:tc>
        <w:tc>
          <w:tcPr>
            <w:tcW w:w="795" w:type="dxa"/>
            <w:shd w:val="clear" w:color="auto" w:fill="auto"/>
            <w:noWrap/>
            <w:vAlign w:val="center"/>
            <w:hideMark/>
          </w:tcPr>
          <w:p w14:paraId="16D27B1F"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9,682</w:t>
            </w:r>
          </w:p>
        </w:tc>
      </w:tr>
      <w:tr w:rsidR="002735B4" w:rsidRPr="00445472" w14:paraId="7A04CAD1" w14:textId="77777777" w:rsidTr="002A1F08">
        <w:trPr>
          <w:trHeight w:val="225"/>
        </w:trPr>
        <w:tc>
          <w:tcPr>
            <w:tcW w:w="2041" w:type="dxa"/>
            <w:shd w:val="clear" w:color="auto" w:fill="auto"/>
            <w:noWrap/>
            <w:vAlign w:val="center"/>
            <w:hideMark/>
          </w:tcPr>
          <w:p w14:paraId="18DF8C1A" w14:textId="1DCB1399"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e Shërbime të kontraktuara-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530E808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E65DF5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536B33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E8673A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770F1D9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2,435</w:t>
            </w:r>
          </w:p>
        </w:tc>
        <w:tc>
          <w:tcPr>
            <w:tcW w:w="795" w:type="dxa"/>
            <w:shd w:val="clear" w:color="auto" w:fill="auto"/>
            <w:noWrap/>
            <w:vAlign w:val="center"/>
            <w:hideMark/>
          </w:tcPr>
          <w:p w14:paraId="19EE05F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B688B4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54B52BB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55AF96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4E1EA9C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0964FEF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295BC8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56EFB8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DB484D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1594DA7"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2,435</w:t>
            </w:r>
          </w:p>
        </w:tc>
      </w:tr>
      <w:tr w:rsidR="002735B4" w:rsidRPr="00445472" w14:paraId="3619FE6D" w14:textId="77777777" w:rsidTr="002A1F08">
        <w:trPr>
          <w:trHeight w:val="225"/>
        </w:trPr>
        <w:tc>
          <w:tcPr>
            <w:tcW w:w="2041" w:type="dxa"/>
            <w:shd w:val="clear" w:color="auto" w:fill="auto"/>
            <w:noWrap/>
            <w:vAlign w:val="center"/>
            <w:hideMark/>
          </w:tcPr>
          <w:p w14:paraId="24E5BB40" w14:textId="0C4882D9"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Kosto të tjera-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1C4D3B8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9F1632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1C751F4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543E311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787</w:t>
            </w:r>
          </w:p>
        </w:tc>
        <w:tc>
          <w:tcPr>
            <w:tcW w:w="823" w:type="dxa"/>
            <w:shd w:val="clear" w:color="auto" w:fill="auto"/>
            <w:noWrap/>
            <w:vAlign w:val="center"/>
            <w:hideMark/>
          </w:tcPr>
          <w:p w14:paraId="70EE766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3,323</w:t>
            </w:r>
          </w:p>
        </w:tc>
        <w:tc>
          <w:tcPr>
            <w:tcW w:w="795" w:type="dxa"/>
            <w:shd w:val="clear" w:color="auto" w:fill="auto"/>
            <w:noWrap/>
            <w:vAlign w:val="center"/>
            <w:hideMark/>
          </w:tcPr>
          <w:p w14:paraId="074143F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1,085</w:t>
            </w:r>
          </w:p>
        </w:tc>
        <w:tc>
          <w:tcPr>
            <w:tcW w:w="737" w:type="dxa"/>
            <w:shd w:val="clear" w:color="auto" w:fill="auto"/>
            <w:noWrap/>
            <w:vAlign w:val="center"/>
            <w:hideMark/>
          </w:tcPr>
          <w:p w14:paraId="6DD8CF4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3194459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170</w:t>
            </w:r>
          </w:p>
        </w:tc>
        <w:tc>
          <w:tcPr>
            <w:tcW w:w="737" w:type="dxa"/>
            <w:shd w:val="clear" w:color="auto" w:fill="auto"/>
            <w:noWrap/>
            <w:vAlign w:val="center"/>
            <w:hideMark/>
          </w:tcPr>
          <w:p w14:paraId="203D617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w:t>
            </w:r>
          </w:p>
        </w:tc>
        <w:tc>
          <w:tcPr>
            <w:tcW w:w="768" w:type="dxa"/>
            <w:shd w:val="clear" w:color="auto" w:fill="auto"/>
            <w:noWrap/>
            <w:vAlign w:val="center"/>
            <w:hideMark/>
          </w:tcPr>
          <w:p w14:paraId="6DD1800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279</w:t>
            </w:r>
          </w:p>
        </w:tc>
        <w:tc>
          <w:tcPr>
            <w:tcW w:w="803" w:type="dxa"/>
            <w:shd w:val="clear" w:color="auto" w:fill="auto"/>
            <w:noWrap/>
            <w:vAlign w:val="center"/>
            <w:hideMark/>
          </w:tcPr>
          <w:p w14:paraId="192A60C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207</w:t>
            </w:r>
          </w:p>
        </w:tc>
        <w:tc>
          <w:tcPr>
            <w:tcW w:w="737" w:type="dxa"/>
            <w:shd w:val="clear" w:color="auto" w:fill="auto"/>
            <w:noWrap/>
            <w:vAlign w:val="center"/>
            <w:hideMark/>
          </w:tcPr>
          <w:p w14:paraId="09D01F2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1047884A"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3443B0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77</w:t>
            </w:r>
          </w:p>
        </w:tc>
        <w:tc>
          <w:tcPr>
            <w:tcW w:w="795" w:type="dxa"/>
            <w:shd w:val="clear" w:color="auto" w:fill="auto"/>
            <w:noWrap/>
            <w:vAlign w:val="center"/>
            <w:hideMark/>
          </w:tcPr>
          <w:p w14:paraId="0B9A3618"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5,937</w:t>
            </w:r>
          </w:p>
        </w:tc>
      </w:tr>
      <w:tr w:rsidR="002735B4" w:rsidRPr="00445472" w14:paraId="7273C81D" w14:textId="77777777" w:rsidTr="002A1F08">
        <w:trPr>
          <w:trHeight w:val="225"/>
        </w:trPr>
        <w:tc>
          <w:tcPr>
            <w:tcW w:w="2041" w:type="dxa"/>
            <w:shd w:val="clear" w:color="auto" w:fill="auto"/>
            <w:noWrap/>
            <w:vAlign w:val="center"/>
            <w:hideMark/>
          </w:tcPr>
          <w:p w14:paraId="1E426EEC" w14:textId="624D1EB1"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direkte operative- Ujëra të ndotura</w:t>
            </w:r>
            <w:r w:rsidR="00D45EAA" w:rsidRPr="00445472">
              <w:rPr>
                <w:rFonts w:ascii="Garamond" w:hAnsi="Garamond"/>
                <w:b/>
                <w:bCs/>
                <w:spacing w:val="-4"/>
                <w:sz w:val="16"/>
                <w:szCs w:val="16"/>
                <w:lang w:eastAsia="en-GB"/>
              </w:rPr>
              <w:t xml:space="preserve"> </w:t>
            </w:r>
            <w:r w:rsidRPr="00445472">
              <w:rPr>
                <w:rFonts w:ascii="Garamond" w:hAnsi="Garamond"/>
                <w:b/>
                <w:bCs/>
                <w:spacing w:val="-4"/>
                <w:sz w:val="16"/>
                <w:szCs w:val="16"/>
                <w:lang w:eastAsia="en-GB"/>
              </w:rPr>
              <w:t xml:space="preserve">(000 </w:t>
            </w:r>
            <w:r w:rsidR="00D45EAA" w:rsidRPr="00445472">
              <w:rPr>
                <w:rFonts w:ascii="Garamond" w:hAnsi="Garamond"/>
                <w:b/>
                <w:bCs/>
                <w:spacing w:val="-4"/>
                <w:sz w:val="16"/>
                <w:szCs w:val="16"/>
                <w:lang w:eastAsia="en-GB"/>
              </w:rPr>
              <w:t>lek</w:t>
            </w:r>
            <w:r w:rsidRPr="00445472">
              <w:rPr>
                <w:rFonts w:ascii="Garamond" w:hAnsi="Garamond"/>
                <w:b/>
                <w:bCs/>
                <w:spacing w:val="-4"/>
                <w:sz w:val="16"/>
                <w:szCs w:val="16"/>
                <w:lang w:eastAsia="en-GB"/>
              </w:rPr>
              <w:t>)</w:t>
            </w:r>
          </w:p>
        </w:tc>
        <w:tc>
          <w:tcPr>
            <w:tcW w:w="737" w:type="dxa"/>
            <w:shd w:val="clear" w:color="auto" w:fill="auto"/>
            <w:noWrap/>
            <w:vAlign w:val="center"/>
            <w:hideMark/>
          </w:tcPr>
          <w:p w14:paraId="75A6069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1,083</w:t>
            </w:r>
          </w:p>
        </w:tc>
        <w:tc>
          <w:tcPr>
            <w:tcW w:w="737" w:type="dxa"/>
            <w:shd w:val="clear" w:color="auto" w:fill="auto"/>
            <w:noWrap/>
            <w:vAlign w:val="center"/>
            <w:hideMark/>
          </w:tcPr>
          <w:p w14:paraId="7D587552"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4599C54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95" w:type="dxa"/>
            <w:shd w:val="clear" w:color="auto" w:fill="auto"/>
            <w:noWrap/>
            <w:vAlign w:val="center"/>
            <w:hideMark/>
          </w:tcPr>
          <w:p w14:paraId="3732CDDA"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12,048</w:t>
            </w:r>
          </w:p>
        </w:tc>
        <w:tc>
          <w:tcPr>
            <w:tcW w:w="823" w:type="dxa"/>
            <w:shd w:val="clear" w:color="auto" w:fill="auto"/>
            <w:noWrap/>
            <w:vAlign w:val="center"/>
            <w:hideMark/>
          </w:tcPr>
          <w:p w14:paraId="330FE47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20,691</w:t>
            </w:r>
          </w:p>
        </w:tc>
        <w:tc>
          <w:tcPr>
            <w:tcW w:w="795" w:type="dxa"/>
            <w:shd w:val="clear" w:color="auto" w:fill="auto"/>
            <w:noWrap/>
            <w:vAlign w:val="center"/>
            <w:hideMark/>
          </w:tcPr>
          <w:p w14:paraId="03BD3D0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44,200</w:t>
            </w:r>
          </w:p>
        </w:tc>
        <w:tc>
          <w:tcPr>
            <w:tcW w:w="737" w:type="dxa"/>
            <w:shd w:val="clear" w:color="auto" w:fill="auto"/>
            <w:noWrap/>
            <w:vAlign w:val="center"/>
            <w:hideMark/>
          </w:tcPr>
          <w:p w14:paraId="0DDB9A3A"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1,315</w:t>
            </w:r>
          </w:p>
        </w:tc>
        <w:tc>
          <w:tcPr>
            <w:tcW w:w="795" w:type="dxa"/>
            <w:shd w:val="clear" w:color="auto" w:fill="auto"/>
            <w:noWrap/>
            <w:vAlign w:val="center"/>
            <w:hideMark/>
          </w:tcPr>
          <w:p w14:paraId="3CB864A2"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2,303</w:t>
            </w:r>
          </w:p>
        </w:tc>
        <w:tc>
          <w:tcPr>
            <w:tcW w:w="737" w:type="dxa"/>
            <w:shd w:val="clear" w:color="auto" w:fill="auto"/>
            <w:noWrap/>
            <w:vAlign w:val="center"/>
            <w:hideMark/>
          </w:tcPr>
          <w:p w14:paraId="08F97239"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2,179</w:t>
            </w:r>
          </w:p>
        </w:tc>
        <w:tc>
          <w:tcPr>
            <w:tcW w:w="768" w:type="dxa"/>
            <w:shd w:val="clear" w:color="auto" w:fill="auto"/>
            <w:noWrap/>
            <w:vAlign w:val="center"/>
            <w:hideMark/>
          </w:tcPr>
          <w:p w14:paraId="649FA03D"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4,296</w:t>
            </w:r>
          </w:p>
        </w:tc>
        <w:tc>
          <w:tcPr>
            <w:tcW w:w="803" w:type="dxa"/>
            <w:shd w:val="clear" w:color="auto" w:fill="auto"/>
            <w:noWrap/>
            <w:vAlign w:val="center"/>
            <w:hideMark/>
          </w:tcPr>
          <w:p w14:paraId="5AD3327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2,853</w:t>
            </w:r>
          </w:p>
        </w:tc>
        <w:tc>
          <w:tcPr>
            <w:tcW w:w="737" w:type="dxa"/>
            <w:shd w:val="clear" w:color="auto" w:fill="auto"/>
            <w:noWrap/>
            <w:vAlign w:val="center"/>
            <w:hideMark/>
          </w:tcPr>
          <w:p w14:paraId="7343745D"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7DD40705"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4A1E591B"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3,146</w:t>
            </w:r>
          </w:p>
        </w:tc>
        <w:tc>
          <w:tcPr>
            <w:tcW w:w="795" w:type="dxa"/>
            <w:shd w:val="clear" w:color="auto" w:fill="auto"/>
            <w:noWrap/>
            <w:vAlign w:val="center"/>
            <w:hideMark/>
          </w:tcPr>
          <w:p w14:paraId="094D3841"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94,112</w:t>
            </w:r>
          </w:p>
        </w:tc>
      </w:tr>
      <w:tr w:rsidR="002735B4" w:rsidRPr="00445472" w14:paraId="47AEC3B9" w14:textId="77777777" w:rsidTr="002A1F08">
        <w:trPr>
          <w:trHeight w:val="225"/>
        </w:trPr>
        <w:tc>
          <w:tcPr>
            <w:tcW w:w="2041" w:type="dxa"/>
            <w:shd w:val="clear" w:color="auto" w:fill="auto"/>
            <w:noWrap/>
            <w:vAlign w:val="center"/>
            <w:hideMark/>
          </w:tcPr>
          <w:p w14:paraId="5ED0EAB5"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 kapitale</w:t>
            </w:r>
          </w:p>
        </w:tc>
        <w:tc>
          <w:tcPr>
            <w:tcW w:w="737" w:type="dxa"/>
            <w:shd w:val="clear" w:color="auto" w:fill="auto"/>
            <w:noWrap/>
            <w:vAlign w:val="center"/>
            <w:hideMark/>
          </w:tcPr>
          <w:p w14:paraId="0FC90A6F"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EA1EE4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53F3592"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4F6EDB8"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000A70DB"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2B98403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AE3B8AD"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D30854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9762374"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343ADC21"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511BA04D"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BE17A4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41D84A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B771312"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222384EA"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0B10F3CE" w14:textId="77777777" w:rsidTr="002A1F08">
        <w:trPr>
          <w:trHeight w:val="225"/>
        </w:trPr>
        <w:tc>
          <w:tcPr>
            <w:tcW w:w="2041" w:type="dxa"/>
            <w:shd w:val="clear" w:color="auto" w:fill="auto"/>
            <w:noWrap/>
            <w:vAlign w:val="center"/>
            <w:hideMark/>
          </w:tcPr>
          <w:p w14:paraId="16976B53" w14:textId="68C37F4B"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Zhvlerësim-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49FCFDD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876</w:t>
            </w:r>
          </w:p>
        </w:tc>
        <w:tc>
          <w:tcPr>
            <w:tcW w:w="737" w:type="dxa"/>
            <w:shd w:val="clear" w:color="auto" w:fill="auto"/>
            <w:noWrap/>
            <w:vAlign w:val="center"/>
            <w:hideMark/>
          </w:tcPr>
          <w:p w14:paraId="09A2B47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1F1014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55CB03C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24,648</w:t>
            </w:r>
          </w:p>
        </w:tc>
        <w:tc>
          <w:tcPr>
            <w:tcW w:w="823" w:type="dxa"/>
            <w:shd w:val="clear" w:color="auto" w:fill="auto"/>
            <w:noWrap/>
            <w:vAlign w:val="center"/>
            <w:hideMark/>
          </w:tcPr>
          <w:p w14:paraId="685C638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18,000</w:t>
            </w:r>
          </w:p>
        </w:tc>
        <w:tc>
          <w:tcPr>
            <w:tcW w:w="795" w:type="dxa"/>
            <w:shd w:val="clear" w:color="auto" w:fill="auto"/>
            <w:noWrap/>
            <w:vAlign w:val="center"/>
            <w:hideMark/>
          </w:tcPr>
          <w:p w14:paraId="3B62E60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41,360</w:t>
            </w:r>
          </w:p>
        </w:tc>
        <w:tc>
          <w:tcPr>
            <w:tcW w:w="737" w:type="dxa"/>
            <w:shd w:val="clear" w:color="auto" w:fill="auto"/>
            <w:noWrap/>
            <w:vAlign w:val="center"/>
            <w:hideMark/>
          </w:tcPr>
          <w:p w14:paraId="5C20101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720</w:t>
            </w:r>
          </w:p>
        </w:tc>
        <w:tc>
          <w:tcPr>
            <w:tcW w:w="795" w:type="dxa"/>
            <w:shd w:val="clear" w:color="auto" w:fill="auto"/>
            <w:noWrap/>
            <w:vAlign w:val="center"/>
            <w:hideMark/>
          </w:tcPr>
          <w:p w14:paraId="5515D88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220D09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90</w:t>
            </w:r>
          </w:p>
        </w:tc>
        <w:tc>
          <w:tcPr>
            <w:tcW w:w="768" w:type="dxa"/>
            <w:shd w:val="clear" w:color="auto" w:fill="auto"/>
            <w:noWrap/>
            <w:vAlign w:val="center"/>
            <w:hideMark/>
          </w:tcPr>
          <w:p w14:paraId="7FF016D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1,077</w:t>
            </w:r>
          </w:p>
        </w:tc>
        <w:tc>
          <w:tcPr>
            <w:tcW w:w="803" w:type="dxa"/>
            <w:shd w:val="clear" w:color="auto" w:fill="auto"/>
            <w:noWrap/>
            <w:vAlign w:val="center"/>
            <w:hideMark/>
          </w:tcPr>
          <w:p w14:paraId="38A9F17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AA1C36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AD1A6A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7F3078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510</w:t>
            </w:r>
          </w:p>
        </w:tc>
        <w:tc>
          <w:tcPr>
            <w:tcW w:w="795" w:type="dxa"/>
            <w:shd w:val="clear" w:color="auto" w:fill="auto"/>
            <w:noWrap/>
            <w:vAlign w:val="center"/>
            <w:hideMark/>
          </w:tcPr>
          <w:p w14:paraId="01754627"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87,281</w:t>
            </w:r>
          </w:p>
        </w:tc>
      </w:tr>
      <w:tr w:rsidR="002735B4" w:rsidRPr="00445472" w14:paraId="780C1240" w14:textId="77777777" w:rsidTr="002A1F08">
        <w:trPr>
          <w:trHeight w:val="225"/>
        </w:trPr>
        <w:tc>
          <w:tcPr>
            <w:tcW w:w="2041" w:type="dxa"/>
            <w:shd w:val="clear" w:color="auto" w:fill="auto"/>
            <w:noWrap/>
            <w:vAlign w:val="center"/>
            <w:hideMark/>
          </w:tcPr>
          <w:p w14:paraId="2465CAB4" w14:textId="2DFE6B40"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administrative</w:t>
            </w:r>
          </w:p>
        </w:tc>
        <w:tc>
          <w:tcPr>
            <w:tcW w:w="737" w:type="dxa"/>
            <w:shd w:val="clear" w:color="auto" w:fill="auto"/>
            <w:noWrap/>
            <w:vAlign w:val="center"/>
            <w:hideMark/>
          </w:tcPr>
          <w:p w14:paraId="701E2874"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002D028"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6F860E1"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1A9631E"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A4C4565"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B0F292F"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FAB9C5B"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59A364F"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8225A14"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78E681E3"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3E11CC6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BDAD39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4F4620F"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E62AC3F"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A76BBB6"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7F37E764" w14:textId="77777777" w:rsidTr="002A1F08">
        <w:trPr>
          <w:trHeight w:val="225"/>
        </w:trPr>
        <w:tc>
          <w:tcPr>
            <w:tcW w:w="2041" w:type="dxa"/>
            <w:shd w:val="clear" w:color="auto" w:fill="auto"/>
            <w:noWrap/>
            <w:vAlign w:val="center"/>
            <w:hideMark/>
          </w:tcPr>
          <w:p w14:paraId="022518FD" w14:textId="223F09CB"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 xml:space="preserve">Interesi -S (000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643C5F9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B2B770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D8306B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36A6526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25B4402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4</w:t>
            </w:r>
          </w:p>
        </w:tc>
        <w:tc>
          <w:tcPr>
            <w:tcW w:w="795" w:type="dxa"/>
            <w:shd w:val="clear" w:color="auto" w:fill="auto"/>
            <w:noWrap/>
            <w:vAlign w:val="center"/>
            <w:hideMark/>
          </w:tcPr>
          <w:p w14:paraId="0F0D6F2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116F2A3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70B2D55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17AF839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4358CE3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40EBE5F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4E1908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C72E23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E5E0B6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28E89F66"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4</w:t>
            </w:r>
          </w:p>
        </w:tc>
      </w:tr>
      <w:tr w:rsidR="002735B4" w:rsidRPr="00445472" w14:paraId="627C5DE7" w14:textId="77777777" w:rsidTr="002A1F08">
        <w:trPr>
          <w:trHeight w:val="225"/>
        </w:trPr>
        <w:tc>
          <w:tcPr>
            <w:tcW w:w="2041" w:type="dxa"/>
            <w:shd w:val="clear" w:color="auto" w:fill="auto"/>
            <w:noWrap/>
            <w:vAlign w:val="center"/>
            <w:hideMark/>
          </w:tcPr>
          <w:p w14:paraId="1EB4D147" w14:textId="77777777"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Shpenzime të tjera financiare- S (000 Lek)</w:t>
            </w:r>
          </w:p>
        </w:tc>
        <w:tc>
          <w:tcPr>
            <w:tcW w:w="737" w:type="dxa"/>
            <w:shd w:val="clear" w:color="auto" w:fill="auto"/>
            <w:noWrap/>
            <w:vAlign w:val="center"/>
            <w:hideMark/>
          </w:tcPr>
          <w:p w14:paraId="19CD64A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92</w:t>
            </w:r>
          </w:p>
        </w:tc>
        <w:tc>
          <w:tcPr>
            <w:tcW w:w="737" w:type="dxa"/>
            <w:shd w:val="clear" w:color="auto" w:fill="auto"/>
            <w:noWrap/>
            <w:vAlign w:val="center"/>
            <w:hideMark/>
          </w:tcPr>
          <w:p w14:paraId="779AA4D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2B3C8D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62BD09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19EF1D5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1,235</w:t>
            </w:r>
          </w:p>
        </w:tc>
        <w:tc>
          <w:tcPr>
            <w:tcW w:w="795" w:type="dxa"/>
            <w:shd w:val="clear" w:color="auto" w:fill="auto"/>
            <w:noWrap/>
            <w:vAlign w:val="center"/>
            <w:hideMark/>
          </w:tcPr>
          <w:p w14:paraId="05443D5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3,502</w:t>
            </w:r>
          </w:p>
        </w:tc>
        <w:tc>
          <w:tcPr>
            <w:tcW w:w="737" w:type="dxa"/>
            <w:shd w:val="clear" w:color="auto" w:fill="auto"/>
            <w:noWrap/>
            <w:vAlign w:val="center"/>
            <w:hideMark/>
          </w:tcPr>
          <w:p w14:paraId="25F2CE3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6EDDB4A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A6825A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120</w:t>
            </w:r>
          </w:p>
        </w:tc>
        <w:tc>
          <w:tcPr>
            <w:tcW w:w="768" w:type="dxa"/>
            <w:shd w:val="clear" w:color="auto" w:fill="auto"/>
            <w:noWrap/>
            <w:vAlign w:val="center"/>
            <w:hideMark/>
          </w:tcPr>
          <w:p w14:paraId="1878B64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69F4C5D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E57787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CB63F0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69C034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383</w:t>
            </w:r>
          </w:p>
        </w:tc>
        <w:tc>
          <w:tcPr>
            <w:tcW w:w="795" w:type="dxa"/>
            <w:shd w:val="clear" w:color="auto" w:fill="auto"/>
            <w:noWrap/>
            <w:vAlign w:val="center"/>
            <w:hideMark/>
          </w:tcPr>
          <w:p w14:paraId="0A365C37"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5,332</w:t>
            </w:r>
          </w:p>
        </w:tc>
      </w:tr>
      <w:tr w:rsidR="002735B4" w:rsidRPr="00445472" w14:paraId="01F1A89C" w14:textId="77777777" w:rsidTr="002A1F08">
        <w:trPr>
          <w:trHeight w:val="225"/>
        </w:trPr>
        <w:tc>
          <w:tcPr>
            <w:tcW w:w="2041" w:type="dxa"/>
            <w:shd w:val="clear" w:color="auto" w:fill="auto"/>
            <w:noWrap/>
            <w:vAlign w:val="center"/>
            <w:hideMark/>
          </w:tcPr>
          <w:p w14:paraId="582B6266" w14:textId="14652FF3"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burimore</w:t>
            </w:r>
          </w:p>
        </w:tc>
        <w:tc>
          <w:tcPr>
            <w:tcW w:w="737" w:type="dxa"/>
            <w:shd w:val="clear" w:color="auto" w:fill="auto"/>
            <w:noWrap/>
            <w:vAlign w:val="center"/>
            <w:hideMark/>
          </w:tcPr>
          <w:p w14:paraId="136ACA1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2D7581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1A5BBA6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C0BF7C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022CD09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0C4B78D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4667A23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10C77EE7"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05C276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7A6173A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07A000C8"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204AA40B"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A83F3F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334216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61F1525D"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0</w:t>
            </w:r>
          </w:p>
        </w:tc>
      </w:tr>
      <w:tr w:rsidR="002735B4" w:rsidRPr="00445472" w14:paraId="47F9FA80" w14:textId="77777777" w:rsidTr="002A1F08">
        <w:trPr>
          <w:trHeight w:val="225"/>
        </w:trPr>
        <w:tc>
          <w:tcPr>
            <w:tcW w:w="2041" w:type="dxa"/>
            <w:shd w:val="clear" w:color="auto" w:fill="auto"/>
            <w:noWrap/>
            <w:vAlign w:val="center"/>
            <w:hideMark/>
          </w:tcPr>
          <w:p w14:paraId="2EDE0E96"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7E266E4"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391ED8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0513BF0"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77754A5D"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9B2CC71"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B59F23B"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4AE797C"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477386E"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CBC9825"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1A25A886"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31BED18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0781DE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B1EF65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DDC3009"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32B877F" w14:textId="77777777" w:rsidR="002735B4" w:rsidRPr="00445472" w:rsidRDefault="002735B4" w:rsidP="002A1F08">
            <w:pPr>
              <w:spacing w:before="46" w:after="62"/>
              <w:rPr>
                <w:rFonts w:ascii="Garamond" w:hAnsi="Garamond"/>
                <w:b/>
                <w:spacing w:val="-4"/>
                <w:sz w:val="16"/>
                <w:szCs w:val="16"/>
                <w:lang w:eastAsia="en-GB"/>
              </w:rPr>
            </w:pPr>
          </w:p>
        </w:tc>
      </w:tr>
      <w:tr w:rsidR="002735B4" w:rsidRPr="00445472" w14:paraId="2243B389" w14:textId="77777777" w:rsidTr="002A1F08">
        <w:trPr>
          <w:trHeight w:val="225"/>
        </w:trPr>
        <w:tc>
          <w:tcPr>
            <w:tcW w:w="2041" w:type="dxa"/>
            <w:shd w:val="clear" w:color="auto" w:fill="auto"/>
            <w:noWrap/>
            <w:vAlign w:val="center"/>
            <w:hideMark/>
          </w:tcPr>
          <w:p w14:paraId="5C0BDD1C" w14:textId="08ED2B83"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ja</w:t>
            </w:r>
            <w:r w:rsidRPr="00445472">
              <w:rPr>
                <w:rFonts w:ascii="Garamond" w:hAnsi="Garamond"/>
                <w:b/>
                <w:bCs/>
                <w:spacing w:val="-4"/>
                <w:sz w:val="16"/>
                <w:szCs w:val="16"/>
                <w:lang w:eastAsia="en-GB"/>
              </w:rPr>
              <w:t xml:space="preserve"> mjedisore</w:t>
            </w:r>
          </w:p>
        </w:tc>
        <w:tc>
          <w:tcPr>
            <w:tcW w:w="737" w:type="dxa"/>
            <w:shd w:val="clear" w:color="auto" w:fill="auto"/>
            <w:noWrap/>
            <w:vAlign w:val="center"/>
            <w:hideMark/>
          </w:tcPr>
          <w:p w14:paraId="4E2E687E"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56B8423"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68B90ECD"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1E79B161"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23" w:type="dxa"/>
            <w:shd w:val="clear" w:color="auto" w:fill="auto"/>
            <w:noWrap/>
            <w:vAlign w:val="center"/>
            <w:hideMark/>
          </w:tcPr>
          <w:p w14:paraId="3D96A71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5794D07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030DEDB4"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4864B3A9"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5A4D26BF"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68" w:type="dxa"/>
            <w:shd w:val="clear" w:color="auto" w:fill="auto"/>
            <w:noWrap/>
            <w:vAlign w:val="center"/>
            <w:hideMark/>
          </w:tcPr>
          <w:p w14:paraId="5CD461C0"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803" w:type="dxa"/>
            <w:shd w:val="clear" w:color="auto" w:fill="auto"/>
            <w:noWrap/>
            <w:vAlign w:val="center"/>
            <w:hideMark/>
          </w:tcPr>
          <w:p w14:paraId="5AB6DFF6"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34BAB8B5"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A4CD782"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37" w:type="dxa"/>
            <w:shd w:val="clear" w:color="auto" w:fill="auto"/>
            <w:noWrap/>
            <w:vAlign w:val="center"/>
            <w:hideMark/>
          </w:tcPr>
          <w:p w14:paraId="70F49BAC" w14:textId="77777777" w:rsidR="002735B4" w:rsidRPr="00445472" w:rsidRDefault="002735B4" w:rsidP="002A1F08">
            <w:pPr>
              <w:spacing w:before="46" w:after="62"/>
              <w:jc w:val="right"/>
              <w:rPr>
                <w:rFonts w:ascii="Garamond" w:hAnsi="Garamond"/>
                <w:spacing w:val="-4"/>
                <w:sz w:val="16"/>
                <w:szCs w:val="16"/>
                <w:lang w:eastAsia="en-GB"/>
              </w:rPr>
            </w:pPr>
            <w:r w:rsidRPr="00445472">
              <w:rPr>
                <w:rFonts w:ascii="Garamond" w:hAnsi="Garamond"/>
                <w:spacing w:val="-4"/>
                <w:sz w:val="16"/>
                <w:szCs w:val="16"/>
                <w:lang w:eastAsia="en-GB"/>
              </w:rPr>
              <w:t>0</w:t>
            </w:r>
          </w:p>
        </w:tc>
        <w:tc>
          <w:tcPr>
            <w:tcW w:w="795" w:type="dxa"/>
            <w:shd w:val="clear" w:color="auto" w:fill="auto"/>
            <w:noWrap/>
            <w:vAlign w:val="center"/>
            <w:hideMark/>
          </w:tcPr>
          <w:p w14:paraId="730502A7" w14:textId="77777777" w:rsidR="002735B4" w:rsidRPr="00445472" w:rsidRDefault="002735B4" w:rsidP="002A1F08">
            <w:pPr>
              <w:spacing w:before="46" w:after="62"/>
              <w:jc w:val="right"/>
              <w:rPr>
                <w:rFonts w:ascii="Garamond" w:hAnsi="Garamond"/>
                <w:b/>
                <w:spacing w:val="-4"/>
                <w:sz w:val="16"/>
                <w:szCs w:val="16"/>
                <w:lang w:eastAsia="en-GB"/>
              </w:rPr>
            </w:pPr>
            <w:r w:rsidRPr="00445472">
              <w:rPr>
                <w:rFonts w:ascii="Garamond" w:hAnsi="Garamond"/>
                <w:b/>
                <w:spacing w:val="-4"/>
                <w:sz w:val="16"/>
                <w:szCs w:val="16"/>
                <w:lang w:eastAsia="en-GB"/>
              </w:rPr>
              <w:t>0</w:t>
            </w:r>
          </w:p>
        </w:tc>
      </w:tr>
      <w:tr w:rsidR="002735B4" w:rsidRPr="00445472" w14:paraId="7B9AEB12" w14:textId="77777777" w:rsidTr="002735B4">
        <w:trPr>
          <w:trHeight w:val="325"/>
        </w:trPr>
        <w:tc>
          <w:tcPr>
            <w:tcW w:w="2041" w:type="dxa"/>
            <w:shd w:val="clear" w:color="auto" w:fill="auto"/>
            <w:noWrap/>
            <w:vAlign w:val="center"/>
            <w:hideMark/>
          </w:tcPr>
          <w:p w14:paraId="1A4B53C8" w14:textId="251B092E" w:rsidR="002735B4" w:rsidRPr="00445472" w:rsidRDefault="002735B4" w:rsidP="00D45EAA">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Kosto</w:t>
            </w:r>
            <w:r w:rsidR="00D45EAA" w:rsidRPr="00445472">
              <w:rPr>
                <w:rFonts w:ascii="Garamond" w:hAnsi="Garamond"/>
                <w:b/>
                <w:bCs/>
                <w:spacing w:val="-4"/>
                <w:sz w:val="16"/>
                <w:szCs w:val="16"/>
                <w:lang w:eastAsia="en-GB"/>
              </w:rPr>
              <w:t xml:space="preserve">ja </w:t>
            </w:r>
            <w:r w:rsidRPr="00445472">
              <w:rPr>
                <w:rFonts w:ascii="Garamond" w:hAnsi="Garamond"/>
                <w:b/>
                <w:bCs/>
                <w:spacing w:val="-4"/>
                <w:sz w:val="16"/>
                <w:szCs w:val="16"/>
                <w:lang w:eastAsia="en-GB"/>
              </w:rPr>
              <w:t xml:space="preserve">totale ekonomike - Ujëra të ndotura (000 </w:t>
            </w:r>
            <w:r w:rsidR="00D45EAA" w:rsidRPr="00445472">
              <w:rPr>
                <w:rFonts w:ascii="Garamond" w:hAnsi="Garamond"/>
                <w:b/>
                <w:bCs/>
                <w:spacing w:val="-4"/>
                <w:sz w:val="16"/>
                <w:szCs w:val="16"/>
                <w:lang w:eastAsia="en-GB"/>
              </w:rPr>
              <w:t>lek</w:t>
            </w:r>
            <w:r w:rsidRPr="00445472">
              <w:rPr>
                <w:rFonts w:ascii="Garamond" w:hAnsi="Garamond"/>
                <w:b/>
                <w:bCs/>
                <w:spacing w:val="-4"/>
                <w:sz w:val="16"/>
                <w:szCs w:val="16"/>
                <w:lang w:eastAsia="en-GB"/>
              </w:rPr>
              <w:t>)</w:t>
            </w:r>
          </w:p>
        </w:tc>
        <w:tc>
          <w:tcPr>
            <w:tcW w:w="737" w:type="dxa"/>
            <w:shd w:val="clear" w:color="auto" w:fill="auto"/>
            <w:noWrap/>
            <w:vAlign w:val="center"/>
            <w:hideMark/>
          </w:tcPr>
          <w:p w14:paraId="56D9DE4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2,051</w:t>
            </w:r>
          </w:p>
        </w:tc>
        <w:tc>
          <w:tcPr>
            <w:tcW w:w="737" w:type="dxa"/>
            <w:shd w:val="clear" w:color="auto" w:fill="auto"/>
            <w:noWrap/>
            <w:vAlign w:val="center"/>
            <w:hideMark/>
          </w:tcPr>
          <w:p w14:paraId="7F31DDC0"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37150E47"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95" w:type="dxa"/>
            <w:shd w:val="clear" w:color="auto" w:fill="auto"/>
            <w:noWrap/>
            <w:vAlign w:val="center"/>
            <w:hideMark/>
          </w:tcPr>
          <w:p w14:paraId="3DD199A0"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36,696</w:t>
            </w:r>
          </w:p>
        </w:tc>
        <w:tc>
          <w:tcPr>
            <w:tcW w:w="823" w:type="dxa"/>
            <w:shd w:val="clear" w:color="auto" w:fill="auto"/>
            <w:noWrap/>
            <w:vAlign w:val="center"/>
            <w:hideMark/>
          </w:tcPr>
          <w:p w14:paraId="2CFF752E"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39,930</w:t>
            </w:r>
          </w:p>
        </w:tc>
        <w:tc>
          <w:tcPr>
            <w:tcW w:w="795" w:type="dxa"/>
            <w:shd w:val="clear" w:color="auto" w:fill="auto"/>
            <w:noWrap/>
            <w:vAlign w:val="center"/>
            <w:hideMark/>
          </w:tcPr>
          <w:p w14:paraId="5F3F2852"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89,062</w:t>
            </w:r>
          </w:p>
        </w:tc>
        <w:tc>
          <w:tcPr>
            <w:tcW w:w="737" w:type="dxa"/>
            <w:shd w:val="clear" w:color="auto" w:fill="auto"/>
            <w:noWrap/>
            <w:vAlign w:val="center"/>
            <w:hideMark/>
          </w:tcPr>
          <w:p w14:paraId="14FABDFD"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2,035</w:t>
            </w:r>
          </w:p>
        </w:tc>
        <w:tc>
          <w:tcPr>
            <w:tcW w:w="795" w:type="dxa"/>
            <w:shd w:val="clear" w:color="auto" w:fill="auto"/>
            <w:noWrap/>
            <w:vAlign w:val="center"/>
            <w:hideMark/>
          </w:tcPr>
          <w:p w14:paraId="72575179"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2,303</w:t>
            </w:r>
          </w:p>
        </w:tc>
        <w:tc>
          <w:tcPr>
            <w:tcW w:w="737" w:type="dxa"/>
            <w:shd w:val="clear" w:color="auto" w:fill="auto"/>
            <w:noWrap/>
            <w:vAlign w:val="center"/>
            <w:hideMark/>
          </w:tcPr>
          <w:p w14:paraId="1ADD8280"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2,389</w:t>
            </w:r>
          </w:p>
        </w:tc>
        <w:tc>
          <w:tcPr>
            <w:tcW w:w="768" w:type="dxa"/>
            <w:shd w:val="clear" w:color="auto" w:fill="auto"/>
            <w:noWrap/>
            <w:vAlign w:val="center"/>
            <w:hideMark/>
          </w:tcPr>
          <w:p w14:paraId="3EE41F93"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5,373</w:t>
            </w:r>
          </w:p>
        </w:tc>
        <w:tc>
          <w:tcPr>
            <w:tcW w:w="803" w:type="dxa"/>
            <w:shd w:val="clear" w:color="auto" w:fill="auto"/>
            <w:noWrap/>
            <w:vAlign w:val="center"/>
            <w:hideMark/>
          </w:tcPr>
          <w:p w14:paraId="509C1149"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2,853</w:t>
            </w:r>
          </w:p>
        </w:tc>
        <w:tc>
          <w:tcPr>
            <w:tcW w:w="737" w:type="dxa"/>
            <w:shd w:val="clear" w:color="auto" w:fill="auto"/>
            <w:noWrap/>
            <w:vAlign w:val="center"/>
            <w:hideMark/>
          </w:tcPr>
          <w:p w14:paraId="0E4FF0EB"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2BDA2138"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6A391D82"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4,039</w:t>
            </w:r>
          </w:p>
        </w:tc>
        <w:tc>
          <w:tcPr>
            <w:tcW w:w="795" w:type="dxa"/>
            <w:shd w:val="clear" w:color="auto" w:fill="auto"/>
            <w:noWrap/>
            <w:vAlign w:val="center"/>
            <w:hideMark/>
          </w:tcPr>
          <w:p w14:paraId="2C2DFEF6"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186,729</w:t>
            </w:r>
          </w:p>
        </w:tc>
      </w:tr>
      <w:tr w:rsidR="002735B4" w:rsidRPr="00445472" w14:paraId="14673DA9" w14:textId="77777777" w:rsidTr="002A1F08">
        <w:trPr>
          <w:trHeight w:val="225"/>
        </w:trPr>
        <w:tc>
          <w:tcPr>
            <w:tcW w:w="2041" w:type="dxa"/>
            <w:shd w:val="clear" w:color="auto" w:fill="auto"/>
            <w:noWrap/>
            <w:vAlign w:val="center"/>
            <w:hideMark/>
          </w:tcPr>
          <w:p w14:paraId="01390B3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47062F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690C49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AD1CE2A"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DDF19E5"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32F12A9A"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8FC2990"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CD36E6D"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464021C4"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55C31B3"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5CEB5D2B"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4C621CD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AF9B60D"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8CA0F48"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AB8E8B0"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2C3963C" w14:textId="77777777" w:rsidR="002735B4" w:rsidRPr="00445472" w:rsidRDefault="002735B4" w:rsidP="002A1F08">
            <w:pPr>
              <w:spacing w:before="46" w:after="62"/>
              <w:rPr>
                <w:rFonts w:ascii="Garamond" w:hAnsi="Garamond"/>
                <w:spacing w:val="-4"/>
                <w:sz w:val="16"/>
                <w:szCs w:val="16"/>
                <w:lang w:eastAsia="en-GB"/>
              </w:rPr>
            </w:pPr>
          </w:p>
        </w:tc>
      </w:tr>
      <w:tr w:rsidR="002735B4" w:rsidRPr="00445472" w14:paraId="60892B10" w14:textId="77777777" w:rsidTr="002A1F08">
        <w:trPr>
          <w:trHeight w:val="255"/>
        </w:trPr>
        <w:tc>
          <w:tcPr>
            <w:tcW w:w="2041" w:type="dxa"/>
            <w:shd w:val="clear" w:color="auto" w:fill="auto"/>
            <w:noWrap/>
            <w:vAlign w:val="center"/>
            <w:hideMark/>
          </w:tcPr>
          <w:p w14:paraId="57B54945"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Të ardhura ekonomike</w:t>
            </w:r>
          </w:p>
        </w:tc>
        <w:tc>
          <w:tcPr>
            <w:tcW w:w="737" w:type="dxa"/>
            <w:shd w:val="clear" w:color="auto" w:fill="auto"/>
            <w:noWrap/>
            <w:vAlign w:val="center"/>
            <w:hideMark/>
          </w:tcPr>
          <w:p w14:paraId="60C8C3D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10DFEE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0F897B1"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3BE04ED9"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273DA3BD"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2BF596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01D4E8A3"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5FED552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2EE7F8BA"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143DC1AD"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203BD5F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28CA04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57ED9012"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FBCD8EE"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1ADB0CDD" w14:textId="77777777" w:rsidR="002735B4" w:rsidRPr="00445472" w:rsidRDefault="002735B4" w:rsidP="002A1F08">
            <w:pPr>
              <w:spacing w:before="46" w:after="62"/>
              <w:rPr>
                <w:rFonts w:ascii="Garamond" w:hAnsi="Garamond"/>
                <w:spacing w:val="-4"/>
                <w:sz w:val="16"/>
                <w:szCs w:val="16"/>
                <w:lang w:eastAsia="en-GB"/>
              </w:rPr>
            </w:pPr>
          </w:p>
        </w:tc>
      </w:tr>
      <w:tr w:rsidR="002735B4" w:rsidRPr="00445472" w14:paraId="5CFB9A5D" w14:textId="77777777" w:rsidTr="002A1F08">
        <w:trPr>
          <w:trHeight w:val="225"/>
        </w:trPr>
        <w:tc>
          <w:tcPr>
            <w:tcW w:w="2041" w:type="dxa"/>
            <w:shd w:val="clear" w:color="auto" w:fill="auto"/>
            <w:noWrap/>
            <w:vAlign w:val="center"/>
            <w:hideMark/>
          </w:tcPr>
          <w:p w14:paraId="0945E82C"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Shërbime të ujit</w:t>
            </w:r>
          </w:p>
        </w:tc>
        <w:tc>
          <w:tcPr>
            <w:tcW w:w="737" w:type="dxa"/>
            <w:shd w:val="clear" w:color="auto" w:fill="auto"/>
            <w:noWrap/>
            <w:vAlign w:val="center"/>
            <w:hideMark/>
          </w:tcPr>
          <w:p w14:paraId="59E88DEA"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999311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4FDD69E"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91F1DE6" w14:textId="77777777" w:rsidR="002735B4" w:rsidRPr="00445472" w:rsidRDefault="002735B4" w:rsidP="002A1F08">
            <w:pPr>
              <w:spacing w:before="46" w:after="62"/>
              <w:rPr>
                <w:rFonts w:ascii="Garamond" w:hAnsi="Garamond"/>
                <w:spacing w:val="-4"/>
                <w:sz w:val="16"/>
                <w:szCs w:val="16"/>
                <w:lang w:eastAsia="en-GB"/>
              </w:rPr>
            </w:pPr>
          </w:p>
        </w:tc>
        <w:tc>
          <w:tcPr>
            <w:tcW w:w="823" w:type="dxa"/>
            <w:shd w:val="clear" w:color="auto" w:fill="auto"/>
            <w:noWrap/>
            <w:vAlign w:val="center"/>
            <w:hideMark/>
          </w:tcPr>
          <w:p w14:paraId="69CAEABA"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289BCA2C"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7BA7C356"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6DFDB3C6"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38E6A4BF" w14:textId="77777777" w:rsidR="002735B4" w:rsidRPr="00445472" w:rsidRDefault="002735B4" w:rsidP="002A1F08">
            <w:pPr>
              <w:spacing w:before="46" w:after="62"/>
              <w:rPr>
                <w:rFonts w:ascii="Garamond" w:hAnsi="Garamond"/>
                <w:spacing w:val="-4"/>
                <w:sz w:val="16"/>
                <w:szCs w:val="16"/>
                <w:lang w:eastAsia="en-GB"/>
              </w:rPr>
            </w:pPr>
          </w:p>
        </w:tc>
        <w:tc>
          <w:tcPr>
            <w:tcW w:w="768" w:type="dxa"/>
            <w:shd w:val="clear" w:color="auto" w:fill="auto"/>
            <w:noWrap/>
            <w:vAlign w:val="center"/>
            <w:hideMark/>
          </w:tcPr>
          <w:p w14:paraId="034B09EF" w14:textId="77777777" w:rsidR="002735B4" w:rsidRPr="00445472" w:rsidRDefault="002735B4" w:rsidP="002A1F08">
            <w:pPr>
              <w:spacing w:before="46" w:after="62"/>
              <w:rPr>
                <w:rFonts w:ascii="Garamond" w:hAnsi="Garamond"/>
                <w:spacing w:val="-4"/>
                <w:sz w:val="16"/>
                <w:szCs w:val="16"/>
                <w:lang w:eastAsia="en-GB"/>
              </w:rPr>
            </w:pPr>
          </w:p>
        </w:tc>
        <w:tc>
          <w:tcPr>
            <w:tcW w:w="803" w:type="dxa"/>
            <w:shd w:val="clear" w:color="auto" w:fill="auto"/>
            <w:noWrap/>
            <w:vAlign w:val="center"/>
            <w:hideMark/>
          </w:tcPr>
          <w:p w14:paraId="70C8C16E"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60B18E39"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6AA1BD1"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6F9E51D" w14:textId="77777777" w:rsidR="002735B4" w:rsidRPr="00445472" w:rsidRDefault="002735B4" w:rsidP="002A1F08">
            <w:pPr>
              <w:spacing w:before="46" w:after="62"/>
              <w:rPr>
                <w:rFonts w:ascii="Garamond" w:hAnsi="Garamond"/>
                <w:spacing w:val="-4"/>
                <w:sz w:val="16"/>
                <w:szCs w:val="16"/>
                <w:lang w:eastAsia="en-GB"/>
              </w:rPr>
            </w:pPr>
          </w:p>
        </w:tc>
        <w:tc>
          <w:tcPr>
            <w:tcW w:w="795" w:type="dxa"/>
            <w:shd w:val="clear" w:color="auto" w:fill="auto"/>
            <w:noWrap/>
            <w:vAlign w:val="center"/>
            <w:hideMark/>
          </w:tcPr>
          <w:p w14:paraId="0BD74841" w14:textId="77777777" w:rsidR="002735B4" w:rsidRPr="00445472" w:rsidRDefault="002735B4" w:rsidP="002A1F08">
            <w:pPr>
              <w:spacing w:before="46" w:after="62"/>
              <w:rPr>
                <w:rFonts w:ascii="Garamond" w:hAnsi="Garamond"/>
                <w:spacing w:val="-4"/>
                <w:sz w:val="16"/>
                <w:szCs w:val="16"/>
                <w:lang w:eastAsia="en-GB"/>
              </w:rPr>
            </w:pPr>
          </w:p>
        </w:tc>
      </w:tr>
      <w:tr w:rsidR="002735B4" w:rsidRPr="00445472" w14:paraId="4E063F52" w14:textId="77777777" w:rsidTr="002A1F08">
        <w:trPr>
          <w:trHeight w:val="225"/>
        </w:trPr>
        <w:tc>
          <w:tcPr>
            <w:tcW w:w="2041" w:type="dxa"/>
            <w:shd w:val="clear" w:color="auto" w:fill="auto"/>
            <w:noWrap/>
            <w:vAlign w:val="center"/>
            <w:hideMark/>
          </w:tcPr>
          <w:p w14:paraId="3B5DB6D4" w14:textId="32DFA51B" w:rsidR="002735B4" w:rsidRPr="00445472" w:rsidRDefault="002735B4" w:rsidP="002A1F08">
            <w:pPr>
              <w:spacing w:before="46" w:after="62"/>
              <w:rPr>
                <w:rFonts w:ascii="Garamond" w:hAnsi="Garamond"/>
                <w:spacing w:val="-4"/>
                <w:sz w:val="16"/>
                <w:szCs w:val="16"/>
                <w:lang w:eastAsia="en-GB"/>
              </w:rPr>
            </w:pPr>
            <w:r w:rsidRPr="00445472">
              <w:rPr>
                <w:rFonts w:ascii="Garamond" w:hAnsi="Garamond"/>
                <w:spacing w:val="-4"/>
                <w:sz w:val="16"/>
                <w:szCs w:val="16"/>
                <w:lang w:eastAsia="en-GB"/>
              </w:rPr>
              <w:t>Shuma totale e faturave të ujit</w:t>
            </w:r>
            <w:r w:rsidR="00D45EAA" w:rsidRPr="00445472">
              <w:rPr>
                <w:rFonts w:ascii="Garamond" w:hAnsi="Garamond"/>
                <w:spacing w:val="-4"/>
                <w:sz w:val="16"/>
                <w:szCs w:val="16"/>
                <w:lang w:eastAsia="en-GB"/>
              </w:rPr>
              <w:t xml:space="preserve"> </w:t>
            </w:r>
            <w:r w:rsidRPr="00445472">
              <w:rPr>
                <w:rFonts w:ascii="Garamond" w:hAnsi="Garamond"/>
                <w:spacing w:val="-4"/>
                <w:sz w:val="16"/>
                <w:szCs w:val="16"/>
                <w:lang w:eastAsia="en-GB"/>
              </w:rPr>
              <w:t xml:space="preserve">- </w:t>
            </w:r>
            <w:r w:rsidR="00D45EAA" w:rsidRPr="00445472">
              <w:rPr>
                <w:rFonts w:ascii="Garamond" w:hAnsi="Garamond"/>
                <w:spacing w:val="-4"/>
                <w:sz w:val="16"/>
                <w:szCs w:val="16"/>
                <w:lang w:eastAsia="en-GB"/>
              </w:rPr>
              <w:t xml:space="preserve">total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153BC31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7,261</w:t>
            </w:r>
          </w:p>
        </w:tc>
        <w:tc>
          <w:tcPr>
            <w:tcW w:w="737" w:type="dxa"/>
            <w:shd w:val="clear" w:color="auto" w:fill="auto"/>
            <w:noWrap/>
            <w:vAlign w:val="center"/>
            <w:hideMark/>
          </w:tcPr>
          <w:p w14:paraId="30B7847F"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3,683</w:t>
            </w:r>
          </w:p>
        </w:tc>
        <w:tc>
          <w:tcPr>
            <w:tcW w:w="737" w:type="dxa"/>
            <w:shd w:val="clear" w:color="auto" w:fill="auto"/>
            <w:noWrap/>
            <w:vAlign w:val="center"/>
            <w:hideMark/>
          </w:tcPr>
          <w:p w14:paraId="0B62D8C0"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11,900</w:t>
            </w:r>
          </w:p>
        </w:tc>
        <w:tc>
          <w:tcPr>
            <w:tcW w:w="795" w:type="dxa"/>
            <w:shd w:val="clear" w:color="auto" w:fill="auto"/>
            <w:noWrap/>
            <w:vAlign w:val="center"/>
            <w:hideMark/>
          </w:tcPr>
          <w:p w14:paraId="6A2204B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89,131</w:t>
            </w:r>
          </w:p>
        </w:tc>
        <w:tc>
          <w:tcPr>
            <w:tcW w:w="823" w:type="dxa"/>
            <w:shd w:val="clear" w:color="auto" w:fill="auto"/>
            <w:noWrap/>
            <w:vAlign w:val="center"/>
            <w:hideMark/>
          </w:tcPr>
          <w:p w14:paraId="361B6E1E"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66,398</w:t>
            </w:r>
          </w:p>
        </w:tc>
        <w:tc>
          <w:tcPr>
            <w:tcW w:w="795" w:type="dxa"/>
            <w:shd w:val="clear" w:color="auto" w:fill="auto"/>
            <w:noWrap/>
            <w:vAlign w:val="center"/>
            <w:hideMark/>
          </w:tcPr>
          <w:p w14:paraId="555C50F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169,407</w:t>
            </w:r>
          </w:p>
        </w:tc>
        <w:tc>
          <w:tcPr>
            <w:tcW w:w="737" w:type="dxa"/>
            <w:shd w:val="clear" w:color="auto" w:fill="auto"/>
            <w:noWrap/>
            <w:vAlign w:val="center"/>
            <w:hideMark/>
          </w:tcPr>
          <w:p w14:paraId="519BB67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1,891</w:t>
            </w:r>
          </w:p>
        </w:tc>
        <w:tc>
          <w:tcPr>
            <w:tcW w:w="795" w:type="dxa"/>
            <w:shd w:val="clear" w:color="auto" w:fill="auto"/>
            <w:noWrap/>
            <w:vAlign w:val="center"/>
            <w:hideMark/>
          </w:tcPr>
          <w:p w14:paraId="5DB350FD"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40,433</w:t>
            </w:r>
          </w:p>
        </w:tc>
        <w:tc>
          <w:tcPr>
            <w:tcW w:w="737" w:type="dxa"/>
            <w:shd w:val="clear" w:color="auto" w:fill="auto"/>
            <w:noWrap/>
            <w:vAlign w:val="center"/>
            <w:hideMark/>
          </w:tcPr>
          <w:p w14:paraId="4336D360"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2,626</w:t>
            </w:r>
          </w:p>
        </w:tc>
        <w:tc>
          <w:tcPr>
            <w:tcW w:w="768" w:type="dxa"/>
            <w:shd w:val="clear" w:color="auto" w:fill="auto"/>
            <w:noWrap/>
            <w:vAlign w:val="center"/>
            <w:hideMark/>
          </w:tcPr>
          <w:p w14:paraId="2957DF12"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22,451</w:t>
            </w:r>
          </w:p>
        </w:tc>
        <w:tc>
          <w:tcPr>
            <w:tcW w:w="803" w:type="dxa"/>
            <w:shd w:val="clear" w:color="auto" w:fill="auto"/>
            <w:noWrap/>
            <w:vAlign w:val="center"/>
            <w:hideMark/>
          </w:tcPr>
          <w:p w14:paraId="2B157D2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20,837</w:t>
            </w:r>
          </w:p>
        </w:tc>
        <w:tc>
          <w:tcPr>
            <w:tcW w:w="737" w:type="dxa"/>
            <w:shd w:val="clear" w:color="auto" w:fill="auto"/>
            <w:noWrap/>
            <w:vAlign w:val="center"/>
            <w:hideMark/>
          </w:tcPr>
          <w:p w14:paraId="726FCD55"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18,928</w:t>
            </w:r>
          </w:p>
        </w:tc>
        <w:tc>
          <w:tcPr>
            <w:tcW w:w="737" w:type="dxa"/>
            <w:shd w:val="clear" w:color="auto" w:fill="auto"/>
            <w:noWrap/>
            <w:vAlign w:val="center"/>
            <w:hideMark/>
          </w:tcPr>
          <w:p w14:paraId="4625399A"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7,571</w:t>
            </w:r>
          </w:p>
        </w:tc>
        <w:tc>
          <w:tcPr>
            <w:tcW w:w="737" w:type="dxa"/>
            <w:shd w:val="clear" w:color="auto" w:fill="auto"/>
            <w:noWrap/>
            <w:vAlign w:val="center"/>
            <w:hideMark/>
          </w:tcPr>
          <w:p w14:paraId="1D1FAF60"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22,252</w:t>
            </w:r>
          </w:p>
        </w:tc>
        <w:tc>
          <w:tcPr>
            <w:tcW w:w="795" w:type="dxa"/>
            <w:shd w:val="clear" w:color="auto" w:fill="auto"/>
            <w:noWrap/>
            <w:vAlign w:val="center"/>
            <w:hideMark/>
          </w:tcPr>
          <w:p w14:paraId="6397B4F6"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484,768</w:t>
            </w:r>
          </w:p>
        </w:tc>
      </w:tr>
      <w:tr w:rsidR="002735B4" w:rsidRPr="00445472" w14:paraId="2D65CC4E" w14:textId="77777777" w:rsidTr="002A1F08">
        <w:trPr>
          <w:trHeight w:val="225"/>
        </w:trPr>
        <w:tc>
          <w:tcPr>
            <w:tcW w:w="2041" w:type="dxa"/>
            <w:shd w:val="clear" w:color="auto" w:fill="auto"/>
            <w:noWrap/>
            <w:vAlign w:val="center"/>
            <w:hideMark/>
          </w:tcPr>
          <w:p w14:paraId="60B81397"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0D469CA"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3FEB2D5E"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3C3857D3"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588E09F9" w14:textId="77777777" w:rsidR="002735B4" w:rsidRPr="00445472" w:rsidRDefault="002735B4" w:rsidP="002A1F08">
            <w:pPr>
              <w:spacing w:before="46" w:after="62"/>
              <w:rPr>
                <w:rFonts w:ascii="Garamond" w:hAnsi="Garamond"/>
                <w:b/>
                <w:bCs/>
                <w:spacing w:val="-4"/>
                <w:sz w:val="16"/>
                <w:szCs w:val="16"/>
                <w:lang w:eastAsia="en-GB"/>
              </w:rPr>
            </w:pPr>
          </w:p>
        </w:tc>
        <w:tc>
          <w:tcPr>
            <w:tcW w:w="823" w:type="dxa"/>
            <w:shd w:val="clear" w:color="auto" w:fill="auto"/>
            <w:noWrap/>
            <w:vAlign w:val="center"/>
            <w:hideMark/>
          </w:tcPr>
          <w:p w14:paraId="5C218ADE"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0DD958B1"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662C434F"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4B1F12B4"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021D578A" w14:textId="77777777" w:rsidR="002735B4" w:rsidRPr="00445472" w:rsidRDefault="002735B4" w:rsidP="002A1F08">
            <w:pPr>
              <w:spacing w:before="46" w:after="62"/>
              <w:rPr>
                <w:rFonts w:ascii="Garamond" w:hAnsi="Garamond"/>
                <w:b/>
                <w:bCs/>
                <w:spacing w:val="-4"/>
                <w:sz w:val="16"/>
                <w:szCs w:val="16"/>
                <w:lang w:eastAsia="en-GB"/>
              </w:rPr>
            </w:pPr>
          </w:p>
        </w:tc>
        <w:tc>
          <w:tcPr>
            <w:tcW w:w="768" w:type="dxa"/>
            <w:shd w:val="clear" w:color="auto" w:fill="auto"/>
            <w:noWrap/>
            <w:vAlign w:val="center"/>
            <w:hideMark/>
          </w:tcPr>
          <w:p w14:paraId="3AB3FBEF" w14:textId="77777777" w:rsidR="002735B4" w:rsidRPr="00445472" w:rsidRDefault="002735B4" w:rsidP="002A1F08">
            <w:pPr>
              <w:spacing w:before="46" w:after="62"/>
              <w:rPr>
                <w:rFonts w:ascii="Garamond" w:hAnsi="Garamond"/>
                <w:b/>
                <w:bCs/>
                <w:spacing w:val="-4"/>
                <w:sz w:val="16"/>
                <w:szCs w:val="16"/>
                <w:lang w:eastAsia="en-GB"/>
              </w:rPr>
            </w:pPr>
          </w:p>
        </w:tc>
        <w:tc>
          <w:tcPr>
            <w:tcW w:w="803" w:type="dxa"/>
            <w:shd w:val="clear" w:color="auto" w:fill="auto"/>
            <w:noWrap/>
            <w:vAlign w:val="center"/>
            <w:hideMark/>
          </w:tcPr>
          <w:p w14:paraId="25D4DF83"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728F6D58"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0362B120"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7C31B851"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1A78F543" w14:textId="77777777" w:rsidR="002735B4" w:rsidRPr="00445472" w:rsidRDefault="002735B4" w:rsidP="002A1F08">
            <w:pPr>
              <w:spacing w:before="46" w:after="62"/>
              <w:rPr>
                <w:rFonts w:ascii="Garamond" w:hAnsi="Garamond"/>
                <w:b/>
                <w:bCs/>
                <w:spacing w:val="-4"/>
                <w:sz w:val="16"/>
                <w:szCs w:val="16"/>
                <w:lang w:eastAsia="en-GB"/>
              </w:rPr>
            </w:pPr>
          </w:p>
        </w:tc>
      </w:tr>
      <w:tr w:rsidR="002735B4" w:rsidRPr="00445472" w14:paraId="36A2F7D9" w14:textId="77777777" w:rsidTr="002A1F08">
        <w:trPr>
          <w:trHeight w:val="225"/>
        </w:trPr>
        <w:tc>
          <w:tcPr>
            <w:tcW w:w="2041" w:type="dxa"/>
            <w:shd w:val="clear" w:color="auto" w:fill="auto"/>
            <w:noWrap/>
            <w:vAlign w:val="center"/>
            <w:hideMark/>
          </w:tcPr>
          <w:p w14:paraId="355B9252"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Shërbime kanalizime</w:t>
            </w:r>
          </w:p>
        </w:tc>
        <w:tc>
          <w:tcPr>
            <w:tcW w:w="737" w:type="dxa"/>
            <w:shd w:val="clear" w:color="auto" w:fill="auto"/>
            <w:noWrap/>
            <w:vAlign w:val="center"/>
            <w:hideMark/>
          </w:tcPr>
          <w:p w14:paraId="1509204B"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1A28A22F"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23E29CBF"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47A423A7" w14:textId="77777777" w:rsidR="002735B4" w:rsidRPr="00445472" w:rsidRDefault="002735B4" w:rsidP="002A1F08">
            <w:pPr>
              <w:spacing w:before="46" w:after="62"/>
              <w:rPr>
                <w:rFonts w:ascii="Garamond" w:hAnsi="Garamond"/>
                <w:b/>
                <w:bCs/>
                <w:spacing w:val="-4"/>
                <w:sz w:val="16"/>
                <w:szCs w:val="16"/>
                <w:lang w:eastAsia="en-GB"/>
              </w:rPr>
            </w:pPr>
          </w:p>
        </w:tc>
        <w:tc>
          <w:tcPr>
            <w:tcW w:w="823" w:type="dxa"/>
            <w:shd w:val="clear" w:color="auto" w:fill="auto"/>
            <w:noWrap/>
            <w:vAlign w:val="center"/>
            <w:hideMark/>
          </w:tcPr>
          <w:p w14:paraId="7EF89674"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21B0E9B6"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1B02B17A"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515F5E4D"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52B186AA" w14:textId="77777777" w:rsidR="002735B4" w:rsidRPr="00445472" w:rsidRDefault="002735B4" w:rsidP="002A1F08">
            <w:pPr>
              <w:spacing w:before="46" w:after="62"/>
              <w:rPr>
                <w:rFonts w:ascii="Garamond" w:hAnsi="Garamond"/>
                <w:b/>
                <w:bCs/>
                <w:spacing w:val="-4"/>
                <w:sz w:val="16"/>
                <w:szCs w:val="16"/>
                <w:lang w:eastAsia="en-GB"/>
              </w:rPr>
            </w:pPr>
          </w:p>
        </w:tc>
        <w:tc>
          <w:tcPr>
            <w:tcW w:w="768" w:type="dxa"/>
            <w:shd w:val="clear" w:color="auto" w:fill="auto"/>
            <w:noWrap/>
            <w:vAlign w:val="center"/>
            <w:hideMark/>
          </w:tcPr>
          <w:p w14:paraId="7F8807AA" w14:textId="77777777" w:rsidR="002735B4" w:rsidRPr="00445472" w:rsidRDefault="002735B4" w:rsidP="002A1F08">
            <w:pPr>
              <w:spacing w:before="46" w:after="62"/>
              <w:rPr>
                <w:rFonts w:ascii="Garamond" w:hAnsi="Garamond"/>
                <w:b/>
                <w:bCs/>
                <w:spacing w:val="-4"/>
                <w:sz w:val="16"/>
                <w:szCs w:val="16"/>
                <w:lang w:eastAsia="en-GB"/>
              </w:rPr>
            </w:pPr>
          </w:p>
        </w:tc>
        <w:tc>
          <w:tcPr>
            <w:tcW w:w="803" w:type="dxa"/>
            <w:shd w:val="clear" w:color="auto" w:fill="auto"/>
            <w:noWrap/>
            <w:vAlign w:val="center"/>
            <w:hideMark/>
          </w:tcPr>
          <w:p w14:paraId="209AF1C8"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733A4438"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1D580BE3" w14:textId="77777777" w:rsidR="002735B4" w:rsidRPr="00445472" w:rsidRDefault="002735B4" w:rsidP="002A1F08">
            <w:pPr>
              <w:spacing w:before="46" w:after="62"/>
              <w:rPr>
                <w:rFonts w:ascii="Garamond" w:hAnsi="Garamond"/>
                <w:b/>
                <w:bCs/>
                <w:spacing w:val="-4"/>
                <w:sz w:val="16"/>
                <w:szCs w:val="16"/>
                <w:lang w:eastAsia="en-GB"/>
              </w:rPr>
            </w:pPr>
          </w:p>
        </w:tc>
        <w:tc>
          <w:tcPr>
            <w:tcW w:w="737" w:type="dxa"/>
            <w:shd w:val="clear" w:color="auto" w:fill="auto"/>
            <w:noWrap/>
            <w:vAlign w:val="center"/>
            <w:hideMark/>
          </w:tcPr>
          <w:p w14:paraId="55CCBA89" w14:textId="77777777" w:rsidR="002735B4" w:rsidRPr="00445472" w:rsidRDefault="002735B4" w:rsidP="002A1F08">
            <w:pPr>
              <w:spacing w:before="46" w:after="62"/>
              <w:rPr>
                <w:rFonts w:ascii="Garamond" w:hAnsi="Garamond"/>
                <w:b/>
                <w:bCs/>
                <w:spacing w:val="-4"/>
                <w:sz w:val="16"/>
                <w:szCs w:val="16"/>
                <w:lang w:eastAsia="en-GB"/>
              </w:rPr>
            </w:pPr>
          </w:p>
        </w:tc>
        <w:tc>
          <w:tcPr>
            <w:tcW w:w="795" w:type="dxa"/>
            <w:shd w:val="clear" w:color="auto" w:fill="auto"/>
            <w:noWrap/>
            <w:vAlign w:val="center"/>
            <w:hideMark/>
          </w:tcPr>
          <w:p w14:paraId="2A1D0704" w14:textId="77777777" w:rsidR="002735B4" w:rsidRPr="00445472" w:rsidRDefault="002735B4" w:rsidP="002A1F08">
            <w:pPr>
              <w:spacing w:before="46" w:after="62"/>
              <w:rPr>
                <w:rFonts w:ascii="Garamond" w:hAnsi="Garamond"/>
                <w:b/>
                <w:bCs/>
                <w:spacing w:val="-4"/>
                <w:sz w:val="16"/>
                <w:szCs w:val="16"/>
                <w:lang w:eastAsia="en-GB"/>
              </w:rPr>
            </w:pPr>
          </w:p>
        </w:tc>
      </w:tr>
      <w:tr w:rsidR="002735B4" w:rsidRPr="00445472" w14:paraId="5BD9ABBA" w14:textId="77777777" w:rsidTr="002735B4">
        <w:trPr>
          <w:trHeight w:val="462"/>
        </w:trPr>
        <w:tc>
          <w:tcPr>
            <w:tcW w:w="2041" w:type="dxa"/>
            <w:shd w:val="clear" w:color="auto" w:fill="auto"/>
            <w:noWrap/>
            <w:vAlign w:val="center"/>
            <w:hideMark/>
          </w:tcPr>
          <w:p w14:paraId="250B200B" w14:textId="6EF3458D" w:rsidR="002735B4" w:rsidRPr="00445472" w:rsidRDefault="002735B4" w:rsidP="00034FBB">
            <w:pPr>
              <w:spacing w:before="46" w:after="62"/>
              <w:rPr>
                <w:rFonts w:ascii="Garamond" w:hAnsi="Garamond"/>
                <w:spacing w:val="-4"/>
                <w:sz w:val="16"/>
                <w:szCs w:val="16"/>
                <w:lang w:eastAsia="en-GB"/>
              </w:rPr>
            </w:pPr>
            <w:r w:rsidRPr="00445472">
              <w:rPr>
                <w:rFonts w:ascii="Garamond" w:hAnsi="Garamond"/>
                <w:spacing w:val="-4"/>
                <w:sz w:val="16"/>
                <w:szCs w:val="16"/>
                <w:lang w:eastAsia="en-GB"/>
              </w:rPr>
              <w:t>Shuma totale e faturave t</w:t>
            </w:r>
            <w:r w:rsidR="00034FBB">
              <w:rPr>
                <w:rFonts w:ascii="Garamond" w:hAnsi="Garamond"/>
                <w:spacing w:val="-4"/>
                <w:sz w:val="16"/>
                <w:szCs w:val="16"/>
                <w:lang w:eastAsia="en-GB"/>
              </w:rPr>
              <w:t>ë</w:t>
            </w:r>
            <w:r w:rsidRPr="00445472">
              <w:rPr>
                <w:rFonts w:ascii="Garamond" w:hAnsi="Garamond"/>
                <w:spacing w:val="-4"/>
                <w:sz w:val="16"/>
                <w:szCs w:val="16"/>
                <w:lang w:eastAsia="en-GB"/>
              </w:rPr>
              <w:t xml:space="preserve"> kanalizimeve</w:t>
            </w:r>
            <w:r w:rsidR="00D45EAA" w:rsidRPr="00445472">
              <w:rPr>
                <w:rFonts w:ascii="Garamond" w:hAnsi="Garamond"/>
                <w:spacing w:val="-4"/>
                <w:sz w:val="16"/>
                <w:szCs w:val="16"/>
                <w:lang w:eastAsia="en-GB"/>
              </w:rPr>
              <w:t xml:space="preserve"> </w:t>
            </w:r>
            <w:r w:rsidRPr="00445472">
              <w:rPr>
                <w:rFonts w:ascii="Garamond" w:hAnsi="Garamond"/>
                <w:spacing w:val="-4"/>
                <w:sz w:val="16"/>
                <w:szCs w:val="16"/>
                <w:lang w:eastAsia="en-GB"/>
              </w:rPr>
              <w:t xml:space="preserve">- </w:t>
            </w:r>
            <w:r w:rsidR="00D45EAA" w:rsidRPr="00445472">
              <w:rPr>
                <w:rFonts w:ascii="Garamond" w:hAnsi="Garamond"/>
                <w:spacing w:val="-4"/>
                <w:sz w:val="16"/>
                <w:szCs w:val="16"/>
                <w:lang w:eastAsia="en-GB"/>
              </w:rPr>
              <w:t xml:space="preserve">totali </w:t>
            </w:r>
            <w:r w:rsidRPr="00445472">
              <w:rPr>
                <w:rFonts w:ascii="Garamond" w:hAnsi="Garamond"/>
                <w:spacing w:val="-4"/>
                <w:sz w:val="16"/>
                <w:szCs w:val="16"/>
                <w:lang w:eastAsia="en-GB"/>
              </w:rPr>
              <w:t xml:space="preserve">(000 </w:t>
            </w:r>
            <w:r w:rsidR="00D45EAA" w:rsidRPr="00445472">
              <w:rPr>
                <w:rFonts w:ascii="Garamond" w:hAnsi="Garamond"/>
                <w:spacing w:val="-4"/>
                <w:sz w:val="16"/>
                <w:szCs w:val="16"/>
                <w:lang w:eastAsia="en-GB"/>
              </w:rPr>
              <w:t>lek</w:t>
            </w:r>
            <w:r w:rsidRPr="00445472">
              <w:rPr>
                <w:rFonts w:ascii="Garamond" w:hAnsi="Garamond"/>
                <w:spacing w:val="-4"/>
                <w:sz w:val="16"/>
                <w:szCs w:val="16"/>
                <w:lang w:eastAsia="en-GB"/>
              </w:rPr>
              <w:t>)</w:t>
            </w:r>
          </w:p>
        </w:tc>
        <w:tc>
          <w:tcPr>
            <w:tcW w:w="737" w:type="dxa"/>
            <w:shd w:val="clear" w:color="auto" w:fill="auto"/>
            <w:noWrap/>
            <w:vAlign w:val="center"/>
            <w:hideMark/>
          </w:tcPr>
          <w:p w14:paraId="36D9022A"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1,100</w:t>
            </w:r>
          </w:p>
        </w:tc>
        <w:tc>
          <w:tcPr>
            <w:tcW w:w="737" w:type="dxa"/>
            <w:shd w:val="clear" w:color="auto" w:fill="auto"/>
            <w:noWrap/>
            <w:vAlign w:val="center"/>
            <w:hideMark/>
          </w:tcPr>
          <w:p w14:paraId="3E34D9A1"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0C8DBD33"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95" w:type="dxa"/>
            <w:shd w:val="clear" w:color="auto" w:fill="auto"/>
            <w:noWrap/>
            <w:vAlign w:val="center"/>
            <w:hideMark/>
          </w:tcPr>
          <w:p w14:paraId="349FFA7C"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18,508</w:t>
            </w:r>
          </w:p>
        </w:tc>
        <w:tc>
          <w:tcPr>
            <w:tcW w:w="823" w:type="dxa"/>
            <w:shd w:val="clear" w:color="auto" w:fill="auto"/>
            <w:noWrap/>
            <w:vAlign w:val="center"/>
            <w:hideMark/>
          </w:tcPr>
          <w:p w14:paraId="78594049"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21,168</w:t>
            </w:r>
          </w:p>
        </w:tc>
        <w:tc>
          <w:tcPr>
            <w:tcW w:w="795" w:type="dxa"/>
            <w:shd w:val="clear" w:color="auto" w:fill="auto"/>
            <w:noWrap/>
            <w:vAlign w:val="center"/>
            <w:hideMark/>
          </w:tcPr>
          <w:p w14:paraId="1304172D"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42,292</w:t>
            </w:r>
          </w:p>
        </w:tc>
        <w:tc>
          <w:tcPr>
            <w:tcW w:w="737" w:type="dxa"/>
            <w:shd w:val="clear" w:color="auto" w:fill="auto"/>
            <w:noWrap/>
            <w:vAlign w:val="center"/>
            <w:hideMark/>
          </w:tcPr>
          <w:p w14:paraId="1EF9C722"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193</w:t>
            </w:r>
          </w:p>
        </w:tc>
        <w:tc>
          <w:tcPr>
            <w:tcW w:w="795" w:type="dxa"/>
            <w:shd w:val="clear" w:color="auto" w:fill="auto"/>
            <w:noWrap/>
            <w:vAlign w:val="center"/>
            <w:hideMark/>
          </w:tcPr>
          <w:p w14:paraId="6F591626"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47B3B5DA"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536</w:t>
            </w:r>
          </w:p>
        </w:tc>
        <w:tc>
          <w:tcPr>
            <w:tcW w:w="768" w:type="dxa"/>
            <w:shd w:val="clear" w:color="auto" w:fill="auto"/>
            <w:noWrap/>
            <w:vAlign w:val="center"/>
            <w:hideMark/>
          </w:tcPr>
          <w:p w14:paraId="54544463"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6,353</w:t>
            </w:r>
          </w:p>
        </w:tc>
        <w:tc>
          <w:tcPr>
            <w:tcW w:w="803" w:type="dxa"/>
            <w:shd w:val="clear" w:color="auto" w:fill="auto"/>
            <w:noWrap/>
            <w:vAlign w:val="center"/>
            <w:hideMark/>
          </w:tcPr>
          <w:p w14:paraId="3FD05BC9"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5,025</w:t>
            </w:r>
          </w:p>
        </w:tc>
        <w:tc>
          <w:tcPr>
            <w:tcW w:w="737" w:type="dxa"/>
            <w:shd w:val="clear" w:color="auto" w:fill="auto"/>
            <w:noWrap/>
            <w:vAlign w:val="center"/>
            <w:hideMark/>
          </w:tcPr>
          <w:p w14:paraId="375E1559"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2F65BD51"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6D1C98ED"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4,807</w:t>
            </w:r>
          </w:p>
        </w:tc>
        <w:tc>
          <w:tcPr>
            <w:tcW w:w="795" w:type="dxa"/>
            <w:shd w:val="clear" w:color="auto" w:fill="auto"/>
            <w:noWrap/>
            <w:vAlign w:val="center"/>
            <w:hideMark/>
          </w:tcPr>
          <w:p w14:paraId="7D23A764" w14:textId="77777777" w:rsidR="002735B4" w:rsidRPr="00445472" w:rsidRDefault="002735B4" w:rsidP="002A1F08">
            <w:pPr>
              <w:spacing w:before="46" w:after="62"/>
              <w:jc w:val="right"/>
              <w:rPr>
                <w:rFonts w:ascii="Garamond" w:hAnsi="Garamond"/>
                <w:b/>
                <w:bCs/>
                <w:spacing w:val="-4"/>
                <w:sz w:val="16"/>
                <w:szCs w:val="16"/>
                <w:lang w:eastAsia="en-GB"/>
              </w:rPr>
            </w:pPr>
            <w:r w:rsidRPr="00445472">
              <w:rPr>
                <w:rFonts w:ascii="Garamond" w:hAnsi="Garamond"/>
                <w:b/>
                <w:bCs/>
                <w:spacing w:val="-4"/>
                <w:sz w:val="16"/>
                <w:szCs w:val="16"/>
                <w:lang w:eastAsia="en-GB"/>
              </w:rPr>
              <w:t>99,982</w:t>
            </w:r>
          </w:p>
        </w:tc>
      </w:tr>
      <w:tr w:rsidR="002735B4" w:rsidRPr="00445472" w14:paraId="51406AD6" w14:textId="77777777" w:rsidTr="002A1F08">
        <w:trPr>
          <w:trHeight w:val="225"/>
        </w:trPr>
        <w:tc>
          <w:tcPr>
            <w:tcW w:w="2041" w:type="dxa"/>
            <w:tcBorders>
              <w:bottom w:val="single" w:sz="4" w:space="0" w:color="27B1B0"/>
            </w:tcBorders>
            <w:shd w:val="clear" w:color="auto" w:fill="auto"/>
            <w:noWrap/>
            <w:vAlign w:val="center"/>
            <w:hideMark/>
          </w:tcPr>
          <w:p w14:paraId="489DD6E9"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6A4A8867"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485FB680"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1AE93999" w14:textId="77777777" w:rsidR="002735B4" w:rsidRPr="00445472" w:rsidRDefault="002735B4" w:rsidP="002A1F08">
            <w:pPr>
              <w:spacing w:before="46" w:after="62"/>
              <w:rPr>
                <w:rFonts w:ascii="Garamond" w:hAnsi="Garamond"/>
                <w:spacing w:val="-4"/>
                <w:sz w:val="16"/>
                <w:szCs w:val="16"/>
                <w:lang w:eastAsia="en-GB"/>
              </w:rPr>
            </w:pPr>
          </w:p>
        </w:tc>
        <w:tc>
          <w:tcPr>
            <w:tcW w:w="795" w:type="dxa"/>
            <w:tcBorders>
              <w:bottom w:val="single" w:sz="4" w:space="0" w:color="27B1B0"/>
            </w:tcBorders>
            <w:shd w:val="clear" w:color="auto" w:fill="auto"/>
            <w:noWrap/>
            <w:vAlign w:val="center"/>
            <w:hideMark/>
          </w:tcPr>
          <w:p w14:paraId="0053680B" w14:textId="77777777" w:rsidR="002735B4" w:rsidRPr="00445472" w:rsidRDefault="002735B4" w:rsidP="002A1F08">
            <w:pPr>
              <w:spacing w:before="46" w:after="62"/>
              <w:rPr>
                <w:rFonts w:ascii="Garamond" w:hAnsi="Garamond"/>
                <w:spacing w:val="-4"/>
                <w:sz w:val="16"/>
                <w:szCs w:val="16"/>
                <w:lang w:eastAsia="en-GB"/>
              </w:rPr>
            </w:pPr>
          </w:p>
        </w:tc>
        <w:tc>
          <w:tcPr>
            <w:tcW w:w="823" w:type="dxa"/>
            <w:tcBorders>
              <w:bottom w:val="single" w:sz="4" w:space="0" w:color="27B1B0"/>
            </w:tcBorders>
            <w:shd w:val="clear" w:color="auto" w:fill="auto"/>
            <w:noWrap/>
            <w:vAlign w:val="center"/>
            <w:hideMark/>
          </w:tcPr>
          <w:p w14:paraId="1ACB3016" w14:textId="77777777" w:rsidR="002735B4" w:rsidRPr="00445472" w:rsidRDefault="002735B4" w:rsidP="002A1F08">
            <w:pPr>
              <w:spacing w:before="46" w:after="62"/>
              <w:rPr>
                <w:rFonts w:ascii="Garamond" w:hAnsi="Garamond"/>
                <w:spacing w:val="-4"/>
                <w:sz w:val="16"/>
                <w:szCs w:val="16"/>
                <w:lang w:eastAsia="en-GB"/>
              </w:rPr>
            </w:pPr>
          </w:p>
        </w:tc>
        <w:tc>
          <w:tcPr>
            <w:tcW w:w="795" w:type="dxa"/>
            <w:tcBorders>
              <w:bottom w:val="single" w:sz="4" w:space="0" w:color="27B1B0"/>
            </w:tcBorders>
            <w:shd w:val="clear" w:color="auto" w:fill="auto"/>
            <w:noWrap/>
            <w:vAlign w:val="center"/>
            <w:hideMark/>
          </w:tcPr>
          <w:p w14:paraId="0000776B"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2CF1E0F2" w14:textId="77777777" w:rsidR="002735B4" w:rsidRPr="00445472" w:rsidRDefault="002735B4" w:rsidP="002A1F08">
            <w:pPr>
              <w:spacing w:before="46" w:after="62"/>
              <w:rPr>
                <w:rFonts w:ascii="Garamond" w:hAnsi="Garamond"/>
                <w:spacing w:val="-4"/>
                <w:sz w:val="16"/>
                <w:szCs w:val="16"/>
                <w:lang w:eastAsia="en-GB"/>
              </w:rPr>
            </w:pPr>
          </w:p>
        </w:tc>
        <w:tc>
          <w:tcPr>
            <w:tcW w:w="795" w:type="dxa"/>
            <w:tcBorders>
              <w:bottom w:val="single" w:sz="4" w:space="0" w:color="27B1B0"/>
            </w:tcBorders>
            <w:shd w:val="clear" w:color="auto" w:fill="auto"/>
            <w:noWrap/>
            <w:vAlign w:val="center"/>
            <w:hideMark/>
          </w:tcPr>
          <w:p w14:paraId="564F69AC"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3F95D73B" w14:textId="77777777" w:rsidR="002735B4" w:rsidRPr="00445472" w:rsidRDefault="002735B4" w:rsidP="002A1F08">
            <w:pPr>
              <w:spacing w:before="46" w:after="62"/>
              <w:rPr>
                <w:rFonts w:ascii="Garamond" w:hAnsi="Garamond"/>
                <w:spacing w:val="-4"/>
                <w:sz w:val="16"/>
                <w:szCs w:val="16"/>
                <w:lang w:eastAsia="en-GB"/>
              </w:rPr>
            </w:pPr>
          </w:p>
        </w:tc>
        <w:tc>
          <w:tcPr>
            <w:tcW w:w="768" w:type="dxa"/>
            <w:tcBorders>
              <w:bottom w:val="single" w:sz="4" w:space="0" w:color="27B1B0"/>
            </w:tcBorders>
            <w:shd w:val="clear" w:color="auto" w:fill="auto"/>
            <w:noWrap/>
            <w:vAlign w:val="center"/>
            <w:hideMark/>
          </w:tcPr>
          <w:p w14:paraId="726ED3EA" w14:textId="77777777" w:rsidR="002735B4" w:rsidRPr="00445472" w:rsidRDefault="002735B4" w:rsidP="002A1F08">
            <w:pPr>
              <w:spacing w:before="46" w:after="62"/>
              <w:rPr>
                <w:rFonts w:ascii="Garamond" w:hAnsi="Garamond"/>
                <w:spacing w:val="-4"/>
                <w:sz w:val="16"/>
                <w:szCs w:val="16"/>
                <w:lang w:eastAsia="en-GB"/>
              </w:rPr>
            </w:pPr>
          </w:p>
        </w:tc>
        <w:tc>
          <w:tcPr>
            <w:tcW w:w="803" w:type="dxa"/>
            <w:tcBorders>
              <w:bottom w:val="single" w:sz="4" w:space="0" w:color="27B1B0"/>
            </w:tcBorders>
            <w:shd w:val="clear" w:color="auto" w:fill="auto"/>
            <w:noWrap/>
            <w:vAlign w:val="center"/>
            <w:hideMark/>
          </w:tcPr>
          <w:p w14:paraId="20C49DEA"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31EACEAF"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1807DDA7" w14:textId="77777777" w:rsidR="002735B4" w:rsidRPr="00445472" w:rsidRDefault="002735B4" w:rsidP="002A1F08">
            <w:pPr>
              <w:spacing w:before="46" w:after="62"/>
              <w:rPr>
                <w:rFonts w:ascii="Garamond" w:hAnsi="Garamond"/>
                <w:spacing w:val="-4"/>
                <w:sz w:val="16"/>
                <w:szCs w:val="16"/>
                <w:lang w:eastAsia="en-GB"/>
              </w:rPr>
            </w:pPr>
          </w:p>
        </w:tc>
        <w:tc>
          <w:tcPr>
            <w:tcW w:w="737" w:type="dxa"/>
            <w:tcBorders>
              <w:bottom w:val="single" w:sz="4" w:space="0" w:color="27B1B0"/>
            </w:tcBorders>
            <w:shd w:val="clear" w:color="auto" w:fill="auto"/>
            <w:noWrap/>
            <w:vAlign w:val="center"/>
            <w:hideMark/>
          </w:tcPr>
          <w:p w14:paraId="00CF0D7D" w14:textId="77777777" w:rsidR="002735B4" w:rsidRPr="00445472" w:rsidRDefault="002735B4" w:rsidP="002A1F08">
            <w:pPr>
              <w:spacing w:before="46" w:after="62"/>
              <w:rPr>
                <w:rFonts w:ascii="Garamond" w:hAnsi="Garamond"/>
                <w:spacing w:val="-4"/>
                <w:sz w:val="16"/>
                <w:szCs w:val="16"/>
                <w:lang w:eastAsia="en-GB"/>
              </w:rPr>
            </w:pPr>
          </w:p>
        </w:tc>
        <w:tc>
          <w:tcPr>
            <w:tcW w:w="795" w:type="dxa"/>
            <w:tcBorders>
              <w:bottom w:val="single" w:sz="4" w:space="0" w:color="27B1B0"/>
            </w:tcBorders>
            <w:shd w:val="clear" w:color="auto" w:fill="auto"/>
            <w:noWrap/>
            <w:vAlign w:val="center"/>
            <w:hideMark/>
          </w:tcPr>
          <w:p w14:paraId="22452245" w14:textId="77777777" w:rsidR="002735B4" w:rsidRPr="00445472" w:rsidRDefault="002735B4" w:rsidP="002A1F08">
            <w:pPr>
              <w:spacing w:before="46" w:after="62"/>
              <w:rPr>
                <w:rFonts w:ascii="Garamond" w:hAnsi="Garamond"/>
                <w:spacing w:val="-4"/>
                <w:sz w:val="16"/>
                <w:szCs w:val="16"/>
                <w:lang w:eastAsia="en-GB"/>
              </w:rPr>
            </w:pPr>
          </w:p>
        </w:tc>
      </w:tr>
      <w:tr w:rsidR="002735B4" w:rsidRPr="00445472" w14:paraId="0081FF3A" w14:textId="77777777" w:rsidTr="002A1F08">
        <w:trPr>
          <w:trHeight w:val="255"/>
        </w:trPr>
        <w:tc>
          <w:tcPr>
            <w:tcW w:w="2041" w:type="dxa"/>
            <w:shd w:val="clear" w:color="auto" w:fill="auto"/>
            <w:noWrap/>
            <w:vAlign w:val="center"/>
            <w:hideMark/>
          </w:tcPr>
          <w:p w14:paraId="2F4F7ACF"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Shkalla e rikuperimit të kostos ekonomike – ujë (%)</w:t>
            </w:r>
          </w:p>
        </w:tc>
        <w:tc>
          <w:tcPr>
            <w:tcW w:w="737" w:type="dxa"/>
            <w:shd w:val="clear" w:color="auto" w:fill="auto"/>
            <w:noWrap/>
            <w:vAlign w:val="center"/>
            <w:hideMark/>
          </w:tcPr>
          <w:p w14:paraId="172717F1"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81%</w:t>
            </w:r>
          </w:p>
        </w:tc>
        <w:tc>
          <w:tcPr>
            <w:tcW w:w="737" w:type="dxa"/>
            <w:shd w:val="clear" w:color="auto" w:fill="auto"/>
            <w:noWrap/>
            <w:vAlign w:val="center"/>
            <w:hideMark/>
          </w:tcPr>
          <w:p w14:paraId="51CE29A1"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25%</w:t>
            </w:r>
          </w:p>
        </w:tc>
        <w:tc>
          <w:tcPr>
            <w:tcW w:w="737" w:type="dxa"/>
            <w:shd w:val="clear" w:color="auto" w:fill="auto"/>
            <w:noWrap/>
            <w:vAlign w:val="center"/>
            <w:hideMark/>
          </w:tcPr>
          <w:p w14:paraId="6D1FDE5A"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62%</w:t>
            </w:r>
          </w:p>
        </w:tc>
        <w:tc>
          <w:tcPr>
            <w:tcW w:w="795" w:type="dxa"/>
            <w:shd w:val="clear" w:color="auto" w:fill="auto"/>
            <w:noWrap/>
            <w:vAlign w:val="center"/>
            <w:hideMark/>
          </w:tcPr>
          <w:p w14:paraId="7AA20CDE"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70%</w:t>
            </w:r>
          </w:p>
        </w:tc>
        <w:tc>
          <w:tcPr>
            <w:tcW w:w="823" w:type="dxa"/>
            <w:shd w:val="clear" w:color="auto" w:fill="auto"/>
            <w:noWrap/>
            <w:vAlign w:val="center"/>
            <w:hideMark/>
          </w:tcPr>
          <w:p w14:paraId="35D48953"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81%</w:t>
            </w:r>
          </w:p>
        </w:tc>
        <w:tc>
          <w:tcPr>
            <w:tcW w:w="795" w:type="dxa"/>
            <w:shd w:val="clear" w:color="auto" w:fill="auto"/>
            <w:noWrap/>
            <w:vAlign w:val="center"/>
            <w:hideMark/>
          </w:tcPr>
          <w:p w14:paraId="35A5058D"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85%</w:t>
            </w:r>
          </w:p>
        </w:tc>
        <w:tc>
          <w:tcPr>
            <w:tcW w:w="737" w:type="dxa"/>
            <w:shd w:val="clear" w:color="auto" w:fill="auto"/>
            <w:noWrap/>
            <w:vAlign w:val="center"/>
            <w:hideMark/>
          </w:tcPr>
          <w:p w14:paraId="16D2C83E"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23%</w:t>
            </w:r>
          </w:p>
        </w:tc>
        <w:tc>
          <w:tcPr>
            <w:tcW w:w="795" w:type="dxa"/>
            <w:shd w:val="clear" w:color="auto" w:fill="auto"/>
            <w:noWrap/>
            <w:vAlign w:val="center"/>
            <w:hideMark/>
          </w:tcPr>
          <w:p w14:paraId="2F58BA15"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35%</w:t>
            </w:r>
          </w:p>
        </w:tc>
        <w:tc>
          <w:tcPr>
            <w:tcW w:w="737" w:type="dxa"/>
            <w:shd w:val="clear" w:color="auto" w:fill="auto"/>
            <w:noWrap/>
            <w:vAlign w:val="center"/>
            <w:hideMark/>
          </w:tcPr>
          <w:p w14:paraId="79E77D02"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44%</w:t>
            </w:r>
          </w:p>
        </w:tc>
        <w:tc>
          <w:tcPr>
            <w:tcW w:w="768" w:type="dxa"/>
            <w:shd w:val="clear" w:color="auto" w:fill="auto"/>
            <w:noWrap/>
            <w:vAlign w:val="center"/>
            <w:hideMark/>
          </w:tcPr>
          <w:p w14:paraId="40B3BD92"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76%</w:t>
            </w:r>
          </w:p>
        </w:tc>
        <w:tc>
          <w:tcPr>
            <w:tcW w:w="803" w:type="dxa"/>
            <w:shd w:val="clear" w:color="auto" w:fill="auto"/>
            <w:noWrap/>
            <w:vAlign w:val="center"/>
            <w:hideMark/>
          </w:tcPr>
          <w:p w14:paraId="4A7C7004"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78%</w:t>
            </w:r>
          </w:p>
        </w:tc>
        <w:tc>
          <w:tcPr>
            <w:tcW w:w="737" w:type="dxa"/>
            <w:shd w:val="clear" w:color="auto" w:fill="auto"/>
            <w:noWrap/>
            <w:vAlign w:val="center"/>
            <w:hideMark/>
          </w:tcPr>
          <w:p w14:paraId="22E22B76"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75%</w:t>
            </w:r>
          </w:p>
        </w:tc>
        <w:tc>
          <w:tcPr>
            <w:tcW w:w="737" w:type="dxa"/>
            <w:shd w:val="clear" w:color="auto" w:fill="auto"/>
            <w:noWrap/>
            <w:vAlign w:val="center"/>
            <w:hideMark/>
          </w:tcPr>
          <w:p w14:paraId="59AA17D2"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34%</w:t>
            </w:r>
          </w:p>
        </w:tc>
        <w:tc>
          <w:tcPr>
            <w:tcW w:w="737" w:type="dxa"/>
            <w:shd w:val="clear" w:color="auto" w:fill="auto"/>
            <w:noWrap/>
            <w:vAlign w:val="center"/>
            <w:hideMark/>
          </w:tcPr>
          <w:p w14:paraId="6D60B7D7"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47%</w:t>
            </w:r>
          </w:p>
        </w:tc>
        <w:tc>
          <w:tcPr>
            <w:tcW w:w="795" w:type="dxa"/>
            <w:shd w:val="clear" w:color="auto" w:fill="auto"/>
            <w:noWrap/>
            <w:vAlign w:val="center"/>
            <w:hideMark/>
          </w:tcPr>
          <w:p w14:paraId="3279AA2B"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66%</w:t>
            </w:r>
          </w:p>
        </w:tc>
      </w:tr>
      <w:tr w:rsidR="002735B4" w:rsidRPr="00445472" w14:paraId="5FF72140" w14:textId="77777777" w:rsidTr="002A1F08">
        <w:trPr>
          <w:trHeight w:val="225"/>
        </w:trPr>
        <w:tc>
          <w:tcPr>
            <w:tcW w:w="2041" w:type="dxa"/>
            <w:shd w:val="clear" w:color="auto" w:fill="auto"/>
            <w:noWrap/>
            <w:vAlign w:val="center"/>
            <w:hideMark/>
          </w:tcPr>
          <w:p w14:paraId="1629121D"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40A8A54C"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20DA33E2"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6E052A08"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572A794E" w14:textId="77777777" w:rsidR="002735B4" w:rsidRPr="00445472" w:rsidRDefault="002735B4" w:rsidP="002A1F08">
            <w:pPr>
              <w:spacing w:before="46" w:after="62"/>
              <w:jc w:val="center"/>
              <w:rPr>
                <w:rFonts w:ascii="Garamond" w:hAnsi="Garamond"/>
                <w:spacing w:val="-4"/>
                <w:sz w:val="16"/>
                <w:szCs w:val="16"/>
                <w:lang w:eastAsia="en-GB"/>
              </w:rPr>
            </w:pPr>
          </w:p>
        </w:tc>
        <w:tc>
          <w:tcPr>
            <w:tcW w:w="823" w:type="dxa"/>
            <w:shd w:val="clear" w:color="auto" w:fill="auto"/>
            <w:noWrap/>
            <w:vAlign w:val="center"/>
            <w:hideMark/>
          </w:tcPr>
          <w:p w14:paraId="137C7DAE"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29EE359C"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328B5A65"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27179B6D"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4FB26A0E" w14:textId="77777777" w:rsidR="002735B4" w:rsidRPr="00445472" w:rsidRDefault="002735B4" w:rsidP="002A1F08">
            <w:pPr>
              <w:spacing w:before="46" w:after="62"/>
              <w:jc w:val="center"/>
              <w:rPr>
                <w:rFonts w:ascii="Garamond" w:hAnsi="Garamond"/>
                <w:spacing w:val="-4"/>
                <w:sz w:val="16"/>
                <w:szCs w:val="16"/>
                <w:lang w:eastAsia="en-GB"/>
              </w:rPr>
            </w:pPr>
          </w:p>
        </w:tc>
        <w:tc>
          <w:tcPr>
            <w:tcW w:w="768" w:type="dxa"/>
            <w:shd w:val="clear" w:color="auto" w:fill="auto"/>
            <w:noWrap/>
            <w:vAlign w:val="center"/>
            <w:hideMark/>
          </w:tcPr>
          <w:p w14:paraId="0A9B838A" w14:textId="77777777" w:rsidR="002735B4" w:rsidRPr="00445472" w:rsidRDefault="002735B4" w:rsidP="002A1F08">
            <w:pPr>
              <w:spacing w:before="46" w:after="62"/>
              <w:jc w:val="center"/>
              <w:rPr>
                <w:rFonts w:ascii="Garamond" w:hAnsi="Garamond"/>
                <w:spacing w:val="-4"/>
                <w:sz w:val="16"/>
                <w:szCs w:val="16"/>
                <w:lang w:eastAsia="en-GB"/>
              </w:rPr>
            </w:pPr>
          </w:p>
        </w:tc>
        <w:tc>
          <w:tcPr>
            <w:tcW w:w="803" w:type="dxa"/>
            <w:shd w:val="clear" w:color="auto" w:fill="auto"/>
            <w:noWrap/>
            <w:vAlign w:val="center"/>
            <w:hideMark/>
          </w:tcPr>
          <w:p w14:paraId="0B12008E"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4CABFCA2"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7D07C3C4"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2DEE2C24"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25203753" w14:textId="77777777" w:rsidR="002735B4" w:rsidRPr="00445472" w:rsidRDefault="002735B4" w:rsidP="002A1F08">
            <w:pPr>
              <w:spacing w:before="46" w:after="62"/>
              <w:jc w:val="center"/>
              <w:rPr>
                <w:rFonts w:ascii="Garamond" w:hAnsi="Garamond"/>
                <w:spacing w:val="-4"/>
                <w:sz w:val="16"/>
                <w:szCs w:val="16"/>
                <w:lang w:eastAsia="en-GB"/>
              </w:rPr>
            </w:pPr>
          </w:p>
        </w:tc>
      </w:tr>
      <w:tr w:rsidR="002735B4" w:rsidRPr="00445472" w14:paraId="518F8891" w14:textId="77777777" w:rsidTr="002A1F08">
        <w:trPr>
          <w:trHeight w:val="255"/>
        </w:trPr>
        <w:tc>
          <w:tcPr>
            <w:tcW w:w="2041" w:type="dxa"/>
            <w:shd w:val="clear" w:color="auto" w:fill="auto"/>
            <w:noWrap/>
            <w:vAlign w:val="center"/>
            <w:hideMark/>
          </w:tcPr>
          <w:p w14:paraId="26C373A3"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Shkalla e rikuperimit të kostos ekonomike – ujëra të ndotura (%)</w:t>
            </w:r>
          </w:p>
        </w:tc>
        <w:tc>
          <w:tcPr>
            <w:tcW w:w="737" w:type="dxa"/>
            <w:shd w:val="clear" w:color="auto" w:fill="auto"/>
            <w:noWrap/>
            <w:vAlign w:val="center"/>
            <w:hideMark/>
          </w:tcPr>
          <w:p w14:paraId="3337F075"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54%</w:t>
            </w:r>
          </w:p>
        </w:tc>
        <w:tc>
          <w:tcPr>
            <w:tcW w:w="737" w:type="dxa"/>
            <w:shd w:val="clear" w:color="auto" w:fill="auto"/>
            <w:noWrap/>
            <w:vAlign w:val="center"/>
            <w:hideMark/>
          </w:tcPr>
          <w:p w14:paraId="041093D8" w14:textId="77777777" w:rsidR="002735B4" w:rsidRPr="00445472" w:rsidRDefault="002735B4" w:rsidP="002A1F08">
            <w:pPr>
              <w:spacing w:before="46" w:after="62"/>
              <w:jc w:val="center"/>
              <w:rPr>
                <w:rFonts w:ascii="Garamond" w:hAnsi="Garamond"/>
                <w:b/>
                <w:bCs/>
                <w:spacing w:val="-4"/>
                <w:sz w:val="16"/>
                <w:szCs w:val="16"/>
                <w:lang w:eastAsia="en-GB"/>
              </w:rPr>
            </w:pPr>
          </w:p>
        </w:tc>
        <w:tc>
          <w:tcPr>
            <w:tcW w:w="737" w:type="dxa"/>
            <w:shd w:val="clear" w:color="auto" w:fill="auto"/>
            <w:noWrap/>
            <w:vAlign w:val="center"/>
            <w:hideMark/>
          </w:tcPr>
          <w:p w14:paraId="0B04890F" w14:textId="77777777" w:rsidR="002735B4" w:rsidRPr="00445472" w:rsidRDefault="002735B4" w:rsidP="002A1F08">
            <w:pPr>
              <w:spacing w:before="46" w:after="62"/>
              <w:jc w:val="center"/>
              <w:rPr>
                <w:rFonts w:ascii="Garamond" w:hAnsi="Garamond"/>
                <w:b/>
                <w:bCs/>
                <w:spacing w:val="-4"/>
                <w:sz w:val="16"/>
                <w:szCs w:val="16"/>
                <w:lang w:eastAsia="en-GB"/>
              </w:rPr>
            </w:pPr>
          </w:p>
        </w:tc>
        <w:tc>
          <w:tcPr>
            <w:tcW w:w="795" w:type="dxa"/>
            <w:shd w:val="clear" w:color="auto" w:fill="auto"/>
            <w:noWrap/>
            <w:vAlign w:val="center"/>
            <w:hideMark/>
          </w:tcPr>
          <w:p w14:paraId="480AB1C8"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50%</w:t>
            </w:r>
          </w:p>
        </w:tc>
        <w:tc>
          <w:tcPr>
            <w:tcW w:w="823" w:type="dxa"/>
            <w:shd w:val="clear" w:color="auto" w:fill="auto"/>
            <w:noWrap/>
            <w:vAlign w:val="center"/>
            <w:hideMark/>
          </w:tcPr>
          <w:p w14:paraId="5D531B5F"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53%</w:t>
            </w:r>
          </w:p>
        </w:tc>
        <w:tc>
          <w:tcPr>
            <w:tcW w:w="795" w:type="dxa"/>
            <w:shd w:val="clear" w:color="auto" w:fill="auto"/>
            <w:noWrap/>
            <w:vAlign w:val="center"/>
            <w:hideMark/>
          </w:tcPr>
          <w:p w14:paraId="584E03EC"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47%</w:t>
            </w:r>
          </w:p>
        </w:tc>
        <w:tc>
          <w:tcPr>
            <w:tcW w:w="737" w:type="dxa"/>
            <w:shd w:val="clear" w:color="auto" w:fill="auto"/>
            <w:noWrap/>
            <w:vAlign w:val="center"/>
            <w:hideMark/>
          </w:tcPr>
          <w:p w14:paraId="43F94A9A"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9%</w:t>
            </w:r>
          </w:p>
        </w:tc>
        <w:tc>
          <w:tcPr>
            <w:tcW w:w="795" w:type="dxa"/>
            <w:shd w:val="clear" w:color="auto" w:fill="auto"/>
            <w:noWrap/>
            <w:vAlign w:val="center"/>
            <w:hideMark/>
          </w:tcPr>
          <w:p w14:paraId="4DAFD5EE"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0%</w:t>
            </w:r>
          </w:p>
        </w:tc>
        <w:tc>
          <w:tcPr>
            <w:tcW w:w="737" w:type="dxa"/>
            <w:shd w:val="clear" w:color="auto" w:fill="auto"/>
            <w:noWrap/>
            <w:vAlign w:val="center"/>
            <w:hideMark/>
          </w:tcPr>
          <w:p w14:paraId="6DAED916"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22%</w:t>
            </w:r>
          </w:p>
        </w:tc>
        <w:tc>
          <w:tcPr>
            <w:tcW w:w="768" w:type="dxa"/>
            <w:shd w:val="clear" w:color="auto" w:fill="auto"/>
            <w:noWrap/>
            <w:vAlign w:val="center"/>
            <w:hideMark/>
          </w:tcPr>
          <w:p w14:paraId="67CB01B9"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118%</w:t>
            </w:r>
          </w:p>
        </w:tc>
        <w:tc>
          <w:tcPr>
            <w:tcW w:w="803" w:type="dxa"/>
            <w:shd w:val="clear" w:color="auto" w:fill="auto"/>
            <w:noWrap/>
            <w:vAlign w:val="center"/>
            <w:hideMark/>
          </w:tcPr>
          <w:p w14:paraId="720E033A"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176%</w:t>
            </w:r>
          </w:p>
        </w:tc>
        <w:tc>
          <w:tcPr>
            <w:tcW w:w="737" w:type="dxa"/>
            <w:shd w:val="clear" w:color="auto" w:fill="auto"/>
            <w:noWrap/>
            <w:vAlign w:val="center"/>
            <w:hideMark/>
          </w:tcPr>
          <w:p w14:paraId="1E9EACED" w14:textId="77777777" w:rsidR="002735B4" w:rsidRPr="00445472" w:rsidRDefault="002735B4" w:rsidP="002A1F08">
            <w:pPr>
              <w:spacing w:before="46" w:after="62"/>
              <w:jc w:val="center"/>
              <w:rPr>
                <w:rFonts w:ascii="Garamond" w:hAnsi="Garamond"/>
                <w:b/>
                <w:bCs/>
                <w:spacing w:val="-4"/>
                <w:sz w:val="16"/>
                <w:szCs w:val="16"/>
                <w:lang w:eastAsia="en-GB"/>
              </w:rPr>
            </w:pPr>
          </w:p>
        </w:tc>
        <w:tc>
          <w:tcPr>
            <w:tcW w:w="737" w:type="dxa"/>
            <w:shd w:val="clear" w:color="auto" w:fill="auto"/>
            <w:noWrap/>
            <w:vAlign w:val="center"/>
            <w:hideMark/>
          </w:tcPr>
          <w:p w14:paraId="485CC675" w14:textId="77777777" w:rsidR="002735B4" w:rsidRPr="00445472" w:rsidRDefault="002735B4" w:rsidP="002A1F08">
            <w:pPr>
              <w:spacing w:before="46" w:after="62"/>
              <w:jc w:val="center"/>
              <w:rPr>
                <w:rFonts w:ascii="Garamond" w:hAnsi="Garamond"/>
                <w:b/>
                <w:bCs/>
                <w:spacing w:val="-4"/>
                <w:sz w:val="16"/>
                <w:szCs w:val="16"/>
                <w:lang w:eastAsia="en-GB"/>
              </w:rPr>
            </w:pPr>
          </w:p>
        </w:tc>
        <w:tc>
          <w:tcPr>
            <w:tcW w:w="737" w:type="dxa"/>
            <w:shd w:val="clear" w:color="auto" w:fill="auto"/>
            <w:noWrap/>
            <w:vAlign w:val="center"/>
            <w:hideMark/>
          </w:tcPr>
          <w:p w14:paraId="2A363F7C"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119%</w:t>
            </w:r>
          </w:p>
        </w:tc>
        <w:tc>
          <w:tcPr>
            <w:tcW w:w="795" w:type="dxa"/>
            <w:shd w:val="clear" w:color="auto" w:fill="auto"/>
            <w:noWrap/>
            <w:vAlign w:val="center"/>
            <w:hideMark/>
          </w:tcPr>
          <w:p w14:paraId="7E2E4EBC"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54%</w:t>
            </w:r>
          </w:p>
        </w:tc>
      </w:tr>
      <w:tr w:rsidR="002735B4" w:rsidRPr="00445472" w14:paraId="48F3410A" w14:textId="77777777" w:rsidTr="002A1F08">
        <w:trPr>
          <w:trHeight w:val="225"/>
        </w:trPr>
        <w:tc>
          <w:tcPr>
            <w:tcW w:w="2041" w:type="dxa"/>
            <w:shd w:val="clear" w:color="auto" w:fill="auto"/>
            <w:noWrap/>
            <w:vAlign w:val="center"/>
            <w:hideMark/>
          </w:tcPr>
          <w:p w14:paraId="0A770FB3" w14:textId="77777777" w:rsidR="002735B4" w:rsidRPr="00445472" w:rsidRDefault="002735B4" w:rsidP="002A1F08">
            <w:pPr>
              <w:spacing w:before="46" w:after="62"/>
              <w:rPr>
                <w:rFonts w:ascii="Garamond" w:hAnsi="Garamond"/>
                <w:spacing w:val="-4"/>
                <w:sz w:val="16"/>
                <w:szCs w:val="16"/>
                <w:lang w:eastAsia="en-GB"/>
              </w:rPr>
            </w:pPr>
          </w:p>
        </w:tc>
        <w:tc>
          <w:tcPr>
            <w:tcW w:w="737" w:type="dxa"/>
            <w:shd w:val="clear" w:color="auto" w:fill="auto"/>
            <w:noWrap/>
            <w:vAlign w:val="center"/>
            <w:hideMark/>
          </w:tcPr>
          <w:p w14:paraId="14A20485"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26942887"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1CE37E17"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5E68F0ED" w14:textId="77777777" w:rsidR="002735B4" w:rsidRPr="00445472" w:rsidRDefault="002735B4" w:rsidP="002A1F08">
            <w:pPr>
              <w:spacing w:before="46" w:after="62"/>
              <w:jc w:val="center"/>
              <w:rPr>
                <w:rFonts w:ascii="Garamond" w:hAnsi="Garamond"/>
                <w:spacing w:val="-4"/>
                <w:sz w:val="16"/>
                <w:szCs w:val="16"/>
                <w:lang w:eastAsia="en-GB"/>
              </w:rPr>
            </w:pPr>
          </w:p>
        </w:tc>
        <w:tc>
          <w:tcPr>
            <w:tcW w:w="823" w:type="dxa"/>
            <w:shd w:val="clear" w:color="auto" w:fill="auto"/>
            <w:noWrap/>
            <w:vAlign w:val="center"/>
            <w:hideMark/>
          </w:tcPr>
          <w:p w14:paraId="7AEF9341"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53F118AD"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634C8C9F"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0ABB9F8F"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5AE4E4B9" w14:textId="77777777" w:rsidR="002735B4" w:rsidRPr="00445472" w:rsidRDefault="002735B4" w:rsidP="002A1F08">
            <w:pPr>
              <w:spacing w:before="46" w:after="62"/>
              <w:jc w:val="center"/>
              <w:rPr>
                <w:rFonts w:ascii="Garamond" w:hAnsi="Garamond"/>
                <w:spacing w:val="-4"/>
                <w:sz w:val="16"/>
                <w:szCs w:val="16"/>
                <w:lang w:eastAsia="en-GB"/>
              </w:rPr>
            </w:pPr>
          </w:p>
        </w:tc>
        <w:tc>
          <w:tcPr>
            <w:tcW w:w="768" w:type="dxa"/>
            <w:shd w:val="clear" w:color="auto" w:fill="auto"/>
            <w:noWrap/>
            <w:vAlign w:val="center"/>
            <w:hideMark/>
          </w:tcPr>
          <w:p w14:paraId="1A277AC1" w14:textId="77777777" w:rsidR="002735B4" w:rsidRPr="00445472" w:rsidRDefault="002735B4" w:rsidP="002A1F08">
            <w:pPr>
              <w:spacing w:before="46" w:after="62"/>
              <w:jc w:val="center"/>
              <w:rPr>
                <w:rFonts w:ascii="Garamond" w:hAnsi="Garamond"/>
                <w:spacing w:val="-4"/>
                <w:sz w:val="16"/>
                <w:szCs w:val="16"/>
                <w:lang w:eastAsia="en-GB"/>
              </w:rPr>
            </w:pPr>
          </w:p>
        </w:tc>
        <w:tc>
          <w:tcPr>
            <w:tcW w:w="803" w:type="dxa"/>
            <w:shd w:val="clear" w:color="auto" w:fill="auto"/>
            <w:noWrap/>
            <w:vAlign w:val="center"/>
            <w:hideMark/>
          </w:tcPr>
          <w:p w14:paraId="779D0704"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5E231A8A"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03BE042B" w14:textId="77777777" w:rsidR="002735B4" w:rsidRPr="00445472" w:rsidRDefault="002735B4" w:rsidP="002A1F08">
            <w:pPr>
              <w:spacing w:before="46" w:after="62"/>
              <w:jc w:val="center"/>
              <w:rPr>
                <w:rFonts w:ascii="Garamond" w:hAnsi="Garamond"/>
                <w:spacing w:val="-4"/>
                <w:sz w:val="16"/>
                <w:szCs w:val="16"/>
                <w:lang w:eastAsia="en-GB"/>
              </w:rPr>
            </w:pPr>
          </w:p>
        </w:tc>
        <w:tc>
          <w:tcPr>
            <w:tcW w:w="737" w:type="dxa"/>
            <w:shd w:val="clear" w:color="auto" w:fill="auto"/>
            <w:noWrap/>
            <w:vAlign w:val="center"/>
            <w:hideMark/>
          </w:tcPr>
          <w:p w14:paraId="2BB2858B" w14:textId="77777777" w:rsidR="002735B4" w:rsidRPr="00445472" w:rsidRDefault="002735B4" w:rsidP="002A1F08">
            <w:pPr>
              <w:spacing w:before="46" w:after="62"/>
              <w:jc w:val="center"/>
              <w:rPr>
                <w:rFonts w:ascii="Garamond" w:hAnsi="Garamond"/>
                <w:spacing w:val="-4"/>
                <w:sz w:val="16"/>
                <w:szCs w:val="16"/>
                <w:lang w:eastAsia="en-GB"/>
              </w:rPr>
            </w:pPr>
          </w:p>
        </w:tc>
        <w:tc>
          <w:tcPr>
            <w:tcW w:w="795" w:type="dxa"/>
            <w:shd w:val="clear" w:color="auto" w:fill="auto"/>
            <w:noWrap/>
            <w:vAlign w:val="center"/>
            <w:hideMark/>
          </w:tcPr>
          <w:p w14:paraId="7AB9E781" w14:textId="77777777" w:rsidR="002735B4" w:rsidRPr="00445472" w:rsidRDefault="002735B4" w:rsidP="002A1F08">
            <w:pPr>
              <w:spacing w:before="46" w:after="62"/>
              <w:jc w:val="center"/>
              <w:rPr>
                <w:rFonts w:ascii="Garamond" w:hAnsi="Garamond"/>
                <w:spacing w:val="-4"/>
                <w:sz w:val="16"/>
                <w:szCs w:val="16"/>
                <w:lang w:eastAsia="en-GB"/>
              </w:rPr>
            </w:pPr>
          </w:p>
        </w:tc>
      </w:tr>
      <w:tr w:rsidR="002735B4" w:rsidRPr="00445472" w14:paraId="1F7C7FD5" w14:textId="77777777" w:rsidTr="002A1F08">
        <w:trPr>
          <w:trHeight w:val="255"/>
        </w:trPr>
        <w:tc>
          <w:tcPr>
            <w:tcW w:w="2041" w:type="dxa"/>
            <w:shd w:val="clear" w:color="auto" w:fill="auto"/>
            <w:noWrap/>
            <w:vAlign w:val="center"/>
            <w:hideMark/>
          </w:tcPr>
          <w:p w14:paraId="3712FC2B" w14:textId="77777777" w:rsidR="002735B4" w:rsidRPr="00445472" w:rsidRDefault="002735B4" w:rsidP="002A1F08">
            <w:pPr>
              <w:spacing w:before="46" w:after="62"/>
              <w:rPr>
                <w:rFonts w:ascii="Garamond" w:hAnsi="Garamond"/>
                <w:b/>
                <w:bCs/>
                <w:spacing w:val="-4"/>
                <w:sz w:val="16"/>
                <w:szCs w:val="16"/>
                <w:lang w:eastAsia="en-GB"/>
              </w:rPr>
            </w:pPr>
            <w:r w:rsidRPr="00445472">
              <w:rPr>
                <w:rFonts w:ascii="Garamond" w:hAnsi="Garamond"/>
                <w:b/>
                <w:bCs/>
                <w:spacing w:val="-4"/>
                <w:sz w:val="16"/>
                <w:szCs w:val="16"/>
                <w:lang w:eastAsia="en-GB"/>
              </w:rPr>
              <w:t>Shkalla e rikuperimit të kostos ekonomike – ujë dhe ujëra të ndotura (%)</w:t>
            </w:r>
          </w:p>
        </w:tc>
        <w:tc>
          <w:tcPr>
            <w:tcW w:w="737" w:type="dxa"/>
            <w:shd w:val="clear" w:color="auto" w:fill="auto"/>
            <w:noWrap/>
            <w:vAlign w:val="center"/>
            <w:hideMark/>
          </w:tcPr>
          <w:p w14:paraId="6E60C7CC"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76%</w:t>
            </w:r>
          </w:p>
        </w:tc>
        <w:tc>
          <w:tcPr>
            <w:tcW w:w="737" w:type="dxa"/>
            <w:shd w:val="clear" w:color="auto" w:fill="auto"/>
            <w:noWrap/>
            <w:vAlign w:val="center"/>
            <w:hideMark/>
          </w:tcPr>
          <w:p w14:paraId="11DDD692"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25%</w:t>
            </w:r>
          </w:p>
        </w:tc>
        <w:tc>
          <w:tcPr>
            <w:tcW w:w="737" w:type="dxa"/>
            <w:shd w:val="clear" w:color="auto" w:fill="auto"/>
            <w:noWrap/>
            <w:vAlign w:val="center"/>
            <w:hideMark/>
          </w:tcPr>
          <w:p w14:paraId="067D6374"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62%</w:t>
            </w:r>
          </w:p>
        </w:tc>
        <w:tc>
          <w:tcPr>
            <w:tcW w:w="795" w:type="dxa"/>
            <w:shd w:val="clear" w:color="auto" w:fill="auto"/>
            <w:noWrap/>
            <w:vAlign w:val="center"/>
            <w:hideMark/>
          </w:tcPr>
          <w:p w14:paraId="135D0666"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66%</w:t>
            </w:r>
          </w:p>
        </w:tc>
        <w:tc>
          <w:tcPr>
            <w:tcW w:w="823" w:type="dxa"/>
            <w:shd w:val="clear" w:color="auto" w:fill="auto"/>
            <w:noWrap/>
            <w:vAlign w:val="center"/>
            <w:hideMark/>
          </w:tcPr>
          <w:p w14:paraId="72CB45CD"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72%</w:t>
            </w:r>
          </w:p>
        </w:tc>
        <w:tc>
          <w:tcPr>
            <w:tcW w:w="795" w:type="dxa"/>
            <w:shd w:val="clear" w:color="auto" w:fill="auto"/>
            <w:noWrap/>
            <w:vAlign w:val="center"/>
            <w:hideMark/>
          </w:tcPr>
          <w:p w14:paraId="7B41C600"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74%</w:t>
            </w:r>
          </w:p>
        </w:tc>
        <w:tc>
          <w:tcPr>
            <w:tcW w:w="737" w:type="dxa"/>
            <w:shd w:val="clear" w:color="auto" w:fill="auto"/>
            <w:noWrap/>
            <w:vAlign w:val="center"/>
            <w:hideMark/>
          </w:tcPr>
          <w:p w14:paraId="2555EA02"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20%</w:t>
            </w:r>
          </w:p>
        </w:tc>
        <w:tc>
          <w:tcPr>
            <w:tcW w:w="795" w:type="dxa"/>
            <w:shd w:val="clear" w:color="auto" w:fill="auto"/>
            <w:noWrap/>
            <w:vAlign w:val="center"/>
            <w:hideMark/>
          </w:tcPr>
          <w:p w14:paraId="6BFF19E1"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35%</w:t>
            </w:r>
          </w:p>
        </w:tc>
        <w:tc>
          <w:tcPr>
            <w:tcW w:w="737" w:type="dxa"/>
            <w:shd w:val="clear" w:color="auto" w:fill="auto"/>
            <w:noWrap/>
            <w:vAlign w:val="center"/>
            <w:hideMark/>
          </w:tcPr>
          <w:p w14:paraId="3490ADB2"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38%</w:t>
            </w:r>
          </w:p>
        </w:tc>
        <w:tc>
          <w:tcPr>
            <w:tcW w:w="768" w:type="dxa"/>
            <w:shd w:val="clear" w:color="auto" w:fill="auto"/>
            <w:noWrap/>
            <w:vAlign w:val="center"/>
            <w:hideMark/>
          </w:tcPr>
          <w:p w14:paraId="2D64614E"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83%</w:t>
            </w:r>
          </w:p>
        </w:tc>
        <w:tc>
          <w:tcPr>
            <w:tcW w:w="803" w:type="dxa"/>
            <w:shd w:val="clear" w:color="auto" w:fill="auto"/>
            <w:noWrap/>
            <w:vAlign w:val="center"/>
            <w:hideMark/>
          </w:tcPr>
          <w:p w14:paraId="7EF5A66E"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87%</w:t>
            </w:r>
          </w:p>
        </w:tc>
        <w:tc>
          <w:tcPr>
            <w:tcW w:w="737" w:type="dxa"/>
            <w:shd w:val="clear" w:color="auto" w:fill="auto"/>
            <w:noWrap/>
            <w:vAlign w:val="center"/>
            <w:hideMark/>
          </w:tcPr>
          <w:p w14:paraId="30FEB389"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75%</w:t>
            </w:r>
          </w:p>
        </w:tc>
        <w:tc>
          <w:tcPr>
            <w:tcW w:w="737" w:type="dxa"/>
            <w:shd w:val="clear" w:color="auto" w:fill="auto"/>
            <w:noWrap/>
            <w:vAlign w:val="center"/>
            <w:hideMark/>
          </w:tcPr>
          <w:p w14:paraId="363A6610"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34%</w:t>
            </w:r>
          </w:p>
        </w:tc>
        <w:tc>
          <w:tcPr>
            <w:tcW w:w="737" w:type="dxa"/>
            <w:shd w:val="clear" w:color="auto" w:fill="auto"/>
            <w:noWrap/>
            <w:vAlign w:val="center"/>
            <w:hideMark/>
          </w:tcPr>
          <w:p w14:paraId="796A3EBD"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52%</w:t>
            </w:r>
          </w:p>
        </w:tc>
        <w:tc>
          <w:tcPr>
            <w:tcW w:w="795" w:type="dxa"/>
            <w:shd w:val="clear" w:color="auto" w:fill="auto"/>
            <w:noWrap/>
            <w:vAlign w:val="center"/>
            <w:hideMark/>
          </w:tcPr>
          <w:p w14:paraId="7BF5CB13" w14:textId="77777777" w:rsidR="002735B4" w:rsidRPr="00445472" w:rsidRDefault="002735B4" w:rsidP="002A1F08">
            <w:pPr>
              <w:spacing w:before="46" w:after="62"/>
              <w:jc w:val="center"/>
              <w:rPr>
                <w:rFonts w:ascii="Garamond" w:hAnsi="Garamond"/>
                <w:b/>
                <w:bCs/>
                <w:spacing w:val="-4"/>
                <w:sz w:val="16"/>
                <w:szCs w:val="16"/>
                <w:lang w:eastAsia="en-GB"/>
              </w:rPr>
            </w:pPr>
            <w:r w:rsidRPr="00445472">
              <w:rPr>
                <w:rFonts w:ascii="Garamond" w:hAnsi="Garamond"/>
                <w:b/>
                <w:bCs/>
                <w:spacing w:val="-4"/>
                <w:sz w:val="16"/>
                <w:szCs w:val="16"/>
                <w:lang w:eastAsia="en-GB"/>
              </w:rPr>
              <w:t>64%</w:t>
            </w:r>
          </w:p>
        </w:tc>
      </w:tr>
    </w:tbl>
    <w:p w14:paraId="0DD182EB" w14:textId="6BDEE270" w:rsidR="00710D21" w:rsidRPr="00445472" w:rsidRDefault="00710D21" w:rsidP="003914CD">
      <w:pPr>
        <w:rPr>
          <w:rFonts w:ascii="Garamond" w:hAnsi="Garamond"/>
        </w:rPr>
      </w:pPr>
    </w:p>
    <w:p w14:paraId="1017129D" w14:textId="77777777" w:rsidR="00FC18A6" w:rsidRPr="00445472" w:rsidRDefault="00FC18A6" w:rsidP="005C5ADB">
      <w:pPr>
        <w:pStyle w:val="TEKSTIIII"/>
        <w:rPr>
          <w:sz w:val="20"/>
        </w:rPr>
        <w:sectPr w:rsidR="00FC18A6" w:rsidRPr="00445472" w:rsidSect="002735B4">
          <w:pgSz w:w="16839" w:h="11907" w:orient="landscape" w:code="9"/>
          <w:pgMar w:top="1418" w:right="1418" w:bottom="1418" w:left="1418" w:header="1304" w:footer="1134" w:gutter="0"/>
          <w:cols w:space="720"/>
          <w:docGrid w:linePitch="360"/>
        </w:sectPr>
      </w:pPr>
    </w:p>
    <w:p w14:paraId="34D70D27" w14:textId="7E64C735" w:rsidR="000910B2" w:rsidRPr="00445472" w:rsidRDefault="000910B2" w:rsidP="000910B2">
      <w:pPr>
        <w:pStyle w:val="NENTITULL"/>
      </w:pPr>
      <w:bookmarkStart w:id="352" w:name="_Toc494468353"/>
      <w:bookmarkStart w:id="353" w:name="_Toc494468375"/>
      <w:bookmarkStart w:id="354" w:name="_Toc11068908"/>
      <w:bookmarkStart w:id="355" w:name="_Toc11068931"/>
      <w:r w:rsidRPr="00445472">
        <w:t xml:space="preserve">Shtojca 5. </w:t>
      </w:r>
      <w:bookmarkEnd w:id="352"/>
      <w:bookmarkEnd w:id="353"/>
      <w:r w:rsidRPr="00445472">
        <w:t xml:space="preserve">Plani i </w:t>
      </w:r>
      <w:r w:rsidR="00D438C7" w:rsidRPr="00445472">
        <w:t>veprimit për përfshirjen palëve të interesuara</w:t>
      </w:r>
      <w:bookmarkEnd w:id="354"/>
      <w:bookmarkEnd w:id="355"/>
    </w:p>
    <w:p w14:paraId="392060D1" w14:textId="4920F53D" w:rsidR="000910B2" w:rsidRPr="00445472" w:rsidRDefault="000910B2" w:rsidP="000910B2">
      <w:pPr>
        <w:pStyle w:val="NENTITULL"/>
      </w:pPr>
      <w:bookmarkStart w:id="356" w:name="_Toc11068909"/>
      <w:r w:rsidRPr="00445472">
        <w:t>5.1 Hyrje</w:t>
      </w:r>
      <w:bookmarkEnd w:id="356"/>
    </w:p>
    <w:p w14:paraId="2A2F0EFD" w14:textId="7A566BBE" w:rsidR="000910B2" w:rsidRPr="00445472" w:rsidRDefault="000910B2" w:rsidP="000910B2">
      <w:pPr>
        <w:pStyle w:val="TEKSTIIII"/>
      </w:pPr>
      <w:r w:rsidRPr="00445472">
        <w:t xml:space="preserve">Përgatitja e një Plani për Menaxhimin e Baseneve Ujore (PMBU) për basenin ujor </w:t>
      </w:r>
      <w:r w:rsidR="007E76E3" w:rsidRPr="00445472">
        <w:t>Drin–Bunë</w:t>
      </w:r>
      <w:r w:rsidRPr="00445472">
        <w:t xml:space="preserve"> është pjesë e Mbështetjes Institucionale për Komponentin e Menaxhimit të Integruar të Burimeve Ujore të Projektit të Burimeve Ujore dhe Ujitjes në Shqipëri (PBUU).</w:t>
      </w:r>
    </w:p>
    <w:p w14:paraId="6A5ECA50" w14:textId="77777777" w:rsidR="000910B2" w:rsidRPr="00445472" w:rsidRDefault="000910B2" w:rsidP="000910B2">
      <w:pPr>
        <w:pStyle w:val="TEKSTIIII"/>
      </w:pPr>
      <w:r w:rsidRPr="00445472">
        <w:t>Zbatimi efektiv i DKU, siç kërkohet sipas ligjit evropian, nuk do të ishte plotësisht i mundur aktualisht në asnjë prej 6 baseneve ujore në Shqipëri. Zbatimi efektiv i DKU kërkon zhvillim të mëtejshëm të kapaciteteve qendrore dhe rajonale për të përmbushur kërkesat specifike të DKU dhe megjithëse të detajuara në ligjet kombëtare dhe të pasqyruara në strukturën institucionale, e cila barazohet me një qëllim serioz për zbatimin e DKU-së në të ardhmen, Shqipëria aktualisht nuk ka kapacitetin teknik për të përmbushur kërkesat specifike të DKU-së.</w:t>
      </w:r>
    </w:p>
    <w:p w14:paraId="51844710" w14:textId="69C8812F" w:rsidR="000910B2" w:rsidRPr="00445472" w:rsidRDefault="000910B2" w:rsidP="000910B2">
      <w:pPr>
        <w:pStyle w:val="TEKSTIIII"/>
      </w:pPr>
      <w:r w:rsidRPr="00445472">
        <w:t>Si fazë e parë, zbatimi i DKU-së</w:t>
      </w:r>
      <w:r w:rsidR="00D438C7" w:rsidRPr="00445472">
        <w:t xml:space="preserve"> </w:t>
      </w:r>
      <w:r w:rsidRPr="00445472">
        <w:t>në Shqipëri kërkon një avancim me të madh në investimin e zhvillimit të kapaciteteve, p.sh. të</w:t>
      </w:r>
      <w:r w:rsidR="00D438C7" w:rsidRPr="00445472">
        <w:t xml:space="preserve"> </w:t>
      </w:r>
      <w:r w:rsidRPr="00445472">
        <w:t xml:space="preserve">burimeve njerëzore dhe trajnimit, si në nivel qendror dhe rajonal. Për të përmirësuar pozitivisht situatën, u ndërmor një vlerësim i kapaciteteve gjatë fazës 2 të projektit, i cili lidh rolet dhe përgjegjësitë në nivel </w:t>
      </w:r>
      <w:r w:rsidR="00D438C7" w:rsidRPr="00445472">
        <w:t>qendror</w:t>
      </w:r>
      <w:r w:rsidRPr="00445472">
        <w:t xml:space="preserve"> dhe lokal me nevojat specifike të trajnimit dhe burimet njerëzore që kërkohen për të përmbushur detyrimet ligjore të secilit entitet të përfshirë në menaxhimin e ujit në basenin ujor Drin - Bunë.</w:t>
      </w:r>
    </w:p>
    <w:p w14:paraId="5AA70F25" w14:textId="2C395CDC" w:rsidR="000910B2" w:rsidRPr="00445472" w:rsidRDefault="000910B2" w:rsidP="000910B2">
      <w:pPr>
        <w:pStyle w:val="TEKSTIIII"/>
      </w:pPr>
      <w:r w:rsidRPr="00445472">
        <w:t xml:space="preserve">Në basenin </w:t>
      </w:r>
      <w:r w:rsidR="00D438C7" w:rsidRPr="00445472">
        <w:t>ujor</w:t>
      </w:r>
      <w:r w:rsidRPr="00445472">
        <w:t xml:space="preserve"> </w:t>
      </w:r>
      <w:r w:rsidR="007E76E3" w:rsidRPr="00445472">
        <w:t>Drin–Bunë</w:t>
      </w:r>
      <w:r w:rsidRPr="00445472">
        <w:t xml:space="preserve">, ka 43 shërbime ujësjellës kanalizime. Megjithatë, pas reformës do të </w:t>
      </w:r>
      <w:r w:rsidR="00D438C7" w:rsidRPr="00445472">
        <w:t>licencohen</w:t>
      </w:r>
      <w:r w:rsidRPr="00445472">
        <w:t xml:space="preserve"> vetëm 12 shërbime ujësjellës kanalizime, d</w:t>
      </w:r>
      <w:r w:rsidR="00D438C7" w:rsidRPr="00445472">
        <w:t>.</w:t>
      </w:r>
      <w:r w:rsidRPr="00445472">
        <w:t>m</w:t>
      </w:r>
      <w:r w:rsidR="00D438C7" w:rsidRPr="00445472">
        <w:t>.</w:t>
      </w:r>
      <w:r w:rsidRPr="00445472">
        <w:t>th</w:t>
      </w:r>
      <w:r w:rsidR="00D438C7" w:rsidRPr="00445472">
        <w:t>.,</w:t>
      </w:r>
      <w:r w:rsidRPr="00445472">
        <w:t xml:space="preserve"> Shkodër, Malësi e Madhe, Vau i Dejës, Pukë, Kukës, Has, Tropojë, Lezhë, Peshkopi, Bulqizë (pjesërisht), Librazhd (pjesërisht) dhe Pogradec (pjesërisht).</w:t>
      </w:r>
    </w:p>
    <w:p w14:paraId="55FCF294" w14:textId="32F523A5" w:rsidR="000910B2" w:rsidRPr="00445472" w:rsidRDefault="008E14CA" w:rsidP="000910B2">
      <w:pPr>
        <w:pStyle w:val="TEKSTIIII"/>
      </w:pPr>
      <w:r w:rsidRPr="00445472">
        <w:t>Vendndodhje</w:t>
      </w:r>
      <w:r w:rsidR="000910B2" w:rsidRPr="00445472">
        <w:t xml:space="preserve">t e pikave kryesore të furnizimit me ujë në basenin ujor </w:t>
      </w:r>
      <w:r w:rsidR="007E76E3" w:rsidRPr="00445472">
        <w:t>Drin–Bunë</w:t>
      </w:r>
      <w:r w:rsidR="000910B2" w:rsidRPr="00445472">
        <w:t xml:space="preserve"> janë dhënë në figurën 1. Një inventar i burimeve të njohura është paraqitur në figurën 2.</w:t>
      </w:r>
    </w:p>
    <w:p w14:paraId="63F3066F" w14:textId="62ECE3F3" w:rsidR="000910B2" w:rsidRPr="00445472" w:rsidRDefault="000910B2" w:rsidP="000910B2">
      <w:pPr>
        <w:pStyle w:val="TEKSTIIII"/>
      </w:pPr>
      <w:r w:rsidRPr="00445472">
        <w:t xml:space="preserve">Për sa i përket impianteve të trajtimit të ujit (ITU) në basenin ujor </w:t>
      </w:r>
      <w:r w:rsidR="007E76E3" w:rsidRPr="00445472">
        <w:t>Drin–Bunë</w:t>
      </w:r>
      <w:r w:rsidRPr="00445472">
        <w:t>, aktualisht janë në përdorim katër impiante për trajtimin e ujërave, në Lezhë (Shëngjin), Pogradec, Velipojë dhe në Shirokë, pranë liqenit të Shkodrës. Në qytetin e Shkodrës ekziston studimi i fizibilitetit në lidhje me ndërtimin e një Impianti të Trajtimit të Ujit për qytetin e Shkodrës.</w:t>
      </w:r>
    </w:p>
    <w:p w14:paraId="75747210" w14:textId="77777777" w:rsidR="000910B2" w:rsidRPr="00445472" w:rsidRDefault="000910B2" w:rsidP="000910B2">
      <w:pPr>
        <w:pStyle w:val="TEKSTIIII"/>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0910B2" w:rsidRPr="00445472" w14:paraId="7E6C7D0F" w14:textId="77777777" w:rsidTr="000910B2">
        <w:trPr>
          <w:jc w:val="center"/>
        </w:trPr>
        <w:tc>
          <w:tcPr>
            <w:tcW w:w="4643" w:type="dxa"/>
          </w:tcPr>
          <w:p w14:paraId="44BB0CA1" w14:textId="130385C7" w:rsidR="000910B2" w:rsidRPr="00445472" w:rsidRDefault="000910B2" w:rsidP="000910B2">
            <w:pPr>
              <w:pStyle w:val="TEKSTIIII"/>
              <w:spacing w:before="0"/>
              <w:ind w:firstLine="0"/>
              <w:jc w:val="center"/>
            </w:pPr>
            <w:r w:rsidRPr="00445472">
              <w:rPr>
                <w:noProof/>
                <w:lang w:val="en-US"/>
              </w:rPr>
              <w:drawing>
                <wp:inline distT="0" distB="0" distL="0" distR="0" wp14:anchorId="560B4A81" wp14:editId="2A0950F2">
                  <wp:extent cx="2353586" cy="3195447"/>
                  <wp:effectExtent l="0" t="0" r="889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354580" cy="3196797"/>
                          </a:xfrm>
                          <a:prstGeom prst="rect">
                            <a:avLst/>
                          </a:prstGeom>
                          <a:noFill/>
                        </pic:spPr>
                      </pic:pic>
                    </a:graphicData>
                  </a:graphic>
                </wp:inline>
              </w:drawing>
            </w:r>
          </w:p>
          <w:p w14:paraId="69F0FE23" w14:textId="7B6E3A6D" w:rsidR="000910B2" w:rsidRPr="00445472" w:rsidRDefault="000910B2" w:rsidP="000910B2">
            <w:pPr>
              <w:pStyle w:val="TEKSTIIII"/>
              <w:spacing w:before="0"/>
              <w:ind w:firstLine="0"/>
              <w:jc w:val="center"/>
              <w:rPr>
                <w:b/>
              </w:rPr>
            </w:pPr>
            <w:r w:rsidRPr="00445472">
              <w:rPr>
                <w:b/>
              </w:rPr>
              <w:t>Figura 1</w:t>
            </w:r>
            <w:r w:rsidR="00D438C7" w:rsidRPr="00445472">
              <w:rPr>
                <w:b/>
              </w:rPr>
              <w:t>:</w:t>
            </w:r>
          </w:p>
          <w:p w14:paraId="511CEFBF" w14:textId="26E0781C" w:rsidR="000910B2" w:rsidRPr="00445472" w:rsidRDefault="00D438C7" w:rsidP="00D438C7">
            <w:pPr>
              <w:pStyle w:val="TEKSTIIII"/>
              <w:spacing w:before="0"/>
              <w:ind w:firstLine="0"/>
              <w:jc w:val="center"/>
            </w:pPr>
            <w:r w:rsidRPr="00445472">
              <w:rPr>
                <w:b/>
              </w:rPr>
              <w:t>Vendndodhja e ujësjellësve kryesorë</w:t>
            </w:r>
          </w:p>
        </w:tc>
        <w:tc>
          <w:tcPr>
            <w:tcW w:w="4644" w:type="dxa"/>
          </w:tcPr>
          <w:p w14:paraId="3C7DE652" w14:textId="77777777" w:rsidR="000910B2" w:rsidRPr="00445472" w:rsidRDefault="000910B2" w:rsidP="000910B2">
            <w:pPr>
              <w:pStyle w:val="TEKSTIIII"/>
              <w:ind w:firstLine="0"/>
              <w:jc w:val="center"/>
            </w:pPr>
            <w:r w:rsidRPr="00445472">
              <w:rPr>
                <w:noProof/>
                <w:lang w:val="en-US"/>
              </w:rPr>
              <w:drawing>
                <wp:inline distT="0" distB="0" distL="0" distR="0" wp14:anchorId="32B73C1D" wp14:editId="2243A63B">
                  <wp:extent cx="2313829" cy="3116911"/>
                  <wp:effectExtent l="0" t="0" r="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329669" cy="3138249"/>
                          </a:xfrm>
                          <a:prstGeom prst="rect">
                            <a:avLst/>
                          </a:prstGeom>
                          <a:noFill/>
                        </pic:spPr>
                      </pic:pic>
                    </a:graphicData>
                  </a:graphic>
                </wp:inline>
              </w:drawing>
            </w:r>
          </w:p>
          <w:p w14:paraId="382655EC" w14:textId="77777777" w:rsidR="000910B2" w:rsidRPr="00445472" w:rsidRDefault="000910B2" w:rsidP="000910B2">
            <w:pPr>
              <w:pStyle w:val="TEKSTIIII"/>
              <w:spacing w:before="0"/>
              <w:ind w:firstLine="0"/>
              <w:jc w:val="center"/>
              <w:rPr>
                <w:b/>
              </w:rPr>
            </w:pPr>
            <w:r w:rsidRPr="00445472">
              <w:rPr>
                <w:b/>
              </w:rPr>
              <w:t xml:space="preserve">Figura 2: </w:t>
            </w:r>
          </w:p>
          <w:p w14:paraId="5E264D33" w14:textId="12AA54F9" w:rsidR="000910B2" w:rsidRPr="00445472" w:rsidRDefault="000910B2" w:rsidP="000910B2">
            <w:pPr>
              <w:pStyle w:val="TEKSTIIII"/>
              <w:spacing w:before="0"/>
              <w:ind w:firstLine="0"/>
              <w:jc w:val="center"/>
            </w:pPr>
            <w:r w:rsidRPr="00445472">
              <w:rPr>
                <w:b/>
              </w:rPr>
              <w:t>Vend</w:t>
            </w:r>
            <w:r w:rsidR="00D438C7" w:rsidRPr="00445472">
              <w:rPr>
                <w:b/>
              </w:rPr>
              <w:t>nd</w:t>
            </w:r>
            <w:r w:rsidRPr="00445472">
              <w:rPr>
                <w:b/>
              </w:rPr>
              <w:t xml:space="preserve">odhja e </w:t>
            </w:r>
            <w:r w:rsidR="00D438C7" w:rsidRPr="00445472">
              <w:rPr>
                <w:b/>
              </w:rPr>
              <w:t>burimeve</w:t>
            </w:r>
          </w:p>
        </w:tc>
      </w:tr>
    </w:tbl>
    <w:p w14:paraId="4122A053" w14:textId="2B8A8071" w:rsidR="000910B2" w:rsidRPr="00445472" w:rsidRDefault="000910B2" w:rsidP="000910B2">
      <w:pPr>
        <w:pStyle w:val="TEKSTIIII"/>
      </w:pPr>
    </w:p>
    <w:p w14:paraId="42F3FB65" w14:textId="77777777" w:rsidR="000910B2" w:rsidRPr="00445472" w:rsidRDefault="000910B2" w:rsidP="000910B2">
      <w:pPr>
        <w:pStyle w:val="TEKSTIIII"/>
        <w:rPr>
          <w:sz w:val="22"/>
          <w:szCs w:val="22"/>
        </w:rPr>
      </w:pPr>
    </w:p>
    <w:p w14:paraId="1CBD654B" w14:textId="5F70FF9F" w:rsidR="000910B2" w:rsidRPr="00445472" w:rsidRDefault="000910B2" w:rsidP="000910B2">
      <w:pPr>
        <w:pStyle w:val="TEKSTIIII"/>
      </w:pPr>
      <w:r w:rsidRPr="00445472">
        <w:rPr>
          <w:sz w:val="22"/>
          <w:szCs w:val="22"/>
        </w:rPr>
        <w:t xml:space="preserve"> </w:t>
      </w:r>
      <w:r w:rsidRPr="00445472">
        <w:t>Procesi i konsultimit të palëve të interesuara do të drejtohet nga ekipi i projektit, me fokus në dy veprime kryesore:</w:t>
      </w:r>
    </w:p>
    <w:p w14:paraId="28E3AF10" w14:textId="74088181" w:rsidR="000910B2" w:rsidRPr="00445472" w:rsidRDefault="00B369F4" w:rsidP="000910B2">
      <w:pPr>
        <w:pStyle w:val="TEKSTIIII"/>
      </w:pPr>
      <w:r>
        <w:t xml:space="preserve">- </w:t>
      </w:r>
      <w:r w:rsidR="000910B2" w:rsidRPr="00445472">
        <w:t>Trajnime</w:t>
      </w:r>
    </w:p>
    <w:p w14:paraId="41BFB0DC" w14:textId="055D2003" w:rsidR="000910B2" w:rsidRPr="00445472" w:rsidRDefault="00B369F4" w:rsidP="000910B2">
      <w:pPr>
        <w:pStyle w:val="TEKSTIIII"/>
      </w:pPr>
      <w:r>
        <w:t xml:space="preserve">- </w:t>
      </w:r>
      <w:r w:rsidR="000910B2" w:rsidRPr="00445472">
        <w:t>Menaxhim</w:t>
      </w:r>
    </w:p>
    <w:p w14:paraId="71F0BCAA" w14:textId="60A1C72A" w:rsidR="000910B2" w:rsidRPr="00445472" w:rsidRDefault="00B369F4" w:rsidP="000910B2">
      <w:pPr>
        <w:pStyle w:val="TEKSTIIII"/>
      </w:pPr>
      <w:r>
        <w:t xml:space="preserve">- </w:t>
      </w:r>
      <w:r w:rsidR="000910B2" w:rsidRPr="00445472">
        <w:t>Planifikimi i menaxhimit të baseneve</w:t>
      </w:r>
      <w:r w:rsidR="00D438C7" w:rsidRPr="00445472">
        <w:t xml:space="preserve"> </w:t>
      </w:r>
      <w:r w:rsidR="000910B2" w:rsidRPr="00445472">
        <w:t>ujore do të kërkojë angazhimin në nivel të autoriteteve kombëtare dhe lokale, shoqërisë civile (OJQ) dhe komuniteteve përmes informatorëve kyç dhe fokus grupet që përfaqësojnë grupet vulnerabël (p.sh. gratë, të moshuarit, minoritetet dhe</w:t>
      </w:r>
      <w:r w:rsidR="001D340B" w:rsidRPr="00445472">
        <w:t>/</w:t>
      </w:r>
      <w:r w:rsidR="000910B2" w:rsidRPr="00445472">
        <w:t>ose grupet etnike)</w:t>
      </w:r>
    </w:p>
    <w:p w14:paraId="3B82B04E" w14:textId="39627950" w:rsidR="000910B2" w:rsidRPr="00445472" w:rsidRDefault="00B369F4" w:rsidP="000910B2">
      <w:pPr>
        <w:pStyle w:val="TEKSTIIII"/>
      </w:pPr>
      <w:r>
        <w:t xml:space="preserve">- </w:t>
      </w:r>
      <w:r w:rsidR="000910B2" w:rsidRPr="00445472">
        <w:t>Niveli Kombëtar</w:t>
      </w:r>
    </w:p>
    <w:p w14:paraId="1FB28591" w14:textId="11D4D0DA" w:rsidR="000910B2" w:rsidRPr="00445472" w:rsidRDefault="00B369F4" w:rsidP="000910B2">
      <w:pPr>
        <w:pStyle w:val="TEKSTIIII"/>
      </w:pPr>
      <w:r>
        <w:t xml:space="preserve">- </w:t>
      </w:r>
      <w:r w:rsidR="000910B2" w:rsidRPr="00445472">
        <w:t>Niveli Rajonal</w:t>
      </w:r>
    </w:p>
    <w:p w14:paraId="1EBACE5D" w14:textId="2C5CE60E" w:rsidR="000910B2" w:rsidRPr="00445472" w:rsidRDefault="00B369F4" w:rsidP="000910B2">
      <w:pPr>
        <w:pStyle w:val="TEKSTIIII"/>
      </w:pPr>
      <w:r>
        <w:t xml:space="preserve">- </w:t>
      </w:r>
      <w:r w:rsidR="000910B2" w:rsidRPr="00445472">
        <w:t>Informatorët Kyç</w:t>
      </w:r>
    </w:p>
    <w:p w14:paraId="7F8B9295" w14:textId="02F27D08" w:rsidR="000910B2" w:rsidRPr="00445472" w:rsidRDefault="00B369F4" w:rsidP="000910B2">
      <w:pPr>
        <w:pStyle w:val="TEKSTIIII"/>
      </w:pPr>
      <w:r>
        <w:t xml:space="preserve">- </w:t>
      </w:r>
      <w:r w:rsidR="000910B2" w:rsidRPr="00445472">
        <w:t xml:space="preserve">Fokus Grupet </w:t>
      </w:r>
    </w:p>
    <w:p w14:paraId="53D20886" w14:textId="6D0523A4" w:rsidR="000910B2" w:rsidRPr="00445472" w:rsidRDefault="00924547" w:rsidP="00924547">
      <w:pPr>
        <w:pStyle w:val="NENTITULL"/>
      </w:pPr>
      <w:bookmarkStart w:id="357" w:name="_Toc11068910"/>
      <w:r w:rsidRPr="00445472">
        <w:t xml:space="preserve">5.2 </w:t>
      </w:r>
      <w:r w:rsidR="000910B2" w:rsidRPr="00445472">
        <w:t>Qëllimi</w:t>
      </w:r>
      <w:bookmarkEnd w:id="357"/>
    </w:p>
    <w:p w14:paraId="3B9DD672" w14:textId="25ABEACC" w:rsidR="000910B2" w:rsidRPr="00445472" w:rsidRDefault="000910B2" w:rsidP="00924547">
      <w:pPr>
        <w:pStyle w:val="TEKSTIIII"/>
      </w:pPr>
      <w:r w:rsidRPr="00445472">
        <w:t>Plani i konsultimeve të palëve të interesit do të sigurojë angazhimet e palëve të interesit në nivel të autoriteteve kombëtare dhe lokale, shoqërisë civile (OJQ) dhe komuniteteve përmes informatorëve kyçë dhe fokus grupeve që përfaqësojnë grupet vulnerabël (p.sh. gratë, të moshuarit, minoritetet dhe</w:t>
      </w:r>
      <w:r w:rsidR="001D340B" w:rsidRPr="00445472">
        <w:t>/</w:t>
      </w:r>
      <w:r w:rsidRPr="00445472">
        <w:t>ose grupet etnike). Këto angazhime u realizuan gjatë planifikimit me qëllim përgatitje e PMBU.</w:t>
      </w:r>
    </w:p>
    <w:p w14:paraId="31389E1E" w14:textId="77777777" w:rsidR="000910B2" w:rsidRPr="00445472" w:rsidRDefault="000910B2" w:rsidP="00924547">
      <w:pPr>
        <w:pStyle w:val="TEKSTIIII"/>
      </w:pPr>
      <w:r w:rsidRPr="00445472">
        <w:t>Ky angazhim do të marrë në konsideratë opinionet dhe komentet nga nivele të ndryshme të grupeve të palëve të interesit që do të përdoren për finalizimin e Planit të Menaxhimit</w:t>
      </w:r>
    </w:p>
    <w:p w14:paraId="6416C268" w14:textId="77777777" w:rsidR="000910B2" w:rsidRPr="00445472" w:rsidRDefault="000910B2" w:rsidP="00924547">
      <w:pPr>
        <w:pStyle w:val="TEKSTIIII"/>
      </w:pPr>
      <w:r w:rsidRPr="00445472">
        <w:t>Në këtë plan veprimi përfshihen fazat e mëposhtme të angazhimit:</w:t>
      </w:r>
    </w:p>
    <w:p w14:paraId="582D03FE" w14:textId="2BB35C7F" w:rsidR="000910B2" w:rsidRPr="00445472" w:rsidRDefault="00B369F4" w:rsidP="00924547">
      <w:pPr>
        <w:pStyle w:val="TEKSTIIII"/>
      </w:pPr>
      <w:r>
        <w:t xml:space="preserve">- </w:t>
      </w:r>
      <w:r w:rsidR="000910B2" w:rsidRPr="00445472">
        <w:t>Angazhimi i palëve të interesit në nivel kombëtar: palët e interesit në nivel qendror shtetëror u informuan për rezultatet e arritura në vlerësimin e alternativave në takimet ballë për ballë;</w:t>
      </w:r>
    </w:p>
    <w:p w14:paraId="51FF1CE9" w14:textId="1AF03DA5" w:rsidR="000910B2" w:rsidRPr="00445472" w:rsidRDefault="00B369F4" w:rsidP="00924547">
      <w:pPr>
        <w:pStyle w:val="TEKSTIIII"/>
      </w:pPr>
      <w:r>
        <w:t xml:space="preserve">- </w:t>
      </w:r>
      <w:r w:rsidR="000910B2" w:rsidRPr="00445472">
        <w:t xml:space="preserve">Angazhimi i palëve të interesit në nivel rajonal dhe lokal: do të organizohet një takim plenar i palëve në secilin prej rajoneve </w:t>
      </w:r>
    </w:p>
    <w:p w14:paraId="4304F73A" w14:textId="0D79B4B1" w:rsidR="000910B2" w:rsidRPr="00445472" w:rsidRDefault="00B369F4" w:rsidP="00924547">
      <w:pPr>
        <w:pStyle w:val="TEKSTIIII"/>
      </w:pPr>
      <w:r>
        <w:t xml:space="preserve">- </w:t>
      </w:r>
      <w:r w:rsidR="000910B2" w:rsidRPr="00445472">
        <w:t xml:space="preserve">Intervistuesit e KI </w:t>
      </w:r>
    </w:p>
    <w:p w14:paraId="308D4B15" w14:textId="1115A44C" w:rsidR="000910B2" w:rsidRPr="00445472" w:rsidRDefault="00B369F4" w:rsidP="00924547">
      <w:pPr>
        <w:pStyle w:val="TEKSTIIII"/>
      </w:pPr>
      <w:r>
        <w:t xml:space="preserve">- </w:t>
      </w:r>
      <w:r w:rsidR="000910B2" w:rsidRPr="00445472">
        <w:t>U organizuan</w:t>
      </w:r>
      <w:r w:rsidR="00D438C7" w:rsidRPr="00445472">
        <w:t xml:space="preserve"> grupet e fokusit </w:t>
      </w:r>
      <w:r w:rsidR="000910B2" w:rsidRPr="00445472">
        <w:t>me grupet vulnerabël (gra, të moshuar, romë (nëse ka) dhe grupe të tjera).</w:t>
      </w:r>
    </w:p>
    <w:p w14:paraId="37862465" w14:textId="77777777" w:rsidR="000910B2" w:rsidRPr="00445472" w:rsidRDefault="000910B2" w:rsidP="00924547">
      <w:pPr>
        <w:pStyle w:val="TEKSTIIII"/>
      </w:pPr>
      <w:r w:rsidRPr="00445472">
        <w:t>Për secilën fazë u realizuan detyrat e mëposhtme:</w:t>
      </w:r>
    </w:p>
    <w:p w14:paraId="302F0046" w14:textId="064CC1B8" w:rsidR="000910B2" w:rsidRPr="00445472" w:rsidRDefault="00B369F4" w:rsidP="00924547">
      <w:pPr>
        <w:pStyle w:val="TEKSTIIII"/>
      </w:pPr>
      <w:r>
        <w:t xml:space="preserve">- </w:t>
      </w:r>
      <w:r w:rsidR="000910B2" w:rsidRPr="00445472">
        <w:t>Aktivitetet Përgatitore:</w:t>
      </w:r>
      <w:r w:rsidR="000910B2" w:rsidRPr="00445472">
        <w:tab/>
      </w:r>
    </w:p>
    <w:p w14:paraId="162A3F25" w14:textId="49B0559B" w:rsidR="000910B2" w:rsidRPr="00445472" w:rsidRDefault="00B369F4" w:rsidP="00924547">
      <w:pPr>
        <w:pStyle w:val="TEKSTIIII"/>
      </w:pPr>
      <w:r>
        <w:t xml:space="preserve">- </w:t>
      </w:r>
      <w:r w:rsidR="000910B2" w:rsidRPr="00445472">
        <w:t>Njoftimi i palëve të interesit</w:t>
      </w:r>
    </w:p>
    <w:p w14:paraId="6DC52D61" w14:textId="0CD10A22" w:rsidR="000910B2" w:rsidRPr="00445472" w:rsidRDefault="00B369F4" w:rsidP="00924547">
      <w:pPr>
        <w:pStyle w:val="TEKSTIIII"/>
      </w:pPr>
      <w:r>
        <w:t xml:space="preserve">- </w:t>
      </w:r>
      <w:r w:rsidR="000910B2" w:rsidRPr="00445472">
        <w:t>Materialet Informuese (Prezantimet)</w:t>
      </w:r>
    </w:p>
    <w:p w14:paraId="406AD242" w14:textId="4A7E6044" w:rsidR="000910B2" w:rsidRPr="00445472" w:rsidRDefault="00B369F4" w:rsidP="00924547">
      <w:pPr>
        <w:pStyle w:val="TEKSTIIII"/>
      </w:pPr>
      <w:r>
        <w:t xml:space="preserve">- </w:t>
      </w:r>
      <w:r w:rsidR="000910B2" w:rsidRPr="00445472">
        <w:t>Mbledhjet e publikimit</w:t>
      </w:r>
    </w:p>
    <w:p w14:paraId="5D10F6BB" w14:textId="340A6B43" w:rsidR="000910B2" w:rsidRPr="00445472" w:rsidRDefault="000910B2" w:rsidP="00924547">
      <w:pPr>
        <w:pStyle w:val="TEKSTIIII"/>
      </w:pPr>
      <w:r w:rsidRPr="00445472">
        <w:t xml:space="preserve">- Organizimi i </w:t>
      </w:r>
      <w:r w:rsidR="00D62EDF" w:rsidRPr="00445472">
        <w:t>“</w:t>
      </w:r>
      <w:r w:rsidRPr="00445472">
        <w:t>marrjes së shënimeve</w:t>
      </w:r>
      <w:r w:rsidR="00D62EDF" w:rsidRPr="00445472">
        <w:t>”</w:t>
      </w:r>
      <w:r w:rsidRPr="00445472">
        <w:t xml:space="preserve"> dhe regjistrimit gjatë aktiviteteve </w:t>
      </w:r>
    </w:p>
    <w:p w14:paraId="6ED64C15" w14:textId="6D3FE718" w:rsidR="000910B2" w:rsidRPr="00445472" w:rsidRDefault="00B369F4" w:rsidP="00924547">
      <w:pPr>
        <w:pStyle w:val="TEKSTIIII"/>
      </w:pPr>
      <w:r>
        <w:t xml:space="preserve">- </w:t>
      </w:r>
      <w:r w:rsidR="000910B2" w:rsidRPr="00445472">
        <w:t>Regjistrimi i Pjesëmarrësve</w:t>
      </w:r>
    </w:p>
    <w:p w14:paraId="2E31ADE7" w14:textId="47916E1E" w:rsidR="000910B2" w:rsidRPr="00445472" w:rsidRDefault="00B369F4" w:rsidP="00924547">
      <w:pPr>
        <w:pStyle w:val="TEKSTIIII"/>
      </w:pPr>
      <w:r>
        <w:t xml:space="preserve">- </w:t>
      </w:r>
      <w:r w:rsidR="000910B2" w:rsidRPr="00445472">
        <w:t>Ekipi: përfaqësuesit e ekipit të projektit</w:t>
      </w:r>
    </w:p>
    <w:p w14:paraId="42E93C87" w14:textId="313A4C0B" w:rsidR="000910B2" w:rsidRPr="00445472" w:rsidRDefault="00B369F4" w:rsidP="00924547">
      <w:pPr>
        <w:pStyle w:val="TEKSTIIII"/>
      </w:pPr>
      <w:r>
        <w:t xml:space="preserve">- </w:t>
      </w:r>
      <w:r w:rsidR="000910B2" w:rsidRPr="00445472">
        <w:t xml:space="preserve"> Raportimi dhe dorëzimet/produktet</w:t>
      </w:r>
    </w:p>
    <w:p w14:paraId="08C3D712" w14:textId="24E025FE" w:rsidR="000910B2" w:rsidRPr="00445472" w:rsidRDefault="00B369F4" w:rsidP="00924547">
      <w:pPr>
        <w:pStyle w:val="TEKSTIIII"/>
      </w:pPr>
      <w:r>
        <w:t>-</w:t>
      </w:r>
      <w:r w:rsidR="000910B2" w:rsidRPr="00445472">
        <w:t xml:space="preserve">Faza e Konsultimit e cila filloi në janar 2017, përbëhet nga sa më poshtë: </w:t>
      </w:r>
    </w:p>
    <w:p w14:paraId="5C1E80B7" w14:textId="461E58B7" w:rsidR="000910B2" w:rsidRPr="00445472" w:rsidRDefault="00B369F4" w:rsidP="00924547">
      <w:pPr>
        <w:pStyle w:val="TEKSTIIII"/>
      </w:pPr>
      <w:r>
        <w:t xml:space="preserve">- </w:t>
      </w:r>
      <w:r w:rsidR="000910B2" w:rsidRPr="00445472">
        <w:t>Bazuar në çështjet e menaxhimit të burimeve ujore të identifikuara dhe kufizimet në lidhje me ujin, procesi i planifikimit të basenit ujor filloj me konsultime të strukturuara me palët e interesuara për identifikimin e çështjeve që duhet të adresohen, nevojave dhe mundësive për zhvillim dhe vizionin e palëve të interesit për të ardhmen e basenit. Objektivat pasqyrojnë nevojat dhe prioritetet gjinore, dhe treguesit di</w:t>
      </w:r>
      <w:r w:rsidR="00D438C7" w:rsidRPr="00445472">
        <w:t>z</w:t>
      </w:r>
      <w:r w:rsidR="000910B2" w:rsidRPr="00445472">
        <w:t>agregohen sipas gjinisë, moshës dhe parametrave të tjerë përkatës.</w:t>
      </w:r>
    </w:p>
    <w:p w14:paraId="193CC8A5" w14:textId="0FC44325" w:rsidR="000910B2" w:rsidRPr="00445472" w:rsidRDefault="00B369F4" w:rsidP="00924547">
      <w:pPr>
        <w:pStyle w:val="TEKSTIIII"/>
      </w:pPr>
      <w:r>
        <w:t xml:space="preserve">- </w:t>
      </w:r>
      <w:r w:rsidR="000910B2" w:rsidRPr="00445472">
        <w:t>Procesi i konsultimit u organizua nga ekipi i projektit si më poshtë:</w:t>
      </w:r>
    </w:p>
    <w:p w14:paraId="4BEA2574" w14:textId="153E3D59" w:rsidR="000910B2" w:rsidRPr="00445472" w:rsidRDefault="00B369F4" w:rsidP="00924547">
      <w:pPr>
        <w:pStyle w:val="TEKSTIIII"/>
      </w:pPr>
      <w:r>
        <w:t xml:space="preserve">- </w:t>
      </w:r>
      <w:r w:rsidR="000910B2" w:rsidRPr="00445472">
        <w:t>Identifikimi i listave të palëve të interesit dhe strategjisë së angazhimit (kombëtare</w:t>
      </w:r>
      <w:r w:rsidR="001D340B" w:rsidRPr="00445472">
        <w:t>/</w:t>
      </w:r>
      <w:r w:rsidR="000910B2" w:rsidRPr="00445472">
        <w:t>rajonale)</w:t>
      </w:r>
    </w:p>
    <w:p w14:paraId="70AB9FDD" w14:textId="7750A4AD" w:rsidR="000910B2" w:rsidRPr="00445472" w:rsidRDefault="00B369F4" w:rsidP="00924547">
      <w:pPr>
        <w:pStyle w:val="TEKSTIIII"/>
      </w:pPr>
      <w:r>
        <w:t xml:space="preserve">- </w:t>
      </w:r>
      <w:r w:rsidR="000910B2" w:rsidRPr="00445472">
        <w:t>Asistim në organizimin e takimeve kombëtare dhe rajonale (p.sh. njoftimi për autoritetet, ftesat dhe ndërlidhja me autoritetet rajonale dhe komunale);</w:t>
      </w:r>
    </w:p>
    <w:p w14:paraId="0320E17E" w14:textId="6BCA7090" w:rsidR="000910B2" w:rsidRPr="00445472" w:rsidRDefault="00B369F4" w:rsidP="00924547">
      <w:pPr>
        <w:pStyle w:val="TEKSTIIII"/>
      </w:pPr>
      <w:r>
        <w:t xml:space="preserve">- </w:t>
      </w:r>
      <w:r w:rsidR="000910B2" w:rsidRPr="00445472">
        <w:t xml:space="preserve">Organizimi i </w:t>
      </w:r>
      <w:r w:rsidR="00D62EDF" w:rsidRPr="00445472">
        <w:t>“</w:t>
      </w:r>
      <w:r w:rsidR="000910B2" w:rsidRPr="00445472">
        <w:t>marrjes së shënimeve</w:t>
      </w:r>
      <w:r w:rsidR="00D62EDF" w:rsidRPr="00445472">
        <w:t>”</w:t>
      </w:r>
      <w:r w:rsidR="000910B2" w:rsidRPr="00445472">
        <w:t xml:space="preserve"> gjatë takimeve konsultative;</w:t>
      </w:r>
    </w:p>
    <w:p w14:paraId="1F774A29" w14:textId="504D3DEC" w:rsidR="000910B2" w:rsidRPr="00445472" w:rsidRDefault="00B369F4" w:rsidP="00924547">
      <w:pPr>
        <w:pStyle w:val="TEKSTIIII"/>
      </w:pPr>
      <w:r>
        <w:t xml:space="preserve">- </w:t>
      </w:r>
      <w:r w:rsidR="000910B2" w:rsidRPr="00445472">
        <w:t xml:space="preserve">Përgatitja e </w:t>
      </w:r>
      <w:r w:rsidR="00E73677" w:rsidRPr="00445472">
        <w:t>“</w:t>
      </w:r>
      <w:r w:rsidR="000910B2" w:rsidRPr="00445472">
        <w:t xml:space="preserve">Raportit të </w:t>
      </w:r>
      <w:r w:rsidR="00E73677" w:rsidRPr="00445472">
        <w:t>rezultatit të angazhimit”,</w:t>
      </w:r>
      <w:r w:rsidR="000910B2" w:rsidRPr="00445472">
        <w:t xml:space="preserve"> që paraqet rezultatin e konsultimeve dhe pjesëmarrjen e grupeve vulnerabël; dhe</w:t>
      </w:r>
    </w:p>
    <w:p w14:paraId="3E64C0E4" w14:textId="3E4D5915" w:rsidR="000910B2" w:rsidRPr="00445472" w:rsidRDefault="00B369F4" w:rsidP="00924547">
      <w:pPr>
        <w:pStyle w:val="TEKSTIIII"/>
      </w:pPr>
      <w:r>
        <w:t xml:space="preserve">- </w:t>
      </w:r>
      <w:r w:rsidR="000910B2" w:rsidRPr="00445472">
        <w:t xml:space="preserve">Ky dokument do të jetë referencë për </w:t>
      </w:r>
      <w:r w:rsidR="00335857" w:rsidRPr="00445472">
        <w:t>raportin përfundimtar të palëve të interesit</w:t>
      </w:r>
      <w:r w:rsidR="000910B2" w:rsidRPr="00445472">
        <w:t>.</w:t>
      </w:r>
    </w:p>
    <w:p w14:paraId="3A48CBF0" w14:textId="385F4602" w:rsidR="000910B2" w:rsidRPr="00445472" w:rsidRDefault="00B369F4" w:rsidP="00924547">
      <w:pPr>
        <w:pStyle w:val="TEKSTIIII"/>
      </w:pPr>
      <w:r>
        <w:t xml:space="preserve">- </w:t>
      </w:r>
      <w:r w:rsidR="000910B2" w:rsidRPr="00445472">
        <w:t>Një plan aktiviteti ilustrohet në tabelën më poshtë:</w:t>
      </w:r>
    </w:p>
    <w:p w14:paraId="6FBF5C4B" w14:textId="77777777" w:rsidR="00B57811" w:rsidRPr="00445472" w:rsidRDefault="00B57811" w:rsidP="00924547">
      <w:pPr>
        <w:pStyle w:val="TEKSTIIII"/>
      </w:pPr>
    </w:p>
    <w:p w14:paraId="1B449093" w14:textId="77777777" w:rsidR="00B57811" w:rsidRPr="00445472" w:rsidRDefault="00B57811" w:rsidP="00924547">
      <w:pPr>
        <w:pStyle w:val="TEKSTIIII"/>
      </w:pPr>
    </w:p>
    <w:p w14:paraId="306B1D76" w14:textId="77777777" w:rsidR="00B57811" w:rsidRPr="00445472" w:rsidRDefault="00B57811" w:rsidP="00924547">
      <w:pPr>
        <w:pStyle w:val="TEKSTIIII"/>
      </w:pPr>
    </w:p>
    <w:p w14:paraId="1E24EC48" w14:textId="77777777" w:rsidR="00B57811" w:rsidRPr="00445472" w:rsidRDefault="00B57811" w:rsidP="00924547">
      <w:pPr>
        <w:pStyle w:val="TEKSTIIII"/>
        <w:sectPr w:rsidR="00B57811" w:rsidRPr="00445472" w:rsidSect="00FC18A6">
          <w:pgSz w:w="11907" w:h="16839" w:code="9"/>
          <w:pgMar w:top="1418" w:right="1418" w:bottom="1418" w:left="1418" w:header="1304" w:footer="1134" w:gutter="0"/>
          <w:cols w:space="720"/>
          <w:docGrid w:linePitch="360"/>
        </w:sectPr>
      </w:pPr>
    </w:p>
    <w:p w14:paraId="09895AE7" w14:textId="6BAB3653" w:rsidR="00B57811" w:rsidRPr="00445472" w:rsidRDefault="00B57811" w:rsidP="00B57811">
      <w:pPr>
        <w:pStyle w:val="NENTITULL"/>
      </w:pPr>
      <w:r w:rsidRPr="00445472">
        <w:t xml:space="preserve">Tabela 1: Planifikimi i </w:t>
      </w:r>
      <w:r w:rsidR="00E73677" w:rsidRPr="00445472">
        <w:t xml:space="preserve">projekteve </w:t>
      </w:r>
      <w:r w:rsidRPr="00445472">
        <w:t>duke përfshirë skemën e angazhimit të palëve të interesuara</w:t>
      </w:r>
    </w:p>
    <w:tbl>
      <w:tblPr>
        <w:tblW w:w="5000" w:type="pct"/>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903"/>
        <w:gridCol w:w="528"/>
        <w:gridCol w:w="148"/>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gridCol w:w="380"/>
      </w:tblGrid>
      <w:tr w:rsidR="00B57811" w:rsidRPr="00445472" w14:paraId="1A2C0263" w14:textId="77777777" w:rsidTr="00B57811">
        <w:trPr>
          <w:trHeight w:val="283"/>
          <w:tblHeader/>
          <w:jc w:val="center"/>
        </w:trPr>
        <w:tc>
          <w:tcPr>
            <w:tcW w:w="1138" w:type="pct"/>
            <w:shd w:val="clear" w:color="auto" w:fill="D9D9D9"/>
            <w:vAlign w:val="center"/>
            <w:hideMark/>
          </w:tcPr>
          <w:p w14:paraId="7571141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Java nr.</w:t>
            </w:r>
          </w:p>
        </w:tc>
        <w:tc>
          <w:tcPr>
            <w:tcW w:w="173" w:type="pct"/>
            <w:gridSpan w:val="2"/>
            <w:shd w:val="clear" w:color="auto" w:fill="D9D9D9"/>
            <w:noWrap/>
            <w:vAlign w:val="center"/>
            <w:hideMark/>
          </w:tcPr>
          <w:p w14:paraId="0E1D0E87"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0</w:t>
            </w:r>
          </w:p>
        </w:tc>
        <w:tc>
          <w:tcPr>
            <w:tcW w:w="132" w:type="pct"/>
            <w:shd w:val="clear" w:color="auto" w:fill="D9D9D9"/>
            <w:noWrap/>
            <w:textDirection w:val="btLr"/>
            <w:vAlign w:val="center"/>
            <w:hideMark/>
          </w:tcPr>
          <w:p w14:paraId="0BC305DF"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w:t>
            </w:r>
          </w:p>
        </w:tc>
        <w:tc>
          <w:tcPr>
            <w:tcW w:w="132" w:type="pct"/>
            <w:shd w:val="clear" w:color="auto" w:fill="D9D9D9"/>
            <w:noWrap/>
            <w:textDirection w:val="btLr"/>
            <w:vAlign w:val="center"/>
            <w:hideMark/>
          </w:tcPr>
          <w:p w14:paraId="53C4F1A9"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w:t>
            </w:r>
          </w:p>
        </w:tc>
        <w:tc>
          <w:tcPr>
            <w:tcW w:w="132" w:type="pct"/>
            <w:shd w:val="clear" w:color="auto" w:fill="D9D9D9"/>
            <w:noWrap/>
            <w:textDirection w:val="btLr"/>
            <w:vAlign w:val="center"/>
            <w:hideMark/>
          </w:tcPr>
          <w:p w14:paraId="4577BC55"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3</w:t>
            </w:r>
          </w:p>
        </w:tc>
        <w:tc>
          <w:tcPr>
            <w:tcW w:w="132" w:type="pct"/>
            <w:shd w:val="clear" w:color="auto" w:fill="D9D9D9"/>
            <w:noWrap/>
            <w:textDirection w:val="btLr"/>
            <w:vAlign w:val="center"/>
            <w:hideMark/>
          </w:tcPr>
          <w:p w14:paraId="1D80DDDA"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4</w:t>
            </w:r>
          </w:p>
        </w:tc>
        <w:tc>
          <w:tcPr>
            <w:tcW w:w="132" w:type="pct"/>
            <w:shd w:val="clear" w:color="auto" w:fill="D9D9D9"/>
            <w:noWrap/>
            <w:textDirection w:val="btLr"/>
            <w:vAlign w:val="center"/>
            <w:hideMark/>
          </w:tcPr>
          <w:p w14:paraId="73CBA6EB"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5</w:t>
            </w:r>
          </w:p>
        </w:tc>
        <w:tc>
          <w:tcPr>
            <w:tcW w:w="132" w:type="pct"/>
            <w:shd w:val="clear" w:color="auto" w:fill="D9D9D9"/>
            <w:noWrap/>
            <w:textDirection w:val="btLr"/>
            <w:vAlign w:val="center"/>
            <w:hideMark/>
          </w:tcPr>
          <w:p w14:paraId="66CF8473"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6</w:t>
            </w:r>
          </w:p>
        </w:tc>
        <w:tc>
          <w:tcPr>
            <w:tcW w:w="132" w:type="pct"/>
            <w:shd w:val="clear" w:color="auto" w:fill="D9D9D9"/>
            <w:noWrap/>
            <w:textDirection w:val="btLr"/>
            <w:vAlign w:val="center"/>
            <w:hideMark/>
          </w:tcPr>
          <w:p w14:paraId="42190C04"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7</w:t>
            </w:r>
          </w:p>
        </w:tc>
        <w:tc>
          <w:tcPr>
            <w:tcW w:w="132" w:type="pct"/>
            <w:shd w:val="clear" w:color="auto" w:fill="D9D9D9"/>
            <w:noWrap/>
            <w:textDirection w:val="btLr"/>
            <w:vAlign w:val="center"/>
            <w:hideMark/>
          </w:tcPr>
          <w:p w14:paraId="55EEBFEE"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8</w:t>
            </w:r>
          </w:p>
        </w:tc>
        <w:tc>
          <w:tcPr>
            <w:tcW w:w="132" w:type="pct"/>
            <w:shd w:val="clear" w:color="auto" w:fill="D9D9D9"/>
            <w:noWrap/>
            <w:textDirection w:val="btLr"/>
            <w:vAlign w:val="center"/>
            <w:hideMark/>
          </w:tcPr>
          <w:p w14:paraId="4345FC6E"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9</w:t>
            </w:r>
          </w:p>
        </w:tc>
        <w:tc>
          <w:tcPr>
            <w:tcW w:w="132" w:type="pct"/>
            <w:shd w:val="clear" w:color="auto" w:fill="D9D9D9"/>
            <w:noWrap/>
            <w:textDirection w:val="btLr"/>
            <w:vAlign w:val="center"/>
            <w:hideMark/>
          </w:tcPr>
          <w:p w14:paraId="6EF1E22C"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10</w:t>
            </w:r>
          </w:p>
        </w:tc>
        <w:tc>
          <w:tcPr>
            <w:tcW w:w="132" w:type="pct"/>
            <w:shd w:val="clear" w:color="auto" w:fill="D9D9D9"/>
            <w:noWrap/>
            <w:textDirection w:val="btLr"/>
            <w:vAlign w:val="center"/>
            <w:hideMark/>
          </w:tcPr>
          <w:p w14:paraId="507EA67F"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11</w:t>
            </w:r>
          </w:p>
        </w:tc>
        <w:tc>
          <w:tcPr>
            <w:tcW w:w="132" w:type="pct"/>
            <w:shd w:val="clear" w:color="auto" w:fill="D9D9D9"/>
            <w:noWrap/>
            <w:textDirection w:val="btLr"/>
            <w:vAlign w:val="center"/>
            <w:hideMark/>
          </w:tcPr>
          <w:p w14:paraId="25C6415C"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12</w:t>
            </w:r>
          </w:p>
        </w:tc>
        <w:tc>
          <w:tcPr>
            <w:tcW w:w="132" w:type="pct"/>
            <w:shd w:val="clear" w:color="auto" w:fill="D9D9D9"/>
            <w:noWrap/>
            <w:textDirection w:val="btLr"/>
            <w:vAlign w:val="center"/>
            <w:hideMark/>
          </w:tcPr>
          <w:p w14:paraId="41C63D7D"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13</w:t>
            </w:r>
          </w:p>
        </w:tc>
        <w:tc>
          <w:tcPr>
            <w:tcW w:w="132" w:type="pct"/>
            <w:shd w:val="clear" w:color="auto" w:fill="D9D9D9"/>
            <w:noWrap/>
            <w:textDirection w:val="btLr"/>
            <w:vAlign w:val="center"/>
            <w:hideMark/>
          </w:tcPr>
          <w:p w14:paraId="6D31C0CB"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14</w:t>
            </w:r>
          </w:p>
        </w:tc>
        <w:tc>
          <w:tcPr>
            <w:tcW w:w="132" w:type="pct"/>
            <w:shd w:val="clear" w:color="auto" w:fill="D9D9D9"/>
            <w:noWrap/>
            <w:textDirection w:val="btLr"/>
            <w:vAlign w:val="center"/>
            <w:hideMark/>
          </w:tcPr>
          <w:p w14:paraId="28BE2A87"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15</w:t>
            </w:r>
          </w:p>
        </w:tc>
        <w:tc>
          <w:tcPr>
            <w:tcW w:w="132" w:type="pct"/>
            <w:shd w:val="clear" w:color="auto" w:fill="D9D9D9"/>
            <w:noWrap/>
            <w:textDirection w:val="btLr"/>
            <w:vAlign w:val="center"/>
            <w:hideMark/>
          </w:tcPr>
          <w:p w14:paraId="22723D69"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16</w:t>
            </w:r>
          </w:p>
        </w:tc>
        <w:tc>
          <w:tcPr>
            <w:tcW w:w="132" w:type="pct"/>
            <w:shd w:val="clear" w:color="auto" w:fill="D9D9D9"/>
            <w:noWrap/>
            <w:textDirection w:val="btLr"/>
            <w:vAlign w:val="center"/>
            <w:hideMark/>
          </w:tcPr>
          <w:p w14:paraId="13AA99BF"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17</w:t>
            </w:r>
          </w:p>
        </w:tc>
        <w:tc>
          <w:tcPr>
            <w:tcW w:w="132" w:type="pct"/>
            <w:shd w:val="clear" w:color="auto" w:fill="D9D9D9"/>
            <w:noWrap/>
            <w:textDirection w:val="btLr"/>
            <w:vAlign w:val="center"/>
            <w:hideMark/>
          </w:tcPr>
          <w:p w14:paraId="12D8FB7F"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18</w:t>
            </w:r>
          </w:p>
        </w:tc>
        <w:tc>
          <w:tcPr>
            <w:tcW w:w="132" w:type="pct"/>
            <w:shd w:val="clear" w:color="auto" w:fill="D9D9D9"/>
            <w:noWrap/>
            <w:textDirection w:val="btLr"/>
            <w:vAlign w:val="center"/>
            <w:hideMark/>
          </w:tcPr>
          <w:p w14:paraId="2934F913"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19</w:t>
            </w:r>
          </w:p>
        </w:tc>
        <w:tc>
          <w:tcPr>
            <w:tcW w:w="132" w:type="pct"/>
            <w:shd w:val="clear" w:color="auto" w:fill="D9D9D9"/>
            <w:noWrap/>
            <w:textDirection w:val="btLr"/>
            <w:vAlign w:val="center"/>
            <w:hideMark/>
          </w:tcPr>
          <w:p w14:paraId="704421BF"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20</w:t>
            </w:r>
          </w:p>
        </w:tc>
        <w:tc>
          <w:tcPr>
            <w:tcW w:w="132" w:type="pct"/>
            <w:shd w:val="clear" w:color="auto" w:fill="D9D9D9"/>
            <w:noWrap/>
            <w:textDirection w:val="btLr"/>
            <w:vAlign w:val="center"/>
            <w:hideMark/>
          </w:tcPr>
          <w:p w14:paraId="00CF800C"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21</w:t>
            </w:r>
          </w:p>
        </w:tc>
        <w:tc>
          <w:tcPr>
            <w:tcW w:w="132" w:type="pct"/>
            <w:shd w:val="clear" w:color="auto" w:fill="D9D9D9"/>
            <w:noWrap/>
            <w:textDirection w:val="btLr"/>
            <w:vAlign w:val="center"/>
            <w:hideMark/>
          </w:tcPr>
          <w:p w14:paraId="336FEFF4"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22</w:t>
            </w:r>
          </w:p>
        </w:tc>
        <w:tc>
          <w:tcPr>
            <w:tcW w:w="132" w:type="pct"/>
            <w:shd w:val="clear" w:color="auto" w:fill="D9D9D9"/>
            <w:noWrap/>
            <w:textDirection w:val="btLr"/>
            <w:vAlign w:val="center"/>
            <w:hideMark/>
          </w:tcPr>
          <w:p w14:paraId="685521D5"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23</w:t>
            </w:r>
          </w:p>
        </w:tc>
        <w:tc>
          <w:tcPr>
            <w:tcW w:w="132" w:type="pct"/>
            <w:shd w:val="clear" w:color="auto" w:fill="D9D9D9"/>
            <w:noWrap/>
            <w:textDirection w:val="btLr"/>
            <w:vAlign w:val="center"/>
            <w:hideMark/>
          </w:tcPr>
          <w:p w14:paraId="24FFC495"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24</w:t>
            </w:r>
          </w:p>
        </w:tc>
        <w:tc>
          <w:tcPr>
            <w:tcW w:w="132" w:type="pct"/>
            <w:shd w:val="clear" w:color="auto" w:fill="D9D9D9"/>
            <w:noWrap/>
            <w:textDirection w:val="btLr"/>
            <w:vAlign w:val="center"/>
            <w:hideMark/>
          </w:tcPr>
          <w:p w14:paraId="03253BFC"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25</w:t>
            </w:r>
          </w:p>
        </w:tc>
        <w:tc>
          <w:tcPr>
            <w:tcW w:w="132" w:type="pct"/>
            <w:shd w:val="clear" w:color="auto" w:fill="D9D9D9"/>
            <w:noWrap/>
            <w:textDirection w:val="btLr"/>
            <w:vAlign w:val="center"/>
            <w:hideMark/>
          </w:tcPr>
          <w:p w14:paraId="467ADA55"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26</w:t>
            </w:r>
          </w:p>
        </w:tc>
        <w:tc>
          <w:tcPr>
            <w:tcW w:w="132" w:type="pct"/>
            <w:shd w:val="clear" w:color="auto" w:fill="D9D9D9"/>
            <w:noWrap/>
            <w:textDirection w:val="btLr"/>
            <w:vAlign w:val="center"/>
            <w:hideMark/>
          </w:tcPr>
          <w:p w14:paraId="7216DA07"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27</w:t>
            </w:r>
          </w:p>
        </w:tc>
        <w:tc>
          <w:tcPr>
            <w:tcW w:w="132" w:type="pct"/>
            <w:shd w:val="clear" w:color="auto" w:fill="D9D9D9"/>
            <w:noWrap/>
            <w:textDirection w:val="btLr"/>
            <w:vAlign w:val="center"/>
            <w:hideMark/>
          </w:tcPr>
          <w:p w14:paraId="71B725A4"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28</w:t>
            </w:r>
          </w:p>
        </w:tc>
      </w:tr>
      <w:tr w:rsidR="00B57811" w:rsidRPr="00445472" w14:paraId="446D7D54" w14:textId="77777777" w:rsidTr="00B57811">
        <w:trPr>
          <w:trHeight w:val="713"/>
          <w:tblHeader/>
          <w:jc w:val="center"/>
        </w:trPr>
        <w:tc>
          <w:tcPr>
            <w:tcW w:w="1138" w:type="pct"/>
            <w:shd w:val="clear" w:color="auto" w:fill="D9D9D9"/>
            <w:vAlign w:val="center"/>
            <w:hideMark/>
          </w:tcPr>
          <w:p w14:paraId="2564428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xml:space="preserve">Java që fillon më: </w:t>
            </w:r>
          </w:p>
        </w:tc>
        <w:tc>
          <w:tcPr>
            <w:tcW w:w="173" w:type="pct"/>
            <w:gridSpan w:val="2"/>
            <w:shd w:val="clear" w:color="auto" w:fill="D9D9D9"/>
            <w:noWrap/>
            <w:vAlign w:val="center"/>
            <w:hideMark/>
          </w:tcPr>
          <w:p w14:paraId="1259994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Përpara</w:t>
            </w:r>
          </w:p>
        </w:tc>
        <w:tc>
          <w:tcPr>
            <w:tcW w:w="132" w:type="pct"/>
            <w:shd w:val="clear" w:color="auto" w:fill="D9D9D9"/>
            <w:noWrap/>
            <w:textDirection w:val="btLr"/>
            <w:vAlign w:val="center"/>
            <w:hideMark/>
          </w:tcPr>
          <w:p w14:paraId="1259F6E9"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23-Jan</w:t>
            </w:r>
          </w:p>
        </w:tc>
        <w:tc>
          <w:tcPr>
            <w:tcW w:w="132" w:type="pct"/>
            <w:shd w:val="clear" w:color="auto" w:fill="D9D9D9"/>
            <w:noWrap/>
            <w:textDirection w:val="btLr"/>
            <w:vAlign w:val="center"/>
            <w:hideMark/>
          </w:tcPr>
          <w:p w14:paraId="20621260"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30-Jan</w:t>
            </w:r>
          </w:p>
        </w:tc>
        <w:tc>
          <w:tcPr>
            <w:tcW w:w="132" w:type="pct"/>
            <w:shd w:val="clear" w:color="auto" w:fill="D9D9D9"/>
            <w:noWrap/>
            <w:textDirection w:val="btLr"/>
            <w:vAlign w:val="center"/>
            <w:hideMark/>
          </w:tcPr>
          <w:p w14:paraId="6D67BC85"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6-Shku</w:t>
            </w:r>
          </w:p>
        </w:tc>
        <w:tc>
          <w:tcPr>
            <w:tcW w:w="132" w:type="pct"/>
            <w:shd w:val="clear" w:color="auto" w:fill="D9D9D9"/>
            <w:noWrap/>
            <w:textDirection w:val="btLr"/>
            <w:vAlign w:val="center"/>
            <w:hideMark/>
          </w:tcPr>
          <w:p w14:paraId="3FB83DBE"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13-Shku</w:t>
            </w:r>
          </w:p>
        </w:tc>
        <w:tc>
          <w:tcPr>
            <w:tcW w:w="132" w:type="pct"/>
            <w:shd w:val="clear" w:color="auto" w:fill="D9D9D9"/>
            <w:noWrap/>
            <w:textDirection w:val="btLr"/>
            <w:vAlign w:val="center"/>
            <w:hideMark/>
          </w:tcPr>
          <w:p w14:paraId="1A256C94"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20-Shku</w:t>
            </w:r>
          </w:p>
        </w:tc>
        <w:tc>
          <w:tcPr>
            <w:tcW w:w="132" w:type="pct"/>
            <w:shd w:val="clear" w:color="auto" w:fill="D9D9D9"/>
            <w:noWrap/>
            <w:textDirection w:val="btLr"/>
            <w:vAlign w:val="center"/>
            <w:hideMark/>
          </w:tcPr>
          <w:p w14:paraId="28C33957"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27-Shku</w:t>
            </w:r>
          </w:p>
        </w:tc>
        <w:tc>
          <w:tcPr>
            <w:tcW w:w="132" w:type="pct"/>
            <w:shd w:val="clear" w:color="auto" w:fill="D9D9D9"/>
            <w:noWrap/>
            <w:textDirection w:val="btLr"/>
            <w:vAlign w:val="center"/>
            <w:hideMark/>
          </w:tcPr>
          <w:p w14:paraId="647B94B2"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6-Mar</w:t>
            </w:r>
          </w:p>
        </w:tc>
        <w:tc>
          <w:tcPr>
            <w:tcW w:w="132" w:type="pct"/>
            <w:shd w:val="clear" w:color="auto" w:fill="D9D9D9"/>
            <w:noWrap/>
            <w:textDirection w:val="btLr"/>
            <w:vAlign w:val="center"/>
            <w:hideMark/>
          </w:tcPr>
          <w:p w14:paraId="7404658D"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13-Mar</w:t>
            </w:r>
          </w:p>
        </w:tc>
        <w:tc>
          <w:tcPr>
            <w:tcW w:w="132" w:type="pct"/>
            <w:shd w:val="clear" w:color="auto" w:fill="D9D9D9"/>
            <w:noWrap/>
            <w:textDirection w:val="btLr"/>
            <w:vAlign w:val="center"/>
            <w:hideMark/>
          </w:tcPr>
          <w:p w14:paraId="67B8B9D9"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20-Mar</w:t>
            </w:r>
          </w:p>
        </w:tc>
        <w:tc>
          <w:tcPr>
            <w:tcW w:w="132" w:type="pct"/>
            <w:shd w:val="clear" w:color="auto" w:fill="D9D9D9"/>
            <w:noWrap/>
            <w:textDirection w:val="btLr"/>
            <w:vAlign w:val="center"/>
            <w:hideMark/>
          </w:tcPr>
          <w:p w14:paraId="34BE9BC4"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27-Mar</w:t>
            </w:r>
          </w:p>
        </w:tc>
        <w:tc>
          <w:tcPr>
            <w:tcW w:w="132" w:type="pct"/>
            <w:shd w:val="clear" w:color="auto" w:fill="D9D9D9"/>
            <w:noWrap/>
            <w:textDirection w:val="btLr"/>
            <w:vAlign w:val="center"/>
            <w:hideMark/>
          </w:tcPr>
          <w:p w14:paraId="0F6A7131"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3-Prii</w:t>
            </w:r>
          </w:p>
        </w:tc>
        <w:tc>
          <w:tcPr>
            <w:tcW w:w="132" w:type="pct"/>
            <w:shd w:val="clear" w:color="auto" w:fill="D9D9D9"/>
            <w:noWrap/>
            <w:textDirection w:val="btLr"/>
            <w:vAlign w:val="center"/>
            <w:hideMark/>
          </w:tcPr>
          <w:p w14:paraId="0185271E"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10-Prir</w:t>
            </w:r>
          </w:p>
        </w:tc>
        <w:tc>
          <w:tcPr>
            <w:tcW w:w="132" w:type="pct"/>
            <w:shd w:val="clear" w:color="auto" w:fill="D9D9D9"/>
            <w:noWrap/>
            <w:textDirection w:val="btLr"/>
            <w:vAlign w:val="center"/>
            <w:hideMark/>
          </w:tcPr>
          <w:p w14:paraId="6C3A53DB"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17-Pri</w:t>
            </w:r>
          </w:p>
        </w:tc>
        <w:tc>
          <w:tcPr>
            <w:tcW w:w="132" w:type="pct"/>
            <w:shd w:val="clear" w:color="auto" w:fill="D9D9D9"/>
            <w:noWrap/>
            <w:textDirection w:val="btLr"/>
            <w:vAlign w:val="center"/>
            <w:hideMark/>
          </w:tcPr>
          <w:p w14:paraId="14AFEDFA"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24-Pri</w:t>
            </w:r>
          </w:p>
        </w:tc>
        <w:tc>
          <w:tcPr>
            <w:tcW w:w="132" w:type="pct"/>
            <w:shd w:val="clear" w:color="auto" w:fill="D9D9D9"/>
            <w:noWrap/>
            <w:textDirection w:val="btLr"/>
            <w:vAlign w:val="center"/>
            <w:hideMark/>
          </w:tcPr>
          <w:p w14:paraId="3C4940C0"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1-Maj</w:t>
            </w:r>
          </w:p>
        </w:tc>
        <w:tc>
          <w:tcPr>
            <w:tcW w:w="132" w:type="pct"/>
            <w:shd w:val="clear" w:color="auto" w:fill="D9D9D9"/>
            <w:noWrap/>
            <w:textDirection w:val="btLr"/>
            <w:vAlign w:val="center"/>
            <w:hideMark/>
          </w:tcPr>
          <w:p w14:paraId="6145D0AD"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8-Maj</w:t>
            </w:r>
          </w:p>
        </w:tc>
        <w:tc>
          <w:tcPr>
            <w:tcW w:w="132" w:type="pct"/>
            <w:shd w:val="clear" w:color="auto" w:fill="D9D9D9"/>
            <w:noWrap/>
            <w:textDirection w:val="btLr"/>
            <w:vAlign w:val="center"/>
            <w:hideMark/>
          </w:tcPr>
          <w:p w14:paraId="4E636F43"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15-Maj</w:t>
            </w:r>
          </w:p>
        </w:tc>
        <w:tc>
          <w:tcPr>
            <w:tcW w:w="132" w:type="pct"/>
            <w:shd w:val="clear" w:color="auto" w:fill="D9D9D9"/>
            <w:noWrap/>
            <w:textDirection w:val="btLr"/>
            <w:vAlign w:val="center"/>
            <w:hideMark/>
          </w:tcPr>
          <w:p w14:paraId="57B04530"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22-Maj</w:t>
            </w:r>
          </w:p>
        </w:tc>
        <w:tc>
          <w:tcPr>
            <w:tcW w:w="132" w:type="pct"/>
            <w:shd w:val="clear" w:color="auto" w:fill="D9D9D9"/>
            <w:noWrap/>
            <w:textDirection w:val="btLr"/>
            <w:vAlign w:val="center"/>
            <w:hideMark/>
          </w:tcPr>
          <w:p w14:paraId="205B3933"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29-Maj</w:t>
            </w:r>
          </w:p>
        </w:tc>
        <w:tc>
          <w:tcPr>
            <w:tcW w:w="132" w:type="pct"/>
            <w:shd w:val="clear" w:color="auto" w:fill="D9D9D9"/>
            <w:noWrap/>
            <w:textDirection w:val="btLr"/>
            <w:vAlign w:val="center"/>
            <w:hideMark/>
          </w:tcPr>
          <w:p w14:paraId="66AE2F8B"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5-Qer</w:t>
            </w:r>
          </w:p>
        </w:tc>
        <w:tc>
          <w:tcPr>
            <w:tcW w:w="132" w:type="pct"/>
            <w:shd w:val="clear" w:color="auto" w:fill="D9D9D9"/>
            <w:noWrap/>
            <w:textDirection w:val="btLr"/>
            <w:vAlign w:val="center"/>
            <w:hideMark/>
          </w:tcPr>
          <w:p w14:paraId="4362D56A"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12-Qer</w:t>
            </w:r>
          </w:p>
        </w:tc>
        <w:tc>
          <w:tcPr>
            <w:tcW w:w="132" w:type="pct"/>
            <w:shd w:val="clear" w:color="auto" w:fill="D9D9D9"/>
            <w:noWrap/>
            <w:textDirection w:val="btLr"/>
            <w:vAlign w:val="center"/>
            <w:hideMark/>
          </w:tcPr>
          <w:p w14:paraId="41A22F41"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19-Qer</w:t>
            </w:r>
          </w:p>
        </w:tc>
        <w:tc>
          <w:tcPr>
            <w:tcW w:w="132" w:type="pct"/>
            <w:shd w:val="clear" w:color="auto" w:fill="D9D9D9"/>
            <w:noWrap/>
            <w:textDirection w:val="btLr"/>
            <w:vAlign w:val="center"/>
            <w:hideMark/>
          </w:tcPr>
          <w:p w14:paraId="05FBB219"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26-Qer</w:t>
            </w:r>
          </w:p>
        </w:tc>
        <w:tc>
          <w:tcPr>
            <w:tcW w:w="132" w:type="pct"/>
            <w:shd w:val="clear" w:color="auto" w:fill="D9D9D9"/>
            <w:noWrap/>
            <w:textDirection w:val="btLr"/>
            <w:vAlign w:val="center"/>
            <w:hideMark/>
          </w:tcPr>
          <w:p w14:paraId="23EC28A0"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3-Korl</w:t>
            </w:r>
          </w:p>
        </w:tc>
        <w:tc>
          <w:tcPr>
            <w:tcW w:w="132" w:type="pct"/>
            <w:shd w:val="clear" w:color="auto" w:fill="D9D9D9"/>
            <w:noWrap/>
            <w:textDirection w:val="btLr"/>
            <w:vAlign w:val="center"/>
            <w:hideMark/>
          </w:tcPr>
          <w:p w14:paraId="35DF36CD"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10-Korl</w:t>
            </w:r>
          </w:p>
        </w:tc>
        <w:tc>
          <w:tcPr>
            <w:tcW w:w="132" w:type="pct"/>
            <w:shd w:val="clear" w:color="auto" w:fill="D9D9D9"/>
            <w:noWrap/>
            <w:textDirection w:val="btLr"/>
            <w:vAlign w:val="center"/>
            <w:hideMark/>
          </w:tcPr>
          <w:p w14:paraId="4F46248C"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17-Kor</w:t>
            </w:r>
          </w:p>
        </w:tc>
        <w:tc>
          <w:tcPr>
            <w:tcW w:w="132" w:type="pct"/>
            <w:shd w:val="clear" w:color="auto" w:fill="D9D9D9"/>
            <w:noWrap/>
            <w:textDirection w:val="btLr"/>
            <w:vAlign w:val="center"/>
            <w:hideMark/>
          </w:tcPr>
          <w:p w14:paraId="50F4F30A"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24-Korl</w:t>
            </w:r>
          </w:p>
        </w:tc>
        <w:tc>
          <w:tcPr>
            <w:tcW w:w="132" w:type="pct"/>
            <w:shd w:val="clear" w:color="auto" w:fill="D9D9D9"/>
            <w:noWrap/>
            <w:textDirection w:val="btLr"/>
            <w:vAlign w:val="center"/>
            <w:hideMark/>
          </w:tcPr>
          <w:p w14:paraId="601C9ADA"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31-Kor</w:t>
            </w:r>
          </w:p>
        </w:tc>
      </w:tr>
      <w:tr w:rsidR="00B57811" w:rsidRPr="00445472" w14:paraId="5846241B" w14:textId="77777777" w:rsidTr="00B57811">
        <w:trPr>
          <w:trHeight w:val="300"/>
          <w:jc w:val="center"/>
        </w:trPr>
        <w:tc>
          <w:tcPr>
            <w:tcW w:w="1138" w:type="pct"/>
            <w:shd w:val="clear" w:color="000000" w:fill="FFFF00"/>
            <w:vAlign w:val="center"/>
            <w:hideMark/>
          </w:tcPr>
          <w:p w14:paraId="376DDB1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Zhvillimi i PMBU-ve dhe dokumenteve të tjera</w:t>
            </w:r>
          </w:p>
        </w:tc>
        <w:tc>
          <w:tcPr>
            <w:tcW w:w="173" w:type="pct"/>
            <w:gridSpan w:val="2"/>
            <w:shd w:val="clear" w:color="000000" w:fill="FFFF00"/>
            <w:noWrap/>
            <w:vAlign w:val="center"/>
            <w:hideMark/>
          </w:tcPr>
          <w:p w14:paraId="0C7A66C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EC4E7C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2FDC70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CC9B87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1B7054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551356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77B73E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619846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BF98BC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F74571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D3EDD1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FB5526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A268A4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394092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12F256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8BBE32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B05075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AF7376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9141C2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38868B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3272EC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13AFF8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F6AD44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05FBFE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452D03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80AEE7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66B9B0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92669A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1B001E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r>
      <w:tr w:rsidR="00B57811" w:rsidRPr="00445472" w14:paraId="5C62E97E" w14:textId="77777777" w:rsidTr="00B57811">
        <w:trPr>
          <w:trHeight w:val="315"/>
          <w:jc w:val="center"/>
        </w:trPr>
        <w:tc>
          <w:tcPr>
            <w:tcW w:w="1138" w:type="pct"/>
            <w:shd w:val="clear" w:color="auto" w:fill="auto"/>
            <w:vAlign w:val="center"/>
            <w:hideMark/>
          </w:tcPr>
          <w:p w14:paraId="15E3FF33" w14:textId="4C00E95B"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Zhvillimi i modeleve të</w:t>
            </w:r>
            <w:r w:rsidR="00E73677" w:rsidRPr="00445472">
              <w:rPr>
                <w:rFonts w:ascii="Garamond" w:hAnsi="Garamond"/>
                <w:sz w:val="14"/>
                <w:szCs w:val="14"/>
              </w:rPr>
              <w:t xml:space="preserve"> </w:t>
            </w:r>
            <w:r w:rsidRPr="00445472">
              <w:rPr>
                <w:rFonts w:ascii="Garamond" w:hAnsi="Garamond"/>
                <w:sz w:val="14"/>
                <w:szCs w:val="14"/>
              </w:rPr>
              <w:t>BU-ve</w:t>
            </w:r>
          </w:p>
        </w:tc>
        <w:tc>
          <w:tcPr>
            <w:tcW w:w="173" w:type="pct"/>
            <w:gridSpan w:val="2"/>
            <w:shd w:val="clear" w:color="000000" w:fill="FFFF00"/>
            <w:vAlign w:val="center"/>
            <w:hideMark/>
          </w:tcPr>
          <w:p w14:paraId="66C1F46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9CA326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CFCF74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FA758C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20599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6BCD11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5184DC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006BA25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C3F59B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619C3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CB2F45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855CD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EAC600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EDE1D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1FDA63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ADD31F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D1AE5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11AFF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B66F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ED126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E6B81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31A56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A204E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A1FDA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D8C352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DFD1F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86BE6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34469B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99411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D3704EB" w14:textId="77777777" w:rsidTr="00B57811">
        <w:trPr>
          <w:trHeight w:val="315"/>
          <w:jc w:val="center"/>
        </w:trPr>
        <w:tc>
          <w:tcPr>
            <w:tcW w:w="1138" w:type="pct"/>
            <w:shd w:val="clear" w:color="auto" w:fill="auto"/>
            <w:vAlign w:val="center"/>
            <w:hideMark/>
          </w:tcPr>
          <w:p w14:paraId="59A4745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Analizimi I informacionit mbi përmbytjet &amp; zhvillimi i planit të veprimit/menaxhimit në rast përmbytjesh</w:t>
            </w:r>
          </w:p>
        </w:tc>
        <w:tc>
          <w:tcPr>
            <w:tcW w:w="173" w:type="pct"/>
            <w:gridSpan w:val="2"/>
            <w:shd w:val="clear" w:color="000000" w:fill="FFFF00"/>
            <w:noWrap/>
            <w:vAlign w:val="center"/>
            <w:hideMark/>
          </w:tcPr>
          <w:p w14:paraId="150F36B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B21A6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AB2BF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BC39BE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A416EB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B42703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ED7340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0F513F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50CCA8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C2229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B5BF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7D271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507DA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5F279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2BA53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6E5C5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DA41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B19CED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82142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F105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5FAE1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A68B0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30BA9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727F3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87CE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0CDC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84762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B5418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A0D5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4A921EA5" w14:textId="77777777" w:rsidTr="00B57811">
        <w:trPr>
          <w:trHeight w:val="315"/>
          <w:jc w:val="center"/>
        </w:trPr>
        <w:tc>
          <w:tcPr>
            <w:tcW w:w="1138" w:type="pct"/>
            <w:shd w:val="clear" w:color="auto" w:fill="auto"/>
            <w:vAlign w:val="center"/>
            <w:hideMark/>
          </w:tcPr>
          <w:p w14:paraId="22C4975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Vlerësimi i shpejtë ekologjik në terren, zhvillimi i raportit dhe hartës</w:t>
            </w:r>
          </w:p>
        </w:tc>
        <w:tc>
          <w:tcPr>
            <w:tcW w:w="173" w:type="pct"/>
            <w:gridSpan w:val="2"/>
            <w:shd w:val="clear" w:color="000000" w:fill="FFFF00"/>
            <w:noWrap/>
            <w:vAlign w:val="center"/>
            <w:hideMark/>
          </w:tcPr>
          <w:p w14:paraId="6AEEDAF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8541BD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BBD6C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2C40F4"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EC4996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73D9FD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229E7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CA3F98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9A7FDE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CC4E65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C5FD9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9D424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0348E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115E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C4FFEC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EE6E9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155D3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A5CFF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27E7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8DDCA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9F060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B66E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B103F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F2E03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909FF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563FB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D740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6BFF94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CADD2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EE58ECC" w14:textId="77777777" w:rsidTr="00B57811">
        <w:trPr>
          <w:trHeight w:val="300"/>
          <w:jc w:val="center"/>
        </w:trPr>
        <w:tc>
          <w:tcPr>
            <w:tcW w:w="1138" w:type="pct"/>
            <w:shd w:val="clear" w:color="auto" w:fill="auto"/>
            <w:vAlign w:val="center"/>
            <w:hideMark/>
          </w:tcPr>
          <w:p w14:paraId="62AE69B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Vlerësimi dhe zhvillimi i planit për ngritjen e kapaciteteve</w:t>
            </w:r>
          </w:p>
        </w:tc>
        <w:tc>
          <w:tcPr>
            <w:tcW w:w="173" w:type="pct"/>
            <w:gridSpan w:val="2"/>
            <w:shd w:val="clear" w:color="000000" w:fill="FFFF00"/>
            <w:noWrap/>
            <w:vAlign w:val="center"/>
            <w:hideMark/>
          </w:tcPr>
          <w:p w14:paraId="581B9B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6164E4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0C6D11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6512A0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62C5A52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35ECBB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BA55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66027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799DA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5A28E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83EB54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BC475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0AC96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ADC34C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CE091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3BB17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1449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450B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CDF89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C7486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312EB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DA357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42E4C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4FCDE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9B23D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BB7BF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8EE8A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17F29A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6EACB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728FFF1A" w14:textId="77777777" w:rsidTr="00B57811">
        <w:trPr>
          <w:trHeight w:val="300"/>
          <w:jc w:val="center"/>
        </w:trPr>
        <w:tc>
          <w:tcPr>
            <w:tcW w:w="1138" w:type="pct"/>
            <w:shd w:val="clear" w:color="auto" w:fill="auto"/>
            <w:vAlign w:val="center"/>
            <w:hideMark/>
          </w:tcPr>
          <w:p w14:paraId="27A420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Vlerësimi i monitorimit  dhe zhvillimi i udhërrëfyesit</w:t>
            </w:r>
          </w:p>
        </w:tc>
        <w:tc>
          <w:tcPr>
            <w:tcW w:w="173" w:type="pct"/>
            <w:gridSpan w:val="2"/>
            <w:shd w:val="clear" w:color="000000" w:fill="FFFF00"/>
            <w:noWrap/>
            <w:vAlign w:val="center"/>
            <w:hideMark/>
          </w:tcPr>
          <w:p w14:paraId="5E6D870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E30E1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3A122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C23D5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B805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BA5AFE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E5989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6BF185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BAACBF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26026B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BAF03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9F03E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65105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31345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B10FA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B20F5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502A9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30AF7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C754B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0917E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E7686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D9C8BE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AF48D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48A8E7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8838B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F44A8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CDCD20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E72F37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F4208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711E6B1D" w14:textId="77777777" w:rsidTr="00B57811">
        <w:trPr>
          <w:trHeight w:val="315"/>
          <w:jc w:val="center"/>
        </w:trPr>
        <w:tc>
          <w:tcPr>
            <w:tcW w:w="1138" w:type="pct"/>
            <w:shd w:val="clear" w:color="auto" w:fill="auto"/>
            <w:vAlign w:val="center"/>
            <w:hideMark/>
          </w:tcPr>
          <w:p w14:paraId="193A8D8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Zhvillimi I objektivave dhe treguesve të PMBU-ve + dokument diskutimi</w:t>
            </w:r>
          </w:p>
        </w:tc>
        <w:tc>
          <w:tcPr>
            <w:tcW w:w="173" w:type="pct"/>
            <w:gridSpan w:val="2"/>
            <w:shd w:val="clear" w:color="000000" w:fill="FFFF00"/>
            <w:noWrap/>
            <w:vAlign w:val="center"/>
            <w:hideMark/>
          </w:tcPr>
          <w:p w14:paraId="7653F19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67481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E45F42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CB516F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A3E2F6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EACAAF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012813B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88ED4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02C30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010F5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1B6DCC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F411D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0A3C5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B9B76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6BD2C7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5F2FA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B4583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9A8E6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9284D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300078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2E6A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A6D5D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66EC5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C852E2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486D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1A55CA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E000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F6D0C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59646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461C6F48" w14:textId="77777777" w:rsidTr="00B57811">
        <w:trPr>
          <w:trHeight w:val="315"/>
          <w:jc w:val="center"/>
        </w:trPr>
        <w:tc>
          <w:tcPr>
            <w:tcW w:w="1138" w:type="pct"/>
            <w:shd w:val="clear" w:color="auto" w:fill="auto"/>
            <w:vAlign w:val="center"/>
            <w:hideMark/>
          </w:tcPr>
          <w:p w14:paraId="37001F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Vlerësimi i infrastrukturës dhe zhvillimi i listës së nevojave për investime</w:t>
            </w:r>
          </w:p>
        </w:tc>
        <w:tc>
          <w:tcPr>
            <w:tcW w:w="173" w:type="pct"/>
            <w:gridSpan w:val="2"/>
            <w:shd w:val="clear" w:color="000000" w:fill="FFFF00"/>
            <w:noWrap/>
            <w:vAlign w:val="center"/>
            <w:hideMark/>
          </w:tcPr>
          <w:p w14:paraId="1AB56A0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CB182F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00FABB5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DF2B3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2CA0D7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C74A83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26593A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DDD5E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08FA95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5FBF5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3BBBC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9EA47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51862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91C4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2C77C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FB20B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232B7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47D21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53B65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386F65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A5D73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43EA1B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CEB48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1F1ABF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5DF5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AB644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3206F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E41835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58DCD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27752C4" w14:textId="77777777" w:rsidTr="00B57811">
        <w:trPr>
          <w:trHeight w:val="315"/>
          <w:jc w:val="center"/>
        </w:trPr>
        <w:tc>
          <w:tcPr>
            <w:tcW w:w="1138" w:type="pct"/>
            <w:shd w:val="clear" w:color="auto" w:fill="auto"/>
            <w:vAlign w:val="center"/>
            <w:hideMark/>
          </w:tcPr>
          <w:p w14:paraId="4BE5F4D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Prioritetet e ndërhyrjes së krijimit dhe lista e masave + dokumentet e diskutimit</w:t>
            </w:r>
          </w:p>
        </w:tc>
        <w:tc>
          <w:tcPr>
            <w:tcW w:w="173" w:type="pct"/>
            <w:gridSpan w:val="2"/>
            <w:shd w:val="clear" w:color="000000" w:fill="FFFF00"/>
            <w:noWrap/>
            <w:vAlign w:val="center"/>
            <w:hideMark/>
          </w:tcPr>
          <w:p w14:paraId="4FEE0A0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A04BF4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2A30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9B284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642EA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15EFC8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40BDAD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D6F1F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20DBA1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A80B7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0CDE18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550C79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705A86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F1A21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893746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BE4A8F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E3221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3B562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651AA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8BBE4C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45D43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EBBF2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117F0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D43286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471D0B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61838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00AE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31B07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4BCFF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3389291" w14:textId="77777777" w:rsidTr="00B57811">
        <w:trPr>
          <w:trHeight w:val="315"/>
          <w:jc w:val="center"/>
        </w:trPr>
        <w:tc>
          <w:tcPr>
            <w:tcW w:w="1138" w:type="pct"/>
            <w:shd w:val="clear" w:color="auto" w:fill="auto"/>
            <w:vAlign w:val="center"/>
            <w:hideMark/>
          </w:tcPr>
          <w:p w14:paraId="06AED69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Kryerja e konsultimeve të palëve, analizimi dhe raportimi</w:t>
            </w:r>
          </w:p>
        </w:tc>
        <w:tc>
          <w:tcPr>
            <w:tcW w:w="173" w:type="pct"/>
            <w:gridSpan w:val="2"/>
            <w:shd w:val="clear" w:color="000000" w:fill="FFFF00"/>
            <w:noWrap/>
            <w:vAlign w:val="center"/>
            <w:hideMark/>
          </w:tcPr>
          <w:p w14:paraId="7C6BFB5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596C65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4441A9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3BC55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B36DEA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30928B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16C42E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14FA83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7F5B32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7E5CEB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6637C7C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4F8D95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B6BE9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BA74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61373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33F967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7BBE0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35DC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C67380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DDE07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0F88FB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AD531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587DE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E1FE4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E3AB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27D3B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F21A9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F266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E5022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7FA9075C" w14:textId="77777777" w:rsidTr="00B57811">
        <w:trPr>
          <w:trHeight w:val="300"/>
          <w:jc w:val="center"/>
        </w:trPr>
        <w:tc>
          <w:tcPr>
            <w:tcW w:w="1138" w:type="pct"/>
            <w:shd w:val="clear" w:color="auto" w:fill="auto"/>
            <w:vAlign w:val="center"/>
            <w:hideMark/>
          </w:tcPr>
          <w:p w14:paraId="7C5B8B5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Përgatitja e planit të zbatimit PMBU</w:t>
            </w:r>
          </w:p>
        </w:tc>
        <w:tc>
          <w:tcPr>
            <w:tcW w:w="173" w:type="pct"/>
            <w:gridSpan w:val="2"/>
            <w:shd w:val="clear" w:color="000000" w:fill="FFFF00"/>
            <w:noWrap/>
            <w:vAlign w:val="center"/>
            <w:hideMark/>
          </w:tcPr>
          <w:p w14:paraId="5EFD20B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FDD92A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5000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1D49C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8A45D9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4A64A5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7E83B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90898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F7FB4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D6F650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58290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E1429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8C4A8E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91283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BFE4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AAF06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D5923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56DF9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CC394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BE7D6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DE187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5D2F4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EA6F9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C69B7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46E7E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3AF0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28E35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A785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C9F42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61AD1761" w14:textId="77777777" w:rsidTr="00B57811">
        <w:trPr>
          <w:trHeight w:val="270"/>
          <w:jc w:val="center"/>
        </w:trPr>
        <w:tc>
          <w:tcPr>
            <w:tcW w:w="1138" w:type="pct"/>
            <w:shd w:val="clear" w:color="auto" w:fill="auto"/>
            <w:vAlign w:val="center"/>
            <w:hideMark/>
          </w:tcPr>
          <w:p w14:paraId="128C4A4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Vlerësimi dhe analizimi i çështjeve të zbatimit të PMBU-ve</w:t>
            </w:r>
          </w:p>
        </w:tc>
        <w:tc>
          <w:tcPr>
            <w:tcW w:w="173" w:type="pct"/>
            <w:gridSpan w:val="2"/>
            <w:shd w:val="clear" w:color="000000" w:fill="FFFF00"/>
            <w:noWrap/>
            <w:vAlign w:val="center"/>
            <w:hideMark/>
          </w:tcPr>
          <w:p w14:paraId="2B0AA1B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EAE97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0B10A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89FC9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BAC93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9FF9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32074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4EC9D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A352F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B3B22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01C6D19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3629F7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8D42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B4C3CC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C4AC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1DA79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B264E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D5DC1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6946F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D3EE5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6C129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121C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DD094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BA0FB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FA6D7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345998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20F9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0D11A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C6B0BB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8ED9012" w14:textId="77777777" w:rsidTr="00B57811">
        <w:trPr>
          <w:trHeight w:val="300"/>
          <w:jc w:val="center"/>
        </w:trPr>
        <w:tc>
          <w:tcPr>
            <w:tcW w:w="1138" w:type="pct"/>
            <w:shd w:val="clear" w:color="auto" w:fill="auto"/>
            <w:vAlign w:val="center"/>
            <w:hideMark/>
          </w:tcPr>
          <w:p w14:paraId="4866BF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Redaktimi dhe finalizimi i draftit të PMBU në gjuhën angleze</w:t>
            </w:r>
          </w:p>
        </w:tc>
        <w:tc>
          <w:tcPr>
            <w:tcW w:w="173" w:type="pct"/>
            <w:gridSpan w:val="2"/>
            <w:shd w:val="clear" w:color="000000" w:fill="FFFF00"/>
            <w:noWrap/>
            <w:vAlign w:val="center"/>
            <w:hideMark/>
          </w:tcPr>
          <w:p w14:paraId="28DBD3D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5A7BF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E5216D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43B9E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73EE35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A4BBC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C4911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3FF0A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3FE718"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9141F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F9D383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D825D6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D457CD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D3818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1CD2B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CC729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543EC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FA30A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29BC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39222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E0071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7BC3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F5078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2EC42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27B42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38226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8C8D2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0FF2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E26FF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808FA47" w14:textId="77777777" w:rsidTr="00B57811">
        <w:trPr>
          <w:trHeight w:val="300"/>
          <w:jc w:val="center"/>
        </w:trPr>
        <w:tc>
          <w:tcPr>
            <w:tcW w:w="1138" w:type="pct"/>
            <w:shd w:val="clear" w:color="auto" w:fill="auto"/>
            <w:vAlign w:val="center"/>
            <w:hideMark/>
          </w:tcPr>
          <w:p w14:paraId="2CBCF7B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Përkthimi i Draftit të PMBU në gjuhën shqipe</w:t>
            </w:r>
          </w:p>
        </w:tc>
        <w:tc>
          <w:tcPr>
            <w:tcW w:w="173" w:type="pct"/>
            <w:gridSpan w:val="2"/>
            <w:shd w:val="clear" w:color="000000" w:fill="FFFF00"/>
            <w:noWrap/>
            <w:vAlign w:val="center"/>
            <w:hideMark/>
          </w:tcPr>
          <w:p w14:paraId="687877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952C2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5CAAB8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2252A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C97B8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94BFF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960D8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90B1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E35478"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2C69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C5AE2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B7A12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AE46D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AE0484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194178A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FBF571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A7E04A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F860E2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DAD0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7ADE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A3C89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534F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6124B8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6E7E7A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B011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9CF93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B110A3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7C1E76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D6305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BBCE282" w14:textId="77777777" w:rsidTr="00B57811">
        <w:trPr>
          <w:trHeight w:val="300"/>
          <w:jc w:val="center"/>
        </w:trPr>
        <w:tc>
          <w:tcPr>
            <w:tcW w:w="1138" w:type="pct"/>
            <w:shd w:val="clear" w:color="auto" w:fill="auto"/>
            <w:vAlign w:val="center"/>
            <w:hideMark/>
          </w:tcPr>
          <w:p w14:paraId="6B76680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Zhvillimi i planit të shpërndarjes</w:t>
            </w:r>
          </w:p>
        </w:tc>
        <w:tc>
          <w:tcPr>
            <w:tcW w:w="173" w:type="pct"/>
            <w:gridSpan w:val="2"/>
            <w:shd w:val="clear" w:color="000000" w:fill="FFFF00"/>
            <w:noWrap/>
            <w:vAlign w:val="center"/>
            <w:hideMark/>
          </w:tcPr>
          <w:p w14:paraId="3882E15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0C85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677B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07C23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B3D9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EAB21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2DE8A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422B8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78D8981"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E0E61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E6E99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E9C811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11993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2F93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F3A31A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69078B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F73C72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AC896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20D5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99D48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F7BD89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323CD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546E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120FEE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DF668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A6DA3A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B2D4B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B4D45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44069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C7A6B42" w14:textId="77777777" w:rsidTr="00B57811">
        <w:trPr>
          <w:trHeight w:val="300"/>
          <w:jc w:val="center"/>
        </w:trPr>
        <w:tc>
          <w:tcPr>
            <w:tcW w:w="1138" w:type="pct"/>
            <w:shd w:val="clear" w:color="auto" w:fill="auto"/>
            <w:vAlign w:val="center"/>
            <w:hideMark/>
          </w:tcPr>
          <w:p w14:paraId="784A7C6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Zhvillimi i Raportit të Përmbledhur të Procesit</w:t>
            </w:r>
          </w:p>
        </w:tc>
        <w:tc>
          <w:tcPr>
            <w:tcW w:w="173" w:type="pct"/>
            <w:gridSpan w:val="2"/>
            <w:shd w:val="clear" w:color="000000" w:fill="FFFF00"/>
            <w:noWrap/>
            <w:vAlign w:val="center"/>
            <w:hideMark/>
          </w:tcPr>
          <w:p w14:paraId="5C9359D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E9EEC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87973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3E924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7DC92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9B2C4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FE2F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5E0E5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D58ABF7"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CA21C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E7FF58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FA91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A935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7346A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69528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8FB5D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3F1CB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0A3D9A1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784DE0C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B57D3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390E2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5C5A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0BCA6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160240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525E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F021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130A5E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5937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3A002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050BB1BE" w14:textId="77777777" w:rsidTr="00B57811">
        <w:trPr>
          <w:trHeight w:val="300"/>
          <w:jc w:val="center"/>
        </w:trPr>
        <w:tc>
          <w:tcPr>
            <w:tcW w:w="1138" w:type="pct"/>
            <w:shd w:val="clear" w:color="000000" w:fill="7030A0"/>
            <w:vAlign w:val="center"/>
            <w:hideMark/>
          </w:tcPr>
          <w:p w14:paraId="5F719D1D" w14:textId="1FC4626E"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Marrja e</w:t>
            </w:r>
            <w:r w:rsidR="00E73677" w:rsidRPr="00445472">
              <w:rPr>
                <w:rFonts w:ascii="Garamond" w:hAnsi="Garamond"/>
                <w:sz w:val="14"/>
                <w:szCs w:val="14"/>
              </w:rPr>
              <w:t xml:space="preserve"> </w:t>
            </w:r>
            <w:r w:rsidRPr="00445472">
              <w:rPr>
                <w:rFonts w:ascii="Garamond" w:hAnsi="Garamond"/>
                <w:sz w:val="14"/>
                <w:szCs w:val="14"/>
              </w:rPr>
              <w:t>të gjitha komenteve mbi draftin e PMBU-ve</w:t>
            </w:r>
          </w:p>
        </w:tc>
        <w:tc>
          <w:tcPr>
            <w:tcW w:w="173" w:type="pct"/>
            <w:gridSpan w:val="2"/>
            <w:shd w:val="clear" w:color="000000" w:fill="FFFF00"/>
            <w:noWrap/>
            <w:vAlign w:val="center"/>
            <w:hideMark/>
          </w:tcPr>
          <w:p w14:paraId="24A54F1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D7A18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5CD47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50C9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15AAA1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E3D29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6AFD0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7B06B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BD3AED"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8A628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F293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FE95E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C8D72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F26A5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E5E1B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113B7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22319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D5825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F7041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7030A0"/>
            <w:noWrap/>
            <w:vAlign w:val="center"/>
            <w:hideMark/>
          </w:tcPr>
          <w:p w14:paraId="4B6422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7A00D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7F2EF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38B08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D961A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83C3A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F650F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8CBF1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A8C9BE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456A4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40A24169" w14:textId="77777777" w:rsidTr="00B57811">
        <w:trPr>
          <w:trHeight w:val="300"/>
          <w:jc w:val="center"/>
        </w:trPr>
        <w:tc>
          <w:tcPr>
            <w:tcW w:w="1138" w:type="pct"/>
            <w:shd w:val="clear" w:color="auto" w:fill="auto"/>
            <w:vAlign w:val="center"/>
            <w:hideMark/>
          </w:tcPr>
          <w:p w14:paraId="2CAE681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Adresimi i komenteve dhe zhvillimi i PMBU-ve përfundimtare në gjuhën angleze</w:t>
            </w:r>
          </w:p>
        </w:tc>
        <w:tc>
          <w:tcPr>
            <w:tcW w:w="173" w:type="pct"/>
            <w:gridSpan w:val="2"/>
            <w:shd w:val="clear" w:color="000000" w:fill="FFFF00"/>
            <w:noWrap/>
            <w:vAlign w:val="center"/>
            <w:hideMark/>
          </w:tcPr>
          <w:p w14:paraId="39DD132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1357BB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BD8EC0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BE4D29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6FCE3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46C1E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89EEC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798ECD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C259E1"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AFEF6E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53315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97E73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8CF27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3E3A1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463D3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A688A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D507D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9AC4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717D6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5E3B7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0BF131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3F0211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D54A2C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42F630B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B8D18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4BD09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18EC81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9FD96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64086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60E424A9" w14:textId="77777777" w:rsidTr="00B57811">
        <w:trPr>
          <w:trHeight w:val="300"/>
          <w:jc w:val="center"/>
        </w:trPr>
        <w:tc>
          <w:tcPr>
            <w:tcW w:w="1138" w:type="pct"/>
            <w:shd w:val="clear" w:color="auto" w:fill="auto"/>
            <w:vAlign w:val="center"/>
            <w:hideMark/>
          </w:tcPr>
          <w:p w14:paraId="2BB4409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Përkthimi I PMBU-ve përfundimtare në gjuhën shqipe</w:t>
            </w:r>
          </w:p>
        </w:tc>
        <w:tc>
          <w:tcPr>
            <w:tcW w:w="173" w:type="pct"/>
            <w:gridSpan w:val="2"/>
            <w:shd w:val="clear" w:color="000000" w:fill="FFFF00"/>
            <w:noWrap/>
            <w:vAlign w:val="center"/>
            <w:hideMark/>
          </w:tcPr>
          <w:p w14:paraId="3D1FE7A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07E8D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7C1F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CE6F9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49BC94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855EF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9927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87D4C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9E934AE"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96DD9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0BEBBC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375CD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6F0CAB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E9DB4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30F8F4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F8C63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D874E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09D51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40303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868C0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4B7BDA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F3999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57A61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88CC7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BD639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46600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820FE8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D0A45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33E1CC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8321966" w14:textId="77777777" w:rsidTr="00B57811">
        <w:trPr>
          <w:trHeight w:val="300"/>
          <w:jc w:val="center"/>
        </w:trPr>
        <w:tc>
          <w:tcPr>
            <w:tcW w:w="1138" w:type="pct"/>
            <w:shd w:val="clear" w:color="auto" w:fill="auto"/>
            <w:vAlign w:val="center"/>
            <w:hideMark/>
          </w:tcPr>
          <w:p w14:paraId="2B5F641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Finalizimi i raportit të përmbledhur të procesit</w:t>
            </w:r>
          </w:p>
        </w:tc>
        <w:tc>
          <w:tcPr>
            <w:tcW w:w="173" w:type="pct"/>
            <w:gridSpan w:val="2"/>
            <w:shd w:val="clear" w:color="000000" w:fill="FFFF00"/>
            <w:noWrap/>
            <w:vAlign w:val="center"/>
            <w:hideMark/>
          </w:tcPr>
          <w:p w14:paraId="058F105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72682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12100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FEE7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FAF10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1FE2E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5B249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696D32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2F380A"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85AC4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2FE98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1FAF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999CF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727D50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24157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58E26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F277A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E4897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7AB7F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EFF3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4BB9F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12967A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7A83B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1B6AE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E109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473D3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5104389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D9D9D9"/>
            <w:noWrap/>
            <w:vAlign w:val="center"/>
            <w:hideMark/>
          </w:tcPr>
          <w:p w14:paraId="29FB583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72FBC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62E5AFD8" w14:textId="77777777" w:rsidTr="00B57811">
        <w:trPr>
          <w:trHeight w:val="300"/>
          <w:jc w:val="center"/>
        </w:trPr>
        <w:tc>
          <w:tcPr>
            <w:tcW w:w="1138" w:type="pct"/>
            <w:shd w:val="clear" w:color="000000" w:fill="FFFF00"/>
            <w:vAlign w:val="center"/>
            <w:hideMark/>
          </w:tcPr>
          <w:p w14:paraId="55052D8D" w14:textId="77777777" w:rsidR="00B57811" w:rsidRPr="00445472" w:rsidRDefault="00B57811" w:rsidP="002A1F08">
            <w:pPr>
              <w:spacing w:after="0" w:line="240" w:lineRule="auto"/>
              <w:ind w:left="-15" w:firstLine="15"/>
              <w:rPr>
                <w:rFonts w:ascii="Garamond" w:hAnsi="Garamond"/>
                <w:b/>
                <w:bCs/>
                <w:sz w:val="14"/>
                <w:szCs w:val="14"/>
              </w:rPr>
            </w:pPr>
            <w:r w:rsidRPr="00445472">
              <w:rPr>
                <w:rFonts w:ascii="Garamond" w:hAnsi="Garamond"/>
                <w:b/>
                <w:bCs/>
                <w:sz w:val="14"/>
                <w:szCs w:val="14"/>
              </w:rPr>
              <w:t>Konsultime</w:t>
            </w:r>
          </w:p>
        </w:tc>
        <w:tc>
          <w:tcPr>
            <w:tcW w:w="173" w:type="pct"/>
            <w:gridSpan w:val="2"/>
            <w:shd w:val="clear" w:color="000000" w:fill="FFFF00"/>
            <w:noWrap/>
            <w:vAlign w:val="center"/>
            <w:hideMark/>
          </w:tcPr>
          <w:p w14:paraId="42B16FB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C176BC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98DFF1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77FFAB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3C2CEE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388F84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8AA36C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505435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5F55DE3" w14:textId="77777777" w:rsidR="00B57811" w:rsidRPr="00445472" w:rsidRDefault="00B57811" w:rsidP="002A1F08">
            <w:pPr>
              <w:spacing w:after="0" w:line="240" w:lineRule="auto"/>
              <w:jc w:val="right"/>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11F9BE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4AD40A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5969FE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E80910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5493B13"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56C06D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C4F561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AA7D24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33BDBA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A67071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D87BA4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B01DCC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17EC35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718915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48B601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1F2046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C9FF08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EDA863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05ACCE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673C8A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r>
      <w:tr w:rsidR="00B57811" w:rsidRPr="00445472" w14:paraId="20304228" w14:textId="77777777" w:rsidTr="00B57811">
        <w:trPr>
          <w:trHeight w:val="300"/>
          <w:jc w:val="center"/>
        </w:trPr>
        <w:tc>
          <w:tcPr>
            <w:tcW w:w="1138" w:type="pct"/>
            <w:shd w:val="clear" w:color="auto" w:fill="auto"/>
            <w:vAlign w:val="center"/>
            <w:hideMark/>
          </w:tcPr>
          <w:p w14:paraId="2097D10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Mbledhje e Grupit të Punës - konsultim mbi PMBU-të e përkohshme</w:t>
            </w:r>
          </w:p>
        </w:tc>
        <w:tc>
          <w:tcPr>
            <w:tcW w:w="173" w:type="pct"/>
            <w:gridSpan w:val="2"/>
            <w:shd w:val="clear" w:color="000000" w:fill="FFFF00"/>
            <w:noWrap/>
            <w:vAlign w:val="center"/>
            <w:hideMark/>
          </w:tcPr>
          <w:p w14:paraId="7B39DD8A"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75F4F09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0BEBBA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030E32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2E8857C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F9CD8C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F35B99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B1E9C0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0543984" w14:textId="77777777" w:rsidR="00B57811" w:rsidRPr="00445472" w:rsidRDefault="00B57811" w:rsidP="002A1F08">
            <w:pPr>
              <w:spacing w:after="0" w:line="240" w:lineRule="auto"/>
              <w:jc w:val="right"/>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6A2F64A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735437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116B170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45F7B1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6E017AB1"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9CCBCA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E6D4EB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271C7B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2071C9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15E051F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9B4BE9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601064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05B37B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67685A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BF3689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401010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590AFD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AB6F6E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282B5C1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22793D4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r>
      <w:tr w:rsidR="00B57811" w:rsidRPr="00445472" w14:paraId="2756BAA9" w14:textId="77777777" w:rsidTr="00B57811">
        <w:trPr>
          <w:trHeight w:val="300"/>
          <w:jc w:val="center"/>
        </w:trPr>
        <w:tc>
          <w:tcPr>
            <w:tcW w:w="1138" w:type="pct"/>
            <w:shd w:val="clear" w:color="auto" w:fill="auto"/>
            <w:vAlign w:val="center"/>
            <w:hideMark/>
          </w:tcPr>
          <w:p w14:paraId="7666B3F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Mbledhje e Grupit të Punës - komente mbi PMBU-të e përkohshme</w:t>
            </w:r>
          </w:p>
        </w:tc>
        <w:tc>
          <w:tcPr>
            <w:tcW w:w="173" w:type="pct"/>
            <w:gridSpan w:val="2"/>
            <w:shd w:val="clear" w:color="000000" w:fill="FFFF00"/>
            <w:noWrap/>
            <w:vAlign w:val="center"/>
            <w:hideMark/>
          </w:tcPr>
          <w:p w14:paraId="5D124CB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14ECD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CF5D2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34B77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466E5EF0"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133D04D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EE81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E7C84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FA2C0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78984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77E14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09F45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EFE3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0432A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17129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303AD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4E0ED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F9B312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B8AA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75100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F517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92F7A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1342C1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8D624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00F0E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277C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DF3FF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A6CDC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31820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595827B" w14:textId="77777777" w:rsidTr="00B57811">
        <w:trPr>
          <w:trHeight w:val="300"/>
          <w:jc w:val="center"/>
        </w:trPr>
        <w:tc>
          <w:tcPr>
            <w:tcW w:w="1138" w:type="pct"/>
            <w:shd w:val="clear" w:color="auto" w:fill="auto"/>
            <w:vAlign w:val="center"/>
            <w:hideMark/>
          </w:tcPr>
          <w:p w14:paraId="4543B6FE" w14:textId="7BBAD38B" w:rsidR="00B57811" w:rsidRPr="00445472" w:rsidRDefault="00B57811" w:rsidP="00034FBB">
            <w:pPr>
              <w:spacing w:after="0" w:line="240" w:lineRule="auto"/>
              <w:rPr>
                <w:rFonts w:ascii="Garamond" w:hAnsi="Garamond"/>
                <w:sz w:val="14"/>
                <w:szCs w:val="14"/>
              </w:rPr>
            </w:pPr>
            <w:r w:rsidRPr="00445472">
              <w:rPr>
                <w:rFonts w:ascii="Garamond" w:hAnsi="Garamond"/>
                <w:sz w:val="14"/>
                <w:szCs w:val="14"/>
              </w:rPr>
              <w:t>Mbledhje t</w:t>
            </w:r>
            <w:r w:rsidR="00034FBB">
              <w:rPr>
                <w:rFonts w:ascii="Garamond" w:hAnsi="Garamond"/>
                <w:sz w:val="14"/>
                <w:szCs w:val="14"/>
              </w:rPr>
              <w:t>ë</w:t>
            </w:r>
            <w:r w:rsidRPr="00445472">
              <w:rPr>
                <w:rFonts w:ascii="Garamond" w:hAnsi="Garamond"/>
                <w:sz w:val="14"/>
                <w:szCs w:val="14"/>
              </w:rPr>
              <w:t xml:space="preserve"> Sekretariatit Teknik çdo dy javë</w:t>
            </w:r>
          </w:p>
        </w:tc>
        <w:tc>
          <w:tcPr>
            <w:tcW w:w="173" w:type="pct"/>
            <w:gridSpan w:val="2"/>
            <w:shd w:val="clear" w:color="000000" w:fill="FFFF00"/>
            <w:noWrap/>
            <w:vAlign w:val="center"/>
            <w:hideMark/>
          </w:tcPr>
          <w:p w14:paraId="51D000B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33B77F03"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21906178"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3AF80818"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585B4FD8"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4212E41D"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69C613C9"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6EF1EB65"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51E078AD"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2B826FC6"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4606BA1F"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1F242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4BA0345"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F1C3C85"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4A749C"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68686AA6"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08D0445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38D97B04"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0A512D0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73876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C23FF1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FF4C1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15C8C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C407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71118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5BB0A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98D20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BF163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5C304A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731B4339" w14:textId="77777777" w:rsidTr="00B57811">
        <w:trPr>
          <w:trHeight w:val="300"/>
          <w:jc w:val="center"/>
        </w:trPr>
        <w:tc>
          <w:tcPr>
            <w:tcW w:w="1138" w:type="pct"/>
            <w:shd w:val="clear" w:color="auto" w:fill="auto"/>
            <w:vAlign w:val="center"/>
            <w:hideMark/>
          </w:tcPr>
          <w:p w14:paraId="63BB9B6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Mbledhjet e KBU - mbledhja e pikëpamjeve mbi masat</w:t>
            </w:r>
          </w:p>
        </w:tc>
        <w:tc>
          <w:tcPr>
            <w:tcW w:w="173" w:type="pct"/>
            <w:gridSpan w:val="2"/>
            <w:shd w:val="clear" w:color="000000" w:fill="FFFF00"/>
            <w:noWrap/>
            <w:vAlign w:val="center"/>
            <w:hideMark/>
          </w:tcPr>
          <w:p w14:paraId="2F45756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6B649C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A397B8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45169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780F80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B6DA9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ED7E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28EF9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7BCE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19B53B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1EE721F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240DF69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6B8CE4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CD423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7237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C576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4E39D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10EEA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46AC6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4FDF7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3C334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D8889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FDC8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7EEAEF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ABA58E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F23B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EF56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E4445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1F62B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28FA0A60" w14:textId="77777777" w:rsidTr="00B57811">
        <w:trPr>
          <w:trHeight w:val="300"/>
          <w:jc w:val="center"/>
        </w:trPr>
        <w:tc>
          <w:tcPr>
            <w:tcW w:w="1138" w:type="pct"/>
            <w:shd w:val="clear" w:color="auto" w:fill="auto"/>
            <w:vAlign w:val="center"/>
            <w:hideMark/>
          </w:tcPr>
          <w:p w14:paraId="77EED0D3" w14:textId="77DA7C21"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xml:space="preserve">Mbledhje </w:t>
            </w:r>
            <w:r w:rsidR="00504992" w:rsidRPr="00445472">
              <w:rPr>
                <w:rFonts w:ascii="Garamond" w:hAnsi="Garamond"/>
                <w:sz w:val="14"/>
                <w:szCs w:val="14"/>
              </w:rPr>
              <w:t xml:space="preserve">e grupit të punës </w:t>
            </w:r>
            <w:r w:rsidRPr="00445472">
              <w:rPr>
                <w:rFonts w:ascii="Garamond" w:hAnsi="Garamond"/>
                <w:sz w:val="14"/>
                <w:szCs w:val="14"/>
              </w:rPr>
              <w:t>– objektivat</w:t>
            </w:r>
          </w:p>
        </w:tc>
        <w:tc>
          <w:tcPr>
            <w:tcW w:w="173" w:type="pct"/>
            <w:gridSpan w:val="2"/>
            <w:shd w:val="clear" w:color="000000" w:fill="FFFF00"/>
            <w:noWrap/>
            <w:vAlign w:val="center"/>
            <w:hideMark/>
          </w:tcPr>
          <w:p w14:paraId="1FCE16E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05082B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B288A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B3266E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A1C6B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503E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58B07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98835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12F34925"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1A49CE2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77AE5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678A6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D3592F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54101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FAB7B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67EF5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564F4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F2CFD4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FCC75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B77F97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4AA588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612BDC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806945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75B7C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1835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5D85B8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83CDD0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1F85E4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046035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EDE9F31" w14:textId="77777777" w:rsidTr="00B57811">
        <w:trPr>
          <w:trHeight w:val="300"/>
          <w:jc w:val="center"/>
        </w:trPr>
        <w:tc>
          <w:tcPr>
            <w:tcW w:w="1138" w:type="pct"/>
            <w:shd w:val="clear" w:color="auto" w:fill="auto"/>
            <w:vAlign w:val="center"/>
            <w:hideMark/>
          </w:tcPr>
          <w:p w14:paraId="1B6CD773" w14:textId="4E92356D"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xml:space="preserve">Mbledhje e </w:t>
            </w:r>
            <w:r w:rsidR="00504992" w:rsidRPr="00445472">
              <w:rPr>
                <w:rFonts w:ascii="Garamond" w:hAnsi="Garamond"/>
                <w:sz w:val="14"/>
                <w:szCs w:val="14"/>
              </w:rPr>
              <w:t xml:space="preserve">grupit të punës </w:t>
            </w:r>
            <w:r w:rsidRPr="00445472">
              <w:rPr>
                <w:rFonts w:ascii="Garamond" w:hAnsi="Garamond"/>
                <w:sz w:val="14"/>
                <w:szCs w:val="14"/>
              </w:rPr>
              <w:t>– masat</w:t>
            </w:r>
          </w:p>
        </w:tc>
        <w:tc>
          <w:tcPr>
            <w:tcW w:w="173" w:type="pct"/>
            <w:gridSpan w:val="2"/>
            <w:shd w:val="clear" w:color="000000" w:fill="FFFF00"/>
            <w:noWrap/>
            <w:vAlign w:val="center"/>
            <w:hideMark/>
          </w:tcPr>
          <w:p w14:paraId="399210B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97662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3729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40284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572E8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9FA92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C2865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4D92B1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A58421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EB5F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2EA9ECF5"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47F4432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C1FCD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D0CFE9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8F11A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A577F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BF73E2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1843B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8E9E24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9B674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D52D2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3264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36E3A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C77B7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D783B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E5717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3E44C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E19E2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7DDE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62C74164" w14:textId="77777777" w:rsidTr="00B57811">
        <w:trPr>
          <w:trHeight w:val="300"/>
          <w:jc w:val="center"/>
        </w:trPr>
        <w:tc>
          <w:tcPr>
            <w:tcW w:w="1138" w:type="pct"/>
            <w:shd w:val="clear" w:color="auto" w:fill="auto"/>
            <w:vAlign w:val="center"/>
            <w:hideMark/>
          </w:tcPr>
          <w:p w14:paraId="5D8DD3E5" w14:textId="61661609"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xml:space="preserve">Mbledhje e </w:t>
            </w:r>
            <w:r w:rsidR="00504992" w:rsidRPr="00445472">
              <w:rPr>
                <w:rFonts w:ascii="Garamond" w:hAnsi="Garamond"/>
                <w:sz w:val="14"/>
                <w:szCs w:val="14"/>
              </w:rPr>
              <w:t xml:space="preserve">grupit të punës- komente </w:t>
            </w:r>
            <w:r w:rsidRPr="00445472">
              <w:rPr>
                <w:rFonts w:ascii="Garamond" w:hAnsi="Garamond"/>
                <w:sz w:val="14"/>
                <w:szCs w:val="14"/>
              </w:rPr>
              <w:t>mbi draft PMBU-të</w:t>
            </w:r>
          </w:p>
        </w:tc>
        <w:tc>
          <w:tcPr>
            <w:tcW w:w="173" w:type="pct"/>
            <w:gridSpan w:val="2"/>
            <w:shd w:val="clear" w:color="000000" w:fill="FFFF00"/>
            <w:noWrap/>
            <w:vAlign w:val="center"/>
            <w:hideMark/>
          </w:tcPr>
          <w:p w14:paraId="2506E1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0FF3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FA3A3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97605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57AAB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3D28C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951AB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2BB9E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1881CF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CD5E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AC0B69"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53E7B2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06A5D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14DE7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A6EE9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1B163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2FA77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37C9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386FE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A9D08E"/>
            <w:noWrap/>
            <w:vAlign w:val="center"/>
            <w:hideMark/>
          </w:tcPr>
          <w:p w14:paraId="59291DE5"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196CD0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E87B7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94FD9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D20CE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45115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B63AC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F8A7E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4EF03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621B8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E155E80" w14:textId="77777777" w:rsidTr="00B57811">
        <w:trPr>
          <w:trHeight w:val="300"/>
          <w:jc w:val="center"/>
        </w:trPr>
        <w:tc>
          <w:tcPr>
            <w:tcW w:w="1138" w:type="pct"/>
            <w:shd w:val="clear" w:color="000000" w:fill="FFFF00"/>
            <w:vAlign w:val="center"/>
            <w:hideMark/>
          </w:tcPr>
          <w:p w14:paraId="1124856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Seminare/Trajnime</w:t>
            </w:r>
          </w:p>
        </w:tc>
        <w:tc>
          <w:tcPr>
            <w:tcW w:w="173" w:type="pct"/>
            <w:gridSpan w:val="2"/>
            <w:shd w:val="clear" w:color="000000" w:fill="FFFF00"/>
            <w:noWrap/>
            <w:vAlign w:val="center"/>
            <w:hideMark/>
          </w:tcPr>
          <w:p w14:paraId="411D8AD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5653C1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7BE34B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6F9107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BF9AA1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3FE9CF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9D9093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6449B5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108303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22DD4F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34FE9A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BC3E1B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4B81EB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67E896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F6AF09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49DA4F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ECE106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257877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2F4065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6A32C7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CED9F4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30557A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F00F6F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31026D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DAF0BA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F5DED3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161322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8CD518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7BDF96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r>
      <w:tr w:rsidR="00B57811" w:rsidRPr="00445472" w14:paraId="7BAB9B36" w14:textId="77777777" w:rsidTr="00B57811">
        <w:trPr>
          <w:trHeight w:val="315"/>
          <w:jc w:val="center"/>
        </w:trPr>
        <w:tc>
          <w:tcPr>
            <w:tcW w:w="1138" w:type="pct"/>
            <w:shd w:val="clear" w:color="auto" w:fill="auto"/>
            <w:vAlign w:val="center"/>
            <w:hideMark/>
          </w:tcPr>
          <w:p w14:paraId="34D720EE" w14:textId="4E834253"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Seminar: Ekonomia e përdorimit të ujit: Drini</w:t>
            </w:r>
            <w:r w:rsidR="001D340B" w:rsidRPr="00445472">
              <w:rPr>
                <w:rFonts w:ascii="Garamond" w:hAnsi="Garamond"/>
                <w:sz w:val="14"/>
                <w:szCs w:val="14"/>
              </w:rPr>
              <w:t>/</w:t>
            </w:r>
            <w:r w:rsidRPr="00445472">
              <w:rPr>
                <w:rFonts w:ascii="Garamond" w:hAnsi="Garamond"/>
                <w:sz w:val="14"/>
                <w:szCs w:val="14"/>
              </w:rPr>
              <w:t>Shkodër</w:t>
            </w:r>
          </w:p>
        </w:tc>
        <w:tc>
          <w:tcPr>
            <w:tcW w:w="173" w:type="pct"/>
            <w:gridSpan w:val="2"/>
            <w:shd w:val="clear" w:color="000000" w:fill="FFFF00"/>
            <w:noWrap/>
            <w:vAlign w:val="center"/>
            <w:hideMark/>
          </w:tcPr>
          <w:p w14:paraId="3C17086D"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xml:space="preserve">* </w:t>
            </w:r>
          </w:p>
        </w:tc>
        <w:tc>
          <w:tcPr>
            <w:tcW w:w="132" w:type="pct"/>
            <w:shd w:val="clear" w:color="auto" w:fill="auto"/>
            <w:noWrap/>
            <w:vAlign w:val="center"/>
            <w:hideMark/>
          </w:tcPr>
          <w:p w14:paraId="5AAB1FC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1EE070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38F8DA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53AF74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22DE31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56DEA4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4C2A35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A00BB0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19151DB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A21EB9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6256FDB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E4FCF0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16C674A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675B8C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D3DA3A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40BBE17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2C6254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691808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16FC32B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6432F42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11CE8BE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3BD8D59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887953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54744D2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CBF9EE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2E404C2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73B54EA6"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auto" w:fill="auto"/>
            <w:noWrap/>
            <w:vAlign w:val="center"/>
            <w:hideMark/>
          </w:tcPr>
          <w:p w14:paraId="0D972D25"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r>
      <w:tr w:rsidR="00B57811" w:rsidRPr="00445472" w14:paraId="5EACDC74" w14:textId="77777777" w:rsidTr="00B57811">
        <w:trPr>
          <w:trHeight w:val="315"/>
          <w:jc w:val="center"/>
        </w:trPr>
        <w:tc>
          <w:tcPr>
            <w:tcW w:w="1138" w:type="pct"/>
            <w:shd w:val="clear" w:color="auto" w:fill="auto"/>
            <w:vAlign w:val="center"/>
            <w:hideMark/>
          </w:tcPr>
          <w:p w14:paraId="016E5E5B" w14:textId="7BE1C80C"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Seminar: Hyrje në modelimin e BU</w:t>
            </w:r>
            <w:r w:rsidR="00E73677" w:rsidRPr="00445472">
              <w:rPr>
                <w:rFonts w:ascii="Garamond" w:hAnsi="Garamond"/>
                <w:sz w:val="14"/>
                <w:szCs w:val="14"/>
              </w:rPr>
              <w:t>-së</w:t>
            </w:r>
            <w:r w:rsidRPr="00445472">
              <w:rPr>
                <w:rFonts w:ascii="Garamond" w:hAnsi="Garamond"/>
                <w:sz w:val="14"/>
                <w:szCs w:val="14"/>
              </w:rPr>
              <w:t xml:space="preserve"> (</w:t>
            </w:r>
            <w:r w:rsidR="00E73677" w:rsidRPr="00445472">
              <w:rPr>
                <w:rFonts w:ascii="Garamond" w:hAnsi="Garamond"/>
                <w:sz w:val="14"/>
                <w:szCs w:val="14"/>
              </w:rPr>
              <w:t>kombëtar, Tirane</w:t>
            </w:r>
            <w:r w:rsidRPr="00445472">
              <w:rPr>
                <w:rFonts w:ascii="Garamond" w:hAnsi="Garamond"/>
                <w:sz w:val="14"/>
                <w:szCs w:val="14"/>
              </w:rPr>
              <w:t>)</w:t>
            </w:r>
          </w:p>
        </w:tc>
        <w:tc>
          <w:tcPr>
            <w:tcW w:w="173" w:type="pct"/>
            <w:gridSpan w:val="2"/>
            <w:shd w:val="clear" w:color="000000" w:fill="FFFF00"/>
            <w:noWrap/>
            <w:vAlign w:val="center"/>
            <w:hideMark/>
          </w:tcPr>
          <w:p w14:paraId="022686BB"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xml:space="preserve">* </w:t>
            </w:r>
          </w:p>
        </w:tc>
        <w:tc>
          <w:tcPr>
            <w:tcW w:w="132" w:type="pct"/>
            <w:shd w:val="clear" w:color="auto" w:fill="auto"/>
            <w:noWrap/>
            <w:vAlign w:val="center"/>
            <w:hideMark/>
          </w:tcPr>
          <w:p w14:paraId="1B0B53D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9CC61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56772F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B389A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EB481C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DE31B9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A62C2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F9765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3EBA9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88B61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BDEFE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A9A4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27CA9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9313A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66255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9B2760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67EAE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AC58E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DB18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1352E9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049283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991CF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F874F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ACD82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0ED9D6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BC193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21021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5915F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2559C57" w14:textId="77777777" w:rsidTr="00B57811">
        <w:trPr>
          <w:trHeight w:val="315"/>
          <w:jc w:val="center"/>
        </w:trPr>
        <w:tc>
          <w:tcPr>
            <w:tcW w:w="1138" w:type="pct"/>
            <w:shd w:val="clear" w:color="auto" w:fill="auto"/>
            <w:vAlign w:val="center"/>
            <w:hideMark/>
          </w:tcPr>
          <w:p w14:paraId="289236AB" w14:textId="469D4B2E"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Seminar:</w:t>
            </w:r>
            <w:r w:rsidR="00E73677" w:rsidRPr="00445472">
              <w:rPr>
                <w:rFonts w:ascii="Garamond" w:hAnsi="Garamond"/>
                <w:sz w:val="14"/>
                <w:szCs w:val="14"/>
              </w:rPr>
              <w:t xml:space="preserve"> </w:t>
            </w:r>
            <w:r w:rsidRPr="00445472">
              <w:rPr>
                <w:rFonts w:ascii="Garamond" w:hAnsi="Garamond"/>
                <w:sz w:val="14"/>
                <w:szCs w:val="14"/>
              </w:rPr>
              <w:t>Modelimi i BU Drini</w:t>
            </w:r>
            <w:r w:rsidR="001D340B" w:rsidRPr="00445472">
              <w:rPr>
                <w:rFonts w:ascii="Garamond" w:hAnsi="Garamond"/>
                <w:sz w:val="14"/>
                <w:szCs w:val="14"/>
              </w:rPr>
              <w:t>/</w:t>
            </w:r>
            <w:r w:rsidRPr="00445472">
              <w:rPr>
                <w:rFonts w:ascii="Garamond" w:hAnsi="Garamond"/>
                <w:sz w:val="14"/>
                <w:szCs w:val="14"/>
              </w:rPr>
              <w:t>Shkodër</w:t>
            </w:r>
          </w:p>
        </w:tc>
        <w:tc>
          <w:tcPr>
            <w:tcW w:w="173" w:type="pct"/>
            <w:gridSpan w:val="2"/>
            <w:shd w:val="clear" w:color="000000" w:fill="FFFF00"/>
            <w:noWrap/>
            <w:vAlign w:val="center"/>
            <w:hideMark/>
          </w:tcPr>
          <w:p w14:paraId="0C48008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48528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92833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5C1D3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EC860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7DEFE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C44EE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14A1A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08A6F7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E3F6D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FFD966"/>
            <w:noWrap/>
            <w:vAlign w:val="center"/>
            <w:hideMark/>
          </w:tcPr>
          <w:p w14:paraId="698237B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439FCFC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4F3DC6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A5AB7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54DEF0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D714B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41928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9F492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C5CCE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52D08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1682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95FF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86E969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594E6B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64DB7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44594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D217B4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82B95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0C3B8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7352A4DF" w14:textId="77777777" w:rsidTr="00B57811">
        <w:trPr>
          <w:trHeight w:val="315"/>
          <w:jc w:val="center"/>
        </w:trPr>
        <w:tc>
          <w:tcPr>
            <w:tcW w:w="1138" w:type="pct"/>
            <w:shd w:val="clear" w:color="auto" w:fill="auto"/>
            <w:vAlign w:val="center"/>
            <w:hideMark/>
          </w:tcPr>
          <w:p w14:paraId="795B82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Seminar: Monitorimi dhe udhërrëfyesi (kombëtar, Tiranë)</w:t>
            </w:r>
          </w:p>
        </w:tc>
        <w:tc>
          <w:tcPr>
            <w:tcW w:w="173" w:type="pct"/>
            <w:gridSpan w:val="2"/>
            <w:shd w:val="clear" w:color="000000" w:fill="FFFF00"/>
            <w:noWrap/>
            <w:vAlign w:val="center"/>
            <w:hideMark/>
          </w:tcPr>
          <w:p w14:paraId="46B2301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EB05F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50D65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B3C440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0B0B7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C3102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4E4A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9991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6F46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DF13B8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86706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929E8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FFD966"/>
            <w:noWrap/>
            <w:vAlign w:val="center"/>
            <w:hideMark/>
          </w:tcPr>
          <w:p w14:paraId="3DD99733"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w:t>
            </w:r>
          </w:p>
        </w:tc>
        <w:tc>
          <w:tcPr>
            <w:tcW w:w="132" w:type="pct"/>
            <w:shd w:val="clear" w:color="auto" w:fill="auto"/>
            <w:noWrap/>
            <w:vAlign w:val="center"/>
            <w:hideMark/>
          </w:tcPr>
          <w:p w14:paraId="5F8A470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6D46C7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E526B5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ED05C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048CD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39B3E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5A9BE1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EF3C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F0A56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07704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6C70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24A44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BE55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5F3C07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2C4F4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5E954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777DD0AE" w14:textId="77777777" w:rsidTr="00B57811">
        <w:trPr>
          <w:trHeight w:val="300"/>
          <w:jc w:val="center"/>
        </w:trPr>
        <w:tc>
          <w:tcPr>
            <w:tcW w:w="1138" w:type="pct"/>
            <w:shd w:val="clear" w:color="000000" w:fill="FFFF00"/>
            <w:vAlign w:val="center"/>
            <w:hideMark/>
          </w:tcPr>
          <w:p w14:paraId="448BECA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Produktet</w:t>
            </w:r>
          </w:p>
        </w:tc>
        <w:tc>
          <w:tcPr>
            <w:tcW w:w="173" w:type="pct"/>
            <w:gridSpan w:val="2"/>
            <w:shd w:val="clear" w:color="000000" w:fill="FFFF00"/>
            <w:noWrap/>
            <w:vAlign w:val="center"/>
            <w:hideMark/>
          </w:tcPr>
          <w:p w14:paraId="4701D2C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C00D50C"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6F9E74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C2A784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7455A57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4BAC139"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B93514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DA27CD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D9B3E36" w14:textId="77777777" w:rsidR="00B57811" w:rsidRPr="00445472" w:rsidRDefault="00B57811" w:rsidP="002A1F08">
            <w:pPr>
              <w:spacing w:after="0" w:line="240" w:lineRule="auto"/>
              <w:jc w:val="right"/>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7AE60C0"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7C29C5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6FF563D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4050B73"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094FF7D"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F1A278B"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96BBDC4"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55BB981"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3AE877A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3425FA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45CC01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543240F"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BCAFFC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5C4700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1C0BAA5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0692C2F8"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74E6522"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258A964E"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50B4F6B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c>
          <w:tcPr>
            <w:tcW w:w="132" w:type="pct"/>
            <w:shd w:val="clear" w:color="000000" w:fill="FFFF00"/>
            <w:noWrap/>
            <w:vAlign w:val="center"/>
            <w:hideMark/>
          </w:tcPr>
          <w:p w14:paraId="4969B627"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 </w:t>
            </w:r>
          </w:p>
        </w:tc>
      </w:tr>
      <w:tr w:rsidR="00B57811" w:rsidRPr="00445472" w14:paraId="7644628A" w14:textId="77777777" w:rsidTr="00B57811">
        <w:trPr>
          <w:trHeight w:val="300"/>
          <w:jc w:val="center"/>
        </w:trPr>
        <w:tc>
          <w:tcPr>
            <w:tcW w:w="1138" w:type="pct"/>
            <w:shd w:val="clear" w:color="000000" w:fill="BDD7EE"/>
            <w:vAlign w:val="center"/>
            <w:hideMark/>
          </w:tcPr>
          <w:p w14:paraId="30BB8D3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Versioni anglisht i draft PMBU-ve gati</w:t>
            </w:r>
          </w:p>
        </w:tc>
        <w:tc>
          <w:tcPr>
            <w:tcW w:w="173" w:type="pct"/>
            <w:gridSpan w:val="2"/>
            <w:shd w:val="clear" w:color="000000" w:fill="FFFF00"/>
            <w:noWrap/>
            <w:vAlign w:val="center"/>
            <w:hideMark/>
          </w:tcPr>
          <w:p w14:paraId="2626118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D7B8D5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E9EA8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D7A93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83913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6632C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B71A0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B6DF2D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0A8883" w14:textId="77777777" w:rsidR="00B57811" w:rsidRPr="00445472" w:rsidRDefault="00B57811" w:rsidP="002A1F08">
            <w:pPr>
              <w:spacing w:after="0" w:line="240" w:lineRule="auto"/>
              <w:jc w:val="right"/>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23D1F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3B02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E5F3B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AC39D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1D7E3887"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15</w:t>
            </w:r>
          </w:p>
        </w:tc>
        <w:tc>
          <w:tcPr>
            <w:tcW w:w="132" w:type="pct"/>
            <w:shd w:val="clear" w:color="auto" w:fill="auto"/>
            <w:noWrap/>
            <w:vAlign w:val="center"/>
            <w:hideMark/>
          </w:tcPr>
          <w:p w14:paraId="0E4B64A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60B9F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CC645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63275C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8DD76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177B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E961B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55CA1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36F22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6F4B08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2566F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EBDA7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829AF3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32FD9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3736F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6588A897" w14:textId="77777777" w:rsidTr="00B57811">
        <w:trPr>
          <w:trHeight w:val="300"/>
          <w:jc w:val="center"/>
        </w:trPr>
        <w:tc>
          <w:tcPr>
            <w:tcW w:w="1138" w:type="pct"/>
            <w:shd w:val="clear" w:color="000000" w:fill="BDD7EE"/>
            <w:vAlign w:val="center"/>
            <w:hideMark/>
          </w:tcPr>
          <w:p w14:paraId="38854CE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Versioni shqip i draft PMBU-ve gati</w:t>
            </w:r>
          </w:p>
        </w:tc>
        <w:tc>
          <w:tcPr>
            <w:tcW w:w="173" w:type="pct"/>
            <w:gridSpan w:val="2"/>
            <w:shd w:val="clear" w:color="000000" w:fill="FFFF00"/>
            <w:noWrap/>
            <w:vAlign w:val="center"/>
            <w:hideMark/>
          </w:tcPr>
          <w:p w14:paraId="6CE4350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D311B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15BF1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F58082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F3DD9B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D56DE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0E755B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5D0634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7CDF0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83EA4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BE7EA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0CB71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D998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ACB24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140144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4257A4F7"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15</w:t>
            </w:r>
          </w:p>
        </w:tc>
        <w:tc>
          <w:tcPr>
            <w:tcW w:w="132" w:type="pct"/>
            <w:shd w:val="clear" w:color="auto" w:fill="auto"/>
            <w:noWrap/>
            <w:vAlign w:val="center"/>
            <w:hideMark/>
          </w:tcPr>
          <w:p w14:paraId="37606D3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4B073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6084D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7D557B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E91F9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1D28A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6AE16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F9EC8B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987A12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33EFCC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2738E4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25C7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58036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1CCDE3A8" w14:textId="77777777" w:rsidTr="00B57811">
        <w:trPr>
          <w:trHeight w:val="270"/>
          <w:jc w:val="center"/>
        </w:trPr>
        <w:tc>
          <w:tcPr>
            <w:tcW w:w="1138" w:type="pct"/>
            <w:shd w:val="clear" w:color="auto" w:fill="FFFF00"/>
            <w:vAlign w:val="center"/>
            <w:hideMark/>
          </w:tcPr>
          <w:p w14:paraId="46B89E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Materiale</w:t>
            </w:r>
          </w:p>
        </w:tc>
        <w:tc>
          <w:tcPr>
            <w:tcW w:w="173" w:type="pct"/>
            <w:gridSpan w:val="2"/>
            <w:shd w:val="clear" w:color="auto" w:fill="FFFF00"/>
            <w:noWrap/>
            <w:vAlign w:val="center"/>
            <w:hideMark/>
          </w:tcPr>
          <w:p w14:paraId="33B66795"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7B08569"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49FAF585"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3BA9CA34"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BBF1364"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6C57CFBF"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FC9CC4B"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BAF4776"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0E558191" w14:textId="77777777" w:rsidR="00B57811" w:rsidRPr="00445472" w:rsidRDefault="00B57811" w:rsidP="002A1F08">
            <w:pPr>
              <w:spacing w:after="0" w:line="240" w:lineRule="auto"/>
              <w:jc w:val="center"/>
              <w:rPr>
                <w:rFonts w:ascii="Garamond" w:hAnsi="Garamond"/>
                <w:sz w:val="14"/>
                <w:szCs w:val="14"/>
              </w:rPr>
            </w:pPr>
          </w:p>
        </w:tc>
        <w:tc>
          <w:tcPr>
            <w:tcW w:w="132" w:type="pct"/>
            <w:shd w:val="clear" w:color="auto" w:fill="FFFF00"/>
            <w:noWrap/>
            <w:vAlign w:val="center"/>
            <w:hideMark/>
          </w:tcPr>
          <w:p w14:paraId="0158495B"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3302EBF2"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12226C20"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4D9AB1FF"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42AB65D5"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446E649C"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5A169268" w14:textId="77777777" w:rsidR="00B57811" w:rsidRPr="00445472" w:rsidRDefault="00B57811" w:rsidP="002A1F08">
            <w:pPr>
              <w:spacing w:after="0" w:line="240" w:lineRule="auto"/>
              <w:jc w:val="center"/>
              <w:rPr>
                <w:rFonts w:ascii="Garamond" w:hAnsi="Garamond"/>
                <w:sz w:val="14"/>
                <w:szCs w:val="14"/>
              </w:rPr>
            </w:pPr>
          </w:p>
        </w:tc>
        <w:tc>
          <w:tcPr>
            <w:tcW w:w="132" w:type="pct"/>
            <w:shd w:val="clear" w:color="auto" w:fill="FFFF00"/>
            <w:noWrap/>
            <w:vAlign w:val="center"/>
            <w:hideMark/>
          </w:tcPr>
          <w:p w14:paraId="2EFB828A"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01CBAB0C"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D6DA6B3"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2A11BD6"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29B5C66C"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3D89E371"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6DE74775"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5CAD3270"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7B74D1EB"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4BA61F67"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3F0F9626"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54000094" w14:textId="77777777" w:rsidR="00B57811" w:rsidRPr="00445472" w:rsidRDefault="00B57811" w:rsidP="002A1F08">
            <w:pPr>
              <w:spacing w:after="0" w:line="240" w:lineRule="auto"/>
              <w:rPr>
                <w:rFonts w:ascii="Garamond" w:hAnsi="Garamond"/>
                <w:sz w:val="14"/>
                <w:szCs w:val="14"/>
              </w:rPr>
            </w:pPr>
          </w:p>
        </w:tc>
        <w:tc>
          <w:tcPr>
            <w:tcW w:w="132" w:type="pct"/>
            <w:shd w:val="clear" w:color="auto" w:fill="FFFF00"/>
            <w:noWrap/>
            <w:vAlign w:val="center"/>
            <w:hideMark/>
          </w:tcPr>
          <w:p w14:paraId="1F230044" w14:textId="77777777" w:rsidR="00B57811" w:rsidRPr="00445472" w:rsidRDefault="00B57811" w:rsidP="002A1F08">
            <w:pPr>
              <w:spacing w:after="0" w:line="240" w:lineRule="auto"/>
              <w:rPr>
                <w:rFonts w:ascii="Garamond" w:hAnsi="Garamond"/>
                <w:sz w:val="14"/>
                <w:szCs w:val="14"/>
              </w:rPr>
            </w:pPr>
          </w:p>
        </w:tc>
      </w:tr>
      <w:tr w:rsidR="00B57811" w:rsidRPr="00445472" w14:paraId="027BC310" w14:textId="77777777" w:rsidTr="00B57811">
        <w:trPr>
          <w:trHeight w:val="270"/>
          <w:jc w:val="center"/>
        </w:trPr>
        <w:tc>
          <w:tcPr>
            <w:tcW w:w="1138" w:type="pct"/>
            <w:shd w:val="clear" w:color="000000" w:fill="BDD7EE"/>
            <w:vAlign w:val="center"/>
            <w:hideMark/>
          </w:tcPr>
          <w:p w14:paraId="21A36B4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Drafti i versionit anglisht i PMBU-ve gati</w:t>
            </w:r>
          </w:p>
        </w:tc>
        <w:tc>
          <w:tcPr>
            <w:tcW w:w="173" w:type="pct"/>
            <w:gridSpan w:val="2"/>
            <w:shd w:val="clear" w:color="000000" w:fill="FFFF00"/>
            <w:noWrap/>
            <w:vAlign w:val="center"/>
            <w:hideMark/>
          </w:tcPr>
          <w:p w14:paraId="1557C5C2"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34A6F14"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99436AC"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06022740"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1BA86FA9"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7D05CB8"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7F81CCC4"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19977CF" w14:textId="77777777" w:rsidR="00B57811" w:rsidRPr="00445472" w:rsidRDefault="00B57811" w:rsidP="002A1F08">
            <w:pPr>
              <w:spacing w:after="0" w:line="240" w:lineRule="auto"/>
              <w:rPr>
                <w:rFonts w:ascii="Garamond" w:hAnsi="Garamond"/>
                <w:sz w:val="14"/>
                <w:szCs w:val="14"/>
              </w:rPr>
            </w:pPr>
          </w:p>
        </w:tc>
        <w:tc>
          <w:tcPr>
            <w:tcW w:w="132" w:type="pct"/>
            <w:shd w:val="clear" w:color="000000" w:fill="BDD7EE"/>
            <w:noWrap/>
            <w:vAlign w:val="center"/>
            <w:hideMark/>
          </w:tcPr>
          <w:p w14:paraId="67961CBC" w14:textId="77777777" w:rsidR="00B57811" w:rsidRPr="00445472" w:rsidRDefault="00B57811" w:rsidP="002A1F08">
            <w:pPr>
              <w:spacing w:after="0" w:line="240" w:lineRule="auto"/>
              <w:jc w:val="center"/>
              <w:rPr>
                <w:rFonts w:ascii="Garamond" w:hAnsi="Garamond"/>
                <w:sz w:val="14"/>
                <w:szCs w:val="14"/>
              </w:rPr>
            </w:pPr>
          </w:p>
        </w:tc>
        <w:tc>
          <w:tcPr>
            <w:tcW w:w="132" w:type="pct"/>
            <w:shd w:val="clear" w:color="auto" w:fill="auto"/>
            <w:noWrap/>
            <w:vAlign w:val="center"/>
            <w:hideMark/>
          </w:tcPr>
          <w:p w14:paraId="04D93EA7"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1D4544CB"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056CD519"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B37E025"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99ED0E4"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0CC0B8C9"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587DB775" w14:textId="77777777" w:rsidR="00B57811" w:rsidRPr="00445472" w:rsidRDefault="00B57811" w:rsidP="002A1F08">
            <w:pPr>
              <w:spacing w:after="0" w:line="240" w:lineRule="auto"/>
              <w:jc w:val="center"/>
              <w:rPr>
                <w:rFonts w:ascii="Garamond" w:hAnsi="Garamond"/>
                <w:sz w:val="14"/>
                <w:szCs w:val="14"/>
              </w:rPr>
            </w:pPr>
          </w:p>
        </w:tc>
        <w:tc>
          <w:tcPr>
            <w:tcW w:w="132" w:type="pct"/>
            <w:shd w:val="clear" w:color="auto" w:fill="auto"/>
            <w:noWrap/>
            <w:vAlign w:val="center"/>
            <w:hideMark/>
          </w:tcPr>
          <w:p w14:paraId="69F3E56F"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4CB5BCAC"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7313FB28"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0972437"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1554765"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5FA0B95E"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3F43686"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ADC7152"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5F42AEF"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731FEBFC"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AAD2898"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4FFB2769"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7123B8F7" w14:textId="77777777" w:rsidR="00B57811" w:rsidRPr="00445472" w:rsidRDefault="00B57811" w:rsidP="002A1F08">
            <w:pPr>
              <w:spacing w:after="0" w:line="240" w:lineRule="auto"/>
              <w:rPr>
                <w:rFonts w:ascii="Garamond" w:hAnsi="Garamond"/>
                <w:sz w:val="14"/>
                <w:szCs w:val="14"/>
              </w:rPr>
            </w:pPr>
          </w:p>
        </w:tc>
      </w:tr>
      <w:tr w:rsidR="00B57811" w:rsidRPr="00445472" w14:paraId="4A2B871F" w14:textId="77777777" w:rsidTr="00B57811">
        <w:trPr>
          <w:trHeight w:val="270"/>
          <w:jc w:val="center"/>
        </w:trPr>
        <w:tc>
          <w:tcPr>
            <w:tcW w:w="1138" w:type="pct"/>
            <w:shd w:val="clear" w:color="000000" w:fill="BDD7EE"/>
            <w:vAlign w:val="center"/>
            <w:hideMark/>
          </w:tcPr>
          <w:p w14:paraId="60F6DC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Drafti i versionit shqip i PMBU-ve gati</w:t>
            </w:r>
          </w:p>
        </w:tc>
        <w:tc>
          <w:tcPr>
            <w:tcW w:w="173" w:type="pct"/>
            <w:gridSpan w:val="2"/>
            <w:shd w:val="clear" w:color="000000" w:fill="FFFF00"/>
            <w:noWrap/>
            <w:vAlign w:val="center"/>
            <w:hideMark/>
          </w:tcPr>
          <w:p w14:paraId="79763AB2"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47B6BCD8"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48777FD0"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B6F2422"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1C9F076"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1B1ABCFB"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BD0A20D"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DE5C7C1" w14:textId="77777777" w:rsidR="00B57811" w:rsidRPr="00445472" w:rsidRDefault="00B57811" w:rsidP="002A1F08">
            <w:pPr>
              <w:spacing w:after="0" w:line="240" w:lineRule="auto"/>
              <w:rPr>
                <w:rFonts w:ascii="Garamond" w:hAnsi="Garamond"/>
                <w:sz w:val="14"/>
                <w:szCs w:val="14"/>
              </w:rPr>
            </w:pPr>
          </w:p>
        </w:tc>
        <w:tc>
          <w:tcPr>
            <w:tcW w:w="132" w:type="pct"/>
            <w:shd w:val="clear" w:color="000000" w:fill="BDD7EE"/>
            <w:noWrap/>
            <w:vAlign w:val="center"/>
            <w:hideMark/>
          </w:tcPr>
          <w:p w14:paraId="332D1AD8" w14:textId="77777777" w:rsidR="00B57811" w:rsidRPr="00445472" w:rsidRDefault="00B57811" w:rsidP="002A1F08">
            <w:pPr>
              <w:spacing w:after="0" w:line="240" w:lineRule="auto"/>
              <w:jc w:val="center"/>
              <w:rPr>
                <w:rFonts w:ascii="Garamond" w:hAnsi="Garamond"/>
                <w:sz w:val="14"/>
                <w:szCs w:val="14"/>
              </w:rPr>
            </w:pPr>
          </w:p>
        </w:tc>
        <w:tc>
          <w:tcPr>
            <w:tcW w:w="132" w:type="pct"/>
            <w:shd w:val="clear" w:color="auto" w:fill="auto"/>
            <w:noWrap/>
            <w:vAlign w:val="center"/>
            <w:hideMark/>
          </w:tcPr>
          <w:p w14:paraId="646BA13D"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10159A06"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7C28B22"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D605E9B"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51A568C"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7E77049C"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6F8C703" w14:textId="77777777" w:rsidR="00B57811" w:rsidRPr="00445472" w:rsidRDefault="00B57811" w:rsidP="002A1F08">
            <w:pPr>
              <w:spacing w:after="0" w:line="240" w:lineRule="auto"/>
              <w:jc w:val="center"/>
              <w:rPr>
                <w:rFonts w:ascii="Garamond" w:hAnsi="Garamond"/>
                <w:sz w:val="14"/>
                <w:szCs w:val="14"/>
              </w:rPr>
            </w:pPr>
          </w:p>
        </w:tc>
        <w:tc>
          <w:tcPr>
            <w:tcW w:w="132" w:type="pct"/>
            <w:shd w:val="clear" w:color="auto" w:fill="auto"/>
            <w:noWrap/>
            <w:vAlign w:val="center"/>
            <w:hideMark/>
          </w:tcPr>
          <w:p w14:paraId="00F79F20"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6A04AB8"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3E5F423F"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77D422D"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4B60A9A4"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5658C4A1"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67C3C57"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0723A602"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7DA44A61"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2C65929"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E573F5B"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64264825" w14:textId="77777777" w:rsidR="00B57811" w:rsidRPr="00445472" w:rsidRDefault="00B57811" w:rsidP="002A1F08">
            <w:pPr>
              <w:spacing w:after="0" w:line="240" w:lineRule="auto"/>
              <w:rPr>
                <w:rFonts w:ascii="Garamond" w:hAnsi="Garamond"/>
                <w:sz w:val="14"/>
                <w:szCs w:val="14"/>
              </w:rPr>
            </w:pPr>
          </w:p>
        </w:tc>
        <w:tc>
          <w:tcPr>
            <w:tcW w:w="132" w:type="pct"/>
            <w:shd w:val="clear" w:color="auto" w:fill="auto"/>
            <w:noWrap/>
            <w:vAlign w:val="center"/>
            <w:hideMark/>
          </w:tcPr>
          <w:p w14:paraId="2BAA9539" w14:textId="77777777" w:rsidR="00B57811" w:rsidRPr="00445472" w:rsidRDefault="00B57811" w:rsidP="002A1F08">
            <w:pPr>
              <w:spacing w:after="0" w:line="240" w:lineRule="auto"/>
              <w:rPr>
                <w:rFonts w:ascii="Garamond" w:hAnsi="Garamond"/>
                <w:sz w:val="14"/>
                <w:szCs w:val="14"/>
              </w:rPr>
            </w:pPr>
          </w:p>
        </w:tc>
      </w:tr>
      <w:tr w:rsidR="00B57811" w:rsidRPr="00445472" w14:paraId="7CDF39E0" w14:textId="77777777" w:rsidTr="00B57811">
        <w:trPr>
          <w:trHeight w:val="270"/>
          <w:jc w:val="center"/>
        </w:trPr>
        <w:tc>
          <w:tcPr>
            <w:tcW w:w="1138" w:type="pct"/>
            <w:shd w:val="clear" w:color="000000" w:fill="BDD7EE"/>
            <w:vAlign w:val="center"/>
            <w:hideMark/>
          </w:tcPr>
          <w:p w14:paraId="02EB7AD2" w14:textId="1AA1C612"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Raporti i WS: Ekonomia e përdorimit të ujit: Drini</w:t>
            </w:r>
            <w:r w:rsidR="001D340B" w:rsidRPr="00445472">
              <w:rPr>
                <w:rFonts w:ascii="Garamond" w:hAnsi="Garamond"/>
                <w:sz w:val="14"/>
                <w:szCs w:val="14"/>
              </w:rPr>
              <w:t>/</w:t>
            </w:r>
            <w:r w:rsidRPr="00445472">
              <w:rPr>
                <w:rFonts w:ascii="Garamond" w:hAnsi="Garamond"/>
                <w:sz w:val="14"/>
                <w:szCs w:val="14"/>
              </w:rPr>
              <w:t>Shkodër</w:t>
            </w:r>
          </w:p>
        </w:tc>
        <w:tc>
          <w:tcPr>
            <w:tcW w:w="173" w:type="pct"/>
            <w:gridSpan w:val="2"/>
            <w:shd w:val="clear" w:color="000000" w:fill="FFFF00"/>
            <w:noWrap/>
            <w:vAlign w:val="center"/>
            <w:hideMark/>
          </w:tcPr>
          <w:p w14:paraId="1ED3738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02CB9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496BB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B75CF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75929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C85B38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45018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57AC4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4879B1CE"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15</w:t>
            </w:r>
          </w:p>
        </w:tc>
        <w:tc>
          <w:tcPr>
            <w:tcW w:w="132" w:type="pct"/>
            <w:shd w:val="clear" w:color="auto" w:fill="auto"/>
            <w:noWrap/>
            <w:vAlign w:val="center"/>
            <w:hideMark/>
          </w:tcPr>
          <w:p w14:paraId="7FA70FA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70FDE5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6D0BE3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1F0AD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EEED9E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2A54E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08D20E"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6F214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5C717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7ABA4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49F9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AF1F8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FC4F7F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268926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C50F3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E5D21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5B910F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7CCF3C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B1098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EC7AA5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04694A06" w14:textId="77777777" w:rsidTr="00B57811">
        <w:trPr>
          <w:trHeight w:val="270"/>
          <w:jc w:val="center"/>
        </w:trPr>
        <w:tc>
          <w:tcPr>
            <w:tcW w:w="1138" w:type="pct"/>
            <w:shd w:val="clear" w:color="000000" w:fill="BDD7EE"/>
            <w:vAlign w:val="center"/>
            <w:hideMark/>
          </w:tcPr>
          <w:p w14:paraId="1ABC37E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Raporti i WS: Hyrje në modelimin e BU (kombëtar, Tiranë)</w:t>
            </w:r>
          </w:p>
        </w:tc>
        <w:tc>
          <w:tcPr>
            <w:tcW w:w="173" w:type="pct"/>
            <w:gridSpan w:val="2"/>
            <w:shd w:val="clear" w:color="000000" w:fill="FFFF00"/>
            <w:noWrap/>
            <w:vAlign w:val="center"/>
            <w:hideMark/>
          </w:tcPr>
          <w:p w14:paraId="41B906D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49086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76D33EA3"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31</w:t>
            </w:r>
          </w:p>
        </w:tc>
        <w:tc>
          <w:tcPr>
            <w:tcW w:w="132" w:type="pct"/>
            <w:shd w:val="clear" w:color="auto" w:fill="auto"/>
            <w:noWrap/>
            <w:vAlign w:val="center"/>
            <w:hideMark/>
          </w:tcPr>
          <w:p w14:paraId="2116E57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6E79A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3E9B1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D0B8D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D50EBA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46C1D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C163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02146A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79FD93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A5E0D7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3693C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D0DA9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5EB8C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E2C58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EC027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A61BB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825C8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23819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42FC86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2756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83B042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1C4F5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1BEB3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1C2CB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DED6DF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8A0304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07FC4E9D" w14:textId="77777777" w:rsidTr="00B57811">
        <w:trPr>
          <w:trHeight w:val="270"/>
          <w:jc w:val="center"/>
        </w:trPr>
        <w:tc>
          <w:tcPr>
            <w:tcW w:w="1138" w:type="pct"/>
            <w:shd w:val="clear" w:color="000000" w:fill="BDD7EE"/>
            <w:vAlign w:val="center"/>
            <w:hideMark/>
          </w:tcPr>
          <w:p w14:paraId="56497210" w14:textId="4FB058F0"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Raporti i WS: Modelimi i BU Drini</w:t>
            </w:r>
            <w:r w:rsidR="001D340B" w:rsidRPr="00445472">
              <w:rPr>
                <w:rFonts w:ascii="Garamond" w:hAnsi="Garamond"/>
                <w:sz w:val="14"/>
                <w:szCs w:val="14"/>
              </w:rPr>
              <w:t>/</w:t>
            </w:r>
            <w:r w:rsidRPr="00445472">
              <w:rPr>
                <w:rFonts w:ascii="Garamond" w:hAnsi="Garamond"/>
                <w:sz w:val="14"/>
                <w:szCs w:val="14"/>
              </w:rPr>
              <w:t>Shkodër</w:t>
            </w:r>
          </w:p>
        </w:tc>
        <w:tc>
          <w:tcPr>
            <w:tcW w:w="173" w:type="pct"/>
            <w:gridSpan w:val="2"/>
            <w:shd w:val="clear" w:color="000000" w:fill="FFFF00"/>
            <w:noWrap/>
            <w:vAlign w:val="center"/>
            <w:hideMark/>
          </w:tcPr>
          <w:p w14:paraId="5AA9BE4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F4B9C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87CB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A72B9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7415B8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16087E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F49B40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8C62F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BD38D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B3AF9F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09402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2147A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CC7CC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4808D89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15</w:t>
            </w:r>
          </w:p>
        </w:tc>
        <w:tc>
          <w:tcPr>
            <w:tcW w:w="132" w:type="pct"/>
            <w:shd w:val="clear" w:color="auto" w:fill="auto"/>
            <w:noWrap/>
            <w:vAlign w:val="center"/>
            <w:hideMark/>
          </w:tcPr>
          <w:p w14:paraId="16693BD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E2AA3E4"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DE3F6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339A5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FB453A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FAA82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11C2A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E64418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32A3D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C574F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24B7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1AAAF1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0C24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D5BBB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8FC1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5A327B9D" w14:textId="77777777" w:rsidTr="00B57811">
        <w:trPr>
          <w:trHeight w:val="270"/>
          <w:jc w:val="center"/>
        </w:trPr>
        <w:tc>
          <w:tcPr>
            <w:tcW w:w="1138" w:type="pct"/>
            <w:shd w:val="clear" w:color="000000" w:fill="BDD7EE"/>
            <w:vAlign w:val="center"/>
            <w:hideMark/>
          </w:tcPr>
          <w:p w14:paraId="7560929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Raporti i WS: Monitorimi dhe udhërrëfyesi (kombëtar, Tiranë)</w:t>
            </w:r>
          </w:p>
        </w:tc>
        <w:tc>
          <w:tcPr>
            <w:tcW w:w="173" w:type="pct"/>
            <w:gridSpan w:val="2"/>
            <w:shd w:val="clear" w:color="000000" w:fill="FFFF00"/>
            <w:noWrap/>
            <w:vAlign w:val="center"/>
            <w:hideMark/>
          </w:tcPr>
          <w:p w14:paraId="14E53FA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C74FD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E4DEB9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E5360C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B3E41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41481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77E4D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491D17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1D63C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8A715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52ABD1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3A60FA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B4294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A062E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00320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448B3FA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15</w:t>
            </w:r>
          </w:p>
        </w:tc>
        <w:tc>
          <w:tcPr>
            <w:tcW w:w="132" w:type="pct"/>
            <w:shd w:val="clear" w:color="auto" w:fill="auto"/>
            <w:noWrap/>
            <w:vAlign w:val="center"/>
            <w:hideMark/>
          </w:tcPr>
          <w:p w14:paraId="2D14F99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B7606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FB489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1D4AA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C6F66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E7137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E3DFA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508E94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1EB400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0465E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8C6E19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0C9CD1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8CE37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27A91D3D" w14:textId="77777777" w:rsidTr="00B57811">
        <w:trPr>
          <w:trHeight w:val="270"/>
          <w:jc w:val="center"/>
        </w:trPr>
        <w:tc>
          <w:tcPr>
            <w:tcW w:w="1138" w:type="pct"/>
            <w:shd w:val="clear" w:color="000000" w:fill="BDD7EE"/>
            <w:vAlign w:val="center"/>
            <w:hideMark/>
          </w:tcPr>
          <w:p w14:paraId="5DBD1664" w14:textId="464455D3"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Versioni anglisht përfundimtar i PMBU-ve gati</w:t>
            </w:r>
            <w:r w:rsidR="00E73677" w:rsidRPr="00445472">
              <w:rPr>
                <w:rFonts w:ascii="Garamond" w:hAnsi="Garamond"/>
                <w:sz w:val="14"/>
                <w:szCs w:val="14"/>
              </w:rPr>
              <w:t xml:space="preserve"> </w:t>
            </w:r>
            <w:r w:rsidRPr="00445472">
              <w:rPr>
                <w:rFonts w:ascii="Garamond" w:hAnsi="Garamond"/>
                <w:sz w:val="14"/>
                <w:szCs w:val="14"/>
              </w:rPr>
              <w:t>(4 javë pas marrjes së komenteve)</w:t>
            </w:r>
          </w:p>
        </w:tc>
        <w:tc>
          <w:tcPr>
            <w:tcW w:w="173" w:type="pct"/>
            <w:gridSpan w:val="2"/>
            <w:shd w:val="clear" w:color="000000" w:fill="FFFF00"/>
            <w:noWrap/>
            <w:vAlign w:val="center"/>
            <w:hideMark/>
          </w:tcPr>
          <w:p w14:paraId="3A10EAC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0C603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D4CC9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BA95A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0CE43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9CE29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4AC5F1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C8D8B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2E92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4B3AD3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C0A215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AD6C6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23AF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F0D37B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2063B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A9F433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AE1A07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CD5E42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49D72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527" w:type="pct"/>
            <w:gridSpan w:val="4"/>
            <w:shd w:val="clear" w:color="auto" w:fill="auto"/>
            <w:noWrap/>
            <w:vAlign w:val="center"/>
            <w:hideMark/>
          </w:tcPr>
          <w:p w14:paraId="274CA749" w14:textId="77777777" w:rsidR="00B57811" w:rsidRPr="00445472" w:rsidRDefault="00B57811" w:rsidP="002A1F08">
            <w:pPr>
              <w:spacing w:after="0" w:line="240" w:lineRule="auto"/>
              <w:jc w:val="center"/>
              <w:rPr>
                <w:rFonts w:ascii="Garamond" w:hAnsi="Garamond"/>
                <w:b/>
                <w:bCs/>
                <w:sz w:val="14"/>
                <w:szCs w:val="14"/>
              </w:rPr>
            </w:pPr>
            <w:r w:rsidRPr="00445472">
              <w:rPr>
                <w:rFonts w:ascii="Garamond" w:hAnsi="Garamond"/>
                <w:b/>
                <w:bCs/>
                <w:sz w:val="14"/>
                <w:szCs w:val="14"/>
              </w:rPr>
              <w:t>janë marrë komentet</w:t>
            </w:r>
          </w:p>
        </w:tc>
        <w:tc>
          <w:tcPr>
            <w:tcW w:w="132" w:type="pct"/>
            <w:shd w:val="clear" w:color="000000" w:fill="BDD7EE"/>
            <w:noWrap/>
            <w:vAlign w:val="center"/>
            <w:hideMark/>
          </w:tcPr>
          <w:p w14:paraId="42BA5FEE"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30</w:t>
            </w:r>
          </w:p>
        </w:tc>
        <w:tc>
          <w:tcPr>
            <w:tcW w:w="132" w:type="pct"/>
            <w:shd w:val="clear" w:color="auto" w:fill="auto"/>
            <w:noWrap/>
            <w:vAlign w:val="center"/>
            <w:hideMark/>
          </w:tcPr>
          <w:p w14:paraId="02FF011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D9516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B13CC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959E4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3E5884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67781C5D" w14:textId="77777777" w:rsidTr="00B57811">
        <w:trPr>
          <w:trHeight w:val="300"/>
          <w:jc w:val="center"/>
        </w:trPr>
        <w:tc>
          <w:tcPr>
            <w:tcW w:w="1138" w:type="pct"/>
            <w:shd w:val="clear" w:color="000000" w:fill="BDD7EE"/>
            <w:vAlign w:val="center"/>
            <w:hideMark/>
          </w:tcPr>
          <w:p w14:paraId="1DD3737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Versioni shqip përfundimtar i PMBU-ve gati</w:t>
            </w:r>
          </w:p>
        </w:tc>
        <w:tc>
          <w:tcPr>
            <w:tcW w:w="173" w:type="pct"/>
            <w:gridSpan w:val="2"/>
            <w:shd w:val="clear" w:color="000000" w:fill="FFFF00"/>
            <w:noWrap/>
            <w:vAlign w:val="center"/>
            <w:hideMark/>
          </w:tcPr>
          <w:p w14:paraId="54009E6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CA966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4F919A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5AF26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311B96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034EE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F7F3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244623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77C79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230EB3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9BD2E8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9AF6AD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A31DD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1BB8EA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5B76B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E5A46C"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2E16C3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D0187E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C7371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B98E0C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F3ABA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0BEC9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9806A6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7E9A1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9EAC97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2F40856C"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14</w:t>
            </w:r>
          </w:p>
        </w:tc>
        <w:tc>
          <w:tcPr>
            <w:tcW w:w="132" w:type="pct"/>
            <w:shd w:val="clear" w:color="auto" w:fill="auto"/>
            <w:noWrap/>
            <w:vAlign w:val="center"/>
            <w:hideMark/>
          </w:tcPr>
          <w:p w14:paraId="594B3E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6B7EB8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8D326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0208C9C4" w14:textId="77777777" w:rsidTr="00B57811">
        <w:trPr>
          <w:trHeight w:val="300"/>
          <w:jc w:val="center"/>
        </w:trPr>
        <w:tc>
          <w:tcPr>
            <w:tcW w:w="1138" w:type="pct"/>
            <w:shd w:val="clear" w:color="000000" w:fill="BDD7EE"/>
            <w:vAlign w:val="center"/>
            <w:hideMark/>
          </w:tcPr>
          <w:p w14:paraId="05E51A4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Plani i Shpërndarjes</w:t>
            </w:r>
          </w:p>
        </w:tc>
        <w:tc>
          <w:tcPr>
            <w:tcW w:w="173" w:type="pct"/>
            <w:gridSpan w:val="2"/>
            <w:shd w:val="clear" w:color="000000" w:fill="FFFF00"/>
            <w:noWrap/>
            <w:vAlign w:val="center"/>
            <w:hideMark/>
          </w:tcPr>
          <w:p w14:paraId="412D6D8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6D0CC0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3303AE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C4F99C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4CAA76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D84106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E7602E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05B314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57DB82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30E575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83A17D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7B0C45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369B4A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943F2C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C4EDF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EB0A3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AF454E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6A6AB341"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15</w:t>
            </w:r>
          </w:p>
        </w:tc>
        <w:tc>
          <w:tcPr>
            <w:tcW w:w="132" w:type="pct"/>
            <w:shd w:val="clear" w:color="auto" w:fill="auto"/>
            <w:noWrap/>
            <w:vAlign w:val="center"/>
            <w:hideMark/>
          </w:tcPr>
          <w:p w14:paraId="1A6BB66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142706E"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DFF6F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71234C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07E8D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206787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D47F30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42205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FDEA1A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AEDA3B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9AFA2E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291F49F8" w14:textId="77777777" w:rsidTr="00B57811">
        <w:trPr>
          <w:trHeight w:val="315"/>
          <w:jc w:val="center"/>
        </w:trPr>
        <w:tc>
          <w:tcPr>
            <w:tcW w:w="1138" w:type="pct"/>
            <w:shd w:val="clear" w:color="000000" w:fill="BDD7EE"/>
            <w:vAlign w:val="center"/>
            <w:hideMark/>
          </w:tcPr>
          <w:p w14:paraId="26311BE0"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Raportim i Përmbledhur i Procesit</w:t>
            </w:r>
          </w:p>
        </w:tc>
        <w:tc>
          <w:tcPr>
            <w:tcW w:w="173" w:type="pct"/>
            <w:gridSpan w:val="2"/>
            <w:shd w:val="clear" w:color="000000" w:fill="FFFF00"/>
            <w:noWrap/>
            <w:vAlign w:val="center"/>
            <w:hideMark/>
          </w:tcPr>
          <w:p w14:paraId="450738A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114DB5F"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830A5A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D4FBED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597A19"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EAE072C"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555E0A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982CF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B014EA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C33377B"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33E44938"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7D9B38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5C8EEC6"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7D0CA1"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05A492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72B4BCF2"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AC18C1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E2767A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8BF64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0173FB22"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975EB7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1BD72334"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76E413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4BC85463"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5F5A3467"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2299367A"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auto" w:fill="auto"/>
            <w:noWrap/>
            <w:vAlign w:val="center"/>
            <w:hideMark/>
          </w:tcPr>
          <w:p w14:paraId="6ACB9EBD"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c>
          <w:tcPr>
            <w:tcW w:w="132" w:type="pct"/>
            <w:shd w:val="clear" w:color="000000" w:fill="BDD7EE"/>
            <w:noWrap/>
            <w:vAlign w:val="center"/>
            <w:hideMark/>
          </w:tcPr>
          <w:p w14:paraId="2095B03F" w14:textId="77777777" w:rsidR="00B57811" w:rsidRPr="00445472" w:rsidRDefault="00B57811" w:rsidP="002A1F08">
            <w:pPr>
              <w:spacing w:after="0" w:line="240" w:lineRule="auto"/>
              <w:jc w:val="center"/>
              <w:rPr>
                <w:rFonts w:ascii="Garamond" w:hAnsi="Garamond"/>
                <w:sz w:val="14"/>
                <w:szCs w:val="14"/>
              </w:rPr>
            </w:pPr>
            <w:r w:rsidRPr="00445472">
              <w:rPr>
                <w:rFonts w:ascii="Garamond" w:hAnsi="Garamond"/>
                <w:sz w:val="14"/>
                <w:szCs w:val="14"/>
              </w:rPr>
              <w:t>25</w:t>
            </w:r>
          </w:p>
        </w:tc>
        <w:tc>
          <w:tcPr>
            <w:tcW w:w="132" w:type="pct"/>
            <w:shd w:val="clear" w:color="auto" w:fill="auto"/>
            <w:noWrap/>
            <w:vAlign w:val="center"/>
            <w:hideMark/>
          </w:tcPr>
          <w:p w14:paraId="299736D5" w14:textId="77777777" w:rsidR="00B57811" w:rsidRPr="00445472" w:rsidRDefault="00B57811" w:rsidP="002A1F08">
            <w:pPr>
              <w:spacing w:after="0" w:line="240" w:lineRule="auto"/>
              <w:rPr>
                <w:rFonts w:ascii="Garamond" w:hAnsi="Garamond"/>
                <w:sz w:val="14"/>
                <w:szCs w:val="14"/>
              </w:rPr>
            </w:pPr>
            <w:r w:rsidRPr="00445472">
              <w:rPr>
                <w:rFonts w:ascii="Garamond" w:hAnsi="Garamond"/>
                <w:sz w:val="14"/>
                <w:szCs w:val="14"/>
              </w:rPr>
              <w:t> </w:t>
            </w:r>
          </w:p>
        </w:tc>
      </w:tr>
      <w:tr w:rsidR="00B57811" w:rsidRPr="00445472" w14:paraId="3FD066B0" w14:textId="77777777" w:rsidTr="00B57811">
        <w:trPr>
          <w:gridAfter w:val="29"/>
          <w:wAfter w:w="3727" w:type="pct"/>
          <w:trHeight w:val="300"/>
          <w:jc w:val="center"/>
        </w:trPr>
        <w:tc>
          <w:tcPr>
            <w:tcW w:w="1273" w:type="pct"/>
            <w:gridSpan w:val="2"/>
            <w:tcBorders>
              <w:top w:val="nil"/>
              <w:left w:val="nil"/>
              <w:bottom w:val="nil"/>
              <w:right w:val="nil"/>
            </w:tcBorders>
            <w:shd w:val="clear" w:color="auto" w:fill="auto"/>
            <w:vAlign w:val="center"/>
            <w:hideMark/>
          </w:tcPr>
          <w:p w14:paraId="3065789A" w14:textId="77777777" w:rsidR="00B57811" w:rsidRPr="00445472" w:rsidRDefault="00B57811" w:rsidP="002A1F08">
            <w:pPr>
              <w:spacing w:after="0" w:line="240" w:lineRule="auto"/>
              <w:rPr>
                <w:rFonts w:ascii="Garamond" w:hAnsi="Garamond"/>
                <w:b/>
                <w:bCs/>
                <w:sz w:val="14"/>
                <w:szCs w:val="14"/>
              </w:rPr>
            </w:pPr>
            <w:r w:rsidRPr="00445472">
              <w:rPr>
                <w:rFonts w:ascii="Garamond" w:hAnsi="Garamond"/>
                <w:b/>
                <w:bCs/>
                <w:sz w:val="14"/>
                <w:szCs w:val="14"/>
              </w:rPr>
              <w:t>LEGJENDA</w:t>
            </w:r>
          </w:p>
        </w:tc>
      </w:tr>
      <w:tr w:rsidR="00B57811" w:rsidRPr="00445472" w14:paraId="5D245410" w14:textId="77777777" w:rsidTr="00B57811">
        <w:trPr>
          <w:gridAfter w:val="29"/>
          <w:wAfter w:w="3727" w:type="pct"/>
          <w:trHeight w:val="300"/>
          <w:jc w:val="center"/>
        </w:trPr>
        <w:tc>
          <w:tcPr>
            <w:tcW w:w="1273" w:type="pct"/>
            <w:gridSpan w:val="2"/>
            <w:tcBorders>
              <w:top w:val="nil"/>
              <w:left w:val="nil"/>
              <w:bottom w:val="nil"/>
              <w:right w:val="nil"/>
            </w:tcBorders>
            <w:shd w:val="clear" w:color="000000" w:fill="D9D9D9"/>
            <w:vAlign w:val="center"/>
            <w:hideMark/>
          </w:tcPr>
          <w:p w14:paraId="3900575D" w14:textId="77777777" w:rsidR="00B57811" w:rsidRPr="00445472" w:rsidRDefault="00B57811" w:rsidP="002A1F08">
            <w:pPr>
              <w:spacing w:after="0" w:line="240" w:lineRule="auto"/>
              <w:rPr>
                <w:rFonts w:ascii="Garamond" w:hAnsi="Garamond" w:cs="Arial"/>
                <w:sz w:val="14"/>
                <w:szCs w:val="14"/>
              </w:rPr>
            </w:pPr>
            <w:r w:rsidRPr="00445472">
              <w:rPr>
                <w:rFonts w:ascii="Garamond" w:hAnsi="Garamond" w:cs="Arial"/>
                <w:sz w:val="14"/>
                <w:szCs w:val="14"/>
              </w:rPr>
              <w:t>Aktivitete</w:t>
            </w:r>
          </w:p>
        </w:tc>
      </w:tr>
      <w:tr w:rsidR="00B57811" w:rsidRPr="00445472" w14:paraId="564844A9" w14:textId="77777777" w:rsidTr="00B57811">
        <w:trPr>
          <w:gridAfter w:val="29"/>
          <w:wAfter w:w="3727" w:type="pct"/>
          <w:trHeight w:val="300"/>
          <w:jc w:val="center"/>
        </w:trPr>
        <w:tc>
          <w:tcPr>
            <w:tcW w:w="1273" w:type="pct"/>
            <w:gridSpan w:val="2"/>
            <w:tcBorders>
              <w:top w:val="nil"/>
              <w:left w:val="nil"/>
              <w:bottom w:val="nil"/>
              <w:right w:val="nil"/>
            </w:tcBorders>
            <w:shd w:val="clear" w:color="000000" w:fill="A9D08E"/>
            <w:vAlign w:val="center"/>
            <w:hideMark/>
          </w:tcPr>
          <w:p w14:paraId="55B9DC60" w14:textId="77777777" w:rsidR="00B57811" w:rsidRPr="00445472" w:rsidRDefault="00B57811" w:rsidP="002A1F08">
            <w:pPr>
              <w:spacing w:after="0" w:line="240" w:lineRule="auto"/>
              <w:rPr>
                <w:rFonts w:ascii="Garamond" w:hAnsi="Garamond" w:cs="Arial"/>
                <w:sz w:val="14"/>
                <w:szCs w:val="14"/>
              </w:rPr>
            </w:pPr>
            <w:r w:rsidRPr="00445472">
              <w:rPr>
                <w:rFonts w:ascii="Garamond" w:hAnsi="Garamond" w:cs="Arial"/>
                <w:sz w:val="14"/>
                <w:szCs w:val="14"/>
              </w:rPr>
              <w:t>Konsultime</w:t>
            </w:r>
          </w:p>
        </w:tc>
      </w:tr>
      <w:tr w:rsidR="00B57811" w:rsidRPr="00445472" w14:paraId="7AACE8C6" w14:textId="77777777" w:rsidTr="00B57811">
        <w:trPr>
          <w:gridAfter w:val="29"/>
          <w:wAfter w:w="3727" w:type="pct"/>
          <w:trHeight w:val="300"/>
          <w:jc w:val="center"/>
        </w:trPr>
        <w:tc>
          <w:tcPr>
            <w:tcW w:w="1273" w:type="pct"/>
            <w:gridSpan w:val="2"/>
            <w:tcBorders>
              <w:top w:val="nil"/>
              <w:left w:val="nil"/>
              <w:bottom w:val="nil"/>
              <w:right w:val="nil"/>
            </w:tcBorders>
            <w:shd w:val="clear" w:color="000000" w:fill="FFD966"/>
            <w:vAlign w:val="center"/>
            <w:hideMark/>
          </w:tcPr>
          <w:p w14:paraId="2D7EF5EA" w14:textId="77777777" w:rsidR="00B57811" w:rsidRPr="00445472" w:rsidRDefault="00B57811" w:rsidP="002A1F08">
            <w:pPr>
              <w:spacing w:after="0" w:line="240" w:lineRule="auto"/>
              <w:rPr>
                <w:rFonts w:ascii="Garamond" w:hAnsi="Garamond" w:cs="Arial"/>
                <w:sz w:val="14"/>
                <w:szCs w:val="14"/>
              </w:rPr>
            </w:pPr>
            <w:r w:rsidRPr="00445472">
              <w:rPr>
                <w:rFonts w:ascii="Garamond" w:hAnsi="Garamond" w:cs="Arial"/>
                <w:sz w:val="14"/>
                <w:szCs w:val="14"/>
              </w:rPr>
              <w:t>Seminare/Trajnime</w:t>
            </w:r>
          </w:p>
        </w:tc>
      </w:tr>
      <w:tr w:rsidR="00B57811" w:rsidRPr="00445472" w14:paraId="5C58F9CF" w14:textId="77777777" w:rsidTr="00B57811">
        <w:trPr>
          <w:gridAfter w:val="29"/>
          <w:wAfter w:w="3727" w:type="pct"/>
          <w:trHeight w:val="300"/>
          <w:jc w:val="center"/>
        </w:trPr>
        <w:tc>
          <w:tcPr>
            <w:tcW w:w="1273" w:type="pct"/>
            <w:gridSpan w:val="2"/>
            <w:tcBorders>
              <w:top w:val="nil"/>
              <w:left w:val="nil"/>
              <w:bottom w:val="nil"/>
              <w:right w:val="nil"/>
            </w:tcBorders>
            <w:shd w:val="clear" w:color="000000" w:fill="BDD7EE"/>
            <w:vAlign w:val="center"/>
            <w:hideMark/>
          </w:tcPr>
          <w:p w14:paraId="566ADACE" w14:textId="77777777" w:rsidR="00B57811" w:rsidRPr="00445472" w:rsidRDefault="00B57811" w:rsidP="002A1F08">
            <w:pPr>
              <w:spacing w:after="0" w:line="240" w:lineRule="auto"/>
              <w:rPr>
                <w:rFonts w:ascii="Garamond" w:hAnsi="Garamond" w:cs="Arial"/>
                <w:sz w:val="14"/>
                <w:szCs w:val="14"/>
              </w:rPr>
            </w:pPr>
            <w:r w:rsidRPr="00445472">
              <w:rPr>
                <w:rFonts w:ascii="Garamond" w:hAnsi="Garamond" w:cs="Arial"/>
                <w:sz w:val="14"/>
                <w:szCs w:val="14"/>
              </w:rPr>
              <w:t>Produktet</w:t>
            </w:r>
          </w:p>
        </w:tc>
      </w:tr>
      <w:tr w:rsidR="00B57811" w:rsidRPr="00445472" w14:paraId="7889159E" w14:textId="77777777" w:rsidTr="00B57811">
        <w:trPr>
          <w:gridAfter w:val="29"/>
          <w:wAfter w:w="3727" w:type="pct"/>
          <w:trHeight w:val="300"/>
          <w:jc w:val="center"/>
        </w:trPr>
        <w:tc>
          <w:tcPr>
            <w:tcW w:w="1273" w:type="pct"/>
            <w:gridSpan w:val="2"/>
            <w:tcBorders>
              <w:top w:val="nil"/>
              <w:left w:val="nil"/>
              <w:bottom w:val="nil"/>
              <w:right w:val="nil"/>
            </w:tcBorders>
            <w:shd w:val="clear" w:color="000000" w:fill="7030A0"/>
            <w:vAlign w:val="center"/>
            <w:hideMark/>
          </w:tcPr>
          <w:p w14:paraId="5C746665" w14:textId="77777777" w:rsidR="00B57811" w:rsidRPr="00445472" w:rsidRDefault="00B57811" w:rsidP="002A1F08">
            <w:pPr>
              <w:spacing w:after="0" w:line="240" w:lineRule="auto"/>
              <w:rPr>
                <w:rFonts w:ascii="Garamond" w:hAnsi="Garamond" w:cs="Arial"/>
                <w:sz w:val="14"/>
                <w:szCs w:val="14"/>
              </w:rPr>
            </w:pPr>
            <w:r w:rsidRPr="00445472">
              <w:rPr>
                <w:rFonts w:ascii="Garamond" w:hAnsi="Garamond" w:cs="Arial"/>
                <w:sz w:val="14"/>
                <w:szCs w:val="14"/>
              </w:rPr>
              <w:t>Komente të Palëve të Interesit</w:t>
            </w:r>
          </w:p>
        </w:tc>
      </w:tr>
    </w:tbl>
    <w:p w14:paraId="3E0F41F0" w14:textId="77777777" w:rsidR="00B57811" w:rsidRPr="00445472" w:rsidRDefault="00B57811" w:rsidP="00B57811">
      <w:pPr>
        <w:rPr>
          <w:rFonts w:ascii="Garamond" w:hAnsi="Garamond"/>
        </w:rPr>
      </w:pPr>
    </w:p>
    <w:p w14:paraId="18560B57" w14:textId="37FDC96B" w:rsidR="00B57811" w:rsidRPr="00445472" w:rsidRDefault="00B57811" w:rsidP="00924547">
      <w:pPr>
        <w:pStyle w:val="TEKSTIIII"/>
      </w:pPr>
    </w:p>
    <w:p w14:paraId="58DE7143" w14:textId="51E317DB" w:rsidR="003914CD" w:rsidRPr="00445472" w:rsidRDefault="003914CD" w:rsidP="005C5ADB">
      <w:pPr>
        <w:pStyle w:val="TEKSTIIII"/>
        <w:rPr>
          <w:sz w:val="20"/>
        </w:rPr>
      </w:pPr>
    </w:p>
    <w:p w14:paraId="31FBF61F" w14:textId="77777777" w:rsidR="00B57811" w:rsidRPr="00445472" w:rsidRDefault="00B57811" w:rsidP="005C5ADB">
      <w:pPr>
        <w:pStyle w:val="TEKSTIIII"/>
        <w:rPr>
          <w:sz w:val="20"/>
        </w:rPr>
      </w:pPr>
    </w:p>
    <w:p w14:paraId="2A1DE379" w14:textId="77777777" w:rsidR="00B57811" w:rsidRPr="00445472" w:rsidRDefault="00B57811" w:rsidP="005C5ADB">
      <w:pPr>
        <w:pStyle w:val="TEKSTIIII"/>
        <w:rPr>
          <w:sz w:val="20"/>
        </w:rPr>
      </w:pPr>
    </w:p>
    <w:p w14:paraId="57AC5520" w14:textId="77777777" w:rsidR="00B57811" w:rsidRPr="00445472" w:rsidRDefault="00B57811" w:rsidP="005C5ADB">
      <w:pPr>
        <w:pStyle w:val="TEKSTIIII"/>
        <w:rPr>
          <w:sz w:val="20"/>
        </w:rPr>
      </w:pPr>
    </w:p>
    <w:p w14:paraId="094A80FF" w14:textId="77777777" w:rsidR="00B57811" w:rsidRPr="00445472" w:rsidRDefault="00B57811" w:rsidP="005C5ADB">
      <w:pPr>
        <w:pStyle w:val="TEKSTIIII"/>
        <w:rPr>
          <w:sz w:val="20"/>
        </w:rPr>
      </w:pPr>
    </w:p>
    <w:p w14:paraId="0A437E59" w14:textId="77777777" w:rsidR="00B57811" w:rsidRPr="00445472" w:rsidRDefault="00B57811" w:rsidP="005C5ADB">
      <w:pPr>
        <w:pStyle w:val="TEKSTIIII"/>
        <w:rPr>
          <w:sz w:val="20"/>
        </w:rPr>
      </w:pPr>
    </w:p>
    <w:p w14:paraId="00C88CEB" w14:textId="77777777" w:rsidR="00B57811" w:rsidRPr="00445472" w:rsidRDefault="00B57811" w:rsidP="005C5ADB">
      <w:pPr>
        <w:pStyle w:val="TEKSTIIII"/>
        <w:rPr>
          <w:sz w:val="20"/>
        </w:rPr>
        <w:sectPr w:rsidR="00B57811" w:rsidRPr="00445472" w:rsidSect="00B57811">
          <w:pgSz w:w="16839" w:h="11907" w:orient="landscape" w:code="9"/>
          <w:pgMar w:top="1418" w:right="1418" w:bottom="1418" w:left="1418" w:header="1304" w:footer="1134" w:gutter="0"/>
          <w:cols w:space="720"/>
          <w:docGrid w:linePitch="360"/>
        </w:sectPr>
      </w:pPr>
    </w:p>
    <w:p w14:paraId="2EE4AACE" w14:textId="2B2F07A0" w:rsidR="002A1F08" w:rsidRPr="00445472" w:rsidRDefault="00A50B99" w:rsidP="00A50B99">
      <w:pPr>
        <w:pStyle w:val="NENTITULL"/>
      </w:pPr>
      <w:bookmarkStart w:id="358" w:name="_Toc11068911"/>
      <w:r w:rsidRPr="00445472">
        <w:t xml:space="preserve">5.3 </w:t>
      </w:r>
      <w:r w:rsidR="002A1F08" w:rsidRPr="00445472">
        <w:t xml:space="preserve">Qasja në </w:t>
      </w:r>
      <w:r w:rsidR="00E73677" w:rsidRPr="00445472">
        <w:t>planin e angazhimit të palëve të interesit</w:t>
      </w:r>
      <w:bookmarkEnd w:id="358"/>
    </w:p>
    <w:p w14:paraId="15795CB5" w14:textId="77777777" w:rsidR="002A1F08" w:rsidRPr="00445472" w:rsidRDefault="002A1F08" w:rsidP="00A50B99">
      <w:pPr>
        <w:pStyle w:val="TEKSTIIII"/>
      </w:pPr>
      <w:r w:rsidRPr="00445472">
        <w:t>Konsultimi i palëve të interesuara është një element kyç në planifikimin e menaxhimit të basenit ujor. Qëllimi i konsultimeve të palëve të interesit është lejimi i bashkëveprimit të palëve të interesit në procesin e vendimmarrjes, duke shprehur mendimet e tyre dhe duke lehtësuar rrezikun nëpërmjet zgjidhjeve teknike të bazuara në shqetësimet e ngritura gjatë procesit.</w:t>
      </w:r>
    </w:p>
    <w:p w14:paraId="6BE6443F" w14:textId="1740B09C" w:rsidR="002A1F08" w:rsidRPr="00445472" w:rsidRDefault="002A1F08" w:rsidP="00A50B99">
      <w:pPr>
        <w:pStyle w:val="TEKSTIIII"/>
      </w:pPr>
      <w:r w:rsidRPr="00445472">
        <w:t>Konsultimi i palëve të interesit është një proces gjith</w:t>
      </w:r>
      <w:r w:rsidR="00E73677" w:rsidRPr="00445472">
        <w:t>ë</w:t>
      </w:r>
      <w:r w:rsidRPr="00445472">
        <w:t xml:space="preserve">përfshirës dhe i përshtatshëm në aspektin kulturor, duke përfshirë shkëmbimin e informacionit dhe njohurive, aftësinë për të kuptuar shqetësimet e të tjerëve dhe ndërtimi i marrëdhënieve të bazuara në bashkëpunim. Kjo u lejon palëve të interesit të kuptojnë rreziqet, ndikimet dhe mundësitë e projektit për të arritur rezultate </w:t>
      </w:r>
      <w:r w:rsidR="00E73677" w:rsidRPr="00445472">
        <w:t>pozitive</w:t>
      </w:r>
      <w:r w:rsidRPr="00445472">
        <w:t>.</w:t>
      </w:r>
    </w:p>
    <w:p w14:paraId="7BD52370" w14:textId="1EE5764B" w:rsidR="002A1F08" w:rsidRPr="00445472" w:rsidRDefault="002A1F08" w:rsidP="00A50B99">
      <w:pPr>
        <w:pStyle w:val="TEKSTIIII"/>
      </w:pPr>
      <w:r w:rsidRPr="00445472">
        <w:t>Objektivat kryesor</w:t>
      </w:r>
      <w:r w:rsidR="00504992" w:rsidRPr="00445472">
        <w:t>ë</w:t>
      </w:r>
      <w:r w:rsidRPr="00445472">
        <w:t xml:space="preserve"> të përfshirjes së palëve të interesuara janë: </w:t>
      </w:r>
    </w:p>
    <w:p w14:paraId="3ABD77F3" w14:textId="3A0D8A3A" w:rsidR="002A1F08" w:rsidRPr="00445472" w:rsidRDefault="00B369F4" w:rsidP="00A50B99">
      <w:pPr>
        <w:pStyle w:val="TEKSTIIII"/>
      </w:pPr>
      <w:r>
        <w:t xml:space="preserve">- </w:t>
      </w:r>
      <w:r w:rsidR="002A1F08" w:rsidRPr="00445472">
        <w:t>të sigurojnë ofrimin e informatave të duhura në kohën e duhur për ata të prekur ose që kanë interesa në projekt;</w:t>
      </w:r>
    </w:p>
    <w:p w14:paraId="11AF6D49" w14:textId="347CA232" w:rsidR="002A1F08" w:rsidRPr="00445472" w:rsidRDefault="00B369F4" w:rsidP="00A50B99">
      <w:pPr>
        <w:pStyle w:val="TEKSTIIII"/>
      </w:pPr>
      <w:r>
        <w:t xml:space="preserve">- </w:t>
      </w:r>
      <w:r w:rsidR="002A1F08" w:rsidRPr="00445472">
        <w:t xml:space="preserve">të sigurojnë që këtyre grupeve </w:t>
      </w:r>
      <w:r w:rsidR="00B139CF" w:rsidRPr="00445472">
        <w:t>t’u</w:t>
      </w:r>
      <w:r w:rsidR="002A1F08" w:rsidRPr="00445472">
        <w:t xml:space="preserve"> jepet mundësia e nevojshme për të shprehur mendime dhe shqetësime;</w:t>
      </w:r>
    </w:p>
    <w:p w14:paraId="1200525A" w14:textId="2C672AD0" w:rsidR="002A1F08" w:rsidRPr="00445472" w:rsidRDefault="00B369F4" w:rsidP="00A50B99">
      <w:pPr>
        <w:pStyle w:val="TEKSTIIII"/>
      </w:pPr>
      <w:r>
        <w:t xml:space="preserve">- </w:t>
      </w:r>
      <w:r w:rsidR="002A1F08" w:rsidRPr="00445472">
        <w:t>të sigurojnë që komentet të bëhen në kohë në mënyrë që të mund të merren parasysh në vendimet e projektit;</w:t>
      </w:r>
    </w:p>
    <w:p w14:paraId="31640F74" w14:textId="0CE22E74" w:rsidR="002A1F08" w:rsidRPr="00445472" w:rsidRDefault="00B369F4" w:rsidP="00A50B99">
      <w:pPr>
        <w:pStyle w:val="TEKSTIIII"/>
      </w:pPr>
      <w:r>
        <w:t xml:space="preserve">- </w:t>
      </w:r>
      <w:r w:rsidR="002A1F08" w:rsidRPr="00445472">
        <w:t>të ofrojnë kontribute të vlefshme për PMBU-në.</w:t>
      </w:r>
    </w:p>
    <w:p w14:paraId="66B196ED" w14:textId="5A5DC363" w:rsidR="002A1F08" w:rsidRPr="00445472" w:rsidRDefault="002A1F08" w:rsidP="00A50B99">
      <w:pPr>
        <w:pStyle w:val="TEKSTIIII"/>
      </w:pPr>
      <w:r w:rsidRPr="00445472">
        <w:t>Vizitat në terren dhe procesi i angazhimit të palëve të interesit u hartuan për të trajtuar disa objektiva të ndryshme. Puna në terren u projektua për të përdorur këtë njohuri ekzistuese për të vlerësuar çështjet me rëndësi me qëllim planifikimin e planit të menaxhimit dhe sigurimin që projekti i propozuar të adresojë në mënyrë efektive kërkesat kryesore të detyrës të caktuara në koordinim me palët e interesit. Punët në terren siguruan që të gjitha çështjet të trajtohen dhe të gjitha palët e interesit të konsultohen duke përfshirë të gjitha komunitetet e prekura drejtpërdrejt (konsultimet me palët e përfshira, duke përfshirë të gjitha komunitetet dhe vendbanimet e prekura, grupe të veçanta si fermerët (duke përfshirë edhe grat</w:t>
      </w:r>
      <w:r w:rsidR="00E73677" w:rsidRPr="00445472">
        <w:t>ë</w:t>
      </w:r>
      <w:r w:rsidRPr="00445472">
        <w:t>) dhe informatorët kyçë si zyrat rajonale, gratë dhe palët e interesit të përfshira drejtpërsëdrejti).</w:t>
      </w:r>
    </w:p>
    <w:p w14:paraId="45F7EE5E" w14:textId="77777777" w:rsidR="002A1F08" w:rsidRPr="00445472" w:rsidRDefault="002A1F08" w:rsidP="00A50B99">
      <w:pPr>
        <w:pStyle w:val="TEKSTIIII"/>
      </w:pPr>
      <w:r w:rsidRPr="00445472">
        <w:t>Metodologjitë e përshkruara më poshtë përshtaten me kërkesat e përshkruara më lart dhe vëmendje e veçantë u jepet anëtarëve më vulnerabël të shoqërisë.</w:t>
      </w:r>
    </w:p>
    <w:p w14:paraId="5380780B" w14:textId="42FBBAFD" w:rsidR="002A1F08" w:rsidRPr="00445472" w:rsidRDefault="002A1F08" w:rsidP="00A50B99">
      <w:pPr>
        <w:pStyle w:val="TEKSTIIII"/>
      </w:pPr>
      <w:r w:rsidRPr="00445472">
        <w:t xml:space="preserve">Këto aktivitete të angazhimit u ndërmorën siç referohet në </w:t>
      </w:r>
      <w:r w:rsidR="00E73677" w:rsidRPr="00445472">
        <w:t xml:space="preserve">tabelën </w:t>
      </w:r>
      <w:r w:rsidRPr="00445472">
        <w:t>1.</w:t>
      </w:r>
    </w:p>
    <w:p w14:paraId="028A2D6B" w14:textId="77777777" w:rsidR="002A1F08" w:rsidRPr="00445472" w:rsidRDefault="002A1F08" w:rsidP="00A50B99">
      <w:pPr>
        <w:pStyle w:val="NENTITULL"/>
      </w:pPr>
    </w:p>
    <w:p w14:paraId="09FD192C" w14:textId="0E2222F7" w:rsidR="002A1F08" w:rsidRPr="00445472" w:rsidRDefault="002A1F08" w:rsidP="00A50B99">
      <w:pPr>
        <w:pStyle w:val="NENTITULL"/>
      </w:pPr>
      <w:r w:rsidRPr="00445472">
        <w:t xml:space="preserve">Tabela 2 - Fazat e </w:t>
      </w:r>
      <w:r w:rsidR="00E73677" w:rsidRPr="00445472">
        <w:t xml:space="preserve">planit të angazhimit të palëve të interesit </w:t>
      </w:r>
      <w:r w:rsidRPr="00445472">
        <w:t xml:space="preserve">në Shqipëri dhe </w:t>
      </w:r>
      <w:r w:rsidR="00E73677" w:rsidRPr="00445472">
        <w:t>pr</w:t>
      </w:r>
      <w:r w:rsidRPr="00445472">
        <w:t>ogresi deri më sot</w:t>
      </w:r>
    </w:p>
    <w:tbl>
      <w:tblPr>
        <w:tblW w:w="9180" w:type="dxa"/>
        <w:tblBorders>
          <w:top w:val="single" w:sz="8" w:space="0" w:color="auto"/>
          <w:bottom w:val="single" w:sz="8" w:space="0" w:color="auto"/>
          <w:insideH w:val="single" w:sz="2" w:space="0" w:color="27BDBE"/>
        </w:tblBorders>
        <w:tblLayout w:type="fixed"/>
        <w:tblCellMar>
          <w:left w:w="0" w:type="dxa"/>
          <w:right w:w="0" w:type="dxa"/>
        </w:tblCellMar>
        <w:tblLook w:val="04A0" w:firstRow="1" w:lastRow="0" w:firstColumn="1" w:lastColumn="0" w:noHBand="0" w:noVBand="1"/>
      </w:tblPr>
      <w:tblGrid>
        <w:gridCol w:w="4590"/>
        <w:gridCol w:w="4590"/>
      </w:tblGrid>
      <w:tr w:rsidR="002A1F08" w:rsidRPr="00445472" w14:paraId="30CD44F7" w14:textId="77777777" w:rsidTr="002A1F08">
        <w:tc>
          <w:tcPr>
            <w:tcW w:w="0" w:type="pct"/>
            <w:tcBorders>
              <w:bottom w:val="single" w:sz="8" w:space="0" w:color="000000"/>
            </w:tcBorders>
            <w:shd w:val="clear" w:color="auto" w:fill="auto"/>
            <w:vAlign w:val="center"/>
          </w:tcPr>
          <w:p w14:paraId="4DBB6269" w14:textId="77777777" w:rsidR="002A1F08" w:rsidRPr="00445472" w:rsidRDefault="002A1F08" w:rsidP="002A1F08">
            <w:pPr>
              <w:pStyle w:val="TableHeadingLeft"/>
              <w:spacing w:before="22" w:after="22"/>
              <w:ind w:right="63"/>
              <w:rPr>
                <w:rFonts w:ascii="Garamond" w:hAnsi="Garamond"/>
                <w:color w:val="auto"/>
                <w:lang w:val="sq-AL"/>
              </w:rPr>
            </w:pPr>
            <w:r w:rsidRPr="00445472">
              <w:rPr>
                <w:rFonts w:ascii="Garamond" w:hAnsi="Garamond"/>
                <w:color w:val="auto"/>
                <w:lang w:val="sq-AL"/>
              </w:rPr>
              <w:t>Faza</w:t>
            </w:r>
          </w:p>
        </w:tc>
        <w:tc>
          <w:tcPr>
            <w:tcW w:w="0" w:type="pct"/>
            <w:tcBorders>
              <w:bottom w:val="single" w:sz="8" w:space="0" w:color="000000"/>
            </w:tcBorders>
            <w:shd w:val="clear" w:color="auto" w:fill="auto"/>
            <w:vAlign w:val="center"/>
          </w:tcPr>
          <w:p w14:paraId="28BB342C" w14:textId="2BBA0658" w:rsidR="002A1F08" w:rsidRPr="00445472" w:rsidRDefault="002A1F08" w:rsidP="002A1F08">
            <w:pPr>
              <w:pStyle w:val="TableHeadingLeft"/>
              <w:spacing w:before="22" w:after="22"/>
              <w:ind w:right="63"/>
              <w:rPr>
                <w:rFonts w:ascii="Garamond" w:hAnsi="Garamond"/>
                <w:color w:val="auto"/>
                <w:lang w:val="sq-AL"/>
              </w:rPr>
            </w:pPr>
            <w:r w:rsidRPr="00445472">
              <w:rPr>
                <w:rFonts w:ascii="Garamond" w:hAnsi="Garamond"/>
                <w:color w:val="auto"/>
                <w:lang w:val="sq-AL"/>
              </w:rPr>
              <w:t>Përfunduar/</w:t>
            </w:r>
            <w:r w:rsidR="00E73677" w:rsidRPr="00445472">
              <w:rPr>
                <w:rFonts w:ascii="Garamond" w:hAnsi="Garamond"/>
                <w:color w:val="auto"/>
                <w:lang w:val="sq-AL"/>
              </w:rPr>
              <w:t>planifikuar</w:t>
            </w:r>
          </w:p>
        </w:tc>
      </w:tr>
      <w:tr w:rsidR="002A1F08" w:rsidRPr="00445472" w14:paraId="70134319" w14:textId="77777777" w:rsidTr="002A1F08">
        <w:tc>
          <w:tcPr>
            <w:tcW w:w="0" w:type="pct"/>
            <w:tcBorders>
              <w:top w:val="single" w:sz="8" w:space="0" w:color="000000"/>
            </w:tcBorders>
            <w:shd w:val="clear" w:color="auto" w:fill="auto"/>
            <w:vAlign w:val="center"/>
          </w:tcPr>
          <w:p w14:paraId="4DDB8E6C" w14:textId="41484F8F"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Faza</w:t>
            </w:r>
            <w:r w:rsidR="00E73677" w:rsidRPr="00445472">
              <w:rPr>
                <w:rFonts w:ascii="Garamond" w:hAnsi="Garamond"/>
                <w:lang w:val="sq-AL"/>
              </w:rPr>
              <w:t xml:space="preserve"> </w:t>
            </w:r>
            <w:r w:rsidRPr="00445472">
              <w:rPr>
                <w:rFonts w:ascii="Garamond" w:hAnsi="Garamond"/>
                <w:lang w:val="sq-AL"/>
              </w:rPr>
              <w:t>1: Konsultimi i nivelit të lartë me Autoritetet Kombëtare</w:t>
            </w:r>
          </w:p>
        </w:tc>
        <w:tc>
          <w:tcPr>
            <w:tcW w:w="0" w:type="pct"/>
            <w:tcBorders>
              <w:top w:val="single" w:sz="8" w:space="0" w:color="000000"/>
            </w:tcBorders>
            <w:shd w:val="clear" w:color="auto" w:fill="auto"/>
            <w:vAlign w:val="center"/>
          </w:tcPr>
          <w:p w14:paraId="7AF3A524" w14:textId="77777777"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Përfunduar</w:t>
            </w:r>
          </w:p>
        </w:tc>
      </w:tr>
      <w:tr w:rsidR="002A1F08" w:rsidRPr="00445472" w14:paraId="414740DC" w14:textId="77777777" w:rsidTr="002A1F08">
        <w:tc>
          <w:tcPr>
            <w:tcW w:w="0" w:type="pct"/>
            <w:shd w:val="clear" w:color="auto" w:fill="auto"/>
            <w:vAlign w:val="center"/>
          </w:tcPr>
          <w:p w14:paraId="2E01FB03" w14:textId="77777777"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Faza 2: Konsultimi me Autoritetet Rajonale</w:t>
            </w:r>
          </w:p>
        </w:tc>
        <w:tc>
          <w:tcPr>
            <w:tcW w:w="0" w:type="pct"/>
            <w:shd w:val="clear" w:color="auto" w:fill="auto"/>
            <w:vAlign w:val="center"/>
          </w:tcPr>
          <w:p w14:paraId="1D076F58" w14:textId="77777777"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 xml:space="preserve">Përfunduar </w:t>
            </w:r>
          </w:p>
        </w:tc>
      </w:tr>
      <w:tr w:rsidR="002A1F08" w:rsidRPr="00445472" w14:paraId="417FE803" w14:textId="77777777" w:rsidTr="002A1F08">
        <w:tc>
          <w:tcPr>
            <w:tcW w:w="0" w:type="pct"/>
            <w:shd w:val="clear" w:color="auto" w:fill="auto"/>
            <w:vAlign w:val="center"/>
          </w:tcPr>
          <w:p w14:paraId="6590131C" w14:textId="0E20F985"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Faza</w:t>
            </w:r>
            <w:r w:rsidR="00E73677" w:rsidRPr="00445472">
              <w:rPr>
                <w:rFonts w:ascii="Garamond" w:hAnsi="Garamond"/>
                <w:lang w:val="sq-AL"/>
              </w:rPr>
              <w:t xml:space="preserve"> </w:t>
            </w:r>
            <w:r w:rsidRPr="00445472">
              <w:rPr>
                <w:rFonts w:ascii="Garamond" w:hAnsi="Garamond"/>
                <w:lang w:val="sq-AL"/>
              </w:rPr>
              <w:t>3: Intervistuesit e Informatorëve kyçë</w:t>
            </w:r>
          </w:p>
        </w:tc>
        <w:tc>
          <w:tcPr>
            <w:tcW w:w="0" w:type="pct"/>
            <w:shd w:val="clear" w:color="auto" w:fill="auto"/>
            <w:vAlign w:val="center"/>
          </w:tcPr>
          <w:p w14:paraId="6339F52F" w14:textId="77777777"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 xml:space="preserve">Përfunduar </w:t>
            </w:r>
          </w:p>
        </w:tc>
      </w:tr>
      <w:tr w:rsidR="002A1F08" w:rsidRPr="00445472" w14:paraId="5D824ED9" w14:textId="77777777" w:rsidTr="002A1F08">
        <w:tc>
          <w:tcPr>
            <w:tcW w:w="0" w:type="pct"/>
            <w:shd w:val="clear" w:color="auto" w:fill="auto"/>
            <w:vAlign w:val="center"/>
          </w:tcPr>
          <w:p w14:paraId="62F4900F" w14:textId="77777777"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Faza 4: Fokus Grupi me Njerëz Vulnerabël</w:t>
            </w:r>
          </w:p>
        </w:tc>
        <w:tc>
          <w:tcPr>
            <w:tcW w:w="0" w:type="pct"/>
            <w:shd w:val="clear" w:color="auto" w:fill="auto"/>
            <w:vAlign w:val="center"/>
          </w:tcPr>
          <w:p w14:paraId="5B47688A" w14:textId="77777777" w:rsidR="002A1F08" w:rsidRPr="00445472" w:rsidRDefault="002A1F08" w:rsidP="002A1F08">
            <w:pPr>
              <w:pStyle w:val="TableTextLeft"/>
              <w:spacing w:before="22" w:after="22"/>
              <w:ind w:right="63"/>
              <w:rPr>
                <w:rFonts w:ascii="Garamond" w:hAnsi="Garamond"/>
                <w:lang w:val="sq-AL"/>
              </w:rPr>
            </w:pPr>
            <w:r w:rsidRPr="00445472">
              <w:rPr>
                <w:rFonts w:ascii="Garamond" w:hAnsi="Garamond"/>
                <w:lang w:val="sq-AL"/>
              </w:rPr>
              <w:t xml:space="preserve">Përfunduar </w:t>
            </w:r>
          </w:p>
        </w:tc>
      </w:tr>
    </w:tbl>
    <w:p w14:paraId="6B17B711" w14:textId="77777777" w:rsidR="002A1F08" w:rsidRPr="00445472" w:rsidRDefault="002A1F08" w:rsidP="00A50B99">
      <w:pPr>
        <w:pStyle w:val="TEKSTIIII"/>
      </w:pPr>
    </w:p>
    <w:p w14:paraId="07D6F806" w14:textId="63AED6BC" w:rsidR="002A1F08" w:rsidRPr="00445472" w:rsidRDefault="002A1F08" w:rsidP="00A50B99">
      <w:pPr>
        <w:pStyle w:val="TEKSTIIII"/>
      </w:pPr>
      <w:r w:rsidRPr="00445472">
        <w:t>Të gjitha palët përkatëse të interesit, d</w:t>
      </w:r>
      <w:r w:rsidR="00E73677" w:rsidRPr="00445472">
        <w:t>.</w:t>
      </w:r>
      <w:r w:rsidRPr="00445472">
        <w:t>m</w:t>
      </w:r>
      <w:r w:rsidR="00E73677" w:rsidRPr="00445472">
        <w:t>.</w:t>
      </w:r>
      <w:r w:rsidRPr="00445472">
        <w:t>th</w:t>
      </w:r>
      <w:r w:rsidR="00E73677" w:rsidRPr="00445472">
        <w:t>.,</w:t>
      </w:r>
      <w:r w:rsidRPr="00445472">
        <w:t xml:space="preserve"> ata që ishin përfshirë tashmë në konsultimet paraprake gjatë </w:t>
      </w:r>
      <w:r w:rsidR="00E73677" w:rsidRPr="00445472">
        <w:t>seminareve</w:t>
      </w:r>
      <w:r w:rsidRPr="00445472">
        <w:t xml:space="preserve"> të projektit dhe të reja të identifikuara, u ftuan të marrin pjesë në takime për </w:t>
      </w:r>
      <w:r w:rsidR="00B139CF" w:rsidRPr="00445472">
        <w:t>t’u</w:t>
      </w:r>
      <w:r w:rsidRPr="00445472">
        <w:t xml:space="preserve"> informuar për gjetjet dhe rekomandimet e ekipit të studimit. Lista e detajuar e palëve të interesit jepet në Tabelën 3 si referencë e </w:t>
      </w:r>
      <w:r w:rsidR="000A1B7F" w:rsidRPr="00445472">
        <w:t>draft</w:t>
      </w:r>
      <w:r w:rsidR="000A1B7F">
        <w:t>r</w:t>
      </w:r>
      <w:r w:rsidR="000A1B7F" w:rsidRPr="00445472">
        <w:t>aportit të përkohshëm</w:t>
      </w:r>
      <w:r w:rsidR="000A1B7F">
        <w:t>.</w:t>
      </w:r>
    </w:p>
    <w:p w14:paraId="740940F9" w14:textId="77777777" w:rsidR="00A50B99" w:rsidRPr="00445472" w:rsidRDefault="00A50B99" w:rsidP="00A50B99">
      <w:pPr>
        <w:pStyle w:val="NENTITULL"/>
      </w:pPr>
    </w:p>
    <w:p w14:paraId="5487C2B5" w14:textId="393C98B7" w:rsidR="002A1F08" w:rsidRPr="00445472" w:rsidRDefault="002A1F08" w:rsidP="00A50B99">
      <w:pPr>
        <w:pStyle w:val="NENTITULL"/>
      </w:pPr>
      <w:r w:rsidRPr="00445472">
        <w:t xml:space="preserve">Tabela 3 - Lista e palëve të interesit në nivel kombëtar dhe rajonal në Basenin Ujor </w:t>
      </w:r>
      <w:r w:rsidR="007E76E3" w:rsidRPr="00445472">
        <w:t>Drin–Bunë</w:t>
      </w:r>
    </w:p>
    <w:tbl>
      <w:tblPr>
        <w:tblW w:w="0" w:type="auto"/>
        <w:jc w:val="center"/>
        <w:tblBorders>
          <w:top w:val="single" w:sz="4" w:space="0" w:color="27B1B0"/>
          <w:left w:val="single" w:sz="4" w:space="0" w:color="27B1B0"/>
          <w:bottom w:val="single" w:sz="4" w:space="0" w:color="27B1B0"/>
          <w:right w:val="single" w:sz="4" w:space="0" w:color="27B1B0"/>
          <w:insideH w:val="single" w:sz="4" w:space="0" w:color="27B1B0"/>
          <w:insideV w:val="single" w:sz="4" w:space="0" w:color="27B1B0"/>
        </w:tblBorders>
        <w:tblLook w:val="04A0" w:firstRow="1" w:lastRow="0" w:firstColumn="1" w:lastColumn="0" w:noHBand="0" w:noVBand="1"/>
      </w:tblPr>
      <w:tblGrid>
        <w:gridCol w:w="3627"/>
        <w:gridCol w:w="3561"/>
        <w:gridCol w:w="2099"/>
      </w:tblGrid>
      <w:tr w:rsidR="002A1F08" w:rsidRPr="00445472" w14:paraId="412520B9" w14:textId="77777777" w:rsidTr="002A1F08">
        <w:trPr>
          <w:jc w:val="center"/>
        </w:trPr>
        <w:tc>
          <w:tcPr>
            <w:tcW w:w="10116" w:type="dxa"/>
            <w:gridSpan w:val="3"/>
            <w:shd w:val="clear" w:color="auto" w:fill="auto"/>
            <w:vAlign w:val="center"/>
          </w:tcPr>
          <w:p w14:paraId="774585A6" w14:textId="77777777" w:rsidR="002A1F08" w:rsidRPr="00445472" w:rsidRDefault="002A1F08" w:rsidP="002A1F08">
            <w:pPr>
              <w:spacing w:before="67" w:after="89"/>
              <w:jc w:val="center"/>
              <w:rPr>
                <w:rFonts w:ascii="Garamond" w:hAnsi="Garamond"/>
                <w:b/>
              </w:rPr>
            </w:pPr>
            <w:r w:rsidRPr="00445472">
              <w:rPr>
                <w:rFonts w:ascii="Garamond" w:hAnsi="Garamond"/>
                <w:b/>
              </w:rPr>
              <w:t>Institucionet dhe Palët e Interesit në nivel kombëtar</w:t>
            </w:r>
          </w:p>
        </w:tc>
      </w:tr>
      <w:tr w:rsidR="002A1F08" w:rsidRPr="00445472" w14:paraId="51F0C8DA" w14:textId="77777777" w:rsidTr="002A1F08">
        <w:trPr>
          <w:jc w:val="center"/>
        </w:trPr>
        <w:tc>
          <w:tcPr>
            <w:tcW w:w="0" w:type="auto"/>
            <w:tcBorders>
              <w:right w:val="nil"/>
            </w:tcBorders>
            <w:shd w:val="clear" w:color="auto" w:fill="auto"/>
            <w:vAlign w:val="center"/>
          </w:tcPr>
          <w:p w14:paraId="486536F1"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Bujqësisë,</w:t>
            </w:r>
          </w:p>
          <w:p w14:paraId="6DF99E4E" w14:textId="77777777" w:rsidR="002A1F08" w:rsidRPr="00445472" w:rsidRDefault="002A1F08" w:rsidP="002A1F08">
            <w:pPr>
              <w:pStyle w:val="Bullet1"/>
              <w:numPr>
                <w:ilvl w:val="0"/>
                <w:numId w:val="0"/>
              </w:numPr>
              <w:spacing w:before="33" w:after="33"/>
              <w:ind w:left="159"/>
              <w:rPr>
                <w:rFonts w:ascii="Garamond" w:hAnsi="Garamond"/>
                <w:sz w:val="18"/>
                <w:szCs w:val="18"/>
                <w:lang w:val="sq-AL"/>
              </w:rPr>
            </w:pPr>
            <w:r w:rsidRPr="00445472">
              <w:rPr>
                <w:rFonts w:ascii="Garamond" w:hAnsi="Garamond"/>
                <w:sz w:val="18"/>
                <w:szCs w:val="18"/>
                <w:lang w:val="sq-AL"/>
              </w:rPr>
              <w:t>Zhvillimit Rural dhe Administrimit të Ujërave (aktualisht, Ministria e Bujqësisë dhe</w:t>
            </w:r>
          </w:p>
          <w:p w14:paraId="1C3AFF9D" w14:textId="77777777" w:rsidR="002A1F08" w:rsidRPr="00445472" w:rsidRDefault="002A1F08" w:rsidP="002A1F08">
            <w:pPr>
              <w:pStyle w:val="Bullet1"/>
              <w:numPr>
                <w:ilvl w:val="0"/>
                <w:numId w:val="0"/>
              </w:numPr>
              <w:spacing w:before="33" w:after="33"/>
              <w:ind w:left="159"/>
              <w:rPr>
                <w:rFonts w:ascii="Garamond" w:hAnsi="Garamond"/>
                <w:sz w:val="18"/>
                <w:szCs w:val="18"/>
                <w:lang w:val="sq-AL"/>
              </w:rPr>
            </w:pPr>
            <w:r w:rsidRPr="00445472">
              <w:rPr>
                <w:rFonts w:ascii="Garamond" w:hAnsi="Garamond"/>
                <w:sz w:val="18"/>
                <w:szCs w:val="18"/>
                <w:lang w:val="sq-AL"/>
              </w:rPr>
              <w:t xml:space="preserve">Zhvillimit Rural) </w:t>
            </w:r>
          </w:p>
          <w:p w14:paraId="1E6CE575"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Sekretariati Teknik i Këshillit Kombëtar të Ujit (emri në kohën kur bëhej planifikimi, aktualisht, Agjencia e Menaxhimit të Burimeve Ujore)</w:t>
            </w:r>
          </w:p>
          <w:p w14:paraId="52AB6E8D"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Mjedisit (aktualisht, Ministria e Turizmit dhe Mjedisit)</w:t>
            </w:r>
          </w:p>
          <w:p w14:paraId="15BD0824"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Shëndetësisë (aktualisht, Ministria e Shëndetësisë dhe Mbrojtjes Sociale)</w:t>
            </w:r>
          </w:p>
          <w:p w14:paraId="0FEE1CA8"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Punëve të Brendshme (aktualisht, Ministria e Brendshme)</w:t>
            </w:r>
          </w:p>
          <w:p w14:paraId="3CCE08C3"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Mbrojtjes</w:t>
            </w:r>
          </w:p>
        </w:tc>
        <w:tc>
          <w:tcPr>
            <w:tcW w:w="0" w:type="auto"/>
            <w:tcBorders>
              <w:left w:val="nil"/>
              <w:right w:val="nil"/>
            </w:tcBorders>
            <w:shd w:val="clear" w:color="auto" w:fill="auto"/>
            <w:vAlign w:val="center"/>
          </w:tcPr>
          <w:p w14:paraId="4732EF5D"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Transportit dhe Infrastrukturës (aktualisht, Ministria e  Infrastrukturës dhe Energjisë)</w:t>
            </w:r>
          </w:p>
          <w:p w14:paraId="0815AA6A"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Ministria e Financës (aktualisht, Ministria e Financës dhe Ekonomisë)</w:t>
            </w:r>
          </w:p>
          <w:p w14:paraId="42376000"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 xml:space="preserve">Drejtoria për përfshirjen sociale dhe barazinë gjinore (aktualisht nën Ministrinë e Shëndetësisë dhe Mbrojtjes Sociale) </w:t>
            </w:r>
          </w:p>
          <w:p w14:paraId="616AC261"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Enti Rregullator i Ujit</w:t>
            </w:r>
          </w:p>
          <w:p w14:paraId="57AFF008" w14:textId="7D560924"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Instituti Shqiptar i Gjeo</w:t>
            </w:r>
            <w:r w:rsidR="00E73677" w:rsidRPr="00445472">
              <w:rPr>
                <w:rFonts w:ascii="Garamond" w:hAnsi="Garamond"/>
                <w:sz w:val="18"/>
                <w:szCs w:val="18"/>
                <w:lang w:val="sq-AL"/>
              </w:rPr>
              <w:t>s</w:t>
            </w:r>
            <w:r w:rsidRPr="00445472">
              <w:rPr>
                <w:rFonts w:ascii="Garamond" w:hAnsi="Garamond"/>
                <w:sz w:val="18"/>
                <w:szCs w:val="18"/>
                <w:lang w:val="sq-AL"/>
              </w:rPr>
              <w:t>hkencave, Mjedisit, Ujit dhe Energjisë</w:t>
            </w:r>
          </w:p>
          <w:p w14:paraId="13985939"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Grupi Kryesor i Drinit</w:t>
            </w:r>
          </w:p>
          <w:p w14:paraId="56A38BEA"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Agjencia Kombëtare për Burimet Natyrore</w:t>
            </w:r>
          </w:p>
          <w:p w14:paraId="5B3B704A" w14:textId="77777777" w:rsidR="002A1F08" w:rsidRPr="00445472" w:rsidRDefault="002A1F08" w:rsidP="002A1F08">
            <w:pPr>
              <w:spacing w:before="67" w:after="89"/>
              <w:rPr>
                <w:rFonts w:ascii="Garamond" w:hAnsi="Garamond"/>
                <w:sz w:val="18"/>
                <w:szCs w:val="18"/>
              </w:rPr>
            </w:pPr>
          </w:p>
        </w:tc>
        <w:tc>
          <w:tcPr>
            <w:tcW w:w="0" w:type="auto"/>
            <w:tcBorders>
              <w:left w:val="nil"/>
            </w:tcBorders>
            <w:shd w:val="clear" w:color="auto" w:fill="auto"/>
            <w:vAlign w:val="center"/>
          </w:tcPr>
          <w:p w14:paraId="124FB063" w14:textId="77777777" w:rsidR="002A1F08" w:rsidRPr="00445472" w:rsidRDefault="002A1F08" w:rsidP="002A1F08">
            <w:pPr>
              <w:pStyle w:val="Bullet1"/>
              <w:tabs>
                <w:tab w:val="clear" w:pos="284"/>
                <w:tab w:val="num" w:pos="159"/>
              </w:tabs>
              <w:spacing w:before="0" w:after="33"/>
              <w:ind w:left="159" w:hanging="159"/>
              <w:rPr>
                <w:rFonts w:ascii="Garamond" w:hAnsi="Garamond"/>
                <w:sz w:val="18"/>
                <w:szCs w:val="18"/>
                <w:lang w:val="sq-AL"/>
              </w:rPr>
            </w:pPr>
            <w:r w:rsidRPr="00445472">
              <w:rPr>
                <w:rFonts w:ascii="Garamond" w:hAnsi="Garamond"/>
                <w:sz w:val="18"/>
                <w:szCs w:val="18"/>
                <w:lang w:val="sq-AL"/>
              </w:rPr>
              <w:t>Shërbimi Gjeologjik Shqiptar</w:t>
            </w:r>
          </w:p>
          <w:p w14:paraId="162E6FDA" w14:textId="68A9A5B5" w:rsidR="002A1F08" w:rsidRPr="00445472" w:rsidRDefault="002A1F08" w:rsidP="002A1F08">
            <w:pPr>
              <w:pStyle w:val="Bullet1"/>
              <w:tabs>
                <w:tab w:val="clear" w:pos="284"/>
                <w:tab w:val="num" w:pos="159"/>
              </w:tabs>
              <w:spacing w:before="0" w:after="33"/>
              <w:ind w:left="159" w:hanging="159"/>
              <w:rPr>
                <w:rFonts w:ascii="Garamond" w:hAnsi="Garamond"/>
                <w:sz w:val="18"/>
                <w:szCs w:val="18"/>
                <w:lang w:val="sq-AL"/>
              </w:rPr>
            </w:pPr>
            <w:r w:rsidRPr="00445472">
              <w:rPr>
                <w:rFonts w:ascii="Garamond" w:hAnsi="Garamond"/>
                <w:sz w:val="18"/>
                <w:szCs w:val="18"/>
                <w:lang w:val="sq-AL"/>
              </w:rPr>
              <w:t>Drejtoria e Përgjithshme e Ujësjellës</w:t>
            </w:r>
            <w:r w:rsidR="00E73677" w:rsidRPr="00445472">
              <w:rPr>
                <w:rFonts w:ascii="Garamond" w:hAnsi="Garamond"/>
                <w:sz w:val="18"/>
                <w:szCs w:val="18"/>
                <w:lang w:val="sq-AL"/>
              </w:rPr>
              <w:t>-</w:t>
            </w:r>
            <w:r w:rsidRPr="00445472">
              <w:rPr>
                <w:rFonts w:ascii="Garamond" w:hAnsi="Garamond"/>
                <w:sz w:val="18"/>
                <w:szCs w:val="18"/>
                <w:lang w:val="sq-AL"/>
              </w:rPr>
              <w:t xml:space="preserve"> Kanalizimeve</w:t>
            </w:r>
          </w:p>
          <w:p w14:paraId="0E85C648"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 xml:space="preserve"> Instituti i Shëndetit Publik</w:t>
            </w:r>
          </w:p>
          <w:p w14:paraId="3D146198"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Agjencia Kombëtare e Mjedisit</w:t>
            </w:r>
          </w:p>
        </w:tc>
      </w:tr>
      <w:tr w:rsidR="002A1F08" w:rsidRPr="00445472" w14:paraId="103DEA99" w14:textId="77777777" w:rsidTr="002A1F08">
        <w:trPr>
          <w:jc w:val="center"/>
        </w:trPr>
        <w:tc>
          <w:tcPr>
            <w:tcW w:w="10116" w:type="dxa"/>
            <w:gridSpan w:val="3"/>
            <w:shd w:val="clear" w:color="auto" w:fill="auto"/>
            <w:vAlign w:val="center"/>
          </w:tcPr>
          <w:p w14:paraId="1D563BB9" w14:textId="7BC0D7D1" w:rsidR="002A1F08" w:rsidRPr="00445472" w:rsidRDefault="002A1F08" w:rsidP="002A1F08">
            <w:pPr>
              <w:spacing w:before="67" w:after="89"/>
              <w:jc w:val="center"/>
              <w:rPr>
                <w:rFonts w:ascii="Garamond" w:hAnsi="Garamond"/>
                <w:b/>
              </w:rPr>
            </w:pPr>
            <w:r w:rsidRPr="00445472">
              <w:rPr>
                <w:rFonts w:ascii="Garamond" w:hAnsi="Garamond"/>
                <w:b/>
              </w:rPr>
              <w:t xml:space="preserve">Institucionet dhe </w:t>
            </w:r>
            <w:r w:rsidR="00083C46" w:rsidRPr="00445472">
              <w:rPr>
                <w:rFonts w:ascii="Garamond" w:hAnsi="Garamond"/>
                <w:b/>
              </w:rPr>
              <w:t>palët e in</w:t>
            </w:r>
            <w:r w:rsidRPr="00445472">
              <w:rPr>
                <w:rFonts w:ascii="Garamond" w:hAnsi="Garamond"/>
                <w:b/>
              </w:rPr>
              <w:t xml:space="preserve">teresit në Basenin Ujor </w:t>
            </w:r>
            <w:r w:rsidR="007E76E3" w:rsidRPr="00445472">
              <w:rPr>
                <w:rFonts w:ascii="Garamond" w:hAnsi="Garamond"/>
                <w:b/>
              </w:rPr>
              <w:t>Drin–Bunë</w:t>
            </w:r>
          </w:p>
        </w:tc>
      </w:tr>
      <w:tr w:rsidR="002A1F08" w:rsidRPr="00445472" w14:paraId="3F617294" w14:textId="77777777" w:rsidTr="002A1F08">
        <w:trPr>
          <w:jc w:val="center"/>
        </w:trPr>
        <w:tc>
          <w:tcPr>
            <w:tcW w:w="0" w:type="auto"/>
            <w:tcBorders>
              <w:right w:val="nil"/>
            </w:tcBorders>
            <w:shd w:val="clear" w:color="auto" w:fill="auto"/>
            <w:vAlign w:val="center"/>
          </w:tcPr>
          <w:p w14:paraId="325DA083" w14:textId="302011D2"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 xml:space="preserve">Agjencia e Basenit Ujor (emri në kohën kur bëj planifikimi, aktualisht, Zyra e Administrimit të Basenit Ujor) </w:t>
            </w:r>
            <w:r w:rsidR="007E76E3" w:rsidRPr="00445472">
              <w:rPr>
                <w:rFonts w:ascii="Garamond" w:hAnsi="Garamond"/>
                <w:sz w:val="18"/>
                <w:szCs w:val="18"/>
                <w:lang w:val="sq-AL"/>
              </w:rPr>
              <w:t>Drin–Bunë</w:t>
            </w:r>
          </w:p>
          <w:p w14:paraId="4CE38C85"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Bordi i Ujitjes dhe Kullimit Korçë dhe Lezhë</w:t>
            </w:r>
          </w:p>
          <w:p w14:paraId="5092965E"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Agjencia Rajonale Mjedisore e Lezhës dhe Shkodrës</w:t>
            </w:r>
          </w:p>
        </w:tc>
        <w:tc>
          <w:tcPr>
            <w:tcW w:w="0" w:type="auto"/>
            <w:tcBorders>
              <w:left w:val="nil"/>
              <w:right w:val="nil"/>
            </w:tcBorders>
            <w:shd w:val="clear" w:color="auto" w:fill="auto"/>
            <w:vAlign w:val="center"/>
          </w:tcPr>
          <w:p w14:paraId="229F7C00" w14:textId="50B49223"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 xml:space="preserve">Komunat Dibër, </w:t>
            </w:r>
            <w:r w:rsidR="00852D7A" w:rsidRPr="00445472">
              <w:rPr>
                <w:rFonts w:ascii="Garamond" w:hAnsi="Garamond"/>
                <w:sz w:val="18"/>
                <w:szCs w:val="18"/>
                <w:lang w:val="sq-AL"/>
              </w:rPr>
              <w:t xml:space="preserve">Fushë-Arrëz </w:t>
            </w:r>
            <w:r w:rsidRPr="00445472">
              <w:rPr>
                <w:rFonts w:ascii="Garamond" w:hAnsi="Garamond"/>
                <w:sz w:val="18"/>
                <w:szCs w:val="18"/>
                <w:lang w:val="sq-AL"/>
              </w:rPr>
              <w:t>, Has, Kukës, Lezhë, Librazhd, Malësi e Madhe, Pogradec, Pukë, Pustec, Shkodër, Tropojë, Vau i Dejës</w:t>
            </w:r>
          </w:p>
          <w:p w14:paraId="5B64DC66"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Korporata Hidroenergjetike</w:t>
            </w:r>
          </w:p>
          <w:p w14:paraId="47680B12" w14:textId="77777777" w:rsidR="002A1F08" w:rsidRPr="00445472" w:rsidRDefault="002A1F08" w:rsidP="002A1F08">
            <w:pPr>
              <w:pStyle w:val="Bullet1"/>
              <w:tabs>
                <w:tab w:val="clear" w:pos="284"/>
                <w:tab w:val="num" w:pos="159"/>
              </w:tabs>
              <w:spacing w:before="33" w:after="33"/>
              <w:ind w:left="159" w:hanging="159"/>
              <w:rPr>
                <w:rFonts w:ascii="Garamond" w:hAnsi="Garamond"/>
                <w:sz w:val="18"/>
                <w:szCs w:val="18"/>
                <w:lang w:val="sq-AL"/>
              </w:rPr>
            </w:pPr>
            <w:r w:rsidRPr="00445472">
              <w:rPr>
                <w:rFonts w:ascii="Garamond" w:hAnsi="Garamond"/>
                <w:sz w:val="18"/>
                <w:szCs w:val="18"/>
                <w:lang w:val="sq-AL"/>
              </w:rPr>
              <w:t>Strukturat përgjegjëse për kontrollin e mjedisit, Qarku (ve) të Dibrës, Kukësit, Lezhës dhe Shkodrës</w:t>
            </w:r>
          </w:p>
        </w:tc>
        <w:tc>
          <w:tcPr>
            <w:tcW w:w="0" w:type="auto"/>
            <w:tcBorders>
              <w:left w:val="nil"/>
            </w:tcBorders>
            <w:shd w:val="clear" w:color="auto" w:fill="auto"/>
            <w:vAlign w:val="center"/>
          </w:tcPr>
          <w:p w14:paraId="7D7D9F75" w14:textId="77777777" w:rsidR="002A1F08" w:rsidRPr="00445472" w:rsidRDefault="002A1F08" w:rsidP="002A1F08">
            <w:pPr>
              <w:pStyle w:val="Bullet1"/>
              <w:tabs>
                <w:tab w:val="clear" w:pos="284"/>
                <w:tab w:val="num" w:pos="159"/>
              </w:tabs>
              <w:spacing w:before="33" w:after="33"/>
              <w:ind w:left="159" w:hanging="159"/>
              <w:rPr>
                <w:rFonts w:ascii="Garamond" w:hAnsi="Garamond"/>
                <w:b/>
                <w:sz w:val="18"/>
                <w:szCs w:val="18"/>
                <w:lang w:val="sq-AL"/>
              </w:rPr>
            </w:pPr>
            <w:r w:rsidRPr="00445472">
              <w:rPr>
                <w:rFonts w:ascii="Garamond" w:hAnsi="Garamond"/>
                <w:sz w:val="18"/>
                <w:szCs w:val="18"/>
                <w:lang w:val="sq-AL"/>
              </w:rPr>
              <w:t>Inspektorati shtetëror i shëndetësisë (për të gjitha komunat)</w:t>
            </w:r>
          </w:p>
          <w:p w14:paraId="575B3740" w14:textId="77777777" w:rsidR="002A1F08" w:rsidRPr="00445472" w:rsidRDefault="002A1F08" w:rsidP="002A1F08">
            <w:pPr>
              <w:pStyle w:val="Bullet1"/>
              <w:tabs>
                <w:tab w:val="clear" w:pos="284"/>
                <w:tab w:val="num" w:pos="159"/>
              </w:tabs>
              <w:spacing w:before="33" w:after="33"/>
              <w:ind w:left="159" w:hanging="159"/>
              <w:rPr>
                <w:rFonts w:ascii="Garamond" w:hAnsi="Garamond"/>
                <w:b/>
                <w:sz w:val="18"/>
                <w:szCs w:val="18"/>
                <w:lang w:val="sq-AL"/>
              </w:rPr>
            </w:pPr>
            <w:r w:rsidRPr="00445472">
              <w:rPr>
                <w:rFonts w:ascii="Garamond" w:hAnsi="Garamond"/>
                <w:sz w:val="18"/>
                <w:szCs w:val="18"/>
                <w:lang w:val="sq-AL"/>
              </w:rPr>
              <w:t>Ndërmarrjet e Ujësjellës Kanalizimeve</w:t>
            </w:r>
          </w:p>
          <w:p w14:paraId="616373E1" w14:textId="77777777" w:rsidR="002A1F08" w:rsidRPr="00445472" w:rsidRDefault="002A1F08" w:rsidP="002A1F08">
            <w:pPr>
              <w:pStyle w:val="Bullet1"/>
              <w:numPr>
                <w:ilvl w:val="0"/>
                <w:numId w:val="0"/>
              </w:numPr>
              <w:spacing w:before="33" w:after="33"/>
              <w:rPr>
                <w:rFonts w:ascii="Garamond" w:hAnsi="Garamond"/>
                <w:b/>
                <w:sz w:val="18"/>
                <w:szCs w:val="18"/>
                <w:lang w:val="sq-AL"/>
              </w:rPr>
            </w:pPr>
          </w:p>
        </w:tc>
      </w:tr>
    </w:tbl>
    <w:p w14:paraId="549C220A" w14:textId="77777777" w:rsidR="00A50B99" w:rsidRPr="00445472" w:rsidRDefault="00A50B99" w:rsidP="00A50B99">
      <w:pPr>
        <w:pStyle w:val="TEKSTIIII"/>
      </w:pPr>
      <w:bookmarkStart w:id="359" w:name="_Toc11068912"/>
    </w:p>
    <w:p w14:paraId="18756A90" w14:textId="2560D66B" w:rsidR="002A1F08" w:rsidRPr="00445472" w:rsidRDefault="00A50B99" w:rsidP="00A50B99">
      <w:pPr>
        <w:pStyle w:val="NENTITULL"/>
      </w:pPr>
      <w:r w:rsidRPr="00445472">
        <w:t xml:space="preserve">5.4 </w:t>
      </w:r>
      <w:r w:rsidR="002A1F08" w:rsidRPr="00445472">
        <w:t>Identifikimi i palëve të interesit</w:t>
      </w:r>
      <w:bookmarkEnd w:id="359"/>
    </w:p>
    <w:p w14:paraId="6B85E522" w14:textId="2B2657D1" w:rsidR="002A1F08" w:rsidRPr="00445472" w:rsidRDefault="002A1F08" w:rsidP="00A50B99">
      <w:pPr>
        <w:pStyle w:val="TEKSTIIII"/>
      </w:pPr>
      <w:r w:rsidRPr="00445472">
        <w:t xml:space="preserve">Bazuar në objektivat e </w:t>
      </w:r>
      <w:r w:rsidR="00504992" w:rsidRPr="00445472">
        <w:t>aktiviteteve publike</w:t>
      </w:r>
      <w:r w:rsidRPr="00445472">
        <w:t>, të gjithë palët përkatëse të interesit (ata që tashmë janë të përfshirë në konsultimet paraprake dhe takimet e njoftimit dhe ato të reja të identifikuara gjatë kësaj faze) u ftuan të marrin pjesë në një sërë takimesh me qëllim informimin në lidhje me gjetjet dhe rekomandimet e ekipit të studimit.</w:t>
      </w:r>
    </w:p>
    <w:p w14:paraId="0AB44CDB" w14:textId="77777777" w:rsidR="002A1F08" w:rsidRPr="00445472" w:rsidRDefault="002A1F08" w:rsidP="00A50B99">
      <w:pPr>
        <w:pStyle w:val="TEKSTIIII"/>
      </w:pPr>
      <w:r w:rsidRPr="00445472">
        <w:t>Lista e detajuar e palëve të interesit jepet në fund të kësaj shtojce. Paragrafët më poshtë ofrojnë një pasqyrë të palëve të identifikuara të interesit.</w:t>
      </w:r>
    </w:p>
    <w:p w14:paraId="41F518A4" w14:textId="77777777" w:rsidR="002A1F08" w:rsidRPr="00445472" w:rsidRDefault="002A1F08" w:rsidP="00A50B99">
      <w:pPr>
        <w:pStyle w:val="TEKSTIIII"/>
      </w:pPr>
      <w:r w:rsidRPr="00445472">
        <w:t>Plani i Konsultimit me Palët e Interesuara siguron përfshirjen e pjesëve të SE në nivel kombëtar dhe rajonal (nëpërmjet Informatorëve kyçë dhe fokus grupeve që përfaqësojnë grupin vulnerabël)</w:t>
      </w:r>
    </w:p>
    <w:p w14:paraId="72BF366C" w14:textId="77777777" w:rsidR="002A1F08" w:rsidRPr="00445472" w:rsidRDefault="002A1F08" w:rsidP="00A50B99">
      <w:pPr>
        <w:pStyle w:val="TEKSTIIII"/>
      </w:pPr>
      <w:r w:rsidRPr="00445472">
        <w:t>Fokus Grupi dhe mbledhja e KI-së, përfshijnë shoqatat bujqësore, grupet e përdorimit të ujit, fermerët dhe pjesëmarrësit nga shoqëria civile.</w:t>
      </w:r>
    </w:p>
    <w:p w14:paraId="2C97CE30" w14:textId="5C1CD727" w:rsidR="002A1F08" w:rsidRPr="00445472" w:rsidRDefault="00B369F4" w:rsidP="00A50B99">
      <w:pPr>
        <w:pStyle w:val="TEKSTIIII"/>
      </w:pPr>
      <w:r>
        <w:t xml:space="preserve">- </w:t>
      </w:r>
      <w:r w:rsidR="002A1F08" w:rsidRPr="00445472">
        <w:t>Qeveria Kombëtare</w:t>
      </w:r>
    </w:p>
    <w:p w14:paraId="56CDD224" w14:textId="5976EA27" w:rsidR="002A1F08" w:rsidRPr="00445472" w:rsidRDefault="00B369F4" w:rsidP="00A50B99">
      <w:pPr>
        <w:pStyle w:val="TEKSTIIII"/>
      </w:pPr>
      <w:r>
        <w:t xml:space="preserve">- </w:t>
      </w:r>
      <w:r w:rsidR="002A1F08" w:rsidRPr="00445472">
        <w:t>Qeveria Rajonale dhe Vendore</w:t>
      </w:r>
    </w:p>
    <w:p w14:paraId="31038C97" w14:textId="4201C517" w:rsidR="002A1F08" w:rsidRPr="00445472" w:rsidRDefault="00B369F4" w:rsidP="00A50B99">
      <w:pPr>
        <w:pStyle w:val="TEKSTIIII"/>
      </w:pPr>
      <w:r>
        <w:t xml:space="preserve">- </w:t>
      </w:r>
      <w:r w:rsidR="002A1F08" w:rsidRPr="00445472">
        <w:t>KI dhe Grupet e Fokusit</w:t>
      </w:r>
    </w:p>
    <w:p w14:paraId="70354AB4" w14:textId="58F2E4E9" w:rsidR="002A1F08" w:rsidRPr="00445472" w:rsidRDefault="00B369F4" w:rsidP="00A50B99">
      <w:pPr>
        <w:pStyle w:val="TEKSTIIII"/>
      </w:pPr>
      <w:r>
        <w:t xml:space="preserve">- </w:t>
      </w:r>
      <w:r w:rsidR="002A1F08" w:rsidRPr="00445472">
        <w:t>Organizimi i monitorimit të ujit (resurseve) në Shqipëri është i ndërlikuar, me mbi 20 institucione të ndryshme qeveritare aktualisht të përfshira në grumbullimin e të dhënave për një numër të kufizuar parametrash me mbulim të pjesshëm gjeografik. Menaxhimi i ujërave është organizuar në nivelin e Baseneve Ujore në Shqipëri përmes gjashtë Këshillave të Baseneve Ujore (KBU), secili prej të cilëve ka një Agjenci të Baseneve Ujore (ABU) (emri në kohën kur bëj planifikimi, aktualisht, Zyra e Administrimit të Basenit Ujor - ZABU).</w:t>
      </w:r>
    </w:p>
    <w:p w14:paraId="0D82DA47" w14:textId="3EB3FDBD" w:rsidR="002A1F08" w:rsidRPr="00445472" w:rsidRDefault="00A50B99" w:rsidP="00A50B99">
      <w:pPr>
        <w:pStyle w:val="NENTITULL"/>
      </w:pPr>
      <w:bookmarkStart w:id="360" w:name="_Toc494468358"/>
      <w:bookmarkStart w:id="361" w:name="_Toc11068913"/>
      <w:r w:rsidRPr="00445472">
        <w:t xml:space="preserve">5.5 </w:t>
      </w:r>
      <w:r w:rsidR="002A1F08" w:rsidRPr="00445472">
        <w:t>Takimet e konsultimit dhe trajnimet</w:t>
      </w:r>
      <w:bookmarkEnd w:id="360"/>
      <w:bookmarkEnd w:id="361"/>
    </w:p>
    <w:p w14:paraId="6FFC9C5F" w14:textId="276AEBB3" w:rsidR="002A1F08" w:rsidRPr="00445472" w:rsidRDefault="00A50B99" w:rsidP="00A50B99">
      <w:pPr>
        <w:pStyle w:val="TEKSTIIII"/>
        <w:rPr>
          <w:b/>
        </w:rPr>
      </w:pPr>
      <w:r w:rsidRPr="00445472">
        <w:rPr>
          <w:b/>
        </w:rPr>
        <w:t xml:space="preserve">a) </w:t>
      </w:r>
      <w:r w:rsidR="002A1F08" w:rsidRPr="00445472">
        <w:rPr>
          <w:b/>
        </w:rPr>
        <w:t xml:space="preserve">Takimet e </w:t>
      </w:r>
      <w:r w:rsidR="00083C46" w:rsidRPr="00445472">
        <w:rPr>
          <w:b/>
        </w:rPr>
        <w:t>konsultimit</w:t>
      </w:r>
    </w:p>
    <w:p w14:paraId="4907ECC3" w14:textId="0E7DCFC7" w:rsidR="002A1F08" w:rsidRPr="00445472" w:rsidRDefault="002A1F08" w:rsidP="00A50B99">
      <w:pPr>
        <w:pStyle w:val="TEKSTIIII"/>
      </w:pPr>
      <w:r w:rsidRPr="00445472">
        <w:t xml:space="preserve">Në përputhje me aktivitetet e planifikuara, këto angazhime u </w:t>
      </w:r>
      <w:r w:rsidR="00083C46" w:rsidRPr="00445472">
        <w:t>mbajtën</w:t>
      </w:r>
      <w:r w:rsidRPr="00445472">
        <w:t xml:space="preserve"> gjatë hartimit të PMBU-ve për të marrë në konsideratë mendimet e komenteve nga nivele të ndryshme të grupeve të aktorëve që do të përdoren për finalizimin e PMBU-ve dhe në projektin PMBU-ve për të shpalosur planin për të gjithë aktorët dhe për të mbledhur mendimet dhe komentet e tyre.</w:t>
      </w:r>
    </w:p>
    <w:p w14:paraId="5012BF3E" w14:textId="77777777" w:rsidR="002A1F08" w:rsidRPr="00445472" w:rsidRDefault="002A1F08" w:rsidP="00A50B99">
      <w:pPr>
        <w:pStyle w:val="TEKSTIIII"/>
      </w:pPr>
      <w:r w:rsidRPr="00445472">
        <w:t>U organizuan konsultimet në vijim:</w:t>
      </w:r>
    </w:p>
    <w:p w14:paraId="7A3F9585" w14:textId="7944AB83" w:rsidR="002A1F08" w:rsidRPr="00445472" w:rsidRDefault="00B369F4" w:rsidP="00A50B99">
      <w:pPr>
        <w:pStyle w:val="TEKSTIIII"/>
      </w:pPr>
      <w:r>
        <w:t xml:space="preserve">- </w:t>
      </w:r>
      <w:r w:rsidR="002A1F08" w:rsidRPr="00445472">
        <w:t>Konsultimi ballë për ballë me palët e interesuara në nivel kombëtar. Departamentet e ndryshme përfaqësuese të institucioneve u ftuan të marrin pjesë në të njëjtin takim;</w:t>
      </w:r>
    </w:p>
    <w:p w14:paraId="74581403" w14:textId="5A74BDDE" w:rsidR="002A1F08" w:rsidRPr="00445472" w:rsidRDefault="00B369F4" w:rsidP="00A50B99">
      <w:pPr>
        <w:pStyle w:val="TEKSTIIII"/>
      </w:pPr>
      <w:r>
        <w:t xml:space="preserve">- </w:t>
      </w:r>
      <w:r w:rsidR="002A1F08" w:rsidRPr="00445472">
        <w:t>Takimet plenare në nivel rajonal</w:t>
      </w:r>
      <w:r w:rsidR="001D340B" w:rsidRPr="00445472">
        <w:t>/</w:t>
      </w:r>
      <w:r w:rsidR="002A1F08" w:rsidRPr="00445472">
        <w:t>qarku: takimet u organizuan në nivel rajonal</w:t>
      </w:r>
      <w:r w:rsidR="001D340B" w:rsidRPr="00445472">
        <w:t>/</w:t>
      </w:r>
      <w:r w:rsidR="002A1F08" w:rsidRPr="00445472">
        <w:t>qarku në fushën e studimit të vlerësimit të alternativave;</w:t>
      </w:r>
    </w:p>
    <w:p w14:paraId="7204AB4D" w14:textId="4BA4E276" w:rsidR="002A1F08" w:rsidRPr="00445472" w:rsidRDefault="00B369F4" w:rsidP="00A50B99">
      <w:pPr>
        <w:pStyle w:val="TEKSTIIII"/>
      </w:pPr>
      <w:r>
        <w:t xml:space="preserve">- </w:t>
      </w:r>
      <w:r w:rsidR="002A1F08" w:rsidRPr="00445472">
        <w:t>Intervistat me informatorët kyç;</w:t>
      </w:r>
    </w:p>
    <w:p w14:paraId="382C9EB0" w14:textId="0F90A987" w:rsidR="002A1F08" w:rsidRPr="00445472" w:rsidRDefault="00B369F4" w:rsidP="00A50B99">
      <w:pPr>
        <w:pStyle w:val="TEKSTIIII"/>
      </w:pPr>
      <w:r>
        <w:t xml:space="preserve">- </w:t>
      </w:r>
      <w:r w:rsidR="002A1F08" w:rsidRPr="00445472">
        <w:t>U organizuan Grupet e Fokusit me njerëz vulnerabël për të parë ndikimin e këtij projekti në jetën dhe aktivitetet e tyre të përditshme.</w:t>
      </w:r>
    </w:p>
    <w:p w14:paraId="22D08734" w14:textId="2FF9D229" w:rsidR="002A1F08" w:rsidRPr="00445472" w:rsidRDefault="00A50B99" w:rsidP="00A50B99">
      <w:pPr>
        <w:pStyle w:val="TEKSTIIII"/>
        <w:rPr>
          <w:b/>
        </w:rPr>
      </w:pPr>
      <w:r w:rsidRPr="00445472">
        <w:rPr>
          <w:b/>
        </w:rPr>
        <w:t xml:space="preserve">b) </w:t>
      </w:r>
      <w:r w:rsidR="002A1F08" w:rsidRPr="00445472">
        <w:rPr>
          <w:b/>
        </w:rPr>
        <w:t xml:space="preserve">Sesionet e </w:t>
      </w:r>
      <w:r w:rsidR="00083C46" w:rsidRPr="00445472">
        <w:rPr>
          <w:b/>
        </w:rPr>
        <w:t>trajnimit</w:t>
      </w:r>
    </w:p>
    <w:p w14:paraId="34DF9162" w14:textId="1879329E" w:rsidR="002A1F08" w:rsidRPr="00445472" w:rsidRDefault="002A1F08" w:rsidP="00A50B99">
      <w:pPr>
        <w:pStyle w:val="TEKSTIIII"/>
      </w:pPr>
      <w:r w:rsidRPr="00445472">
        <w:t xml:space="preserve">U organizuan trajnime për të krijuar një mirëkuptim të përbashkët midis palëve të interesuara në menaxhimin e ujërave në lidhje me hapat e kërkuar në zhvillimin e Planit të Menaxhimit të Baseneve Ujore. Këto trajnime do të ndihmojnë në forcimin e kapacitetit të Qeverisë për të menaxhuar burimet ujore si në nivel kombëtar dhe në basenin ujor Drin–Bunë, dhe për të përmirësuar në mënyrë të </w:t>
      </w:r>
      <w:r w:rsidR="00083C46" w:rsidRPr="00445472">
        <w:t>qëndrueshme</w:t>
      </w:r>
      <w:r w:rsidRPr="00445472">
        <w:t xml:space="preserve"> performancën e sistemeve të ujitjes në zonën e projektit. Këto aktivitete u kryhen me balancë gjinore dhe objektivi ynë ishte përfshirja e grave me të paktën 50% pjesëmarrje në këto trajnime.</w:t>
      </w:r>
    </w:p>
    <w:p w14:paraId="7FD93EFB" w14:textId="211862AF" w:rsidR="002A1F08" w:rsidRPr="00445472" w:rsidRDefault="002A1F08" w:rsidP="00A50B99">
      <w:pPr>
        <w:pStyle w:val="TEKSTIIII"/>
      </w:pPr>
      <w:r w:rsidRPr="00445472">
        <w:t xml:space="preserve">Trajnimet iu </w:t>
      </w:r>
      <w:r w:rsidR="00083C46" w:rsidRPr="00445472">
        <w:t>drejtuan,</w:t>
      </w:r>
      <w:r w:rsidRPr="00445472">
        <w:t xml:space="preserve"> gjithashtu</w:t>
      </w:r>
      <w:r w:rsidR="00083C46" w:rsidRPr="00445472">
        <w:t>,</w:t>
      </w:r>
      <w:r w:rsidRPr="00445472">
        <w:t xml:space="preserve"> entiteteve publike rajonale dhe lokale të administratës së ujit. Për të krijuar një pjesëmarrje të ekuilibrit gjinor në këto takime, këtyre subjekteve iu kërkua që të paraqesin listën e të gjithë anëtarëve, pozicioneve dhe gjinisë së çdo departamenti të synuar. Pjesëmarrja në trajnime do të ishte së paku 50% gra. Nëse disa departamente nuk mund ta përmbushin këtë, iu kërkua pjesëmarrja e eksperteve gra nga entitete të tjera dhe shoqëria civile. Ekipi i projektit i dërgoi ftesa palëve të interesuara për pjesëmarrje në trajnimet, zyrtarisht me shkrim dhe gjithashtu me telefon. </w:t>
      </w:r>
    </w:p>
    <w:p w14:paraId="4C520FFB" w14:textId="77777777" w:rsidR="002A1F08" w:rsidRPr="00445472" w:rsidRDefault="002A1F08" w:rsidP="00A50B99">
      <w:pPr>
        <w:pStyle w:val="TEKSTIIII"/>
      </w:pPr>
      <w:r w:rsidRPr="00445472">
        <w:t>Aspektet më të rëndësishme që u sqaruan në trajnime për palët e interesuara, ishin si më poshtë:</w:t>
      </w:r>
    </w:p>
    <w:p w14:paraId="033BE023" w14:textId="3BC45FA8" w:rsidR="002A1F08" w:rsidRPr="00445472" w:rsidRDefault="00B369F4" w:rsidP="00A50B99">
      <w:pPr>
        <w:pStyle w:val="TEKSTIIII"/>
      </w:pPr>
      <w:r>
        <w:t xml:space="preserve">- </w:t>
      </w:r>
      <w:r w:rsidR="002A1F08" w:rsidRPr="00445472">
        <w:t>Çfarë është plani i integruar i menaxhimit të burimeve ujore</w:t>
      </w:r>
      <w:r w:rsidR="00083C46" w:rsidRPr="00445472">
        <w:t>?</w:t>
      </w:r>
    </w:p>
    <w:p w14:paraId="2B124AED" w14:textId="77969209" w:rsidR="002A1F08" w:rsidRPr="00445472" w:rsidRDefault="00B369F4" w:rsidP="00A50B99">
      <w:pPr>
        <w:pStyle w:val="TEKSTIIII"/>
      </w:pPr>
      <w:r>
        <w:t xml:space="preserve">- </w:t>
      </w:r>
      <w:r w:rsidR="002A1F08" w:rsidRPr="00445472">
        <w:t>Çfarë janë Direktiva Kuadër e Ujit, Direktiva e Përmbytjeve etj</w:t>
      </w:r>
      <w:r w:rsidR="00083C46" w:rsidRPr="00445472">
        <w:t>.?</w:t>
      </w:r>
    </w:p>
    <w:p w14:paraId="77D12004" w14:textId="666D5396" w:rsidR="002A1F08" w:rsidRPr="00445472" w:rsidRDefault="00B369F4" w:rsidP="00A50B99">
      <w:pPr>
        <w:pStyle w:val="TEKSTIIII"/>
      </w:pPr>
      <w:r>
        <w:t xml:space="preserve">- </w:t>
      </w:r>
      <w:r w:rsidR="002A1F08" w:rsidRPr="00445472">
        <w:t>Bashkëpunimi institucional, ruajtja, monitorimi dhe ndarja e të dhënave</w:t>
      </w:r>
      <w:r w:rsidR="00083C46" w:rsidRPr="00445472">
        <w:t>.</w:t>
      </w:r>
    </w:p>
    <w:p w14:paraId="2CC639F5" w14:textId="46222AEE" w:rsidR="002A1F08" w:rsidRPr="00445472" w:rsidRDefault="00B369F4" w:rsidP="00A50B99">
      <w:pPr>
        <w:pStyle w:val="TEKSTIIII"/>
      </w:pPr>
      <w:r>
        <w:t xml:space="preserve">- </w:t>
      </w:r>
      <w:r w:rsidR="002A1F08" w:rsidRPr="00445472">
        <w:t>Çfarë është modelimi i ujërave sipërfaqësore dhe nëntokësore</w:t>
      </w:r>
      <w:r w:rsidR="00083C46" w:rsidRPr="00445472">
        <w:t>?</w:t>
      </w:r>
    </w:p>
    <w:p w14:paraId="4BAA3343" w14:textId="0B2C8620" w:rsidR="002A1F08" w:rsidRPr="00445472" w:rsidRDefault="00B369F4" w:rsidP="00A50B99">
      <w:pPr>
        <w:pStyle w:val="TEKSTIIII"/>
      </w:pPr>
      <w:r>
        <w:t xml:space="preserve">- </w:t>
      </w:r>
      <w:r w:rsidR="002A1F08" w:rsidRPr="00445472">
        <w:t>Çfarë është investimi i planifikimit të efikasitetit të kostos</w:t>
      </w:r>
      <w:r w:rsidR="00083C46" w:rsidRPr="00445472">
        <w:t>?</w:t>
      </w:r>
    </w:p>
    <w:p w14:paraId="5B7D6136" w14:textId="27D5B3DF" w:rsidR="002A1F08" w:rsidRPr="00445472" w:rsidRDefault="00B369F4" w:rsidP="00A50B99">
      <w:pPr>
        <w:pStyle w:val="TEKSTIIII"/>
      </w:pPr>
      <w:r>
        <w:t xml:space="preserve">- </w:t>
      </w:r>
      <w:r w:rsidR="002A1F08" w:rsidRPr="00445472">
        <w:t xml:space="preserve">Çfarë do të thotë </w:t>
      </w:r>
      <w:r w:rsidR="00D62EDF" w:rsidRPr="00445472">
        <w:t>“</w:t>
      </w:r>
      <w:r w:rsidR="002A1F08" w:rsidRPr="00445472">
        <w:t>Përdoruesi paguan</w:t>
      </w:r>
      <w:r w:rsidR="00D62EDF" w:rsidRPr="00445472">
        <w:t>”</w:t>
      </w:r>
      <w:r w:rsidR="00083C46" w:rsidRPr="00445472">
        <w:t>?</w:t>
      </w:r>
    </w:p>
    <w:p w14:paraId="74074695" w14:textId="4C622975" w:rsidR="002A1F08" w:rsidRPr="00445472" w:rsidRDefault="00B369F4" w:rsidP="00A50B99">
      <w:pPr>
        <w:pStyle w:val="TEKSTIIII"/>
      </w:pPr>
      <w:r>
        <w:t xml:space="preserve">- </w:t>
      </w:r>
      <w:r w:rsidR="002A1F08" w:rsidRPr="00445472">
        <w:t>Palët e interesit që ishin pjesë e këtyre trajnimeve ishin nga institucionet e mëposhtme:</w:t>
      </w:r>
    </w:p>
    <w:p w14:paraId="562BA688" w14:textId="77777777" w:rsidR="002A1F08" w:rsidRPr="00445472" w:rsidRDefault="002A1F08" w:rsidP="00A50B99">
      <w:pPr>
        <w:pStyle w:val="TEKSTIIII"/>
      </w:pPr>
      <w:r w:rsidRPr="00445472">
        <w:t>ABU (Agjencia e Basenit Ujor - emri në kohën kur bëj planifikimi, aktualisht, Zyra e Administrimit të Basenit Ujor - ZABU)</w:t>
      </w:r>
    </w:p>
    <w:p w14:paraId="63A09887" w14:textId="6CDD573A" w:rsidR="002A1F08" w:rsidRPr="00445472" w:rsidRDefault="00B369F4" w:rsidP="00A50B99">
      <w:pPr>
        <w:pStyle w:val="TEKSTIIII"/>
      </w:pPr>
      <w:r>
        <w:t xml:space="preserve">- </w:t>
      </w:r>
      <w:r w:rsidR="002A1F08" w:rsidRPr="00445472">
        <w:t>KBU</w:t>
      </w:r>
    </w:p>
    <w:p w14:paraId="23086D2E" w14:textId="0268313A" w:rsidR="002A1F08" w:rsidRPr="00445472" w:rsidRDefault="00B369F4" w:rsidP="00A50B99">
      <w:pPr>
        <w:pStyle w:val="TEKSTIIII"/>
      </w:pPr>
      <w:r>
        <w:t xml:space="preserve">- </w:t>
      </w:r>
      <w:r w:rsidR="002A1F08" w:rsidRPr="00445472">
        <w:t>Bashkitë</w:t>
      </w:r>
    </w:p>
    <w:p w14:paraId="15513409" w14:textId="723539EF" w:rsidR="002A1F08" w:rsidRPr="00445472" w:rsidRDefault="00B369F4" w:rsidP="00A50B99">
      <w:pPr>
        <w:pStyle w:val="TEKSTIIII"/>
      </w:pPr>
      <w:r>
        <w:t xml:space="preserve">- </w:t>
      </w:r>
      <w:r w:rsidR="002A1F08" w:rsidRPr="00445472">
        <w:t>Ndërmarrjet e Ujësjellësit</w:t>
      </w:r>
    </w:p>
    <w:p w14:paraId="67460B31" w14:textId="7EFC8B0C" w:rsidR="002A1F08" w:rsidRPr="00445472" w:rsidRDefault="00B369F4" w:rsidP="00A50B99">
      <w:pPr>
        <w:pStyle w:val="TEKSTIIII"/>
      </w:pPr>
      <w:r>
        <w:t xml:space="preserve">- </w:t>
      </w:r>
      <w:r w:rsidR="002A1F08" w:rsidRPr="00445472">
        <w:t>Bordi i Kullimit</w:t>
      </w:r>
    </w:p>
    <w:p w14:paraId="05285369" w14:textId="396F3AA1" w:rsidR="002A1F08" w:rsidRPr="00445472" w:rsidRDefault="00B369F4" w:rsidP="00A50B99">
      <w:pPr>
        <w:pStyle w:val="TEKSTIIII"/>
      </w:pPr>
      <w:r>
        <w:t xml:space="preserve">- </w:t>
      </w:r>
      <w:r w:rsidR="002A1F08" w:rsidRPr="00445472">
        <w:t>SHPU</w:t>
      </w:r>
    </w:p>
    <w:p w14:paraId="7714993D" w14:textId="7B290249" w:rsidR="002A1F08" w:rsidRPr="00445472" w:rsidRDefault="00B369F4" w:rsidP="00A50B99">
      <w:pPr>
        <w:pStyle w:val="TEKSTIIII"/>
      </w:pPr>
      <w:r>
        <w:t xml:space="preserve">- </w:t>
      </w:r>
      <w:r w:rsidR="002A1F08" w:rsidRPr="00445472">
        <w:t>Industritë kryesore të përdorimit të ujit</w:t>
      </w:r>
    </w:p>
    <w:p w14:paraId="6C47BEE8" w14:textId="6F499584" w:rsidR="002A1F08" w:rsidRPr="00445472" w:rsidRDefault="00B369F4" w:rsidP="00A50B99">
      <w:pPr>
        <w:pStyle w:val="TEKSTIIII"/>
      </w:pPr>
      <w:r>
        <w:t xml:space="preserve">- </w:t>
      </w:r>
      <w:r w:rsidR="002A1F08" w:rsidRPr="00445472">
        <w:t>Agjencia Rajonale e Mjedisit</w:t>
      </w:r>
    </w:p>
    <w:p w14:paraId="1773ACF7" w14:textId="74F9D17A" w:rsidR="002A1F08" w:rsidRPr="00445472" w:rsidRDefault="00B369F4" w:rsidP="00A50B99">
      <w:pPr>
        <w:pStyle w:val="TEKSTIIII"/>
      </w:pPr>
      <w:r>
        <w:t xml:space="preserve">- </w:t>
      </w:r>
      <w:r w:rsidR="002A1F08" w:rsidRPr="00445472">
        <w:t>Autoriteti Rajonal Shëndetësor</w:t>
      </w:r>
    </w:p>
    <w:p w14:paraId="4BBF3BBF" w14:textId="2EE61E25" w:rsidR="002A1F08" w:rsidRPr="00445472" w:rsidRDefault="00B369F4" w:rsidP="00A50B99">
      <w:pPr>
        <w:pStyle w:val="TEKSTIIII"/>
      </w:pPr>
      <w:r>
        <w:t xml:space="preserve">- </w:t>
      </w:r>
      <w:r w:rsidR="002A1F08" w:rsidRPr="00445472">
        <w:t>Departamenti i Politikës së Ujit</w:t>
      </w:r>
    </w:p>
    <w:p w14:paraId="0263FB30" w14:textId="4D1F4FC7" w:rsidR="002A1F08" w:rsidRPr="00445472" w:rsidRDefault="00B369F4" w:rsidP="00A50B99">
      <w:pPr>
        <w:pStyle w:val="TEKSTIIII"/>
      </w:pPr>
      <w:r>
        <w:t xml:space="preserve">- </w:t>
      </w:r>
      <w:r w:rsidR="002A1F08" w:rsidRPr="00445472">
        <w:t>Sekretariati Teknik i Këshillit Kombëtar të Ujit</w:t>
      </w:r>
    </w:p>
    <w:p w14:paraId="50A80A06" w14:textId="45445312" w:rsidR="002A1F08" w:rsidRPr="00445472" w:rsidRDefault="00B369F4" w:rsidP="00A50B99">
      <w:pPr>
        <w:pStyle w:val="TEKSTIIII"/>
      </w:pPr>
      <w:r>
        <w:t xml:space="preserve">- </w:t>
      </w:r>
      <w:r w:rsidR="002A1F08" w:rsidRPr="00445472">
        <w:t xml:space="preserve">Shoqëria </w:t>
      </w:r>
      <w:r w:rsidR="00083C46" w:rsidRPr="00445472">
        <w:t>civile</w:t>
      </w:r>
    </w:p>
    <w:p w14:paraId="59955AC0" w14:textId="77777777" w:rsidR="002A1F08" w:rsidRPr="00445472" w:rsidRDefault="002A1F08" w:rsidP="00AF78C3">
      <w:pPr>
        <w:pStyle w:val="NENTITULL"/>
        <w:rPr>
          <w:rStyle w:val="mw-headline"/>
        </w:rPr>
      </w:pPr>
    </w:p>
    <w:p w14:paraId="51C76F09" w14:textId="77777777" w:rsidR="002A1F08" w:rsidRPr="00445472" w:rsidRDefault="002A1F08" w:rsidP="00AF78C3">
      <w:pPr>
        <w:pStyle w:val="NENTITULL"/>
        <w:rPr>
          <w:rStyle w:val="mw-headline"/>
        </w:rPr>
      </w:pPr>
      <w:r w:rsidRPr="00445472">
        <w:rPr>
          <w:rStyle w:val="mw-headline"/>
        </w:rPr>
        <w:t>Tabela 4 - Aktivitete Përgatitore</w:t>
      </w:r>
    </w:p>
    <w:tbl>
      <w:tblPr>
        <w:tblW w:w="5000" w:type="pct"/>
        <w:tblBorders>
          <w:insideH w:val="single" w:sz="2" w:space="0" w:color="000000"/>
        </w:tblBorders>
        <w:tblLook w:val="04A0" w:firstRow="1" w:lastRow="0" w:firstColumn="1" w:lastColumn="0" w:noHBand="0" w:noVBand="1"/>
      </w:tblPr>
      <w:tblGrid>
        <w:gridCol w:w="4508"/>
        <w:gridCol w:w="2712"/>
        <w:gridCol w:w="2067"/>
      </w:tblGrid>
      <w:tr w:rsidR="002A1F08" w:rsidRPr="00445472" w14:paraId="69320BBB" w14:textId="77777777" w:rsidTr="00083C46">
        <w:trPr>
          <w:trHeight w:hRule="exact" w:val="330"/>
          <w:tblHeader/>
        </w:trPr>
        <w:tc>
          <w:tcPr>
            <w:tcW w:w="2427" w:type="pct"/>
            <w:shd w:val="clear" w:color="auto" w:fill="auto"/>
            <w:vAlign w:val="center"/>
            <w:hideMark/>
          </w:tcPr>
          <w:p w14:paraId="6AFB8CB3" w14:textId="77777777" w:rsidR="002A1F08" w:rsidRPr="00445472" w:rsidRDefault="002A1F08" w:rsidP="002A1F08">
            <w:pPr>
              <w:spacing w:before="67" w:after="89"/>
              <w:rPr>
                <w:rFonts w:ascii="Garamond" w:hAnsi="Garamond" w:cs="Arial"/>
                <w:b/>
                <w:bCs/>
                <w:iCs/>
                <w:sz w:val="18"/>
                <w:szCs w:val="18"/>
              </w:rPr>
            </w:pPr>
            <w:r w:rsidRPr="00445472">
              <w:rPr>
                <w:rFonts w:ascii="Garamond" w:hAnsi="Garamond" w:cs="Arial"/>
                <w:b/>
                <w:bCs/>
                <w:iCs/>
                <w:sz w:val="18"/>
                <w:szCs w:val="18"/>
              </w:rPr>
              <w:t>Aktivitete</w:t>
            </w:r>
          </w:p>
        </w:tc>
        <w:tc>
          <w:tcPr>
            <w:tcW w:w="1460" w:type="pct"/>
            <w:shd w:val="clear" w:color="auto" w:fill="auto"/>
            <w:vAlign w:val="center"/>
            <w:hideMark/>
          </w:tcPr>
          <w:p w14:paraId="4F51A676" w14:textId="77777777" w:rsidR="002A1F08" w:rsidRPr="00445472" w:rsidRDefault="002A1F08" w:rsidP="002A1F08">
            <w:pPr>
              <w:spacing w:before="67" w:after="89"/>
              <w:ind w:firstLineChars="100" w:firstLine="181"/>
              <w:rPr>
                <w:rFonts w:ascii="Garamond" w:hAnsi="Garamond" w:cs="Arial"/>
                <w:b/>
                <w:bCs/>
                <w:iCs/>
                <w:sz w:val="18"/>
                <w:szCs w:val="18"/>
              </w:rPr>
            </w:pPr>
            <w:r w:rsidRPr="00445472">
              <w:rPr>
                <w:rFonts w:ascii="Garamond" w:hAnsi="Garamond" w:cs="Arial"/>
                <w:b/>
                <w:bCs/>
                <w:iCs/>
                <w:sz w:val="18"/>
                <w:szCs w:val="18"/>
              </w:rPr>
              <w:t>Afati</w:t>
            </w:r>
          </w:p>
        </w:tc>
        <w:tc>
          <w:tcPr>
            <w:tcW w:w="1114" w:type="pct"/>
            <w:shd w:val="clear" w:color="auto" w:fill="auto"/>
            <w:vAlign w:val="center"/>
            <w:hideMark/>
          </w:tcPr>
          <w:p w14:paraId="0A6BEB64" w14:textId="77777777" w:rsidR="002A1F08" w:rsidRPr="00445472" w:rsidRDefault="002A1F08" w:rsidP="002A1F08">
            <w:pPr>
              <w:spacing w:before="67" w:after="89"/>
              <w:ind w:firstLineChars="200" w:firstLine="361"/>
              <w:rPr>
                <w:rFonts w:ascii="Garamond" w:hAnsi="Garamond" w:cs="Arial"/>
                <w:b/>
                <w:bCs/>
                <w:iCs/>
                <w:sz w:val="18"/>
                <w:szCs w:val="18"/>
              </w:rPr>
            </w:pPr>
            <w:r w:rsidRPr="00445472">
              <w:rPr>
                <w:rFonts w:ascii="Garamond" w:hAnsi="Garamond" w:cs="Arial"/>
                <w:b/>
                <w:bCs/>
                <w:iCs/>
                <w:sz w:val="18"/>
                <w:szCs w:val="18"/>
              </w:rPr>
              <w:t>Përgjegjës</w:t>
            </w:r>
          </w:p>
        </w:tc>
      </w:tr>
      <w:tr w:rsidR="002A1F08" w:rsidRPr="00445472" w14:paraId="4B7B4D19" w14:textId="77777777" w:rsidTr="00AF78C3">
        <w:trPr>
          <w:trHeight w:hRule="exact" w:val="300"/>
        </w:trPr>
        <w:tc>
          <w:tcPr>
            <w:tcW w:w="5000" w:type="pct"/>
            <w:gridSpan w:val="3"/>
            <w:shd w:val="clear" w:color="auto" w:fill="D9D9D9"/>
            <w:vAlign w:val="center"/>
            <w:hideMark/>
          </w:tcPr>
          <w:p w14:paraId="3FF8EBCF" w14:textId="77777777" w:rsidR="002A1F08" w:rsidRPr="00445472" w:rsidRDefault="002A1F08" w:rsidP="002A1F08">
            <w:pPr>
              <w:spacing w:before="67" w:after="89"/>
              <w:rPr>
                <w:rFonts w:ascii="Garamond" w:hAnsi="Garamond" w:cs="Arial"/>
                <w:iCs/>
                <w:sz w:val="18"/>
                <w:szCs w:val="18"/>
              </w:rPr>
            </w:pPr>
            <w:r w:rsidRPr="00445472">
              <w:rPr>
                <w:rFonts w:ascii="Garamond" w:hAnsi="Garamond" w:cs="Arial"/>
                <w:iCs/>
                <w:sz w:val="18"/>
                <w:szCs w:val="18"/>
              </w:rPr>
              <w:t xml:space="preserve">  1. Përgatitja e listës së grupeve të interesit</w:t>
            </w:r>
          </w:p>
        </w:tc>
      </w:tr>
      <w:tr w:rsidR="002A1F08" w:rsidRPr="00445472" w14:paraId="40711408" w14:textId="77777777" w:rsidTr="00083C46">
        <w:trPr>
          <w:trHeight w:hRule="exact" w:val="568"/>
        </w:trPr>
        <w:tc>
          <w:tcPr>
            <w:tcW w:w="2427" w:type="pct"/>
            <w:shd w:val="clear" w:color="auto" w:fill="auto"/>
            <w:vAlign w:val="center"/>
            <w:hideMark/>
          </w:tcPr>
          <w:p w14:paraId="54499D4F"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1.1 P</w:t>
            </w:r>
            <w:r w:rsidRPr="00445472">
              <w:rPr>
                <w:rFonts w:ascii="Garamond" w:hAnsi="Garamond" w:cs="Arial"/>
                <w:iCs/>
                <w:sz w:val="18"/>
                <w:szCs w:val="18"/>
              </w:rPr>
              <w:t>ërgatitja e listës së grupeve kombëtare të interesit</w:t>
            </w:r>
          </w:p>
        </w:tc>
        <w:tc>
          <w:tcPr>
            <w:tcW w:w="1460" w:type="pct"/>
            <w:shd w:val="clear" w:color="auto" w:fill="auto"/>
            <w:vAlign w:val="center"/>
            <w:hideMark/>
          </w:tcPr>
          <w:p w14:paraId="2724C8C0"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49363A8D" w14:textId="1523D48C"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 xml:space="preserve">Ekipi i </w:t>
            </w:r>
            <w:r w:rsidR="00083C46" w:rsidRPr="00445472">
              <w:rPr>
                <w:rFonts w:ascii="Garamond" w:hAnsi="Garamond" w:cs="Arial"/>
                <w:sz w:val="18"/>
                <w:szCs w:val="18"/>
              </w:rPr>
              <w:t>projektit</w:t>
            </w:r>
          </w:p>
        </w:tc>
      </w:tr>
      <w:tr w:rsidR="002A1F08" w:rsidRPr="00445472" w14:paraId="4B4FA614" w14:textId="77777777" w:rsidTr="00083C46">
        <w:trPr>
          <w:trHeight w:hRule="exact" w:val="655"/>
        </w:trPr>
        <w:tc>
          <w:tcPr>
            <w:tcW w:w="2427" w:type="pct"/>
            <w:shd w:val="clear" w:color="auto" w:fill="auto"/>
            <w:vAlign w:val="center"/>
            <w:hideMark/>
          </w:tcPr>
          <w:p w14:paraId="4D1A4475"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1.2 P</w:t>
            </w:r>
            <w:r w:rsidRPr="00445472">
              <w:rPr>
                <w:rFonts w:ascii="Garamond" w:hAnsi="Garamond" w:cs="Arial"/>
                <w:iCs/>
                <w:sz w:val="18"/>
                <w:szCs w:val="18"/>
              </w:rPr>
              <w:t xml:space="preserve">ërgatitja e listës së grupeve përkatëse </w:t>
            </w:r>
            <w:r w:rsidRPr="00445472">
              <w:rPr>
                <w:rFonts w:ascii="Garamond" w:hAnsi="Garamond" w:cs="Arial"/>
                <w:sz w:val="18"/>
                <w:szCs w:val="18"/>
              </w:rPr>
              <w:t>rajonale/lokale t</w:t>
            </w:r>
            <w:r w:rsidRPr="00445472">
              <w:rPr>
                <w:rFonts w:ascii="Garamond" w:hAnsi="Garamond" w:cs="Arial"/>
                <w:iCs/>
                <w:sz w:val="18"/>
                <w:szCs w:val="18"/>
              </w:rPr>
              <w:t xml:space="preserve">ë interesit </w:t>
            </w:r>
          </w:p>
        </w:tc>
        <w:tc>
          <w:tcPr>
            <w:tcW w:w="1460" w:type="pct"/>
            <w:shd w:val="clear" w:color="auto" w:fill="auto"/>
            <w:vAlign w:val="center"/>
          </w:tcPr>
          <w:p w14:paraId="03C11646"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21801FC6" w14:textId="5476821A" w:rsidR="002A1F08" w:rsidRPr="00445472" w:rsidRDefault="002A1F08" w:rsidP="002A1F08">
            <w:pPr>
              <w:spacing w:before="67" w:after="89"/>
              <w:rPr>
                <w:rFonts w:ascii="Garamond" w:hAnsi="Garamond"/>
              </w:rPr>
            </w:pPr>
            <w:r w:rsidRPr="00445472">
              <w:rPr>
                <w:rFonts w:ascii="Garamond" w:hAnsi="Garamond" w:cs="Arial"/>
                <w:sz w:val="18"/>
                <w:szCs w:val="18"/>
              </w:rPr>
              <w:t xml:space="preserve">Ekipi i </w:t>
            </w:r>
            <w:r w:rsidR="00083C46" w:rsidRPr="00445472">
              <w:rPr>
                <w:rFonts w:ascii="Garamond" w:hAnsi="Garamond" w:cs="Arial"/>
                <w:sz w:val="18"/>
                <w:szCs w:val="18"/>
              </w:rPr>
              <w:t>projektit</w:t>
            </w:r>
          </w:p>
        </w:tc>
      </w:tr>
      <w:tr w:rsidR="002A1F08" w:rsidRPr="00445472" w14:paraId="2C78F6B0" w14:textId="77777777" w:rsidTr="00083C46">
        <w:trPr>
          <w:trHeight w:hRule="exact" w:val="707"/>
        </w:trPr>
        <w:tc>
          <w:tcPr>
            <w:tcW w:w="2427" w:type="pct"/>
            <w:shd w:val="clear" w:color="auto" w:fill="auto"/>
            <w:vAlign w:val="center"/>
            <w:hideMark/>
          </w:tcPr>
          <w:p w14:paraId="49A31B1E"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 xml:space="preserve">1.3 Përgatitja e listës së informatorëve kyçë dhe fokus grupeve përkatëse </w:t>
            </w:r>
          </w:p>
        </w:tc>
        <w:tc>
          <w:tcPr>
            <w:tcW w:w="1460" w:type="pct"/>
            <w:shd w:val="clear" w:color="auto" w:fill="auto"/>
            <w:vAlign w:val="center"/>
            <w:hideMark/>
          </w:tcPr>
          <w:p w14:paraId="11541D2D"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62F00191" w14:textId="57FA3A00" w:rsidR="002A1F08" w:rsidRPr="00445472" w:rsidRDefault="002A1F08" w:rsidP="002A1F08">
            <w:pPr>
              <w:spacing w:before="67" w:after="89"/>
              <w:rPr>
                <w:rFonts w:ascii="Garamond" w:hAnsi="Garamond"/>
              </w:rPr>
            </w:pPr>
            <w:r w:rsidRPr="00445472">
              <w:rPr>
                <w:rFonts w:ascii="Garamond" w:hAnsi="Garamond" w:cs="Arial"/>
                <w:sz w:val="18"/>
                <w:szCs w:val="18"/>
              </w:rPr>
              <w:t xml:space="preserve">Ekipi i </w:t>
            </w:r>
            <w:r w:rsidR="00083C46" w:rsidRPr="00445472">
              <w:rPr>
                <w:rFonts w:ascii="Garamond" w:hAnsi="Garamond" w:cs="Arial"/>
                <w:sz w:val="18"/>
                <w:szCs w:val="18"/>
              </w:rPr>
              <w:t>p</w:t>
            </w:r>
            <w:r w:rsidRPr="00445472">
              <w:rPr>
                <w:rFonts w:ascii="Garamond" w:hAnsi="Garamond" w:cs="Arial"/>
                <w:sz w:val="18"/>
                <w:szCs w:val="18"/>
              </w:rPr>
              <w:t>rojektit</w:t>
            </w:r>
          </w:p>
        </w:tc>
      </w:tr>
      <w:tr w:rsidR="002A1F08" w:rsidRPr="00445472" w14:paraId="098F2BF9" w14:textId="77777777" w:rsidTr="00AF78C3">
        <w:trPr>
          <w:trHeight w:hRule="exact" w:val="315"/>
        </w:trPr>
        <w:tc>
          <w:tcPr>
            <w:tcW w:w="5000" w:type="pct"/>
            <w:gridSpan w:val="3"/>
            <w:shd w:val="clear" w:color="auto" w:fill="D9D9D9"/>
            <w:vAlign w:val="center"/>
            <w:hideMark/>
          </w:tcPr>
          <w:p w14:paraId="379C7DB4" w14:textId="77777777" w:rsidR="002A1F08" w:rsidRPr="00445472" w:rsidRDefault="002A1F08" w:rsidP="002A1F08">
            <w:pPr>
              <w:spacing w:before="67" w:after="89"/>
              <w:rPr>
                <w:rFonts w:ascii="Garamond" w:hAnsi="Garamond" w:cs="Arial"/>
                <w:iCs/>
                <w:sz w:val="18"/>
                <w:szCs w:val="18"/>
              </w:rPr>
            </w:pPr>
            <w:r w:rsidRPr="00445472">
              <w:rPr>
                <w:rFonts w:ascii="Garamond" w:hAnsi="Garamond" w:cs="Arial"/>
                <w:iCs/>
                <w:sz w:val="18"/>
                <w:szCs w:val="18"/>
              </w:rPr>
              <w:t xml:space="preserve">  2. P</w:t>
            </w:r>
            <w:r w:rsidRPr="00445472">
              <w:rPr>
                <w:rFonts w:ascii="Garamond" w:hAnsi="Garamond" w:cs="Arial"/>
                <w:sz w:val="18"/>
                <w:szCs w:val="18"/>
              </w:rPr>
              <w:t>ërgatitja e mbledhjeve kokë më kokë me autoritetet shtetërore kombëtare</w:t>
            </w:r>
            <w:r w:rsidRPr="00445472">
              <w:rPr>
                <w:rFonts w:ascii="Garamond" w:hAnsi="Garamond" w:cs="Arial"/>
                <w:iCs/>
                <w:sz w:val="18"/>
                <w:szCs w:val="18"/>
              </w:rPr>
              <w:t>/rajonale</w:t>
            </w:r>
          </w:p>
        </w:tc>
      </w:tr>
      <w:tr w:rsidR="002A1F08" w:rsidRPr="00445472" w14:paraId="1E09A8CC" w14:textId="77777777" w:rsidTr="00083C46">
        <w:trPr>
          <w:trHeight w:hRule="exact" w:val="538"/>
        </w:trPr>
        <w:tc>
          <w:tcPr>
            <w:tcW w:w="2427" w:type="pct"/>
            <w:shd w:val="clear" w:color="auto" w:fill="auto"/>
            <w:vAlign w:val="center"/>
            <w:hideMark/>
          </w:tcPr>
          <w:p w14:paraId="5496B12B" w14:textId="2530E337" w:rsidR="002A1F08" w:rsidRPr="00445472" w:rsidRDefault="002A1F08" w:rsidP="002A1F08">
            <w:pPr>
              <w:spacing w:before="67" w:after="89"/>
              <w:rPr>
                <w:rFonts w:ascii="Garamond" w:hAnsi="Garamond" w:cs="Arial"/>
                <w:sz w:val="18"/>
                <w:szCs w:val="18"/>
              </w:rPr>
            </w:pPr>
            <w:r w:rsidRPr="00445472">
              <w:rPr>
                <w:rFonts w:ascii="Garamond" w:eastAsia="Arial" w:hAnsi="Garamond" w:cs="Arial"/>
                <w:sz w:val="18"/>
                <w:szCs w:val="18"/>
              </w:rPr>
              <w:t>2.1 D</w:t>
            </w:r>
            <w:r w:rsidR="00034FBB">
              <w:rPr>
                <w:rFonts w:ascii="Garamond" w:hAnsi="Garamond" w:cs="Arial"/>
                <w:sz w:val="18"/>
                <w:szCs w:val="18"/>
              </w:rPr>
              <w:t>ërgimi i letrës te</w:t>
            </w:r>
            <w:r w:rsidRPr="00445472">
              <w:rPr>
                <w:rFonts w:ascii="Garamond" w:hAnsi="Garamond" w:cs="Arial"/>
                <w:sz w:val="18"/>
                <w:szCs w:val="18"/>
              </w:rPr>
              <w:t xml:space="preserve"> të gjithë grupet e interesit</w:t>
            </w:r>
          </w:p>
        </w:tc>
        <w:tc>
          <w:tcPr>
            <w:tcW w:w="1460" w:type="pct"/>
            <w:vMerge w:val="restart"/>
            <w:shd w:val="clear" w:color="auto" w:fill="auto"/>
            <w:vAlign w:val="center"/>
            <w:hideMark/>
          </w:tcPr>
          <w:p w14:paraId="3417A3ED" w14:textId="77777777" w:rsidR="002A1F08" w:rsidRPr="00445472" w:rsidRDefault="002A1F08" w:rsidP="002A1F08">
            <w:pPr>
              <w:tabs>
                <w:tab w:val="left" w:pos="2096"/>
              </w:tabs>
              <w:spacing w:before="67" w:after="89"/>
              <w:ind w:right="-261"/>
              <w:rPr>
                <w:rFonts w:ascii="Garamond" w:hAnsi="Garamond" w:cs="Arial"/>
                <w:sz w:val="18"/>
                <w:szCs w:val="18"/>
              </w:rPr>
            </w:pPr>
            <w:r w:rsidRPr="00445472">
              <w:rPr>
                <w:rFonts w:ascii="Garamond" w:hAnsi="Garamond" w:cs="Arial"/>
                <w:sz w:val="18"/>
                <w:szCs w:val="18"/>
              </w:rPr>
              <w:t>Përgatitja e ftesave për të shpjeguar qëllimin e vendit të mbledhjes</w:t>
            </w:r>
          </w:p>
        </w:tc>
        <w:tc>
          <w:tcPr>
            <w:tcW w:w="1114" w:type="pct"/>
            <w:shd w:val="clear" w:color="auto" w:fill="auto"/>
            <w:vAlign w:val="center"/>
            <w:hideMark/>
          </w:tcPr>
          <w:p w14:paraId="09F884C1" w14:textId="3B60FB9D" w:rsidR="002A1F08" w:rsidRPr="00445472" w:rsidRDefault="002A1F08" w:rsidP="002A1F08">
            <w:pPr>
              <w:spacing w:before="67" w:after="89"/>
              <w:ind w:left="-393" w:firstLine="393"/>
              <w:rPr>
                <w:rFonts w:ascii="Garamond" w:hAnsi="Garamond"/>
              </w:rPr>
            </w:pPr>
            <w:r w:rsidRPr="00445472">
              <w:rPr>
                <w:rFonts w:ascii="Garamond" w:hAnsi="Garamond" w:cs="Arial"/>
                <w:sz w:val="18"/>
                <w:szCs w:val="18"/>
              </w:rPr>
              <w:t>Klienti</w:t>
            </w:r>
            <w:r w:rsidR="001D340B" w:rsidRPr="00445472">
              <w:rPr>
                <w:rFonts w:ascii="Garamond" w:hAnsi="Garamond" w:cs="Arial"/>
                <w:sz w:val="18"/>
                <w:szCs w:val="18"/>
              </w:rPr>
              <w:t>/</w:t>
            </w:r>
            <w:r w:rsidRPr="00445472">
              <w:rPr>
                <w:rFonts w:ascii="Garamond" w:hAnsi="Garamond" w:cs="Arial"/>
                <w:sz w:val="18"/>
                <w:szCs w:val="18"/>
              </w:rPr>
              <w:t xml:space="preserve">Ekipi i </w:t>
            </w:r>
            <w:r w:rsidR="00083C46" w:rsidRPr="00445472">
              <w:rPr>
                <w:rFonts w:ascii="Garamond" w:hAnsi="Garamond" w:cs="Arial"/>
                <w:sz w:val="18"/>
                <w:szCs w:val="18"/>
              </w:rPr>
              <w:t>p</w:t>
            </w:r>
            <w:r w:rsidRPr="00445472">
              <w:rPr>
                <w:rFonts w:ascii="Garamond" w:hAnsi="Garamond" w:cs="Arial"/>
                <w:sz w:val="18"/>
                <w:szCs w:val="18"/>
              </w:rPr>
              <w:t>rojektit</w:t>
            </w:r>
          </w:p>
        </w:tc>
      </w:tr>
      <w:tr w:rsidR="002A1F08" w:rsidRPr="00445472" w14:paraId="3AB5A37A" w14:textId="77777777" w:rsidTr="00083C46">
        <w:trPr>
          <w:trHeight w:val="710"/>
        </w:trPr>
        <w:tc>
          <w:tcPr>
            <w:tcW w:w="2427" w:type="pct"/>
            <w:shd w:val="clear" w:color="auto" w:fill="auto"/>
            <w:vAlign w:val="center"/>
            <w:hideMark/>
          </w:tcPr>
          <w:p w14:paraId="739D54ED" w14:textId="77777777" w:rsidR="002A1F08" w:rsidRPr="00445472" w:rsidRDefault="002A1F08" w:rsidP="002A1F08">
            <w:pPr>
              <w:spacing w:before="67" w:after="89"/>
              <w:rPr>
                <w:rFonts w:ascii="Garamond" w:hAnsi="Garamond" w:cs="Arial"/>
                <w:sz w:val="18"/>
                <w:szCs w:val="18"/>
              </w:rPr>
            </w:pPr>
            <w:r w:rsidRPr="00445472">
              <w:rPr>
                <w:rFonts w:ascii="Garamond" w:eastAsia="Arial" w:hAnsi="Garamond" w:cs="Arial"/>
                <w:sz w:val="18"/>
                <w:szCs w:val="18"/>
              </w:rPr>
              <w:t>2.2 D</w:t>
            </w:r>
            <w:r w:rsidRPr="00445472">
              <w:rPr>
                <w:rFonts w:ascii="Garamond" w:hAnsi="Garamond" w:cs="Arial"/>
                <w:sz w:val="18"/>
                <w:szCs w:val="18"/>
              </w:rPr>
              <w:t>ërgimi i letrave të kërkesave për mbledhje te grupet kombëtare të interesit</w:t>
            </w:r>
            <w:r w:rsidRPr="00445472">
              <w:rPr>
                <w:rFonts w:ascii="Garamond" w:eastAsia="Arial" w:hAnsi="Garamond" w:cs="Arial"/>
                <w:sz w:val="18"/>
                <w:szCs w:val="18"/>
              </w:rPr>
              <w:t>.</w:t>
            </w:r>
          </w:p>
        </w:tc>
        <w:tc>
          <w:tcPr>
            <w:tcW w:w="1460" w:type="pct"/>
            <w:vMerge/>
            <w:vAlign w:val="center"/>
            <w:hideMark/>
          </w:tcPr>
          <w:p w14:paraId="75CFF87D"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467CBEEF" w14:textId="67D39B85" w:rsidR="002A1F08" w:rsidRPr="00445472" w:rsidRDefault="002A1F08" w:rsidP="002A1F08">
            <w:pPr>
              <w:spacing w:before="67" w:after="89"/>
              <w:rPr>
                <w:rFonts w:ascii="Garamond" w:hAnsi="Garamond"/>
              </w:rPr>
            </w:pPr>
            <w:r w:rsidRPr="00445472">
              <w:rPr>
                <w:rFonts w:ascii="Garamond" w:hAnsi="Garamond" w:cs="Arial"/>
                <w:sz w:val="18"/>
                <w:szCs w:val="18"/>
              </w:rPr>
              <w:t xml:space="preserve">Klienti/Ekipi i </w:t>
            </w:r>
            <w:r w:rsidR="00083C46" w:rsidRPr="00445472">
              <w:rPr>
                <w:rFonts w:ascii="Garamond" w:hAnsi="Garamond" w:cs="Arial"/>
                <w:sz w:val="18"/>
                <w:szCs w:val="18"/>
              </w:rPr>
              <w:t>p</w:t>
            </w:r>
            <w:r w:rsidRPr="00445472">
              <w:rPr>
                <w:rFonts w:ascii="Garamond" w:hAnsi="Garamond" w:cs="Arial"/>
                <w:sz w:val="18"/>
                <w:szCs w:val="18"/>
              </w:rPr>
              <w:t>rojektit</w:t>
            </w:r>
          </w:p>
        </w:tc>
      </w:tr>
      <w:tr w:rsidR="002A1F08" w:rsidRPr="00445472" w14:paraId="7469DE8A" w14:textId="77777777" w:rsidTr="00083C46">
        <w:trPr>
          <w:trHeight w:hRule="exact" w:val="532"/>
        </w:trPr>
        <w:tc>
          <w:tcPr>
            <w:tcW w:w="2427" w:type="pct"/>
            <w:shd w:val="clear" w:color="auto" w:fill="auto"/>
            <w:vAlign w:val="center"/>
            <w:hideMark/>
          </w:tcPr>
          <w:p w14:paraId="654D5230"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 xml:space="preserve">2.3 Dërgimi i letrave të kërkesave për mbledhje te grupet rajonale të interesit </w:t>
            </w:r>
          </w:p>
        </w:tc>
        <w:tc>
          <w:tcPr>
            <w:tcW w:w="1460" w:type="pct"/>
            <w:shd w:val="clear" w:color="auto" w:fill="auto"/>
            <w:vAlign w:val="center"/>
            <w:hideMark/>
          </w:tcPr>
          <w:p w14:paraId="6256F798"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3D655B3C" w14:textId="3632088B" w:rsidR="002A1F08" w:rsidRPr="00445472" w:rsidRDefault="002A1F08" w:rsidP="002A1F08">
            <w:pPr>
              <w:spacing w:before="67" w:after="89"/>
              <w:ind w:left="-249" w:right="-244" w:firstLine="249"/>
              <w:rPr>
                <w:rFonts w:ascii="Garamond" w:hAnsi="Garamond"/>
              </w:rPr>
            </w:pPr>
            <w:r w:rsidRPr="00445472">
              <w:rPr>
                <w:rFonts w:ascii="Garamond" w:hAnsi="Garamond" w:cs="Arial"/>
                <w:sz w:val="18"/>
                <w:szCs w:val="18"/>
              </w:rPr>
              <w:t xml:space="preserve">Klienti/Ekipi i </w:t>
            </w:r>
            <w:r w:rsidR="00083C46" w:rsidRPr="00445472">
              <w:rPr>
                <w:rFonts w:ascii="Garamond" w:hAnsi="Garamond" w:cs="Arial"/>
                <w:sz w:val="18"/>
                <w:szCs w:val="18"/>
              </w:rPr>
              <w:t>p</w:t>
            </w:r>
            <w:r w:rsidRPr="00445472">
              <w:rPr>
                <w:rFonts w:ascii="Garamond" w:hAnsi="Garamond" w:cs="Arial"/>
                <w:sz w:val="18"/>
                <w:szCs w:val="18"/>
              </w:rPr>
              <w:t xml:space="preserve">rojektit </w:t>
            </w:r>
          </w:p>
        </w:tc>
      </w:tr>
      <w:tr w:rsidR="002A1F08" w:rsidRPr="00445472" w14:paraId="29294DD0" w14:textId="77777777" w:rsidTr="00AF78C3">
        <w:trPr>
          <w:trHeight w:hRule="exact" w:val="315"/>
        </w:trPr>
        <w:tc>
          <w:tcPr>
            <w:tcW w:w="5000" w:type="pct"/>
            <w:gridSpan w:val="3"/>
            <w:shd w:val="clear" w:color="auto" w:fill="D9D9D9"/>
            <w:vAlign w:val="center"/>
            <w:hideMark/>
          </w:tcPr>
          <w:p w14:paraId="1C8B5ADB" w14:textId="2C16FCB7" w:rsidR="002A1F08" w:rsidRPr="00445472" w:rsidRDefault="002A1F08" w:rsidP="002A1F08">
            <w:pPr>
              <w:spacing w:before="67" w:after="89"/>
              <w:rPr>
                <w:rFonts w:ascii="Garamond" w:hAnsi="Garamond" w:cs="Arial"/>
                <w:iCs/>
                <w:sz w:val="18"/>
                <w:szCs w:val="18"/>
              </w:rPr>
            </w:pPr>
            <w:r w:rsidRPr="00445472">
              <w:rPr>
                <w:rFonts w:ascii="Garamond" w:hAnsi="Garamond" w:cs="Arial"/>
                <w:iCs/>
                <w:sz w:val="18"/>
                <w:szCs w:val="18"/>
              </w:rPr>
              <w:t xml:space="preserve">  3.</w:t>
            </w:r>
            <w:r w:rsidR="00083C46" w:rsidRPr="00445472">
              <w:rPr>
                <w:rFonts w:ascii="Garamond" w:hAnsi="Garamond" w:cs="Arial"/>
                <w:iCs/>
                <w:sz w:val="18"/>
                <w:szCs w:val="18"/>
              </w:rPr>
              <w:t xml:space="preserve"> </w:t>
            </w:r>
            <w:r w:rsidRPr="00445472">
              <w:rPr>
                <w:rFonts w:ascii="Garamond" w:hAnsi="Garamond" w:cs="Arial"/>
                <w:iCs/>
                <w:sz w:val="18"/>
                <w:szCs w:val="18"/>
              </w:rPr>
              <w:t>P</w:t>
            </w:r>
            <w:r w:rsidRPr="00445472">
              <w:rPr>
                <w:rFonts w:ascii="Garamond" w:hAnsi="Garamond" w:cs="Arial"/>
                <w:sz w:val="18"/>
                <w:szCs w:val="18"/>
              </w:rPr>
              <w:t xml:space="preserve">ërgatitja e konsultimeve me informatorët kryesorë dhe grupet e fokusit </w:t>
            </w:r>
          </w:p>
        </w:tc>
      </w:tr>
      <w:tr w:rsidR="002A1F08" w:rsidRPr="00445472" w14:paraId="6CBE9C38" w14:textId="77777777" w:rsidTr="00083C46">
        <w:trPr>
          <w:trHeight w:hRule="exact" w:val="349"/>
        </w:trPr>
        <w:tc>
          <w:tcPr>
            <w:tcW w:w="2427" w:type="pct"/>
            <w:shd w:val="clear" w:color="auto" w:fill="auto"/>
            <w:vAlign w:val="center"/>
            <w:hideMark/>
          </w:tcPr>
          <w:p w14:paraId="309AFEA1"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3.1 Përgatitja e pyetësorëve për informatorët kryesorë</w:t>
            </w:r>
          </w:p>
        </w:tc>
        <w:tc>
          <w:tcPr>
            <w:tcW w:w="1460" w:type="pct"/>
            <w:shd w:val="clear" w:color="auto" w:fill="auto"/>
            <w:vAlign w:val="center"/>
            <w:hideMark/>
          </w:tcPr>
          <w:p w14:paraId="452726B4"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0A04946C" w14:textId="10BA3B64" w:rsidR="002A1F08" w:rsidRPr="00445472" w:rsidRDefault="002A1F08" w:rsidP="002A1F08">
            <w:pPr>
              <w:spacing w:before="67" w:after="89"/>
              <w:rPr>
                <w:rFonts w:ascii="Garamond" w:hAnsi="Garamond"/>
              </w:rPr>
            </w:pPr>
            <w:r w:rsidRPr="00445472">
              <w:rPr>
                <w:rFonts w:ascii="Garamond" w:hAnsi="Garamond" w:cs="Arial"/>
                <w:sz w:val="18"/>
                <w:szCs w:val="18"/>
              </w:rPr>
              <w:t xml:space="preserve">Ekipi i </w:t>
            </w:r>
            <w:r w:rsidR="00083C46" w:rsidRPr="00445472">
              <w:rPr>
                <w:rFonts w:ascii="Garamond" w:hAnsi="Garamond" w:cs="Arial"/>
                <w:sz w:val="18"/>
                <w:szCs w:val="18"/>
              </w:rPr>
              <w:t>pr</w:t>
            </w:r>
            <w:r w:rsidRPr="00445472">
              <w:rPr>
                <w:rFonts w:ascii="Garamond" w:hAnsi="Garamond" w:cs="Arial"/>
                <w:sz w:val="18"/>
                <w:szCs w:val="18"/>
              </w:rPr>
              <w:t>ojektit</w:t>
            </w:r>
          </w:p>
        </w:tc>
      </w:tr>
      <w:tr w:rsidR="002A1F08" w:rsidRPr="00445472" w14:paraId="1B64AF69" w14:textId="77777777" w:rsidTr="00083C46">
        <w:trPr>
          <w:trHeight w:val="300"/>
        </w:trPr>
        <w:tc>
          <w:tcPr>
            <w:tcW w:w="2427" w:type="pct"/>
            <w:shd w:val="clear" w:color="auto" w:fill="auto"/>
            <w:vAlign w:val="center"/>
            <w:hideMark/>
          </w:tcPr>
          <w:p w14:paraId="677BF7E5"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3.2 Përgatitja e pyetësorëve për Grupet e Fokusit</w:t>
            </w:r>
          </w:p>
        </w:tc>
        <w:tc>
          <w:tcPr>
            <w:tcW w:w="1460" w:type="pct"/>
            <w:shd w:val="clear" w:color="auto" w:fill="auto"/>
            <w:vAlign w:val="center"/>
            <w:hideMark/>
          </w:tcPr>
          <w:p w14:paraId="19E1E73B" w14:textId="77777777" w:rsidR="002A1F08" w:rsidRPr="00445472" w:rsidRDefault="002A1F08" w:rsidP="002A1F08">
            <w:pPr>
              <w:spacing w:before="67" w:after="89"/>
              <w:rPr>
                <w:rFonts w:ascii="Garamond" w:hAnsi="Garamond" w:cs="Arial"/>
                <w:sz w:val="18"/>
                <w:szCs w:val="18"/>
              </w:rPr>
            </w:pPr>
          </w:p>
        </w:tc>
        <w:tc>
          <w:tcPr>
            <w:tcW w:w="1114" w:type="pct"/>
            <w:shd w:val="clear" w:color="auto" w:fill="auto"/>
            <w:vAlign w:val="center"/>
            <w:hideMark/>
          </w:tcPr>
          <w:p w14:paraId="0A709083" w14:textId="30049463" w:rsidR="002A1F08" w:rsidRPr="00445472" w:rsidRDefault="002A1F08" w:rsidP="002A1F08">
            <w:pPr>
              <w:spacing w:before="67" w:after="89"/>
              <w:rPr>
                <w:rFonts w:ascii="Garamond" w:hAnsi="Garamond"/>
              </w:rPr>
            </w:pPr>
            <w:r w:rsidRPr="00445472">
              <w:rPr>
                <w:rFonts w:ascii="Garamond" w:hAnsi="Garamond" w:cs="Arial"/>
                <w:sz w:val="18"/>
                <w:szCs w:val="18"/>
              </w:rPr>
              <w:t xml:space="preserve">Ekipi i </w:t>
            </w:r>
            <w:r w:rsidR="00083C46" w:rsidRPr="00445472">
              <w:rPr>
                <w:rFonts w:ascii="Garamond" w:hAnsi="Garamond" w:cs="Arial"/>
                <w:sz w:val="18"/>
                <w:szCs w:val="18"/>
              </w:rPr>
              <w:t>p</w:t>
            </w:r>
            <w:r w:rsidRPr="00445472">
              <w:rPr>
                <w:rFonts w:ascii="Garamond" w:hAnsi="Garamond" w:cs="Arial"/>
                <w:sz w:val="18"/>
                <w:szCs w:val="18"/>
              </w:rPr>
              <w:t>rojektit</w:t>
            </w:r>
          </w:p>
        </w:tc>
      </w:tr>
      <w:tr w:rsidR="002A1F08" w:rsidRPr="00445472" w14:paraId="513D0D00" w14:textId="77777777" w:rsidTr="00083C46">
        <w:trPr>
          <w:trHeight w:val="300"/>
        </w:trPr>
        <w:tc>
          <w:tcPr>
            <w:tcW w:w="2427" w:type="pct"/>
            <w:tcBorders>
              <w:bottom w:val="single" w:sz="2" w:space="0" w:color="000000"/>
            </w:tcBorders>
            <w:shd w:val="clear" w:color="auto" w:fill="auto"/>
            <w:vAlign w:val="center"/>
            <w:hideMark/>
          </w:tcPr>
          <w:p w14:paraId="00A9FD01"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3.3 Analizimi i pyetësorëve</w:t>
            </w:r>
          </w:p>
        </w:tc>
        <w:tc>
          <w:tcPr>
            <w:tcW w:w="1460" w:type="pct"/>
            <w:tcBorders>
              <w:bottom w:val="single" w:sz="2" w:space="0" w:color="000000"/>
            </w:tcBorders>
            <w:shd w:val="clear" w:color="auto" w:fill="auto"/>
            <w:vAlign w:val="center"/>
            <w:hideMark/>
          </w:tcPr>
          <w:p w14:paraId="145BC923" w14:textId="77777777" w:rsidR="002A1F08" w:rsidRPr="00445472" w:rsidRDefault="002A1F08" w:rsidP="002A1F08">
            <w:pPr>
              <w:spacing w:before="67" w:after="89"/>
              <w:rPr>
                <w:rFonts w:ascii="Garamond" w:hAnsi="Garamond" w:cs="Arial"/>
                <w:sz w:val="18"/>
                <w:szCs w:val="18"/>
              </w:rPr>
            </w:pPr>
          </w:p>
        </w:tc>
        <w:tc>
          <w:tcPr>
            <w:tcW w:w="1114" w:type="pct"/>
            <w:tcBorders>
              <w:bottom w:val="single" w:sz="2" w:space="0" w:color="000000"/>
            </w:tcBorders>
            <w:shd w:val="clear" w:color="auto" w:fill="auto"/>
            <w:vAlign w:val="center"/>
            <w:hideMark/>
          </w:tcPr>
          <w:p w14:paraId="203FF8EB" w14:textId="5026D630" w:rsidR="002A1F08" w:rsidRPr="00445472" w:rsidRDefault="002A1F08" w:rsidP="002A1F08">
            <w:pPr>
              <w:spacing w:before="67" w:after="89"/>
              <w:rPr>
                <w:rFonts w:ascii="Garamond" w:hAnsi="Garamond"/>
              </w:rPr>
            </w:pPr>
            <w:r w:rsidRPr="00445472">
              <w:rPr>
                <w:rFonts w:ascii="Garamond" w:hAnsi="Garamond" w:cs="Arial"/>
                <w:sz w:val="18"/>
                <w:szCs w:val="18"/>
              </w:rPr>
              <w:t xml:space="preserve">Ekipi </w:t>
            </w:r>
            <w:r w:rsidR="00083C46" w:rsidRPr="00445472">
              <w:rPr>
                <w:rFonts w:ascii="Garamond" w:hAnsi="Garamond" w:cs="Arial"/>
                <w:sz w:val="18"/>
                <w:szCs w:val="18"/>
              </w:rPr>
              <w:t>i p</w:t>
            </w:r>
            <w:r w:rsidRPr="00445472">
              <w:rPr>
                <w:rFonts w:ascii="Garamond" w:hAnsi="Garamond" w:cs="Arial"/>
                <w:sz w:val="18"/>
                <w:szCs w:val="18"/>
              </w:rPr>
              <w:t>rojektit</w:t>
            </w:r>
          </w:p>
        </w:tc>
      </w:tr>
      <w:tr w:rsidR="002A1F08" w:rsidRPr="00445472" w14:paraId="69E7BA69" w14:textId="77777777" w:rsidTr="00083C46">
        <w:trPr>
          <w:trHeight w:val="568"/>
        </w:trPr>
        <w:tc>
          <w:tcPr>
            <w:tcW w:w="2427" w:type="pct"/>
            <w:tcBorders>
              <w:top w:val="single" w:sz="2" w:space="0" w:color="000000"/>
              <w:bottom w:val="single" w:sz="2" w:space="0" w:color="000000"/>
            </w:tcBorders>
            <w:shd w:val="clear" w:color="auto" w:fill="auto"/>
            <w:vAlign w:val="center"/>
            <w:hideMark/>
          </w:tcPr>
          <w:p w14:paraId="2E288EFB" w14:textId="77777777" w:rsidR="002A1F08" w:rsidRPr="00445472" w:rsidRDefault="002A1F08" w:rsidP="002A1F08">
            <w:pPr>
              <w:spacing w:before="67" w:after="89"/>
              <w:rPr>
                <w:rFonts w:ascii="Garamond" w:hAnsi="Garamond" w:cs="Arial"/>
                <w:sz w:val="18"/>
                <w:szCs w:val="18"/>
              </w:rPr>
            </w:pPr>
            <w:r w:rsidRPr="00445472">
              <w:rPr>
                <w:rFonts w:ascii="Garamond" w:hAnsi="Garamond" w:cs="Arial"/>
                <w:sz w:val="18"/>
                <w:szCs w:val="18"/>
              </w:rPr>
              <w:t>3.4 Përgatitja e raportit dhe e përshtypjeve nga mbledhja</w:t>
            </w:r>
          </w:p>
        </w:tc>
        <w:tc>
          <w:tcPr>
            <w:tcW w:w="1460" w:type="pct"/>
            <w:tcBorders>
              <w:top w:val="single" w:sz="2" w:space="0" w:color="000000"/>
              <w:bottom w:val="single" w:sz="2" w:space="0" w:color="000000"/>
            </w:tcBorders>
            <w:shd w:val="clear" w:color="auto" w:fill="auto"/>
            <w:vAlign w:val="center"/>
            <w:hideMark/>
          </w:tcPr>
          <w:p w14:paraId="65020A66" w14:textId="77777777" w:rsidR="002A1F08" w:rsidRPr="00445472" w:rsidRDefault="002A1F08" w:rsidP="002A1F08">
            <w:pPr>
              <w:spacing w:before="67" w:after="89"/>
              <w:rPr>
                <w:rFonts w:ascii="Garamond" w:hAnsi="Garamond" w:cs="Arial"/>
                <w:sz w:val="18"/>
                <w:szCs w:val="18"/>
              </w:rPr>
            </w:pPr>
          </w:p>
        </w:tc>
        <w:tc>
          <w:tcPr>
            <w:tcW w:w="1114" w:type="pct"/>
            <w:tcBorders>
              <w:top w:val="single" w:sz="2" w:space="0" w:color="000000"/>
              <w:bottom w:val="single" w:sz="2" w:space="0" w:color="000000"/>
            </w:tcBorders>
            <w:shd w:val="clear" w:color="auto" w:fill="auto"/>
            <w:vAlign w:val="center"/>
            <w:hideMark/>
          </w:tcPr>
          <w:p w14:paraId="1A55D561" w14:textId="0D28061C" w:rsidR="002A1F08" w:rsidRPr="00445472" w:rsidRDefault="002A1F08" w:rsidP="002A1F08">
            <w:pPr>
              <w:spacing w:before="67" w:after="89"/>
              <w:rPr>
                <w:rFonts w:ascii="Garamond" w:hAnsi="Garamond"/>
              </w:rPr>
            </w:pPr>
            <w:r w:rsidRPr="00445472">
              <w:rPr>
                <w:rFonts w:ascii="Garamond" w:hAnsi="Garamond" w:cs="Arial"/>
                <w:sz w:val="18"/>
                <w:szCs w:val="18"/>
              </w:rPr>
              <w:t xml:space="preserve">Ekipi i </w:t>
            </w:r>
            <w:r w:rsidR="00083C46" w:rsidRPr="00445472">
              <w:rPr>
                <w:rFonts w:ascii="Garamond" w:hAnsi="Garamond" w:cs="Arial"/>
                <w:sz w:val="18"/>
                <w:szCs w:val="18"/>
              </w:rPr>
              <w:t>p</w:t>
            </w:r>
            <w:r w:rsidRPr="00445472">
              <w:rPr>
                <w:rFonts w:ascii="Garamond" w:hAnsi="Garamond" w:cs="Arial"/>
                <w:sz w:val="18"/>
                <w:szCs w:val="18"/>
              </w:rPr>
              <w:t>rojektit</w:t>
            </w:r>
          </w:p>
        </w:tc>
      </w:tr>
    </w:tbl>
    <w:p w14:paraId="79E7359E" w14:textId="77777777" w:rsidR="002A1F08" w:rsidRPr="00445472" w:rsidRDefault="002A1F08" w:rsidP="00AF78C3">
      <w:pPr>
        <w:pStyle w:val="TEKSTIIII"/>
      </w:pPr>
    </w:p>
    <w:p w14:paraId="3600E8AF" w14:textId="02BECDFB" w:rsidR="002A1F08" w:rsidRPr="00445472" w:rsidRDefault="00F94CDF" w:rsidP="00AF78C3">
      <w:pPr>
        <w:pStyle w:val="NENTITULL"/>
      </w:pPr>
      <w:bookmarkStart w:id="362" w:name="_Toc11068914"/>
      <w:r>
        <w:t>5.6</w:t>
      </w:r>
      <w:r w:rsidR="00AF78C3" w:rsidRPr="00445472">
        <w:t xml:space="preserve"> </w:t>
      </w:r>
      <w:r w:rsidR="002A1F08" w:rsidRPr="00445472">
        <w:t>Organizimi i mbledhjeve</w:t>
      </w:r>
      <w:bookmarkEnd w:id="362"/>
    </w:p>
    <w:p w14:paraId="5BEB45D5" w14:textId="3DA05A10" w:rsidR="002A1F08" w:rsidRPr="00445472" w:rsidRDefault="002A1F08" w:rsidP="00AF78C3">
      <w:pPr>
        <w:pStyle w:val="TEKSTIIII"/>
      </w:pPr>
      <w:r w:rsidRPr="00445472">
        <w:t xml:space="preserve">Vendi për çdo mbledhje dhe trajnim u zgjodh në bashkëpunim me pjesëmarrësit kryesorë dhe lista përfundimtare e të </w:t>
      </w:r>
      <w:r w:rsidR="00083C46" w:rsidRPr="00445472">
        <w:t>ftuarve</w:t>
      </w:r>
      <w:r w:rsidRPr="00445472">
        <w:t xml:space="preserve"> u miratua me përfaqësuesit përkatës rajonalë dhe lokalë.</w:t>
      </w:r>
    </w:p>
    <w:p w14:paraId="6BE2E86C" w14:textId="4A2A7E65" w:rsidR="002A1F08" w:rsidRPr="00445472" w:rsidRDefault="002A1F08" w:rsidP="00AF78C3">
      <w:pPr>
        <w:pStyle w:val="TEKSTIIII"/>
      </w:pPr>
      <w:r w:rsidRPr="00445472">
        <w:t>Të gjitha produktet</w:t>
      </w:r>
      <w:r w:rsidR="001D340B" w:rsidRPr="00445472">
        <w:t>/</w:t>
      </w:r>
      <w:r w:rsidRPr="00445472">
        <w:t xml:space="preserve">raportet e mbledhjeve konsultative janë </w:t>
      </w:r>
      <w:r w:rsidR="00083C46" w:rsidRPr="00445472">
        <w:t>administruar</w:t>
      </w:r>
      <w:r w:rsidRPr="00445472">
        <w:t xml:space="preserve"> nga MBZHR. </w:t>
      </w:r>
    </w:p>
    <w:p w14:paraId="7AFB7496" w14:textId="374D7622" w:rsidR="002A1F08" w:rsidRPr="00445472" w:rsidRDefault="002A1F08" w:rsidP="00AF78C3">
      <w:pPr>
        <w:pStyle w:val="TEKSTIIII"/>
      </w:pPr>
      <w:r w:rsidRPr="00445472">
        <w:t xml:space="preserve">Mbledhjet u </w:t>
      </w:r>
      <w:r w:rsidR="00083C46" w:rsidRPr="00445472">
        <w:t>mbajtën</w:t>
      </w:r>
      <w:r w:rsidRPr="00445472">
        <w:t xml:space="preserve"> rreth orës 10:00 paradite dhe zgjatën rreth dy orë. Prezantimet nuk ishin më të gjata se një orë.</w:t>
      </w:r>
    </w:p>
    <w:p w14:paraId="1BB49A5A" w14:textId="77777777" w:rsidR="002A1F08" w:rsidRPr="00445472" w:rsidRDefault="002A1F08" w:rsidP="00AF78C3">
      <w:pPr>
        <w:pStyle w:val="TEKSTIIII"/>
      </w:pPr>
      <w:r w:rsidRPr="00445472">
        <w:t>Përveç sesionit P&amp;P, pjesëmarrësve iu shpërndanë formularë për të marrë vlerësimin e veprimtarive konsultative të kryera për të regjistruar vërejtjet dhe shqetësimet.</w:t>
      </w:r>
    </w:p>
    <w:p w14:paraId="7A922BE9" w14:textId="1EB8A176" w:rsidR="002A1F08" w:rsidRPr="00445472" w:rsidRDefault="002A1F08" w:rsidP="00AF78C3">
      <w:pPr>
        <w:pStyle w:val="TEKSTIIII"/>
      </w:pPr>
      <w:r w:rsidRPr="00445472">
        <w:t xml:space="preserve">Regjistrimi: Të gjithë pjesëmarrësit u </w:t>
      </w:r>
      <w:r w:rsidR="00083C46" w:rsidRPr="00445472">
        <w:t>regjistruan</w:t>
      </w:r>
      <w:r w:rsidRPr="00445472">
        <w:t xml:space="preserve"> me formatin e fletës së nënshkrimit, ku u përfshinë të gjitha informacionet e nevojshme si, pozicioni, numri i kontaktit, </w:t>
      </w:r>
      <w:r w:rsidRPr="00445472">
        <w:rPr>
          <w:i/>
        </w:rPr>
        <w:t>emaili</w:t>
      </w:r>
      <w:r w:rsidRPr="00445472">
        <w:t xml:space="preserve"> dhe nënshkrimi i tyre.</w:t>
      </w:r>
    </w:p>
    <w:p w14:paraId="54AB72D8" w14:textId="77777777" w:rsidR="002A1F08" w:rsidRPr="00445472" w:rsidRDefault="002A1F08" w:rsidP="00AF78C3">
      <w:pPr>
        <w:pStyle w:val="TEKSTIIII"/>
      </w:pPr>
      <w:r w:rsidRPr="00445472">
        <w:t>Ekipi: Përbërja e ekipit paraqitet në tabelën e mëposhtme.</w:t>
      </w:r>
    </w:p>
    <w:p w14:paraId="5193E193" w14:textId="77777777" w:rsidR="002A1F08" w:rsidRPr="00445472" w:rsidRDefault="002A1F08" w:rsidP="00AF78C3">
      <w:pPr>
        <w:pStyle w:val="TEKSTIIII"/>
        <w:rPr>
          <w:b/>
        </w:rPr>
      </w:pPr>
    </w:p>
    <w:p w14:paraId="3141B2A0" w14:textId="77777777" w:rsidR="002A1F08" w:rsidRPr="00445472" w:rsidRDefault="002A1F08" w:rsidP="00AF78C3">
      <w:pPr>
        <w:pStyle w:val="NENTITULL"/>
      </w:pPr>
      <w:r w:rsidRPr="00445472">
        <w:t>Tabela 5: Përbërja e ekipit për mbledhjet rajonale dhe lokale</w:t>
      </w:r>
    </w:p>
    <w:tbl>
      <w:tblPr>
        <w:tblW w:w="9180" w:type="dxa"/>
        <w:tblLayout w:type="fixed"/>
        <w:tblCellMar>
          <w:left w:w="0" w:type="dxa"/>
          <w:right w:w="0" w:type="dxa"/>
        </w:tblCellMar>
        <w:tblLook w:val="01E0" w:firstRow="1" w:lastRow="1" w:firstColumn="1" w:lastColumn="1" w:noHBand="0" w:noVBand="0"/>
      </w:tblPr>
      <w:tblGrid>
        <w:gridCol w:w="3732"/>
        <w:gridCol w:w="3004"/>
        <w:gridCol w:w="2444"/>
      </w:tblGrid>
      <w:tr w:rsidR="002A1F08" w:rsidRPr="00445472" w14:paraId="7F3645AE" w14:textId="77777777" w:rsidTr="002A1F08">
        <w:trPr>
          <w:trHeight w:hRule="exact" w:val="341"/>
        </w:trPr>
        <w:tc>
          <w:tcPr>
            <w:tcW w:w="2033" w:type="pct"/>
            <w:tcBorders>
              <w:left w:val="nil"/>
              <w:bottom w:val="single" w:sz="6" w:space="0" w:color="000000"/>
              <w:right w:val="nil"/>
            </w:tcBorders>
            <w:shd w:val="clear" w:color="auto" w:fill="D9D9D9"/>
            <w:vAlign w:val="center"/>
          </w:tcPr>
          <w:p w14:paraId="406E5F05" w14:textId="77777777" w:rsidR="002A1F08" w:rsidRPr="00445472" w:rsidRDefault="002A1F08" w:rsidP="002A1F08">
            <w:pPr>
              <w:pStyle w:val="TableParagraph"/>
              <w:spacing w:line="191" w:lineRule="exact"/>
              <w:ind w:left="112"/>
              <w:rPr>
                <w:rFonts w:ascii="Garamond" w:hAnsi="Garamond"/>
                <w:sz w:val="18"/>
                <w:szCs w:val="18"/>
              </w:rPr>
            </w:pPr>
            <w:r w:rsidRPr="00445472">
              <w:rPr>
                <w:rFonts w:ascii="Garamond" w:hAnsi="Garamond"/>
                <w:b/>
                <w:spacing w:val="-1"/>
                <w:sz w:val="18"/>
                <w:szCs w:val="18"/>
              </w:rPr>
              <w:t>Pozicioni</w:t>
            </w:r>
            <w:r w:rsidRPr="00445472">
              <w:rPr>
                <w:rFonts w:ascii="Garamond" w:hAnsi="Garamond"/>
                <w:b/>
                <w:sz w:val="18"/>
                <w:szCs w:val="18"/>
              </w:rPr>
              <w:t>/</w:t>
            </w:r>
            <w:r w:rsidRPr="00445472">
              <w:rPr>
                <w:rFonts w:ascii="Garamond" w:hAnsi="Garamond"/>
                <w:b/>
                <w:spacing w:val="-2"/>
                <w:sz w:val="18"/>
                <w:szCs w:val="18"/>
              </w:rPr>
              <w:t>ekspertiza</w:t>
            </w:r>
          </w:p>
        </w:tc>
        <w:tc>
          <w:tcPr>
            <w:tcW w:w="1636" w:type="pct"/>
            <w:tcBorders>
              <w:left w:val="nil"/>
              <w:bottom w:val="single" w:sz="6" w:space="0" w:color="000000"/>
              <w:right w:val="nil"/>
            </w:tcBorders>
            <w:shd w:val="clear" w:color="auto" w:fill="D9D9D9"/>
            <w:vAlign w:val="center"/>
          </w:tcPr>
          <w:p w14:paraId="654013D0" w14:textId="77777777" w:rsidR="002A1F08" w:rsidRPr="00445472" w:rsidRDefault="002A1F08" w:rsidP="002A1F08">
            <w:pPr>
              <w:pStyle w:val="TableParagraph"/>
              <w:spacing w:line="191" w:lineRule="exact"/>
              <w:ind w:left="112"/>
              <w:rPr>
                <w:rFonts w:ascii="Garamond" w:hAnsi="Garamond"/>
                <w:sz w:val="18"/>
                <w:szCs w:val="18"/>
              </w:rPr>
            </w:pPr>
            <w:r w:rsidRPr="00445472">
              <w:rPr>
                <w:rFonts w:ascii="Garamond" w:hAnsi="Garamond"/>
                <w:b/>
                <w:spacing w:val="-1"/>
                <w:sz w:val="18"/>
                <w:szCs w:val="18"/>
              </w:rPr>
              <w:t>Emri</w:t>
            </w:r>
          </w:p>
        </w:tc>
        <w:tc>
          <w:tcPr>
            <w:tcW w:w="1331" w:type="pct"/>
            <w:tcBorders>
              <w:left w:val="nil"/>
              <w:bottom w:val="single" w:sz="6" w:space="0" w:color="000000"/>
              <w:right w:val="nil"/>
            </w:tcBorders>
            <w:shd w:val="clear" w:color="auto" w:fill="D9D9D9"/>
            <w:vAlign w:val="center"/>
          </w:tcPr>
          <w:p w14:paraId="6644F9F6" w14:textId="77777777" w:rsidR="002A1F08" w:rsidRPr="00445472" w:rsidRDefault="002A1F08" w:rsidP="002A1F08">
            <w:pPr>
              <w:pStyle w:val="TableParagraph"/>
              <w:spacing w:line="191" w:lineRule="exact"/>
              <w:ind w:left="217"/>
              <w:rPr>
                <w:rFonts w:ascii="Garamond" w:hAnsi="Garamond"/>
                <w:sz w:val="18"/>
                <w:szCs w:val="18"/>
              </w:rPr>
            </w:pPr>
            <w:r w:rsidRPr="00445472">
              <w:rPr>
                <w:rFonts w:ascii="Garamond" w:hAnsi="Garamond"/>
                <w:b/>
                <w:spacing w:val="-1"/>
                <w:sz w:val="18"/>
                <w:szCs w:val="18"/>
              </w:rPr>
              <w:t>Shoqëria</w:t>
            </w:r>
          </w:p>
        </w:tc>
      </w:tr>
      <w:tr w:rsidR="002A1F08" w:rsidRPr="00445472" w14:paraId="0AA29636" w14:textId="77777777" w:rsidTr="002A1F08">
        <w:trPr>
          <w:trHeight w:hRule="exact" w:val="416"/>
        </w:trPr>
        <w:tc>
          <w:tcPr>
            <w:tcW w:w="2033" w:type="pct"/>
            <w:tcBorders>
              <w:top w:val="single" w:sz="6" w:space="0" w:color="000000"/>
              <w:left w:val="nil"/>
              <w:bottom w:val="single" w:sz="5" w:space="0" w:color="000000"/>
              <w:right w:val="nil"/>
            </w:tcBorders>
            <w:vAlign w:val="center"/>
          </w:tcPr>
          <w:p w14:paraId="601C12F4"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 xml:space="preserve">Mjedisor dhe Social </w:t>
            </w:r>
          </w:p>
        </w:tc>
        <w:tc>
          <w:tcPr>
            <w:tcW w:w="1636" w:type="pct"/>
            <w:tcBorders>
              <w:top w:val="single" w:sz="6" w:space="0" w:color="000000"/>
              <w:left w:val="nil"/>
              <w:bottom w:val="single" w:sz="5" w:space="0" w:color="000000"/>
              <w:right w:val="nil"/>
            </w:tcBorders>
            <w:vAlign w:val="center"/>
          </w:tcPr>
          <w:p w14:paraId="30100677"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Redion Biba</w:t>
            </w:r>
          </w:p>
        </w:tc>
        <w:tc>
          <w:tcPr>
            <w:tcW w:w="1331" w:type="pct"/>
            <w:tcBorders>
              <w:top w:val="single" w:sz="6" w:space="0" w:color="000000"/>
              <w:left w:val="nil"/>
              <w:bottom w:val="single" w:sz="5" w:space="0" w:color="000000"/>
              <w:right w:val="nil"/>
            </w:tcBorders>
            <w:vAlign w:val="center"/>
          </w:tcPr>
          <w:p w14:paraId="71D4C551" w14:textId="77777777" w:rsidR="002A1F08" w:rsidRPr="00445472" w:rsidRDefault="002A1F08" w:rsidP="002A1F08">
            <w:pPr>
              <w:pStyle w:val="TableParagraph"/>
              <w:spacing w:before="32"/>
              <w:ind w:left="217"/>
              <w:rPr>
                <w:rFonts w:ascii="Garamond" w:hAnsi="Garamond"/>
                <w:spacing w:val="-1"/>
                <w:sz w:val="18"/>
                <w:szCs w:val="18"/>
              </w:rPr>
            </w:pPr>
            <w:r w:rsidRPr="00445472">
              <w:rPr>
                <w:rFonts w:ascii="Garamond" w:hAnsi="Garamond"/>
                <w:sz w:val="18"/>
                <w:szCs w:val="18"/>
              </w:rPr>
              <w:t>Konsulenti</w:t>
            </w:r>
          </w:p>
        </w:tc>
      </w:tr>
      <w:tr w:rsidR="002A1F08" w:rsidRPr="00445472" w14:paraId="42AD4D88" w14:textId="77777777" w:rsidTr="002A1F08">
        <w:trPr>
          <w:trHeight w:hRule="exact" w:val="448"/>
        </w:trPr>
        <w:tc>
          <w:tcPr>
            <w:tcW w:w="2033" w:type="pct"/>
            <w:tcBorders>
              <w:top w:val="single" w:sz="5" w:space="0" w:color="000000"/>
              <w:left w:val="nil"/>
              <w:bottom w:val="single" w:sz="5" w:space="0" w:color="000000"/>
              <w:right w:val="nil"/>
            </w:tcBorders>
            <w:vAlign w:val="center"/>
          </w:tcPr>
          <w:p w14:paraId="1A694ABE"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 xml:space="preserve">Pjesëmarrja e grupeve të interesit </w:t>
            </w:r>
          </w:p>
        </w:tc>
        <w:tc>
          <w:tcPr>
            <w:tcW w:w="1636" w:type="pct"/>
            <w:tcBorders>
              <w:top w:val="single" w:sz="5" w:space="0" w:color="000000"/>
              <w:left w:val="nil"/>
              <w:bottom w:val="single" w:sz="5" w:space="0" w:color="000000"/>
              <w:right w:val="nil"/>
            </w:tcBorders>
            <w:vAlign w:val="center"/>
          </w:tcPr>
          <w:p w14:paraId="54652C8B"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Arta Gurabardhi</w:t>
            </w:r>
          </w:p>
        </w:tc>
        <w:tc>
          <w:tcPr>
            <w:tcW w:w="1331" w:type="pct"/>
            <w:tcBorders>
              <w:top w:val="single" w:sz="5" w:space="0" w:color="000000"/>
              <w:left w:val="nil"/>
              <w:bottom w:val="single" w:sz="5" w:space="0" w:color="000000"/>
              <w:right w:val="nil"/>
            </w:tcBorders>
            <w:vAlign w:val="center"/>
          </w:tcPr>
          <w:p w14:paraId="486AC250" w14:textId="77777777" w:rsidR="002A1F08" w:rsidRPr="00445472" w:rsidRDefault="002A1F08" w:rsidP="002A1F08">
            <w:pPr>
              <w:pStyle w:val="TableParagraph"/>
              <w:spacing w:before="32"/>
              <w:ind w:left="217"/>
              <w:rPr>
                <w:rFonts w:ascii="Garamond" w:hAnsi="Garamond"/>
                <w:spacing w:val="-1"/>
                <w:sz w:val="18"/>
                <w:szCs w:val="18"/>
              </w:rPr>
            </w:pPr>
            <w:r w:rsidRPr="00445472">
              <w:rPr>
                <w:rFonts w:ascii="Garamond" w:hAnsi="Garamond"/>
                <w:sz w:val="18"/>
                <w:szCs w:val="18"/>
              </w:rPr>
              <w:t>Konsulenti</w:t>
            </w:r>
          </w:p>
        </w:tc>
      </w:tr>
      <w:tr w:rsidR="002A1F08" w:rsidRPr="00445472" w14:paraId="597A70AF" w14:textId="77777777" w:rsidTr="002A1F08">
        <w:trPr>
          <w:trHeight w:hRule="exact" w:val="464"/>
        </w:trPr>
        <w:tc>
          <w:tcPr>
            <w:tcW w:w="2033" w:type="pct"/>
            <w:tcBorders>
              <w:top w:val="single" w:sz="5" w:space="0" w:color="000000"/>
              <w:left w:val="nil"/>
              <w:bottom w:val="single" w:sz="5" w:space="0" w:color="000000"/>
              <w:right w:val="nil"/>
            </w:tcBorders>
            <w:vAlign w:val="center"/>
          </w:tcPr>
          <w:p w14:paraId="0D84256A"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Analiza gjinore dhe integrimi gjinor</w:t>
            </w:r>
          </w:p>
        </w:tc>
        <w:tc>
          <w:tcPr>
            <w:tcW w:w="1636" w:type="pct"/>
            <w:tcBorders>
              <w:top w:val="single" w:sz="5" w:space="0" w:color="000000"/>
              <w:left w:val="nil"/>
              <w:bottom w:val="single" w:sz="5" w:space="0" w:color="000000"/>
              <w:right w:val="nil"/>
            </w:tcBorders>
            <w:vAlign w:val="center"/>
          </w:tcPr>
          <w:p w14:paraId="219C002B"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Nereda Kola</w:t>
            </w:r>
          </w:p>
        </w:tc>
        <w:tc>
          <w:tcPr>
            <w:tcW w:w="1331" w:type="pct"/>
            <w:tcBorders>
              <w:top w:val="single" w:sz="5" w:space="0" w:color="000000"/>
              <w:left w:val="nil"/>
              <w:bottom w:val="single" w:sz="5" w:space="0" w:color="000000"/>
              <w:right w:val="nil"/>
            </w:tcBorders>
            <w:vAlign w:val="center"/>
          </w:tcPr>
          <w:p w14:paraId="78BF2EFC" w14:textId="77777777" w:rsidR="002A1F08" w:rsidRPr="00445472" w:rsidRDefault="002A1F08" w:rsidP="002A1F08">
            <w:pPr>
              <w:pStyle w:val="TableParagraph"/>
              <w:spacing w:before="32"/>
              <w:ind w:left="217"/>
              <w:rPr>
                <w:rFonts w:ascii="Garamond" w:hAnsi="Garamond"/>
                <w:spacing w:val="-1"/>
                <w:sz w:val="18"/>
                <w:szCs w:val="18"/>
              </w:rPr>
            </w:pPr>
            <w:r w:rsidRPr="00445472">
              <w:rPr>
                <w:rFonts w:ascii="Garamond" w:hAnsi="Garamond"/>
                <w:sz w:val="18"/>
                <w:szCs w:val="18"/>
              </w:rPr>
              <w:t>Konsulenti</w:t>
            </w:r>
          </w:p>
        </w:tc>
      </w:tr>
      <w:tr w:rsidR="002A1F08" w:rsidRPr="00445472" w14:paraId="70E0C947" w14:textId="77777777" w:rsidTr="002A1F08">
        <w:trPr>
          <w:trHeight w:hRule="exact" w:val="365"/>
        </w:trPr>
        <w:tc>
          <w:tcPr>
            <w:tcW w:w="2033" w:type="pct"/>
            <w:tcBorders>
              <w:top w:val="single" w:sz="5" w:space="0" w:color="000000"/>
              <w:left w:val="nil"/>
              <w:bottom w:val="single" w:sz="5" w:space="0" w:color="000000"/>
              <w:right w:val="nil"/>
            </w:tcBorders>
            <w:vAlign w:val="center"/>
          </w:tcPr>
          <w:p w14:paraId="4941BC38"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Koordinimi i komunikimit/trajnimit</w:t>
            </w:r>
          </w:p>
        </w:tc>
        <w:tc>
          <w:tcPr>
            <w:tcW w:w="1636" w:type="pct"/>
            <w:tcBorders>
              <w:top w:val="single" w:sz="5" w:space="0" w:color="000000"/>
              <w:left w:val="nil"/>
              <w:bottom w:val="single" w:sz="5" w:space="0" w:color="000000"/>
              <w:right w:val="nil"/>
            </w:tcBorders>
            <w:vAlign w:val="center"/>
          </w:tcPr>
          <w:p w14:paraId="79DE9797" w14:textId="77777777" w:rsidR="002A1F08" w:rsidRPr="00445472" w:rsidRDefault="002A1F08" w:rsidP="002A1F08">
            <w:pPr>
              <w:pStyle w:val="TableParagraph"/>
              <w:spacing w:before="32"/>
              <w:ind w:left="112"/>
              <w:rPr>
                <w:rFonts w:ascii="Garamond" w:hAnsi="Garamond"/>
                <w:spacing w:val="-2"/>
                <w:sz w:val="18"/>
                <w:szCs w:val="18"/>
              </w:rPr>
            </w:pPr>
            <w:r w:rsidRPr="00445472">
              <w:rPr>
                <w:rFonts w:ascii="Garamond" w:hAnsi="Garamond"/>
                <w:spacing w:val="-2"/>
                <w:sz w:val="18"/>
                <w:szCs w:val="18"/>
              </w:rPr>
              <w:t>Eneida Shuli/Adri Erebara</w:t>
            </w:r>
          </w:p>
        </w:tc>
        <w:tc>
          <w:tcPr>
            <w:tcW w:w="1331" w:type="pct"/>
            <w:tcBorders>
              <w:top w:val="single" w:sz="5" w:space="0" w:color="000000"/>
              <w:left w:val="nil"/>
              <w:bottom w:val="single" w:sz="5" w:space="0" w:color="000000"/>
              <w:right w:val="nil"/>
            </w:tcBorders>
            <w:vAlign w:val="center"/>
          </w:tcPr>
          <w:p w14:paraId="6B6A8798" w14:textId="77777777" w:rsidR="002A1F08" w:rsidRPr="00445472" w:rsidRDefault="002A1F08" w:rsidP="002A1F08">
            <w:pPr>
              <w:spacing w:before="67" w:after="89"/>
              <w:ind w:left="217"/>
              <w:rPr>
                <w:rFonts w:ascii="Garamond" w:hAnsi="Garamond"/>
                <w:sz w:val="18"/>
                <w:szCs w:val="18"/>
              </w:rPr>
            </w:pPr>
            <w:r w:rsidRPr="00445472">
              <w:rPr>
                <w:rFonts w:ascii="Garamond" w:hAnsi="Garamond"/>
                <w:sz w:val="18"/>
                <w:szCs w:val="18"/>
              </w:rPr>
              <w:t>Konsulenti</w:t>
            </w:r>
          </w:p>
        </w:tc>
      </w:tr>
      <w:tr w:rsidR="002A1F08" w:rsidRPr="00445472" w14:paraId="28F883E5" w14:textId="77777777" w:rsidTr="002A1F08">
        <w:trPr>
          <w:trHeight w:hRule="exact" w:val="449"/>
        </w:trPr>
        <w:tc>
          <w:tcPr>
            <w:tcW w:w="2033" w:type="pct"/>
            <w:tcBorders>
              <w:top w:val="single" w:sz="5" w:space="0" w:color="000000"/>
              <w:left w:val="nil"/>
              <w:bottom w:val="single" w:sz="5" w:space="0" w:color="000000"/>
              <w:right w:val="nil"/>
            </w:tcBorders>
            <w:vAlign w:val="center"/>
          </w:tcPr>
          <w:p w14:paraId="7A969AC1" w14:textId="77777777" w:rsidR="002A1F08" w:rsidRPr="00445472" w:rsidRDefault="002A1F08" w:rsidP="002A1F08">
            <w:pPr>
              <w:pStyle w:val="TableParagraph"/>
              <w:spacing w:before="32"/>
              <w:ind w:left="112"/>
              <w:rPr>
                <w:rFonts w:ascii="Garamond" w:hAnsi="Garamond"/>
                <w:spacing w:val="-1"/>
                <w:sz w:val="18"/>
                <w:szCs w:val="18"/>
              </w:rPr>
            </w:pPr>
            <w:r w:rsidRPr="00445472">
              <w:rPr>
                <w:rFonts w:ascii="Garamond" w:hAnsi="Garamond"/>
                <w:spacing w:val="-1"/>
                <w:sz w:val="18"/>
                <w:szCs w:val="18"/>
              </w:rPr>
              <w:t>Ekspert teknik</w:t>
            </w:r>
          </w:p>
        </w:tc>
        <w:tc>
          <w:tcPr>
            <w:tcW w:w="1636" w:type="pct"/>
            <w:tcBorders>
              <w:top w:val="single" w:sz="5" w:space="0" w:color="000000"/>
              <w:left w:val="nil"/>
              <w:bottom w:val="single" w:sz="5" w:space="0" w:color="000000"/>
              <w:right w:val="nil"/>
            </w:tcBorders>
            <w:vAlign w:val="center"/>
          </w:tcPr>
          <w:p w14:paraId="7EBBE8F4" w14:textId="77777777" w:rsidR="002A1F08" w:rsidRPr="00445472" w:rsidRDefault="002A1F08" w:rsidP="002A1F08">
            <w:pPr>
              <w:pStyle w:val="TableParagraph"/>
              <w:spacing w:before="32"/>
              <w:ind w:left="112"/>
              <w:rPr>
                <w:rFonts w:ascii="Garamond" w:hAnsi="Garamond"/>
                <w:spacing w:val="-2"/>
                <w:sz w:val="18"/>
                <w:szCs w:val="18"/>
              </w:rPr>
            </w:pPr>
            <w:r w:rsidRPr="00445472">
              <w:rPr>
                <w:rFonts w:ascii="Garamond" w:hAnsi="Garamond"/>
                <w:spacing w:val="-2"/>
                <w:sz w:val="18"/>
                <w:szCs w:val="18"/>
              </w:rPr>
              <w:t>Halit Kamberi</w:t>
            </w:r>
          </w:p>
        </w:tc>
        <w:tc>
          <w:tcPr>
            <w:tcW w:w="1331" w:type="pct"/>
            <w:tcBorders>
              <w:top w:val="single" w:sz="5" w:space="0" w:color="000000"/>
              <w:left w:val="nil"/>
              <w:bottom w:val="single" w:sz="5" w:space="0" w:color="000000"/>
              <w:right w:val="nil"/>
            </w:tcBorders>
            <w:vAlign w:val="center"/>
          </w:tcPr>
          <w:p w14:paraId="09E4C8D0" w14:textId="77777777" w:rsidR="002A1F08" w:rsidRPr="00445472" w:rsidRDefault="002A1F08" w:rsidP="002A1F08">
            <w:pPr>
              <w:spacing w:before="67" w:after="89"/>
              <w:ind w:left="217"/>
              <w:rPr>
                <w:rFonts w:ascii="Garamond" w:hAnsi="Garamond"/>
                <w:sz w:val="18"/>
                <w:szCs w:val="18"/>
              </w:rPr>
            </w:pPr>
            <w:r w:rsidRPr="00445472">
              <w:rPr>
                <w:rFonts w:ascii="Garamond" w:hAnsi="Garamond"/>
                <w:sz w:val="18"/>
                <w:szCs w:val="18"/>
              </w:rPr>
              <w:t>Konsulenti</w:t>
            </w:r>
          </w:p>
        </w:tc>
      </w:tr>
    </w:tbl>
    <w:p w14:paraId="60E8A1BC" w14:textId="77777777" w:rsidR="002A1F08" w:rsidRPr="00445472" w:rsidRDefault="002A1F08" w:rsidP="00AF78C3">
      <w:pPr>
        <w:pStyle w:val="TEKSTIIII"/>
      </w:pPr>
    </w:p>
    <w:p w14:paraId="57919651" w14:textId="77777777" w:rsidR="002A1F08" w:rsidRPr="00445472" w:rsidRDefault="002A1F08" w:rsidP="00AF78C3">
      <w:pPr>
        <w:pStyle w:val="TEKSTIIII"/>
      </w:pPr>
      <w:r w:rsidRPr="00445472">
        <w:t>Procesverbali i mbledhjes u përgatitet nga mbajtësi i minutave të takimeve brenda një jave nga përfundimi i veprimtarisë së komunikimit. Konsulenti përgatiti një raport me rezultatet përmbledhëse nga veprimtaritë që përmban bashkëlidhjet e mëposhtme:</w:t>
      </w:r>
    </w:p>
    <w:p w14:paraId="07408648" w14:textId="6CF0D44C" w:rsidR="002A1F08" w:rsidRPr="00445472" w:rsidRDefault="00F94CDF" w:rsidP="00AF78C3">
      <w:pPr>
        <w:pStyle w:val="TEKSTIIII"/>
      </w:pPr>
      <w:r>
        <w:t xml:space="preserve">- </w:t>
      </w:r>
      <w:r w:rsidR="002A1F08" w:rsidRPr="00445472">
        <w:t>Materialet e ftesave (modelet e letrave, reklamat në media) dhe materialet e prezantimit;</w:t>
      </w:r>
    </w:p>
    <w:p w14:paraId="516C3E5D" w14:textId="6E0D57B4" w:rsidR="002A1F08" w:rsidRPr="00445472" w:rsidRDefault="00F94CDF" w:rsidP="00AF78C3">
      <w:pPr>
        <w:pStyle w:val="TEKSTIIII"/>
      </w:pPr>
      <w:r>
        <w:t xml:space="preserve">- </w:t>
      </w:r>
      <w:r w:rsidR="002A1F08" w:rsidRPr="00445472">
        <w:t>Procesverbalin e mbledhjes dhe materiale fotografike.</w:t>
      </w:r>
    </w:p>
    <w:p w14:paraId="40A15731" w14:textId="10EA7B1F" w:rsidR="002A1F08" w:rsidRPr="00445472" w:rsidRDefault="00F94CDF" w:rsidP="00AF78C3">
      <w:pPr>
        <w:pStyle w:val="TEKSTIIII"/>
      </w:pPr>
      <w:r>
        <w:t xml:space="preserve">- </w:t>
      </w:r>
      <w:r w:rsidR="002A1F08" w:rsidRPr="00445472">
        <w:t xml:space="preserve">Konsultimet u bënë në çdo bashki me anëtarët përkatës të komunitetit në zonën e projektit në mënyrë që të gjithë komunitetet që preken nga </w:t>
      </w:r>
      <w:r w:rsidR="00083C46" w:rsidRPr="00445472">
        <w:t>projekti</w:t>
      </w:r>
      <w:r w:rsidR="002A1F08" w:rsidRPr="00445472">
        <w:t xml:space="preserve"> të ishin të përshirë në </w:t>
      </w:r>
      <w:r w:rsidR="00083C46" w:rsidRPr="00445472">
        <w:t>procesin</w:t>
      </w:r>
      <w:r w:rsidR="002A1F08" w:rsidRPr="00445472">
        <w:t xml:space="preserve"> e angazhimit.</w:t>
      </w:r>
    </w:p>
    <w:p w14:paraId="089AD1BD" w14:textId="0E8208F1" w:rsidR="002A1F08" w:rsidRPr="00445472" w:rsidRDefault="00F94CDF" w:rsidP="00AF78C3">
      <w:pPr>
        <w:pStyle w:val="TEKSTIIII"/>
      </w:pPr>
      <w:r>
        <w:t xml:space="preserve">- </w:t>
      </w:r>
      <w:r w:rsidR="002A1F08" w:rsidRPr="00445472">
        <w:t xml:space="preserve">Çdo mbledhje zgjati nga një deri në dy orë në varësi të madhësisë së komunitetit. Anëtarët e ekipit ishin të pranishëm në çdo bashki dhe fshat të prekur, për informacion mbi ndikimet e projektit dhe masat e propozuara lehtësuese. Këshilluesit teknikë menaxhuan </w:t>
      </w:r>
      <w:r w:rsidR="00083C46" w:rsidRPr="00445472">
        <w:t>procesin</w:t>
      </w:r>
      <w:r w:rsidR="002A1F08" w:rsidRPr="00445472">
        <w:t xml:space="preserve"> e konsultimit së bashku me procesverbalin e mbledhjes dhe me adresimin e pyetjeve apo </w:t>
      </w:r>
      <w:r w:rsidR="00083C46" w:rsidRPr="00445472">
        <w:t>përgjigjeve</w:t>
      </w:r>
      <w:r w:rsidR="002A1F08" w:rsidRPr="00445472">
        <w:t xml:space="preserve"> të tyre.</w:t>
      </w:r>
    </w:p>
    <w:p w14:paraId="366CF875" w14:textId="2D9DAD44" w:rsidR="002A1F08" w:rsidRPr="00445472" w:rsidRDefault="00F94CDF" w:rsidP="00AF78C3">
      <w:pPr>
        <w:pStyle w:val="TEKSTIIII"/>
      </w:pPr>
      <w:r>
        <w:t xml:space="preserve">- </w:t>
      </w:r>
      <w:r w:rsidR="002A1F08" w:rsidRPr="00445472">
        <w:t>Pjesëmarrësve iu kërkua ta regjistrojnë emrin e tyre dhe të identifikohen në listën e regjistrimit për regjistrimin e pjesëmarrjes së tij në çdo mbledhje.</w:t>
      </w:r>
    </w:p>
    <w:p w14:paraId="0D846E35" w14:textId="150CC786" w:rsidR="002A1F08" w:rsidRPr="00445472" w:rsidRDefault="00F94CDF" w:rsidP="00AF78C3">
      <w:pPr>
        <w:pStyle w:val="TEKSTIIII"/>
      </w:pPr>
      <w:r>
        <w:t xml:space="preserve">- </w:t>
      </w:r>
      <w:r w:rsidR="002A1F08" w:rsidRPr="00445472">
        <w:t xml:space="preserve">Pjesëmarrësve u jepet </w:t>
      </w:r>
      <w:r w:rsidR="00083C46" w:rsidRPr="00445472">
        <w:t>informacion</w:t>
      </w:r>
      <w:r w:rsidR="002A1F08" w:rsidRPr="00445472">
        <w:t xml:space="preserve"> rreth projektit në gjuhën shqipe, në një prezantim dhe adresë projekti për ata që mund të kërkojnë informacion shtesë dhe nëse duhet të kontaktojnë ekipin më vonë.</w:t>
      </w:r>
    </w:p>
    <w:p w14:paraId="2C84A898" w14:textId="64D168D7" w:rsidR="002A1F08" w:rsidRPr="00445472" w:rsidRDefault="00AF78C3" w:rsidP="00AF78C3">
      <w:pPr>
        <w:pStyle w:val="NENTITULL"/>
      </w:pPr>
      <w:bookmarkStart w:id="363" w:name="_Toc11068915"/>
      <w:r w:rsidRPr="00445472">
        <w:t xml:space="preserve">5.7 </w:t>
      </w:r>
      <w:r w:rsidR="002A1F08" w:rsidRPr="00445472">
        <w:t>Grupet e Fokusit</w:t>
      </w:r>
      <w:bookmarkEnd w:id="363"/>
    </w:p>
    <w:p w14:paraId="784491AD" w14:textId="0D925DF8" w:rsidR="002A1F08" w:rsidRPr="00445472" w:rsidRDefault="002A1F08" w:rsidP="00AF78C3">
      <w:pPr>
        <w:pStyle w:val="TEKSTIIII"/>
      </w:pPr>
      <w:r w:rsidRPr="00445472">
        <w:t xml:space="preserve">U organizuan disa Grupe Fokusi me qëllim synimin e audiencave të </w:t>
      </w:r>
      <w:r w:rsidR="00083C46" w:rsidRPr="00445472">
        <w:t>ndryshme</w:t>
      </w:r>
      <w:r w:rsidRPr="00445472">
        <w:t xml:space="preserve"> zona të ndryshme të projektit. U zgjodhën grupe të ndryshme në bazë të nivelit të pozicionit të interesit, margjinalizimit, specialistëve të informacionit ose aftësisë për të ndikuar në planifikimin e </w:t>
      </w:r>
      <w:r w:rsidR="00083C46" w:rsidRPr="00445472">
        <w:t>procesit</w:t>
      </w:r>
      <w:r w:rsidRPr="00445472">
        <w:t>.</w:t>
      </w:r>
    </w:p>
    <w:p w14:paraId="79959E78" w14:textId="77777777" w:rsidR="002A1F08" w:rsidRPr="00445472" w:rsidRDefault="002A1F08" w:rsidP="00AF78C3">
      <w:pPr>
        <w:pStyle w:val="TEKSTIIII"/>
      </w:pPr>
      <w:r w:rsidRPr="00445472">
        <w:t>Grupet në nevojë janë individë ose komunitete që janë veçanërisht të ndjeshëm ndaj margjinalizimit për shkak të gjinisë, moshës, gjinisë, racës, fesë, paaftësisë së të jetuarit ose vendndodhjes. Grupet e fokusit krijuan një forum për anëtarët e shoqërisë që duhet të dëgjohen për të lejuar diskutime të hapura rreth projektit, qëllimit të tij dhe planeve të sugjeruara. Në çdo bashki të zonës së studimit, të gjitha grupet e margjinalizuara si femrat, të moshuarit, prodhuesit, grupet e subvencionuara bujqësore do të përfshihen përmes një sërë mbledhjesh për grupet e fokusit. Diskutimet në grupet e fokusit me femrat dhe të moshuarit u mbajtën në çdo bashki dhe diskutimet me grupe të tjera vulnerabël si prodhuesit bujqësorë u zhvilluan në disa vende kur ishin identifikuar grupe të margjinalizara specifike.</w:t>
      </w:r>
    </w:p>
    <w:p w14:paraId="7BED4EE9" w14:textId="77777777" w:rsidR="002A1F08" w:rsidRPr="00445472" w:rsidRDefault="002A1F08" w:rsidP="00AF78C3">
      <w:pPr>
        <w:pStyle w:val="TEKSTIIII"/>
      </w:pPr>
      <w:r w:rsidRPr="00445472">
        <w:t xml:space="preserve">Mbledhjet e grupeve të fokusit u zhvilluan me anëtarët e grupeve përkatëse të industrisë ose pjesë specifike të projektit. Kjo përfshin shoqatat bujqësore, shoqatat e përdoruesve të ujit, kultivuesit dhe pronarët e pemëve frutore dhe përfaqësimin e shoqërisë civile si pjesë e këtyre grupeve. </w:t>
      </w:r>
    </w:p>
    <w:p w14:paraId="59F94172" w14:textId="77777777" w:rsidR="002A1F08" w:rsidRPr="00445472" w:rsidRDefault="002A1F08" w:rsidP="00AF78C3">
      <w:pPr>
        <w:pStyle w:val="TEKSTIIII"/>
      </w:pPr>
      <w:r w:rsidRPr="00445472">
        <w:t>Mbledhjet e grupeve të fokusit u organizua me ndihmën e ekipit përgjegjës për kontekstet me të moshuarit e bashkive dhe fshatrave dhe me ndihmën e individëve, të cilat kanë vendosur të marrin pjesë në mbledhjet e grupit të fokusit. Pasi identifikimit, çdo pjesëmarrës u informua për datën dhe orën e mbledhjes dy javë para organizimit të saj.</w:t>
      </w:r>
    </w:p>
    <w:p w14:paraId="4A50958B" w14:textId="21A64527" w:rsidR="002A1F08" w:rsidRPr="00445472" w:rsidRDefault="002A1F08" w:rsidP="00AF78C3">
      <w:pPr>
        <w:pStyle w:val="TEKSTIIII"/>
      </w:pPr>
      <w:r w:rsidRPr="00445472">
        <w:t xml:space="preserve">Ekipi udhëzoi pjesëmarrësit të ngrenë një sërë pyetjesh që kanë të bëjnë me temën. Të gjitha informacionet jepen në formatin e </w:t>
      </w:r>
      <w:r w:rsidR="00083C46" w:rsidRPr="00445472">
        <w:t>përshtatshëm</w:t>
      </w:r>
      <w:r w:rsidRPr="00445472">
        <w:t xml:space="preserve">, i cili raporton mbi </w:t>
      </w:r>
      <w:r w:rsidR="00083C46" w:rsidRPr="00445472">
        <w:t>rezultatet</w:t>
      </w:r>
      <w:r w:rsidRPr="00445472">
        <w:t xml:space="preserve"> kryesore.</w:t>
      </w:r>
    </w:p>
    <w:p w14:paraId="1085DB40" w14:textId="0AC68B59" w:rsidR="002A1F08" w:rsidRPr="00445472" w:rsidRDefault="00AF78C3" w:rsidP="00AF78C3">
      <w:pPr>
        <w:pStyle w:val="NENTITULL"/>
      </w:pPr>
      <w:bookmarkStart w:id="364" w:name="_Toc11068916"/>
      <w:r w:rsidRPr="00445472">
        <w:t xml:space="preserve">5.8 </w:t>
      </w:r>
      <w:r w:rsidR="002A1F08" w:rsidRPr="00445472">
        <w:t>Informatorët kyç</w:t>
      </w:r>
      <w:bookmarkEnd w:id="364"/>
    </w:p>
    <w:p w14:paraId="7A38F359" w14:textId="77777777" w:rsidR="002A1F08" w:rsidRPr="00445472" w:rsidRDefault="002A1F08" w:rsidP="00AF78C3">
      <w:pPr>
        <w:pStyle w:val="TEKSTIIII"/>
      </w:pPr>
      <w:r w:rsidRPr="00445472">
        <w:t>Qëllimi i intervistave të informatorëve kyç ishte mbledhja e informacionit cilësor nga individë me njohuri të thella rreth një teme ose fushe të caktuar. Intervistat me informatorët kyç u kryhen në çdo bashki; megjithatë, çështjet specifike që u ballafaquan me fusha të ndryshme të projektit diktuan vendndodhjen dhe numrin e saktë të intervistave. Intervistat e informatorëve kyç u zhvilluan në nivel rajonal dhe lokal, me qëllim arritjen e informacionit më të mirë.</w:t>
      </w:r>
    </w:p>
    <w:p w14:paraId="75DC9A02" w14:textId="7DDC9A6A" w:rsidR="002A1F08" w:rsidRPr="00445472" w:rsidRDefault="00AF78C3" w:rsidP="00AF78C3">
      <w:pPr>
        <w:pStyle w:val="NENTITULL"/>
      </w:pPr>
      <w:bookmarkStart w:id="365" w:name="_Toc11068917"/>
      <w:r w:rsidRPr="00445472">
        <w:t xml:space="preserve">5.9 </w:t>
      </w:r>
      <w:r w:rsidR="002A1F08" w:rsidRPr="00445472">
        <w:t>Grupet e tjera të interesit</w:t>
      </w:r>
      <w:bookmarkEnd w:id="365"/>
    </w:p>
    <w:p w14:paraId="2B0D4885" w14:textId="3CFA21E2" w:rsidR="002A1F08" w:rsidRPr="00445472" w:rsidRDefault="002A1F08" w:rsidP="00AF78C3">
      <w:pPr>
        <w:pStyle w:val="TEKSTIIII"/>
      </w:pPr>
      <w:r w:rsidRPr="00445472">
        <w:t xml:space="preserve">Pjesë e konsultimeve publike ishin OJQ-të dhe disa shoqata </w:t>
      </w:r>
      <w:r w:rsidR="00083C46" w:rsidRPr="00445472">
        <w:t>energjetike</w:t>
      </w:r>
      <w:r w:rsidRPr="00445472">
        <w:t xml:space="preserve">. Mbledhjet u zhvillohen në fund të të gjitha konsultimeve në mënyrë që të pasqyrohen të gjitha komentet dhe që të krijohet mundësia për të diskutuar rreth PMBU-së. </w:t>
      </w:r>
    </w:p>
    <w:p w14:paraId="37A3F1A8" w14:textId="18D4566F" w:rsidR="002A1F08" w:rsidRPr="00445472" w:rsidRDefault="002A1F08" w:rsidP="00AF78C3">
      <w:pPr>
        <w:pStyle w:val="TEKSTIIII"/>
      </w:pPr>
      <w:r w:rsidRPr="00445472">
        <w:t xml:space="preserve">Disa nga OJQ-të dhe shoqatat </w:t>
      </w:r>
      <w:r w:rsidR="00083C46" w:rsidRPr="00445472">
        <w:t>energjetike</w:t>
      </w:r>
      <w:r w:rsidRPr="00445472">
        <w:t>, të identifikuara së fundmi renditen si më poshtë:</w:t>
      </w:r>
    </w:p>
    <w:p w14:paraId="277A7D9E" w14:textId="41C720E7" w:rsidR="002A1F08" w:rsidRPr="00445472" w:rsidRDefault="00F94CDF" w:rsidP="00AF78C3">
      <w:pPr>
        <w:pStyle w:val="TEKSTIIII"/>
      </w:pPr>
      <w:r>
        <w:t xml:space="preserve">- </w:t>
      </w:r>
      <w:r w:rsidR="002A1F08" w:rsidRPr="00445472">
        <w:t>Shoqata Shqiptare e Energjisë së Rinovueshme</w:t>
      </w:r>
    </w:p>
    <w:p w14:paraId="2131EA18" w14:textId="264F0D8A" w:rsidR="002A1F08" w:rsidRPr="00445472" w:rsidRDefault="00F94CDF" w:rsidP="00AF78C3">
      <w:pPr>
        <w:pStyle w:val="TEKSTIIII"/>
      </w:pPr>
      <w:r>
        <w:t xml:space="preserve">- </w:t>
      </w:r>
      <w:r w:rsidR="002A1F08" w:rsidRPr="00445472">
        <w:t xml:space="preserve">Shoqata Shqiptare e Energjisë </w:t>
      </w:r>
    </w:p>
    <w:p w14:paraId="12EE7071" w14:textId="0F46197C" w:rsidR="002A1F08" w:rsidRPr="00445472" w:rsidRDefault="00F94CDF" w:rsidP="00AF78C3">
      <w:pPr>
        <w:pStyle w:val="TEKSTIIII"/>
      </w:pPr>
      <w:r>
        <w:t xml:space="preserve">- </w:t>
      </w:r>
      <w:r w:rsidR="002A1F08" w:rsidRPr="00445472">
        <w:t xml:space="preserve">Sot për të Ardhmen </w:t>
      </w:r>
    </w:p>
    <w:p w14:paraId="605C4ABB" w14:textId="0F4C5C2D" w:rsidR="002A1F08" w:rsidRPr="00445472" w:rsidRDefault="00F94CDF" w:rsidP="00AF78C3">
      <w:pPr>
        <w:pStyle w:val="TEKSTIIII"/>
      </w:pPr>
      <w:r>
        <w:t xml:space="preserve">- </w:t>
      </w:r>
      <w:r w:rsidR="002A1F08" w:rsidRPr="00445472">
        <w:t xml:space="preserve">Strehëza për Gratë dhe Vajzat e dhunuara - Agritra, Peshkopi (pylltari, bujqësi) </w:t>
      </w:r>
    </w:p>
    <w:p w14:paraId="4FABE42A" w14:textId="7F78F1AD" w:rsidR="002A1F08" w:rsidRPr="00445472" w:rsidRDefault="00F94CDF" w:rsidP="00AF78C3">
      <w:pPr>
        <w:pStyle w:val="TEKSTIIII"/>
      </w:pPr>
      <w:r>
        <w:t xml:space="preserve">- </w:t>
      </w:r>
      <w:r w:rsidR="002A1F08" w:rsidRPr="00445472">
        <w:t>Unë Gruaja - Me, the women, Pogradec (shërbime mjedisore)</w:t>
      </w:r>
    </w:p>
    <w:p w14:paraId="105CFF3F" w14:textId="5DDC770D" w:rsidR="002A1F08" w:rsidRPr="00445472" w:rsidRDefault="00F94CDF" w:rsidP="00AF78C3">
      <w:pPr>
        <w:pStyle w:val="TEKSTIIII"/>
      </w:pPr>
      <w:r>
        <w:t xml:space="preserve">- </w:t>
      </w:r>
      <w:r w:rsidR="002A1F08" w:rsidRPr="00445472">
        <w:t xml:space="preserve">Forumi i Gruas, Elbasan </w:t>
      </w:r>
      <w:r w:rsidR="00083C46" w:rsidRPr="00445472">
        <w:t>–</w:t>
      </w:r>
      <w:r w:rsidR="002A1F08" w:rsidRPr="00445472">
        <w:t xml:space="preserve"> Women</w:t>
      </w:r>
      <w:r w:rsidR="00083C46" w:rsidRPr="00445472">
        <w:t>’</w:t>
      </w:r>
      <w:r w:rsidR="002A1F08" w:rsidRPr="00445472">
        <w:t xml:space="preserve">s Forum Elbasan (shërbime mjedisore) </w:t>
      </w:r>
    </w:p>
    <w:p w14:paraId="5AB8BB26" w14:textId="6DD01BA4" w:rsidR="002A1F08" w:rsidRPr="00445472" w:rsidRDefault="00F94CDF" w:rsidP="00AF78C3">
      <w:pPr>
        <w:pStyle w:val="TEKSTIIII"/>
      </w:pPr>
      <w:r>
        <w:t xml:space="preserve">- </w:t>
      </w:r>
      <w:r w:rsidR="002A1F08" w:rsidRPr="00445472">
        <w:t>Së Bashku për Jetën, Tiranë</w:t>
      </w:r>
    </w:p>
    <w:p w14:paraId="7BF08189" w14:textId="63C14E53" w:rsidR="002A1F08" w:rsidRPr="00445472" w:rsidRDefault="00F94CDF" w:rsidP="00AF78C3">
      <w:pPr>
        <w:pStyle w:val="TEKSTIIII"/>
      </w:pPr>
      <w:r>
        <w:t xml:space="preserve">- </w:t>
      </w:r>
      <w:r w:rsidR="002A1F08" w:rsidRPr="00445472">
        <w:t>Qendra Kombëtare për Shërbime Komunitare</w:t>
      </w:r>
    </w:p>
    <w:p w14:paraId="5A52C94A" w14:textId="3500F520" w:rsidR="00B57811" w:rsidRPr="00445472" w:rsidRDefault="00B57811" w:rsidP="00AF78C3">
      <w:pPr>
        <w:pStyle w:val="TEKSTIIII"/>
        <w:rPr>
          <w:sz w:val="20"/>
        </w:rPr>
      </w:pPr>
    </w:p>
    <w:p w14:paraId="11E3F2CC" w14:textId="77777777" w:rsidR="00AF78C3" w:rsidRPr="00445472" w:rsidRDefault="00AF78C3">
      <w:pPr>
        <w:pStyle w:val="TEKSTIIII"/>
        <w:rPr>
          <w:sz w:val="20"/>
        </w:rPr>
      </w:pPr>
    </w:p>
    <w:p w14:paraId="19365F93" w14:textId="77777777" w:rsidR="00990EE8" w:rsidRPr="00445472" w:rsidRDefault="00990EE8">
      <w:pPr>
        <w:pStyle w:val="TEKSTIIII"/>
        <w:rPr>
          <w:sz w:val="20"/>
        </w:rPr>
      </w:pPr>
    </w:p>
    <w:p w14:paraId="55FD539B" w14:textId="77777777" w:rsidR="00990EE8" w:rsidRPr="00445472" w:rsidRDefault="00990EE8">
      <w:pPr>
        <w:pStyle w:val="TEKSTIIII"/>
        <w:rPr>
          <w:sz w:val="20"/>
        </w:rPr>
      </w:pPr>
    </w:p>
    <w:p w14:paraId="727D4CE7" w14:textId="77777777" w:rsidR="00990EE8" w:rsidRPr="00445472" w:rsidRDefault="00990EE8">
      <w:pPr>
        <w:pStyle w:val="TEKSTIIII"/>
        <w:rPr>
          <w:sz w:val="20"/>
        </w:rPr>
      </w:pPr>
    </w:p>
    <w:p w14:paraId="4BFC33D3" w14:textId="77777777" w:rsidR="00990EE8" w:rsidRPr="00445472" w:rsidRDefault="00990EE8">
      <w:pPr>
        <w:pStyle w:val="TEKSTIIII"/>
        <w:rPr>
          <w:sz w:val="20"/>
        </w:rPr>
      </w:pPr>
    </w:p>
    <w:p w14:paraId="255D13E0" w14:textId="77777777" w:rsidR="00990EE8" w:rsidRPr="00445472" w:rsidRDefault="00990EE8">
      <w:pPr>
        <w:pStyle w:val="TEKSTIIII"/>
        <w:rPr>
          <w:sz w:val="20"/>
        </w:rPr>
      </w:pPr>
    </w:p>
    <w:p w14:paraId="3687E04A" w14:textId="77777777" w:rsidR="00990EE8" w:rsidRPr="00445472" w:rsidRDefault="00990EE8">
      <w:pPr>
        <w:pStyle w:val="TEKSTIIII"/>
        <w:rPr>
          <w:sz w:val="20"/>
        </w:rPr>
        <w:sectPr w:rsidR="00990EE8" w:rsidRPr="00445472" w:rsidSect="00B57811">
          <w:pgSz w:w="11907" w:h="16839" w:code="9"/>
          <w:pgMar w:top="1418" w:right="1418" w:bottom="1418" w:left="1418" w:header="1304" w:footer="1134" w:gutter="0"/>
          <w:cols w:space="720"/>
          <w:docGrid w:linePitch="360"/>
        </w:sectPr>
      </w:pPr>
    </w:p>
    <w:p w14:paraId="0C501C40" w14:textId="77777777" w:rsidR="00990EE8" w:rsidRPr="00445472" w:rsidRDefault="00990EE8" w:rsidP="00990EE8">
      <w:pPr>
        <w:pStyle w:val="NENTITULL"/>
      </w:pPr>
      <w:r w:rsidRPr="00445472">
        <w:t>Mbledhjet e planifikuara për konsultimet e baseneve ujore</w:t>
      </w:r>
    </w:p>
    <w:tbl>
      <w:tblPr>
        <w:tblW w:w="13608" w:type="dxa"/>
        <w:tblInd w:w="108" w:type="dxa"/>
        <w:tblLayout w:type="fixed"/>
        <w:tblLook w:val="04A0" w:firstRow="1" w:lastRow="0" w:firstColumn="1" w:lastColumn="0" w:noHBand="0" w:noVBand="1"/>
      </w:tblPr>
      <w:tblGrid>
        <w:gridCol w:w="427"/>
        <w:gridCol w:w="708"/>
        <w:gridCol w:w="1725"/>
        <w:gridCol w:w="1584"/>
        <w:gridCol w:w="2036"/>
        <w:gridCol w:w="1031"/>
        <w:gridCol w:w="1429"/>
        <w:gridCol w:w="2202"/>
        <w:gridCol w:w="1021"/>
        <w:gridCol w:w="487"/>
        <w:gridCol w:w="958"/>
      </w:tblGrid>
      <w:tr w:rsidR="00990EE8" w:rsidRPr="00445472" w14:paraId="7705D5C3" w14:textId="77777777" w:rsidTr="001D340B">
        <w:trPr>
          <w:cantSplit/>
          <w:trHeight w:val="465"/>
          <w:tblHeader/>
        </w:trPr>
        <w:tc>
          <w:tcPr>
            <w:tcW w:w="5000" w:type="pct"/>
            <w:gridSpan w:val="11"/>
            <w:tcBorders>
              <w:top w:val="single" w:sz="8" w:space="0" w:color="auto"/>
              <w:left w:val="single" w:sz="8" w:space="0" w:color="auto"/>
              <w:bottom w:val="single" w:sz="8" w:space="0" w:color="auto"/>
              <w:right w:val="single" w:sz="8" w:space="0" w:color="000000"/>
            </w:tcBorders>
            <w:shd w:val="clear" w:color="000000" w:fill="002060"/>
            <w:noWrap/>
            <w:vAlign w:val="center"/>
            <w:hideMark/>
          </w:tcPr>
          <w:p w14:paraId="7858857C" w14:textId="295375E0" w:rsidR="00990EE8" w:rsidRPr="00445472" w:rsidRDefault="00083C46" w:rsidP="001D340B">
            <w:pPr>
              <w:spacing w:after="0" w:line="240" w:lineRule="auto"/>
              <w:jc w:val="center"/>
              <w:rPr>
                <w:rFonts w:ascii="Garamond" w:hAnsi="Garamond"/>
                <w:b/>
                <w:bCs/>
                <w:sz w:val="18"/>
                <w:szCs w:val="18"/>
              </w:rPr>
            </w:pPr>
            <w:r w:rsidRPr="00445472">
              <w:rPr>
                <w:rFonts w:ascii="Garamond" w:hAnsi="Garamond"/>
                <w:b/>
                <w:bCs/>
                <w:sz w:val="18"/>
                <w:szCs w:val="18"/>
              </w:rPr>
              <w:t>Mbledhjet lokale, fokus-grupet dhe informatorët kyç</w:t>
            </w:r>
          </w:p>
        </w:tc>
      </w:tr>
      <w:tr w:rsidR="00990EE8" w:rsidRPr="00445472" w14:paraId="69B3751F" w14:textId="77777777" w:rsidTr="001D340B">
        <w:trPr>
          <w:cantSplit/>
          <w:trHeight w:val="315"/>
          <w:tblHeader/>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2CC"/>
            <w:noWrap/>
            <w:vAlign w:val="center"/>
            <w:hideMark/>
          </w:tcPr>
          <w:p w14:paraId="35E69373" w14:textId="31C195CB"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Baseni Ujor </w:t>
            </w:r>
            <w:r w:rsidR="007E76E3" w:rsidRPr="00445472">
              <w:rPr>
                <w:rFonts w:ascii="Garamond" w:hAnsi="Garamond"/>
                <w:b/>
                <w:bCs/>
                <w:sz w:val="16"/>
                <w:szCs w:val="16"/>
              </w:rPr>
              <w:t>Drin–Bunë</w:t>
            </w:r>
          </w:p>
        </w:tc>
      </w:tr>
      <w:tr w:rsidR="00990EE8" w:rsidRPr="00445472" w14:paraId="2F45AC9E" w14:textId="77777777" w:rsidTr="00083C46">
        <w:trPr>
          <w:cantSplit/>
          <w:trHeight w:val="465"/>
          <w:tblHeader/>
        </w:trPr>
        <w:tc>
          <w:tcPr>
            <w:tcW w:w="157" w:type="pct"/>
            <w:tcBorders>
              <w:top w:val="nil"/>
              <w:left w:val="single" w:sz="8" w:space="0" w:color="auto"/>
              <w:bottom w:val="single" w:sz="8" w:space="0" w:color="auto"/>
              <w:right w:val="single" w:sz="8" w:space="0" w:color="auto"/>
            </w:tcBorders>
            <w:shd w:val="clear" w:color="000000" w:fill="BDD7EE"/>
            <w:noWrap/>
            <w:vAlign w:val="center"/>
            <w:hideMark/>
          </w:tcPr>
          <w:p w14:paraId="24A11801" w14:textId="6D13EC95"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Nr</w:t>
            </w:r>
            <w:r w:rsidR="00083C46" w:rsidRPr="00445472">
              <w:rPr>
                <w:rFonts w:ascii="Garamond" w:hAnsi="Garamond"/>
                <w:b/>
                <w:bCs/>
                <w:sz w:val="16"/>
                <w:szCs w:val="16"/>
              </w:rPr>
              <w:t>.</w:t>
            </w:r>
          </w:p>
        </w:tc>
        <w:tc>
          <w:tcPr>
            <w:tcW w:w="260" w:type="pct"/>
            <w:tcBorders>
              <w:top w:val="nil"/>
              <w:left w:val="nil"/>
              <w:bottom w:val="single" w:sz="8" w:space="0" w:color="auto"/>
              <w:right w:val="single" w:sz="8" w:space="0" w:color="auto"/>
            </w:tcBorders>
            <w:shd w:val="clear" w:color="000000" w:fill="BDD7EE"/>
            <w:noWrap/>
            <w:vAlign w:val="center"/>
            <w:hideMark/>
          </w:tcPr>
          <w:p w14:paraId="5322ADD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Qarku </w:t>
            </w:r>
          </w:p>
        </w:tc>
        <w:tc>
          <w:tcPr>
            <w:tcW w:w="634" w:type="pct"/>
            <w:tcBorders>
              <w:top w:val="nil"/>
              <w:left w:val="nil"/>
              <w:bottom w:val="single" w:sz="8" w:space="0" w:color="auto"/>
              <w:right w:val="single" w:sz="8" w:space="0" w:color="auto"/>
            </w:tcBorders>
            <w:shd w:val="clear" w:color="000000" w:fill="BDD7EE"/>
            <w:noWrap/>
            <w:vAlign w:val="center"/>
            <w:hideMark/>
          </w:tcPr>
          <w:p w14:paraId="7474C66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Bashkia </w:t>
            </w:r>
          </w:p>
        </w:tc>
        <w:tc>
          <w:tcPr>
            <w:tcW w:w="1330" w:type="pct"/>
            <w:gridSpan w:val="2"/>
            <w:tcBorders>
              <w:top w:val="single" w:sz="8" w:space="0" w:color="auto"/>
              <w:left w:val="nil"/>
              <w:bottom w:val="single" w:sz="8" w:space="0" w:color="auto"/>
              <w:right w:val="single" w:sz="8" w:space="0" w:color="000000"/>
            </w:tcBorders>
            <w:shd w:val="clear" w:color="000000" w:fill="BDD7EE"/>
            <w:noWrap/>
            <w:vAlign w:val="center"/>
            <w:hideMark/>
          </w:tcPr>
          <w:p w14:paraId="3EEC7CCA"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Përfaqësuesit </w:t>
            </w:r>
          </w:p>
        </w:tc>
        <w:tc>
          <w:tcPr>
            <w:tcW w:w="379" w:type="pct"/>
            <w:tcBorders>
              <w:top w:val="nil"/>
              <w:left w:val="nil"/>
              <w:bottom w:val="single" w:sz="8" w:space="0" w:color="auto"/>
              <w:right w:val="single" w:sz="8" w:space="0" w:color="auto"/>
            </w:tcBorders>
            <w:shd w:val="clear" w:color="000000" w:fill="BDD7EE"/>
            <w:noWrap/>
            <w:vAlign w:val="center"/>
            <w:hideMark/>
          </w:tcPr>
          <w:p w14:paraId="117C38B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Institucioni </w:t>
            </w:r>
          </w:p>
        </w:tc>
        <w:tc>
          <w:tcPr>
            <w:tcW w:w="525" w:type="pct"/>
            <w:tcBorders>
              <w:top w:val="nil"/>
              <w:left w:val="nil"/>
              <w:bottom w:val="single" w:sz="8" w:space="0" w:color="auto"/>
              <w:right w:val="single" w:sz="8" w:space="0" w:color="auto"/>
            </w:tcBorders>
            <w:shd w:val="clear" w:color="000000" w:fill="BDD7EE"/>
            <w:noWrap/>
            <w:vAlign w:val="center"/>
            <w:hideMark/>
          </w:tcPr>
          <w:p w14:paraId="65986419"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Pozicioni </w:t>
            </w:r>
          </w:p>
        </w:tc>
        <w:tc>
          <w:tcPr>
            <w:tcW w:w="809" w:type="pct"/>
            <w:tcBorders>
              <w:top w:val="nil"/>
              <w:left w:val="nil"/>
              <w:bottom w:val="single" w:sz="8" w:space="0" w:color="auto"/>
              <w:right w:val="single" w:sz="8" w:space="0" w:color="auto"/>
            </w:tcBorders>
            <w:shd w:val="clear" w:color="000000" w:fill="BDD7EE"/>
            <w:noWrap/>
            <w:vAlign w:val="center"/>
            <w:hideMark/>
          </w:tcPr>
          <w:p w14:paraId="224505F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Të dhënat e kontaktit </w:t>
            </w:r>
          </w:p>
        </w:tc>
        <w:tc>
          <w:tcPr>
            <w:tcW w:w="375" w:type="pct"/>
            <w:tcBorders>
              <w:top w:val="nil"/>
              <w:left w:val="nil"/>
              <w:bottom w:val="single" w:sz="8" w:space="0" w:color="auto"/>
              <w:right w:val="single" w:sz="8" w:space="0" w:color="auto"/>
            </w:tcBorders>
            <w:shd w:val="clear" w:color="000000" w:fill="BDD7EE"/>
            <w:vAlign w:val="center"/>
            <w:hideMark/>
          </w:tcPr>
          <w:p w14:paraId="4D02003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Data e mbledhjes</w:t>
            </w:r>
          </w:p>
        </w:tc>
        <w:tc>
          <w:tcPr>
            <w:tcW w:w="179" w:type="pct"/>
            <w:tcBorders>
              <w:top w:val="nil"/>
              <w:left w:val="nil"/>
              <w:bottom w:val="single" w:sz="8" w:space="0" w:color="auto"/>
              <w:right w:val="single" w:sz="8" w:space="0" w:color="auto"/>
            </w:tcBorders>
            <w:shd w:val="clear" w:color="000000" w:fill="BDD7EE"/>
            <w:noWrap/>
            <w:vAlign w:val="center"/>
            <w:hideMark/>
          </w:tcPr>
          <w:p w14:paraId="60CEF5A7"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Ora</w:t>
            </w:r>
          </w:p>
        </w:tc>
        <w:tc>
          <w:tcPr>
            <w:tcW w:w="352" w:type="pct"/>
            <w:tcBorders>
              <w:top w:val="nil"/>
              <w:left w:val="nil"/>
              <w:bottom w:val="single" w:sz="8" w:space="0" w:color="auto"/>
              <w:right w:val="single" w:sz="8" w:space="0" w:color="auto"/>
            </w:tcBorders>
            <w:shd w:val="clear" w:color="000000" w:fill="BDD7EE"/>
            <w:noWrap/>
            <w:vAlign w:val="center"/>
            <w:hideMark/>
          </w:tcPr>
          <w:p w14:paraId="7EB2DFE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Vendi</w:t>
            </w:r>
          </w:p>
        </w:tc>
      </w:tr>
      <w:tr w:rsidR="00990EE8" w:rsidRPr="00445472" w14:paraId="7645E5B3" w14:textId="77777777" w:rsidTr="00083C46">
        <w:trPr>
          <w:cantSplit/>
          <w:trHeight w:val="315"/>
        </w:trPr>
        <w:tc>
          <w:tcPr>
            <w:tcW w:w="157" w:type="pct"/>
            <w:vMerge w:val="restar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1EFBE65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260" w:type="pct"/>
            <w:vMerge w:val="restart"/>
            <w:tcBorders>
              <w:top w:val="nil"/>
              <w:left w:val="single" w:sz="8" w:space="0" w:color="auto"/>
              <w:bottom w:val="single" w:sz="8" w:space="0" w:color="auto"/>
              <w:right w:val="single" w:sz="8" w:space="0" w:color="auto"/>
            </w:tcBorders>
            <w:shd w:val="clear" w:color="000000" w:fill="BDD7EE"/>
            <w:noWrap/>
            <w:textDirection w:val="btLr"/>
            <w:vAlign w:val="center"/>
            <w:hideMark/>
          </w:tcPr>
          <w:p w14:paraId="40BF7EC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Shkodër</w:t>
            </w:r>
          </w:p>
        </w:tc>
        <w:tc>
          <w:tcPr>
            <w:tcW w:w="634" w:type="pct"/>
            <w:tcBorders>
              <w:top w:val="nil"/>
              <w:left w:val="nil"/>
              <w:bottom w:val="nil"/>
              <w:right w:val="single" w:sz="8" w:space="0" w:color="auto"/>
            </w:tcBorders>
            <w:shd w:val="clear" w:color="auto" w:fill="auto"/>
            <w:vAlign w:val="center"/>
            <w:hideMark/>
          </w:tcPr>
          <w:p w14:paraId="0D6E76FA"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Malësi e Madhe</w:t>
            </w:r>
          </w:p>
        </w:tc>
        <w:tc>
          <w:tcPr>
            <w:tcW w:w="58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1D7058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Ekipi </w:t>
            </w:r>
          </w:p>
        </w:tc>
        <w:tc>
          <w:tcPr>
            <w:tcW w:w="748" w:type="pct"/>
            <w:tcBorders>
              <w:top w:val="nil"/>
              <w:left w:val="nil"/>
              <w:bottom w:val="single" w:sz="8" w:space="0" w:color="auto"/>
              <w:right w:val="single" w:sz="8" w:space="0" w:color="auto"/>
            </w:tcBorders>
            <w:shd w:val="clear" w:color="auto" w:fill="auto"/>
            <w:noWrap/>
            <w:vAlign w:val="center"/>
            <w:hideMark/>
          </w:tcPr>
          <w:p w14:paraId="10FBC21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Halit Kamberi</w:t>
            </w:r>
          </w:p>
        </w:tc>
        <w:tc>
          <w:tcPr>
            <w:tcW w:w="379" w:type="pct"/>
            <w:tcBorders>
              <w:top w:val="nil"/>
              <w:left w:val="nil"/>
              <w:bottom w:val="single" w:sz="8" w:space="0" w:color="auto"/>
              <w:right w:val="single" w:sz="8" w:space="0" w:color="auto"/>
            </w:tcBorders>
            <w:shd w:val="clear" w:color="auto" w:fill="auto"/>
            <w:noWrap/>
            <w:vAlign w:val="center"/>
            <w:hideMark/>
          </w:tcPr>
          <w:p w14:paraId="2550DE9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2A782D95" w14:textId="6EA49643"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inxhinier</w:t>
            </w:r>
          </w:p>
        </w:tc>
        <w:tc>
          <w:tcPr>
            <w:tcW w:w="809" w:type="pct"/>
            <w:tcBorders>
              <w:top w:val="nil"/>
              <w:left w:val="nil"/>
              <w:bottom w:val="single" w:sz="8" w:space="0" w:color="auto"/>
              <w:right w:val="single" w:sz="8" w:space="0" w:color="auto"/>
            </w:tcBorders>
            <w:shd w:val="clear" w:color="auto" w:fill="auto"/>
            <w:noWrap/>
            <w:vAlign w:val="center"/>
            <w:hideMark/>
          </w:tcPr>
          <w:p w14:paraId="5F798817" w14:textId="77777777" w:rsidR="00990EE8" w:rsidRPr="00445472" w:rsidRDefault="00FD51F7" w:rsidP="001D340B">
            <w:pPr>
              <w:spacing w:after="0" w:line="240" w:lineRule="auto"/>
              <w:jc w:val="center"/>
              <w:rPr>
                <w:rFonts w:ascii="Garamond" w:hAnsi="Garamond"/>
                <w:sz w:val="16"/>
                <w:szCs w:val="16"/>
                <w:u w:val="single"/>
              </w:rPr>
            </w:pPr>
            <w:hyperlink r:id="rId100" w:history="1">
              <w:r w:rsidR="00990EE8" w:rsidRPr="00445472">
                <w:rPr>
                  <w:rFonts w:ascii="Garamond" w:hAnsi="Garamond"/>
                  <w:sz w:val="16"/>
                  <w:szCs w:val="16"/>
                  <w:u w:val="single"/>
                </w:rPr>
                <w:t>hkamberi@abkons.com</w:t>
              </w:r>
            </w:hyperlink>
          </w:p>
        </w:tc>
        <w:tc>
          <w:tcPr>
            <w:tcW w:w="375" w:type="pct"/>
            <w:vMerge w:val="restart"/>
            <w:tcBorders>
              <w:top w:val="nil"/>
              <w:left w:val="nil"/>
              <w:bottom w:val="nil"/>
              <w:right w:val="nil"/>
            </w:tcBorders>
            <w:shd w:val="clear" w:color="000000" w:fill="9BC2E6"/>
            <w:noWrap/>
            <w:vAlign w:val="center"/>
            <w:hideMark/>
          </w:tcPr>
          <w:p w14:paraId="5466C7D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179" w:type="pct"/>
            <w:vMerge w:val="restart"/>
            <w:tcBorders>
              <w:top w:val="nil"/>
              <w:left w:val="single" w:sz="8" w:space="0" w:color="auto"/>
              <w:bottom w:val="single" w:sz="8" w:space="0" w:color="000000"/>
              <w:right w:val="nil"/>
            </w:tcBorders>
            <w:shd w:val="clear" w:color="auto" w:fill="auto"/>
            <w:noWrap/>
            <w:vAlign w:val="center"/>
            <w:hideMark/>
          </w:tcPr>
          <w:p w14:paraId="060CD1F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4DF517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r>
      <w:tr w:rsidR="00990EE8" w:rsidRPr="00445472" w14:paraId="36A1164D" w14:textId="77777777" w:rsidTr="00083C46">
        <w:trPr>
          <w:cantSplit/>
          <w:trHeight w:val="465"/>
        </w:trPr>
        <w:tc>
          <w:tcPr>
            <w:tcW w:w="157" w:type="pct"/>
            <w:vMerge/>
            <w:tcBorders>
              <w:top w:val="nil"/>
              <w:left w:val="single" w:sz="8" w:space="0" w:color="auto"/>
              <w:bottom w:val="single" w:sz="8" w:space="0" w:color="auto"/>
              <w:right w:val="single" w:sz="8" w:space="0" w:color="auto"/>
            </w:tcBorders>
            <w:vAlign w:val="center"/>
            <w:hideMark/>
          </w:tcPr>
          <w:p w14:paraId="7289F431"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169F8DB"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97CC98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Shkodër</w:t>
            </w:r>
          </w:p>
        </w:tc>
        <w:tc>
          <w:tcPr>
            <w:tcW w:w="582" w:type="pct"/>
            <w:vMerge/>
            <w:tcBorders>
              <w:top w:val="nil"/>
              <w:left w:val="single" w:sz="8" w:space="0" w:color="auto"/>
              <w:bottom w:val="single" w:sz="8" w:space="0" w:color="000000"/>
              <w:right w:val="single" w:sz="8" w:space="0" w:color="auto"/>
            </w:tcBorders>
            <w:vAlign w:val="center"/>
            <w:hideMark/>
          </w:tcPr>
          <w:p w14:paraId="534CA71F"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vAlign w:val="center"/>
            <w:hideMark/>
          </w:tcPr>
          <w:p w14:paraId="3EB430FF"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Eneida Shuli</w:t>
            </w:r>
            <w:r w:rsidRPr="00445472">
              <w:rPr>
                <w:rFonts w:ascii="Garamond" w:hAnsi="Garamond"/>
                <w:sz w:val="16"/>
                <w:szCs w:val="16"/>
              </w:rPr>
              <w:br/>
              <w:t>Adri Erebara</w:t>
            </w:r>
          </w:p>
        </w:tc>
        <w:tc>
          <w:tcPr>
            <w:tcW w:w="379" w:type="pct"/>
            <w:tcBorders>
              <w:top w:val="nil"/>
              <w:left w:val="nil"/>
              <w:bottom w:val="single" w:sz="8" w:space="0" w:color="auto"/>
              <w:right w:val="single" w:sz="8" w:space="0" w:color="auto"/>
            </w:tcBorders>
            <w:shd w:val="clear" w:color="auto" w:fill="auto"/>
            <w:noWrap/>
            <w:vAlign w:val="center"/>
            <w:hideMark/>
          </w:tcPr>
          <w:p w14:paraId="21C86D39"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2112DB3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Grup interesi</w:t>
            </w:r>
          </w:p>
        </w:tc>
        <w:tc>
          <w:tcPr>
            <w:tcW w:w="809" w:type="pct"/>
            <w:tcBorders>
              <w:top w:val="nil"/>
              <w:left w:val="nil"/>
              <w:bottom w:val="single" w:sz="8" w:space="0" w:color="auto"/>
              <w:right w:val="single" w:sz="8" w:space="0" w:color="auto"/>
            </w:tcBorders>
            <w:shd w:val="clear" w:color="auto" w:fill="auto"/>
            <w:noWrap/>
            <w:vAlign w:val="center"/>
            <w:hideMark/>
          </w:tcPr>
          <w:p w14:paraId="6B7130C3" w14:textId="77777777" w:rsidR="00990EE8" w:rsidRPr="00445472" w:rsidRDefault="00990EE8" w:rsidP="001D340B">
            <w:pPr>
              <w:spacing w:after="0" w:line="240" w:lineRule="auto"/>
              <w:jc w:val="center"/>
              <w:rPr>
                <w:rFonts w:ascii="Garamond" w:hAnsi="Garamond"/>
                <w:sz w:val="16"/>
                <w:szCs w:val="16"/>
                <w:u w:val="single"/>
              </w:rPr>
            </w:pPr>
            <w:r w:rsidRPr="00445472">
              <w:rPr>
                <w:rFonts w:ascii="Garamond" w:hAnsi="Garamond"/>
                <w:sz w:val="16"/>
                <w:szCs w:val="16"/>
                <w:u w:val="single"/>
              </w:rPr>
              <w:t> </w:t>
            </w:r>
          </w:p>
        </w:tc>
        <w:tc>
          <w:tcPr>
            <w:tcW w:w="375" w:type="pct"/>
            <w:vMerge/>
            <w:tcBorders>
              <w:top w:val="nil"/>
              <w:left w:val="nil"/>
              <w:bottom w:val="nil"/>
              <w:right w:val="nil"/>
            </w:tcBorders>
            <w:vAlign w:val="center"/>
            <w:hideMark/>
          </w:tcPr>
          <w:p w14:paraId="706889DF"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57E128A"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009A32F2" w14:textId="77777777" w:rsidR="00990EE8" w:rsidRPr="00445472" w:rsidRDefault="00990EE8" w:rsidP="001D340B">
            <w:pPr>
              <w:spacing w:after="0" w:line="240" w:lineRule="auto"/>
              <w:rPr>
                <w:rFonts w:ascii="Garamond" w:hAnsi="Garamond"/>
                <w:sz w:val="16"/>
                <w:szCs w:val="16"/>
              </w:rPr>
            </w:pPr>
          </w:p>
        </w:tc>
      </w:tr>
      <w:tr w:rsidR="00990EE8" w:rsidRPr="00445472" w14:paraId="192DB783"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CE15E24"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CE56C09"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186E70C2" w14:textId="220320F4"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Vau </w:t>
            </w:r>
            <w:r w:rsidR="00083C46" w:rsidRPr="00445472">
              <w:rPr>
                <w:rFonts w:ascii="Garamond" w:hAnsi="Garamond"/>
                <w:b/>
                <w:bCs/>
                <w:sz w:val="16"/>
                <w:szCs w:val="16"/>
              </w:rPr>
              <w:t>i Dejës</w:t>
            </w:r>
          </w:p>
        </w:tc>
        <w:tc>
          <w:tcPr>
            <w:tcW w:w="582" w:type="pct"/>
            <w:vMerge/>
            <w:tcBorders>
              <w:top w:val="nil"/>
              <w:left w:val="single" w:sz="8" w:space="0" w:color="auto"/>
              <w:bottom w:val="single" w:sz="8" w:space="0" w:color="000000"/>
              <w:right w:val="single" w:sz="8" w:space="0" w:color="auto"/>
            </w:tcBorders>
            <w:vAlign w:val="center"/>
            <w:hideMark/>
          </w:tcPr>
          <w:p w14:paraId="5FE893FF"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78828F73"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Nereda Kola</w:t>
            </w:r>
          </w:p>
        </w:tc>
        <w:tc>
          <w:tcPr>
            <w:tcW w:w="379" w:type="pct"/>
            <w:tcBorders>
              <w:top w:val="nil"/>
              <w:left w:val="nil"/>
              <w:bottom w:val="single" w:sz="8" w:space="0" w:color="auto"/>
              <w:right w:val="single" w:sz="8" w:space="0" w:color="auto"/>
            </w:tcBorders>
            <w:shd w:val="clear" w:color="auto" w:fill="auto"/>
            <w:noWrap/>
            <w:vAlign w:val="center"/>
            <w:hideMark/>
          </w:tcPr>
          <w:p w14:paraId="43C62B9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2483CAD4" w14:textId="071CC27D"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shoqëror</w:t>
            </w:r>
          </w:p>
        </w:tc>
        <w:tc>
          <w:tcPr>
            <w:tcW w:w="809" w:type="pct"/>
            <w:tcBorders>
              <w:top w:val="nil"/>
              <w:left w:val="nil"/>
              <w:bottom w:val="single" w:sz="8" w:space="0" w:color="auto"/>
              <w:right w:val="single" w:sz="8" w:space="0" w:color="auto"/>
            </w:tcBorders>
            <w:shd w:val="clear" w:color="auto" w:fill="auto"/>
            <w:noWrap/>
            <w:vAlign w:val="center"/>
            <w:hideMark/>
          </w:tcPr>
          <w:p w14:paraId="6F08E19B" w14:textId="77777777" w:rsidR="00990EE8" w:rsidRPr="00445472" w:rsidRDefault="00FD51F7" w:rsidP="001D340B">
            <w:pPr>
              <w:spacing w:after="0" w:line="240" w:lineRule="auto"/>
              <w:jc w:val="center"/>
              <w:rPr>
                <w:rFonts w:ascii="Garamond" w:hAnsi="Garamond"/>
                <w:sz w:val="16"/>
                <w:szCs w:val="16"/>
                <w:u w:val="single"/>
              </w:rPr>
            </w:pPr>
            <w:hyperlink r:id="rId101" w:history="1">
              <w:r w:rsidR="00990EE8" w:rsidRPr="00445472">
                <w:rPr>
                  <w:rFonts w:ascii="Garamond" w:hAnsi="Garamond"/>
                  <w:sz w:val="16"/>
                  <w:szCs w:val="16"/>
                  <w:u w:val="single"/>
                </w:rPr>
                <w:t>nkola@abkons.com</w:t>
              </w:r>
            </w:hyperlink>
          </w:p>
        </w:tc>
        <w:tc>
          <w:tcPr>
            <w:tcW w:w="375" w:type="pct"/>
            <w:vMerge/>
            <w:tcBorders>
              <w:top w:val="nil"/>
              <w:left w:val="nil"/>
              <w:bottom w:val="nil"/>
              <w:right w:val="nil"/>
            </w:tcBorders>
            <w:vAlign w:val="center"/>
            <w:hideMark/>
          </w:tcPr>
          <w:p w14:paraId="42C3F929"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33A6B7D"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233A9332" w14:textId="77777777" w:rsidR="00990EE8" w:rsidRPr="00445472" w:rsidRDefault="00990EE8" w:rsidP="001D340B">
            <w:pPr>
              <w:spacing w:after="0" w:line="240" w:lineRule="auto"/>
              <w:rPr>
                <w:rFonts w:ascii="Garamond" w:hAnsi="Garamond"/>
                <w:sz w:val="16"/>
                <w:szCs w:val="16"/>
              </w:rPr>
            </w:pPr>
          </w:p>
        </w:tc>
      </w:tr>
      <w:tr w:rsidR="00990EE8" w:rsidRPr="00445472" w14:paraId="3F35AD7A"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9E5E7F9"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400E497"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14E6A5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Pukë</w:t>
            </w:r>
          </w:p>
        </w:tc>
        <w:tc>
          <w:tcPr>
            <w:tcW w:w="582" w:type="pct"/>
            <w:vMerge/>
            <w:tcBorders>
              <w:top w:val="nil"/>
              <w:left w:val="single" w:sz="8" w:space="0" w:color="auto"/>
              <w:bottom w:val="single" w:sz="8" w:space="0" w:color="000000"/>
              <w:right w:val="single" w:sz="8" w:space="0" w:color="auto"/>
            </w:tcBorders>
            <w:vAlign w:val="center"/>
            <w:hideMark/>
          </w:tcPr>
          <w:p w14:paraId="7852849D"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nil"/>
              <w:right w:val="single" w:sz="8" w:space="0" w:color="auto"/>
            </w:tcBorders>
            <w:shd w:val="clear" w:color="auto" w:fill="auto"/>
            <w:noWrap/>
            <w:vAlign w:val="center"/>
            <w:hideMark/>
          </w:tcPr>
          <w:p w14:paraId="10B6624A"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Redion Biba</w:t>
            </w:r>
          </w:p>
        </w:tc>
        <w:tc>
          <w:tcPr>
            <w:tcW w:w="379" w:type="pct"/>
            <w:tcBorders>
              <w:top w:val="nil"/>
              <w:left w:val="nil"/>
              <w:bottom w:val="nil"/>
              <w:right w:val="single" w:sz="8" w:space="0" w:color="auto"/>
            </w:tcBorders>
            <w:shd w:val="clear" w:color="auto" w:fill="auto"/>
            <w:noWrap/>
            <w:vAlign w:val="center"/>
            <w:hideMark/>
          </w:tcPr>
          <w:p w14:paraId="3FE5700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nil"/>
              <w:right w:val="single" w:sz="8" w:space="0" w:color="auto"/>
            </w:tcBorders>
            <w:shd w:val="clear" w:color="auto" w:fill="auto"/>
            <w:noWrap/>
            <w:vAlign w:val="center"/>
            <w:hideMark/>
          </w:tcPr>
          <w:p w14:paraId="60085AEB" w14:textId="000A8D96"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inxhinier</w:t>
            </w:r>
          </w:p>
        </w:tc>
        <w:tc>
          <w:tcPr>
            <w:tcW w:w="809" w:type="pct"/>
            <w:tcBorders>
              <w:top w:val="nil"/>
              <w:left w:val="nil"/>
              <w:bottom w:val="single" w:sz="8" w:space="0" w:color="auto"/>
              <w:right w:val="single" w:sz="8" w:space="0" w:color="auto"/>
            </w:tcBorders>
            <w:shd w:val="clear" w:color="auto" w:fill="auto"/>
            <w:vAlign w:val="center"/>
            <w:hideMark/>
          </w:tcPr>
          <w:p w14:paraId="3B94CC0D" w14:textId="77777777" w:rsidR="00990EE8" w:rsidRPr="00445472" w:rsidRDefault="00FD51F7" w:rsidP="001D340B">
            <w:pPr>
              <w:spacing w:after="0" w:line="240" w:lineRule="auto"/>
              <w:jc w:val="center"/>
              <w:rPr>
                <w:rFonts w:ascii="Garamond" w:hAnsi="Garamond"/>
                <w:sz w:val="16"/>
                <w:szCs w:val="16"/>
                <w:u w:val="single"/>
              </w:rPr>
            </w:pPr>
            <w:hyperlink r:id="rId102" w:history="1">
              <w:r w:rsidR="00990EE8" w:rsidRPr="00445472">
                <w:rPr>
                  <w:rFonts w:ascii="Garamond" w:hAnsi="Garamond"/>
                  <w:sz w:val="16"/>
                  <w:szCs w:val="16"/>
                  <w:u w:val="single"/>
                </w:rPr>
                <w:t>rbiba@abkons.com</w:t>
              </w:r>
            </w:hyperlink>
          </w:p>
        </w:tc>
        <w:tc>
          <w:tcPr>
            <w:tcW w:w="375" w:type="pct"/>
            <w:vMerge/>
            <w:tcBorders>
              <w:top w:val="nil"/>
              <w:left w:val="nil"/>
              <w:bottom w:val="nil"/>
              <w:right w:val="nil"/>
            </w:tcBorders>
            <w:vAlign w:val="center"/>
            <w:hideMark/>
          </w:tcPr>
          <w:p w14:paraId="5664F107"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97F7F5E"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2B463395" w14:textId="77777777" w:rsidR="00990EE8" w:rsidRPr="00445472" w:rsidRDefault="00990EE8" w:rsidP="001D340B">
            <w:pPr>
              <w:spacing w:after="0" w:line="240" w:lineRule="auto"/>
              <w:rPr>
                <w:rFonts w:ascii="Garamond" w:hAnsi="Garamond"/>
                <w:sz w:val="16"/>
                <w:szCs w:val="16"/>
              </w:rPr>
            </w:pPr>
          </w:p>
        </w:tc>
      </w:tr>
      <w:tr w:rsidR="00990EE8" w:rsidRPr="00445472" w14:paraId="2596C724" w14:textId="77777777" w:rsidTr="00083C46">
        <w:trPr>
          <w:cantSplit/>
          <w:trHeight w:val="348"/>
        </w:trPr>
        <w:tc>
          <w:tcPr>
            <w:tcW w:w="157" w:type="pct"/>
            <w:vMerge/>
            <w:tcBorders>
              <w:top w:val="nil"/>
              <w:left w:val="single" w:sz="8" w:space="0" w:color="auto"/>
              <w:bottom w:val="single" w:sz="8" w:space="0" w:color="auto"/>
              <w:right w:val="single" w:sz="8" w:space="0" w:color="auto"/>
            </w:tcBorders>
            <w:vAlign w:val="center"/>
            <w:hideMark/>
          </w:tcPr>
          <w:p w14:paraId="094CECB4"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67215E86"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0634302C"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Fushë-Arrëz</w:t>
            </w:r>
          </w:p>
        </w:tc>
        <w:tc>
          <w:tcPr>
            <w:tcW w:w="582" w:type="pct"/>
            <w:tcBorders>
              <w:top w:val="nil"/>
              <w:left w:val="nil"/>
              <w:bottom w:val="single" w:sz="8" w:space="0" w:color="auto"/>
              <w:right w:val="single" w:sz="8" w:space="0" w:color="auto"/>
            </w:tcBorders>
            <w:shd w:val="clear" w:color="auto" w:fill="auto"/>
            <w:noWrap/>
            <w:vAlign w:val="center"/>
            <w:hideMark/>
          </w:tcPr>
          <w:p w14:paraId="1B28B445"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Mbledhja rajonale</w:t>
            </w:r>
          </w:p>
        </w:tc>
        <w:tc>
          <w:tcPr>
            <w:tcW w:w="748" w:type="pct"/>
            <w:tcBorders>
              <w:top w:val="single" w:sz="8" w:space="0" w:color="auto"/>
              <w:left w:val="nil"/>
              <w:bottom w:val="single" w:sz="8" w:space="0" w:color="auto"/>
              <w:right w:val="single" w:sz="8" w:space="0" w:color="auto"/>
            </w:tcBorders>
            <w:shd w:val="clear" w:color="auto" w:fill="auto"/>
            <w:noWrap/>
            <w:vAlign w:val="center"/>
            <w:hideMark/>
          </w:tcPr>
          <w:p w14:paraId="03987BF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Qarku Shkodër </w:t>
            </w:r>
          </w:p>
        </w:tc>
        <w:tc>
          <w:tcPr>
            <w:tcW w:w="379" w:type="pct"/>
            <w:tcBorders>
              <w:top w:val="single" w:sz="8" w:space="0" w:color="auto"/>
              <w:left w:val="nil"/>
              <w:bottom w:val="single" w:sz="8" w:space="0" w:color="auto"/>
              <w:right w:val="single" w:sz="8" w:space="0" w:color="auto"/>
            </w:tcBorders>
            <w:shd w:val="clear" w:color="auto" w:fill="auto"/>
            <w:noWrap/>
            <w:vAlign w:val="center"/>
            <w:hideMark/>
          </w:tcPr>
          <w:p w14:paraId="0BD82506"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single" w:sz="8" w:space="0" w:color="auto"/>
              <w:left w:val="nil"/>
              <w:bottom w:val="single" w:sz="8" w:space="0" w:color="auto"/>
              <w:right w:val="single" w:sz="8" w:space="0" w:color="auto"/>
            </w:tcBorders>
            <w:shd w:val="clear" w:color="auto" w:fill="auto"/>
            <w:noWrap/>
            <w:vAlign w:val="center"/>
            <w:hideMark/>
          </w:tcPr>
          <w:p w14:paraId="7E110170"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6D71109C"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2597124E"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2FA607E3"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0F89693B" w14:textId="77777777" w:rsidR="00990EE8" w:rsidRPr="00445472" w:rsidRDefault="00990EE8" w:rsidP="001D340B">
            <w:pPr>
              <w:spacing w:after="0" w:line="240" w:lineRule="auto"/>
              <w:rPr>
                <w:rFonts w:ascii="Garamond" w:hAnsi="Garamond"/>
                <w:sz w:val="16"/>
                <w:szCs w:val="16"/>
              </w:rPr>
            </w:pPr>
          </w:p>
        </w:tc>
      </w:tr>
      <w:tr w:rsidR="00990EE8" w:rsidRPr="00445472" w14:paraId="2CBC7D04"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2462673A"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6E1EE9EB"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3300D202"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4185777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Grupet e Fokusit</w:t>
            </w:r>
          </w:p>
        </w:tc>
        <w:tc>
          <w:tcPr>
            <w:tcW w:w="748" w:type="pct"/>
            <w:tcBorders>
              <w:top w:val="nil"/>
              <w:left w:val="nil"/>
              <w:bottom w:val="single" w:sz="8" w:space="0" w:color="auto"/>
              <w:right w:val="single" w:sz="8" w:space="0" w:color="auto"/>
            </w:tcBorders>
            <w:shd w:val="clear" w:color="auto" w:fill="auto"/>
            <w:noWrap/>
            <w:vAlign w:val="center"/>
            <w:hideMark/>
          </w:tcPr>
          <w:p w14:paraId="3844B073"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Të moshuarit</w:t>
            </w:r>
          </w:p>
        </w:tc>
        <w:tc>
          <w:tcPr>
            <w:tcW w:w="379" w:type="pct"/>
            <w:tcBorders>
              <w:top w:val="nil"/>
              <w:left w:val="nil"/>
              <w:bottom w:val="single" w:sz="8" w:space="0" w:color="auto"/>
              <w:right w:val="single" w:sz="8" w:space="0" w:color="auto"/>
            </w:tcBorders>
            <w:shd w:val="clear" w:color="auto" w:fill="auto"/>
            <w:noWrap/>
            <w:vAlign w:val="center"/>
            <w:hideMark/>
          </w:tcPr>
          <w:p w14:paraId="3E3209AA"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20A9891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22FCF207"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5CDDB2A2"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401AE49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62C14D39"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C50C561"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614DF37"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79C415DF"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7288047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672158F9"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055F246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Komuniteti rom</w:t>
            </w:r>
          </w:p>
        </w:tc>
        <w:tc>
          <w:tcPr>
            <w:tcW w:w="379" w:type="pct"/>
            <w:tcBorders>
              <w:top w:val="nil"/>
              <w:left w:val="nil"/>
              <w:bottom w:val="single" w:sz="8" w:space="0" w:color="auto"/>
              <w:right w:val="single" w:sz="8" w:space="0" w:color="auto"/>
            </w:tcBorders>
            <w:shd w:val="clear" w:color="auto" w:fill="auto"/>
            <w:noWrap/>
            <w:vAlign w:val="center"/>
            <w:hideMark/>
          </w:tcPr>
          <w:p w14:paraId="2E040BA9"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6C402B7B"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74D10CC2"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12E37114"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3A75D6D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55BF05DD"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8219F56"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61B0E8C3"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ADE6877"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15A7F17"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27CA5160"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Informatorët kyç</w:t>
            </w:r>
          </w:p>
        </w:tc>
        <w:tc>
          <w:tcPr>
            <w:tcW w:w="748" w:type="pct"/>
            <w:tcBorders>
              <w:top w:val="nil"/>
              <w:left w:val="nil"/>
              <w:bottom w:val="single" w:sz="8" w:space="0" w:color="auto"/>
              <w:right w:val="single" w:sz="8" w:space="0" w:color="auto"/>
            </w:tcBorders>
            <w:shd w:val="clear" w:color="auto" w:fill="auto"/>
            <w:noWrap/>
            <w:vAlign w:val="center"/>
            <w:hideMark/>
          </w:tcPr>
          <w:p w14:paraId="17A0964F"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Fermerë</w:t>
            </w:r>
          </w:p>
        </w:tc>
        <w:tc>
          <w:tcPr>
            <w:tcW w:w="379" w:type="pct"/>
            <w:tcBorders>
              <w:top w:val="nil"/>
              <w:left w:val="nil"/>
              <w:bottom w:val="single" w:sz="8" w:space="0" w:color="auto"/>
              <w:right w:val="single" w:sz="8" w:space="0" w:color="auto"/>
            </w:tcBorders>
            <w:shd w:val="clear" w:color="auto" w:fill="auto"/>
            <w:noWrap/>
            <w:vAlign w:val="center"/>
            <w:hideMark/>
          </w:tcPr>
          <w:p w14:paraId="06B324A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2191C6E1"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70875FA8"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146D9989"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4BA7C6A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7E7CE31C"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5405E210"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CEA6AF3"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815DBC6"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single" w:sz="8" w:space="0" w:color="auto"/>
              <w:right w:val="single" w:sz="8" w:space="0" w:color="auto"/>
            </w:tcBorders>
            <w:shd w:val="clear" w:color="auto" w:fill="auto"/>
            <w:vAlign w:val="center"/>
            <w:hideMark/>
          </w:tcPr>
          <w:p w14:paraId="699CF93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4610CAD5"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0D4214CA"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Punonjësit e shëndetësisë</w:t>
            </w:r>
          </w:p>
        </w:tc>
        <w:tc>
          <w:tcPr>
            <w:tcW w:w="379" w:type="pct"/>
            <w:tcBorders>
              <w:top w:val="nil"/>
              <w:left w:val="nil"/>
              <w:bottom w:val="single" w:sz="8" w:space="0" w:color="auto"/>
              <w:right w:val="single" w:sz="8" w:space="0" w:color="auto"/>
            </w:tcBorders>
            <w:shd w:val="clear" w:color="auto" w:fill="auto"/>
            <w:noWrap/>
            <w:vAlign w:val="center"/>
            <w:hideMark/>
          </w:tcPr>
          <w:p w14:paraId="3B2440D5"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78D7EEBC"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0EEEADD1"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58EE6CA"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0638D89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4DDA8AA6"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50ED4D12" w14:textId="77777777" w:rsidTr="00083C46">
        <w:trPr>
          <w:cantSplit/>
          <w:trHeight w:val="315"/>
        </w:trPr>
        <w:tc>
          <w:tcPr>
            <w:tcW w:w="157" w:type="pct"/>
            <w:vMerge w:val="restar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00BE5EE7"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260" w:type="pct"/>
            <w:vMerge w:val="restart"/>
            <w:tcBorders>
              <w:top w:val="nil"/>
              <w:left w:val="single" w:sz="8" w:space="0" w:color="auto"/>
              <w:bottom w:val="single" w:sz="8" w:space="0" w:color="auto"/>
              <w:right w:val="single" w:sz="8" w:space="0" w:color="auto"/>
            </w:tcBorders>
            <w:shd w:val="clear" w:color="000000" w:fill="BDD7EE"/>
            <w:noWrap/>
            <w:textDirection w:val="btLr"/>
            <w:vAlign w:val="center"/>
            <w:hideMark/>
          </w:tcPr>
          <w:p w14:paraId="224B644A"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Lezhë</w:t>
            </w:r>
          </w:p>
        </w:tc>
        <w:tc>
          <w:tcPr>
            <w:tcW w:w="634" w:type="pct"/>
            <w:tcBorders>
              <w:top w:val="nil"/>
              <w:left w:val="nil"/>
              <w:bottom w:val="nil"/>
              <w:right w:val="single" w:sz="8" w:space="0" w:color="auto"/>
            </w:tcBorders>
            <w:shd w:val="clear" w:color="auto" w:fill="auto"/>
            <w:vAlign w:val="center"/>
            <w:hideMark/>
          </w:tcPr>
          <w:p w14:paraId="4153305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Mirditë</w:t>
            </w:r>
          </w:p>
        </w:tc>
        <w:tc>
          <w:tcPr>
            <w:tcW w:w="58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F726D8F"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Ekipi </w:t>
            </w:r>
          </w:p>
        </w:tc>
        <w:tc>
          <w:tcPr>
            <w:tcW w:w="748" w:type="pct"/>
            <w:tcBorders>
              <w:top w:val="nil"/>
              <w:left w:val="nil"/>
              <w:bottom w:val="single" w:sz="8" w:space="0" w:color="auto"/>
              <w:right w:val="single" w:sz="8" w:space="0" w:color="auto"/>
            </w:tcBorders>
            <w:shd w:val="clear" w:color="auto" w:fill="auto"/>
            <w:noWrap/>
            <w:vAlign w:val="center"/>
            <w:hideMark/>
          </w:tcPr>
          <w:p w14:paraId="53E1D0FA"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Halit Kamberi</w:t>
            </w:r>
          </w:p>
        </w:tc>
        <w:tc>
          <w:tcPr>
            <w:tcW w:w="379" w:type="pct"/>
            <w:tcBorders>
              <w:top w:val="nil"/>
              <w:left w:val="nil"/>
              <w:bottom w:val="single" w:sz="8" w:space="0" w:color="auto"/>
              <w:right w:val="single" w:sz="8" w:space="0" w:color="auto"/>
            </w:tcBorders>
            <w:shd w:val="clear" w:color="auto" w:fill="auto"/>
            <w:noWrap/>
            <w:vAlign w:val="center"/>
            <w:hideMark/>
          </w:tcPr>
          <w:p w14:paraId="191AF25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39CFE68C" w14:textId="27901FA9"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inxhinier</w:t>
            </w:r>
          </w:p>
        </w:tc>
        <w:tc>
          <w:tcPr>
            <w:tcW w:w="809" w:type="pct"/>
            <w:tcBorders>
              <w:top w:val="nil"/>
              <w:left w:val="nil"/>
              <w:bottom w:val="single" w:sz="8" w:space="0" w:color="auto"/>
              <w:right w:val="single" w:sz="8" w:space="0" w:color="auto"/>
            </w:tcBorders>
            <w:shd w:val="clear" w:color="auto" w:fill="auto"/>
            <w:noWrap/>
            <w:vAlign w:val="center"/>
            <w:hideMark/>
          </w:tcPr>
          <w:p w14:paraId="77CC54C2" w14:textId="77777777" w:rsidR="00990EE8" w:rsidRPr="00445472" w:rsidRDefault="00FD51F7" w:rsidP="001D340B">
            <w:pPr>
              <w:spacing w:after="0" w:line="240" w:lineRule="auto"/>
              <w:jc w:val="center"/>
              <w:rPr>
                <w:rFonts w:ascii="Garamond" w:hAnsi="Garamond"/>
                <w:sz w:val="16"/>
                <w:szCs w:val="16"/>
                <w:u w:val="single"/>
              </w:rPr>
            </w:pPr>
            <w:hyperlink r:id="rId103" w:history="1">
              <w:r w:rsidR="00990EE8" w:rsidRPr="00445472">
                <w:rPr>
                  <w:rFonts w:ascii="Garamond" w:hAnsi="Garamond"/>
                  <w:sz w:val="16"/>
                  <w:szCs w:val="16"/>
                  <w:u w:val="single"/>
                </w:rPr>
                <w:t>hkamberi@abkons.com</w:t>
              </w:r>
            </w:hyperlink>
          </w:p>
        </w:tc>
        <w:tc>
          <w:tcPr>
            <w:tcW w:w="375" w:type="pct"/>
            <w:vMerge/>
            <w:tcBorders>
              <w:top w:val="nil"/>
              <w:left w:val="nil"/>
              <w:bottom w:val="nil"/>
              <w:right w:val="nil"/>
            </w:tcBorders>
            <w:vAlign w:val="center"/>
            <w:hideMark/>
          </w:tcPr>
          <w:p w14:paraId="74DC96C0" w14:textId="77777777" w:rsidR="00990EE8" w:rsidRPr="00445472" w:rsidRDefault="00990EE8" w:rsidP="001D340B">
            <w:pPr>
              <w:spacing w:after="0" w:line="240" w:lineRule="auto"/>
              <w:rPr>
                <w:rFonts w:ascii="Garamond" w:hAnsi="Garamond"/>
                <w:b/>
                <w:bCs/>
                <w:sz w:val="16"/>
                <w:szCs w:val="16"/>
              </w:rPr>
            </w:pPr>
          </w:p>
        </w:tc>
        <w:tc>
          <w:tcPr>
            <w:tcW w:w="179" w:type="pct"/>
            <w:vMerge w:val="restart"/>
            <w:tcBorders>
              <w:top w:val="nil"/>
              <w:left w:val="single" w:sz="8" w:space="0" w:color="auto"/>
              <w:bottom w:val="single" w:sz="8" w:space="0" w:color="000000"/>
              <w:right w:val="nil"/>
            </w:tcBorders>
            <w:shd w:val="clear" w:color="auto" w:fill="auto"/>
            <w:noWrap/>
            <w:vAlign w:val="center"/>
            <w:hideMark/>
          </w:tcPr>
          <w:p w14:paraId="4D9042C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vMerge w:val="restart"/>
            <w:tcBorders>
              <w:top w:val="nil"/>
              <w:left w:val="single" w:sz="8" w:space="0" w:color="auto"/>
              <w:bottom w:val="single" w:sz="8" w:space="0" w:color="000000"/>
              <w:right w:val="single" w:sz="8" w:space="0" w:color="auto"/>
            </w:tcBorders>
            <w:shd w:val="clear" w:color="auto" w:fill="auto"/>
            <w:noWrap/>
            <w:vAlign w:val="center"/>
          </w:tcPr>
          <w:p w14:paraId="325DBB75"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6CE077A" w14:textId="77777777" w:rsidTr="00083C46">
        <w:trPr>
          <w:cantSplit/>
          <w:trHeight w:val="465"/>
        </w:trPr>
        <w:tc>
          <w:tcPr>
            <w:tcW w:w="157" w:type="pct"/>
            <w:vMerge/>
            <w:tcBorders>
              <w:top w:val="nil"/>
              <w:left w:val="single" w:sz="8" w:space="0" w:color="auto"/>
              <w:bottom w:val="single" w:sz="8" w:space="0" w:color="auto"/>
              <w:right w:val="single" w:sz="8" w:space="0" w:color="auto"/>
            </w:tcBorders>
            <w:vAlign w:val="center"/>
            <w:hideMark/>
          </w:tcPr>
          <w:p w14:paraId="3AB29603"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7031CF32"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1E6B6C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Lezhë</w:t>
            </w:r>
          </w:p>
        </w:tc>
        <w:tc>
          <w:tcPr>
            <w:tcW w:w="582" w:type="pct"/>
            <w:vMerge/>
            <w:tcBorders>
              <w:top w:val="nil"/>
              <w:left w:val="single" w:sz="8" w:space="0" w:color="auto"/>
              <w:bottom w:val="single" w:sz="8" w:space="0" w:color="000000"/>
              <w:right w:val="single" w:sz="8" w:space="0" w:color="auto"/>
            </w:tcBorders>
            <w:vAlign w:val="center"/>
            <w:hideMark/>
          </w:tcPr>
          <w:p w14:paraId="4AFE2B95"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vAlign w:val="center"/>
            <w:hideMark/>
          </w:tcPr>
          <w:p w14:paraId="13DADDA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Eneida Shuli</w:t>
            </w:r>
            <w:r w:rsidRPr="00445472">
              <w:rPr>
                <w:rFonts w:ascii="Garamond" w:hAnsi="Garamond"/>
                <w:sz w:val="16"/>
                <w:szCs w:val="16"/>
              </w:rPr>
              <w:br/>
              <w:t>Adri Erebara</w:t>
            </w:r>
          </w:p>
        </w:tc>
        <w:tc>
          <w:tcPr>
            <w:tcW w:w="379" w:type="pct"/>
            <w:tcBorders>
              <w:top w:val="nil"/>
              <w:left w:val="nil"/>
              <w:bottom w:val="single" w:sz="8" w:space="0" w:color="auto"/>
              <w:right w:val="single" w:sz="8" w:space="0" w:color="auto"/>
            </w:tcBorders>
            <w:shd w:val="clear" w:color="auto" w:fill="auto"/>
            <w:noWrap/>
            <w:vAlign w:val="center"/>
            <w:hideMark/>
          </w:tcPr>
          <w:p w14:paraId="4E771AE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4A50D13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Grup interesi</w:t>
            </w:r>
          </w:p>
        </w:tc>
        <w:tc>
          <w:tcPr>
            <w:tcW w:w="809" w:type="pct"/>
            <w:tcBorders>
              <w:top w:val="nil"/>
              <w:left w:val="nil"/>
              <w:bottom w:val="single" w:sz="8" w:space="0" w:color="auto"/>
              <w:right w:val="single" w:sz="8" w:space="0" w:color="auto"/>
            </w:tcBorders>
            <w:shd w:val="clear" w:color="auto" w:fill="auto"/>
            <w:noWrap/>
            <w:vAlign w:val="center"/>
            <w:hideMark/>
          </w:tcPr>
          <w:p w14:paraId="1976D9AA" w14:textId="77777777" w:rsidR="00990EE8" w:rsidRPr="00445472" w:rsidRDefault="00990EE8" w:rsidP="001D340B">
            <w:pPr>
              <w:spacing w:after="0" w:line="240" w:lineRule="auto"/>
              <w:jc w:val="center"/>
              <w:rPr>
                <w:rFonts w:ascii="Garamond" w:hAnsi="Garamond"/>
                <w:sz w:val="16"/>
                <w:szCs w:val="16"/>
                <w:u w:val="single"/>
              </w:rPr>
            </w:pPr>
            <w:r w:rsidRPr="00445472">
              <w:rPr>
                <w:rFonts w:ascii="Garamond" w:hAnsi="Garamond"/>
                <w:sz w:val="16"/>
                <w:szCs w:val="16"/>
                <w:u w:val="single"/>
              </w:rPr>
              <w:t> </w:t>
            </w:r>
          </w:p>
        </w:tc>
        <w:tc>
          <w:tcPr>
            <w:tcW w:w="375" w:type="pct"/>
            <w:vMerge/>
            <w:tcBorders>
              <w:top w:val="nil"/>
              <w:left w:val="nil"/>
              <w:bottom w:val="nil"/>
              <w:right w:val="nil"/>
            </w:tcBorders>
            <w:vAlign w:val="center"/>
            <w:hideMark/>
          </w:tcPr>
          <w:p w14:paraId="7F890873"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47161EBC"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36A5EEFC" w14:textId="77777777" w:rsidR="00990EE8" w:rsidRPr="00445472" w:rsidRDefault="00990EE8" w:rsidP="001D340B">
            <w:pPr>
              <w:spacing w:after="0" w:line="240" w:lineRule="auto"/>
              <w:rPr>
                <w:rFonts w:ascii="Garamond" w:hAnsi="Garamond"/>
                <w:sz w:val="16"/>
                <w:szCs w:val="16"/>
              </w:rPr>
            </w:pPr>
          </w:p>
        </w:tc>
      </w:tr>
      <w:tr w:rsidR="00990EE8" w:rsidRPr="00445472" w14:paraId="5C60CCB6"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9018332"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A1317FD"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598C247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single" w:sz="8" w:space="0" w:color="auto"/>
              <w:bottom w:val="single" w:sz="8" w:space="0" w:color="000000"/>
              <w:right w:val="single" w:sz="8" w:space="0" w:color="auto"/>
            </w:tcBorders>
            <w:vAlign w:val="center"/>
            <w:hideMark/>
          </w:tcPr>
          <w:p w14:paraId="705EF397"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05B3E15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Nereda Kola</w:t>
            </w:r>
          </w:p>
        </w:tc>
        <w:tc>
          <w:tcPr>
            <w:tcW w:w="379" w:type="pct"/>
            <w:tcBorders>
              <w:top w:val="nil"/>
              <w:left w:val="nil"/>
              <w:bottom w:val="single" w:sz="8" w:space="0" w:color="auto"/>
              <w:right w:val="single" w:sz="8" w:space="0" w:color="auto"/>
            </w:tcBorders>
            <w:shd w:val="clear" w:color="auto" w:fill="auto"/>
            <w:noWrap/>
            <w:vAlign w:val="center"/>
            <w:hideMark/>
          </w:tcPr>
          <w:p w14:paraId="60D7A4D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4BDB795D" w14:textId="06BEC2EE"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shoqëror</w:t>
            </w:r>
          </w:p>
        </w:tc>
        <w:tc>
          <w:tcPr>
            <w:tcW w:w="809" w:type="pct"/>
            <w:tcBorders>
              <w:top w:val="nil"/>
              <w:left w:val="nil"/>
              <w:bottom w:val="single" w:sz="8" w:space="0" w:color="auto"/>
              <w:right w:val="single" w:sz="8" w:space="0" w:color="auto"/>
            </w:tcBorders>
            <w:shd w:val="clear" w:color="auto" w:fill="auto"/>
            <w:noWrap/>
            <w:vAlign w:val="center"/>
            <w:hideMark/>
          </w:tcPr>
          <w:p w14:paraId="3DCBB389" w14:textId="77777777" w:rsidR="00990EE8" w:rsidRPr="00445472" w:rsidRDefault="00FD51F7" w:rsidP="001D340B">
            <w:pPr>
              <w:spacing w:after="0" w:line="240" w:lineRule="auto"/>
              <w:jc w:val="center"/>
              <w:rPr>
                <w:rFonts w:ascii="Garamond" w:hAnsi="Garamond"/>
                <w:sz w:val="16"/>
                <w:szCs w:val="16"/>
                <w:u w:val="single"/>
              </w:rPr>
            </w:pPr>
            <w:hyperlink r:id="rId104" w:history="1">
              <w:r w:rsidR="00990EE8" w:rsidRPr="00445472">
                <w:rPr>
                  <w:rFonts w:ascii="Garamond" w:hAnsi="Garamond"/>
                  <w:sz w:val="16"/>
                  <w:szCs w:val="16"/>
                  <w:u w:val="single"/>
                </w:rPr>
                <w:t>nkola@abkons.com</w:t>
              </w:r>
            </w:hyperlink>
          </w:p>
        </w:tc>
        <w:tc>
          <w:tcPr>
            <w:tcW w:w="375" w:type="pct"/>
            <w:vMerge/>
            <w:tcBorders>
              <w:top w:val="nil"/>
              <w:left w:val="nil"/>
              <w:bottom w:val="nil"/>
              <w:right w:val="nil"/>
            </w:tcBorders>
            <w:vAlign w:val="center"/>
            <w:hideMark/>
          </w:tcPr>
          <w:p w14:paraId="4AB364F0"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5F3420AE"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6DD696B7" w14:textId="77777777" w:rsidR="00990EE8" w:rsidRPr="00445472" w:rsidRDefault="00990EE8" w:rsidP="001D340B">
            <w:pPr>
              <w:spacing w:after="0" w:line="240" w:lineRule="auto"/>
              <w:rPr>
                <w:rFonts w:ascii="Garamond" w:hAnsi="Garamond"/>
                <w:sz w:val="16"/>
                <w:szCs w:val="16"/>
              </w:rPr>
            </w:pPr>
          </w:p>
        </w:tc>
      </w:tr>
      <w:tr w:rsidR="00990EE8" w:rsidRPr="00445472" w14:paraId="05B3B615"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89A410E"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0BE6EE2"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4B0A1C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single" w:sz="8" w:space="0" w:color="auto"/>
              <w:bottom w:val="single" w:sz="8" w:space="0" w:color="000000"/>
              <w:right w:val="single" w:sz="8" w:space="0" w:color="auto"/>
            </w:tcBorders>
            <w:vAlign w:val="center"/>
            <w:hideMark/>
          </w:tcPr>
          <w:p w14:paraId="473C1D2C"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nil"/>
              <w:right w:val="single" w:sz="8" w:space="0" w:color="auto"/>
            </w:tcBorders>
            <w:shd w:val="clear" w:color="auto" w:fill="auto"/>
            <w:noWrap/>
            <w:vAlign w:val="center"/>
            <w:hideMark/>
          </w:tcPr>
          <w:p w14:paraId="683809CF"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Redion Biba</w:t>
            </w:r>
          </w:p>
        </w:tc>
        <w:tc>
          <w:tcPr>
            <w:tcW w:w="379" w:type="pct"/>
            <w:tcBorders>
              <w:top w:val="nil"/>
              <w:left w:val="nil"/>
              <w:bottom w:val="nil"/>
              <w:right w:val="single" w:sz="8" w:space="0" w:color="auto"/>
            </w:tcBorders>
            <w:shd w:val="clear" w:color="auto" w:fill="auto"/>
            <w:noWrap/>
            <w:vAlign w:val="center"/>
            <w:hideMark/>
          </w:tcPr>
          <w:p w14:paraId="48DD287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nil"/>
              <w:right w:val="single" w:sz="8" w:space="0" w:color="auto"/>
            </w:tcBorders>
            <w:shd w:val="clear" w:color="auto" w:fill="auto"/>
            <w:noWrap/>
            <w:vAlign w:val="center"/>
            <w:hideMark/>
          </w:tcPr>
          <w:p w14:paraId="6765FDAC" w14:textId="7352CED0"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inxhinier</w:t>
            </w:r>
          </w:p>
        </w:tc>
        <w:tc>
          <w:tcPr>
            <w:tcW w:w="809" w:type="pct"/>
            <w:tcBorders>
              <w:top w:val="nil"/>
              <w:left w:val="nil"/>
              <w:bottom w:val="single" w:sz="8" w:space="0" w:color="auto"/>
              <w:right w:val="single" w:sz="8" w:space="0" w:color="auto"/>
            </w:tcBorders>
            <w:shd w:val="clear" w:color="auto" w:fill="auto"/>
            <w:vAlign w:val="center"/>
            <w:hideMark/>
          </w:tcPr>
          <w:p w14:paraId="4EC1A246" w14:textId="77777777" w:rsidR="00990EE8" w:rsidRPr="00445472" w:rsidRDefault="00FD51F7" w:rsidP="001D340B">
            <w:pPr>
              <w:spacing w:after="0" w:line="240" w:lineRule="auto"/>
              <w:jc w:val="center"/>
              <w:rPr>
                <w:rFonts w:ascii="Garamond" w:hAnsi="Garamond"/>
                <w:sz w:val="16"/>
                <w:szCs w:val="16"/>
                <w:u w:val="single"/>
              </w:rPr>
            </w:pPr>
            <w:hyperlink r:id="rId105" w:history="1">
              <w:r w:rsidR="00990EE8" w:rsidRPr="00445472">
                <w:rPr>
                  <w:rFonts w:ascii="Garamond" w:hAnsi="Garamond"/>
                  <w:sz w:val="16"/>
                  <w:szCs w:val="16"/>
                  <w:u w:val="single"/>
                </w:rPr>
                <w:t>rbiba@abkons.com</w:t>
              </w:r>
            </w:hyperlink>
          </w:p>
        </w:tc>
        <w:tc>
          <w:tcPr>
            <w:tcW w:w="375" w:type="pct"/>
            <w:vMerge/>
            <w:tcBorders>
              <w:top w:val="nil"/>
              <w:left w:val="nil"/>
              <w:bottom w:val="nil"/>
              <w:right w:val="nil"/>
            </w:tcBorders>
            <w:vAlign w:val="center"/>
            <w:hideMark/>
          </w:tcPr>
          <w:p w14:paraId="757B3BC1"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13B063A3"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70EB15E4" w14:textId="77777777" w:rsidR="00990EE8" w:rsidRPr="00445472" w:rsidRDefault="00990EE8" w:rsidP="001D340B">
            <w:pPr>
              <w:spacing w:after="0" w:line="240" w:lineRule="auto"/>
              <w:rPr>
                <w:rFonts w:ascii="Garamond" w:hAnsi="Garamond"/>
                <w:sz w:val="16"/>
                <w:szCs w:val="16"/>
              </w:rPr>
            </w:pPr>
          </w:p>
        </w:tc>
      </w:tr>
      <w:tr w:rsidR="00990EE8" w:rsidRPr="00445472" w14:paraId="6A32B931"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A5CE69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90834EF"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0AE3802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tcBorders>
              <w:top w:val="nil"/>
              <w:left w:val="nil"/>
              <w:bottom w:val="single" w:sz="8" w:space="0" w:color="auto"/>
              <w:right w:val="single" w:sz="8" w:space="0" w:color="auto"/>
            </w:tcBorders>
            <w:shd w:val="clear" w:color="auto" w:fill="auto"/>
            <w:noWrap/>
            <w:vAlign w:val="center"/>
            <w:hideMark/>
          </w:tcPr>
          <w:p w14:paraId="54B73A85"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Mbledhje rajonale</w:t>
            </w:r>
          </w:p>
        </w:tc>
        <w:tc>
          <w:tcPr>
            <w:tcW w:w="748" w:type="pct"/>
            <w:tcBorders>
              <w:top w:val="single" w:sz="8" w:space="0" w:color="auto"/>
              <w:left w:val="nil"/>
              <w:bottom w:val="single" w:sz="8" w:space="0" w:color="auto"/>
              <w:right w:val="single" w:sz="8" w:space="0" w:color="auto"/>
            </w:tcBorders>
            <w:shd w:val="clear" w:color="auto" w:fill="auto"/>
            <w:noWrap/>
            <w:vAlign w:val="center"/>
            <w:hideMark/>
          </w:tcPr>
          <w:p w14:paraId="144CD39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Qarku Lezhë</w:t>
            </w:r>
          </w:p>
        </w:tc>
        <w:tc>
          <w:tcPr>
            <w:tcW w:w="379" w:type="pct"/>
            <w:tcBorders>
              <w:top w:val="single" w:sz="8" w:space="0" w:color="auto"/>
              <w:left w:val="nil"/>
              <w:bottom w:val="single" w:sz="8" w:space="0" w:color="auto"/>
              <w:right w:val="single" w:sz="8" w:space="0" w:color="auto"/>
            </w:tcBorders>
            <w:shd w:val="clear" w:color="auto" w:fill="auto"/>
            <w:noWrap/>
            <w:vAlign w:val="center"/>
            <w:hideMark/>
          </w:tcPr>
          <w:p w14:paraId="625D0D95"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single" w:sz="8" w:space="0" w:color="auto"/>
              <w:left w:val="nil"/>
              <w:bottom w:val="single" w:sz="8" w:space="0" w:color="auto"/>
              <w:right w:val="single" w:sz="8" w:space="0" w:color="auto"/>
            </w:tcBorders>
            <w:shd w:val="clear" w:color="auto" w:fill="auto"/>
            <w:noWrap/>
            <w:vAlign w:val="center"/>
            <w:hideMark/>
          </w:tcPr>
          <w:p w14:paraId="26DEF7E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52D92C8A"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08E78E1"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24C04C45"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003AC8B7" w14:textId="77777777" w:rsidR="00990EE8" w:rsidRPr="00445472" w:rsidRDefault="00990EE8" w:rsidP="001D340B">
            <w:pPr>
              <w:spacing w:after="0" w:line="240" w:lineRule="auto"/>
              <w:rPr>
                <w:rFonts w:ascii="Garamond" w:hAnsi="Garamond"/>
                <w:sz w:val="16"/>
                <w:szCs w:val="16"/>
              </w:rPr>
            </w:pPr>
          </w:p>
        </w:tc>
      </w:tr>
      <w:tr w:rsidR="00990EE8" w:rsidRPr="00445472" w14:paraId="55C80581"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36F78D28"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8BFBA9C"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E66D00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5947A92F"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Grupet e Fokusit</w:t>
            </w:r>
          </w:p>
        </w:tc>
        <w:tc>
          <w:tcPr>
            <w:tcW w:w="748" w:type="pct"/>
            <w:tcBorders>
              <w:top w:val="nil"/>
              <w:left w:val="nil"/>
              <w:bottom w:val="single" w:sz="8" w:space="0" w:color="auto"/>
              <w:right w:val="single" w:sz="8" w:space="0" w:color="auto"/>
            </w:tcBorders>
            <w:shd w:val="clear" w:color="auto" w:fill="auto"/>
            <w:noWrap/>
            <w:vAlign w:val="center"/>
            <w:hideMark/>
          </w:tcPr>
          <w:p w14:paraId="2D32479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Të moshuarit</w:t>
            </w:r>
          </w:p>
        </w:tc>
        <w:tc>
          <w:tcPr>
            <w:tcW w:w="379" w:type="pct"/>
            <w:tcBorders>
              <w:top w:val="nil"/>
              <w:left w:val="nil"/>
              <w:bottom w:val="single" w:sz="8" w:space="0" w:color="auto"/>
              <w:right w:val="single" w:sz="8" w:space="0" w:color="auto"/>
            </w:tcBorders>
            <w:shd w:val="clear" w:color="auto" w:fill="auto"/>
            <w:noWrap/>
            <w:vAlign w:val="center"/>
            <w:hideMark/>
          </w:tcPr>
          <w:p w14:paraId="7CF14BA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FF184FD"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7F87C708"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16EB780B"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6268F47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6F777B74"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5F79C6A1"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5880325"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7DEDA81C"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1573C2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2AAC4385"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2DA70F7F"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Komuniteti rom</w:t>
            </w:r>
          </w:p>
        </w:tc>
        <w:tc>
          <w:tcPr>
            <w:tcW w:w="379" w:type="pct"/>
            <w:tcBorders>
              <w:top w:val="nil"/>
              <w:left w:val="nil"/>
              <w:bottom w:val="single" w:sz="8" w:space="0" w:color="auto"/>
              <w:right w:val="single" w:sz="8" w:space="0" w:color="auto"/>
            </w:tcBorders>
            <w:shd w:val="clear" w:color="auto" w:fill="auto"/>
            <w:noWrap/>
            <w:vAlign w:val="center"/>
            <w:hideMark/>
          </w:tcPr>
          <w:p w14:paraId="7D0A4E3B"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0F681823"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27729D01"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2FE023B"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15A88D9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7E4CB2F1"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7CE88DA4"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DC5EAB9"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0CCAAC0D"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5637375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1F526BB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Informatorët kyç</w:t>
            </w:r>
          </w:p>
        </w:tc>
        <w:tc>
          <w:tcPr>
            <w:tcW w:w="748" w:type="pct"/>
            <w:tcBorders>
              <w:top w:val="nil"/>
              <w:left w:val="nil"/>
              <w:bottom w:val="single" w:sz="8" w:space="0" w:color="auto"/>
              <w:right w:val="single" w:sz="8" w:space="0" w:color="auto"/>
            </w:tcBorders>
            <w:shd w:val="clear" w:color="auto" w:fill="auto"/>
            <w:noWrap/>
            <w:vAlign w:val="center"/>
            <w:hideMark/>
          </w:tcPr>
          <w:p w14:paraId="37FBB31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Fermerë</w:t>
            </w:r>
          </w:p>
        </w:tc>
        <w:tc>
          <w:tcPr>
            <w:tcW w:w="379" w:type="pct"/>
            <w:tcBorders>
              <w:top w:val="nil"/>
              <w:left w:val="nil"/>
              <w:bottom w:val="single" w:sz="8" w:space="0" w:color="auto"/>
              <w:right w:val="single" w:sz="8" w:space="0" w:color="auto"/>
            </w:tcBorders>
            <w:shd w:val="clear" w:color="auto" w:fill="auto"/>
            <w:noWrap/>
            <w:vAlign w:val="center"/>
            <w:hideMark/>
          </w:tcPr>
          <w:p w14:paraId="4E1217C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2726FD65"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1DD3C5D7"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60597AC8"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63C834E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12A2717D"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081B4D9"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08EC67E"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0061714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single" w:sz="8" w:space="0" w:color="auto"/>
              <w:right w:val="single" w:sz="8" w:space="0" w:color="auto"/>
            </w:tcBorders>
            <w:shd w:val="clear" w:color="auto" w:fill="auto"/>
            <w:vAlign w:val="center"/>
            <w:hideMark/>
          </w:tcPr>
          <w:p w14:paraId="35431EF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6B079FDD"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1E8CC33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Punonjësit e shëndetësisë</w:t>
            </w:r>
          </w:p>
        </w:tc>
        <w:tc>
          <w:tcPr>
            <w:tcW w:w="379" w:type="pct"/>
            <w:tcBorders>
              <w:top w:val="nil"/>
              <w:left w:val="nil"/>
              <w:bottom w:val="single" w:sz="8" w:space="0" w:color="auto"/>
              <w:right w:val="single" w:sz="8" w:space="0" w:color="auto"/>
            </w:tcBorders>
            <w:shd w:val="clear" w:color="auto" w:fill="auto"/>
            <w:noWrap/>
            <w:vAlign w:val="center"/>
            <w:hideMark/>
          </w:tcPr>
          <w:p w14:paraId="1929FE68"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7B11A50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6EF62303"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3AA1FF3"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6098A2D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5AABEBCB"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B673823" w14:textId="77777777" w:rsidTr="00083C46">
        <w:trPr>
          <w:cantSplit/>
          <w:trHeight w:val="315"/>
        </w:trPr>
        <w:tc>
          <w:tcPr>
            <w:tcW w:w="157" w:type="pct"/>
            <w:vMerge w:val="restar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5B03A419"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260" w:type="pct"/>
            <w:vMerge w:val="restart"/>
            <w:tcBorders>
              <w:top w:val="nil"/>
              <w:left w:val="single" w:sz="8" w:space="0" w:color="auto"/>
              <w:bottom w:val="single" w:sz="8" w:space="0" w:color="auto"/>
              <w:right w:val="single" w:sz="8" w:space="0" w:color="auto"/>
            </w:tcBorders>
            <w:shd w:val="clear" w:color="000000" w:fill="BDD7EE"/>
            <w:noWrap/>
            <w:textDirection w:val="btLr"/>
            <w:vAlign w:val="center"/>
            <w:hideMark/>
          </w:tcPr>
          <w:p w14:paraId="35BB46EC"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Kukës</w:t>
            </w:r>
          </w:p>
        </w:tc>
        <w:tc>
          <w:tcPr>
            <w:tcW w:w="634" w:type="pct"/>
            <w:tcBorders>
              <w:top w:val="nil"/>
              <w:left w:val="nil"/>
              <w:bottom w:val="nil"/>
              <w:right w:val="single" w:sz="8" w:space="0" w:color="auto"/>
            </w:tcBorders>
            <w:shd w:val="clear" w:color="auto" w:fill="auto"/>
            <w:vAlign w:val="center"/>
            <w:hideMark/>
          </w:tcPr>
          <w:p w14:paraId="6C9C9E87"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Tropojë</w:t>
            </w:r>
          </w:p>
        </w:tc>
        <w:tc>
          <w:tcPr>
            <w:tcW w:w="58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4F7A963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Ekipi </w:t>
            </w:r>
          </w:p>
        </w:tc>
        <w:tc>
          <w:tcPr>
            <w:tcW w:w="748" w:type="pct"/>
            <w:tcBorders>
              <w:top w:val="nil"/>
              <w:left w:val="nil"/>
              <w:bottom w:val="single" w:sz="8" w:space="0" w:color="auto"/>
              <w:right w:val="single" w:sz="8" w:space="0" w:color="auto"/>
            </w:tcBorders>
            <w:shd w:val="clear" w:color="auto" w:fill="auto"/>
            <w:noWrap/>
            <w:vAlign w:val="center"/>
            <w:hideMark/>
          </w:tcPr>
          <w:p w14:paraId="2CE2329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Halit Kamberi</w:t>
            </w:r>
          </w:p>
        </w:tc>
        <w:tc>
          <w:tcPr>
            <w:tcW w:w="379" w:type="pct"/>
            <w:tcBorders>
              <w:top w:val="nil"/>
              <w:left w:val="nil"/>
              <w:bottom w:val="single" w:sz="8" w:space="0" w:color="auto"/>
              <w:right w:val="single" w:sz="8" w:space="0" w:color="auto"/>
            </w:tcBorders>
            <w:shd w:val="clear" w:color="auto" w:fill="auto"/>
            <w:noWrap/>
            <w:vAlign w:val="center"/>
            <w:hideMark/>
          </w:tcPr>
          <w:p w14:paraId="7CBADC6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27A68C07" w14:textId="3AEF0118"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Ekspert </w:t>
            </w:r>
            <w:r w:rsidR="00083C46" w:rsidRPr="00445472">
              <w:rPr>
                <w:rFonts w:ascii="Garamond" w:hAnsi="Garamond"/>
                <w:sz w:val="16"/>
                <w:szCs w:val="16"/>
              </w:rPr>
              <w:t>inxhinier</w:t>
            </w:r>
          </w:p>
        </w:tc>
        <w:tc>
          <w:tcPr>
            <w:tcW w:w="809" w:type="pct"/>
            <w:tcBorders>
              <w:top w:val="nil"/>
              <w:left w:val="nil"/>
              <w:bottom w:val="single" w:sz="8" w:space="0" w:color="auto"/>
              <w:right w:val="single" w:sz="8" w:space="0" w:color="auto"/>
            </w:tcBorders>
            <w:shd w:val="clear" w:color="auto" w:fill="auto"/>
            <w:noWrap/>
            <w:vAlign w:val="center"/>
            <w:hideMark/>
          </w:tcPr>
          <w:p w14:paraId="3B56A0F7" w14:textId="77777777" w:rsidR="00990EE8" w:rsidRPr="00445472" w:rsidRDefault="00FD51F7" w:rsidP="001D340B">
            <w:pPr>
              <w:spacing w:after="0" w:line="240" w:lineRule="auto"/>
              <w:jc w:val="center"/>
              <w:rPr>
                <w:rFonts w:ascii="Garamond" w:hAnsi="Garamond"/>
                <w:sz w:val="16"/>
                <w:szCs w:val="16"/>
                <w:u w:val="single"/>
              </w:rPr>
            </w:pPr>
            <w:hyperlink r:id="rId106" w:history="1">
              <w:r w:rsidR="00990EE8" w:rsidRPr="00445472">
                <w:rPr>
                  <w:rFonts w:ascii="Garamond" w:hAnsi="Garamond"/>
                  <w:sz w:val="16"/>
                  <w:szCs w:val="16"/>
                  <w:u w:val="single"/>
                </w:rPr>
                <w:t>hkamberi@abkons.com</w:t>
              </w:r>
            </w:hyperlink>
          </w:p>
        </w:tc>
        <w:tc>
          <w:tcPr>
            <w:tcW w:w="375" w:type="pct"/>
            <w:vMerge/>
            <w:tcBorders>
              <w:top w:val="nil"/>
              <w:left w:val="nil"/>
              <w:bottom w:val="nil"/>
              <w:right w:val="nil"/>
            </w:tcBorders>
            <w:vAlign w:val="center"/>
            <w:hideMark/>
          </w:tcPr>
          <w:p w14:paraId="0569F4F5" w14:textId="77777777" w:rsidR="00990EE8" w:rsidRPr="00445472" w:rsidRDefault="00990EE8" w:rsidP="001D340B">
            <w:pPr>
              <w:spacing w:after="0" w:line="240" w:lineRule="auto"/>
              <w:rPr>
                <w:rFonts w:ascii="Garamond" w:hAnsi="Garamond"/>
                <w:b/>
                <w:bCs/>
                <w:sz w:val="16"/>
                <w:szCs w:val="16"/>
              </w:rPr>
            </w:pPr>
          </w:p>
        </w:tc>
        <w:tc>
          <w:tcPr>
            <w:tcW w:w="179" w:type="pct"/>
            <w:vMerge w:val="restart"/>
            <w:tcBorders>
              <w:top w:val="nil"/>
              <w:left w:val="single" w:sz="8" w:space="0" w:color="auto"/>
              <w:bottom w:val="single" w:sz="8" w:space="0" w:color="000000"/>
              <w:right w:val="nil"/>
            </w:tcBorders>
            <w:shd w:val="clear" w:color="auto" w:fill="auto"/>
            <w:noWrap/>
            <w:vAlign w:val="center"/>
            <w:hideMark/>
          </w:tcPr>
          <w:p w14:paraId="4CE70A9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568DDD14"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r>
      <w:tr w:rsidR="00990EE8" w:rsidRPr="00445472" w14:paraId="7D04787A" w14:textId="77777777" w:rsidTr="00083C46">
        <w:trPr>
          <w:cantSplit/>
          <w:trHeight w:val="465"/>
        </w:trPr>
        <w:tc>
          <w:tcPr>
            <w:tcW w:w="157" w:type="pct"/>
            <w:vMerge/>
            <w:tcBorders>
              <w:top w:val="nil"/>
              <w:left w:val="single" w:sz="8" w:space="0" w:color="auto"/>
              <w:bottom w:val="single" w:sz="8" w:space="0" w:color="auto"/>
              <w:right w:val="single" w:sz="8" w:space="0" w:color="auto"/>
            </w:tcBorders>
            <w:vAlign w:val="center"/>
            <w:hideMark/>
          </w:tcPr>
          <w:p w14:paraId="61E15175"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1BFEDEEE"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1BBB19B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Has</w:t>
            </w:r>
          </w:p>
        </w:tc>
        <w:tc>
          <w:tcPr>
            <w:tcW w:w="582" w:type="pct"/>
            <w:vMerge/>
            <w:tcBorders>
              <w:top w:val="nil"/>
              <w:left w:val="single" w:sz="8" w:space="0" w:color="auto"/>
              <w:bottom w:val="single" w:sz="8" w:space="0" w:color="000000"/>
              <w:right w:val="single" w:sz="8" w:space="0" w:color="auto"/>
            </w:tcBorders>
            <w:vAlign w:val="center"/>
            <w:hideMark/>
          </w:tcPr>
          <w:p w14:paraId="73D75A39"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vAlign w:val="center"/>
            <w:hideMark/>
          </w:tcPr>
          <w:p w14:paraId="27AD327F"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Eneida Shuli</w:t>
            </w:r>
            <w:r w:rsidRPr="00445472">
              <w:rPr>
                <w:rFonts w:ascii="Garamond" w:hAnsi="Garamond"/>
                <w:sz w:val="16"/>
                <w:szCs w:val="16"/>
              </w:rPr>
              <w:br/>
              <w:t>Adri Erebara</w:t>
            </w:r>
          </w:p>
        </w:tc>
        <w:tc>
          <w:tcPr>
            <w:tcW w:w="379" w:type="pct"/>
            <w:tcBorders>
              <w:top w:val="nil"/>
              <w:left w:val="nil"/>
              <w:bottom w:val="single" w:sz="8" w:space="0" w:color="auto"/>
              <w:right w:val="single" w:sz="8" w:space="0" w:color="auto"/>
            </w:tcBorders>
            <w:shd w:val="clear" w:color="auto" w:fill="auto"/>
            <w:noWrap/>
            <w:vAlign w:val="center"/>
            <w:hideMark/>
          </w:tcPr>
          <w:p w14:paraId="3A76FA4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016CE604"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Grup interesi</w:t>
            </w:r>
          </w:p>
        </w:tc>
        <w:tc>
          <w:tcPr>
            <w:tcW w:w="809" w:type="pct"/>
            <w:tcBorders>
              <w:top w:val="nil"/>
              <w:left w:val="nil"/>
              <w:bottom w:val="single" w:sz="8" w:space="0" w:color="auto"/>
              <w:right w:val="single" w:sz="8" w:space="0" w:color="auto"/>
            </w:tcBorders>
            <w:shd w:val="clear" w:color="auto" w:fill="auto"/>
            <w:noWrap/>
            <w:vAlign w:val="center"/>
            <w:hideMark/>
          </w:tcPr>
          <w:p w14:paraId="49C0E7F7" w14:textId="77777777" w:rsidR="00990EE8" w:rsidRPr="00445472" w:rsidRDefault="00990EE8" w:rsidP="001D340B">
            <w:pPr>
              <w:spacing w:after="0" w:line="240" w:lineRule="auto"/>
              <w:jc w:val="center"/>
              <w:rPr>
                <w:rFonts w:ascii="Garamond" w:hAnsi="Garamond"/>
                <w:sz w:val="16"/>
                <w:szCs w:val="16"/>
                <w:u w:val="single"/>
              </w:rPr>
            </w:pPr>
            <w:r w:rsidRPr="00445472">
              <w:rPr>
                <w:rFonts w:ascii="Garamond" w:hAnsi="Garamond"/>
                <w:sz w:val="16"/>
                <w:szCs w:val="16"/>
                <w:u w:val="single"/>
              </w:rPr>
              <w:t> </w:t>
            </w:r>
          </w:p>
        </w:tc>
        <w:tc>
          <w:tcPr>
            <w:tcW w:w="375" w:type="pct"/>
            <w:vMerge/>
            <w:tcBorders>
              <w:top w:val="nil"/>
              <w:left w:val="nil"/>
              <w:bottom w:val="nil"/>
              <w:right w:val="nil"/>
            </w:tcBorders>
            <w:vAlign w:val="center"/>
            <w:hideMark/>
          </w:tcPr>
          <w:p w14:paraId="088FD7A3"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11502C2F"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4BBBC1BE" w14:textId="77777777" w:rsidR="00990EE8" w:rsidRPr="00445472" w:rsidRDefault="00990EE8" w:rsidP="001D340B">
            <w:pPr>
              <w:spacing w:after="0" w:line="240" w:lineRule="auto"/>
              <w:rPr>
                <w:rFonts w:ascii="Garamond" w:hAnsi="Garamond"/>
                <w:sz w:val="16"/>
                <w:szCs w:val="16"/>
              </w:rPr>
            </w:pPr>
          </w:p>
        </w:tc>
      </w:tr>
      <w:tr w:rsidR="00990EE8" w:rsidRPr="00445472" w14:paraId="7C75F70E"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2F8ED416"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156B1BE6"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919FA1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Kukës</w:t>
            </w:r>
          </w:p>
        </w:tc>
        <w:tc>
          <w:tcPr>
            <w:tcW w:w="582" w:type="pct"/>
            <w:vMerge/>
            <w:tcBorders>
              <w:top w:val="nil"/>
              <w:left w:val="single" w:sz="8" w:space="0" w:color="auto"/>
              <w:bottom w:val="single" w:sz="8" w:space="0" w:color="000000"/>
              <w:right w:val="single" w:sz="8" w:space="0" w:color="auto"/>
            </w:tcBorders>
            <w:vAlign w:val="center"/>
            <w:hideMark/>
          </w:tcPr>
          <w:p w14:paraId="049CB674"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0B102F0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Nereda Kola</w:t>
            </w:r>
          </w:p>
        </w:tc>
        <w:tc>
          <w:tcPr>
            <w:tcW w:w="379" w:type="pct"/>
            <w:tcBorders>
              <w:top w:val="nil"/>
              <w:left w:val="nil"/>
              <w:bottom w:val="single" w:sz="8" w:space="0" w:color="auto"/>
              <w:right w:val="single" w:sz="8" w:space="0" w:color="auto"/>
            </w:tcBorders>
            <w:shd w:val="clear" w:color="auto" w:fill="auto"/>
            <w:noWrap/>
            <w:vAlign w:val="center"/>
            <w:hideMark/>
          </w:tcPr>
          <w:p w14:paraId="06E9ADF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4DC37E99"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shoqëror</w:t>
            </w:r>
          </w:p>
        </w:tc>
        <w:tc>
          <w:tcPr>
            <w:tcW w:w="809" w:type="pct"/>
            <w:tcBorders>
              <w:top w:val="nil"/>
              <w:left w:val="nil"/>
              <w:bottom w:val="single" w:sz="8" w:space="0" w:color="auto"/>
              <w:right w:val="single" w:sz="8" w:space="0" w:color="auto"/>
            </w:tcBorders>
            <w:shd w:val="clear" w:color="auto" w:fill="auto"/>
            <w:noWrap/>
            <w:vAlign w:val="center"/>
            <w:hideMark/>
          </w:tcPr>
          <w:p w14:paraId="5FDC9151" w14:textId="77777777" w:rsidR="00990EE8" w:rsidRPr="00445472" w:rsidRDefault="00FD51F7" w:rsidP="001D340B">
            <w:pPr>
              <w:spacing w:after="0" w:line="240" w:lineRule="auto"/>
              <w:jc w:val="center"/>
              <w:rPr>
                <w:rFonts w:ascii="Garamond" w:hAnsi="Garamond"/>
                <w:sz w:val="16"/>
                <w:szCs w:val="16"/>
                <w:u w:val="single"/>
              </w:rPr>
            </w:pPr>
            <w:hyperlink r:id="rId107" w:history="1">
              <w:r w:rsidR="00990EE8" w:rsidRPr="00445472">
                <w:rPr>
                  <w:rFonts w:ascii="Garamond" w:hAnsi="Garamond"/>
                  <w:sz w:val="16"/>
                  <w:szCs w:val="16"/>
                  <w:u w:val="single"/>
                </w:rPr>
                <w:t>nkola@abkons.com</w:t>
              </w:r>
            </w:hyperlink>
          </w:p>
        </w:tc>
        <w:tc>
          <w:tcPr>
            <w:tcW w:w="375" w:type="pct"/>
            <w:vMerge/>
            <w:tcBorders>
              <w:top w:val="nil"/>
              <w:left w:val="nil"/>
              <w:bottom w:val="nil"/>
              <w:right w:val="nil"/>
            </w:tcBorders>
            <w:vAlign w:val="center"/>
            <w:hideMark/>
          </w:tcPr>
          <w:p w14:paraId="2BBFB32F"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449D4FB"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4F7CA941" w14:textId="77777777" w:rsidR="00990EE8" w:rsidRPr="00445472" w:rsidRDefault="00990EE8" w:rsidP="001D340B">
            <w:pPr>
              <w:spacing w:after="0" w:line="240" w:lineRule="auto"/>
              <w:rPr>
                <w:rFonts w:ascii="Garamond" w:hAnsi="Garamond"/>
                <w:sz w:val="16"/>
                <w:szCs w:val="16"/>
              </w:rPr>
            </w:pPr>
          </w:p>
        </w:tc>
      </w:tr>
      <w:tr w:rsidR="00990EE8" w:rsidRPr="00445472" w14:paraId="15A0C0B2"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493C91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4979FF9"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07E0FB0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single" w:sz="8" w:space="0" w:color="auto"/>
              <w:bottom w:val="single" w:sz="8" w:space="0" w:color="000000"/>
              <w:right w:val="single" w:sz="8" w:space="0" w:color="auto"/>
            </w:tcBorders>
            <w:vAlign w:val="center"/>
            <w:hideMark/>
          </w:tcPr>
          <w:p w14:paraId="5D0A569D"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nil"/>
              <w:right w:val="single" w:sz="8" w:space="0" w:color="auto"/>
            </w:tcBorders>
            <w:shd w:val="clear" w:color="auto" w:fill="auto"/>
            <w:noWrap/>
            <w:vAlign w:val="center"/>
            <w:hideMark/>
          </w:tcPr>
          <w:p w14:paraId="70A9AB89"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Redion Biba</w:t>
            </w:r>
          </w:p>
        </w:tc>
        <w:tc>
          <w:tcPr>
            <w:tcW w:w="379" w:type="pct"/>
            <w:tcBorders>
              <w:top w:val="nil"/>
              <w:left w:val="nil"/>
              <w:bottom w:val="nil"/>
              <w:right w:val="single" w:sz="8" w:space="0" w:color="auto"/>
            </w:tcBorders>
            <w:shd w:val="clear" w:color="auto" w:fill="auto"/>
            <w:noWrap/>
            <w:vAlign w:val="center"/>
            <w:hideMark/>
          </w:tcPr>
          <w:p w14:paraId="3826933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nil"/>
              <w:right w:val="single" w:sz="8" w:space="0" w:color="auto"/>
            </w:tcBorders>
            <w:shd w:val="clear" w:color="auto" w:fill="auto"/>
            <w:noWrap/>
            <w:vAlign w:val="center"/>
            <w:hideMark/>
          </w:tcPr>
          <w:p w14:paraId="3AE99259"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vAlign w:val="center"/>
            <w:hideMark/>
          </w:tcPr>
          <w:p w14:paraId="2DA0281D" w14:textId="77777777" w:rsidR="00990EE8" w:rsidRPr="00445472" w:rsidRDefault="00FD51F7" w:rsidP="001D340B">
            <w:pPr>
              <w:spacing w:after="0" w:line="240" w:lineRule="auto"/>
              <w:jc w:val="center"/>
              <w:rPr>
                <w:rFonts w:ascii="Garamond" w:hAnsi="Garamond"/>
                <w:sz w:val="16"/>
                <w:szCs w:val="16"/>
                <w:u w:val="single"/>
              </w:rPr>
            </w:pPr>
            <w:hyperlink r:id="rId108" w:history="1">
              <w:r w:rsidR="00990EE8" w:rsidRPr="00445472">
                <w:rPr>
                  <w:rFonts w:ascii="Garamond" w:hAnsi="Garamond"/>
                  <w:sz w:val="16"/>
                  <w:szCs w:val="16"/>
                  <w:u w:val="single"/>
                </w:rPr>
                <w:t>rbiba@abkons.com</w:t>
              </w:r>
            </w:hyperlink>
          </w:p>
        </w:tc>
        <w:tc>
          <w:tcPr>
            <w:tcW w:w="375" w:type="pct"/>
            <w:vMerge/>
            <w:tcBorders>
              <w:top w:val="nil"/>
              <w:left w:val="nil"/>
              <w:bottom w:val="nil"/>
              <w:right w:val="nil"/>
            </w:tcBorders>
            <w:vAlign w:val="center"/>
            <w:hideMark/>
          </w:tcPr>
          <w:p w14:paraId="742FBAD2"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661F05C5"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4F2D3D98" w14:textId="77777777" w:rsidR="00990EE8" w:rsidRPr="00445472" w:rsidRDefault="00990EE8" w:rsidP="001D340B">
            <w:pPr>
              <w:spacing w:after="0" w:line="240" w:lineRule="auto"/>
              <w:rPr>
                <w:rFonts w:ascii="Garamond" w:hAnsi="Garamond"/>
                <w:sz w:val="16"/>
                <w:szCs w:val="16"/>
              </w:rPr>
            </w:pPr>
          </w:p>
        </w:tc>
      </w:tr>
      <w:tr w:rsidR="00990EE8" w:rsidRPr="00445472" w14:paraId="2F052B4C"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30D2349"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A0F9152"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0246BC8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tcBorders>
              <w:top w:val="nil"/>
              <w:left w:val="nil"/>
              <w:bottom w:val="single" w:sz="8" w:space="0" w:color="auto"/>
              <w:right w:val="single" w:sz="8" w:space="0" w:color="auto"/>
            </w:tcBorders>
            <w:shd w:val="clear" w:color="auto" w:fill="auto"/>
            <w:noWrap/>
            <w:vAlign w:val="center"/>
            <w:hideMark/>
          </w:tcPr>
          <w:p w14:paraId="6EBC24D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Mbledhja rajonale</w:t>
            </w:r>
          </w:p>
        </w:tc>
        <w:tc>
          <w:tcPr>
            <w:tcW w:w="748" w:type="pct"/>
            <w:tcBorders>
              <w:top w:val="single" w:sz="8" w:space="0" w:color="auto"/>
              <w:left w:val="nil"/>
              <w:bottom w:val="single" w:sz="8" w:space="0" w:color="auto"/>
              <w:right w:val="single" w:sz="8" w:space="0" w:color="auto"/>
            </w:tcBorders>
            <w:shd w:val="clear" w:color="auto" w:fill="auto"/>
            <w:noWrap/>
            <w:vAlign w:val="center"/>
            <w:hideMark/>
          </w:tcPr>
          <w:p w14:paraId="42DD5D9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Qarku Kukës </w:t>
            </w:r>
          </w:p>
        </w:tc>
        <w:tc>
          <w:tcPr>
            <w:tcW w:w="379" w:type="pct"/>
            <w:tcBorders>
              <w:top w:val="single" w:sz="8" w:space="0" w:color="auto"/>
              <w:left w:val="nil"/>
              <w:bottom w:val="single" w:sz="8" w:space="0" w:color="auto"/>
              <w:right w:val="single" w:sz="8" w:space="0" w:color="auto"/>
            </w:tcBorders>
            <w:shd w:val="clear" w:color="auto" w:fill="auto"/>
            <w:noWrap/>
            <w:vAlign w:val="center"/>
            <w:hideMark/>
          </w:tcPr>
          <w:p w14:paraId="415C3768"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single" w:sz="8" w:space="0" w:color="auto"/>
              <w:left w:val="nil"/>
              <w:bottom w:val="single" w:sz="8" w:space="0" w:color="auto"/>
              <w:right w:val="single" w:sz="8" w:space="0" w:color="auto"/>
            </w:tcBorders>
            <w:shd w:val="clear" w:color="auto" w:fill="auto"/>
            <w:noWrap/>
            <w:vAlign w:val="center"/>
            <w:hideMark/>
          </w:tcPr>
          <w:p w14:paraId="09C66A8D"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1BF24791"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38B03CD3"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5C1A3880"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74F67C22" w14:textId="77777777" w:rsidR="00990EE8" w:rsidRPr="00445472" w:rsidRDefault="00990EE8" w:rsidP="001D340B">
            <w:pPr>
              <w:spacing w:after="0" w:line="240" w:lineRule="auto"/>
              <w:rPr>
                <w:rFonts w:ascii="Garamond" w:hAnsi="Garamond"/>
                <w:sz w:val="16"/>
                <w:szCs w:val="16"/>
              </w:rPr>
            </w:pPr>
          </w:p>
        </w:tc>
      </w:tr>
      <w:tr w:rsidR="00990EE8" w:rsidRPr="00445472" w14:paraId="5FBDC52E"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45AE1B1"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D91306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5FA7E8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15D4500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Grupet e Fokusit</w:t>
            </w:r>
          </w:p>
        </w:tc>
        <w:tc>
          <w:tcPr>
            <w:tcW w:w="748" w:type="pct"/>
            <w:tcBorders>
              <w:top w:val="nil"/>
              <w:left w:val="nil"/>
              <w:bottom w:val="single" w:sz="8" w:space="0" w:color="auto"/>
              <w:right w:val="single" w:sz="8" w:space="0" w:color="auto"/>
            </w:tcBorders>
            <w:shd w:val="clear" w:color="auto" w:fill="auto"/>
            <w:noWrap/>
            <w:vAlign w:val="center"/>
            <w:hideMark/>
          </w:tcPr>
          <w:p w14:paraId="0D0F716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Të moshuarit</w:t>
            </w:r>
          </w:p>
        </w:tc>
        <w:tc>
          <w:tcPr>
            <w:tcW w:w="379" w:type="pct"/>
            <w:tcBorders>
              <w:top w:val="nil"/>
              <w:left w:val="nil"/>
              <w:bottom w:val="single" w:sz="8" w:space="0" w:color="auto"/>
              <w:right w:val="single" w:sz="8" w:space="0" w:color="auto"/>
            </w:tcBorders>
            <w:shd w:val="clear" w:color="auto" w:fill="auto"/>
            <w:noWrap/>
            <w:vAlign w:val="center"/>
            <w:hideMark/>
          </w:tcPr>
          <w:p w14:paraId="247ECAEC"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2F3B8A4A"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1A350876"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F924698"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29AB2A1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267B3570"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3552101F"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E425818"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23A5727"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332E431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10D1A879"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5638E3E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Komuniteit rom </w:t>
            </w:r>
          </w:p>
        </w:tc>
        <w:tc>
          <w:tcPr>
            <w:tcW w:w="379" w:type="pct"/>
            <w:tcBorders>
              <w:top w:val="nil"/>
              <w:left w:val="nil"/>
              <w:bottom w:val="single" w:sz="8" w:space="0" w:color="auto"/>
              <w:right w:val="single" w:sz="8" w:space="0" w:color="auto"/>
            </w:tcBorders>
            <w:shd w:val="clear" w:color="auto" w:fill="auto"/>
            <w:noWrap/>
            <w:vAlign w:val="center"/>
            <w:hideMark/>
          </w:tcPr>
          <w:p w14:paraId="5F8AF1D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706DEE9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44683835"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6D411933"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7570B27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7F7B394C" w14:textId="77777777" w:rsidR="00990EE8" w:rsidRPr="00445472" w:rsidRDefault="00990EE8" w:rsidP="001D340B">
            <w:pPr>
              <w:spacing w:after="0" w:line="240" w:lineRule="auto"/>
              <w:rPr>
                <w:rFonts w:ascii="Garamond" w:hAnsi="Garamond"/>
                <w:sz w:val="16"/>
                <w:szCs w:val="16"/>
              </w:rPr>
            </w:pPr>
          </w:p>
        </w:tc>
      </w:tr>
      <w:tr w:rsidR="00990EE8" w:rsidRPr="00445472" w14:paraId="4CA7B85E"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28414450"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6AE67CBD"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74C4A09"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34C0F9FC"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Informatorët kyç</w:t>
            </w:r>
          </w:p>
        </w:tc>
        <w:tc>
          <w:tcPr>
            <w:tcW w:w="748" w:type="pct"/>
            <w:tcBorders>
              <w:top w:val="nil"/>
              <w:left w:val="nil"/>
              <w:bottom w:val="single" w:sz="8" w:space="0" w:color="auto"/>
              <w:right w:val="single" w:sz="8" w:space="0" w:color="auto"/>
            </w:tcBorders>
            <w:shd w:val="clear" w:color="auto" w:fill="auto"/>
            <w:noWrap/>
            <w:vAlign w:val="center"/>
            <w:hideMark/>
          </w:tcPr>
          <w:p w14:paraId="6A4313A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Fermerë</w:t>
            </w:r>
          </w:p>
        </w:tc>
        <w:tc>
          <w:tcPr>
            <w:tcW w:w="379" w:type="pct"/>
            <w:tcBorders>
              <w:top w:val="nil"/>
              <w:left w:val="nil"/>
              <w:bottom w:val="single" w:sz="8" w:space="0" w:color="auto"/>
              <w:right w:val="single" w:sz="8" w:space="0" w:color="auto"/>
            </w:tcBorders>
            <w:shd w:val="clear" w:color="auto" w:fill="auto"/>
            <w:noWrap/>
            <w:vAlign w:val="center"/>
            <w:hideMark/>
          </w:tcPr>
          <w:p w14:paraId="2A560F71"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29B1BB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538442FB"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140A73CC"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7009201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2920068B"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0923290F"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958DEFD"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16F7EE1"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single" w:sz="8" w:space="0" w:color="auto"/>
              <w:right w:val="single" w:sz="8" w:space="0" w:color="auto"/>
            </w:tcBorders>
            <w:shd w:val="clear" w:color="auto" w:fill="auto"/>
            <w:vAlign w:val="center"/>
            <w:hideMark/>
          </w:tcPr>
          <w:p w14:paraId="6D6357F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1731F9CB"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7348A59A"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Punonjësit e shëndetësisë</w:t>
            </w:r>
          </w:p>
        </w:tc>
        <w:tc>
          <w:tcPr>
            <w:tcW w:w="379" w:type="pct"/>
            <w:tcBorders>
              <w:top w:val="nil"/>
              <w:left w:val="nil"/>
              <w:bottom w:val="single" w:sz="8" w:space="0" w:color="auto"/>
              <w:right w:val="single" w:sz="8" w:space="0" w:color="auto"/>
            </w:tcBorders>
            <w:shd w:val="clear" w:color="auto" w:fill="auto"/>
            <w:noWrap/>
            <w:vAlign w:val="center"/>
            <w:hideMark/>
          </w:tcPr>
          <w:p w14:paraId="45060260"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1295F96A"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1E8E1780"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4C28419F"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3F6A4C79"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6C04A462"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7E81EAB8" w14:textId="77777777" w:rsidTr="00083C46">
        <w:trPr>
          <w:cantSplit/>
          <w:trHeight w:val="315"/>
        </w:trPr>
        <w:tc>
          <w:tcPr>
            <w:tcW w:w="157" w:type="pct"/>
            <w:vMerge w:val="restar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24EAD5D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260" w:type="pct"/>
            <w:vMerge w:val="restart"/>
            <w:tcBorders>
              <w:top w:val="nil"/>
              <w:left w:val="single" w:sz="8" w:space="0" w:color="auto"/>
              <w:bottom w:val="single" w:sz="8" w:space="0" w:color="auto"/>
              <w:right w:val="single" w:sz="8" w:space="0" w:color="auto"/>
            </w:tcBorders>
            <w:shd w:val="clear" w:color="000000" w:fill="BDD7EE"/>
            <w:noWrap/>
            <w:textDirection w:val="btLr"/>
            <w:vAlign w:val="center"/>
            <w:hideMark/>
          </w:tcPr>
          <w:p w14:paraId="6019F46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Dibër</w:t>
            </w:r>
          </w:p>
        </w:tc>
        <w:tc>
          <w:tcPr>
            <w:tcW w:w="634" w:type="pct"/>
            <w:tcBorders>
              <w:top w:val="nil"/>
              <w:left w:val="nil"/>
              <w:bottom w:val="nil"/>
              <w:right w:val="single" w:sz="8" w:space="0" w:color="auto"/>
            </w:tcBorders>
            <w:shd w:val="clear" w:color="auto" w:fill="auto"/>
            <w:vAlign w:val="center"/>
            <w:hideMark/>
          </w:tcPr>
          <w:p w14:paraId="5EC17A0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Dibër</w:t>
            </w:r>
          </w:p>
        </w:tc>
        <w:tc>
          <w:tcPr>
            <w:tcW w:w="58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3F72D58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Ekipi </w:t>
            </w:r>
          </w:p>
        </w:tc>
        <w:tc>
          <w:tcPr>
            <w:tcW w:w="748" w:type="pct"/>
            <w:tcBorders>
              <w:top w:val="nil"/>
              <w:left w:val="nil"/>
              <w:bottom w:val="single" w:sz="8" w:space="0" w:color="auto"/>
              <w:right w:val="single" w:sz="8" w:space="0" w:color="auto"/>
            </w:tcBorders>
            <w:shd w:val="clear" w:color="auto" w:fill="auto"/>
            <w:noWrap/>
            <w:vAlign w:val="center"/>
            <w:hideMark/>
          </w:tcPr>
          <w:p w14:paraId="337763D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Halit Kamberi</w:t>
            </w:r>
          </w:p>
        </w:tc>
        <w:tc>
          <w:tcPr>
            <w:tcW w:w="379" w:type="pct"/>
            <w:tcBorders>
              <w:top w:val="nil"/>
              <w:left w:val="nil"/>
              <w:bottom w:val="single" w:sz="8" w:space="0" w:color="auto"/>
              <w:right w:val="single" w:sz="8" w:space="0" w:color="auto"/>
            </w:tcBorders>
            <w:shd w:val="clear" w:color="auto" w:fill="auto"/>
            <w:noWrap/>
            <w:vAlign w:val="center"/>
            <w:hideMark/>
          </w:tcPr>
          <w:p w14:paraId="063E960A"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2A0EAA1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noWrap/>
            <w:vAlign w:val="center"/>
            <w:hideMark/>
          </w:tcPr>
          <w:p w14:paraId="0F9F1D01" w14:textId="77777777" w:rsidR="00990EE8" w:rsidRPr="00445472" w:rsidRDefault="00FD51F7" w:rsidP="001D340B">
            <w:pPr>
              <w:spacing w:after="0" w:line="240" w:lineRule="auto"/>
              <w:jc w:val="center"/>
              <w:rPr>
                <w:rFonts w:ascii="Garamond" w:hAnsi="Garamond"/>
                <w:sz w:val="16"/>
                <w:szCs w:val="16"/>
                <w:u w:val="single"/>
              </w:rPr>
            </w:pPr>
            <w:hyperlink r:id="rId109" w:history="1">
              <w:r w:rsidR="00990EE8" w:rsidRPr="00445472">
                <w:rPr>
                  <w:rFonts w:ascii="Garamond" w:hAnsi="Garamond"/>
                  <w:sz w:val="16"/>
                  <w:szCs w:val="16"/>
                  <w:u w:val="single"/>
                </w:rPr>
                <w:t>hkamberi@abkons.com</w:t>
              </w:r>
            </w:hyperlink>
          </w:p>
        </w:tc>
        <w:tc>
          <w:tcPr>
            <w:tcW w:w="375" w:type="pct"/>
            <w:vMerge/>
            <w:tcBorders>
              <w:top w:val="nil"/>
              <w:left w:val="nil"/>
              <w:bottom w:val="nil"/>
              <w:right w:val="nil"/>
            </w:tcBorders>
            <w:vAlign w:val="center"/>
            <w:hideMark/>
          </w:tcPr>
          <w:p w14:paraId="66286622" w14:textId="77777777" w:rsidR="00990EE8" w:rsidRPr="00445472" w:rsidRDefault="00990EE8" w:rsidP="001D340B">
            <w:pPr>
              <w:spacing w:after="0" w:line="240" w:lineRule="auto"/>
              <w:rPr>
                <w:rFonts w:ascii="Garamond" w:hAnsi="Garamond"/>
                <w:b/>
                <w:bCs/>
                <w:sz w:val="16"/>
                <w:szCs w:val="16"/>
              </w:rPr>
            </w:pPr>
          </w:p>
        </w:tc>
        <w:tc>
          <w:tcPr>
            <w:tcW w:w="179" w:type="pct"/>
            <w:vMerge w:val="restart"/>
            <w:tcBorders>
              <w:top w:val="nil"/>
              <w:left w:val="single" w:sz="8" w:space="0" w:color="auto"/>
              <w:bottom w:val="single" w:sz="8" w:space="0" w:color="000000"/>
              <w:right w:val="nil"/>
            </w:tcBorders>
            <w:shd w:val="clear" w:color="auto" w:fill="auto"/>
            <w:noWrap/>
            <w:vAlign w:val="center"/>
            <w:hideMark/>
          </w:tcPr>
          <w:p w14:paraId="36E31E1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vMerge w:val="restart"/>
            <w:tcBorders>
              <w:top w:val="nil"/>
              <w:left w:val="single" w:sz="8" w:space="0" w:color="auto"/>
              <w:bottom w:val="single" w:sz="8" w:space="0" w:color="000000"/>
              <w:right w:val="single" w:sz="8" w:space="0" w:color="auto"/>
            </w:tcBorders>
            <w:shd w:val="clear" w:color="auto" w:fill="auto"/>
            <w:noWrap/>
            <w:vAlign w:val="center"/>
          </w:tcPr>
          <w:p w14:paraId="420615DF"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5190C80A" w14:textId="77777777" w:rsidTr="00083C46">
        <w:trPr>
          <w:cantSplit/>
          <w:trHeight w:val="465"/>
        </w:trPr>
        <w:tc>
          <w:tcPr>
            <w:tcW w:w="157" w:type="pct"/>
            <w:vMerge/>
            <w:tcBorders>
              <w:top w:val="nil"/>
              <w:left w:val="single" w:sz="8" w:space="0" w:color="auto"/>
              <w:bottom w:val="single" w:sz="8" w:space="0" w:color="auto"/>
              <w:right w:val="single" w:sz="8" w:space="0" w:color="auto"/>
            </w:tcBorders>
            <w:vAlign w:val="center"/>
            <w:hideMark/>
          </w:tcPr>
          <w:p w14:paraId="59168576"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00ADA01"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B5A45E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Mat</w:t>
            </w:r>
          </w:p>
        </w:tc>
        <w:tc>
          <w:tcPr>
            <w:tcW w:w="582" w:type="pct"/>
            <w:vMerge/>
            <w:tcBorders>
              <w:top w:val="nil"/>
              <w:left w:val="single" w:sz="8" w:space="0" w:color="auto"/>
              <w:bottom w:val="single" w:sz="8" w:space="0" w:color="000000"/>
              <w:right w:val="single" w:sz="8" w:space="0" w:color="auto"/>
            </w:tcBorders>
            <w:vAlign w:val="center"/>
            <w:hideMark/>
          </w:tcPr>
          <w:p w14:paraId="6138C48C"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vAlign w:val="center"/>
            <w:hideMark/>
          </w:tcPr>
          <w:p w14:paraId="59D924F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Eneida Shuli</w:t>
            </w:r>
            <w:r w:rsidRPr="00445472">
              <w:rPr>
                <w:rFonts w:ascii="Garamond" w:hAnsi="Garamond"/>
                <w:sz w:val="16"/>
                <w:szCs w:val="16"/>
              </w:rPr>
              <w:br/>
              <w:t>Adri Erebara</w:t>
            </w:r>
          </w:p>
        </w:tc>
        <w:tc>
          <w:tcPr>
            <w:tcW w:w="379" w:type="pct"/>
            <w:tcBorders>
              <w:top w:val="nil"/>
              <w:left w:val="nil"/>
              <w:bottom w:val="single" w:sz="8" w:space="0" w:color="auto"/>
              <w:right w:val="single" w:sz="8" w:space="0" w:color="auto"/>
            </w:tcBorders>
            <w:shd w:val="clear" w:color="auto" w:fill="auto"/>
            <w:noWrap/>
            <w:vAlign w:val="center"/>
            <w:hideMark/>
          </w:tcPr>
          <w:p w14:paraId="7A6B3BF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7EE7793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Grup interesi</w:t>
            </w:r>
          </w:p>
        </w:tc>
        <w:tc>
          <w:tcPr>
            <w:tcW w:w="809" w:type="pct"/>
            <w:tcBorders>
              <w:top w:val="nil"/>
              <w:left w:val="nil"/>
              <w:bottom w:val="single" w:sz="8" w:space="0" w:color="auto"/>
              <w:right w:val="single" w:sz="8" w:space="0" w:color="auto"/>
            </w:tcBorders>
            <w:shd w:val="clear" w:color="auto" w:fill="auto"/>
            <w:noWrap/>
            <w:vAlign w:val="center"/>
            <w:hideMark/>
          </w:tcPr>
          <w:p w14:paraId="11215BB1" w14:textId="77777777" w:rsidR="00990EE8" w:rsidRPr="00445472" w:rsidRDefault="00990EE8" w:rsidP="001D340B">
            <w:pPr>
              <w:spacing w:after="0" w:line="240" w:lineRule="auto"/>
              <w:jc w:val="center"/>
              <w:rPr>
                <w:rFonts w:ascii="Garamond" w:hAnsi="Garamond"/>
                <w:sz w:val="16"/>
                <w:szCs w:val="16"/>
                <w:u w:val="single"/>
              </w:rPr>
            </w:pPr>
            <w:r w:rsidRPr="00445472">
              <w:rPr>
                <w:rFonts w:ascii="Garamond" w:hAnsi="Garamond"/>
                <w:sz w:val="16"/>
                <w:szCs w:val="16"/>
                <w:u w:val="single"/>
              </w:rPr>
              <w:t> </w:t>
            </w:r>
          </w:p>
        </w:tc>
        <w:tc>
          <w:tcPr>
            <w:tcW w:w="375" w:type="pct"/>
            <w:vMerge/>
            <w:tcBorders>
              <w:top w:val="nil"/>
              <w:left w:val="nil"/>
              <w:bottom w:val="nil"/>
              <w:right w:val="nil"/>
            </w:tcBorders>
            <w:vAlign w:val="center"/>
            <w:hideMark/>
          </w:tcPr>
          <w:p w14:paraId="47C757C3"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457EB21A"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28835641" w14:textId="77777777" w:rsidR="00990EE8" w:rsidRPr="00445472" w:rsidRDefault="00990EE8" w:rsidP="001D340B">
            <w:pPr>
              <w:spacing w:after="0" w:line="240" w:lineRule="auto"/>
              <w:rPr>
                <w:rFonts w:ascii="Garamond" w:hAnsi="Garamond"/>
                <w:sz w:val="16"/>
                <w:szCs w:val="16"/>
              </w:rPr>
            </w:pPr>
          </w:p>
        </w:tc>
      </w:tr>
      <w:tr w:rsidR="00990EE8" w:rsidRPr="00445472" w14:paraId="785FED41"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3A570BF6"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872BE86"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503F29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Klos</w:t>
            </w:r>
          </w:p>
        </w:tc>
        <w:tc>
          <w:tcPr>
            <w:tcW w:w="582" w:type="pct"/>
            <w:vMerge/>
            <w:tcBorders>
              <w:top w:val="nil"/>
              <w:left w:val="single" w:sz="8" w:space="0" w:color="auto"/>
              <w:bottom w:val="single" w:sz="8" w:space="0" w:color="000000"/>
              <w:right w:val="single" w:sz="8" w:space="0" w:color="auto"/>
            </w:tcBorders>
            <w:vAlign w:val="center"/>
            <w:hideMark/>
          </w:tcPr>
          <w:p w14:paraId="237DA75A"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2689F92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Nereda Kola</w:t>
            </w:r>
          </w:p>
        </w:tc>
        <w:tc>
          <w:tcPr>
            <w:tcW w:w="379" w:type="pct"/>
            <w:tcBorders>
              <w:top w:val="nil"/>
              <w:left w:val="nil"/>
              <w:bottom w:val="single" w:sz="8" w:space="0" w:color="auto"/>
              <w:right w:val="single" w:sz="8" w:space="0" w:color="auto"/>
            </w:tcBorders>
            <w:shd w:val="clear" w:color="auto" w:fill="auto"/>
            <w:noWrap/>
            <w:vAlign w:val="center"/>
            <w:hideMark/>
          </w:tcPr>
          <w:p w14:paraId="1627C4E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0EBA92B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shoqëror</w:t>
            </w:r>
          </w:p>
        </w:tc>
        <w:tc>
          <w:tcPr>
            <w:tcW w:w="809" w:type="pct"/>
            <w:tcBorders>
              <w:top w:val="nil"/>
              <w:left w:val="nil"/>
              <w:bottom w:val="single" w:sz="8" w:space="0" w:color="auto"/>
              <w:right w:val="single" w:sz="8" w:space="0" w:color="auto"/>
            </w:tcBorders>
            <w:shd w:val="clear" w:color="auto" w:fill="auto"/>
            <w:noWrap/>
            <w:vAlign w:val="center"/>
            <w:hideMark/>
          </w:tcPr>
          <w:p w14:paraId="269A3491" w14:textId="77777777" w:rsidR="00990EE8" w:rsidRPr="00445472" w:rsidRDefault="00FD51F7" w:rsidP="001D340B">
            <w:pPr>
              <w:spacing w:after="0" w:line="240" w:lineRule="auto"/>
              <w:jc w:val="center"/>
              <w:rPr>
                <w:rFonts w:ascii="Garamond" w:hAnsi="Garamond"/>
                <w:sz w:val="16"/>
                <w:szCs w:val="16"/>
                <w:u w:val="single"/>
              </w:rPr>
            </w:pPr>
            <w:hyperlink r:id="rId110" w:history="1">
              <w:r w:rsidR="00990EE8" w:rsidRPr="00445472">
                <w:rPr>
                  <w:rFonts w:ascii="Garamond" w:hAnsi="Garamond"/>
                  <w:sz w:val="16"/>
                  <w:szCs w:val="16"/>
                  <w:u w:val="single"/>
                </w:rPr>
                <w:t>nkola@abkons.com</w:t>
              </w:r>
            </w:hyperlink>
          </w:p>
        </w:tc>
        <w:tc>
          <w:tcPr>
            <w:tcW w:w="375" w:type="pct"/>
            <w:vMerge/>
            <w:tcBorders>
              <w:top w:val="nil"/>
              <w:left w:val="nil"/>
              <w:bottom w:val="nil"/>
              <w:right w:val="nil"/>
            </w:tcBorders>
            <w:vAlign w:val="center"/>
            <w:hideMark/>
          </w:tcPr>
          <w:p w14:paraId="04DF7539"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0BA0B752"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2FA56D54" w14:textId="77777777" w:rsidR="00990EE8" w:rsidRPr="00445472" w:rsidRDefault="00990EE8" w:rsidP="001D340B">
            <w:pPr>
              <w:spacing w:after="0" w:line="240" w:lineRule="auto"/>
              <w:rPr>
                <w:rFonts w:ascii="Garamond" w:hAnsi="Garamond"/>
                <w:sz w:val="16"/>
                <w:szCs w:val="16"/>
              </w:rPr>
            </w:pPr>
          </w:p>
        </w:tc>
      </w:tr>
      <w:tr w:rsidR="00990EE8" w:rsidRPr="00445472" w14:paraId="297929CE"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131DCA3B"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78E3F76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5C96E63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Bulqizë</w:t>
            </w:r>
          </w:p>
        </w:tc>
        <w:tc>
          <w:tcPr>
            <w:tcW w:w="582" w:type="pct"/>
            <w:vMerge/>
            <w:tcBorders>
              <w:top w:val="nil"/>
              <w:left w:val="single" w:sz="8" w:space="0" w:color="auto"/>
              <w:bottom w:val="single" w:sz="8" w:space="0" w:color="000000"/>
              <w:right w:val="single" w:sz="8" w:space="0" w:color="auto"/>
            </w:tcBorders>
            <w:vAlign w:val="center"/>
            <w:hideMark/>
          </w:tcPr>
          <w:p w14:paraId="240A7DA9"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nil"/>
              <w:right w:val="single" w:sz="8" w:space="0" w:color="auto"/>
            </w:tcBorders>
            <w:shd w:val="clear" w:color="auto" w:fill="auto"/>
            <w:noWrap/>
            <w:vAlign w:val="center"/>
            <w:hideMark/>
          </w:tcPr>
          <w:p w14:paraId="4183804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Redion Biba</w:t>
            </w:r>
          </w:p>
        </w:tc>
        <w:tc>
          <w:tcPr>
            <w:tcW w:w="379" w:type="pct"/>
            <w:tcBorders>
              <w:top w:val="nil"/>
              <w:left w:val="nil"/>
              <w:bottom w:val="nil"/>
              <w:right w:val="single" w:sz="8" w:space="0" w:color="auto"/>
            </w:tcBorders>
            <w:shd w:val="clear" w:color="auto" w:fill="auto"/>
            <w:noWrap/>
            <w:vAlign w:val="center"/>
            <w:hideMark/>
          </w:tcPr>
          <w:p w14:paraId="6CDD135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nil"/>
              <w:right w:val="single" w:sz="8" w:space="0" w:color="auto"/>
            </w:tcBorders>
            <w:shd w:val="clear" w:color="auto" w:fill="auto"/>
            <w:noWrap/>
            <w:vAlign w:val="center"/>
            <w:hideMark/>
          </w:tcPr>
          <w:p w14:paraId="783C9C04"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vAlign w:val="center"/>
            <w:hideMark/>
          </w:tcPr>
          <w:p w14:paraId="483A3F5C" w14:textId="77777777" w:rsidR="00990EE8" w:rsidRPr="00445472" w:rsidRDefault="00FD51F7" w:rsidP="001D340B">
            <w:pPr>
              <w:spacing w:after="0" w:line="240" w:lineRule="auto"/>
              <w:jc w:val="center"/>
              <w:rPr>
                <w:rFonts w:ascii="Garamond" w:hAnsi="Garamond"/>
                <w:sz w:val="16"/>
                <w:szCs w:val="16"/>
                <w:u w:val="single"/>
              </w:rPr>
            </w:pPr>
            <w:hyperlink r:id="rId111" w:history="1">
              <w:r w:rsidR="00990EE8" w:rsidRPr="00445472">
                <w:rPr>
                  <w:rFonts w:ascii="Garamond" w:hAnsi="Garamond"/>
                  <w:sz w:val="16"/>
                  <w:szCs w:val="16"/>
                  <w:u w:val="single"/>
                </w:rPr>
                <w:t>rbiba@abkons.com</w:t>
              </w:r>
            </w:hyperlink>
          </w:p>
        </w:tc>
        <w:tc>
          <w:tcPr>
            <w:tcW w:w="375" w:type="pct"/>
            <w:vMerge/>
            <w:tcBorders>
              <w:top w:val="nil"/>
              <w:left w:val="nil"/>
              <w:bottom w:val="nil"/>
              <w:right w:val="nil"/>
            </w:tcBorders>
            <w:vAlign w:val="center"/>
            <w:hideMark/>
          </w:tcPr>
          <w:p w14:paraId="7D9D9AA3"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224266D6"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686FF0E3" w14:textId="77777777" w:rsidR="00990EE8" w:rsidRPr="00445472" w:rsidRDefault="00990EE8" w:rsidP="001D340B">
            <w:pPr>
              <w:spacing w:after="0" w:line="240" w:lineRule="auto"/>
              <w:rPr>
                <w:rFonts w:ascii="Garamond" w:hAnsi="Garamond"/>
                <w:sz w:val="16"/>
                <w:szCs w:val="16"/>
              </w:rPr>
            </w:pPr>
          </w:p>
        </w:tc>
      </w:tr>
      <w:tr w:rsidR="00990EE8" w:rsidRPr="00445472" w14:paraId="185CFDD7"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2845888C"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0E942BFE"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65686D89"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tcBorders>
              <w:top w:val="nil"/>
              <w:left w:val="nil"/>
              <w:bottom w:val="single" w:sz="8" w:space="0" w:color="auto"/>
              <w:right w:val="single" w:sz="8" w:space="0" w:color="auto"/>
            </w:tcBorders>
            <w:shd w:val="clear" w:color="auto" w:fill="auto"/>
            <w:noWrap/>
            <w:vAlign w:val="center"/>
            <w:hideMark/>
          </w:tcPr>
          <w:p w14:paraId="723F1ECC"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Mbledhja rajonale</w:t>
            </w:r>
          </w:p>
        </w:tc>
        <w:tc>
          <w:tcPr>
            <w:tcW w:w="748" w:type="pct"/>
            <w:tcBorders>
              <w:top w:val="single" w:sz="8" w:space="0" w:color="auto"/>
              <w:left w:val="nil"/>
              <w:bottom w:val="single" w:sz="8" w:space="0" w:color="auto"/>
              <w:right w:val="single" w:sz="8" w:space="0" w:color="auto"/>
            </w:tcBorders>
            <w:shd w:val="clear" w:color="auto" w:fill="auto"/>
            <w:noWrap/>
            <w:vAlign w:val="center"/>
            <w:hideMark/>
          </w:tcPr>
          <w:p w14:paraId="7A8D65E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Qarku Dibër </w:t>
            </w:r>
          </w:p>
        </w:tc>
        <w:tc>
          <w:tcPr>
            <w:tcW w:w="379" w:type="pct"/>
            <w:tcBorders>
              <w:top w:val="single" w:sz="8" w:space="0" w:color="auto"/>
              <w:left w:val="nil"/>
              <w:bottom w:val="single" w:sz="8" w:space="0" w:color="auto"/>
              <w:right w:val="single" w:sz="8" w:space="0" w:color="auto"/>
            </w:tcBorders>
            <w:shd w:val="clear" w:color="auto" w:fill="auto"/>
            <w:noWrap/>
            <w:vAlign w:val="center"/>
            <w:hideMark/>
          </w:tcPr>
          <w:p w14:paraId="1D8A46A0"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single" w:sz="8" w:space="0" w:color="auto"/>
              <w:left w:val="nil"/>
              <w:bottom w:val="single" w:sz="8" w:space="0" w:color="auto"/>
              <w:right w:val="single" w:sz="8" w:space="0" w:color="auto"/>
            </w:tcBorders>
            <w:shd w:val="clear" w:color="auto" w:fill="auto"/>
            <w:noWrap/>
            <w:vAlign w:val="center"/>
            <w:hideMark/>
          </w:tcPr>
          <w:p w14:paraId="5CC4328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6DD34D0A"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5E3F7D54"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44B7F3BB"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600E1C35" w14:textId="77777777" w:rsidR="00990EE8" w:rsidRPr="00445472" w:rsidRDefault="00990EE8" w:rsidP="001D340B">
            <w:pPr>
              <w:spacing w:after="0" w:line="240" w:lineRule="auto"/>
              <w:rPr>
                <w:rFonts w:ascii="Garamond" w:hAnsi="Garamond"/>
                <w:sz w:val="16"/>
                <w:szCs w:val="16"/>
              </w:rPr>
            </w:pPr>
          </w:p>
        </w:tc>
      </w:tr>
      <w:tr w:rsidR="00990EE8" w:rsidRPr="00445472" w14:paraId="5A3376C7"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4282D9C0"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0E880E1"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62A5015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6F306880"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Grupet e Fokusit</w:t>
            </w:r>
          </w:p>
        </w:tc>
        <w:tc>
          <w:tcPr>
            <w:tcW w:w="748" w:type="pct"/>
            <w:tcBorders>
              <w:top w:val="nil"/>
              <w:left w:val="nil"/>
              <w:bottom w:val="single" w:sz="8" w:space="0" w:color="auto"/>
              <w:right w:val="single" w:sz="8" w:space="0" w:color="auto"/>
            </w:tcBorders>
            <w:shd w:val="clear" w:color="auto" w:fill="auto"/>
            <w:noWrap/>
            <w:vAlign w:val="center"/>
            <w:hideMark/>
          </w:tcPr>
          <w:p w14:paraId="2F25DBC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Të moshuarit</w:t>
            </w:r>
          </w:p>
        </w:tc>
        <w:tc>
          <w:tcPr>
            <w:tcW w:w="379" w:type="pct"/>
            <w:tcBorders>
              <w:top w:val="nil"/>
              <w:left w:val="nil"/>
              <w:bottom w:val="single" w:sz="8" w:space="0" w:color="auto"/>
              <w:right w:val="single" w:sz="8" w:space="0" w:color="auto"/>
            </w:tcBorders>
            <w:shd w:val="clear" w:color="auto" w:fill="auto"/>
            <w:noWrap/>
            <w:vAlign w:val="center"/>
            <w:hideMark/>
          </w:tcPr>
          <w:p w14:paraId="5A6E377D"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5153A574"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10FF3453"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29871E2F"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3F9DB63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2064E860"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28EC196"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3608A36"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9A2EBE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6A408575"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484CCE77"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459999D3"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Komuniteti rom</w:t>
            </w:r>
          </w:p>
        </w:tc>
        <w:tc>
          <w:tcPr>
            <w:tcW w:w="379" w:type="pct"/>
            <w:tcBorders>
              <w:top w:val="nil"/>
              <w:left w:val="nil"/>
              <w:bottom w:val="single" w:sz="8" w:space="0" w:color="auto"/>
              <w:right w:val="single" w:sz="8" w:space="0" w:color="auto"/>
            </w:tcBorders>
            <w:shd w:val="clear" w:color="auto" w:fill="auto"/>
            <w:noWrap/>
            <w:vAlign w:val="center"/>
            <w:hideMark/>
          </w:tcPr>
          <w:p w14:paraId="30AF1164"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73AE5B8"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398BAD1E"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3E7D399B"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6517C3C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5BBD91C9"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6E059476"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9A54AB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5313E28"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6D2A43E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097C81D7"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Informatorët kyç</w:t>
            </w:r>
          </w:p>
        </w:tc>
        <w:tc>
          <w:tcPr>
            <w:tcW w:w="748" w:type="pct"/>
            <w:tcBorders>
              <w:top w:val="nil"/>
              <w:left w:val="nil"/>
              <w:bottom w:val="single" w:sz="8" w:space="0" w:color="auto"/>
              <w:right w:val="single" w:sz="8" w:space="0" w:color="auto"/>
            </w:tcBorders>
            <w:shd w:val="clear" w:color="auto" w:fill="auto"/>
            <w:noWrap/>
            <w:vAlign w:val="center"/>
            <w:hideMark/>
          </w:tcPr>
          <w:p w14:paraId="088DC523"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Fermerë</w:t>
            </w:r>
          </w:p>
        </w:tc>
        <w:tc>
          <w:tcPr>
            <w:tcW w:w="379" w:type="pct"/>
            <w:tcBorders>
              <w:top w:val="nil"/>
              <w:left w:val="nil"/>
              <w:bottom w:val="single" w:sz="8" w:space="0" w:color="auto"/>
              <w:right w:val="single" w:sz="8" w:space="0" w:color="auto"/>
            </w:tcBorders>
            <w:shd w:val="clear" w:color="auto" w:fill="auto"/>
            <w:noWrap/>
            <w:vAlign w:val="center"/>
            <w:hideMark/>
          </w:tcPr>
          <w:p w14:paraId="41D093C0"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79C103E3"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7CBF252E"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4C025085"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0FD7CD1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64E2DB57"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2ED9EDE8"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671D565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6B875CBE"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single" w:sz="8" w:space="0" w:color="auto"/>
              <w:right w:val="single" w:sz="8" w:space="0" w:color="auto"/>
            </w:tcBorders>
            <w:shd w:val="clear" w:color="auto" w:fill="auto"/>
            <w:vAlign w:val="center"/>
            <w:hideMark/>
          </w:tcPr>
          <w:p w14:paraId="42FDC3E2"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1C508D72"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594F07CF"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Punonjësit e shëndetësisë</w:t>
            </w:r>
          </w:p>
        </w:tc>
        <w:tc>
          <w:tcPr>
            <w:tcW w:w="379" w:type="pct"/>
            <w:tcBorders>
              <w:top w:val="nil"/>
              <w:left w:val="nil"/>
              <w:bottom w:val="single" w:sz="8" w:space="0" w:color="auto"/>
              <w:right w:val="single" w:sz="8" w:space="0" w:color="auto"/>
            </w:tcBorders>
            <w:shd w:val="clear" w:color="auto" w:fill="auto"/>
            <w:noWrap/>
            <w:vAlign w:val="center"/>
            <w:hideMark/>
          </w:tcPr>
          <w:p w14:paraId="47EB6F48"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2E190A41"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11AB2513"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6DBA0BFD"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156ACAB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3CEEC3CA"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74900405" w14:textId="77777777" w:rsidTr="00083C46">
        <w:trPr>
          <w:cantSplit/>
          <w:trHeight w:val="315"/>
        </w:trPr>
        <w:tc>
          <w:tcPr>
            <w:tcW w:w="157" w:type="pct"/>
            <w:vMerge w:val="restar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7988A8B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260" w:type="pct"/>
            <w:vMerge w:val="restart"/>
            <w:tcBorders>
              <w:top w:val="nil"/>
              <w:left w:val="single" w:sz="8" w:space="0" w:color="auto"/>
              <w:bottom w:val="single" w:sz="8" w:space="0" w:color="auto"/>
              <w:right w:val="single" w:sz="8" w:space="0" w:color="auto"/>
            </w:tcBorders>
            <w:shd w:val="clear" w:color="000000" w:fill="BDD7EE"/>
            <w:noWrap/>
            <w:textDirection w:val="btLr"/>
            <w:vAlign w:val="center"/>
            <w:hideMark/>
          </w:tcPr>
          <w:p w14:paraId="0ABE0AC5"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Korçë</w:t>
            </w:r>
          </w:p>
        </w:tc>
        <w:tc>
          <w:tcPr>
            <w:tcW w:w="634" w:type="pct"/>
            <w:tcBorders>
              <w:top w:val="nil"/>
              <w:left w:val="nil"/>
              <w:bottom w:val="nil"/>
              <w:right w:val="single" w:sz="8" w:space="0" w:color="auto"/>
            </w:tcBorders>
            <w:shd w:val="clear" w:color="auto" w:fill="auto"/>
            <w:vAlign w:val="center"/>
            <w:hideMark/>
          </w:tcPr>
          <w:p w14:paraId="37AFCC5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Pogradec</w:t>
            </w:r>
          </w:p>
        </w:tc>
        <w:tc>
          <w:tcPr>
            <w:tcW w:w="58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6E3FA003"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Ekipi</w:t>
            </w:r>
          </w:p>
        </w:tc>
        <w:tc>
          <w:tcPr>
            <w:tcW w:w="748" w:type="pct"/>
            <w:tcBorders>
              <w:top w:val="nil"/>
              <w:left w:val="nil"/>
              <w:bottom w:val="single" w:sz="8" w:space="0" w:color="auto"/>
              <w:right w:val="single" w:sz="8" w:space="0" w:color="auto"/>
            </w:tcBorders>
            <w:shd w:val="clear" w:color="auto" w:fill="auto"/>
            <w:noWrap/>
            <w:vAlign w:val="center"/>
            <w:hideMark/>
          </w:tcPr>
          <w:p w14:paraId="19EA94F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Halit Kamberi</w:t>
            </w:r>
          </w:p>
        </w:tc>
        <w:tc>
          <w:tcPr>
            <w:tcW w:w="379" w:type="pct"/>
            <w:tcBorders>
              <w:top w:val="nil"/>
              <w:left w:val="nil"/>
              <w:bottom w:val="single" w:sz="8" w:space="0" w:color="auto"/>
              <w:right w:val="single" w:sz="8" w:space="0" w:color="auto"/>
            </w:tcBorders>
            <w:shd w:val="clear" w:color="auto" w:fill="auto"/>
            <w:noWrap/>
            <w:vAlign w:val="center"/>
            <w:hideMark/>
          </w:tcPr>
          <w:p w14:paraId="5760B32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33C58B3A"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noWrap/>
            <w:vAlign w:val="center"/>
            <w:hideMark/>
          </w:tcPr>
          <w:p w14:paraId="3C7B026B" w14:textId="77777777" w:rsidR="00990EE8" w:rsidRPr="00445472" w:rsidRDefault="00FD51F7" w:rsidP="001D340B">
            <w:pPr>
              <w:spacing w:after="0" w:line="240" w:lineRule="auto"/>
              <w:jc w:val="center"/>
              <w:rPr>
                <w:rFonts w:ascii="Garamond" w:hAnsi="Garamond"/>
                <w:sz w:val="16"/>
                <w:szCs w:val="16"/>
                <w:u w:val="single"/>
              </w:rPr>
            </w:pPr>
            <w:hyperlink r:id="rId112" w:history="1">
              <w:r w:rsidR="00990EE8" w:rsidRPr="00445472">
                <w:rPr>
                  <w:rFonts w:ascii="Garamond" w:hAnsi="Garamond"/>
                  <w:sz w:val="16"/>
                  <w:szCs w:val="16"/>
                  <w:u w:val="single"/>
                </w:rPr>
                <w:t>hkamberi@abkons.com</w:t>
              </w:r>
            </w:hyperlink>
          </w:p>
        </w:tc>
        <w:tc>
          <w:tcPr>
            <w:tcW w:w="375" w:type="pct"/>
            <w:vMerge/>
            <w:tcBorders>
              <w:top w:val="nil"/>
              <w:left w:val="nil"/>
              <w:bottom w:val="nil"/>
              <w:right w:val="nil"/>
            </w:tcBorders>
            <w:vAlign w:val="center"/>
            <w:hideMark/>
          </w:tcPr>
          <w:p w14:paraId="56188E3F" w14:textId="77777777" w:rsidR="00990EE8" w:rsidRPr="00445472" w:rsidRDefault="00990EE8" w:rsidP="001D340B">
            <w:pPr>
              <w:spacing w:after="0" w:line="240" w:lineRule="auto"/>
              <w:rPr>
                <w:rFonts w:ascii="Garamond" w:hAnsi="Garamond"/>
                <w:b/>
                <w:bCs/>
                <w:sz w:val="16"/>
                <w:szCs w:val="16"/>
              </w:rPr>
            </w:pPr>
          </w:p>
        </w:tc>
        <w:tc>
          <w:tcPr>
            <w:tcW w:w="179" w:type="pct"/>
            <w:vMerge w:val="restart"/>
            <w:tcBorders>
              <w:top w:val="nil"/>
              <w:left w:val="single" w:sz="8" w:space="0" w:color="auto"/>
              <w:bottom w:val="single" w:sz="8" w:space="0" w:color="000000"/>
              <w:right w:val="nil"/>
            </w:tcBorders>
            <w:shd w:val="clear" w:color="auto" w:fill="auto"/>
            <w:noWrap/>
            <w:vAlign w:val="center"/>
            <w:hideMark/>
          </w:tcPr>
          <w:p w14:paraId="0715FCC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vMerge w:val="restart"/>
            <w:tcBorders>
              <w:top w:val="nil"/>
              <w:left w:val="single" w:sz="8" w:space="0" w:color="auto"/>
              <w:bottom w:val="single" w:sz="8" w:space="0" w:color="000000"/>
              <w:right w:val="single" w:sz="8" w:space="0" w:color="auto"/>
            </w:tcBorders>
            <w:shd w:val="clear" w:color="auto" w:fill="auto"/>
            <w:noWrap/>
            <w:vAlign w:val="center"/>
          </w:tcPr>
          <w:p w14:paraId="718E20DF"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69264ABF" w14:textId="77777777" w:rsidTr="00083C46">
        <w:trPr>
          <w:cantSplit/>
          <w:trHeight w:val="465"/>
        </w:trPr>
        <w:tc>
          <w:tcPr>
            <w:tcW w:w="157" w:type="pct"/>
            <w:vMerge/>
            <w:tcBorders>
              <w:top w:val="nil"/>
              <w:left w:val="single" w:sz="8" w:space="0" w:color="auto"/>
              <w:bottom w:val="single" w:sz="8" w:space="0" w:color="auto"/>
              <w:right w:val="single" w:sz="8" w:space="0" w:color="auto"/>
            </w:tcBorders>
            <w:vAlign w:val="center"/>
            <w:hideMark/>
          </w:tcPr>
          <w:p w14:paraId="53F71B24"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9D92080"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9C0A1F9"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Devoll</w:t>
            </w:r>
          </w:p>
        </w:tc>
        <w:tc>
          <w:tcPr>
            <w:tcW w:w="582" w:type="pct"/>
            <w:vMerge/>
            <w:tcBorders>
              <w:top w:val="nil"/>
              <w:left w:val="single" w:sz="8" w:space="0" w:color="auto"/>
              <w:bottom w:val="single" w:sz="8" w:space="0" w:color="000000"/>
              <w:right w:val="single" w:sz="8" w:space="0" w:color="auto"/>
            </w:tcBorders>
            <w:vAlign w:val="center"/>
            <w:hideMark/>
          </w:tcPr>
          <w:p w14:paraId="5E128E45"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vAlign w:val="center"/>
            <w:hideMark/>
          </w:tcPr>
          <w:p w14:paraId="08E8CB7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Eneida Shuli</w:t>
            </w:r>
            <w:r w:rsidRPr="00445472">
              <w:rPr>
                <w:rFonts w:ascii="Garamond" w:hAnsi="Garamond"/>
                <w:sz w:val="16"/>
                <w:szCs w:val="16"/>
              </w:rPr>
              <w:br/>
              <w:t>Adri Erebara</w:t>
            </w:r>
          </w:p>
        </w:tc>
        <w:tc>
          <w:tcPr>
            <w:tcW w:w="379" w:type="pct"/>
            <w:tcBorders>
              <w:top w:val="nil"/>
              <w:left w:val="nil"/>
              <w:bottom w:val="single" w:sz="8" w:space="0" w:color="auto"/>
              <w:right w:val="single" w:sz="8" w:space="0" w:color="auto"/>
            </w:tcBorders>
            <w:shd w:val="clear" w:color="auto" w:fill="auto"/>
            <w:noWrap/>
            <w:vAlign w:val="center"/>
            <w:hideMark/>
          </w:tcPr>
          <w:p w14:paraId="65D2DC1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65513C5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Grup interesi</w:t>
            </w:r>
          </w:p>
        </w:tc>
        <w:tc>
          <w:tcPr>
            <w:tcW w:w="809" w:type="pct"/>
            <w:tcBorders>
              <w:top w:val="nil"/>
              <w:left w:val="nil"/>
              <w:bottom w:val="single" w:sz="8" w:space="0" w:color="auto"/>
              <w:right w:val="single" w:sz="8" w:space="0" w:color="auto"/>
            </w:tcBorders>
            <w:shd w:val="clear" w:color="auto" w:fill="auto"/>
            <w:noWrap/>
            <w:vAlign w:val="center"/>
            <w:hideMark/>
          </w:tcPr>
          <w:p w14:paraId="78857A7F" w14:textId="77777777" w:rsidR="00990EE8" w:rsidRPr="00445472" w:rsidRDefault="00990EE8" w:rsidP="001D340B">
            <w:pPr>
              <w:spacing w:after="0" w:line="240" w:lineRule="auto"/>
              <w:jc w:val="center"/>
              <w:rPr>
                <w:rFonts w:ascii="Garamond" w:hAnsi="Garamond"/>
                <w:sz w:val="16"/>
                <w:szCs w:val="16"/>
                <w:u w:val="single"/>
              </w:rPr>
            </w:pPr>
            <w:r w:rsidRPr="00445472">
              <w:rPr>
                <w:rFonts w:ascii="Garamond" w:hAnsi="Garamond"/>
                <w:sz w:val="16"/>
                <w:szCs w:val="16"/>
                <w:u w:val="single"/>
              </w:rPr>
              <w:t> </w:t>
            </w:r>
          </w:p>
        </w:tc>
        <w:tc>
          <w:tcPr>
            <w:tcW w:w="375" w:type="pct"/>
            <w:vMerge/>
            <w:tcBorders>
              <w:top w:val="nil"/>
              <w:left w:val="nil"/>
              <w:bottom w:val="nil"/>
              <w:right w:val="nil"/>
            </w:tcBorders>
            <w:vAlign w:val="center"/>
            <w:hideMark/>
          </w:tcPr>
          <w:p w14:paraId="33B95B9D"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68FC6B14"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36A4BE53" w14:textId="77777777" w:rsidR="00990EE8" w:rsidRPr="00445472" w:rsidRDefault="00990EE8" w:rsidP="001D340B">
            <w:pPr>
              <w:spacing w:after="0" w:line="240" w:lineRule="auto"/>
              <w:rPr>
                <w:rFonts w:ascii="Garamond" w:hAnsi="Garamond"/>
                <w:sz w:val="16"/>
                <w:szCs w:val="16"/>
              </w:rPr>
            </w:pPr>
          </w:p>
        </w:tc>
      </w:tr>
      <w:tr w:rsidR="00990EE8" w:rsidRPr="00445472" w14:paraId="5E73DE2B"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D0E5DF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B38ECF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1E74D7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Pustec</w:t>
            </w:r>
          </w:p>
        </w:tc>
        <w:tc>
          <w:tcPr>
            <w:tcW w:w="582" w:type="pct"/>
            <w:vMerge/>
            <w:tcBorders>
              <w:top w:val="nil"/>
              <w:left w:val="single" w:sz="8" w:space="0" w:color="auto"/>
              <w:bottom w:val="single" w:sz="8" w:space="0" w:color="000000"/>
              <w:right w:val="single" w:sz="8" w:space="0" w:color="auto"/>
            </w:tcBorders>
            <w:vAlign w:val="center"/>
            <w:hideMark/>
          </w:tcPr>
          <w:p w14:paraId="6192CB1B"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5786A99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Nereda Kola</w:t>
            </w:r>
          </w:p>
        </w:tc>
        <w:tc>
          <w:tcPr>
            <w:tcW w:w="379" w:type="pct"/>
            <w:tcBorders>
              <w:top w:val="nil"/>
              <w:left w:val="nil"/>
              <w:bottom w:val="single" w:sz="8" w:space="0" w:color="auto"/>
              <w:right w:val="single" w:sz="8" w:space="0" w:color="auto"/>
            </w:tcBorders>
            <w:shd w:val="clear" w:color="auto" w:fill="auto"/>
            <w:noWrap/>
            <w:vAlign w:val="center"/>
            <w:hideMark/>
          </w:tcPr>
          <w:p w14:paraId="6424FD7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7A1BADF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shoqëror</w:t>
            </w:r>
          </w:p>
        </w:tc>
        <w:tc>
          <w:tcPr>
            <w:tcW w:w="809" w:type="pct"/>
            <w:tcBorders>
              <w:top w:val="nil"/>
              <w:left w:val="nil"/>
              <w:bottom w:val="single" w:sz="8" w:space="0" w:color="auto"/>
              <w:right w:val="single" w:sz="8" w:space="0" w:color="auto"/>
            </w:tcBorders>
            <w:shd w:val="clear" w:color="auto" w:fill="auto"/>
            <w:noWrap/>
            <w:vAlign w:val="center"/>
            <w:hideMark/>
          </w:tcPr>
          <w:p w14:paraId="12EED03A" w14:textId="77777777" w:rsidR="00990EE8" w:rsidRPr="00445472" w:rsidRDefault="00FD51F7" w:rsidP="001D340B">
            <w:pPr>
              <w:spacing w:after="0" w:line="240" w:lineRule="auto"/>
              <w:jc w:val="center"/>
              <w:rPr>
                <w:rFonts w:ascii="Garamond" w:hAnsi="Garamond"/>
                <w:sz w:val="16"/>
                <w:szCs w:val="16"/>
                <w:u w:val="single"/>
              </w:rPr>
            </w:pPr>
            <w:hyperlink r:id="rId113" w:history="1">
              <w:r w:rsidR="00990EE8" w:rsidRPr="00445472">
                <w:rPr>
                  <w:rFonts w:ascii="Garamond" w:hAnsi="Garamond"/>
                  <w:sz w:val="16"/>
                  <w:szCs w:val="16"/>
                  <w:u w:val="single"/>
                </w:rPr>
                <w:t>nkola@abkons.com</w:t>
              </w:r>
            </w:hyperlink>
          </w:p>
        </w:tc>
        <w:tc>
          <w:tcPr>
            <w:tcW w:w="375" w:type="pct"/>
            <w:vMerge/>
            <w:tcBorders>
              <w:top w:val="nil"/>
              <w:left w:val="nil"/>
              <w:bottom w:val="nil"/>
              <w:right w:val="nil"/>
            </w:tcBorders>
            <w:vAlign w:val="center"/>
            <w:hideMark/>
          </w:tcPr>
          <w:p w14:paraId="6EB70AB9"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F234A3F"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07E45A96" w14:textId="77777777" w:rsidR="00990EE8" w:rsidRPr="00445472" w:rsidRDefault="00990EE8" w:rsidP="001D340B">
            <w:pPr>
              <w:spacing w:after="0" w:line="240" w:lineRule="auto"/>
              <w:rPr>
                <w:rFonts w:ascii="Garamond" w:hAnsi="Garamond"/>
                <w:sz w:val="16"/>
                <w:szCs w:val="16"/>
              </w:rPr>
            </w:pPr>
          </w:p>
        </w:tc>
      </w:tr>
      <w:tr w:rsidR="00990EE8" w:rsidRPr="00445472" w14:paraId="13CA9AF0"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1E1F01D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6979138"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1FAAD69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single" w:sz="8" w:space="0" w:color="auto"/>
              <w:bottom w:val="single" w:sz="8" w:space="0" w:color="000000"/>
              <w:right w:val="single" w:sz="8" w:space="0" w:color="auto"/>
            </w:tcBorders>
            <w:vAlign w:val="center"/>
            <w:hideMark/>
          </w:tcPr>
          <w:p w14:paraId="77F6BF4F"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nil"/>
              <w:right w:val="single" w:sz="8" w:space="0" w:color="auto"/>
            </w:tcBorders>
            <w:shd w:val="clear" w:color="auto" w:fill="auto"/>
            <w:noWrap/>
            <w:vAlign w:val="center"/>
            <w:hideMark/>
          </w:tcPr>
          <w:p w14:paraId="501627D8"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Redion Biba</w:t>
            </w:r>
          </w:p>
        </w:tc>
        <w:tc>
          <w:tcPr>
            <w:tcW w:w="379" w:type="pct"/>
            <w:tcBorders>
              <w:top w:val="nil"/>
              <w:left w:val="nil"/>
              <w:bottom w:val="nil"/>
              <w:right w:val="single" w:sz="8" w:space="0" w:color="auto"/>
            </w:tcBorders>
            <w:shd w:val="clear" w:color="auto" w:fill="auto"/>
            <w:noWrap/>
            <w:vAlign w:val="center"/>
            <w:hideMark/>
          </w:tcPr>
          <w:p w14:paraId="7D0363E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nil"/>
              <w:right w:val="single" w:sz="8" w:space="0" w:color="auto"/>
            </w:tcBorders>
            <w:shd w:val="clear" w:color="auto" w:fill="auto"/>
            <w:noWrap/>
            <w:vAlign w:val="center"/>
            <w:hideMark/>
          </w:tcPr>
          <w:p w14:paraId="061C9E57"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vAlign w:val="center"/>
            <w:hideMark/>
          </w:tcPr>
          <w:p w14:paraId="12F3282E" w14:textId="77777777" w:rsidR="00990EE8" w:rsidRPr="00445472" w:rsidRDefault="00FD51F7" w:rsidP="001D340B">
            <w:pPr>
              <w:spacing w:after="0" w:line="240" w:lineRule="auto"/>
              <w:jc w:val="center"/>
              <w:rPr>
                <w:rFonts w:ascii="Garamond" w:hAnsi="Garamond"/>
                <w:sz w:val="16"/>
                <w:szCs w:val="16"/>
                <w:u w:val="single"/>
              </w:rPr>
            </w:pPr>
            <w:hyperlink r:id="rId114" w:history="1">
              <w:r w:rsidR="00990EE8" w:rsidRPr="00445472">
                <w:rPr>
                  <w:rFonts w:ascii="Garamond" w:hAnsi="Garamond"/>
                  <w:sz w:val="16"/>
                  <w:szCs w:val="16"/>
                  <w:u w:val="single"/>
                </w:rPr>
                <w:t>rbiba@abkons.com</w:t>
              </w:r>
            </w:hyperlink>
          </w:p>
        </w:tc>
        <w:tc>
          <w:tcPr>
            <w:tcW w:w="375" w:type="pct"/>
            <w:vMerge/>
            <w:tcBorders>
              <w:top w:val="nil"/>
              <w:left w:val="nil"/>
              <w:bottom w:val="nil"/>
              <w:right w:val="nil"/>
            </w:tcBorders>
            <w:vAlign w:val="center"/>
            <w:hideMark/>
          </w:tcPr>
          <w:p w14:paraId="15592582"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1800B9EE"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6EE9A0CC" w14:textId="77777777" w:rsidR="00990EE8" w:rsidRPr="00445472" w:rsidRDefault="00990EE8" w:rsidP="001D340B">
            <w:pPr>
              <w:spacing w:after="0" w:line="240" w:lineRule="auto"/>
              <w:rPr>
                <w:rFonts w:ascii="Garamond" w:hAnsi="Garamond"/>
                <w:sz w:val="16"/>
                <w:szCs w:val="16"/>
              </w:rPr>
            </w:pPr>
          </w:p>
        </w:tc>
      </w:tr>
      <w:tr w:rsidR="00990EE8" w:rsidRPr="00445472" w14:paraId="1974AC88"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EA6A128"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9816FAC"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35A5E1C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tcBorders>
              <w:top w:val="nil"/>
              <w:left w:val="nil"/>
              <w:bottom w:val="single" w:sz="8" w:space="0" w:color="auto"/>
              <w:right w:val="single" w:sz="8" w:space="0" w:color="auto"/>
            </w:tcBorders>
            <w:shd w:val="clear" w:color="auto" w:fill="auto"/>
            <w:noWrap/>
            <w:vAlign w:val="center"/>
            <w:hideMark/>
          </w:tcPr>
          <w:p w14:paraId="37D3E71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Mbledhja rajonale</w:t>
            </w:r>
          </w:p>
        </w:tc>
        <w:tc>
          <w:tcPr>
            <w:tcW w:w="748" w:type="pct"/>
            <w:tcBorders>
              <w:top w:val="single" w:sz="8" w:space="0" w:color="auto"/>
              <w:left w:val="nil"/>
              <w:bottom w:val="single" w:sz="8" w:space="0" w:color="auto"/>
              <w:right w:val="single" w:sz="8" w:space="0" w:color="auto"/>
            </w:tcBorders>
            <w:shd w:val="clear" w:color="auto" w:fill="auto"/>
            <w:noWrap/>
            <w:vAlign w:val="center"/>
            <w:hideMark/>
          </w:tcPr>
          <w:p w14:paraId="575515A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Qarku Korçë</w:t>
            </w:r>
          </w:p>
        </w:tc>
        <w:tc>
          <w:tcPr>
            <w:tcW w:w="379" w:type="pct"/>
            <w:tcBorders>
              <w:top w:val="single" w:sz="8" w:space="0" w:color="auto"/>
              <w:left w:val="nil"/>
              <w:bottom w:val="single" w:sz="8" w:space="0" w:color="auto"/>
              <w:right w:val="single" w:sz="8" w:space="0" w:color="auto"/>
            </w:tcBorders>
            <w:shd w:val="clear" w:color="auto" w:fill="auto"/>
            <w:noWrap/>
            <w:vAlign w:val="center"/>
            <w:hideMark/>
          </w:tcPr>
          <w:p w14:paraId="762B84C5"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single" w:sz="8" w:space="0" w:color="auto"/>
              <w:left w:val="nil"/>
              <w:bottom w:val="single" w:sz="8" w:space="0" w:color="auto"/>
              <w:right w:val="single" w:sz="8" w:space="0" w:color="auto"/>
            </w:tcBorders>
            <w:shd w:val="clear" w:color="auto" w:fill="auto"/>
            <w:noWrap/>
            <w:vAlign w:val="center"/>
            <w:hideMark/>
          </w:tcPr>
          <w:p w14:paraId="7E917E1C"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2EA004D0"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4BE57727"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3D18F9F8"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tcPr>
          <w:p w14:paraId="023A8107" w14:textId="77777777" w:rsidR="00990EE8" w:rsidRPr="00445472" w:rsidRDefault="00990EE8" w:rsidP="001D340B">
            <w:pPr>
              <w:spacing w:after="0" w:line="240" w:lineRule="auto"/>
              <w:rPr>
                <w:rFonts w:ascii="Garamond" w:hAnsi="Garamond"/>
                <w:sz w:val="16"/>
                <w:szCs w:val="16"/>
              </w:rPr>
            </w:pPr>
          </w:p>
        </w:tc>
      </w:tr>
      <w:tr w:rsidR="00990EE8" w:rsidRPr="00445472" w14:paraId="2C341A54"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2C0B9FB9"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4FB3D2B"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56686F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0954A499"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Grupet e Fokusit</w:t>
            </w:r>
          </w:p>
        </w:tc>
        <w:tc>
          <w:tcPr>
            <w:tcW w:w="748" w:type="pct"/>
            <w:tcBorders>
              <w:top w:val="nil"/>
              <w:left w:val="nil"/>
              <w:bottom w:val="single" w:sz="8" w:space="0" w:color="auto"/>
              <w:right w:val="single" w:sz="8" w:space="0" w:color="auto"/>
            </w:tcBorders>
            <w:shd w:val="clear" w:color="auto" w:fill="auto"/>
            <w:noWrap/>
            <w:vAlign w:val="center"/>
            <w:hideMark/>
          </w:tcPr>
          <w:p w14:paraId="0F3B468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Të moshuarit</w:t>
            </w:r>
          </w:p>
        </w:tc>
        <w:tc>
          <w:tcPr>
            <w:tcW w:w="379" w:type="pct"/>
            <w:tcBorders>
              <w:top w:val="nil"/>
              <w:left w:val="nil"/>
              <w:bottom w:val="single" w:sz="8" w:space="0" w:color="auto"/>
              <w:right w:val="single" w:sz="8" w:space="0" w:color="auto"/>
            </w:tcBorders>
            <w:shd w:val="clear" w:color="auto" w:fill="auto"/>
            <w:noWrap/>
            <w:vAlign w:val="center"/>
            <w:hideMark/>
          </w:tcPr>
          <w:p w14:paraId="700D13FC"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0C4A92D"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539AFC49"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BCD6DA8"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12F4D0E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54FDEB2E"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1B164C98"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65E2E174"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BF01048"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53AD7EA2"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41DFFCF2"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48F79F90"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Komuniteti rom</w:t>
            </w:r>
          </w:p>
        </w:tc>
        <w:tc>
          <w:tcPr>
            <w:tcW w:w="379" w:type="pct"/>
            <w:tcBorders>
              <w:top w:val="nil"/>
              <w:left w:val="nil"/>
              <w:bottom w:val="single" w:sz="8" w:space="0" w:color="auto"/>
              <w:right w:val="single" w:sz="8" w:space="0" w:color="auto"/>
            </w:tcBorders>
            <w:shd w:val="clear" w:color="auto" w:fill="auto"/>
            <w:noWrap/>
            <w:vAlign w:val="center"/>
            <w:hideMark/>
          </w:tcPr>
          <w:p w14:paraId="5EB1345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F33114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752AB8CA"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03002216"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37284D7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203136F6"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58D54C9A"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418512CC"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92F0310"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0B954652"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78B7728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Informatorët kyç</w:t>
            </w:r>
          </w:p>
        </w:tc>
        <w:tc>
          <w:tcPr>
            <w:tcW w:w="748" w:type="pct"/>
            <w:tcBorders>
              <w:top w:val="nil"/>
              <w:left w:val="nil"/>
              <w:bottom w:val="single" w:sz="8" w:space="0" w:color="auto"/>
              <w:right w:val="single" w:sz="8" w:space="0" w:color="auto"/>
            </w:tcBorders>
            <w:shd w:val="clear" w:color="auto" w:fill="auto"/>
            <w:noWrap/>
            <w:vAlign w:val="center"/>
            <w:hideMark/>
          </w:tcPr>
          <w:p w14:paraId="30B1B4D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Fermerë</w:t>
            </w:r>
          </w:p>
        </w:tc>
        <w:tc>
          <w:tcPr>
            <w:tcW w:w="379" w:type="pct"/>
            <w:tcBorders>
              <w:top w:val="nil"/>
              <w:left w:val="nil"/>
              <w:bottom w:val="single" w:sz="8" w:space="0" w:color="auto"/>
              <w:right w:val="single" w:sz="8" w:space="0" w:color="auto"/>
            </w:tcBorders>
            <w:shd w:val="clear" w:color="auto" w:fill="auto"/>
            <w:noWrap/>
            <w:vAlign w:val="center"/>
            <w:hideMark/>
          </w:tcPr>
          <w:p w14:paraId="2C7318BC"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5688B77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55F341E5"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033DD15"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10B5683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1A6CBE82"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44ACA4BA"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09E8A5D0"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D2DC553"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single" w:sz="8" w:space="0" w:color="auto"/>
              <w:right w:val="single" w:sz="8" w:space="0" w:color="auto"/>
            </w:tcBorders>
            <w:shd w:val="clear" w:color="auto" w:fill="auto"/>
            <w:vAlign w:val="center"/>
            <w:hideMark/>
          </w:tcPr>
          <w:p w14:paraId="1FF7D3C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0185205D"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6B374ECC"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Punonjësit e shëndetësisë</w:t>
            </w:r>
          </w:p>
        </w:tc>
        <w:tc>
          <w:tcPr>
            <w:tcW w:w="379" w:type="pct"/>
            <w:tcBorders>
              <w:top w:val="nil"/>
              <w:left w:val="nil"/>
              <w:bottom w:val="single" w:sz="8" w:space="0" w:color="auto"/>
              <w:right w:val="single" w:sz="8" w:space="0" w:color="auto"/>
            </w:tcBorders>
            <w:shd w:val="clear" w:color="auto" w:fill="auto"/>
            <w:noWrap/>
            <w:vAlign w:val="center"/>
            <w:hideMark/>
          </w:tcPr>
          <w:p w14:paraId="43D6DF19"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2539922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2CA9CF38"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097F6F63"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78E0ECD9"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67EB3066"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0BB89D4B" w14:textId="77777777" w:rsidTr="00083C46">
        <w:trPr>
          <w:cantSplit/>
          <w:trHeight w:val="315"/>
        </w:trPr>
        <w:tc>
          <w:tcPr>
            <w:tcW w:w="157" w:type="pct"/>
            <w:vMerge w:val="restar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2E384E16"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260" w:type="pct"/>
            <w:vMerge w:val="restart"/>
            <w:tcBorders>
              <w:top w:val="nil"/>
              <w:left w:val="single" w:sz="8" w:space="0" w:color="auto"/>
              <w:bottom w:val="single" w:sz="8" w:space="0" w:color="auto"/>
              <w:right w:val="single" w:sz="8" w:space="0" w:color="auto"/>
            </w:tcBorders>
            <w:shd w:val="clear" w:color="000000" w:fill="BDD7EE"/>
            <w:noWrap/>
            <w:textDirection w:val="btLr"/>
            <w:vAlign w:val="center"/>
            <w:hideMark/>
          </w:tcPr>
          <w:p w14:paraId="411865A7"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Elbasan</w:t>
            </w:r>
          </w:p>
        </w:tc>
        <w:tc>
          <w:tcPr>
            <w:tcW w:w="634" w:type="pct"/>
            <w:tcBorders>
              <w:top w:val="nil"/>
              <w:left w:val="nil"/>
              <w:bottom w:val="nil"/>
              <w:right w:val="single" w:sz="8" w:space="0" w:color="auto"/>
            </w:tcBorders>
            <w:shd w:val="clear" w:color="auto" w:fill="auto"/>
            <w:vAlign w:val="center"/>
            <w:hideMark/>
          </w:tcPr>
          <w:p w14:paraId="60009254"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Elbasan</w:t>
            </w:r>
          </w:p>
        </w:tc>
        <w:tc>
          <w:tcPr>
            <w:tcW w:w="58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10FA987B"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Ekipi</w:t>
            </w:r>
          </w:p>
        </w:tc>
        <w:tc>
          <w:tcPr>
            <w:tcW w:w="748" w:type="pct"/>
            <w:tcBorders>
              <w:top w:val="nil"/>
              <w:left w:val="nil"/>
              <w:bottom w:val="single" w:sz="8" w:space="0" w:color="auto"/>
              <w:right w:val="single" w:sz="8" w:space="0" w:color="auto"/>
            </w:tcBorders>
            <w:shd w:val="clear" w:color="auto" w:fill="auto"/>
            <w:noWrap/>
            <w:vAlign w:val="center"/>
            <w:hideMark/>
          </w:tcPr>
          <w:p w14:paraId="78B852B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Halit Kamberi</w:t>
            </w:r>
          </w:p>
        </w:tc>
        <w:tc>
          <w:tcPr>
            <w:tcW w:w="379" w:type="pct"/>
            <w:tcBorders>
              <w:top w:val="nil"/>
              <w:left w:val="nil"/>
              <w:bottom w:val="single" w:sz="8" w:space="0" w:color="auto"/>
              <w:right w:val="single" w:sz="8" w:space="0" w:color="auto"/>
            </w:tcBorders>
            <w:shd w:val="clear" w:color="auto" w:fill="auto"/>
            <w:noWrap/>
            <w:vAlign w:val="center"/>
            <w:hideMark/>
          </w:tcPr>
          <w:p w14:paraId="524B155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257FA8F7"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noWrap/>
            <w:vAlign w:val="center"/>
            <w:hideMark/>
          </w:tcPr>
          <w:p w14:paraId="2D81E233" w14:textId="77777777" w:rsidR="00990EE8" w:rsidRPr="00445472" w:rsidRDefault="00FD51F7" w:rsidP="001D340B">
            <w:pPr>
              <w:spacing w:after="0" w:line="240" w:lineRule="auto"/>
              <w:jc w:val="center"/>
              <w:rPr>
                <w:rFonts w:ascii="Garamond" w:hAnsi="Garamond"/>
                <w:sz w:val="16"/>
                <w:szCs w:val="16"/>
                <w:u w:val="single"/>
              </w:rPr>
            </w:pPr>
            <w:hyperlink r:id="rId115" w:history="1">
              <w:r w:rsidR="00990EE8" w:rsidRPr="00445472">
                <w:rPr>
                  <w:rFonts w:ascii="Garamond" w:hAnsi="Garamond"/>
                  <w:sz w:val="16"/>
                  <w:szCs w:val="16"/>
                  <w:u w:val="single"/>
                </w:rPr>
                <w:t>hkamberi@abkons.com</w:t>
              </w:r>
            </w:hyperlink>
          </w:p>
        </w:tc>
        <w:tc>
          <w:tcPr>
            <w:tcW w:w="375" w:type="pct"/>
            <w:vMerge/>
            <w:tcBorders>
              <w:top w:val="nil"/>
              <w:left w:val="nil"/>
              <w:bottom w:val="nil"/>
              <w:right w:val="nil"/>
            </w:tcBorders>
            <w:vAlign w:val="center"/>
            <w:hideMark/>
          </w:tcPr>
          <w:p w14:paraId="6ACF8987" w14:textId="77777777" w:rsidR="00990EE8" w:rsidRPr="00445472" w:rsidRDefault="00990EE8" w:rsidP="001D340B">
            <w:pPr>
              <w:spacing w:after="0" w:line="240" w:lineRule="auto"/>
              <w:rPr>
                <w:rFonts w:ascii="Garamond" w:hAnsi="Garamond"/>
                <w:b/>
                <w:bCs/>
                <w:sz w:val="16"/>
                <w:szCs w:val="16"/>
              </w:rPr>
            </w:pPr>
          </w:p>
        </w:tc>
        <w:tc>
          <w:tcPr>
            <w:tcW w:w="179" w:type="pct"/>
            <w:vMerge w:val="restart"/>
            <w:tcBorders>
              <w:top w:val="nil"/>
              <w:left w:val="single" w:sz="8" w:space="0" w:color="auto"/>
              <w:bottom w:val="single" w:sz="8" w:space="0" w:color="000000"/>
              <w:right w:val="nil"/>
            </w:tcBorders>
            <w:shd w:val="clear" w:color="auto" w:fill="auto"/>
            <w:noWrap/>
            <w:vAlign w:val="center"/>
            <w:hideMark/>
          </w:tcPr>
          <w:p w14:paraId="36DBF96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vMerge w:val="restart"/>
            <w:tcBorders>
              <w:top w:val="nil"/>
              <w:left w:val="single" w:sz="8" w:space="0" w:color="auto"/>
              <w:bottom w:val="single" w:sz="8" w:space="0" w:color="000000"/>
              <w:right w:val="single" w:sz="8" w:space="0" w:color="auto"/>
            </w:tcBorders>
            <w:shd w:val="clear" w:color="auto" w:fill="auto"/>
            <w:noWrap/>
            <w:vAlign w:val="center"/>
            <w:hideMark/>
          </w:tcPr>
          <w:p w14:paraId="2FFCAE54"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r>
      <w:tr w:rsidR="00990EE8" w:rsidRPr="00445472" w14:paraId="03B0DEE4" w14:textId="77777777" w:rsidTr="00083C46">
        <w:trPr>
          <w:cantSplit/>
          <w:trHeight w:val="465"/>
        </w:trPr>
        <w:tc>
          <w:tcPr>
            <w:tcW w:w="157" w:type="pct"/>
            <w:vMerge/>
            <w:tcBorders>
              <w:top w:val="nil"/>
              <w:left w:val="single" w:sz="8" w:space="0" w:color="auto"/>
              <w:bottom w:val="single" w:sz="8" w:space="0" w:color="auto"/>
              <w:right w:val="single" w:sz="8" w:space="0" w:color="auto"/>
            </w:tcBorders>
            <w:vAlign w:val="center"/>
            <w:hideMark/>
          </w:tcPr>
          <w:p w14:paraId="4476F261"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223D4C8E"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4AEAAD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Pogradec</w:t>
            </w:r>
          </w:p>
        </w:tc>
        <w:tc>
          <w:tcPr>
            <w:tcW w:w="582" w:type="pct"/>
            <w:vMerge/>
            <w:tcBorders>
              <w:top w:val="nil"/>
              <w:left w:val="single" w:sz="8" w:space="0" w:color="auto"/>
              <w:bottom w:val="single" w:sz="8" w:space="0" w:color="000000"/>
              <w:right w:val="single" w:sz="8" w:space="0" w:color="auto"/>
            </w:tcBorders>
            <w:vAlign w:val="center"/>
            <w:hideMark/>
          </w:tcPr>
          <w:p w14:paraId="5BDCF057"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vAlign w:val="center"/>
            <w:hideMark/>
          </w:tcPr>
          <w:p w14:paraId="45FD2B9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Eneida Shuli</w:t>
            </w:r>
            <w:r w:rsidRPr="00445472">
              <w:rPr>
                <w:rFonts w:ascii="Garamond" w:hAnsi="Garamond"/>
                <w:sz w:val="16"/>
                <w:szCs w:val="16"/>
              </w:rPr>
              <w:br/>
              <w:t>Adri Erebara</w:t>
            </w:r>
          </w:p>
        </w:tc>
        <w:tc>
          <w:tcPr>
            <w:tcW w:w="379" w:type="pct"/>
            <w:tcBorders>
              <w:top w:val="nil"/>
              <w:left w:val="nil"/>
              <w:bottom w:val="single" w:sz="8" w:space="0" w:color="auto"/>
              <w:right w:val="single" w:sz="8" w:space="0" w:color="auto"/>
            </w:tcBorders>
            <w:shd w:val="clear" w:color="auto" w:fill="auto"/>
            <w:noWrap/>
            <w:vAlign w:val="center"/>
            <w:hideMark/>
          </w:tcPr>
          <w:p w14:paraId="1C7D647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11832C2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Grup interesi</w:t>
            </w:r>
          </w:p>
        </w:tc>
        <w:tc>
          <w:tcPr>
            <w:tcW w:w="809" w:type="pct"/>
            <w:tcBorders>
              <w:top w:val="nil"/>
              <w:left w:val="nil"/>
              <w:bottom w:val="single" w:sz="8" w:space="0" w:color="auto"/>
              <w:right w:val="single" w:sz="8" w:space="0" w:color="auto"/>
            </w:tcBorders>
            <w:shd w:val="clear" w:color="auto" w:fill="auto"/>
            <w:noWrap/>
            <w:vAlign w:val="center"/>
            <w:hideMark/>
          </w:tcPr>
          <w:p w14:paraId="70428E1D" w14:textId="77777777" w:rsidR="00990EE8" w:rsidRPr="00445472" w:rsidRDefault="00990EE8" w:rsidP="001D340B">
            <w:pPr>
              <w:spacing w:after="0" w:line="240" w:lineRule="auto"/>
              <w:jc w:val="center"/>
              <w:rPr>
                <w:rFonts w:ascii="Garamond" w:hAnsi="Garamond"/>
                <w:sz w:val="16"/>
                <w:szCs w:val="16"/>
                <w:u w:val="single"/>
              </w:rPr>
            </w:pPr>
            <w:r w:rsidRPr="00445472">
              <w:rPr>
                <w:rFonts w:ascii="Garamond" w:hAnsi="Garamond"/>
                <w:sz w:val="16"/>
                <w:szCs w:val="16"/>
                <w:u w:val="single"/>
              </w:rPr>
              <w:t> </w:t>
            </w:r>
          </w:p>
        </w:tc>
        <w:tc>
          <w:tcPr>
            <w:tcW w:w="375" w:type="pct"/>
            <w:vMerge/>
            <w:tcBorders>
              <w:top w:val="nil"/>
              <w:left w:val="nil"/>
              <w:bottom w:val="nil"/>
              <w:right w:val="nil"/>
            </w:tcBorders>
            <w:vAlign w:val="center"/>
            <w:hideMark/>
          </w:tcPr>
          <w:p w14:paraId="4452F196"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3D0AD57E"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63AD1FFB" w14:textId="77777777" w:rsidR="00990EE8" w:rsidRPr="00445472" w:rsidRDefault="00990EE8" w:rsidP="001D340B">
            <w:pPr>
              <w:spacing w:after="0" w:line="240" w:lineRule="auto"/>
              <w:rPr>
                <w:rFonts w:ascii="Garamond" w:hAnsi="Garamond"/>
                <w:sz w:val="16"/>
                <w:szCs w:val="16"/>
              </w:rPr>
            </w:pPr>
          </w:p>
        </w:tc>
      </w:tr>
      <w:tr w:rsidR="00990EE8" w:rsidRPr="00445472" w14:paraId="1D1561B0"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33638A39"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0CBA8BCB"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6B91B17A"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single" w:sz="8" w:space="0" w:color="auto"/>
              <w:bottom w:val="single" w:sz="8" w:space="0" w:color="000000"/>
              <w:right w:val="single" w:sz="8" w:space="0" w:color="auto"/>
            </w:tcBorders>
            <w:vAlign w:val="center"/>
            <w:hideMark/>
          </w:tcPr>
          <w:p w14:paraId="4F528124"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2B312A9B"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Nereda Kola</w:t>
            </w:r>
          </w:p>
        </w:tc>
        <w:tc>
          <w:tcPr>
            <w:tcW w:w="379" w:type="pct"/>
            <w:tcBorders>
              <w:top w:val="nil"/>
              <w:left w:val="nil"/>
              <w:bottom w:val="single" w:sz="8" w:space="0" w:color="auto"/>
              <w:right w:val="single" w:sz="8" w:space="0" w:color="auto"/>
            </w:tcBorders>
            <w:shd w:val="clear" w:color="auto" w:fill="auto"/>
            <w:noWrap/>
            <w:vAlign w:val="center"/>
            <w:hideMark/>
          </w:tcPr>
          <w:p w14:paraId="183C3EB3"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single" w:sz="8" w:space="0" w:color="auto"/>
              <w:right w:val="single" w:sz="8" w:space="0" w:color="auto"/>
            </w:tcBorders>
            <w:shd w:val="clear" w:color="auto" w:fill="auto"/>
            <w:noWrap/>
            <w:vAlign w:val="center"/>
            <w:hideMark/>
          </w:tcPr>
          <w:p w14:paraId="5A3E09F4"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Ekspert shoqëror</w:t>
            </w:r>
          </w:p>
        </w:tc>
        <w:tc>
          <w:tcPr>
            <w:tcW w:w="809" w:type="pct"/>
            <w:tcBorders>
              <w:top w:val="nil"/>
              <w:left w:val="nil"/>
              <w:bottom w:val="single" w:sz="8" w:space="0" w:color="auto"/>
              <w:right w:val="single" w:sz="8" w:space="0" w:color="auto"/>
            </w:tcBorders>
            <w:shd w:val="clear" w:color="auto" w:fill="auto"/>
            <w:noWrap/>
            <w:vAlign w:val="center"/>
            <w:hideMark/>
          </w:tcPr>
          <w:p w14:paraId="1910C6EF" w14:textId="77777777" w:rsidR="00990EE8" w:rsidRPr="00445472" w:rsidRDefault="00FD51F7" w:rsidP="001D340B">
            <w:pPr>
              <w:spacing w:after="0" w:line="240" w:lineRule="auto"/>
              <w:jc w:val="center"/>
              <w:rPr>
                <w:rFonts w:ascii="Garamond" w:hAnsi="Garamond"/>
                <w:sz w:val="16"/>
                <w:szCs w:val="16"/>
                <w:u w:val="single"/>
              </w:rPr>
            </w:pPr>
            <w:hyperlink r:id="rId116" w:history="1">
              <w:r w:rsidR="00990EE8" w:rsidRPr="00445472">
                <w:rPr>
                  <w:rFonts w:ascii="Garamond" w:hAnsi="Garamond"/>
                  <w:sz w:val="16"/>
                  <w:szCs w:val="16"/>
                  <w:u w:val="single"/>
                </w:rPr>
                <w:t>nkola@abkons.com</w:t>
              </w:r>
            </w:hyperlink>
          </w:p>
        </w:tc>
        <w:tc>
          <w:tcPr>
            <w:tcW w:w="375" w:type="pct"/>
            <w:vMerge/>
            <w:tcBorders>
              <w:top w:val="nil"/>
              <w:left w:val="nil"/>
              <w:bottom w:val="nil"/>
              <w:right w:val="nil"/>
            </w:tcBorders>
            <w:vAlign w:val="center"/>
            <w:hideMark/>
          </w:tcPr>
          <w:p w14:paraId="33AC8AE1"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D589B39"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4B47D078" w14:textId="77777777" w:rsidR="00990EE8" w:rsidRPr="00445472" w:rsidRDefault="00990EE8" w:rsidP="001D340B">
            <w:pPr>
              <w:spacing w:after="0" w:line="240" w:lineRule="auto"/>
              <w:rPr>
                <w:rFonts w:ascii="Garamond" w:hAnsi="Garamond"/>
                <w:sz w:val="16"/>
                <w:szCs w:val="16"/>
              </w:rPr>
            </w:pPr>
          </w:p>
        </w:tc>
      </w:tr>
      <w:tr w:rsidR="00990EE8" w:rsidRPr="00445472" w14:paraId="0E3D0D5D"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8516B76"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4694757E"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486C44A1"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single" w:sz="8" w:space="0" w:color="auto"/>
              <w:bottom w:val="single" w:sz="8" w:space="0" w:color="000000"/>
              <w:right w:val="single" w:sz="8" w:space="0" w:color="auto"/>
            </w:tcBorders>
            <w:vAlign w:val="center"/>
            <w:hideMark/>
          </w:tcPr>
          <w:p w14:paraId="7C91B6DE"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nil"/>
              <w:right w:val="single" w:sz="8" w:space="0" w:color="auto"/>
            </w:tcBorders>
            <w:shd w:val="clear" w:color="auto" w:fill="auto"/>
            <w:noWrap/>
            <w:vAlign w:val="center"/>
            <w:hideMark/>
          </w:tcPr>
          <w:p w14:paraId="7D214F7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Redion Biba</w:t>
            </w:r>
          </w:p>
        </w:tc>
        <w:tc>
          <w:tcPr>
            <w:tcW w:w="379" w:type="pct"/>
            <w:tcBorders>
              <w:top w:val="nil"/>
              <w:left w:val="nil"/>
              <w:bottom w:val="nil"/>
              <w:right w:val="single" w:sz="8" w:space="0" w:color="auto"/>
            </w:tcBorders>
            <w:shd w:val="clear" w:color="auto" w:fill="auto"/>
            <w:noWrap/>
            <w:vAlign w:val="center"/>
            <w:hideMark/>
          </w:tcPr>
          <w:p w14:paraId="01F1985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Abkons</w:t>
            </w:r>
          </w:p>
        </w:tc>
        <w:tc>
          <w:tcPr>
            <w:tcW w:w="525" w:type="pct"/>
            <w:tcBorders>
              <w:top w:val="nil"/>
              <w:left w:val="nil"/>
              <w:bottom w:val="nil"/>
              <w:right w:val="single" w:sz="8" w:space="0" w:color="auto"/>
            </w:tcBorders>
            <w:shd w:val="clear" w:color="auto" w:fill="auto"/>
            <w:noWrap/>
            <w:vAlign w:val="center"/>
            <w:hideMark/>
          </w:tcPr>
          <w:p w14:paraId="2C6EFA6F"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Ekspert Inxhinier</w:t>
            </w:r>
          </w:p>
        </w:tc>
        <w:tc>
          <w:tcPr>
            <w:tcW w:w="809" w:type="pct"/>
            <w:tcBorders>
              <w:top w:val="nil"/>
              <w:left w:val="nil"/>
              <w:bottom w:val="single" w:sz="8" w:space="0" w:color="auto"/>
              <w:right w:val="single" w:sz="8" w:space="0" w:color="auto"/>
            </w:tcBorders>
            <w:shd w:val="clear" w:color="auto" w:fill="auto"/>
            <w:vAlign w:val="center"/>
            <w:hideMark/>
          </w:tcPr>
          <w:p w14:paraId="388A3537" w14:textId="77777777" w:rsidR="00990EE8" w:rsidRPr="00445472" w:rsidRDefault="00FD51F7" w:rsidP="001D340B">
            <w:pPr>
              <w:spacing w:after="0" w:line="240" w:lineRule="auto"/>
              <w:jc w:val="center"/>
              <w:rPr>
                <w:rFonts w:ascii="Garamond" w:hAnsi="Garamond"/>
                <w:sz w:val="16"/>
                <w:szCs w:val="16"/>
                <w:u w:val="single"/>
              </w:rPr>
            </w:pPr>
            <w:hyperlink r:id="rId117" w:history="1">
              <w:r w:rsidR="00990EE8" w:rsidRPr="00445472">
                <w:rPr>
                  <w:rFonts w:ascii="Garamond" w:hAnsi="Garamond"/>
                  <w:sz w:val="16"/>
                  <w:szCs w:val="16"/>
                  <w:u w:val="single"/>
                </w:rPr>
                <w:t>rbiba@abkons.com</w:t>
              </w:r>
            </w:hyperlink>
          </w:p>
        </w:tc>
        <w:tc>
          <w:tcPr>
            <w:tcW w:w="375" w:type="pct"/>
            <w:vMerge/>
            <w:tcBorders>
              <w:top w:val="nil"/>
              <w:left w:val="nil"/>
              <w:bottom w:val="nil"/>
              <w:right w:val="nil"/>
            </w:tcBorders>
            <w:vAlign w:val="center"/>
            <w:hideMark/>
          </w:tcPr>
          <w:p w14:paraId="29285500"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0B51A88F"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56BC3B55" w14:textId="77777777" w:rsidR="00990EE8" w:rsidRPr="00445472" w:rsidRDefault="00990EE8" w:rsidP="001D340B">
            <w:pPr>
              <w:spacing w:after="0" w:line="240" w:lineRule="auto"/>
              <w:rPr>
                <w:rFonts w:ascii="Garamond" w:hAnsi="Garamond"/>
                <w:sz w:val="16"/>
                <w:szCs w:val="16"/>
              </w:rPr>
            </w:pPr>
          </w:p>
        </w:tc>
      </w:tr>
      <w:tr w:rsidR="00990EE8" w:rsidRPr="00445472" w14:paraId="4869031D"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7366853"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5D4D1330"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70E60CE0"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tcBorders>
              <w:top w:val="nil"/>
              <w:left w:val="nil"/>
              <w:bottom w:val="single" w:sz="8" w:space="0" w:color="auto"/>
              <w:right w:val="single" w:sz="8" w:space="0" w:color="auto"/>
            </w:tcBorders>
            <w:shd w:val="clear" w:color="auto" w:fill="auto"/>
            <w:noWrap/>
            <w:vAlign w:val="center"/>
            <w:hideMark/>
          </w:tcPr>
          <w:p w14:paraId="4488D18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Mbledhja rajonale</w:t>
            </w:r>
          </w:p>
        </w:tc>
        <w:tc>
          <w:tcPr>
            <w:tcW w:w="748" w:type="pct"/>
            <w:tcBorders>
              <w:top w:val="single" w:sz="8" w:space="0" w:color="auto"/>
              <w:left w:val="nil"/>
              <w:bottom w:val="single" w:sz="8" w:space="0" w:color="auto"/>
              <w:right w:val="single" w:sz="8" w:space="0" w:color="auto"/>
            </w:tcBorders>
            <w:shd w:val="clear" w:color="auto" w:fill="auto"/>
            <w:noWrap/>
            <w:vAlign w:val="center"/>
            <w:hideMark/>
          </w:tcPr>
          <w:p w14:paraId="4FDC08E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xml:space="preserve">Qarku Elbasan </w:t>
            </w:r>
          </w:p>
        </w:tc>
        <w:tc>
          <w:tcPr>
            <w:tcW w:w="379" w:type="pct"/>
            <w:tcBorders>
              <w:top w:val="single" w:sz="8" w:space="0" w:color="auto"/>
              <w:left w:val="nil"/>
              <w:bottom w:val="single" w:sz="8" w:space="0" w:color="auto"/>
              <w:right w:val="single" w:sz="8" w:space="0" w:color="auto"/>
            </w:tcBorders>
            <w:shd w:val="clear" w:color="auto" w:fill="auto"/>
            <w:noWrap/>
            <w:vAlign w:val="center"/>
            <w:hideMark/>
          </w:tcPr>
          <w:p w14:paraId="474D86D7"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single" w:sz="8" w:space="0" w:color="auto"/>
              <w:left w:val="nil"/>
              <w:bottom w:val="single" w:sz="8" w:space="0" w:color="auto"/>
              <w:right w:val="single" w:sz="8" w:space="0" w:color="auto"/>
            </w:tcBorders>
            <w:shd w:val="clear" w:color="auto" w:fill="auto"/>
            <w:noWrap/>
            <w:vAlign w:val="center"/>
            <w:hideMark/>
          </w:tcPr>
          <w:p w14:paraId="043ABD8D"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5C867CB9"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2E6BAF62" w14:textId="77777777" w:rsidR="00990EE8" w:rsidRPr="00445472" w:rsidRDefault="00990EE8" w:rsidP="001D340B">
            <w:pPr>
              <w:spacing w:after="0" w:line="240" w:lineRule="auto"/>
              <w:rPr>
                <w:rFonts w:ascii="Garamond" w:hAnsi="Garamond"/>
                <w:b/>
                <w:bCs/>
                <w:sz w:val="16"/>
                <w:szCs w:val="16"/>
              </w:rPr>
            </w:pPr>
          </w:p>
        </w:tc>
        <w:tc>
          <w:tcPr>
            <w:tcW w:w="179" w:type="pct"/>
            <w:vMerge/>
            <w:tcBorders>
              <w:top w:val="nil"/>
              <w:left w:val="single" w:sz="8" w:space="0" w:color="auto"/>
              <w:bottom w:val="single" w:sz="8" w:space="0" w:color="000000"/>
              <w:right w:val="nil"/>
            </w:tcBorders>
            <w:vAlign w:val="center"/>
            <w:hideMark/>
          </w:tcPr>
          <w:p w14:paraId="743404D6" w14:textId="77777777" w:rsidR="00990EE8" w:rsidRPr="00445472" w:rsidRDefault="00990EE8" w:rsidP="001D340B">
            <w:pPr>
              <w:spacing w:after="0" w:line="240" w:lineRule="auto"/>
              <w:rPr>
                <w:rFonts w:ascii="Garamond" w:hAnsi="Garamond"/>
                <w:sz w:val="16"/>
                <w:szCs w:val="16"/>
              </w:rPr>
            </w:pPr>
          </w:p>
        </w:tc>
        <w:tc>
          <w:tcPr>
            <w:tcW w:w="352" w:type="pct"/>
            <w:vMerge/>
            <w:tcBorders>
              <w:top w:val="nil"/>
              <w:left w:val="single" w:sz="8" w:space="0" w:color="auto"/>
              <w:bottom w:val="single" w:sz="8" w:space="0" w:color="000000"/>
              <w:right w:val="single" w:sz="8" w:space="0" w:color="auto"/>
            </w:tcBorders>
            <w:vAlign w:val="center"/>
            <w:hideMark/>
          </w:tcPr>
          <w:p w14:paraId="0AAA7577" w14:textId="77777777" w:rsidR="00990EE8" w:rsidRPr="00445472" w:rsidRDefault="00990EE8" w:rsidP="001D340B">
            <w:pPr>
              <w:spacing w:after="0" w:line="240" w:lineRule="auto"/>
              <w:rPr>
                <w:rFonts w:ascii="Garamond" w:hAnsi="Garamond"/>
                <w:sz w:val="16"/>
                <w:szCs w:val="16"/>
              </w:rPr>
            </w:pPr>
          </w:p>
        </w:tc>
      </w:tr>
      <w:tr w:rsidR="00990EE8" w:rsidRPr="00445472" w14:paraId="340005A8"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FA941CE"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1B4E669C"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29C3425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42D5E5D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Grupet e Fokusit</w:t>
            </w:r>
          </w:p>
        </w:tc>
        <w:tc>
          <w:tcPr>
            <w:tcW w:w="748" w:type="pct"/>
            <w:tcBorders>
              <w:top w:val="nil"/>
              <w:left w:val="nil"/>
              <w:bottom w:val="single" w:sz="8" w:space="0" w:color="auto"/>
              <w:right w:val="single" w:sz="8" w:space="0" w:color="auto"/>
            </w:tcBorders>
            <w:shd w:val="clear" w:color="auto" w:fill="auto"/>
            <w:noWrap/>
            <w:vAlign w:val="center"/>
            <w:hideMark/>
          </w:tcPr>
          <w:p w14:paraId="22E047B2"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Të moshuarit</w:t>
            </w:r>
          </w:p>
        </w:tc>
        <w:tc>
          <w:tcPr>
            <w:tcW w:w="379" w:type="pct"/>
            <w:tcBorders>
              <w:top w:val="nil"/>
              <w:left w:val="nil"/>
              <w:bottom w:val="single" w:sz="8" w:space="0" w:color="auto"/>
              <w:right w:val="single" w:sz="8" w:space="0" w:color="auto"/>
            </w:tcBorders>
            <w:shd w:val="clear" w:color="auto" w:fill="auto"/>
            <w:noWrap/>
            <w:vAlign w:val="center"/>
            <w:hideMark/>
          </w:tcPr>
          <w:p w14:paraId="112B4D89"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54A3A64"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4BAEDBF4"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0E390060"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3BD02975"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3BD34B64"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41B51B36"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FE5DF0F"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0AB4B4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3673639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03C17E2B"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3111DBF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Komuniteti rom</w:t>
            </w:r>
          </w:p>
        </w:tc>
        <w:tc>
          <w:tcPr>
            <w:tcW w:w="379" w:type="pct"/>
            <w:tcBorders>
              <w:top w:val="nil"/>
              <w:left w:val="nil"/>
              <w:bottom w:val="single" w:sz="8" w:space="0" w:color="auto"/>
              <w:right w:val="single" w:sz="8" w:space="0" w:color="auto"/>
            </w:tcBorders>
            <w:shd w:val="clear" w:color="auto" w:fill="auto"/>
            <w:noWrap/>
            <w:vAlign w:val="center"/>
            <w:hideMark/>
          </w:tcPr>
          <w:p w14:paraId="153049E1"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788F0A96"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22961222"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72425CB8"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76EBEBC9"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53C1826B"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0416DB54"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5BE1C660"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7F842FF5"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nil"/>
              <w:right w:val="single" w:sz="8" w:space="0" w:color="auto"/>
            </w:tcBorders>
            <w:shd w:val="clear" w:color="auto" w:fill="auto"/>
            <w:vAlign w:val="center"/>
            <w:hideMark/>
          </w:tcPr>
          <w:p w14:paraId="0D30B71A"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val="restart"/>
            <w:tcBorders>
              <w:top w:val="nil"/>
              <w:left w:val="nil"/>
              <w:bottom w:val="single" w:sz="8" w:space="0" w:color="000000"/>
              <w:right w:val="single" w:sz="8" w:space="0" w:color="auto"/>
            </w:tcBorders>
            <w:shd w:val="clear" w:color="auto" w:fill="auto"/>
            <w:noWrap/>
            <w:vAlign w:val="center"/>
            <w:hideMark/>
          </w:tcPr>
          <w:p w14:paraId="20ED25E8"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Informatorët kyç</w:t>
            </w:r>
          </w:p>
        </w:tc>
        <w:tc>
          <w:tcPr>
            <w:tcW w:w="748" w:type="pct"/>
            <w:tcBorders>
              <w:top w:val="nil"/>
              <w:left w:val="nil"/>
              <w:bottom w:val="single" w:sz="8" w:space="0" w:color="auto"/>
              <w:right w:val="single" w:sz="8" w:space="0" w:color="auto"/>
            </w:tcBorders>
            <w:shd w:val="clear" w:color="auto" w:fill="auto"/>
            <w:noWrap/>
            <w:vAlign w:val="center"/>
            <w:hideMark/>
          </w:tcPr>
          <w:p w14:paraId="44D3F75E"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Fermerë</w:t>
            </w:r>
          </w:p>
        </w:tc>
        <w:tc>
          <w:tcPr>
            <w:tcW w:w="379" w:type="pct"/>
            <w:tcBorders>
              <w:top w:val="nil"/>
              <w:left w:val="nil"/>
              <w:bottom w:val="single" w:sz="8" w:space="0" w:color="auto"/>
              <w:right w:val="single" w:sz="8" w:space="0" w:color="auto"/>
            </w:tcBorders>
            <w:shd w:val="clear" w:color="auto" w:fill="auto"/>
            <w:noWrap/>
            <w:vAlign w:val="center"/>
            <w:hideMark/>
          </w:tcPr>
          <w:p w14:paraId="12C5B2EF"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456E2FE0"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2F2F6EEE"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49BF7009"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5039DF5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573AC14F"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2BC0B37C" w14:textId="77777777" w:rsidTr="00083C46">
        <w:trPr>
          <w:cantSplit/>
          <w:trHeight w:val="315"/>
        </w:trPr>
        <w:tc>
          <w:tcPr>
            <w:tcW w:w="157" w:type="pct"/>
            <w:vMerge/>
            <w:tcBorders>
              <w:top w:val="nil"/>
              <w:left w:val="single" w:sz="8" w:space="0" w:color="auto"/>
              <w:bottom w:val="single" w:sz="8" w:space="0" w:color="auto"/>
              <w:right w:val="single" w:sz="8" w:space="0" w:color="auto"/>
            </w:tcBorders>
            <w:vAlign w:val="center"/>
            <w:hideMark/>
          </w:tcPr>
          <w:p w14:paraId="7BE8E101" w14:textId="77777777" w:rsidR="00990EE8" w:rsidRPr="00445472" w:rsidRDefault="00990EE8" w:rsidP="001D340B">
            <w:pPr>
              <w:spacing w:after="0" w:line="240" w:lineRule="auto"/>
              <w:rPr>
                <w:rFonts w:ascii="Garamond" w:hAnsi="Garamond"/>
                <w:b/>
                <w:bCs/>
                <w:sz w:val="16"/>
                <w:szCs w:val="16"/>
              </w:rPr>
            </w:pPr>
          </w:p>
        </w:tc>
        <w:tc>
          <w:tcPr>
            <w:tcW w:w="260" w:type="pct"/>
            <w:vMerge/>
            <w:tcBorders>
              <w:top w:val="nil"/>
              <w:left w:val="single" w:sz="8" w:space="0" w:color="auto"/>
              <w:bottom w:val="single" w:sz="8" w:space="0" w:color="auto"/>
              <w:right w:val="single" w:sz="8" w:space="0" w:color="auto"/>
            </w:tcBorders>
            <w:vAlign w:val="center"/>
            <w:hideMark/>
          </w:tcPr>
          <w:p w14:paraId="300CEC1C" w14:textId="77777777" w:rsidR="00990EE8" w:rsidRPr="00445472" w:rsidRDefault="00990EE8" w:rsidP="001D340B">
            <w:pPr>
              <w:spacing w:after="0" w:line="240" w:lineRule="auto"/>
              <w:rPr>
                <w:rFonts w:ascii="Garamond" w:hAnsi="Garamond"/>
                <w:b/>
                <w:bCs/>
                <w:sz w:val="16"/>
                <w:szCs w:val="16"/>
              </w:rPr>
            </w:pPr>
          </w:p>
        </w:tc>
        <w:tc>
          <w:tcPr>
            <w:tcW w:w="634" w:type="pct"/>
            <w:tcBorders>
              <w:top w:val="nil"/>
              <w:left w:val="nil"/>
              <w:bottom w:val="single" w:sz="8" w:space="0" w:color="auto"/>
              <w:right w:val="single" w:sz="8" w:space="0" w:color="auto"/>
            </w:tcBorders>
            <w:shd w:val="clear" w:color="auto" w:fill="auto"/>
            <w:vAlign w:val="center"/>
            <w:hideMark/>
          </w:tcPr>
          <w:p w14:paraId="7ACAB4AD"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582" w:type="pct"/>
            <w:vMerge/>
            <w:tcBorders>
              <w:top w:val="nil"/>
              <w:left w:val="nil"/>
              <w:bottom w:val="single" w:sz="8" w:space="0" w:color="000000"/>
              <w:right w:val="single" w:sz="8" w:space="0" w:color="auto"/>
            </w:tcBorders>
            <w:vAlign w:val="center"/>
            <w:hideMark/>
          </w:tcPr>
          <w:p w14:paraId="4D824E21" w14:textId="77777777" w:rsidR="00990EE8" w:rsidRPr="00445472" w:rsidRDefault="00990EE8" w:rsidP="001D340B">
            <w:pPr>
              <w:spacing w:after="0" w:line="240" w:lineRule="auto"/>
              <w:rPr>
                <w:rFonts w:ascii="Garamond" w:hAnsi="Garamond"/>
                <w:b/>
                <w:bCs/>
                <w:sz w:val="16"/>
                <w:szCs w:val="16"/>
              </w:rPr>
            </w:pPr>
          </w:p>
        </w:tc>
        <w:tc>
          <w:tcPr>
            <w:tcW w:w="748" w:type="pct"/>
            <w:tcBorders>
              <w:top w:val="nil"/>
              <w:left w:val="nil"/>
              <w:bottom w:val="single" w:sz="8" w:space="0" w:color="auto"/>
              <w:right w:val="single" w:sz="8" w:space="0" w:color="auto"/>
            </w:tcBorders>
            <w:shd w:val="clear" w:color="auto" w:fill="auto"/>
            <w:noWrap/>
            <w:vAlign w:val="center"/>
            <w:hideMark/>
          </w:tcPr>
          <w:p w14:paraId="1AFC1671"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Punonjësit e shëndetësisë</w:t>
            </w:r>
          </w:p>
        </w:tc>
        <w:tc>
          <w:tcPr>
            <w:tcW w:w="379" w:type="pct"/>
            <w:tcBorders>
              <w:top w:val="nil"/>
              <w:left w:val="nil"/>
              <w:bottom w:val="single" w:sz="8" w:space="0" w:color="auto"/>
              <w:right w:val="single" w:sz="8" w:space="0" w:color="auto"/>
            </w:tcBorders>
            <w:shd w:val="clear" w:color="auto" w:fill="auto"/>
            <w:noWrap/>
            <w:vAlign w:val="center"/>
            <w:hideMark/>
          </w:tcPr>
          <w:p w14:paraId="53F5A758"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1221C0F3"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33F3E5EC"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vMerge/>
            <w:tcBorders>
              <w:top w:val="nil"/>
              <w:left w:val="nil"/>
              <w:bottom w:val="nil"/>
              <w:right w:val="nil"/>
            </w:tcBorders>
            <w:vAlign w:val="center"/>
            <w:hideMark/>
          </w:tcPr>
          <w:p w14:paraId="2EC858B1" w14:textId="77777777" w:rsidR="00990EE8" w:rsidRPr="00445472" w:rsidRDefault="00990EE8" w:rsidP="001D340B">
            <w:pPr>
              <w:spacing w:after="0" w:line="240" w:lineRule="auto"/>
              <w:rPr>
                <w:rFonts w:ascii="Garamond" w:hAnsi="Garamond"/>
                <w:b/>
                <w:bCs/>
                <w:sz w:val="16"/>
                <w:szCs w:val="16"/>
              </w:rPr>
            </w:pPr>
          </w:p>
        </w:tc>
        <w:tc>
          <w:tcPr>
            <w:tcW w:w="179" w:type="pct"/>
            <w:tcBorders>
              <w:top w:val="nil"/>
              <w:left w:val="single" w:sz="8" w:space="0" w:color="auto"/>
              <w:bottom w:val="single" w:sz="8" w:space="0" w:color="auto"/>
              <w:right w:val="single" w:sz="8" w:space="0" w:color="auto"/>
            </w:tcBorders>
            <w:shd w:val="clear" w:color="auto" w:fill="auto"/>
            <w:noWrap/>
            <w:vAlign w:val="center"/>
            <w:hideMark/>
          </w:tcPr>
          <w:p w14:paraId="56FF3C7D"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18C07E79" w14:textId="77777777" w:rsidR="00990EE8" w:rsidRPr="00445472" w:rsidRDefault="00990EE8" w:rsidP="001D340B">
            <w:pPr>
              <w:spacing w:after="0" w:line="240" w:lineRule="auto"/>
              <w:jc w:val="center"/>
              <w:rPr>
                <w:rFonts w:ascii="Garamond" w:hAnsi="Garamond"/>
                <w:sz w:val="16"/>
                <w:szCs w:val="16"/>
              </w:rPr>
            </w:pPr>
          </w:p>
        </w:tc>
      </w:tr>
      <w:tr w:rsidR="00990EE8" w:rsidRPr="00445472" w14:paraId="51FC16F0" w14:textId="77777777" w:rsidTr="00083C46">
        <w:trPr>
          <w:cantSplit/>
          <w:trHeight w:val="690"/>
        </w:trPr>
        <w:tc>
          <w:tcPr>
            <w:tcW w:w="157" w:type="pct"/>
            <w:tcBorders>
              <w:top w:val="nil"/>
              <w:left w:val="single" w:sz="8" w:space="0" w:color="auto"/>
              <w:bottom w:val="single" w:sz="8" w:space="0" w:color="auto"/>
              <w:right w:val="single" w:sz="8" w:space="0" w:color="auto"/>
            </w:tcBorders>
            <w:shd w:val="clear" w:color="000000" w:fill="9BC2E6"/>
            <w:noWrap/>
            <w:vAlign w:val="center"/>
            <w:hideMark/>
          </w:tcPr>
          <w:p w14:paraId="1AB2797C"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5</w:t>
            </w:r>
          </w:p>
        </w:tc>
        <w:tc>
          <w:tcPr>
            <w:tcW w:w="260" w:type="pct"/>
            <w:tcBorders>
              <w:top w:val="nil"/>
              <w:left w:val="nil"/>
              <w:bottom w:val="single" w:sz="8" w:space="0" w:color="auto"/>
              <w:right w:val="single" w:sz="8" w:space="0" w:color="auto"/>
            </w:tcBorders>
            <w:shd w:val="clear" w:color="000000" w:fill="9BC2E6"/>
            <w:noWrap/>
            <w:textDirection w:val="btLr"/>
            <w:vAlign w:val="center"/>
            <w:hideMark/>
          </w:tcPr>
          <w:p w14:paraId="4BEB50EE"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Tirana</w:t>
            </w:r>
          </w:p>
        </w:tc>
        <w:tc>
          <w:tcPr>
            <w:tcW w:w="634" w:type="pct"/>
            <w:tcBorders>
              <w:top w:val="nil"/>
              <w:left w:val="nil"/>
              <w:bottom w:val="single" w:sz="8" w:space="0" w:color="auto"/>
              <w:right w:val="single" w:sz="8" w:space="0" w:color="000000"/>
            </w:tcBorders>
            <w:shd w:val="clear" w:color="auto" w:fill="auto"/>
            <w:noWrap/>
            <w:vAlign w:val="center"/>
            <w:hideMark/>
          </w:tcPr>
          <w:p w14:paraId="1D8C8DDC" w14:textId="77777777"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w:t>
            </w:r>
          </w:p>
        </w:tc>
        <w:tc>
          <w:tcPr>
            <w:tcW w:w="1330" w:type="pct"/>
            <w:gridSpan w:val="2"/>
            <w:tcBorders>
              <w:top w:val="single" w:sz="8" w:space="0" w:color="auto"/>
              <w:left w:val="nil"/>
              <w:bottom w:val="single" w:sz="8" w:space="0" w:color="auto"/>
              <w:right w:val="single" w:sz="8" w:space="0" w:color="000000"/>
            </w:tcBorders>
            <w:shd w:val="clear" w:color="auto" w:fill="auto"/>
            <w:noWrap/>
            <w:vAlign w:val="center"/>
            <w:hideMark/>
          </w:tcPr>
          <w:p w14:paraId="342AEAC4" w14:textId="5AAA8C1A" w:rsidR="00990EE8" w:rsidRPr="00445472" w:rsidRDefault="00990EE8" w:rsidP="001D340B">
            <w:pPr>
              <w:spacing w:after="0" w:line="240" w:lineRule="auto"/>
              <w:jc w:val="center"/>
              <w:rPr>
                <w:rFonts w:ascii="Garamond" w:hAnsi="Garamond"/>
                <w:b/>
                <w:bCs/>
                <w:sz w:val="16"/>
                <w:szCs w:val="16"/>
              </w:rPr>
            </w:pPr>
            <w:r w:rsidRPr="00445472">
              <w:rPr>
                <w:rFonts w:ascii="Garamond" w:hAnsi="Garamond"/>
                <w:b/>
                <w:bCs/>
                <w:sz w:val="16"/>
                <w:szCs w:val="16"/>
              </w:rPr>
              <w:t xml:space="preserve">OJQ-të dhe </w:t>
            </w:r>
            <w:r w:rsidR="00083C46" w:rsidRPr="00445472">
              <w:rPr>
                <w:rFonts w:ascii="Garamond" w:hAnsi="Garamond"/>
                <w:b/>
                <w:bCs/>
                <w:sz w:val="16"/>
                <w:szCs w:val="16"/>
              </w:rPr>
              <w:t>shoqatat</w:t>
            </w:r>
          </w:p>
        </w:tc>
        <w:tc>
          <w:tcPr>
            <w:tcW w:w="379" w:type="pct"/>
            <w:tcBorders>
              <w:top w:val="nil"/>
              <w:left w:val="nil"/>
              <w:bottom w:val="single" w:sz="8" w:space="0" w:color="auto"/>
              <w:right w:val="single" w:sz="8" w:space="0" w:color="auto"/>
            </w:tcBorders>
            <w:shd w:val="clear" w:color="auto" w:fill="auto"/>
            <w:noWrap/>
            <w:vAlign w:val="center"/>
            <w:hideMark/>
          </w:tcPr>
          <w:p w14:paraId="6D7D43BB"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525" w:type="pct"/>
            <w:tcBorders>
              <w:top w:val="nil"/>
              <w:left w:val="nil"/>
              <w:bottom w:val="single" w:sz="8" w:space="0" w:color="auto"/>
              <w:right w:val="single" w:sz="8" w:space="0" w:color="auto"/>
            </w:tcBorders>
            <w:shd w:val="clear" w:color="auto" w:fill="auto"/>
            <w:noWrap/>
            <w:vAlign w:val="center"/>
            <w:hideMark/>
          </w:tcPr>
          <w:p w14:paraId="799C57AA" w14:textId="77777777" w:rsidR="00990EE8" w:rsidRPr="00445472" w:rsidRDefault="00990EE8" w:rsidP="001D340B">
            <w:pPr>
              <w:spacing w:after="0" w:line="240" w:lineRule="auto"/>
              <w:rPr>
                <w:rFonts w:ascii="Garamond" w:hAnsi="Garamond"/>
              </w:rPr>
            </w:pPr>
            <w:r w:rsidRPr="00445472">
              <w:rPr>
                <w:rFonts w:ascii="Garamond" w:hAnsi="Garamond"/>
              </w:rPr>
              <w:t> </w:t>
            </w:r>
          </w:p>
        </w:tc>
        <w:tc>
          <w:tcPr>
            <w:tcW w:w="809" w:type="pct"/>
            <w:tcBorders>
              <w:top w:val="nil"/>
              <w:left w:val="nil"/>
              <w:bottom w:val="single" w:sz="8" w:space="0" w:color="auto"/>
              <w:right w:val="single" w:sz="8" w:space="0" w:color="auto"/>
            </w:tcBorders>
            <w:shd w:val="clear" w:color="auto" w:fill="auto"/>
            <w:noWrap/>
            <w:vAlign w:val="center"/>
            <w:hideMark/>
          </w:tcPr>
          <w:p w14:paraId="7DDC02F9" w14:textId="77777777" w:rsidR="00990EE8" w:rsidRPr="00445472" w:rsidRDefault="00990EE8" w:rsidP="001D340B">
            <w:pPr>
              <w:spacing w:after="0" w:line="240" w:lineRule="auto"/>
              <w:rPr>
                <w:rFonts w:ascii="Garamond" w:hAnsi="Garamond"/>
                <w:sz w:val="16"/>
                <w:szCs w:val="16"/>
              </w:rPr>
            </w:pPr>
            <w:r w:rsidRPr="00445472">
              <w:rPr>
                <w:rFonts w:ascii="Garamond" w:hAnsi="Garamond"/>
                <w:sz w:val="16"/>
                <w:szCs w:val="16"/>
              </w:rPr>
              <w:t> </w:t>
            </w:r>
          </w:p>
        </w:tc>
        <w:tc>
          <w:tcPr>
            <w:tcW w:w="375" w:type="pct"/>
            <w:tcBorders>
              <w:top w:val="single" w:sz="8" w:space="0" w:color="auto"/>
              <w:left w:val="nil"/>
              <w:bottom w:val="single" w:sz="8" w:space="0" w:color="auto"/>
              <w:right w:val="single" w:sz="8" w:space="0" w:color="auto"/>
            </w:tcBorders>
            <w:shd w:val="clear" w:color="000000" w:fill="9BC2E6"/>
            <w:noWrap/>
            <w:vAlign w:val="center"/>
            <w:hideMark/>
          </w:tcPr>
          <w:p w14:paraId="7C6B1226" w14:textId="77777777" w:rsidR="00990EE8" w:rsidRPr="00445472" w:rsidRDefault="00990EE8" w:rsidP="001D340B">
            <w:pPr>
              <w:spacing w:after="0" w:line="240" w:lineRule="auto"/>
              <w:jc w:val="center"/>
              <w:rPr>
                <w:rFonts w:ascii="Garamond" w:hAnsi="Garamond"/>
                <w:b/>
                <w:bCs/>
                <w:sz w:val="16"/>
                <w:szCs w:val="16"/>
              </w:rPr>
            </w:pPr>
          </w:p>
        </w:tc>
        <w:tc>
          <w:tcPr>
            <w:tcW w:w="179" w:type="pct"/>
            <w:tcBorders>
              <w:top w:val="nil"/>
              <w:left w:val="nil"/>
              <w:bottom w:val="single" w:sz="8" w:space="0" w:color="auto"/>
              <w:right w:val="single" w:sz="8" w:space="0" w:color="auto"/>
            </w:tcBorders>
            <w:shd w:val="clear" w:color="auto" w:fill="auto"/>
            <w:noWrap/>
            <w:vAlign w:val="center"/>
            <w:hideMark/>
          </w:tcPr>
          <w:p w14:paraId="32A43A36" w14:textId="77777777" w:rsidR="00990EE8" w:rsidRPr="00445472" w:rsidRDefault="00990EE8" w:rsidP="001D340B">
            <w:pPr>
              <w:spacing w:after="0" w:line="240" w:lineRule="auto"/>
              <w:jc w:val="center"/>
              <w:rPr>
                <w:rFonts w:ascii="Garamond" w:hAnsi="Garamond"/>
                <w:sz w:val="16"/>
                <w:szCs w:val="16"/>
              </w:rPr>
            </w:pPr>
            <w:r w:rsidRPr="00445472">
              <w:rPr>
                <w:rFonts w:ascii="Garamond" w:hAnsi="Garamond"/>
                <w:sz w:val="16"/>
                <w:szCs w:val="16"/>
              </w:rPr>
              <w:t> </w:t>
            </w:r>
          </w:p>
        </w:tc>
        <w:tc>
          <w:tcPr>
            <w:tcW w:w="352" w:type="pct"/>
            <w:tcBorders>
              <w:top w:val="nil"/>
              <w:left w:val="nil"/>
              <w:bottom w:val="single" w:sz="8" w:space="0" w:color="auto"/>
              <w:right w:val="single" w:sz="8" w:space="0" w:color="auto"/>
            </w:tcBorders>
            <w:shd w:val="clear" w:color="auto" w:fill="auto"/>
            <w:noWrap/>
            <w:vAlign w:val="center"/>
          </w:tcPr>
          <w:p w14:paraId="6159ED93" w14:textId="77777777" w:rsidR="00990EE8" w:rsidRPr="00445472" w:rsidRDefault="00990EE8" w:rsidP="001D340B">
            <w:pPr>
              <w:spacing w:after="0" w:line="240" w:lineRule="auto"/>
              <w:jc w:val="center"/>
              <w:rPr>
                <w:rFonts w:ascii="Garamond" w:hAnsi="Garamond"/>
                <w:sz w:val="16"/>
                <w:szCs w:val="16"/>
              </w:rPr>
            </w:pPr>
          </w:p>
        </w:tc>
      </w:tr>
    </w:tbl>
    <w:p w14:paraId="7ED03344" w14:textId="144BAF11" w:rsidR="00990EE8" w:rsidRPr="00445472" w:rsidRDefault="00990EE8">
      <w:pPr>
        <w:pStyle w:val="TEKSTIIII"/>
        <w:rPr>
          <w:sz w:val="20"/>
        </w:rPr>
      </w:pPr>
    </w:p>
    <w:p w14:paraId="6A66D988" w14:textId="77777777" w:rsidR="00990EE8" w:rsidRPr="00445472" w:rsidRDefault="00990EE8">
      <w:pPr>
        <w:pStyle w:val="TEKSTIIII"/>
        <w:rPr>
          <w:sz w:val="20"/>
        </w:rPr>
      </w:pPr>
    </w:p>
    <w:p w14:paraId="04066ADB" w14:textId="77777777" w:rsidR="00990EE8" w:rsidRPr="00445472" w:rsidRDefault="00990EE8">
      <w:pPr>
        <w:pStyle w:val="TEKSTIIII"/>
        <w:rPr>
          <w:sz w:val="20"/>
        </w:rPr>
        <w:sectPr w:rsidR="00990EE8" w:rsidRPr="00445472" w:rsidSect="00990EE8">
          <w:pgSz w:w="16839" w:h="11907" w:orient="landscape" w:code="9"/>
          <w:pgMar w:top="1418" w:right="1418" w:bottom="1418" w:left="1418" w:header="1304" w:footer="1134" w:gutter="0"/>
          <w:cols w:space="720"/>
          <w:docGrid w:linePitch="360"/>
        </w:sectPr>
      </w:pPr>
    </w:p>
    <w:p w14:paraId="053E0C35" w14:textId="445F4E6D" w:rsidR="00990EE8" w:rsidRPr="00445472" w:rsidRDefault="00990EE8" w:rsidP="00990EE8">
      <w:pPr>
        <w:pStyle w:val="NENTITULL"/>
      </w:pPr>
      <w:bookmarkStart w:id="366" w:name="_Toc11068918"/>
      <w:r w:rsidRPr="00445472">
        <w:t>5.10</w:t>
      </w:r>
      <w:r w:rsidRPr="00445472">
        <w:rPr>
          <w:rFonts w:cs="Times New Roman"/>
          <w:sz w:val="20"/>
          <w:szCs w:val="20"/>
        </w:rPr>
        <w:t xml:space="preserve"> </w:t>
      </w:r>
      <w:r w:rsidRPr="00445472">
        <w:t xml:space="preserve">Ndihma e angazhimit të grupeve të </w:t>
      </w:r>
      <w:bookmarkEnd w:id="366"/>
      <w:r w:rsidR="00083C46" w:rsidRPr="00445472">
        <w:t>interesit</w:t>
      </w:r>
    </w:p>
    <w:p w14:paraId="38670D05" w14:textId="77777777" w:rsidR="00990EE8" w:rsidRPr="00445472" w:rsidRDefault="00990EE8" w:rsidP="00990EE8">
      <w:pPr>
        <w:pStyle w:val="TEKSTIIII"/>
        <w:ind w:firstLine="0"/>
        <w:rPr>
          <w:rFonts w:cs="Arial"/>
          <w:b/>
        </w:rPr>
      </w:pPr>
    </w:p>
    <w:p w14:paraId="646B4265" w14:textId="77777777" w:rsidR="00990EE8" w:rsidRPr="00445472" w:rsidRDefault="00990EE8" w:rsidP="00990EE8">
      <w:pPr>
        <w:pStyle w:val="TEKSTIIII"/>
        <w:ind w:firstLine="0"/>
        <w:jc w:val="center"/>
        <w:rPr>
          <w:b/>
        </w:rPr>
      </w:pPr>
      <w:r w:rsidRPr="00445472">
        <w:rPr>
          <w:b/>
        </w:rPr>
        <w:t>Pyetësori për pjesëmarrësit</w:t>
      </w:r>
    </w:p>
    <w:p w14:paraId="01DF04C5" w14:textId="77777777" w:rsidR="00990EE8" w:rsidRPr="00445472" w:rsidRDefault="00990EE8" w:rsidP="00990EE8">
      <w:pPr>
        <w:pStyle w:val="TEKSTIIII"/>
        <w:ind w:firstLine="0"/>
        <w:rPr>
          <w:b/>
        </w:rPr>
      </w:pPr>
      <w:r w:rsidRPr="00445472">
        <w:rPr>
          <w:b/>
        </w:rPr>
        <w:t>Vendi i mbledhjes: ………………………………………….</w:t>
      </w:r>
    </w:p>
    <w:p w14:paraId="63C6B881" w14:textId="77777777" w:rsidR="00990EE8" w:rsidRPr="00445472" w:rsidRDefault="00990EE8" w:rsidP="00990EE8">
      <w:pPr>
        <w:pStyle w:val="TEKSTIIII"/>
        <w:ind w:firstLine="0"/>
        <w:rPr>
          <w:b/>
        </w:rPr>
      </w:pPr>
      <w:r w:rsidRPr="00445472">
        <w:rPr>
          <w:b/>
        </w:rPr>
        <w:t>Data e mbledhjes: ……………………………………………</w:t>
      </w:r>
    </w:p>
    <w:p w14:paraId="42469CD3" w14:textId="77777777" w:rsidR="00990EE8" w:rsidRPr="00445472" w:rsidRDefault="00990EE8" w:rsidP="00990EE8">
      <w:pPr>
        <w:pStyle w:val="TEKSTIIII"/>
        <w:ind w:firstLine="0"/>
        <w:rPr>
          <w:b/>
        </w:rPr>
      </w:pPr>
    </w:p>
    <w:tbl>
      <w:tblPr>
        <w:tblpPr w:leftFromText="180" w:rightFromText="180" w:bottomFromText="200" w:vertAnchor="text" w:tblpX="56" w:tblpY="1"/>
        <w:tblOverlap w:val="never"/>
        <w:tblW w:w="9292" w:type="dxa"/>
        <w:tblLayout w:type="fixed"/>
        <w:tblCellMar>
          <w:left w:w="56" w:type="dxa"/>
          <w:right w:w="56" w:type="dxa"/>
        </w:tblCellMar>
        <w:tblLook w:val="04A0" w:firstRow="1" w:lastRow="0" w:firstColumn="1" w:lastColumn="0" w:noHBand="0" w:noVBand="1"/>
      </w:tblPr>
      <w:tblGrid>
        <w:gridCol w:w="6396"/>
        <w:gridCol w:w="965"/>
        <w:gridCol w:w="643"/>
        <w:gridCol w:w="327"/>
        <w:gridCol w:w="961"/>
      </w:tblGrid>
      <w:tr w:rsidR="00990EE8" w:rsidRPr="00445472" w14:paraId="6898B591" w14:textId="77777777" w:rsidTr="001D340B">
        <w:trPr>
          <w:cantSplit/>
          <w:trHeight w:val="246"/>
        </w:trPr>
        <w:tc>
          <w:tcPr>
            <w:tcW w:w="3442" w:type="pct"/>
            <w:tcBorders>
              <w:top w:val="single" w:sz="12" w:space="0" w:color="auto"/>
              <w:left w:val="nil"/>
              <w:bottom w:val="single" w:sz="12" w:space="0" w:color="auto"/>
              <w:right w:val="nil"/>
            </w:tcBorders>
            <w:vAlign w:val="center"/>
          </w:tcPr>
          <w:p w14:paraId="59A11CE2" w14:textId="77777777" w:rsidR="00990EE8" w:rsidRPr="00445472" w:rsidRDefault="00990EE8" w:rsidP="00990EE8">
            <w:pPr>
              <w:pStyle w:val="TEKSTIIII"/>
              <w:ind w:firstLine="0"/>
              <w:rPr>
                <w:sz w:val="20"/>
                <w:szCs w:val="20"/>
              </w:rPr>
            </w:pPr>
            <w:r w:rsidRPr="00445472">
              <w:rPr>
                <w:sz w:val="20"/>
                <w:szCs w:val="20"/>
              </w:rPr>
              <w:t>Në përgjithësi, a ishte i përshtatshëm procesi i mbledhjes së komenteve nga ana juaj në këtë fazë të projektit?</w:t>
            </w:r>
          </w:p>
        </w:tc>
        <w:tc>
          <w:tcPr>
            <w:tcW w:w="865" w:type="pct"/>
            <w:gridSpan w:val="2"/>
            <w:tcBorders>
              <w:top w:val="single" w:sz="12" w:space="0" w:color="auto"/>
              <w:left w:val="nil"/>
              <w:bottom w:val="single" w:sz="12" w:space="0" w:color="auto"/>
              <w:right w:val="nil"/>
            </w:tcBorders>
            <w:vAlign w:val="center"/>
            <w:hideMark/>
          </w:tcPr>
          <w:p w14:paraId="14DDE9CA" w14:textId="77777777" w:rsidR="00990EE8" w:rsidRPr="00445472" w:rsidRDefault="00990EE8" w:rsidP="00990EE8">
            <w:pPr>
              <w:pStyle w:val="TEKSTIIII"/>
              <w:ind w:firstLine="0"/>
              <w:rPr>
                <w:sz w:val="20"/>
                <w:szCs w:val="20"/>
              </w:rPr>
            </w:pPr>
            <w:r w:rsidRPr="00445472">
              <w:rPr>
                <w:sz w:val="20"/>
                <w:szCs w:val="20"/>
              </w:rPr>
              <w:t>PO</w:t>
            </w:r>
          </w:p>
        </w:tc>
        <w:tc>
          <w:tcPr>
            <w:tcW w:w="693" w:type="pct"/>
            <w:gridSpan w:val="2"/>
            <w:tcBorders>
              <w:top w:val="single" w:sz="12" w:space="0" w:color="auto"/>
              <w:left w:val="nil"/>
              <w:bottom w:val="single" w:sz="12" w:space="0" w:color="auto"/>
              <w:right w:val="nil"/>
            </w:tcBorders>
            <w:vAlign w:val="center"/>
            <w:hideMark/>
          </w:tcPr>
          <w:p w14:paraId="205E9C23" w14:textId="77777777" w:rsidR="00990EE8" w:rsidRPr="00445472" w:rsidRDefault="00990EE8" w:rsidP="00990EE8">
            <w:pPr>
              <w:pStyle w:val="TEKSTIIII"/>
              <w:ind w:firstLine="0"/>
              <w:rPr>
                <w:sz w:val="20"/>
                <w:szCs w:val="20"/>
              </w:rPr>
            </w:pPr>
            <w:r w:rsidRPr="00445472">
              <w:rPr>
                <w:sz w:val="20"/>
                <w:szCs w:val="20"/>
              </w:rPr>
              <w:t>JO</w:t>
            </w:r>
          </w:p>
        </w:tc>
      </w:tr>
      <w:tr w:rsidR="00990EE8" w:rsidRPr="00445472" w14:paraId="7739A6D3" w14:textId="77777777" w:rsidTr="001D340B">
        <w:trPr>
          <w:cantSplit/>
          <w:trHeight w:val="246"/>
          <w:tblHeader/>
        </w:trPr>
        <w:tc>
          <w:tcPr>
            <w:tcW w:w="3442" w:type="pct"/>
            <w:tcBorders>
              <w:top w:val="single" w:sz="12" w:space="0" w:color="auto"/>
              <w:left w:val="nil"/>
              <w:bottom w:val="single" w:sz="4" w:space="0" w:color="auto"/>
              <w:right w:val="nil"/>
            </w:tcBorders>
            <w:vAlign w:val="center"/>
            <w:hideMark/>
          </w:tcPr>
          <w:p w14:paraId="457A671F" w14:textId="77777777" w:rsidR="00990EE8" w:rsidRPr="00445472" w:rsidRDefault="00990EE8" w:rsidP="00990EE8">
            <w:pPr>
              <w:pStyle w:val="TEKSTIIII"/>
              <w:ind w:firstLine="0"/>
              <w:rPr>
                <w:sz w:val="20"/>
                <w:szCs w:val="20"/>
              </w:rPr>
            </w:pPr>
            <w:r w:rsidRPr="00445472">
              <w:rPr>
                <w:sz w:val="20"/>
                <w:szCs w:val="20"/>
              </w:rPr>
              <w:t>Në veçanti:</w:t>
            </w:r>
          </w:p>
        </w:tc>
        <w:tc>
          <w:tcPr>
            <w:tcW w:w="865" w:type="pct"/>
            <w:gridSpan w:val="2"/>
            <w:tcBorders>
              <w:top w:val="single" w:sz="12" w:space="0" w:color="auto"/>
              <w:left w:val="nil"/>
              <w:bottom w:val="single" w:sz="4" w:space="0" w:color="auto"/>
              <w:right w:val="nil"/>
            </w:tcBorders>
            <w:vAlign w:val="center"/>
          </w:tcPr>
          <w:p w14:paraId="03D2FC3D" w14:textId="77777777" w:rsidR="00990EE8" w:rsidRPr="00445472" w:rsidRDefault="00990EE8" w:rsidP="00990EE8">
            <w:pPr>
              <w:pStyle w:val="TEKSTIIII"/>
              <w:ind w:firstLine="0"/>
              <w:rPr>
                <w:sz w:val="20"/>
                <w:szCs w:val="20"/>
              </w:rPr>
            </w:pPr>
          </w:p>
        </w:tc>
        <w:tc>
          <w:tcPr>
            <w:tcW w:w="693" w:type="pct"/>
            <w:gridSpan w:val="2"/>
            <w:tcBorders>
              <w:top w:val="single" w:sz="12" w:space="0" w:color="auto"/>
              <w:left w:val="nil"/>
              <w:bottom w:val="single" w:sz="4" w:space="0" w:color="auto"/>
              <w:right w:val="nil"/>
            </w:tcBorders>
            <w:vAlign w:val="center"/>
          </w:tcPr>
          <w:p w14:paraId="502359D2" w14:textId="77777777" w:rsidR="00990EE8" w:rsidRPr="00445472" w:rsidRDefault="00990EE8" w:rsidP="00990EE8">
            <w:pPr>
              <w:pStyle w:val="TEKSTIIII"/>
              <w:ind w:firstLine="0"/>
              <w:rPr>
                <w:sz w:val="20"/>
                <w:szCs w:val="20"/>
              </w:rPr>
            </w:pPr>
          </w:p>
        </w:tc>
      </w:tr>
      <w:tr w:rsidR="00990EE8" w:rsidRPr="00445472" w14:paraId="612BE960" w14:textId="77777777" w:rsidTr="001D340B">
        <w:trPr>
          <w:cantSplit/>
          <w:trHeight w:val="246"/>
          <w:tblHeader/>
        </w:trPr>
        <w:tc>
          <w:tcPr>
            <w:tcW w:w="3442" w:type="pct"/>
            <w:tcBorders>
              <w:top w:val="single" w:sz="4" w:space="0" w:color="auto"/>
              <w:left w:val="nil"/>
              <w:bottom w:val="single" w:sz="6" w:space="0" w:color="auto"/>
              <w:right w:val="nil"/>
            </w:tcBorders>
            <w:vAlign w:val="center"/>
          </w:tcPr>
          <w:p w14:paraId="79C1EF2D" w14:textId="77777777" w:rsidR="00990EE8" w:rsidRPr="00445472" w:rsidRDefault="00990EE8" w:rsidP="00990EE8">
            <w:pPr>
              <w:pStyle w:val="TEKSTIIII"/>
              <w:ind w:firstLine="0"/>
              <w:rPr>
                <w:sz w:val="20"/>
                <w:szCs w:val="20"/>
              </w:rPr>
            </w:pPr>
            <w:r w:rsidRPr="00445472">
              <w:rPr>
                <w:sz w:val="20"/>
                <w:szCs w:val="20"/>
              </w:rPr>
              <w:t>A ishte i mjaftueshëm informacioni që ju është dhënë përpara dhe gjatë mbledhjes për të dhënë komentet tuaja?</w:t>
            </w:r>
          </w:p>
        </w:tc>
        <w:tc>
          <w:tcPr>
            <w:tcW w:w="519" w:type="pct"/>
            <w:tcBorders>
              <w:top w:val="single" w:sz="4" w:space="0" w:color="auto"/>
              <w:left w:val="nil"/>
              <w:bottom w:val="single" w:sz="6" w:space="0" w:color="auto"/>
              <w:right w:val="nil"/>
            </w:tcBorders>
            <w:vAlign w:val="center"/>
            <w:hideMark/>
          </w:tcPr>
          <w:p w14:paraId="20017B60" w14:textId="77777777" w:rsidR="00990EE8" w:rsidRPr="00445472" w:rsidRDefault="00990EE8" w:rsidP="00990EE8">
            <w:pPr>
              <w:pStyle w:val="TEKSTIIII"/>
              <w:ind w:firstLine="0"/>
              <w:jc w:val="center"/>
              <w:rPr>
                <w:sz w:val="20"/>
                <w:szCs w:val="20"/>
              </w:rPr>
            </w:pPr>
            <w:r w:rsidRPr="00445472">
              <w:rPr>
                <w:sz w:val="20"/>
                <w:szCs w:val="20"/>
              </w:rPr>
              <w:t>Kryesisht i plotë</w:t>
            </w:r>
          </w:p>
        </w:tc>
        <w:tc>
          <w:tcPr>
            <w:tcW w:w="522" w:type="pct"/>
            <w:gridSpan w:val="2"/>
            <w:tcBorders>
              <w:top w:val="single" w:sz="4" w:space="0" w:color="auto"/>
              <w:left w:val="nil"/>
              <w:bottom w:val="single" w:sz="6" w:space="0" w:color="auto"/>
              <w:right w:val="nil"/>
            </w:tcBorders>
            <w:vAlign w:val="center"/>
            <w:hideMark/>
          </w:tcPr>
          <w:p w14:paraId="73E6C63F" w14:textId="77777777" w:rsidR="00990EE8" w:rsidRPr="00445472" w:rsidRDefault="00990EE8" w:rsidP="00990EE8">
            <w:pPr>
              <w:pStyle w:val="TEKSTIIII"/>
              <w:ind w:firstLine="0"/>
              <w:jc w:val="center"/>
              <w:rPr>
                <w:sz w:val="20"/>
                <w:szCs w:val="20"/>
              </w:rPr>
            </w:pPr>
            <w:r w:rsidRPr="00445472">
              <w:rPr>
                <w:sz w:val="20"/>
                <w:szCs w:val="20"/>
              </w:rPr>
              <w:t>I plotë</w:t>
            </w:r>
          </w:p>
        </w:tc>
        <w:tc>
          <w:tcPr>
            <w:tcW w:w="517" w:type="pct"/>
            <w:tcBorders>
              <w:top w:val="single" w:sz="4" w:space="0" w:color="auto"/>
              <w:left w:val="nil"/>
              <w:bottom w:val="single" w:sz="6" w:space="0" w:color="auto"/>
              <w:right w:val="nil"/>
            </w:tcBorders>
            <w:vAlign w:val="center"/>
            <w:hideMark/>
          </w:tcPr>
          <w:p w14:paraId="77505DD0" w14:textId="77777777" w:rsidR="00990EE8" w:rsidRPr="00445472" w:rsidRDefault="00990EE8" w:rsidP="00990EE8">
            <w:pPr>
              <w:pStyle w:val="TEKSTIIII"/>
              <w:ind w:firstLine="0"/>
              <w:jc w:val="center"/>
              <w:rPr>
                <w:sz w:val="20"/>
                <w:szCs w:val="20"/>
              </w:rPr>
            </w:pPr>
            <w:r w:rsidRPr="00445472">
              <w:rPr>
                <w:sz w:val="20"/>
                <w:szCs w:val="20"/>
              </w:rPr>
              <w:t>Jo i plotë</w:t>
            </w:r>
          </w:p>
        </w:tc>
      </w:tr>
      <w:tr w:rsidR="00990EE8" w:rsidRPr="00445472" w14:paraId="13042E93" w14:textId="77777777" w:rsidTr="001D340B">
        <w:trPr>
          <w:cantSplit/>
          <w:trHeight w:val="246"/>
        </w:trPr>
        <w:tc>
          <w:tcPr>
            <w:tcW w:w="3442" w:type="pct"/>
            <w:tcBorders>
              <w:top w:val="single" w:sz="2" w:space="0" w:color="auto"/>
              <w:left w:val="nil"/>
              <w:bottom w:val="single" w:sz="2" w:space="0" w:color="auto"/>
              <w:right w:val="nil"/>
            </w:tcBorders>
            <w:vAlign w:val="center"/>
            <w:hideMark/>
          </w:tcPr>
          <w:p w14:paraId="6CA4E89B" w14:textId="77777777" w:rsidR="00990EE8" w:rsidRPr="00445472" w:rsidRDefault="00990EE8" w:rsidP="00990EE8">
            <w:pPr>
              <w:pStyle w:val="TEKSTIIII"/>
              <w:ind w:firstLine="0"/>
              <w:rPr>
                <w:sz w:val="20"/>
                <w:szCs w:val="20"/>
              </w:rPr>
            </w:pPr>
            <w:r w:rsidRPr="00445472">
              <w:rPr>
                <w:sz w:val="20"/>
                <w:szCs w:val="20"/>
              </w:rPr>
              <w:t>A ishte i paraqitur në mënyrë të qartë dhe të kuptueshme informacioni që ju është dhënë përpara dhe gjatë mbledhjes?</w:t>
            </w:r>
          </w:p>
        </w:tc>
        <w:tc>
          <w:tcPr>
            <w:tcW w:w="865" w:type="pct"/>
            <w:gridSpan w:val="2"/>
            <w:tcBorders>
              <w:top w:val="single" w:sz="2" w:space="0" w:color="auto"/>
              <w:left w:val="nil"/>
              <w:bottom w:val="single" w:sz="2" w:space="0" w:color="auto"/>
              <w:right w:val="nil"/>
            </w:tcBorders>
            <w:vAlign w:val="center"/>
            <w:hideMark/>
          </w:tcPr>
          <w:p w14:paraId="0D7C6F42" w14:textId="77777777" w:rsidR="00990EE8" w:rsidRPr="00445472" w:rsidRDefault="00990EE8" w:rsidP="00990EE8">
            <w:pPr>
              <w:pStyle w:val="TEKSTIIII"/>
              <w:ind w:firstLine="0"/>
              <w:rPr>
                <w:sz w:val="20"/>
                <w:szCs w:val="20"/>
              </w:rPr>
            </w:pPr>
            <w:r w:rsidRPr="00445472">
              <w:rPr>
                <w:sz w:val="20"/>
                <w:szCs w:val="20"/>
              </w:rPr>
              <w:t>PO</w:t>
            </w:r>
          </w:p>
        </w:tc>
        <w:tc>
          <w:tcPr>
            <w:tcW w:w="693" w:type="pct"/>
            <w:gridSpan w:val="2"/>
            <w:tcBorders>
              <w:top w:val="single" w:sz="2" w:space="0" w:color="auto"/>
              <w:left w:val="nil"/>
              <w:bottom w:val="single" w:sz="2" w:space="0" w:color="auto"/>
              <w:right w:val="nil"/>
            </w:tcBorders>
            <w:vAlign w:val="center"/>
            <w:hideMark/>
          </w:tcPr>
          <w:p w14:paraId="79C4EEA5" w14:textId="77777777" w:rsidR="00990EE8" w:rsidRPr="00445472" w:rsidRDefault="00990EE8" w:rsidP="00990EE8">
            <w:pPr>
              <w:pStyle w:val="TEKSTIIII"/>
              <w:ind w:firstLine="0"/>
              <w:rPr>
                <w:sz w:val="20"/>
                <w:szCs w:val="20"/>
              </w:rPr>
            </w:pPr>
            <w:r w:rsidRPr="00445472">
              <w:rPr>
                <w:sz w:val="20"/>
                <w:szCs w:val="20"/>
              </w:rPr>
              <w:t>JO</w:t>
            </w:r>
          </w:p>
        </w:tc>
      </w:tr>
      <w:tr w:rsidR="00990EE8" w:rsidRPr="00445472" w14:paraId="469EC4E8" w14:textId="77777777" w:rsidTr="001D340B">
        <w:trPr>
          <w:cantSplit/>
          <w:trHeight w:val="246"/>
        </w:trPr>
        <w:tc>
          <w:tcPr>
            <w:tcW w:w="3442" w:type="pct"/>
            <w:tcBorders>
              <w:top w:val="single" w:sz="2" w:space="0" w:color="auto"/>
              <w:left w:val="nil"/>
              <w:bottom w:val="single" w:sz="2" w:space="0" w:color="auto"/>
              <w:right w:val="nil"/>
            </w:tcBorders>
            <w:vAlign w:val="center"/>
          </w:tcPr>
          <w:p w14:paraId="227B6FFB" w14:textId="77777777" w:rsidR="00990EE8" w:rsidRPr="00445472" w:rsidRDefault="00990EE8" w:rsidP="00990EE8">
            <w:pPr>
              <w:pStyle w:val="TEKSTIIII"/>
              <w:ind w:firstLine="0"/>
              <w:rPr>
                <w:sz w:val="20"/>
                <w:szCs w:val="20"/>
              </w:rPr>
            </w:pPr>
            <w:r w:rsidRPr="00445472">
              <w:rPr>
                <w:sz w:val="20"/>
                <w:szCs w:val="20"/>
              </w:rPr>
              <w:t>A kishit mundësi të bënit komente gjatë mbledhjes dhe në përgjithësi?</w:t>
            </w:r>
          </w:p>
          <w:p w14:paraId="7483BAF6" w14:textId="77777777" w:rsidR="00990EE8" w:rsidRPr="00445472" w:rsidRDefault="00990EE8" w:rsidP="00990EE8">
            <w:pPr>
              <w:pStyle w:val="TEKSTIIII"/>
              <w:ind w:firstLine="0"/>
              <w:rPr>
                <w:sz w:val="20"/>
                <w:szCs w:val="20"/>
              </w:rPr>
            </w:pPr>
          </w:p>
        </w:tc>
        <w:tc>
          <w:tcPr>
            <w:tcW w:w="865" w:type="pct"/>
            <w:gridSpan w:val="2"/>
            <w:tcBorders>
              <w:top w:val="single" w:sz="2" w:space="0" w:color="auto"/>
              <w:left w:val="nil"/>
              <w:bottom w:val="single" w:sz="2" w:space="0" w:color="auto"/>
              <w:right w:val="nil"/>
            </w:tcBorders>
            <w:vAlign w:val="center"/>
            <w:hideMark/>
          </w:tcPr>
          <w:p w14:paraId="7CA853D8" w14:textId="77777777" w:rsidR="00990EE8" w:rsidRPr="00445472" w:rsidRDefault="00990EE8" w:rsidP="00990EE8">
            <w:pPr>
              <w:pStyle w:val="TEKSTIIII"/>
              <w:ind w:firstLine="0"/>
              <w:rPr>
                <w:sz w:val="20"/>
                <w:szCs w:val="20"/>
              </w:rPr>
            </w:pPr>
            <w:r w:rsidRPr="00445472">
              <w:rPr>
                <w:sz w:val="20"/>
                <w:szCs w:val="20"/>
              </w:rPr>
              <w:t>PO</w:t>
            </w:r>
          </w:p>
        </w:tc>
        <w:tc>
          <w:tcPr>
            <w:tcW w:w="693" w:type="pct"/>
            <w:gridSpan w:val="2"/>
            <w:tcBorders>
              <w:top w:val="single" w:sz="2" w:space="0" w:color="auto"/>
              <w:left w:val="nil"/>
              <w:bottom w:val="single" w:sz="2" w:space="0" w:color="auto"/>
              <w:right w:val="nil"/>
            </w:tcBorders>
            <w:vAlign w:val="center"/>
            <w:hideMark/>
          </w:tcPr>
          <w:p w14:paraId="60A575A2" w14:textId="77777777" w:rsidR="00990EE8" w:rsidRPr="00445472" w:rsidRDefault="00990EE8" w:rsidP="00990EE8">
            <w:pPr>
              <w:pStyle w:val="TEKSTIIII"/>
              <w:ind w:firstLine="0"/>
              <w:rPr>
                <w:sz w:val="20"/>
                <w:szCs w:val="20"/>
              </w:rPr>
            </w:pPr>
            <w:r w:rsidRPr="00445472">
              <w:rPr>
                <w:sz w:val="20"/>
                <w:szCs w:val="20"/>
              </w:rPr>
              <w:t>JO</w:t>
            </w:r>
          </w:p>
        </w:tc>
      </w:tr>
      <w:tr w:rsidR="00990EE8" w:rsidRPr="00445472" w14:paraId="000837A4" w14:textId="77777777" w:rsidTr="001D340B">
        <w:trPr>
          <w:cantSplit/>
          <w:trHeight w:val="246"/>
        </w:trPr>
        <w:tc>
          <w:tcPr>
            <w:tcW w:w="3442" w:type="pct"/>
            <w:tcBorders>
              <w:top w:val="single" w:sz="2" w:space="0" w:color="auto"/>
              <w:left w:val="nil"/>
              <w:bottom w:val="single" w:sz="2" w:space="0" w:color="auto"/>
              <w:right w:val="nil"/>
            </w:tcBorders>
            <w:vAlign w:val="center"/>
          </w:tcPr>
          <w:p w14:paraId="53F4D830" w14:textId="77777777" w:rsidR="00990EE8" w:rsidRPr="00445472" w:rsidRDefault="00990EE8" w:rsidP="00990EE8">
            <w:pPr>
              <w:pStyle w:val="TEKSTIIII"/>
              <w:ind w:firstLine="0"/>
              <w:rPr>
                <w:sz w:val="20"/>
                <w:szCs w:val="20"/>
              </w:rPr>
            </w:pPr>
            <w:r w:rsidRPr="00445472">
              <w:rPr>
                <w:sz w:val="20"/>
                <w:szCs w:val="20"/>
              </w:rPr>
              <w:t>A ishte e organizuar mbledhja në mënyrë që të kishit mundësi të merrnit pjesë dhe të bënit me lehtësisht komentet tuaja?</w:t>
            </w:r>
          </w:p>
          <w:p w14:paraId="73169675" w14:textId="77777777" w:rsidR="00990EE8" w:rsidRPr="00445472" w:rsidRDefault="00990EE8" w:rsidP="00990EE8">
            <w:pPr>
              <w:pStyle w:val="TEKSTIIII"/>
              <w:ind w:firstLine="0"/>
              <w:rPr>
                <w:sz w:val="20"/>
                <w:szCs w:val="20"/>
              </w:rPr>
            </w:pPr>
          </w:p>
        </w:tc>
        <w:tc>
          <w:tcPr>
            <w:tcW w:w="865" w:type="pct"/>
            <w:gridSpan w:val="2"/>
            <w:tcBorders>
              <w:top w:val="single" w:sz="2" w:space="0" w:color="auto"/>
              <w:left w:val="nil"/>
              <w:bottom w:val="single" w:sz="2" w:space="0" w:color="auto"/>
              <w:right w:val="nil"/>
            </w:tcBorders>
            <w:vAlign w:val="center"/>
            <w:hideMark/>
          </w:tcPr>
          <w:p w14:paraId="4496EB5C" w14:textId="77777777" w:rsidR="00990EE8" w:rsidRPr="00445472" w:rsidRDefault="00990EE8" w:rsidP="00990EE8">
            <w:pPr>
              <w:pStyle w:val="TEKSTIIII"/>
              <w:ind w:firstLine="0"/>
              <w:rPr>
                <w:sz w:val="20"/>
                <w:szCs w:val="20"/>
              </w:rPr>
            </w:pPr>
            <w:r w:rsidRPr="00445472">
              <w:rPr>
                <w:sz w:val="20"/>
                <w:szCs w:val="20"/>
              </w:rPr>
              <w:t>PO</w:t>
            </w:r>
          </w:p>
        </w:tc>
        <w:tc>
          <w:tcPr>
            <w:tcW w:w="693" w:type="pct"/>
            <w:gridSpan w:val="2"/>
            <w:tcBorders>
              <w:top w:val="single" w:sz="2" w:space="0" w:color="auto"/>
              <w:left w:val="nil"/>
              <w:bottom w:val="single" w:sz="2" w:space="0" w:color="auto"/>
              <w:right w:val="nil"/>
            </w:tcBorders>
            <w:vAlign w:val="center"/>
            <w:hideMark/>
          </w:tcPr>
          <w:p w14:paraId="6CCFEEC7" w14:textId="77777777" w:rsidR="00990EE8" w:rsidRPr="00445472" w:rsidRDefault="00990EE8" w:rsidP="00990EE8">
            <w:pPr>
              <w:pStyle w:val="TEKSTIIII"/>
              <w:ind w:firstLine="0"/>
              <w:rPr>
                <w:sz w:val="20"/>
                <w:szCs w:val="20"/>
              </w:rPr>
            </w:pPr>
            <w:r w:rsidRPr="00445472">
              <w:rPr>
                <w:sz w:val="20"/>
                <w:szCs w:val="20"/>
              </w:rPr>
              <w:t>JO</w:t>
            </w:r>
          </w:p>
        </w:tc>
      </w:tr>
      <w:tr w:rsidR="00990EE8" w:rsidRPr="00445472" w14:paraId="68E91639" w14:textId="77777777" w:rsidTr="001D340B">
        <w:trPr>
          <w:cantSplit/>
          <w:trHeight w:val="246"/>
        </w:trPr>
        <w:tc>
          <w:tcPr>
            <w:tcW w:w="3442" w:type="pct"/>
            <w:tcBorders>
              <w:top w:val="single" w:sz="2" w:space="0" w:color="auto"/>
              <w:left w:val="nil"/>
              <w:bottom w:val="single" w:sz="2" w:space="0" w:color="auto"/>
              <w:right w:val="nil"/>
            </w:tcBorders>
            <w:vAlign w:val="center"/>
          </w:tcPr>
          <w:p w14:paraId="564B3F0E" w14:textId="77777777" w:rsidR="00990EE8" w:rsidRPr="00445472" w:rsidRDefault="00990EE8" w:rsidP="00990EE8">
            <w:pPr>
              <w:pStyle w:val="TEKSTIIII"/>
              <w:ind w:firstLine="0"/>
              <w:rPr>
                <w:sz w:val="20"/>
                <w:szCs w:val="20"/>
              </w:rPr>
            </w:pPr>
            <w:r w:rsidRPr="00445472">
              <w:rPr>
                <w:sz w:val="20"/>
                <w:szCs w:val="20"/>
              </w:rPr>
              <w:t>A ndiheni të frikësuar apo të detyruar në ndonjë formë gjatë procesit të konsultimit?</w:t>
            </w:r>
          </w:p>
        </w:tc>
        <w:tc>
          <w:tcPr>
            <w:tcW w:w="865" w:type="pct"/>
            <w:gridSpan w:val="2"/>
            <w:tcBorders>
              <w:top w:val="single" w:sz="2" w:space="0" w:color="auto"/>
              <w:left w:val="nil"/>
              <w:bottom w:val="single" w:sz="2" w:space="0" w:color="auto"/>
              <w:right w:val="nil"/>
            </w:tcBorders>
            <w:vAlign w:val="center"/>
            <w:hideMark/>
          </w:tcPr>
          <w:p w14:paraId="1FBEE9EF" w14:textId="77777777" w:rsidR="00990EE8" w:rsidRPr="00445472" w:rsidRDefault="00990EE8" w:rsidP="00990EE8">
            <w:pPr>
              <w:pStyle w:val="TEKSTIIII"/>
              <w:ind w:firstLine="0"/>
              <w:rPr>
                <w:sz w:val="20"/>
                <w:szCs w:val="20"/>
              </w:rPr>
            </w:pPr>
            <w:r w:rsidRPr="00445472">
              <w:rPr>
                <w:sz w:val="20"/>
                <w:szCs w:val="20"/>
              </w:rPr>
              <w:t>PO</w:t>
            </w:r>
          </w:p>
        </w:tc>
        <w:tc>
          <w:tcPr>
            <w:tcW w:w="693" w:type="pct"/>
            <w:gridSpan w:val="2"/>
            <w:tcBorders>
              <w:top w:val="single" w:sz="2" w:space="0" w:color="auto"/>
              <w:left w:val="nil"/>
              <w:bottom w:val="single" w:sz="2" w:space="0" w:color="auto"/>
              <w:right w:val="nil"/>
            </w:tcBorders>
            <w:vAlign w:val="center"/>
            <w:hideMark/>
          </w:tcPr>
          <w:p w14:paraId="7A2141E0" w14:textId="77777777" w:rsidR="00990EE8" w:rsidRPr="00445472" w:rsidRDefault="00990EE8" w:rsidP="00990EE8">
            <w:pPr>
              <w:pStyle w:val="TEKSTIIII"/>
              <w:ind w:firstLine="0"/>
              <w:rPr>
                <w:sz w:val="20"/>
                <w:szCs w:val="20"/>
              </w:rPr>
            </w:pPr>
            <w:r w:rsidRPr="00445472">
              <w:rPr>
                <w:sz w:val="20"/>
                <w:szCs w:val="20"/>
              </w:rPr>
              <w:t>JO</w:t>
            </w:r>
          </w:p>
        </w:tc>
      </w:tr>
    </w:tbl>
    <w:p w14:paraId="51067F9E" w14:textId="77777777" w:rsidR="00990EE8" w:rsidRPr="00445472" w:rsidRDefault="00990EE8" w:rsidP="00990EE8">
      <w:pPr>
        <w:pStyle w:val="TEKSTIIII"/>
        <w:ind w:firstLine="0"/>
        <w:rPr>
          <w:b/>
        </w:rPr>
      </w:pPr>
      <w:r w:rsidRPr="00445472">
        <w:rPr>
          <w:b/>
        </w:rPr>
        <w:t>Komente të tjera:</w:t>
      </w:r>
    </w:p>
    <w:p w14:paraId="015AB45B" w14:textId="77777777" w:rsidR="00990EE8" w:rsidRPr="00445472" w:rsidRDefault="00990EE8" w:rsidP="00990EE8">
      <w:pPr>
        <w:pStyle w:val="TEKSTIIII"/>
      </w:pPr>
    </w:p>
    <w:p w14:paraId="46288F43" w14:textId="77777777" w:rsidR="00990EE8" w:rsidRPr="00445472" w:rsidRDefault="00990EE8" w:rsidP="00990EE8">
      <w:pPr>
        <w:pStyle w:val="TEKSTIIII"/>
      </w:pPr>
    </w:p>
    <w:p w14:paraId="29FB1BCD" w14:textId="77777777" w:rsidR="00990EE8" w:rsidRPr="00445472" w:rsidRDefault="00990EE8" w:rsidP="00990EE8">
      <w:pPr>
        <w:pStyle w:val="TEKSTIIII"/>
      </w:pPr>
    </w:p>
    <w:p w14:paraId="21665673" w14:textId="77777777" w:rsidR="00990EE8" w:rsidRPr="00445472" w:rsidRDefault="00990EE8" w:rsidP="00990EE8">
      <w:pPr>
        <w:pStyle w:val="TEKSTIIII"/>
      </w:pPr>
    </w:p>
    <w:p w14:paraId="6E0F3E7C" w14:textId="77777777" w:rsidR="00990EE8" w:rsidRPr="00445472" w:rsidRDefault="00990EE8" w:rsidP="00990EE8">
      <w:pPr>
        <w:pStyle w:val="TEKSTIIII"/>
      </w:pPr>
    </w:p>
    <w:p w14:paraId="59DD0A8A" w14:textId="77777777" w:rsidR="00990EE8" w:rsidRPr="00445472" w:rsidRDefault="00990EE8" w:rsidP="00990EE8">
      <w:pPr>
        <w:pStyle w:val="TEKSTIIII"/>
      </w:pPr>
    </w:p>
    <w:p w14:paraId="0FEA34C4" w14:textId="77777777" w:rsidR="00990EE8" w:rsidRPr="00445472" w:rsidRDefault="00990EE8" w:rsidP="00990EE8">
      <w:pPr>
        <w:pStyle w:val="TEKSTIIII"/>
      </w:pPr>
    </w:p>
    <w:p w14:paraId="26F6F482" w14:textId="77777777" w:rsidR="00990EE8" w:rsidRPr="00445472" w:rsidRDefault="00990EE8" w:rsidP="00990EE8">
      <w:pPr>
        <w:pStyle w:val="TEKSTIIII"/>
      </w:pPr>
    </w:p>
    <w:p w14:paraId="6B0EE6A2" w14:textId="77777777" w:rsidR="00990EE8" w:rsidRPr="00445472" w:rsidRDefault="00990EE8" w:rsidP="00990EE8">
      <w:pPr>
        <w:pStyle w:val="TEKSTIIII"/>
      </w:pPr>
    </w:p>
    <w:p w14:paraId="35B2B2AA" w14:textId="77777777" w:rsidR="00990EE8" w:rsidRPr="00445472" w:rsidRDefault="00990EE8" w:rsidP="00990EE8">
      <w:pPr>
        <w:pStyle w:val="TEKSTIIII"/>
      </w:pPr>
    </w:p>
    <w:p w14:paraId="237CE71F" w14:textId="77777777" w:rsidR="00990EE8" w:rsidRPr="00445472" w:rsidRDefault="00990EE8" w:rsidP="00990EE8">
      <w:pPr>
        <w:pStyle w:val="TEKSTIIII"/>
      </w:pPr>
    </w:p>
    <w:p w14:paraId="09BB4F0E" w14:textId="77777777" w:rsidR="00990EE8" w:rsidRPr="00445472" w:rsidRDefault="00990EE8" w:rsidP="00990EE8">
      <w:pPr>
        <w:pStyle w:val="TEKSTIIII"/>
      </w:pPr>
    </w:p>
    <w:p w14:paraId="71D487CD" w14:textId="77777777" w:rsidR="00990EE8" w:rsidRPr="00445472" w:rsidRDefault="00990EE8" w:rsidP="00990EE8">
      <w:pPr>
        <w:pStyle w:val="TEKSTIIII"/>
      </w:pPr>
    </w:p>
    <w:p w14:paraId="016ABAC3" w14:textId="77777777" w:rsidR="00990EE8" w:rsidRPr="00445472" w:rsidRDefault="00990EE8" w:rsidP="00990EE8">
      <w:pPr>
        <w:pStyle w:val="TEKSTIIII"/>
      </w:pPr>
    </w:p>
    <w:p w14:paraId="768B84E8" w14:textId="77777777" w:rsidR="00990EE8" w:rsidRPr="00445472" w:rsidRDefault="00990EE8" w:rsidP="00990EE8">
      <w:pPr>
        <w:pStyle w:val="TEKSTIIII"/>
      </w:pPr>
    </w:p>
    <w:p w14:paraId="6176AFB7" w14:textId="77777777" w:rsidR="00990EE8" w:rsidRPr="00445472" w:rsidRDefault="00990EE8" w:rsidP="00990EE8">
      <w:pPr>
        <w:pStyle w:val="TEKSTIIII"/>
      </w:pPr>
    </w:p>
    <w:p w14:paraId="213FF964" w14:textId="77777777" w:rsidR="00990EE8" w:rsidRPr="00445472" w:rsidRDefault="00990EE8" w:rsidP="00990EE8">
      <w:pPr>
        <w:pStyle w:val="TEKSTIIII"/>
      </w:pPr>
    </w:p>
    <w:p w14:paraId="2E4F391C" w14:textId="77777777" w:rsidR="00990EE8" w:rsidRPr="00445472" w:rsidRDefault="00990EE8" w:rsidP="00990EE8">
      <w:pPr>
        <w:pStyle w:val="TEKSTIIII"/>
      </w:pPr>
    </w:p>
    <w:p w14:paraId="304EC176" w14:textId="77777777" w:rsidR="00990EE8" w:rsidRPr="00445472" w:rsidRDefault="00990EE8" w:rsidP="00990EE8">
      <w:pPr>
        <w:pStyle w:val="TEKSTIIII"/>
      </w:pPr>
    </w:p>
    <w:p w14:paraId="5860A0FC" w14:textId="77777777" w:rsidR="00990EE8" w:rsidRPr="00445472" w:rsidRDefault="00990EE8" w:rsidP="00990EE8">
      <w:pPr>
        <w:pStyle w:val="TEKSTIIII"/>
      </w:pPr>
    </w:p>
    <w:p w14:paraId="0E0CCA94" w14:textId="77777777" w:rsidR="00990EE8" w:rsidRPr="00445472" w:rsidRDefault="00990EE8" w:rsidP="00990EE8">
      <w:pPr>
        <w:pStyle w:val="TEKSTIIII"/>
      </w:pPr>
    </w:p>
    <w:p w14:paraId="1BC439E1" w14:textId="77777777" w:rsidR="00990EE8" w:rsidRPr="00445472" w:rsidRDefault="00990EE8" w:rsidP="00990EE8">
      <w:pPr>
        <w:pStyle w:val="TEKSTIIII"/>
      </w:pPr>
    </w:p>
    <w:p w14:paraId="51ED235C" w14:textId="77777777" w:rsidR="00990EE8" w:rsidRPr="00445472" w:rsidRDefault="00990EE8" w:rsidP="00990EE8">
      <w:pPr>
        <w:pStyle w:val="TEKSTIIII"/>
      </w:pPr>
    </w:p>
    <w:p w14:paraId="11726A39" w14:textId="77777777" w:rsidR="00990EE8" w:rsidRPr="00445472" w:rsidRDefault="00990EE8" w:rsidP="00990EE8">
      <w:pPr>
        <w:pStyle w:val="TEKSTIIII"/>
      </w:pPr>
    </w:p>
    <w:p w14:paraId="6D61D276" w14:textId="77777777" w:rsidR="00990EE8" w:rsidRPr="00445472" w:rsidRDefault="00990EE8" w:rsidP="00990EE8">
      <w:pPr>
        <w:pStyle w:val="TEKSTIIII"/>
      </w:pPr>
    </w:p>
    <w:p w14:paraId="5CD3FD30" w14:textId="77777777" w:rsidR="00990EE8" w:rsidRPr="00445472" w:rsidRDefault="00990EE8" w:rsidP="00990EE8">
      <w:pPr>
        <w:pStyle w:val="TEKSTIIII"/>
      </w:pPr>
    </w:p>
    <w:p w14:paraId="4BA5123F" w14:textId="77777777" w:rsidR="00990EE8" w:rsidRPr="00445472" w:rsidRDefault="00990EE8" w:rsidP="00990EE8">
      <w:pPr>
        <w:pStyle w:val="TEKSTIIII"/>
      </w:pPr>
    </w:p>
    <w:p w14:paraId="16B9E5BD" w14:textId="77777777" w:rsidR="00990EE8" w:rsidRPr="00445472" w:rsidRDefault="00990EE8" w:rsidP="00990EE8">
      <w:pPr>
        <w:pStyle w:val="TEKSTIIII"/>
      </w:pPr>
    </w:p>
    <w:p w14:paraId="74AF37E2" w14:textId="77777777" w:rsidR="00990EE8" w:rsidRPr="00445472" w:rsidRDefault="00990EE8" w:rsidP="00990EE8">
      <w:pPr>
        <w:pStyle w:val="TEKSTIIII"/>
      </w:pPr>
    </w:p>
    <w:tbl>
      <w:tblPr>
        <w:tblW w:w="5481" w:type="pct"/>
        <w:jc w:val="center"/>
        <w:tblLayout w:type="fixed"/>
        <w:tblLook w:val="04A0" w:firstRow="1" w:lastRow="0" w:firstColumn="1" w:lastColumn="0" w:noHBand="0" w:noVBand="1"/>
      </w:tblPr>
      <w:tblGrid>
        <w:gridCol w:w="1125"/>
        <w:gridCol w:w="1131"/>
        <w:gridCol w:w="1134"/>
        <w:gridCol w:w="625"/>
        <w:gridCol w:w="503"/>
        <w:gridCol w:w="843"/>
        <w:gridCol w:w="159"/>
        <w:gridCol w:w="224"/>
        <w:gridCol w:w="136"/>
        <w:gridCol w:w="421"/>
        <w:gridCol w:w="94"/>
        <w:gridCol w:w="79"/>
        <w:gridCol w:w="29"/>
        <w:gridCol w:w="230"/>
        <w:gridCol w:w="191"/>
        <w:gridCol w:w="197"/>
        <w:gridCol w:w="57"/>
        <w:gridCol w:w="263"/>
        <w:gridCol w:w="478"/>
        <w:gridCol w:w="39"/>
        <w:gridCol w:w="305"/>
        <w:gridCol w:w="24"/>
        <w:gridCol w:w="210"/>
        <w:gridCol w:w="26"/>
        <w:gridCol w:w="12"/>
        <w:gridCol w:w="12"/>
        <w:gridCol w:w="234"/>
        <w:gridCol w:w="12"/>
        <w:gridCol w:w="1387"/>
      </w:tblGrid>
      <w:tr w:rsidR="00990EE8" w:rsidRPr="00445472" w14:paraId="74540738" w14:textId="77777777" w:rsidTr="00990EE8">
        <w:trPr>
          <w:trHeight w:val="285"/>
          <w:jc w:val="center"/>
        </w:trPr>
        <w:tc>
          <w:tcPr>
            <w:tcW w:w="4070" w:type="pct"/>
            <w:gridSpan w:val="22"/>
            <w:tcBorders>
              <w:top w:val="nil"/>
              <w:left w:val="nil"/>
              <w:bottom w:val="nil"/>
              <w:right w:val="nil"/>
            </w:tcBorders>
            <w:shd w:val="clear" w:color="auto" w:fill="auto"/>
            <w:noWrap/>
            <w:vAlign w:val="center"/>
            <w:hideMark/>
          </w:tcPr>
          <w:p w14:paraId="1D0CDFF3" w14:textId="77777777" w:rsidR="00990EE8" w:rsidRPr="00445472" w:rsidRDefault="00990EE8" w:rsidP="00990EE8">
            <w:pPr>
              <w:pStyle w:val="NENTITULL"/>
              <w:jc w:val="center"/>
            </w:pPr>
            <w:r w:rsidRPr="00445472">
              <w:t>Vlerësimi i trajnimit</w:t>
            </w:r>
          </w:p>
        </w:tc>
        <w:tc>
          <w:tcPr>
            <w:tcW w:w="128" w:type="pct"/>
            <w:gridSpan w:val="4"/>
            <w:tcBorders>
              <w:top w:val="nil"/>
              <w:left w:val="nil"/>
              <w:bottom w:val="nil"/>
              <w:right w:val="nil"/>
            </w:tcBorders>
            <w:vAlign w:val="center"/>
          </w:tcPr>
          <w:p w14:paraId="11F82241" w14:textId="77777777" w:rsidR="00990EE8" w:rsidRPr="00445472" w:rsidRDefault="00990EE8" w:rsidP="00990EE8">
            <w:pPr>
              <w:spacing w:before="67" w:after="89"/>
              <w:jc w:val="center"/>
              <w:rPr>
                <w:rFonts w:ascii="Garamond" w:hAnsi="Garamond" w:cs="Arial"/>
                <w:sz w:val="18"/>
                <w:szCs w:val="18"/>
              </w:rPr>
            </w:pPr>
          </w:p>
        </w:tc>
        <w:tc>
          <w:tcPr>
            <w:tcW w:w="802" w:type="pct"/>
            <w:gridSpan w:val="3"/>
            <w:tcBorders>
              <w:top w:val="nil"/>
              <w:left w:val="nil"/>
              <w:bottom w:val="nil"/>
              <w:right w:val="nil"/>
            </w:tcBorders>
            <w:vAlign w:val="center"/>
          </w:tcPr>
          <w:p w14:paraId="7746DB32" w14:textId="77777777" w:rsidR="00990EE8" w:rsidRPr="00445472" w:rsidRDefault="00990EE8" w:rsidP="00990EE8">
            <w:pPr>
              <w:spacing w:before="67" w:after="89"/>
              <w:jc w:val="center"/>
              <w:rPr>
                <w:rFonts w:ascii="Garamond" w:hAnsi="Garamond" w:cs="Arial"/>
                <w:sz w:val="18"/>
                <w:szCs w:val="18"/>
              </w:rPr>
            </w:pPr>
          </w:p>
        </w:tc>
      </w:tr>
      <w:tr w:rsidR="00990EE8" w:rsidRPr="00445472" w14:paraId="6721C846" w14:textId="77777777" w:rsidTr="00990EE8">
        <w:trPr>
          <w:trHeight w:val="285"/>
          <w:jc w:val="center"/>
        </w:trPr>
        <w:tc>
          <w:tcPr>
            <w:tcW w:w="4070" w:type="pct"/>
            <w:gridSpan w:val="22"/>
            <w:tcBorders>
              <w:top w:val="nil"/>
              <w:left w:val="nil"/>
              <w:bottom w:val="nil"/>
              <w:right w:val="nil"/>
            </w:tcBorders>
            <w:shd w:val="clear" w:color="auto" w:fill="auto"/>
            <w:noWrap/>
            <w:vAlign w:val="center"/>
          </w:tcPr>
          <w:p w14:paraId="56A5EB80" w14:textId="77777777" w:rsidR="00990EE8" w:rsidRPr="00445472" w:rsidRDefault="00990EE8" w:rsidP="00990EE8">
            <w:pPr>
              <w:spacing w:before="67" w:after="89"/>
              <w:jc w:val="center"/>
              <w:rPr>
                <w:rFonts w:ascii="Garamond" w:hAnsi="Garamond" w:cs="Arial"/>
                <w:b/>
                <w:sz w:val="18"/>
                <w:szCs w:val="18"/>
              </w:rPr>
            </w:pPr>
          </w:p>
        </w:tc>
        <w:tc>
          <w:tcPr>
            <w:tcW w:w="128" w:type="pct"/>
            <w:gridSpan w:val="4"/>
            <w:tcBorders>
              <w:top w:val="nil"/>
              <w:left w:val="nil"/>
              <w:bottom w:val="nil"/>
              <w:right w:val="nil"/>
            </w:tcBorders>
            <w:vAlign w:val="center"/>
          </w:tcPr>
          <w:p w14:paraId="36486697" w14:textId="77777777" w:rsidR="00990EE8" w:rsidRPr="00445472" w:rsidRDefault="00990EE8" w:rsidP="00990EE8">
            <w:pPr>
              <w:spacing w:before="67" w:after="89"/>
              <w:jc w:val="center"/>
              <w:rPr>
                <w:rFonts w:ascii="Garamond" w:hAnsi="Garamond" w:cs="Arial"/>
                <w:sz w:val="18"/>
                <w:szCs w:val="18"/>
              </w:rPr>
            </w:pPr>
          </w:p>
        </w:tc>
        <w:tc>
          <w:tcPr>
            <w:tcW w:w="802" w:type="pct"/>
            <w:gridSpan w:val="3"/>
            <w:tcBorders>
              <w:top w:val="nil"/>
              <w:left w:val="nil"/>
              <w:bottom w:val="nil"/>
              <w:right w:val="nil"/>
            </w:tcBorders>
            <w:vAlign w:val="center"/>
          </w:tcPr>
          <w:p w14:paraId="12948793" w14:textId="77777777" w:rsidR="00990EE8" w:rsidRPr="00445472" w:rsidRDefault="00990EE8" w:rsidP="00990EE8">
            <w:pPr>
              <w:spacing w:before="67" w:after="89"/>
              <w:jc w:val="center"/>
              <w:rPr>
                <w:rFonts w:ascii="Garamond" w:hAnsi="Garamond" w:cs="Arial"/>
                <w:sz w:val="18"/>
                <w:szCs w:val="18"/>
              </w:rPr>
            </w:pPr>
          </w:p>
        </w:tc>
      </w:tr>
      <w:tr w:rsidR="00990EE8" w:rsidRPr="00445472" w14:paraId="51A7BF50" w14:textId="77777777" w:rsidTr="00990EE8">
        <w:trPr>
          <w:trHeight w:val="255"/>
          <w:jc w:val="center"/>
        </w:trPr>
        <w:tc>
          <w:tcPr>
            <w:tcW w:w="1971" w:type="pct"/>
            <w:gridSpan w:val="4"/>
            <w:tcBorders>
              <w:top w:val="nil"/>
              <w:left w:val="nil"/>
              <w:bottom w:val="nil"/>
              <w:right w:val="nil"/>
            </w:tcBorders>
            <w:shd w:val="clear" w:color="auto" w:fill="auto"/>
            <w:noWrap/>
            <w:vAlign w:val="center"/>
            <w:hideMark/>
          </w:tcPr>
          <w:p w14:paraId="160D1646"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Data: ______________________________</w:t>
            </w:r>
          </w:p>
        </w:tc>
        <w:tc>
          <w:tcPr>
            <w:tcW w:w="2099" w:type="pct"/>
            <w:gridSpan w:val="18"/>
            <w:tcBorders>
              <w:top w:val="nil"/>
              <w:left w:val="nil"/>
              <w:bottom w:val="nil"/>
              <w:right w:val="nil"/>
            </w:tcBorders>
            <w:shd w:val="clear" w:color="auto" w:fill="auto"/>
            <w:noWrap/>
            <w:vAlign w:val="center"/>
            <w:hideMark/>
          </w:tcPr>
          <w:p w14:paraId="0F1C440A" w14:textId="77777777" w:rsidR="00990EE8" w:rsidRPr="00445472" w:rsidRDefault="00990EE8" w:rsidP="00990EE8">
            <w:pPr>
              <w:spacing w:after="0" w:line="240" w:lineRule="auto"/>
              <w:rPr>
                <w:rFonts w:ascii="Garamond" w:hAnsi="Garamond" w:cs="Arial"/>
                <w:b/>
                <w:sz w:val="18"/>
                <w:szCs w:val="18"/>
              </w:rPr>
            </w:pPr>
            <w:r w:rsidRPr="00445472">
              <w:rPr>
                <w:rFonts w:ascii="Garamond" w:hAnsi="Garamond" w:cs="Arial"/>
                <w:b/>
                <w:sz w:val="18"/>
                <w:szCs w:val="18"/>
              </w:rPr>
              <w:t>Titulli i trajnimit: ______________________</w:t>
            </w:r>
          </w:p>
        </w:tc>
        <w:tc>
          <w:tcPr>
            <w:tcW w:w="128" w:type="pct"/>
            <w:gridSpan w:val="4"/>
            <w:tcBorders>
              <w:top w:val="nil"/>
              <w:left w:val="nil"/>
              <w:bottom w:val="nil"/>
              <w:right w:val="nil"/>
            </w:tcBorders>
            <w:vAlign w:val="center"/>
          </w:tcPr>
          <w:p w14:paraId="4A6AE77C" w14:textId="77777777" w:rsidR="00990EE8" w:rsidRPr="00445472" w:rsidRDefault="00990EE8" w:rsidP="00990EE8">
            <w:pPr>
              <w:spacing w:after="0" w:line="240" w:lineRule="auto"/>
              <w:rPr>
                <w:rFonts w:ascii="Garamond" w:hAnsi="Garamond" w:cs="Arial"/>
                <w:sz w:val="18"/>
                <w:szCs w:val="18"/>
              </w:rPr>
            </w:pPr>
          </w:p>
        </w:tc>
        <w:tc>
          <w:tcPr>
            <w:tcW w:w="802" w:type="pct"/>
            <w:gridSpan w:val="3"/>
            <w:tcBorders>
              <w:top w:val="nil"/>
              <w:left w:val="nil"/>
              <w:bottom w:val="nil"/>
              <w:right w:val="nil"/>
            </w:tcBorders>
            <w:vAlign w:val="center"/>
          </w:tcPr>
          <w:p w14:paraId="023F4E34" w14:textId="77777777" w:rsidR="00990EE8" w:rsidRPr="00445472" w:rsidRDefault="00990EE8" w:rsidP="00990EE8">
            <w:pPr>
              <w:spacing w:after="0" w:line="240" w:lineRule="auto"/>
              <w:rPr>
                <w:rFonts w:ascii="Garamond" w:hAnsi="Garamond" w:cs="Arial"/>
                <w:sz w:val="18"/>
                <w:szCs w:val="18"/>
              </w:rPr>
            </w:pPr>
          </w:p>
        </w:tc>
      </w:tr>
      <w:tr w:rsidR="00990EE8" w:rsidRPr="00445472" w14:paraId="67D95591" w14:textId="77777777" w:rsidTr="00990EE8">
        <w:trPr>
          <w:trHeight w:val="525"/>
          <w:jc w:val="center"/>
        </w:trPr>
        <w:tc>
          <w:tcPr>
            <w:tcW w:w="1971" w:type="pct"/>
            <w:gridSpan w:val="4"/>
            <w:tcBorders>
              <w:top w:val="nil"/>
              <w:left w:val="nil"/>
              <w:bottom w:val="nil"/>
              <w:right w:val="nil"/>
            </w:tcBorders>
            <w:shd w:val="clear" w:color="auto" w:fill="auto"/>
            <w:noWrap/>
            <w:vAlign w:val="center"/>
            <w:hideMark/>
          </w:tcPr>
          <w:p w14:paraId="2B63302A" w14:textId="77777777" w:rsidR="00990EE8" w:rsidRPr="00445472" w:rsidRDefault="00990EE8" w:rsidP="00990EE8">
            <w:pPr>
              <w:spacing w:after="120" w:line="240" w:lineRule="auto"/>
              <w:rPr>
                <w:rFonts w:ascii="Garamond" w:hAnsi="Garamond" w:cs="Arial"/>
                <w:sz w:val="18"/>
                <w:szCs w:val="18"/>
              </w:rPr>
            </w:pPr>
            <w:r w:rsidRPr="00445472">
              <w:rPr>
                <w:rFonts w:ascii="Garamond" w:hAnsi="Garamond" w:cs="Arial"/>
                <w:b/>
                <w:sz w:val="18"/>
                <w:szCs w:val="18"/>
              </w:rPr>
              <w:t>Vendi: _____________________________</w:t>
            </w:r>
          </w:p>
        </w:tc>
        <w:tc>
          <w:tcPr>
            <w:tcW w:w="2099" w:type="pct"/>
            <w:gridSpan w:val="18"/>
            <w:tcBorders>
              <w:top w:val="nil"/>
              <w:left w:val="nil"/>
              <w:bottom w:val="nil"/>
              <w:right w:val="nil"/>
            </w:tcBorders>
            <w:shd w:val="clear" w:color="auto" w:fill="auto"/>
            <w:noWrap/>
            <w:vAlign w:val="center"/>
            <w:hideMark/>
          </w:tcPr>
          <w:p w14:paraId="173B8C68" w14:textId="77777777" w:rsidR="00990EE8" w:rsidRPr="00445472" w:rsidRDefault="00990EE8" w:rsidP="00990EE8">
            <w:pPr>
              <w:spacing w:after="120" w:line="240" w:lineRule="auto"/>
              <w:rPr>
                <w:rFonts w:ascii="Garamond" w:hAnsi="Garamond" w:cs="Arial"/>
                <w:sz w:val="18"/>
                <w:szCs w:val="18"/>
              </w:rPr>
            </w:pPr>
          </w:p>
        </w:tc>
        <w:tc>
          <w:tcPr>
            <w:tcW w:w="128" w:type="pct"/>
            <w:gridSpan w:val="4"/>
            <w:tcBorders>
              <w:top w:val="nil"/>
              <w:left w:val="nil"/>
              <w:bottom w:val="nil"/>
              <w:right w:val="nil"/>
            </w:tcBorders>
            <w:vAlign w:val="center"/>
          </w:tcPr>
          <w:p w14:paraId="628640C1" w14:textId="77777777" w:rsidR="00990EE8" w:rsidRPr="00445472" w:rsidRDefault="00990EE8" w:rsidP="00990EE8">
            <w:pPr>
              <w:spacing w:after="120" w:line="240" w:lineRule="auto"/>
              <w:rPr>
                <w:rFonts w:ascii="Garamond" w:hAnsi="Garamond" w:cs="Arial"/>
                <w:sz w:val="18"/>
                <w:szCs w:val="18"/>
              </w:rPr>
            </w:pPr>
          </w:p>
        </w:tc>
        <w:tc>
          <w:tcPr>
            <w:tcW w:w="802" w:type="pct"/>
            <w:gridSpan w:val="3"/>
            <w:tcBorders>
              <w:top w:val="nil"/>
              <w:left w:val="nil"/>
              <w:bottom w:val="nil"/>
              <w:right w:val="nil"/>
            </w:tcBorders>
            <w:vAlign w:val="center"/>
          </w:tcPr>
          <w:p w14:paraId="536F172F" w14:textId="77777777" w:rsidR="00990EE8" w:rsidRPr="00445472" w:rsidRDefault="00990EE8" w:rsidP="00990EE8">
            <w:pPr>
              <w:spacing w:after="120" w:line="240" w:lineRule="auto"/>
              <w:rPr>
                <w:rFonts w:ascii="Garamond" w:hAnsi="Garamond" w:cs="Arial"/>
                <w:sz w:val="18"/>
                <w:szCs w:val="18"/>
              </w:rPr>
            </w:pPr>
          </w:p>
        </w:tc>
      </w:tr>
      <w:tr w:rsidR="00990EE8" w:rsidRPr="00445472" w14:paraId="2FA003AA" w14:textId="77777777" w:rsidTr="00990EE8">
        <w:trPr>
          <w:cantSplit/>
          <w:trHeight w:val="1134"/>
          <w:jc w:val="center"/>
        </w:trPr>
        <w:tc>
          <w:tcPr>
            <w:tcW w:w="1971" w:type="pct"/>
            <w:gridSpan w:val="4"/>
            <w:tcBorders>
              <w:top w:val="single" w:sz="4" w:space="0" w:color="auto"/>
              <w:left w:val="single" w:sz="4" w:space="0" w:color="auto"/>
              <w:bottom w:val="single" w:sz="4" w:space="0" w:color="000000"/>
              <w:right w:val="single" w:sz="4" w:space="0" w:color="auto"/>
            </w:tcBorders>
            <w:shd w:val="clear" w:color="auto" w:fill="F2F2F2"/>
            <w:vAlign w:val="center"/>
            <w:hideMark/>
          </w:tcPr>
          <w:p w14:paraId="17B4804F"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Ju lutemi, vlerësoni kënaqshmërinë për trajnimin që keni marrë sot, duke zgjeshur numrin e duhur</w:t>
            </w:r>
          </w:p>
        </w:tc>
        <w:tc>
          <w:tcPr>
            <w:tcW w:w="661" w:type="pct"/>
            <w:gridSpan w:val="2"/>
            <w:tcBorders>
              <w:top w:val="single" w:sz="4" w:space="0" w:color="auto"/>
              <w:left w:val="nil"/>
              <w:bottom w:val="single" w:sz="4" w:space="0" w:color="auto"/>
              <w:right w:val="single" w:sz="4" w:space="0" w:color="auto"/>
            </w:tcBorders>
            <w:shd w:val="clear" w:color="auto" w:fill="F2F2F2"/>
            <w:noWrap/>
            <w:vAlign w:val="center"/>
          </w:tcPr>
          <w:p w14:paraId="02AB0802" w14:textId="77777777" w:rsidR="00990EE8" w:rsidRPr="00445472" w:rsidRDefault="00990EE8" w:rsidP="00990EE8">
            <w:pPr>
              <w:spacing w:after="0" w:line="240" w:lineRule="auto"/>
              <w:rPr>
                <w:rFonts w:ascii="Garamond" w:hAnsi="Garamond" w:cs="Arial"/>
                <w:sz w:val="18"/>
                <w:szCs w:val="18"/>
              </w:rPr>
            </w:pPr>
          </w:p>
        </w:tc>
        <w:tc>
          <w:tcPr>
            <w:tcW w:w="255" w:type="pct"/>
            <w:gridSpan w:val="3"/>
            <w:tcBorders>
              <w:top w:val="single" w:sz="4" w:space="0" w:color="auto"/>
              <w:left w:val="nil"/>
              <w:bottom w:val="single" w:sz="4" w:space="0" w:color="auto"/>
              <w:right w:val="single" w:sz="4" w:space="0" w:color="auto"/>
            </w:tcBorders>
            <w:shd w:val="clear" w:color="auto" w:fill="F2F2F2"/>
            <w:noWrap/>
            <w:vAlign w:val="center"/>
          </w:tcPr>
          <w:p w14:paraId="765ED5C4"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1</w:t>
            </w:r>
          </w:p>
        </w:tc>
        <w:tc>
          <w:tcPr>
            <w:tcW w:w="253" w:type="pct"/>
            <w:gridSpan w:val="2"/>
            <w:tcBorders>
              <w:top w:val="single" w:sz="4" w:space="0" w:color="auto"/>
              <w:left w:val="nil"/>
              <w:bottom w:val="single" w:sz="4" w:space="0" w:color="auto"/>
              <w:right w:val="single" w:sz="4" w:space="0" w:color="auto"/>
            </w:tcBorders>
            <w:shd w:val="clear" w:color="auto" w:fill="F2F2F2"/>
            <w:noWrap/>
            <w:vAlign w:val="center"/>
          </w:tcPr>
          <w:p w14:paraId="2F3BC461"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2</w:t>
            </w:r>
          </w:p>
        </w:tc>
        <w:tc>
          <w:tcPr>
            <w:tcW w:w="260" w:type="pct"/>
            <w:gridSpan w:val="4"/>
            <w:tcBorders>
              <w:top w:val="single" w:sz="4" w:space="0" w:color="auto"/>
              <w:left w:val="nil"/>
              <w:bottom w:val="single" w:sz="4" w:space="0" w:color="auto"/>
              <w:right w:val="single" w:sz="4" w:space="0" w:color="auto"/>
            </w:tcBorders>
            <w:shd w:val="clear" w:color="auto" w:fill="F2F2F2"/>
            <w:noWrap/>
            <w:vAlign w:val="center"/>
          </w:tcPr>
          <w:p w14:paraId="22E997AE"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3</w:t>
            </w:r>
          </w:p>
        </w:tc>
        <w:tc>
          <w:tcPr>
            <w:tcW w:w="254" w:type="pct"/>
            <w:gridSpan w:val="3"/>
            <w:tcBorders>
              <w:top w:val="single" w:sz="4" w:space="0" w:color="auto"/>
              <w:left w:val="nil"/>
              <w:bottom w:val="single" w:sz="4" w:space="0" w:color="auto"/>
              <w:right w:val="single" w:sz="4" w:space="0" w:color="auto"/>
            </w:tcBorders>
            <w:shd w:val="clear" w:color="auto" w:fill="F2F2F2"/>
            <w:noWrap/>
            <w:vAlign w:val="center"/>
          </w:tcPr>
          <w:p w14:paraId="766CAAE6"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4</w:t>
            </w:r>
          </w:p>
        </w:tc>
        <w:tc>
          <w:tcPr>
            <w:tcW w:w="254" w:type="pct"/>
            <w:gridSpan w:val="2"/>
            <w:tcBorders>
              <w:top w:val="single" w:sz="4" w:space="0" w:color="auto"/>
              <w:left w:val="nil"/>
              <w:bottom w:val="single" w:sz="4" w:space="0" w:color="auto"/>
              <w:right w:val="single" w:sz="4" w:space="0" w:color="auto"/>
            </w:tcBorders>
            <w:shd w:val="clear" w:color="auto" w:fill="F2F2F2"/>
            <w:noWrap/>
            <w:vAlign w:val="center"/>
          </w:tcPr>
          <w:p w14:paraId="41E53EB4"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5</w:t>
            </w:r>
          </w:p>
        </w:tc>
        <w:tc>
          <w:tcPr>
            <w:tcW w:w="265" w:type="pct"/>
            <w:gridSpan w:val="3"/>
            <w:tcBorders>
              <w:top w:val="single" w:sz="4" w:space="0" w:color="auto"/>
              <w:left w:val="nil"/>
              <w:bottom w:val="single" w:sz="4" w:space="0" w:color="auto"/>
              <w:right w:val="single" w:sz="4" w:space="0" w:color="auto"/>
            </w:tcBorders>
            <w:shd w:val="clear" w:color="auto" w:fill="F2F2F2"/>
            <w:textDirection w:val="btLr"/>
            <w:vAlign w:val="center"/>
          </w:tcPr>
          <w:p w14:paraId="12A350B1"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b/>
                <w:sz w:val="18"/>
                <w:szCs w:val="18"/>
              </w:rPr>
              <w:t xml:space="preserve">Nuk e di </w:t>
            </w:r>
          </w:p>
        </w:tc>
        <w:tc>
          <w:tcPr>
            <w:tcW w:w="828" w:type="pct"/>
            <w:gridSpan w:val="6"/>
            <w:tcBorders>
              <w:top w:val="single" w:sz="4" w:space="0" w:color="auto"/>
              <w:left w:val="nil"/>
              <w:bottom w:val="single" w:sz="4" w:space="0" w:color="auto"/>
              <w:right w:val="single" w:sz="4" w:space="0" w:color="auto"/>
            </w:tcBorders>
            <w:shd w:val="clear" w:color="auto" w:fill="F2F2F2"/>
            <w:vAlign w:val="center"/>
          </w:tcPr>
          <w:p w14:paraId="1E5B4CDA" w14:textId="77777777" w:rsidR="00990EE8" w:rsidRPr="00445472" w:rsidRDefault="00990EE8" w:rsidP="00990EE8">
            <w:pPr>
              <w:spacing w:after="0" w:line="240" w:lineRule="auto"/>
              <w:rPr>
                <w:rFonts w:ascii="Garamond" w:hAnsi="Garamond" w:cs="Arial"/>
                <w:sz w:val="18"/>
                <w:szCs w:val="18"/>
              </w:rPr>
            </w:pPr>
          </w:p>
        </w:tc>
      </w:tr>
      <w:tr w:rsidR="00990EE8" w:rsidRPr="00445472" w14:paraId="3962FB6F"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28B95AA4"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xml:space="preserve">Si do ta vlerësonit cilësinë e përgjithshme të trajnimit? </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69D6FCCC" w14:textId="77777777" w:rsidR="00990EE8" w:rsidRPr="00445472" w:rsidRDefault="00990EE8" w:rsidP="00990EE8">
            <w:pPr>
              <w:spacing w:before="67" w:after="0" w:line="240" w:lineRule="auto"/>
              <w:jc w:val="center"/>
              <w:rPr>
                <w:rFonts w:ascii="Garamond" w:hAnsi="Garamond" w:cs="Arial"/>
                <w:sz w:val="18"/>
                <w:szCs w:val="18"/>
              </w:rPr>
            </w:pPr>
            <w:r w:rsidRPr="00445472">
              <w:rPr>
                <w:rFonts w:ascii="Garamond" w:hAnsi="Garamond" w:cs="Arial"/>
                <w:sz w:val="18"/>
                <w:szCs w:val="18"/>
              </w:rPr>
              <w:t>Shumë  dobët</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77AD194A"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46B01D66"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6D64B316"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4B373573"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200A4A55"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45D25248"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30AB5EDC"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E shkëlqyer</w:t>
            </w:r>
          </w:p>
        </w:tc>
      </w:tr>
      <w:tr w:rsidR="00990EE8" w:rsidRPr="00445472" w14:paraId="5F9DAC99"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25549F2D"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xml:space="preserve">Si do ta vlerësonit dobishmërinë e temave në kontekstin e të ardhmes tuaj në punë? </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3A6B509F"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4200C458"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327942F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710B56F2"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5B1371D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1403C6C9"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6FEDD9E5"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12CD0DF8"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e vlefshme</w:t>
            </w:r>
          </w:p>
        </w:tc>
      </w:tr>
      <w:tr w:rsidR="00990EE8" w:rsidRPr="00445472" w14:paraId="5067AE4E"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3EF34AB1"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 ishin të përcaktuar qartë objektivat e trajnimit?</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16852B5D"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0DDD5812"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7F885060"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2B8068AA"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783C09E9"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32552CC7"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08A38EF6"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05B01D7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mirë</w:t>
            </w:r>
          </w:p>
        </w:tc>
      </w:tr>
      <w:tr w:rsidR="00990EE8" w:rsidRPr="00445472" w14:paraId="64CB46E4"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tcPr>
          <w:p w14:paraId="3496D023"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 u arritën objektivat e trajnimit?</w:t>
            </w:r>
          </w:p>
        </w:tc>
        <w:tc>
          <w:tcPr>
            <w:tcW w:w="661" w:type="pct"/>
            <w:gridSpan w:val="2"/>
            <w:tcBorders>
              <w:top w:val="nil"/>
              <w:left w:val="nil"/>
              <w:bottom w:val="single" w:sz="4" w:space="0" w:color="auto"/>
              <w:right w:val="single" w:sz="4" w:space="0" w:color="auto"/>
            </w:tcBorders>
            <w:shd w:val="clear" w:color="auto" w:fill="F2F2F2"/>
            <w:noWrap/>
            <w:vAlign w:val="center"/>
          </w:tcPr>
          <w:p w14:paraId="18BB947A"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tcPr>
          <w:p w14:paraId="6F3BC3EA" w14:textId="77777777" w:rsidR="00990EE8" w:rsidRPr="00445472" w:rsidRDefault="00990EE8" w:rsidP="00990EE8">
            <w:pPr>
              <w:spacing w:before="67" w:after="0" w:line="240" w:lineRule="auto"/>
              <w:rPr>
                <w:rFonts w:ascii="Garamond" w:hAnsi="Garamond" w:cs="Arial"/>
                <w:sz w:val="18"/>
                <w:szCs w:val="18"/>
              </w:rPr>
            </w:pPr>
          </w:p>
        </w:tc>
        <w:tc>
          <w:tcPr>
            <w:tcW w:w="253" w:type="pct"/>
            <w:gridSpan w:val="2"/>
            <w:tcBorders>
              <w:top w:val="nil"/>
              <w:left w:val="nil"/>
              <w:bottom w:val="single" w:sz="4" w:space="0" w:color="auto"/>
              <w:right w:val="single" w:sz="4" w:space="0" w:color="auto"/>
            </w:tcBorders>
            <w:shd w:val="clear" w:color="auto" w:fill="auto"/>
            <w:noWrap/>
            <w:vAlign w:val="center"/>
          </w:tcPr>
          <w:p w14:paraId="62D7DFAB" w14:textId="77777777" w:rsidR="00990EE8" w:rsidRPr="00445472" w:rsidRDefault="00990EE8" w:rsidP="00990EE8">
            <w:pPr>
              <w:spacing w:before="67" w:after="0" w:line="240" w:lineRule="auto"/>
              <w:rPr>
                <w:rFonts w:ascii="Garamond" w:hAnsi="Garamond" w:cs="Arial"/>
                <w:sz w:val="18"/>
                <w:szCs w:val="18"/>
              </w:rPr>
            </w:pPr>
          </w:p>
        </w:tc>
        <w:tc>
          <w:tcPr>
            <w:tcW w:w="260" w:type="pct"/>
            <w:gridSpan w:val="4"/>
            <w:tcBorders>
              <w:top w:val="nil"/>
              <w:left w:val="nil"/>
              <w:bottom w:val="single" w:sz="4" w:space="0" w:color="auto"/>
              <w:right w:val="single" w:sz="4" w:space="0" w:color="auto"/>
            </w:tcBorders>
            <w:shd w:val="clear" w:color="auto" w:fill="auto"/>
            <w:noWrap/>
            <w:vAlign w:val="center"/>
          </w:tcPr>
          <w:p w14:paraId="0EAC801C"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3"/>
            <w:tcBorders>
              <w:top w:val="nil"/>
              <w:left w:val="nil"/>
              <w:bottom w:val="single" w:sz="4" w:space="0" w:color="auto"/>
              <w:right w:val="single" w:sz="4" w:space="0" w:color="auto"/>
            </w:tcBorders>
            <w:shd w:val="clear" w:color="auto" w:fill="auto"/>
            <w:noWrap/>
            <w:vAlign w:val="center"/>
          </w:tcPr>
          <w:p w14:paraId="0ABB759C"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2"/>
            <w:tcBorders>
              <w:top w:val="nil"/>
              <w:left w:val="nil"/>
              <w:bottom w:val="single" w:sz="4" w:space="0" w:color="auto"/>
              <w:right w:val="single" w:sz="4" w:space="0" w:color="auto"/>
            </w:tcBorders>
            <w:shd w:val="clear" w:color="auto" w:fill="auto"/>
            <w:noWrap/>
            <w:vAlign w:val="center"/>
          </w:tcPr>
          <w:p w14:paraId="549BA76E" w14:textId="77777777" w:rsidR="00990EE8" w:rsidRPr="00445472" w:rsidRDefault="00990EE8" w:rsidP="00990EE8">
            <w:pPr>
              <w:spacing w:before="67" w:after="0" w:line="240" w:lineRule="auto"/>
              <w:rPr>
                <w:rFonts w:ascii="Garamond" w:hAnsi="Garamond" w:cs="Arial"/>
                <w:sz w:val="18"/>
                <w:szCs w:val="18"/>
              </w:rPr>
            </w:pPr>
          </w:p>
        </w:tc>
        <w:tc>
          <w:tcPr>
            <w:tcW w:w="265" w:type="pct"/>
            <w:gridSpan w:val="3"/>
            <w:tcBorders>
              <w:top w:val="nil"/>
              <w:left w:val="nil"/>
              <w:bottom w:val="single" w:sz="4" w:space="0" w:color="auto"/>
              <w:right w:val="single" w:sz="4" w:space="0" w:color="auto"/>
            </w:tcBorders>
            <w:vAlign w:val="center"/>
          </w:tcPr>
          <w:p w14:paraId="727304EB"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4190A308"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Plotësisht</w:t>
            </w:r>
          </w:p>
        </w:tc>
      </w:tr>
      <w:tr w:rsidR="00990EE8" w:rsidRPr="00445472" w14:paraId="1E8B3E58"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656B82A0" w14:textId="259ECE7F" w:rsidR="00990EE8" w:rsidRPr="00445472" w:rsidRDefault="00990EE8" w:rsidP="00062A53">
            <w:pPr>
              <w:spacing w:before="67" w:after="0" w:line="240" w:lineRule="auto"/>
              <w:rPr>
                <w:rFonts w:ascii="Garamond" w:hAnsi="Garamond" w:cs="Arial"/>
                <w:sz w:val="18"/>
                <w:szCs w:val="18"/>
              </w:rPr>
            </w:pPr>
            <w:r w:rsidRPr="00445472">
              <w:rPr>
                <w:rFonts w:ascii="Garamond" w:hAnsi="Garamond" w:cs="Arial"/>
                <w:sz w:val="18"/>
                <w:szCs w:val="18"/>
              </w:rPr>
              <w:t>A u zhvillua trajnimi sipas a</w:t>
            </w:r>
            <w:r w:rsidR="00062A53" w:rsidRPr="00445472">
              <w:rPr>
                <w:rFonts w:ascii="Garamond" w:hAnsi="Garamond" w:cs="Arial"/>
                <w:sz w:val="18"/>
                <w:szCs w:val="18"/>
              </w:rPr>
              <w:t>gj</w:t>
            </w:r>
            <w:r w:rsidRPr="00445472">
              <w:rPr>
                <w:rFonts w:ascii="Garamond" w:hAnsi="Garamond" w:cs="Arial"/>
                <w:sz w:val="18"/>
                <w:szCs w:val="18"/>
              </w:rPr>
              <w:t>endës?</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687F203F"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7004EED8"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084BCC22"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5EE2EAF9"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425D3C42"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0DDD75BD"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03FA8B43"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3DBD3446"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Ekzaktësisht</w:t>
            </w:r>
          </w:p>
        </w:tc>
      </w:tr>
      <w:tr w:rsidR="00990EE8" w:rsidRPr="00445472" w14:paraId="58325A77"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5EE3726F"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 ishin të dobishëm materialet e dhëna të trajtimit?</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56A9FC91"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524B2443"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27BAF329"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4A0F370C"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44BFA851"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07A906E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7A7B1087"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5E35FCDC"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të dobishëm</w:t>
            </w:r>
          </w:p>
        </w:tc>
      </w:tr>
      <w:tr w:rsidR="00990EE8" w:rsidRPr="00445472" w14:paraId="2C408C8C"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tcPr>
          <w:p w14:paraId="1EC55934"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 ishte i mirëstrukturuar trajnimi?</w:t>
            </w:r>
          </w:p>
        </w:tc>
        <w:tc>
          <w:tcPr>
            <w:tcW w:w="661" w:type="pct"/>
            <w:gridSpan w:val="2"/>
            <w:tcBorders>
              <w:top w:val="nil"/>
              <w:left w:val="nil"/>
              <w:bottom w:val="single" w:sz="4" w:space="0" w:color="auto"/>
              <w:right w:val="single" w:sz="4" w:space="0" w:color="auto"/>
            </w:tcBorders>
            <w:shd w:val="clear" w:color="auto" w:fill="F2F2F2"/>
            <w:noWrap/>
            <w:vAlign w:val="center"/>
          </w:tcPr>
          <w:p w14:paraId="13FBEEC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tcPr>
          <w:p w14:paraId="43049F7D" w14:textId="77777777" w:rsidR="00990EE8" w:rsidRPr="00445472" w:rsidRDefault="00990EE8" w:rsidP="00990EE8">
            <w:pPr>
              <w:spacing w:before="67" w:after="0" w:line="240" w:lineRule="auto"/>
              <w:rPr>
                <w:rFonts w:ascii="Garamond" w:hAnsi="Garamond" w:cs="Arial"/>
                <w:sz w:val="18"/>
                <w:szCs w:val="18"/>
              </w:rPr>
            </w:pPr>
          </w:p>
        </w:tc>
        <w:tc>
          <w:tcPr>
            <w:tcW w:w="253" w:type="pct"/>
            <w:gridSpan w:val="2"/>
            <w:tcBorders>
              <w:top w:val="nil"/>
              <w:left w:val="nil"/>
              <w:bottom w:val="single" w:sz="4" w:space="0" w:color="auto"/>
              <w:right w:val="single" w:sz="4" w:space="0" w:color="auto"/>
            </w:tcBorders>
            <w:shd w:val="clear" w:color="auto" w:fill="auto"/>
            <w:noWrap/>
            <w:vAlign w:val="center"/>
          </w:tcPr>
          <w:p w14:paraId="23674BAA" w14:textId="77777777" w:rsidR="00990EE8" w:rsidRPr="00445472" w:rsidRDefault="00990EE8" w:rsidP="00990EE8">
            <w:pPr>
              <w:spacing w:before="67" w:after="0" w:line="240" w:lineRule="auto"/>
              <w:rPr>
                <w:rFonts w:ascii="Garamond" w:hAnsi="Garamond" w:cs="Arial"/>
                <w:sz w:val="18"/>
                <w:szCs w:val="18"/>
              </w:rPr>
            </w:pPr>
          </w:p>
        </w:tc>
        <w:tc>
          <w:tcPr>
            <w:tcW w:w="260" w:type="pct"/>
            <w:gridSpan w:val="4"/>
            <w:tcBorders>
              <w:top w:val="nil"/>
              <w:left w:val="nil"/>
              <w:bottom w:val="single" w:sz="4" w:space="0" w:color="auto"/>
              <w:right w:val="single" w:sz="4" w:space="0" w:color="auto"/>
            </w:tcBorders>
            <w:shd w:val="clear" w:color="auto" w:fill="auto"/>
            <w:noWrap/>
            <w:vAlign w:val="center"/>
          </w:tcPr>
          <w:p w14:paraId="4CCE76A6"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3"/>
            <w:tcBorders>
              <w:top w:val="nil"/>
              <w:left w:val="nil"/>
              <w:bottom w:val="single" w:sz="4" w:space="0" w:color="auto"/>
              <w:right w:val="single" w:sz="4" w:space="0" w:color="auto"/>
            </w:tcBorders>
            <w:shd w:val="clear" w:color="auto" w:fill="auto"/>
            <w:noWrap/>
            <w:vAlign w:val="center"/>
          </w:tcPr>
          <w:p w14:paraId="27AA997F"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2"/>
            <w:tcBorders>
              <w:top w:val="nil"/>
              <w:left w:val="nil"/>
              <w:bottom w:val="single" w:sz="4" w:space="0" w:color="auto"/>
              <w:right w:val="single" w:sz="4" w:space="0" w:color="auto"/>
            </w:tcBorders>
            <w:shd w:val="clear" w:color="auto" w:fill="auto"/>
            <w:noWrap/>
            <w:vAlign w:val="center"/>
          </w:tcPr>
          <w:p w14:paraId="56CF52C9" w14:textId="77777777" w:rsidR="00990EE8" w:rsidRPr="00445472" w:rsidRDefault="00990EE8" w:rsidP="00990EE8">
            <w:pPr>
              <w:spacing w:before="67" w:after="0" w:line="240" w:lineRule="auto"/>
              <w:rPr>
                <w:rFonts w:ascii="Garamond" w:hAnsi="Garamond" w:cs="Arial"/>
                <w:sz w:val="18"/>
                <w:szCs w:val="18"/>
              </w:rPr>
            </w:pPr>
          </w:p>
        </w:tc>
        <w:tc>
          <w:tcPr>
            <w:tcW w:w="265" w:type="pct"/>
            <w:gridSpan w:val="3"/>
            <w:tcBorders>
              <w:top w:val="nil"/>
              <w:left w:val="nil"/>
              <w:bottom w:val="single" w:sz="4" w:space="0" w:color="auto"/>
              <w:right w:val="single" w:sz="4" w:space="0" w:color="auto"/>
            </w:tcBorders>
            <w:vAlign w:val="center"/>
          </w:tcPr>
          <w:p w14:paraId="6AA7C4F4"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413BBFF9"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mirë</w:t>
            </w:r>
          </w:p>
        </w:tc>
      </w:tr>
      <w:tr w:rsidR="00990EE8" w:rsidRPr="00445472" w14:paraId="7A5AE8F2"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435CAF93"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 kishit mundësi të bënit pyetjet që dëshironit?</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55C876A3"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067C3C10"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6718D40D"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3E8BF74D"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1A9B1320"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4A397769"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19A6C73F"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2E367608"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Gjatë të gjithë kohës</w:t>
            </w:r>
          </w:p>
        </w:tc>
      </w:tr>
      <w:tr w:rsidR="00990EE8" w:rsidRPr="00445472" w14:paraId="4715337F"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0CA7762A"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 kishte kohë të mjaftueshme për pyetje dhe diskutime?</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0F6CF29E"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Aspak</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61A44434"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75D9708E"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31BFE67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29F9CFEE"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6FAAAFBB"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022483B6"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4DDD8A73"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Mjaftueshëm</w:t>
            </w:r>
          </w:p>
        </w:tc>
      </w:tr>
      <w:tr w:rsidR="00990EE8" w:rsidRPr="00445472" w14:paraId="34802B41"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hideMark/>
          </w:tcPr>
          <w:p w14:paraId="13657830"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Cili është vlerësimi juaj i përgjithshëm për prezantimin?</w:t>
            </w:r>
          </w:p>
        </w:tc>
        <w:tc>
          <w:tcPr>
            <w:tcW w:w="661" w:type="pct"/>
            <w:gridSpan w:val="2"/>
            <w:tcBorders>
              <w:top w:val="nil"/>
              <w:left w:val="nil"/>
              <w:bottom w:val="single" w:sz="4" w:space="0" w:color="auto"/>
              <w:right w:val="single" w:sz="4" w:space="0" w:color="auto"/>
            </w:tcBorders>
            <w:shd w:val="clear" w:color="auto" w:fill="F2F2F2"/>
            <w:noWrap/>
            <w:vAlign w:val="center"/>
            <w:hideMark/>
          </w:tcPr>
          <w:p w14:paraId="36C0963D"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i dobët</w:t>
            </w:r>
          </w:p>
        </w:tc>
        <w:tc>
          <w:tcPr>
            <w:tcW w:w="255" w:type="pct"/>
            <w:gridSpan w:val="3"/>
            <w:tcBorders>
              <w:top w:val="nil"/>
              <w:left w:val="nil"/>
              <w:bottom w:val="single" w:sz="4" w:space="0" w:color="auto"/>
              <w:right w:val="single" w:sz="4" w:space="0" w:color="auto"/>
            </w:tcBorders>
            <w:shd w:val="clear" w:color="auto" w:fill="auto"/>
            <w:noWrap/>
            <w:vAlign w:val="center"/>
            <w:hideMark/>
          </w:tcPr>
          <w:p w14:paraId="155082F8"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3" w:type="pct"/>
            <w:gridSpan w:val="2"/>
            <w:tcBorders>
              <w:top w:val="nil"/>
              <w:left w:val="nil"/>
              <w:bottom w:val="single" w:sz="4" w:space="0" w:color="auto"/>
              <w:right w:val="single" w:sz="4" w:space="0" w:color="auto"/>
            </w:tcBorders>
            <w:shd w:val="clear" w:color="auto" w:fill="auto"/>
            <w:noWrap/>
            <w:vAlign w:val="center"/>
            <w:hideMark/>
          </w:tcPr>
          <w:p w14:paraId="4CBD31A5"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0" w:type="pct"/>
            <w:gridSpan w:val="4"/>
            <w:tcBorders>
              <w:top w:val="nil"/>
              <w:left w:val="nil"/>
              <w:bottom w:val="single" w:sz="4" w:space="0" w:color="auto"/>
              <w:right w:val="single" w:sz="4" w:space="0" w:color="auto"/>
            </w:tcBorders>
            <w:shd w:val="clear" w:color="auto" w:fill="auto"/>
            <w:noWrap/>
            <w:vAlign w:val="center"/>
            <w:hideMark/>
          </w:tcPr>
          <w:p w14:paraId="112660B5"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3"/>
            <w:tcBorders>
              <w:top w:val="nil"/>
              <w:left w:val="nil"/>
              <w:bottom w:val="single" w:sz="4" w:space="0" w:color="auto"/>
              <w:right w:val="single" w:sz="4" w:space="0" w:color="auto"/>
            </w:tcBorders>
            <w:shd w:val="clear" w:color="auto" w:fill="auto"/>
            <w:noWrap/>
            <w:vAlign w:val="center"/>
            <w:hideMark/>
          </w:tcPr>
          <w:p w14:paraId="0858CA76"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54" w:type="pct"/>
            <w:gridSpan w:val="2"/>
            <w:tcBorders>
              <w:top w:val="nil"/>
              <w:left w:val="nil"/>
              <w:bottom w:val="single" w:sz="4" w:space="0" w:color="auto"/>
              <w:right w:val="single" w:sz="4" w:space="0" w:color="auto"/>
            </w:tcBorders>
            <w:shd w:val="clear" w:color="auto" w:fill="auto"/>
            <w:noWrap/>
            <w:vAlign w:val="center"/>
            <w:hideMark/>
          </w:tcPr>
          <w:p w14:paraId="515BC804"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w:t>
            </w:r>
          </w:p>
        </w:tc>
        <w:tc>
          <w:tcPr>
            <w:tcW w:w="265" w:type="pct"/>
            <w:gridSpan w:val="3"/>
            <w:tcBorders>
              <w:top w:val="nil"/>
              <w:left w:val="nil"/>
              <w:bottom w:val="single" w:sz="4" w:space="0" w:color="auto"/>
              <w:right w:val="single" w:sz="4" w:space="0" w:color="auto"/>
            </w:tcBorders>
            <w:vAlign w:val="center"/>
          </w:tcPr>
          <w:p w14:paraId="49150F4E"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47F8F29C"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I shkëlqyer</w:t>
            </w:r>
          </w:p>
        </w:tc>
      </w:tr>
      <w:tr w:rsidR="00990EE8" w:rsidRPr="00445472" w14:paraId="22AFE81F"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tcPr>
          <w:p w14:paraId="34083BA0"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xml:space="preserve">Ju lutemi, vlerësoni njohuritë tuaja mbi objektivat e temave të trajnimit </w:t>
            </w:r>
            <w:r w:rsidRPr="00445472">
              <w:rPr>
                <w:rFonts w:ascii="Garamond" w:hAnsi="Garamond" w:cs="Arial"/>
                <w:b/>
                <w:sz w:val="18"/>
                <w:szCs w:val="18"/>
              </w:rPr>
              <w:t>përpara</w:t>
            </w:r>
            <w:r w:rsidRPr="00445472">
              <w:rPr>
                <w:rFonts w:ascii="Garamond" w:hAnsi="Garamond" w:cs="Arial"/>
                <w:sz w:val="18"/>
                <w:szCs w:val="18"/>
              </w:rPr>
              <w:t xml:space="preserve"> trajnimit</w:t>
            </w:r>
          </w:p>
        </w:tc>
        <w:tc>
          <w:tcPr>
            <w:tcW w:w="661" w:type="pct"/>
            <w:gridSpan w:val="2"/>
            <w:tcBorders>
              <w:top w:val="nil"/>
              <w:left w:val="nil"/>
              <w:bottom w:val="single" w:sz="4" w:space="0" w:color="auto"/>
              <w:right w:val="single" w:sz="4" w:space="0" w:color="auto"/>
            </w:tcBorders>
            <w:shd w:val="clear" w:color="auto" w:fill="F2F2F2"/>
            <w:noWrap/>
            <w:vAlign w:val="center"/>
          </w:tcPr>
          <w:p w14:paraId="3AE428E4"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dobët</w:t>
            </w:r>
          </w:p>
        </w:tc>
        <w:tc>
          <w:tcPr>
            <w:tcW w:w="255" w:type="pct"/>
            <w:gridSpan w:val="3"/>
            <w:tcBorders>
              <w:top w:val="nil"/>
              <w:left w:val="nil"/>
              <w:bottom w:val="single" w:sz="4" w:space="0" w:color="auto"/>
              <w:right w:val="single" w:sz="4" w:space="0" w:color="auto"/>
            </w:tcBorders>
            <w:shd w:val="clear" w:color="auto" w:fill="auto"/>
            <w:noWrap/>
            <w:vAlign w:val="center"/>
          </w:tcPr>
          <w:p w14:paraId="5E017C68" w14:textId="77777777" w:rsidR="00990EE8" w:rsidRPr="00445472" w:rsidRDefault="00990EE8" w:rsidP="00990EE8">
            <w:pPr>
              <w:spacing w:before="67" w:after="0" w:line="240" w:lineRule="auto"/>
              <w:rPr>
                <w:rFonts w:ascii="Garamond" w:hAnsi="Garamond" w:cs="Arial"/>
                <w:sz w:val="18"/>
                <w:szCs w:val="18"/>
              </w:rPr>
            </w:pPr>
          </w:p>
        </w:tc>
        <w:tc>
          <w:tcPr>
            <w:tcW w:w="253" w:type="pct"/>
            <w:gridSpan w:val="2"/>
            <w:tcBorders>
              <w:top w:val="nil"/>
              <w:left w:val="nil"/>
              <w:bottom w:val="single" w:sz="4" w:space="0" w:color="auto"/>
              <w:right w:val="single" w:sz="4" w:space="0" w:color="auto"/>
            </w:tcBorders>
            <w:shd w:val="clear" w:color="auto" w:fill="auto"/>
            <w:noWrap/>
            <w:vAlign w:val="center"/>
          </w:tcPr>
          <w:p w14:paraId="7A0E89DA" w14:textId="77777777" w:rsidR="00990EE8" w:rsidRPr="00445472" w:rsidRDefault="00990EE8" w:rsidP="00990EE8">
            <w:pPr>
              <w:spacing w:before="67" w:after="0" w:line="240" w:lineRule="auto"/>
              <w:rPr>
                <w:rFonts w:ascii="Garamond" w:hAnsi="Garamond" w:cs="Arial"/>
                <w:sz w:val="18"/>
                <w:szCs w:val="18"/>
              </w:rPr>
            </w:pPr>
          </w:p>
        </w:tc>
        <w:tc>
          <w:tcPr>
            <w:tcW w:w="260" w:type="pct"/>
            <w:gridSpan w:val="4"/>
            <w:tcBorders>
              <w:top w:val="nil"/>
              <w:left w:val="nil"/>
              <w:bottom w:val="single" w:sz="4" w:space="0" w:color="auto"/>
              <w:right w:val="single" w:sz="4" w:space="0" w:color="auto"/>
            </w:tcBorders>
            <w:shd w:val="clear" w:color="auto" w:fill="auto"/>
            <w:noWrap/>
            <w:vAlign w:val="center"/>
          </w:tcPr>
          <w:p w14:paraId="1ACB7BDD"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3"/>
            <w:tcBorders>
              <w:top w:val="nil"/>
              <w:left w:val="nil"/>
              <w:bottom w:val="single" w:sz="4" w:space="0" w:color="auto"/>
              <w:right w:val="single" w:sz="4" w:space="0" w:color="auto"/>
            </w:tcBorders>
            <w:shd w:val="clear" w:color="auto" w:fill="auto"/>
            <w:noWrap/>
            <w:vAlign w:val="center"/>
          </w:tcPr>
          <w:p w14:paraId="0B5B96F1"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2"/>
            <w:tcBorders>
              <w:top w:val="nil"/>
              <w:left w:val="nil"/>
              <w:bottom w:val="single" w:sz="4" w:space="0" w:color="auto"/>
              <w:right w:val="single" w:sz="4" w:space="0" w:color="auto"/>
            </w:tcBorders>
            <w:shd w:val="clear" w:color="auto" w:fill="auto"/>
            <w:noWrap/>
            <w:vAlign w:val="center"/>
          </w:tcPr>
          <w:p w14:paraId="53BA643B" w14:textId="77777777" w:rsidR="00990EE8" w:rsidRPr="00445472" w:rsidRDefault="00990EE8" w:rsidP="00990EE8">
            <w:pPr>
              <w:spacing w:before="67" w:after="0" w:line="240" w:lineRule="auto"/>
              <w:rPr>
                <w:rFonts w:ascii="Garamond" w:hAnsi="Garamond" w:cs="Arial"/>
                <w:sz w:val="18"/>
                <w:szCs w:val="18"/>
              </w:rPr>
            </w:pPr>
          </w:p>
        </w:tc>
        <w:tc>
          <w:tcPr>
            <w:tcW w:w="265" w:type="pct"/>
            <w:gridSpan w:val="3"/>
            <w:tcBorders>
              <w:top w:val="nil"/>
              <w:left w:val="nil"/>
              <w:bottom w:val="single" w:sz="4" w:space="0" w:color="auto"/>
              <w:right w:val="single" w:sz="4" w:space="0" w:color="auto"/>
            </w:tcBorders>
            <w:vAlign w:val="center"/>
          </w:tcPr>
          <w:p w14:paraId="30A40C9E"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2084D36E"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lart</w:t>
            </w:r>
          </w:p>
        </w:tc>
      </w:tr>
      <w:tr w:rsidR="00990EE8" w:rsidRPr="00445472" w14:paraId="4D8ADF21" w14:textId="77777777" w:rsidTr="00990EE8">
        <w:trPr>
          <w:trHeight w:val="414"/>
          <w:jc w:val="center"/>
        </w:trPr>
        <w:tc>
          <w:tcPr>
            <w:tcW w:w="1971" w:type="pct"/>
            <w:gridSpan w:val="4"/>
            <w:tcBorders>
              <w:top w:val="nil"/>
              <w:left w:val="single" w:sz="4" w:space="0" w:color="auto"/>
              <w:bottom w:val="single" w:sz="4" w:space="0" w:color="auto"/>
              <w:right w:val="single" w:sz="4" w:space="0" w:color="auto"/>
            </w:tcBorders>
            <w:shd w:val="clear" w:color="auto" w:fill="auto"/>
            <w:noWrap/>
            <w:vAlign w:val="center"/>
          </w:tcPr>
          <w:p w14:paraId="5168B9D6"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xml:space="preserve">Ju lutemi, vlerësoni njohuritë tuaja mbi objektivat e temave të trajnimit </w:t>
            </w:r>
            <w:r w:rsidRPr="00445472">
              <w:rPr>
                <w:rFonts w:ascii="Garamond" w:hAnsi="Garamond" w:cs="Arial"/>
                <w:b/>
                <w:sz w:val="18"/>
                <w:szCs w:val="18"/>
              </w:rPr>
              <w:t>pas</w:t>
            </w:r>
            <w:r w:rsidRPr="00445472">
              <w:rPr>
                <w:rFonts w:ascii="Garamond" w:hAnsi="Garamond" w:cs="Arial"/>
                <w:sz w:val="18"/>
                <w:szCs w:val="18"/>
              </w:rPr>
              <w:t xml:space="preserve"> trajnimit</w:t>
            </w:r>
          </w:p>
        </w:tc>
        <w:tc>
          <w:tcPr>
            <w:tcW w:w="661" w:type="pct"/>
            <w:gridSpan w:val="2"/>
            <w:tcBorders>
              <w:top w:val="nil"/>
              <w:left w:val="nil"/>
              <w:bottom w:val="single" w:sz="4" w:space="0" w:color="auto"/>
              <w:right w:val="single" w:sz="4" w:space="0" w:color="auto"/>
            </w:tcBorders>
            <w:shd w:val="clear" w:color="auto" w:fill="F2F2F2"/>
            <w:noWrap/>
            <w:vAlign w:val="center"/>
          </w:tcPr>
          <w:p w14:paraId="39AE3902"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 xml:space="preserve">Shumë dobët </w:t>
            </w:r>
          </w:p>
        </w:tc>
        <w:tc>
          <w:tcPr>
            <w:tcW w:w="255" w:type="pct"/>
            <w:gridSpan w:val="3"/>
            <w:tcBorders>
              <w:top w:val="nil"/>
              <w:left w:val="nil"/>
              <w:bottom w:val="single" w:sz="4" w:space="0" w:color="auto"/>
              <w:right w:val="single" w:sz="4" w:space="0" w:color="auto"/>
            </w:tcBorders>
            <w:shd w:val="clear" w:color="auto" w:fill="auto"/>
            <w:noWrap/>
            <w:vAlign w:val="center"/>
          </w:tcPr>
          <w:p w14:paraId="6BCDDBA3" w14:textId="77777777" w:rsidR="00990EE8" w:rsidRPr="00445472" w:rsidRDefault="00990EE8" w:rsidP="00990EE8">
            <w:pPr>
              <w:spacing w:before="67" w:after="0" w:line="240" w:lineRule="auto"/>
              <w:rPr>
                <w:rFonts w:ascii="Garamond" w:hAnsi="Garamond" w:cs="Arial"/>
                <w:sz w:val="18"/>
                <w:szCs w:val="18"/>
              </w:rPr>
            </w:pPr>
          </w:p>
        </w:tc>
        <w:tc>
          <w:tcPr>
            <w:tcW w:w="253" w:type="pct"/>
            <w:gridSpan w:val="2"/>
            <w:tcBorders>
              <w:top w:val="nil"/>
              <w:left w:val="nil"/>
              <w:bottom w:val="single" w:sz="4" w:space="0" w:color="auto"/>
              <w:right w:val="single" w:sz="4" w:space="0" w:color="auto"/>
            </w:tcBorders>
            <w:shd w:val="clear" w:color="auto" w:fill="auto"/>
            <w:noWrap/>
            <w:vAlign w:val="center"/>
          </w:tcPr>
          <w:p w14:paraId="536FFB38" w14:textId="77777777" w:rsidR="00990EE8" w:rsidRPr="00445472" w:rsidRDefault="00990EE8" w:rsidP="00990EE8">
            <w:pPr>
              <w:spacing w:before="67" w:after="0" w:line="240" w:lineRule="auto"/>
              <w:rPr>
                <w:rFonts w:ascii="Garamond" w:hAnsi="Garamond" w:cs="Arial"/>
                <w:sz w:val="18"/>
                <w:szCs w:val="18"/>
              </w:rPr>
            </w:pPr>
          </w:p>
        </w:tc>
        <w:tc>
          <w:tcPr>
            <w:tcW w:w="260" w:type="pct"/>
            <w:gridSpan w:val="4"/>
            <w:tcBorders>
              <w:top w:val="nil"/>
              <w:left w:val="nil"/>
              <w:bottom w:val="single" w:sz="4" w:space="0" w:color="auto"/>
              <w:right w:val="single" w:sz="4" w:space="0" w:color="auto"/>
            </w:tcBorders>
            <w:shd w:val="clear" w:color="auto" w:fill="auto"/>
            <w:noWrap/>
            <w:vAlign w:val="center"/>
          </w:tcPr>
          <w:p w14:paraId="0A0568B1"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3"/>
            <w:tcBorders>
              <w:top w:val="nil"/>
              <w:left w:val="nil"/>
              <w:bottom w:val="single" w:sz="4" w:space="0" w:color="auto"/>
              <w:right w:val="single" w:sz="4" w:space="0" w:color="auto"/>
            </w:tcBorders>
            <w:shd w:val="clear" w:color="auto" w:fill="auto"/>
            <w:noWrap/>
            <w:vAlign w:val="center"/>
          </w:tcPr>
          <w:p w14:paraId="0C8DFD82" w14:textId="77777777" w:rsidR="00990EE8" w:rsidRPr="00445472" w:rsidRDefault="00990EE8" w:rsidP="00990EE8">
            <w:pPr>
              <w:spacing w:before="67" w:after="0" w:line="240" w:lineRule="auto"/>
              <w:rPr>
                <w:rFonts w:ascii="Garamond" w:hAnsi="Garamond" w:cs="Arial"/>
                <w:sz w:val="18"/>
                <w:szCs w:val="18"/>
              </w:rPr>
            </w:pPr>
          </w:p>
        </w:tc>
        <w:tc>
          <w:tcPr>
            <w:tcW w:w="254" w:type="pct"/>
            <w:gridSpan w:val="2"/>
            <w:tcBorders>
              <w:top w:val="nil"/>
              <w:left w:val="nil"/>
              <w:bottom w:val="single" w:sz="4" w:space="0" w:color="auto"/>
              <w:right w:val="single" w:sz="4" w:space="0" w:color="auto"/>
            </w:tcBorders>
            <w:shd w:val="clear" w:color="auto" w:fill="auto"/>
            <w:noWrap/>
            <w:vAlign w:val="center"/>
          </w:tcPr>
          <w:p w14:paraId="3E432856" w14:textId="77777777" w:rsidR="00990EE8" w:rsidRPr="00445472" w:rsidRDefault="00990EE8" w:rsidP="00990EE8">
            <w:pPr>
              <w:spacing w:before="67" w:after="0" w:line="240" w:lineRule="auto"/>
              <w:rPr>
                <w:rFonts w:ascii="Garamond" w:hAnsi="Garamond" w:cs="Arial"/>
                <w:sz w:val="18"/>
                <w:szCs w:val="18"/>
              </w:rPr>
            </w:pPr>
          </w:p>
        </w:tc>
        <w:tc>
          <w:tcPr>
            <w:tcW w:w="265" w:type="pct"/>
            <w:gridSpan w:val="3"/>
            <w:tcBorders>
              <w:top w:val="nil"/>
              <w:left w:val="nil"/>
              <w:bottom w:val="single" w:sz="4" w:space="0" w:color="auto"/>
              <w:right w:val="single" w:sz="4" w:space="0" w:color="auto"/>
            </w:tcBorders>
            <w:vAlign w:val="center"/>
          </w:tcPr>
          <w:p w14:paraId="316F495A" w14:textId="77777777" w:rsidR="00990EE8" w:rsidRPr="00445472" w:rsidRDefault="00990EE8" w:rsidP="00990EE8">
            <w:pPr>
              <w:spacing w:before="67" w:after="0" w:line="240" w:lineRule="auto"/>
              <w:rPr>
                <w:rFonts w:ascii="Garamond" w:hAnsi="Garamond" w:cs="Arial"/>
                <w:sz w:val="18"/>
                <w:szCs w:val="18"/>
              </w:rPr>
            </w:pPr>
          </w:p>
        </w:tc>
        <w:tc>
          <w:tcPr>
            <w:tcW w:w="828" w:type="pct"/>
            <w:gridSpan w:val="6"/>
            <w:tcBorders>
              <w:top w:val="nil"/>
              <w:left w:val="nil"/>
              <w:bottom w:val="single" w:sz="4" w:space="0" w:color="auto"/>
              <w:right w:val="single" w:sz="4" w:space="0" w:color="auto"/>
            </w:tcBorders>
            <w:shd w:val="clear" w:color="auto" w:fill="F2F2F2"/>
            <w:vAlign w:val="center"/>
          </w:tcPr>
          <w:p w14:paraId="155DE0EF" w14:textId="77777777" w:rsidR="00990EE8" w:rsidRPr="00445472" w:rsidRDefault="00990EE8" w:rsidP="00990EE8">
            <w:pPr>
              <w:spacing w:before="67" w:after="0" w:line="240" w:lineRule="auto"/>
              <w:rPr>
                <w:rFonts w:ascii="Garamond" w:hAnsi="Garamond" w:cs="Arial"/>
                <w:sz w:val="18"/>
                <w:szCs w:val="18"/>
              </w:rPr>
            </w:pPr>
            <w:r w:rsidRPr="00445472">
              <w:rPr>
                <w:rFonts w:ascii="Garamond" w:hAnsi="Garamond" w:cs="Arial"/>
                <w:sz w:val="18"/>
                <w:szCs w:val="18"/>
              </w:rPr>
              <w:t>Shumë lart</w:t>
            </w:r>
          </w:p>
        </w:tc>
      </w:tr>
      <w:tr w:rsidR="00990EE8" w:rsidRPr="00445472" w14:paraId="099AB9AD" w14:textId="77777777" w:rsidTr="00990EE8">
        <w:trPr>
          <w:trHeight w:val="170"/>
          <w:jc w:val="center"/>
        </w:trPr>
        <w:tc>
          <w:tcPr>
            <w:tcW w:w="1971" w:type="pct"/>
            <w:gridSpan w:val="4"/>
            <w:tcBorders>
              <w:top w:val="nil"/>
              <w:left w:val="nil"/>
              <w:bottom w:val="nil"/>
              <w:right w:val="nil"/>
            </w:tcBorders>
            <w:shd w:val="clear" w:color="auto" w:fill="auto"/>
            <w:noWrap/>
            <w:vAlign w:val="center"/>
            <w:hideMark/>
          </w:tcPr>
          <w:p w14:paraId="639ED891" w14:textId="77777777" w:rsidR="00990EE8" w:rsidRPr="00445472" w:rsidRDefault="00990EE8" w:rsidP="00990EE8">
            <w:pPr>
              <w:spacing w:after="0" w:line="240" w:lineRule="auto"/>
              <w:rPr>
                <w:rFonts w:ascii="Garamond" w:hAnsi="Garamond" w:cs="Arial"/>
                <w:sz w:val="18"/>
                <w:szCs w:val="18"/>
              </w:rPr>
            </w:pPr>
          </w:p>
        </w:tc>
        <w:tc>
          <w:tcPr>
            <w:tcW w:w="739" w:type="pct"/>
            <w:gridSpan w:val="3"/>
            <w:tcBorders>
              <w:top w:val="nil"/>
              <w:left w:val="nil"/>
              <w:bottom w:val="nil"/>
              <w:right w:val="nil"/>
            </w:tcBorders>
            <w:shd w:val="clear" w:color="auto" w:fill="auto"/>
            <w:noWrap/>
            <w:vAlign w:val="center"/>
            <w:hideMark/>
          </w:tcPr>
          <w:p w14:paraId="5FE71BE0" w14:textId="77777777" w:rsidR="00990EE8" w:rsidRPr="00445472" w:rsidRDefault="00990EE8" w:rsidP="00990EE8">
            <w:pPr>
              <w:spacing w:after="0" w:line="240" w:lineRule="auto"/>
              <w:rPr>
                <w:rFonts w:ascii="Garamond" w:hAnsi="Garamond" w:cs="Arial"/>
                <w:sz w:val="18"/>
                <w:szCs w:val="18"/>
              </w:rPr>
            </w:pPr>
          </w:p>
        </w:tc>
        <w:tc>
          <w:tcPr>
            <w:tcW w:w="483" w:type="pct"/>
            <w:gridSpan w:val="6"/>
            <w:tcBorders>
              <w:top w:val="nil"/>
              <w:left w:val="nil"/>
              <w:bottom w:val="nil"/>
              <w:right w:val="nil"/>
            </w:tcBorders>
            <w:shd w:val="clear" w:color="auto" w:fill="auto"/>
            <w:noWrap/>
            <w:vAlign w:val="center"/>
            <w:hideMark/>
          </w:tcPr>
          <w:p w14:paraId="40253B1D" w14:textId="77777777" w:rsidR="00990EE8" w:rsidRPr="00445472" w:rsidRDefault="00990EE8" w:rsidP="00990EE8">
            <w:pPr>
              <w:spacing w:after="0" w:line="240" w:lineRule="auto"/>
              <w:rPr>
                <w:rFonts w:ascii="Garamond" w:hAnsi="Garamond" w:cs="Arial"/>
                <w:sz w:val="18"/>
                <w:szCs w:val="18"/>
              </w:rPr>
            </w:pPr>
          </w:p>
        </w:tc>
        <w:tc>
          <w:tcPr>
            <w:tcW w:w="332" w:type="pct"/>
            <w:gridSpan w:val="4"/>
            <w:tcBorders>
              <w:top w:val="nil"/>
              <w:left w:val="nil"/>
              <w:bottom w:val="nil"/>
              <w:right w:val="nil"/>
            </w:tcBorders>
            <w:shd w:val="clear" w:color="auto" w:fill="auto"/>
            <w:noWrap/>
            <w:vAlign w:val="center"/>
            <w:hideMark/>
          </w:tcPr>
          <w:p w14:paraId="6F59A019" w14:textId="77777777" w:rsidR="00990EE8" w:rsidRPr="00445472" w:rsidRDefault="00990EE8" w:rsidP="00990EE8">
            <w:pPr>
              <w:spacing w:after="0" w:line="240" w:lineRule="auto"/>
              <w:rPr>
                <w:rFonts w:ascii="Garamond" w:hAnsi="Garamond" w:cs="Arial"/>
                <w:sz w:val="18"/>
                <w:szCs w:val="18"/>
              </w:rPr>
            </w:pPr>
          </w:p>
        </w:tc>
        <w:tc>
          <w:tcPr>
            <w:tcW w:w="364" w:type="pct"/>
            <w:gridSpan w:val="2"/>
            <w:tcBorders>
              <w:top w:val="nil"/>
              <w:left w:val="nil"/>
              <w:bottom w:val="nil"/>
              <w:right w:val="nil"/>
            </w:tcBorders>
            <w:shd w:val="clear" w:color="auto" w:fill="auto"/>
            <w:noWrap/>
            <w:vAlign w:val="center"/>
            <w:hideMark/>
          </w:tcPr>
          <w:p w14:paraId="5C5FD3BE" w14:textId="77777777" w:rsidR="00990EE8" w:rsidRPr="00445472" w:rsidRDefault="00990EE8" w:rsidP="00990EE8">
            <w:pPr>
              <w:spacing w:after="0" w:line="240" w:lineRule="auto"/>
              <w:rPr>
                <w:rFonts w:ascii="Garamond" w:hAnsi="Garamond" w:cs="Arial"/>
                <w:sz w:val="18"/>
                <w:szCs w:val="18"/>
              </w:rPr>
            </w:pPr>
          </w:p>
        </w:tc>
        <w:tc>
          <w:tcPr>
            <w:tcW w:w="180" w:type="pct"/>
            <w:gridSpan w:val="3"/>
            <w:tcBorders>
              <w:top w:val="nil"/>
              <w:left w:val="nil"/>
              <w:bottom w:val="nil"/>
              <w:right w:val="nil"/>
            </w:tcBorders>
            <w:shd w:val="clear" w:color="auto" w:fill="auto"/>
            <w:noWrap/>
            <w:vAlign w:val="center"/>
            <w:hideMark/>
          </w:tcPr>
          <w:p w14:paraId="634B192E" w14:textId="77777777" w:rsidR="00990EE8" w:rsidRPr="00445472" w:rsidRDefault="00990EE8" w:rsidP="00990EE8">
            <w:pPr>
              <w:spacing w:after="0" w:line="240" w:lineRule="auto"/>
              <w:rPr>
                <w:rFonts w:ascii="Garamond" w:hAnsi="Garamond" w:cs="Arial"/>
                <w:sz w:val="18"/>
                <w:szCs w:val="18"/>
              </w:rPr>
            </w:pPr>
          </w:p>
        </w:tc>
        <w:tc>
          <w:tcPr>
            <w:tcW w:w="128" w:type="pct"/>
            <w:gridSpan w:val="4"/>
            <w:tcBorders>
              <w:top w:val="nil"/>
              <w:left w:val="nil"/>
              <w:bottom w:val="nil"/>
              <w:right w:val="nil"/>
            </w:tcBorders>
            <w:vAlign w:val="center"/>
          </w:tcPr>
          <w:p w14:paraId="5311EEE6" w14:textId="77777777" w:rsidR="00990EE8" w:rsidRPr="00445472" w:rsidRDefault="00990EE8" w:rsidP="00990EE8">
            <w:pPr>
              <w:spacing w:after="0" w:line="240" w:lineRule="auto"/>
              <w:rPr>
                <w:rFonts w:ascii="Garamond" w:hAnsi="Garamond" w:cs="Arial"/>
                <w:sz w:val="18"/>
                <w:szCs w:val="18"/>
              </w:rPr>
            </w:pPr>
          </w:p>
        </w:tc>
        <w:tc>
          <w:tcPr>
            <w:tcW w:w="802" w:type="pct"/>
            <w:gridSpan w:val="3"/>
            <w:tcBorders>
              <w:top w:val="nil"/>
              <w:left w:val="nil"/>
              <w:bottom w:val="nil"/>
              <w:right w:val="nil"/>
            </w:tcBorders>
            <w:vAlign w:val="center"/>
          </w:tcPr>
          <w:p w14:paraId="7206CAB0" w14:textId="77777777" w:rsidR="00990EE8" w:rsidRPr="00445472" w:rsidRDefault="00990EE8" w:rsidP="00990EE8">
            <w:pPr>
              <w:spacing w:after="0" w:line="240" w:lineRule="auto"/>
              <w:rPr>
                <w:rFonts w:ascii="Garamond" w:hAnsi="Garamond" w:cs="Arial"/>
                <w:sz w:val="18"/>
                <w:szCs w:val="18"/>
              </w:rPr>
            </w:pPr>
          </w:p>
        </w:tc>
      </w:tr>
      <w:tr w:rsidR="00990EE8" w:rsidRPr="00445472" w14:paraId="0BE2D9CD" w14:textId="77777777" w:rsidTr="00990EE8">
        <w:trPr>
          <w:trHeight w:val="240"/>
          <w:jc w:val="center"/>
        </w:trPr>
        <w:tc>
          <w:tcPr>
            <w:tcW w:w="4070" w:type="pct"/>
            <w:gridSpan w:val="22"/>
            <w:tcBorders>
              <w:top w:val="nil"/>
              <w:left w:val="nil"/>
              <w:bottom w:val="single" w:sz="4" w:space="0" w:color="auto"/>
              <w:right w:val="nil"/>
            </w:tcBorders>
            <w:shd w:val="clear" w:color="auto" w:fill="auto"/>
            <w:noWrap/>
            <w:vAlign w:val="center"/>
            <w:hideMark/>
          </w:tcPr>
          <w:p w14:paraId="0FD1DF84" w14:textId="5864AE75" w:rsidR="00990EE8" w:rsidRPr="00445472" w:rsidRDefault="00990EE8" w:rsidP="00062A53">
            <w:pPr>
              <w:spacing w:after="0" w:line="240" w:lineRule="auto"/>
              <w:rPr>
                <w:rFonts w:ascii="Garamond" w:hAnsi="Garamond" w:cs="Arial"/>
                <w:sz w:val="18"/>
                <w:szCs w:val="18"/>
              </w:rPr>
            </w:pPr>
            <w:r w:rsidRPr="00445472">
              <w:rPr>
                <w:rFonts w:ascii="Garamond" w:hAnsi="Garamond" w:cs="Arial"/>
                <w:sz w:val="18"/>
                <w:szCs w:val="18"/>
              </w:rPr>
              <w:t xml:space="preserve">Cila është gjëja më interesante/e dobishme që keni mësuar gjatë </w:t>
            </w:r>
            <w:r w:rsidRPr="006C12C5">
              <w:rPr>
                <w:rFonts w:ascii="Garamond" w:hAnsi="Garamond" w:cs="Arial"/>
                <w:sz w:val="18"/>
                <w:szCs w:val="18"/>
              </w:rPr>
              <w:t>trajnimitinteresit?</w:t>
            </w:r>
            <w:r w:rsidRPr="00445472">
              <w:rPr>
                <w:rFonts w:ascii="Garamond" w:hAnsi="Garamond" w:cs="Arial"/>
                <w:sz w:val="18"/>
                <w:szCs w:val="18"/>
              </w:rPr>
              <w:t xml:space="preserve"> </w:t>
            </w:r>
          </w:p>
        </w:tc>
        <w:tc>
          <w:tcPr>
            <w:tcW w:w="128" w:type="pct"/>
            <w:gridSpan w:val="4"/>
            <w:tcBorders>
              <w:top w:val="nil"/>
              <w:left w:val="nil"/>
              <w:bottom w:val="single" w:sz="4" w:space="0" w:color="auto"/>
              <w:right w:val="nil"/>
            </w:tcBorders>
            <w:vAlign w:val="center"/>
          </w:tcPr>
          <w:p w14:paraId="0178913D" w14:textId="77777777" w:rsidR="00990EE8" w:rsidRPr="00445472" w:rsidRDefault="00990EE8" w:rsidP="00990EE8">
            <w:pPr>
              <w:spacing w:after="0" w:line="240" w:lineRule="auto"/>
              <w:rPr>
                <w:rFonts w:ascii="Garamond" w:hAnsi="Garamond" w:cs="Arial"/>
                <w:sz w:val="18"/>
                <w:szCs w:val="18"/>
              </w:rPr>
            </w:pPr>
          </w:p>
        </w:tc>
        <w:tc>
          <w:tcPr>
            <w:tcW w:w="802" w:type="pct"/>
            <w:gridSpan w:val="3"/>
            <w:tcBorders>
              <w:top w:val="nil"/>
              <w:left w:val="nil"/>
              <w:bottom w:val="single" w:sz="4" w:space="0" w:color="auto"/>
              <w:right w:val="nil"/>
            </w:tcBorders>
            <w:vAlign w:val="center"/>
          </w:tcPr>
          <w:p w14:paraId="0968932D" w14:textId="77777777" w:rsidR="00990EE8" w:rsidRPr="00445472" w:rsidRDefault="00990EE8" w:rsidP="00990EE8">
            <w:pPr>
              <w:spacing w:after="0" w:line="240" w:lineRule="auto"/>
              <w:rPr>
                <w:rFonts w:ascii="Garamond" w:hAnsi="Garamond" w:cs="Arial"/>
                <w:sz w:val="18"/>
                <w:szCs w:val="18"/>
              </w:rPr>
            </w:pPr>
          </w:p>
        </w:tc>
      </w:tr>
      <w:tr w:rsidR="00990EE8" w:rsidRPr="00445472" w14:paraId="76113EE1" w14:textId="77777777" w:rsidTr="00990EE8">
        <w:trPr>
          <w:trHeight w:val="627"/>
          <w:jc w:val="center"/>
        </w:trPr>
        <w:tc>
          <w:tcPr>
            <w:tcW w:w="4070" w:type="pct"/>
            <w:gridSpan w:val="22"/>
            <w:tcBorders>
              <w:top w:val="single" w:sz="4" w:space="0" w:color="auto"/>
              <w:left w:val="single" w:sz="4" w:space="0" w:color="auto"/>
              <w:bottom w:val="single" w:sz="4" w:space="0" w:color="auto"/>
            </w:tcBorders>
            <w:shd w:val="clear" w:color="auto" w:fill="auto"/>
            <w:noWrap/>
            <w:vAlign w:val="center"/>
            <w:hideMark/>
          </w:tcPr>
          <w:p w14:paraId="18CA5226" w14:textId="77777777" w:rsidR="00990EE8" w:rsidRPr="00445472" w:rsidRDefault="00990EE8" w:rsidP="00990EE8">
            <w:pPr>
              <w:spacing w:before="67" w:after="89"/>
              <w:rPr>
                <w:rFonts w:ascii="Garamond" w:hAnsi="Garamond" w:cs="Arial"/>
                <w:sz w:val="18"/>
                <w:szCs w:val="18"/>
              </w:rPr>
            </w:pPr>
            <w:r w:rsidRPr="00445472">
              <w:rPr>
                <w:rFonts w:ascii="Garamond" w:hAnsi="Garamond" w:cs="Arial"/>
                <w:sz w:val="18"/>
                <w:szCs w:val="18"/>
              </w:rPr>
              <w:t> </w:t>
            </w:r>
          </w:p>
        </w:tc>
        <w:tc>
          <w:tcPr>
            <w:tcW w:w="128" w:type="pct"/>
            <w:gridSpan w:val="4"/>
            <w:tcBorders>
              <w:top w:val="single" w:sz="4" w:space="0" w:color="auto"/>
              <w:bottom w:val="single" w:sz="4" w:space="0" w:color="auto"/>
            </w:tcBorders>
            <w:vAlign w:val="center"/>
          </w:tcPr>
          <w:p w14:paraId="24BE2E45" w14:textId="77777777" w:rsidR="00990EE8" w:rsidRPr="00445472" w:rsidRDefault="00990EE8" w:rsidP="00990EE8">
            <w:pPr>
              <w:spacing w:before="67" w:after="89"/>
              <w:rPr>
                <w:rFonts w:ascii="Garamond" w:hAnsi="Garamond" w:cs="Arial"/>
                <w:sz w:val="18"/>
                <w:szCs w:val="18"/>
              </w:rPr>
            </w:pPr>
          </w:p>
        </w:tc>
        <w:tc>
          <w:tcPr>
            <w:tcW w:w="802" w:type="pct"/>
            <w:gridSpan w:val="3"/>
            <w:tcBorders>
              <w:top w:val="single" w:sz="4" w:space="0" w:color="auto"/>
              <w:left w:val="nil"/>
              <w:bottom w:val="single" w:sz="4" w:space="0" w:color="auto"/>
              <w:right w:val="single" w:sz="4" w:space="0" w:color="000000"/>
            </w:tcBorders>
            <w:vAlign w:val="center"/>
          </w:tcPr>
          <w:p w14:paraId="2F01E093" w14:textId="77777777" w:rsidR="00990EE8" w:rsidRPr="00445472" w:rsidRDefault="00990EE8" w:rsidP="00990EE8">
            <w:pPr>
              <w:spacing w:before="67" w:after="89"/>
              <w:rPr>
                <w:rFonts w:ascii="Garamond" w:hAnsi="Garamond" w:cs="Arial"/>
                <w:sz w:val="18"/>
                <w:szCs w:val="18"/>
              </w:rPr>
            </w:pPr>
          </w:p>
        </w:tc>
      </w:tr>
      <w:tr w:rsidR="00990EE8" w:rsidRPr="00445472" w14:paraId="0B2ECC46" w14:textId="77777777" w:rsidTr="00990EE8">
        <w:trPr>
          <w:trHeight w:val="235"/>
          <w:jc w:val="center"/>
        </w:trPr>
        <w:tc>
          <w:tcPr>
            <w:tcW w:w="1971" w:type="pct"/>
            <w:gridSpan w:val="4"/>
            <w:tcBorders>
              <w:top w:val="nil"/>
              <w:left w:val="nil"/>
              <w:bottom w:val="nil"/>
              <w:right w:val="nil"/>
            </w:tcBorders>
            <w:shd w:val="clear" w:color="auto" w:fill="auto"/>
            <w:noWrap/>
            <w:vAlign w:val="center"/>
            <w:hideMark/>
          </w:tcPr>
          <w:p w14:paraId="0EA62D46" w14:textId="77777777" w:rsidR="00990EE8" w:rsidRPr="00445472" w:rsidRDefault="00990EE8" w:rsidP="00990EE8">
            <w:pPr>
              <w:spacing w:after="0" w:line="240" w:lineRule="auto"/>
              <w:rPr>
                <w:rFonts w:ascii="Garamond" w:hAnsi="Garamond" w:cs="Arial"/>
                <w:sz w:val="18"/>
                <w:szCs w:val="18"/>
              </w:rPr>
            </w:pPr>
          </w:p>
        </w:tc>
        <w:tc>
          <w:tcPr>
            <w:tcW w:w="661" w:type="pct"/>
            <w:gridSpan w:val="2"/>
            <w:tcBorders>
              <w:top w:val="nil"/>
              <w:left w:val="nil"/>
              <w:bottom w:val="nil"/>
              <w:right w:val="nil"/>
            </w:tcBorders>
            <w:shd w:val="clear" w:color="auto" w:fill="auto"/>
            <w:noWrap/>
            <w:vAlign w:val="center"/>
            <w:hideMark/>
          </w:tcPr>
          <w:p w14:paraId="1823851D" w14:textId="77777777" w:rsidR="00990EE8" w:rsidRPr="00445472" w:rsidRDefault="00990EE8" w:rsidP="00990EE8">
            <w:pPr>
              <w:spacing w:after="0" w:line="240" w:lineRule="auto"/>
              <w:rPr>
                <w:rFonts w:ascii="Garamond" w:hAnsi="Garamond" w:cs="Arial"/>
                <w:sz w:val="18"/>
                <w:szCs w:val="18"/>
              </w:rPr>
            </w:pPr>
          </w:p>
        </w:tc>
        <w:tc>
          <w:tcPr>
            <w:tcW w:w="188" w:type="pct"/>
            <w:gridSpan w:val="2"/>
            <w:tcBorders>
              <w:top w:val="nil"/>
              <w:left w:val="nil"/>
              <w:bottom w:val="nil"/>
              <w:right w:val="nil"/>
            </w:tcBorders>
            <w:shd w:val="clear" w:color="auto" w:fill="auto"/>
            <w:noWrap/>
            <w:vAlign w:val="center"/>
            <w:hideMark/>
          </w:tcPr>
          <w:p w14:paraId="25B6633B" w14:textId="77777777" w:rsidR="00990EE8" w:rsidRPr="00445472" w:rsidRDefault="00990EE8" w:rsidP="00990EE8">
            <w:pPr>
              <w:spacing w:after="0" w:line="240" w:lineRule="auto"/>
              <w:rPr>
                <w:rFonts w:ascii="Garamond" w:hAnsi="Garamond" w:cs="Arial"/>
                <w:sz w:val="18"/>
                <w:szCs w:val="18"/>
              </w:rPr>
            </w:pPr>
          </w:p>
        </w:tc>
        <w:tc>
          <w:tcPr>
            <w:tcW w:w="359" w:type="pct"/>
            <w:gridSpan w:val="4"/>
            <w:tcBorders>
              <w:top w:val="nil"/>
              <w:left w:val="nil"/>
              <w:bottom w:val="nil"/>
              <w:right w:val="nil"/>
            </w:tcBorders>
            <w:shd w:val="clear" w:color="auto" w:fill="auto"/>
            <w:noWrap/>
            <w:vAlign w:val="center"/>
            <w:hideMark/>
          </w:tcPr>
          <w:p w14:paraId="6109A307" w14:textId="77777777" w:rsidR="00990EE8" w:rsidRPr="00445472" w:rsidRDefault="00990EE8" w:rsidP="00990EE8">
            <w:pPr>
              <w:spacing w:after="0" w:line="240" w:lineRule="auto"/>
              <w:rPr>
                <w:rFonts w:ascii="Garamond" w:hAnsi="Garamond" w:cs="Arial"/>
                <w:sz w:val="18"/>
                <w:szCs w:val="18"/>
              </w:rPr>
            </w:pPr>
          </w:p>
        </w:tc>
        <w:tc>
          <w:tcPr>
            <w:tcW w:w="127" w:type="pct"/>
            <w:gridSpan w:val="2"/>
            <w:tcBorders>
              <w:top w:val="nil"/>
              <w:left w:val="nil"/>
              <w:bottom w:val="nil"/>
              <w:right w:val="nil"/>
            </w:tcBorders>
            <w:shd w:val="clear" w:color="auto" w:fill="auto"/>
            <w:noWrap/>
            <w:vAlign w:val="center"/>
            <w:hideMark/>
          </w:tcPr>
          <w:p w14:paraId="49C02027" w14:textId="77777777" w:rsidR="00990EE8" w:rsidRPr="00445472" w:rsidRDefault="00990EE8" w:rsidP="00990EE8">
            <w:pPr>
              <w:spacing w:after="0" w:line="240" w:lineRule="auto"/>
              <w:rPr>
                <w:rFonts w:ascii="Garamond" w:hAnsi="Garamond" w:cs="Arial"/>
                <w:sz w:val="18"/>
                <w:szCs w:val="18"/>
              </w:rPr>
            </w:pPr>
          </w:p>
        </w:tc>
        <w:tc>
          <w:tcPr>
            <w:tcW w:w="191" w:type="pct"/>
            <w:gridSpan w:val="2"/>
            <w:tcBorders>
              <w:top w:val="nil"/>
              <w:left w:val="nil"/>
              <w:bottom w:val="nil"/>
              <w:right w:val="nil"/>
            </w:tcBorders>
            <w:shd w:val="clear" w:color="auto" w:fill="auto"/>
            <w:noWrap/>
            <w:vAlign w:val="center"/>
            <w:hideMark/>
          </w:tcPr>
          <w:p w14:paraId="6A9E657C" w14:textId="77777777" w:rsidR="00990EE8" w:rsidRPr="00445472" w:rsidRDefault="00990EE8" w:rsidP="00990EE8">
            <w:pPr>
              <w:spacing w:after="0" w:line="240" w:lineRule="auto"/>
              <w:rPr>
                <w:rFonts w:ascii="Garamond" w:hAnsi="Garamond" w:cs="Arial"/>
                <w:sz w:val="18"/>
                <w:szCs w:val="18"/>
              </w:rPr>
            </w:pPr>
          </w:p>
        </w:tc>
        <w:tc>
          <w:tcPr>
            <w:tcW w:w="695" w:type="pct"/>
            <w:gridSpan w:val="9"/>
            <w:tcBorders>
              <w:top w:val="nil"/>
              <w:left w:val="nil"/>
              <w:bottom w:val="nil"/>
              <w:right w:val="nil"/>
            </w:tcBorders>
            <w:shd w:val="clear" w:color="auto" w:fill="auto"/>
            <w:noWrap/>
            <w:vAlign w:val="center"/>
            <w:hideMark/>
          </w:tcPr>
          <w:p w14:paraId="59A846C6" w14:textId="77777777" w:rsidR="00990EE8" w:rsidRPr="00445472" w:rsidRDefault="00990EE8" w:rsidP="00990EE8">
            <w:pPr>
              <w:spacing w:after="0" w:line="240" w:lineRule="auto"/>
              <w:rPr>
                <w:rFonts w:ascii="Garamond" w:hAnsi="Garamond" w:cs="Arial"/>
                <w:sz w:val="18"/>
                <w:szCs w:val="18"/>
              </w:rPr>
            </w:pPr>
          </w:p>
        </w:tc>
        <w:tc>
          <w:tcPr>
            <w:tcW w:w="127" w:type="pct"/>
            <w:gridSpan w:val="3"/>
            <w:tcBorders>
              <w:top w:val="nil"/>
              <w:left w:val="nil"/>
              <w:bottom w:val="nil"/>
              <w:right w:val="nil"/>
            </w:tcBorders>
            <w:vAlign w:val="center"/>
          </w:tcPr>
          <w:p w14:paraId="27AFF605" w14:textId="77777777" w:rsidR="00990EE8" w:rsidRPr="00445472" w:rsidRDefault="00990EE8" w:rsidP="00990EE8">
            <w:pPr>
              <w:spacing w:after="0" w:line="240" w:lineRule="auto"/>
              <w:rPr>
                <w:rFonts w:ascii="Garamond" w:hAnsi="Garamond" w:cs="Arial"/>
                <w:sz w:val="18"/>
                <w:szCs w:val="18"/>
              </w:rPr>
            </w:pPr>
          </w:p>
        </w:tc>
        <w:tc>
          <w:tcPr>
            <w:tcW w:w="681" w:type="pct"/>
            <w:tcBorders>
              <w:top w:val="nil"/>
              <w:left w:val="nil"/>
              <w:bottom w:val="nil"/>
              <w:right w:val="nil"/>
            </w:tcBorders>
            <w:vAlign w:val="center"/>
          </w:tcPr>
          <w:p w14:paraId="247DDA5C" w14:textId="77777777" w:rsidR="00990EE8" w:rsidRPr="00445472" w:rsidRDefault="00990EE8" w:rsidP="00990EE8">
            <w:pPr>
              <w:spacing w:after="0" w:line="240" w:lineRule="auto"/>
              <w:rPr>
                <w:rFonts w:ascii="Garamond" w:hAnsi="Garamond" w:cs="Arial"/>
                <w:sz w:val="18"/>
                <w:szCs w:val="18"/>
              </w:rPr>
            </w:pPr>
          </w:p>
        </w:tc>
      </w:tr>
      <w:tr w:rsidR="00990EE8" w:rsidRPr="00445472" w14:paraId="0FD96B1F" w14:textId="77777777" w:rsidTr="00990EE8">
        <w:trPr>
          <w:trHeight w:val="225"/>
          <w:jc w:val="center"/>
        </w:trPr>
        <w:tc>
          <w:tcPr>
            <w:tcW w:w="4070" w:type="pct"/>
            <w:gridSpan w:val="22"/>
            <w:tcBorders>
              <w:top w:val="nil"/>
              <w:left w:val="nil"/>
              <w:bottom w:val="single" w:sz="4" w:space="0" w:color="auto"/>
              <w:right w:val="nil"/>
            </w:tcBorders>
            <w:shd w:val="clear" w:color="auto" w:fill="auto"/>
            <w:noWrap/>
            <w:vAlign w:val="center"/>
            <w:hideMark/>
          </w:tcPr>
          <w:p w14:paraId="1D5F4C89" w14:textId="77777777" w:rsidR="00990EE8" w:rsidRPr="00445472" w:rsidRDefault="00990EE8" w:rsidP="00990EE8">
            <w:pPr>
              <w:spacing w:after="0" w:line="240" w:lineRule="auto"/>
              <w:rPr>
                <w:rFonts w:ascii="Garamond" w:hAnsi="Garamond" w:cs="Arial"/>
                <w:sz w:val="18"/>
                <w:szCs w:val="18"/>
              </w:rPr>
            </w:pPr>
            <w:r w:rsidRPr="00445472">
              <w:rPr>
                <w:rFonts w:ascii="Garamond" w:hAnsi="Garamond" w:cs="Arial"/>
                <w:sz w:val="18"/>
                <w:szCs w:val="18"/>
              </w:rPr>
              <w:t>Ju lutemi jepni rekomandime se çfarë mund të përmirësohet gjatë trajnimit.</w:t>
            </w:r>
          </w:p>
        </w:tc>
        <w:tc>
          <w:tcPr>
            <w:tcW w:w="128" w:type="pct"/>
            <w:gridSpan w:val="4"/>
            <w:tcBorders>
              <w:top w:val="nil"/>
              <w:left w:val="nil"/>
              <w:bottom w:val="single" w:sz="4" w:space="0" w:color="auto"/>
              <w:right w:val="nil"/>
            </w:tcBorders>
            <w:vAlign w:val="center"/>
          </w:tcPr>
          <w:p w14:paraId="6C07D299" w14:textId="77777777" w:rsidR="00990EE8" w:rsidRPr="00445472" w:rsidRDefault="00990EE8" w:rsidP="00990EE8">
            <w:pPr>
              <w:spacing w:after="0" w:line="240" w:lineRule="auto"/>
              <w:rPr>
                <w:rFonts w:ascii="Garamond" w:hAnsi="Garamond" w:cs="Arial"/>
                <w:sz w:val="18"/>
                <w:szCs w:val="18"/>
              </w:rPr>
            </w:pPr>
          </w:p>
        </w:tc>
        <w:tc>
          <w:tcPr>
            <w:tcW w:w="802" w:type="pct"/>
            <w:gridSpan w:val="3"/>
            <w:tcBorders>
              <w:top w:val="nil"/>
              <w:left w:val="nil"/>
              <w:bottom w:val="single" w:sz="4" w:space="0" w:color="auto"/>
              <w:right w:val="nil"/>
            </w:tcBorders>
            <w:vAlign w:val="center"/>
          </w:tcPr>
          <w:p w14:paraId="03272595" w14:textId="77777777" w:rsidR="00990EE8" w:rsidRPr="00445472" w:rsidRDefault="00990EE8" w:rsidP="00990EE8">
            <w:pPr>
              <w:spacing w:after="0" w:line="240" w:lineRule="auto"/>
              <w:rPr>
                <w:rFonts w:ascii="Garamond" w:hAnsi="Garamond" w:cs="Arial"/>
                <w:sz w:val="18"/>
                <w:szCs w:val="18"/>
              </w:rPr>
            </w:pPr>
          </w:p>
        </w:tc>
      </w:tr>
      <w:tr w:rsidR="00990EE8" w:rsidRPr="00445472" w14:paraId="0E9FB042" w14:textId="77777777" w:rsidTr="00990EE8">
        <w:trPr>
          <w:trHeight w:val="576"/>
          <w:jc w:val="center"/>
        </w:trPr>
        <w:tc>
          <w:tcPr>
            <w:tcW w:w="4070" w:type="pct"/>
            <w:gridSpan w:val="22"/>
            <w:tcBorders>
              <w:top w:val="single" w:sz="4" w:space="0" w:color="auto"/>
              <w:left w:val="single" w:sz="4" w:space="0" w:color="auto"/>
            </w:tcBorders>
            <w:shd w:val="clear" w:color="auto" w:fill="auto"/>
            <w:noWrap/>
            <w:vAlign w:val="center"/>
            <w:hideMark/>
          </w:tcPr>
          <w:p w14:paraId="22EF3B43" w14:textId="77777777" w:rsidR="00990EE8" w:rsidRPr="00445472" w:rsidRDefault="00990EE8" w:rsidP="00990EE8">
            <w:pPr>
              <w:spacing w:before="67" w:after="89"/>
              <w:rPr>
                <w:rFonts w:ascii="Garamond" w:hAnsi="Garamond" w:cs="Arial"/>
                <w:sz w:val="18"/>
                <w:szCs w:val="18"/>
              </w:rPr>
            </w:pPr>
          </w:p>
        </w:tc>
        <w:tc>
          <w:tcPr>
            <w:tcW w:w="128" w:type="pct"/>
            <w:gridSpan w:val="4"/>
            <w:tcBorders>
              <w:top w:val="single" w:sz="4" w:space="0" w:color="auto"/>
            </w:tcBorders>
            <w:vAlign w:val="center"/>
          </w:tcPr>
          <w:p w14:paraId="4EC15042" w14:textId="77777777" w:rsidR="00990EE8" w:rsidRPr="00445472" w:rsidRDefault="00990EE8" w:rsidP="00990EE8">
            <w:pPr>
              <w:spacing w:before="67" w:after="89"/>
              <w:rPr>
                <w:rFonts w:ascii="Garamond" w:hAnsi="Garamond" w:cs="Arial"/>
                <w:sz w:val="18"/>
                <w:szCs w:val="18"/>
              </w:rPr>
            </w:pPr>
          </w:p>
        </w:tc>
        <w:tc>
          <w:tcPr>
            <w:tcW w:w="802" w:type="pct"/>
            <w:gridSpan w:val="3"/>
            <w:tcBorders>
              <w:top w:val="single" w:sz="4" w:space="0" w:color="auto"/>
              <w:left w:val="nil"/>
              <w:right w:val="single" w:sz="4" w:space="0" w:color="auto"/>
            </w:tcBorders>
            <w:vAlign w:val="center"/>
          </w:tcPr>
          <w:p w14:paraId="6930C26D" w14:textId="77777777" w:rsidR="00990EE8" w:rsidRPr="00445472" w:rsidRDefault="00990EE8" w:rsidP="00990EE8">
            <w:pPr>
              <w:spacing w:before="67" w:after="89"/>
              <w:rPr>
                <w:rFonts w:ascii="Garamond" w:hAnsi="Garamond" w:cs="Arial"/>
                <w:sz w:val="18"/>
                <w:szCs w:val="18"/>
              </w:rPr>
            </w:pPr>
          </w:p>
        </w:tc>
      </w:tr>
      <w:tr w:rsidR="00990EE8" w:rsidRPr="00445472" w14:paraId="41937B3A" w14:textId="77777777" w:rsidTr="00990EE8">
        <w:trPr>
          <w:trHeight w:val="283"/>
          <w:jc w:val="center"/>
        </w:trPr>
        <w:tc>
          <w:tcPr>
            <w:tcW w:w="552" w:type="pct"/>
            <w:tcBorders>
              <w:top w:val="single" w:sz="4" w:space="0" w:color="auto"/>
              <w:bottom w:val="single" w:sz="4" w:space="0" w:color="auto"/>
            </w:tcBorders>
            <w:shd w:val="clear" w:color="auto" w:fill="auto"/>
            <w:noWrap/>
            <w:vAlign w:val="center"/>
          </w:tcPr>
          <w:p w14:paraId="1F399398" w14:textId="77777777" w:rsidR="00990EE8" w:rsidRPr="00445472" w:rsidRDefault="00990EE8" w:rsidP="00990EE8">
            <w:pPr>
              <w:spacing w:before="60" w:after="60" w:line="240" w:lineRule="auto"/>
              <w:rPr>
                <w:rFonts w:ascii="Garamond" w:hAnsi="Garamond" w:cs="Arial"/>
                <w:sz w:val="18"/>
                <w:szCs w:val="18"/>
              </w:rPr>
            </w:pPr>
            <w:r w:rsidRPr="00445472">
              <w:rPr>
                <w:rFonts w:ascii="Garamond" w:hAnsi="Garamond" w:cs="Arial"/>
                <w:sz w:val="18"/>
                <w:szCs w:val="18"/>
              </w:rPr>
              <w:t>Gjinia</w:t>
            </w:r>
          </w:p>
        </w:tc>
        <w:tc>
          <w:tcPr>
            <w:tcW w:w="555" w:type="pct"/>
            <w:tcBorders>
              <w:top w:val="single" w:sz="4" w:space="0" w:color="auto"/>
              <w:bottom w:val="single" w:sz="4" w:space="0" w:color="auto"/>
            </w:tcBorders>
            <w:shd w:val="clear" w:color="auto" w:fill="auto"/>
            <w:vAlign w:val="center"/>
          </w:tcPr>
          <w:p w14:paraId="7EDFE9DC" w14:textId="77777777" w:rsidR="00990EE8" w:rsidRPr="00445472" w:rsidRDefault="00990EE8" w:rsidP="00990EE8">
            <w:pPr>
              <w:spacing w:before="60" w:after="60" w:line="240" w:lineRule="auto"/>
              <w:rPr>
                <w:rFonts w:ascii="Garamond" w:hAnsi="Garamond" w:cs="Arial"/>
                <w:sz w:val="18"/>
                <w:szCs w:val="18"/>
              </w:rPr>
            </w:pPr>
          </w:p>
        </w:tc>
        <w:tc>
          <w:tcPr>
            <w:tcW w:w="557" w:type="pct"/>
            <w:tcBorders>
              <w:top w:val="single" w:sz="4" w:space="0" w:color="auto"/>
            </w:tcBorders>
            <w:shd w:val="clear" w:color="auto" w:fill="auto"/>
            <w:vAlign w:val="center"/>
          </w:tcPr>
          <w:p w14:paraId="6F1B8D3D" w14:textId="77777777" w:rsidR="00990EE8" w:rsidRPr="00445472" w:rsidRDefault="00990EE8" w:rsidP="00990EE8">
            <w:pPr>
              <w:spacing w:before="60" w:after="60" w:line="240" w:lineRule="auto"/>
              <w:rPr>
                <w:rFonts w:ascii="Garamond" w:hAnsi="Garamond" w:cs="Arial"/>
                <w:sz w:val="18"/>
                <w:szCs w:val="18"/>
              </w:rPr>
            </w:pPr>
          </w:p>
        </w:tc>
        <w:tc>
          <w:tcPr>
            <w:tcW w:w="554" w:type="pct"/>
            <w:gridSpan w:val="2"/>
            <w:tcBorders>
              <w:top w:val="single" w:sz="4" w:space="0" w:color="auto"/>
            </w:tcBorders>
            <w:shd w:val="clear" w:color="auto" w:fill="auto"/>
            <w:vAlign w:val="center"/>
          </w:tcPr>
          <w:p w14:paraId="0F0641CB" w14:textId="77777777" w:rsidR="00990EE8" w:rsidRPr="00445472" w:rsidRDefault="00990EE8" w:rsidP="00990EE8">
            <w:pPr>
              <w:spacing w:before="60" w:after="60" w:line="240" w:lineRule="auto"/>
              <w:rPr>
                <w:rFonts w:ascii="Garamond" w:hAnsi="Garamond" w:cs="Arial"/>
                <w:sz w:val="18"/>
                <w:szCs w:val="18"/>
              </w:rPr>
            </w:pPr>
          </w:p>
        </w:tc>
        <w:tc>
          <w:tcPr>
            <w:tcW w:w="876" w:type="pct"/>
            <w:gridSpan w:val="5"/>
            <w:tcBorders>
              <w:top w:val="single" w:sz="4" w:space="0" w:color="auto"/>
              <w:bottom w:val="single" w:sz="4" w:space="0" w:color="auto"/>
            </w:tcBorders>
            <w:shd w:val="clear" w:color="auto" w:fill="auto"/>
            <w:vAlign w:val="center"/>
          </w:tcPr>
          <w:p w14:paraId="7E16BA1F" w14:textId="77777777" w:rsidR="00990EE8" w:rsidRPr="00445472" w:rsidRDefault="00990EE8" w:rsidP="00990EE8">
            <w:pPr>
              <w:spacing w:before="60" w:after="60" w:line="240" w:lineRule="auto"/>
              <w:rPr>
                <w:rFonts w:ascii="Garamond" w:hAnsi="Garamond" w:cs="Arial"/>
                <w:sz w:val="18"/>
                <w:szCs w:val="18"/>
              </w:rPr>
            </w:pPr>
          </w:p>
        </w:tc>
        <w:tc>
          <w:tcPr>
            <w:tcW w:w="403" w:type="pct"/>
            <w:gridSpan w:val="6"/>
            <w:tcBorders>
              <w:top w:val="single" w:sz="4" w:space="0" w:color="auto"/>
              <w:bottom w:val="single" w:sz="4" w:space="0" w:color="auto"/>
            </w:tcBorders>
            <w:shd w:val="clear" w:color="auto" w:fill="auto"/>
            <w:vAlign w:val="center"/>
          </w:tcPr>
          <w:p w14:paraId="48EF2C00" w14:textId="77777777" w:rsidR="00990EE8" w:rsidRPr="00445472" w:rsidRDefault="00990EE8" w:rsidP="00990EE8">
            <w:pPr>
              <w:spacing w:before="60" w:after="60" w:line="240" w:lineRule="auto"/>
              <w:rPr>
                <w:rFonts w:ascii="Garamond" w:hAnsi="Garamond" w:cs="Arial"/>
                <w:sz w:val="18"/>
                <w:szCs w:val="18"/>
              </w:rPr>
            </w:pPr>
          </w:p>
        </w:tc>
        <w:tc>
          <w:tcPr>
            <w:tcW w:w="561" w:type="pct"/>
            <w:gridSpan w:val="5"/>
            <w:tcBorders>
              <w:top w:val="single" w:sz="4" w:space="0" w:color="auto"/>
            </w:tcBorders>
            <w:shd w:val="clear" w:color="auto" w:fill="auto"/>
            <w:vAlign w:val="center"/>
          </w:tcPr>
          <w:p w14:paraId="1A77D5D7" w14:textId="77777777" w:rsidR="00990EE8" w:rsidRPr="00445472" w:rsidRDefault="00990EE8" w:rsidP="00990EE8">
            <w:pPr>
              <w:spacing w:before="60" w:after="60" w:line="240" w:lineRule="auto"/>
              <w:rPr>
                <w:rFonts w:ascii="Garamond" w:hAnsi="Garamond" w:cs="Arial"/>
                <w:sz w:val="18"/>
                <w:szCs w:val="18"/>
              </w:rPr>
            </w:pPr>
          </w:p>
        </w:tc>
        <w:tc>
          <w:tcPr>
            <w:tcW w:w="128" w:type="pct"/>
            <w:gridSpan w:val="3"/>
            <w:tcBorders>
              <w:top w:val="single" w:sz="4" w:space="0" w:color="auto"/>
            </w:tcBorders>
            <w:shd w:val="clear" w:color="auto" w:fill="auto"/>
            <w:vAlign w:val="center"/>
          </w:tcPr>
          <w:p w14:paraId="02536AC8" w14:textId="77777777" w:rsidR="00990EE8" w:rsidRPr="00445472" w:rsidRDefault="00990EE8" w:rsidP="00990EE8">
            <w:pPr>
              <w:spacing w:before="60" w:after="60" w:line="240" w:lineRule="auto"/>
              <w:rPr>
                <w:rFonts w:ascii="Garamond" w:hAnsi="Garamond" w:cs="Arial"/>
                <w:sz w:val="18"/>
                <w:szCs w:val="18"/>
              </w:rPr>
            </w:pPr>
          </w:p>
        </w:tc>
        <w:tc>
          <w:tcPr>
            <w:tcW w:w="127" w:type="pct"/>
            <w:gridSpan w:val="3"/>
            <w:tcBorders>
              <w:top w:val="single" w:sz="4" w:space="0" w:color="auto"/>
            </w:tcBorders>
            <w:vAlign w:val="center"/>
          </w:tcPr>
          <w:p w14:paraId="55342DAE" w14:textId="77777777" w:rsidR="00990EE8" w:rsidRPr="00445472" w:rsidRDefault="00990EE8" w:rsidP="00990EE8">
            <w:pPr>
              <w:spacing w:before="60" w:after="60" w:line="240" w:lineRule="auto"/>
              <w:rPr>
                <w:rFonts w:ascii="Garamond" w:hAnsi="Garamond" w:cs="Arial"/>
                <w:sz w:val="18"/>
                <w:szCs w:val="18"/>
              </w:rPr>
            </w:pPr>
          </w:p>
        </w:tc>
        <w:tc>
          <w:tcPr>
            <w:tcW w:w="687" w:type="pct"/>
            <w:gridSpan w:val="2"/>
            <w:tcBorders>
              <w:top w:val="single" w:sz="4" w:space="0" w:color="auto"/>
            </w:tcBorders>
            <w:vAlign w:val="center"/>
          </w:tcPr>
          <w:p w14:paraId="4DC960CD" w14:textId="77777777" w:rsidR="00990EE8" w:rsidRPr="00445472" w:rsidRDefault="00990EE8" w:rsidP="00990EE8">
            <w:pPr>
              <w:spacing w:before="60" w:after="60" w:line="240" w:lineRule="auto"/>
              <w:rPr>
                <w:rFonts w:ascii="Garamond" w:hAnsi="Garamond" w:cs="Arial"/>
                <w:sz w:val="18"/>
                <w:szCs w:val="18"/>
              </w:rPr>
            </w:pPr>
          </w:p>
        </w:tc>
      </w:tr>
      <w:tr w:rsidR="00990EE8" w:rsidRPr="00445472" w14:paraId="3ABFD5AB" w14:textId="77777777" w:rsidTr="00990EE8">
        <w:trPr>
          <w:trHeight w:val="414"/>
          <w:jc w:val="center"/>
        </w:trPr>
        <w:tc>
          <w:tcPr>
            <w:tcW w:w="5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EB4958" w14:textId="77777777" w:rsidR="00990EE8" w:rsidRPr="00445472" w:rsidRDefault="00990EE8" w:rsidP="00990EE8">
            <w:pPr>
              <w:spacing w:before="60" w:after="60" w:line="240" w:lineRule="auto"/>
              <w:rPr>
                <w:rFonts w:ascii="Garamond" w:hAnsi="Garamond" w:cs="Arial"/>
                <w:sz w:val="18"/>
                <w:szCs w:val="18"/>
              </w:rPr>
            </w:pPr>
            <w:r w:rsidRPr="00445472">
              <w:rPr>
                <w:rFonts w:ascii="Garamond" w:hAnsi="Garamond" w:cs="Arial"/>
                <w:sz w:val="18"/>
                <w:szCs w:val="18"/>
              </w:rPr>
              <w:t>Grua</w:t>
            </w: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tcPr>
          <w:p w14:paraId="4A6996AD" w14:textId="77777777" w:rsidR="00990EE8" w:rsidRPr="00445472" w:rsidRDefault="00990EE8" w:rsidP="00990EE8">
            <w:pPr>
              <w:spacing w:before="60" w:after="60" w:line="240" w:lineRule="auto"/>
              <w:rPr>
                <w:rFonts w:ascii="Garamond" w:hAnsi="Garamond" w:cs="Arial"/>
                <w:sz w:val="18"/>
                <w:szCs w:val="18"/>
              </w:rPr>
            </w:pPr>
          </w:p>
        </w:tc>
        <w:tc>
          <w:tcPr>
            <w:tcW w:w="557" w:type="pct"/>
            <w:tcBorders>
              <w:left w:val="single" w:sz="4" w:space="0" w:color="auto"/>
            </w:tcBorders>
            <w:shd w:val="clear" w:color="auto" w:fill="auto"/>
            <w:vAlign w:val="center"/>
          </w:tcPr>
          <w:p w14:paraId="4FC63F4B" w14:textId="77777777" w:rsidR="00990EE8" w:rsidRPr="00445472" w:rsidRDefault="00990EE8" w:rsidP="00990EE8">
            <w:pPr>
              <w:spacing w:before="60" w:after="60" w:line="240" w:lineRule="auto"/>
              <w:rPr>
                <w:rFonts w:ascii="Garamond" w:hAnsi="Garamond" w:cs="Arial"/>
                <w:sz w:val="18"/>
                <w:szCs w:val="18"/>
              </w:rPr>
            </w:pPr>
          </w:p>
        </w:tc>
        <w:tc>
          <w:tcPr>
            <w:tcW w:w="554" w:type="pct"/>
            <w:gridSpan w:val="2"/>
            <w:tcBorders>
              <w:left w:val="nil"/>
              <w:right w:val="single" w:sz="4" w:space="0" w:color="auto"/>
            </w:tcBorders>
            <w:shd w:val="clear" w:color="auto" w:fill="auto"/>
            <w:vAlign w:val="center"/>
          </w:tcPr>
          <w:p w14:paraId="0376EEED" w14:textId="77777777" w:rsidR="00990EE8" w:rsidRPr="00445472" w:rsidRDefault="00990EE8" w:rsidP="00990EE8">
            <w:pPr>
              <w:spacing w:before="60" w:after="60" w:line="240" w:lineRule="auto"/>
              <w:rPr>
                <w:rFonts w:ascii="Garamond" w:hAnsi="Garamond" w:cs="Arial"/>
                <w:sz w:val="18"/>
                <w:szCs w:val="18"/>
              </w:rPr>
            </w:pPr>
          </w:p>
        </w:tc>
        <w:tc>
          <w:tcPr>
            <w:tcW w:w="876"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B8A2F0" w14:textId="77777777" w:rsidR="00990EE8" w:rsidRPr="00445472" w:rsidRDefault="00990EE8" w:rsidP="00990EE8">
            <w:pPr>
              <w:spacing w:before="60" w:after="60" w:line="240" w:lineRule="auto"/>
              <w:rPr>
                <w:rFonts w:ascii="Garamond" w:hAnsi="Garamond" w:cs="Arial"/>
                <w:sz w:val="18"/>
                <w:szCs w:val="18"/>
              </w:rPr>
            </w:pPr>
            <w:r w:rsidRPr="00445472">
              <w:rPr>
                <w:rFonts w:ascii="Garamond" w:hAnsi="Garamond" w:cs="Arial"/>
                <w:sz w:val="18"/>
                <w:szCs w:val="18"/>
              </w:rPr>
              <w:t>Burrë</w:t>
            </w:r>
          </w:p>
        </w:tc>
        <w:tc>
          <w:tcPr>
            <w:tcW w:w="40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A4F8470" w14:textId="77777777" w:rsidR="00990EE8" w:rsidRPr="00445472" w:rsidRDefault="00990EE8" w:rsidP="00990EE8">
            <w:pPr>
              <w:spacing w:before="60" w:after="60" w:line="240" w:lineRule="auto"/>
              <w:rPr>
                <w:rFonts w:ascii="Garamond" w:hAnsi="Garamond" w:cs="Arial"/>
                <w:sz w:val="18"/>
                <w:szCs w:val="18"/>
              </w:rPr>
            </w:pPr>
          </w:p>
        </w:tc>
        <w:tc>
          <w:tcPr>
            <w:tcW w:w="561" w:type="pct"/>
            <w:gridSpan w:val="5"/>
            <w:tcBorders>
              <w:left w:val="single" w:sz="4" w:space="0" w:color="auto"/>
            </w:tcBorders>
            <w:shd w:val="clear" w:color="auto" w:fill="auto"/>
            <w:vAlign w:val="center"/>
          </w:tcPr>
          <w:p w14:paraId="17989FD2" w14:textId="77777777" w:rsidR="00990EE8" w:rsidRPr="00445472" w:rsidRDefault="00990EE8" w:rsidP="00990EE8">
            <w:pPr>
              <w:spacing w:before="60" w:after="60" w:line="240" w:lineRule="auto"/>
              <w:rPr>
                <w:rFonts w:ascii="Garamond" w:hAnsi="Garamond" w:cs="Arial"/>
                <w:sz w:val="18"/>
                <w:szCs w:val="18"/>
              </w:rPr>
            </w:pPr>
          </w:p>
        </w:tc>
        <w:tc>
          <w:tcPr>
            <w:tcW w:w="128" w:type="pct"/>
            <w:gridSpan w:val="3"/>
            <w:shd w:val="clear" w:color="auto" w:fill="auto"/>
            <w:vAlign w:val="center"/>
          </w:tcPr>
          <w:p w14:paraId="5537FAAD" w14:textId="77777777" w:rsidR="00990EE8" w:rsidRPr="00445472" w:rsidRDefault="00990EE8" w:rsidP="00990EE8">
            <w:pPr>
              <w:spacing w:before="60" w:after="60" w:line="240" w:lineRule="auto"/>
              <w:rPr>
                <w:rFonts w:ascii="Garamond" w:hAnsi="Garamond" w:cs="Arial"/>
                <w:sz w:val="18"/>
                <w:szCs w:val="18"/>
              </w:rPr>
            </w:pPr>
          </w:p>
        </w:tc>
        <w:tc>
          <w:tcPr>
            <w:tcW w:w="127" w:type="pct"/>
            <w:gridSpan w:val="3"/>
            <w:vAlign w:val="center"/>
          </w:tcPr>
          <w:p w14:paraId="5F98B250" w14:textId="77777777" w:rsidR="00990EE8" w:rsidRPr="00445472" w:rsidRDefault="00990EE8" w:rsidP="00990EE8">
            <w:pPr>
              <w:spacing w:before="60" w:after="60" w:line="240" w:lineRule="auto"/>
              <w:rPr>
                <w:rFonts w:ascii="Garamond" w:hAnsi="Garamond" w:cs="Arial"/>
                <w:sz w:val="18"/>
                <w:szCs w:val="18"/>
              </w:rPr>
            </w:pPr>
          </w:p>
        </w:tc>
        <w:tc>
          <w:tcPr>
            <w:tcW w:w="687" w:type="pct"/>
            <w:gridSpan w:val="2"/>
            <w:vAlign w:val="center"/>
          </w:tcPr>
          <w:p w14:paraId="7FFD7D60" w14:textId="77777777" w:rsidR="00990EE8" w:rsidRPr="00445472" w:rsidRDefault="00990EE8" w:rsidP="00990EE8">
            <w:pPr>
              <w:spacing w:before="60" w:after="60" w:line="240" w:lineRule="auto"/>
              <w:rPr>
                <w:rFonts w:ascii="Garamond" w:hAnsi="Garamond" w:cs="Arial"/>
                <w:sz w:val="18"/>
                <w:szCs w:val="18"/>
              </w:rPr>
            </w:pPr>
          </w:p>
        </w:tc>
      </w:tr>
    </w:tbl>
    <w:p w14:paraId="06B42AA0" w14:textId="48D3E509" w:rsidR="00990EE8" w:rsidRPr="00445472" w:rsidRDefault="00990EE8">
      <w:pPr>
        <w:pStyle w:val="TEKSTIIII"/>
        <w:rPr>
          <w:sz w:val="20"/>
        </w:rPr>
      </w:pPr>
    </w:p>
    <w:p w14:paraId="377EBBF2" w14:textId="77777777" w:rsidR="00E148CA" w:rsidRPr="00445472" w:rsidRDefault="00E148CA">
      <w:pPr>
        <w:pStyle w:val="TEKSTIIII"/>
        <w:rPr>
          <w:sz w:val="20"/>
        </w:rPr>
      </w:pPr>
    </w:p>
    <w:p w14:paraId="467F56BC" w14:textId="77777777" w:rsidR="00E148CA" w:rsidRPr="00445472" w:rsidRDefault="00E148CA">
      <w:pPr>
        <w:pStyle w:val="TEKSTIIII"/>
        <w:rPr>
          <w:sz w:val="20"/>
        </w:rPr>
        <w:sectPr w:rsidR="00E148CA" w:rsidRPr="00445472" w:rsidSect="00990EE8">
          <w:headerReference w:type="default" r:id="rId118"/>
          <w:footerReference w:type="default" r:id="rId119"/>
          <w:pgSz w:w="11907" w:h="16839" w:code="9"/>
          <w:pgMar w:top="1418" w:right="1418" w:bottom="1418" w:left="1418" w:header="1304" w:footer="1134" w:gutter="0"/>
          <w:cols w:space="720"/>
          <w:docGrid w:linePitch="360"/>
        </w:sectPr>
      </w:pPr>
    </w:p>
    <w:tbl>
      <w:tblPr>
        <w:tblpPr w:leftFromText="180" w:rightFromText="180" w:horzAnchor="margin" w:tblpX="108" w:tblpY="495"/>
        <w:tblW w:w="13654" w:type="dxa"/>
        <w:tblLayout w:type="fixed"/>
        <w:tblLook w:val="04A0" w:firstRow="1" w:lastRow="0" w:firstColumn="1" w:lastColumn="0" w:noHBand="0" w:noVBand="1"/>
      </w:tblPr>
      <w:tblGrid>
        <w:gridCol w:w="983"/>
        <w:gridCol w:w="1565"/>
        <w:gridCol w:w="2176"/>
        <w:gridCol w:w="2362"/>
        <w:gridCol w:w="11"/>
        <w:gridCol w:w="1371"/>
        <w:gridCol w:w="2073"/>
        <w:gridCol w:w="1808"/>
        <w:gridCol w:w="1305"/>
      </w:tblGrid>
      <w:tr w:rsidR="00E148CA" w:rsidRPr="00445472" w14:paraId="4AD996ED" w14:textId="77777777" w:rsidTr="001D340B">
        <w:trPr>
          <w:trHeight w:val="480"/>
        </w:trPr>
        <w:tc>
          <w:tcPr>
            <w:tcW w:w="3860" w:type="pct"/>
            <w:gridSpan w:val="7"/>
            <w:tcBorders>
              <w:top w:val="nil"/>
              <w:left w:val="nil"/>
              <w:bottom w:val="nil"/>
              <w:right w:val="nil"/>
            </w:tcBorders>
            <w:shd w:val="clear" w:color="000000" w:fill="FFFFFF"/>
            <w:noWrap/>
            <w:vAlign w:val="center"/>
            <w:hideMark/>
          </w:tcPr>
          <w:p w14:paraId="0D57BD35" w14:textId="5A5DC0EA" w:rsidR="00E148CA" w:rsidRPr="00445472" w:rsidRDefault="00E148CA" w:rsidP="00E148CA">
            <w:pPr>
              <w:spacing w:before="46" w:after="0" w:line="240" w:lineRule="auto"/>
              <w:rPr>
                <w:rFonts w:ascii="Garamond" w:hAnsi="Garamond"/>
                <w:sz w:val="18"/>
                <w:szCs w:val="18"/>
              </w:rPr>
            </w:pPr>
            <w:r w:rsidRPr="00445472">
              <w:rPr>
                <w:rFonts w:ascii="Garamond" w:hAnsi="Garamond"/>
                <w:b/>
                <w:sz w:val="18"/>
                <w:szCs w:val="18"/>
              </w:rPr>
              <w:t xml:space="preserve">Fleta e </w:t>
            </w:r>
            <w:r w:rsidR="00062A53" w:rsidRPr="00445472">
              <w:rPr>
                <w:rFonts w:ascii="Garamond" w:hAnsi="Garamond"/>
                <w:b/>
                <w:sz w:val="18"/>
                <w:szCs w:val="18"/>
              </w:rPr>
              <w:t>frekuentimit</w:t>
            </w:r>
          </w:p>
          <w:p w14:paraId="7A025332" w14:textId="77777777" w:rsidR="00E148CA" w:rsidRPr="00445472" w:rsidRDefault="00E148CA" w:rsidP="00E148CA">
            <w:pPr>
              <w:spacing w:before="46" w:after="0" w:line="240" w:lineRule="auto"/>
              <w:rPr>
                <w:rFonts w:ascii="Garamond" w:hAnsi="Garamond"/>
                <w:b/>
                <w:bCs/>
                <w:caps/>
                <w:sz w:val="18"/>
                <w:szCs w:val="18"/>
              </w:rPr>
            </w:pPr>
            <w:r w:rsidRPr="00445472">
              <w:rPr>
                <w:rFonts w:ascii="Garamond" w:hAnsi="Garamond"/>
                <w:b/>
                <w:bCs/>
                <w:caps/>
                <w:sz w:val="18"/>
                <w:szCs w:val="18"/>
              </w:rPr>
              <w:t>PLANI I MENAXHIMIT T</w:t>
            </w:r>
            <w:r w:rsidRPr="00445472">
              <w:rPr>
                <w:rFonts w:ascii="Garamond" w:hAnsi="Garamond" w:cs="Arial"/>
                <w:b/>
                <w:bCs/>
                <w:caps/>
                <w:sz w:val="18"/>
                <w:szCs w:val="18"/>
              </w:rPr>
              <w:t>Ë</w:t>
            </w:r>
            <w:r w:rsidRPr="00445472">
              <w:rPr>
                <w:rFonts w:ascii="Garamond" w:hAnsi="Garamond"/>
                <w:b/>
                <w:bCs/>
                <w:caps/>
                <w:sz w:val="18"/>
                <w:szCs w:val="18"/>
              </w:rPr>
              <w:t xml:space="preserve"> BASENIT UJOR</w:t>
            </w:r>
          </w:p>
        </w:tc>
        <w:tc>
          <w:tcPr>
            <w:tcW w:w="662" w:type="pct"/>
            <w:tcBorders>
              <w:top w:val="nil"/>
              <w:left w:val="nil"/>
              <w:bottom w:val="nil"/>
              <w:right w:val="nil"/>
            </w:tcBorders>
            <w:shd w:val="clear" w:color="000000" w:fill="FFFFFF"/>
            <w:noWrap/>
            <w:vAlign w:val="center"/>
            <w:hideMark/>
          </w:tcPr>
          <w:p w14:paraId="463EA72A" w14:textId="06EEA344" w:rsidR="00E148CA" w:rsidRPr="00445472" w:rsidRDefault="00E148CA" w:rsidP="00E148CA">
            <w:pPr>
              <w:spacing w:before="46" w:after="0" w:line="240" w:lineRule="auto"/>
              <w:rPr>
                <w:rFonts w:ascii="Garamond" w:hAnsi="Garamond"/>
                <w:b/>
                <w:bCs/>
                <w:sz w:val="18"/>
                <w:szCs w:val="18"/>
              </w:rPr>
            </w:pPr>
            <w:r w:rsidRPr="00445472">
              <w:rPr>
                <w:rFonts w:ascii="Garamond" w:hAnsi="Garamond"/>
                <w:b/>
                <w:bCs/>
                <w:sz w:val="18"/>
                <w:szCs w:val="18"/>
              </w:rPr>
              <w:t>Ministria</w:t>
            </w:r>
            <w:r w:rsidR="001D340B" w:rsidRPr="00445472">
              <w:rPr>
                <w:rFonts w:ascii="Garamond" w:hAnsi="Garamond"/>
                <w:b/>
                <w:bCs/>
                <w:sz w:val="18"/>
                <w:szCs w:val="18"/>
              </w:rPr>
              <w:t>/</w:t>
            </w:r>
            <w:r w:rsidRPr="00445472">
              <w:rPr>
                <w:rFonts w:ascii="Garamond" w:hAnsi="Garamond"/>
                <w:b/>
                <w:bCs/>
                <w:sz w:val="18"/>
                <w:szCs w:val="18"/>
              </w:rPr>
              <w:t xml:space="preserve">Bashkia:   </w:t>
            </w:r>
          </w:p>
        </w:tc>
        <w:tc>
          <w:tcPr>
            <w:tcW w:w="478" w:type="pct"/>
            <w:tcBorders>
              <w:top w:val="nil"/>
              <w:left w:val="nil"/>
              <w:bottom w:val="nil"/>
              <w:right w:val="nil"/>
            </w:tcBorders>
            <w:shd w:val="clear" w:color="000000" w:fill="FFFFFF"/>
            <w:noWrap/>
            <w:vAlign w:val="center"/>
            <w:hideMark/>
          </w:tcPr>
          <w:p w14:paraId="6C9FD5CA" w14:textId="77777777" w:rsidR="00E148CA" w:rsidRPr="00445472" w:rsidRDefault="00E148CA" w:rsidP="00E148CA">
            <w:pPr>
              <w:spacing w:before="46" w:after="0" w:line="240" w:lineRule="auto"/>
              <w:rPr>
                <w:rFonts w:ascii="Garamond" w:hAnsi="Garamond"/>
                <w:b/>
                <w:bCs/>
                <w:sz w:val="18"/>
                <w:szCs w:val="18"/>
              </w:rPr>
            </w:pPr>
            <w:r w:rsidRPr="00445472">
              <w:rPr>
                <w:rFonts w:ascii="Garamond" w:hAnsi="Garamond"/>
                <w:b/>
                <w:bCs/>
                <w:sz w:val="18"/>
                <w:szCs w:val="18"/>
              </w:rPr>
              <w:t> </w:t>
            </w:r>
          </w:p>
        </w:tc>
      </w:tr>
      <w:tr w:rsidR="00E148CA" w:rsidRPr="00445472" w14:paraId="19147586" w14:textId="77777777" w:rsidTr="001D340B">
        <w:trPr>
          <w:trHeight w:val="357"/>
        </w:trPr>
        <w:tc>
          <w:tcPr>
            <w:tcW w:w="3860" w:type="pct"/>
            <w:gridSpan w:val="7"/>
            <w:tcBorders>
              <w:top w:val="nil"/>
              <w:left w:val="nil"/>
              <w:bottom w:val="nil"/>
              <w:right w:val="nil"/>
            </w:tcBorders>
            <w:shd w:val="clear" w:color="000000" w:fill="FFFFFF"/>
            <w:noWrap/>
            <w:vAlign w:val="center"/>
            <w:hideMark/>
          </w:tcPr>
          <w:p w14:paraId="187FD559" w14:textId="77777777" w:rsidR="00E148CA" w:rsidRPr="00445472" w:rsidRDefault="00E148CA" w:rsidP="00E148CA">
            <w:pPr>
              <w:spacing w:before="46" w:after="0" w:line="240" w:lineRule="auto"/>
              <w:rPr>
                <w:rFonts w:ascii="Garamond" w:hAnsi="Garamond"/>
                <w:b/>
                <w:bCs/>
                <w:sz w:val="18"/>
                <w:szCs w:val="18"/>
              </w:rPr>
            </w:pPr>
            <w:r w:rsidRPr="00445472">
              <w:rPr>
                <w:rFonts w:ascii="Garamond" w:hAnsi="Garamond"/>
                <w:b/>
                <w:bCs/>
                <w:sz w:val="18"/>
                <w:szCs w:val="18"/>
              </w:rPr>
              <w:t xml:space="preserve">Datë:   </w:t>
            </w:r>
          </w:p>
        </w:tc>
        <w:tc>
          <w:tcPr>
            <w:tcW w:w="662" w:type="pct"/>
            <w:tcBorders>
              <w:top w:val="nil"/>
              <w:left w:val="nil"/>
              <w:bottom w:val="nil"/>
              <w:right w:val="nil"/>
            </w:tcBorders>
            <w:shd w:val="clear" w:color="000000" w:fill="FFFFFF"/>
            <w:noWrap/>
            <w:vAlign w:val="center"/>
            <w:hideMark/>
          </w:tcPr>
          <w:p w14:paraId="7B28633D" w14:textId="77777777" w:rsidR="00E148CA" w:rsidRPr="00445472" w:rsidRDefault="00E148CA" w:rsidP="00E148CA">
            <w:pPr>
              <w:spacing w:before="46" w:after="0" w:line="240" w:lineRule="auto"/>
              <w:jc w:val="center"/>
              <w:rPr>
                <w:rFonts w:ascii="Garamond" w:hAnsi="Garamond"/>
                <w:b/>
                <w:bCs/>
                <w:sz w:val="18"/>
                <w:szCs w:val="18"/>
              </w:rPr>
            </w:pPr>
            <w:r w:rsidRPr="00445472">
              <w:rPr>
                <w:rFonts w:ascii="Garamond" w:hAnsi="Garamond"/>
                <w:b/>
                <w:bCs/>
                <w:sz w:val="18"/>
                <w:szCs w:val="18"/>
              </w:rPr>
              <w:t> </w:t>
            </w:r>
          </w:p>
        </w:tc>
        <w:tc>
          <w:tcPr>
            <w:tcW w:w="478" w:type="pct"/>
            <w:tcBorders>
              <w:top w:val="nil"/>
              <w:left w:val="nil"/>
              <w:bottom w:val="nil"/>
              <w:right w:val="nil"/>
            </w:tcBorders>
            <w:shd w:val="clear" w:color="000000" w:fill="FFFFFF"/>
            <w:noWrap/>
            <w:vAlign w:val="center"/>
            <w:hideMark/>
          </w:tcPr>
          <w:p w14:paraId="577405EF" w14:textId="77777777" w:rsidR="00E148CA" w:rsidRPr="00445472" w:rsidRDefault="00E148CA" w:rsidP="00E148CA">
            <w:pPr>
              <w:spacing w:before="46" w:after="0" w:line="240" w:lineRule="auto"/>
              <w:jc w:val="center"/>
              <w:rPr>
                <w:rFonts w:ascii="Garamond" w:hAnsi="Garamond"/>
                <w:b/>
                <w:bCs/>
                <w:sz w:val="18"/>
                <w:szCs w:val="18"/>
              </w:rPr>
            </w:pPr>
            <w:r w:rsidRPr="00445472">
              <w:rPr>
                <w:rFonts w:ascii="Garamond" w:hAnsi="Garamond"/>
                <w:b/>
                <w:bCs/>
                <w:sz w:val="18"/>
                <w:szCs w:val="18"/>
              </w:rPr>
              <w:t> </w:t>
            </w:r>
          </w:p>
        </w:tc>
      </w:tr>
      <w:tr w:rsidR="00E148CA" w:rsidRPr="00445472" w14:paraId="7289AE3A" w14:textId="77777777" w:rsidTr="001D340B">
        <w:trPr>
          <w:trHeight w:val="511"/>
        </w:trPr>
        <w:tc>
          <w:tcPr>
            <w:tcW w:w="3860" w:type="pct"/>
            <w:gridSpan w:val="7"/>
            <w:tcBorders>
              <w:top w:val="nil"/>
              <w:left w:val="nil"/>
              <w:bottom w:val="single" w:sz="8" w:space="0" w:color="auto"/>
              <w:right w:val="nil"/>
            </w:tcBorders>
            <w:shd w:val="clear" w:color="000000" w:fill="FFFFFF"/>
            <w:vAlign w:val="center"/>
            <w:hideMark/>
          </w:tcPr>
          <w:p w14:paraId="40ED4509" w14:textId="77777777" w:rsidR="00E148CA" w:rsidRPr="00445472" w:rsidRDefault="00E148CA" w:rsidP="00E148CA">
            <w:pPr>
              <w:spacing w:before="46" w:after="0" w:line="240" w:lineRule="auto"/>
              <w:rPr>
                <w:rFonts w:ascii="Garamond" w:hAnsi="Garamond"/>
                <w:b/>
                <w:bCs/>
                <w:sz w:val="18"/>
                <w:szCs w:val="18"/>
              </w:rPr>
            </w:pPr>
            <w:r w:rsidRPr="00445472">
              <w:rPr>
                <w:rFonts w:ascii="Garamond" w:hAnsi="Garamond"/>
                <w:b/>
                <w:bCs/>
                <w:sz w:val="18"/>
                <w:szCs w:val="18"/>
              </w:rPr>
              <w:t xml:space="preserve">Koha:              Vendi: </w:t>
            </w:r>
          </w:p>
        </w:tc>
        <w:tc>
          <w:tcPr>
            <w:tcW w:w="662" w:type="pct"/>
            <w:tcBorders>
              <w:top w:val="nil"/>
              <w:left w:val="nil"/>
              <w:bottom w:val="nil"/>
              <w:right w:val="nil"/>
            </w:tcBorders>
            <w:shd w:val="clear" w:color="000000" w:fill="FFFFFF"/>
            <w:vAlign w:val="center"/>
            <w:hideMark/>
          </w:tcPr>
          <w:p w14:paraId="697E3C50" w14:textId="77777777" w:rsidR="00E148CA" w:rsidRPr="00445472" w:rsidRDefault="00E148CA" w:rsidP="00E148CA">
            <w:pPr>
              <w:spacing w:before="46" w:after="0" w:line="240" w:lineRule="auto"/>
              <w:jc w:val="center"/>
              <w:rPr>
                <w:rFonts w:ascii="Garamond" w:hAnsi="Garamond"/>
                <w:b/>
                <w:bCs/>
                <w:sz w:val="18"/>
                <w:szCs w:val="18"/>
              </w:rPr>
            </w:pPr>
            <w:r w:rsidRPr="00445472">
              <w:rPr>
                <w:rFonts w:ascii="Garamond" w:hAnsi="Garamond"/>
                <w:b/>
                <w:bCs/>
                <w:sz w:val="18"/>
                <w:szCs w:val="18"/>
              </w:rPr>
              <w:t> </w:t>
            </w:r>
          </w:p>
        </w:tc>
        <w:tc>
          <w:tcPr>
            <w:tcW w:w="478" w:type="pct"/>
            <w:tcBorders>
              <w:top w:val="nil"/>
              <w:left w:val="nil"/>
              <w:bottom w:val="nil"/>
              <w:right w:val="nil"/>
            </w:tcBorders>
            <w:shd w:val="clear" w:color="000000" w:fill="FFFFFF"/>
            <w:vAlign w:val="center"/>
            <w:hideMark/>
          </w:tcPr>
          <w:p w14:paraId="2ADCC54C" w14:textId="77777777" w:rsidR="00E148CA" w:rsidRPr="00445472" w:rsidRDefault="00E148CA" w:rsidP="00E148CA">
            <w:pPr>
              <w:spacing w:before="46" w:after="0" w:line="240" w:lineRule="auto"/>
              <w:jc w:val="center"/>
              <w:rPr>
                <w:rFonts w:ascii="Garamond" w:hAnsi="Garamond"/>
                <w:b/>
                <w:bCs/>
                <w:sz w:val="18"/>
                <w:szCs w:val="18"/>
              </w:rPr>
            </w:pPr>
            <w:r w:rsidRPr="00445472">
              <w:rPr>
                <w:rFonts w:ascii="Garamond" w:hAnsi="Garamond"/>
                <w:b/>
                <w:bCs/>
                <w:sz w:val="18"/>
                <w:szCs w:val="18"/>
              </w:rPr>
              <w:t> </w:t>
            </w:r>
          </w:p>
        </w:tc>
      </w:tr>
      <w:tr w:rsidR="00E148CA" w:rsidRPr="00445472" w14:paraId="0301B626" w14:textId="77777777" w:rsidTr="001D340B">
        <w:trPr>
          <w:trHeight w:val="824"/>
        </w:trPr>
        <w:tc>
          <w:tcPr>
            <w:tcW w:w="360" w:type="pct"/>
            <w:tcBorders>
              <w:top w:val="nil"/>
              <w:left w:val="single" w:sz="8" w:space="0" w:color="auto"/>
              <w:bottom w:val="single" w:sz="8" w:space="0" w:color="auto"/>
              <w:right w:val="single" w:sz="8" w:space="0" w:color="auto"/>
            </w:tcBorders>
            <w:shd w:val="clear" w:color="000000" w:fill="808080"/>
            <w:noWrap/>
            <w:vAlign w:val="center"/>
            <w:hideMark/>
          </w:tcPr>
          <w:p w14:paraId="26EDDB10" w14:textId="77777777"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sz w:val="18"/>
                <w:szCs w:val="18"/>
              </w:rPr>
              <w:t>Nr.</w:t>
            </w:r>
          </w:p>
        </w:tc>
        <w:tc>
          <w:tcPr>
            <w:tcW w:w="573" w:type="pct"/>
            <w:tcBorders>
              <w:top w:val="nil"/>
              <w:left w:val="nil"/>
              <w:bottom w:val="single" w:sz="8" w:space="0" w:color="auto"/>
              <w:right w:val="single" w:sz="8" w:space="0" w:color="auto"/>
            </w:tcBorders>
            <w:shd w:val="clear" w:color="000000" w:fill="808080"/>
            <w:noWrap/>
            <w:vAlign w:val="center"/>
            <w:hideMark/>
          </w:tcPr>
          <w:p w14:paraId="0DF9AF2F" w14:textId="77777777"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sz w:val="18"/>
                <w:szCs w:val="18"/>
              </w:rPr>
              <w:t>Emri</w:t>
            </w:r>
          </w:p>
        </w:tc>
        <w:tc>
          <w:tcPr>
            <w:tcW w:w="797" w:type="pct"/>
            <w:tcBorders>
              <w:top w:val="nil"/>
              <w:left w:val="nil"/>
              <w:bottom w:val="single" w:sz="8" w:space="0" w:color="auto"/>
              <w:right w:val="single" w:sz="8" w:space="0" w:color="auto"/>
            </w:tcBorders>
            <w:shd w:val="clear" w:color="000000" w:fill="808080"/>
            <w:noWrap/>
            <w:vAlign w:val="center"/>
            <w:hideMark/>
          </w:tcPr>
          <w:p w14:paraId="3EC264A8" w14:textId="77777777"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sz w:val="18"/>
                <w:szCs w:val="18"/>
              </w:rPr>
              <w:t>Mbiemri</w:t>
            </w:r>
          </w:p>
        </w:tc>
        <w:tc>
          <w:tcPr>
            <w:tcW w:w="865" w:type="pct"/>
            <w:tcBorders>
              <w:top w:val="nil"/>
              <w:left w:val="nil"/>
              <w:bottom w:val="single" w:sz="8" w:space="0" w:color="auto"/>
              <w:right w:val="single" w:sz="8" w:space="0" w:color="auto"/>
            </w:tcBorders>
            <w:shd w:val="clear" w:color="000000" w:fill="808080"/>
            <w:noWrap/>
            <w:vAlign w:val="center"/>
            <w:hideMark/>
          </w:tcPr>
          <w:p w14:paraId="429C5EEB" w14:textId="77777777"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sz w:val="18"/>
                <w:szCs w:val="18"/>
              </w:rPr>
              <w:t>Bashkia/Prefektura</w:t>
            </w:r>
          </w:p>
        </w:tc>
        <w:tc>
          <w:tcPr>
            <w:tcW w:w="506" w:type="pct"/>
            <w:gridSpan w:val="2"/>
            <w:tcBorders>
              <w:top w:val="nil"/>
              <w:left w:val="nil"/>
              <w:bottom w:val="single" w:sz="8" w:space="0" w:color="auto"/>
              <w:right w:val="single" w:sz="8" w:space="0" w:color="auto"/>
            </w:tcBorders>
            <w:shd w:val="clear" w:color="000000" w:fill="808080"/>
            <w:noWrap/>
            <w:vAlign w:val="center"/>
            <w:hideMark/>
          </w:tcPr>
          <w:p w14:paraId="03F227B4" w14:textId="18ED3A49"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sz w:val="18"/>
                <w:szCs w:val="18"/>
              </w:rPr>
              <w:t xml:space="preserve">Titulli i </w:t>
            </w:r>
            <w:r w:rsidR="00062A53" w:rsidRPr="00445472">
              <w:rPr>
                <w:rFonts w:ascii="Garamond" w:hAnsi="Garamond" w:cs="Arial"/>
                <w:b/>
                <w:bCs/>
                <w:sz w:val="18"/>
                <w:szCs w:val="18"/>
              </w:rPr>
              <w:t>punës</w:t>
            </w:r>
          </w:p>
        </w:tc>
        <w:tc>
          <w:tcPr>
            <w:tcW w:w="759" w:type="pct"/>
            <w:tcBorders>
              <w:top w:val="nil"/>
              <w:left w:val="nil"/>
              <w:bottom w:val="single" w:sz="8" w:space="0" w:color="auto"/>
              <w:right w:val="single" w:sz="8" w:space="0" w:color="auto"/>
            </w:tcBorders>
            <w:shd w:val="clear" w:color="000000" w:fill="808080"/>
            <w:noWrap/>
            <w:vAlign w:val="center"/>
            <w:hideMark/>
          </w:tcPr>
          <w:p w14:paraId="7BE9DF0E" w14:textId="5FE1B3E5"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sz w:val="18"/>
                <w:szCs w:val="18"/>
              </w:rPr>
              <w:t>Cel</w:t>
            </w:r>
            <w:r w:rsidR="00062A53" w:rsidRPr="00445472">
              <w:rPr>
                <w:rFonts w:ascii="Garamond" w:hAnsi="Garamond" w:cs="Arial"/>
                <w:b/>
                <w:bCs/>
                <w:sz w:val="18"/>
                <w:szCs w:val="18"/>
              </w:rPr>
              <w:t>.</w:t>
            </w:r>
          </w:p>
        </w:tc>
        <w:tc>
          <w:tcPr>
            <w:tcW w:w="662" w:type="pct"/>
            <w:tcBorders>
              <w:top w:val="single" w:sz="8" w:space="0" w:color="auto"/>
              <w:left w:val="nil"/>
              <w:bottom w:val="single" w:sz="8" w:space="0" w:color="auto"/>
              <w:right w:val="single" w:sz="8" w:space="0" w:color="auto"/>
            </w:tcBorders>
            <w:shd w:val="clear" w:color="000000" w:fill="808080"/>
            <w:noWrap/>
            <w:vAlign w:val="center"/>
            <w:hideMark/>
          </w:tcPr>
          <w:p w14:paraId="561F24E7" w14:textId="77777777"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i/>
                <w:sz w:val="18"/>
                <w:szCs w:val="18"/>
              </w:rPr>
              <w:t>Email</w:t>
            </w:r>
          </w:p>
        </w:tc>
        <w:tc>
          <w:tcPr>
            <w:tcW w:w="478" w:type="pct"/>
            <w:tcBorders>
              <w:top w:val="single" w:sz="8" w:space="0" w:color="auto"/>
              <w:left w:val="nil"/>
              <w:bottom w:val="single" w:sz="8" w:space="0" w:color="auto"/>
              <w:right w:val="single" w:sz="8" w:space="0" w:color="auto"/>
            </w:tcBorders>
            <w:shd w:val="clear" w:color="000000" w:fill="808080"/>
            <w:vAlign w:val="center"/>
            <w:hideMark/>
          </w:tcPr>
          <w:p w14:paraId="03D7A5D6" w14:textId="77777777" w:rsidR="00E148CA" w:rsidRPr="00445472" w:rsidRDefault="00E148CA" w:rsidP="00E148CA">
            <w:pPr>
              <w:spacing w:before="46" w:after="0" w:line="240" w:lineRule="auto"/>
              <w:jc w:val="center"/>
              <w:rPr>
                <w:rFonts w:ascii="Garamond" w:hAnsi="Garamond" w:cs="Arial"/>
                <w:b/>
                <w:bCs/>
                <w:sz w:val="18"/>
                <w:szCs w:val="18"/>
              </w:rPr>
            </w:pPr>
            <w:r w:rsidRPr="00445472">
              <w:rPr>
                <w:rFonts w:ascii="Garamond" w:hAnsi="Garamond" w:cs="Arial"/>
                <w:b/>
                <w:bCs/>
                <w:i/>
                <w:sz w:val="18"/>
                <w:szCs w:val="18"/>
              </w:rPr>
              <w:t>Signature</w:t>
            </w:r>
          </w:p>
        </w:tc>
      </w:tr>
      <w:tr w:rsidR="00E148CA" w:rsidRPr="00445472" w14:paraId="11A8F11F" w14:textId="77777777" w:rsidTr="001D340B">
        <w:trPr>
          <w:trHeight w:val="515"/>
        </w:trPr>
        <w:tc>
          <w:tcPr>
            <w:tcW w:w="36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B57424"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1</w:t>
            </w:r>
          </w:p>
        </w:tc>
        <w:tc>
          <w:tcPr>
            <w:tcW w:w="573" w:type="pct"/>
            <w:tcBorders>
              <w:top w:val="nil"/>
              <w:left w:val="nil"/>
              <w:bottom w:val="nil"/>
              <w:right w:val="nil"/>
            </w:tcBorders>
            <w:shd w:val="clear" w:color="auto" w:fill="auto"/>
            <w:noWrap/>
            <w:vAlign w:val="center"/>
            <w:hideMark/>
          </w:tcPr>
          <w:p w14:paraId="13358CF5" w14:textId="77777777" w:rsidR="00E148CA" w:rsidRPr="00445472" w:rsidRDefault="00E148CA" w:rsidP="00E148CA">
            <w:pPr>
              <w:spacing w:before="46" w:after="0" w:line="240" w:lineRule="auto"/>
              <w:rPr>
                <w:rFonts w:ascii="Garamond" w:hAnsi="Garamond"/>
                <w:sz w:val="18"/>
                <w:szCs w:val="18"/>
              </w:rPr>
            </w:pPr>
          </w:p>
        </w:tc>
        <w:tc>
          <w:tcPr>
            <w:tcW w:w="7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6D5193"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single" w:sz="4" w:space="0" w:color="auto"/>
              <w:left w:val="nil"/>
              <w:bottom w:val="single" w:sz="4" w:space="0" w:color="auto"/>
              <w:right w:val="single" w:sz="4" w:space="0" w:color="auto"/>
            </w:tcBorders>
            <w:shd w:val="clear" w:color="000000" w:fill="FFFFFF"/>
            <w:noWrap/>
            <w:vAlign w:val="center"/>
            <w:hideMark/>
          </w:tcPr>
          <w:p w14:paraId="64DF1B37"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5E23EA4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single" w:sz="4" w:space="0" w:color="auto"/>
              <w:left w:val="nil"/>
              <w:bottom w:val="single" w:sz="4" w:space="0" w:color="auto"/>
              <w:right w:val="single" w:sz="4" w:space="0" w:color="auto"/>
            </w:tcBorders>
            <w:shd w:val="clear" w:color="000000" w:fill="FFFFFF"/>
            <w:noWrap/>
            <w:vAlign w:val="center"/>
            <w:hideMark/>
          </w:tcPr>
          <w:p w14:paraId="22DF120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single" w:sz="4" w:space="0" w:color="auto"/>
              <w:left w:val="nil"/>
              <w:bottom w:val="single" w:sz="4" w:space="0" w:color="auto"/>
              <w:right w:val="single" w:sz="4" w:space="0" w:color="auto"/>
            </w:tcBorders>
            <w:shd w:val="clear" w:color="000000" w:fill="FFFFFF"/>
            <w:noWrap/>
            <w:vAlign w:val="center"/>
            <w:hideMark/>
          </w:tcPr>
          <w:p w14:paraId="62C2D8BA" w14:textId="77777777" w:rsidR="00E148CA" w:rsidRPr="00445472" w:rsidRDefault="00E148CA" w:rsidP="00E148CA">
            <w:pPr>
              <w:spacing w:before="46" w:after="0" w:line="240" w:lineRule="auto"/>
              <w:rPr>
                <w:rFonts w:ascii="Garamond" w:hAnsi="Garamond"/>
                <w:sz w:val="18"/>
                <w:szCs w:val="18"/>
                <w:u w:val="single"/>
              </w:rPr>
            </w:pPr>
          </w:p>
        </w:tc>
        <w:tc>
          <w:tcPr>
            <w:tcW w:w="478" w:type="pct"/>
            <w:tcBorders>
              <w:top w:val="single" w:sz="4" w:space="0" w:color="auto"/>
              <w:left w:val="nil"/>
              <w:bottom w:val="single" w:sz="4" w:space="0" w:color="auto"/>
              <w:right w:val="single" w:sz="4" w:space="0" w:color="auto"/>
            </w:tcBorders>
            <w:shd w:val="clear" w:color="000000" w:fill="FFFFFF"/>
            <w:noWrap/>
            <w:vAlign w:val="center"/>
            <w:hideMark/>
          </w:tcPr>
          <w:p w14:paraId="68013707"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086A4D5E"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1936E31E"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2</w:t>
            </w:r>
          </w:p>
        </w:tc>
        <w:tc>
          <w:tcPr>
            <w:tcW w:w="573" w:type="pct"/>
            <w:tcBorders>
              <w:top w:val="single" w:sz="4" w:space="0" w:color="auto"/>
              <w:left w:val="nil"/>
              <w:bottom w:val="single" w:sz="4" w:space="0" w:color="auto"/>
              <w:right w:val="single" w:sz="4" w:space="0" w:color="auto"/>
            </w:tcBorders>
            <w:shd w:val="clear" w:color="auto" w:fill="auto"/>
            <w:noWrap/>
            <w:vAlign w:val="center"/>
            <w:hideMark/>
          </w:tcPr>
          <w:p w14:paraId="69B3B9DB"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2EEDFD1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auto" w:fill="auto"/>
            <w:vAlign w:val="center"/>
            <w:hideMark/>
          </w:tcPr>
          <w:p w14:paraId="7B136931"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32B77716"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43604B41"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6033C24C" w14:textId="77777777" w:rsidR="00E148CA" w:rsidRPr="00445472" w:rsidRDefault="00E148CA" w:rsidP="00E148CA">
            <w:pPr>
              <w:spacing w:before="46" w:after="0" w:line="240" w:lineRule="auto"/>
              <w:rPr>
                <w:rFonts w:ascii="Garamond" w:hAnsi="Garamond"/>
                <w:sz w:val="18"/>
                <w:szCs w:val="18"/>
                <w:u w:val="single"/>
              </w:rPr>
            </w:pPr>
          </w:p>
        </w:tc>
        <w:tc>
          <w:tcPr>
            <w:tcW w:w="478" w:type="pct"/>
            <w:tcBorders>
              <w:top w:val="nil"/>
              <w:left w:val="nil"/>
              <w:bottom w:val="single" w:sz="4" w:space="0" w:color="auto"/>
              <w:right w:val="single" w:sz="4" w:space="0" w:color="auto"/>
            </w:tcBorders>
            <w:shd w:val="clear" w:color="000000" w:fill="FFFFFF"/>
            <w:noWrap/>
            <w:vAlign w:val="center"/>
            <w:hideMark/>
          </w:tcPr>
          <w:p w14:paraId="3CB1B49A"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00E23EFE"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7126C552"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3</w:t>
            </w:r>
          </w:p>
        </w:tc>
        <w:tc>
          <w:tcPr>
            <w:tcW w:w="573" w:type="pct"/>
            <w:tcBorders>
              <w:top w:val="nil"/>
              <w:left w:val="nil"/>
              <w:bottom w:val="single" w:sz="4" w:space="0" w:color="auto"/>
              <w:right w:val="single" w:sz="4" w:space="0" w:color="auto"/>
            </w:tcBorders>
            <w:shd w:val="clear" w:color="auto" w:fill="auto"/>
            <w:noWrap/>
            <w:vAlign w:val="center"/>
            <w:hideMark/>
          </w:tcPr>
          <w:p w14:paraId="776CC123"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223A60B7"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000000" w:fill="FFFFFF"/>
            <w:noWrap/>
            <w:vAlign w:val="center"/>
            <w:hideMark/>
          </w:tcPr>
          <w:p w14:paraId="349D0FD8"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08759043"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212C160F"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33570E5F"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478" w:type="pct"/>
            <w:tcBorders>
              <w:top w:val="nil"/>
              <w:left w:val="nil"/>
              <w:bottom w:val="single" w:sz="4" w:space="0" w:color="auto"/>
              <w:right w:val="single" w:sz="4" w:space="0" w:color="auto"/>
            </w:tcBorders>
            <w:shd w:val="clear" w:color="000000" w:fill="FFFFFF"/>
            <w:noWrap/>
            <w:vAlign w:val="center"/>
            <w:hideMark/>
          </w:tcPr>
          <w:p w14:paraId="2DCF32F2"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114E9F2F"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029737EC"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4</w:t>
            </w:r>
          </w:p>
        </w:tc>
        <w:tc>
          <w:tcPr>
            <w:tcW w:w="573" w:type="pct"/>
            <w:tcBorders>
              <w:top w:val="nil"/>
              <w:left w:val="nil"/>
              <w:bottom w:val="single" w:sz="4" w:space="0" w:color="auto"/>
              <w:right w:val="single" w:sz="4" w:space="0" w:color="auto"/>
            </w:tcBorders>
            <w:shd w:val="clear" w:color="auto" w:fill="auto"/>
            <w:noWrap/>
            <w:vAlign w:val="center"/>
            <w:hideMark/>
          </w:tcPr>
          <w:p w14:paraId="7E48FB33"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50D9CE25"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000000" w:fill="FFFFFF"/>
            <w:noWrap/>
            <w:vAlign w:val="center"/>
            <w:hideMark/>
          </w:tcPr>
          <w:p w14:paraId="4EC64146"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26C3007C"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21F657A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028DB43B"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478" w:type="pct"/>
            <w:tcBorders>
              <w:top w:val="nil"/>
              <w:left w:val="nil"/>
              <w:bottom w:val="single" w:sz="4" w:space="0" w:color="auto"/>
              <w:right w:val="single" w:sz="4" w:space="0" w:color="auto"/>
            </w:tcBorders>
            <w:shd w:val="clear" w:color="000000" w:fill="FFFFFF"/>
            <w:noWrap/>
            <w:vAlign w:val="center"/>
            <w:hideMark/>
          </w:tcPr>
          <w:p w14:paraId="1147FA00"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05603C11"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103D75A4"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5</w:t>
            </w:r>
          </w:p>
        </w:tc>
        <w:tc>
          <w:tcPr>
            <w:tcW w:w="573" w:type="pct"/>
            <w:tcBorders>
              <w:top w:val="nil"/>
              <w:left w:val="nil"/>
              <w:bottom w:val="single" w:sz="4" w:space="0" w:color="auto"/>
              <w:right w:val="single" w:sz="4" w:space="0" w:color="auto"/>
            </w:tcBorders>
            <w:shd w:val="clear" w:color="auto" w:fill="auto"/>
            <w:noWrap/>
            <w:vAlign w:val="center"/>
            <w:hideMark/>
          </w:tcPr>
          <w:p w14:paraId="20D6C476"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6A3B98F7"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000000" w:fill="FFFFFF"/>
            <w:noWrap/>
            <w:vAlign w:val="center"/>
            <w:hideMark/>
          </w:tcPr>
          <w:p w14:paraId="0B681B1E"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33E50A2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74C2E26A"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7374E67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478" w:type="pct"/>
            <w:tcBorders>
              <w:top w:val="nil"/>
              <w:left w:val="nil"/>
              <w:bottom w:val="single" w:sz="4" w:space="0" w:color="auto"/>
              <w:right w:val="single" w:sz="4" w:space="0" w:color="auto"/>
            </w:tcBorders>
            <w:shd w:val="clear" w:color="000000" w:fill="FFFFFF"/>
            <w:noWrap/>
            <w:vAlign w:val="center"/>
            <w:hideMark/>
          </w:tcPr>
          <w:p w14:paraId="66B9EA5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7E1A62E9"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57ED0296"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6</w:t>
            </w:r>
          </w:p>
        </w:tc>
        <w:tc>
          <w:tcPr>
            <w:tcW w:w="573" w:type="pct"/>
            <w:tcBorders>
              <w:top w:val="nil"/>
              <w:left w:val="nil"/>
              <w:bottom w:val="single" w:sz="4" w:space="0" w:color="auto"/>
              <w:right w:val="single" w:sz="4" w:space="0" w:color="auto"/>
            </w:tcBorders>
            <w:shd w:val="clear" w:color="auto" w:fill="auto"/>
            <w:noWrap/>
            <w:vAlign w:val="center"/>
            <w:hideMark/>
          </w:tcPr>
          <w:p w14:paraId="3A8906FD"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35DDF13A"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000000" w:fill="FFFFFF"/>
            <w:noWrap/>
            <w:vAlign w:val="center"/>
            <w:hideMark/>
          </w:tcPr>
          <w:p w14:paraId="1E7C055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16E5376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728AC2EE"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506508DD"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478" w:type="pct"/>
            <w:tcBorders>
              <w:top w:val="nil"/>
              <w:left w:val="nil"/>
              <w:bottom w:val="single" w:sz="4" w:space="0" w:color="auto"/>
              <w:right w:val="single" w:sz="4" w:space="0" w:color="auto"/>
            </w:tcBorders>
            <w:shd w:val="clear" w:color="000000" w:fill="FFFFFF"/>
            <w:noWrap/>
            <w:vAlign w:val="center"/>
            <w:hideMark/>
          </w:tcPr>
          <w:p w14:paraId="4F11EF6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2BF79C08"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555187B1"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7</w:t>
            </w:r>
          </w:p>
        </w:tc>
        <w:tc>
          <w:tcPr>
            <w:tcW w:w="573" w:type="pct"/>
            <w:tcBorders>
              <w:top w:val="nil"/>
              <w:left w:val="nil"/>
              <w:bottom w:val="single" w:sz="4" w:space="0" w:color="auto"/>
              <w:right w:val="single" w:sz="4" w:space="0" w:color="auto"/>
            </w:tcBorders>
            <w:shd w:val="clear" w:color="auto" w:fill="auto"/>
            <w:noWrap/>
            <w:vAlign w:val="center"/>
            <w:hideMark/>
          </w:tcPr>
          <w:p w14:paraId="33CF85AA"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3B47A7F8"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000000" w:fill="FFFFFF"/>
            <w:noWrap/>
            <w:vAlign w:val="center"/>
            <w:hideMark/>
          </w:tcPr>
          <w:p w14:paraId="4703AD6F"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73215B14"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61B013B6"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3AF11A4A"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478" w:type="pct"/>
            <w:tcBorders>
              <w:top w:val="nil"/>
              <w:left w:val="nil"/>
              <w:bottom w:val="single" w:sz="4" w:space="0" w:color="auto"/>
              <w:right w:val="single" w:sz="4" w:space="0" w:color="auto"/>
            </w:tcBorders>
            <w:shd w:val="clear" w:color="000000" w:fill="FFFFFF"/>
            <w:noWrap/>
            <w:vAlign w:val="center"/>
            <w:hideMark/>
          </w:tcPr>
          <w:p w14:paraId="4E8A554F"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51529CF8" w14:textId="77777777" w:rsidTr="001D340B">
        <w:trPr>
          <w:trHeight w:val="515"/>
        </w:trPr>
        <w:tc>
          <w:tcPr>
            <w:tcW w:w="360" w:type="pct"/>
            <w:tcBorders>
              <w:top w:val="nil"/>
              <w:left w:val="single" w:sz="4" w:space="0" w:color="auto"/>
              <w:bottom w:val="single" w:sz="4" w:space="0" w:color="auto"/>
              <w:right w:val="single" w:sz="4" w:space="0" w:color="auto"/>
            </w:tcBorders>
            <w:shd w:val="clear" w:color="000000" w:fill="FFFFFF"/>
            <w:noWrap/>
            <w:vAlign w:val="center"/>
            <w:hideMark/>
          </w:tcPr>
          <w:p w14:paraId="55299AB3" w14:textId="77777777" w:rsidR="00E148CA" w:rsidRPr="00445472" w:rsidRDefault="00E148CA" w:rsidP="00E148CA">
            <w:pPr>
              <w:spacing w:before="46" w:after="0" w:line="240" w:lineRule="auto"/>
              <w:jc w:val="center"/>
              <w:rPr>
                <w:rFonts w:ascii="Garamond" w:hAnsi="Garamond"/>
                <w:sz w:val="18"/>
                <w:szCs w:val="18"/>
              </w:rPr>
            </w:pPr>
            <w:r w:rsidRPr="00445472">
              <w:rPr>
                <w:rFonts w:ascii="Garamond" w:hAnsi="Garamond"/>
                <w:sz w:val="18"/>
                <w:szCs w:val="18"/>
              </w:rPr>
              <w:t>8</w:t>
            </w:r>
          </w:p>
        </w:tc>
        <w:tc>
          <w:tcPr>
            <w:tcW w:w="573" w:type="pct"/>
            <w:tcBorders>
              <w:top w:val="nil"/>
              <w:left w:val="nil"/>
              <w:bottom w:val="single" w:sz="4" w:space="0" w:color="auto"/>
              <w:right w:val="single" w:sz="4" w:space="0" w:color="auto"/>
            </w:tcBorders>
            <w:shd w:val="clear" w:color="auto" w:fill="auto"/>
            <w:noWrap/>
            <w:vAlign w:val="center"/>
            <w:hideMark/>
          </w:tcPr>
          <w:p w14:paraId="38209CEB"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97" w:type="pct"/>
            <w:tcBorders>
              <w:top w:val="nil"/>
              <w:left w:val="nil"/>
              <w:bottom w:val="single" w:sz="4" w:space="0" w:color="auto"/>
              <w:right w:val="single" w:sz="4" w:space="0" w:color="auto"/>
            </w:tcBorders>
            <w:shd w:val="clear" w:color="000000" w:fill="FFFFFF"/>
            <w:noWrap/>
            <w:vAlign w:val="center"/>
            <w:hideMark/>
          </w:tcPr>
          <w:p w14:paraId="5630BFAF"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865" w:type="pct"/>
            <w:tcBorders>
              <w:top w:val="nil"/>
              <w:left w:val="nil"/>
              <w:bottom w:val="single" w:sz="4" w:space="0" w:color="auto"/>
              <w:right w:val="single" w:sz="4" w:space="0" w:color="auto"/>
            </w:tcBorders>
            <w:shd w:val="clear" w:color="000000" w:fill="FFFFFF"/>
            <w:noWrap/>
            <w:vAlign w:val="center"/>
            <w:hideMark/>
          </w:tcPr>
          <w:p w14:paraId="27366E06"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506" w:type="pct"/>
            <w:gridSpan w:val="2"/>
            <w:tcBorders>
              <w:top w:val="nil"/>
              <w:left w:val="nil"/>
              <w:bottom w:val="single" w:sz="4" w:space="0" w:color="auto"/>
              <w:right w:val="single" w:sz="4" w:space="0" w:color="auto"/>
            </w:tcBorders>
            <w:shd w:val="clear" w:color="000000" w:fill="FFFFFF"/>
            <w:noWrap/>
            <w:vAlign w:val="center"/>
            <w:hideMark/>
          </w:tcPr>
          <w:p w14:paraId="6E27A0A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759" w:type="pct"/>
            <w:tcBorders>
              <w:top w:val="nil"/>
              <w:left w:val="nil"/>
              <w:bottom w:val="single" w:sz="4" w:space="0" w:color="auto"/>
              <w:right w:val="single" w:sz="4" w:space="0" w:color="auto"/>
            </w:tcBorders>
            <w:shd w:val="clear" w:color="000000" w:fill="FFFFFF"/>
            <w:noWrap/>
            <w:vAlign w:val="center"/>
            <w:hideMark/>
          </w:tcPr>
          <w:p w14:paraId="014B745A"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662" w:type="pct"/>
            <w:tcBorders>
              <w:top w:val="nil"/>
              <w:left w:val="nil"/>
              <w:bottom w:val="single" w:sz="4" w:space="0" w:color="auto"/>
              <w:right w:val="single" w:sz="4" w:space="0" w:color="auto"/>
            </w:tcBorders>
            <w:shd w:val="clear" w:color="000000" w:fill="FFFFFF"/>
            <w:noWrap/>
            <w:vAlign w:val="center"/>
            <w:hideMark/>
          </w:tcPr>
          <w:p w14:paraId="46BB450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c>
          <w:tcPr>
            <w:tcW w:w="478" w:type="pct"/>
            <w:tcBorders>
              <w:top w:val="nil"/>
              <w:left w:val="nil"/>
              <w:bottom w:val="single" w:sz="4" w:space="0" w:color="auto"/>
              <w:right w:val="single" w:sz="4" w:space="0" w:color="auto"/>
            </w:tcBorders>
            <w:shd w:val="clear" w:color="000000" w:fill="FFFFFF"/>
            <w:noWrap/>
            <w:vAlign w:val="center"/>
            <w:hideMark/>
          </w:tcPr>
          <w:p w14:paraId="195447C9" w14:textId="77777777" w:rsidR="00E148CA" w:rsidRPr="00445472" w:rsidRDefault="00E148CA" w:rsidP="00E148CA">
            <w:pPr>
              <w:spacing w:before="46" w:after="0" w:line="240" w:lineRule="auto"/>
              <w:rPr>
                <w:rFonts w:ascii="Garamond" w:hAnsi="Garamond"/>
                <w:sz w:val="18"/>
                <w:szCs w:val="18"/>
              </w:rPr>
            </w:pPr>
            <w:r w:rsidRPr="00445472">
              <w:rPr>
                <w:rFonts w:ascii="Garamond" w:hAnsi="Garamond"/>
                <w:sz w:val="18"/>
                <w:szCs w:val="18"/>
              </w:rPr>
              <w:t> </w:t>
            </w:r>
          </w:p>
        </w:tc>
      </w:tr>
      <w:tr w:rsidR="00E148CA" w:rsidRPr="00445472" w14:paraId="23F75C91" w14:textId="77777777" w:rsidTr="001D340B">
        <w:trPr>
          <w:trHeight w:val="294"/>
        </w:trPr>
        <w:tc>
          <w:tcPr>
            <w:tcW w:w="360" w:type="pct"/>
            <w:tcBorders>
              <w:top w:val="nil"/>
              <w:left w:val="nil"/>
              <w:bottom w:val="nil"/>
              <w:right w:val="nil"/>
            </w:tcBorders>
            <w:shd w:val="clear" w:color="auto" w:fill="auto"/>
            <w:noWrap/>
            <w:vAlign w:val="center"/>
            <w:hideMark/>
          </w:tcPr>
          <w:p w14:paraId="695CC3B6" w14:textId="77777777" w:rsidR="00E148CA" w:rsidRPr="00445472" w:rsidRDefault="00E148CA" w:rsidP="00E148CA">
            <w:pPr>
              <w:spacing w:before="46" w:after="0" w:line="240" w:lineRule="auto"/>
              <w:rPr>
                <w:rFonts w:ascii="Garamond" w:hAnsi="Garamond" w:cs="Arial"/>
                <w:sz w:val="18"/>
                <w:szCs w:val="18"/>
              </w:rPr>
            </w:pPr>
          </w:p>
        </w:tc>
        <w:tc>
          <w:tcPr>
            <w:tcW w:w="573" w:type="pct"/>
            <w:tcBorders>
              <w:top w:val="nil"/>
              <w:left w:val="nil"/>
              <w:bottom w:val="nil"/>
              <w:right w:val="nil"/>
            </w:tcBorders>
            <w:shd w:val="clear" w:color="auto" w:fill="auto"/>
            <w:noWrap/>
            <w:vAlign w:val="center"/>
            <w:hideMark/>
          </w:tcPr>
          <w:p w14:paraId="26CD135B" w14:textId="77777777" w:rsidR="00E148CA" w:rsidRPr="00445472" w:rsidRDefault="00E148CA" w:rsidP="00E148CA">
            <w:pPr>
              <w:spacing w:before="46" w:after="0" w:line="240" w:lineRule="auto"/>
              <w:rPr>
                <w:rFonts w:ascii="Garamond" w:hAnsi="Garamond" w:cs="Arial"/>
                <w:sz w:val="18"/>
                <w:szCs w:val="18"/>
              </w:rPr>
            </w:pPr>
          </w:p>
        </w:tc>
        <w:tc>
          <w:tcPr>
            <w:tcW w:w="797" w:type="pct"/>
            <w:tcBorders>
              <w:top w:val="nil"/>
              <w:left w:val="nil"/>
              <w:bottom w:val="nil"/>
              <w:right w:val="nil"/>
            </w:tcBorders>
            <w:shd w:val="clear" w:color="auto" w:fill="auto"/>
            <w:noWrap/>
            <w:vAlign w:val="center"/>
            <w:hideMark/>
          </w:tcPr>
          <w:p w14:paraId="246C55AA" w14:textId="77777777" w:rsidR="00E148CA" w:rsidRPr="00445472" w:rsidRDefault="00E148CA" w:rsidP="00E148CA">
            <w:pPr>
              <w:spacing w:before="46" w:after="0" w:line="240" w:lineRule="auto"/>
              <w:rPr>
                <w:rFonts w:ascii="Garamond" w:hAnsi="Garamond" w:cs="Arial"/>
                <w:sz w:val="18"/>
                <w:szCs w:val="18"/>
              </w:rPr>
            </w:pPr>
          </w:p>
        </w:tc>
        <w:tc>
          <w:tcPr>
            <w:tcW w:w="865" w:type="pct"/>
            <w:tcBorders>
              <w:top w:val="nil"/>
              <w:left w:val="nil"/>
              <w:bottom w:val="nil"/>
              <w:right w:val="nil"/>
            </w:tcBorders>
            <w:shd w:val="clear" w:color="auto" w:fill="auto"/>
            <w:noWrap/>
            <w:vAlign w:val="center"/>
            <w:hideMark/>
          </w:tcPr>
          <w:p w14:paraId="6B1F18CC" w14:textId="77777777" w:rsidR="00E148CA" w:rsidRPr="00445472" w:rsidRDefault="00E148CA" w:rsidP="00E148CA">
            <w:pPr>
              <w:spacing w:before="46" w:after="0" w:line="240" w:lineRule="auto"/>
              <w:rPr>
                <w:rFonts w:ascii="Garamond" w:hAnsi="Garamond" w:cs="Arial"/>
                <w:sz w:val="18"/>
                <w:szCs w:val="18"/>
              </w:rPr>
            </w:pPr>
          </w:p>
        </w:tc>
        <w:tc>
          <w:tcPr>
            <w:tcW w:w="506" w:type="pct"/>
            <w:gridSpan w:val="2"/>
            <w:tcBorders>
              <w:top w:val="nil"/>
              <w:left w:val="nil"/>
              <w:bottom w:val="nil"/>
              <w:right w:val="nil"/>
            </w:tcBorders>
            <w:shd w:val="clear" w:color="auto" w:fill="auto"/>
            <w:noWrap/>
            <w:vAlign w:val="center"/>
            <w:hideMark/>
          </w:tcPr>
          <w:p w14:paraId="2307333C" w14:textId="77777777" w:rsidR="00E148CA" w:rsidRPr="00445472" w:rsidRDefault="00E148CA" w:rsidP="00E148CA">
            <w:pPr>
              <w:spacing w:before="46" w:after="0" w:line="240" w:lineRule="auto"/>
              <w:rPr>
                <w:rFonts w:ascii="Garamond" w:hAnsi="Garamond" w:cs="Arial"/>
                <w:sz w:val="18"/>
                <w:szCs w:val="18"/>
              </w:rPr>
            </w:pPr>
          </w:p>
        </w:tc>
        <w:tc>
          <w:tcPr>
            <w:tcW w:w="759" w:type="pct"/>
            <w:tcBorders>
              <w:top w:val="nil"/>
              <w:left w:val="nil"/>
              <w:bottom w:val="nil"/>
              <w:right w:val="nil"/>
            </w:tcBorders>
            <w:shd w:val="clear" w:color="auto" w:fill="auto"/>
            <w:noWrap/>
            <w:vAlign w:val="center"/>
            <w:hideMark/>
          </w:tcPr>
          <w:p w14:paraId="664558A4" w14:textId="77777777" w:rsidR="00E148CA" w:rsidRPr="00445472" w:rsidRDefault="00E148CA" w:rsidP="00E148CA">
            <w:pPr>
              <w:spacing w:before="46" w:after="0" w:line="240" w:lineRule="auto"/>
              <w:rPr>
                <w:rFonts w:ascii="Garamond" w:hAnsi="Garamond" w:cs="Arial"/>
                <w:sz w:val="18"/>
                <w:szCs w:val="18"/>
              </w:rPr>
            </w:pPr>
          </w:p>
        </w:tc>
        <w:tc>
          <w:tcPr>
            <w:tcW w:w="662" w:type="pct"/>
            <w:tcBorders>
              <w:top w:val="nil"/>
              <w:left w:val="nil"/>
              <w:bottom w:val="nil"/>
              <w:right w:val="nil"/>
            </w:tcBorders>
            <w:shd w:val="clear" w:color="auto" w:fill="auto"/>
            <w:noWrap/>
            <w:vAlign w:val="center"/>
            <w:hideMark/>
          </w:tcPr>
          <w:p w14:paraId="0D666F3C" w14:textId="77777777" w:rsidR="00E148CA" w:rsidRPr="00445472" w:rsidRDefault="00E148CA" w:rsidP="00E148CA">
            <w:pPr>
              <w:spacing w:before="46" w:after="0" w:line="240" w:lineRule="auto"/>
              <w:rPr>
                <w:rFonts w:ascii="Garamond" w:hAnsi="Garamond" w:cs="Arial"/>
                <w:sz w:val="18"/>
                <w:szCs w:val="18"/>
              </w:rPr>
            </w:pPr>
          </w:p>
        </w:tc>
        <w:tc>
          <w:tcPr>
            <w:tcW w:w="478" w:type="pct"/>
            <w:tcBorders>
              <w:top w:val="nil"/>
              <w:left w:val="nil"/>
              <w:bottom w:val="nil"/>
              <w:right w:val="nil"/>
            </w:tcBorders>
            <w:shd w:val="clear" w:color="auto" w:fill="auto"/>
            <w:noWrap/>
            <w:vAlign w:val="center"/>
            <w:hideMark/>
          </w:tcPr>
          <w:p w14:paraId="2DC61A9A" w14:textId="77777777" w:rsidR="00E148CA" w:rsidRPr="00445472" w:rsidRDefault="00E148CA" w:rsidP="00E148CA">
            <w:pPr>
              <w:spacing w:before="46" w:after="0" w:line="240" w:lineRule="auto"/>
              <w:rPr>
                <w:rFonts w:ascii="Garamond" w:hAnsi="Garamond" w:cs="Arial"/>
                <w:sz w:val="18"/>
                <w:szCs w:val="18"/>
              </w:rPr>
            </w:pPr>
          </w:p>
        </w:tc>
      </w:tr>
      <w:tr w:rsidR="00E148CA" w:rsidRPr="00445472" w14:paraId="6FBF6C3B" w14:textId="77777777" w:rsidTr="001D340B">
        <w:trPr>
          <w:trHeight w:val="294"/>
        </w:trPr>
        <w:tc>
          <w:tcPr>
            <w:tcW w:w="2599" w:type="pct"/>
            <w:gridSpan w:val="5"/>
            <w:tcBorders>
              <w:top w:val="nil"/>
              <w:left w:val="nil"/>
              <w:bottom w:val="nil"/>
              <w:right w:val="nil"/>
            </w:tcBorders>
            <w:shd w:val="clear" w:color="auto" w:fill="auto"/>
            <w:noWrap/>
            <w:vAlign w:val="center"/>
            <w:hideMark/>
          </w:tcPr>
          <w:p w14:paraId="63A6D940" w14:textId="136826C1" w:rsidR="00E148CA" w:rsidRPr="00445472" w:rsidRDefault="00E148CA" w:rsidP="00E148CA">
            <w:pPr>
              <w:spacing w:after="0" w:line="240" w:lineRule="auto"/>
              <w:rPr>
                <w:rFonts w:ascii="Garamond" w:hAnsi="Garamond" w:cs="Arial"/>
                <w:i/>
                <w:iCs/>
                <w:sz w:val="18"/>
                <w:szCs w:val="18"/>
              </w:rPr>
            </w:pPr>
            <w:r w:rsidRPr="00445472">
              <w:rPr>
                <w:rFonts w:ascii="Garamond" w:hAnsi="Garamond" w:cs="Arial"/>
                <w:i/>
                <w:iCs/>
                <w:sz w:val="18"/>
                <w:szCs w:val="18"/>
              </w:rPr>
              <w:t>* Pranoni të merrni foto/video gjatë takimeve</w:t>
            </w:r>
            <w:r w:rsidR="008F14E8" w:rsidRPr="00445472">
              <w:rPr>
                <w:rFonts w:ascii="Garamond" w:hAnsi="Garamond" w:cs="Arial"/>
                <w:i/>
                <w:iCs/>
                <w:sz w:val="18"/>
                <w:szCs w:val="18"/>
              </w:rPr>
              <w:t>.</w:t>
            </w:r>
          </w:p>
        </w:tc>
        <w:tc>
          <w:tcPr>
            <w:tcW w:w="502" w:type="pct"/>
            <w:tcBorders>
              <w:top w:val="nil"/>
              <w:left w:val="nil"/>
              <w:bottom w:val="nil"/>
              <w:right w:val="nil"/>
            </w:tcBorders>
            <w:shd w:val="clear" w:color="auto" w:fill="auto"/>
            <w:noWrap/>
            <w:vAlign w:val="center"/>
            <w:hideMark/>
          </w:tcPr>
          <w:p w14:paraId="12E95D65" w14:textId="77777777" w:rsidR="00E148CA" w:rsidRPr="00445472" w:rsidRDefault="00E148CA" w:rsidP="00E148CA">
            <w:pPr>
              <w:spacing w:after="0" w:line="240" w:lineRule="auto"/>
              <w:rPr>
                <w:rFonts w:ascii="Garamond" w:hAnsi="Garamond" w:cs="Arial"/>
                <w:sz w:val="18"/>
                <w:szCs w:val="18"/>
              </w:rPr>
            </w:pPr>
          </w:p>
        </w:tc>
        <w:tc>
          <w:tcPr>
            <w:tcW w:w="759" w:type="pct"/>
            <w:tcBorders>
              <w:top w:val="nil"/>
              <w:left w:val="nil"/>
              <w:bottom w:val="nil"/>
              <w:right w:val="nil"/>
            </w:tcBorders>
            <w:shd w:val="clear" w:color="auto" w:fill="auto"/>
            <w:noWrap/>
            <w:vAlign w:val="center"/>
            <w:hideMark/>
          </w:tcPr>
          <w:p w14:paraId="1DB0A9CF" w14:textId="77777777" w:rsidR="00E148CA" w:rsidRPr="00445472" w:rsidRDefault="00E148CA" w:rsidP="00E148CA">
            <w:pPr>
              <w:spacing w:after="0" w:line="240" w:lineRule="auto"/>
              <w:rPr>
                <w:rFonts w:ascii="Garamond" w:hAnsi="Garamond" w:cs="Arial"/>
                <w:sz w:val="18"/>
                <w:szCs w:val="18"/>
              </w:rPr>
            </w:pPr>
          </w:p>
        </w:tc>
        <w:tc>
          <w:tcPr>
            <w:tcW w:w="662" w:type="pct"/>
            <w:tcBorders>
              <w:top w:val="nil"/>
              <w:left w:val="nil"/>
              <w:bottom w:val="nil"/>
              <w:right w:val="nil"/>
            </w:tcBorders>
            <w:shd w:val="clear" w:color="auto" w:fill="auto"/>
            <w:noWrap/>
            <w:vAlign w:val="center"/>
            <w:hideMark/>
          </w:tcPr>
          <w:p w14:paraId="1D6F33EE" w14:textId="77777777" w:rsidR="00E148CA" w:rsidRPr="00445472" w:rsidRDefault="00E148CA" w:rsidP="00E148CA">
            <w:pPr>
              <w:spacing w:after="0" w:line="240" w:lineRule="auto"/>
              <w:rPr>
                <w:rFonts w:ascii="Garamond" w:hAnsi="Garamond" w:cs="Arial"/>
                <w:sz w:val="18"/>
                <w:szCs w:val="18"/>
              </w:rPr>
            </w:pPr>
          </w:p>
        </w:tc>
        <w:tc>
          <w:tcPr>
            <w:tcW w:w="478" w:type="pct"/>
            <w:tcBorders>
              <w:top w:val="nil"/>
              <w:left w:val="nil"/>
              <w:bottom w:val="nil"/>
              <w:right w:val="nil"/>
            </w:tcBorders>
            <w:shd w:val="clear" w:color="auto" w:fill="auto"/>
            <w:noWrap/>
            <w:vAlign w:val="center"/>
            <w:hideMark/>
          </w:tcPr>
          <w:p w14:paraId="4E28011C" w14:textId="77777777" w:rsidR="00E148CA" w:rsidRPr="00445472" w:rsidRDefault="00E148CA" w:rsidP="00E148CA">
            <w:pPr>
              <w:spacing w:after="0" w:line="240" w:lineRule="auto"/>
              <w:rPr>
                <w:rFonts w:ascii="Garamond" w:hAnsi="Garamond" w:cs="Arial"/>
                <w:sz w:val="18"/>
                <w:szCs w:val="18"/>
              </w:rPr>
            </w:pPr>
          </w:p>
        </w:tc>
      </w:tr>
      <w:tr w:rsidR="00E148CA" w:rsidRPr="00445472" w14:paraId="76940640" w14:textId="77777777" w:rsidTr="001D340B">
        <w:trPr>
          <w:trHeight w:val="508"/>
        </w:trPr>
        <w:tc>
          <w:tcPr>
            <w:tcW w:w="1730" w:type="pct"/>
            <w:gridSpan w:val="3"/>
            <w:tcBorders>
              <w:top w:val="nil"/>
              <w:left w:val="nil"/>
              <w:bottom w:val="nil"/>
              <w:right w:val="nil"/>
            </w:tcBorders>
            <w:shd w:val="clear" w:color="auto" w:fill="auto"/>
            <w:noWrap/>
            <w:vAlign w:val="center"/>
            <w:hideMark/>
          </w:tcPr>
          <w:p w14:paraId="1DA80434" w14:textId="257B9FD1" w:rsidR="00E148CA" w:rsidRPr="00445472" w:rsidRDefault="00E148CA" w:rsidP="00E148CA">
            <w:pPr>
              <w:spacing w:after="0" w:line="240" w:lineRule="auto"/>
              <w:rPr>
                <w:rFonts w:ascii="Garamond" w:hAnsi="Garamond" w:cs="Arial"/>
                <w:i/>
                <w:iCs/>
                <w:sz w:val="18"/>
                <w:szCs w:val="18"/>
              </w:rPr>
            </w:pPr>
            <w:r w:rsidRPr="00445472">
              <w:rPr>
                <w:rFonts w:ascii="Garamond" w:hAnsi="Garamond" w:cs="Arial"/>
                <w:i/>
                <w:iCs/>
                <w:sz w:val="18"/>
                <w:szCs w:val="18"/>
              </w:rPr>
              <w:t>*</w:t>
            </w:r>
            <w:r w:rsidR="008F14E8" w:rsidRPr="00445472">
              <w:rPr>
                <w:rFonts w:ascii="Garamond" w:hAnsi="Garamond" w:cs="Arial"/>
                <w:i/>
                <w:iCs/>
                <w:sz w:val="18"/>
                <w:szCs w:val="18"/>
              </w:rPr>
              <w:t xml:space="preserve"> </w:t>
            </w:r>
            <w:r w:rsidRPr="00445472">
              <w:rPr>
                <w:rFonts w:ascii="Garamond" w:hAnsi="Garamond" w:cs="Arial"/>
                <w:i/>
                <w:iCs/>
                <w:sz w:val="18"/>
                <w:szCs w:val="18"/>
              </w:rPr>
              <w:t>Komentet mund të dorëzohen brenda 5 ditëve të punës</w:t>
            </w:r>
            <w:r w:rsidR="008F14E8" w:rsidRPr="00445472">
              <w:rPr>
                <w:rFonts w:ascii="Garamond" w:hAnsi="Garamond" w:cs="Arial"/>
                <w:i/>
                <w:iCs/>
                <w:sz w:val="18"/>
                <w:szCs w:val="18"/>
              </w:rPr>
              <w:t>.</w:t>
            </w:r>
          </w:p>
        </w:tc>
        <w:tc>
          <w:tcPr>
            <w:tcW w:w="865" w:type="pct"/>
            <w:tcBorders>
              <w:top w:val="nil"/>
              <w:left w:val="nil"/>
              <w:bottom w:val="nil"/>
              <w:right w:val="nil"/>
            </w:tcBorders>
            <w:shd w:val="clear" w:color="auto" w:fill="auto"/>
            <w:noWrap/>
            <w:vAlign w:val="center"/>
            <w:hideMark/>
          </w:tcPr>
          <w:p w14:paraId="51B6009A" w14:textId="77777777" w:rsidR="00E148CA" w:rsidRPr="00445472" w:rsidRDefault="00E148CA" w:rsidP="00E148CA">
            <w:pPr>
              <w:spacing w:after="0" w:line="240" w:lineRule="auto"/>
              <w:rPr>
                <w:rFonts w:ascii="Garamond" w:hAnsi="Garamond" w:cs="Arial"/>
                <w:sz w:val="18"/>
                <w:szCs w:val="18"/>
              </w:rPr>
            </w:pPr>
          </w:p>
        </w:tc>
        <w:tc>
          <w:tcPr>
            <w:tcW w:w="506" w:type="pct"/>
            <w:gridSpan w:val="2"/>
            <w:tcBorders>
              <w:top w:val="nil"/>
              <w:left w:val="nil"/>
              <w:bottom w:val="nil"/>
              <w:right w:val="nil"/>
            </w:tcBorders>
            <w:shd w:val="clear" w:color="auto" w:fill="auto"/>
            <w:noWrap/>
            <w:vAlign w:val="center"/>
            <w:hideMark/>
          </w:tcPr>
          <w:p w14:paraId="4E41F93F" w14:textId="77777777" w:rsidR="00E148CA" w:rsidRPr="00445472" w:rsidRDefault="00E148CA" w:rsidP="00E148CA">
            <w:pPr>
              <w:spacing w:after="0" w:line="240" w:lineRule="auto"/>
              <w:rPr>
                <w:rFonts w:ascii="Garamond" w:hAnsi="Garamond" w:cs="Arial"/>
                <w:sz w:val="18"/>
                <w:szCs w:val="18"/>
              </w:rPr>
            </w:pPr>
          </w:p>
        </w:tc>
        <w:tc>
          <w:tcPr>
            <w:tcW w:w="759" w:type="pct"/>
            <w:tcBorders>
              <w:top w:val="nil"/>
              <w:left w:val="nil"/>
              <w:bottom w:val="nil"/>
              <w:right w:val="nil"/>
            </w:tcBorders>
            <w:shd w:val="clear" w:color="auto" w:fill="auto"/>
            <w:noWrap/>
            <w:vAlign w:val="center"/>
            <w:hideMark/>
          </w:tcPr>
          <w:p w14:paraId="5403D5E7" w14:textId="77777777" w:rsidR="00E148CA" w:rsidRPr="00445472" w:rsidRDefault="00E148CA" w:rsidP="00E148CA">
            <w:pPr>
              <w:spacing w:after="0" w:line="240" w:lineRule="auto"/>
              <w:rPr>
                <w:rFonts w:ascii="Garamond" w:hAnsi="Garamond" w:cs="Arial"/>
                <w:sz w:val="18"/>
                <w:szCs w:val="18"/>
              </w:rPr>
            </w:pPr>
          </w:p>
        </w:tc>
        <w:tc>
          <w:tcPr>
            <w:tcW w:w="662" w:type="pct"/>
            <w:tcBorders>
              <w:top w:val="nil"/>
              <w:left w:val="nil"/>
              <w:bottom w:val="nil"/>
              <w:right w:val="nil"/>
            </w:tcBorders>
            <w:shd w:val="clear" w:color="auto" w:fill="auto"/>
            <w:noWrap/>
            <w:vAlign w:val="center"/>
            <w:hideMark/>
          </w:tcPr>
          <w:p w14:paraId="3231EDF6" w14:textId="77777777" w:rsidR="00E148CA" w:rsidRPr="00445472" w:rsidRDefault="00E148CA" w:rsidP="00E148CA">
            <w:pPr>
              <w:spacing w:after="0" w:line="240" w:lineRule="auto"/>
              <w:rPr>
                <w:rFonts w:ascii="Garamond" w:hAnsi="Garamond" w:cs="Arial"/>
                <w:sz w:val="18"/>
                <w:szCs w:val="18"/>
              </w:rPr>
            </w:pPr>
          </w:p>
        </w:tc>
        <w:tc>
          <w:tcPr>
            <w:tcW w:w="478" w:type="pct"/>
            <w:tcBorders>
              <w:top w:val="nil"/>
              <w:left w:val="nil"/>
              <w:bottom w:val="nil"/>
              <w:right w:val="nil"/>
            </w:tcBorders>
            <w:shd w:val="clear" w:color="auto" w:fill="auto"/>
            <w:noWrap/>
            <w:vAlign w:val="center"/>
            <w:hideMark/>
          </w:tcPr>
          <w:p w14:paraId="4082D78D" w14:textId="77777777" w:rsidR="00E148CA" w:rsidRPr="00445472" w:rsidRDefault="00E148CA" w:rsidP="00E148CA">
            <w:pPr>
              <w:spacing w:after="0" w:line="240" w:lineRule="auto"/>
              <w:rPr>
                <w:rFonts w:ascii="Garamond" w:hAnsi="Garamond" w:cs="Arial"/>
                <w:sz w:val="18"/>
                <w:szCs w:val="18"/>
              </w:rPr>
            </w:pPr>
          </w:p>
        </w:tc>
      </w:tr>
    </w:tbl>
    <w:p w14:paraId="471E447F" w14:textId="77777777" w:rsidR="00574397" w:rsidRPr="00445472" w:rsidRDefault="00574397" w:rsidP="00E148CA">
      <w:pPr>
        <w:pStyle w:val="TEKSTIIII"/>
        <w:rPr>
          <w:sz w:val="20"/>
        </w:rPr>
        <w:sectPr w:rsidR="00574397" w:rsidRPr="00445472" w:rsidSect="00E148CA">
          <w:pgSz w:w="16839" w:h="11907" w:orient="landscape" w:code="9"/>
          <w:pgMar w:top="1418" w:right="1418" w:bottom="1418" w:left="1418" w:header="1304" w:footer="1134" w:gutter="0"/>
          <w:cols w:space="720"/>
          <w:docGrid w:linePitch="360"/>
        </w:sectPr>
      </w:pPr>
    </w:p>
    <w:p w14:paraId="57A91928" w14:textId="77777777" w:rsidR="00574397" w:rsidRPr="00445472" w:rsidRDefault="00574397" w:rsidP="00574397">
      <w:pPr>
        <w:pStyle w:val="NENTITULL"/>
      </w:pPr>
      <w:bookmarkStart w:id="367" w:name="_Toc11068919"/>
      <w:bookmarkStart w:id="368" w:name="_Toc11068932"/>
      <w:r w:rsidRPr="00445472">
        <w:t>Shtojca 6. Raporti i konsultimit të grupeve të interesit</w:t>
      </w:r>
      <w:bookmarkEnd w:id="367"/>
      <w:bookmarkEnd w:id="368"/>
    </w:p>
    <w:p w14:paraId="0D37026E" w14:textId="64A6E232" w:rsidR="00574397" w:rsidRPr="00445472" w:rsidRDefault="00574397" w:rsidP="00574397">
      <w:pPr>
        <w:pStyle w:val="NENTITULL"/>
      </w:pPr>
      <w:bookmarkStart w:id="369" w:name="_Toc11068920"/>
      <w:r w:rsidRPr="00445472">
        <w:t>6.1 Hyrje</w:t>
      </w:r>
      <w:bookmarkEnd w:id="369"/>
    </w:p>
    <w:p w14:paraId="1264E2D9" w14:textId="0A8BD786" w:rsidR="00574397" w:rsidRPr="00445472" w:rsidRDefault="00574397" w:rsidP="00574397">
      <w:pPr>
        <w:pStyle w:val="TEKSTIIII"/>
      </w:pPr>
      <w:r w:rsidRPr="00445472">
        <w:t xml:space="preserve">Raporti aktual i angazhimit të grupeve të interesit përshkruan në mënyrë të hollësishme procesin e konsultimit të grupeve të interesit që u zbatua për zhvillimin e Planit Përfundimtar të Menaxhimit të Baseneve Ujore </w:t>
      </w:r>
      <w:r w:rsidR="007E76E3" w:rsidRPr="00445472">
        <w:t>Drin–Bunë</w:t>
      </w:r>
      <w:r w:rsidRPr="00445472">
        <w:t>. Procesi i konsultimit u zbatua nga ekipi i projektit, i cili planifikoi, përgatiti dhe zbatoi veprimtaritë e mëposhtme të angazhimit:</w:t>
      </w:r>
    </w:p>
    <w:p w14:paraId="435F4ABD" w14:textId="31223586" w:rsidR="00574397" w:rsidRPr="00445472" w:rsidRDefault="006C12C5" w:rsidP="00574397">
      <w:pPr>
        <w:pStyle w:val="TEKSTIIII"/>
      </w:pPr>
      <w:r>
        <w:t xml:space="preserve">- </w:t>
      </w:r>
      <w:r w:rsidR="00574397" w:rsidRPr="00445472">
        <w:t>Zhvillimi i planeve të veprimtarive të angazhimit të grupeve të interesit;</w:t>
      </w:r>
    </w:p>
    <w:p w14:paraId="39C31F6F" w14:textId="086C2ABA" w:rsidR="00574397" w:rsidRPr="00445472" w:rsidRDefault="006C12C5" w:rsidP="00574397">
      <w:pPr>
        <w:pStyle w:val="TEKSTIIII"/>
      </w:pPr>
      <w:r>
        <w:t xml:space="preserve">- </w:t>
      </w:r>
      <w:r w:rsidR="00574397" w:rsidRPr="00445472">
        <w:t>Përfundimi i listës së grupeve të interesit dhe strategjisë së angazhimit (kombëtar/rajonal);</w:t>
      </w:r>
    </w:p>
    <w:p w14:paraId="0D99B8F3" w14:textId="38AFDB44" w:rsidR="00574397" w:rsidRPr="00445472" w:rsidRDefault="006C12C5" w:rsidP="00574397">
      <w:pPr>
        <w:pStyle w:val="TEKSTIIII"/>
      </w:pPr>
      <w:r>
        <w:t xml:space="preserve">- </w:t>
      </w:r>
      <w:r w:rsidR="00574397" w:rsidRPr="00445472">
        <w:t>Organizimi i mbledhjeve kombëtare dhe rajonale (p.sh. njoftimi i autoriteteve, ftesat dhe koordinimi me autoritetet rajonale dhe komunale);</w:t>
      </w:r>
    </w:p>
    <w:p w14:paraId="5D58EAAA" w14:textId="4D7B944C" w:rsidR="00574397" w:rsidRPr="00445472" w:rsidRDefault="006C12C5" w:rsidP="00574397">
      <w:pPr>
        <w:pStyle w:val="TEKSTIIII"/>
      </w:pPr>
      <w:r>
        <w:t xml:space="preserve">- </w:t>
      </w:r>
      <w:r w:rsidR="00574397" w:rsidRPr="00445472">
        <w:t xml:space="preserve">Organizimi i </w:t>
      </w:r>
      <w:r w:rsidR="00D62EDF" w:rsidRPr="00445472">
        <w:t>“</w:t>
      </w:r>
      <w:r w:rsidR="008804EB">
        <w:t>mbajtjes së proces</w:t>
      </w:r>
      <w:r w:rsidR="00574397" w:rsidRPr="00445472">
        <w:t>verbaleve</w:t>
      </w:r>
      <w:r w:rsidR="00D62EDF" w:rsidRPr="00445472">
        <w:t>”</w:t>
      </w:r>
      <w:r w:rsidR="00574397" w:rsidRPr="00445472">
        <w:t xml:space="preserve"> gjatë mbledhjeve konsultative;</w:t>
      </w:r>
    </w:p>
    <w:p w14:paraId="372F51ED" w14:textId="18F50439" w:rsidR="00574397" w:rsidRPr="00445472" w:rsidRDefault="006C12C5" w:rsidP="00574397">
      <w:pPr>
        <w:pStyle w:val="TEKSTIIII"/>
      </w:pPr>
      <w:r>
        <w:t xml:space="preserve">- </w:t>
      </w:r>
      <w:r w:rsidR="00574397" w:rsidRPr="00445472">
        <w:t>Përgatitja e raportit aktual që përfshin fletët e nënshkrimit, figurat, pyetësorët e komenteve dhe MoM</w:t>
      </w:r>
    </w:p>
    <w:p w14:paraId="2D66C698" w14:textId="143EE520" w:rsidR="00574397" w:rsidRPr="00445472" w:rsidRDefault="00574397" w:rsidP="00574397">
      <w:pPr>
        <w:pStyle w:val="TEKSTIIII"/>
      </w:pPr>
      <w:r w:rsidRPr="00445472">
        <w:t xml:space="preserve">Plani i konsultimit të grupeve të interesit siguroi një qasje të strukturuar drejt pjesëmarrjes dhe angazhimit të grupeve të interesit në nivelin e autoriteteve kombëtare dhe lokale, shoqëria civile (OJQ-të) dhe komunitete të tjera përmes informatorëve kryesorë dhe </w:t>
      </w:r>
      <w:r w:rsidR="00062A53" w:rsidRPr="00445472">
        <w:t>grupeve</w:t>
      </w:r>
      <w:r w:rsidRPr="00445472">
        <w:t xml:space="preserve"> të fokusit që përfaqësojnë grupet vulnerabël (p.sh.</w:t>
      </w:r>
      <w:r w:rsidR="005D1584">
        <w:t>,</w:t>
      </w:r>
      <w:r w:rsidRPr="00445472">
        <w:t xml:space="preserve"> gratë, të moshuarit, minoritetet dhe/ose grupet etnike). Fazat e mëposhtme të konsutimeve u kryen në bazë të planit të grupeve të interesit:</w:t>
      </w:r>
    </w:p>
    <w:p w14:paraId="5ADD725C" w14:textId="4BE8B259" w:rsidR="00574397" w:rsidRPr="00445472" w:rsidRDefault="006C12C5" w:rsidP="00574397">
      <w:pPr>
        <w:pStyle w:val="TEKSTIIII"/>
      </w:pPr>
      <w:r>
        <w:t xml:space="preserve">- </w:t>
      </w:r>
      <w:r w:rsidR="00574397" w:rsidRPr="00445472">
        <w:t>Konsultimi i grupeve të interesit në nivel kombëtar;</w:t>
      </w:r>
    </w:p>
    <w:p w14:paraId="7C7915A6" w14:textId="390EE33D" w:rsidR="00574397" w:rsidRPr="00445472" w:rsidRDefault="006C12C5" w:rsidP="00574397">
      <w:pPr>
        <w:pStyle w:val="TEKSTIIII"/>
      </w:pPr>
      <w:r>
        <w:t xml:space="preserve">- </w:t>
      </w:r>
      <w:r w:rsidR="00574397" w:rsidRPr="00445472">
        <w:t xml:space="preserve">Konsultimi i grupeve të interesit në nivel rajonal dhe lokal: </w:t>
      </w:r>
    </w:p>
    <w:p w14:paraId="4C408687" w14:textId="0B306C03" w:rsidR="00574397" w:rsidRPr="00445472" w:rsidRDefault="006C12C5" w:rsidP="00574397">
      <w:pPr>
        <w:pStyle w:val="TEKSTIIII"/>
      </w:pPr>
      <w:r>
        <w:t xml:space="preserve">- </w:t>
      </w:r>
      <w:r w:rsidR="00574397" w:rsidRPr="00445472">
        <w:t>Grupet e fokusit i organizuar me grupet vulnerabël (gratë, të moshuarit, romët –</w:t>
      </w:r>
      <w:r w:rsidR="008804EB">
        <w:t xml:space="preserve"> </w:t>
      </w:r>
      <w:r w:rsidR="00574397" w:rsidRPr="00445472">
        <w:t>nëse ka</w:t>
      </w:r>
      <w:r w:rsidR="008F0A9F" w:rsidRPr="00445472">
        <w:t>, si dhe</w:t>
      </w:r>
      <w:r w:rsidR="00574397" w:rsidRPr="00445472">
        <w:t xml:space="preserve"> grupe të tjera);</w:t>
      </w:r>
    </w:p>
    <w:p w14:paraId="6275C162" w14:textId="5BAC6231" w:rsidR="00574397" w:rsidRPr="00445472" w:rsidRDefault="006C12C5" w:rsidP="00574397">
      <w:pPr>
        <w:pStyle w:val="TEKSTIIII"/>
      </w:pPr>
      <w:r>
        <w:t xml:space="preserve">- </w:t>
      </w:r>
      <w:r w:rsidR="00574397" w:rsidRPr="00445472">
        <w:t>Intervista me informatorët kyç.</w:t>
      </w:r>
    </w:p>
    <w:p w14:paraId="5A88AC5C" w14:textId="7F3FC6FE" w:rsidR="00574397" w:rsidRPr="00445472" w:rsidRDefault="006C12C5" w:rsidP="00574397">
      <w:pPr>
        <w:pStyle w:val="TEKSTIIII"/>
      </w:pPr>
      <w:r>
        <w:t xml:space="preserve">- </w:t>
      </w:r>
      <w:r w:rsidR="00995A3D">
        <w:t>Duke qenë një proces gjithë</w:t>
      </w:r>
      <w:r w:rsidR="00574397" w:rsidRPr="00445472">
        <w:t>përfshirës dhe kulturalisht i përshtatshëm, konsultimi i grupeve të interesit përfshiu shkëmbimin e informacionit dhe njohurive, në mënyrë që të kuptohen shqetësimet e të tjerëve dhe të krijohen marrëdhënie të bazuara në bashkëpunim. Kjo u mundësoi palëve të interesuara të kuptojnë rreziqet, ndikimet dhe mundësitë e projektit për të arritur rezultate pozitive.</w:t>
      </w:r>
    </w:p>
    <w:p w14:paraId="48492481" w14:textId="0F52D632" w:rsidR="00574397" w:rsidRPr="00445472" w:rsidRDefault="00574397" w:rsidP="00574397">
      <w:pPr>
        <w:pStyle w:val="TEKSTIIII"/>
      </w:pPr>
      <w:r w:rsidRPr="00445472">
        <w:t>Objektivat kryesor</w:t>
      </w:r>
      <w:r w:rsidR="00062A53" w:rsidRPr="00445472">
        <w:t>ë</w:t>
      </w:r>
      <w:r w:rsidRPr="00445472">
        <w:t xml:space="preserve"> të përfshirjes së grupeve të interesit siç përcaktohen në planin e veprimtarive të angazhimit të grupeve të interesit (shihni </w:t>
      </w:r>
      <w:r w:rsidR="00062A53" w:rsidRPr="00445472">
        <w:t xml:space="preserve">shtojcën </w:t>
      </w:r>
      <w:r w:rsidRPr="00445472">
        <w:t>5 për të dy</w:t>
      </w:r>
      <w:r w:rsidR="00905530">
        <w:t>ja</w:t>
      </w:r>
      <w:r w:rsidRPr="00445472">
        <w:t xml:space="preserve"> raportet) ishin: </w:t>
      </w:r>
    </w:p>
    <w:p w14:paraId="390A55F6" w14:textId="4CC1EC45" w:rsidR="00574397" w:rsidRPr="00445472" w:rsidRDefault="006C12C5" w:rsidP="00574397">
      <w:pPr>
        <w:pStyle w:val="TEKSTIIII"/>
      </w:pPr>
      <w:r>
        <w:t xml:space="preserve">- </w:t>
      </w:r>
      <w:r w:rsidR="00574397" w:rsidRPr="00445472">
        <w:t>garantimi i ofrimit të informacionit të përshtatshëm në kohën e duhur për të prekurit ose për ata që përfitojnë nga projekti</w:t>
      </w:r>
      <w:r w:rsidR="00062A53" w:rsidRPr="00445472">
        <w:t>;</w:t>
      </w:r>
    </w:p>
    <w:p w14:paraId="5C9083D3" w14:textId="4691DF6B" w:rsidR="00574397" w:rsidRPr="00445472" w:rsidRDefault="006C12C5" w:rsidP="00574397">
      <w:pPr>
        <w:pStyle w:val="TEKSTIIII"/>
      </w:pPr>
      <w:r>
        <w:t xml:space="preserve">- </w:t>
      </w:r>
      <w:r w:rsidR="00574397" w:rsidRPr="00445472">
        <w:t>garantimi i ofrimit të mundësisë së nevojshme për këto grupe që të shprehin mendimet dhe shqetësimet</w:t>
      </w:r>
      <w:r w:rsidR="00062A53" w:rsidRPr="00445472">
        <w:t>;</w:t>
      </w:r>
    </w:p>
    <w:p w14:paraId="2F1E1E1B" w14:textId="6534E93B" w:rsidR="00574397" w:rsidRPr="00445472" w:rsidRDefault="006C12C5" w:rsidP="00574397">
      <w:pPr>
        <w:pStyle w:val="TEKSTIIII"/>
      </w:pPr>
      <w:r>
        <w:t xml:space="preserve">- </w:t>
      </w:r>
      <w:r w:rsidR="00574397" w:rsidRPr="00445472">
        <w:t>garantimi i bërjes së komenteve në kohë në mënyrë që të mund të merren në konsideratë në vendimet e projektit.</w:t>
      </w:r>
    </w:p>
    <w:p w14:paraId="0A83657D" w14:textId="77777777" w:rsidR="00574397" w:rsidRPr="00445472" w:rsidRDefault="00574397" w:rsidP="00574397">
      <w:pPr>
        <w:pStyle w:val="TEKSTIIII"/>
      </w:pPr>
      <w:r w:rsidRPr="00445472">
        <w:t>Raporti aktual është i strukturuar si më poshtë:</w:t>
      </w:r>
    </w:p>
    <w:p w14:paraId="6DD91099" w14:textId="39E462B6" w:rsidR="00574397" w:rsidRPr="00445472" w:rsidRDefault="006C12C5" w:rsidP="00574397">
      <w:pPr>
        <w:pStyle w:val="TEKSTIIII"/>
      </w:pPr>
      <w:r>
        <w:t xml:space="preserve">- </w:t>
      </w:r>
      <w:r w:rsidR="00574397" w:rsidRPr="00445472">
        <w:t>Kapitulli 2               Paketa e komunikimit</w:t>
      </w:r>
    </w:p>
    <w:p w14:paraId="3B5EB385" w14:textId="09ABB7A3" w:rsidR="00574397" w:rsidRPr="00445472" w:rsidRDefault="006C12C5" w:rsidP="00574397">
      <w:pPr>
        <w:pStyle w:val="TEKSTIIII"/>
      </w:pPr>
      <w:r>
        <w:t xml:space="preserve">- </w:t>
      </w:r>
      <w:r w:rsidR="00574397" w:rsidRPr="00445472">
        <w:t>Kapitulli 3</w:t>
      </w:r>
      <w:r w:rsidR="00574397" w:rsidRPr="00445472">
        <w:tab/>
      </w:r>
      <w:r w:rsidR="00574397" w:rsidRPr="00445472">
        <w:tab/>
        <w:t>Mbledhjet rajonale</w:t>
      </w:r>
    </w:p>
    <w:p w14:paraId="3B19CB8F" w14:textId="1BB0A1B0" w:rsidR="00574397" w:rsidRPr="00445472" w:rsidRDefault="006C12C5" w:rsidP="00574397">
      <w:pPr>
        <w:pStyle w:val="TEKSTIIII"/>
      </w:pPr>
      <w:r>
        <w:t xml:space="preserve">- </w:t>
      </w:r>
      <w:r w:rsidR="00574397" w:rsidRPr="00445472">
        <w:t>Kapitulli 4</w:t>
      </w:r>
      <w:r w:rsidR="00574397" w:rsidRPr="00445472">
        <w:tab/>
      </w:r>
      <w:r w:rsidR="00574397" w:rsidRPr="00445472">
        <w:tab/>
        <w:t>Grupet e fokusit dhe informatorët kyçë</w:t>
      </w:r>
    </w:p>
    <w:p w14:paraId="67A30969" w14:textId="62379CA0" w:rsidR="00574397" w:rsidRPr="00911750" w:rsidRDefault="006C12C5" w:rsidP="006C12C5">
      <w:pPr>
        <w:pStyle w:val="Bullet1"/>
        <w:numPr>
          <w:ilvl w:val="0"/>
          <w:numId w:val="0"/>
        </w:numPr>
        <w:ind w:left="284"/>
        <w:rPr>
          <w:rFonts w:ascii="Garamond" w:hAnsi="Garamond"/>
          <w:sz w:val="24"/>
          <w:szCs w:val="24"/>
          <w:lang w:val="sq-AL"/>
        </w:rPr>
      </w:pPr>
      <w:r>
        <w:t xml:space="preserve">- </w:t>
      </w:r>
      <w:r w:rsidR="00574397" w:rsidRPr="00911750">
        <w:rPr>
          <w:rFonts w:ascii="Garamond" w:hAnsi="Garamond"/>
          <w:sz w:val="24"/>
          <w:szCs w:val="24"/>
          <w:lang w:val="sq-AL"/>
        </w:rPr>
        <w:t>Kapitulli 5</w:t>
      </w:r>
      <w:r w:rsidR="00574397" w:rsidRPr="00911750">
        <w:rPr>
          <w:rFonts w:ascii="Garamond" w:hAnsi="Garamond"/>
          <w:sz w:val="24"/>
          <w:szCs w:val="24"/>
          <w:lang w:val="sq-AL"/>
        </w:rPr>
        <w:tab/>
      </w:r>
      <w:r w:rsidR="00574397" w:rsidRPr="00911750">
        <w:rPr>
          <w:rFonts w:ascii="Garamond" w:hAnsi="Garamond"/>
          <w:sz w:val="24"/>
          <w:szCs w:val="24"/>
          <w:lang w:val="sq-AL"/>
        </w:rPr>
        <w:tab/>
        <w:t>OJQ-të</w:t>
      </w:r>
    </w:p>
    <w:p w14:paraId="272E7DA7" w14:textId="6AB83D05" w:rsidR="00574397" w:rsidRPr="00445472" w:rsidRDefault="0063504F" w:rsidP="0063504F">
      <w:pPr>
        <w:pStyle w:val="NENTITULL"/>
      </w:pPr>
      <w:bookmarkStart w:id="370" w:name="_Toc11068921"/>
      <w:r w:rsidRPr="00445472">
        <w:t xml:space="preserve">6.2 </w:t>
      </w:r>
      <w:r w:rsidR="00574397" w:rsidRPr="00445472">
        <w:t>Qasja e përgjithshme</w:t>
      </w:r>
      <w:bookmarkEnd w:id="370"/>
    </w:p>
    <w:p w14:paraId="3D9724A5" w14:textId="77777777" w:rsidR="00574397" w:rsidRPr="00445472" w:rsidRDefault="00574397" w:rsidP="00574397">
      <w:pPr>
        <w:pStyle w:val="TEKSTIIII"/>
      </w:pPr>
      <w:r w:rsidRPr="00445472">
        <w:t>Në bazë të objektivave të veprimtarive të publikimit, të gjithë grupet përkatëse të interesit u ftuan të marrin pjesë në disa mbledhje në mënyrë që të informohen rreth rezultateve dhe rekomandimeve të ekipit të projektit.</w:t>
      </w:r>
    </w:p>
    <w:p w14:paraId="6A659186" w14:textId="77777777" w:rsidR="00574397" w:rsidRPr="00445472" w:rsidRDefault="00574397" w:rsidP="00574397">
      <w:pPr>
        <w:pStyle w:val="TEKSTIIII"/>
      </w:pPr>
      <w:r w:rsidRPr="00445472">
        <w:t>Grupet e mëposhtme të interesit u identifikuan dhe u klasifikuan si më poshtë:</w:t>
      </w:r>
    </w:p>
    <w:p w14:paraId="558CBBBD" w14:textId="0A808F1A" w:rsidR="00574397" w:rsidRPr="00445472" w:rsidRDefault="006C12C5" w:rsidP="00574397">
      <w:pPr>
        <w:pStyle w:val="TEKSTIIII"/>
      </w:pPr>
      <w:r>
        <w:t xml:space="preserve">- </w:t>
      </w:r>
      <w:r w:rsidR="00574397" w:rsidRPr="00445472">
        <w:t>Qeveria</w:t>
      </w:r>
    </w:p>
    <w:p w14:paraId="130B1762" w14:textId="00FE9E48" w:rsidR="00574397" w:rsidRPr="00445472" w:rsidRDefault="006C12C5" w:rsidP="00574397">
      <w:pPr>
        <w:pStyle w:val="TEKSTIIII"/>
      </w:pPr>
      <w:r>
        <w:t xml:space="preserve">- </w:t>
      </w:r>
      <w:r w:rsidR="00574397" w:rsidRPr="00445472">
        <w:t>Qeveritë rajonale dhe lokale</w:t>
      </w:r>
    </w:p>
    <w:p w14:paraId="2B8CB649" w14:textId="430AEEB9" w:rsidR="00574397" w:rsidRPr="00445472" w:rsidRDefault="006C12C5" w:rsidP="00574397">
      <w:pPr>
        <w:pStyle w:val="TEKSTIIII"/>
      </w:pPr>
      <w:r>
        <w:t xml:space="preserve">- </w:t>
      </w:r>
      <w:r w:rsidR="00574397" w:rsidRPr="00445472">
        <w:t>Fokus grupet dhe informatorët kyçë</w:t>
      </w:r>
    </w:p>
    <w:p w14:paraId="5039E463" w14:textId="72418FD2" w:rsidR="00574397" w:rsidRPr="00445472" w:rsidRDefault="00574397" w:rsidP="00574397">
      <w:pPr>
        <w:pStyle w:val="TEKSTIIII"/>
      </w:pPr>
      <w:r w:rsidRPr="00445472">
        <w:t>Në bazë të grupeve të interesit të identifikuara më sipër u organizuan konsultimet në nivel kombëtar dhe mbledhjet publike në nivel rajonal. Departamente të ndryshme përfaqësuesish të institucioneve u ftuan të merrnin pjesë në seancat plenare me të gjithë nivelin e grupeve të interesit. Sa i përket mbledhjeve rajonale, vendi i çdo mbledhjeje/trajnimi është zgjedhur në bashkëpunim me pjesëmarrësit kryesorë dhe</w:t>
      </w:r>
      <w:r w:rsidR="00062A53" w:rsidRPr="00445472">
        <w:t xml:space="preserve"> lista përfundimtare e të ftuar</w:t>
      </w:r>
      <w:r w:rsidRPr="00445472">
        <w:t>ve u mbyll në bashkëpunim me përfaqësuesit përkatës rajonalë dhe lokalë. Njoftimet u bënë përmes ftesave dhe informimit të pjesëmarrësve rreth mbledhjes. Disa materiale komunikimi u përgatitën dhe u përdorën gjatë mbledhjeve për të bërë një prezantim të shkurtër të projektit. Të gjithë pjesëmarrësit u regjistruan me fletën e nënshkrimit, siç përcaktohet në planet e veprimtarisë së angazhimit të grupeve të interesit.</w:t>
      </w:r>
    </w:p>
    <w:p w14:paraId="57FB89F2" w14:textId="589DC711" w:rsidR="00574397" w:rsidRPr="00445472" w:rsidRDefault="00574397" w:rsidP="00574397">
      <w:pPr>
        <w:pStyle w:val="TEKSTIIII"/>
      </w:pPr>
      <w:r w:rsidRPr="00445472">
        <w:t>U zhvilluan intervistat me informatorët kyç dhe grupet e fokusit (duke përfshirë grupet vulnerabël në mënyrë që të shihet ndikimi i këtij projekti në jetët dhe veprimtaritë e tyre të përditshme). Mbledhjet e grupeve të fokusit dhe informatorëve kryesorë u zhvilluan me anëtarë të grupeve respektive, ku u përfshinë shoqata bujqësore, shoqatat e përdoruesve të ujit, kultivuesit dhe zotëruesit e pemëve frutore</w:t>
      </w:r>
      <w:r w:rsidR="008F0A9F" w:rsidRPr="00445472">
        <w:t>, si dhe</w:t>
      </w:r>
      <w:r w:rsidRPr="00445472">
        <w:t xml:space="preserve"> përfaqësues nga shoqëria civile.</w:t>
      </w:r>
    </w:p>
    <w:p w14:paraId="67E7FCE7" w14:textId="1574FC63" w:rsidR="00574397" w:rsidRPr="00445472" w:rsidRDefault="00574397" w:rsidP="006C12C5">
      <w:pPr>
        <w:pStyle w:val="TEKSTIIII"/>
      </w:pPr>
      <w:r w:rsidRPr="00445472">
        <w:t>U organizuan dymbëdhjetë sesioni trajnimi në seminare për subjektet publike të administratës ujore rajonale dhe lokale, në bashkëpunim me Drejtorinë e Politikave të Burimeve Ujore. Më shumë hollësi në lidhje me seminaret mund të gjenden në raportet e veçanta të trajnimit (dymbëdhjetë raporte për seminaret), të cilët janë përgatitur dhe paraqitur pranë MBZHR</w:t>
      </w:r>
      <w:r w:rsidR="006302B2" w:rsidRPr="00445472">
        <w:t>-së</w:t>
      </w:r>
      <w:r w:rsidRPr="00445472">
        <w:t>, dhe që disponohen me kërkesë. Temat kryesore të mbuluara nga trajnimet në seminare ishin ato të përcaktuara në planin e veprimtarisë së angazhimit të grupeve të interesit, si në vijim:</w:t>
      </w:r>
    </w:p>
    <w:p w14:paraId="49DE0AA6" w14:textId="4403245A" w:rsidR="00574397" w:rsidRPr="00445472" w:rsidRDefault="006C12C5" w:rsidP="00574397">
      <w:pPr>
        <w:pStyle w:val="TEKSTIIII"/>
      </w:pPr>
      <w:r>
        <w:t xml:space="preserve">- </w:t>
      </w:r>
      <w:r w:rsidR="00574397" w:rsidRPr="00445472">
        <w:t>Çfarë është plani i menaxhimit të integruar të burimeve ujore</w:t>
      </w:r>
      <w:r w:rsidR="006302B2" w:rsidRPr="00445472">
        <w:t>?</w:t>
      </w:r>
      <w:r w:rsidR="00574397" w:rsidRPr="00445472">
        <w:t xml:space="preserve"> </w:t>
      </w:r>
    </w:p>
    <w:p w14:paraId="664B6F40" w14:textId="479667FD" w:rsidR="00574397" w:rsidRPr="00445472" w:rsidRDefault="006C12C5" w:rsidP="00574397">
      <w:pPr>
        <w:pStyle w:val="TEKSTIIII"/>
      </w:pPr>
      <w:r>
        <w:t xml:space="preserve">- </w:t>
      </w:r>
      <w:r w:rsidR="00574397" w:rsidRPr="00445472">
        <w:t>Çfarë është Direktiva Kuadër e Ujit dhe Direktiva për Përmbytjet etj.</w:t>
      </w:r>
      <w:r w:rsidR="006302B2" w:rsidRPr="00445472">
        <w:t>?</w:t>
      </w:r>
    </w:p>
    <w:p w14:paraId="76F7C822" w14:textId="70201FD6" w:rsidR="00574397" w:rsidRPr="00445472" w:rsidRDefault="006C12C5" w:rsidP="00574397">
      <w:pPr>
        <w:pStyle w:val="TEKSTIIII"/>
      </w:pPr>
      <w:r>
        <w:t xml:space="preserve">- </w:t>
      </w:r>
      <w:r w:rsidR="00574397" w:rsidRPr="00445472">
        <w:t>Bashkëpunimi institucional, mbajtja, monitorimi dhe ndarja e të dhënave</w:t>
      </w:r>
      <w:r w:rsidR="006302B2" w:rsidRPr="00445472">
        <w:t>.</w:t>
      </w:r>
    </w:p>
    <w:p w14:paraId="1AC5B10C" w14:textId="1B724729" w:rsidR="00574397" w:rsidRPr="00445472" w:rsidRDefault="006C12C5" w:rsidP="00574397">
      <w:pPr>
        <w:pStyle w:val="TEKSTIIII"/>
      </w:pPr>
      <w:r>
        <w:t xml:space="preserve">- </w:t>
      </w:r>
      <w:r w:rsidR="00574397" w:rsidRPr="00445472">
        <w:t>Çfarë është modelimi i ujërave sipërfaqësor</w:t>
      </w:r>
      <w:r w:rsidR="00316F21">
        <w:t>e</w:t>
      </w:r>
      <w:r w:rsidR="00574397" w:rsidRPr="00445472">
        <w:t xml:space="preserve"> dhe nëntokësor</w:t>
      </w:r>
      <w:r w:rsidR="00316F21">
        <w:t>e</w:t>
      </w:r>
      <w:r w:rsidR="006302B2" w:rsidRPr="00445472">
        <w:t>?</w:t>
      </w:r>
    </w:p>
    <w:p w14:paraId="2D25D408" w14:textId="0A20B176" w:rsidR="00574397" w:rsidRPr="00445472" w:rsidRDefault="006C12C5" w:rsidP="00574397">
      <w:pPr>
        <w:pStyle w:val="TEKSTIIII"/>
      </w:pPr>
      <w:r>
        <w:t xml:space="preserve">- </w:t>
      </w:r>
      <w:r w:rsidR="00574397" w:rsidRPr="00445472">
        <w:t>Çfarë është investimi i planifikimit të efikasitetit të kostos</w:t>
      </w:r>
      <w:r w:rsidR="006302B2" w:rsidRPr="00445472">
        <w:t>?</w:t>
      </w:r>
    </w:p>
    <w:p w14:paraId="1F43F300" w14:textId="2344ACDF" w:rsidR="00574397" w:rsidRPr="00445472" w:rsidRDefault="006C12C5" w:rsidP="00574397">
      <w:pPr>
        <w:pStyle w:val="TEKSTIIII"/>
      </w:pPr>
      <w:r>
        <w:t xml:space="preserve">- </w:t>
      </w:r>
      <w:r w:rsidR="00574397" w:rsidRPr="00445472">
        <w:t xml:space="preserve">Çfarë do të thotë </w:t>
      </w:r>
      <w:r w:rsidR="00D62EDF" w:rsidRPr="00445472">
        <w:t>“</w:t>
      </w:r>
      <w:r w:rsidR="00574397" w:rsidRPr="00445472">
        <w:t>Përdoruesi paguan</w:t>
      </w:r>
      <w:r w:rsidR="00D62EDF" w:rsidRPr="00445472">
        <w:t>”</w:t>
      </w:r>
      <w:r w:rsidR="006302B2" w:rsidRPr="00445472">
        <w:t>?</w:t>
      </w:r>
    </w:p>
    <w:p w14:paraId="43AB66D5" w14:textId="4A679B0B" w:rsidR="00574397" w:rsidRPr="00445472" w:rsidRDefault="0063504F" w:rsidP="0063504F">
      <w:pPr>
        <w:pStyle w:val="NENTITULL"/>
      </w:pPr>
      <w:bookmarkStart w:id="371" w:name="_Toc11068922"/>
      <w:r w:rsidRPr="00445472">
        <w:t xml:space="preserve">6.3 </w:t>
      </w:r>
      <w:r w:rsidR="00574397" w:rsidRPr="00445472">
        <w:t xml:space="preserve">Mbledhjet </w:t>
      </w:r>
      <w:r w:rsidR="006302B2" w:rsidRPr="00445472">
        <w:t>rajonale</w:t>
      </w:r>
      <w:bookmarkEnd w:id="371"/>
    </w:p>
    <w:p w14:paraId="2194D624" w14:textId="2744E098" w:rsidR="00574397" w:rsidRPr="00445472" w:rsidRDefault="0063504F" w:rsidP="0063504F">
      <w:pPr>
        <w:pStyle w:val="NENTITULL"/>
      </w:pPr>
      <w:r w:rsidRPr="00445472">
        <w:t>6.3</w:t>
      </w:r>
      <w:r w:rsidR="00AE5FA2">
        <w:t>.</w:t>
      </w:r>
      <w:r w:rsidRPr="00445472">
        <w:t xml:space="preserve">1 </w:t>
      </w:r>
      <w:r w:rsidR="00574397" w:rsidRPr="00445472">
        <w:t xml:space="preserve">Mbledhje në Prefekturën e Shkodrës për basenin ujor </w:t>
      </w:r>
      <w:r w:rsidR="007E76E3" w:rsidRPr="00445472">
        <w:t>Drin–Bunë</w:t>
      </w:r>
    </w:p>
    <w:p w14:paraId="65E7F7F8" w14:textId="77777777" w:rsidR="00574397" w:rsidRPr="00445472" w:rsidRDefault="00574397" w:rsidP="00574397">
      <w:pPr>
        <w:pStyle w:val="TEKSTIIII"/>
      </w:pPr>
      <w:r w:rsidRPr="00445472">
        <w:t>Mbledhja u mbajt më 13 shkurt 2017, në ambientet e Prefekturës së Shkodrës. Gjatë kësaj mbledhjeje, u bë prezantimi i projektit, i konceptit të PMBU-së, dhe i planit të menaxhimit të përkohshëm të basenit ujor Drini-Buna. Lista me nënshkrimet e pjesëmarrësve dhe disa fotografi gjenden më poshtë:</w:t>
      </w:r>
    </w:p>
    <w:p w14:paraId="0F20DD95" w14:textId="77777777" w:rsidR="00574397" w:rsidRPr="00445472" w:rsidRDefault="00574397" w:rsidP="006302B2">
      <w:pPr>
        <w:jc w:val="center"/>
        <w:rPr>
          <w:rFonts w:ascii="Garamond" w:hAnsi="Garamond"/>
        </w:rPr>
      </w:pPr>
      <w:r w:rsidRPr="00445472">
        <w:rPr>
          <w:rFonts w:ascii="Garamond" w:hAnsi="Garamond" w:cs="Arial"/>
          <w:noProof/>
          <w:lang w:val="en-US"/>
        </w:rPr>
        <w:drawing>
          <wp:inline distT="0" distB="0" distL="0" distR="0" wp14:anchorId="400A6FC5" wp14:editId="6B6EA3DE">
            <wp:extent cx="5358130" cy="2279650"/>
            <wp:effectExtent l="0" t="0" r="0" b="0"/>
            <wp:docPr id="4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358130" cy="2279650"/>
                    </a:xfrm>
                    <a:prstGeom prst="rect">
                      <a:avLst/>
                    </a:prstGeom>
                    <a:noFill/>
                    <a:ln>
                      <a:noFill/>
                    </a:ln>
                  </pic:spPr>
                </pic:pic>
              </a:graphicData>
            </a:graphic>
          </wp:inline>
        </w:drawing>
      </w:r>
    </w:p>
    <w:p w14:paraId="7AE15399" w14:textId="77777777" w:rsidR="00574397" w:rsidRPr="00445472" w:rsidRDefault="00574397" w:rsidP="006302B2">
      <w:pPr>
        <w:jc w:val="center"/>
        <w:rPr>
          <w:rFonts w:ascii="Garamond" w:hAnsi="Garamond"/>
        </w:rPr>
      </w:pPr>
      <w:r w:rsidRPr="00445472">
        <w:rPr>
          <w:rFonts w:ascii="Garamond" w:hAnsi="Garamond" w:cs="Arial"/>
          <w:noProof/>
          <w:lang w:val="en-US"/>
        </w:rPr>
        <w:drawing>
          <wp:inline distT="0" distB="0" distL="0" distR="0" wp14:anchorId="0E916A8C" wp14:editId="7BB129BD">
            <wp:extent cx="5601970" cy="2499360"/>
            <wp:effectExtent l="0" t="0" r="0" b="0"/>
            <wp:docPr id="4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601970" cy="2499360"/>
                    </a:xfrm>
                    <a:prstGeom prst="rect">
                      <a:avLst/>
                    </a:prstGeom>
                    <a:noFill/>
                    <a:ln>
                      <a:noFill/>
                    </a:ln>
                  </pic:spPr>
                </pic:pic>
              </a:graphicData>
            </a:graphic>
          </wp:inline>
        </w:drawing>
      </w:r>
    </w:p>
    <w:p w14:paraId="315116CF" w14:textId="77777777" w:rsidR="00574397" w:rsidRPr="00445472" w:rsidRDefault="00574397" w:rsidP="006302B2">
      <w:pPr>
        <w:jc w:val="center"/>
        <w:rPr>
          <w:rFonts w:ascii="Garamond" w:hAnsi="Garamond"/>
        </w:rPr>
      </w:pPr>
      <w:r w:rsidRPr="00445472">
        <w:rPr>
          <w:rFonts w:ascii="Garamond" w:hAnsi="Garamond" w:cs="Arial"/>
          <w:noProof/>
          <w:lang w:val="en-US"/>
        </w:rPr>
        <w:drawing>
          <wp:inline distT="0" distB="0" distL="0" distR="0" wp14:anchorId="569B304B" wp14:editId="1A98982C">
            <wp:extent cx="5723890" cy="1852930"/>
            <wp:effectExtent l="0" t="0" r="0" b="0"/>
            <wp:docPr id="5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23890" cy="1852930"/>
                    </a:xfrm>
                    <a:prstGeom prst="rect">
                      <a:avLst/>
                    </a:prstGeom>
                    <a:noFill/>
                    <a:ln>
                      <a:noFill/>
                    </a:ln>
                  </pic:spPr>
                </pic:pic>
              </a:graphicData>
            </a:graphic>
          </wp:inline>
        </w:drawing>
      </w:r>
    </w:p>
    <w:tbl>
      <w:tblPr>
        <w:tblW w:w="0" w:type="auto"/>
        <w:tblLayout w:type="fixed"/>
        <w:tblLook w:val="04A0" w:firstRow="1" w:lastRow="0" w:firstColumn="1" w:lastColumn="0" w:noHBand="0" w:noVBand="1"/>
      </w:tblPr>
      <w:tblGrid>
        <w:gridCol w:w="4788"/>
        <w:gridCol w:w="4875"/>
      </w:tblGrid>
      <w:tr w:rsidR="00574397" w:rsidRPr="00445472" w14:paraId="6843F4C8" w14:textId="77777777" w:rsidTr="001D340B">
        <w:tc>
          <w:tcPr>
            <w:tcW w:w="4788" w:type="dxa"/>
            <w:shd w:val="clear" w:color="auto" w:fill="auto"/>
          </w:tcPr>
          <w:p w14:paraId="0EE4D15A" w14:textId="77777777" w:rsidR="00574397" w:rsidRPr="00445472" w:rsidRDefault="00574397" w:rsidP="001D340B">
            <w:pPr>
              <w:jc w:val="both"/>
              <w:rPr>
                <w:rFonts w:ascii="Garamond" w:hAnsi="Garamond" w:cs="Arial"/>
                <w:b/>
                <w:i/>
                <w:iCs/>
              </w:rPr>
            </w:pPr>
            <w:r w:rsidRPr="00445472">
              <w:rPr>
                <w:rFonts w:ascii="Garamond" w:hAnsi="Garamond" w:cs="Arial"/>
                <w:b/>
                <w:i/>
                <w:noProof/>
                <w:lang w:val="en-US"/>
              </w:rPr>
              <w:drawing>
                <wp:inline distT="0" distB="0" distL="0" distR="0" wp14:anchorId="6B128B2D" wp14:editId="41722A38">
                  <wp:extent cx="2993390" cy="1645920"/>
                  <wp:effectExtent l="0" t="0" r="0" b="0"/>
                  <wp:docPr id="51"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993390" cy="1645920"/>
                          </a:xfrm>
                          <a:prstGeom prst="rect">
                            <a:avLst/>
                          </a:prstGeom>
                          <a:noFill/>
                          <a:ln>
                            <a:noFill/>
                          </a:ln>
                        </pic:spPr>
                      </pic:pic>
                    </a:graphicData>
                  </a:graphic>
                </wp:inline>
              </w:drawing>
            </w:r>
          </w:p>
        </w:tc>
        <w:tc>
          <w:tcPr>
            <w:tcW w:w="4875" w:type="dxa"/>
            <w:shd w:val="clear" w:color="auto" w:fill="auto"/>
          </w:tcPr>
          <w:p w14:paraId="7B402E7A" w14:textId="77777777" w:rsidR="00574397" w:rsidRPr="00445472" w:rsidRDefault="00574397" w:rsidP="001D340B">
            <w:pPr>
              <w:jc w:val="both"/>
              <w:rPr>
                <w:rFonts w:ascii="Garamond" w:hAnsi="Garamond" w:cs="Arial"/>
                <w:b/>
                <w:i/>
                <w:iCs/>
              </w:rPr>
            </w:pPr>
            <w:r w:rsidRPr="00445472">
              <w:rPr>
                <w:rFonts w:ascii="Garamond" w:hAnsi="Garamond" w:cs="Arial"/>
                <w:b/>
                <w:i/>
                <w:noProof/>
                <w:lang w:val="en-US"/>
              </w:rPr>
              <w:drawing>
                <wp:inline distT="0" distB="0" distL="0" distR="0" wp14:anchorId="53CA7D56" wp14:editId="1A3721AA">
                  <wp:extent cx="2956560" cy="1664335"/>
                  <wp:effectExtent l="0" t="0" r="0" b="0"/>
                  <wp:docPr id="4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956560" cy="1664335"/>
                          </a:xfrm>
                          <a:prstGeom prst="rect">
                            <a:avLst/>
                          </a:prstGeom>
                          <a:noFill/>
                          <a:ln>
                            <a:noFill/>
                          </a:ln>
                        </pic:spPr>
                      </pic:pic>
                    </a:graphicData>
                  </a:graphic>
                </wp:inline>
              </w:drawing>
            </w:r>
          </w:p>
        </w:tc>
      </w:tr>
    </w:tbl>
    <w:p w14:paraId="12127D3E" w14:textId="77777777" w:rsidR="00574397" w:rsidRPr="00445472" w:rsidRDefault="00574397" w:rsidP="0063504F">
      <w:pPr>
        <w:pStyle w:val="TEKSTIIII"/>
      </w:pPr>
    </w:p>
    <w:p w14:paraId="6A5B6C2B" w14:textId="77777777" w:rsidR="00574397" w:rsidRPr="00445472" w:rsidRDefault="00574397" w:rsidP="0063504F">
      <w:pPr>
        <w:pStyle w:val="TEKSTIIII"/>
      </w:pPr>
      <w:r w:rsidRPr="00445472">
        <w:t>Gjatë të dyja mbledhjeve, pjesëmarrësit kanë ngritur pyetjet e mëposhtme:</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4506"/>
        <w:gridCol w:w="5066"/>
      </w:tblGrid>
      <w:tr w:rsidR="00574397" w:rsidRPr="00445472" w14:paraId="1AFFDC98" w14:textId="77777777" w:rsidTr="001D340B">
        <w:trPr>
          <w:trHeight w:val="300"/>
          <w:tblHeader/>
        </w:trPr>
        <w:tc>
          <w:tcPr>
            <w:tcW w:w="2354" w:type="pct"/>
            <w:shd w:val="clear" w:color="000000" w:fill="BFBFBF"/>
            <w:noWrap/>
            <w:vAlign w:val="center"/>
            <w:hideMark/>
          </w:tcPr>
          <w:p w14:paraId="505193BF" w14:textId="1BD13B18" w:rsidR="00574397" w:rsidRPr="00445472" w:rsidRDefault="00574397" w:rsidP="001D340B">
            <w:pPr>
              <w:rPr>
                <w:rFonts w:ascii="Garamond" w:hAnsi="Garamond" w:cs="Arial"/>
                <w:b/>
                <w:bCs/>
                <w:iCs/>
                <w:sz w:val="18"/>
                <w:szCs w:val="18"/>
              </w:rPr>
            </w:pPr>
            <w:r w:rsidRPr="00445472">
              <w:rPr>
                <w:rFonts w:ascii="Garamond" w:hAnsi="Garamond" w:cs="Arial"/>
                <w:b/>
                <w:bCs/>
                <w:iCs/>
                <w:sz w:val="18"/>
                <w:szCs w:val="18"/>
              </w:rPr>
              <w:t>Pyetje/</w:t>
            </w:r>
            <w:r w:rsidR="006302B2" w:rsidRPr="00445472">
              <w:rPr>
                <w:rFonts w:ascii="Garamond" w:hAnsi="Garamond" w:cs="Arial"/>
                <w:b/>
                <w:bCs/>
                <w:iCs/>
                <w:sz w:val="18"/>
                <w:szCs w:val="18"/>
              </w:rPr>
              <w:t>sugjerime</w:t>
            </w:r>
          </w:p>
        </w:tc>
        <w:tc>
          <w:tcPr>
            <w:tcW w:w="2646" w:type="pct"/>
            <w:shd w:val="clear" w:color="000000" w:fill="BFBFBF"/>
            <w:noWrap/>
            <w:vAlign w:val="center"/>
            <w:hideMark/>
          </w:tcPr>
          <w:p w14:paraId="649DF654" w14:textId="77777777" w:rsidR="00574397" w:rsidRPr="00445472" w:rsidRDefault="00574397" w:rsidP="001D340B">
            <w:pPr>
              <w:rPr>
                <w:rFonts w:ascii="Garamond" w:hAnsi="Garamond" w:cs="Arial"/>
                <w:b/>
                <w:bCs/>
                <w:iCs/>
                <w:sz w:val="18"/>
                <w:szCs w:val="18"/>
              </w:rPr>
            </w:pPr>
            <w:r w:rsidRPr="00445472">
              <w:rPr>
                <w:rFonts w:ascii="Garamond" w:hAnsi="Garamond" w:cs="Arial"/>
                <w:b/>
                <w:bCs/>
                <w:iCs/>
                <w:sz w:val="18"/>
                <w:szCs w:val="18"/>
              </w:rPr>
              <w:t>Përgjigje</w:t>
            </w:r>
          </w:p>
        </w:tc>
      </w:tr>
      <w:tr w:rsidR="00574397" w:rsidRPr="00445472" w14:paraId="0207E1E8" w14:textId="77777777" w:rsidTr="001D340B">
        <w:trPr>
          <w:trHeight w:val="824"/>
        </w:trPr>
        <w:tc>
          <w:tcPr>
            <w:tcW w:w="2354" w:type="pct"/>
            <w:shd w:val="clear" w:color="auto" w:fill="auto"/>
            <w:vAlign w:val="center"/>
            <w:hideMark/>
          </w:tcPr>
          <w:p w14:paraId="64BE7228" w14:textId="1CA1AB3D"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Kur do të përfundojë plani për menaxhimin e </w:t>
            </w:r>
            <w:r w:rsidR="006302B2" w:rsidRPr="00445472">
              <w:rPr>
                <w:rFonts w:ascii="Garamond" w:hAnsi="Garamond" w:cs="Arial"/>
                <w:sz w:val="18"/>
                <w:szCs w:val="18"/>
              </w:rPr>
              <w:t>ujërave</w:t>
            </w:r>
            <w:r w:rsidRPr="00445472">
              <w:rPr>
                <w:rFonts w:ascii="Garamond" w:hAnsi="Garamond" w:cs="Arial"/>
                <w:sz w:val="18"/>
                <w:szCs w:val="18"/>
              </w:rPr>
              <w:t>?</w:t>
            </w:r>
          </w:p>
        </w:tc>
        <w:tc>
          <w:tcPr>
            <w:tcW w:w="2646" w:type="pct"/>
            <w:shd w:val="clear" w:color="auto" w:fill="auto"/>
            <w:vAlign w:val="center"/>
            <w:hideMark/>
          </w:tcPr>
          <w:p w14:paraId="792E588C" w14:textId="1F570CE9"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Sipas planit dhe mbledhjes së të dhënave statistikore, afati përfundimtar i paraqitjes së planit pranë </w:t>
            </w:r>
            <w:r w:rsidR="006302B2" w:rsidRPr="00445472">
              <w:rPr>
                <w:rFonts w:ascii="Garamond" w:hAnsi="Garamond" w:cs="Arial"/>
                <w:sz w:val="18"/>
                <w:szCs w:val="18"/>
              </w:rPr>
              <w:t>ministrisë</w:t>
            </w:r>
            <w:r w:rsidRPr="00445472">
              <w:rPr>
                <w:rFonts w:ascii="Garamond" w:hAnsi="Garamond" w:cs="Arial"/>
                <w:sz w:val="18"/>
                <w:szCs w:val="18"/>
              </w:rPr>
              <w:t xml:space="preserve"> është korrik 2017</w:t>
            </w:r>
          </w:p>
        </w:tc>
      </w:tr>
      <w:tr w:rsidR="00574397" w:rsidRPr="00445472" w14:paraId="4D63A3C4" w14:textId="77777777" w:rsidTr="001D340B">
        <w:trPr>
          <w:trHeight w:val="2192"/>
        </w:trPr>
        <w:tc>
          <w:tcPr>
            <w:tcW w:w="2354" w:type="pct"/>
            <w:shd w:val="clear" w:color="auto" w:fill="auto"/>
            <w:vAlign w:val="center"/>
            <w:hideMark/>
          </w:tcPr>
          <w:p w14:paraId="03723C41"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Gjatë fazës së përgatitjes për draftin e planeve të menaxhimit të baseneve ujore, a është krijuar një hartë rrugore e bizneseve dhe veprimtarive private/lokale përgjatë baseneve ujore? </w:t>
            </w:r>
          </w:p>
          <w:p w14:paraId="507E3B38" w14:textId="77777777" w:rsidR="00574397" w:rsidRPr="00445472" w:rsidRDefault="00574397" w:rsidP="001D340B">
            <w:pPr>
              <w:jc w:val="both"/>
              <w:rPr>
                <w:rFonts w:ascii="Garamond" w:hAnsi="Garamond" w:cs="Arial"/>
                <w:sz w:val="18"/>
                <w:szCs w:val="18"/>
              </w:rPr>
            </w:pPr>
            <w:r w:rsidRPr="00445472">
              <w:rPr>
                <w:rFonts w:ascii="Garamond" w:hAnsi="Garamond" w:cs="Arial"/>
                <w:sz w:val="18"/>
                <w:szCs w:val="18"/>
              </w:rPr>
              <w:t>Përmbytja është një problem i rëndë dhe masat që duhet të marrim janë shumë të rëndësishme për qytetin.</w:t>
            </w:r>
          </w:p>
        </w:tc>
        <w:tc>
          <w:tcPr>
            <w:tcW w:w="2646" w:type="pct"/>
            <w:shd w:val="clear" w:color="auto" w:fill="auto"/>
            <w:vAlign w:val="center"/>
            <w:hideMark/>
          </w:tcPr>
          <w:p w14:paraId="15B2A742"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Plani i menaxhimit bazohet në:</w:t>
            </w:r>
            <w:r w:rsidRPr="00445472">
              <w:rPr>
                <w:rFonts w:ascii="Garamond" w:hAnsi="Garamond" w:cs="Arial"/>
                <w:sz w:val="18"/>
                <w:szCs w:val="18"/>
              </w:rPr>
              <w:br/>
              <w:t>1. Marrjen në konsideratë të pikave të nxehta mjedisore të ndërmarrjeve aktive ose joaktive; duke përfshirë zonat industriale dhe urbane</w:t>
            </w:r>
          </w:p>
          <w:p w14:paraId="01C743F4" w14:textId="77777777" w:rsidR="00574397" w:rsidRPr="00445472" w:rsidRDefault="00574397" w:rsidP="001D340B">
            <w:pPr>
              <w:jc w:val="both"/>
              <w:rPr>
                <w:rFonts w:ascii="Garamond" w:hAnsi="Garamond" w:cs="Arial"/>
                <w:sz w:val="18"/>
                <w:szCs w:val="18"/>
              </w:rPr>
            </w:pPr>
            <w:r w:rsidRPr="00445472">
              <w:rPr>
                <w:rFonts w:ascii="Garamond" w:hAnsi="Garamond" w:cs="Arial"/>
                <w:sz w:val="18"/>
                <w:szCs w:val="18"/>
              </w:rPr>
              <w:t xml:space="preserve">2. Përllogaritja e këtyre veprimtarive është marrë po ashtu në konsideratë me rezultatin e ndotjes urbane. </w:t>
            </w:r>
          </w:p>
          <w:p w14:paraId="5486AB3A"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3. Shënjimi i bizneseve private që përdorin burime natyrore ujore që përfundojnë në ndotje mjedisore (bagëti, përpunim lëkure etj.)</w:t>
            </w:r>
          </w:p>
        </w:tc>
      </w:tr>
    </w:tbl>
    <w:p w14:paraId="028E82EE" w14:textId="2512CA20" w:rsidR="00574397" w:rsidRPr="00445472" w:rsidRDefault="0063504F" w:rsidP="0063504F">
      <w:pPr>
        <w:pStyle w:val="NENTITULL"/>
      </w:pPr>
      <w:bookmarkStart w:id="372" w:name="_Toc494401692"/>
      <w:bookmarkStart w:id="373" w:name="_Toc494403486"/>
      <w:bookmarkStart w:id="374" w:name="_Toc494468368"/>
      <w:bookmarkStart w:id="375" w:name="_Toc11068923"/>
      <w:r w:rsidRPr="00445472">
        <w:t xml:space="preserve">6.4 </w:t>
      </w:r>
      <w:r w:rsidR="00574397" w:rsidRPr="00445472">
        <w:t>Fokus grupet dhe informatorët kyç</w:t>
      </w:r>
      <w:bookmarkEnd w:id="372"/>
      <w:bookmarkEnd w:id="373"/>
      <w:bookmarkEnd w:id="374"/>
      <w:bookmarkEnd w:id="375"/>
    </w:p>
    <w:p w14:paraId="30418714" w14:textId="1F5B9823" w:rsidR="00574397" w:rsidRPr="00445472" w:rsidRDefault="00574397" w:rsidP="0063504F">
      <w:pPr>
        <w:pStyle w:val="TEKSTIIII"/>
      </w:pPr>
      <w:r w:rsidRPr="00445472">
        <w:t xml:space="preserve">Procesi i angazhimit të grupeve të interesit përfshiu intervistimin e një sërë grupesh fokusi dhe informatorësh kryesorë rreth çështjeve të ujit, me fokus të veçantë gratë, pasi ky është grupi që ndikohet drejtpërdrejt nga menaxhimi i ujit. Grupe të tjera që ishin në fokusin e këtij procesi angazhimi të grupeve të interesit janë minoritetet rome dhe egjiptiane, të moshuarit dhe informatorë kyç, si fermerët, të cilët e përdorin dhe menaxhojnë ujin, dhe </w:t>
      </w:r>
      <w:r w:rsidR="006302B2" w:rsidRPr="00445472">
        <w:t>punonjësit</w:t>
      </w:r>
      <w:r w:rsidRPr="00445472">
        <w:t xml:space="preserve"> e shëndetësisë, të cilët po ashtu kanë nevoja jetësore në lidhje me përdorimin e ujit në procesin e tyre të përditshëm të punës. Përveç intervistave, pyetësorët e plotësuar janë të disponueshëm me kërkesë.</w:t>
      </w:r>
    </w:p>
    <w:p w14:paraId="5CE7E0F5" w14:textId="3C675A41" w:rsidR="00574397" w:rsidRPr="00445472" w:rsidRDefault="0063504F" w:rsidP="0063504F">
      <w:pPr>
        <w:pStyle w:val="NENTITULL"/>
      </w:pPr>
      <w:bookmarkStart w:id="376" w:name="_Toc494401693"/>
      <w:r w:rsidRPr="00445472">
        <w:t xml:space="preserve">6.4.1 </w:t>
      </w:r>
      <w:r w:rsidR="00574397" w:rsidRPr="00445472">
        <w:t>Numri i kontakteve</w:t>
      </w:r>
      <w:bookmarkEnd w:id="376"/>
      <w:r w:rsidR="00574397" w:rsidRPr="00445472">
        <w:t xml:space="preserve"> </w:t>
      </w:r>
    </w:p>
    <w:p w14:paraId="46AE0DEA" w14:textId="77777777" w:rsidR="00574397" w:rsidRPr="00445472" w:rsidRDefault="00574397" w:rsidP="0063504F">
      <w:pPr>
        <w:pStyle w:val="TEKSTIIII"/>
      </w:pPr>
      <w:r w:rsidRPr="00445472">
        <w:t>Numri total i personave të kontaktuar është 67, nga të cilët 30 ishin gra. Numri total i intervistave është ndarë në tabelën e mëposhtme:</w:t>
      </w:r>
    </w:p>
    <w:p w14:paraId="63FE366B" w14:textId="77777777" w:rsidR="0063504F" w:rsidRPr="00445472" w:rsidRDefault="0063504F" w:rsidP="0063504F">
      <w:pPr>
        <w:pStyle w:val="NENTITULL"/>
      </w:pPr>
    </w:p>
    <w:p w14:paraId="3D6D3E7E" w14:textId="77777777" w:rsidR="00574397" w:rsidRPr="00445472" w:rsidRDefault="00574397" w:rsidP="0063504F">
      <w:pPr>
        <w:pStyle w:val="NENTITULL"/>
      </w:pPr>
      <w:r w:rsidRPr="00445472">
        <w:t>Tabela 1:  Grupet e fokusit dhe informatorët kryesorë</w:t>
      </w:r>
    </w:p>
    <w:tbl>
      <w:tblPr>
        <w:tblW w:w="9229" w:type="dxa"/>
        <w:tblInd w:w="93" w:type="dxa"/>
        <w:tblBorders>
          <w:top w:val="single" w:sz="4" w:space="0" w:color="auto"/>
          <w:bottom w:val="single" w:sz="4" w:space="0" w:color="auto"/>
          <w:insideH w:val="single" w:sz="4" w:space="0" w:color="auto"/>
        </w:tblBorders>
        <w:tblLook w:val="04A0" w:firstRow="1" w:lastRow="0" w:firstColumn="1" w:lastColumn="0" w:noHBand="0" w:noVBand="1"/>
      </w:tblPr>
      <w:tblGrid>
        <w:gridCol w:w="1716"/>
        <w:gridCol w:w="1701"/>
        <w:gridCol w:w="2127"/>
        <w:gridCol w:w="1984"/>
        <w:gridCol w:w="1701"/>
      </w:tblGrid>
      <w:tr w:rsidR="00574397" w:rsidRPr="00445472" w14:paraId="6477169A" w14:textId="77777777" w:rsidTr="001D340B">
        <w:trPr>
          <w:trHeight w:val="540"/>
          <w:tblHeader/>
        </w:trPr>
        <w:tc>
          <w:tcPr>
            <w:tcW w:w="1716" w:type="dxa"/>
            <w:shd w:val="clear" w:color="auto" w:fill="D9D9D9"/>
            <w:noWrap/>
            <w:vAlign w:val="center"/>
            <w:hideMark/>
          </w:tcPr>
          <w:p w14:paraId="23034237" w14:textId="77777777" w:rsidR="00574397" w:rsidRPr="00445472" w:rsidRDefault="00574397" w:rsidP="0063504F">
            <w:pPr>
              <w:spacing w:before="80" w:after="0" w:line="240" w:lineRule="auto"/>
              <w:jc w:val="center"/>
              <w:rPr>
                <w:rFonts w:ascii="Garamond" w:hAnsi="Garamond" w:cs="Arial"/>
                <w:b/>
                <w:sz w:val="18"/>
                <w:szCs w:val="18"/>
              </w:rPr>
            </w:pPr>
            <w:r w:rsidRPr="00445472">
              <w:rPr>
                <w:rFonts w:ascii="Garamond" w:hAnsi="Garamond" w:cs="Arial"/>
                <w:b/>
                <w:sz w:val="18"/>
                <w:szCs w:val="18"/>
              </w:rPr>
              <w:t>Baseni</w:t>
            </w:r>
          </w:p>
        </w:tc>
        <w:tc>
          <w:tcPr>
            <w:tcW w:w="1701" w:type="dxa"/>
            <w:shd w:val="clear" w:color="auto" w:fill="D9D9D9"/>
            <w:noWrap/>
            <w:vAlign w:val="center"/>
            <w:hideMark/>
          </w:tcPr>
          <w:p w14:paraId="4F0FF4AC" w14:textId="77777777" w:rsidR="00574397" w:rsidRPr="00445472" w:rsidRDefault="00574397" w:rsidP="0063504F">
            <w:pPr>
              <w:spacing w:before="80" w:after="0" w:line="240" w:lineRule="auto"/>
              <w:jc w:val="center"/>
              <w:rPr>
                <w:rFonts w:ascii="Garamond" w:hAnsi="Garamond" w:cs="Arial"/>
                <w:b/>
                <w:sz w:val="18"/>
                <w:szCs w:val="18"/>
              </w:rPr>
            </w:pPr>
            <w:r w:rsidRPr="00445472">
              <w:rPr>
                <w:rFonts w:ascii="Garamond" w:hAnsi="Garamond" w:cs="Arial"/>
                <w:b/>
                <w:sz w:val="18"/>
                <w:szCs w:val="18"/>
              </w:rPr>
              <w:t>Qyteti</w:t>
            </w:r>
          </w:p>
        </w:tc>
        <w:tc>
          <w:tcPr>
            <w:tcW w:w="2127" w:type="dxa"/>
            <w:shd w:val="clear" w:color="auto" w:fill="D9D9D9"/>
            <w:vAlign w:val="center"/>
            <w:hideMark/>
          </w:tcPr>
          <w:p w14:paraId="322A4945" w14:textId="756E2CAF" w:rsidR="00574397" w:rsidRPr="00445472" w:rsidRDefault="00574397" w:rsidP="0063504F">
            <w:pPr>
              <w:spacing w:before="80" w:after="0" w:line="240" w:lineRule="auto"/>
              <w:jc w:val="center"/>
              <w:rPr>
                <w:rFonts w:ascii="Garamond" w:hAnsi="Garamond" w:cs="Arial"/>
                <w:b/>
                <w:sz w:val="18"/>
                <w:szCs w:val="18"/>
              </w:rPr>
            </w:pPr>
            <w:r w:rsidRPr="00445472">
              <w:rPr>
                <w:rFonts w:ascii="Garamond" w:hAnsi="Garamond" w:cs="Arial"/>
                <w:b/>
                <w:sz w:val="18"/>
                <w:szCs w:val="18"/>
              </w:rPr>
              <w:t xml:space="preserve">Njësia </w:t>
            </w:r>
            <w:r w:rsidR="006302B2" w:rsidRPr="00445472">
              <w:rPr>
                <w:rFonts w:ascii="Garamond" w:hAnsi="Garamond" w:cs="Arial"/>
                <w:b/>
                <w:sz w:val="18"/>
                <w:szCs w:val="18"/>
              </w:rPr>
              <w:t>administrative</w:t>
            </w:r>
          </w:p>
        </w:tc>
        <w:tc>
          <w:tcPr>
            <w:tcW w:w="1984" w:type="dxa"/>
            <w:shd w:val="clear" w:color="auto" w:fill="D9D9D9"/>
            <w:vAlign w:val="center"/>
            <w:hideMark/>
          </w:tcPr>
          <w:p w14:paraId="1B49AD4B" w14:textId="20761BBE" w:rsidR="00574397" w:rsidRPr="00445472" w:rsidRDefault="00574397" w:rsidP="0063504F">
            <w:pPr>
              <w:spacing w:before="80" w:after="0" w:line="240" w:lineRule="auto"/>
              <w:jc w:val="center"/>
              <w:rPr>
                <w:rFonts w:ascii="Garamond" w:hAnsi="Garamond" w:cs="Arial"/>
                <w:b/>
                <w:sz w:val="18"/>
                <w:szCs w:val="18"/>
              </w:rPr>
            </w:pPr>
            <w:r w:rsidRPr="00445472">
              <w:rPr>
                <w:rFonts w:ascii="Garamond" w:hAnsi="Garamond" w:cs="Arial"/>
                <w:b/>
                <w:sz w:val="18"/>
                <w:szCs w:val="18"/>
              </w:rPr>
              <w:t xml:space="preserve">Grupi i fokusit ose </w:t>
            </w:r>
            <w:r w:rsidR="006302B2" w:rsidRPr="00445472">
              <w:rPr>
                <w:rFonts w:ascii="Garamond" w:hAnsi="Garamond" w:cs="Arial"/>
                <w:b/>
                <w:sz w:val="18"/>
                <w:szCs w:val="18"/>
              </w:rPr>
              <w:t xml:space="preserve">informatorët </w:t>
            </w:r>
            <w:r w:rsidRPr="00445472">
              <w:rPr>
                <w:rFonts w:ascii="Garamond" w:hAnsi="Garamond" w:cs="Arial"/>
                <w:b/>
                <w:sz w:val="18"/>
                <w:szCs w:val="18"/>
              </w:rPr>
              <w:t>kryesorë</w:t>
            </w:r>
          </w:p>
        </w:tc>
        <w:tc>
          <w:tcPr>
            <w:tcW w:w="1701" w:type="dxa"/>
            <w:shd w:val="clear" w:color="auto" w:fill="D9D9D9"/>
            <w:vAlign w:val="center"/>
            <w:hideMark/>
          </w:tcPr>
          <w:p w14:paraId="7489C5D3" w14:textId="77777777" w:rsidR="00574397" w:rsidRPr="00445472" w:rsidRDefault="00574397" w:rsidP="0063504F">
            <w:pPr>
              <w:spacing w:before="80" w:after="0" w:line="240" w:lineRule="auto"/>
              <w:jc w:val="center"/>
              <w:rPr>
                <w:rFonts w:ascii="Garamond" w:hAnsi="Garamond" w:cs="Arial"/>
                <w:b/>
                <w:sz w:val="18"/>
                <w:szCs w:val="18"/>
              </w:rPr>
            </w:pPr>
            <w:r w:rsidRPr="00445472">
              <w:rPr>
                <w:rFonts w:ascii="Garamond" w:hAnsi="Garamond" w:cs="Arial"/>
                <w:b/>
                <w:sz w:val="18"/>
                <w:szCs w:val="18"/>
              </w:rPr>
              <w:t>Numri i të intervistuarve</w:t>
            </w:r>
          </w:p>
        </w:tc>
      </w:tr>
      <w:tr w:rsidR="00574397" w:rsidRPr="00445472" w14:paraId="43E44850" w14:textId="77777777" w:rsidTr="001D340B">
        <w:trPr>
          <w:trHeight w:val="225"/>
        </w:trPr>
        <w:tc>
          <w:tcPr>
            <w:tcW w:w="1716" w:type="dxa"/>
            <w:vMerge w:val="restart"/>
            <w:shd w:val="clear" w:color="auto" w:fill="auto"/>
            <w:noWrap/>
            <w:vAlign w:val="center"/>
            <w:hideMark/>
          </w:tcPr>
          <w:p w14:paraId="47AB01F7" w14:textId="77777777" w:rsidR="00574397" w:rsidRPr="00445472" w:rsidRDefault="00574397" w:rsidP="0063504F">
            <w:pPr>
              <w:spacing w:before="80" w:after="0" w:line="240" w:lineRule="auto"/>
              <w:jc w:val="center"/>
              <w:rPr>
                <w:rFonts w:ascii="Garamond" w:hAnsi="Garamond" w:cs="Arial"/>
                <w:sz w:val="18"/>
                <w:szCs w:val="18"/>
              </w:rPr>
            </w:pPr>
          </w:p>
          <w:p w14:paraId="0677296A" w14:textId="77777777" w:rsidR="00574397" w:rsidRPr="00445472" w:rsidRDefault="00574397" w:rsidP="0063504F">
            <w:pPr>
              <w:spacing w:before="80" w:after="0" w:line="240" w:lineRule="auto"/>
              <w:jc w:val="center"/>
              <w:rPr>
                <w:rFonts w:ascii="Garamond" w:hAnsi="Garamond" w:cs="Arial"/>
                <w:sz w:val="18"/>
                <w:szCs w:val="18"/>
              </w:rPr>
            </w:pPr>
          </w:p>
          <w:p w14:paraId="247C8254" w14:textId="77777777" w:rsidR="00574397" w:rsidRPr="00445472" w:rsidRDefault="00574397" w:rsidP="0063504F">
            <w:pPr>
              <w:spacing w:before="80" w:after="0" w:line="240" w:lineRule="auto"/>
              <w:jc w:val="center"/>
              <w:rPr>
                <w:rFonts w:ascii="Garamond" w:hAnsi="Garamond" w:cs="Arial"/>
                <w:sz w:val="18"/>
                <w:szCs w:val="18"/>
              </w:rPr>
            </w:pPr>
          </w:p>
          <w:p w14:paraId="57A09A8B" w14:textId="77777777" w:rsidR="00574397" w:rsidRPr="00445472" w:rsidRDefault="00574397" w:rsidP="0063504F">
            <w:pPr>
              <w:spacing w:before="80" w:after="0" w:line="240" w:lineRule="auto"/>
              <w:jc w:val="center"/>
              <w:rPr>
                <w:rFonts w:ascii="Garamond" w:hAnsi="Garamond" w:cs="Arial"/>
                <w:sz w:val="18"/>
                <w:szCs w:val="18"/>
              </w:rPr>
            </w:pPr>
          </w:p>
          <w:p w14:paraId="4755B205" w14:textId="77777777" w:rsidR="00574397" w:rsidRPr="00445472" w:rsidRDefault="00574397" w:rsidP="0063504F">
            <w:pPr>
              <w:spacing w:before="80" w:after="0" w:line="240" w:lineRule="auto"/>
              <w:jc w:val="center"/>
              <w:rPr>
                <w:rFonts w:ascii="Garamond" w:hAnsi="Garamond" w:cs="Arial"/>
                <w:sz w:val="18"/>
                <w:szCs w:val="18"/>
              </w:rPr>
            </w:pPr>
          </w:p>
          <w:p w14:paraId="3D9B3665" w14:textId="77777777" w:rsidR="00574397" w:rsidRPr="00445472" w:rsidRDefault="00574397" w:rsidP="0063504F">
            <w:pPr>
              <w:spacing w:before="80" w:after="0" w:line="240" w:lineRule="auto"/>
              <w:jc w:val="center"/>
              <w:rPr>
                <w:rFonts w:ascii="Garamond" w:hAnsi="Garamond" w:cs="Arial"/>
                <w:sz w:val="18"/>
                <w:szCs w:val="18"/>
              </w:rPr>
            </w:pPr>
          </w:p>
          <w:p w14:paraId="06828C99" w14:textId="08C3C21D" w:rsidR="00574397" w:rsidRPr="00445472" w:rsidRDefault="007E76E3" w:rsidP="0063504F">
            <w:pPr>
              <w:spacing w:before="80" w:after="0" w:line="240" w:lineRule="auto"/>
              <w:jc w:val="center"/>
              <w:rPr>
                <w:rFonts w:ascii="Garamond" w:hAnsi="Garamond" w:cs="Arial"/>
                <w:sz w:val="18"/>
                <w:szCs w:val="18"/>
              </w:rPr>
            </w:pPr>
            <w:r w:rsidRPr="00445472">
              <w:rPr>
                <w:rFonts w:ascii="Garamond" w:hAnsi="Garamond" w:cs="Arial"/>
                <w:sz w:val="18"/>
                <w:szCs w:val="18"/>
              </w:rPr>
              <w:t>Drin–Bunë</w:t>
            </w:r>
          </w:p>
        </w:tc>
        <w:tc>
          <w:tcPr>
            <w:tcW w:w="1701" w:type="dxa"/>
            <w:vMerge w:val="restart"/>
            <w:shd w:val="clear" w:color="auto" w:fill="auto"/>
            <w:noWrap/>
            <w:vAlign w:val="center"/>
            <w:hideMark/>
          </w:tcPr>
          <w:p w14:paraId="59587D22" w14:textId="77777777" w:rsidR="00574397" w:rsidRPr="00445472" w:rsidRDefault="00574397" w:rsidP="0063504F">
            <w:pPr>
              <w:spacing w:before="80" w:after="0" w:line="240" w:lineRule="auto"/>
              <w:jc w:val="center"/>
              <w:rPr>
                <w:rFonts w:ascii="Garamond" w:hAnsi="Garamond" w:cs="Arial"/>
                <w:sz w:val="18"/>
                <w:szCs w:val="18"/>
              </w:rPr>
            </w:pPr>
            <w:r w:rsidRPr="00445472">
              <w:rPr>
                <w:rFonts w:ascii="Garamond" w:hAnsi="Garamond" w:cs="Arial"/>
                <w:sz w:val="18"/>
                <w:szCs w:val="18"/>
              </w:rPr>
              <w:t>Shkodër</w:t>
            </w:r>
          </w:p>
        </w:tc>
        <w:tc>
          <w:tcPr>
            <w:tcW w:w="2127" w:type="dxa"/>
            <w:vMerge w:val="restart"/>
            <w:shd w:val="clear" w:color="auto" w:fill="auto"/>
            <w:noWrap/>
            <w:vAlign w:val="center"/>
            <w:hideMark/>
          </w:tcPr>
          <w:p w14:paraId="32C559FE" w14:textId="77777777" w:rsidR="00574397" w:rsidRPr="00445472" w:rsidRDefault="00574397" w:rsidP="0063504F">
            <w:pPr>
              <w:spacing w:before="80" w:after="0" w:line="240" w:lineRule="auto"/>
              <w:jc w:val="center"/>
              <w:rPr>
                <w:rFonts w:ascii="Garamond" w:hAnsi="Garamond" w:cs="Arial"/>
                <w:sz w:val="18"/>
                <w:szCs w:val="18"/>
              </w:rPr>
            </w:pPr>
            <w:r w:rsidRPr="00445472">
              <w:rPr>
                <w:rFonts w:ascii="Garamond" w:hAnsi="Garamond" w:cs="Arial"/>
                <w:sz w:val="18"/>
                <w:szCs w:val="18"/>
              </w:rPr>
              <w:t>Shirq</w:t>
            </w:r>
          </w:p>
        </w:tc>
        <w:tc>
          <w:tcPr>
            <w:tcW w:w="1984" w:type="dxa"/>
            <w:shd w:val="clear" w:color="auto" w:fill="auto"/>
            <w:noWrap/>
            <w:vAlign w:val="center"/>
            <w:hideMark/>
          </w:tcPr>
          <w:p w14:paraId="581A3A8A" w14:textId="6DE64D32" w:rsidR="00574397" w:rsidRPr="00445472" w:rsidRDefault="006302B2" w:rsidP="0063504F">
            <w:pPr>
              <w:spacing w:before="80" w:after="0" w:line="240" w:lineRule="auto"/>
              <w:rPr>
                <w:rFonts w:ascii="Garamond" w:hAnsi="Garamond" w:cs="Arial"/>
                <w:sz w:val="18"/>
                <w:szCs w:val="18"/>
              </w:rPr>
            </w:pPr>
            <w:r w:rsidRPr="00445472">
              <w:rPr>
                <w:rFonts w:ascii="Garamond" w:hAnsi="Garamond" w:cs="Arial"/>
                <w:sz w:val="18"/>
                <w:szCs w:val="18"/>
              </w:rPr>
              <w:t>Komuniteti</w:t>
            </w:r>
            <w:r w:rsidR="00574397" w:rsidRPr="00445472">
              <w:rPr>
                <w:rFonts w:ascii="Garamond" w:hAnsi="Garamond" w:cs="Arial"/>
                <w:sz w:val="18"/>
                <w:szCs w:val="18"/>
              </w:rPr>
              <w:t xml:space="preserve"> </w:t>
            </w:r>
            <w:r w:rsidRPr="00445472">
              <w:rPr>
                <w:rFonts w:ascii="Garamond" w:hAnsi="Garamond" w:cs="Arial"/>
                <w:sz w:val="18"/>
                <w:szCs w:val="18"/>
              </w:rPr>
              <w:t>rom</w:t>
            </w:r>
          </w:p>
        </w:tc>
        <w:tc>
          <w:tcPr>
            <w:tcW w:w="1701" w:type="dxa"/>
            <w:shd w:val="clear" w:color="auto" w:fill="auto"/>
            <w:noWrap/>
            <w:vAlign w:val="center"/>
            <w:hideMark/>
          </w:tcPr>
          <w:p w14:paraId="0144B51A"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w:t>
            </w:r>
          </w:p>
        </w:tc>
      </w:tr>
      <w:tr w:rsidR="00574397" w:rsidRPr="00445472" w14:paraId="17DFE374" w14:textId="77777777" w:rsidTr="001D340B">
        <w:trPr>
          <w:trHeight w:val="225"/>
        </w:trPr>
        <w:tc>
          <w:tcPr>
            <w:tcW w:w="1716" w:type="dxa"/>
            <w:vMerge/>
            <w:vAlign w:val="center"/>
            <w:hideMark/>
          </w:tcPr>
          <w:p w14:paraId="27B702CD"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32F33A54"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381189C6"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13DF41EE"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Të Moshuarit</w:t>
            </w:r>
          </w:p>
        </w:tc>
        <w:tc>
          <w:tcPr>
            <w:tcW w:w="1701" w:type="dxa"/>
            <w:shd w:val="clear" w:color="auto" w:fill="auto"/>
            <w:noWrap/>
            <w:vAlign w:val="center"/>
            <w:hideMark/>
          </w:tcPr>
          <w:p w14:paraId="76F1087F"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3</w:t>
            </w:r>
          </w:p>
        </w:tc>
      </w:tr>
      <w:tr w:rsidR="00574397" w:rsidRPr="00445472" w14:paraId="7A115583" w14:textId="77777777" w:rsidTr="001D340B">
        <w:trPr>
          <w:trHeight w:val="225"/>
        </w:trPr>
        <w:tc>
          <w:tcPr>
            <w:tcW w:w="1716" w:type="dxa"/>
            <w:vMerge/>
            <w:vAlign w:val="center"/>
            <w:hideMark/>
          </w:tcPr>
          <w:p w14:paraId="0325A19A"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55B536DC"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24066C52"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25763A77"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Grua</w:t>
            </w:r>
          </w:p>
        </w:tc>
        <w:tc>
          <w:tcPr>
            <w:tcW w:w="1701" w:type="dxa"/>
            <w:shd w:val="clear" w:color="auto" w:fill="auto"/>
            <w:noWrap/>
            <w:vAlign w:val="center"/>
            <w:hideMark/>
          </w:tcPr>
          <w:p w14:paraId="43ADB54E"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3</w:t>
            </w:r>
          </w:p>
        </w:tc>
      </w:tr>
      <w:tr w:rsidR="00574397" w:rsidRPr="00445472" w14:paraId="682884F4" w14:textId="77777777" w:rsidTr="001D340B">
        <w:trPr>
          <w:trHeight w:val="225"/>
        </w:trPr>
        <w:tc>
          <w:tcPr>
            <w:tcW w:w="1716" w:type="dxa"/>
            <w:vMerge/>
            <w:vAlign w:val="center"/>
            <w:hideMark/>
          </w:tcPr>
          <w:p w14:paraId="060A7D2D"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5B70E11E"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14791777"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0485E25D"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Fermerë</w:t>
            </w:r>
          </w:p>
        </w:tc>
        <w:tc>
          <w:tcPr>
            <w:tcW w:w="1701" w:type="dxa"/>
            <w:shd w:val="clear" w:color="auto" w:fill="auto"/>
            <w:noWrap/>
            <w:vAlign w:val="center"/>
            <w:hideMark/>
          </w:tcPr>
          <w:p w14:paraId="1F49AAC2"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2</w:t>
            </w:r>
          </w:p>
        </w:tc>
      </w:tr>
      <w:tr w:rsidR="00574397" w:rsidRPr="00445472" w14:paraId="2382F563" w14:textId="77777777" w:rsidTr="001D340B">
        <w:trPr>
          <w:trHeight w:val="225"/>
        </w:trPr>
        <w:tc>
          <w:tcPr>
            <w:tcW w:w="1716" w:type="dxa"/>
            <w:vMerge/>
            <w:vAlign w:val="center"/>
            <w:hideMark/>
          </w:tcPr>
          <w:p w14:paraId="7581727C"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0211E3D4"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035DFB56"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477FB204" w14:textId="46F2394B" w:rsidR="00574397" w:rsidRPr="00445472" w:rsidRDefault="006302B2" w:rsidP="0063504F">
            <w:pPr>
              <w:spacing w:before="80" w:after="0" w:line="240" w:lineRule="auto"/>
              <w:rPr>
                <w:rFonts w:ascii="Garamond" w:hAnsi="Garamond" w:cs="Arial"/>
                <w:sz w:val="18"/>
                <w:szCs w:val="18"/>
              </w:rPr>
            </w:pPr>
            <w:r w:rsidRPr="00445472">
              <w:rPr>
                <w:rFonts w:ascii="Garamond" w:hAnsi="Garamond" w:cs="Arial"/>
                <w:sz w:val="18"/>
                <w:szCs w:val="18"/>
              </w:rPr>
              <w:t>Punonjësit</w:t>
            </w:r>
            <w:r w:rsidR="00574397" w:rsidRPr="00445472">
              <w:rPr>
                <w:rFonts w:ascii="Garamond" w:hAnsi="Garamond" w:cs="Arial"/>
                <w:sz w:val="18"/>
                <w:szCs w:val="18"/>
              </w:rPr>
              <w:t xml:space="preserve"> e </w:t>
            </w:r>
            <w:r w:rsidRPr="00445472">
              <w:rPr>
                <w:rFonts w:ascii="Garamond" w:hAnsi="Garamond" w:cs="Arial"/>
                <w:sz w:val="18"/>
                <w:szCs w:val="18"/>
              </w:rPr>
              <w:t>shëndetësisë</w:t>
            </w:r>
          </w:p>
        </w:tc>
        <w:tc>
          <w:tcPr>
            <w:tcW w:w="1701" w:type="dxa"/>
            <w:shd w:val="clear" w:color="auto" w:fill="auto"/>
            <w:noWrap/>
            <w:vAlign w:val="center"/>
            <w:hideMark/>
          </w:tcPr>
          <w:p w14:paraId="08DD0E87"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2 (2 Gra)</w:t>
            </w:r>
          </w:p>
        </w:tc>
      </w:tr>
      <w:tr w:rsidR="00574397" w:rsidRPr="00445472" w14:paraId="51503A3C" w14:textId="77777777" w:rsidTr="001D340B">
        <w:trPr>
          <w:trHeight w:val="225"/>
        </w:trPr>
        <w:tc>
          <w:tcPr>
            <w:tcW w:w="1716" w:type="dxa"/>
            <w:vMerge/>
            <w:vAlign w:val="center"/>
            <w:hideMark/>
          </w:tcPr>
          <w:p w14:paraId="720C8E1C"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66B4BC62" w14:textId="77777777" w:rsidR="00574397" w:rsidRPr="00445472" w:rsidRDefault="00574397" w:rsidP="0063504F">
            <w:pPr>
              <w:spacing w:before="80" w:after="0" w:line="240" w:lineRule="auto"/>
              <w:rPr>
                <w:rFonts w:ascii="Garamond" w:hAnsi="Garamond" w:cs="Arial"/>
                <w:sz w:val="18"/>
                <w:szCs w:val="18"/>
              </w:rPr>
            </w:pPr>
          </w:p>
        </w:tc>
        <w:tc>
          <w:tcPr>
            <w:tcW w:w="2127" w:type="dxa"/>
            <w:vMerge w:val="restart"/>
            <w:shd w:val="clear" w:color="auto" w:fill="auto"/>
            <w:noWrap/>
            <w:vAlign w:val="center"/>
            <w:hideMark/>
          </w:tcPr>
          <w:p w14:paraId="3EABF150" w14:textId="77777777" w:rsidR="00574397" w:rsidRPr="00445472" w:rsidRDefault="00574397" w:rsidP="0063504F">
            <w:pPr>
              <w:spacing w:before="80" w:after="0" w:line="240" w:lineRule="auto"/>
              <w:jc w:val="center"/>
              <w:rPr>
                <w:rFonts w:ascii="Garamond" w:hAnsi="Garamond" w:cs="Arial"/>
                <w:sz w:val="18"/>
                <w:szCs w:val="18"/>
              </w:rPr>
            </w:pPr>
            <w:r w:rsidRPr="00445472">
              <w:rPr>
                <w:rFonts w:ascii="Garamond" w:hAnsi="Garamond" w:cs="Arial"/>
                <w:sz w:val="18"/>
                <w:szCs w:val="18"/>
              </w:rPr>
              <w:t>Dajç</w:t>
            </w:r>
          </w:p>
        </w:tc>
        <w:tc>
          <w:tcPr>
            <w:tcW w:w="1984" w:type="dxa"/>
            <w:shd w:val="clear" w:color="auto" w:fill="auto"/>
            <w:noWrap/>
            <w:vAlign w:val="center"/>
            <w:hideMark/>
          </w:tcPr>
          <w:p w14:paraId="6555719D" w14:textId="304750C4" w:rsidR="00574397" w:rsidRPr="00445472" w:rsidRDefault="006302B2" w:rsidP="0063504F">
            <w:pPr>
              <w:spacing w:before="80" w:after="0" w:line="240" w:lineRule="auto"/>
              <w:rPr>
                <w:rFonts w:ascii="Garamond" w:hAnsi="Garamond" w:cs="Arial"/>
                <w:sz w:val="18"/>
                <w:szCs w:val="18"/>
              </w:rPr>
            </w:pPr>
            <w:r w:rsidRPr="00445472">
              <w:rPr>
                <w:rFonts w:ascii="Garamond" w:hAnsi="Garamond" w:cs="Arial"/>
                <w:sz w:val="18"/>
                <w:szCs w:val="18"/>
              </w:rPr>
              <w:t>Komuniteti</w:t>
            </w:r>
            <w:r w:rsidR="00574397" w:rsidRPr="00445472">
              <w:rPr>
                <w:rFonts w:ascii="Garamond" w:hAnsi="Garamond" w:cs="Arial"/>
                <w:sz w:val="18"/>
                <w:szCs w:val="18"/>
              </w:rPr>
              <w:t xml:space="preserve"> </w:t>
            </w:r>
            <w:r w:rsidRPr="00445472">
              <w:rPr>
                <w:rFonts w:ascii="Garamond" w:hAnsi="Garamond" w:cs="Arial"/>
                <w:sz w:val="18"/>
                <w:szCs w:val="18"/>
              </w:rPr>
              <w:t>rom</w:t>
            </w:r>
          </w:p>
        </w:tc>
        <w:tc>
          <w:tcPr>
            <w:tcW w:w="1701" w:type="dxa"/>
            <w:shd w:val="clear" w:color="auto" w:fill="auto"/>
            <w:noWrap/>
            <w:vAlign w:val="center"/>
            <w:hideMark/>
          </w:tcPr>
          <w:p w14:paraId="19F46EED"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1</w:t>
            </w:r>
          </w:p>
        </w:tc>
      </w:tr>
      <w:tr w:rsidR="00574397" w:rsidRPr="00445472" w14:paraId="53C0C5B4" w14:textId="77777777" w:rsidTr="001D340B">
        <w:trPr>
          <w:trHeight w:val="225"/>
        </w:trPr>
        <w:tc>
          <w:tcPr>
            <w:tcW w:w="1716" w:type="dxa"/>
            <w:vMerge/>
            <w:vAlign w:val="center"/>
            <w:hideMark/>
          </w:tcPr>
          <w:p w14:paraId="0DD6FC39"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0B96C3D1"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31E2E9BD"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692DD611" w14:textId="5A8A4AB0"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xml:space="preserve">Të </w:t>
            </w:r>
            <w:r w:rsidR="006302B2" w:rsidRPr="00445472">
              <w:rPr>
                <w:rFonts w:ascii="Garamond" w:hAnsi="Garamond" w:cs="Arial"/>
                <w:sz w:val="18"/>
                <w:szCs w:val="18"/>
              </w:rPr>
              <w:t>moshuarit</w:t>
            </w:r>
          </w:p>
        </w:tc>
        <w:tc>
          <w:tcPr>
            <w:tcW w:w="1701" w:type="dxa"/>
            <w:shd w:val="clear" w:color="auto" w:fill="auto"/>
            <w:noWrap/>
            <w:vAlign w:val="center"/>
            <w:hideMark/>
          </w:tcPr>
          <w:p w14:paraId="1E7A4549"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2</w:t>
            </w:r>
          </w:p>
        </w:tc>
      </w:tr>
      <w:tr w:rsidR="00574397" w:rsidRPr="00445472" w14:paraId="4E88B17B" w14:textId="77777777" w:rsidTr="001D340B">
        <w:trPr>
          <w:trHeight w:val="225"/>
        </w:trPr>
        <w:tc>
          <w:tcPr>
            <w:tcW w:w="1716" w:type="dxa"/>
            <w:vMerge/>
            <w:vAlign w:val="center"/>
            <w:hideMark/>
          </w:tcPr>
          <w:p w14:paraId="256D6F79"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725A29B4"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07FED9CD"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56F6473E"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Grua</w:t>
            </w:r>
          </w:p>
        </w:tc>
        <w:tc>
          <w:tcPr>
            <w:tcW w:w="1701" w:type="dxa"/>
            <w:shd w:val="clear" w:color="auto" w:fill="auto"/>
            <w:noWrap/>
            <w:vAlign w:val="center"/>
            <w:hideMark/>
          </w:tcPr>
          <w:p w14:paraId="4117F116"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xml:space="preserve">3 </w:t>
            </w:r>
          </w:p>
        </w:tc>
      </w:tr>
      <w:tr w:rsidR="00574397" w:rsidRPr="00445472" w14:paraId="68F95C77" w14:textId="77777777" w:rsidTr="001D340B">
        <w:trPr>
          <w:trHeight w:val="225"/>
        </w:trPr>
        <w:tc>
          <w:tcPr>
            <w:tcW w:w="1716" w:type="dxa"/>
            <w:vMerge/>
            <w:vAlign w:val="center"/>
            <w:hideMark/>
          </w:tcPr>
          <w:p w14:paraId="6D0DA960"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4027C515"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50C07E2F"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03B5BCD3"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Fermerë</w:t>
            </w:r>
          </w:p>
        </w:tc>
        <w:tc>
          <w:tcPr>
            <w:tcW w:w="1701" w:type="dxa"/>
            <w:shd w:val="clear" w:color="auto" w:fill="auto"/>
            <w:noWrap/>
            <w:vAlign w:val="center"/>
            <w:hideMark/>
          </w:tcPr>
          <w:p w14:paraId="6E19A5C5" w14:textId="2376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xml:space="preserve">3 ( </w:t>
            </w:r>
            <w:r w:rsidR="006302B2" w:rsidRPr="00445472">
              <w:rPr>
                <w:rFonts w:ascii="Garamond" w:hAnsi="Garamond" w:cs="Arial"/>
                <w:sz w:val="18"/>
                <w:szCs w:val="18"/>
              </w:rPr>
              <w:t>1 grua</w:t>
            </w:r>
            <w:r w:rsidRPr="00445472">
              <w:rPr>
                <w:rFonts w:ascii="Garamond" w:hAnsi="Garamond" w:cs="Arial"/>
                <w:sz w:val="18"/>
                <w:szCs w:val="18"/>
              </w:rPr>
              <w:t>)</w:t>
            </w:r>
          </w:p>
        </w:tc>
      </w:tr>
      <w:tr w:rsidR="00574397" w:rsidRPr="00445472" w14:paraId="0B953B46" w14:textId="77777777" w:rsidTr="001D340B">
        <w:trPr>
          <w:trHeight w:val="225"/>
        </w:trPr>
        <w:tc>
          <w:tcPr>
            <w:tcW w:w="1716" w:type="dxa"/>
            <w:vMerge/>
            <w:vAlign w:val="center"/>
            <w:hideMark/>
          </w:tcPr>
          <w:p w14:paraId="415D42A2"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31D20EEE"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62937E46"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4F603E03" w14:textId="61A8593E" w:rsidR="00574397" w:rsidRPr="00445472" w:rsidRDefault="006302B2" w:rsidP="0063504F">
            <w:pPr>
              <w:spacing w:before="80" w:after="0" w:line="240" w:lineRule="auto"/>
              <w:rPr>
                <w:rFonts w:ascii="Garamond" w:hAnsi="Garamond" w:cs="Arial"/>
                <w:sz w:val="18"/>
                <w:szCs w:val="18"/>
              </w:rPr>
            </w:pPr>
            <w:r w:rsidRPr="00445472">
              <w:rPr>
                <w:rFonts w:ascii="Garamond" w:hAnsi="Garamond" w:cs="Arial"/>
                <w:sz w:val="18"/>
                <w:szCs w:val="18"/>
              </w:rPr>
              <w:t>Punonjësit</w:t>
            </w:r>
            <w:r w:rsidR="00574397" w:rsidRPr="00445472">
              <w:rPr>
                <w:rFonts w:ascii="Garamond" w:hAnsi="Garamond" w:cs="Arial"/>
                <w:sz w:val="18"/>
                <w:szCs w:val="18"/>
              </w:rPr>
              <w:t xml:space="preserve"> e </w:t>
            </w:r>
            <w:r w:rsidRPr="00445472">
              <w:rPr>
                <w:rFonts w:ascii="Garamond" w:hAnsi="Garamond" w:cs="Arial"/>
                <w:sz w:val="18"/>
                <w:szCs w:val="18"/>
              </w:rPr>
              <w:t>shëndetësisë</w:t>
            </w:r>
          </w:p>
        </w:tc>
        <w:tc>
          <w:tcPr>
            <w:tcW w:w="1701" w:type="dxa"/>
            <w:shd w:val="clear" w:color="auto" w:fill="auto"/>
            <w:noWrap/>
            <w:vAlign w:val="center"/>
            <w:hideMark/>
          </w:tcPr>
          <w:p w14:paraId="3A37D939" w14:textId="78926696"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xml:space="preserve">1 (1 </w:t>
            </w:r>
            <w:r w:rsidR="006302B2" w:rsidRPr="00445472">
              <w:rPr>
                <w:rFonts w:ascii="Garamond" w:hAnsi="Garamond" w:cs="Arial"/>
                <w:sz w:val="18"/>
                <w:szCs w:val="18"/>
              </w:rPr>
              <w:t>grua</w:t>
            </w:r>
            <w:r w:rsidRPr="00445472">
              <w:rPr>
                <w:rFonts w:ascii="Garamond" w:hAnsi="Garamond" w:cs="Arial"/>
                <w:sz w:val="18"/>
                <w:szCs w:val="18"/>
              </w:rPr>
              <w:t>)</w:t>
            </w:r>
          </w:p>
        </w:tc>
      </w:tr>
      <w:tr w:rsidR="00574397" w:rsidRPr="00445472" w14:paraId="10C66A37" w14:textId="77777777" w:rsidTr="001D340B">
        <w:trPr>
          <w:trHeight w:val="225"/>
        </w:trPr>
        <w:tc>
          <w:tcPr>
            <w:tcW w:w="1716" w:type="dxa"/>
            <w:vMerge/>
            <w:vAlign w:val="center"/>
            <w:hideMark/>
          </w:tcPr>
          <w:p w14:paraId="770F9E8E" w14:textId="77777777" w:rsidR="00574397" w:rsidRPr="00445472" w:rsidRDefault="00574397" w:rsidP="0063504F">
            <w:pPr>
              <w:spacing w:before="80" w:after="0" w:line="240" w:lineRule="auto"/>
              <w:rPr>
                <w:rFonts w:ascii="Garamond" w:hAnsi="Garamond" w:cs="Arial"/>
                <w:sz w:val="18"/>
                <w:szCs w:val="18"/>
              </w:rPr>
            </w:pPr>
          </w:p>
        </w:tc>
        <w:tc>
          <w:tcPr>
            <w:tcW w:w="1701" w:type="dxa"/>
            <w:vMerge w:val="restart"/>
            <w:shd w:val="clear" w:color="auto" w:fill="auto"/>
            <w:noWrap/>
            <w:vAlign w:val="center"/>
            <w:hideMark/>
          </w:tcPr>
          <w:p w14:paraId="2D429B48" w14:textId="393163DA" w:rsidR="00574397" w:rsidRPr="00445472" w:rsidRDefault="00574397" w:rsidP="0063504F">
            <w:pPr>
              <w:spacing w:before="80" w:after="0" w:line="240" w:lineRule="auto"/>
              <w:jc w:val="center"/>
              <w:rPr>
                <w:rFonts w:ascii="Garamond" w:hAnsi="Garamond" w:cs="Arial"/>
                <w:sz w:val="18"/>
                <w:szCs w:val="18"/>
              </w:rPr>
            </w:pPr>
            <w:r w:rsidRPr="00445472">
              <w:rPr>
                <w:rFonts w:ascii="Garamond" w:hAnsi="Garamond" w:cs="Arial"/>
                <w:sz w:val="18"/>
                <w:szCs w:val="18"/>
              </w:rPr>
              <w:t>Lezh</w:t>
            </w:r>
            <w:r w:rsidR="006302B2" w:rsidRPr="00445472">
              <w:rPr>
                <w:rFonts w:ascii="Garamond" w:hAnsi="Garamond" w:cs="Arial"/>
                <w:sz w:val="18"/>
                <w:szCs w:val="18"/>
              </w:rPr>
              <w:t>ë</w:t>
            </w:r>
          </w:p>
        </w:tc>
        <w:tc>
          <w:tcPr>
            <w:tcW w:w="2127" w:type="dxa"/>
            <w:vMerge w:val="restart"/>
            <w:shd w:val="clear" w:color="auto" w:fill="auto"/>
            <w:noWrap/>
            <w:vAlign w:val="center"/>
            <w:hideMark/>
          </w:tcPr>
          <w:p w14:paraId="6F4BEFFF" w14:textId="77777777" w:rsidR="00574397" w:rsidRPr="00445472" w:rsidRDefault="00574397" w:rsidP="0063504F">
            <w:pPr>
              <w:spacing w:before="80" w:after="0" w:line="240" w:lineRule="auto"/>
              <w:jc w:val="center"/>
              <w:rPr>
                <w:rFonts w:ascii="Garamond" w:hAnsi="Garamond" w:cs="Arial"/>
                <w:sz w:val="18"/>
                <w:szCs w:val="18"/>
              </w:rPr>
            </w:pPr>
            <w:r w:rsidRPr="00445472">
              <w:rPr>
                <w:rFonts w:ascii="Garamond" w:hAnsi="Garamond" w:cs="Arial"/>
                <w:sz w:val="18"/>
                <w:szCs w:val="18"/>
              </w:rPr>
              <w:t>Gjadër</w:t>
            </w:r>
          </w:p>
        </w:tc>
        <w:tc>
          <w:tcPr>
            <w:tcW w:w="1984" w:type="dxa"/>
            <w:shd w:val="clear" w:color="auto" w:fill="auto"/>
            <w:noWrap/>
            <w:vAlign w:val="center"/>
            <w:hideMark/>
          </w:tcPr>
          <w:p w14:paraId="4F42F77B" w14:textId="0092F5BF" w:rsidR="00574397" w:rsidRPr="00445472" w:rsidRDefault="006302B2" w:rsidP="0063504F">
            <w:pPr>
              <w:spacing w:before="80" w:after="0" w:line="240" w:lineRule="auto"/>
              <w:rPr>
                <w:rFonts w:ascii="Garamond" w:hAnsi="Garamond" w:cs="Arial"/>
                <w:sz w:val="18"/>
                <w:szCs w:val="18"/>
              </w:rPr>
            </w:pPr>
            <w:r w:rsidRPr="00445472">
              <w:rPr>
                <w:rFonts w:ascii="Garamond" w:hAnsi="Garamond" w:cs="Arial"/>
                <w:sz w:val="18"/>
                <w:szCs w:val="18"/>
              </w:rPr>
              <w:t>Komuniteti</w:t>
            </w:r>
            <w:r w:rsidR="00574397" w:rsidRPr="00445472">
              <w:rPr>
                <w:rFonts w:ascii="Garamond" w:hAnsi="Garamond" w:cs="Arial"/>
                <w:sz w:val="18"/>
                <w:szCs w:val="18"/>
              </w:rPr>
              <w:t xml:space="preserve"> </w:t>
            </w:r>
            <w:r w:rsidRPr="00445472">
              <w:rPr>
                <w:rFonts w:ascii="Garamond" w:hAnsi="Garamond" w:cs="Arial"/>
                <w:sz w:val="18"/>
                <w:szCs w:val="18"/>
              </w:rPr>
              <w:t>rom</w:t>
            </w:r>
          </w:p>
        </w:tc>
        <w:tc>
          <w:tcPr>
            <w:tcW w:w="1701" w:type="dxa"/>
            <w:shd w:val="clear" w:color="auto" w:fill="auto"/>
            <w:noWrap/>
            <w:vAlign w:val="center"/>
            <w:hideMark/>
          </w:tcPr>
          <w:p w14:paraId="571D0E9C"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w:t>
            </w:r>
          </w:p>
        </w:tc>
      </w:tr>
      <w:tr w:rsidR="00574397" w:rsidRPr="00445472" w14:paraId="1177CA05" w14:textId="77777777" w:rsidTr="001D340B">
        <w:trPr>
          <w:trHeight w:val="225"/>
        </w:trPr>
        <w:tc>
          <w:tcPr>
            <w:tcW w:w="1716" w:type="dxa"/>
            <w:vMerge/>
            <w:vAlign w:val="center"/>
            <w:hideMark/>
          </w:tcPr>
          <w:p w14:paraId="26E576E8"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4C0F5B3A"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042B9BB6"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18014E37"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Të Moshuarit</w:t>
            </w:r>
          </w:p>
        </w:tc>
        <w:tc>
          <w:tcPr>
            <w:tcW w:w="1701" w:type="dxa"/>
            <w:shd w:val="clear" w:color="auto" w:fill="auto"/>
            <w:noWrap/>
            <w:vAlign w:val="center"/>
            <w:hideMark/>
          </w:tcPr>
          <w:p w14:paraId="05225732"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1</w:t>
            </w:r>
          </w:p>
        </w:tc>
      </w:tr>
      <w:tr w:rsidR="00574397" w:rsidRPr="00445472" w14:paraId="6428FEEE" w14:textId="77777777" w:rsidTr="001D340B">
        <w:trPr>
          <w:trHeight w:val="225"/>
        </w:trPr>
        <w:tc>
          <w:tcPr>
            <w:tcW w:w="1716" w:type="dxa"/>
            <w:vMerge/>
            <w:vAlign w:val="center"/>
            <w:hideMark/>
          </w:tcPr>
          <w:p w14:paraId="3B8DE5C7"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4DB4D377"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2D2163B5"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74FAEAAC"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Grua</w:t>
            </w:r>
          </w:p>
        </w:tc>
        <w:tc>
          <w:tcPr>
            <w:tcW w:w="1701" w:type="dxa"/>
            <w:shd w:val="clear" w:color="auto" w:fill="auto"/>
            <w:noWrap/>
            <w:vAlign w:val="center"/>
            <w:hideMark/>
          </w:tcPr>
          <w:p w14:paraId="5909B31B"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2</w:t>
            </w:r>
          </w:p>
        </w:tc>
      </w:tr>
      <w:tr w:rsidR="00574397" w:rsidRPr="00445472" w14:paraId="3E1E2A25" w14:textId="77777777" w:rsidTr="001D340B">
        <w:trPr>
          <w:trHeight w:val="225"/>
        </w:trPr>
        <w:tc>
          <w:tcPr>
            <w:tcW w:w="1716" w:type="dxa"/>
            <w:vMerge/>
            <w:vAlign w:val="center"/>
            <w:hideMark/>
          </w:tcPr>
          <w:p w14:paraId="13C8CE6D"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19A3D689"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3D69FC51"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26019242"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Fermerë</w:t>
            </w:r>
          </w:p>
        </w:tc>
        <w:tc>
          <w:tcPr>
            <w:tcW w:w="1701" w:type="dxa"/>
            <w:shd w:val="clear" w:color="auto" w:fill="auto"/>
            <w:noWrap/>
            <w:vAlign w:val="center"/>
            <w:hideMark/>
          </w:tcPr>
          <w:p w14:paraId="2554B7DC"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1</w:t>
            </w:r>
          </w:p>
        </w:tc>
      </w:tr>
      <w:tr w:rsidR="00574397" w:rsidRPr="00445472" w14:paraId="01032FEF" w14:textId="77777777" w:rsidTr="001D340B">
        <w:trPr>
          <w:trHeight w:val="225"/>
        </w:trPr>
        <w:tc>
          <w:tcPr>
            <w:tcW w:w="1716" w:type="dxa"/>
            <w:vMerge/>
            <w:vAlign w:val="center"/>
            <w:hideMark/>
          </w:tcPr>
          <w:p w14:paraId="2643A243" w14:textId="77777777" w:rsidR="00574397" w:rsidRPr="00445472" w:rsidRDefault="00574397" w:rsidP="0063504F">
            <w:pPr>
              <w:spacing w:before="80" w:after="0" w:line="240" w:lineRule="auto"/>
              <w:rPr>
                <w:rFonts w:ascii="Garamond" w:hAnsi="Garamond" w:cs="Arial"/>
                <w:sz w:val="18"/>
                <w:szCs w:val="18"/>
              </w:rPr>
            </w:pPr>
          </w:p>
        </w:tc>
        <w:tc>
          <w:tcPr>
            <w:tcW w:w="1701" w:type="dxa"/>
            <w:vMerge/>
            <w:vAlign w:val="center"/>
            <w:hideMark/>
          </w:tcPr>
          <w:p w14:paraId="0BB4AF7F" w14:textId="77777777" w:rsidR="00574397" w:rsidRPr="00445472" w:rsidRDefault="00574397" w:rsidP="0063504F">
            <w:pPr>
              <w:spacing w:before="80" w:after="0" w:line="240" w:lineRule="auto"/>
              <w:rPr>
                <w:rFonts w:ascii="Garamond" w:hAnsi="Garamond" w:cs="Arial"/>
                <w:sz w:val="18"/>
                <w:szCs w:val="18"/>
              </w:rPr>
            </w:pPr>
          </w:p>
        </w:tc>
        <w:tc>
          <w:tcPr>
            <w:tcW w:w="2127" w:type="dxa"/>
            <w:vMerge/>
            <w:vAlign w:val="center"/>
            <w:hideMark/>
          </w:tcPr>
          <w:p w14:paraId="2DBD55BB" w14:textId="77777777" w:rsidR="00574397" w:rsidRPr="00445472" w:rsidRDefault="00574397" w:rsidP="0063504F">
            <w:pPr>
              <w:spacing w:before="80" w:after="0" w:line="240" w:lineRule="auto"/>
              <w:rPr>
                <w:rFonts w:ascii="Garamond" w:hAnsi="Garamond" w:cs="Arial"/>
                <w:sz w:val="18"/>
                <w:szCs w:val="18"/>
              </w:rPr>
            </w:pPr>
          </w:p>
        </w:tc>
        <w:tc>
          <w:tcPr>
            <w:tcW w:w="1984" w:type="dxa"/>
            <w:shd w:val="clear" w:color="auto" w:fill="auto"/>
            <w:noWrap/>
            <w:vAlign w:val="center"/>
            <w:hideMark/>
          </w:tcPr>
          <w:p w14:paraId="538EC26C" w14:textId="609FC530" w:rsidR="00574397" w:rsidRPr="00445472" w:rsidRDefault="006302B2" w:rsidP="0063504F">
            <w:pPr>
              <w:spacing w:before="80" w:after="0" w:line="240" w:lineRule="auto"/>
              <w:rPr>
                <w:rFonts w:ascii="Garamond" w:hAnsi="Garamond" w:cs="Arial"/>
                <w:sz w:val="18"/>
                <w:szCs w:val="18"/>
              </w:rPr>
            </w:pPr>
            <w:r w:rsidRPr="00445472">
              <w:rPr>
                <w:rFonts w:ascii="Garamond" w:hAnsi="Garamond" w:cs="Arial"/>
                <w:sz w:val="18"/>
                <w:szCs w:val="18"/>
              </w:rPr>
              <w:t>Punonjësit</w:t>
            </w:r>
            <w:r w:rsidR="00574397" w:rsidRPr="00445472">
              <w:rPr>
                <w:rFonts w:ascii="Garamond" w:hAnsi="Garamond" w:cs="Arial"/>
                <w:sz w:val="18"/>
                <w:szCs w:val="18"/>
              </w:rPr>
              <w:t xml:space="preserve"> e Shëndetësisë</w:t>
            </w:r>
          </w:p>
        </w:tc>
        <w:tc>
          <w:tcPr>
            <w:tcW w:w="1701" w:type="dxa"/>
            <w:shd w:val="clear" w:color="auto" w:fill="auto"/>
            <w:noWrap/>
            <w:vAlign w:val="center"/>
            <w:hideMark/>
          </w:tcPr>
          <w:p w14:paraId="26C57AC2" w14:textId="77777777" w:rsidR="00574397" w:rsidRPr="00445472" w:rsidRDefault="00574397" w:rsidP="0063504F">
            <w:pPr>
              <w:spacing w:before="80" w:after="0" w:line="240" w:lineRule="auto"/>
              <w:rPr>
                <w:rFonts w:ascii="Garamond" w:hAnsi="Garamond" w:cs="Arial"/>
                <w:sz w:val="18"/>
                <w:szCs w:val="18"/>
              </w:rPr>
            </w:pPr>
            <w:r w:rsidRPr="00445472">
              <w:rPr>
                <w:rFonts w:ascii="Garamond" w:hAnsi="Garamond" w:cs="Arial"/>
                <w:sz w:val="18"/>
                <w:szCs w:val="18"/>
              </w:rPr>
              <w:t> </w:t>
            </w:r>
          </w:p>
        </w:tc>
      </w:tr>
    </w:tbl>
    <w:p w14:paraId="725293ED" w14:textId="77777777" w:rsidR="00574397" w:rsidRPr="00445472" w:rsidRDefault="00574397" w:rsidP="0063504F">
      <w:pPr>
        <w:pStyle w:val="TEKSTIIII"/>
      </w:pPr>
    </w:p>
    <w:p w14:paraId="6501DC77" w14:textId="77777777" w:rsidR="00574397" w:rsidRPr="00445472" w:rsidRDefault="00574397" w:rsidP="0063504F">
      <w:pPr>
        <w:pStyle w:val="TEKSTIIII"/>
      </w:pPr>
      <w:r w:rsidRPr="00445472">
        <w:t xml:space="preserve">Shpërndarja e grave në numrin e intervistave të bëra është 45% e totalit, me një përfaqësim të mirë në secilin basen. Siç shihet në grafikun e mëposhtëm, gratë kanë marrë pjesë në këtë proces jo vetëm për të diskutuar çështje gjinore, por edhe si punonjëse të shëndetësisë. </w:t>
      </w:r>
    </w:p>
    <w:p w14:paraId="13739FDE" w14:textId="77777777" w:rsidR="00574397" w:rsidRPr="00445472" w:rsidRDefault="00574397" w:rsidP="006302B2">
      <w:pPr>
        <w:jc w:val="center"/>
        <w:rPr>
          <w:rFonts w:ascii="Garamond" w:hAnsi="Garamond"/>
        </w:rPr>
      </w:pPr>
      <w:r w:rsidRPr="00445472">
        <w:rPr>
          <w:rFonts w:ascii="Garamond" w:hAnsi="Garamond"/>
          <w:noProof/>
          <w:lang w:val="en-US"/>
        </w:rPr>
        <w:drawing>
          <wp:inline distT="0" distB="0" distL="0" distR="0" wp14:anchorId="50132CEE" wp14:editId="0AAF8CD1">
            <wp:extent cx="5626735" cy="2810510"/>
            <wp:effectExtent l="0" t="0" r="0" b="0"/>
            <wp:docPr id="5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626735" cy="2810510"/>
                    </a:xfrm>
                    <a:prstGeom prst="rect">
                      <a:avLst/>
                    </a:prstGeom>
                    <a:noFill/>
                    <a:ln>
                      <a:noFill/>
                    </a:ln>
                  </pic:spPr>
                </pic:pic>
              </a:graphicData>
            </a:graphic>
          </wp:inline>
        </w:drawing>
      </w:r>
    </w:p>
    <w:p w14:paraId="131E1103" w14:textId="77777777" w:rsidR="00574397" w:rsidRPr="00445472" w:rsidRDefault="00574397" w:rsidP="00214F54">
      <w:pPr>
        <w:pStyle w:val="TEKSTIIII"/>
      </w:pPr>
      <w:bookmarkStart w:id="377" w:name="_Toc494401694"/>
      <w:r w:rsidRPr="00445472">
        <w:t xml:space="preserve">Rezultatet dhe çështjet kryesore </w:t>
      </w:r>
      <w:bookmarkEnd w:id="377"/>
    </w:p>
    <w:p w14:paraId="037F5FEF" w14:textId="5062B603" w:rsidR="00574397" w:rsidRPr="00445472" w:rsidRDefault="00214F54" w:rsidP="00214F54">
      <w:pPr>
        <w:pStyle w:val="TEKSTIIII"/>
      </w:pPr>
      <w:r w:rsidRPr="00445472">
        <w:t xml:space="preserve">6.4.2 </w:t>
      </w:r>
      <w:r w:rsidR="00574397" w:rsidRPr="00445472">
        <w:t xml:space="preserve">Në përgjithësi, pjesa më e madhe e qyteteve të kontaktuara në këtë proces kanë akses të kufizuar në ujë. Orët e furnizimit me ujë në shtëpi variojnë nga 2-12 orë në ditë dhe kufizimit rritet gjatë periudhës së verës, e cila është stinë e thatë në Shqipëri. </w:t>
      </w:r>
    </w:p>
    <w:p w14:paraId="75ED84A0" w14:textId="77777777" w:rsidR="00214F54" w:rsidRPr="00445472" w:rsidRDefault="00214F54" w:rsidP="00214F54">
      <w:pPr>
        <w:pStyle w:val="NENTITULL"/>
        <w:rPr>
          <w:rStyle w:val="mw-headline"/>
        </w:rPr>
      </w:pPr>
    </w:p>
    <w:p w14:paraId="488FFE02" w14:textId="77777777" w:rsidR="00574397" w:rsidRPr="00445472" w:rsidRDefault="00574397" w:rsidP="00214F54">
      <w:pPr>
        <w:pStyle w:val="NENTITULL"/>
      </w:pPr>
      <w:r w:rsidRPr="00445472">
        <w:t>Tabela 2: Aksesi në furnizimin me ujë</w:t>
      </w:r>
    </w:p>
    <w:tbl>
      <w:tblPr>
        <w:tblW w:w="9800" w:type="dxa"/>
        <w:tblInd w:w="93" w:type="dxa"/>
        <w:tblBorders>
          <w:top w:val="single" w:sz="4" w:space="0" w:color="auto"/>
          <w:bottom w:val="single" w:sz="4" w:space="0" w:color="000000"/>
          <w:insideH w:val="single" w:sz="4" w:space="0" w:color="auto"/>
        </w:tblBorders>
        <w:tblLook w:val="04A0" w:firstRow="1" w:lastRow="0" w:firstColumn="1" w:lastColumn="0" w:noHBand="0" w:noVBand="1"/>
      </w:tblPr>
      <w:tblGrid>
        <w:gridCol w:w="1100"/>
        <w:gridCol w:w="1100"/>
        <w:gridCol w:w="1500"/>
        <w:gridCol w:w="2140"/>
        <w:gridCol w:w="3960"/>
      </w:tblGrid>
      <w:tr w:rsidR="00574397" w:rsidRPr="00445472" w14:paraId="50C63B9D" w14:textId="77777777" w:rsidTr="001D340B">
        <w:trPr>
          <w:trHeight w:val="480"/>
          <w:tblHeader/>
        </w:trPr>
        <w:tc>
          <w:tcPr>
            <w:tcW w:w="1100" w:type="dxa"/>
            <w:shd w:val="clear" w:color="auto" w:fill="D9D9D9"/>
            <w:noWrap/>
            <w:vAlign w:val="center"/>
            <w:hideMark/>
          </w:tcPr>
          <w:p w14:paraId="571076AE" w14:textId="77777777" w:rsidR="00574397" w:rsidRPr="00445472" w:rsidRDefault="00574397" w:rsidP="00214F54">
            <w:pPr>
              <w:spacing w:after="0" w:line="240" w:lineRule="auto"/>
              <w:jc w:val="center"/>
              <w:rPr>
                <w:rFonts w:ascii="Garamond" w:hAnsi="Garamond"/>
                <w:b/>
                <w:bCs/>
                <w:sz w:val="18"/>
                <w:szCs w:val="18"/>
              </w:rPr>
            </w:pPr>
            <w:r w:rsidRPr="00445472">
              <w:rPr>
                <w:rFonts w:ascii="Garamond" w:hAnsi="Garamond"/>
                <w:b/>
                <w:bCs/>
                <w:sz w:val="18"/>
                <w:szCs w:val="18"/>
              </w:rPr>
              <w:t>Baseni</w:t>
            </w:r>
          </w:p>
        </w:tc>
        <w:tc>
          <w:tcPr>
            <w:tcW w:w="1100" w:type="dxa"/>
            <w:shd w:val="clear" w:color="auto" w:fill="D9D9D9"/>
            <w:noWrap/>
            <w:vAlign w:val="center"/>
            <w:hideMark/>
          </w:tcPr>
          <w:p w14:paraId="2DA5D6E4" w14:textId="77777777" w:rsidR="00574397" w:rsidRPr="00445472" w:rsidRDefault="00574397" w:rsidP="00214F54">
            <w:pPr>
              <w:spacing w:after="0" w:line="240" w:lineRule="auto"/>
              <w:jc w:val="center"/>
              <w:rPr>
                <w:rFonts w:ascii="Garamond" w:hAnsi="Garamond"/>
                <w:b/>
                <w:bCs/>
                <w:sz w:val="18"/>
                <w:szCs w:val="18"/>
              </w:rPr>
            </w:pPr>
            <w:r w:rsidRPr="00445472">
              <w:rPr>
                <w:rFonts w:ascii="Garamond" w:hAnsi="Garamond"/>
                <w:b/>
                <w:bCs/>
                <w:sz w:val="18"/>
                <w:szCs w:val="18"/>
              </w:rPr>
              <w:t>Qyteti</w:t>
            </w:r>
          </w:p>
        </w:tc>
        <w:tc>
          <w:tcPr>
            <w:tcW w:w="1500" w:type="dxa"/>
            <w:shd w:val="clear" w:color="auto" w:fill="D9D9D9"/>
            <w:vAlign w:val="center"/>
            <w:hideMark/>
          </w:tcPr>
          <w:p w14:paraId="4E31AEF6" w14:textId="77777777" w:rsidR="00574397" w:rsidRPr="00445472" w:rsidRDefault="00574397" w:rsidP="00214F54">
            <w:pPr>
              <w:spacing w:after="0" w:line="240" w:lineRule="auto"/>
              <w:jc w:val="center"/>
              <w:rPr>
                <w:rFonts w:ascii="Garamond" w:hAnsi="Garamond"/>
                <w:b/>
                <w:bCs/>
                <w:sz w:val="18"/>
                <w:szCs w:val="18"/>
              </w:rPr>
            </w:pPr>
            <w:r w:rsidRPr="00445472">
              <w:rPr>
                <w:rFonts w:ascii="Garamond" w:hAnsi="Garamond"/>
                <w:b/>
                <w:bCs/>
                <w:sz w:val="18"/>
                <w:szCs w:val="18"/>
              </w:rPr>
              <w:t>Njësia administrative</w:t>
            </w:r>
          </w:p>
        </w:tc>
        <w:tc>
          <w:tcPr>
            <w:tcW w:w="2140" w:type="dxa"/>
            <w:shd w:val="clear" w:color="auto" w:fill="D9D9D9"/>
            <w:vAlign w:val="center"/>
            <w:hideMark/>
          </w:tcPr>
          <w:p w14:paraId="6311EDCE" w14:textId="77777777" w:rsidR="00574397" w:rsidRPr="00445472" w:rsidRDefault="00574397" w:rsidP="00214F54">
            <w:pPr>
              <w:spacing w:after="0" w:line="240" w:lineRule="auto"/>
              <w:jc w:val="center"/>
              <w:rPr>
                <w:rFonts w:ascii="Garamond" w:hAnsi="Garamond"/>
                <w:b/>
                <w:bCs/>
                <w:sz w:val="18"/>
                <w:szCs w:val="18"/>
              </w:rPr>
            </w:pPr>
            <w:r w:rsidRPr="00445472">
              <w:rPr>
                <w:rFonts w:ascii="Garamond" w:hAnsi="Garamond"/>
                <w:b/>
                <w:bCs/>
                <w:sz w:val="18"/>
                <w:szCs w:val="18"/>
              </w:rPr>
              <w:t>Furnizimi me ujë në shtëpi (orët mesatare)</w:t>
            </w:r>
          </w:p>
        </w:tc>
        <w:tc>
          <w:tcPr>
            <w:tcW w:w="3960" w:type="dxa"/>
            <w:shd w:val="clear" w:color="auto" w:fill="D9D9D9"/>
            <w:vAlign w:val="center"/>
            <w:hideMark/>
          </w:tcPr>
          <w:p w14:paraId="41DCDAE4" w14:textId="77777777" w:rsidR="00574397" w:rsidRPr="00445472" w:rsidRDefault="00574397" w:rsidP="00214F54">
            <w:pPr>
              <w:spacing w:after="0" w:line="240" w:lineRule="auto"/>
              <w:jc w:val="center"/>
              <w:rPr>
                <w:rFonts w:ascii="Garamond" w:hAnsi="Garamond"/>
                <w:b/>
                <w:bCs/>
                <w:sz w:val="18"/>
                <w:szCs w:val="18"/>
              </w:rPr>
            </w:pPr>
            <w:r w:rsidRPr="00445472">
              <w:rPr>
                <w:rFonts w:ascii="Garamond" w:hAnsi="Garamond"/>
                <w:b/>
                <w:bCs/>
                <w:sz w:val="18"/>
                <w:szCs w:val="18"/>
              </w:rPr>
              <w:t>Problemet me furnizimin me ujë</w:t>
            </w:r>
          </w:p>
        </w:tc>
      </w:tr>
      <w:tr w:rsidR="00574397" w:rsidRPr="00445472" w14:paraId="68E6C671" w14:textId="77777777" w:rsidTr="001D340B">
        <w:trPr>
          <w:trHeight w:val="458"/>
        </w:trPr>
        <w:tc>
          <w:tcPr>
            <w:tcW w:w="1100" w:type="dxa"/>
            <w:vMerge w:val="restart"/>
            <w:shd w:val="clear" w:color="auto" w:fill="auto"/>
            <w:noWrap/>
            <w:vAlign w:val="center"/>
            <w:hideMark/>
          </w:tcPr>
          <w:p w14:paraId="5FE9C741" w14:textId="77777777" w:rsidR="00574397" w:rsidRPr="00445472" w:rsidRDefault="00574397" w:rsidP="00214F54">
            <w:pPr>
              <w:spacing w:after="0" w:line="240" w:lineRule="auto"/>
              <w:jc w:val="center"/>
              <w:rPr>
                <w:rFonts w:ascii="Garamond" w:hAnsi="Garamond"/>
                <w:sz w:val="18"/>
                <w:szCs w:val="18"/>
              </w:rPr>
            </w:pPr>
          </w:p>
          <w:p w14:paraId="268E04EC" w14:textId="77777777" w:rsidR="00574397" w:rsidRPr="00445472" w:rsidRDefault="00574397" w:rsidP="00214F54">
            <w:pPr>
              <w:spacing w:after="0" w:line="240" w:lineRule="auto"/>
              <w:jc w:val="center"/>
              <w:rPr>
                <w:rFonts w:ascii="Garamond" w:hAnsi="Garamond"/>
                <w:sz w:val="18"/>
                <w:szCs w:val="18"/>
              </w:rPr>
            </w:pPr>
          </w:p>
          <w:p w14:paraId="315F9253" w14:textId="77777777" w:rsidR="00574397" w:rsidRPr="00445472" w:rsidRDefault="00574397" w:rsidP="00214F54">
            <w:pPr>
              <w:spacing w:after="0" w:line="240" w:lineRule="auto"/>
              <w:jc w:val="center"/>
              <w:rPr>
                <w:rFonts w:ascii="Garamond" w:hAnsi="Garamond"/>
                <w:sz w:val="18"/>
                <w:szCs w:val="18"/>
              </w:rPr>
            </w:pPr>
          </w:p>
          <w:p w14:paraId="3A7D43A8" w14:textId="1E868C2B" w:rsidR="00574397" w:rsidRPr="00445472" w:rsidRDefault="007E76E3" w:rsidP="00214F54">
            <w:pPr>
              <w:spacing w:after="0" w:line="240" w:lineRule="auto"/>
              <w:rPr>
                <w:rFonts w:ascii="Garamond" w:hAnsi="Garamond"/>
                <w:sz w:val="18"/>
                <w:szCs w:val="18"/>
              </w:rPr>
            </w:pPr>
            <w:r w:rsidRPr="00445472">
              <w:rPr>
                <w:rFonts w:ascii="Garamond" w:hAnsi="Garamond"/>
                <w:sz w:val="18"/>
                <w:szCs w:val="18"/>
              </w:rPr>
              <w:t>Drin–Bunë</w:t>
            </w:r>
          </w:p>
        </w:tc>
        <w:tc>
          <w:tcPr>
            <w:tcW w:w="1100" w:type="dxa"/>
            <w:vMerge w:val="restart"/>
            <w:shd w:val="clear" w:color="auto" w:fill="auto"/>
            <w:noWrap/>
            <w:vAlign w:val="center"/>
            <w:hideMark/>
          </w:tcPr>
          <w:p w14:paraId="72996523"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Shkodër</w:t>
            </w:r>
          </w:p>
        </w:tc>
        <w:tc>
          <w:tcPr>
            <w:tcW w:w="1500" w:type="dxa"/>
            <w:vMerge w:val="restart"/>
            <w:shd w:val="clear" w:color="auto" w:fill="auto"/>
            <w:noWrap/>
            <w:vAlign w:val="center"/>
            <w:hideMark/>
          </w:tcPr>
          <w:p w14:paraId="01C9D925"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Shirq</w:t>
            </w:r>
          </w:p>
        </w:tc>
        <w:tc>
          <w:tcPr>
            <w:tcW w:w="2140" w:type="dxa"/>
            <w:vMerge w:val="restart"/>
            <w:shd w:val="clear" w:color="auto" w:fill="auto"/>
            <w:noWrap/>
            <w:vAlign w:val="center"/>
            <w:hideMark/>
          </w:tcPr>
          <w:p w14:paraId="379C036F"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0 orë</w:t>
            </w:r>
          </w:p>
        </w:tc>
        <w:tc>
          <w:tcPr>
            <w:tcW w:w="3960" w:type="dxa"/>
            <w:vMerge w:val="restart"/>
            <w:shd w:val="clear" w:color="auto" w:fill="auto"/>
            <w:vAlign w:val="center"/>
            <w:hideMark/>
          </w:tcPr>
          <w:p w14:paraId="773C8C7E" w14:textId="4B01DEF7" w:rsidR="00574397" w:rsidRPr="00445472" w:rsidRDefault="00574397" w:rsidP="006302B2">
            <w:pPr>
              <w:spacing w:after="0" w:line="240" w:lineRule="auto"/>
              <w:jc w:val="both"/>
              <w:rPr>
                <w:rFonts w:ascii="Garamond" w:hAnsi="Garamond"/>
                <w:sz w:val="18"/>
                <w:szCs w:val="18"/>
              </w:rPr>
            </w:pPr>
            <w:r w:rsidRPr="00445472">
              <w:rPr>
                <w:rFonts w:ascii="Garamond" w:hAnsi="Garamond"/>
                <w:sz w:val="18"/>
                <w:szCs w:val="18"/>
              </w:rPr>
              <w:t xml:space="preserve">Mungesa e </w:t>
            </w:r>
            <w:r w:rsidR="006302B2" w:rsidRPr="00445472">
              <w:rPr>
                <w:rFonts w:ascii="Garamond" w:hAnsi="Garamond"/>
                <w:sz w:val="18"/>
                <w:szCs w:val="18"/>
              </w:rPr>
              <w:t>furnizimet</w:t>
            </w:r>
            <w:r w:rsidRPr="00445472">
              <w:rPr>
                <w:rFonts w:ascii="Garamond" w:hAnsi="Garamond"/>
                <w:sz w:val="18"/>
                <w:szCs w:val="18"/>
              </w:rPr>
              <w:t xml:space="preserve"> me ujë është zgjidhur personalisht nga banorët me anë të puseve, uji i të cilëve nuk është i pijshëm.</w:t>
            </w:r>
          </w:p>
        </w:tc>
      </w:tr>
      <w:tr w:rsidR="00574397" w:rsidRPr="00445472" w14:paraId="2A5A2785" w14:textId="77777777" w:rsidTr="001D340B">
        <w:trPr>
          <w:trHeight w:val="508"/>
        </w:trPr>
        <w:tc>
          <w:tcPr>
            <w:tcW w:w="1100" w:type="dxa"/>
            <w:vMerge/>
            <w:vAlign w:val="center"/>
            <w:hideMark/>
          </w:tcPr>
          <w:p w14:paraId="7857C2E0"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59DC05CE"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68D7A88B"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3469CE3D"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5A19C9A8" w14:textId="77777777" w:rsidR="00574397" w:rsidRPr="00445472" w:rsidRDefault="00574397" w:rsidP="006302B2">
            <w:pPr>
              <w:spacing w:after="0" w:line="240" w:lineRule="auto"/>
              <w:jc w:val="both"/>
              <w:rPr>
                <w:rFonts w:ascii="Garamond" w:hAnsi="Garamond"/>
                <w:sz w:val="18"/>
                <w:szCs w:val="18"/>
              </w:rPr>
            </w:pPr>
          </w:p>
        </w:tc>
      </w:tr>
      <w:tr w:rsidR="00574397" w:rsidRPr="00445472" w14:paraId="4007657B" w14:textId="77777777" w:rsidTr="001D340B">
        <w:trPr>
          <w:trHeight w:val="508"/>
        </w:trPr>
        <w:tc>
          <w:tcPr>
            <w:tcW w:w="1100" w:type="dxa"/>
            <w:vMerge/>
            <w:vAlign w:val="center"/>
            <w:hideMark/>
          </w:tcPr>
          <w:p w14:paraId="5FAAEBF6"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3B2B239E" w14:textId="77777777" w:rsidR="00574397" w:rsidRPr="00445472" w:rsidRDefault="00574397" w:rsidP="00214F54">
            <w:pPr>
              <w:spacing w:after="0" w:line="240" w:lineRule="auto"/>
              <w:rPr>
                <w:rFonts w:ascii="Garamond" w:hAnsi="Garamond"/>
                <w:sz w:val="18"/>
                <w:szCs w:val="18"/>
              </w:rPr>
            </w:pPr>
          </w:p>
        </w:tc>
        <w:tc>
          <w:tcPr>
            <w:tcW w:w="1500" w:type="dxa"/>
            <w:vMerge w:val="restart"/>
            <w:shd w:val="clear" w:color="auto" w:fill="auto"/>
            <w:noWrap/>
            <w:vAlign w:val="center"/>
            <w:hideMark/>
          </w:tcPr>
          <w:p w14:paraId="010249C8"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Dajç</w:t>
            </w:r>
          </w:p>
        </w:tc>
        <w:tc>
          <w:tcPr>
            <w:tcW w:w="2140" w:type="dxa"/>
            <w:vMerge w:val="restart"/>
            <w:shd w:val="clear" w:color="auto" w:fill="auto"/>
            <w:noWrap/>
            <w:vAlign w:val="center"/>
            <w:hideMark/>
          </w:tcPr>
          <w:p w14:paraId="4FD527EA"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0 orë</w:t>
            </w:r>
          </w:p>
        </w:tc>
        <w:tc>
          <w:tcPr>
            <w:tcW w:w="3960" w:type="dxa"/>
            <w:vMerge w:val="restart"/>
            <w:shd w:val="clear" w:color="auto" w:fill="auto"/>
            <w:vAlign w:val="center"/>
            <w:hideMark/>
          </w:tcPr>
          <w:p w14:paraId="3F6926EF" w14:textId="709BD5A8" w:rsidR="00574397" w:rsidRPr="00445472" w:rsidRDefault="00574397" w:rsidP="006302B2">
            <w:pPr>
              <w:spacing w:after="0" w:line="240" w:lineRule="auto"/>
              <w:jc w:val="both"/>
              <w:rPr>
                <w:rFonts w:ascii="Garamond" w:hAnsi="Garamond"/>
                <w:sz w:val="18"/>
                <w:szCs w:val="18"/>
              </w:rPr>
            </w:pPr>
            <w:r w:rsidRPr="00445472">
              <w:rPr>
                <w:rFonts w:ascii="Garamond" w:hAnsi="Garamond"/>
                <w:sz w:val="18"/>
                <w:szCs w:val="18"/>
              </w:rPr>
              <w:t xml:space="preserve">Shërbimi i furnizimit me ujë nuk ofrohet. </w:t>
            </w:r>
            <w:r w:rsidR="006302B2" w:rsidRPr="00445472">
              <w:rPr>
                <w:rFonts w:ascii="Garamond" w:hAnsi="Garamond"/>
                <w:sz w:val="18"/>
                <w:szCs w:val="18"/>
              </w:rPr>
              <w:t>Popullsia</w:t>
            </w:r>
            <w:r w:rsidRPr="00445472">
              <w:rPr>
                <w:rFonts w:ascii="Garamond" w:hAnsi="Garamond"/>
                <w:sz w:val="18"/>
                <w:szCs w:val="18"/>
              </w:rPr>
              <w:t xml:space="preserve"> ka ndërmarrë masa për këtë problem duke hapur puse personale në shtëpitë e tyre. Nga analizat e kryera, ky ujë nuk është i pijshëm</w:t>
            </w:r>
            <w:r w:rsidR="006302B2" w:rsidRPr="00445472">
              <w:rPr>
                <w:rFonts w:ascii="Garamond" w:hAnsi="Garamond"/>
                <w:sz w:val="18"/>
                <w:szCs w:val="18"/>
              </w:rPr>
              <w:t xml:space="preserve"> </w:t>
            </w:r>
            <w:r w:rsidRPr="00445472">
              <w:rPr>
                <w:rFonts w:ascii="Garamond" w:hAnsi="Garamond"/>
                <w:sz w:val="18"/>
                <w:szCs w:val="18"/>
              </w:rPr>
              <w:t>pasi është i pasur me nitrate. Nga një studim  eksperimental të kryer nga qendra shëndetësore te banorët, përdorimi i këtij uji lidhet drejtpërdrejt me disa probleme shëndetësore.</w:t>
            </w:r>
          </w:p>
        </w:tc>
      </w:tr>
      <w:tr w:rsidR="00574397" w:rsidRPr="00445472" w14:paraId="15761983" w14:textId="77777777" w:rsidTr="001D340B">
        <w:trPr>
          <w:trHeight w:val="508"/>
        </w:trPr>
        <w:tc>
          <w:tcPr>
            <w:tcW w:w="1100" w:type="dxa"/>
            <w:vMerge/>
            <w:vAlign w:val="center"/>
            <w:hideMark/>
          </w:tcPr>
          <w:p w14:paraId="76CD0489"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3233E858"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0C653317"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2165B8E6"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5673043A" w14:textId="77777777" w:rsidR="00574397" w:rsidRPr="00445472" w:rsidRDefault="00574397" w:rsidP="006302B2">
            <w:pPr>
              <w:spacing w:after="0" w:line="240" w:lineRule="auto"/>
              <w:jc w:val="both"/>
              <w:rPr>
                <w:rFonts w:ascii="Garamond" w:hAnsi="Garamond"/>
                <w:sz w:val="18"/>
                <w:szCs w:val="18"/>
              </w:rPr>
            </w:pPr>
          </w:p>
        </w:tc>
      </w:tr>
      <w:tr w:rsidR="00574397" w:rsidRPr="00445472" w14:paraId="5A901DDF" w14:textId="77777777" w:rsidTr="001D340B">
        <w:trPr>
          <w:trHeight w:val="508"/>
        </w:trPr>
        <w:tc>
          <w:tcPr>
            <w:tcW w:w="1100" w:type="dxa"/>
            <w:vMerge/>
            <w:vAlign w:val="center"/>
            <w:hideMark/>
          </w:tcPr>
          <w:p w14:paraId="6EBD7467"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75278DFF"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097F7623"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79E3D1FC"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33FBB65F" w14:textId="77777777" w:rsidR="00574397" w:rsidRPr="00445472" w:rsidRDefault="00574397" w:rsidP="006302B2">
            <w:pPr>
              <w:spacing w:after="0" w:line="240" w:lineRule="auto"/>
              <w:jc w:val="both"/>
              <w:rPr>
                <w:rFonts w:ascii="Garamond" w:hAnsi="Garamond"/>
                <w:sz w:val="18"/>
                <w:szCs w:val="18"/>
              </w:rPr>
            </w:pPr>
          </w:p>
        </w:tc>
      </w:tr>
      <w:tr w:rsidR="00574397" w:rsidRPr="00445472" w14:paraId="5CE216D9" w14:textId="77777777" w:rsidTr="001D340B">
        <w:trPr>
          <w:trHeight w:val="508"/>
        </w:trPr>
        <w:tc>
          <w:tcPr>
            <w:tcW w:w="1100" w:type="dxa"/>
            <w:vMerge/>
            <w:vAlign w:val="center"/>
            <w:hideMark/>
          </w:tcPr>
          <w:p w14:paraId="65D6D92A"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7E560256"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44A49487"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78E2DF79"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32A41C65" w14:textId="77777777" w:rsidR="00574397" w:rsidRPr="00445472" w:rsidRDefault="00574397" w:rsidP="006302B2">
            <w:pPr>
              <w:spacing w:after="0" w:line="240" w:lineRule="auto"/>
              <w:jc w:val="both"/>
              <w:rPr>
                <w:rFonts w:ascii="Garamond" w:hAnsi="Garamond"/>
                <w:sz w:val="18"/>
                <w:szCs w:val="18"/>
              </w:rPr>
            </w:pPr>
          </w:p>
        </w:tc>
      </w:tr>
      <w:tr w:rsidR="00574397" w:rsidRPr="00445472" w14:paraId="1C91CE74" w14:textId="77777777" w:rsidTr="001D340B">
        <w:trPr>
          <w:trHeight w:val="508"/>
        </w:trPr>
        <w:tc>
          <w:tcPr>
            <w:tcW w:w="1100" w:type="dxa"/>
            <w:vMerge/>
            <w:vAlign w:val="center"/>
            <w:hideMark/>
          </w:tcPr>
          <w:p w14:paraId="68935999" w14:textId="77777777" w:rsidR="00574397" w:rsidRPr="00445472" w:rsidRDefault="00574397" w:rsidP="00214F54">
            <w:pPr>
              <w:spacing w:after="0" w:line="240" w:lineRule="auto"/>
              <w:rPr>
                <w:rFonts w:ascii="Garamond" w:hAnsi="Garamond"/>
                <w:sz w:val="18"/>
                <w:szCs w:val="18"/>
              </w:rPr>
            </w:pPr>
          </w:p>
        </w:tc>
        <w:tc>
          <w:tcPr>
            <w:tcW w:w="1100" w:type="dxa"/>
            <w:vMerge w:val="restart"/>
            <w:shd w:val="clear" w:color="auto" w:fill="auto"/>
            <w:noWrap/>
            <w:vAlign w:val="center"/>
            <w:hideMark/>
          </w:tcPr>
          <w:p w14:paraId="77E12975"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Lezhë</w:t>
            </w:r>
          </w:p>
        </w:tc>
        <w:tc>
          <w:tcPr>
            <w:tcW w:w="1500" w:type="dxa"/>
            <w:vMerge w:val="restart"/>
            <w:shd w:val="clear" w:color="auto" w:fill="auto"/>
            <w:noWrap/>
            <w:vAlign w:val="center"/>
            <w:hideMark/>
          </w:tcPr>
          <w:p w14:paraId="14005668"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Gjadër</w:t>
            </w:r>
          </w:p>
        </w:tc>
        <w:tc>
          <w:tcPr>
            <w:tcW w:w="2140" w:type="dxa"/>
            <w:vMerge w:val="restart"/>
            <w:shd w:val="clear" w:color="auto" w:fill="auto"/>
            <w:noWrap/>
            <w:vAlign w:val="center"/>
            <w:hideMark/>
          </w:tcPr>
          <w:p w14:paraId="6BFF92A5" w14:textId="77777777" w:rsidR="00574397" w:rsidRPr="00445472" w:rsidRDefault="00574397" w:rsidP="00214F54">
            <w:pPr>
              <w:spacing w:after="0" w:line="240" w:lineRule="auto"/>
              <w:jc w:val="center"/>
              <w:rPr>
                <w:rFonts w:ascii="Garamond" w:hAnsi="Garamond"/>
                <w:sz w:val="18"/>
                <w:szCs w:val="18"/>
              </w:rPr>
            </w:pPr>
            <w:r w:rsidRPr="00445472">
              <w:rPr>
                <w:rFonts w:ascii="Garamond" w:hAnsi="Garamond"/>
                <w:sz w:val="18"/>
                <w:szCs w:val="18"/>
              </w:rPr>
              <w:t>6 orë</w:t>
            </w:r>
          </w:p>
          <w:p w14:paraId="46A9ACFE" w14:textId="77777777" w:rsidR="00574397" w:rsidRPr="00445472" w:rsidRDefault="00574397" w:rsidP="00214F54">
            <w:pPr>
              <w:spacing w:after="0" w:line="240" w:lineRule="auto"/>
              <w:rPr>
                <w:rFonts w:ascii="Garamond" w:hAnsi="Garamond"/>
                <w:sz w:val="18"/>
                <w:szCs w:val="18"/>
              </w:rPr>
            </w:pPr>
          </w:p>
        </w:tc>
        <w:tc>
          <w:tcPr>
            <w:tcW w:w="3960" w:type="dxa"/>
            <w:vMerge w:val="restart"/>
            <w:shd w:val="clear" w:color="auto" w:fill="auto"/>
            <w:vAlign w:val="center"/>
            <w:hideMark/>
          </w:tcPr>
          <w:p w14:paraId="765E5939" w14:textId="4E6791E2" w:rsidR="00574397" w:rsidRPr="00445472" w:rsidRDefault="00574397" w:rsidP="00950A66">
            <w:pPr>
              <w:spacing w:after="0" w:line="240" w:lineRule="auto"/>
              <w:jc w:val="both"/>
              <w:rPr>
                <w:rFonts w:ascii="Garamond" w:hAnsi="Garamond"/>
                <w:b/>
                <w:sz w:val="18"/>
                <w:szCs w:val="18"/>
              </w:rPr>
            </w:pPr>
            <w:r w:rsidRPr="00445472">
              <w:rPr>
                <w:rFonts w:ascii="Garamond" w:hAnsi="Garamond"/>
                <w:sz w:val="18"/>
                <w:szCs w:val="18"/>
              </w:rPr>
              <w:t>Furnizimi me ujë bëhet dy her</w:t>
            </w:r>
            <w:r w:rsidR="00950A66">
              <w:rPr>
                <w:rFonts w:ascii="Garamond" w:hAnsi="Garamond"/>
                <w:sz w:val="18"/>
                <w:szCs w:val="18"/>
              </w:rPr>
              <w:t xml:space="preserve">ë </w:t>
            </w:r>
            <w:r w:rsidRPr="00445472">
              <w:rPr>
                <w:rFonts w:ascii="Garamond" w:hAnsi="Garamond"/>
                <w:sz w:val="18"/>
                <w:szCs w:val="18"/>
              </w:rPr>
              <w:t>në ditë, me nga tr</w:t>
            </w:r>
            <w:r w:rsidR="00950A66">
              <w:rPr>
                <w:rFonts w:ascii="Garamond" w:hAnsi="Garamond"/>
                <w:sz w:val="18"/>
                <w:szCs w:val="18"/>
              </w:rPr>
              <w:t>i</w:t>
            </w:r>
            <w:r w:rsidRPr="00445472">
              <w:rPr>
                <w:rFonts w:ascii="Garamond" w:hAnsi="Garamond"/>
                <w:sz w:val="18"/>
                <w:szCs w:val="18"/>
              </w:rPr>
              <w:t xml:space="preserve"> orë. Kjo mungesë është shqetësim serioz për fermerët, të cilët kanë investuar personalisht në hapjen e puseve private në tokën e tyre. Njëkohësisht ata </w:t>
            </w:r>
            <w:r w:rsidR="006302B2" w:rsidRPr="00445472">
              <w:rPr>
                <w:rFonts w:ascii="Garamond" w:hAnsi="Garamond"/>
                <w:sz w:val="18"/>
                <w:szCs w:val="18"/>
              </w:rPr>
              <w:t>përmendin</w:t>
            </w:r>
            <w:r w:rsidRPr="00445472">
              <w:rPr>
                <w:rFonts w:ascii="Garamond" w:hAnsi="Garamond"/>
                <w:sz w:val="18"/>
                <w:szCs w:val="18"/>
              </w:rPr>
              <w:t xml:space="preserve"> edhe mungesën e funksionimit të kanaleve të ujitjes. </w:t>
            </w:r>
          </w:p>
        </w:tc>
      </w:tr>
      <w:tr w:rsidR="00574397" w:rsidRPr="00445472" w14:paraId="06F5D7E7" w14:textId="77777777" w:rsidTr="001D340B">
        <w:trPr>
          <w:trHeight w:val="508"/>
        </w:trPr>
        <w:tc>
          <w:tcPr>
            <w:tcW w:w="1100" w:type="dxa"/>
            <w:vMerge/>
            <w:vAlign w:val="center"/>
            <w:hideMark/>
          </w:tcPr>
          <w:p w14:paraId="20A9FD9A"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3472BF08"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311777B0"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6C577659"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7264253F" w14:textId="77777777" w:rsidR="00574397" w:rsidRPr="00445472" w:rsidRDefault="00574397" w:rsidP="00214F54">
            <w:pPr>
              <w:spacing w:after="0" w:line="240" w:lineRule="auto"/>
              <w:rPr>
                <w:rFonts w:ascii="Garamond" w:hAnsi="Garamond"/>
                <w:sz w:val="18"/>
                <w:szCs w:val="18"/>
              </w:rPr>
            </w:pPr>
          </w:p>
        </w:tc>
      </w:tr>
      <w:tr w:rsidR="00574397" w:rsidRPr="00445472" w14:paraId="50DBFA64" w14:textId="77777777" w:rsidTr="001D340B">
        <w:trPr>
          <w:trHeight w:val="508"/>
        </w:trPr>
        <w:tc>
          <w:tcPr>
            <w:tcW w:w="1100" w:type="dxa"/>
            <w:vMerge/>
            <w:vAlign w:val="center"/>
            <w:hideMark/>
          </w:tcPr>
          <w:p w14:paraId="20686FB1"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6191AAAC"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2C4D6C5E"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31430A7F"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73F67463" w14:textId="77777777" w:rsidR="00574397" w:rsidRPr="00445472" w:rsidRDefault="00574397" w:rsidP="00214F54">
            <w:pPr>
              <w:spacing w:after="0" w:line="240" w:lineRule="auto"/>
              <w:rPr>
                <w:rFonts w:ascii="Garamond" w:hAnsi="Garamond"/>
                <w:sz w:val="18"/>
                <w:szCs w:val="18"/>
              </w:rPr>
            </w:pPr>
          </w:p>
        </w:tc>
      </w:tr>
      <w:tr w:rsidR="00574397" w:rsidRPr="00445472" w14:paraId="0E65A505" w14:textId="77777777" w:rsidTr="001D340B">
        <w:trPr>
          <w:trHeight w:val="508"/>
        </w:trPr>
        <w:tc>
          <w:tcPr>
            <w:tcW w:w="1100" w:type="dxa"/>
            <w:vMerge/>
            <w:vAlign w:val="center"/>
            <w:hideMark/>
          </w:tcPr>
          <w:p w14:paraId="2221B50F" w14:textId="77777777" w:rsidR="00574397" w:rsidRPr="00445472" w:rsidRDefault="00574397" w:rsidP="00214F54">
            <w:pPr>
              <w:spacing w:after="0" w:line="240" w:lineRule="auto"/>
              <w:rPr>
                <w:rFonts w:ascii="Garamond" w:hAnsi="Garamond"/>
                <w:sz w:val="18"/>
                <w:szCs w:val="18"/>
              </w:rPr>
            </w:pPr>
          </w:p>
        </w:tc>
        <w:tc>
          <w:tcPr>
            <w:tcW w:w="1100" w:type="dxa"/>
            <w:vMerge/>
            <w:vAlign w:val="center"/>
            <w:hideMark/>
          </w:tcPr>
          <w:p w14:paraId="022BB50E" w14:textId="77777777" w:rsidR="00574397" w:rsidRPr="00445472" w:rsidRDefault="00574397" w:rsidP="00214F54">
            <w:pPr>
              <w:spacing w:after="0" w:line="240" w:lineRule="auto"/>
              <w:rPr>
                <w:rFonts w:ascii="Garamond" w:hAnsi="Garamond"/>
                <w:sz w:val="18"/>
                <w:szCs w:val="18"/>
              </w:rPr>
            </w:pPr>
          </w:p>
        </w:tc>
        <w:tc>
          <w:tcPr>
            <w:tcW w:w="1500" w:type="dxa"/>
            <w:vMerge/>
            <w:vAlign w:val="center"/>
            <w:hideMark/>
          </w:tcPr>
          <w:p w14:paraId="61CD7AD4" w14:textId="77777777" w:rsidR="00574397" w:rsidRPr="00445472" w:rsidRDefault="00574397" w:rsidP="00214F54">
            <w:pPr>
              <w:spacing w:after="0" w:line="240" w:lineRule="auto"/>
              <w:rPr>
                <w:rFonts w:ascii="Garamond" w:hAnsi="Garamond"/>
                <w:sz w:val="18"/>
                <w:szCs w:val="18"/>
              </w:rPr>
            </w:pPr>
          </w:p>
        </w:tc>
        <w:tc>
          <w:tcPr>
            <w:tcW w:w="2140" w:type="dxa"/>
            <w:vMerge/>
            <w:vAlign w:val="center"/>
            <w:hideMark/>
          </w:tcPr>
          <w:p w14:paraId="22EDFF52" w14:textId="77777777" w:rsidR="00574397" w:rsidRPr="00445472" w:rsidRDefault="00574397" w:rsidP="00214F54">
            <w:pPr>
              <w:spacing w:after="0" w:line="240" w:lineRule="auto"/>
              <w:rPr>
                <w:rFonts w:ascii="Garamond" w:hAnsi="Garamond"/>
                <w:sz w:val="18"/>
                <w:szCs w:val="18"/>
              </w:rPr>
            </w:pPr>
          </w:p>
        </w:tc>
        <w:tc>
          <w:tcPr>
            <w:tcW w:w="3960" w:type="dxa"/>
            <w:vMerge/>
            <w:vAlign w:val="center"/>
            <w:hideMark/>
          </w:tcPr>
          <w:p w14:paraId="1F68B147" w14:textId="77777777" w:rsidR="00574397" w:rsidRPr="00445472" w:rsidRDefault="00574397" w:rsidP="00214F54">
            <w:pPr>
              <w:spacing w:after="0" w:line="240" w:lineRule="auto"/>
              <w:rPr>
                <w:rFonts w:ascii="Garamond" w:hAnsi="Garamond"/>
                <w:sz w:val="18"/>
                <w:szCs w:val="18"/>
              </w:rPr>
            </w:pPr>
          </w:p>
        </w:tc>
      </w:tr>
    </w:tbl>
    <w:p w14:paraId="59D17EE0" w14:textId="77777777" w:rsidR="00214F54" w:rsidRPr="00445472" w:rsidRDefault="00214F54" w:rsidP="00214F54">
      <w:pPr>
        <w:pStyle w:val="TEKSTIIII"/>
      </w:pPr>
      <w:bookmarkStart w:id="378" w:name="_Toc11068924"/>
    </w:p>
    <w:p w14:paraId="6C787B71" w14:textId="77777777" w:rsidR="00574397" w:rsidRPr="00445472" w:rsidRDefault="00574397" w:rsidP="00214F54">
      <w:pPr>
        <w:pStyle w:val="TEKSTIIII"/>
      </w:pPr>
      <w:r w:rsidRPr="00445472">
        <w:t>6.4.3 Çështjet kryesore të grupeve specifike</w:t>
      </w:r>
      <w:bookmarkEnd w:id="378"/>
    </w:p>
    <w:p w14:paraId="65249AF4" w14:textId="49B7C3F5" w:rsidR="00574397" w:rsidRPr="00445472" w:rsidRDefault="00574397" w:rsidP="00214F54">
      <w:pPr>
        <w:pStyle w:val="TEKSTIIII"/>
        <w:rPr>
          <w:rFonts w:cs="Arial"/>
        </w:rPr>
      </w:pPr>
      <w:r w:rsidRPr="00445472">
        <w:t>N</w:t>
      </w:r>
      <w:r w:rsidRPr="00445472">
        <w:rPr>
          <w:rFonts w:cs="Arial"/>
        </w:rPr>
        <w:t>ë</w:t>
      </w:r>
      <w:r w:rsidRPr="00445472">
        <w:t xml:space="preserve"> tabel</w:t>
      </w:r>
      <w:r w:rsidRPr="00445472">
        <w:rPr>
          <w:rFonts w:cs="Arial"/>
        </w:rPr>
        <w:t xml:space="preserve">ën e mëposhtme identifikohen çështjet kryesore të grupeve </w:t>
      </w:r>
      <w:r w:rsidR="006302B2" w:rsidRPr="00445472">
        <w:rPr>
          <w:rFonts w:cs="Arial"/>
        </w:rPr>
        <w:t>të veçanta, me fokus sidomos te</w:t>
      </w:r>
      <w:r w:rsidRPr="00445472">
        <w:rPr>
          <w:rFonts w:cs="Arial"/>
        </w:rPr>
        <w:t xml:space="preserve"> </w:t>
      </w:r>
      <w:r w:rsidR="006302B2" w:rsidRPr="00445472">
        <w:rPr>
          <w:rFonts w:cs="Arial"/>
        </w:rPr>
        <w:t>gratë</w:t>
      </w:r>
      <w:r w:rsidRPr="00445472">
        <w:rPr>
          <w:rFonts w:cs="Arial"/>
        </w:rPr>
        <w:t xml:space="preserve"> dhe fermerët, por edhe në grupe të tjera.</w:t>
      </w:r>
    </w:p>
    <w:p w14:paraId="54FD375B" w14:textId="77777777" w:rsidR="00214F54" w:rsidRPr="00445472" w:rsidRDefault="00214F54" w:rsidP="00574397">
      <w:pPr>
        <w:rPr>
          <w:rFonts w:ascii="Garamond" w:hAnsi="Garamond"/>
          <w:b/>
        </w:rPr>
      </w:pPr>
    </w:p>
    <w:p w14:paraId="48597B0D" w14:textId="77777777" w:rsidR="00574397" w:rsidRPr="00445472" w:rsidRDefault="00574397" w:rsidP="00214F54">
      <w:pPr>
        <w:pStyle w:val="NENTITULL"/>
      </w:pPr>
      <w:r w:rsidRPr="00445472">
        <w:t>Tabela 3: Çështjet kryesore të grupeve të fokusit</w:t>
      </w:r>
    </w:p>
    <w:tbl>
      <w:tblPr>
        <w:tblW w:w="10195"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872"/>
        <w:gridCol w:w="961"/>
        <w:gridCol w:w="1606"/>
        <w:gridCol w:w="1456"/>
        <w:gridCol w:w="5300"/>
      </w:tblGrid>
      <w:tr w:rsidR="00574397" w:rsidRPr="00445472" w14:paraId="10AA3F47" w14:textId="77777777" w:rsidTr="00214F54">
        <w:trPr>
          <w:trHeight w:val="480"/>
          <w:tblHeader/>
          <w:jc w:val="center"/>
        </w:trPr>
        <w:tc>
          <w:tcPr>
            <w:tcW w:w="872" w:type="dxa"/>
            <w:shd w:val="clear" w:color="auto" w:fill="D9D9D9"/>
            <w:noWrap/>
            <w:vAlign w:val="center"/>
            <w:hideMark/>
          </w:tcPr>
          <w:p w14:paraId="2BD27798" w14:textId="77777777" w:rsidR="00574397" w:rsidRPr="00445472" w:rsidRDefault="00574397" w:rsidP="001D340B">
            <w:pPr>
              <w:rPr>
                <w:rFonts w:ascii="Garamond" w:hAnsi="Garamond" w:cs="Arial"/>
                <w:sz w:val="18"/>
                <w:szCs w:val="18"/>
              </w:rPr>
            </w:pPr>
            <w:r w:rsidRPr="00445472">
              <w:rPr>
                <w:rFonts w:ascii="Garamond" w:hAnsi="Garamond" w:cs="Arial"/>
                <w:b/>
                <w:sz w:val="18"/>
                <w:szCs w:val="18"/>
              </w:rPr>
              <w:t>Baseni</w:t>
            </w:r>
          </w:p>
        </w:tc>
        <w:tc>
          <w:tcPr>
            <w:tcW w:w="961" w:type="dxa"/>
            <w:shd w:val="clear" w:color="auto" w:fill="D9D9D9"/>
            <w:noWrap/>
            <w:vAlign w:val="center"/>
            <w:hideMark/>
          </w:tcPr>
          <w:p w14:paraId="4442BBD7" w14:textId="77777777" w:rsidR="00574397" w:rsidRPr="00445472" w:rsidRDefault="00574397" w:rsidP="001D340B">
            <w:pPr>
              <w:rPr>
                <w:rFonts w:ascii="Garamond" w:hAnsi="Garamond" w:cs="Arial"/>
                <w:sz w:val="18"/>
                <w:szCs w:val="18"/>
              </w:rPr>
            </w:pPr>
            <w:r w:rsidRPr="00445472">
              <w:rPr>
                <w:rFonts w:ascii="Garamond" w:hAnsi="Garamond" w:cs="Arial"/>
                <w:b/>
                <w:sz w:val="18"/>
                <w:szCs w:val="18"/>
              </w:rPr>
              <w:t>Qyteti</w:t>
            </w:r>
          </w:p>
        </w:tc>
        <w:tc>
          <w:tcPr>
            <w:tcW w:w="1606" w:type="dxa"/>
            <w:shd w:val="clear" w:color="auto" w:fill="D9D9D9"/>
            <w:vAlign w:val="center"/>
            <w:hideMark/>
          </w:tcPr>
          <w:p w14:paraId="4F2CF4BB" w14:textId="0EE7709F" w:rsidR="00574397" w:rsidRPr="00445472" w:rsidRDefault="00574397" w:rsidP="001D340B">
            <w:pPr>
              <w:rPr>
                <w:rFonts w:ascii="Garamond" w:hAnsi="Garamond" w:cs="Arial"/>
                <w:sz w:val="18"/>
                <w:szCs w:val="18"/>
              </w:rPr>
            </w:pPr>
            <w:r w:rsidRPr="00445472">
              <w:rPr>
                <w:rFonts w:ascii="Garamond" w:hAnsi="Garamond" w:cs="Arial"/>
                <w:b/>
                <w:sz w:val="18"/>
                <w:szCs w:val="18"/>
              </w:rPr>
              <w:t xml:space="preserve">Njësia </w:t>
            </w:r>
            <w:r w:rsidR="006302B2" w:rsidRPr="00445472">
              <w:rPr>
                <w:rFonts w:ascii="Garamond" w:hAnsi="Garamond" w:cs="Arial"/>
                <w:b/>
                <w:sz w:val="18"/>
                <w:szCs w:val="18"/>
              </w:rPr>
              <w:t>administrative</w:t>
            </w:r>
          </w:p>
        </w:tc>
        <w:tc>
          <w:tcPr>
            <w:tcW w:w="1456" w:type="dxa"/>
            <w:shd w:val="clear" w:color="auto" w:fill="D9D9D9"/>
            <w:vAlign w:val="center"/>
            <w:hideMark/>
          </w:tcPr>
          <w:p w14:paraId="0AB58AAB" w14:textId="77777777" w:rsidR="00574397" w:rsidRPr="00445472" w:rsidRDefault="00574397" w:rsidP="001D340B">
            <w:pPr>
              <w:rPr>
                <w:rFonts w:ascii="Garamond" w:hAnsi="Garamond" w:cs="Arial"/>
                <w:sz w:val="18"/>
                <w:szCs w:val="18"/>
              </w:rPr>
            </w:pPr>
            <w:r w:rsidRPr="00445472">
              <w:rPr>
                <w:rFonts w:ascii="Garamond" w:hAnsi="Garamond" w:cs="Arial"/>
                <w:b/>
                <w:sz w:val="18"/>
                <w:szCs w:val="18"/>
              </w:rPr>
              <w:t>Grupi i fokusit ose informatorët kyç</w:t>
            </w:r>
          </w:p>
        </w:tc>
        <w:tc>
          <w:tcPr>
            <w:tcW w:w="5300" w:type="dxa"/>
            <w:shd w:val="clear" w:color="auto" w:fill="D9D9D9"/>
            <w:noWrap/>
            <w:vAlign w:val="center"/>
            <w:hideMark/>
          </w:tcPr>
          <w:p w14:paraId="719588B3" w14:textId="77777777" w:rsidR="00574397" w:rsidRPr="00445472" w:rsidRDefault="00574397" w:rsidP="001D340B">
            <w:pPr>
              <w:jc w:val="center"/>
              <w:rPr>
                <w:rFonts w:ascii="Garamond" w:hAnsi="Garamond" w:cs="Arial"/>
                <w:sz w:val="18"/>
                <w:szCs w:val="18"/>
              </w:rPr>
            </w:pPr>
            <w:r w:rsidRPr="00445472">
              <w:rPr>
                <w:rFonts w:ascii="Garamond" w:hAnsi="Garamond" w:cs="Arial"/>
                <w:b/>
                <w:sz w:val="18"/>
                <w:szCs w:val="18"/>
              </w:rPr>
              <w:t>Çështjet kryesore</w:t>
            </w:r>
          </w:p>
        </w:tc>
      </w:tr>
      <w:tr w:rsidR="00574397" w:rsidRPr="00445472" w14:paraId="25008C42" w14:textId="77777777" w:rsidTr="00214F54">
        <w:trPr>
          <w:trHeight w:val="1373"/>
          <w:jc w:val="center"/>
        </w:trPr>
        <w:tc>
          <w:tcPr>
            <w:tcW w:w="872" w:type="dxa"/>
            <w:vMerge w:val="restart"/>
            <w:shd w:val="clear" w:color="auto" w:fill="auto"/>
            <w:noWrap/>
            <w:vAlign w:val="center"/>
            <w:hideMark/>
          </w:tcPr>
          <w:p w14:paraId="6E4A5132" w14:textId="0C712C01" w:rsidR="00574397" w:rsidRPr="00445472" w:rsidRDefault="007E76E3" w:rsidP="001D340B">
            <w:pPr>
              <w:rPr>
                <w:rFonts w:ascii="Garamond" w:hAnsi="Garamond" w:cs="Arial"/>
                <w:sz w:val="18"/>
                <w:szCs w:val="18"/>
              </w:rPr>
            </w:pPr>
            <w:r w:rsidRPr="00445472">
              <w:rPr>
                <w:rFonts w:ascii="Garamond" w:hAnsi="Garamond" w:cs="Arial"/>
                <w:sz w:val="18"/>
                <w:szCs w:val="18"/>
              </w:rPr>
              <w:t>Drin–Bunë</w:t>
            </w:r>
          </w:p>
        </w:tc>
        <w:tc>
          <w:tcPr>
            <w:tcW w:w="961" w:type="dxa"/>
            <w:vMerge w:val="restart"/>
            <w:shd w:val="clear" w:color="auto" w:fill="auto"/>
            <w:noWrap/>
            <w:vAlign w:val="center"/>
            <w:hideMark/>
          </w:tcPr>
          <w:p w14:paraId="3419D32A"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Shkodër</w:t>
            </w:r>
          </w:p>
        </w:tc>
        <w:tc>
          <w:tcPr>
            <w:tcW w:w="1606" w:type="dxa"/>
            <w:vMerge w:val="restart"/>
            <w:shd w:val="clear" w:color="auto" w:fill="auto"/>
            <w:noWrap/>
            <w:vAlign w:val="center"/>
            <w:hideMark/>
          </w:tcPr>
          <w:p w14:paraId="5DC6D097"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Shirq</w:t>
            </w:r>
          </w:p>
        </w:tc>
        <w:tc>
          <w:tcPr>
            <w:tcW w:w="1456" w:type="dxa"/>
            <w:shd w:val="clear" w:color="auto" w:fill="auto"/>
            <w:noWrap/>
            <w:vAlign w:val="center"/>
            <w:hideMark/>
          </w:tcPr>
          <w:p w14:paraId="2F3D24F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Të moshuarit</w:t>
            </w:r>
          </w:p>
        </w:tc>
        <w:tc>
          <w:tcPr>
            <w:tcW w:w="5300" w:type="dxa"/>
            <w:shd w:val="clear" w:color="auto" w:fill="auto"/>
            <w:vAlign w:val="center"/>
          </w:tcPr>
          <w:p w14:paraId="57C112F1" w14:textId="4E0CF6DD" w:rsidR="00574397" w:rsidRPr="00445472" w:rsidRDefault="00574397" w:rsidP="006302B2">
            <w:pPr>
              <w:rPr>
                <w:rFonts w:ascii="Garamond" w:hAnsi="Garamond" w:cs="Arial"/>
                <w:sz w:val="18"/>
                <w:szCs w:val="18"/>
              </w:rPr>
            </w:pPr>
            <w:r w:rsidRPr="00445472">
              <w:rPr>
                <w:rFonts w:ascii="Garamond" w:hAnsi="Garamond" w:cs="Arial"/>
                <w:sz w:val="18"/>
                <w:szCs w:val="18"/>
              </w:rPr>
              <w:t>Numri i të moshuarve në vitet e fundit ka ndryshuar, sepse fëmijët e të moshuarve dëshirojnë që të jetojnë së bashku me to. Ata marrin pensione nga shteti, që nuk janë të mjaftueshëm për të përmbushur shpenzimet e nevojshme. Disa prej tyre ndihmohen ekonomikisht nga fëmijët e tyre, të cilët punojnë në shtetet të tjera. Problem mbetet shërbimi i kujdesit shëndetësor deri në orën 14:00 dhe jo 24 or</w:t>
            </w:r>
            <w:r w:rsidR="006302B2" w:rsidRPr="00445472">
              <w:rPr>
                <w:rFonts w:ascii="Garamond" w:hAnsi="Garamond" w:cs="Arial"/>
                <w:sz w:val="18"/>
                <w:szCs w:val="18"/>
              </w:rPr>
              <w:t>ë</w:t>
            </w:r>
            <w:r w:rsidRPr="00445472">
              <w:rPr>
                <w:rFonts w:ascii="Garamond" w:hAnsi="Garamond" w:cs="Arial"/>
                <w:sz w:val="18"/>
                <w:szCs w:val="18"/>
              </w:rPr>
              <w:t xml:space="preserve">. </w:t>
            </w:r>
          </w:p>
        </w:tc>
      </w:tr>
      <w:tr w:rsidR="00574397" w:rsidRPr="00445472" w14:paraId="51B5C168" w14:textId="77777777" w:rsidTr="00214F54">
        <w:trPr>
          <w:trHeight w:val="1796"/>
          <w:jc w:val="center"/>
        </w:trPr>
        <w:tc>
          <w:tcPr>
            <w:tcW w:w="872" w:type="dxa"/>
            <w:vMerge/>
            <w:vAlign w:val="center"/>
            <w:hideMark/>
          </w:tcPr>
          <w:p w14:paraId="21117840" w14:textId="77777777" w:rsidR="00574397" w:rsidRPr="00445472" w:rsidRDefault="00574397" w:rsidP="001D340B">
            <w:pPr>
              <w:rPr>
                <w:rFonts w:ascii="Garamond" w:hAnsi="Garamond" w:cs="Arial"/>
                <w:sz w:val="18"/>
                <w:szCs w:val="18"/>
              </w:rPr>
            </w:pPr>
          </w:p>
        </w:tc>
        <w:tc>
          <w:tcPr>
            <w:tcW w:w="961" w:type="dxa"/>
            <w:vMerge/>
            <w:vAlign w:val="center"/>
            <w:hideMark/>
          </w:tcPr>
          <w:p w14:paraId="363EF289" w14:textId="77777777" w:rsidR="00574397" w:rsidRPr="00445472" w:rsidRDefault="00574397" w:rsidP="001D340B">
            <w:pPr>
              <w:rPr>
                <w:rFonts w:ascii="Garamond" w:hAnsi="Garamond" w:cs="Arial"/>
                <w:sz w:val="18"/>
                <w:szCs w:val="18"/>
              </w:rPr>
            </w:pPr>
          </w:p>
        </w:tc>
        <w:tc>
          <w:tcPr>
            <w:tcW w:w="1606" w:type="dxa"/>
            <w:vMerge/>
            <w:vAlign w:val="center"/>
            <w:hideMark/>
          </w:tcPr>
          <w:p w14:paraId="27EB4FF5"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096729D9"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Gratë</w:t>
            </w:r>
          </w:p>
        </w:tc>
        <w:tc>
          <w:tcPr>
            <w:tcW w:w="5300" w:type="dxa"/>
            <w:shd w:val="clear" w:color="auto" w:fill="auto"/>
            <w:vAlign w:val="center"/>
            <w:hideMark/>
          </w:tcPr>
          <w:p w14:paraId="55BD1404" w14:textId="67A00546"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Roli i grave konsiderohet i njëjtë me atë të burrave edhe pse </w:t>
            </w:r>
            <w:r w:rsidR="006302B2" w:rsidRPr="00445472">
              <w:rPr>
                <w:rFonts w:ascii="Garamond" w:hAnsi="Garamond" w:cs="Arial"/>
                <w:sz w:val="18"/>
                <w:szCs w:val="18"/>
              </w:rPr>
              <w:t>gratë</w:t>
            </w:r>
            <w:r w:rsidRPr="00445472">
              <w:rPr>
                <w:rFonts w:ascii="Garamond" w:hAnsi="Garamond" w:cs="Arial"/>
                <w:sz w:val="18"/>
                <w:szCs w:val="18"/>
              </w:rPr>
              <w:t xml:space="preserve"> bëjnë më shumë shtëpie. Pozicioni shoqëror i grave është përmirësuar gjatë viteve të fundit, duke pasur më shumë të drejtë për të folur, </w:t>
            </w:r>
            <w:r w:rsidR="00B139CF" w:rsidRPr="00445472">
              <w:rPr>
                <w:rFonts w:ascii="Garamond" w:hAnsi="Garamond" w:cs="Arial"/>
                <w:sz w:val="18"/>
                <w:szCs w:val="18"/>
              </w:rPr>
              <w:t>t’u</w:t>
            </w:r>
            <w:r w:rsidRPr="00445472">
              <w:rPr>
                <w:rFonts w:ascii="Garamond" w:hAnsi="Garamond" w:cs="Arial"/>
                <w:sz w:val="18"/>
                <w:szCs w:val="18"/>
              </w:rPr>
              <w:t xml:space="preserve"> arsimuar dhe më shumë liri. Zakonisht mundësitë për punësim janë të barabarta, pasi përgjithësisht merrem me bujqësi. Si gratë edhe burrat mbarojnë shkollën e mesme. </w:t>
            </w:r>
            <w:r w:rsidR="006302B2" w:rsidRPr="00445472">
              <w:rPr>
                <w:rFonts w:ascii="Garamond" w:hAnsi="Garamond" w:cs="Arial"/>
                <w:sz w:val="18"/>
                <w:szCs w:val="18"/>
              </w:rPr>
              <w:t>Gratë</w:t>
            </w:r>
            <w:r w:rsidRPr="00445472">
              <w:rPr>
                <w:rFonts w:ascii="Garamond" w:hAnsi="Garamond" w:cs="Arial"/>
                <w:sz w:val="18"/>
                <w:szCs w:val="18"/>
              </w:rPr>
              <w:t xml:space="preserve"> kanë kontroll në vendimet ekomomike në familje, por kanë edhe role më të pakta në vendim-marrje në familje dhe komunitet. </w:t>
            </w:r>
          </w:p>
        </w:tc>
      </w:tr>
      <w:tr w:rsidR="00574397" w:rsidRPr="00445472" w14:paraId="3167336C" w14:textId="77777777" w:rsidTr="00214F54">
        <w:trPr>
          <w:trHeight w:val="698"/>
          <w:jc w:val="center"/>
        </w:trPr>
        <w:tc>
          <w:tcPr>
            <w:tcW w:w="872" w:type="dxa"/>
            <w:vMerge/>
            <w:vAlign w:val="center"/>
            <w:hideMark/>
          </w:tcPr>
          <w:p w14:paraId="44C99875" w14:textId="77777777" w:rsidR="00574397" w:rsidRPr="00445472" w:rsidRDefault="00574397" w:rsidP="001D340B">
            <w:pPr>
              <w:rPr>
                <w:rFonts w:ascii="Garamond" w:hAnsi="Garamond" w:cs="Arial"/>
                <w:sz w:val="18"/>
                <w:szCs w:val="18"/>
              </w:rPr>
            </w:pPr>
          </w:p>
        </w:tc>
        <w:tc>
          <w:tcPr>
            <w:tcW w:w="961" w:type="dxa"/>
            <w:vMerge/>
            <w:vAlign w:val="center"/>
            <w:hideMark/>
          </w:tcPr>
          <w:p w14:paraId="04EAAD01" w14:textId="77777777" w:rsidR="00574397" w:rsidRPr="00445472" w:rsidRDefault="00574397" w:rsidP="001D340B">
            <w:pPr>
              <w:rPr>
                <w:rFonts w:ascii="Garamond" w:hAnsi="Garamond" w:cs="Arial"/>
                <w:sz w:val="18"/>
                <w:szCs w:val="18"/>
              </w:rPr>
            </w:pPr>
          </w:p>
        </w:tc>
        <w:tc>
          <w:tcPr>
            <w:tcW w:w="1606" w:type="dxa"/>
            <w:vMerge/>
            <w:vAlign w:val="center"/>
            <w:hideMark/>
          </w:tcPr>
          <w:p w14:paraId="39FBB370"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081FB2B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Fermerët</w:t>
            </w:r>
          </w:p>
        </w:tc>
        <w:tc>
          <w:tcPr>
            <w:tcW w:w="5300" w:type="dxa"/>
            <w:shd w:val="clear" w:color="auto" w:fill="auto"/>
            <w:vAlign w:val="center"/>
            <w:hideMark/>
          </w:tcPr>
          <w:p w14:paraId="431901C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Fermerët po punojnë për më shumë se 15 vjet. Ka probleme me ujin dhe ujitjen, por janë zgjidhur me puse private. Kanalet ekzistuese të ujitjes janë prishur. Ata përdorin pesticide dhe konsultohen me specialistët për këtë.</w:t>
            </w:r>
          </w:p>
        </w:tc>
      </w:tr>
      <w:tr w:rsidR="00574397" w:rsidRPr="00445472" w14:paraId="3E8FB389" w14:textId="77777777" w:rsidTr="00214F54">
        <w:trPr>
          <w:trHeight w:val="1301"/>
          <w:jc w:val="center"/>
        </w:trPr>
        <w:tc>
          <w:tcPr>
            <w:tcW w:w="872" w:type="dxa"/>
            <w:vMerge/>
            <w:vAlign w:val="center"/>
            <w:hideMark/>
          </w:tcPr>
          <w:p w14:paraId="5F2C8C2D" w14:textId="77777777" w:rsidR="00574397" w:rsidRPr="00445472" w:rsidRDefault="00574397" w:rsidP="001D340B">
            <w:pPr>
              <w:rPr>
                <w:rFonts w:ascii="Garamond" w:hAnsi="Garamond" w:cs="Arial"/>
                <w:sz w:val="18"/>
                <w:szCs w:val="18"/>
              </w:rPr>
            </w:pPr>
          </w:p>
        </w:tc>
        <w:tc>
          <w:tcPr>
            <w:tcW w:w="961" w:type="dxa"/>
            <w:vMerge/>
            <w:vAlign w:val="center"/>
            <w:hideMark/>
          </w:tcPr>
          <w:p w14:paraId="4B0A814C" w14:textId="77777777" w:rsidR="00574397" w:rsidRPr="00445472" w:rsidRDefault="00574397" w:rsidP="001D340B">
            <w:pPr>
              <w:rPr>
                <w:rFonts w:ascii="Garamond" w:hAnsi="Garamond" w:cs="Arial"/>
                <w:sz w:val="18"/>
                <w:szCs w:val="18"/>
              </w:rPr>
            </w:pPr>
          </w:p>
        </w:tc>
        <w:tc>
          <w:tcPr>
            <w:tcW w:w="1606" w:type="dxa"/>
            <w:vMerge/>
            <w:vAlign w:val="center"/>
            <w:hideMark/>
          </w:tcPr>
          <w:p w14:paraId="6D0F307A"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7AC3996D"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Punonjësit e shëndetësisë</w:t>
            </w:r>
          </w:p>
        </w:tc>
        <w:tc>
          <w:tcPr>
            <w:tcW w:w="5300" w:type="dxa"/>
            <w:shd w:val="clear" w:color="auto" w:fill="auto"/>
            <w:vAlign w:val="center"/>
          </w:tcPr>
          <w:p w14:paraId="3CE1D406" w14:textId="5804D9D2"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Çështjet shëndetësore që trajtohen në këtë qendër shëndetësore janë të llojeve të ndryshme. Ato ndryshojnë për shkak të moshës, </w:t>
            </w:r>
            <w:r w:rsidR="006302B2" w:rsidRPr="00445472">
              <w:rPr>
                <w:rFonts w:ascii="Garamond" w:hAnsi="Garamond" w:cs="Arial"/>
                <w:sz w:val="18"/>
                <w:szCs w:val="18"/>
              </w:rPr>
              <w:t>zonës</w:t>
            </w:r>
            <w:r w:rsidRPr="00445472">
              <w:rPr>
                <w:rFonts w:ascii="Garamond" w:hAnsi="Garamond" w:cs="Arial"/>
                <w:sz w:val="18"/>
                <w:szCs w:val="18"/>
              </w:rPr>
              <w:t xml:space="preserve"> gjeografike etj., por jo për shkak të komuniteteve të ndryshme. Qendra shëndetësore ka disa probleme me higjienën dhe vuan mungesën e ujit. Vdekshmëria foshnjore dhe amtare është zero. Disa njerëz përdorin ende mjekimet popullore si çaji etj.</w:t>
            </w:r>
          </w:p>
        </w:tc>
      </w:tr>
      <w:tr w:rsidR="00574397" w:rsidRPr="00445472" w14:paraId="23E51AC1" w14:textId="77777777" w:rsidTr="00214F54">
        <w:trPr>
          <w:trHeight w:val="1067"/>
          <w:jc w:val="center"/>
        </w:trPr>
        <w:tc>
          <w:tcPr>
            <w:tcW w:w="872" w:type="dxa"/>
            <w:vMerge/>
            <w:vAlign w:val="center"/>
            <w:hideMark/>
          </w:tcPr>
          <w:p w14:paraId="29E761F1" w14:textId="77777777" w:rsidR="00574397" w:rsidRPr="00445472" w:rsidRDefault="00574397" w:rsidP="001D340B">
            <w:pPr>
              <w:rPr>
                <w:rFonts w:ascii="Garamond" w:hAnsi="Garamond" w:cs="Arial"/>
                <w:sz w:val="18"/>
                <w:szCs w:val="18"/>
              </w:rPr>
            </w:pPr>
          </w:p>
        </w:tc>
        <w:tc>
          <w:tcPr>
            <w:tcW w:w="961" w:type="dxa"/>
            <w:vMerge/>
            <w:vAlign w:val="center"/>
            <w:hideMark/>
          </w:tcPr>
          <w:p w14:paraId="2CA525DB" w14:textId="77777777" w:rsidR="00574397" w:rsidRPr="00445472" w:rsidRDefault="00574397" w:rsidP="001D340B">
            <w:pPr>
              <w:rPr>
                <w:rFonts w:ascii="Garamond" w:hAnsi="Garamond" w:cs="Arial"/>
                <w:sz w:val="18"/>
                <w:szCs w:val="18"/>
              </w:rPr>
            </w:pPr>
          </w:p>
        </w:tc>
        <w:tc>
          <w:tcPr>
            <w:tcW w:w="1606" w:type="dxa"/>
            <w:vMerge w:val="restart"/>
            <w:shd w:val="clear" w:color="auto" w:fill="auto"/>
            <w:noWrap/>
            <w:vAlign w:val="center"/>
            <w:hideMark/>
          </w:tcPr>
          <w:p w14:paraId="56AA0B17"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Dajç</w:t>
            </w:r>
          </w:p>
        </w:tc>
        <w:tc>
          <w:tcPr>
            <w:tcW w:w="1456" w:type="dxa"/>
            <w:shd w:val="clear" w:color="auto" w:fill="auto"/>
            <w:noWrap/>
            <w:vAlign w:val="center"/>
            <w:hideMark/>
          </w:tcPr>
          <w:p w14:paraId="5478449A"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Të moshuarit</w:t>
            </w:r>
          </w:p>
        </w:tc>
        <w:tc>
          <w:tcPr>
            <w:tcW w:w="5300" w:type="dxa"/>
            <w:shd w:val="clear" w:color="auto" w:fill="auto"/>
            <w:vAlign w:val="center"/>
            <w:hideMark/>
          </w:tcPr>
          <w:p w14:paraId="24EC9A38" w14:textId="299024B7" w:rsidR="00574397" w:rsidRPr="00445472" w:rsidRDefault="00574397" w:rsidP="001D340B">
            <w:pPr>
              <w:rPr>
                <w:rFonts w:ascii="Garamond" w:hAnsi="Garamond" w:cs="Arial"/>
                <w:sz w:val="18"/>
                <w:szCs w:val="18"/>
              </w:rPr>
            </w:pPr>
            <w:r w:rsidRPr="00445472">
              <w:rPr>
                <w:rFonts w:ascii="Garamond" w:hAnsi="Garamond" w:cs="Arial"/>
                <w:sz w:val="18"/>
                <w:szCs w:val="18"/>
              </w:rPr>
              <w:t>Numri i të moshuarve në këtë qytet është rritur për shkak</w:t>
            </w:r>
            <w:r w:rsidR="006302B2" w:rsidRPr="00445472">
              <w:rPr>
                <w:rFonts w:ascii="Garamond" w:hAnsi="Garamond" w:cs="Arial"/>
                <w:sz w:val="18"/>
                <w:szCs w:val="18"/>
              </w:rPr>
              <w:t xml:space="preserve"> </w:t>
            </w:r>
            <w:r w:rsidRPr="00445472">
              <w:rPr>
                <w:rFonts w:ascii="Garamond" w:hAnsi="Garamond" w:cs="Arial"/>
                <w:sz w:val="18"/>
                <w:szCs w:val="18"/>
              </w:rPr>
              <w:t xml:space="preserve">të imigrimit të disa familjeve të ardhura nga zonat malore. Të moshuarit që kanë punuar të rinj, marrin pension. Problemet kryesore të shoqërisë janë papunësia dhe problemet ekonomike. </w:t>
            </w:r>
          </w:p>
        </w:tc>
      </w:tr>
      <w:tr w:rsidR="00574397" w:rsidRPr="00445472" w14:paraId="5F9740A9" w14:textId="77777777" w:rsidTr="00214F54">
        <w:trPr>
          <w:trHeight w:val="2210"/>
          <w:jc w:val="center"/>
        </w:trPr>
        <w:tc>
          <w:tcPr>
            <w:tcW w:w="872" w:type="dxa"/>
            <w:vMerge/>
            <w:vAlign w:val="center"/>
            <w:hideMark/>
          </w:tcPr>
          <w:p w14:paraId="274031BC" w14:textId="77777777" w:rsidR="00574397" w:rsidRPr="00445472" w:rsidRDefault="00574397" w:rsidP="001D340B">
            <w:pPr>
              <w:rPr>
                <w:rFonts w:ascii="Garamond" w:hAnsi="Garamond" w:cs="Arial"/>
                <w:sz w:val="18"/>
                <w:szCs w:val="18"/>
              </w:rPr>
            </w:pPr>
          </w:p>
        </w:tc>
        <w:tc>
          <w:tcPr>
            <w:tcW w:w="961" w:type="dxa"/>
            <w:vMerge/>
            <w:vAlign w:val="center"/>
            <w:hideMark/>
          </w:tcPr>
          <w:p w14:paraId="64C0C80B" w14:textId="77777777" w:rsidR="00574397" w:rsidRPr="00445472" w:rsidRDefault="00574397" w:rsidP="001D340B">
            <w:pPr>
              <w:rPr>
                <w:rFonts w:ascii="Garamond" w:hAnsi="Garamond" w:cs="Arial"/>
                <w:sz w:val="18"/>
                <w:szCs w:val="18"/>
              </w:rPr>
            </w:pPr>
          </w:p>
        </w:tc>
        <w:tc>
          <w:tcPr>
            <w:tcW w:w="1606" w:type="dxa"/>
            <w:vMerge/>
            <w:vAlign w:val="center"/>
            <w:hideMark/>
          </w:tcPr>
          <w:p w14:paraId="52C74A87"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4282F289"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Gratë</w:t>
            </w:r>
          </w:p>
        </w:tc>
        <w:tc>
          <w:tcPr>
            <w:tcW w:w="5300" w:type="dxa"/>
            <w:shd w:val="clear" w:color="auto" w:fill="auto"/>
            <w:vAlign w:val="center"/>
          </w:tcPr>
          <w:p w14:paraId="349F5546" w14:textId="05D3CDF0" w:rsidR="00574397" w:rsidRPr="00445472" w:rsidRDefault="006302B2" w:rsidP="001D340B">
            <w:pPr>
              <w:rPr>
                <w:rFonts w:ascii="Garamond" w:hAnsi="Garamond" w:cs="Arial"/>
                <w:sz w:val="18"/>
                <w:szCs w:val="18"/>
              </w:rPr>
            </w:pPr>
            <w:r w:rsidRPr="00445472">
              <w:rPr>
                <w:rFonts w:ascii="Garamond" w:hAnsi="Garamond" w:cs="Arial"/>
                <w:sz w:val="18"/>
                <w:szCs w:val="18"/>
              </w:rPr>
              <w:t>Gratë</w:t>
            </w:r>
            <w:r w:rsidR="00574397" w:rsidRPr="00445472">
              <w:rPr>
                <w:rFonts w:ascii="Garamond" w:hAnsi="Garamond" w:cs="Arial"/>
                <w:sz w:val="18"/>
                <w:szCs w:val="18"/>
              </w:rPr>
              <w:t xml:space="preserve"> në këtë zone janë kryesisht shtëpiake nëse nuk punojnë në njësin</w:t>
            </w:r>
            <w:r w:rsidRPr="00445472">
              <w:rPr>
                <w:rFonts w:ascii="Garamond" w:hAnsi="Garamond" w:cs="Arial"/>
                <w:sz w:val="18"/>
                <w:szCs w:val="18"/>
              </w:rPr>
              <w:t xml:space="preserve">ë administrative, në arsim apo </w:t>
            </w:r>
            <w:r w:rsidR="00574397" w:rsidRPr="00445472">
              <w:rPr>
                <w:rFonts w:ascii="Garamond" w:hAnsi="Garamond" w:cs="Arial"/>
                <w:sz w:val="18"/>
                <w:szCs w:val="18"/>
              </w:rPr>
              <w:t xml:space="preserve">qendrat shëndetësore. Ato mund të punojnë me sezone në industrinë e hotelerisë duke i lënë </w:t>
            </w:r>
            <w:r w:rsidRPr="00445472">
              <w:rPr>
                <w:rFonts w:ascii="Garamond" w:hAnsi="Garamond" w:cs="Arial"/>
                <w:sz w:val="18"/>
                <w:szCs w:val="18"/>
              </w:rPr>
              <w:t>shtëpitë</w:t>
            </w:r>
            <w:r w:rsidR="00574397" w:rsidRPr="00445472">
              <w:rPr>
                <w:rFonts w:ascii="Garamond" w:hAnsi="Garamond" w:cs="Arial"/>
                <w:sz w:val="18"/>
                <w:szCs w:val="18"/>
              </w:rPr>
              <w:t xml:space="preserve"> e tyre me qira për turistët që vijnë për pushime verore. Në varësi të familjes, </w:t>
            </w:r>
            <w:r w:rsidRPr="00445472">
              <w:rPr>
                <w:rFonts w:ascii="Garamond" w:hAnsi="Garamond" w:cs="Arial"/>
                <w:sz w:val="18"/>
                <w:szCs w:val="18"/>
              </w:rPr>
              <w:t>gratë</w:t>
            </w:r>
            <w:r w:rsidR="00574397" w:rsidRPr="00445472">
              <w:rPr>
                <w:rFonts w:ascii="Garamond" w:hAnsi="Garamond" w:cs="Arial"/>
                <w:sz w:val="18"/>
                <w:szCs w:val="18"/>
              </w:rPr>
              <w:t xml:space="preserve"> mund të sjellin shumicën e të ardhurave familjare ose më pak se 20% </w:t>
            </w:r>
            <w:r w:rsidRPr="00445472">
              <w:rPr>
                <w:rFonts w:ascii="Garamond" w:hAnsi="Garamond" w:cs="Arial"/>
                <w:sz w:val="18"/>
                <w:szCs w:val="18"/>
              </w:rPr>
              <w:t>nëse</w:t>
            </w:r>
            <w:r w:rsidR="00574397" w:rsidRPr="00445472">
              <w:rPr>
                <w:rFonts w:ascii="Garamond" w:hAnsi="Garamond" w:cs="Arial"/>
                <w:sz w:val="18"/>
                <w:szCs w:val="18"/>
              </w:rPr>
              <w:t xml:space="preserve"> nuk punojnë. Zakonisht, ato ndjehen të barabarta me bashkëshortët e tyre dhe bashkëpunojnë në vendim-marrje, por disa të tjera ndjehen më pak të fuqishme se burrat dhe kanë më pak zë në vendim-marrje në familje apo komunitete. Megjithatë, gratë arrijnë nivele të larta arsimimi. Problemet kryesore me të cilat ndeshen </w:t>
            </w:r>
            <w:r w:rsidRPr="00445472">
              <w:rPr>
                <w:rFonts w:ascii="Garamond" w:hAnsi="Garamond" w:cs="Arial"/>
                <w:sz w:val="18"/>
                <w:szCs w:val="18"/>
              </w:rPr>
              <w:t>gratë</w:t>
            </w:r>
            <w:r w:rsidR="00574397" w:rsidRPr="00445472">
              <w:rPr>
                <w:rFonts w:ascii="Garamond" w:hAnsi="Garamond" w:cs="Arial"/>
                <w:sz w:val="18"/>
                <w:szCs w:val="18"/>
              </w:rPr>
              <w:t xml:space="preserve"> janë problemet ekonomike, papunësia, dhuna në familje në disa raste divorci</w:t>
            </w:r>
            <w:r w:rsidR="008F0A9F" w:rsidRPr="00445472">
              <w:rPr>
                <w:rFonts w:ascii="Garamond" w:hAnsi="Garamond" w:cs="Arial"/>
                <w:sz w:val="18"/>
                <w:szCs w:val="18"/>
              </w:rPr>
              <w:t>, si dhe</w:t>
            </w:r>
            <w:r w:rsidR="00574397" w:rsidRPr="00445472">
              <w:rPr>
                <w:rFonts w:ascii="Garamond" w:hAnsi="Garamond" w:cs="Arial"/>
                <w:sz w:val="18"/>
                <w:szCs w:val="18"/>
              </w:rPr>
              <w:t xml:space="preserve"> mentaliteti i ashpër. </w:t>
            </w:r>
          </w:p>
        </w:tc>
      </w:tr>
      <w:tr w:rsidR="00574397" w:rsidRPr="00445472" w14:paraId="703CA848" w14:textId="77777777" w:rsidTr="00214F54">
        <w:trPr>
          <w:trHeight w:val="587"/>
          <w:jc w:val="center"/>
        </w:trPr>
        <w:tc>
          <w:tcPr>
            <w:tcW w:w="872" w:type="dxa"/>
            <w:vMerge/>
            <w:vAlign w:val="center"/>
            <w:hideMark/>
          </w:tcPr>
          <w:p w14:paraId="48987241" w14:textId="77777777" w:rsidR="00574397" w:rsidRPr="00445472" w:rsidRDefault="00574397" w:rsidP="001D340B">
            <w:pPr>
              <w:rPr>
                <w:rFonts w:ascii="Garamond" w:hAnsi="Garamond" w:cs="Arial"/>
                <w:sz w:val="18"/>
                <w:szCs w:val="18"/>
              </w:rPr>
            </w:pPr>
          </w:p>
        </w:tc>
        <w:tc>
          <w:tcPr>
            <w:tcW w:w="961" w:type="dxa"/>
            <w:vMerge/>
            <w:vAlign w:val="center"/>
            <w:hideMark/>
          </w:tcPr>
          <w:p w14:paraId="1B63FFCE" w14:textId="77777777" w:rsidR="00574397" w:rsidRPr="00445472" w:rsidRDefault="00574397" w:rsidP="001D340B">
            <w:pPr>
              <w:rPr>
                <w:rFonts w:ascii="Garamond" w:hAnsi="Garamond" w:cs="Arial"/>
                <w:sz w:val="18"/>
                <w:szCs w:val="18"/>
              </w:rPr>
            </w:pPr>
          </w:p>
        </w:tc>
        <w:tc>
          <w:tcPr>
            <w:tcW w:w="1606" w:type="dxa"/>
            <w:vMerge/>
            <w:vAlign w:val="center"/>
            <w:hideMark/>
          </w:tcPr>
          <w:p w14:paraId="665953A8"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0BEB3B5C"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Fermerët</w:t>
            </w:r>
          </w:p>
        </w:tc>
        <w:tc>
          <w:tcPr>
            <w:tcW w:w="5300" w:type="dxa"/>
            <w:shd w:val="clear" w:color="auto" w:fill="auto"/>
            <w:vAlign w:val="center"/>
            <w:hideMark/>
          </w:tcPr>
          <w:p w14:paraId="5A50FE67" w14:textId="69610B24" w:rsidR="00574397" w:rsidRPr="00445472" w:rsidRDefault="00574397" w:rsidP="001D340B">
            <w:pPr>
              <w:rPr>
                <w:rFonts w:ascii="Garamond" w:hAnsi="Garamond" w:cs="Arial"/>
                <w:sz w:val="18"/>
                <w:szCs w:val="18"/>
              </w:rPr>
            </w:pPr>
            <w:r w:rsidRPr="00445472">
              <w:rPr>
                <w:rFonts w:ascii="Garamond" w:hAnsi="Garamond" w:cs="Arial"/>
                <w:sz w:val="18"/>
                <w:szCs w:val="18"/>
              </w:rPr>
              <w:t>Fermerët në zonë po punojnë pë</w:t>
            </w:r>
            <w:r w:rsidR="006302B2" w:rsidRPr="00445472">
              <w:rPr>
                <w:rFonts w:ascii="Garamond" w:hAnsi="Garamond" w:cs="Arial"/>
                <w:sz w:val="18"/>
                <w:szCs w:val="18"/>
              </w:rPr>
              <w:t>r</w:t>
            </w:r>
            <w:r w:rsidRPr="00445472">
              <w:rPr>
                <w:rFonts w:ascii="Garamond" w:hAnsi="Garamond" w:cs="Arial"/>
                <w:sz w:val="18"/>
                <w:szCs w:val="18"/>
              </w:rPr>
              <w:t xml:space="preserve"> një kohë të gjatë. Ka një problem të madh me ujitjen për shkak të mungesës së kanaleve. Problemet e tjera që lidhen me ujin janë cilësia e ujit që nuk filtrohet por vjen direkt nga pompat dhe ndonjëherë nuk ka furnizim me ujë në zonën gjeografike. Bujqësia është veprimtaria kryesore ekonomike në zonë për shumicën e familjeve. Gratë ndihmojnë gjithashtu në punët e bujqësisë në pjesën më të madhe të detyrave. Përdoren pesticide dhe kryhen konsultime me specialistin. </w:t>
            </w:r>
          </w:p>
        </w:tc>
      </w:tr>
      <w:tr w:rsidR="00574397" w:rsidRPr="00445472" w14:paraId="707F5947" w14:textId="77777777" w:rsidTr="00214F54">
        <w:trPr>
          <w:trHeight w:val="968"/>
          <w:jc w:val="center"/>
        </w:trPr>
        <w:tc>
          <w:tcPr>
            <w:tcW w:w="872" w:type="dxa"/>
            <w:vMerge/>
            <w:vAlign w:val="center"/>
            <w:hideMark/>
          </w:tcPr>
          <w:p w14:paraId="6210BD74" w14:textId="77777777" w:rsidR="00574397" w:rsidRPr="00445472" w:rsidRDefault="00574397" w:rsidP="001D340B">
            <w:pPr>
              <w:rPr>
                <w:rFonts w:ascii="Garamond" w:hAnsi="Garamond" w:cs="Arial"/>
                <w:sz w:val="18"/>
                <w:szCs w:val="18"/>
              </w:rPr>
            </w:pPr>
          </w:p>
        </w:tc>
        <w:tc>
          <w:tcPr>
            <w:tcW w:w="961" w:type="dxa"/>
            <w:vMerge/>
            <w:vAlign w:val="center"/>
            <w:hideMark/>
          </w:tcPr>
          <w:p w14:paraId="3740E92D" w14:textId="77777777" w:rsidR="00574397" w:rsidRPr="00445472" w:rsidRDefault="00574397" w:rsidP="001D340B">
            <w:pPr>
              <w:rPr>
                <w:rFonts w:ascii="Garamond" w:hAnsi="Garamond" w:cs="Arial"/>
                <w:sz w:val="18"/>
                <w:szCs w:val="18"/>
              </w:rPr>
            </w:pPr>
          </w:p>
        </w:tc>
        <w:tc>
          <w:tcPr>
            <w:tcW w:w="1606" w:type="dxa"/>
            <w:vMerge/>
            <w:vAlign w:val="center"/>
            <w:hideMark/>
          </w:tcPr>
          <w:p w14:paraId="503E3B9D"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7E81CED2"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Punonjësit e shëndetësisë</w:t>
            </w:r>
          </w:p>
        </w:tc>
        <w:tc>
          <w:tcPr>
            <w:tcW w:w="5300" w:type="dxa"/>
            <w:shd w:val="clear" w:color="auto" w:fill="auto"/>
            <w:vAlign w:val="center"/>
            <w:hideMark/>
          </w:tcPr>
          <w:p w14:paraId="54E857DB"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Çështjet shëndetësore që trajtohen në këtë qendër shëndetësore janë të llojeve të ndryshme. Ato ndryshojnë për shkak të moshës, zonës gjeografike etj, por jo komunitete të ndryshme. Qendra shëndetësore ka disa probleme me higjienën dhe vuan mungesën e ujit. Vdekshmëria foshnjore dhe amtare është zero. Disa njerëz përdorin ende mjekime popullore si çaji etj.</w:t>
            </w:r>
          </w:p>
        </w:tc>
      </w:tr>
      <w:tr w:rsidR="00574397" w:rsidRPr="00445472" w14:paraId="22209DDF" w14:textId="77777777" w:rsidTr="00214F54">
        <w:trPr>
          <w:trHeight w:val="860"/>
          <w:jc w:val="center"/>
        </w:trPr>
        <w:tc>
          <w:tcPr>
            <w:tcW w:w="872" w:type="dxa"/>
            <w:vMerge/>
            <w:vAlign w:val="center"/>
            <w:hideMark/>
          </w:tcPr>
          <w:p w14:paraId="6090E822" w14:textId="77777777" w:rsidR="00574397" w:rsidRPr="00445472" w:rsidRDefault="00574397" w:rsidP="001D340B">
            <w:pPr>
              <w:rPr>
                <w:rFonts w:ascii="Garamond" w:hAnsi="Garamond" w:cs="Arial"/>
                <w:sz w:val="18"/>
                <w:szCs w:val="18"/>
              </w:rPr>
            </w:pPr>
          </w:p>
        </w:tc>
        <w:tc>
          <w:tcPr>
            <w:tcW w:w="961" w:type="dxa"/>
            <w:vMerge w:val="restart"/>
            <w:shd w:val="clear" w:color="auto" w:fill="auto"/>
            <w:noWrap/>
            <w:vAlign w:val="center"/>
            <w:hideMark/>
          </w:tcPr>
          <w:p w14:paraId="32265D8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Lezhë</w:t>
            </w:r>
          </w:p>
        </w:tc>
        <w:tc>
          <w:tcPr>
            <w:tcW w:w="1606" w:type="dxa"/>
            <w:vMerge w:val="restart"/>
            <w:shd w:val="clear" w:color="auto" w:fill="auto"/>
            <w:noWrap/>
            <w:vAlign w:val="center"/>
            <w:hideMark/>
          </w:tcPr>
          <w:p w14:paraId="04DFFE6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Gjadër</w:t>
            </w:r>
          </w:p>
        </w:tc>
        <w:tc>
          <w:tcPr>
            <w:tcW w:w="1456" w:type="dxa"/>
            <w:shd w:val="clear" w:color="auto" w:fill="auto"/>
            <w:noWrap/>
            <w:vAlign w:val="center"/>
            <w:hideMark/>
          </w:tcPr>
          <w:p w14:paraId="2030A6BE"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Të moshuarit</w:t>
            </w:r>
          </w:p>
        </w:tc>
        <w:tc>
          <w:tcPr>
            <w:tcW w:w="5300" w:type="dxa"/>
            <w:shd w:val="clear" w:color="auto" w:fill="auto"/>
            <w:vAlign w:val="center"/>
            <w:hideMark/>
          </w:tcPr>
          <w:p w14:paraId="05798644" w14:textId="5426A3A6" w:rsidR="00574397" w:rsidRPr="00445472" w:rsidRDefault="00574397" w:rsidP="006302B2">
            <w:pPr>
              <w:rPr>
                <w:rFonts w:ascii="Garamond" w:hAnsi="Garamond" w:cs="Arial"/>
                <w:sz w:val="18"/>
                <w:szCs w:val="18"/>
              </w:rPr>
            </w:pPr>
            <w:r w:rsidRPr="00445472">
              <w:rPr>
                <w:rFonts w:ascii="Garamond" w:hAnsi="Garamond" w:cs="Arial"/>
                <w:sz w:val="18"/>
                <w:szCs w:val="18"/>
              </w:rPr>
              <w:t xml:space="preserve">Ka një problem të madh me </w:t>
            </w:r>
            <w:r w:rsidR="006302B2" w:rsidRPr="00445472">
              <w:rPr>
                <w:rFonts w:ascii="Garamond" w:hAnsi="Garamond" w:cs="Arial"/>
                <w:sz w:val="18"/>
                <w:szCs w:val="18"/>
              </w:rPr>
              <w:t>u</w:t>
            </w:r>
            <w:r w:rsidRPr="00445472">
              <w:rPr>
                <w:rFonts w:ascii="Garamond" w:hAnsi="Garamond" w:cs="Arial"/>
                <w:sz w:val="18"/>
                <w:szCs w:val="18"/>
              </w:rPr>
              <w:t>jitjen</w:t>
            </w:r>
            <w:r w:rsidR="006302B2" w:rsidRPr="00445472">
              <w:rPr>
                <w:rFonts w:ascii="Garamond" w:hAnsi="Garamond" w:cs="Arial"/>
                <w:sz w:val="18"/>
                <w:szCs w:val="18"/>
              </w:rPr>
              <w:t>,</w:t>
            </w:r>
            <w:r w:rsidRPr="00445472">
              <w:rPr>
                <w:rFonts w:ascii="Garamond" w:hAnsi="Garamond" w:cs="Arial"/>
                <w:sz w:val="18"/>
                <w:szCs w:val="18"/>
              </w:rPr>
              <w:t xml:space="preserve"> për shkak të mungesës së kanaleve. Problemet e tjera që lidhen me ujin janë cilësia e ujit që nuk filtrohet por vjen direkt nga pompat dhe ndonjëherë nuk ka furnizim me ujë në varësi të zonës gjeografike.</w:t>
            </w:r>
          </w:p>
        </w:tc>
      </w:tr>
      <w:tr w:rsidR="00574397" w:rsidRPr="00445472" w14:paraId="1251C6D6" w14:textId="77777777" w:rsidTr="00214F54">
        <w:trPr>
          <w:trHeight w:val="1319"/>
          <w:jc w:val="center"/>
        </w:trPr>
        <w:tc>
          <w:tcPr>
            <w:tcW w:w="872" w:type="dxa"/>
            <w:vMerge/>
            <w:vAlign w:val="center"/>
            <w:hideMark/>
          </w:tcPr>
          <w:p w14:paraId="58552C35" w14:textId="77777777" w:rsidR="00574397" w:rsidRPr="00445472" w:rsidRDefault="00574397" w:rsidP="001D340B">
            <w:pPr>
              <w:rPr>
                <w:rFonts w:ascii="Garamond" w:hAnsi="Garamond" w:cs="Arial"/>
                <w:sz w:val="18"/>
                <w:szCs w:val="18"/>
              </w:rPr>
            </w:pPr>
          </w:p>
        </w:tc>
        <w:tc>
          <w:tcPr>
            <w:tcW w:w="961" w:type="dxa"/>
            <w:vMerge/>
            <w:vAlign w:val="center"/>
            <w:hideMark/>
          </w:tcPr>
          <w:p w14:paraId="568DCFEF" w14:textId="77777777" w:rsidR="00574397" w:rsidRPr="00445472" w:rsidRDefault="00574397" w:rsidP="001D340B">
            <w:pPr>
              <w:rPr>
                <w:rFonts w:ascii="Garamond" w:hAnsi="Garamond" w:cs="Arial"/>
                <w:sz w:val="18"/>
                <w:szCs w:val="18"/>
              </w:rPr>
            </w:pPr>
          </w:p>
        </w:tc>
        <w:tc>
          <w:tcPr>
            <w:tcW w:w="1606" w:type="dxa"/>
            <w:vMerge/>
            <w:vAlign w:val="center"/>
            <w:hideMark/>
          </w:tcPr>
          <w:p w14:paraId="196EE622"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4E7F65D1"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Gratë </w:t>
            </w:r>
          </w:p>
        </w:tc>
        <w:tc>
          <w:tcPr>
            <w:tcW w:w="5300" w:type="dxa"/>
            <w:shd w:val="clear" w:color="auto" w:fill="auto"/>
            <w:vAlign w:val="center"/>
          </w:tcPr>
          <w:p w14:paraId="0871D700"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Gratë në këtë zonë janë kryesisht shtëpiake. Kjo nuk ka ndryshuar gjatë viteve të fundit. Disa gra ndjehen se kanë të njëjtin rol me burrat në shtëpi ndërsa disa të tjera ndjehen se burrat e tyre janë më të favorizuar. Vetëm disa nga të ardhurat e familjeve gjenerohen nga gratë. Ato nuk kanë llogari bankare dhe kanë të drejte vendim – marrjeje në familje vetëm nëse punojnë. Gratë arrijnë nivele më të larta arsimimi se burrat. Shumica e problemeve me të cilat ndeshen gratë në ditët e sotme janë papunësia dhe ekonomia e dobët.</w:t>
            </w:r>
          </w:p>
        </w:tc>
      </w:tr>
      <w:tr w:rsidR="00574397" w:rsidRPr="00445472" w14:paraId="60B0C267" w14:textId="77777777" w:rsidTr="00214F54">
        <w:trPr>
          <w:trHeight w:val="545"/>
          <w:jc w:val="center"/>
        </w:trPr>
        <w:tc>
          <w:tcPr>
            <w:tcW w:w="872" w:type="dxa"/>
            <w:vMerge/>
            <w:vAlign w:val="center"/>
            <w:hideMark/>
          </w:tcPr>
          <w:p w14:paraId="6645BD2E" w14:textId="77777777" w:rsidR="00574397" w:rsidRPr="00445472" w:rsidRDefault="00574397" w:rsidP="001D340B">
            <w:pPr>
              <w:rPr>
                <w:rFonts w:ascii="Garamond" w:hAnsi="Garamond" w:cs="Arial"/>
                <w:sz w:val="18"/>
                <w:szCs w:val="18"/>
              </w:rPr>
            </w:pPr>
          </w:p>
        </w:tc>
        <w:tc>
          <w:tcPr>
            <w:tcW w:w="961" w:type="dxa"/>
            <w:vMerge/>
            <w:vAlign w:val="center"/>
            <w:hideMark/>
          </w:tcPr>
          <w:p w14:paraId="1C778BD1" w14:textId="77777777" w:rsidR="00574397" w:rsidRPr="00445472" w:rsidRDefault="00574397" w:rsidP="001D340B">
            <w:pPr>
              <w:rPr>
                <w:rFonts w:ascii="Garamond" w:hAnsi="Garamond" w:cs="Arial"/>
                <w:sz w:val="18"/>
                <w:szCs w:val="18"/>
              </w:rPr>
            </w:pPr>
          </w:p>
        </w:tc>
        <w:tc>
          <w:tcPr>
            <w:tcW w:w="1606" w:type="dxa"/>
            <w:vMerge/>
            <w:vAlign w:val="center"/>
            <w:hideMark/>
          </w:tcPr>
          <w:p w14:paraId="313B9F4D"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575B26A9"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Fermerët</w:t>
            </w:r>
          </w:p>
        </w:tc>
        <w:tc>
          <w:tcPr>
            <w:tcW w:w="5300" w:type="dxa"/>
            <w:shd w:val="clear" w:color="auto" w:fill="auto"/>
            <w:vAlign w:val="center"/>
            <w:hideMark/>
          </w:tcPr>
          <w:p w14:paraId="5EE70B7E"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Për një numër të caktuar familjesh, bujqësia është veprimtaria kryesore e gjenerimit të të ardhurave. Gratë përfshihen pothuajse në çdo veprimtari bujqësore njësoj si burrat.</w:t>
            </w:r>
          </w:p>
        </w:tc>
      </w:tr>
      <w:tr w:rsidR="00574397" w:rsidRPr="00445472" w14:paraId="480031D8" w14:textId="77777777" w:rsidTr="00214F54">
        <w:trPr>
          <w:trHeight w:val="442"/>
          <w:jc w:val="center"/>
        </w:trPr>
        <w:tc>
          <w:tcPr>
            <w:tcW w:w="872" w:type="dxa"/>
            <w:vMerge/>
            <w:vAlign w:val="center"/>
            <w:hideMark/>
          </w:tcPr>
          <w:p w14:paraId="781EDD41" w14:textId="77777777" w:rsidR="00574397" w:rsidRPr="00445472" w:rsidRDefault="00574397" w:rsidP="001D340B">
            <w:pPr>
              <w:rPr>
                <w:rFonts w:ascii="Garamond" w:hAnsi="Garamond" w:cs="Arial"/>
                <w:sz w:val="18"/>
                <w:szCs w:val="18"/>
              </w:rPr>
            </w:pPr>
          </w:p>
        </w:tc>
        <w:tc>
          <w:tcPr>
            <w:tcW w:w="961" w:type="dxa"/>
            <w:vMerge/>
            <w:vAlign w:val="center"/>
            <w:hideMark/>
          </w:tcPr>
          <w:p w14:paraId="531AFFC6" w14:textId="77777777" w:rsidR="00574397" w:rsidRPr="00445472" w:rsidRDefault="00574397" w:rsidP="001D340B">
            <w:pPr>
              <w:rPr>
                <w:rFonts w:ascii="Garamond" w:hAnsi="Garamond" w:cs="Arial"/>
                <w:sz w:val="18"/>
                <w:szCs w:val="18"/>
              </w:rPr>
            </w:pPr>
          </w:p>
        </w:tc>
        <w:tc>
          <w:tcPr>
            <w:tcW w:w="1606" w:type="dxa"/>
            <w:vMerge/>
            <w:vAlign w:val="center"/>
            <w:hideMark/>
          </w:tcPr>
          <w:p w14:paraId="4DD31DD4"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372C321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Fermerët</w:t>
            </w:r>
          </w:p>
        </w:tc>
        <w:tc>
          <w:tcPr>
            <w:tcW w:w="5300" w:type="dxa"/>
            <w:shd w:val="clear" w:color="auto" w:fill="auto"/>
            <w:vAlign w:val="center"/>
            <w:hideMark/>
          </w:tcPr>
          <w:p w14:paraId="358B9C84"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Fermerët po përballen me probleme të kullimit dhe mungesës së ujit. Fshati ka dy furnizues të ndryshëm me ujë, secili prej tyre e ndan fshatin në dy seksione. Toka e mbjellë me dru frutor në pronësi të tyre mbahen individualisht. Ata kërkojnë më shumë investime lokale për të përmirësuar furnizimin me ujë përfshirë cilësinë e ujit që vjen në shtëpitë e tyre.</w:t>
            </w:r>
          </w:p>
        </w:tc>
      </w:tr>
      <w:tr w:rsidR="00574397" w:rsidRPr="00445472" w14:paraId="3A910159" w14:textId="77777777" w:rsidTr="00214F54">
        <w:trPr>
          <w:trHeight w:val="587"/>
          <w:jc w:val="center"/>
        </w:trPr>
        <w:tc>
          <w:tcPr>
            <w:tcW w:w="872" w:type="dxa"/>
            <w:vMerge/>
            <w:vAlign w:val="center"/>
            <w:hideMark/>
          </w:tcPr>
          <w:p w14:paraId="4A8506A8" w14:textId="77777777" w:rsidR="00574397" w:rsidRPr="00445472" w:rsidRDefault="00574397" w:rsidP="001D340B">
            <w:pPr>
              <w:rPr>
                <w:rFonts w:ascii="Garamond" w:hAnsi="Garamond" w:cs="Arial"/>
                <w:sz w:val="18"/>
                <w:szCs w:val="18"/>
              </w:rPr>
            </w:pPr>
          </w:p>
        </w:tc>
        <w:tc>
          <w:tcPr>
            <w:tcW w:w="961" w:type="dxa"/>
            <w:vMerge/>
            <w:vAlign w:val="center"/>
            <w:hideMark/>
          </w:tcPr>
          <w:p w14:paraId="6C5D370A" w14:textId="77777777" w:rsidR="00574397" w:rsidRPr="00445472" w:rsidRDefault="00574397" w:rsidP="001D340B">
            <w:pPr>
              <w:rPr>
                <w:rFonts w:ascii="Garamond" w:hAnsi="Garamond" w:cs="Arial"/>
                <w:sz w:val="18"/>
                <w:szCs w:val="18"/>
              </w:rPr>
            </w:pPr>
          </w:p>
        </w:tc>
        <w:tc>
          <w:tcPr>
            <w:tcW w:w="1606" w:type="dxa"/>
            <w:vMerge/>
            <w:vAlign w:val="center"/>
            <w:hideMark/>
          </w:tcPr>
          <w:p w14:paraId="4F157CEF" w14:textId="77777777" w:rsidR="00574397" w:rsidRPr="00445472" w:rsidRDefault="00574397" w:rsidP="001D340B">
            <w:pPr>
              <w:rPr>
                <w:rFonts w:ascii="Garamond" w:hAnsi="Garamond" w:cs="Arial"/>
                <w:sz w:val="18"/>
                <w:szCs w:val="18"/>
              </w:rPr>
            </w:pPr>
          </w:p>
        </w:tc>
        <w:tc>
          <w:tcPr>
            <w:tcW w:w="1456" w:type="dxa"/>
            <w:shd w:val="clear" w:color="auto" w:fill="auto"/>
            <w:noWrap/>
            <w:vAlign w:val="center"/>
            <w:hideMark/>
          </w:tcPr>
          <w:p w14:paraId="0666B1DF"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Punonjësit e shëndetësisë</w:t>
            </w:r>
          </w:p>
        </w:tc>
        <w:tc>
          <w:tcPr>
            <w:tcW w:w="5300" w:type="dxa"/>
            <w:shd w:val="clear" w:color="auto" w:fill="auto"/>
            <w:vAlign w:val="center"/>
            <w:hideMark/>
          </w:tcPr>
          <w:p w14:paraId="2CC271B5" w14:textId="5DDAAB31"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Furnizimi me ujë është i shpeshtë si pasojë e lidhjes me shtëpi private, por autoriteti i ujit do të ndërmarrë masa për klorilizimin e ujit. Probleme shëndetësore janë pothuajse të njëjta në të gjitha komunitetet. Megjithatë, fëmijët, të moshuarit dhe komuniteti rom janë grupet më vulnerabël. Vdekshmëria foshnjore dhe amtare është zero. Qendra shëndetësore organizon mbledhje me komunitetitn për </w:t>
            </w:r>
            <w:r w:rsidR="001F68B2" w:rsidRPr="00445472">
              <w:rPr>
                <w:rFonts w:ascii="Garamond" w:hAnsi="Garamond" w:cs="Arial"/>
                <w:sz w:val="18"/>
                <w:szCs w:val="18"/>
              </w:rPr>
              <w:t>t’i</w:t>
            </w:r>
            <w:r w:rsidRPr="00445472">
              <w:rPr>
                <w:rFonts w:ascii="Garamond" w:hAnsi="Garamond" w:cs="Arial"/>
                <w:sz w:val="18"/>
                <w:szCs w:val="18"/>
              </w:rPr>
              <w:t xml:space="preserve"> informuar rreth çështjeve të ndryshme. Asnjë OJQ-ë apo organizatë private nuk ofron shërbime shëndetësore. </w:t>
            </w:r>
          </w:p>
        </w:tc>
      </w:tr>
    </w:tbl>
    <w:p w14:paraId="67ED8FF1" w14:textId="77777777" w:rsidR="00574397" w:rsidRPr="00445472" w:rsidRDefault="00574397" w:rsidP="00214F54">
      <w:pPr>
        <w:pStyle w:val="TEKSTIIII"/>
      </w:pPr>
    </w:p>
    <w:p w14:paraId="1FB7FDE0" w14:textId="6BBB99DB" w:rsidR="00574397" w:rsidRPr="00445472" w:rsidRDefault="00214F54" w:rsidP="00214F54">
      <w:pPr>
        <w:pStyle w:val="NENTITULL"/>
      </w:pPr>
      <w:bookmarkStart w:id="379" w:name="_Toc494401696"/>
      <w:r w:rsidRPr="00445472">
        <w:t xml:space="preserve">6.4.4 </w:t>
      </w:r>
      <w:r w:rsidR="00574397" w:rsidRPr="00445472">
        <w:t xml:space="preserve">Konkluzionet dhe opinionet mbi projektin </w:t>
      </w:r>
      <w:bookmarkEnd w:id="379"/>
    </w:p>
    <w:p w14:paraId="70932E5F" w14:textId="77777777" w:rsidR="00574397" w:rsidRPr="00445472" w:rsidRDefault="00574397" w:rsidP="00214F54">
      <w:pPr>
        <w:pStyle w:val="TEKSTIIII"/>
      </w:pPr>
      <w:r w:rsidRPr="00445472">
        <w:t>Të informuar mbi projektin, të gjitha grupet e synuara u ndjenë mirë që problemet e ujit me të cilat ndeshen ditët e sotme mund të adresohen. Sugjerimi kryesor për studimin e projektit, kryesisht në çdo qark me rrezik të lartë përmbytjeje, është sigurimi i specialistëve dhe i inxhinierëve për shpërndarjen e ujit, ujitjen dhe kanalet e kullimit.</w:t>
      </w:r>
    </w:p>
    <w:p w14:paraId="5966F4F6" w14:textId="77777777" w:rsidR="00574397" w:rsidRPr="00445472" w:rsidRDefault="00574397" w:rsidP="00214F54">
      <w:pPr>
        <w:pStyle w:val="TEKSTIIII"/>
      </w:pPr>
      <w:r w:rsidRPr="00445472">
        <w:t xml:space="preserve">Fermerët shpresojnë për sisteme ujitjeje dhe mbështetje politike. Ata besojnë se projekti mund të sjellë shumë përfitime për bujqësinë. </w:t>
      </w:r>
    </w:p>
    <w:p w14:paraId="5DD06459" w14:textId="77777777" w:rsidR="00574397" w:rsidRPr="00445472" w:rsidRDefault="00574397" w:rsidP="00214F54">
      <w:pPr>
        <w:pStyle w:val="TEKSTIIII"/>
      </w:pPr>
      <w:r w:rsidRPr="00445472">
        <w:t xml:space="preserve">Familjet, gratë dhe të moshuarit shpresojnë se do të kenë furnizim me ujë gjatë të gjithë ditës.  </w:t>
      </w:r>
    </w:p>
    <w:p w14:paraId="1EA68226" w14:textId="77777777" w:rsidR="00574397" w:rsidRPr="00445472" w:rsidRDefault="00574397" w:rsidP="00214F54">
      <w:pPr>
        <w:pStyle w:val="TEKSTIIII"/>
      </w:pPr>
      <w:r w:rsidRPr="00445472">
        <w:t>Gratë pohojnë se përgjithësisht nuk kanë barazi në krahasim me burrat në shoqëri, por kanë askes të barabartë tek uji.</w:t>
      </w:r>
    </w:p>
    <w:p w14:paraId="74DBC125" w14:textId="77777777" w:rsidR="00574397" w:rsidRPr="00445472" w:rsidRDefault="00574397" w:rsidP="00214F54">
      <w:pPr>
        <w:pStyle w:val="TEKSTIIII"/>
      </w:pPr>
      <w:r w:rsidRPr="00445472">
        <w:t xml:space="preserve">Duke mbledhur të gjitha të dhënat, është e rëndësishme të citohet: </w:t>
      </w:r>
    </w:p>
    <w:p w14:paraId="2D8DA460" w14:textId="1868EA0F" w:rsidR="00574397" w:rsidRPr="00445472" w:rsidRDefault="00AE5FA2" w:rsidP="00214F54">
      <w:pPr>
        <w:pStyle w:val="TEKSTIIII"/>
      </w:pPr>
      <w:r>
        <w:t xml:space="preserve">- </w:t>
      </w:r>
      <w:r w:rsidR="00574397" w:rsidRPr="00445472">
        <w:t>Vlerësimet synonin të jepnin të dhëna të përgjithshme lokale pavarësisht nga përfshirja e nivelit të ndryshëm gjinor apo grupi social, por me një fokus të veçantë në faktin se gratë janë një grup i madh i konsumatorëve të ujit dhe prandaj kërkojnë zgjidhje afatgjata</w:t>
      </w:r>
    </w:p>
    <w:p w14:paraId="2DE7BB23" w14:textId="0BE7F5D4" w:rsidR="00574397" w:rsidRPr="00445472" w:rsidRDefault="00AE5FA2" w:rsidP="00214F54">
      <w:pPr>
        <w:pStyle w:val="TEKSTIIII"/>
      </w:pPr>
      <w:r>
        <w:t xml:space="preserve">- </w:t>
      </w:r>
      <w:r w:rsidR="00574397" w:rsidRPr="00445472">
        <w:t>Duhet të përmendet se rëndësia e përfshirjes gjinore i është dhënë aspekteve sociale dhe ndikimit mjedisor të projektit, në kuadër të përmirësimit të jetës përmes burimeve natyrore ujore</w:t>
      </w:r>
    </w:p>
    <w:p w14:paraId="2E02F366" w14:textId="5CCE7837" w:rsidR="00574397" w:rsidRPr="00445472" w:rsidRDefault="00AE5FA2" w:rsidP="00214F54">
      <w:pPr>
        <w:pStyle w:val="TEKSTIIII"/>
      </w:pPr>
      <w:r>
        <w:t xml:space="preserve">- </w:t>
      </w:r>
      <w:r w:rsidR="00574397" w:rsidRPr="00445472">
        <w:t>Përfshirja e barazisë gjinore është specifikuar në raportin e grupeve të interesit përmes aktiviteteve të mbajtura në terren (niveli i angazhimit lokal) – pyetësorët</w:t>
      </w:r>
      <w:r w:rsidR="006302B2" w:rsidRPr="00445472">
        <w:t>.</w:t>
      </w:r>
    </w:p>
    <w:p w14:paraId="4240670C" w14:textId="77E6CAA4" w:rsidR="00574397" w:rsidRPr="00445472" w:rsidRDefault="00AE5FA2" w:rsidP="00214F54">
      <w:pPr>
        <w:pStyle w:val="TEKSTIIII"/>
      </w:pPr>
      <w:r>
        <w:t xml:space="preserve">- </w:t>
      </w:r>
      <w:r w:rsidR="00574397" w:rsidRPr="00445472">
        <w:t>Përfshirja dhe barazia gjinore përfshihen gjithashtu në Strategjinë Kombëtare të Menaxhimit të Ujërave dhe janë përshtatur me specifikat e kontekstit për të gjithë çështjen e menaxhimit të ujit. Kjo është marrë në konsideratë edhe në hartimin e planeve të menaxhimit të baseneve ujore.</w:t>
      </w:r>
    </w:p>
    <w:p w14:paraId="3BBE0CC7" w14:textId="0058DA4E" w:rsidR="00574397" w:rsidRPr="00445472" w:rsidRDefault="00574397" w:rsidP="00214F54">
      <w:pPr>
        <w:pStyle w:val="TEKSTIIII"/>
        <w:rPr>
          <w:rFonts w:eastAsia="Calibri"/>
        </w:rPr>
      </w:pPr>
    </w:p>
    <w:tbl>
      <w:tblPr>
        <w:tblW w:w="9810" w:type="dxa"/>
        <w:jc w:val="center"/>
        <w:tblBorders>
          <w:top w:val="single" w:sz="4" w:space="0" w:color="auto"/>
          <w:insideH w:val="single" w:sz="4" w:space="0" w:color="auto"/>
        </w:tblBorders>
        <w:tblLook w:val="04A0" w:firstRow="1" w:lastRow="0" w:firstColumn="1" w:lastColumn="0" w:noHBand="0" w:noVBand="1"/>
      </w:tblPr>
      <w:tblGrid>
        <w:gridCol w:w="1149"/>
        <w:gridCol w:w="961"/>
        <w:gridCol w:w="1449"/>
        <w:gridCol w:w="1415"/>
        <w:gridCol w:w="4836"/>
      </w:tblGrid>
      <w:tr w:rsidR="00574397" w:rsidRPr="00445472" w14:paraId="13594702" w14:textId="77777777" w:rsidTr="00214F54">
        <w:trPr>
          <w:trHeight w:val="422"/>
          <w:tblHeader/>
          <w:jc w:val="center"/>
        </w:trPr>
        <w:tc>
          <w:tcPr>
            <w:tcW w:w="1149" w:type="dxa"/>
            <w:shd w:val="clear" w:color="auto" w:fill="D9D9D9"/>
            <w:noWrap/>
            <w:vAlign w:val="center"/>
            <w:hideMark/>
          </w:tcPr>
          <w:p w14:paraId="04FD0AD5" w14:textId="77777777" w:rsidR="00574397" w:rsidRPr="00445472" w:rsidRDefault="00574397" w:rsidP="001D340B">
            <w:pPr>
              <w:jc w:val="center"/>
              <w:rPr>
                <w:rFonts w:ascii="Garamond" w:hAnsi="Garamond" w:cs="Arial"/>
                <w:b/>
                <w:sz w:val="16"/>
                <w:szCs w:val="18"/>
              </w:rPr>
            </w:pPr>
            <w:r w:rsidRPr="00445472">
              <w:rPr>
                <w:rFonts w:ascii="Garamond" w:hAnsi="Garamond" w:cs="Arial"/>
                <w:b/>
                <w:sz w:val="16"/>
                <w:szCs w:val="18"/>
              </w:rPr>
              <w:t>Baseni</w:t>
            </w:r>
          </w:p>
        </w:tc>
        <w:tc>
          <w:tcPr>
            <w:tcW w:w="961" w:type="dxa"/>
            <w:shd w:val="clear" w:color="auto" w:fill="D9D9D9"/>
            <w:noWrap/>
            <w:vAlign w:val="center"/>
            <w:hideMark/>
          </w:tcPr>
          <w:p w14:paraId="7A954D5D" w14:textId="77777777" w:rsidR="00574397" w:rsidRPr="00445472" w:rsidRDefault="00574397" w:rsidP="001D340B">
            <w:pPr>
              <w:jc w:val="center"/>
              <w:rPr>
                <w:rFonts w:ascii="Garamond" w:hAnsi="Garamond" w:cs="Arial"/>
                <w:b/>
                <w:sz w:val="16"/>
                <w:szCs w:val="18"/>
              </w:rPr>
            </w:pPr>
            <w:r w:rsidRPr="00445472">
              <w:rPr>
                <w:rFonts w:ascii="Garamond" w:hAnsi="Garamond" w:cs="Arial"/>
                <w:b/>
                <w:sz w:val="16"/>
                <w:szCs w:val="18"/>
              </w:rPr>
              <w:t>Qyteti</w:t>
            </w:r>
          </w:p>
        </w:tc>
        <w:tc>
          <w:tcPr>
            <w:tcW w:w="1449" w:type="dxa"/>
            <w:shd w:val="clear" w:color="auto" w:fill="D9D9D9"/>
            <w:vAlign w:val="center"/>
            <w:hideMark/>
          </w:tcPr>
          <w:p w14:paraId="4CC5EDA2" w14:textId="77777777" w:rsidR="00574397" w:rsidRPr="00445472" w:rsidRDefault="00574397" w:rsidP="001D340B">
            <w:pPr>
              <w:jc w:val="center"/>
              <w:rPr>
                <w:rFonts w:ascii="Garamond" w:hAnsi="Garamond" w:cs="Arial"/>
                <w:b/>
                <w:sz w:val="16"/>
                <w:szCs w:val="18"/>
              </w:rPr>
            </w:pPr>
            <w:r w:rsidRPr="00445472">
              <w:rPr>
                <w:rFonts w:ascii="Garamond" w:hAnsi="Garamond" w:cs="Arial"/>
                <w:b/>
                <w:sz w:val="16"/>
                <w:szCs w:val="18"/>
              </w:rPr>
              <w:t>Njësia administrative</w:t>
            </w:r>
          </w:p>
        </w:tc>
        <w:tc>
          <w:tcPr>
            <w:tcW w:w="1415" w:type="dxa"/>
            <w:shd w:val="clear" w:color="auto" w:fill="D9D9D9"/>
            <w:vAlign w:val="center"/>
            <w:hideMark/>
          </w:tcPr>
          <w:p w14:paraId="603A3BA3" w14:textId="650997DF" w:rsidR="00574397" w:rsidRPr="00445472" w:rsidRDefault="006302B2" w:rsidP="006302B2">
            <w:pPr>
              <w:jc w:val="center"/>
              <w:rPr>
                <w:rFonts w:ascii="Garamond" w:hAnsi="Garamond" w:cs="Arial"/>
                <w:b/>
                <w:sz w:val="16"/>
                <w:szCs w:val="18"/>
              </w:rPr>
            </w:pPr>
            <w:r w:rsidRPr="00445472">
              <w:rPr>
                <w:rFonts w:ascii="Garamond" w:hAnsi="Garamond" w:cs="Arial"/>
                <w:b/>
                <w:sz w:val="16"/>
                <w:szCs w:val="18"/>
              </w:rPr>
              <w:t>Fokus-grupi dhe informatorët kyç</w:t>
            </w:r>
          </w:p>
        </w:tc>
        <w:tc>
          <w:tcPr>
            <w:tcW w:w="4836" w:type="dxa"/>
            <w:shd w:val="clear" w:color="auto" w:fill="D9D9D9"/>
            <w:vAlign w:val="center"/>
            <w:hideMark/>
          </w:tcPr>
          <w:p w14:paraId="350EC99C" w14:textId="77777777" w:rsidR="00574397" w:rsidRPr="00445472" w:rsidRDefault="00574397" w:rsidP="001D340B">
            <w:pPr>
              <w:jc w:val="center"/>
              <w:rPr>
                <w:rFonts w:ascii="Garamond" w:hAnsi="Garamond" w:cs="Arial"/>
                <w:b/>
                <w:sz w:val="16"/>
                <w:szCs w:val="18"/>
              </w:rPr>
            </w:pPr>
            <w:r w:rsidRPr="00445472">
              <w:rPr>
                <w:rFonts w:ascii="Garamond" w:hAnsi="Garamond" w:cs="Arial"/>
                <w:b/>
                <w:sz w:val="16"/>
                <w:szCs w:val="18"/>
              </w:rPr>
              <w:t>Foto</w:t>
            </w:r>
          </w:p>
        </w:tc>
      </w:tr>
      <w:tr w:rsidR="00574397" w:rsidRPr="00445472" w14:paraId="0A4EBB7D" w14:textId="77777777" w:rsidTr="00214F54">
        <w:trPr>
          <w:trHeight w:val="176"/>
          <w:jc w:val="center"/>
        </w:trPr>
        <w:tc>
          <w:tcPr>
            <w:tcW w:w="1149" w:type="dxa"/>
            <w:vMerge w:val="restart"/>
            <w:shd w:val="clear" w:color="auto" w:fill="auto"/>
            <w:noWrap/>
            <w:vAlign w:val="center"/>
            <w:hideMark/>
          </w:tcPr>
          <w:p w14:paraId="6305C954" w14:textId="7D1D8E02" w:rsidR="00574397" w:rsidRPr="00445472" w:rsidRDefault="007E76E3" w:rsidP="001D340B">
            <w:pPr>
              <w:jc w:val="center"/>
              <w:rPr>
                <w:rFonts w:ascii="Garamond" w:hAnsi="Garamond" w:cs="Arial"/>
                <w:sz w:val="18"/>
                <w:szCs w:val="18"/>
              </w:rPr>
            </w:pPr>
            <w:r w:rsidRPr="00445472">
              <w:rPr>
                <w:rFonts w:ascii="Garamond" w:hAnsi="Garamond" w:cs="Arial"/>
                <w:sz w:val="18"/>
                <w:szCs w:val="18"/>
              </w:rPr>
              <w:t>Drin–Bunë</w:t>
            </w:r>
          </w:p>
        </w:tc>
        <w:tc>
          <w:tcPr>
            <w:tcW w:w="961" w:type="dxa"/>
            <w:vMerge w:val="restart"/>
            <w:shd w:val="clear" w:color="auto" w:fill="auto"/>
            <w:noWrap/>
            <w:vAlign w:val="center"/>
            <w:hideMark/>
          </w:tcPr>
          <w:p w14:paraId="70097ECB"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Shkodër</w:t>
            </w:r>
          </w:p>
        </w:tc>
        <w:tc>
          <w:tcPr>
            <w:tcW w:w="1449" w:type="dxa"/>
            <w:vMerge w:val="restart"/>
            <w:shd w:val="clear" w:color="auto" w:fill="auto"/>
            <w:noWrap/>
            <w:vAlign w:val="center"/>
            <w:hideMark/>
          </w:tcPr>
          <w:p w14:paraId="37522570"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Shirq</w:t>
            </w:r>
          </w:p>
        </w:tc>
        <w:tc>
          <w:tcPr>
            <w:tcW w:w="1415" w:type="dxa"/>
            <w:shd w:val="clear" w:color="auto" w:fill="auto"/>
            <w:noWrap/>
            <w:vAlign w:val="center"/>
            <w:hideMark/>
          </w:tcPr>
          <w:p w14:paraId="6572FE8B" w14:textId="77777777" w:rsidR="00574397" w:rsidRPr="00445472" w:rsidRDefault="00574397" w:rsidP="001D340B">
            <w:pPr>
              <w:jc w:val="center"/>
              <w:rPr>
                <w:rFonts w:ascii="Garamond" w:hAnsi="Garamond" w:cs="Arial"/>
                <w:sz w:val="18"/>
                <w:szCs w:val="18"/>
                <w:highlight w:val="yellow"/>
              </w:rPr>
            </w:pPr>
            <w:r w:rsidRPr="00445472">
              <w:rPr>
                <w:rFonts w:ascii="Garamond" w:hAnsi="Garamond" w:cs="Arial"/>
                <w:sz w:val="18"/>
                <w:szCs w:val="18"/>
              </w:rPr>
              <w:t>Të moshuarit</w:t>
            </w:r>
          </w:p>
        </w:tc>
        <w:tc>
          <w:tcPr>
            <w:tcW w:w="4836" w:type="dxa"/>
            <w:shd w:val="clear" w:color="auto" w:fill="auto"/>
            <w:noWrap/>
            <w:vAlign w:val="center"/>
          </w:tcPr>
          <w:p w14:paraId="079C17EE"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0BB9E60D" wp14:editId="75BB3612">
                  <wp:extent cx="2901950" cy="1633855"/>
                  <wp:effectExtent l="0" t="0" r="0" b="0"/>
                  <wp:docPr id="54"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01950" cy="1633855"/>
                          </a:xfrm>
                          <a:prstGeom prst="rect">
                            <a:avLst/>
                          </a:prstGeom>
                          <a:noFill/>
                          <a:ln>
                            <a:noFill/>
                          </a:ln>
                        </pic:spPr>
                      </pic:pic>
                    </a:graphicData>
                  </a:graphic>
                </wp:inline>
              </w:drawing>
            </w:r>
          </w:p>
        </w:tc>
      </w:tr>
      <w:tr w:rsidR="00574397" w:rsidRPr="00445472" w14:paraId="51379CEF" w14:textId="77777777" w:rsidTr="00214F54">
        <w:trPr>
          <w:trHeight w:val="176"/>
          <w:jc w:val="center"/>
        </w:trPr>
        <w:tc>
          <w:tcPr>
            <w:tcW w:w="1149" w:type="dxa"/>
            <w:vMerge/>
            <w:vAlign w:val="center"/>
            <w:hideMark/>
          </w:tcPr>
          <w:p w14:paraId="097B5C77" w14:textId="77777777" w:rsidR="00574397" w:rsidRPr="00445472" w:rsidRDefault="00574397" w:rsidP="001D340B">
            <w:pPr>
              <w:rPr>
                <w:rFonts w:ascii="Garamond" w:hAnsi="Garamond" w:cs="Arial"/>
                <w:sz w:val="18"/>
                <w:szCs w:val="18"/>
              </w:rPr>
            </w:pPr>
          </w:p>
        </w:tc>
        <w:tc>
          <w:tcPr>
            <w:tcW w:w="961" w:type="dxa"/>
            <w:vMerge/>
            <w:vAlign w:val="center"/>
            <w:hideMark/>
          </w:tcPr>
          <w:p w14:paraId="5C970198" w14:textId="77777777" w:rsidR="00574397" w:rsidRPr="00445472" w:rsidRDefault="00574397" w:rsidP="001D340B">
            <w:pPr>
              <w:rPr>
                <w:rFonts w:ascii="Garamond" w:hAnsi="Garamond" w:cs="Arial"/>
                <w:sz w:val="18"/>
                <w:szCs w:val="18"/>
              </w:rPr>
            </w:pPr>
          </w:p>
        </w:tc>
        <w:tc>
          <w:tcPr>
            <w:tcW w:w="1449" w:type="dxa"/>
            <w:vMerge/>
            <w:vAlign w:val="center"/>
            <w:hideMark/>
          </w:tcPr>
          <w:p w14:paraId="2824FF2F"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2E5E752F" w14:textId="77777777" w:rsidR="00574397" w:rsidRPr="00445472" w:rsidRDefault="00574397" w:rsidP="001D340B">
            <w:pPr>
              <w:jc w:val="center"/>
              <w:rPr>
                <w:rFonts w:ascii="Garamond" w:hAnsi="Garamond" w:cs="Arial"/>
                <w:sz w:val="18"/>
                <w:szCs w:val="18"/>
                <w:highlight w:val="yellow"/>
              </w:rPr>
            </w:pPr>
            <w:r w:rsidRPr="00445472">
              <w:rPr>
                <w:rFonts w:ascii="Garamond" w:hAnsi="Garamond" w:cs="Arial"/>
                <w:sz w:val="18"/>
                <w:szCs w:val="18"/>
              </w:rPr>
              <w:t>Gratë</w:t>
            </w:r>
          </w:p>
        </w:tc>
        <w:tc>
          <w:tcPr>
            <w:tcW w:w="4836" w:type="dxa"/>
            <w:shd w:val="clear" w:color="auto" w:fill="auto"/>
            <w:noWrap/>
            <w:vAlign w:val="center"/>
          </w:tcPr>
          <w:p w14:paraId="78C24E02"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2A1636F8" wp14:editId="31478742">
                  <wp:extent cx="2919730" cy="1913890"/>
                  <wp:effectExtent l="0" t="0" r="0" b="0"/>
                  <wp:docPr id="47"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919730" cy="1913890"/>
                          </a:xfrm>
                          <a:prstGeom prst="rect">
                            <a:avLst/>
                          </a:prstGeom>
                          <a:noFill/>
                          <a:ln>
                            <a:noFill/>
                          </a:ln>
                        </pic:spPr>
                      </pic:pic>
                    </a:graphicData>
                  </a:graphic>
                </wp:inline>
              </w:drawing>
            </w:r>
          </w:p>
        </w:tc>
      </w:tr>
      <w:tr w:rsidR="00574397" w:rsidRPr="00445472" w14:paraId="5C79F1ED" w14:textId="77777777" w:rsidTr="00214F54">
        <w:trPr>
          <w:trHeight w:val="176"/>
          <w:jc w:val="center"/>
        </w:trPr>
        <w:tc>
          <w:tcPr>
            <w:tcW w:w="1149" w:type="dxa"/>
            <w:vMerge/>
            <w:vAlign w:val="center"/>
            <w:hideMark/>
          </w:tcPr>
          <w:p w14:paraId="5D8C608D" w14:textId="77777777" w:rsidR="00574397" w:rsidRPr="00445472" w:rsidRDefault="00574397" w:rsidP="001D340B">
            <w:pPr>
              <w:rPr>
                <w:rFonts w:ascii="Garamond" w:hAnsi="Garamond" w:cs="Arial"/>
                <w:sz w:val="18"/>
                <w:szCs w:val="18"/>
              </w:rPr>
            </w:pPr>
          </w:p>
        </w:tc>
        <w:tc>
          <w:tcPr>
            <w:tcW w:w="961" w:type="dxa"/>
            <w:vMerge/>
            <w:vAlign w:val="center"/>
            <w:hideMark/>
          </w:tcPr>
          <w:p w14:paraId="6D60F85B" w14:textId="77777777" w:rsidR="00574397" w:rsidRPr="00445472" w:rsidRDefault="00574397" w:rsidP="001D340B">
            <w:pPr>
              <w:rPr>
                <w:rFonts w:ascii="Garamond" w:hAnsi="Garamond" w:cs="Arial"/>
                <w:sz w:val="18"/>
                <w:szCs w:val="18"/>
              </w:rPr>
            </w:pPr>
          </w:p>
        </w:tc>
        <w:tc>
          <w:tcPr>
            <w:tcW w:w="1449" w:type="dxa"/>
            <w:vMerge/>
            <w:vAlign w:val="center"/>
            <w:hideMark/>
          </w:tcPr>
          <w:p w14:paraId="3C24B3EB"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671717C2"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Fermerët</w:t>
            </w:r>
          </w:p>
        </w:tc>
        <w:tc>
          <w:tcPr>
            <w:tcW w:w="4836" w:type="dxa"/>
            <w:shd w:val="clear" w:color="auto" w:fill="auto"/>
            <w:noWrap/>
            <w:vAlign w:val="center"/>
          </w:tcPr>
          <w:p w14:paraId="7BF76210"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201CCD8A" wp14:editId="0C05E374">
                  <wp:extent cx="2858770" cy="1621790"/>
                  <wp:effectExtent l="0" t="0" r="0" b="0"/>
                  <wp:docPr id="52"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858770" cy="1621790"/>
                          </a:xfrm>
                          <a:prstGeom prst="rect">
                            <a:avLst/>
                          </a:prstGeom>
                          <a:noFill/>
                          <a:ln>
                            <a:noFill/>
                          </a:ln>
                        </pic:spPr>
                      </pic:pic>
                    </a:graphicData>
                  </a:graphic>
                </wp:inline>
              </w:drawing>
            </w:r>
          </w:p>
        </w:tc>
      </w:tr>
      <w:tr w:rsidR="00574397" w:rsidRPr="00445472" w14:paraId="6AFD6E81" w14:textId="77777777" w:rsidTr="00214F54">
        <w:trPr>
          <w:trHeight w:val="176"/>
          <w:jc w:val="center"/>
        </w:trPr>
        <w:tc>
          <w:tcPr>
            <w:tcW w:w="1149" w:type="dxa"/>
            <w:vMerge/>
            <w:vAlign w:val="center"/>
            <w:hideMark/>
          </w:tcPr>
          <w:p w14:paraId="4D430383" w14:textId="77777777" w:rsidR="00574397" w:rsidRPr="00445472" w:rsidRDefault="00574397" w:rsidP="001D340B">
            <w:pPr>
              <w:rPr>
                <w:rFonts w:ascii="Garamond" w:hAnsi="Garamond" w:cs="Arial"/>
                <w:sz w:val="18"/>
                <w:szCs w:val="18"/>
              </w:rPr>
            </w:pPr>
          </w:p>
        </w:tc>
        <w:tc>
          <w:tcPr>
            <w:tcW w:w="961" w:type="dxa"/>
            <w:vMerge/>
            <w:vAlign w:val="center"/>
            <w:hideMark/>
          </w:tcPr>
          <w:p w14:paraId="1EEAA071" w14:textId="77777777" w:rsidR="00574397" w:rsidRPr="00445472" w:rsidRDefault="00574397" w:rsidP="001D340B">
            <w:pPr>
              <w:rPr>
                <w:rFonts w:ascii="Garamond" w:hAnsi="Garamond" w:cs="Arial"/>
                <w:sz w:val="18"/>
                <w:szCs w:val="18"/>
              </w:rPr>
            </w:pPr>
          </w:p>
        </w:tc>
        <w:tc>
          <w:tcPr>
            <w:tcW w:w="1449" w:type="dxa"/>
            <w:vMerge/>
            <w:vAlign w:val="center"/>
            <w:hideMark/>
          </w:tcPr>
          <w:p w14:paraId="2A19DF73"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3D9E14CC"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Punonjësit e Shëndetësisë</w:t>
            </w:r>
          </w:p>
        </w:tc>
        <w:tc>
          <w:tcPr>
            <w:tcW w:w="4836" w:type="dxa"/>
            <w:shd w:val="clear" w:color="auto" w:fill="auto"/>
            <w:noWrap/>
            <w:vAlign w:val="center"/>
          </w:tcPr>
          <w:p w14:paraId="74909DAA" w14:textId="77777777" w:rsidR="00574397" w:rsidRPr="00445472" w:rsidRDefault="00574397" w:rsidP="001D340B">
            <w:pPr>
              <w:jc w:val="center"/>
              <w:rPr>
                <w:rFonts w:ascii="Garamond" w:hAnsi="Garamond" w:cs="Arial"/>
                <w:sz w:val="18"/>
                <w:szCs w:val="18"/>
              </w:rPr>
            </w:pPr>
            <w:r w:rsidRPr="00445472">
              <w:rPr>
                <w:rFonts w:ascii="Garamond" w:hAnsi="Garamond" w:cs="Arial"/>
                <w:noProof/>
                <w:sz w:val="18"/>
                <w:szCs w:val="18"/>
                <w:lang w:val="en-US"/>
              </w:rPr>
              <w:drawing>
                <wp:inline distT="0" distB="0" distL="0" distR="0" wp14:anchorId="58F39515" wp14:editId="13AB2C76">
                  <wp:extent cx="1859280" cy="2675890"/>
                  <wp:effectExtent l="0" t="0" r="0" b="0"/>
                  <wp:docPr id="55"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59280" cy="2675890"/>
                          </a:xfrm>
                          <a:prstGeom prst="rect">
                            <a:avLst/>
                          </a:prstGeom>
                          <a:noFill/>
                          <a:ln>
                            <a:noFill/>
                          </a:ln>
                        </pic:spPr>
                      </pic:pic>
                    </a:graphicData>
                  </a:graphic>
                </wp:inline>
              </w:drawing>
            </w:r>
          </w:p>
        </w:tc>
      </w:tr>
      <w:tr w:rsidR="00574397" w:rsidRPr="00445472" w14:paraId="5DA3F910" w14:textId="77777777" w:rsidTr="00214F54">
        <w:trPr>
          <w:trHeight w:val="176"/>
          <w:jc w:val="center"/>
        </w:trPr>
        <w:tc>
          <w:tcPr>
            <w:tcW w:w="1149" w:type="dxa"/>
            <w:vMerge/>
            <w:vAlign w:val="center"/>
            <w:hideMark/>
          </w:tcPr>
          <w:p w14:paraId="17852C7F" w14:textId="77777777" w:rsidR="00574397" w:rsidRPr="00445472" w:rsidRDefault="00574397" w:rsidP="001D340B">
            <w:pPr>
              <w:rPr>
                <w:rFonts w:ascii="Garamond" w:hAnsi="Garamond" w:cs="Arial"/>
                <w:sz w:val="18"/>
                <w:szCs w:val="18"/>
              </w:rPr>
            </w:pPr>
          </w:p>
        </w:tc>
        <w:tc>
          <w:tcPr>
            <w:tcW w:w="961" w:type="dxa"/>
            <w:vMerge/>
            <w:vAlign w:val="center"/>
            <w:hideMark/>
          </w:tcPr>
          <w:p w14:paraId="6B08D1AF" w14:textId="77777777" w:rsidR="00574397" w:rsidRPr="00445472" w:rsidRDefault="00574397" w:rsidP="001D340B">
            <w:pPr>
              <w:rPr>
                <w:rFonts w:ascii="Garamond" w:hAnsi="Garamond" w:cs="Arial"/>
                <w:sz w:val="18"/>
                <w:szCs w:val="18"/>
              </w:rPr>
            </w:pPr>
          </w:p>
        </w:tc>
        <w:tc>
          <w:tcPr>
            <w:tcW w:w="1449" w:type="dxa"/>
            <w:vMerge w:val="restart"/>
            <w:shd w:val="clear" w:color="auto" w:fill="auto"/>
            <w:noWrap/>
            <w:hideMark/>
          </w:tcPr>
          <w:p w14:paraId="4C6126B4" w14:textId="77777777" w:rsidR="00574397" w:rsidRPr="00445472" w:rsidRDefault="00574397" w:rsidP="006302B2">
            <w:pPr>
              <w:spacing w:after="0"/>
              <w:jc w:val="center"/>
              <w:rPr>
                <w:rFonts w:ascii="Garamond" w:hAnsi="Garamond" w:cs="Arial"/>
                <w:sz w:val="18"/>
                <w:szCs w:val="18"/>
              </w:rPr>
            </w:pPr>
            <w:r w:rsidRPr="00445472">
              <w:rPr>
                <w:rFonts w:ascii="Garamond" w:hAnsi="Garamond" w:cs="Arial"/>
                <w:sz w:val="18"/>
                <w:szCs w:val="18"/>
              </w:rPr>
              <w:t>Dajç</w:t>
            </w:r>
          </w:p>
        </w:tc>
        <w:tc>
          <w:tcPr>
            <w:tcW w:w="1415" w:type="dxa"/>
            <w:shd w:val="clear" w:color="auto" w:fill="auto"/>
            <w:noWrap/>
            <w:vAlign w:val="center"/>
            <w:hideMark/>
          </w:tcPr>
          <w:p w14:paraId="4616923E"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Të moshuarit</w:t>
            </w:r>
          </w:p>
        </w:tc>
        <w:tc>
          <w:tcPr>
            <w:tcW w:w="4836" w:type="dxa"/>
            <w:shd w:val="clear" w:color="auto" w:fill="auto"/>
            <w:noWrap/>
            <w:vAlign w:val="center"/>
          </w:tcPr>
          <w:p w14:paraId="6AF53FF8"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28D55893" wp14:editId="1BB3D19A">
                  <wp:extent cx="2919730" cy="1859280"/>
                  <wp:effectExtent l="0" t="0" r="0" b="0"/>
                  <wp:docPr id="56"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919730" cy="1859280"/>
                          </a:xfrm>
                          <a:prstGeom prst="rect">
                            <a:avLst/>
                          </a:prstGeom>
                          <a:noFill/>
                          <a:ln>
                            <a:noFill/>
                          </a:ln>
                        </pic:spPr>
                      </pic:pic>
                    </a:graphicData>
                  </a:graphic>
                </wp:inline>
              </w:drawing>
            </w:r>
          </w:p>
        </w:tc>
      </w:tr>
      <w:tr w:rsidR="00574397" w:rsidRPr="00445472" w14:paraId="0CA5ADE0" w14:textId="77777777" w:rsidTr="00214F54">
        <w:trPr>
          <w:trHeight w:val="176"/>
          <w:jc w:val="center"/>
        </w:trPr>
        <w:tc>
          <w:tcPr>
            <w:tcW w:w="1149" w:type="dxa"/>
            <w:vMerge/>
            <w:vAlign w:val="center"/>
            <w:hideMark/>
          </w:tcPr>
          <w:p w14:paraId="7696D145" w14:textId="77777777" w:rsidR="00574397" w:rsidRPr="00445472" w:rsidRDefault="00574397" w:rsidP="001D340B">
            <w:pPr>
              <w:rPr>
                <w:rFonts w:ascii="Garamond" w:hAnsi="Garamond" w:cs="Arial"/>
                <w:sz w:val="18"/>
                <w:szCs w:val="18"/>
              </w:rPr>
            </w:pPr>
          </w:p>
        </w:tc>
        <w:tc>
          <w:tcPr>
            <w:tcW w:w="961" w:type="dxa"/>
            <w:vMerge/>
            <w:vAlign w:val="center"/>
            <w:hideMark/>
          </w:tcPr>
          <w:p w14:paraId="12E74AF1" w14:textId="77777777" w:rsidR="00574397" w:rsidRPr="00445472" w:rsidRDefault="00574397" w:rsidP="001D340B">
            <w:pPr>
              <w:rPr>
                <w:rFonts w:ascii="Garamond" w:hAnsi="Garamond" w:cs="Arial"/>
                <w:sz w:val="18"/>
                <w:szCs w:val="18"/>
              </w:rPr>
            </w:pPr>
          </w:p>
        </w:tc>
        <w:tc>
          <w:tcPr>
            <w:tcW w:w="1449" w:type="dxa"/>
            <w:vMerge/>
            <w:vAlign w:val="center"/>
            <w:hideMark/>
          </w:tcPr>
          <w:p w14:paraId="4E32B13A"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09C5E852"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Gratë</w:t>
            </w:r>
          </w:p>
        </w:tc>
        <w:tc>
          <w:tcPr>
            <w:tcW w:w="4836" w:type="dxa"/>
            <w:shd w:val="clear" w:color="auto" w:fill="auto"/>
            <w:noWrap/>
            <w:vAlign w:val="center"/>
          </w:tcPr>
          <w:p w14:paraId="086E5AFF"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5C7CBE63" wp14:editId="38A0B3B5">
                  <wp:extent cx="2926080" cy="1530350"/>
                  <wp:effectExtent l="0" t="0" r="0" b="0"/>
                  <wp:docPr id="57"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926080" cy="1530350"/>
                          </a:xfrm>
                          <a:prstGeom prst="rect">
                            <a:avLst/>
                          </a:prstGeom>
                          <a:noFill/>
                          <a:ln>
                            <a:noFill/>
                          </a:ln>
                        </pic:spPr>
                      </pic:pic>
                    </a:graphicData>
                  </a:graphic>
                </wp:inline>
              </w:drawing>
            </w:r>
          </w:p>
        </w:tc>
      </w:tr>
      <w:tr w:rsidR="00574397" w:rsidRPr="00445472" w14:paraId="201DBBB0" w14:textId="77777777" w:rsidTr="00214F54">
        <w:trPr>
          <w:trHeight w:val="176"/>
          <w:jc w:val="center"/>
        </w:trPr>
        <w:tc>
          <w:tcPr>
            <w:tcW w:w="1149" w:type="dxa"/>
            <w:vMerge/>
            <w:vAlign w:val="center"/>
            <w:hideMark/>
          </w:tcPr>
          <w:p w14:paraId="4B0C178E" w14:textId="77777777" w:rsidR="00574397" w:rsidRPr="00445472" w:rsidRDefault="00574397" w:rsidP="001D340B">
            <w:pPr>
              <w:rPr>
                <w:rFonts w:ascii="Garamond" w:hAnsi="Garamond" w:cs="Arial"/>
                <w:sz w:val="18"/>
                <w:szCs w:val="18"/>
              </w:rPr>
            </w:pPr>
          </w:p>
        </w:tc>
        <w:tc>
          <w:tcPr>
            <w:tcW w:w="961" w:type="dxa"/>
            <w:vMerge/>
            <w:vAlign w:val="center"/>
            <w:hideMark/>
          </w:tcPr>
          <w:p w14:paraId="29F090BB" w14:textId="77777777" w:rsidR="00574397" w:rsidRPr="00445472" w:rsidRDefault="00574397" w:rsidP="001D340B">
            <w:pPr>
              <w:rPr>
                <w:rFonts w:ascii="Garamond" w:hAnsi="Garamond" w:cs="Arial"/>
                <w:sz w:val="18"/>
                <w:szCs w:val="18"/>
              </w:rPr>
            </w:pPr>
          </w:p>
        </w:tc>
        <w:tc>
          <w:tcPr>
            <w:tcW w:w="1449" w:type="dxa"/>
            <w:vMerge/>
            <w:vAlign w:val="center"/>
            <w:hideMark/>
          </w:tcPr>
          <w:p w14:paraId="0CED303A"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025FCFD4"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Fermerët</w:t>
            </w:r>
          </w:p>
        </w:tc>
        <w:tc>
          <w:tcPr>
            <w:tcW w:w="4836" w:type="dxa"/>
            <w:shd w:val="clear" w:color="auto" w:fill="auto"/>
            <w:noWrap/>
            <w:vAlign w:val="center"/>
          </w:tcPr>
          <w:p w14:paraId="30B4B8AE"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081AF522" wp14:editId="0D3ACCAE">
                  <wp:extent cx="2926080" cy="1670050"/>
                  <wp:effectExtent l="0" t="0" r="0" b="0"/>
                  <wp:docPr id="58"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926080" cy="1670050"/>
                          </a:xfrm>
                          <a:prstGeom prst="rect">
                            <a:avLst/>
                          </a:prstGeom>
                          <a:noFill/>
                          <a:ln>
                            <a:noFill/>
                          </a:ln>
                        </pic:spPr>
                      </pic:pic>
                    </a:graphicData>
                  </a:graphic>
                </wp:inline>
              </w:drawing>
            </w:r>
          </w:p>
        </w:tc>
      </w:tr>
      <w:tr w:rsidR="00574397" w:rsidRPr="00445472" w14:paraId="50A4136A" w14:textId="77777777" w:rsidTr="00214F54">
        <w:trPr>
          <w:trHeight w:val="176"/>
          <w:jc w:val="center"/>
        </w:trPr>
        <w:tc>
          <w:tcPr>
            <w:tcW w:w="1149" w:type="dxa"/>
            <w:vMerge/>
            <w:vAlign w:val="center"/>
            <w:hideMark/>
          </w:tcPr>
          <w:p w14:paraId="2FB61C91" w14:textId="77777777" w:rsidR="00574397" w:rsidRPr="00445472" w:rsidRDefault="00574397" w:rsidP="001D340B">
            <w:pPr>
              <w:rPr>
                <w:rFonts w:ascii="Garamond" w:hAnsi="Garamond" w:cs="Arial"/>
                <w:sz w:val="18"/>
                <w:szCs w:val="18"/>
              </w:rPr>
            </w:pPr>
          </w:p>
        </w:tc>
        <w:tc>
          <w:tcPr>
            <w:tcW w:w="961" w:type="dxa"/>
            <w:vMerge/>
            <w:vAlign w:val="center"/>
            <w:hideMark/>
          </w:tcPr>
          <w:p w14:paraId="7872A10B" w14:textId="77777777" w:rsidR="00574397" w:rsidRPr="00445472" w:rsidRDefault="00574397" w:rsidP="001D340B">
            <w:pPr>
              <w:rPr>
                <w:rFonts w:ascii="Garamond" w:hAnsi="Garamond" w:cs="Arial"/>
                <w:sz w:val="18"/>
                <w:szCs w:val="18"/>
              </w:rPr>
            </w:pPr>
          </w:p>
        </w:tc>
        <w:tc>
          <w:tcPr>
            <w:tcW w:w="1449" w:type="dxa"/>
            <w:vMerge/>
            <w:vAlign w:val="center"/>
            <w:hideMark/>
          </w:tcPr>
          <w:p w14:paraId="60990FF1"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6B056E95" w14:textId="0BAFC93E" w:rsidR="00574397" w:rsidRPr="00445472" w:rsidRDefault="00574397" w:rsidP="001D340B">
            <w:pPr>
              <w:jc w:val="center"/>
              <w:rPr>
                <w:rFonts w:ascii="Garamond" w:hAnsi="Garamond" w:cs="Arial"/>
                <w:sz w:val="18"/>
                <w:szCs w:val="18"/>
              </w:rPr>
            </w:pPr>
            <w:r w:rsidRPr="00445472">
              <w:rPr>
                <w:rFonts w:ascii="Garamond" w:hAnsi="Garamond" w:cs="Arial"/>
                <w:sz w:val="18"/>
                <w:szCs w:val="18"/>
              </w:rPr>
              <w:t xml:space="preserve">Punonjësit e </w:t>
            </w:r>
            <w:r w:rsidR="006302B2" w:rsidRPr="00445472">
              <w:rPr>
                <w:rFonts w:ascii="Garamond" w:hAnsi="Garamond" w:cs="Arial"/>
                <w:sz w:val="18"/>
                <w:szCs w:val="18"/>
              </w:rPr>
              <w:t>shëndetësisë</w:t>
            </w:r>
          </w:p>
        </w:tc>
        <w:tc>
          <w:tcPr>
            <w:tcW w:w="4836" w:type="dxa"/>
            <w:shd w:val="clear" w:color="auto" w:fill="auto"/>
            <w:noWrap/>
            <w:vAlign w:val="center"/>
          </w:tcPr>
          <w:p w14:paraId="4A7048C2" w14:textId="77777777" w:rsidR="00574397" w:rsidRPr="00445472" w:rsidRDefault="00574397" w:rsidP="001D340B">
            <w:pPr>
              <w:jc w:val="center"/>
              <w:rPr>
                <w:rFonts w:ascii="Garamond" w:hAnsi="Garamond" w:cs="Arial"/>
                <w:sz w:val="18"/>
                <w:szCs w:val="18"/>
              </w:rPr>
            </w:pPr>
            <w:r w:rsidRPr="00445472">
              <w:rPr>
                <w:rFonts w:ascii="Garamond" w:hAnsi="Garamond" w:cs="Arial"/>
                <w:noProof/>
                <w:sz w:val="18"/>
                <w:szCs w:val="18"/>
                <w:lang w:val="en-US"/>
              </w:rPr>
              <w:drawing>
                <wp:inline distT="0" distB="0" distL="0" distR="0" wp14:anchorId="23CAF2F3" wp14:editId="3BD70F8C">
                  <wp:extent cx="1791970" cy="2493010"/>
                  <wp:effectExtent l="0" t="0" r="0" b="0"/>
                  <wp:docPr id="10"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791970" cy="2493010"/>
                          </a:xfrm>
                          <a:prstGeom prst="rect">
                            <a:avLst/>
                          </a:prstGeom>
                          <a:noFill/>
                          <a:ln>
                            <a:noFill/>
                          </a:ln>
                        </pic:spPr>
                      </pic:pic>
                    </a:graphicData>
                  </a:graphic>
                </wp:inline>
              </w:drawing>
            </w:r>
          </w:p>
        </w:tc>
      </w:tr>
      <w:tr w:rsidR="00574397" w:rsidRPr="00445472" w14:paraId="3179B240" w14:textId="77777777" w:rsidTr="00214F54">
        <w:trPr>
          <w:trHeight w:val="176"/>
          <w:jc w:val="center"/>
        </w:trPr>
        <w:tc>
          <w:tcPr>
            <w:tcW w:w="1149" w:type="dxa"/>
            <w:vMerge/>
            <w:vAlign w:val="center"/>
            <w:hideMark/>
          </w:tcPr>
          <w:p w14:paraId="4189BAA6" w14:textId="77777777" w:rsidR="00574397" w:rsidRPr="00445472" w:rsidRDefault="00574397" w:rsidP="001D340B">
            <w:pPr>
              <w:rPr>
                <w:rFonts w:ascii="Garamond" w:hAnsi="Garamond" w:cs="Arial"/>
                <w:sz w:val="18"/>
                <w:szCs w:val="18"/>
              </w:rPr>
            </w:pPr>
          </w:p>
        </w:tc>
        <w:tc>
          <w:tcPr>
            <w:tcW w:w="961" w:type="dxa"/>
            <w:vMerge w:val="restart"/>
            <w:shd w:val="clear" w:color="auto" w:fill="auto"/>
            <w:noWrap/>
            <w:vAlign w:val="center"/>
            <w:hideMark/>
          </w:tcPr>
          <w:p w14:paraId="5BCA56C8"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Lezhë</w:t>
            </w:r>
          </w:p>
        </w:tc>
        <w:tc>
          <w:tcPr>
            <w:tcW w:w="1449" w:type="dxa"/>
            <w:vMerge w:val="restart"/>
            <w:shd w:val="clear" w:color="auto" w:fill="auto"/>
            <w:noWrap/>
            <w:vAlign w:val="center"/>
            <w:hideMark/>
          </w:tcPr>
          <w:p w14:paraId="7C7026BF"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Gjadër</w:t>
            </w:r>
          </w:p>
        </w:tc>
        <w:tc>
          <w:tcPr>
            <w:tcW w:w="1415" w:type="dxa"/>
            <w:shd w:val="clear" w:color="auto" w:fill="auto"/>
            <w:noWrap/>
            <w:vAlign w:val="center"/>
            <w:hideMark/>
          </w:tcPr>
          <w:p w14:paraId="758B6365"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Të moshuarit</w:t>
            </w:r>
          </w:p>
        </w:tc>
        <w:tc>
          <w:tcPr>
            <w:tcW w:w="4836" w:type="dxa"/>
            <w:shd w:val="clear" w:color="auto" w:fill="auto"/>
            <w:noWrap/>
            <w:vAlign w:val="center"/>
          </w:tcPr>
          <w:p w14:paraId="7F711D30" w14:textId="77777777" w:rsidR="00574397" w:rsidRPr="00445472" w:rsidRDefault="00574397" w:rsidP="001D340B">
            <w:pPr>
              <w:jc w:val="center"/>
              <w:rPr>
                <w:rFonts w:ascii="Garamond" w:hAnsi="Garamond" w:cs="Arial"/>
                <w:sz w:val="18"/>
                <w:szCs w:val="18"/>
              </w:rPr>
            </w:pPr>
            <w:r w:rsidRPr="00445472">
              <w:rPr>
                <w:rFonts w:ascii="Garamond" w:hAnsi="Garamond" w:cs="Arial"/>
                <w:noProof/>
                <w:sz w:val="18"/>
                <w:szCs w:val="18"/>
                <w:lang w:val="en-US"/>
              </w:rPr>
              <w:drawing>
                <wp:inline distT="0" distB="0" distL="0" distR="0" wp14:anchorId="447C3B56" wp14:editId="6CFD2509">
                  <wp:extent cx="2401570" cy="1597025"/>
                  <wp:effectExtent l="0" t="0" r="0" b="0"/>
                  <wp:docPr id="59"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401570" cy="1597025"/>
                          </a:xfrm>
                          <a:prstGeom prst="rect">
                            <a:avLst/>
                          </a:prstGeom>
                          <a:noFill/>
                          <a:ln>
                            <a:noFill/>
                          </a:ln>
                        </pic:spPr>
                      </pic:pic>
                    </a:graphicData>
                  </a:graphic>
                </wp:inline>
              </w:drawing>
            </w:r>
          </w:p>
        </w:tc>
      </w:tr>
      <w:tr w:rsidR="00574397" w:rsidRPr="00445472" w14:paraId="7EE1B3DD" w14:textId="77777777" w:rsidTr="00214F54">
        <w:trPr>
          <w:trHeight w:val="176"/>
          <w:jc w:val="center"/>
        </w:trPr>
        <w:tc>
          <w:tcPr>
            <w:tcW w:w="1149" w:type="dxa"/>
            <w:vMerge/>
            <w:vAlign w:val="center"/>
            <w:hideMark/>
          </w:tcPr>
          <w:p w14:paraId="24B805D0" w14:textId="77777777" w:rsidR="00574397" w:rsidRPr="00445472" w:rsidRDefault="00574397" w:rsidP="001D340B">
            <w:pPr>
              <w:rPr>
                <w:rFonts w:ascii="Garamond" w:hAnsi="Garamond" w:cs="Arial"/>
                <w:sz w:val="18"/>
                <w:szCs w:val="18"/>
              </w:rPr>
            </w:pPr>
          </w:p>
        </w:tc>
        <w:tc>
          <w:tcPr>
            <w:tcW w:w="961" w:type="dxa"/>
            <w:vMerge/>
            <w:vAlign w:val="center"/>
            <w:hideMark/>
          </w:tcPr>
          <w:p w14:paraId="42C3B7C2" w14:textId="77777777" w:rsidR="00574397" w:rsidRPr="00445472" w:rsidRDefault="00574397" w:rsidP="001D340B">
            <w:pPr>
              <w:rPr>
                <w:rFonts w:ascii="Garamond" w:hAnsi="Garamond" w:cs="Arial"/>
                <w:sz w:val="18"/>
                <w:szCs w:val="18"/>
              </w:rPr>
            </w:pPr>
          </w:p>
        </w:tc>
        <w:tc>
          <w:tcPr>
            <w:tcW w:w="1449" w:type="dxa"/>
            <w:vMerge/>
            <w:vAlign w:val="center"/>
            <w:hideMark/>
          </w:tcPr>
          <w:p w14:paraId="696D53FB"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223BC177"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Gratë</w:t>
            </w:r>
          </w:p>
        </w:tc>
        <w:tc>
          <w:tcPr>
            <w:tcW w:w="4836" w:type="dxa"/>
            <w:shd w:val="clear" w:color="auto" w:fill="auto"/>
            <w:noWrap/>
            <w:vAlign w:val="center"/>
          </w:tcPr>
          <w:p w14:paraId="6979C0AE"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4682BF75" wp14:editId="20F7C8A4">
                  <wp:extent cx="2804160" cy="1584960"/>
                  <wp:effectExtent l="0" t="0" r="0" b="0"/>
                  <wp:docPr id="6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804160" cy="1584960"/>
                          </a:xfrm>
                          <a:prstGeom prst="rect">
                            <a:avLst/>
                          </a:prstGeom>
                          <a:noFill/>
                          <a:ln>
                            <a:noFill/>
                          </a:ln>
                        </pic:spPr>
                      </pic:pic>
                    </a:graphicData>
                  </a:graphic>
                </wp:inline>
              </w:drawing>
            </w:r>
          </w:p>
        </w:tc>
      </w:tr>
      <w:tr w:rsidR="00574397" w:rsidRPr="00445472" w14:paraId="7739A3F0" w14:textId="77777777" w:rsidTr="00214F54">
        <w:trPr>
          <w:trHeight w:val="176"/>
          <w:jc w:val="center"/>
        </w:trPr>
        <w:tc>
          <w:tcPr>
            <w:tcW w:w="1149" w:type="dxa"/>
            <w:vMerge/>
            <w:vAlign w:val="center"/>
            <w:hideMark/>
          </w:tcPr>
          <w:p w14:paraId="33BE31A0" w14:textId="77777777" w:rsidR="00574397" w:rsidRPr="00445472" w:rsidRDefault="00574397" w:rsidP="001D340B">
            <w:pPr>
              <w:rPr>
                <w:rFonts w:ascii="Garamond" w:hAnsi="Garamond" w:cs="Arial"/>
                <w:sz w:val="18"/>
                <w:szCs w:val="18"/>
              </w:rPr>
            </w:pPr>
          </w:p>
        </w:tc>
        <w:tc>
          <w:tcPr>
            <w:tcW w:w="961" w:type="dxa"/>
            <w:vMerge/>
            <w:vAlign w:val="center"/>
            <w:hideMark/>
          </w:tcPr>
          <w:p w14:paraId="2282A935" w14:textId="77777777" w:rsidR="00574397" w:rsidRPr="00445472" w:rsidRDefault="00574397" w:rsidP="001D340B">
            <w:pPr>
              <w:rPr>
                <w:rFonts w:ascii="Garamond" w:hAnsi="Garamond" w:cs="Arial"/>
                <w:sz w:val="18"/>
                <w:szCs w:val="18"/>
              </w:rPr>
            </w:pPr>
          </w:p>
        </w:tc>
        <w:tc>
          <w:tcPr>
            <w:tcW w:w="1449" w:type="dxa"/>
            <w:vMerge/>
            <w:vAlign w:val="center"/>
            <w:hideMark/>
          </w:tcPr>
          <w:p w14:paraId="09A2272E"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2CC5C9C8"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Fermerët</w:t>
            </w:r>
          </w:p>
        </w:tc>
        <w:tc>
          <w:tcPr>
            <w:tcW w:w="4836" w:type="dxa"/>
            <w:shd w:val="clear" w:color="auto" w:fill="auto"/>
            <w:noWrap/>
            <w:vAlign w:val="center"/>
          </w:tcPr>
          <w:p w14:paraId="3ADACEBB"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5CD90CF3" wp14:editId="0DD2AA29">
                  <wp:extent cx="2853055" cy="1591310"/>
                  <wp:effectExtent l="0" t="0" r="0" b="0"/>
                  <wp:docPr id="61"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853055" cy="1591310"/>
                          </a:xfrm>
                          <a:prstGeom prst="rect">
                            <a:avLst/>
                          </a:prstGeom>
                          <a:noFill/>
                          <a:ln>
                            <a:noFill/>
                          </a:ln>
                        </pic:spPr>
                      </pic:pic>
                    </a:graphicData>
                  </a:graphic>
                </wp:inline>
              </w:drawing>
            </w:r>
          </w:p>
        </w:tc>
      </w:tr>
      <w:tr w:rsidR="00574397" w:rsidRPr="00445472" w14:paraId="02065407" w14:textId="77777777" w:rsidTr="00214F54">
        <w:trPr>
          <w:trHeight w:val="176"/>
          <w:jc w:val="center"/>
        </w:trPr>
        <w:tc>
          <w:tcPr>
            <w:tcW w:w="1149" w:type="dxa"/>
            <w:vMerge/>
            <w:vAlign w:val="center"/>
            <w:hideMark/>
          </w:tcPr>
          <w:p w14:paraId="79531D61" w14:textId="77777777" w:rsidR="00574397" w:rsidRPr="00445472" w:rsidRDefault="00574397" w:rsidP="001D340B">
            <w:pPr>
              <w:rPr>
                <w:rFonts w:ascii="Garamond" w:hAnsi="Garamond" w:cs="Arial"/>
                <w:sz w:val="18"/>
                <w:szCs w:val="18"/>
              </w:rPr>
            </w:pPr>
          </w:p>
        </w:tc>
        <w:tc>
          <w:tcPr>
            <w:tcW w:w="961" w:type="dxa"/>
            <w:vMerge/>
            <w:vAlign w:val="center"/>
            <w:hideMark/>
          </w:tcPr>
          <w:p w14:paraId="049B015C" w14:textId="77777777" w:rsidR="00574397" w:rsidRPr="00445472" w:rsidRDefault="00574397" w:rsidP="001D340B">
            <w:pPr>
              <w:rPr>
                <w:rFonts w:ascii="Garamond" w:hAnsi="Garamond" w:cs="Arial"/>
                <w:sz w:val="18"/>
                <w:szCs w:val="18"/>
              </w:rPr>
            </w:pPr>
          </w:p>
        </w:tc>
        <w:tc>
          <w:tcPr>
            <w:tcW w:w="1449" w:type="dxa"/>
            <w:vMerge/>
            <w:vAlign w:val="center"/>
            <w:hideMark/>
          </w:tcPr>
          <w:p w14:paraId="498FE849"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30CF0566" w14:textId="1692C6E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 xml:space="preserve">Komuniteti </w:t>
            </w:r>
            <w:r w:rsidR="006302B2" w:rsidRPr="00445472">
              <w:rPr>
                <w:rFonts w:ascii="Garamond" w:hAnsi="Garamond" w:cs="Arial"/>
                <w:sz w:val="18"/>
                <w:szCs w:val="18"/>
              </w:rPr>
              <w:t>rom</w:t>
            </w:r>
          </w:p>
        </w:tc>
        <w:tc>
          <w:tcPr>
            <w:tcW w:w="4836" w:type="dxa"/>
            <w:shd w:val="clear" w:color="auto" w:fill="auto"/>
            <w:noWrap/>
            <w:vAlign w:val="center"/>
          </w:tcPr>
          <w:p w14:paraId="110EDB78"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65D69F3D" wp14:editId="75A7D7C6">
                  <wp:extent cx="2853055" cy="1603375"/>
                  <wp:effectExtent l="0" t="0" r="0" b="0"/>
                  <wp:docPr id="62"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853055" cy="1603375"/>
                          </a:xfrm>
                          <a:prstGeom prst="rect">
                            <a:avLst/>
                          </a:prstGeom>
                          <a:noFill/>
                          <a:ln>
                            <a:noFill/>
                          </a:ln>
                        </pic:spPr>
                      </pic:pic>
                    </a:graphicData>
                  </a:graphic>
                </wp:inline>
              </w:drawing>
            </w:r>
          </w:p>
        </w:tc>
      </w:tr>
      <w:tr w:rsidR="00574397" w:rsidRPr="00445472" w14:paraId="5B7BD382" w14:textId="77777777" w:rsidTr="00214F54">
        <w:trPr>
          <w:trHeight w:val="176"/>
          <w:jc w:val="center"/>
        </w:trPr>
        <w:tc>
          <w:tcPr>
            <w:tcW w:w="1149" w:type="dxa"/>
            <w:vMerge/>
            <w:vAlign w:val="center"/>
            <w:hideMark/>
          </w:tcPr>
          <w:p w14:paraId="47D24451" w14:textId="77777777" w:rsidR="00574397" w:rsidRPr="00445472" w:rsidRDefault="00574397" w:rsidP="001D340B">
            <w:pPr>
              <w:rPr>
                <w:rFonts w:ascii="Garamond" w:hAnsi="Garamond" w:cs="Arial"/>
                <w:sz w:val="18"/>
                <w:szCs w:val="18"/>
              </w:rPr>
            </w:pPr>
          </w:p>
        </w:tc>
        <w:tc>
          <w:tcPr>
            <w:tcW w:w="961" w:type="dxa"/>
            <w:vMerge/>
            <w:vAlign w:val="center"/>
            <w:hideMark/>
          </w:tcPr>
          <w:p w14:paraId="6893C4F9" w14:textId="77777777" w:rsidR="00574397" w:rsidRPr="00445472" w:rsidRDefault="00574397" w:rsidP="001D340B">
            <w:pPr>
              <w:rPr>
                <w:rFonts w:ascii="Garamond" w:hAnsi="Garamond" w:cs="Arial"/>
                <w:sz w:val="18"/>
                <w:szCs w:val="18"/>
              </w:rPr>
            </w:pPr>
          </w:p>
        </w:tc>
        <w:tc>
          <w:tcPr>
            <w:tcW w:w="1449" w:type="dxa"/>
            <w:vMerge/>
            <w:vAlign w:val="center"/>
            <w:hideMark/>
          </w:tcPr>
          <w:p w14:paraId="07F8645E"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5F2F30CE"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Gratë</w:t>
            </w:r>
          </w:p>
        </w:tc>
        <w:tc>
          <w:tcPr>
            <w:tcW w:w="4836" w:type="dxa"/>
            <w:shd w:val="clear" w:color="auto" w:fill="auto"/>
            <w:noWrap/>
            <w:vAlign w:val="center"/>
          </w:tcPr>
          <w:p w14:paraId="307033B1" w14:textId="77777777" w:rsidR="00574397" w:rsidRPr="00445472" w:rsidRDefault="00574397" w:rsidP="001D340B">
            <w:pPr>
              <w:jc w:val="center"/>
              <w:rPr>
                <w:rFonts w:ascii="Garamond" w:hAnsi="Garamond" w:cs="Arial"/>
                <w:sz w:val="18"/>
                <w:szCs w:val="18"/>
              </w:rPr>
            </w:pPr>
            <w:r w:rsidRPr="00445472">
              <w:rPr>
                <w:rFonts w:ascii="Garamond" w:hAnsi="Garamond" w:cs="Arial"/>
                <w:noProof/>
                <w:sz w:val="18"/>
                <w:szCs w:val="18"/>
                <w:lang w:val="en-US"/>
              </w:rPr>
              <w:drawing>
                <wp:inline distT="0" distB="0" distL="0" distR="0" wp14:anchorId="430DC75B" wp14:editId="02A5D4CA">
                  <wp:extent cx="2901950" cy="1554480"/>
                  <wp:effectExtent l="0" t="0" r="0" b="0"/>
                  <wp:docPr id="63"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901950" cy="1554480"/>
                          </a:xfrm>
                          <a:prstGeom prst="rect">
                            <a:avLst/>
                          </a:prstGeom>
                          <a:noFill/>
                          <a:ln>
                            <a:noFill/>
                          </a:ln>
                        </pic:spPr>
                      </pic:pic>
                    </a:graphicData>
                  </a:graphic>
                </wp:inline>
              </w:drawing>
            </w:r>
          </w:p>
        </w:tc>
      </w:tr>
      <w:tr w:rsidR="00574397" w:rsidRPr="00445472" w14:paraId="71BE0612" w14:textId="77777777" w:rsidTr="00214F54">
        <w:trPr>
          <w:trHeight w:val="176"/>
          <w:jc w:val="center"/>
        </w:trPr>
        <w:tc>
          <w:tcPr>
            <w:tcW w:w="1149" w:type="dxa"/>
            <w:vMerge/>
            <w:vAlign w:val="center"/>
            <w:hideMark/>
          </w:tcPr>
          <w:p w14:paraId="386E03A2" w14:textId="77777777" w:rsidR="00574397" w:rsidRPr="00445472" w:rsidRDefault="00574397" w:rsidP="001D340B">
            <w:pPr>
              <w:rPr>
                <w:rFonts w:ascii="Garamond" w:hAnsi="Garamond" w:cs="Arial"/>
                <w:sz w:val="18"/>
                <w:szCs w:val="18"/>
              </w:rPr>
            </w:pPr>
          </w:p>
        </w:tc>
        <w:tc>
          <w:tcPr>
            <w:tcW w:w="961" w:type="dxa"/>
            <w:vMerge/>
            <w:vAlign w:val="center"/>
            <w:hideMark/>
          </w:tcPr>
          <w:p w14:paraId="6F8E3CC8" w14:textId="77777777" w:rsidR="00574397" w:rsidRPr="00445472" w:rsidRDefault="00574397" w:rsidP="001D340B">
            <w:pPr>
              <w:rPr>
                <w:rFonts w:ascii="Garamond" w:hAnsi="Garamond" w:cs="Arial"/>
                <w:sz w:val="18"/>
                <w:szCs w:val="18"/>
              </w:rPr>
            </w:pPr>
          </w:p>
        </w:tc>
        <w:tc>
          <w:tcPr>
            <w:tcW w:w="1449" w:type="dxa"/>
            <w:vMerge/>
            <w:vAlign w:val="center"/>
            <w:hideMark/>
          </w:tcPr>
          <w:p w14:paraId="3EBECA2E" w14:textId="77777777" w:rsidR="00574397" w:rsidRPr="00445472" w:rsidRDefault="00574397" w:rsidP="001D340B">
            <w:pPr>
              <w:rPr>
                <w:rFonts w:ascii="Garamond" w:hAnsi="Garamond" w:cs="Arial"/>
                <w:sz w:val="18"/>
                <w:szCs w:val="18"/>
              </w:rPr>
            </w:pPr>
          </w:p>
        </w:tc>
        <w:tc>
          <w:tcPr>
            <w:tcW w:w="1415" w:type="dxa"/>
            <w:shd w:val="clear" w:color="auto" w:fill="auto"/>
            <w:noWrap/>
            <w:vAlign w:val="center"/>
            <w:hideMark/>
          </w:tcPr>
          <w:p w14:paraId="385F1490" w14:textId="77777777" w:rsidR="00574397" w:rsidRPr="00445472" w:rsidRDefault="00574397" w:rsidP="001D340B">
            <w:pPr>
              <w:jc w:val="center"/>
              <w:rPr>
                <w:rFonts w:ascii="Garamond" w:hAnsi="Garamond" w:cs="Arial"/>
                <w:sz w:val="18"/>
                <w:szCs w:val="18"/>
              </w:rPr>
            </w:pPr>
            <w:r w:rsidRPr="00445472">
              <w:rPr>
                <w:rFonts w:ascii="Garamond" w:hAnsi="Garamond" w:cs="Arial"/>
                <w:sz w:val="18"/>
                <w:szCs w:val="18"/>
              </w:rPr>
              <w:t>Fermerët</w:t>
            </w:r>
          </w:p>
        </w:tc>
        <w:tc>
          <w:tcPr>
            <w:tcW w:w="4836" w:type="dxa"/>
            <w:shd w:val="clear" w:color="auto" w:fill="auto"/>
            <w:noWrap/>
            <w:vAlign w:val="center"/>
          </w:tcPr>
          <w:p w14:paraId="32A4A796" w14:textId="77777777" w:rsidR="00574397" w:rsidRPr="00445472" w:rsidRDefault="00574397" w:rsidP="001D340B">
            <w:pPr>
              <w:jc w:val="center"/>
              <w:rPr>
                <w:rFonts w:ascii="Garamond" w:hAnsi="Garamond" w:cs="Arial"/>
                <w:sz w:val="18"/>
                <w:szCs w:val="18"/>
              </w:rPr>
            </w:pPr>
            <w:r w:rsidRPr="00445472">
              <w:rPr>
                <w:rFonts w:ascii="Garamond" w:hAnsi="Garamond" w:cs="Arial"/>
                <w:noProof/>
                <w:sz w:val="18"/>
                <w:szCs w:val="18"/>
                <w:lang w:val="en-US"/>
              </w:rPr>
              <w:drawing>
                <wp:inline distT="0" distB="0" distL="0" distR="0" wp14:anchorId="2EE0FDFC" wp14:editId="087C73A9">
                  <wp:extent cx="1859280" cy="2627630"/>
                  <wp:effectExtent l="0" t="0" r="0" b="0"/>
                  <wp:docPr id="6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59280" cy="2627630"/>
                          </a:xfrm>
                          <a:prstGeom prst="rect">
                            <a:avLst/>
                          </a:prstGeom>
                          <a:noFill/>
                          <a:ln>
                            <a:noFill/>
                          </a:ln>
                        </pic:spPr>
                      </pic:pic>
                    </a:graphicData>
                  </a:graphic>
                </wp:inline>
              </w:drawing>
            </w:r>
          </w:p>
        </w:tc>
      </w:tr>
      <w:tr w:rsidR="00574397" w:rsidRPr="00445472" w14:paraId="4F4A9572" w14:textId="77777777" w:rsidTr="00214F54">
        <w:trPr>
          <w:trHeight w:val="176"/>
          <w:jc w:val="center"/>
        </w:trPr>
        <w:tc>
          <w:tcPr>
            <w:tcW w:w="1149" w:type="dxa"/>
            <w:vMerge/>
            <w:vAlign w:val="center"/>
            <w:hideMark/>
          </w:tcPr>
          <w:p w14:paraId="21FBE5EA" w14:textId="77777777" w:rsidR="00574397" w:rsidRPr="00445472" w:rsidRDefault="00574397" w:rsidP="001D340B">
            <w:pPr>
              <w:rPr>
                <w:rFonts w:ascii="Garamond" w:hAnsi="Garamond" w:cs="Arial"/>
                <w:sz w:val="18"/>
                <w:szCs w:val="18"/>
              </w:rPr>
            </w:pPr>
          </w:p>
        </w:tc>
        <w:tc>
          <w:tcPr>
            <w:tcW w:w="961" w:type="dxa"/>
            <w:shd w:val="clear" w:color="auto" w:fill="auto"/>
            <w:noWrap/>
            <w:vAlign w:val="center"/>
          </w:tcPr>
          <w:p w14:paraId="57B001C5" w14:textId="77777777" w:rsidR="00574397" w:rsidRPr="00445472" w:rsidRDefault="00574397" w:rsidP="001D340B">
            <w:pPr>
              <w:jc w:val="center"/>
              <w:rPr>
                <w:rFonts w:ascii="Garamond" w:hAnsi="Garamond" w:cs="Arial"/>
                <w:sz w:val="18"/>
                <w:szCs w:val="18"/>
              </w:rPr>
            </w:pPr>
          </w:p>
        </w:tc>
        <w:tc>
          <w:tcPr>
            <w:tcW w:w="1449" w:type="dxa"/>
            <w:shd w:val="clear" w:color="auto" w:fill="auto"/>
            <w:noWrap/>
            <w:vAlign w:val="center"/>
          </w:tcPr>
          <w:p w14:paraId="1640D283" w14:textId="77777777" w:rsidR="00574397" w:rsidRPr="00445472" w:rsidRDefault="00574397" w:rsidP="001D340B">
            <w:pPr>
              <w:jc w:val="center"/>
              <w:rPr>
                <w:rFonts w:ascii="Garamond" w:hAnsi="Garamond" w:cs="Arial"/>
                <w:sz w:val="18"/>
                <w:szCs w:val="18"/>
              </w:rPr>
            </w:pPr>
          </w:p>
        </w:tc>
        <w:tc>
          <w:tcPr>
            <w:tcW w:w="1415" w:type="dxa"/>
            <w:shd w:val="clear" w:color="auto" w:fill="auto"/>
            <w:noWrap/>
            <w:vAlign w:val="center"/>
            <w:hideMark/>
          </w:tcPr>
          <w:p w14:paraId="4FD8AD4D" w14:textId="2678DBC8" w:rsidR="00574397" w:rsidRPr="00445472" w:rsidRDefault="00574397" w:rsidP="001D340B">
            <w:pPr>
              <w:jc w:val="center"/>
              <w:rPr>
                <w:rFonts w:ascii="Garamond" w:hAnsi="Garamond" w:cs="Arial"/>
                <w:sz w:val="18"/>
                <w:szCs w:val="18"/>
              </w:rPr>
            </w:pPr>
            <w:r w:rsidRPr="00445472">
              <w:rPr>
                <w:rFonts w:ascii="Garamond" w:hAnsi="Garamond" w:cs="Arial"/>
                <w:sz w:val="18"/>
                <w:szCs w:val="18"/>
              </w:rPr>
              <w:t xml:space="preserve">Punonjësit e </w:t>
            </w:r>
            <w:r w:rsidR="006302B2" w:rsidRPr="00445472">
              <w:rPr>
                <w:rFonts w:ascii="Garamond" w:hAnsi="Garamond" w:cs="Arial"/>
                <w:sz w:val="18"/>
                <w:szCs w:val="18"/>
              </w:rPr>
              <w:t>shëndetësisë</w:t>
            </w:r>
          </w:p>
        </w:tc>
        <w:tc>
          <w:tcPr>
            <w:tcW w:w="4836" w:type="dxa"/>
            <w:shd w:val="clear" w:color="auto" w:fill="auto"/>
            <w:noWrap/>
            <w:vAlign w:val="center"/>
          </w:tcPr>
          <w:p w14:paraId="467D4847" w14:textId="77777777" w:rsidR="00574397" w:rsidRPr="00445472" w:rsidRDefault="00574397" w:rsidP="001D340B">
            <w:pPr>
              <w:rPr>
                <w:rFonts w:ascii="Garamond" w:hAnsi="Garamond" w:cs="Arial"/>
                <w:sz w:val="18"/>
                <w:szCs w:val="18"/>
              </w:rPr>
            </w:pPr>
            <w:r w:rsidRPr="00445472">
              <w:rPr>
                <w:rFonts w:ascii="Garamond" w:hAnsi="Garamond" w:cs="Arial"/>
                <w:noProof/>
                <w:sz w:val="18"/>
                <w:szCs w:val="18"/>
                <w:lang w:val="en-US"/>
              </w:rPr>
              <w:drawing>
                <wp:inline distT="0" distB="0" distL="0" distR="0" wp14:anchorId="296DCCF9" wp14:editId="745D373C">
                  <wp:extent cx="2858770" cy="1603375"/>
                  <wp:effectExtent l="0" t="0" r="0" b="0"/>
                  <wp:docPr id="6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858770" cy="1603375"/>
                          </a:xfrm>
                          <a:prstGeom prst="rect">
                            <a:avLst/>
                          </a:prstGeom>
                          <a:noFill/>
                          <a:ln>
                            <a:noFill/>
                          </a:ln>
                        </pic:spPr>
                      </pic:pic>
                    </a:graphicData>
                  </a:graphic>
                </wp:inline>
              </w:drawing>
            </w:r>
          </w:p>
        </w:tc>
      </w:tr>
    </w:tbl>
    <w:p w14:paraId="7B542574" w14:textId="77777777" w:rsidR="00574397" w:rsidRPr="00445472" w:rsidRDefault="00574397" w:rsidP="00214F54">
      <w:pPr>
        <w:pStyle w:val="TEKSTIIII"/>
      </w:pPr>
    </w:p>
    <w:p w14:paraId="662DDAAF" w14:textId="77777777" w:rsidR="00574397" w:rsidRPr="00445472" w:rsidRDefault="00574397" w:rsidP="00214F54">
      <w:pPr>
        <w:pStyle w:val="NENTITULL"/>
      </w:pPr>
      <w:bookmarkStart w:id="380" w:name="_Toc11068925"/>
      <w:r w:rsidRPr="00445472">
        <w:t>6.5 Angazhimi i OJQ-ve</w:t>
      </w:r>
      <w:bookmarkEnd w:id="380"/>
    </w:p>
    <w:p w14:paraId="082B5C0C" w14:textId="712D08A8" w:rsidR="00574397" w:rsidRPr="00445472" w:rsidRDefault="00574397" w:rsidP="00214F54">
      <w:pPr>
        <w:pStyle w:val="TEKSTIIII"/>
      </w:pPr>
      <w:bookmarkStart w:id="381" w:name="_Toc481054631"/>
      <w:r w:rsidRPr="00445472">
        <w:t>Përpara mbledhjeve me OJQ-të, është hartuar dhe përgatitur një listë me OJQ-të e përshtatshme me kualifikime të ndryshme që mund të jenë të dobishme për planin e menaxhimit të baseneve ujore</w:t>
      </w:r>
      <w:r w:rsidR="008F0A9F" w:rsidRPr="00445472">
        <w:t>, si dhe</w:t>
      </w:r>
      <w:r w:rsidRPr="00445472">
        <w:t xml:space="preserve"> janë dërguar kërkesat për mbledhje. Disa nga OJQ-të i janë përgjigjur kërkesës për organizimin e mbledhjeve.</w:t>
      </w:r>
    </w:p>
    <w:p w14:paraId="0276DE21" w14:textId="77777777" w:rsidR="00574397" w:rsidRPr="00445472" w:rsidRDefault="00574397" w:rsidP="00214F54">
      <w:pPr>
        <w:pStyle w:val="TEKSTIIII"/>
      </w:pPr>
      <w:r w:rsidRPr="00445472">
        <w:t xml:space="preserve">Mbledhjet janë organizuar më 20 dhe 24 mars 2017 në zyrat e OJQ-ve. </w:t>
      </w:r>
    </w:p>
    <w:p w14:paraId="25343A15" w14:textId="36278DA5" w:rsidR="00574397" w:rsidRPr="00445472" w:rsidRDefault="00574397" w:rsidP="00214F54">
      <w:pPr>
        <w:pStyle w:val="TEKSTIIII"/>
      </w:pPr>
      <w:r w:rsidRPr="00445472">
        <w:t>Ekipi i projektit prezantoi shkurtimisht planet e menaxhimit të baseneve ujore me fokus kryesor në objektivin dhe qëllimin e projektit. Në përgjithësi, OJQ-të mbështesin zhvillimin e planeve të menaxhimit të ujit, programin e zbatimit të masave</w:t>
      </w:r>
      <w:r w:rsidR="008F0A9F" w:rsidRPr="00445472">
        <w:t>, si dhe</w:t>
      </w:r>
      <w:r w:rsidRPr="00445472">
        <w:t xml:space="preserve"> pranojnë qasjen, por gjithashtu bëjnë sugjerime të ndryshme, siç shfaqen në tabelën e mëposhtme:</w:t>
      </w:r>
      <w:bookmarkEnd w:id="381"/>
    </w:p>
    <w:p w14:paraId="5FA503E8" w14:textId="77777777" w:rsidR="00574397" w:rsidRPr="00445472" w:rsidRDefault="00574397" w:rsidP="00A447CC">
      <w:pPr>
        <w:pStyle w:val="TEKSTIIII"/>
      </w:pPr>
    </w:p>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875"/>
        <w:gridCol w:w="5697"/>
      </w:tblGrid>
      <w:tr w:rsidR="00574397" w:rsidRPr="00445472" w14:paraId="3C263951" w14:textId="77777777" w:rsidTr="006302B2">
        <w:trPr>
          <w:trHeight w:val="300"/>
          <w:tblHeader/>
        </w:trPr>
        <w:tc>
          <w:tcPr>
            <w:tcW w:w="2024" w:type="pct"/>
            <w:shd w:val="clear" w:color="000000" w:fill="BFBFBF"/>
            <w:noWrap/>
            <w:vAlign w:val="center"/>
            <w:hideMark/>
          </w:tcPr>
          <w:p w14:paraId="19709AAE" w14:textId="77777777" w:rsidR="00574397" w:rsidRPr="00445472" w:rsidRDefault="00574397" w:rsidP="006302B2">
            <w:pPr>
              <w:rPr>
                <w:rFonts w:ascii="Garamond" w:hAnsi="Garamond" w:cs="Arial"/>
                <w:b/>
                <w:bCs/>
                <w:iCs/>
                <w:sz w:val="18"/>
                <w:szCs w:val="18"/>
              </w:rPr>
            </w:pPr>
            <w:r w:rsidRPr="00445472">
              <w:rPr>
                <w:rFonts w:ascii="Garamond" w:hAnsi="Garamond" w:cs="Arial"/>
                <w:b/>
                <w:bCs/>
                <w:iCs/>
                <w:sz w:val="18"/>
                <w:szCs w:val="18"/>
              </w:rPr>
              <w:t>Pyetje/sugjerime</w:t>
            </w:r>
          </w:p>
        </w:tc>
        <w:tc>
          <w:tcPr>
            <w:tcW w:w="2976" w:type="pct"/>
            <w:shd w:val="clear" w:color="000000" w:fill="BFBFBF"/>
            <w:noWrap/>
            <w:vAlign w:val="center"/>
            <w:hideMark/>
          </w:tcPr>
          <w:p w14:paraId="0FEAC222" w14:textId="77777777" w:rsidR="00574397" w:rsidRPr="00445472" w:rsidRDefault="00574397" w:rsidP="006302B2">
            <w:pPr>
              <w:rPr>
                <w:rFonts w:ascii="Garamond" w:hAnsi="Garamond" w:cs="Arial"/>
                <w:b/>
                <w:bCs/>
                <w:iCs/>
                <w:sz w:val="18"/>
                <w:szCs w:val="18"/>
              </w:rPr>
            </w:pPr>
            <w:r w:rsidRPr="00445472">
              <w:rPr>
                <w:rFonts w:ascii="Garamond" w:hAnsi="Garamond" w:cs="Arial"/>
                <w:b/>
                <w:bCs/>
                <w:iCs/>
                <w:sz w:val="18"/>
                <w:szCs w:val="18"/>
              </w:rPr>
              <w:t>Përgjigje</w:t>
            </w:r>
          </w:p>
        </w:tc>
      </w:tr>
      <w:tr w:rsidR="00574397" w:rsidRPr="00445472" w14:paraId="406DE6E1" w14:textId="77777777" w:rsidTr="001D340B">
        <w:trPr>
          <w:trHeight w:val="1200"/>
        </w:trPr>
        <w:tc>
          <w:tcPr>
            <w:tcW w:w="2024" w:type="pct"/>
            <w:shd w:val="clear" w:color="auto" w:fill="auto"/>
            <w:vAlign w:val="center"/>
            <w:hideMark/>
          </w:tcPr>
          <w:p w14:paraId="21719D49"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Meqë uji është aset i pazëvendësueshëm, a mund të eksportohet? Kjo mund të rrisë të ardhurat dhe gjithashtu mund të ndihmojë vendet e tjera që kanë nevojë për ujë.</w:t>
            </w:r>
          </w:p>
        </w:tc>
        <w:tc>
          <w:tcPr>
            <w:tcW w:w="2976" w:type="pct"/>
            <w:shd w:val="clear" w:color="auto" w:fill="auto"/>
            <w:vAlign w:val="center"/>
            <w:hideMark/>
          </w:tcPr>
          <w:p w14:paraId="1EABD097"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Kjo është një çështje që plani i menaxhimit të ujit nuk mund të japë një përgjigje të saktë pasi fillimisht duhet të përcaktojmë nëse uji është produkt apo burim. Ky është një vendim që do të merret nga qeveria dhe komuniteti në Shqipëri.</w:t>
            </w:r>
          </w:p>
        </w:tc>
      </w:tr>
      <w:tr w:rsidR="00574397" w:rsidRPr="00445472" w14:paraId="10E6C028" w14:textId="77777777" w:rsidTr="001D340B">
        <w:trPr>
          <w:trHeight w:val="770"/>
        </w:trPr>
        <w:tc>
          <w:tcPr>
            <w:tcW w:w="2024" w:type="pct"/>
            <w:shd w:val="clear" w:color="auto" w:fill="auto"/>
            <w:vAlign w:val="center"/>
            <w:hideMark/>
          </w:tcPr>
          <w:p w14:paraId="533F1E27"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Pyetja e ngritur është, para përcaktimit të objektivave, a është vlerësuar gjendja aktuale dhe reale e baseneve?</w:t>
            </w:r>
          </w:p>
        </w:tc>
        <w:tc>
          <w:tcPr>
            <w:tcW w:w="2976" w:type="pct"/>
            <w:shd w:val="clear" w:color="auto" w:fill="auto"/>
            <w:vAlign w:val="center"/>
            <w:hideMark/>
          </w:tcPr>
          <w:p w14:paraId="3774A4E5"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Është bërë një përmbledhje e përgjithshme e baseneve ujore dhe më pas janë hartuar planet e menaxhimit të baseneve ujore, në përputhje me strategjinë përkatëse kombëtare</w:t>
            </w:r>
          </w:p>
        </w:tc>
      </w:tr>
      <w:tr w:rsidR="00574397" w:rsidRPr="00445472" w14:paraId="74FDE9CC" w14:textId="77777777" w:rsidTr="001D340B">
        <w:trPr>
          <w:trHeight w:val="300"/>
        </w:trPr>
        <w:tc>
          <w:tcPr>
            <w:tcW w:w="2024" w:type="pct"/>
            <w:shd w:val="clear" w:color="auto" w:fill="auto"/>
            <w:vAlign w:val="center"/>
            <w:hideMark/>
          </w:tcPr>
          <w:p w14:paraId="7F6685A2"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Si do të menaxhohet uji?</w:t>
            </w:r>
          </w:p>
        </w:tc>
        <w:tc>
          <w:tcPr>
            <w:tcW w:w="2976" w:type="pct"/>
            <w:vMerge w:val="restart"/>
            <w:shd w:val="clear" w:color="auto" w:fill="auto"/>
            <w:vAlign w:val="center"/>
            <w:hideMark/>
          </w:tcPr>
          <w:p w14:paraId="1B21A685" w14:textId="2CC123ED" w:rsidR="00574397" w:rsidRPr="00445472" w:rsidRDefault="00574397" w:rsidP="001D340B">
            <w:pPr>
              <w:rPr>
                <w:rFonts w:ascii="Garamond" w:hAnsi="Garamond" w:cs="Arial"/>
                <w:sz w:val="18"/>
                <w:szCs w:val="18"/>
              </w:rPr>
            </w:pPr>
            <w:r w:rsidRPr="00445472">
              <w:rPr>
                <w:rFonts w:ascii="Garamond" w:hAnsi="Garamond" w:cs="Arial"/>
                <w:sz w:val="18"/>
                <w:szCs w:val="18"/>
              </w:rPr>
              <w:t>U zhvillua një strategji për menaxhimin e ujërave bazuar në katër parime:</w:t>
            </w:r>
            <w:r w:rsidRPr="00445472">
              <w:rPr>
                <w:rFonts w:ascii="Garamond" w:hAnsi="Garamond" w:cs="Arial"/>
                <w:sz w:val="18"/>
                <w:szCs w:val="18"/>
              </w:rPr>
              <w:br/>
              <w:t xml:space="preserve">- </w:t>
            </w:r>
            <w:r w:rsidR="006302B2" w:rsidRPr="00445472">
              <w:rPr>
                <w:rFonts w:ascii="Garamond" w:hAnsi="Garamond" w:cs="Arial"/>
                <w:sz w:val="18"/>
                <w:szCs w:val="18"/>
              </w:rPr>
              <w:t>u</w:t>
            </w:r>
            <w:r w:rsidRPr="00445472">
              <w:rPr>
                <w:rFonts w:ascii="Garamond" w:hAnsi="Garamond" w:cs="Arial"/>
                <w:sz w:val="18"/>
                <w:szCs w:val="18"/>
              </w:rPr>
              <w:t>ji për njerëzit</w:t>
            </w:r>
            <w:r w:rsidR="006302B2" w:rsidRPr="00445472">
              <w:rPr>
                <w:rFonts w:ascii="Garamond" w:hAnsi="Garamond" w:cs="Arial"/>
                <w:sz w:val="18"/>
                <w:szCs w:val="18"/>
              </w:rPr>
              <w:t>;</w:t>
            </w:r>
            <w:r w:rsidRPr="00445472">
              <w:rPr>
                <w:rFonts w:ascii="Garamond" w:hAnsi="Garamond" w:cs="Arial"/>
                <w:sz w:val="18"/>
                <w:szCs w:val="18"/>
              </w:rPr>
              <w:br/>
              <w:t xml:space="preserve">- </w:t>
            </w:r>
            <w:r w:rsidR="006302B2" w:rsidRPr="00445472">
              <w:rPr>
                <w:rFonts w:ascii="Garamond" w:hAnsi="Garamond" w:cs="Arial"/>
                <w:sz w:val="18"/>
                <w:szCs w:val="18"/>
              </w:rPr>
              <w:t>u</w:t>
            </w:r>
            <w:r w:rsidRPr="00445472">
              <w:rPr>
                <w:rFonts w:ascii="Garamond" w:hAnsi="Garamond" w:cs="Arial"/>
                <w:sz w:val="18"/>
                <w:szCs w:val="18"/>
              </w:rPr>
              <w:t>ji për ushqimin</w:t>
            </w:r>
            <w:r w:rsidR="006302B2" w:rsidRPr="00445472">
              <w:rPr>
                <w:rFonts w:ascii="Garamond" w:hAnsi="Garamond" w:cs="Arial"/>
                <w:sz w:val="18"/>
                <w:szCs w:val="18"/>
              </w:rPr>
              <w:t>;</w:t>
            </w:r>
            <w:r w:rsidRPr="00445472">
              <w:rPr>
                <w:rFonts w:ascii="Garamond" w:hAnsi="Garamond" w:cs="Arial"/>
                <w:sz w:val="18"/>
                <w:szCs w:val="18"/>
              </w:rPr>
              <w:br/>
              <w:t xml:space="preserve">- </w:t>
            </w:r>
            <w:r w:rsidR="006302B2" w:rsidRPr="00445472">
              <w:rPr>
                <w:rFonts w:ascii="Garamond" w:hAnsi="Garamond" w:cs="Arial"/>
                <w:sz w:val="18"/>
                <w:szCs w:val="18"/>
              </w:rPr>
              <w:t>u</w:t>
            </w:r>
            <w:r w:rsidRPr="00445472">
              <w:rPr>
                <w:rFonts w:ascii="Garamond" w:hAnsi="Garamond" w:cs="Arial"/>
                <w:sz w:val="18"/>
                <w:szCs w:val="18"/>
              </w:rPr>
              <w:t>ji për mjedisin</w:t>
            </w:r>
            <w:r w:rsidR="006302B2" w:rsidRPr="00445472">
              <w:rPr>
                <w:rFonts w:ascii="Garamond" w:hAnsi="Garamond" w:cs="Arial"/>
                <w:sz w:val="18"/>
                <w:szCs w:val="18"/>
              </w:rPr>
              <w:t>;</w:t>
            </w:r>
            <w:r w:rsidRPr="00445472">
              <w:rPr>
                <w:rFonts w:ascii="Garamond" w:hAnsi="Garamond" w:cs="Arial"/>
                <w:sz w:val="18"/>
                <w:szCs w:val="18"/>
              </w:rPr>
              <w:br/>
              <w:t xml:space="preserve">- </w:t>
            </w:r>
            <w:r w:rsidR="006302B2" w:rsidRPr="00445472">
              <w:rPr>
                <w:rFonts w:ascii="Garamond" w:hAnsi="Garamond" w:cs="Arial"/>
                <w:sz w:val="18"/>
                <w:szCs w:val="18"/>
              </w:rPr>
              <w:t>u</w:t>
            </w:r>
            <w:r w:rsidRPr="00445472">
              <w:rPr>
                <w:rFonts w:ascii="Garamond" w:hAnsi="Garamond" w:cs="Arial"/>
                <w:sz w:val="18"/>
                <w:szCs w:val="18"/>
              </w:rPr>
              <w:t>ji për industrinë</w:t>
            </w:r>
            <w:r w:rsidR="006302B2" w:rsidRPr="00445472">
              <w:rPr>
                <w:rFonts w:ascii="Garamond" w:hAnsi="Garamond" w:cs="Arial"/>
                <w:sz w:val="18"/>
                <w:szCs w:val="18"/>
              </w:rPr>
              <w:t>.</w:t>
            </w:r>
            <w:r w:rsidRPr="00445472">
              <w:rPr>
                <w:rFonts w:ascii="Garamond" w:hAnsi="Garamond" w:cs="Arial"/>
                <w:sz w:val="18"/>
                <w:szCs w:val="18"/>
              </w:rPr>
              <w:br/>
              <w:t>Problemet individuale me të cilat ndeshet çdo basen ujor janë pjesë e plant të menaxhimit për basenin ujor.</w:t>
            </w:r>
          </w:p>
        </w:tc>
      </w:tr>
      <w:tr w:rsidR="00574397" w:rsidRPr="00445472" w14:paraId="22F73216" w14:textId="77777777" w:rsidTr="001D340B">
        <w:trPr>
          <w:trHeight w:val="600"/>
        </w:trPr>
        <w:tc>
          <w:tcPr>
            <w:tcW w:w="2024" w:type="pct"/>
            <w:shd w:val="clear" w:color="auto" w:fill="auto"/>
            <w:vAlign w:val="center"/>
            <w:hideMark/>
          </w:tcPr>
          <w:p w14:paraId="4BFF1AC3"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Përveç studimit, nevojitet gjithashtu edhe demonstrim në praktikë dhe monitorim.</w:t>
            </w:r>
          </w:p>
        </w:tc>
        <w:tc>
          <w:tcPr>
            <w:tcW w:w="2976" w:type="pct"/>
            <w:vMerge/>
            <w:vAlign w:val="center"/>
            <w:hideMark/>
          </w:tcPr>
          <w:p w14:paraId="14B29B29" w14:textId="77777777" w:rsidR="00574397" w:rsidRPr="00445472" w:rsidRDefault="00574397" w:rsidP="001D340B">
            <w:pPr>
              <w:rPr>
                <w:rFonts w:ascii="Garamond" w:hAnsi="Garamond" w:cs="Arial"/>
                <w:sz w:val="18"/>
                <w:szCs w:val="18"/>
              </w:rPr>
            </w:pPr>
          </w:p>
        </w:tc>
      </w:tr>
      <w:tr w:rsidR="00574397" w:rsidRPr="00445472" w14:paraId="5AB10574" w14:textId="77777777" w:rsidTr="001D340B">
        <w:trPr>
          <w:trHeight w:val="660"/>
        </w:trPr>
        <w:tc>
          <w:tcPr>
            <w:tcW w:w="2024" w:type="pct"/>
            <w:shd w:val="clear" w:color="auto" w:fill="auto"/>
            <w:vAlign w:val="center"/>
            <w:hideMark/>
          </w:tcPr>
          <w:p w14:paraId="004946B2"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Si prioritet duhet të jetë uji i pijshëm për njerëzit, siç tregohet në strategjinë tuaj.</w:t>
            </w:r>
          </w:p>
        </w:tc>
        <w:tc>
          <w:tcPr>
            <w:tcW w:w="2976" w:type="pct"/>
            <w:vMerge/>
            <w:vAlign w:val="center"/>
            <w:hideMark/>
          </w:tcPr>
          <w:p w14:paraId="1629BFD5" w14:textId="77777777" w:rsidR="00574397" w:rsidRPr="00445472" w:rsidRDefault="00574397" w:rsidP="001D340B">
            <w:pPr>
              <w:rPr>
                <w:rFonts w:ascii="Garamond" w:hAnsi="Garamond" w:cs="Arial"/>
                <w:sz w:val="18"/>
                <w:szCs w:val="18"/>
              </w:rPr>
            </w:pPr>
          </w:p>
        </w:tc>
      </w:tr>
      <w:tr w:rsidR="00574397" w:rsidRPr="00445472" w14:paraId="6823EF1C" w14:textId="77777777" w:rsidTr="001D340B">
        <w:trPr>
          <w:trHeight w:val="600"/>
        </w:trPr>
        <w:tc>
          <w:tcPr>
            <w:tcW w:w="2024" w:type="pct"/>
            <w:shd w:val="clear" w:color="auto" w:fill="auto"/>
            <w:vAlign w:val="center"/>
            <w:hideMark/>
          </w:tcPr>
          <w:p w14:paraId="542B0864"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Sistemi i ujitjes është amortizuar.</w:t>
            </w:r>
          </w:p>
        </w:tc>
        <w:tc>
          <w:tcPr>
            <w:tcW w:w="2976" w:type="pct"/>
            <w:vMerge/>
            <w:vAlign w:val="center"/>
            <w:hideMark/>
          </w:tcPr>
          <w:p w14:paraId="11EDBACC" w14:textId="77777777" w:rsidR="00574397" w:rsidRPr="00445472" w:rsidRDefault="00574397" w:rsidP="001D340B">
            <w:pPr>
              <w:rPr>
                <w:rFonts w:ascii="Garamond" w:hAnsi="Garamond" w:cs="Arial"/>
                <w:sz w:val="18"/>
                <w:szCs w:val="18"/>
              </w:rPr>
            </w:pPr>
          </w:p>
        </w:tc>
      </w:tr>
      <w:tr w:rsidR="00574397" w:rsidRPr="00445472" w14:paraId="238A0133" w14:textId="77777777" w:rsidTr="001D340B">
        <w:trPr>
          <w:trHeight w:val="300"/>
        </w:trPr>
        <w:tc>
          <w:tcPr>
            <w:tcW w:w="2024" w:type="pct"/>
            <w:shd w:val="clear" w:color="auto" w:fill="auto"/>
            <w:noWrap/>
            <w:vAlign w:val="center"/>
            <w:hideMark/>
          </w:tcPr>
          <w:p w14:paraId="4598FE8E"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 xml:space="preserve">Sugjerim </w:t>
            </w:r>
          </w:p>
        </w:tc>
        <w:tc>
          <w:tcPr>
            <w:tcW w:w="2976" w:type="pct"/>
            <w:vMerge/>
            <w:vAlign w:val="center"/>
            <w:hideMark/>
          </w:tcPr>
          <w:p w14:paraId="196A7151" w14:textId="77777777" w:rsidR="00574397" w:rsidRPr="00445472" w:rsidRDefault="00574397" w:rsidP="001D340B">
            <w:pPr>
              <w:rPr>
                <w:rFonts w:ascii="Garamond" w:hAnsi="Garamond" w:cs="Arial"/>
                <w:sz w:val="18"/>
                <w:szCs w:val="18"/>
              </w:rPr>
            </w:pPr>
          </w:p>
        </w:tc>
      </w:tr>
      <w:tr w:rsidR="00574397" w:rsidRPr="00445472" w14:paraId="76DEA664" w14:textId="77777777" w:rsidTr="001D340B">
        <w:trPr>
          <w:trHeight w:val="536"/>
        </w:trPr>
        <w:tc>
          <w:tcPr>
            <w:tcW w:w="2024" w:type="pct"/>
            <w:shd w:val="clear" w:color="auto" w:fill="auto"/>
            <w:noWrap/>
            <w:vAlign w:val="center"/>
            <w:hideMark/>
          </w:tcPr>
          <w:p w14:paraId="005CD407"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Ka mungesë të ujit të pijshëm në shumë zona.</w:t>
            </w:r>
          </w:p>
        </w:tc>
        <w:tc>
          <w:tcPr>
            <w:tcW w:w="2976" w:type="pct"/>
            <w:shd w:val="clear" w:color="auto" w:fill="auto"/>
            <w:noWrap/>
            <w:vAlign w:val="center"/>
            <w:hideMark/>
          </w:tcPr>
          <w:p w14:paraId="043EC380" w14:textId="77777777" w:rsidR="00574397" w:rsidRPr="00445472" w:rsidRDefault="00574397" w:rsidP="001D340B">
            <w:pPr>
              <w:rPr>
                <w:rFonts w:ascii="Garamond" w:hAnsi="Garamond" w:cs="Arial"/>
                <w:sz w:val="18"/>
                <w:szCs w:val="18"/>
              </w:rPr>
            </w:pPr>
            <w:r w:rsidRPr="00445472">
              <w:rPr>
                <w:rFonts w:ascii="Garamond" w:hAnsi="Garamond" w:cs="Arial"/>
                <w:sz w:val="18"/>
                <w:szCs w:val="18"/>
              </w:rPr>
              <w:t>Uji duhet parë si burim natyror dhe njëkohësisht si shërbim komunitar.</w:t>
            </w:r>
          </w:p>
        </w:tc>
      </w:tr>
    </w:tbl>
    <w:p w14:paraId="56A24EF0" w14:textId="77777777" w:rsidR="00574397" w:rsidRPr="00445472" w:rsidRDefault="00574397" w:rsidP="00A447CC">
      <w:pPr>
        <w:pStyle w:val="TEKSTIIII"/>
      </w:pPr>
      <w:r w:rsidRPr="00445472">
        <w:t>Pikëpamjet ekonomike dhe mjedisore duken disi konfliktuale. Problemet mjedisore nga pikëpamjet e OJQ-ve lidhen kryesisht me mbrojtjen e ekosistemeve, të cilat në një mënyrë varen dhe ndikojnë njëkohësisht në burimet ujore.</w:t>
      </w:r>
    </w:p>
    <w:p w14:paraId="2BBB2395" w14:textId="0C1DB8D1" w:rsidR="00574397" w:rsidRPr="00445472" w:rsidRDefault="00574397" w:rsidP="00A447CC">
      <w:pPr>
        <w:pStyle w:val="TEKSTIIII"/>
      </w:pPr>
    </w:p>
    <w:p w14:paraId="4550CF2A" w14:textId="3DEEB6A3" w:rsidR="00574397" w:rsidRPr="00445472" w:rsidRDefault="00A447CC" w:rsidP="00A447CC">
      <w:pPr>
        <w:pStyle w:val="NENTITULL"/>
      </w:pPr>
      <w:bookmarkStart w:id="382" w:name="_Toc494401698"/>
      <w:bookmarkStart w:id="383" w:name="_Toc494403488"/>
      <w:bookmarkStart w:id="384" w:name="_Toc494468370"/>
      <w:bookmarkStart w:id="385" w:name="_Toc11068926"/>
      <w:r w:rsidRPr="00445472">
        <w:t xml:space="preserve">6.6 </w:t>
      </w:r>
      <w:r w:rsidR="00574397" w:rsidRPr="00445472">
        <w:t>Grafikët dhe pyetjet kryesore</w:t>
      </w:r>
      <w:bookmarkEnd w:id="382"/>
      <w:bookmarkEnd w:id="383"/>
      <w:bookmarkEnd w:id="384"/>
      <w:bookmarkEnd w:id="385"/>
    </w:p>
    <w:p w14:paraId="48285566" w14:textId="77777777" w:rsidR="00574397" w:rsidRPr="00445472" w:rsidRDefault="00574397" w:rsidP="00A447CC">
      <w:pPr>
        <w:pStyle w:val="TEKSTIIII"/>
      </w:pPr>
      <w:r w:rsidRPr="00445472">
        <w:t xml:space="preserve">Sipas të gjithë pyetësorëve dhe mbledhjeve kokë më kokë, pyetjet kryesore të ngritura shfaqen në grafikun e mëposhtëm: </w:t>
      </w:r>
    </w:p>
    <w:p w14:paraId="4E610D69" w14:textId="77777777" w:rsidR="00574397" w:rsidRPr="00445472" w:rsidRDefault="00574397" w:rsidP="00574397">
      <w:pPr>
        <w:jc w:val="center"/>
        <w:rPr>
          <w:rFonts w:ascii="Garamond" w:hAnsi="Garamond"/>
        </w:rPr>
      </w:pPr>
    </w:p>
    <w:p w14:paraId="7C4C496F" w14:textId="77777777" w:rsidR="00574397" w:rsidRPr="00445472" w:rsidRDefault="00574397" w:rsidP="00574397">
      <w:pPr>
        <w:rPr>
          <w:rFonts w:ascii="Garamond" w:hAnsi="Garamond"/>
        </w:rPr>
      </w:pPr>
      <w:r w:rsidRPr="00445472">
        <w:rPr>
          <w:rFonts w:ascii="Garamond" w:hAnsi="Garamond"/>
          <w:noProof/>
          <w:lang w:val="en-US"/>
        </w:rPr>
        <w:drawing>
          <wp:inline distT="0" distB="0" distL="0" distR="0" wp14:anchorId="371CDD47" wp14:editId="6961B698">
            <wp:extent cx="5943600" cy="3181985"/>
            <wp:effectExtent l="0" t="0" r="0" b="0"/>
            <wp:docPr id="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43600" cy="3181985"/>
                    </a:xfrm>
                    <a:prstGeom prst="rect">
                      <a:avLst/>
                    </a:prstGeom>
                    <a:noFill/>
                    <a:ln>
                      <a:noFill/>
                    </a:ln>
                  </pic:spPr>
                </pic:pic>
              </a:graphicData>
            </a:graphic>
          </wp:inline>
        </w:drawing>
      </w:r>
    </w:p>
    <w:p w14:paraId="15AA34CB" w14:textId="77777777" w:rsidR="00574397" w:rsidRPr="00445472" w:rsidRDefault="00574397" w:rsidP="00A447CC">
      <w:pPr>
        <w:pStyle w:val="TEKSTIIII"/>
      </w:pPr>
      <w:r w:rsidRPr="00445472">
        <w:t xml:space="preserve">Të gjitha të dhënat e ndara janë mbledhur nga anketa me pyetje të strukturuara për informatorët kryesorë dhe grupet e fokusit. </w:t>
      </w:r>
    </w:p>
    <w:p w14:paraId="3DB800D3" w14:textId="77777777" w:rsidR="00574397" w:rsidRPr="00445472" w:rsidRDefault="00574397" w:rsidP="00574397">
      <w:pPr>
        <w:rPr>
          <w:rFonts w:ascii="Garamond" w:hAnsi="Garamond"/>
          <w:b/>
        </w:rPr>
      </w:pPr>
    </w:p>
    <w:p w14:paraId="57047784" w14:textId="77777777" w:rsidR="00574397" w:rsidRPr="00445472" w:rsidRDefault="00574397" w:rsidP="00A447CC">
      <w:pPr>
        <w:pStyle w:val="NENTITULL"/>
      </w:pPr>
      <w:r w:rsidRPr="00445472">
        <w:t xml:space="preserve">Rekomandime: </w:t>
      </w:r>
    </w:p>
    <w:p w14:paraId="6169ED20" w14:textId="25EADA95" w:rsidR="00574397" w:rsidRPr="00445472" w:rsidRDefault="00574397" w:rsidP="00A447CC">
      <w:pPr>
        <w:pStyle w:val="TEKSTIIII"/>
      </w:pPr>
      <w:r w:rsidRPr="00445472">
        <w:t>Sigurimi i një kuadri për menaxhimin gjithëpërfshirës të burimeve ujore, në të cilin të gjith</w:t>
      </w:r>
      <w:r w:rsidR="006302B2" w:rsidRPr="00445472">
        <w:t>a</w:t>
      </w:r>
      <w:r w:rsidRPr="00445472">
        <w:t xml:space="preserve"> grupet e interesit, duke përfshirë sektorin privat, shoqërinë civile dhe komunitetet e përdoruesit, pavarësisht gjinisë, të luajnë një rol aktiv.</w:t>
      </w:r>
    </w:p>
    <w:p w14:paraId="37BACD3A" w14:textId="77777777" w:rsidR="00574397" w:rsidRPr="00445472" w:rsidRDefault="00574397" w:rsidP="00A447CC">
      <w:pPr>
        <w:pStyle w:val="TEKSTIIII"/>
      </w:pPr>
      <w:r w:rsidRPr="00445472">
        <w:t>Fuqizimi i rëndësisë së perspektivës së integruar gjinore në menaxhimin e burimeve ujore në të gjitha situatat jetësore.</w:t>
      </w:r>
    </w:p>
    <w:p w14:paraId="145FF36E" w14:textId="49BA62F8" w:rsidR="00574397" w:rsidRPr="00445472" w:rsidRDefault="00574397" w:rsidP="00A447CC">
      <w:pPr>
        <w:pStyle w:val="TEKSTIIII"/>
      </w:pPr>
      <w:r w:rsidRPr="00445472">
        <w:t>Qartësimi (mbarëkombëtar) se barazia gjinore në institucione në të gjitha nivelet e shoqërisë (në familje, organizatat komunitare, shoqatat e përdorimit të ujit, pushteti vendor, shërbimet kombëtare civile etj</w:t>
      </w:r>
      <w:r w:rsidR="004C18FD" w:rsidRPr="00445472">
        <w:t>.</w:t>
      </w:r>
      <w:r w:rsidRPr="00445472">
        <w:t>).</w:t>
      </w:r>
    </w:p>
    <w:p w14:paraId="13FD07BC" w14:textId="4AAC17EA" w:rsidR="00E148CA" w:rsidRPr="00445472" w:rsidRDefault="00E148CA" w:rsidP="00E148CA">
      <w:pPr>
        <w:pStyle w:val="TEKSTIIII"/>
        <w:rPr>
          <w:sz w:val="20"/>
        </w:rPr>
      </w:pPr>
    </w:p>
    <w:p w14:paraId="130B616B" w14:textId="77777777" w:rsidR="00F9238D" w:rsidRPr="00445472" w:rsidRDefault="00F9238D">
      <w:pPr>
        <w:pStyle w:val="TEKSTIIII"/>
        <w:rPr>
          <w:sz w:val="20"/>
        </w:rPr>
      </w:pPr>
    </w:p>
    <w:sectPr w:rsidR="00F9238D" w:rsidRPr="00445472" w:rsidSect="001D340B">
      <w:pgSz w:w="11907" w:h="16840" w:code="9"/>
      <w:pgMar w:top="1418" w:right="1275" w:bottom="1905" w:left="1276"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47E068" w14:textId="77777777" w:rsidR="00E14B89" w:rsidRDefault="00E14B89" w:rsidP="0089541B">
      <w:pPr>
        <w:spacing w:after="0" w:line="240" w:lineRule="auto"/>
      </w:pPr>
      <w:r>
        <w:separator/>
      </w:r>
    </w:p>
  </w:endnote>
  <w:endnote w:type="continuationSeparator" w:id="0">
    <w:p w14:paraId="1B47E069" w14:textId="77777777" w:rsidR="00E14B89" w:rsidRDefault="00E14B89" w:rsidP="0089541B">
      <w:pPr>
        <w:spacing w:after="0" w:line="240" w:lineRule="auto"/>
      </w:pPr>
      <w:r>
        <w:continuationSeparator/>
      </w:r>
    </w:p>
  </w:endnote>
  <w:endnote w:type="continuationNotice" w:id="1">
    <w:p w14:paraId="56DAEFC4" w14:textId="77777777" w:rsidR="00E14B89" w:rsidRDefault="00E14B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utiger Light">
    <w:altName w:val="Calibri"/>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none)">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Univers 12pt">
    <w:altName w:val="Times New Roman"/>
    <w:panose1 w:val="00000000000000000000"/>
    <w:charset w:val="00"/>
    <w:family w:val="roman"/>
    <w:notTrueType/>
    <w:pitch w:val="default"/>
  </w:font>
  <w:font w:name="Optima">
    <w:panose1 w:val="00000000000000000000"/>
    <w:charset w:val="00"/>
    <w:family w:val="swiss"/>
    <w:notTrueType/>
    <w:pitch w:val="variable"/>
    <w:sig w:usb0="00000003" w:usb1="00000000" w:usb2="00000000" w:usb3="00000000" w:csb0="00000001" w:csb1="00000000"/>
  </w:font>
  <w:font w:name="Frutiger Bold">
    <w:altName w:val="Times New Roman"/>
    <w:charset w:val="00"/>
    <w:family w:val="auto"/>
    <w:pitch w:val="variable"/>
    <w:sig w:usb0="80000027"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Frutiger Roman">
    <w:altName w:val="Cambria"/>
    <w:panose1 w:val="00000000000000000000"/>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ingLiU-ExtB">
    <w:panose1 w:val="02020500000000000000"/>
    <w:charset w:val="88"/>
    <w:family w:val="roman"/>
    <w:pitch w:val="variable"/>
    <w:sig w:usb0="8000002F" w:usb1="0A080008" w:usb2="00000010"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7E06A" w14:textId="77777777" w:rsidR="00E14B89" w:rsidRDefault="00E14B89">
    <w:pPr>
      <w:pStyle w:val="Footer"/>
      <w:jc w:val="right"/>
    </w:pPr>
  </w:p>
  <w:p w14:paraId="1B47E06B" w14:textId="77777777" w:rsidR="00E14B89" w:rsidRDefault="00E14B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12D49" w14:textId="77777777" w:rsidR="00E14B89" w:rsidRPr="00D45D45" w:rsidRDefault="00E14B89" w:rsidP="001D340B">
    <w:pPr>
      <w:pStyle w:val="Spacer"/>
    </w:pPr>
  </w:p>
  <w:p w14:paraId="29D3132D" w14:textId="77777777" w:rsidR="00E14B89" w:rsidRDefault="00E14B8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7E066" w14:textId="77777777" w:rsidR="00E14B89" w:rsidRDefault="00E14B89" w:rsidP="0089541B">
      <w:pPr>
        <w:spacing w:after="0" w:line="240" w:lineRule="auto"/>
      </w:pPr>
      <w:r>
        <w:separator/>
      </w:r>
    </w:p>
  </w:footnote>
  <w:footnote w:type="continuationSeparator" w:id="0">
    <w:p w14:paraId="1B47E067" w14:textId="77777777" w:rsidR="00E14B89" w:rsidRDefault="00E14B89" w:rsidP="0089541B">
      <w:pPr>
        <w:spacing w:after="0" w:line="240" w:lineRule="auto"/>
      </w:pPr>
      <w:r>
        <w:continuationSeparator/>
      </w:r>
    </w:p>
  </w:footnote>
  <w:footnote w:type="continuationNotice" w:id="1">
    <w:p w14:paraId="7BD0B35D" w14:textId="77777777" w:rsidR="00E14B89" w:rsidRDefault="00E14B89">
      <w:pPr>
        <w:spacing w:after="0" w:line="240" w:lineRule="auto"/>
      </w:pPr>
    </w:p>
  </w:footnote>
  <w:footnote w:id="2">
    <w:p w14:paraId="189B4158" w14:textId="4303367F" w:rsidR="00E14B89" w:rsidRPr="006B2F8B" w:rsidRDefault="00E14B89" w:rsidP="006B2F8B">
      <w:pPr>
        <w:pStyle w:val="FootnoteText"/>
        <w:spacing w:before="0"/>
        <w:rPr>
          <w:rFonts w:ascii="Garamond" w:hAnsi="Garamond"/>
          <w:sz w:val="20"/>
          <w:szCs w:val="20"/>
          <w:lang w:val="sq-AL"/>
        </w:rPr>
      </w:pPr>
      <w:r w:rsidRPr="006B2F8B">
        <w:rPr>
          <w:rStyle w:val="FootnoteReference"/>
          <w:rFonts w:ascii="Garamond" w:hAnsi="Garamond"/>
          <w:color w:val="auto"/>
          <w:sz w:val="20"/>
          <w:lang w:val="sq-AL"/>
        </w:rPr>
        <w:footnoteRef/>
      </w:r>
      <w:r w:rsidRPr="006B2F8B">
        <w:rPr>
          <w:rFonts w:ascii="Garamond" w:hAnsi="Garamond"/>
          <w:sz w:val="20"/>
          <w:szCs w:val="20"/>
          <w:lang w:val="sq-AL"/>
        </w:rPr>
        <w:t xml:space="preserve"> Janë përfshirë ndryshimet e fundit të pozicionit në të dy</w:t>
      </w:r>
      <w:r>
        <w:rPr>
          <w:rFonts w:ascii="Garamond" w:hAnsi="Garamond"/>
          <w:sz w:val="20"/>
          <w:szCs w:val="20"/>
          <w:lang w:val="sq-AL"/>
        </w:rPr>
        <w:t>ja</w:t>
      </w:r>
      <w:r w:rsidRPr="006B2F8B">
        <w:rPr>
          <w:rFonts w:ascii="Garamond" w:hAnsi="Garamond"/>
          <w:sz w:val="20"/>
          <w:szCs w:val="20"/>
          <w:lang w:val="sq-AL"/>
        </w:rPr>
        <w:t xml:space="preserve"> bordet e kullimit dhe autoritetet e baseneve ujore.</w:t>
      </w:r>
    </w:p>
  </w:footnote>
  <w:footnote w:id="3">
    <w:p w14:paraId="21DEE9C3" w14:textId="63B4CF65" w:rsidR="00E14B89" w:rsidRPr="008F0A9F" w:rsidRDefault="00E14B89" w:rsidP="008F0A9F">
      <w:pPr>
        <w:pStyle w:val="FootnoteText"/>
        <w:ind w:left="0" w:firstLine="0"/>
        <w:rPr>
          <w:rFonts w:ascii="Garamond" w:hAnsi="Garamond"/>
          <w:sz w:val="20"/>
          <w:szCs w:val="20"/>
          <w:lang w:val="en-US"/>
        </w:rPr>
      </w:pPr>
      <w:r w:rsidRPr="008F0A9F">
        <w:rPr>
          <w:rFonts w:ascii="Garamond" w:hAnsi="Garamond"/>
          <w:sz w:val="20"/>
          <w:szCs w:val="20"/>
          <w:vertAlign w:val="superscript"/>
        </w:rPr>
        <w:footnoteRef/>
      </w:r>
      <w:r w:rsidRPr="008F0A9F">
        <w:rPr>
          <w:rFonts w:ascii="Garamond" w:hAnsi="Garamond"/>
          <w:sz w:val="20"/>
          <w:szCs w:val="20"/>
          <w:vertAlign w:val="superscript"/>
        </w:rPr>
        <w:t xml:space="preserve"> </w:t>
      </w:r>
      <w:r>
        <w:rPr>
          <w:rFonts w:ascii="Garamond" w:hAnsi="Garamond"/>
          <w:sz w:val="20"/>
          <w:szCs w:val="20"/>
        </w:rPr>
        <w:t xml:space="preserve"> </w:t>
      </w:r>
      <w:r w:rsidRPr="008F0A9F">
        <w:rPr>
          <w:rFonts w:ascii="Garamond" w:hAnsi="Garamond"/>
          <w:sz w:val="20"/>
          <w:szCs w:val="20"/>
        </w:rPr>
        <w:t>VKM nr. 940</w:t>
      </w:r>
      <w:r>
        <w:rPr>
          <w:rFonts w:ascii="Garamond" w:hAnsi="Garamond"/>
          <w:sz w:val="20"/>
          <w:szCs w:val="20"/>
          <w:lang w:val="en-US"/>
        </w:rPr>
        <w:t>,</w:t>
      </w:r>
      <w:r>
        <w:rPr>
          <w:rFonts w:ascii="Garamond" w:hAnsi="Garamond"/>
          <w:sz w:val="20"/>
          <w:szCs w:val="20"/>
        </w:rPr>
        <w:t xml:space="preserve"> datë </w:t>
      </w:r>
      <w:r w:rsidRPr="008F0A9F">
        <w:rPr>
          <w:rFonts w:ascii="Garamond" w:hAnsi="Garamond"/>
          <w:sz w:val="20"/>
          <w:szCs w:val="20"/>
        </w:rPr>
        <w:t>9.10.2013</w:t>
      </w:r>
      <w:r>
        <w:rPr>
          <w:rFonts w:ascii="Garamond" w:hAnsi="Garamond"/>
          <w:sz w:val="20"/>
          <w:szCs w:val="20"/>
          <w:lang w:val="en-US"/>
        </w:rPr>
        <w:t>,</w:t>
      </w:r>
      <w:r w:rsidRPr="008F0A9F">
        <w:rPr>
          <w:rFonts w:ascii="Garamond" w:hAnsi="Garamond"/>
          <w:sz w:val="20"/>
          <w:szCs w:val="20"/>
        </w:rPr>
        <w:t xml:space="preserve"> </w:t>
      </w:r>
      <w:r>
        <w:rPr>
          <w:rFonts w:ascii="Garamond" w:hAnsi="Garamond"/>
          <w:sz w:val="20"/>
          <w:szCs w:val="20"/>
          <w:lang w:val="en-US"/>
        </w:rPr>
        <w:t>“</w:t>
      </w:r>
      <w:r w:rsidRPr="008F0A9F">
        <w:rPr>
          <w:rFonts w:ascii="Garamond" w:hAnsi="Garamond"/>
          <w:sz w:val="20"/>
          <w:szCs w:val="20"/>
        </w:rPr>
        <w:t>Për përcaktimin e fushës së përgjegjësisë shtetërore të ministrisë përgjegjëse për çështjet shëndetësore</w:t>
      </w:r>
      <w:r>
        <w:rPr>
          <w:rFonts w:ascii="Garamond" w:hAnsi="Garamond"/>
          <w:sz w:val="20"/>
          <w:szCs w:val="20"/>
          <w:lang w:val="en-US"/>
        </w:rPr>
        <w:t>”.</w:t>
      </w:r>
    </w:p>
  </w:footnote>
  <w:footnote w:id="4">
    <w:p w14:paraId="7FBAA3E5" w14:textId="48E9B3CD" w:rsidR="00E14B89" w:rsidRPr="009C2665" w:rsidRDefault="00E14B89" w:rsidP="009C2665">
      <w:pPr>
        <w:pStyle w:val="FOTNOTEEEEEE"/>
      </w:pPr>
      <w:r w:rsidRPr="00C23F06">
        <w:rPr>
          <w:vertAlign w:val="superscript"/>
        </w:rPr>
        <w:footnoteRef/>
      </w:r>
      <w:r w:rsidRPr="00C23F06">
        <w:rPr>
          <w:vertAlign w:val="superscript"/>
          <w:lang w:val="en-US"/>
        </w:rPr>
        <w:t xml:space="preserve"> </w:t>
      </w:r>
      <w:r w:rsidRPr="009C2665">
        <w:t>Sipas nenit 5(2) të LBU</w:t>
      </w:r>
      <w:r>
        <w:rPr>
          <w:lang w:val="en-US"/>
        </w:rPr>
        <w:t>-së</w:t>
      </w:r>
      <w:r w:rsidRPr="009C2665">
        <w:t>.</w:t>
      </w:r>
    </w:p>
  </w:footnote>
  <w:footnote w:id="5">
    <w:p w14:paraId="362E8207" w14:textId="485CD6CD" w:rsidR="00E14B89" w:rsidRPr="00C23F06" w:rsidRDefault="00E14B89" w:rsidP="009C2665">
      <w:pPr>
        <w:pStyle w:val="FOTNOTEEEEEE"/>
        <w:rPr>
          <w:vertAlign w:val="subscript"/>
          <w:lang w:val="en-US"/>
        </w:rPr>
      </w:pPr>
      <w:r w:rsidRPr="00C23F06">
        <w:rPr>
          <w:vertAlign w:val="superscript"/>
        </w:rPr>
        <w:footnoteRef/>
      </w:r>
      <w:r w:rsidRPr="00C23F06">
        <w:rPr>
          <w:vertAlign w:val="superscript"/>
        </w:rPr>
        <w:t xml:space="preserve"> </w:t>
      </w:r>
      <w:r w:rsidRPr="009C2665">
        <w:t>Ligji nr.</w:t>
      </w:r>
      <w:r>
        <w:rPr>
          <w:lang w:val="en-US"/>
        </w:rPr>
        <w:t xml:space="preserve"> </w:t>
      </w:r>
      <w:r>
        <w:t>10 138, datë 11.</w:t>
      </w:r>
      <w:r w:rsidRPr="009C2665">
        <w:t>5.2009</w:t>
      </w:r>
      <w:r>
        <w:rPr>
          <w:lang w:val="en-US"/>
        </w:rPr>
        <w:t>,</w:t>
      </w:r>
      <w:r w:rsidRPr="009C2665">
        <w:t xml:space="preserve"> “Për shëndetin publik”, i ndryshuar</w:t>
      </w:r>
      <w:r>
        <w:rPr>
          <w:lang w:val="en-US"/>
        </w:rPr>
        <w:t>.</w:t>
      </w:r>
    </w:p>
  </w:footnote>
  <w:footnote w:id="6">
    <w:p w14:paraId="313F0782" w14:textId="45A71EE1" w:rsidR="00E14B89" w:rsidRPr="00AA6BAE" w:rsidRDefault="00E14B89" w:rsidP="00636586">
      <w:pPr>
        <w:pStyle w:val="REFERENCA"/>
        <w:rPr>
          <w:color w:val="000000" w:themeColor="text1"/>
          <w:vertAlign w:val="baseline"/>
          <w:lang w:val="en-US"/>
        </w:rPr>
      </w:pPr>
      <w:r w:rsidRPr="00AA6BAE">
        <w:rPr>
          <w:color w:val="000000" w:themeColor="text1"/>
        </w:rPr>
        <w:footnoteRef/>
      </w:r>
      <w:r w:rsidRPr="00636586">
        <w:rPr>
          <w:color w:val="000000" w:themeColor="text1"/>
          <w:vertAlign w:val="baseline"/>
          <w:lang w:val="en-US"/>
        </w:rPr>
        <w:t xml:space="preserve"> </w:t>
      </w:r>
      <w:r w:rsidRPr="00636586">
        <w:rPr>
          <w:color w:val="000000" w:themeColor="text1"/>
          <w:vertAlign w:val="baseline"/>
        </w:rPr>
        <w:t>Nr. 567, dat</w:t>
      </w:r>
      <w:r>
        <w:rPr>
          <w:color w:val="000000" w:themeColor="text1"/>
          <w:vertAlign w:val="baseline"/>
          <w:lang w:val="en-US"/>
        </w:rPr>
        <w:t>ë</w:t>
      </w:r>
      <w:r>
        <w:rPr>
          <w:color w:val="000000" w:themeColor="text1"/>
          <w:vertAlign w:val="baseline"/>
        </w:rPr>
        <w:t xml:space="preserve"> 14.</w:t>
      </w:r>
      <w:r w:rsidRPr="00636586">
        <w:rPr>
          <w:color w:val="000000" w:themeColor="text1"/>
          <w:vertAlign w:val="baseline"/>
        </w:rPr>
        <w:t>7.2010, Ministria e Bujqësisë, Ushqimit dhe Mbrojtjes së Konsumatorit</w:t>
      </w:r>
      <w:r>
        <w:rPr>
          <w:color w:val="000000" w:themeColor="text1"/>
          <w:vertAlign w:val="baseline"/>
          <w:lang w:val="en-US"/>
        </w:rPr>
        <w:t>.</w:t>
      </w:r>
    </w:p>
  </w:footnote>
  <w:footnote w:id="7">
    <w:p w14:paraId="5A0FCC35" w14:textId="30BA688C" w:rsidR="00E14B89" w:rsidRPr="000E77B3" w:rsidRDefault="00E14B89" w:rsidP="00636586">
      <w:pPr>
        <w:pStyle w:val="REFERENCA"/>
        <w:rPr>
          <w:sz w:val="16"/>
          <w:szCs w:val="16"/>
        </w:rPr>
      </w:pPr>
      <w:r w:rsidRPr="00AA6BAE">
        <w:rPr>
          <w:color w:val="000000" w:themeColor="text1"/>
        </w:rPr>
        <w:footnoteRef/>
      </w:r>
      <w:r w:rsidRPr="00636586">
        <w:rPr>
          <w:color w:val="000000" w:themeColor="text1"/>
          <w:vertAlign w:val="baseline"/>
          <w:lang w:val="en-US"/>
        </w:rPr>
        <w:t xml:space="preserve"> </w:t>
      </w:r>
      <w:r w:rsidRPr="00636586">
        <w:rPr>
          <w:color w:val="000000" w:themeColor="text1"/>
          <w:vertAlign w:val="baseline"/>
        </w:rPr>
        <w:t>Strategjia Kombëtare Ndërsektoriale për Decentralizimin dhe Qeverisjen Vendore 2015</w:t>
      </w:r>
      <w:r>
        <w:rPr>
          <w:color w:val="000000" w:themeColor="text1"/>
          <w:vertAlign w:val="baseline"/>
        </w:rPr>
        <w:t>–</w:t>
      </w:r>
      <w:r w:rsidRPr="00636586">
        <w:rPr>
          <w:color w:val="000000" w:themeColor="text1"/>
          <w:vertAlign w:val="baseline"/>
        </w:rPr>
        <w:t>2020.</w:t>
      </w:r>
    </w:p>
  </w:footnote>
  <w:footnote w:id="8">
    <w:p w14:paraId="2B1A001F" w14:textId="4BB325B9" w:rsidR="00E14B89" w:rsidRPr="00E837F8" w:rsidRDefault="00E14B89" w:rsidP="00AF36F2">
      <w:pPr>
        <w:pStyle w:val="FOTNOTEEEEEE"/>
        <w:rPr>
          <w:lang w:val="en-US"/>
        </w:rPr>
      </w:pPr>
      <w:r w:rsidRPr="00E837F8">
        <w:rPr>
          <w:rStyle w:val="FootnoteReference"/>
          <w:rFonts w:ascii="Garamond" w:hAnsi="Garamond"/>
          <w:color w:val="000000" w:themeColor="text1"/>
        </w:rPr>
        <w:footnoteRef/>
      </w:r>
      <w:r>
        <w:rPr>
          <w:lang w:val="en-US"/>
        </w:rPr>
        <w:t xml:space="preserve"> </w:t>
      </w:r>
      <w:r w:rsidRPr="00E837F8">
        <w:t>Burimi: Konsolidimi i Sistemit të Monitorimit të Mjedisit në Shqipëri “KSMMSH”</w:t>
      </w:r>
      <w:r>
        <w:rPr>
          <w:lang w:val="en-US"/>
        </w:rPr>
        <w:t>.</w:t>
      </w:r>
    </w:p>
  </w:footnote>
  <w:footnote w:id="9">
    <w:p w14:paraId="70C12BA0" w14:textId="73475437" w:rsidR="00E14B89" w:rsidRPr="007843C9" w:rsidRDefault="00E14B89" w:rsidP="00580D3D">
      <w:pPr>
        <w:pStyle w:val="FOTNOTEEEEEE"/>
        <w:rPr>
          <w:lang w:val="it-IT"/>
        </w:rPr>
      </w:pPr>
      <w:r w:rsidRPr="007843C9">
        <w:rPr>
          <w:rStyle w:val="FootnoteReference"/>
          <w:color w:val="000000" w:themeColor="text1"/>
          <w:sz w:val="16"/>
          <w:szCs w:val="16"/>
        </w:rPr>
        <w:footnoteRef/>
      </w:r>
      <w:r w:rsidRPr="007843C9">
        <w:t xml:space="preserve"> Strategjia MIBU (draft) për Shqipërinë. </w:t>
      </w:r>
      <w:r w:rsidRPr="007843C9">
        <w:rPr>
          <w:lang w:val="it-IT"/>
        </w:rPr>
        <w:t>Nëntor 2016</w:t>
      </w:r>
      <w:r>
        <w:rPr>
          <w:lang w:val="it-IT"/>
        </w:rPr>
        <w:t>.</w:t>
      </w:r>
    </w:p>
  </w:footnote>
  <w:footnote w:id="10">
    <w:p w14:paraId="3DB395E2" w14:textId="1276AC88" w:rsidR="00E14B89" w:rsidRPr="007843C9" w:rsidRDefault="00E14B89" w:rsidP="00580D3D">
      <w:pPr>
        <w:pStyle w:val="FOTNOTEEEEEE"/>
        <w:rPr>
          <w:lang w:val="it-IT"/>
        </w:rPr>
      </w:pPr>
      <w:r w:rsidRPr="007843C9">
        <w:rPr>
          <w:rStyle w:val="FootnoteReference"/>
          <w:color w:val="000000" w:themeColor="text1"/>
          <w:sz w:val="16"/>
          <w:szCs w:val="16"/>
        </w:rPr>
        <w:footnoteRef/>
      </w:r>
      <w:r w:rsidRPr="007843C9">
        <w:rPr>
          <w:lang w:val="it-IT"/>
        </w:rPr>
        <w:t xml:space="preserve"> Banka Botërore, 2012. Inventari i burimeve të ujërave nëntokësore</w:t>
      </w:r>
      <w:r>
        <w:rPr>
          <w:lang w:val="it-IT"/>
        </w:rPr>
        <w:t>.</w:t>
      </w:r>
    </w:p>
  </w:footnote>
  <w:footnote w:id="11">
    <w:p w14:paraId="2D89C336" w14:textId="21D21BA7" w:rsidR="00E14B89" w:rsidRDefault="00E14B89" w:rsidP="00580D3D">
      <w:pPr>
        <w:pStyle w:val="FOTNOTEEEEEE"/>
      </w:pPr>
      <w:r w:rsidRPr="007843C9">
        <w:rPr>
          <w:rStyle w:val="FootnoteReference"/>
          <w:color w:val="000000" w:themeColor="text1"/>
          <w:sz w:val="16"/>
        </w:rPr>
        <w:footnoteRef/>
      </w:r>
      <w:r>
        <w:rPr>
          <w:lang w:val="en-US"/>
        </w:rPr>
        <w:t xml:space="preserve"> </w:t>
      </w:r>
      <w:r w:rsidRPr="000E77B3">
        <w:t>Tremujori i par</w:t>
      </w:r>
      <w:r>
        <w:t>ë</w:t>
      </w:r>
      <w:r w:rsidRPr="000E77B3">
        <w:t xml:space="preserve"> i 2018</w:t>
      </w:r>
      <w:r>
        <w:rPr>
          <w:lang w:val="en-US"/>
        </w:rPr>
        <w:t>-ës</w:t>
      </w:r>
      <w:r w:rsidRPr="000E77B3">
        <w:t xml:space="preserve">, informacion </w:t>
      </w:r>
      <w:r>
        <w:t>i</w:t>
      </w:r>
      <w:r w:rsidRPr="000E77B3">
        <w:t xml:space="preserve"> siguruar nga AKBN-ja.</w:t>
      </w:r>
    </w:p>
  </w:footnote>
  <w:footnote w:id="12">
    <w:p w14:paraId="678B5294" w14:textId="43EED63A" w:rsidR="00E14B89" w:rsidRPr="00CE0C6F" w:rsidRDefault="00E14B89" w:rsidP="00DA4F32">
      <w:pPr>
        <w:pStyle w:val="FOTNOTEEEEEE"/>
        <w:rPr>
          <w:lang w:val="it-IT"/>
        </w:rPr>
      </w:pPr>
      <w:r w:rsidRPr="00097ECB">
        <w:rPr>
          <w:rStyle w:val="FootnoteReference"/>
          <w:rFonts w:ascii="Garamond" w:hAnsi="Garamond"/>
          <w:color w:val="auto"/>
        </w:rPr>
        <w:footnoteRef/>
      </w:r>
      <w:r>
        <w:rPr>
          <w:rStyle w:val="Hyperlink"/>
          <w:color w:val="006AE3"/>
          <w:lang w:val="it-IT"/>
        </w:rPr>
        <w:t xml:space="preserve"> </w:t>
      </w:r>
      <w:hyperlink r:id="rId1" w:tgtFrame="_blank" w:history="1">
        <w:r w:rsidRPr="00DA4F32">
          <w:rPr>
            <w:rStyle w:val="Hyperlink"/>
            <w:color w:val="006AE3"/>
            <w:lang w:val="it-IT"/>
          </w:rPr>
          <w:t>http://land.copernicus.eu/</w:t>
        </w:r>
      </w:hyperlink>
      <w:r w:rsidRPr="00DA4F32">
        <w:rPr>
          <w:color w:val="000000"/>
          <w:shd w:val="clear" w:color="auto" w:fill="FFFFFF"/>
          <w:lang w:val="it-IT"/>
        </w:rPr>
        <w:t> </w:t>
      </w:r>
    </w:p>
  </w:footnote>
  <w:footnote w:id="13">
    <w:p w14:paraId="5707F530" w14:textId="182F5D0D" w:rsidR="00E14B89" w:rsidRPr="00097ECB" w:rsidRDefault="00E14B89" w:rsidP="00DA4F32">
      <w:pPr>
        <w:pStyle w:val="FOTNOTEEEEEE"/>
        <w:rPr>
          <w:lang w:val="en-US"/>
        </w:rPr>
      </w:pPr>
      <w:r w:rsidRPr="00097ECB">
        <w:rPr>
          <w:rStyle w:val="FootnoteReference"/>
          <w:color w:val="auto"/>
          <w:sz w:val="16"/>
          <w:szCs w:val="16"/>
        </w:rPr>
        <w:footnoteRef/>
      </w:r>
      <w:r w:rsidRPr="00CE0C6F">
        <w:t xml:space="preserve"> Përgatitur nga </w:t>
      </w:r>
      <w:r w:rsidRPr="00097ECB">
        <w:rPr>
          <w:i/>
        </w:rPr>
        <w:t>Mott MacDonald</w:t>
      </w:r>
      <w:r>
        <w:rPr>
          <w:i/>
          <w:lang w:val="en-US"/>
        </w:rPr>
        <w:t>.</w:t>
      </w:r>
    </w:p>
  </w:footnote>
  <w:footnote w:id="14">
    <w:p w14:paraId="60D02C6E" w14:textId="5DDF763F" w:rsidR="00E14B89" w:rsidRPr="00AA105F" w:rsidRDefault="00E14B89" w:rsidP="00E005CD">
      <w:pPr>
        <w:pStyle w:val="FOTNOTEEEEEE"/>
        <w:rPr>
          <w:lang w:val="en-US"/>
        </w:rPr>
      </w:pPr>
      <w:r w:rsidRPr="00E005CD">
        <w:rPr>
          <w:rStyle w:val="FootnoteReference"/>
          <w:color w:val="000000" w:themeColor="text1"/>
          <w:sz w:val="16"/>
          <w:szCs w:val="16"/>
        </w:rPr>
        <w:footnoteRef/>
      </w:r>
      <w:r w:rsidRPr="00E005CD">
        <w:t xml:space="preserve"> Përgatitur nga </w:t>
      </w:r>
      <w:r w:rsidRPr="00AA105F">
        <w:rPr>
          <w:i/>
        </w:rPr>
        <w:t>Mott MacDonald</w:t>
      </w:r>
      <w:r>
        <w:rPr>
          <w:lang w:val="en-US"/>
        </w:rPr>
        <w:t>.</w:t>
      </w:r>
    </w:p>
  </w:footnote>
  <w:footnote w:id="15">
    <w:p w14:paraId="2422D64C" w14:textId="181AB8D1" w:rsidR="00E14B89" w:rsidRPr="00AA105F" w:rsidRDefault="00E14B89" w:rsidP="00C2640A">
      <w:pPr>
        <w:pStyle w:val="FOTNOTEEEEEE"/>
        <w:rPr>
          <w:lang w:val="en-US"/>
        </w:rPr>
      </w:pPr>
      <w:r w:rsidRPr="00B16FA7">
        <w:rPr>
          <w:rStyle w:val="FootnoteReference"/>
          <w:color w:val="000000" w:themeColor="text1"/>
          <w:sz w:val="16"/>
          <w:szCs w:val="16"/>
        </w:rPr>
        <w:footnoteRef/>
      </w:r>
      <w:r w:rsidRPr="00B16FA7">
        <w:t xml:space="preserve"> Përgatitur nga </w:t>
      </w:r>
      <w:r w:rsidRPr="00AA105F">
        <w:rPr>
          <w:i/>
        </w:rPr>
        <w:t>Mott MacDonald</w:t>
      </w:r>
      <w:r>
        <w:rPr>
          <w:lang w:val="en-US"/>
        </w:rPr>
        <w:t>.</w:t>
      </w:r>
    </w:p>
  </w:footnote>
  <w:footnote w:id="16">
    <w:p w14:paraId="78710744" w14:textId="5430F6F3" w:rsidR="00E14B89" w:rsidRPr="00AA105F" w:rsidRDefault="00E14B89" w:rsidP="00B16FA7">
      <w:pPr>
        <w:pStyle w:val="FOTNOTEEEEEE"/>
        <w:rPr>
          <w:lang w:val="en-US"/>
        </w:rPr>
      </w:pPr>
      <w:r w:rsidRPr="00B16FA7">
        <w:rPr>
          <w:rStyle w:val="FootnoteReference"/>
          <w:color w:val="000000" w:themeColor="text1"/>
          <w:sz w:val="16"/>
          <w:szCs w:val="16"/>
        </w:rPr>
        <w:footnoteRef/>
      </w:r>
      <w:r w:rsidRPr="00B16FA7">
        <w:t xml:space="preserve"> Përgatitur nga </w:t>
      </w:r>
      <w:r w:rsidRPr="00AA105F">
        <w:rPr>
          <w:i/>
        </w:rPr>
        <w:t>Mott MacDonald</w:t>
      </w:r>
      <w:r>
        <w:rPr>
          <w:lang w:val="en-US"/>
        </w:rPr>
        <w:t>.</w:t>
      </w:r>
    </w:p>
  </w:footnote>
  <w:footnote w:id="17">
    <w:p w14:paraId="16D93D9E" w14:textId="6C4C9FC9" w:rsidR="00E14B89" w:rsidRPr="004A1947" w:rsidRDefault="00E14B89" w:rsidP="0024053A">
      <w:pPr>
        <w:pStyle w:val="FOTNOTEEEEEE"/>
        <w:ind w:left="0" w:firstLine="0"/>
        <w:jc w:val="both"/>
        <w:rPr>
          <w:lang w:val="sq-AL"/>
        </w:rPr>
      </w:pPr>
      <w:r w:rsidRPr="004A1947">
        <w:rPr>
          <w:rStyle w:val="FootnoteReference"/>
          <w:color w:val="000000" w:themeColor="text1"/>
          <w:sz w:val="16"/>
          <w:szCs w:val="16"/>
          <w:lang w:val="sq-AL"/>
        </w:rPr>
        <w:footnoteRef/>
      </w:r>
      <w:r>
        <w:rPr>
          <w:lang w:val="sq-AL"/>
        </w:rPr>
        <w:t xml:space="preserve"> </w:t>
      </w:r>
      <w:r w:rsidRPr="004A1947">
        <w:rPr>
          <w:lang w:val="sq-AL"/>
        </w:rPr>
        <w:t>Numrat e ujëmbledhwsve jepen sipas modelit DHI Mike Hydro, që përdoret në stërvitjet e trajnimit të palëve të interesit.</w:t>
      </w:r>
    </w:p>
  </w:footnote>
  <w:footnote w:id="18">
    <w:p w14:paraId="271D9DA8" w14:textId="1003BBC9" w:rsidR="00E14B89" w:rsidRPr="004A1947" w:rsidRDefault="00E14B89" w:rsidP="0024053A">
      <w:pPr>
        <w:pStyle w:val="FOTNOTEEEEEE"/>
        <w:ind w:left="0" w:firstLine="0"/>
        <w:jc w:val="both"/>
        <w:rPr>
          <w:lang w:val="sq-AL"/>
        </w:rPr>
      </w:pPr>
      <w:r w:rsidRPr="004A1947">
        <w:rPr>
          <w:rStyle w:val="FootnoteReference"/>
          <w:rFonts w:cs="Arial"/>
          <w:color w:val="000000" w:themeColor="text1"/>
          <w:sz w:val="16"/>
          <w:szCs w:val="16"/>
          <w:lang w:val="sq-AL"/>
        </w:rPr>
        <w:footnoteRef/>
      </w:r>
      <w:r w:rsidRPr="004A1947">
        <w:rPr>
          <w:lang w:val="sq-AL"/>
        </w:rPr>
        <w:t xml:space="preserve"> “Dokumenti udhëzues për zbatimin e bilanceve të ujit për mbështetjen e zbatimit të UF (Raporti Teknik - 2015 - 090)</w:t>
      </w:r>
      <w:r>
        <w:rPr>
          <w:lang w:val="sq-AL"/>
        </w:rPr>
        <w:t>.</w:t>
      </w:r>
    </w:p>
  </w:footnote>
  <w:footnote w:id="19">
    <w:p w14:paraId="363605E8" w14:textId="529ACE11" w:rsidR="00E14B89" w:rsidRPr="004A1947" w:rsidRDefault="00E14B89" w:rsidP="0024053A">
      <w:pPr>
        <w:pStyle w:val="FOTNOTEEEEEE"/>
        <w:ind w:left="0" w:firstLine="0"/>
        <w:jc w:val="both"/>
        <w:rPr>
          <w:lang w:val="sq-AL"/>
        </w:rPr>
      </w:pPr>
      <w:r w:rsidRPr="004A1947">
        <w:rPr>
          <w:rStyle w:val="FootnoteReference"/>
          <w:rFonts w:cs="Arial"/>
          <w:color w:val="000000" w:themeColor="text1"/>
          <w:sz w:val="16"/>
          <w:szCs w:val="16"/>
          <w:lang w:val="sq-AL"/>
        </w:rPr>
        <w:footnoteRef/>
      </w:r>
      <w:r w:rsidRPr="004A1947">
        <w:rPr>
          <w:lang w:val="sq-AL"/>
        </w:rPr>
        <w:t xml:space="preserve"> Regjistri Kombëtar për Lejen e Përdorimit të Burimeve Ujore, Ministria e Mjedisit, 2014</w:t>
      </w:r>
      <w:r>
        <w:rPr>
          <w:lang w:val="sq-AL"/>
        </w:rPr>
        <w:t>.</w:t>
      </w:r>
    </w:p>
  </w:footnote>
  <w:footnote w:id="20">
    <w:p w14:paraId="518D60E2" w14:textId="4A6CA0AE" w:rsidR="00E14B89" w:rsidRPr="004A1947" w:rsidRDefault="00E14B89" w:rsidP="008876B4">
      <w:pPr>
        <w:pStyle w:val="FOTNOTEEEEEE"/>
        <w:rPr>
          <w:lang w:val="en-US"/>
        </w:rPr>
      </w:pPr>
      <w:r w:rsidRPr="00C17B97">
        <w:rPr>
          <w:rStyle w:val="FootnoteReference"/>
          <w:color w:val="000000" w:themeColor="text1"/>
          <w:sz w:val="16"/>
          <w:szCs w:val="16"/>
        </w:rPr>
        <w:footnoteRef/>
      </w:r>
      <w:r w:rsidRPr="00C17B97">
        <w:t xml:space="preserve"> http://www.cru.uea.ac.uk/data</w:t>
      </w:r>
      <w:r>
        <w:rPr>
          <w:lang w:val="en-US"/>
        </w:rPr>
        <w:t>.</w:t>
      </w:r>
    </w:p>
  </w:footnote>
  <w:footnote w:id="21">
    <w:p w14:paraId="37CAA282" w14:textId="445D0C13" w:rsidR="00E14B89" w:rsidRPr="004A1947" w:rsidRDefault="00E14B89" w:rsidP="008876B4">
      <w:pPr>
        <w:pStyle w:val="FOTNOTEEEEEE"/>
        <w:rPr>
          <w:lang w:val="en-US"/>
        </w:rPr>
      </w:pPr>
      <w:r w:rsidRPr="00C17B97">
        <w:rPr>
          <w:rStyle w:val="FootnoteReference"/>
          <w:color w:val="000000" w:themeColor="text1"/>
          <w:sz w:val="16"/>
          <w:szCs w:val="16"/>
        </w:rPr>
        <w:footnoteRef/>
      </w:r>
      <w:r w:rsidRPr="00C17B97">
        <w:t xml:space="preserve"> http://www.cru.uea.ac.uk/data</w:t>
      </w:r>
      <w:r>
        <w:rPr>
          <w:lang w:val="en-US"/>
        </w:rPr>
        <w:t>.</w:t>
      </w:r>
    </w:p>
  </w:footnote>
  <w:footnote w:id="22">
    <w:p w14:paraId="73C917FC" w14:textId="3B7309FE" w:rsidR="00E14B89" w:rsidRPr="00C17B97" w:rsidRDefault="00E14B89" w:rsidP="008876B4">
      <w:pPr>
        <w:pStyle w:val="FOTNOTEEEEEE"/>
      </w:pPr>
      <w:r w:rsidRPr="00C17B97">
        <w:rPr>
          <w:rStyle w:val="FootnoteReference"/>
          <w:color w:val="000000" w:themeColor="text1"/>
          <w:sz w:val="16"/>
          <w:szCs w:val="16"/>
        </w:rPr>
        <w:footnoteRef/>
      </w:r>
      <w:r w:rsidRPr="00C17B97">
        <w:t xml:space="preserve"> Burimet e reduktuara me 4.5%. </w:t>
      </w:r>
      <w:r>
        <w:rPr>
          <w:lang w:val="en-US"/>
        </w:rPr>
        <w:t>“</w:t>
      </w:r>
      <w:r w:rsidRPr="00C17B97">
        <w:t>Komunikimi i tretë kombëtar i Shqipërisë ndaj UNFCCC (draft i tretë)</w:t>
      </w:r>
      <w:r>
        <w:rPr>
          <w:lang w:val="en-US"/>
        </w:rPr>
        <w:t>”</w:t>
      </w:r>
      <w:r w:rsidRPr="00C17B97">
        <w:t>.</w:t>
      </w:r>
    </w:p>
  </w:footnote>
  <w:footnote w:id="23">
    <w:p w14:paraId="04AA18AF" w14:textId="40A51F13" w:rsidR="00E14B89" w:rsidRPr="004A1947" w:rsidRDefault="00E14B89" w:rsidP="008876B4">
      <w:pPr>
        <w:pStyle w:val="FOTNOTEEEEEE"/>
        <w:rPr>
          <w:lang w:val="en-US"/>
        </w:rPr>
      </w:pPr>
      <w:r w:rsidRPr="00C17B97">
        <w:rPr>
          <w:rStyle w:val="FootnoteReference"/>
          <w:color w:val="000000" w:themeColor="text1"/>
          <w:sz w:val="16"/>
          <w:szCs w:val="16"/>
        </w:rPr>
        <w:footnoteRef/>
      </w:r>
      <w:r w:rsidRPr="00C17B97">
        <w:t xml:space="preserve"> Llogaritur si një përqindje totale të burimeve të rinovueshme</w:t>
      </w:r>
      <w:r>
        <w:rPr>
          <w:lang w:val="en-US"/>
        </w:rPr>
        <w:t>.</w:t>
      </w:r>
    </w:p>
  </w:footnote>
  <w:footnote w:id="24">
    <w:p w14:paraId="701D5BF0" w14:textId="4F9A39CD" w:rsidR="00E14B89" w:rsidRPr="003A2356" w:rsidRDefault="00E14B89" w:rsidP="003A2356">
      <w:pPr>
        <w:pStyle w:val="FOTNOTEEEEEE"/>
        <w:rPr>
          <w:lang w:val="it-IT"/>
        </w:rPr>
      </w:pPr>
      <w:r w:rsidRPr="00C73272">
        <w:rPr>
          <w:rStyle w:val="FootnoteReference"/>
          <w:rFonts w:ascii="Garamond" w:hAnsi="Garamond"/>
          <w:color w:val="000000" w:themeColor="text1"/>
        </w:rPr>
        <w:footnoteRef/>
      </w:r>
      <w:hyperlink r:id="rId2">
        <w:r w:rsidRPr="003A2356">
          <w:rPr>
            <w:lang w:val="it-IT"/>
          </w:rPr>
          <w:t>http://geoportal.asig.gov.al</w:t>
        </w:r>
      </w:hyperlink>
      <w:r>
        <w:rPr>
          <w:lang w:val="it-IT"/>
        </w:rPr>
        <w:t>.</w:t>
      </w:r>
    </w:p>
  </w:footnote>
  <w:footnote w:id="25">
    <w:p w14:paraId="315CFB27" w14:textId="6AA8412A" w:rsidR="00E14B89" w:rsidRPr="003A2356" w:rsidRDefault="00E14B89" w:rsidP="003A2356">
      <w:pPr>
        <w:pStyle w:val="FOTNOTEEEEEE"/>
        <w:rPr>
          <w:lang w:val="it-IT"/>
        </w:rPr>
      </w:pPr>
      <w:r w:rsidRPr="00C73272">
        <w:rPr>
          <w:rStyle w:val="FootnoteReference"/>
          <w:rFonts w:ascii="Garamond" w:hAnsi="Garamond"/>
          <w:color w:val="000000" w:themeColor="text1"/>
        </w:rPr>
        <w:footnoteRef/>
      </w:r>
      <w:hyperlink r:id="rId3">
        <w:r w:rsidRPr="003A2356">
          <w:rPr>
            <w:lang w:val="it-IT"/>
          </w:rPr>
          <w:t>http://geoportal.asig.gov.al</w:t>
        </w:r>
      </w:hyperlink>
      <w:r>
        <w:rPr>
          <w:lang w:val="it-IT"/>
        </w:rPr>
        <w:t>.</w:t>
      </w:r>
    </w:p>
  </w:footnote>
  <w:footnote w:id="26">
    <w:p w14:paraId="571BCF79" w14:textId="77777777" w:rsidR="00E14B89" w:rsidRPr="003C5458" w:rsidRDefault="00E14B89" w:rsidP="003A2356">
      <w:pPr>
        <w:pStyle w:val="FOTNOTEEEEEE"/>
        <w:rPr>
          <w:sz w:val="16"/>
          <w:szCs w:val="16"/>
          <w:lang w:val="it-IT"/>
        </w:rPr>
      </w:pPr>
      <w:r w:rsidRPr="00C73272">
        <w:rPr>
          <w:rStyle w:val="FootnoteReference"/>
          <w:rFonts w:ascii="Garamond" w:hAnsi="Garamond"/>
          <w:color w:val="000000" w:themeColor="text1"/>
        </w:rPr>
        <w:footnoteRef/>
      </w:r>
      <w:r w:rsidRPr="00C73272">
        <w:rPr>
          <w:vertAlign w:val="superscript"/>
          <w:lang w:val="it-IT"/>
        </w:rPr>
        <w:t xml:space="preserve"> </w:t>
      </w:r>
      <w:r w:rsidRPr="003A2356">
        <w:rPr>
          <w:lang w:val="it-IT"/>
        </w:rPr>
        <w:t>Burimi: Ministria përgjegjëse për transportit.</w:t>
      </w:r>
    </w:p>
  </w:footnote>
  <w:footnote w:id="27">
    <w:p w14:paraId="60F339A9" w14:textId="7DECF489" w:rsidR="00E14B89" w:rsidRPr="00C73272" w:rsidRDefault="00E14B89" w:rsidP="00C73272">
      <w:pPr>
        <w:pStyle w:val="FOTNOTEEEEEE"/>
        <w:ind w:left="0" w:firstLine="0"/>
        <w:jc w:val="both"/>
        <w:rPr>
          <w:lang w:val="sq-AL"/>
        </w:rPr>
      </w:pPr>
      <w:r w:rsidRPr="00C73272">
        <w:rPr>
          <w:rStyle w:val="FootnoteReference"/>
          <w:color w:val="000000" w:themeColor="text1"/>
          <w:sz w:val="16"/>
          <w:szCs w:val="16"/>
          <w:lang w:val="sq-AL"/>
        </w:rPr>
        <w:footnoteRef/>
      </w:r>
      <w:r w:rsidRPr="00C73272">
        <w:rPr>
          <w:lang w:val="sq-AL"/>
        </w:rPr>
        <w:t xml:space="preserve"> Shërbimi Geologjik Shqiptar, “Gjeoresurset dhe gjeorreziqet në qarqet e Shqipërisë”</w:t>
      </w:r>
      <w:r>
        <w:rPr>
          <w:lang w:val="sq-AL"/>
        </w:rPr>
        <w:t>,</w:t>
      </w:r>
      <w:r w:rsidRPr="00C73272">
        <w:rPr>
          <w:lang w:val="sq-AL"/>
        </w:rPr>
        <w:t xml:space="preserve"> qarku i Korçës.</w:t>
      </w:r>
    </w:p>
  </w:footnote>
  <w:footnote w:id="28">
    <w:p w14:paraId="6DF7E707" w14:textId="27658D5D" w:rsidR="00E14B89" w:rsidRPr="00C73272" w:rsidRDefault="00E14B89" w:rsidP="00C73272">
      <w:pPr>
        <w:pStyle w:val="FOTNOTEEEEEE"/>
        <w:ind w:left="0" w:firstLine="0"/>
        <w:jc w:val="both"/>
        <w:rPr>
          <w:lang w:val="sq-AL"/>
        </w:rPr>
      </w:pPr>
      <w:r w:rsidRPr="00C73272">
        <w:rPr>
          <w:rStyle w:val="FootnoteReference"/>
          <w:color w:val="000000" w:themeColor="text1"/>
          <w:sz w:val="16"/>
          <w:szCs w:val="16"/>
          <w:lang w:val="sq-AL"/>
        </w:rPr>
        <w:footnoteRef/>
      </w:r>
      <w:r w:rsidRPr="00C73272">
        <w:rPr>
          <w:lang w:val="sq-AL"/>
        </w:rPr>
        <w:t xml:space="preserve"> Shërbimi Geologjik Shqiptar, “Gjeoresurset dhe Gjeorreziqet në Qarqet e Shqipërisë”</w:t>
      </w:r>
      <w:r>
        <w:rPr>
          <w:lang w:val="sq-AL"/>
        </w:rPr>
        <w:t>,</w:t>
      </w:r>
      <w:r w:rsidRPr="00C73272">
        <w:rPr>
          <w:lang w:val="sq-AL"/>
        </w:rPr>
        <w:t xml:space="preserve"> qarku i Korçës.</w:t>
      </w:r>
    </w:p>
  </w:footnote>
  <w:footnote w:id="29">
    <w:p w14:paraId="5A66E131" w14:textId="7E5F41A0" w:rsidR="00E14B89" w:rsidRPr="00C73272" w:rsidRDefault="00E14B89" w:rsidP="00C73272">
      <w:pPr>
        <w:pStyle w:val="FOTNOTEEEEEE"/>
        <w:ind w:left="0" w:firstLine="0"/>
        <w:jc w:val="both"/>
        <w:rPr>
          <w:lang w:val="sq-AL"/>
        </w:rPr>
      </w:pPr>
      <w:r w:rsidRPr="00C73272">
        <w:rPr>
          <w:rStyle w:val="FootnoteReference"/>
          <w:color w:val="000000" w:themeColor="text1"/>
          <w:sz w:val="16"/>
          <w:szCs w:val="16"/>
          <w:lang w:val="sq-AL"/>
        </w:rPr>
        <w:footnoteRef/>
      </w:r>
      <w:r w:rsidRPr="00C73272">
        <w:rPr>
          <w:lang w:val="sq-AL"/>
        </w:rPr>
        <w:t xml:space="preserve"> Shërbimi Geologjik Shqiptar, “Gjeoresurset dhe Gjeorreziqet në Qarqet e Shqipërisë”</w:t>
      </w:r>
      <w:r>
        <w:rPr>
          <w:lang w:val="sq-AL"/>
        </w:rPr>
        <w:t>,</w:t>
      </w:r>
      <w:r w:rsidRPr="00C73272">
        <w:rPr>
          <w:lang w:val="sq-AL"/>
        </w:rPr>
        <w:t xml:space="preserve"> qa</w:t>
      </w:r>
      <w:r>
        <w:rPr>
          <w:lang w:val="sq-AL"/>
        </w:rPr>
        <w:t>rku i Kukë</w:t>
      </w:r>
      <w:r w:rsidRPr="00C73272">
        <w:rPr>
          <w:lang w:val="sq-AL"/>
        </w:rPr>
        <w:t>sit, 2014.</w:t>
      </w:r>
    </w:p>
  </w:footnote>
  <w:footnote w:id="30">
    <w:p w14:paraId="37D9F323" w14:textId="1C121FEB" w:rsidR="00E14B89" w:rsidRPr="00C73272" w:rsidRDefault="00E14B89" w:rsidP="00C73272">
      <w:pPr>
        <w:pStyle w:val="FOTNOTEEEEEE"/>
        <w:ind w:left="0" w:firstLine="0"/>
        <w:jc w:val="both"/>
        <w:rPr>
          <w:lang w:val="sq-AL"/>
        </w:rPr>
      </w:pPr>
      <w:r w:rsidRPr="00C73272">
        <w:rPr>
          <w:rStyle w:val="FootnoteReference"/>
          <w:color w:val="000000" w:themeColor="text1"/>
          <w:sz w:val="16"/>
          <w:szCs w:val="16"/>
          <w:lang w:val="sq-AL"/>
        </w:rPr>
        <w:footnoteRef/>
      </w:r>
      <w:r w:rsidRPr="00C73272">
        <w:rPr>
          <w:lang w:val="sq-AL"/>
        </w:rPr>
        <w:t xml:space="preserve"> Shërbimi Geologjik Shqiptar, “Gjeoresurset dhe gjeorreziqet në qarqet e Shqipërisë”</w:t>
      </w:r>
      <w:r>
        <w:rPr>
          <w:lang w:val="sq-AL"/>
        </w:rPr>
        <w:t>,</w:t>
      </w:r>
      <w:r w:rsidRPr="00C73272">
        <w:rPr>
          <w:lang w:val="sq-AL"/>
        </w:rPr>
        <w:t xml:space="preserve"> qarku i Dibr</w:t>
      </w:r>
      <w:r>
        <w:rPr>
          <w:lang w:val="sq-AL"/>
        </w:rPr>
        <w:t>ë</w:t>
      </w:r>
      <w:r w:rsidRPr="00C73272">
        <w:rPr>
          <w:lang w:val="sq-AL"/>
        </w:rPr>
        <w:t>s dhe i Kukësit.</w:t>
      </w:r>
    </w:p>
  </w:footnote>
  <w:footnote w:id="31">
    <w:p w14:paraId="3F51537E" w14:textId="33B62259" w:rsidR="00E14B89" w:rsidRPr="00C73272" w:rsidRDefault="00E14B89" w:rsidP="00C73272">
      <w:pPr>
        <w:pStyle w:val="FOTNOTEEEEEE"/>
        <w:ind w:left="0" w:firstLine="0"/>
        <w:jc w:val="both"/>
        <w:rPr>
          <w:lang w:val="sq-AL"/>
        </w:rPr>
      </w:pPr>
      <w:r w:rsidRPr="00C73272">
        <w:rPr>
          <w:rStyle w:val="FootnoteReference"/>
          <w:color w:val="000000" w:themeColor="text1"/>
          <w:sz w:val="16"/>
          <w:szCs w:val="16"/>
          <w:lang w:val="sq-AL"/>
        </w:rPr>
        <w:footnoteRef/>
      </w:r>
      <w:r w:rsidRPr="00C73272">
        <w:rPr>
          <w:lang w:val="sq-AL"/>
        </w:rPr>
        <w:t xml:space="preserve"> geoportal.asig.gov.al</w:t>
      </w:r>
      <w:r>
        <w:rPr>
          <w:lang w:val="sq-AL"/>
        </w:rPr>
        <w:t xml:space="preserve">. </w:t>
      </w:r>
      <w:r w:rsidRPr="00C73272">
        <w:rPr>
          <w:lang w:val="sq-AL"/>
        </w:rPr>
        <w:t xml:space="preserve"> </w:t>
      </w:r>
      <w:r>
        <w:rPr>
          <w:lang w:val="sq-AL"/>
        </w:rPr>
        <w:t xml:space="preserve"> </w:t>
      </w:r>
    </w:p>
  </w:footnote>
  <w:footnote w:id="32">
    <w:p w14:paraId="5B93D507" w14:textId="78608630" w:rsidR="00E14B89" w:rsidRPr="005B2D09" w:rsidRDefault="00E14B89" w:rsidP="005B2D09">
      <w:pPr>
        <w:pStyle w:val="FootnoteText"/>
        <w:spacing w:before="0"/>
        <w:ind w:left="0" w:firstLine="0"/>
        <w:jc w:val="both"/>
        <w:rPr>
          <w:rFonts w:ascii="Garamond" w:hAnsi="Garamond"/>
          <w:color w:val="000000" w:themeColor="text1"/>
          <w:sz w:val="20"/>
          <w:szCs w:val="20"/>
          <w:lang w:val="it-IT"/>
        </w:rPr>
      </w:pPr>
      <w:r w:rsidRPr="005B2D09">
        <w:rPr>
          <w:rFonts w:ascii="Garamond" w:hAnsi="Garamond"/>
          <w:color w:val="000000" w:themeColor="text1"/>
          <w:sz w:val="20"/>
          <w:szCs w:val="20"/>
          <w:vertAlign w:val="superscript"/>
        </w:rPr>
        <w:footnoteRef/>
      </w:r>
      <w:r w:rsidRPr="005B2D09">
        <w:rPr>
          <w:rFonts w:ascii="Garamond" w:hAnsi="Garamond"/>
          <w:color w:val="000000" w:themeColor="text1"/>
          <w:sz w:val="20"/>
          <w:szCs w:val="20"/>
          <w:vertAlign w:val="superscript"/>
          <w:lang w:val="it-IT"/>
        </w:rPr>
        <w:t xml:space="preserve"> </w:t>
      </w:r>
      <w:r w:rsidRPr="005B2D09">
        <w:rPr>
          <w:rFonts w:ascii="Garamond" w:hAnsi="Garamond"/>
          <w:color w:val="000000" w:themeColor="text1"/>
          <w:sz w:val="20"/>
          <w:szCs w:val="20"/>
          <w:lang w:val="it-IT"/>
        </w:rPr>
        <w:t>SHGJSH, Drejtoria e Hidrogjeologjisë, Sektori i Monitorimit të Rrjetit Lumor, Monitorimi i Dinamikës së Shtratit në Lumenjtë e Shqipërisë në rrjedhën e mesme dhe të poshtme të rrjedhës dhe propozimi i masave për stabilizimin e gjëndjes, shkurt, 20</w:t>
      </w:r>
      <w:r>
        <w:rPr>
          <w:rFonts w:ascii="Garamond" w:hAnsi="Garamond"/>
          <w:color w:val="000000" w:themeColor="text1"/>
          <w:sz w:val="20"/>
          <w:szCs w:val="20"/>
          <w:lang w:val="it-IT"/>
        </w:rPr>
        <w:t>.</w:t>
      </w:r>
    </w:p>
  </w:footnote>
  <w:footnote w:id="33">
    <w:p w14:paraId="51604B81" w14:textId="25F4CCE2" w:rsidR="00E14B89" w:rsidRPr="005B2D09" w:rsidRDefault="00E14B89" w:rsidP="005B2D09">
      <w:pPr>
        <w:pStyle w:val="FootnoteText"/>
        <w:spacing w:before="0"/>
        <w:ind w:left="0" w:firstLine="0"/>
        <w:rPr>
          <w:rFonts w:ascii="Garamond" w:hAnsi="Garamond"/>
          <w:color w:val="000000" w:themeColor="text1"/>
          <w:sz w:val="20"/>
          <w:szCs w:val="20"/>
          <w:lang w:val="de-DE"/>
        </w:rPr>
      </w:pPr>
      <w:r w:rsidRPr="005B2D09">
        <w:rPr>
          <w:rFonts w:ascii="Garamond" w:hAnsi="Garamond"/>
          <w:color w:val="000000" w:themeColor="text1"/>
          <w:sz w:val="20"/>
          <w:szCs w:val="20"/>
          <w:vertAlign w:val="superscript"/>
        </w:rPr>
        <w:footnoteRef/>
      </w:r>
      <w:r w:rsidRPr="005B2D09">
        <w:rPr>
          <w:rFonts w:ascii="Garamond" w:hAnsi="Garamond"/>
          <w:color w:val="000000" w:themeColor="text1"/>
          <w:sz w:val="20"/>
          <w:szCs w:val="20"/>
          <w:vertAlign w:val="superscript"/>
          <w:lang w:val="de-DE"/>
        </w:rPr>
        <w:t xml:space="preserve"> </w:t>
      </w:r>
      <w:r w:rsidRPr="005B2D09">
        <w:rPr>
          <w:rFonts w:ascii="Garamond" w:hAnsi="Garamond"/>
          <w:color w:val="000000" w:themeColor="text1"/>
          <w:sz w:val="20"/>
          <w:szCs w:val="20"/>
          <w:lang w:val="de-DE"/>
        </w:rPr>
        <w:t>AKBN.gov.al,informacion për tremujorin e par</w:t>
      </w:r>
      <w:r>
        <w:rPr>
          <w:rFonts w:ascii="Garamond" w:hAnsi="Garamond"/>
          <w:color w:val="000000" w:themeColor="text1"/>
          <w:sz w:val="20"/>
          <w:szCs w:val="20"/>
          <w:lang w:val="de-DE"/>
        </w:rPr>
        <w:t>ë</w:t>
      </w:r>
      <w:r w:rsidRPr="005B2D09">
        <w:rPr>
          <w:rFonts w:ascii="Garamond" w:hAnsi="Garamond"/>
          <w:color w:val="000000" w:themeColor="text1"/>
          <w:sz w:val="20"/>
          <w:szCs w:val="20"/>
          <w:lang w:val="de-DE"/>
        </w:rPr>
        <w:t xml:space="preserve"> të 2018</w:t>
      </w:r>
      <w:r>
        <w:rPr>
          <w:rFonts w:ascii="Garamond" w:hAnsi="Garamond"/>
          <w:color w:val="000000" w:themeColor="text1"/>
          <w:sz w:val="20"/>
          <w:szCs w:val="20"/>
          <w:lang w:val="de-DE"/>
        </w:rPr>
        <w:t>-ës.</w:t>
      </w:r>
    </w:p>
  </w:footnote>
  <w:footnote w:id="34">
    <w:p w14:paraId="763D6528" w14:textId="3B64C003" w:rsidR="00E14B89" w:rsidRPr="008E44B6" w:rsidRDefault="00E14B89" w:rsidP="005B2D09">
      <w:pPr>
        <w:pStyle w:val="FootnoteText"/>
        <w:spacing w:before="0"/>
        <w:ind w:left="0" w:firstLine="0"/>
        <w:rPr>
          <w:rFonts w:ascii="Garamond" w:hAnsi="Garamond"/>
          <w:color w:val="000000" w:themeColor="text1"/>
          <w:sz w:val="20"/>
          <w:szCs w:val="20"/>
          <w:lang w:val="en-US"/>
        </w:rPr>
      </w:pPr>
      <w:r w:rsidRPr="005B2D09">
        <w:rPr>
          <w:rFonts w:ascii="Garamond" w:hAnsi="Garamond"/>
          <w:color w:val="000000" w:themeColor="text1"/>
          <w:sz w:val="20"/>
          <w:szCs w:val="20"/>
          <w:vertAlign w:val="superscript"/>
        </w:rPr>
        <w:footnoteRef/>
      </w:r>
      <w:r w:rsidRPr="005B2D09">
        <w:rPr>
          <w:rFonts w:ascii="Garamond" w:hAnsi="Garamond"/>
          <w:color w:val="000000" w:themeColor="text1"/>
          <w:sz w:val="20"/>
          <w:szCs w:val="20"/>
          <w:vertAlign w:val="superscript"/>
        </w:rPr>
        <w:t xml:space="preserve"> </w:t>
      </w:r>
      <w:r w:rsidRPr="005B2D09">
        <w:rPr>
          <w:rFonts w:ascii="Garamond" w:hAnsi="Garamond"/>
          <w:color w:val="000000" w:themeColor="text1"/>
          <w:sz w:val="20"/>
          <w:szCs w:val="20"/>
        </w:rPr>
        <w:t>AKM, Raporti i Gjendjes në Mjedis, 2014</w:t>
      </w:r>
      <w:r>
        <w:rPr>
          <w:rFonts w:ascii="Garamond" w:hAnsi="Garamond"/>
          <w:color w:val="000000" w:themeColor="text1"/>
          <w:sz w:val="20"/>
          <w:szCs w:val="20"/>
          <w:lang w:val="en-US"/>
        </w:rPr>
        <w:t>.</w:t>
      </w:r>
    </w:p>
  </w:footnote>
  <w:footnote w:id="35">
    <w:p w14:paraId="2C5EB2CF" w14:textId="2326F8A0" w:rsidR="00E14B89" w:rsidRPr="008E44B6" w:rsidRDefault="00E14B89" w:rsidP="005B2D09">
      <w:pPr>
        <w:pStyle w:val="FootnoteText"/>
        <w:spacing w:before="0"/>
        <w:ind w:left="0" w:firstLine="0"/>
        <w:rPr>
          <w:rFonts w:ascii="Garamond" w:hAnsi="Garamond"/>
          <w:color w:val="000000" w:themeColor="text1"/>
          <w:sz w:val="20"/>
          <w:szCs w:val="20"/>
          <w:lang w:val="en-US"/>
        </w:rPr>
      </w:pPr>
      <w:r w:rsidRPr="005B2D09">
        <w:rPr>
          <w:rFonts w:ascii="Garamond" w:hAnsi="Garamond"/>
          <w:color w:val="000000" w:themeColor="text1"/>
          <w:sz w:val="20"/>
          <w:szCs w:val="20"/>
          <w:vertAlign w:val="superscript"/>
        </w:rPr>
        <w:footnoteRef/>
      </w:r>
      <w:r w:rsidRPr="005B2D09">
        <w:rPr>
          <w:rFonts w:ascii="Garamond" w:hAnsi="Garamond"/>
          <w:color w:val="000000" w:themeColor="text1"/>
          <w:sz w:val="20"/>
          <w:szCs w:val="20"/>
          <w:vertAlign w:val="superscript"/>
        </w:rPr>
        <w:t xml:space="preserve"> </w:t>
      </w:r>
      <w:r w:rsidRPr="005B2D09">
        <w:rPr>
          <w:rFonts w:ascii="Garamond" w:hAnsi="Garamond"/>
          <w:color w:val="000000" w:themeColor="text1"/>
          <w:sz w:val="20"/>
          <w:szCs w:val="20"/>
        </w:rPr>
        <w:t>AKM, Raporti i Gjendjes në Mjedis, 2014</w:t>
      </w:r>
      <w:r>
        <w:rPr>
          <w:rFonts w:ascii="Garamond" w:hAnsi="Garamond"/>
          <w:color w:val="000000" w:themeColor="text1"/>
          <w:sz w:val="20"/>
          <w:szCs w:val="20"/>
          <w:lang w:val="en-US"/>
        </w:rPr>
        <w:t>.</w:t>
      </w:r>
    </w:p>
  </w:footnote>
  <w:footnote w:id="36">
    <w:p w14:paraId="47FE6BAB" w14:textId="5A6B854C" w:rsidR="00E14B89" w:rsidRPr="008E44B6" w:rsidRDefault="00E14B89" w:rsidP="005B2D09">
      <w:pPr>
        <w:pStyle w:val="FootnoteText"/>
        <w:spacing w:before="0"/>
        <w:ind w:left="0" w:firstLine="0"/>
        <w:rPr>
          <w:sz w:val="16"/>
          <w:szCs w:val="16"/>
          <w:lang w:val="en-US"/>
        </w:rPr>
      </w:pPr>
      <w:r w:rsidRPr="005B2D09">
        <w:rPr>
          <w:rFonts w:ascii="Garamond" w:hAnsi="Garamond"/>
          <w:color w:val="000000" w:themeColor="text1"/>
          <w:sz w:val="20"/>
          <w:szCs w:val="20"/>
          <w:vertAlign w:val="superscript"/>
        </w:rPr>
        <w:footnoteRef/>
      </w:r>
      <w:r w:rsidRPr="005B2D09">
        <w:rPr>
          <w:rFonts w:ascii="Garamond" w:hAnsi="Garamond"/>
          <w:color w:val="000000" w:themeColor="text1"/>
          <w:sz w:val="20"/>
          <w:szCs w:val="20"/>
          <w:vertAlign w:val="superscript"/>
        </w:rPr>
        <w:t xml:space="preserve"> </w:t>
      </w:r>
      <w:r w:rsidRPr="005B2D09">
        <w:rPr>
          <w:rFonts w:ascii="Garamond" w:hAnsi="Garamond"/>
          <w:color w:val="000000" w:themeColor="text1"/>
          <w:sz w:val="20"/>
          <w:szCs w:val="20"/>
        </w:rPr>
        <w:t>Dokumenti udhëzues rreth kërkesave për hidroçentrale, në lidhje me legjislacionin e BE-s</w:t>
      </w:r>
      <w:r>
        <w:rPr>
          <w:rFonts w:ascii="Garamond" w:hAnsi="Garamond"/>
          <w:color w:val="000000" w:themeColor="text1"/>
          <w:sz w:val="20"/>
          <w:szCs w:val="20"/>
          <w:lang w:val="en-US"/>
        </w:rPr>
        <w:t>ë</w:t>
      </w:r>
      <w:r w:rsidRPr="005B2D09">
        <w:rPr>
          <w:rFonts w:ascii="Garamond" w:hAnsi="Garamond"/>
          <w:color w:val="000000" w:themeColor="text1"/>
          <w:sz w:val="20"/>
          <w:szCs w:val="20"/>
        </w:rPr>
        <w:t xml:space="preserve"> për Natyrën, Komisioni Evropian, 2018</w:t>
      </w:r>
      <w:r>
        <w:rPr>
          <w:rFonts w:ascii="Garamond" w:hAnsi="Garamond"/>
          <w:color w:val="000000" w:themeColor="text1"/>
          <w:sz w:val="20"/>
          <w:szCs w:val="20"/>
          <w:lang w:val="en-US"/>
        </w:rPr>
        <w:t>.</w:t>
      </w:r>
    </w:p>
  </w:footnote>
  <w:footnote w:id="37">
    <w:p w14:paraId="06754901" w14:textId="175AACE7" w:rsidR="00E14B89" w:rsidRPr="00530986" w:rsidRDefault="00E14B89" w:rsidP="00744307">
      <w:pPr>
        <w:pStyle w:val="FootnoteText"/>
        <w:spacing w:before="0"/>
        <w:ind w:left="0" w:firstLine="0"/>
        <w:rPr>
          <w:rFonts w:ascii="Garamond" w:hAnsi="Garamond"/>
          <w:sz w:val="20"/>
          <w:szCs w:val="20"/>
          <w:lang w:val="en-US"/>
        </w:rPr>
      </w:pPr>
      <w:r w:rsidRPr="00744307">
        <w:rPr>
          <w:rFonts w:ascii="Garamond" w:hAnsi="Garamond"/>
          <w:sz w:val="20"/>
          <w:szCs w:val="20"/>
          <w:vertAlign w:val="superscript"/>
        </w:rPr>
        <w:footnoteRef/>
      </w:r>
      <w:r w:rsidRPr="00744307">
        <w:rPr>
          <w:rFonts w:ascii="Garamond" w:hAnsi="Garamond"/>
          <w:sz w:val="20"/>
          <w:szCs w:val="20"/>
          <w:vertAlign w:val="superscript"/>
        </w:rPr>
        <w:t xml:space="preserve"> </w:t>
      </w:r>
      <w:r w:rsidRPr="00744307">
        <w:rPr>
          <w:rFonts w:ascii="Garamond" w:hAnsi="Garamond"/>
          <w:sz w:val="20"/>
          <w:szCs w:val="20"/>
        </w:rPr>
        <w:t>Mbledhje informale e drejtorëve të Bashkimit Evropian, kandidatëve dhe vendeve të EFTA, Segovia, 27-28 Maj 2010</w:t>
      </w:r>
      <w:r>
        <w:rPr>
          <w:rFonts w:ascii="Garamond" w:hAnsi="Garamond"/>
          <w:sz w:val="20"/>
          <w:szCs w:val="20"/>
          <w:lang w:val="en-US"/>
        </w:rPr>
        <w:t>.</w:t>
      </w:r>
    </w:p>
  </w:footnote>
  <w:footnote w:id="38">
    <w:p w14:paraId="5C7E6296" w14:textId="7FF93B08" w:rsidR="00E14B89" w:rsidRPr="00530986" w:rsidRDefault="00E14B89" w:rsidP="00744307">
      <w:pPr>
        <w:pStyle w:val="FootnoteText"/>
        <w:spacing w:before="0"/>
        <w:ind w:left="0" w:firstLine="0"/>
        <w:rPr>
          <w:rFonts w:ascii="Garamond" w:hAnsi="Garamond"/>
          <w:sz w:val="20"/>
          <w:szCs w:val="20"/>
          <w:lang w:val="en-US"/>
        </w:rPr>
      </w:pPr>
      <w:r w:rsidRPr="00744307">
        <w:rPr>
          <w:rFonts w:ascii="Garamond" w:hAnsi="Garamond"/>
          <w:sz w:val="20"/>
          <w:szCs w:val="20"/>
          <w:vertAlign w:val="superscript"/>
        </w:rPr>
        <w:footnoteRef/>
      </w:r>
      <w:r w:rsidRPr="00744307">
        <w:rPr>
          <w:rFonts w:ascii="Garamond" w:hAnsi="Garamond"/>
          <w:sz w:val="20"/>
          <w:szCs w:val="20"/>
          <w:vertAlign w:val="superscript"/>
        </w:rPr>
        <w:t xml:space="preserve"> </w:t>
      </w:r>
      <w:r w:rsidRPr="00744307">
        <w:rPr>
          <w:rFonts w:ascii="Garamond" w:hAnsi="Garamond"/>
          <w:sz w:val="20"/>
          <w:szCs w:val="20"/>
        </w:rPr>
        <w:t>Dokumenti udhëzues rreth kërkesave për hidroçentrale, në lidhje me legjislacionin e BE-se për Natyrën, Komisioni Evropian, 2018</w:t>
      </w:r>
      <w:r>
        <w:rPr>
          <w:rFonts w:ascii="Garamond" w:hAnsi="Garamond"/>
          <w:sz w:val="20"/>
          <w:szCs w:val="20"/>
          <w:lang w:val="en-US"/>
        </w:rPr>
        <w:t>.</w:t>
      </w:r>
    </w:p>
  </w:footnote>
  <w:footnote w:id="39">
    <w:p w14:paraId="7798E94F" w14:textId="164F5468" w:rsidR="00E14B89" w:rsidRPr="006A13D1" w:rsidRDefault="00E14B89" w:rsidP="00E45689">
      <w:pPr>
        <w:pStyle w:val="FootnoteText"/>
        <w:spacing w:before="0"/>
        <w:ind w:left="0" w:firstLine="0"/>
        <w:rPr>
          <w:rFonts w:ascii="Garamond" w:hAnsi="Garamond"/>
          <w:sz w:val="20"/>
          <w:szCs w:val="20"/>
          <w:lang w:val="de-DE"/>
        </w:rPr>
      </w:pPr>
      <w:r w:rsidRPr="006A13D1">
        <w:rPr>
          <w:rFonts w:ascii="Garamond" w:hAnsi="Garamond"/>
          <w:sz w:val="20"/>
          <w:szCs w:val="20"/>
          <w:vertAlign w:val="superscript"/>
        </w:rPr>
        <w:footnoteRef/>
      </w:r>
      <w:r w:rsidRPr="006A13D1">
        <w:rPr>
          <w:rFonts w:ascii="Garamond" w:hAnsi="Garamond"/>
          <w:sz w:val="20"/>
          <w:szCs w:val="20"/>
          <w:vertAlign w:val="superscript"/>
          <w:lang w:val="de-DE"/>
        </w:rPr>
        <w:t xml:space="preserve"> </w:t>
      </w:r>
      <w:r w:rsidRPr="006A13D1">
        <w:rPr>
          <w:rFonts w:ascii="Garamond" w:hAnsi="Garamond"/>
          <w:sz w:val="20"/>
          <w:szCs w:val="20"/>
          <w:lang w:val="de-DE"/>
        </w:rPr>
        <w:t>INSTAT, 2016</w:t>
      </w:r>
      <w:r>
        <w:rPr>
          <w:rFonts w:ascii="Garamond" w:hAnsi="Garamond"/>
          <w:sz w:val="20"/>
          <w:szCs w:val="20"/>
          <w:lang w:val="de-DE"/>
        </w:rPr>
        <w:t>.</w:t>
      </w:r>
    </w:p>
  </w:footnote>
  <w:footnote w:id="40">
    <w:p w14:paraId="403B6D37" w14:textId="7C65E3E2" w:rsidR="00E14B89" w:rsidRPr="006A13D1" w:rsidRDefault="00E14B89" w:rsidP="00E45689">
      <w:pPr>
        <w:pStyle w:val="FootnoteText"/>
        <w:spacing w:before="0"/>
        <w:ind w:left="0" w:firstLine="0"/>
        <w:rPr>
          <w:sz w:val="16"/>
          <w:szCs w:val="16"/>
          <w:lang w:val="de-DE"/>
        </w:rPr>
      </w:pPr>
      <w:r w:rsidRPr="006A13D1">
        <w:rPr>
          <w:rFonts w:ascii="Garamond" w:hAnsi="Garamond"/>
          <w:sz w:val="20"/>
          <w:szCs w:val="20"/>
          <w:vertAlign w:val="superscript"/>
        </w:rPr>
        <w:footnoteRef/>
      </w:r>
      <w:r w:rsidRPr="006A13D1">
        <w:rPr>
          <w:rFonts w:ascii="Garamond" w:hAnsi="Garamond"/>
          <w:sz w:val="20"/>
          <w:szCs w:val="20"/>
          <w:vertAlign w:val="superscript"/>
          <w:lang w:val="de-DE"/>
        </w:rPr>
        <w:t xml:space="preserve"> </w:t>
      </w:r>
      <w:r w:rsidRPr="006A13D1">
        <w:rPr>
          <w:rFonts w:ascii="Garamond" w:hAnsi="Garamond"/>
          <w:sz w:val="20"/>
          <w:szCs w:val="20"/>
          <w:lang w:val="de-DE"/>
        </w:rPr>
        <w:t>Drejtoria e Pergjithshme e Doganave, 2015</w:t>
      </w:r>
      <w:r>
        <w:rPr>
          <w:rFonts w:ascii="Garamond" w:hAnsi="Garamond"/>
          <w:sz w:val="20"/>
          <w:szCs w:val="20"/>
          <w:lang w:val="de-DE"/>
        </w:rPr>
        <w:t>.</w:t>
      </w:r>
    </w:p>
  </w:footnote>
  <w:footnote w:id="41">
    <w:p w14:paraId="42D9B803" w14:textId="02EAD9E7" w:rsidR="00E14B89" w:rsidRPr="006A13D1" w:rsidRDefault="00E14B89" w:rsidP="00E45689">
      <w:pPr>
        <w:pStyle w:val="FootnoteText"/>
        <w:spacing w:before="0"/>
        <w:ind w:left="0" w:firstLine="0"/>
        <w:jc w:val="both"/>
        <w:rPr>
          <w:rFonts w:ascii="Garamond" w:hAnsi="Garamond"/>
          <w:sz w:val="20"/>
          <w:szCs w:val="20"/>
          <w:lang w:val="de-DE"/>
        </w:rPr>
      </w:pPr>
      <w:r w:rsidRPr="006A13D1">
        <w:rPr>
          <w:rFonts w:ascii="Garamond" w:hAnsi="Garamond"/>
          <w:sz w:val="20"/>
          <w:szCs w:val="20"/>
          <w:vertAlign w:val="superscript"/>
        </w:rPr>
        <w:footnoteRef/>
      </w:r>
      <w:r w:rsidRPr="006A13D1">
        <w:rPr>
          <w:rFonts w:ascii="Garamond" w:hAnsi="Garamond"/>
          <w:sz w:val="20"/>
          <w:szCs w:val="20"/>
          <w:vertAlign w:val="superscript"/>
          <w:lang w:val="de-DE"/>
        </w:rPr>
        <w:t xml:space="preserve"> </w:t>
      </w:r>
      <w:r w:rsidRPr="006A13D1">
        <w:rPr>
          <w:rFonts w:ascii="Garamond" w:hAnsi="Garamond"/>
          <w:sz w:val="20"/>
          <w:szCs w:val="20"/>
          <w:lang w:val="de-DE"/>
        </w:rPr>
        <w:t xml:space="preserve">AEM (2000), Mjedisi </w:t>
      </w:r>
      <w:r>
        <w:rPr>
          <w:rFonts w:ascii="Garamond" w:hAnsi="Garamond"/>
          <w:sz w:val="20"/>
          <w:szCs w:val="20"/>
          <w:lang w:val="de-DE"/>
        </w:rPr>
        <w:t xml:space="preserve">i </w:t>
      </w:r>
      <w:r w:rsidRPr="006A13D1">
        <w:rPr>
          <w:rFonts w:ascii="Garamond" w:hAnsi="Garamond"/>
          <w:sz w:val="20"/>
          <w:szCs w:val="20"/>
          <w:lang w:val="de-DE"/>
        </w:rPr>
        <w:t>Evropës: Vlerësimi i trëtë, Agjencia Evropiane e Mjedisit, Kopenhagen</w:t>
      </w:r>
      <w:r>
        <w:rPr>
          <w:rFonts w:ascii="Garamond" w:hAnsi="Garamond"/>
          <w:sz w:val="20"/>
          <w:szCs w:val="20"/>
          <w:lang w:val="de-DE"/>
        </w:rPr>
        <w:t>.</w:t>
      </w:r>
    </w:p>
  </w:footnote>
  <w:footnote w:id="42">
    <w:p w14:paraId="35752D8C" w14:textId="00F3E340" w:rsidR="00E14B89" w:rsidRPr="00E45689" w:rsidRDefault="00E14B89" w:rsidP="00E45689">
      <w:pPr>
        <w:pStyle w:val="FootnoteText"/>
        <w:spacing w:before="0"/>
        <w:ind w:left="0" w:firstLine="0"/>
        <w:jc w:val="both"/>
        <w:rPr>
          <w:rFonts w:ascii="Garamond" w:hAnsi="Garamond"/>
          <w:color w:val="000000" w:themeColor="text1"/>
          <w:sz w:val="20"/>
          <w:szCs w:val="20"/>
          <w:lang w:val="de-DE"/>
        </w:rPr>
      </w:pPr>
      <w:r w:rsidRPr="00E45689">
        <w:rPr>
          <w:rFonts w:ascii="Garamond" w:hAnsi="Garamond"/>
          <w:color w:val="000000" w:themeColor="text1"/>
          <w:sz w:val="20"/>
          <w:szCs w:val="20"/>
          <w:vertAlign w:val="superscript"/>
        </w:rPr>
        <w:footnoteRef/>
      </w:r>
      <w:r w:rsidRPr="00E45689">
        <w:rPr>
          <w:rFonts w:ascii="Garamond" w:hAnsi="Garamond"/>
          <w:color w:val="000000" w:themeColor="text1"/>
          <w:sz w:val="20"/>
          <w:szCs w:val="20"/>
          <w:vertAlign w:val="superscript"/>
          <w:lang w:val="de-DE"/>
        </w:rPr>
        <w:t xml:space="preserve"> </w:t>
      </w:r>
      <w:r w:rsidRPr="00E45689">
        <w:rPr>
          <w:rFonts w:ascii="Garamond" w:hAnsi="Garamond"/>
          <w:color w:val="000000" w:themeColor="text1"/>
          <w:sz w:val="20"/>
          <w:szCs w:val="20"/>
          <w:lang w:val="de-DE"/>
        </w:rPr>
        <w:t>Hamele, H dhe S. Eckhardt (2006), Iniciativa Mjedisore nga Instrument</w:t>
      </w:r>
      <w:r>
        <w:rPr>
          <w:rFonts w:ascii="Garamond" w:hAnsi="Garamond"/>
          <w:color w:val="000000" w:themeColor="text1"/>
          <w:sz w:val="20"/>
          <w:szCs w:val="20"/>
          <w:lang w:val="de-DE"/>
        </w:rPr>
        <w:t>e</w:t>
      </w:r>
      <w:r w:rsidRPr="00E45689">
        <w:rPr>
          <w:rFonts w:ascii="Garamond" w:hAnsi="Garamond"/>
          <w:color w:val="000000" w:themeColor="text1"/>
          <w:sz w:val="20"/>
          <w:szCs w:val="20"/>
          <w:lang w:val="de-DE"/>
        </w:rPr>
        <w:t>t, Treguesit dhe shembujt praktikë të biz</w:t>
      </w:r>
      <w:r>
        <w:rPr>
          <w:rFonts w:ascii="Garamond" w:hAnsi="Garamond"/>
          <w:color w:val="000000" w:themeColor="text1"/>
          <w:sz w:val="20"/>
          <w:szCs w:val="20"/>
          <w:lang w:val="de-DE"/>
        </w:rPr>
        <w:t>n</w:t>
      </w:r>
      <w:r w:rsidRPr="00E45689">
        <w:rPr>
          <w:rFonts w:ascii="Garamond" w:hAnsi="Garamond"/>
          <w:color w:val="000000" w:themeColor="text1"/>
          <w:sz w:val="20"/>
          <w:szCs w:val="20"/>
          <w:lang w:val="de-DE"/>
        </w:rPr>
        <w:t>esi të turizmit Evropian</w:t>
      </w:r>
      <w:r>
        <w:rPr>
          <w:rFonts w:ascii="Garamond" w:hAnsi="Garamond"/>
          <w:color w:val="000000" w:themeColor="text1"/>
          <w:sz w:val="20"/>
          <w:szCs w:val="20"/>
          <w:lang w:val="de-DE"/>
        </w:rPr>
        <w:t>.</w:t>
      </w:r>
    </w:p>
  </w:footnote>
  <w:footnote w:id="43">
    <w:p w14:paraId="6B612142" w14:textId="0509A758" w:rsidR="00E14B89" w:rsidRPr="00E45689" w:rsidRDefault="00E14B89" w:rsidP="00E45689">
      <w:pPr>
        <w:pStyle w:val="FootnoteText"/>
        <w:spacing w:before="0"/>
        <w:ind w:left="0" w:firstLine="0"/>
        <w:jc w:val="both"/>
        <w:rPr>
          <w:rFonts w:ascii="Garamond" w:hAnsi="Garamond"/>
          <w:color w:val="000000" w:themeColor="text1"/>
          <w:sz w:val="20"/>
          <w:szCs w:val="20"/>
          <w:lang w:val="de-DE"/>
        </w:rPr>
      </w:pPr>
      <w:r w:rsidRPr="00E45689">
        <w:rPr>
          <w:rFonts w:ascii="Garamond" w:hAnsi="Garamond"/>
          <w:color w:val="000000" w:themeColor="text1"/>
          <w:sz w:val="20"/>
          <w:szCs w:val="20"/>
          <w:vertAlign w:val="superscript"/>
        </w:rPr>
        <w:footnoteRef/>
      </w:r>
      <w:r w:rsidRPr="00E45689">
        <w:rPr>
          <w:rFonts w:ascii="Garamond" w:hAnsi="Garamond"/>
          <w:color w:val="000000" w:themeColor="text1"/>
          <w:sz w:val="20"/>
          <w:szCs w:val="20"/>
          <w:vertAlign w:val="superscript"/>
          <w:lang w:val="de-DE"/>
        </w:rPr>
        <w:t xml:space="preserve"> </w:t>
      </w:r>
      <w:r w:rsidRPr="00E45689">
        <w:rPr>
          <w:rFonts w:ascii="Garamond" w:hAnsi="Garamond"/>
          <w:color w:val="000000" w:themeColor="text1"/>
          <w:sz w:val="20"/>
          <w:szCs w:val="20"/>
          <w:lang w:val="de-DE"/>
        </w:rPr>
        <w:t>Ekologjik (2007), potenciali i ruajtjes së ujit të BE-së, Raporti final, Instituti i Politikave Ndërkombëtare dhe Evropiane të Mjedisit, Berlin</w:t>
      </w:r>
      <w:r>
        <w:rPr>
          <w:rFonts w:ascii="Garamond" w:hAnsi="Garamond"/>
          <w:color w:val="000000" w:themeColor="text1"/>
          <w:sz w:val="20"/>
          <w:szCs w:val="20"/>
          <w:lang w:val="de-DE"/>
        </w:rPr>
        <w:t>.</w:t>
      </w:r>
    </w:p>
  </w:footnote>
  <w:footnote w:id="44">
    <w:p w14:paraId="0845D32C" w14:textId="0F180CE1" w:rsidR="00E14B89" w:rsidRPr="000E77B3" w:rsidRDefault="00E14B89" w:rsidP="00E45689">
      <w:pPr>
        <w:pStyle w:val="FootnoteText"/>
        <w:spacing w:before="0"/>
        <w:ind w:left="0" w:firstLine="0"/>
        <w:jc w:val="both"/>
        <w:rPr>
          <w:sz w:val="16"/>
          <w:szCs w:val="16"/>
          <w:lang w:val="de-DE"/>
        </w:rPr>
      </w:pPr>
      <w:r w:rsidRPr="00E45689">
        <w:rPr>
          <w:rFonts w:ascii="Garamond" w:hAnsi="Garamond"/>
          <w:color w:val="000000" w:themeColor="text1"/>
          <w:sz w:val="20"/>
          <w:szCs w:val="20"/>
          <w:vertAlign w:val="superscript"/>
        </w:rPr>
        <w:footnoteRef/>
      </w:r>
      <w:r w:rsidRPr="00E45689">
        <w:rPr>
          <w:rFonts w:ascii="Garamond" w:hAnsi="Garamond"/>
          <w:color w:val="000000" w:themeColor="text1"/>
          <w:sz w:val="20"/>
          <w:szCs w:val="20"/>
          <w:vertAlign w:val="superscript"/>
          <w:lang w:val="de-DE"/>
        </w:rPr>
        <w:t xml:space="preserve"> </w:t>
      </w:r>
      <w:r w:rsidRPr="00E45689">
        <w:rPr>
          <w:rFonts w:ascii="Garamond" w:hAnsi="Garamond"/>
          <w:color w:val="000000" w:themeColor="text1"/>
          <w:sz w:val="20"/>
          <w:szCs w:val="20"/>
          <w:lang w:val="de-DE"/>
        </w:rPr>
        <w:t xml:space="preserve">AEM, (2003), Uji i </w:t>
      </w:r>
      <w:r>
        <w:rPr>
          <w:rFonts w:ascii="Garamond" w:hAnsi="Garamond"/>
          <w:color w:val="000000" w:themeColor="text1"/>
          <w:sz w:val="20"/>
          <w:szCs w:val="20"/>
          <w:lang w:val="de-DE"/>
        </w:rPr>
        <w:t>Evropës, një vlerësim bazuar te</w:t>
      </w:r>
      <w:r w:rsidRPr="00E45689">
        <w:rPr>
          <w:rFonts w:ascii="Garamond" w:hAnsi="Garamond"/>
          <w:color w:val="000000" w:themeColor="text1"/>
          <w:sz w:val="20"/>
          <w:szCs w:val="20"/>
          <w:lang w:val="de-DE"/>
        </w:rPr>
        <w:t xml:space="preserve"> treguesit, Kopenhagen</w:t>
      </w:r>
      <w:r>
        <w:rPr>
          <w:rFonts w:ascii="Garamond" w:hAnsi="Garamond"/>
          <w:color w:val="000000" w:themeColor="text1"/>
          <w:sz w:val="20"/>
          <w:szCs w:val="20"/>
          <w:lang w:val="de-DE"/>
        </w:rPr>
        <w:t>.</w:t>
      </w:r>
    </w:p>
  </w:footnote>
  <w:footnote w:id="45">
    <w:p w14:paraId="79C2EB90" w14:textId="5A266E77" w:rsidR="00E14B89" w:rsidRPr="00B14B93" w:rsidRDefault="00E14B89" w:rsidP="005D784C">
      <w:pPr>
        <w:pStyle w:val="FootnoteText"/>
        <w:rPr>
          <w:rFonts w:ascii="Garamond" w:hAnsi="Garamond"/>
          <w:sz w:val="20"/>
          <w:szCs w:val="20"/>
          <w:lang w:val="de-DE"/>
        </w:rPr>
      </w:pPr>
      <w:r w:rsidRPr="00B14B93">
        <w:rPr>
          <w:rFonts w:ascii="Garamond" w:hAnsi="Garamond"/>
          <w:color w:val="000000" w:themeColor="text1"/>
          <w:sz w:val="20"/>
          <w:szCs w:val="20"/>
          <w:vertAlign w:val="superscript"/>
        </w:rPr>
        <w:footnoteRef/>
      </w:r>
      <w:r w:rsidRPr="00B14B93">
        <w:rPr>
          <w:rFonts w:ascii="Garamond" w:hAnsi="Garamond"/>
          <w:color w:val="000000" w:themeColor="text1"/>
          <w:sz w:val="20"/>
          <w:szCs w:val="20"/>
          <w:vertAlign w:val="superscript"/>
          <w:lang w:val="de-DE"/>
        </w:rPr>
        <w:t xml:space="preserve"> </w:t>
      </w:r>
      <w:r w:rsidRPr="00B14B93">
        <w:rPr>
          <w:rFonts w:ascii="Garamond" w:hAnsi="Garamond"/>
          <w:color w:val="000000" w:themeColor="text1"/>
          <w:sz w:val="20"/>
          <w:szCs w:val="20"/>
          <w:lang w:val="de-DE"/>
        </w:rPr>
        <w:t xml:space="preserve">AEM (2000), Mjedisi </w:t>
      </w:r>
      <w:r>
        <w:rPr>
          <w:rFonts w:ascii="Garamond" w:hAnsi="Garamond"/>
          <w:color w:val="000000" w:themeColor="text1"/>
          <w:sz w:val="20"/>
          <w:szCs w:val="20"/>
          <w:lang w:val="de-DE"/>
        </w:rPr>
        <w:t xml:space="preserve">i </w:t>
      </w:r>
      <w:r w:rsidRPr="00B14B93">
        <w:rPr>
          <w:rFonts w:ascii="Garamond" w:hAnsi="Garamond"/>
          <w:color w:val="000000" w:themeColor="text1"/>
          <w:sz w:val="20"/>
          <w:szCs w:val="20"/>
          <w:lang w:val="de-DE"/>
        </w:rPr>
        <w:t xml:space="preserve">Evropës: Vlerësimi i trëtë, Agjencia Evropiane e Mjedisit, Kopenhagen </w:t>
      </w:r>
    </w:p>
  </w:footnote>
  <w:footnote w:id="46">
    <w:p w14:paraId="6FA1FBBB" w14:textId="4986F4C5" w:rsidR="00E14B89" w:rsidRPr="005D04C8" w:rsidRDefault="00E14B89" w:rsidP="005D04C8">
      <w:pPr>
        <w:spacing w:after="0" w:line="240" w:lineRule="auto"/>
        <w:jc w:val="both"/>
        <w:rPr>
          <w:rFonts w:ascii="Garamond" w:hAnsi="Garamond" w:cs="Arial"/>
          <w:color w:val="000000"/>
          <w:sz w:val="20"/>
          <w:szCs w:val="20"/>
          <w:lang w:val="de-DE"/>
        </w:rPr>
      </w:pPr>
      <w:r w:rsidRPr="001F68B2">
        <w:rPr>
          <w:rStyle w:val="FootnoteReference"/>
          <w:rFonts w:ascii="Garamond" w:hAnsi="Garamond" w:cs="Arial"/>
          <w:color w:val="auto"/>
          <w:sz w:val="20"/>
        </w:rPr>
        <w:footnoteRef/>
      </w:r>
      <w:r w:rsidRPr="001F68B2">
        <w:rPr>
          <w:rFonts w:ascii="Garamond" w:hAnsi="Garamond" w:cs="Arial"/>
          <w:sz w:val="20"/>
          <w:szCs w:val="20"/>
          <w:lang w:val="de-DE"/>
        </w:rPr>
        <w:t xml:space="preserve"> </w:t>
      </w:r>
      <w:r w:rsidRPr="005D04C8">
        <w:rPr>
          <w:rFonts w:ascii="Garamond" w:hAnsi="Garamond" w:cs="Arial"/>
          <w:sz w:val="20"/>
          <w:szCs w:val="20"/>
          <w:lang w:val="de-DE"/>
        </w:rPr>
        <w:t xml:space="preserve">Modeli </w:t>
      </w:r>
      <w:r w:rsidR="000A1B7F" w:rsidRPr="005D04C8">
        <w:rPr>
          <w:rFonts w:ascii="Garamond" w:hAnsi="Garamond" w:cs="Arial"/>
          <w:sz w:val="20"/>
          <w:szCs w:val="20"/>
          <w:lang w:val="de-DE"/>
        </w:rPr>
        <w:t xml:space="preserve">Dhi Mike Hydro </w:t>
      </w:r>
      <w:r w:rsidRPr="005D04C8">
        <w:rPr>
          <w:rFonts w:ascii="Garamond" w:hAnsi="Garamond" w:cs="Arial"/>
          <w:sz w:val="20"/>
          <w:szCs w:val="20"/>
          <w:lang w:val="de-DE"/>
        </w:rPr>
        <w:t>u përdor gjatë projektit për të: i</w:t>
      </w:r>
      <w:r>
        <w:rPr>
          <w:rFonts w:ascii="Garamond" w:hAnsi="Garamond" w:cs="Arial"/>
          <w:sz w:val="20"/>
          <w:szCs w:val="20"/>
          <w:lang w:val="de-DE"/>
        </w:rPr>
        <w:t>.</w:t>
      </w:r>
      <w:r w:rsidRPr="005D04C8">
        <w:rPr>
          <w:rFonts w:ascii="Garamond" w:hAnsi="Garamond" w:cs="Arial"/>
          <w:sz w:val="20"/>
          <w:szCs w:val="20"/>
          <w:lang w:val="de-DE"/>
        </w:rPr>
        <w:t xml:space="preserve"> krijuar një model të kalibruar që simulon proceset e prurjes së reshjeve, prurjet e lumenjve dhe operacionet e rezervuarit dhe përdorimi i ujit; ii</w:t>
      </w:r>
      <w:r>
        <w:rPr>
          <w:rFonts w:ascii="Garamond" w:hAnsi="Garamond" w:cs="Arial"/>
          <w:sz w:val="20"/>
          <w:szCs w:val="20"/>
          <w:lang w:val="de-DE"/>
        </w:rPr>
        <w:t>.</w:t>
      </w:r>
      <w:r w:rsidRPr="005D04C8">
        <w:rPr>
          <w:rFonts w:ascii="Garamond" w:hAnsi="Garamond" w:cs="Arial"/>
          <w:sz w:val="20"/>
          <w:szCs w:val="20"/>
          <w:lang w:val="de-DE"/>
        </w:rPr>
        <w:t xml:space="preserve"> komputuar masat e rëndësishme statistikore të mesatareve hidrologjike dhe ndryshueshmërisë; iii</w:t>
      </w:r>
      <w:r>
        <w:rPr>
          <w:rFonts w:ascii="Garamond" w:hAnsi="Garamond" w:cs="Arial"/>
          <w:sz w:val="20"/>
          <w:szCs w:val="20"/>
          <w:lang w:val="de-DE"/>
        </w:rPr>
        <w:t>.</w:t>
      </w:r>
      <w:r w:rsidRPr="005D04C8">
        <w:rPr>
          <w:rFonts w:ascii="Garamond" w:hAnsi="Garamond" w:cs="Arial"/>
          <w:sz w:val="20"/>
          <w:szCs w:val="20"/>
          <w:lang w:val="de-DE"/>
        </w:rPr>
        <w:t xml:space="preserve"> kryer procedurat statistikore për rezultatet e modelit klimatik për të gjeneruar të dhëna të reshjeve dhe avullimit në modelin e zhvilluar në hapin paraprak; iv</w:t>
      </w:r>
      <w:r>
        <w:rPr>
          <w:rFonts w:ascii="Garamond" w:hAnsi="Garamond" w:cs="Arial"/>
          <w:sz w:val="20"/>
          <w:szCs w:val="20"/>
          <w:lang w:val="de-DE"/>
        </w:rPr>
        <w:t>.</w:t>
      </w:r>
      <w:r w:rsidRPr="005D04C8">
        <w:rPr>
          <w:rFonts w:ascii="Garamond" w:hAnsi="Garamond" w:cs="Arial"/>
          <w:sz w:val="20"/>
          <w:szCs w:val="20"/>
          <w:lang w:val="de-DE"/>
        </w:rPr>
        <w:t xml:space="preserve"> Kryer simulime me inputet e ndryshimit të klimës për të vlerësuar ndikimet e ndryshimeve klimatike; v</w:t>
      </w:r>
      <w:r>
        <w:rPr>
          <w:rFonts w:ascii="Garamond" w:hAnsi="Garamond" w:cs="Arial"/>
          <w:sz w:val="20"/>
          <w:szCs w:val="20"/>
          <w:lang w:val="de-DE"/>
        </w:rPr>
        <w:t xml:space="preserve">. </w:t>
      </w:r>
      <w:r w:rsidRPr="005D04C8">
        <w:rPr>
          <w:rFonts w:ascii="Garamond" w:hAnsi="Garamond" w:cs="Arial"/>
          <w:sz w:val="20"/>
          <w:szCs w:val="20"/>
          <w:lang w:val="de-DE"/>
        </w:rPr>
        <w:t>siguruar vlerësimin e kërkesave, kërkesave të prurjeve të mjedisit dhe kërkesave të prurjeve jokonsumative për të vlerësuar masën në të cilën furnizimet janë të mjaftueshme për të përmbushur kërkesat e dhëna në kushtet hidrologjike që janë vërejtur në të kaluarën; v</w:t>
      </w:r>
      <w:r>
        <w:rPr>
          <w:rFonts w:ascii="Garamond" w:hAnsi="Garamond" w:cs="Arial"/>
          <w:sz w:val="20"/>
          <w:szCs w:val="20"/>
          <w:lang w:val="de-DE"/>
        </w:rPr>
        <w:t>.</w:t>
      </w:r>
      <w:r w:rsidRPr="005D04C8">
        <w:rPr>
          <w:rFonts w:ascii="Garamond" w:hAnsi="Garamond" w:cs="Arial"/>
          <w:sz w:val="20"/>
          <w:szCs w:val="20"/>
          <w:lang w:val="de-DE"/>
        </w:rPr>
        <w:t xml:space="preserve"> siguruar vlerësime të kërkesave, kërkesave të prurjes së mjedisit dhe kërkesave të përdorimit jokonsumues për të vlerësuar masën në të cilën furnizimet janë të mjaftueshme për të përmbushur kërkesat e kushteve hidrologjike që mund të ekzistojnë në të ardhmen nëse ndodh ndryshimi i klimës</w:t>
      </w:r>
      <w:r w:rsidRPr="005D04C8">
        <w:rPr>
          <w:rFonts w:ascii="Garamond" w:hAnsi="Garamond" w:cs="Arial"/>
          <w:color w:val="000000"/>
          <w:sz w:val="20"/>
          <w:szCs w:val="20"/>
          <w:lang w:val="de-DE"/>
        </w:rPr>
        <w:t>.</w:t>
      </w:r>
    </w:p>
  </w:footnote>
  <w:footnote w:id="47">
    <w:p w14:paraId="344314FE" w14:textId="08F1D088" w:rsidR="00E14B89" w:rsidRPr="00C2143A" w:rsidRDefault="00E14B89" w:rsidP="005D784C">
      <w:pPr>
        <w:pStyle w:val="FootnoteText"/>
        <w:rPr>
          <w:rFonts w:ascii="Garamond" w:hAnsi="Garamond"/>
          <w:sz w:val="20"/>
          <w:szCs w:val="20"/>
          <w:lang w:val="de-DE"/>
        </w:rPr>
      </w:pPr>
      <w:r w:rsidRPr="00C2143A">
        <w:rPr>
          <w:rStyle w:val="FootnoteReference"/>
          <w:rFonts w:ascii="Garamond" w:hAnsi="Garamond"/>
          <w:color w:val="auto"/>
          <w:sz w:val="20"/>
        </w:rPr>
        <w:footnoteRef/>
      </w:r>
      <w:r w:rsidRPr="00C2143A">
        <w:rPr>
          <w:rFonts w:ascii="Garamond" w:hAnsi="Garamond"/>
          <w:sz w:val="20"/>
          <w:szCs w:val="20"/>
          <w:lang w:val="de-DE"/>
        </w:rPr>
        <w:t>Vendndodhja e ujëmbledhësit 4 të basenit ujor Drin</w:t>
      </w:r>
      <w:r>
        <w:rPr>
          <w:rFonts w:ascii="Garamond" w:hAnsi="Garamond"/>
          <w:sz w:val="20"/>
          <w:szCs w:val="20"/>
          <w:lang w:val="de-DE"/>
        </w:rPr>
        <w:t>–</w:t>
      </w:r>
      <w:r w:rsidRPr="00C2143A">
        <w:rPr>
          <w:rFonts w:ascii="Garamond" w:hAnsi="Garamond"/>
          <w:sz w:val="20"/>
          <w:szCs w:val="20"/>
          <w:lang w:val="de-DE"/>
        </w:rPr>
        <w:t>Bunë mund të shihet në figura 3.6, seksioni 3.4.3</w:t>
      </w:r>
      <w:r>
        <w:rPr>
          <w:rFonts w:ascii="Garamond" w:hAnsi="Garamond"/>
          <w:sz w:val="20"/>
          <w:szCs w:val="20"/>
          <w:lang w:val="de-DE"/>
        </w:rPr>
        <w:t>.</w:t>
      </w:r>
    </w:p>
  </w:footnote>
  <w:footnote w:id="48">
    <w:p w14:paraId="0C892905" w14:textId="5AE03EFD" w:rsidR="00E14B89" w:rsidRPr="005D04C8" w:rsidRDefault="00E14B89" w:rsidP="00C2143A">
      <w:pPr>
        <w:pStyle w:val="REFERENCA"/>
        <w:rPr>
          <w:vertAlign w:val="baseline"/>
        </w:rPr>
      </w:pPr>
      <w:r w:rsidRPr="005D04C8">
        <w:rPr>
          <w:rStyle w:val="FootnoteReference"/>
          <w:rFonts w:ascii="Garamond" w:hAnsi="Garamond"/>
          <w:color w:val="000000" w:themeColor="text1"/>
          <w:vertAlign w:val="baseline"/>
        </w:rPr>
        <w:footnoteRef/>
      </w:r>
      <w:r w:rsidRPr="005D04C8">
        <w:rPr>
          <w:color w:val="000000" w:themeColor="text1"/>
          <w:vertAlign w:val="baseline"/>
        </w:rPr>
        <w:t xml:space="preserve"> </w:t>
      </w:r>
      <w:r>
        <w:rPr>
          <w:color w:val="000000" w:themeColor="text1"/>
          <w:vertAlign w:val="baseline"/>
          <w:lang w:val="en-US"/>
        </w:rPr>
        <w:t>“</w:t>
      </w:r>
      <w:r w:rsidRPr="005D04C8">
        <w:rPr>
          <w:color w:val="000000" w:themeColor="text1"/>
          <w:vertAlign w:val="baseline"/>
        </w:rPr>
        <w:t>Raporti tematik mbi fluksin ekologjik në pellgun e zgjeruar të Drinit</w:t>
      </w:r>
      <w:r>
        <w:rPr>
          <w:color w:val="000000" w:themeColor="text1"/>
          <w:vertAlign w:val="baseline"/>
          <w:lang w:val="en-US"/>
        </w:rPr>
        <w:t>”</w:t>
      </w:r>
      <w:r w:rsidRPr="005D04C8">
        <w:rPr>
          <w:color w:val="000000" w:themeColor="text1"/>
          <w:vertAlign w:val="baseline"/>
        </w:rPr>
        <w:t>, shkurt 2019.</w:t>
      </w:r>
    </w:p>
  </w:footnote>
  <w:footnote w:id="49">
    <w:p w14:paraId="04F76901" w14:textId="3968C0D8" w:rsidR="00E14B89" w:rsidRPr="00C2143A" w:rsidRDefault="00E14B89" w:rsidP="0020739F">
      <w:pPr>
        <w:pStyle w:val="REFERENCA"/>
        <w:rPr>
          <w:color w:val="000000" w:themeColor="text1"/>
          <w:vertAlign w:val="baseline"/>
          <w:lang w:val="en-US"/>
        </w:rPr>
      </w:pPr>
      <w:r w:rsidRPr="00C2143A">
        <w:rPr>
          <w:rStyle w:val="FootnoteReference"/>
          <w:rFonts w:ascii="Garamond" w:hAnsi="Garamond"/>
          <w:color w:val="000000" w:themeColor="text1"/>
        </w:rPr>
        <w:footnoteRef/>
      </w:r>
      <w:r w:rsidRPr="00C2143A">
        <w:rPr>
          <w:color w:val="000000" w:themeColor="text1"/>
        </w:rPr>
        <w:t xml:space="preserve"> </w:t>
      </w:r>
      <w:r w:rsidRPr="0020739F">
        <w:rPr>
          <w:color w:val="000000" w:themeColor="text1"/>
          <w:vertAlign w:val="baseline"/>
        </w:rPr>
        <w:t xml:space="preserve">Raporti tematik mbi fluksin ekologjik </w:t>
      </w:r>
      <w:r>
        <w:rPr>
          <w:color w:val="000000" w:themeColor="text1"/>
          <w:vertAlign w:val="baseline"/>
        </w:rPr>
        <w:t>në pellgun e zgjeruar të Drinit</w:t>
      </w:r>
      <w:r w:rsidRPr="0020739F">
        <w:rPr>
          <w:color w:val="000000" w:themeColor="text1"/>
          <w:vertAlign w:val="baseline"/>
        </w:rPr>
        <w:t>, shkurt 2019</w:t>
      </w:r>
      <w:r>
        <w:rPr>
          <w:color w:val="000000" w:themeColor="text1"/>
          <w:vertAlign w:val="baseline"/>
          <w:lang w:val="en-US"/>
        </w:rPr>
        <w:t>.</w:t>
      </w:r>
    </w:p>
  </w:footnote>
  <w:footnote w:id="50">
    <w:p w14:paraId="22840A15" w14:textId="02BAF251" w:rsidR="00E14B89" w:rsidRPr="00C2143A" w:rsidRDefault="00E14B89" w:rsidP="0020739F">
      <w:pPr>
        <w:pStyle w:val="REFERENCA"/>
        <w:rPr>
          <w:lang w:val="en-US"/>
        </w:rPr>
      </w:pPr>
      <w:r w:rsidRPr="00C2143A">
        <w:rPr>
          <w:rStyle w:val="FootnoteReference"/>
          <w:rFonts w:ascii="Garamond" w:hAnsi="Garamond"/>
          <w:color w:val="000000" w:themeColor="text1"/>
        </w:rPr>
        <w:footnoteRef/>
      </w:r>
      <w:r w:rsidRPr="0020739F">
        <w:rPr>
          <w:color w:val="000000" w:themeColor="text1"/>
          <w:vertAlign w:val="baseline"/>
        </w:rPr>
        <w:t xml:space="preserve"> Raporti tematik mbi fluksin ekologjik </w:t>
      </w:r>
      <w:r>
        <w:rPr>
          <w:color w:val="000000" w:themeColor="text1"/>
          <w:vertAlign w:val="baseline"/>
        </w:rPr>
        <w:t>në pellgun e zgjeruar të Drinit</w:t>
      </w:r>
      <w:r w:rsidRPr="0020739F">
        <w:rPr>
          <w:color w:val="000000" w:themeColor="text1"/>
          <w:vertAlign w:val="baseline"/>
        </w:rPr>
        <w:t>, shkurt 2019</w:t>
      </w:r>
      <w:r>
        <w:rPr>
          <w:color w:val="000000" w:themeColor="text1"/>
          <w:vertAlign w:val="baseline"/>
          <w:lang w:val="en-US"/>
        </w:rPr>
        <w:t>.</w:t>
      </w:r>
    </w:p>
  </w:footnote>
  <w:footnote w:id="51">
    <w:p w14:paraId="3E837C61" w14:textId="0EC75106" w:rsidR="00E14B89" w:rsidRPr="00C2143A" w:rsidRDefault="00E14B89" w:rsidP="008843E3">
      <w:pPr>
        <w:pStyle w:val="FootnoteText"/>
        <w:spacing w:before="0"/>
        <w:ind w:left="0" w:firstLine="0"/>
        <w:rPr>
          <w:rFonts w:ascii="Garamond" w:hAnsi="Garamond"/>
          <w:sz w:val="20"/>
          <w:szCs w:val="20"/>
          <w:lang w:val="de-DE"/>
        </w:rPr>
      </w:pPr>
      <w:r w:rsidRPr="00C2143A">
        <w:rPr>
          <w:rStyle w:val="FootnoteReference"/>
          <w:rFonts w:ascii="Garamond" w:hAnsi="Garamond"/>
          <w:color w:val="auto"/>
          <w:sz w:val="20"/>
        </w:rPr>
        <w:footnoteRef/>
      </w:r>
      <w:r w:rsidRPr="00C2143A">
        <w:rPr>
          <w:rFonts w:ascii="Garamond" w:hAnsi="Garamond"/>
          <w:sz w:val="20"/>
          <w:szCs w:val="20"/>
          <w:lang w:val="de-DE"/>
        </w:rPr>
        <w:t xml:space="preserve"> Raporti tematik mbi fluksin ekologjik në pellgun e zgjeruar të Drinit, shkurt 2019.</w:t>
      </w:r>
    </w:p>
  </w:footnote>
  <w:footnote w:id="52">
    <w:p w14:paraId="55476A48" w14:textId="2468A915" w:rsidR="00E14B89" w:rsidRPr="00882FCC" w:rsidRDefault="00E14B89" w:rsidP="008843E3">
      <w:pPr>
        <w:pStyle w:val="FootnoteText"/>
        <w:spacing w:before="0"/>
        <w:ind w:left="0" w:firstLine="0"/>
        <w:rPr>
          <w:lang w:val="de-DE"/>
        </w:rPr>
      </w:pPr>
      <w:r w:rsidRPr="00C2143A">
        <w:rPr>
          <w:rStyle w:val="FootnoteReference"/>
          <w:rFonts w:ascii="Garamond" w:hAnsi="Garamond"/>
          <w:color w:val="auto"/>
          <w:sz w:val="20"/>
        </w:rPr>
        <w:footnoteRef/>
      </w:r>
      <w:r w:rsidRPr="00C2143A">
        <w:rPr>
          <w:rFonts w:ascii="Garamond" w:hAnsi="Garamond"/>
          <w:sz w:val="20"/>
          <w:szCs w:val="20"/>
          <w:lang w:val="de-DE"/>
        </w:rPr>
        <w:t xml:space="preserve"> </w:t>
      </w:r>
      <w:r w:rsidRPr="008843E3">
        <w:rPr>
          <w:rFonts w:ascii="Garamond" w:hAnsi="Garamond"/>
          <w:sz w:val="20"/>
          <w:szCs w:val="20"/>
          <w:lang w:val="de-DE"/>
        </w:rPr>
        <w:t xml:space="preserve">Raporti tematik mbi fluksin ekologjik </w:t>
      </w:r>
      <w:r>
        <w:rPr>
          <w:rFonts w:ascii="Garamond" w:hAnsi="Garamond"/>
          <w:sz w:val="20"/>
          <w:szCs w:val="20"/>
          <w:lang w:val="de-DE"/>
        </w:rPr>
        <w:t>në pellgun e zgjeruar të Drinit</w:t>
      </w:r>
      <w:r w:rsidRPr="008843E3">
        <w:rPr>
          <w:rFonts w:ascii="Garamond" w:hAnsi="Garamond"/>
          <w:sz w:val="20"/>
          <w:szCs w:val="20"/>
          <w:lang w:val="de-DE"/>
        </w:rPr>
        <w:t>, shkurt 2019</w:t>
      </w:r>
      <w:r>
        <w:rPr>
          <w:rFonts w:ascii="Garamond" w:hAnsi="Garamond"/>
          <w:sz w:val="20"/>
          <w:szCs w:val="20"/>
          <w:lang w:val="de-DE"/>
        </w:rPr>
        <w:t>.</w:t>
      </w:r>
    </w:p>
  </w:footnote>
  <w:footnote w:id="53">
    <w:p w14:paraId="2FC52C37" w14:textId="7F2EAD14" w:rsidR="00E14B89" w:rsidRPr="00C2143A" w:rsidRDefault="00E14B89" w:rsidP="008843E3">
      <w:pPr>
        <w:pStyle w:val="REFERENCA"/>
        <w:rPr>
          <w:color w:val="000000" w:themeColor="text1"/>
          <w:vertAlign w:val="baseline"/>
          <w:lang w:val="en-US"/>
        </w:rPr>
      </w:pPr>
      <w:r w:rsidRPr="00C2143A">
        <w:rPr>
          <w:rStyle w:val="FootnoteReference"/>
          <w:rFonts w:ascii="Garamond" w:hAnsi="Garamond"/>
          <w:color w:val="000000" w:themeColor="text1"/>
        </w:rPr>
        <w:footnoteRef/>
      </w:r>
      <w:r w:rsidRPr="00932D69">
        <w:rPr>
          <w:color w:val="000000" w:themeColor="text1"/>
          <w:vertAlign w:val="baseline"/>
        </w:rPr>
        <w:t xml:space="preserve"> Burimi: Abkons/Mott MacDonald</w:t>
      </w:r>
      <w:r>
        <w:rPr>
          <w:color w:val="000000" w:themeColor="text1"/>
          <w:vertAlign w:val="baseline"/>
          <w:lang w:val="en-US"/>
        </w:rPr>
        <w:t>.</w:t>
      </w:r>
    </w:p>
  </w:footnote>
  <w:footnote w:id="54">
    <w:p w14:paraId="3A3E0E93" w14:textId="0B48F6DD" w:rsidR="00E14B89" w:rsidRPr="00C2143A" w:rsidRDefault="00E14B89" w:rsidP="008843E3">
      <w:pPr>
        <w:pStyle w:val="REFERENCA"/>
        <w:rPr>
          <w:lang w:val="en-US"/>
        </w:rPr>
      </w:pPr>
      <w:r w:rsidRPr="00C2143A">
        <w:rPr>
          <w:rStyle w:val="FootnoteReference"/>
          <w:rFonts w:ascii="Garamond" w:hAnsi="Garamond"/>
          <w:color w:val="000000" w:themeColor="text1"/>
        </w:rPr>
        <w:footnoteRef/>
      </w:r>
      <w:r w:rsidRPr="00932D69">
        <w:rPr>
          <w:color w:val="000000" w:themeColor="text1"/>
          <w:vertAlign w:val="baseline"/>
        </w:rPr>
        <w:t xml:space="preserve"> Direktiva DKU e BE-së, shtojca IV</w:t>
      </w:r>
      <w:r>
        <w:rPr>
          <w:color w:val="000000" w:themeColor="text1"/>
          <w:vertAlign w:val="baseline"/>
          <w:lang w:val="en-US"/>
        </w:rPr>
        <w:t>.</w:t>
      </w:r>
    </w:p>
  </w:footnote>
  <w:footnote w:id="55">
    <w:p w14:paraId="79C1FA03" w14:textId="0A4DE5B7" w:rsidR="00E14B89" w:rsidRPr="005610D6" w:rsidRDefault="00E14B89" w:rsidP="00BB75DE">
      <w:pPr>
        <w:pStyle w:val="REFERENCAAAAAA"/>
        <w:rPr>
          <w:lang w:val="en-US"/>
        </w:rPr>
      </w:pPr>
      <w:r w:rsidRPr="00BB75DE">
        <w:rPr>
          <w:rStyle w:val="FootnoteReference"/>
          <w:rFonts w:ascii="Garamond" w:hAnsi="Garamond"/>
        </w:rPr>
        <w:footnoteRef/>
      </w:r>
      <w:r w:rsidRPr="00BB75DE">
        <w:t xml:space="preserve"> Neni 34</w:t>
      </w:r>
      <w:r>
        <w:rPr>
          <w:lang w:val="en-US"/>
        </w:rPr>
        <w:t>.</w:t>
      </w:r>
    </w:p>
  </w:footnote>
  <w:footnote w:id="56">
    <w:p w14:paraId="21A1326A" w14:textId="796D3DBB" w:rsidR="00E14B89" w:rsidRPr="005610D6" w:rsidRDefault="00E14B89" w:rsidP="00BB75DE">
      <w:pPr>
        <w:pStyle w:val="REFERENCAAAAAA"/>
        <w:rPr>
          <w:lang w:val="en-US"/>
        </w:rPr>
      </w:pPr>
      <w:r w:rsidRPr="00BB75DE">
        <w:rPr>
          <w:rStyle w:val="FootnoteReference"/>
          <w:rFonts w:ascii="Garamond" w:hAnsi="Garamond"/>
        </w:rPr>
        <w:footnoteRef/>
      </w:r>
      <w:r w:rsidRPr="00BB75DE">
        <w:t xml:space="preserve"> Neni 86, ligji nr. 111/2012</w:t>
      </w:r>
      <w:r>
        <w:rPr>
          <w:lang w:val="en-US"/>
        </w:rPr>
        <w:t>,</w:t>
      </w:r>
      <w:r w:rsidRPr="00BB75DE">
        <w:t xml:space="preserve"> </w:t>
      </w:r>
      <w:r>
        <w:rPr>
          <w:lang w:val="en-US"/>
        </w:rPr>
        <w:t>“</w:t>
      </w:r>
      <w:r w:rsidRPr="00BB75DE">
        <w:t>Për menaxhimin e integruar të ujërave”</w:t>
      </w:r>
      <w:r>
        <w:rPr>
          <w:lang w:val="en-US"/>
        </w:rPr>
        <w:t>.</w:t>
      </w:r>
    </w:p>
  </w:footnote>
  <w:footnote w:id="57">
    <w:p w14:paraId="4017C095" w14:textId="0421AFB2" w:rsidR="00E14B89" w:rsidRPr="00BB75DE" w:rsidRDefault="00E14B89" w:rsidP="00BB75DE">
      <w:pPr>
        <w:pStyle w:val="REFERENCAAAAAA"/>
        <w:rPr>
          <w:lang w:val="it-IT"/>
        </w:rPr>
      </w:pPr>
      <w:r w:rsidRPr="00BB75DE">
        <w:rPr>
          <w:rStyle w:val="FootnoteReference"/>
          <w:rFonts w:ascii="Garamond" w:hAnsi="Garamond"/>
        </w:rPr>
        <w:footnoteRef/>
      </w:r>
      <w:r w:rsidRPr="00BB75DE">
        <w:rPr>
          <w:lang w:val="it-IT"/>
        </w:rPr>
        <w:t xml:space="preserve"> Neni 34</w:t>
      </w:r>
      <w:r>
        <w:rPr>
          <w:lang w:val="it-IT"/>
        </w:rPr>
        <w:t>.</w:t>
      </w:r>
    </w:p>
  </w:footnote>
  <w:footnote w:id="58">
    <w:p w14:paraId="6A43F72F" w14:textId="7785A6C5" w:rsidR="00E14B89" w:rsidRPr="005610D6" w:rsidRDefault="00E14B89" w:rsidP="00BB75DE">
      <w:pPr>
        <w:pStyle w:val="REFERENCAAAAAA"/>
        <w:rPr>
          <w:lang w:val="en-US"/>
        </w:rPr>
      </w:pPr>
      <w:r w:rsidRPr="00BB75DE">
        <w:rPr>
          <w:rStyle w:val="FootnoteReference"/>
          <w:rFonts w:ascii="Garamond" w:hAnsi="Garamond"/>
        </w:rPr>
        <w:footnoteRef/>
      </w:r>
      <w:r w:rsidRPr="00BB75DE">
        <w:t xml:space="preserve"> Neni 57, ligji nr. 111/2012</w:t>
      </w:r>
      <w:r>
        <w:rPr>
          <w:lang w:val="en-US"/>
        </w:rPr>
        <w:t>,</w:t>
      </w:r>
      <w:r w:rsidRPr="00BB75DE">
        <w:t xml:space="preserve"> “Për menaxhimin e Integruar të Burimeve Ujore”</w:t>
      </w:r>
      <w:r>
        <w:rPr>
          <w:lang w:val="en-US"/>
        </w:rPr>
        <w:t>.</w:t>
      </w:r>
    </w:p>
  </w:footnote>
  <w:footnote w:id="59">
    <w:p w14:paraId="4C6EA4DC" w14:textId="57FE8C0A" w:rsidR="00E14B89" w:rsidRPr="005610D6" w:rsidRDefault="00E14B89" w:rsidP="00BB75DE">
      <w:pPr>
        <w:pStyle w:val="REFERENCAAAAAA"/>
        <w:rPr>
          <w:lang w:val="en-US"/>
        </w:rPr>
      </w:pPr>
      <w:r w:rsidRPr="00BB75DE">
        <w:rPr>
          <w:rStyle w:val="FootnoteReference"/>
          <w:rFonts w:ascii="Garamond" w:hAnsi="Garamond"/>
        </w:rPr>
        <w:footnoteRef/>
      </w:r>
      <w:r w:rsidRPr="00BB75DE">
        <w:t xml:space="preserve"> Neni 11</w:t>
      </w:r>
      <w:r>
        <w:rPr>
          <w:lang w:val="en-US"/>
        </w:rPr>
        <w:t>,</w:t>
      </w:r>
      <w:r w:rsidRPr="00BB75DE">
        <w:t xml:space="preserve"> VKM nr. 379,</w:t>
      </w:r>
      <w:r>
        <w:t xml:space="preserve"> datë 25.</w:t>
      </w:r>
      <w:r w:rsidRPr="00BB75DE">
        <w:t>5.2016</w:t>
      </w:r>
      <w:r>
        <w:rPr>
          <w:lang w:val="en-US"/>
        </w:rPr>
        <w:t>,</w:t>
      </w:r>
      <w:r w:rsidRPr="00BB75DE">
        <w:t xml:space="preserve"> “Cilësia e ujit të pijshëm”</w:t>
      </w:r>
      <w:r>
        <w:rPr>
          <w:lang w:val="en-US"/>
        </w:rPr>
        <w:t>.</w:t>
      </w:r>
    </w:p>
  </w:footnote>
  <w:footnote w:id="60">
    <w:p w14:paraId="4BB75D25" w14:textId="5B4F3D57" w:rsidR="00E14B89" w:rsidRPr="005610D6" w:rsidRDefault="00E14B89" w:rsidP="00BB75DE">
      <w:pPr>
        <w:pStyle w:val="REFERENCAAAAAA"/>
        <w:rPr>
          <w:sz w:val="16"/>
          <w:szCs w:val="16"/>
          <w:lang w:val="en-US"/>
        </w:rPr>
      </w:pPr>
      <w:r w:rsidRPr="00BB75DE">
        <w:rPr>
          <w:rStyle w:val="FootnoteReference"/>
          <w:rFonts w:ascii="Garamond" w:hAnsi="Garamond"/>
        </w:rPr>
        <w:footnoteRef/>
      </w:r>
      <w:r w:rsidRPr="00BB75DE">
        <w:t xml:space="preserve"> Neni 11</w:t>
      </w:r>
      <w:r>
        <w:rPr>
          <w:lang w:val="en-US"/>
        </w:rPr>
        <w:t>,</w:t>
      </w:r>
      <w:r>
        <w:t xml:space="preserve"> VKM nr. 379, datë 25.</w:t>
      </w:r>
      <w:r w:rsidRPr="00BB75DE">
        <w:t>5.2016</w:t>
      </w:r>
      <w:r>
        <w:rPr>
          <w:lang w:val="en-US"/>
        </w:rPr>
        <w:t>,</w:t>
      </w:r>
      <w:r w:rsidRPr="00BB75DE">
        <w:t xml:space="preserve"> “Cilësia e ujit të pijshëm”</w:t>
      </w:r>
      <w:r>
        <w:rPr>
          <w:lang w:val="en-US"/>
        </w:rPr>
        <w:t>.</w:t>
      </w:r>
    </w:p>
  </w:footnote>
  <w:footnote w:id="61">
    <w:p w14:paraId="547D2A62" w14:textId="78F9D40D" w:rsidR="00E14B89" w:rsidRPr="00DD45A9" w:rsidRDefault="00E14B89" w:rsidP="00BB75DE">
      <w:pPr>
        <w:pStyle w:val="REFERENCAAAAAA"/>
        <w:rPr>
          <w:lang w:val="en-US"/>
        </w:rPr>
      </w:pPr>
      <w:r w:rsidRPr="00DD45A9">
        <w:rPr>
          <w:rStyle w:val="FootnoteReference"/>
          <w:color w:val="auto"/>
          <w:sz w:val="16"/>
          <w:szCs w:val="16"/>
        </w:rPr>
        <w:footnoteRef/>
      </w:r>
      <w:r>
        <w:rPr>
          <w:lang w:val="en-US"/>
        </w:rPr>
        <w:t xml:space="preserve"> </w:t>
      </w:r>
      <w:r w:rsidRPr="00DD45A9">
        <w:t>Ligji nr. 64/2012</w:t>
      </w:r>
      <w:r>
        <w:rPr>
          <w:lang w:val="en-US"/>
        </w:rPr>
        <w:t>,</w:t>
      </w:r>
      <w:r w:rsidRPr="00DD45A9">
        <w:t xml:space="preserve"> </w:t>
      </w:r>
      <w:r>
        <w:rPr>
          <w:lang w:val="en-US"/>
        </w:rPr>
        <w:t>“</w:t>
      </w:r>
      <w:r w:rsidRPr="00DD45A9">
        <w:t>Për peshkimin”</w:t>
      </w:r>
      <w:r>
        <w:rPr>
          <w:lang w:val="en-US"/>
        </w:rPr>
        <w:t>.</w:t>
      </w:r>
    </w:p>
  </w:footnote>
  <w:footnote w:id="62">
    <w:p w14:paraId="60CFD88D" w14:textId="1F07B95D" w:rsidR="00E14B89" w:rsidRPr="008F62B1" w:rsidRDefault="00E14B89" w:rsidP="008F62B1">
      <w:pPr>
        <w:pStyle w:val="REFERENCAAAAAA"/>
        <w:rPr>
          <w:szCs w:val="20"/>
          <w:lang w:val="it-IT"/>
        </w:rPr>
      </w:pPr>
      <w:r w:rsidRPr="008F62B1">
        <w:rPr>
          <w:rStyle w:val="FootnoteReference"/>
          <w:rFonts w:ascii="Garamond" w:hAnsi="Garamond"/>
          <w:color w:val="auto"/>
        </w:rPr>
        <w:footnoteRef/>
      </w:r>
      <w:r w:rsidRPr="008F62B1">
        <w:rPr>
          <w:szCs w:val="20"/>
          <w:lang w:val="it-IT"/>
        </w:rPr>
        <w:t xml:space="preserve"> Neni 53</w:t>
      </w:r>
      <w:r>
        <w:rPr>
          <w:szCs w:val="20"/>
          <w:lang w:val="it-IT"/>
        </w:rPr>
        <w:t>.</w:t>
      </w:r>
    </w:p>
  </w:footnote>
  <w:footnote w:id="63">
    <w:p w14:paraId="20B38918" w14:textId="065ED904" w:rsidR="00E14B89" w:rsidRPr="008F62B1" w:rsidRDefault="00E14B89" w:rsidP="008F62B1">
      <w:pPr>
        <w:pStyle w:val="REFERENCAAAAAA"/>
        <w:rPr>
          <w:szCs w:val="20"/>
          <w:lang w:val="it-IT"/>
        </w:rPr>
      </w:pPr>
      <w:r w:rsidRPr="008F62B1">
        <w:rPr>
          <w:rStyle w:val="FootnoteReference"/>
          <w:rFonts w:ascii="Garamond" w:hAnsi="Garamond"/>
          <w:color w:val="auto"/>
        </w:rPr>
        <w:footnoteRef/>
      </w:r>
      <w:r w:rsidRPr="008F62B1">
        <w:rPr>
          <w:szCs w:val="20"/>
          <w:lang w:val="it-IT"/>
        </w:rPr>
        <w:t xml:space="preserve"> Neni 54</w:t>
      </w:r>
      <w:r>
        <w:rPr>
          <w:szCs w:val="20"/>
          <w:lang w:val="it-IT"/>
        </w:rPr>
        <w:t>.</w:t>
      </w:r>
    </w:p>
  </w:footnote>
  <w:footnote w:id="64">
    <w:p w14:paraId="229F1877" w14:textId="53B2F363" w:rsidR="00E14B89" w:rsidRPr="008F62B1" w:rsidRDefault="00E14B89" w:rsidP="008F62B1">
      <w:pPr>
        <w:pStyle w:val="REFERENCAAAAAA"/>
        <w:rPr>
          <w:szCs w:val="20"/>
          <w:lang w:val="en-US"/>
        </w:rPr>
      </w:pPr>
      <w:r w:rsidRPr="008F62B1">
        <w:rPr>
          <w:rStyle w:val="FootnoteReference"/>
          <w:rFonts w:ascii="Garamond" w:hAnsi="Garamond"/>
          <w:color w:val="auto"/>
        </w:rPr>
        <w:footnoteRef/>
      </w:r>
      <w:r w:rsidRPr="008F62B1">
        <w:rPr>
          <w:szCs w:val="20"/>
          <w:lang w:val="de-DE"/>
        </w:rPr>
        <w:t xml:space="preserve"> </w:t>
      </w:r>
      <w:r w:rsidRPr="008F62B1">
        <w:rPr>
          <w:szCs w:val="20"/>
        </w:rPr>
        <w:t>Agjencia Kombëtare e Zonave të Mbrojtura (AKZM) është institucioni qendror i shtetit, i cili është përgjegjës për zonat e mbrojtura, që ka për detyrë të administrojë dhe kontrollojë zonat e mbrojtura në të gjithë territorin e Republikës së Shqipërisë</w:t>
      </w:r>
      <w:r>
        <w:rPr>
          <w:szCs w:val="20"/>
          <w:lang w:val="en-US"/>
        </w:rPr>
        <w:t>.</w:t>
      </w:r>
    </w:p>
  </w:footnote>
  <w:footnote w:id="65">
    <w:p w14:paraId="4C7A504A" w14:textId="7E7B8B84" w:rsidR="00E14B89" w:rsidRPr="008F62B1" w:rsidRDefault="00E14B89" w:rsidP="008F62B1">
      <w:pPr>
        <w:pStyle w:val="REFERENCAAAAAA"/>
        <w:rPr>
          <w:szCs w:val="20"/>
          <w:lang w:val="it-IT"/>
        </w:rPr>
      </w:pPr>
      <w:r w:rsidRPr="008F62B1">
        <w:rPr>
          <w:rStyle w:val="FootnoteReference"/>
          <w:rFonts w:ascii="Garamond" w:hAnsi="Garamond"/>
          <w:color w:val="auto"/>
        </w:rPr>
        <w:footnoteRef/>
      </w:r>
      <w:r w:rsidRPr="008F62B1">
        <w:rPr>
          <w:szCs w:val="20"/>
          <w:lang w:val="de-DE"/>
        </w:rPr>
        <w:t>Neni 11, ligji nr. 64/2012</w:t>
      </w:r>
      <w:r>
        <w:rPr>
          <w:szCs w:val="20"/>
          <w:lang w:val="de-DE"/>
        </w:rPr>
        <w:t>,</w:t>
      </w:r>
      <w:r w:rsidRPr="008F62B1">
        <w:rPr>
          <w:szCs w:val="20"/>
          <w:lang w:val="de-DE"/>
        </w:rPr>
        <w:t xml:space="preserve"> “Për peshkimin”</w:t>
      </w:r>
      <w:r>
        <w:rPr>
          <w:szCs w:val="20"/>
          <w:lang w:val="de-DE"/>
        </w:rPr>
        <w:t>.</w:t>
      </w:r>
    </w:p>
  </w:footnote>
  <w:footnote w:id="66">
    <w:p w14:paraId="0B671688" w14:textId="77777777" w:rsidR="00E14B89" w:rsidRPr="008F62B1" w:rsidRDefault="00E14B89" w:rsidP="008F62B1">
      <w:pPr>
        <w:pStyle w:val="REFERENCAAAAAA"/>
        <w:rPr>
          <w:szCs w:val="20"/>
          <w:lang w:val="it-IT"/>
        </w:rPr>
      </w:pPr>
      <w:r w:rsidRPr="008F62B1">
        <w:rPr>
          <w:rStyle w:val="FootnoteReference"/>
          <w:rFonts w:ascii="Garamond" w:hAnsi="Garamond"/>
          <w:color w:val="auto"/>
        </w:rPr>
        <w:footnoteRef/>
      </w:r>
      <w:r w:rsidRPr="008F62B1">
        <w:rPr>
          <w:szCs w:val="20"/>
          <w:lang w:val="it-IT"/>
        </w:rPr>
        <w:t xml:space="preserve"> Neni 15 në ligjin e mësipërm</w:t>
      </w:r>
    </w:p>
  </w:footnote>
  <w:footnote w:id="67">
    <w:p w14:paraId="0CD80540" w14:textId="64A4523E" w:rsidR="00E14B89" w:rsidRPr="008F62B1" w:rsidRDefault="00E14B89" w:rsidP="008F62B1">
      <w:pPr>
        <w:pStyle w:val="REFERENCAAAAAA"/>
        <w:rPr>
          <w:szCs w:val="20"/>
          <w:lang w:val="it-IT"/>
        </w:rPr>
      </w:pPr>
      <w:r w:rsidRPr="008F62B1">
        <w:rPr>
          <w:rStyle w:val="FootnoteReference"/>
          <w:rFonts w:ascii="Garamond" w:hAnsi="Garamond"/>
          <w:color w:val="auto"/>
        </w:rPr>
        <w:footnoteRef/>
      </w:r>
      <w:r w:rsidRPr="008F62B1">
        <w:rPr>
          <w:szCs w:val="20"/>
          <w:lang w:val="it-IT"/>
        </w:rPr>
        <w:t xml:space="preserve"> Burimi: MBZHR</w:t>
      </w:r>
      <w:r>
        <w:rPr>
          <w:szCs w:val="20"/>
          <w:lang w:val="it-IT"/>
        </w:rPr>
        <w:t>.</w:t>
      </w:r>
    </w:p>
  </w:footnote>
  <w:footnote w:id="68">
    <w:p w14:paraId="62521DAC" w14:textId="03493C22" w:rsidR="00E14B89" w:rsidRPr="008F62B1" w:rsidRDefault="00E14B89" w:rsidP="008F62B1">
      <w:pPr>
        <w:pStyle w:val="FootnoteText"/>
        <w:spacing w:before="0"/>
        <w:ind w:left="0" w:firstLine="0"/>
        <w:jc w:val="both"/>
        <w:rPr>
          <w:rFonts w:ascii="Garamond" w:hAnsi="Garamond"/>
          <w:sz w:val="20"/>
          <w:szCs w:val="20"/>
          <w:lang w:val="it-IT"/>
        </w:rPr>
      </w:pPr>
      <w:r w:rsidRPr="008F62B1">
        <w:rPr>
          <w:rStyle w:val="FootnoteReference"/>
          <w:rFonts w:ascii="Garamond" w:hAnsi="Garamond"/>
          <w:color w:val="auto"/>
          <w:sz w:val="20"/>
        </w:rPr>
        <w:footnoteRef/>
      </w:r>
      <w:r w:rsidRPr="008F62B1">
        <w:rPr>
          <w:rFonts w:ascii="Garamond" w:hAnsi="Garamond"/>
          <w:sz w:val="20"/>
          <w:szCs w:val="20"/>
          <w:lang w:val="it-IT"/>
        </w:rPr>
        <w:t xml:space="preserve"> Neni 4, VKM nr. 797, datë 29.9.2010</w:t>
      </w:r>
      <w:r>
        <w:rPr>
          <w:rFonts w:ascii="Garamond" w:hAnsi="Garamond"/>
          <w:sz w:val="20"/>
          <w:szCs w:val="20"/>
          <w:lang w:val="it-IT"/>
        </w:rPr>
        <w:t>,</w:t>
      </w:r>
      <w:r w:rsidRPr="008F62B1">
        <w:rPr>
          <w:rFonts w:ascii="Garamond" w:hAnsi="Garamond"/>
          <w:sz w:val="20"/>
          <w:szCs w:val="20"/>
          <w:lang w:val="it-IT"/>
        </w:rPr>
        <w:t xml:space="preserve"> </w:t>
      </w:r>
      <w:r>
        <w:rPr>
          <w:rFonts w:ascii="Garamond" w:hAnsi="Garamond"/>
          <w:sz w:val="20"/>
          <w:szCs w:val="20"/>
          <w:lang w:val="it-IT"/>
        </w:rPr>
        <w:t>“</w:t>
      </w:r>
      <w:r w:rsidRPr="008F62B1">
        <w:rPr>
          <w:rFonts w:ascii="Garamond" w:hAnsi="Garamond"/>
          <w:sz w:val="20"/>
          <w:szCs w:val="20"/>
          <w:lang w:val="it-IT"/>
        </w:rPr>
        <w:t xml:space="preserve">Për miratimin e rregullores higjieno-sanitare </w:t>
      </w:r>
      <w:r>
        <w:rPr>
          <w:rFonts w:ascii="Garamond" w:hAnsi="Garamond"/>
          <w:sz w:val="20"/>
          <w:szCs w:val="20"/>
          <w:lang w:val="it-IT"/>
        </w:rPr>
        <w:t>‘</w:t>
      </w:r>
      <w:r w:rsidRPr="008F62B1">
        <w:rPr>
          <w:rFonts w:ascii="Garamond" w:hAnsi="Garamond"/>
          <w:sz w:val="20"/>
          <w:szCs w:val="20"/>
          <w:lang w:val="it-IT"/>
        </w:rPr>
        <w:t>Për menaxhimin e cilësisë së ujërave të larjes</w:t>
      </w:r>
      <w:r>
        <w:rPr>
          <w:rFonts w:ascii="Garamond" w:hAnsi="Garamond"/>
          <w:sz w:val="20"/>
          <w:szCs w:val="20"/>
          <w:lang w:val="it-IT"/>
        </w:rPr>
        <w:t>’</w:t>
      </w:r>
      <w:r w:rsidRPr="008F62B1">
        <w:rPr>
          <w:rFonts w:ascii="Garamond" w:hAnsi="Garamond"/>
          <w:sz w:val="20"/>
          <w:szCs w:val="20"/>
          <w:lang w:val="it-IT"/>
        </w:rPr>
        <w:t>”</w:t>
      </w:r>
    </w:p>
  </w:footnote>
  <w:footnote w:id="69">
    <w:p w14:paraId="0BFAF239" w14:textId="09FCCB97" w:rsidR="00E14B89" w:rsidRPr="006F2108" w:rsidRDefault="00E14B89" w:rsidP="000D7A19">
      <w:pPr>
        <w:pStyle w:val="REFERENCAAAAAA"/>
        <w:rPr>
          <w:color w:val="000000" w:themeColor="text1"/>
          <w:lang w:val="en-US"/>
        </w:rPr>
      </w:pPr>
      <w:r w:rsidRPr="00CB0A08">
        <w:rPr>
          <w:rStyle w:val="FootnoteReference"/>
          <w:color w:val="000000" w:themeColor="text1"/>
          <w:sz w:val="16"/>
          <w:szCs w:val="16"/>
        </w:rPr>
        <w:footnoteRef/>
      </w:r>
      <w:r w:rsidRPr="00CB0A08">
        <w:rPr>
          <w:color w:val="000000" w:themeColor="text1"/>
        </w:rPr>
        <w:t xml:space="preserve"> Neni 16, ligji nr. 9244, datë 17.6.2004</w:t>
      </w:r>
      <w:r>
        <w:rPr>
          <w:color w:val="000000" w:themeColor="text1"/>
          <w:lang w:val="en-US"/>
        </w:rPr>
        <w:t>,</w:t>
      </w:r>
      <w:r w:rsidRPr="00CB0A08">
        <w:rPr>
          <w:color w:val="000000" w:themeColor="text1"/>
        </w:rPr>
        <w:t xml:space="preserve"> </w:t>
      </w:r>
      <w:r>
        <w:rPr>
          <w:color w:val="000000" w:themeColor="text1"/>
          <w:lang w:val="en-US"/>
        </w:rPr>
        <w:t>“</w:t>
      </w:r>
      <w:r w:rsidRPr="00CB0A08">
        <w:rPr>
          <w:color w:val="000000" w:themeColor="text1"/>
        </w:rPr>
        <w:t>Për mbrojtjen e tokës bujqësore</w:t>
      </w:r>
      <w:r>
        <w:rPr>
          <w:color w:val="000000" w:themeColor="text1"/>
          <w:lang w:val="en-US"/>
        </w:rPr>
        <w:t>”.</w:t>
      </w:r>
    </w:p>
  </w:footnote>
  <w:footnote w:id="70">
    <w:p w14:paraId="352B251D" w14:textId="3CDAC17A" w:rsidR="00E14B89" w:rsidRPr="006F2108" w:rsidRDefault="00E14B89" w:rsidP="000D7A19">
      <w:pPr>
        <w:pStyle w:val="REFERENCAAAAAA"/>
        <w:rPr>
          <w:color w:val="000000" w:themeColor="text1"/>
          <w:lang w:val="en-US"/>
        </w:rPr>
      </w:pPr>
      <w:r w:rsidRPr="00CB0A08">
        <w:rPr>
          <w:rStyle w:val="FootnoteReference"/>
          <w:color w:val="000000" w:themeColor="text1"/>
          <w:sz w:val="16"/>
          <w:szCs w:val="16"/>
        </w:rPr>
        <w:footnoteRef/>
      </w:r>
      <w:r w:rsidRPr="00CB0A08">
        <w:rPr>
          <w:color w:val="000000" w:themeColor="text1"/>
        </w:rPr>
        <w:t xml:space="preserve"> Neni 14 ligji nr. 9115, datë 24.7.2003</w:t>
      </w:r>
      <w:r>
        <w:rPr>
          <w:color w:val="000000" w:themeColor="text1"/>
          <w:lang w:val="en-US"/>
        </w:rPr>
        <w:t>,</w:t>
      </w:r>
      <w:r w:rsidRPr="00CB0A08">
        <w:rPr>
          <w:color w:val="000000" w:themeColor="text1"/>
        </w:rPr>
        <w:t xml:space="preserve"> </w:t>
      </w:r>
      <w:r>
        <w:rPr>
          <w:color w:val="000000" w:themeColor="text1"/>
          <w:lang w:val="en-US"/>
        </w:rPr>
        <w:t>“</w:t>
      </w:r>
      <w:r w:rsidRPr="00CB0A08">
        <w:rPr>
          <w:color w:val="000000" w:themeColor="text1"/>
        </w:rPr>
        <w:t>Për trajtimin e ujërave të ndotura</w:t>
      </w:r>
      <w:r>
        <w:rPr>
          <w:color w:val="000000" w:themeColor="text1"/>
          <w:lang w:val="en-US"/>
        </w:rPr>
        <w:t>”</w:t>
      </w:r>
    </w:p>
  </w:footnote>
  <w:footnote w:id="71">
    <w:p w14:paraId="533B8A0C" w14:textId="421A5408" w:rsidR="00E14B89" w:rsidRPr="006F2108" w:rsidRDefault="00E14B89" w:rsidP="000D7A19">
      <w:pPr>
        <w:pStyle w:val="REFERENCAAAAAA"/>
        <w:rPr>
          <w:lang w:val="en-US"/>
        </w:rPr>
      </w:pPr>
      <w:r w:rsidRPr="00CB0A08">
        <w:rPr>
          <w:rStyle w:val="FootnoteReference"/>
          <w:color w:val="000000" w:themeColor="text1"/>
          <w:sz w:val="16"/>
          <w:szCs w:val="16"/>
        </w:rPr>
        <w:footnoteRef/>
      </w:r>
      <w:r w:rsidRPr="00CB0A08">
        <w:rPr>
          <w:bCs/>
          <w:color w:val="000000" w:themeColor="text1"/>
        </w:rPr>
        <w:t xml:space="preserve"> Ligj </w:t>
      </w:r>
      <w:r>
        <w:rPr>
          <w:bCs/>
          <w:color w:val="000000" w:themeColor="text1"/>
        </w:rPr>
        <w:t>nr. 81/2017</w:t>
      </w:r>
      <w:r>
        <w:rPr>
          <w:bCs/>
          <w:color w:val="000000" w:themeColor="text1"/>
          <w:lang w:val="en-US"/>
        </w:rPr>
        <w:t>,</w:t>
      </w:r>
      <w:r>
        <w:rPr>
          <w:bCs/>
          <w:color w:val="000000" w:themeColor="text1"/>
        </w:rPr>
        <w:t xml:space="preserve"> datë 4.</w:t>
      </w:r>
      <w:r w:rsidRPr="00CB0A08">
        <w:rPr>
          <w:bCs/>
          <w:color w:val="000000" w:themeColor="text1"/>
        </w:rPr>
        <w:t>5.2017</w:t>
      </w:r>
      <w:r>
        <w:rPr>
          <w:bCs/>
          <w:color w:val="000000" w:themeColor="text1"/>
          <w:lang w:val="en-US"/>
        </w:rPr>
        <w:t>,</w:t>
      </w:r>
      <w:r w:rsidRPr="00CB0A08">
        <w:rPr>
          <w:bCs/>
          <w:color w:val="000000" w:themeColor="text1"/>
        </w:rPr>
        <w:t xml:space="preserve"> “Për zonat e mbojtura”</w:t>
      </w:r>
      <w:r>
        <w:rPr>
          <w:bCs/>
          <w:color w:val="000000" w:themeColor="text1"/>
          <w:lang w:val="en-US"/>
        </w:rPr>
        <w:t>.</w:t>
      </w:r>
    </w:p>
  </w:footnote>
  <w:footnote w:id="72">
    <w:p w14:paraId="7AED8DCA" w14:textId="26AC3427" w:rsidR="00E14B89" w:rsidRPr="006F2108" w:rsidRDefault="00E14B89" w:rsidP="0059625C">
      <w:pPr>
        <w:pStyle w:val="REFERENCAAAAAA"/>
        <w:rPr>
          <w:color w:val="000000" w:themeColor="text1"/>
          <w:lang w:val="sq-AL"/>
        </w:rPr>
      </w:pPr>
      <w:r w:rsidRPr="006F2108">
        <w:rPr>
          <w:rStyle w:val="FootnoteReference"/>
          <w:color w:val="000000" w:themeColor="text1"/>
          <w:sz w:val="16"/>
          <w:szCs w:val="16"/>
          <w:lang w:val="sq-AL"/>
        </w:rPr>
        <w:footnoteRef/>
      </w:r>
      <w:r w:rsidRPr="006F2108">
        <w:rPr>
          <w:color w:val="000000" w:themeColor="text1"/>
          <w:lang w:val="sq-AL"/>
        </w:rPr>
        <w:t xml:space="preserve"> Planifikohet të përfshihet në Parkun e Alpeve. </w:t>
      </w:r>
    </w:p>
  </w:footnote>
  <w:footnote w:id="73">
    <w:p w14:paraId="06657107" w14:textId="37598573" w:rsidR="00E14B89" w:rsidRPr="006F2108" w:rsidRDefault="00E14B89" w:rsidP="0059625C">
      <w:pPr>
        <w:pStyle w:val="REFERENCAAAAAA"/>
        <w:rPr>
          <w:color w:val="000000" w:themeColor="text1"/>
          <w:lang w:val="sq-AL"/>
        </w:rPr>
      </w:pPr>
      <w:r w:rsidRPr="006F2108">
        <w:rPr>
          <w:rStyle w:val="FootnoteReference"/>
          <w:color w:val="000000" w:themeColor="text1"/>
          <w:sz w:val="16"/>
          <w:szCs w:val="16"/>
          <w:lang w:val="sq-AL"/>
        </w:rPr>
        <w:footnoteRef/>
      </w:r>
      <w:r w:rsidRPr="006F2108">
        <w:rPr>
          <w:color w:val="000000" w:themeColor="text1"/>
          <w:lang w:val="sq-AL"/>
        </w:rPr>
        <w:t xml:space="preserve"> </w:t>
      </w:r>
      <w:r w:rsidRPr="006F2108">
        <w:rPr>
          <w:rFonts w:cs="Arial"/>
          <w:color w:val="000000" w:themeColor="text1"/>
          <w:lang w:val="sq-AL"/>
        </w:rPr>
        <w:t xml:space="preserve">UNESCO heritage, nuk përfshihet në të gjithë zonën Shebenik - Jabllanicë, por vetëm pyjet e ahut të Rrjacës me një sipërfaqe prej 2129 ha dhe zona mbrojtëse 2569 ha. </w:t>
      </w:r>
    </w:p>
  </w:footnote>
  <w:footnote w:id="74">
    <w:p w14:paraId="7CADC9B8" w14:textId="29018F5E" w:rsidR="00E14B89" w:rsidRPr="006F2108" w:rsidRDefault="00E14B89" w:rsidP="0059625C">
      <w:pPr>
        <w:pStyle w:val="REFERENCAAAAAA"/>
        <w:rPr>
          <w:color w:val="000000" w:themeColor="text1"/>
          <w:lang w:val="sq-AL"/>
        </w:rPr>
      </w:pPr>
      <w:r w:rsidRPr="006F2108">
        <w:rPr>
          <w:rStyle w:val="FootnoteReference"/>
          <w:color w:val="000000" w:themeColor="text1"/>
          <w:lang w:val="sq-AL"/>
        </w:rPr>
        <w:footnoteRef/>
      </w:r>
      <w:r w:rsidRPr="006F2108">
        <w:rPr>
          <w:color w:val="000000" w:themeColor="text1"/>
          <w:lang w:val="sq-AL"/>
        </w:rPr>
        <w:t xml:space="preserve"> Plani i Menaxhimit i miratuar me urdhër të ministrit të Mjedisit nr. 1792, datë 9.5.2014. </w:t>
      </w:r>
    </w:p>
  </w:footnote>
  <w:footnote w:id="75">
    <w:p w14:paraId="3220902E" w14:textId="188A6566" w:rsidR="00E14B89" w:rsidRPr="006F2108" w:rsidRDefault="00E14B89" w:rsidP="0059625C">
      <w:pPr>
        <w:pStyle w:val="REFERENCAAAAAA"/>
        <w:rPr>
          <w:lang w:val="sq-AL"/>
        </w:rPr>
      </w:pPr>
      <w:r w:rsidRPr="006F2108">
        <w:rPr>
          <w:rStyle w:val="FootnoteReference"/>
          <w:color w:val="000000" w:themeColor="text1"/>
          <w:sz w:val="16"/>
          <w:szCs w:val="16"/>
          <w:lang w:val="sq-AL"/>
        </w:rPr>
        <w:footnoteRef/>
      </w:r>
      <w:r w:rsidRPr="006F2108">
        <w:rPr>
          <w:color w:val="000000" w:themeColor="text1"/>
          <w:lang w:val="sq-AL"/>
        </w:rPr>
        <w:t xml:space="preserve"> Drafti final i planit të menaxhimit përfunduar në vitin 2014 (planifikohet të përfshihet në Parkun e Alpeve).</w:t>
      </w:r>
    </w:p>
  </w:footnote>
  <w:footnote w:id="76">
    <w:p w14:paraId="264803C3" w14:textId="7B3AA204" w:rsidR="00E14B89" w:rsidRPr="0059625C" w:rsidRDefault="00E14B89" w:rsidP="0059625C">
      <w:pPr>
        <w:pStyle w:val="REFERENCAAAAAA"/>
        <w:rPr>
          <w:color w:val="000000" w:themeColor="text1"/>
          <w:lang w:val="en-US"/>
        </w:rPr>
      </w:pPr>
      <w:r w:rsidRPr="0059625C">
        <w:rPr>
          <w:rStyle w:val="FootnoteReference"/>
          <w:color w:val="000000" w:themeColor="text1"/>
          <w:sz w:val="16"/>
          <w:szCs w:val="16"/>
        </w:rPr>
        <w:footnoteRef/>
      </w:r>
      <w:r w:rsidRPr="0059625C">
        <w:rPr>
          <w:color w:val="000000" w:themeColor="text1"/>
        </w:rPr>
        <w:t xml:space="preserve"> Drafti përfundimtar i Planit të Menaxhimit përfunduar në vitin 2014 (planifikohet të përfshihet në Parkun e Alpeve).</w:t>
      </w:r>
    </w:p>
  </w:footnote>
  <w:footnote w:id="77">
    <w:p w14:paraId="33C51B85" w14:textId="0EDB7AFD" w:rsidR="00E14B89" w:rsidRPr="002A001C" w:rsidRDefault="00E14B89" w:rsidP="0059625C">
      <w:pPr>
        <w:pStyle w:val="REFERENCAAAAAA"/>
        <w:rPr>
          <w:color w:val="000000" w:themeColor="text1"/>
          <w:lang w:val="en-US"/>
        </w:rPr>
      </w:pPr>
      <w:r w:rsidRPr="0059625C">
        <w:rPr>
          <w:rStyle w:val="FootnoteReference"/>
          <w:color w:val="000000" w:themeColor="text1"/>
          <w:sz w:val="16"/>
          <w:szCs w:val="16"/>
        </w:rPr>
        <w:footnoteRef/>
      </w:r>
      <w:r w:rsidRPr="0059625C">
        <w:rPr>
          <w:color w:val="000000" w:themeColor="text1"/>
        </w:rPr>
        <w:t xml:space="preserve"> Plani i Menaxhimit i miratur nga urdhri i ministrit të Mjedisit nr. 2029, datë 31.12.2014</w:t>
      </w:r>
      <w:r>
        <w:rPr>
          <w:color w:val="000000" w:themeColor="text1"/>
          <w:lang w:val="en-US"/>
        </w:rPr>
        <w:t>.</w:t>
      </w:r>
    </w:p>
  </w:footnote>
  <w:footnote w:id="78">
    <w:p w14:paraId="2BBD8254" w14:textId="3DE33DC2" w:rsidR="00E14B89" w:rsidRPr="002A001C" w:rsidRDefault="00E14B89" w:rsidP="0059625C">
      <w:pPr>
        <w:pStyle w:val="REFERENCAAAAAA"/>
        <w:rPr>
          <w:color w:val="000000" w:themeColor="text1"/>
          <w:lang w:val="en-US"/>
        </w:rPr>
      </w:pPr>
      <w:r w:rsidRPr="0059625C">
        <w:rPr>
          <w:rStyle w:val="FootnoteReference"/>
          <w:color w:val="000000" w:themeColor="text1"/>
          <w:sz w:val="16"/>
          <w:szCs w:val="16"/>
        </w:rPr>
        <w:footnoteRef/>
      </w:r>
      <w:r w:rsidRPr="0059625C">
        <w:rPr>
          <w:color w:val="000000" w:themeColor="text1"/>
        </w:rPr>
        <w:t xml:space="preserve"> Plani i Menaxhimit i miratur nga urdhri i ministrit të Mjedisit nr. 815, datë 21.11.2012</w:t>
      </w:r>
      <w:r>
        <w:rPr>
          <w:color w:val="000000" w:themeColor="text1"/>
          <w:lang w:val="en-US"/>
        </w:rPr>
        <w:t>.</w:t>
      </w:r>
    </w:p>
  </w:footnote>
  <w:footnote w:id="79">
    <w:p w14:paraId="203D8F28" w14:textId="0F92730C" w:rsidR="00E14B89" w:rsidRPr="002A001C" w:rsidRDefault="00E14B89" w:rsidP="0059625C">
      <w:pPr>
        <w:pStyle w:val="REFERENCAAAAAA"/>
        <w:rPr>
          <w:lang w:val="en-US"/>
        </w:rPr>
      </w:pPr>
      <w:r w:rsidRPr="0059625C">
        <w:rPr>
          <w:rStyle w:val="FootnoteReference"/>
          <w:color w:val="000000" w:themeColor="text1"/>
          <w:sz w:val="16"/>
          <w:szCs w:val="16"/>
        </w:rPr>
        <w:footnoteRef/>
      </w:r>
      <w:r w:rsidRPr="0059625C">
        <w:rPr>
          <w:color w:val="000000" w:themeColor="text1"/>
        </w:rPr>
        <w:t xml:space="preserve"> Plani i Menaxhimit i miratur nga urdhri i minis</w:t>
      </w:r>
      <w:r>
        <w:rPr>
          <w:color w:val="000000" w:themeColor="text1"/>
        </w:rPr>
        <w:t>trit të Mjedisit nr. 405, datë 9.</w:t>
      </w:r>
      <w:r w:rsidRPr="0059625C">
        <w:rPr>
          <w:color w:val="000000" w:themeColor="text1"/>
        </w:rPr>
        <w:t>6.2011</w:t>
      </w:r>
      <w:r>
        <w:rPr>
          <w:color w:val="000000" w:themeColor="text1"/>
          <w:lang w:val="en-US"/>
        </w:rPr>
        <w:t>.</w:t>
      </w:r>
    </w:p>
  </w:footnote>
  <w:footnote w:id="80">
    <w:p w14:paraId="74A9C5AC" w14:textId="304D7E75" w:rsidR="00E14B89" w:rsidRPr="00BC692E" w:rsidRDefault="00E14B89" w:rsidP="0059625C">
      <w:pPr>
        <w:pStyle w:val="REFERENCAAAAAA"/>
        <w:rPr>
          <w:lang w:val="en-US"/>
        </w:rPr>
      </w:pPr>
      <w:r w:rsidRPr="00BC692E">
        <w:rPr>
          <w:rStyle w:val="FootnoteReference"/>
          <w:color w:val="auto"/>
          <w:sz w:val="16"/>
          <w:szCs w:val="16"/>
        </w:rPr>
        <w:footnoteRef/>
      </w:r>
      <w:r w:rsidRPr="00BC692E">
        <w:t xml:space="preserve"> Plani i </w:t>
      </w:r>
      <w:r>
        <w:t>Menaxhimit</w:t>
      </w:r>
      <w:r w:rsidRPr="00106E5C">
        <w:t xml:space="preserve"> </w:t>
      </w:r>
      <w:r>
        <w:t>i miratur nga urdhri i ministrit të Mjedisit nr</w:t>
      </w:r>
      <w:r w:rsidRPr="00106E5C">
        <w:t xml:space="preserve">. 2026, </w:t>
      </w:r>
      <w:r>
        <w:t xml:space="preserve">datë </w:t>
      </w:r>
      <w:r w:rsidRPr="00106E5C">
        <w:t>31.12.2014</w:t>
      </w:r>
      <w:r>
        <w:rPr>
          <w:lang w:val="en-US"/>
        </w:rPr>
        <w:t>.</w:t>
      </w:r>
    </w:p>
  </w:footnote>
  <w:footnote w:id="81">
    <w:p w14:paraId="30115703" w14:textId="27F90E92" w:rsidR="00E14B89" w:rsidRPr="00BC692E" w:rsidRDefault="00E14B89" w:rsidP="0059625C">
      <w:pPr>
        <w:pStyle w:val="REFERENCAAAAAA"/>
        <w:rPr>
          <w:lang w:val="en-US"/>
        </w:rPr>
      </w:pPr>
      <w:r w:rsidRPr="00BC692E">
        <w:rPr>
          <w:rStyle w:val="FootnoteReference"/>
          <w:color w:val="auto"/>
          <w:sz w:val="16"/>
          <w:szCs w:val="16"/>
        </w:rPr>
        <w:footnoteRef/>
      </w:r>
      <w:r w:rsidRPr="00BC692E">
        <w:t xml:space="preserve"> Burimi: AKZM, 2017</w:t>
      </w:r>
      <w:r>
        <w:rPr>
          <w:lang w:val="en-US"/>
        </w:rPr>
        <w:t>.</w:t>
      </w:r>
    </w:p>
    <w:p w14:paraId="2443EDED" w14:textId="77777777" w:rsidR="00E14B89" w:rsidRDefault="00E14B89" w:rsidP="0059625C">
      <w:pPr>
        <w:pStyle w:val="FootnoteText"/>
      </w:pPr>
    </w:p>
  </w:footnote>
  <w:footnote w:id="82">
    <w:p w14:paraId="6C814689" w14:textId="29569AE1" w:rsidR="00E14B89" w:rsidRPr="00BC692E" w:rsidRDefault="00E14B89" w:rsidP="00DD09E9">
      <w:pPr>
        <w:pStyle w:val="REFERENCAAAAAA"/>
        <w:rPr>
          <w:color w:val="000000" w:themeColor="text1"/>
          <w:lang w:val="en-US"/>
        </w:rPr>
      </w:pPr>
      <w:r w:rsidRPr="00DD09E9">
        <w:rPr>
          <w:rStyle w:val="FootnoteReference"/>
          <w:rFonts w:cs="Arial"/>
          <w:color w:val="000000" w:themeColor="text1"/>
          <w:sz w:val="16"/>
          <w:szCs w:val="16"/>
        </w:rPr>
        <w:footnoteRef/>
      </w:r>
      <w:r w:rsidRPr="00DD09E9">
        <w:rPr>
          <w:color w:val="000000" w:themeColor="text1"/>
        </w:rPr>
        <w:t xml:space="preserve"> Ligji nr. 111/2012</w:t>
      </w:r>
      <w:r>
        <w:rPr>
          <w:color w:val="000000" w:themeColor="text1"/>
          <w:lang w:val="en-US"/>
        </w:rPr>
        <w:t>,</w:t>
      </w:r>
      <w:r w:rsidRPr="00DD09E9">
        <w:rPr>
          <w:color w:val="000000" w:themeColor="text1"/>
        </w:rPr>
        <w:t xml:space="preserve"> </w:t>
      </w:r>
      <w:r>
        <w:rPr>
          <w:color w:val="000000" w:themeColor="text1"/>
          <w:lang w:val="en-US"/>
        </w:rPr>
        <w:t>“</w:t>
      </w:r>
      <w:r w:rsidRPr="00DD09E9">
        <w:rPr>
          <w:color w:val="000000" w:themeColor="text1"/>
        </w:rPr>
        <w:t>Për menaxhimin e integruar të burimeve ujore</w:t>
      </w:r>
      <w:r>
        <w:rPr>
          <w:color w:val="000000" w:themeColor="text1"/>
          <w:lang w:val="en-US"/>
        </w:rPr>
        <w:t>”</w:t>
      </w:r>
      <w:r w:rsidRPr="00DD09E9">
        <w:rPr>
          <w:color w:val="000000" w:themeColor="text1"/>
        </w:rPr>
        <w:t>, neni 85, ndryshuar me ligjin nr. 6/2018</w:t>
      </w:r>
      <w:r>
        <w:rPr>
          <w:color w:val="000000" w:themeColor="text1"/>
          <w:lang w:val="en-US"/>
        </w:rPr>
        <w:t>,</w:t>
      </w:r>
      <w:r w:rsidRPr="00DD09E9">
        <w:rPr>
          <w:color w:val="000000" w:themeColor="text1"/>
        </w:rPr>
        <w:t xml:space="preserve"> për disa ndryshime dhe shtesa në ligjin nr. 111/2012</w:t>
      </w:r>
      <w:r>
        <w:rPr>
          <w:color w:val="000000" w:themeColor="text1"/>
          <w:lang w:val="en-US"/>
        </w:rPr>
        <w:t>,</w:t>
      </w:r>
      <w:r w:rsidRPr="00DD09E9">
        <w:rPr>
          <w:color w:val="000000" w:themeColor="text1"/>
        </w:rPr>
        <w:t xml:space="preserve"> </w:t>
      </w:r>
      <w:r>
        <w:rPr>
          <w:color w:val="000000" w:themeColor="text1"/>
          <w:lang w:val="en-US"/>
        </w:rPr>
        <w:t>“</w:t>
      </w:r>
      <w:r w:rsidRPr="00DD09E9">
        <w:rPr>
          <w:color w:val="000000" w:themeColor="text1"/>
        </w:rPr>
        <w:t>Për menaxhimin e integruar të burimeve ujore</w:t>
      </w:r>
      <w:r>
        <w:rPr>
          <w:color w:val="000000" w:themeColor="text1"/>
          <w:lang w:val="en-US"/>
        </w:rPr>
        <w:t>”.</w:t>
      </w:r>
    </w:p>
  </w:footnote>
  <w:footnote w:id="83">
    <w:p w14:paraId="367BDD19" w14:textId="59B114A3" w:rsidR="00E14B89" w:rsidRPr="00BC692E" w:rsidRDefault="00E14B89" w:rsidP="00DD09E9">
      <w:pPr>
        <w:pStyle w:val="REFERENCAAAAAA"/>
        <w:rPr>
          <w:color w:val="000000" w:themeColor="text1"/>
          <w:lang w:val="en-US"/>
        </w:rPr>
      </w:pPr>
      <w:r w:rsidRPr="00DD09E9">
        <w:rPr>
          <w:rStyle w:val="FootnoteReference"/>
          <w:rFonts w:cs="Arial"/>
          <w:color w:val="000000" w:themeColor="text1"/>
          <w:sz w:val="16"/>
          <w:szCs w:val="16"/>
        </w:rPr>
        <w:footnoteRef/>
      </w:r>
      <w:r w:rsidRPr="00DD09E9">
        <w:rPr>
          <w:color w:val="000000" w:themeColor="text1"/>
        </w:rPr>
        <w:t xml:space="preserve"> Strategjia e Zbatimit të Përbashkët për Direktivën Kuadër të Ujit (2000/60</w:t>
      </w:r>
      <w:r>
        <w:rPr>
          <w:color w:val="000000" w:themeColor="text1"/>
        </w:rPr>
        <w:t>/</w:t>
      </w:r>
      <w:r w:rsidRPr="00DD09E9">
        <w:rPr>
          <w:color w:val="000000" w:themeColor="text1"/>
        </w:rPr>
        <w:t>EC), dokumenti i udhëzimit nr. 7, Monitorimi nën Direktivën Kuadër të Ujit, Komunitetet Europiane 2003</w:t>
      </w:r>
      <w:r>
        <w:rPr>
          <w:color w:val="000000" w:themeColor="text1"/>
          <w:lang w:val="en-US"/>
        </w:rPr>
        <w:t>.</w:t>
      </w:r>
    </w:p>
  </w:footnote>
  <w:footnote w:id="84">
    <w:p w14:paraId="48DDCE24" w14:textId="621DE8FC" w:rsidR="00E14B89" w:rsidRPr="00BC692E" w:rsidRDefault="00E14B89" w:rsidP="00DD09E9">
      <w:pPr>
        <w:pStyle w:val="REFERENCAAAAAA"/>
        <w:rPr>
          <w:color w:val="000000" w:themeColor="text1"/>
          <w:lang w:val="en-US"/>
        </w:rPr>
      </w:pPr>
      <w:r w:rsidRPr="00DD09E9">
        <w:rPr>
          <w:rStyle w:val="FootnoteReference"/>
          <w:rFonts w:cs="Arial"/>
          <w:color w:val="000000" w:themeColor="text1"/>
          <w:sz w:val="16"/>
          <w:szCs w:val="16"/>
        </w:rPr>
        <w:footnoteRef/>
      </w:r>
      <w:r w:rsidRPr="00DD09E9">
        <w:rPr>
          <w:color w:val="000000" w:themeColor="text1"/>
        </w:rPr>
        <w:t xml:space="preserve"> Direktiva 2000/60/KE, shtojca V</w:t>
      </w:r>
      <w:r>
        <w:rPr>
          <w:color w:val="000000" w:themeColor="text1"/>
          <w:lang w:val="en-US"/>
        </w:rPr>
        <w:t>.</w:t>
      </w:r>
    </w:p>
  </w:footnote>
  <w:footnote w:id="85">
    <w:p w14:paraId="003A0E8D" w14:textId="38DA12BF" w:rsidR="00E14B89" w:rsidRPr="00BC692E" w:rsidRDefault="00E14B89" w:rsidP="00DD09E9">
      <w:pPr>
        <w:pStyle w:val="REFERENCAAAAAA"/>
        <w:rPr>
          <w:color w:val="000000" w:themeColor="text1"/>
          <w:lang w:val="en-US"/>
        </w:rPr>
      </w:pPr>
      <w:r w:rsidRPr="00DD09E9">
        <w:rPr>
          <w:rStyle w:val="FootnoteReference"/>
          <w:rFonts w:cs="Arial"/>
          <w:color w:val="000000" w:themeColor="text1"/>
          <w:sz w:val="16"/>
          <w:szCs w:val="16"/>
        </w:rPr>
        <w:footnoteRef/>
      </w:r>
      <w:r w:rsidRPr="00DD09E9">
        <w:rPr>
          <w:color w:val="000000" w:themeColor="text1"/>
        </w:rPr>
        <w:t xml:space="preserve"> Direktiva 2000/60/KE</w:t>
      </w:r>
      <w:r>
        <w:rPr>
          <w:color w:val="000000" w:themeColor="text1"/>
          <w:lang w:val="en-US"/>
        </w:rPr>
        <w:t>.</w:t>
      </w:r>
    </w:p>
  </w:footnote>
  <w:footnote w:id="86">
    <w:p w14:paraId="4E4CF809" w14:textId="307FFB57" w:rsidR="00E14B89" w:rsidRPr="00BC692E" w:rsidRDefault="00E14B89" w:rsidP="00DD09E9">
      <w:pPr>
        <w:pStyle w:val="REFERENCAAAAAA"/>
        <w:rPr>
          <w:lang w:val="en-US"/>
        </w:rPr>
      </w:pPr>
      <w:r w:rsidRPr="00DD09E9">
        <w:rPr>
          <w:rStyle w:val="FootnoteReference"/>
          <w:rFonts w:cs="Arial"/>
          <w:color w:val="000000" w:themeColor="text1"/>
          <w:sz w:val="16"/>
          <w:szCs w:val="16"/>
        </w:rPr>
        <w:footnoteRef/>
      </w:r>
      <w:r w:rsidRPr="00DD09E9">
        <w:rPr>
          <w:color w:val="000000" w:themeColor="text1"/>
        </w:rPr>
        <w:t xml:space="preserve"> Direktiva 2000/60/KE, shtojca V</w:t>
      </w:r>
      <w:r>
        <w:rPr>
          <w:color w:val="000000" w:themeColor="text1"/>
          <w:lang w:val="en-US"/>
        </w:rPr>
        <w:t>.</w:t>
      </w:r>
    </w:p>
  </w:footnote>
  <w:footnote w:id="87">
    <w:p w14:paraId="79D44FAD" w14:textId="6C8BB5F0" w:rsidR="00E14B89" w:rsidRPr="00700A32" w:rsidRDefault="00E14B89" w:rsidP="00DD09E9">
      <w:pPr>
        <w:pStyle w:val="REFERENCAAAAAA"/>
        <w:rPr>
          <w:color w:val="000000" w:themeColor="text1"/>
          <w:lang w:val="en-US"/>
        </w:rPr>
      </w:pPr>
      <w:r w:rsidRPr="00DD09E9">
        <w:rPr>
          <w:rStyle w:val="FootnoteReference"/>
          <w:color w:val="000000" w:themeColor="text1"/>
          <w:sz w:val="16"/>
          <w:szCs w:val="16"/>
        </w:rPr>
        <w:footnoteRef/>
      </w:r>
      <w:r w:rsidRPr="00DD09E9">
        <w:rPr>
          <w:color w:val="000000" w:themeColor="text1"/>
        </w:rPr>
        <w:t xml:space="preserve"> Direktiva 2000/60/KE, shtojca V/1.2</w:t>
      </w:r>
      <w:r>
        <w:rPr>
          <w:color w:val="000000" w:themeColor="text1"/>
          <w:lang w:val="en-US"/>
        </w:rPr>
        <w:t>.</w:t>
      </w:r>
    </w:p>
  </w:footnote>
  <w:footnote w:id="88">
    <w:p w14:paraId="6101A957" w14:textId="46CFBB3D" w:rsidR="00E14B89" w:rsidRPr="00700A32" w:rsidRDefault="00E14B89" w:rsidP="00DD09E9">
      <w:pPr>
        <w:pStyle w:val="REFERENCAAAAAA"/>
        <w:rPr>
          <w:color w:val="000000" w:themeColor="text1"/>
          <w:lang w:val="en-US"/>
        </w:rPr>
      </w:pPr>
      <w:r w:rsidRPr="00DD09E9">
        <w:rPr>
          <w:rStyle w:val="FootnoteReference"/>
          <w:rFonts w:cs="Arial"/>
          <w:color w:val="000000" w:themeColor="text1"/>
          <w:sz w:val="16"/>
          <w:szCs w:val="16"/>
        </w:rPr>
        <w:footnoteRef/>
      </w:r>
      <w:r w:rsidRPr="00DD09E9">
        <w:rPr>
          <w:color w:val="000000" w:themeColor="text1"/>
        </w:rPr>
        <w:t xml:space="preserve"> Direktiva 2000/60/KE, shtojca V, 1.3</w:t>
      </w:r>
      <w:r>
        <w:rPr>
          <w:color w:val="000000" w:themeColor="text1"/>
          <w:lang w:val="en-US"/>
        </w:rPr>
        <w:t>.</w:t>
      </w:r>
    </w:p>
  </w:footnote>
  <w:footnote w:id="89">
    <w:p w14:paraId="17CA5470" w14:textId="7D4FFD5D" w:rsidR="00E14B89" w:rsidRPr="00700A32" w:rsidRDefault="00E14B89" w:rsidP="00DD09E9">
      <w:pPr>
        <w:pStyle w:val="REFERENCAAAAAA"/>
        <w:rPr>
          <w:lang w:val="en-US"/>
        </w:rPr>
      </w:pPr>
      <w:r w:rsidRPr="00DD09E9">
        <w:rPr>
          <w:rStyle w:val="FootnoteReference"/>
          <w:rFonts w:cs="Arial"/>
          <w:color w:val="000000" w:themeColor="text1"/>
          <w:sz w:val="16"/>
          <w:szCs w:val="16"/>
        </w:rPr>
        <w:footnoteRef/>
      </w:r>
      <w:r w:rsidRPr="00DD09E9">
        <w:rPr>
          <w:color w:val="000000" w:themeColor="text1"/>
        </w:rPr>
        <w:t xml:space="preserve"> Komuniteti Europian 2003, dokumenti i udhëzimit</w:t>
      </w:r>
      <w:r w:rsidRPr="00DD09E9">
        <w:rPr>
          <w:rFonts w:ascii="Times New Roman" w:hAnsi="Times New Roman"/>
          <w:color w:val="000000" w:themeColor="text1"/>
        </w:rPr>
        <w:t xml:space="preserve"> nr. 7</w:t>
      </w:r>
      <w:r>
        <w:rPr>
          <w:rFonts w:ascii="Times New Roman" w:hAnsi="Times New Roman"/>
          <w:color w:val="000000" w:themeColor="text1"/>
          <w:lang w:val="en-US"/>
        </w:rPr>
        <w:t>.</w:t>
      </w:r>
    </w:p>
  </w:footnote>
  <w:footnote w:id="90">
    <w:p w14:paraId="07A9AF39" w14:textId="11C52727" w:rsidR="00E14B89" w:rsidRPr="00700A32" w:rsidRDefault="00E14B89" w:rsidP="00E879EE">
      <w:pPr>
        <w:pStyle w:val="REFERENCAAAAAA"/>
        <w:rPr>
          <w:lang w:val="en-US"/>
        </w:rPr>
      </w:pPr>
      <w:r w:rsidRPr="00E879EE">
        <w:rPr>
          <w:rStyle w:val="FootnoteReference"/>
          <w:color w:val="000000" w:themeColor="text1"/>
          <w:sz w:val="16"/>
          <w:szCs w:val="16"/>
        </w:rPr>
        <w:footnoteRef/>
      </w:r>
      <w:r w:rsidRPr="00E879EE">
        <w:rPr>
          <w:color w:val="000000" w:themeColor="text1"/>
        </w:rPr>
        <w:t xml:space="preserve"> Direktiva 2000/60/KE, shtojca V</w:t>
      </w:r>
      <w:r>
        <w:rPr>
          <w:color w:val="000000" w:themeColor="text1"/>
          <w:lang w:val="en-US"/>
        </w:rPr>
        <w:t>.</w:t>
      </w:r>
    </w:p>
  </w:footnote>
  <w:footnote w:id="91">
    <w:p w14:paraId="71A7C200" w14:textId="1A5796B3" w:rsidR="00E14B89" w:rsidRPr="00700A32" w:rsidRDefault="00E14B89" w:rsidP="00C559D9">
      <w:pPr>
        <w:pStyle w:val="REFERENCAAAAAA"/>
        <w:rPr>
          <w:color w:val="000000" w:themeColor="text1"/>
          <w:lang w:val="en-US"/>
        </w:rPr>
      </w:pPr>
      <w:r w:rsidRPr="00C559D9">
        <w:rPr>
          <w:rStyle w:val="FootnoteReference"/>
          <w:rFonts w:cs="Arial"/>
          <w:color w:val="000000" w:themeColor="text1"/>
          <w:sz w:val="16"/>
          <w:szCs w:val="16"/>
        </w:rPr>
        <w:footnoteRef/>
      </w:r>
      <w:r w:rsidRPr="00C559D9">
        <w:rPr>
          <w:color w:val="000000" w:themeColor="text1"/>
        </w:rPr>
        <w:t xml:space="preserve"> Komuniteti E</w:t>
      </w:r>
      <w:r>
        <w:rPr>
          <w:color w:val="000000" w:themeColor="text1"/>
          <w:lang w:val="en-US"/>
        </w:rPr>
        <w:t>v</w:t>
      </w:r>
      <w:r w:rsidRPr="00C559D9">
        <w:rPr>
          <w:color w:val="000000" w:themeColor="text1"/>
        </w:rPr>
        <w:t>ropian 2003, Dokumenti i udhëzimit nr. 7</w:t>
      </w:r>
      <w:r>
        <w:rPr>
          <w:color w:val="000000" w:themeColor="text1"/>
          <w:lang w:val="en-US"/>
        </w:rPr>
        <w:t>.</w:t>
      </w:r>
    </w:p>
  </w:footnote>
  <w:footnote w:id="92">
    <w:p w14:paraId="4BCA6B71" w14:textId="7C5D1766" w:rsidR="00E14B89" w:rsidRPr="00700A32" w:rsidRDefault="00E14B89" w:rsidP="00C559D9">
      <w:pPr>
        <w:pStyle w:val="REFERENCAAAAAA"/>
        <w:rPr>
          <w:color w:val="000000" w:themeColor="text1"/>
          <w:lang w:val="en-US"/>
        </w:rPr>
      </w:pPr>
      <w:r w:rsidRPr="00C559D9">
        <w:rPr>
          <w:rStyle w:val="FootnoteReference"/>
          <w:rFonts w:cs="Arial"/>
          <w:color w:val="000000" w:themeColor="text1"/>
          <w:sz w:val="16"/>
          <w:szCs w:val="16"/>
        </w:rPr>
        <w:footnoteRef/>
      </w:r>
      <w:r w:rsidRPr="00C559D9">
        <w:rPr>
          <w:color w:val="000000" w:themeColor="text1"/>
        </w:rPr>
        <w:t xml:space="preserve"> Komuniteti E</w:t>
      </w:r>
      <w:r>
        <w:rPr>
          <w:color w:val="000000" w:themeColor="text1"/>
          <w:lang w:val="en-US"/>
        </w:rPr>
        <w:t>v</w:t>
      </w:r>
      <w:r w:rsidRPr="00C559D9">
        <w:rPr>
          <w:color w:val="000000" w:themeColor="text1"/>
        </w:rPr>
        <w:t>ropian 2003, Dokumenti i udhëzimit nr. 7</w:t>
      </w:r>
      <w:r>
        <w:rPr>
          <w:color w:val="000000" w:themeColor="text1"/>
          <w:lang w:val="en-US"/>
        </w:rPr>
        <w:t>.</w:t>
      </w:r>
    </w:p>
  </w:footnote>
  <w:footnote w:id="93">
    <w:p w14:paraId="2F88A831" w14:textId="4EB47799" w:rsidR="00E14B89" w:rsidRPr="00700A32" w:rsidRDefault="00E14B89" w:rsidP="00C559D9">
      <w:pPr>
        <w:pStyle w:val="REFERENCAAAAAA"/>
        <w:rPr>
          <w:color w:val="000000" w:themeColor="text1"/>
          <w:lang w:val="en-US"/>
        </w:rPr>
      </w:pPr>
      <w:r w:rsidRPr="00C559D9">
        <w:rPr>
          <w:rStyle w:val="FootnoteReference"/>
          <w:rFonts w:cs="Arial"/>
          <w:color w:val="000000" w:themeColor="text1"/>
          <w:sz w:val="16"/>
          <w:szCs w:val="16"/>
        </w:rPr>
        <w:footnoteRef/>
      </w:r>
      <w:r w:rsidRPr="00C559D9">
        <w:rPr>
          <w:color w:val="000000" w:themeColor="text1"/>
        </w:rPr>
        <w:t xml:space="preserve"> Komuniteti E</w:t>
      </w:r>
      <w:r>
        <w:rPr>
          <w:color w:val="000000" w:themeColor="text1"/>
          <w:lang w:val="en-US"/>
        </w:rPr>
        <w:t>v</w:t>
      </w:r>
      <w:r w:rsidRPr="00C559D9">
        <w:rPr>
          <w:color w:val="000000" w:themeColor="text1"/>
        </w:rPr>
        <w:t>ropian 2003, Dokumenti i udhëzimit nr. 7</w:t>
      </w:r>
      <w:r>
        <w:rPr>
          <w:color w:val="000000" w:themeColor="text1"/>
          <w:lang w:val="en-US"/>
        </w:rPr>
        <w:t>.</w:t>
      </w:r>
    </w:p>
  </w:footnote>
  <w:footnote w:id="94">
    <w:p w14:paraId="28A926FC" w14:textId="7BAD9EDD" w:rsidR="00E14B89" w:rsidRPr="00700A32" w:rsidRDefault="00E14B89" w:rsidP="00C559D9">
      <w:pPr>
        <w:pStyle w:val="REFERENCAAAAAA"/>
        <w:rPr>
          <w:lang w:val="en-US"/>
        </w:rPr>
      </w:pPr>
      <w:r w:rsidRPr="00C559D9">
        <w:rPr>
          <w:rStyle w:val="FootnoteReference"/>
          <w:rFonts w:cs="Arial"/>
          <w:color w:val="000000" w:themeColor="text1"/>
          <w:sz w:val="16"/>
          <w:szCs w:val="16"/>
        </w:rPr>
        <w:footnoteRef/>
      </w:r>
      <w:r w:rsidRPr="00C559D9">
        <w:rPr>
          <w:color w:val="000000" w:themeColor="text1"/>
        </w:rPr>
        <w:t xml:space="preserve"> Komuniteti E</w:t>
      </w:r>
      <w:r>
        <w:rPr>
          <w:color w:val="000000" w:themeColor="text1"/>
          <w:lang w:val="en-US"/>
        </w:rPr>
        <w:t>v</w:t>
      </w:r>
      <w:r w:rsidRPr="00C559D9">
        <w:rPr>
          <w:color w:val="000000" w:themeColor="text1"/>
        </w:rPr>
        <w:t>ropian 2003, Dokumenti i udhëzimit nr. 7</w:t>
      </w:r>
      <w:r>
        <w:rPr>
          <w:color w:val="000000" w:themeColor="text1"/>
          <w:lang w:val="en-US"/>
        </w:rPr>
        <w:t>.</w:t>
      </w:r>
    </w:p>
  </w:footnote>
  <w:footnote w:id="95">
    <w:p w14:paraId="7C495A73" w14:textId="60EFDEC7" w:rsidR="00E14B89" w:rsidRPr="00700A32" w:rsidRDefault="00E14B89" w:rsidP="00C559D9">
      <w:pPr>
        <w:pStyle w:val="REFERENCAAAAAA"/>
        <w:rPr>
          <w:lang w:val="en-US"/>
        </w:rPr>
      </w:pPr>
      <w:r w:rsidRPr="00C559D9">
        <w:rPr>
          <w:rStyle w:val="FootnoteReference"/>
          <w:rFonts w:cs="Arial"/>
          <w:color w:val="000000" w:themeColor="text1"/>
          <w:sz w:val="16"/>
          <w:szCs w:val="16"/>
        </w:rPr>
        <w:footnoteRef/>
      </w:r>
      <w:r w:rsidRPr="00C559D9">
        <w:t xml:space="preserve"> Direktiva 2000/60/KE, shtojca V, 1.3.5</w:t>
      </w:r>
      <w:r>
        <w:rPr>
          <w:lang w:val="en-US"/>
        </w:rPr>
        <w:t>.</w:t>
      </w:r>
    </w:p>
  </w:footnote>
  <w:footnote w:id="96">
    <w:p w14:paraId="251FE3DE" w14:textId="6D425C8B" w:rsidR="00E14B89" w:rsidRPr="00700A32" w:rsidRDefault="00E14B89" w:rsidP="00C559D9">
      <w:pPr>
        <w:pStyle w:val="REFERENCAAAAAA"/>
        <w:rPr>
          <w:lang w:val="en-US"/>
        </w:rPr>
      </w:pPr>
      <w:r w:rsidRPr="00C559D9">
        <w:rPr>
          <w:rStyle w:val="FootnoteReference"/>
          <w:rFonts w:cs="Arial"/>
          <w:color w:val="000000" w:themeColor="text1"/>
          <w:sz w:val="16"/>
          <w:szCs w:val="16"/>
        </w:rPr>
        <w:footnoteRef/>
      </w:r>
      <w:r w:rsidRPr="00C559D9">
        <w:rPr>
          <w:bCs/>
        </w:rPr>
        <w:t xml:space="preserve"> Burimi: DKU, Shtojca 5/1.3.4</w:t>
      </w:r>
      <w:r>
        <w:rPr>
          <w:bCs/>
          <w:lang w:val="en-US"/>
        </w:rPr>
        <w:t>.</w:t>
      </w:r>
    </w:p>
  </w:footnote>
  <w:footnote w:id="97">
    <w:p w14:paraId="53757950" w14:textId="00019AAF" w:rsidR="00E14B89" w:rsidRPr="00700A32" w:rsidRDefault="00E14B89" w:rsidP="00C559D9">
      <w:pPr>
        <w:pStyle w:val="REFERENCAAAAAA"/>
        <w:rPr>
          <w:lang w:val="en-US"/>
        </w:rPr>
      </w:pPr>
      <w:r w:rsidRPr="00C559D9">
        <w:rPr>
          <w:rStyle w:val="FootnoteReference"/>
          <w:rFonts w:cs="Arial"/>
          <w:color w:val="000000" w:themeColor="text1"/>
          <w:sz w:val="16"/>
          <w:szCs w:val="16"/>
        </w:rPr>
        <w:footnoteRef/>
      </w:r>
      <w:r w:rsidRPr="00C559D9">
        <w:t xml:space="preserve"> Direktiva 2000/60/KE, neni 2</w:t>
      </w:r>
      <w:r>
        <w:rPr>
          <w:lang w:val="en-US"/>
        </w:rPr>
        <w:t>.</w:t>
      </w:r>
    </w:p>
  </w:footnote>
  <w:footnote w:id="98">
    <w:p w14:paraId="5CBBDEB5" w14:textId="7A661013" w:rsidR="00E14B89" w:rsidRPr="00700A32" w:rsidRDefault="00E14B89" w:rsidP="00C559D9">
      <w:pPr>
        <w:pStyle w:val="REFERENCAAAAAA"/>
        <w:rPr>
          <w:lang w:val="en-US"/>
        </w:rPr>
      </w:pPr>
      <w:r w:rsidRPr="00C559D9">
        <w:rPr>
          <w:rStyle w:val="FootnoteReference"/>
          <w:rFonts w:cs="Arial"/>
          <w:color w:val="000000" w:themeColor="text1"/>
          <w:sz w:val="16"/>
          <w:szCs w:val="16"/>
        </w:rPr>
        <w:footnoteRef/>
      </w:r>
      <w:r w:rsidRPr="00C559D9">
        <w:t xml:space="preserve"> Direktiva 2000/60/KE, shtojca V, 1.2.6</w:t>
      </w:r>
      <w:r>
        <w:rPr>
          <w:lang w:val="en-US"/>
        </w:rPr>
        <w:t>.</w:t>
      </w:r>
    </w:p>
  </w:footnote>
  <w:footnote w:id="99">
    <w:p w14:paraId="2E5BAE21" w14:textId="3883AA3B" w:rsidR="00E14B89" w:rsidRPr="00700A32" w:rsidRDefault="00E14B89" w:rsidP="00F809A6">
      <w:pPr>
        <w:pStyle w:val="REFERENCAAAAAA"/>
        <w:rPr>
          <w:color w:val="000000" w:themeColor="text1"/>
          <w:lang w:val="en-US"/>
        </w:rPr>
      </w:pPr>
      <w:r w:rsidRPr="00F809A6">
        <w:rPr>
          <w:rStyle w:val="FootnoteReference"/>
          <w:rFonts w:cs="Arial"/>
          <w:color w:val="000000" w:themeColor="text1"/>
          <w:sz w:val="16"/>
          <w:szCs w:val="16"/>
        </w:rPr>
        <w:footnoteRef/>
      </w:r>
      <w:r w:rsidRPr="00F809A6">
        <w:rPr>
          <w:color w:val="000000" w:themeColor="text1"/>
        </w:rPr>
        <w:t xml:space="preserve"> Direktiva 2000/60/KE, shtojca VIII</w:t>
      </w:r>
      <w:r>
        <w:rPr>
          <w:color w:val="000000" w:themeColor="text1"/>
          <w:lang w:val="en-US"/>
        </w:rPr>
        <w:t>.</w:t>
      </w:r>
    </w:p>
  </w:footnote>
  <w:footnote w:id="100">
    <w:p w14:paraId="0E3402CE" w14:textId="7608F155" w:rsidR="00E14B89" w:rsidRPr="00700A32" w:rsidRDefault="00E14B89" w:rsidP="00F809A6">
      <w:pPr>
        <w:pStyle w:val="REFERENCAAAAAA"/>
        <w:rPr>
          <w:lang w:val="en-US"/>
        </w:rPr>
      </w:pPr>
      <w:r w:rsidRPr="00F809A6">
        <w:rPr>
          <w:rStyle w:val="FootnoteReference"/>
          <w:rFonts w:cs="Arial"/>
          <w:color w:val="000000" w:themeColor="text1"/>
          <w:sz w:val="16"/>
          <w:szCs w:val="16"/>
        </w:rPr>
        <w:footnoteRef/>
      </w:r>
      <w:r w:rsidRPr="00F809A6">
        <w:rPr>
          <w:color w:val="000000" w:themeColor="text1"/>
        </w:rPr>
        <w:t xml:space="preserve"> Direktiva 2000/60/KE, shtojca VIII</w:t>
      </w:r>
      <w:r>
        <w:rPr>
          <w:color w:val="000000" w:themeColor="text1"/>
          <w:lang w:val="en-US"/>
        </w:rPr>
        <w:t>.</w:t>
      </w:r>
    </w:p>
  </w:footnote>
  <w:footnote w:id="101">
    <w:p w14:paraId="7C5C5201" w14:textId="6A6F7E75" w:rsidR="00E14B89" w:rsidRPr="00700A32" w:rsidRDefault="00E14B89" w:rsidP="00F809A6">
      <w:pPr>
        <w:pStyle w:val="REFERENCAAAAAA"/>
        <w:rPr>
          <w:color w:val="000000" w:themeColor="text1"/>
          <w:lang w:val="en-US"/>
        </w:rPr>
      </w:pPr>
      <w:r w:rsidRPr="00F809A6">
        <w:rPr>
          <w:rStyle w:val="FootnoteReference"/>
          <w:color w:val="000000" w:themeColor="text1"/>
          <w:sz w:val="16"/>
          <w:szCs w:val="16"/>
        </w:rPr>
        <w:footnoteRef/>
      </w:r>
      <w:r w:rsidRPr="00F809A6">
        <w:rPr>
          <w:color w:val="000000" w:themeColor="text1"/>
        </w:rPr>
        <w:t>Komuniteti E</w:t>
      </w:r>
      <w:r>
        <w:rPr>
          <w:color w:val="000000" w:themeColor="text1"/>
          <w:lang w:val="en-US"/>
        </w:rPr>
        <w:t>v</w:t>
      </w:r>
      <w:r w:rsidRPr="00F809A6">
        <w:rPr>
          <w:color w:val="000000" w:themeColor="text1"/>
        </w:rPr>
        <w:t>ropian 2003, Dokumenti i udhëzimit nr. 7, 2.12.2</w:t>
      </w:r>
      <w:r>
        <w:rPr>
          <w:color w:val="000000" w:themeColor="text1"/>
          <w:lang w:val="en-US"/>
        </w:rPr>
        <w:t>.</w:t>
      </w:r>
    </w:p>
  </w:footnote>
  <w:footnote w:id="102">
    <w:p w14:paraId="7CC2E0E7" w14:textId="5253462A" w:rsidR="00E14B89" w:rsidRPr="00700A32" w:rsidRDefault="00E14B89" w:rsidP="00F809A6">
      <w:pPr>
        <w:pStyle w:val="REFERENCAAAAAA"/>
        <w:rPr>
          <w:color w:val="000000" w:themeColor="text1"/>
          <w:lang w:val="en-US"/>
        </w:rPr>
      </w:pPr>
      <w:r w:rsidRPr="00F809A6">
        <w:rPr>
          <w:rStyle w:val="FootnoteReference"/>
          <w:rFonts w:cs="Arial"/>
          <w:color w:val="000000" w:themeColor="text1"/>
          <w:sz w:val="16"/>
          <w:szCs w:val="16"/>
        </w:rPr>
        <w:footnoteRef/>
      </w:r>
      <w:r w:rsidRPr="00F809A6">
        <w:rPr>
          <w:color w:val="000000" w:themeColor="text1"/>
        </w:rPr>
        <w:t xml:space="preserve"> Komuniteti Evropian 2003, Dokumenti i udhëzimit nr. 7</w:t>
      </w:r>
      <w:r>
        <w:rPr>
          <w:color w:val="000000" w:themeColor="text1"/>
          <w:lang w:val="en-US"/>
        </w:rPr>
        <w:t>.</w:t>
      </w:r>
    </w:p>
  </w:footnote>
  <w:footnote w:id="103">
    <w:p w14:paraId="5B3AF786" w14:textId="5FB7962B" w:rsidR="00E14B89" w:rsidRPr="00700A32" w:rsidRDefault="00E14B89" w:rsidP="00F809A6">
      <w:pPr>
        <w:pStyle w:val="REFERENCAAAAAA"/>
        <w:rPr>
          <w:color w:val="000000" w:themeColor="text1"/>
          <w:lang w:val="en-US"/>
        </w:rPr>
      </w:pPr>
      <w:r w:rsidRPr="00F809A6">
        <w:rPr>
          <w:rStyle w:val="FootnoteReference"/>
          <w:rFonts w:cs="Arial"/>
          <w:color w:val="000000" w:themeColor="text1"/>
          <w:sz w:val="16"/>
          <w:szCs w:val="16"/>
        </w:rPr>
        <w:footnoteRef/>
      </w:r>
      <w:r w:rsidRPr="00F809A6">
        <w:rPr>
          <w:color w:val="000000" w:themeColor="text1"/>
        </w:rPr>
        <w:t xml:space="preserve"> Komuniteti Evropian 2003, Dokumenti i udhëzimit nr. 7</w:t>
      </w:r>
      <w:r>
        <w:rPr>
          <w:color w:val="000000" w:themeColor="text1"/>
          <w:lang w:val="en-US"/>
        </w:rPr>
        <w:t>.</w:t>
      </w:r>
    </w:p>
  </w:footnote>
  <w:footnote w:id="104">
    <w:p w14:paraId="0036C865" w14:textId="616B0FA7" w:rsidR="00E14B89" w:rsidRPr="00700A32" w:rsidRDefault="00E14B89" w:rsidP="00F809A6">
      <w:pPr>
        <w:pStyle w:val="REFERENCAAAAAA"/>
        <w:rPr>
          <w:color w:val="000000" w:themeColor="text1"/>
          <w:lang w:val="en-US"/>
        </w:rPr>
      </w:pPr>
      <w:r w:rsidRPr="00F809A6">
        <w:rPr>
          <w:rStyle w:val="FootnoteReference"/>
          <w:rFonts w:cs="Arial"/>
          <w:color w:val="000000" w:themeColor="text1"/>
          <w:sz w:val="16"/>
          <w:szCs w:val="16"/>
        </w:rPr>
        <w:footnoteRef/>
      </w:r>
      <w:r w:rsidRPr="00F809A6">
        <w:rPr>
          <w:color w:val="000000" w:themeColor="text1"/>
        </w:rPr>
        <w:t xml:space="preserve"> Direktiva 2000/60/KE, shtojca II</w:t>
      </w:r>
      <w:r>
        <w:rPr>
          <w:color w:val="000000" w:themeColor="text1"/>
          <w:lang w:val="en-US"/>
        </w:rPr>
        <w:t>.</w:t>
      </w:r>
    </w:p>
  </w:footnote>
  <w:footnote w:id="105">
    <w:p w14:paraId="50B26FB5" w14:textId="77777777" w:rsidR="00E14B89" w:rsidRPr="00F809A6" w:rsidRDefault="00E14B89" w:rsidP="00F809A6">
      <w:pPr>
        <w:pStyle w:val="REFERENCAAAAAA"/>
        <w:rPr>
          <w:color w:val="000000" w:themeColor="text1"/>
        </w:rPr>
      </w:pPr>
      <w:r w:rsidRPr="00F809A6">
        <w:rPr>
          <w:rStyle w:val="FootnoteReference"/>
          <w:rFonts w:cs="Arial"/>
          <w:color w:val="000000" w:themeColor="text1"/>
          <w:sz w:val="16"/>
          <w:szCs w:val="16"/>
        </w:rPr>
        <w:footnoteRef/>
      </w:r>
      <w:r w:rsidRPr="00F809A6">
        <w:rPr>
          <w:color w:val="000000" w:themeColor="text1"/>
        </w:rPr>
        <w:t xml:space="preserve"> Direktiva 2000/60/KE</w:t>
      </w:r>
    </w:p>
  </w:footnote>
  <w:footnote w:id="106">
    <w:p w14:paraId="68744241" w14:textId="63445395" w:rsidR="00E14B89" w:rsidRPr="00700A32" w:rsidRDefault="00E14B89" w:rsidP="00F809A6">
      <w:pPr>
        <w:pStyle w:val="REFERENCAAAAAA"/>
        <w:rPr>
          <w:lang w:val="en-US"/>
        </w:rPr>
      </w:pPr>
      <w:r w:rsidRPr="00F809A6">
        <w:rPr>
          <w:rStyle w:val="FootnoteReference"/>
          <w:rFonts w:cs="Arial"/>
          <w:color w:val="000000" w:themeColor="text1"/>
          <w:sz w:val="16"/>
          <w:szCs w:val="16"/>
        </w:rPr>
        <w:footnoteRef/>
      </w:r>
      <w:r w:rsidRPr="00F809A6">
        <w:rPr>
          <w:color w:val="000000" w:themeColor="text1"/>
        </w:rPr>
        <w:t xml:space="preserve"> Direktiva 2000/60/KE, shtojca V</w:t>
      </w:r>
      <w:r>
        <w:rPr>
          <w:color w:val="000000" w:themeColor="text1"/>
          <w:lang w:val="en-US"/>
        </w:rPr>
        <w:t>.</w:t>
      </w:r>
    </w:p>
  </w:footnote>
  <w:footnote w:id="107">
    <w:p w14:paraId="4F1E9520" w14:textId="7DB5DF21" w:rsidR="00E14B89" w:rsidRPr="00700A32" w:rsidRDefault="00E14B89" w:rsidP="00F809A6">
      <w:pPr>
        <w:pStyle w:val="REFERENCAAAAAA"/>
        <w:rPr>
          <w:lang w:val="en-US"/>
        </w:rPr>
      </w:pPr>
      <w:r w:rsidRPr="00F809A6">
        <w:rPr>
          <w:rStyle w:val="FootnoteReference"/>
          <w:rFonts w:cs="Arial"/>
          <w:color w:val="auto"/>
          <w:sz w:val="16"/>
          <w:szCs w:val="16"/>
        </w:rPr>
        <w:footnoteRef/>
      </w:r>
      <w:r w:rsidRPr="00F809A6">
        <w:t xml:space="preserve"> Komuniteti Evropian 2003, dokumenti i udhëzimit nr. 7</w:t>
      </w:r>
      <w:r>
        <w:rPr>
          <w:lang w:val="en-US"/>
        </w:rPr>
        <w:t>.</w:t>
      </w:r>
    </w:p>
  </w:footnote>
  <w:footnote w:id="108">
    <w:p w14:paraId="634BBA79" w14:textId="048E26C2" w:rsidR="00E14B89" w:rsidRPr="00700A32" w:rsidRDefault="00E14B89" w:rsidP="00F809A6">
      <w:pPr>
        <w:pStyle w:val="REFERENCAAAAAA"/>
        <w:rPr>
          <w:lang w:val="en-US"/>
        </w:rPr>
      </w:pPr>
      <w:r w:rsidRPr="00F809A6">
        <w:rPr>
          <w:rStyle w:val="FootnoteReference"/>
          <w:rFonts w:cs="Arial"/>
          <w:color w:val="auto"/>
          <w:sz w:val="16"/>
          <w:szCs w:val="16"/>
        </w:rPr>
        <w:footnoteRef/>
      </w:r>
      <w:r w:rsidRPr="00F809A6">
        <w:t xml:space="preserve"> Konsolidimi i Sistemit të Monitorimit të Mjedisit në Shqipëri </w:t>
      </w:r>
      <w:r>
        <w:rPr>
          <w:lang w:val="en-US"/>
        </w:rPr>
        <w:t>“</w:t>
      </w:r>
      <w:r w:rsidRPr="00F809A6">
        <w:t>KSMMSH”</w:t>
      </w:r>
      <w:r>
        <w:rPr>
          <w:lang w:val="en-US"/>
        </w:rPr>
        <w:t>.</w:t>
      </w:r>
    </w:p>
  </w:footnote>
  <w:footnote w:id="109">
    <w:p w14:paraId="6B3DA998" w14:textId="3492C1AC" w:rsidR="00E14B89" w:rsidRPr="00700A32" w:rsidRDefault="00E14B89" w:rsidP="00F809A6">
      <w:pPr>
        <w:pStyle w:val="REFERENCAAAAAA"/>
        <w:rPr>
          <w:lang w:val="en-US"/>
        </w:rPr>
      </w:pPr>
      <w:r w:rsidRPr="00F809A6">
        <w:rPr>
          <w:rStyle w:val="FootnoteReference"/>
          <w:rFonts w:cs="Arial"/>
          <w:color w:val="auto"/>
          <w:sz w:val="16"/>
          <w:szCs w:val="16"/>
        </w:rPr>
        <w:footnoteRef/>
      </w:r>
      <w:r w:rsidRPr="00F809A6">
        <w:t xml:space="preserve"> Ligji nr. 111/2012</w:t>
      </w:r>
      <w:r>
        <w:rPr>
          <w:lang w:val="en-US"/>
        </w:rPr>
        <w:t>,</w:t>
      </w:r>
      <w:r w:rsidRPr="00F809A6">
        <w:t xml:space="preserve"> </w:t>
      </w:r>
      <w:r>
        <w:rPr>
          <w:lang w:val="en-US"/>
        </w:rPr>
        <w:t>“</w:t>
      </w:r>
      <w:r w:rsidRPr="00F809A6">
        <w:t>Për menaxhimin e integruar të burimeve ujore</w:t>
      </w:r>
      <w:r>
        <w:rPr>
          <w:lang w:val="en-US"/>
        </w:rPr>
        <w:t>”</w:t>
      </w:r>
      <w:r w:rsidRPr="00F809A6">
        <w:t>, neni 85</w:t>
      </w:r>
      <w:r>
        <w:rPr>
          <w:lang w:val="en-US"/>
        </w:rPr>
        <w:t>.</w:t>
      </w:r>
    </w:p>
  </w:footnote>
  <w:footnote w:id="110">
    <w:p w14:paraId="37A00CCD" w14:textId="244E5864" w:rsidR="00E14B89" w:rsidRPr="00700A32" w:rsidRDefault="00E14B89" w:rsidP="00F809A6">
      <w:pPr>
        <w:pStyle w:val="REFERENCAAAAAA"/>
        <w:rPr>
          <w:lang w:val="en-US"/>
        </w:rPr>
      </w:pPr>
      <w:r w:rsidRPr="00F809A6">
        <w:rPr>
          <w:rStyle w:val="FootnoteReference"/>
          <w:rFonts w:cs="Arial"/>
          <w:color w:val="auto"/>
          <w:sz w:val="16"/>
          <w:szCs w:val="16"/>
        </w:rPr>
        <w:footnoteRef/>
      </w:r>
      <w:r w:rsidRPr="00F809A6">
        <w:t xml:space="preserve"> Prioritizimi ndjek të njëjtat kritere të përcaktuara nga projekti KSMMSH, 2012</w:t>
      </w:r>
      <w:r>
        <w:rPr>
          <w:lang w:val="en-US"/>
        </w:rPr>
        <w:t>.</w:t>
      </w:r>
    </w:p>
  </w:footnote>
  <w:footnote w:id="111">
    <w:p w14:paraId="1217F38F" w14:textId="0228659D" w:rsidR="00E14B89" w:rsidRPr="00F809A6" w:rsidRDefault="00E14B89" w:rsidP="00F809A6">
      <w:pPr>
        <w:pStyle w:val="REFERENCAAAAAA"/>
      </w:pPr>
      <w:r w:rsidRPr="00F809A6">
        <w:rPr>
          <w:rStyle w:val="FootnoteReference"/>
          <w:color w:val="auto"/>
          <w:sz w:val="16"/>
          <w:szCs w:val="16"/>
        </w:rPr>
        <w:footnoteRef/>
      </w:r>
      <w:r w:rsidRPr="00F809A6">
        <w:t xml:space="preserve"> Shtimi i analizës mikrobiologjike kërkohet kur u referohet organeve të ujit, të përdorura për ujë të pijshëm, duke iu referuar n</w:t>
      </w:r>
      <w:r>
        <w:t>enit 10 të VKM</w:t>
      </w:r>
      <w:r>
        <w:rPr>
          <w:lang w:val="en-US"/>
        </w:rPr>
        <w:t>-së</w:t>
      </w:r>
      <w:r>
        <w:t xml:space="preserve"> nr. 379 datë 25.</w:t>
      </w:r>
      <w:r w:rsidRPr="00F809A6">
        <w:t>5.2016.</w:t>
      </w:r>
    </w:p>
  </w:footnote>
  <w:footnote w:id="112">
    <w:p w14:paraId="0719166E" w14:textId="3D8A9B68" w:rsidR="00E14B89" w:rsidRPr="00700A32" w:rsidRDefault="00E14B89" w:rsidP="00F809A6">
      <w:pPr>
        <w:pStyle w:val="REFERENCAAAAAA"/>
        <w:rPr>
          <w:lang w:val="en-US"/>
        </w:rPr>
      </w:pPr>
      <w:r w:rsidRPr="00F809A6">
        <w:rPr>
          <w:rStyle w:val="FootnoteReference"/>
          <w:rFonts w:cs="Arial"/>
          <w:color w:val="auto"/>
          <w:sz w:val="16"/>
          <w:szCs w:val="16"/>
        </w:rPr>
        <w:footnoteRef/>
      </w:r>
      <w:r w:rsidRPr="00F809A6">
        <w:t xml:space="preserve"> Burimi: Konsolidimi i sistemit të monitorimit t</w:t>
      </w:r>
      <w:r>
        <w:t>ë mjedisit në Shqipëri</w:t>
      </w:r>
      <w:r>
        <w:rPr>
          <w:lang w:val="en-US"/>
        </w:rPr>
        <w:t xml:space="preserve">, </w:t>
      </w:r>
      <w:r>
        <w:t>KSMMSH</w:t>
      </w:r>
      <w:r>
        <w:rPr>
          <w:lang w:val="en-US"/>
        </w:rPr>
        <w:t>.</w:t>
      </w:r>
    </w:p>
  </w:footnote>
  <w:footnote w:id="113">
    <w:p w14:paraId="48CB8375" w14:textId="18BD0846" w:rsidR="00E14B89" w:rsidRPr="00700A32" w:rsidRDefault="00E14B89" w:rsidP="0049241F">
      <w:pPr>
        <w:pStyle w:val="REFERENCAAAAAA"/>
        <w:rPr>
          <w:lang w:val="en-US"/>
        </w:rPr>
      </w:pPr>
      <w:r w:rsidRPr="0049241F">
        <w:rPr>
          <w:rStyle w:val="FootnoteReference"/>
          <w:rFonts w:cs="Arial"/>
          <w:color w:val="auto"/>
          <w:sz w:val="16"/>
          <w:szCs w:val="16"/>
        </w:rPr>
        <w:footnoteRef/>
      </w:r>
      <w:r w:rsidRPr="0049241F">
        <w:t xml:space="preserve"> Direktiva 2000/60/KE, neni 7</w:t>
      </w:r>
      <w:r>
        <w:rPr>
          <w:lang w:val="en-US"/>
        </w:rPr>
        <w:t>.</w:t>
      </w:r>
    </w:p>
  </w:footnote>
  <w:footnote w:id="114">
    <w:p w14:paraId="277E0308" w14:textId="0BA28EEC" w:rsidR="00E14B89" w:rsidRPr="00700A32" w:rsidRDefault="00E14B89" w:rsidP="0049241F">
      <w:pPr>
        <w:pStyle w:val="REFERENCAAAAAA"/>
        <w:rPr>
          <w:lang w:val="en-US"/>
        </w:rPr>
      </w:pPr>
      <w:r w:rsidRPr="0049241F">
        <w:rPr>
          <w:rStyle w:val="FootnoteReference"/>
          <w:rFonts w:cs="Arial"/>
          <w:color w:val="auto"/>
          <w:sz w:val="16"/>
          <w:szCs w:val="16"/>
        </w:rPr>
        <w:footnoteRef/>
      </w:r>
      <w:r w:rsidRPr="0049241F">
        <w:t xml:space="preserve"> Burimi: KE, udhëzues nr. 7</w:t>
      </w:r>
      <w:r>
        <w:rPr>
          <w:lang w:val="en-US"/>
        </w:rPr>
        <w:t>.</w:t>
      </w:r>
    </w:p>
  </w:footnote>
  <w:footnote w:id="115">
    <w:p w14:paraId="289F5EC1" w14:textId="3033BC0B" w:rsidR="00E14B89" w:rsidRPr="00700A32" w:rsidRDefault="00E14B89" w:rsidP="004F61CE">
      <w:pPr>
        <w:pStyle w:val="REFERENCAAAAAA"/>
        <w:rPr>
          <w:lang w:val="en-US"/>
        </w:rPr>
      </w:pPr>
      <w:r w:rsidRPr="004F61CE">
        <w:rPr>
          <w:rStyle w:val="FootnoteReference"/>
          <w:rFonts w:cs="Arial"/>
          <w:color w:val="auto"/>
          <w:sz w:val="16"/>
          <w:szCs w:val="16"/>
        </w:rPr>
        <w:footnoteRef/>
      </w:r>
      <w:r w:rsidRPr="004F61CE">
        <w:t xml:space="preserve"> Burimi: AKM, 2016</w:t>
      </w:r>
      <w:r>
        <w:rPr>
          <w:lang w:val="en-US"/>
        </w:rPr>
        <w:t>.</w:t>
      </w:r>
    </w:p>
  </w:footnote>
  <w:footnote w:id="116">
    <w:p w14:paraId="0502EC55" w14:textId="4BC1C16B" w:rsidR="00E14B89" w:rsidRPr="00700A32" w:rsidRDefault="00E14B89" w:rsidP="004F61CE">
      <w:pPr>
        <w:pStyle w:val="REFERENCAAAAAA"/>
        <w:rPr>
          <w:lang w:val="en-US"/>
        </w:rPr>
      </w:pPr>
      <w:r w:rsidRPr="004F61CE">
        <w:rPr>
          <w:rStyle w:val="FootnoteReference"/>
          <w:rFonts w:cs="Arial"/>
          <w:color w:val="auto"/>
          <w:sz w:val="16"/>
          <w:szCs w:val="16"/>
        </w:rPr>
        <w:footnoteRef/>
      </w:r>
      <w:r w:rsidRPr="004F61CE">
        <w:t xml:space="preserve"> Burimi: AKM, 2016</w:t>
      </w:r>
      <w:r>
        <w:rPr>
          <w:lang w:val="en-US"/>
        </w:rPr>
        <w:t>.</w:t>
      </w:r>
    </w:p>
  </w:footnote>
  <w:footnote w:id="117">
    <w:p w14:paraId="5C3120AA" w14:textId="63261463" w:rsidR="00E14B89" w:rsidRPr="00700A32" w:rsidRDefault="00E14B89" w:rsidP="004F61CE">
      <w:pPr>
        <w:pStyle w:val="REFERENCAAAAAA"/>
        <w:rPr>
          <w:lang w:val="en-US"/>
        </w:rPr>
      </w:pPr>
      <w:r w:rsidRPr="004F61CE">
        <w:rPr>
          <w:rStyle w:val="FootnoteReference"/>
          <w:rFonts w:cs="Arial"/>
          <w:color w:val="auto"/>
          <w:sz w:val="16"/>
          <w:szCs w:val="16"/>
        </w:rPr>
        <w:footnoteRef/>
      </w:r>
      <w:r w:rsidRPr="004F61CE">
        <w:t xml:space="preserve"> Direktiva 2006/118</w:t>
      </w:r>
      <w:r>
        <w:t>/</w:t>
      </w:r>
      <w:r w:rsidRPr="004F61CE">
        <w:t>KE e Parlamentit dhe e Këshillit Evropian e datës 12 dhjetor 2006 Për mbrojtjen e ujërave nëntokësore nga ndotja dhe përkeqësimi</w:t>
      </w:r>
      <w:r>
        <w:rPr>
          <w:lang w:val="en-US"/>
        </w:rPr>
        <w:t>.</w:t>
      </w:r>
    </w:p>
  </w:footnote>
  <w:footnote w:id="118">
    <w:p w14:paraId="63BF04E7" w14:textId="7727DA98" w:rsidR="00E14B89" w:rsidRPr="00700A32" w:rsidRDefault="00E14B89" w:rsidP="004F61CE">
      <w:pPr>
        <w:pStyle w:val="REFERENCAAAAAA"/>
        <w:rPr>
          <w:lang w:val="en-US"/>
        </w:rPr>
      </w:pPr>
      <w:r w:rsidRPr="004F61CE">
        <w:rPr>
          <w:rStyle w:val="FootnoteReference"/>
          <w:rFonts w:cs="Arial"/>
          <w:color w:val="auto"/>
          <w:sz w:val="16"/>
          <w:szCs w:val="16"/>
        </w:rPr>
        <w:footnoteRef/>
      </w:r>
      <w:r w:rsidRPr="004F61CE">
        <w:t xml:space="preserve"> Lista e ndotësve janë arseniku, kadmiumi, plumbi, merkuri, amoniumi, kloridi, sulfati, substancat sintetike të bëra nga njeriu (trikloretileni, tetrakloretileni) dhe parametrat që tregojnë për kripur ose ndërhyrje të tjera (përçueshmëri)</w:t>
      </w:r>
      <w:r>
        <w:rPr>
          <w:lang w:val="en-US"/>
        </w:rPr>
        <w:t>.</w:t>
      </w:r>
    </w:p>
  </w:footnote>
  <w:footnote w:id="119">
    <w:p w14:paraId="322C0861" w14:textId="46E91718" w:rsidR="00E14B89" w:rsidRPr="00700A32" w:rsidRDefault="00E14B89" w:rsidP="004F61CE">
      <w:pPr>
        <w:pStyle w:val="REFERENCAAAAAA"/>
        <w:rPr>
          <w:lang w:val="en-US"/>
        </w:rPr>
      </w:pPr>
      <w:r w:rsidRPr="004F61CE">
        <w:rPr>
          <w:rStyle w:val="FootnoteReference"/>
          <w:rFonts w:cs="Arial"/>
          <w:color w:val="auto"/>
          <w:sz w:val="16"/>
          <w:szCs w:val="16"/>
        </w:rPr>
        <w:footnoteRef/>
      </w:r>
      <w:r w:rsidRPr="004F61CE">
        <w:t xml:space="preserve"> Të dhënat publikohen në Raportin e Statusit të Mjedisit që AKM publikon në baza vjetore</w:t>
      </w:r>
      <w:r>
        <w:rPr>
          <w:lang w:val="en-US"/>
        </w:rPr>
        <w:t>.</w:t>
      </w:r>
    </w:p>
  </w:footnote>
  <w:footnote w:id="120">
    <w:p w14:paraId="5E4A51BF" w14:textId="4EF9E21E" w:rsidR="00E14B89" w:rsidRPr="00700A32" w:rsidRDefault="00E14B89" w:rsidP="004F61CE">
      <w:pPr>
        <w:pStyle w:val="REFERENCAAAAAA"/>
        <w:rPr>
          <w:lang w:val="en-US"/>
        </w:rPr>
      </w:pPr>
      <w:r w:rsidRPr="004F61CE">
        <w:rPr>
          <w:rStyle w:val="FootnoteReference"/>
          <w:rFonts w:cs="Arial"/>
          <w:color w:val="auto"/>
          <w:sz w:val="16"/>
          <w:szCs w:val="16"/>
        </w:rPr>
        <w:footnoteRef/>
      </w:r>
      <w:r w:rsidRPr="004F61CE">
        <w:t xml:space="preserve"> SHGSH, 2014</w:t>
      </w:r>
      <w:r>
        <w:rPr>
          <w:lang w:val="en-US"/>
        </w:rPr>
        <w:t>.</w:t>
      </w:r>
    </w:p>
  </w:footnote>
  <w:footnote w:id="121">
    <w:p w14:paraId="642EE46D" w14:textId="4BDFAFF8" w:rsidR="00E14B89" w:rsidRPr="007B58B8" w:rsidRDefault="00E14B89" w:rsidP="00012E89">
      <w:pPr>
        <w:pStyle w:val="REFERENCAAAAAA"/>
        <w:rPr>
          <w:szCs w:val="20"/>
          <w:lang w:val="en-US"/>
        </w:rPr>
      </w:pPr>
      <w:r w:rsidRPr="007B58B8">
        <w:rPr>
          <w:rStyle w:val="FootnoteReference"/>
          <w:rFonts w:ascii="Garamond" w:hAnsi="Garamond"/>
          <w:color w:val="auto"/>
        </w:rPr>
        <w:footnoteRef/>
      </w:r>
      <w:r w:rsidRPr="007B58B8">
        <w:rPr>
          <w:szCs w:val="20"/>
        </w:rPr>
        <w:t xml:space="preserve"> Aktualisht vetëm Liqeni i Shkodrës dhe laguna Kune</w:t>
      </w:r>
      <w:r>
        <w:rPr>
          <w:szCs w:val="20"/>
        </w:rPr>
        <w:t>–</w:t>
      </w:r>
      <w:r w:rsidRPr="007B58B8">
        <w:rPr>
          <w:szCs w:val="20"/>
        </w:rPr>
        <w:t>Vain kanë plane monitorimi (akzm.gov.al)</w:t>
      </w:r>
      <w:r w:rsidRPr="007B58B8">
        <w:rPr>
          <w:szCs w:val="20"/>
          <w:lang w:val="en-US"/>
        </w:rPr>
        <w:t>.</w:t>
      </w:r>
    </w:p>
  </w:footnote>
  <w:footnote w:id="122">
    <w:p w14:paraId="75FE13D8" w14:textId="35649639" w:rsidR="00E14B89" w:rsidRPr="007B58B8" w:rsidRDefault="00E14B89" w:rsidP="00012E89">
      <w:pPr>
        <w:pStyle w:val="REFERENCAAAAAA"/>
        <w:rPr>
          <w:szCs w:val="20"/>
        </w:rPr>
      </w:pPr>
      <w:r w:rsidRPr="007B58B8">
        <w:rPr>
          <w:rStyle w:val="FootnoteReference"/>
          <w:rFonts w:ascii="Garamond" w:hAnsi="Garamond"/>
          <w:color w:val="auto"/>
        </w:rPr>
        <w:footnoteRef/>
      </w:r>
      <w:r w:rsidRPr="007B58B8">
        <w:rPr>
          <w:szCs w:val="20"/>
        </w:rPr>
        <w:t xml:space="preserve"> </w:t>
      </w:r>
      <w:hyperlink r:id="rId4" w:history="1">
        <w:r w:rsidRPr="007B58B8">
          <w:rPr>
            <w:rStyle w:val="Hyperlink"/>
            <w:color w:val="auto"/>
            <w:lang w:val="it-IT"/>
          </w:rPr>
          <w:t>www.akzm.gov.al</w:t>
        </w:r>
      </w:hyperlink>
      <w:r w:rsidRPr="007B58B8">
        <w:rPr>
          <w:rStyle w:val="Hyperlink"/>
          <w:color w:val="auto"/>
          <w:lang w:val="it-IT"/>
        </w:rPr>
        <w:t>.</w:t>
      </w:r>
      <w:r w:rsidRPr="007B58B8">
        <w:rPr>
          <w:szCs w:val="20"/>
        </w:rPr>
        <w:t xml:space="preserve"> </w:t>
      </w:r>
    </w:p>
  </w:footnote>
  <w:footnote w:id="123">
    <w:p w14:paraId="2F4C350A" w14:textId="7289EDDD" w:rsidR="00E14B89" w:rsidRPr="00700A32" w:rsidRDefault="00E14B89" w:rsidP="00012E89">
      <w:pPr>
        <w:pStyle w:val="REFERENCAAAAAA"/>
        <w:rPr>
          <w:lang w:val="en-US"/>
        </w:rPr>
      </w:pPr>
      <w:r w:rsidRPr="00012E89">
        <w:rPr>
          <w:rStyle w:val="FootnoteReference"/>
          <w:color w:val="auto"/>
          <w:sz w:val="16"/>
          <w:szCs w:val="16"/>
        </w:rPr>
        <w:footnoteRef/>
      </w:r>
      <w:r w:rsidRPr="00012E89">
        <w:t xml:space="preserve"> Neni 14</w:t>
      </w:r>
      <w:r>
        <w:rPr>
          <w:lang w:val="en-US"/>
        </w:rPr>
        <w:t>,</w:t>
      </w:r>
      <w:r w:rsidRPr="00012E89">
        <w:t xml:space="preserve"> ligji nr. 9115, datë 24.7.2003</w:t>
      </w:r>
      <w:r>
        <w:rPr>
          <w:lang w:val="en-US"/>
        </w:rPr>
        <w:t>,</w:t>
      </w:r>
      <w:r w:rsidRPr="00012E89">
        <w:t xml:space="preserve"> </w:t>
      </w:r>
      <w:r>
        <w:rPr>
          <w:lang w:val="en-US"/>
        </w:rPr>
        <w:t>“</w:t>
      </w:r>
      <w:r w:rsidRPr="00012E89">
        <w:t>Për trajtimin e ujërave të ndotura”</w:t>
      </w:r>
      <w:r>
        <w:rPr>
          <w:lang w:val="en-US"/>
        </w:rPr>
        <w:t>.</w:t>
      </w:r>
    </w:p>
  </w:footnote>
  <w:footnote w:id="124">
    <w:p w14:paraId="199B85F2" w14:textId="7DF93F7B" w:rsidR="00E14B89" w:rsidRPr="00700A32" w:rsidRDefault="00E14B89" w:rsidP="00012E89">
      <w:pPr>
        <w:pStyle w:val="REFERENCAAAAAA"/>
        <w:rPr>
          <w:lang w:val="en-US"/>
        </w:rPr>
      </w:pPr>
      <w:r w:rsidRPr="00012E89">
        <w:rPr>
          <w:rStyle w:val="FootnoteReference"/>
          <w:color w:val="auto"/>
          <w:sz w:val="16"/>
          <w:szCs w:val="16"/>
        </w:rPr>
        <w:footnoteRef/>
      </w:r>
      <w:r w:rsidRPr="00012E89">
        <w:t xml:space="preserve"> Plani i Menaxhimit të Parkut Kombëtar të Prespës në Shqipëri 2014</w:t>
      </w:r>
      <w:r>
        <w:t>–</w:t>
      </w:r>
      <w:r w:rsidRPr="00012E89">
        <w:t>2024, KfW</w:t>
      </w:r>
      <w:r>
        <w:rPr>
          <w:lang w:val="en-US"/>
        </w:rPr>
        <w:t>.</w:t>
      </w:r>
    </w:p>
  </w:footnote>
  <w:footnote w:id="125">
    <w:p w14:paraId="5B82186C" w14:textId="55F7D593" w:rsidR="00E14B89" w:rsidRPr="0016070B" w:rsidRDefault="00E14B89" w:rsidP="007A006B">
      <w:pPr>
        <w:pStyle w:val="REFERENCAAAAAA"/>
        <w:rPr>
          <w:lang w:val="en-US"/>
        </w:rPr>
      </w:pPr>
      <w:r w:rsidRPr="007A006B">
        <w:rPr>
          <w:rStyle w:val="FootnoteReference"/>
          <w:color w:val="auto"/>
          <w:sz w:val="16"/>
          <w:szCs w:val="16"/>
        </w:rPr>
        <w:footnoteRef/>
      </w:r>
      <w:r w:rsidRPr="007A006B">
        <w:t xml:space="preserve"> Burimi: AKZM; Përgatitja: Mott MacDonald/Abkons</w:t>
      </w:r>
      <w:r>
        <w:rPr>
          <w:lang w:val="en-US"/>
        </w:rPr>
        <w:t>.</w:t>
      </w:r>
    </w:p>
  </w:footnote>
  <w:footnote w:id="126">
    <w:p w14:paraId="39F82082" w14:textId="1FC95EF1" w:rsidR="00E14B89" w:rsidRPr="0016070B" w:rsidRDefault="00E14B89" w:rsidP="009D7681">
      <w:pPr>
        <w:pStyle w:val="REFERENCAAAAAA"/>
        <w:rPr>
          <w:lang w:val="en-US"/>
        </w:rPr>
      </w:pPr>
      <w:r w:rsidRPr="009D7681">
        <w:rPr>
          <w:rStyle w:val="FootnoteReference"/>
          <w:color w:val="auto"/>
          <w:sz w:val="16"/>
          <w:szCs w:val="16"/>
        </w:rPr>
        <w:footnoteRef/>
      </w:r>
      <w:r w:rsidRPr="009D7681">
        <w:t xml:space="preserve"> Burimi: AKM, 2015</w:t>
      </w:r>
      <w:r>
        <w:rPr>
          <w:lang w:val="en-US"/>
        </w:rPr>
        <w:t>.</w:t>
      </w:r>
    </w:p>
  </w:footnote>
  <w:footnote w:id="127">
    <w:p w14:paraId="7F03FE0E" w14:textId="0B4C04AB" w:rsidR="00E14B89" w:rsidRPr="0016070B" w:rsidRDefault="00E14B89" w:rsidP="009D7681">
      <w:pPr>
        <w:pStyle w:val="REFERENCAAAAAA"/>
        <w:rPr>
          <w:lang w:val="en-US"/>
        </w:rPr>
      </w:pPr>
      <w:r w:rsidRPr="009D7681">
        <w:rPr>
          <w:rStyle w:val="FootnoteReference"/>
          <w:color w:val="auto"/>
          <w:sz w:val="16"/>
          <w:szCs w:val="16"/>
        </w:rPr>
        <w:footnoteRef/>
      </w:r>
      <w:r w:rsidRPr="009D7681">
        <w:t xml:space="preserve"> AKM 2015, Raporti mbi Gjendjen e Mjedisit, 2015</w:t>
      </w:r>
      <w:r>
        <w:rPr>
          <w:lang w:val="en-US"/>
        </w:rPr>
        <w:t>.</w:t>
      </w:r>
    </w:p>
  </w:footnote>
  <w:footnote w:id="128">
    <w:p w14:paraId="57364F54" w14:textId="30D4C559" w:rsidR="00E14B89" w:rsidRPr="0016070B" w:rsidRDefault="00E14B89" w:rsidP="009D7681">
      <w:pPr>
        <w:pStyle w:val="FootnoteText"/>
        <w:rPr>
          <w:rFonts w:ascii="Garamond" w:hAnsi="Garamond"/>
          <w:sz w:val="20"/>
          <w:szCs w:val="20"/>
          <w:lang w:val="it-IT"/>
        </w:rPr>
      </w:pPr>
      <w:r w:rsidRPr="0016070B">
        <w:rPr>
          <w:rStyle w:val="FootnoteReference"/>
          <w:rFonts w:ascii="Garamond" w:hAnsi="Garamond"/>
          <w:color w:val="auto"/>
          <w:sz w:val="20"/>
        </w:rPr>
        <w:footnoteRef/>
      </w:r>
      <w:r w:rsidRPr="0016070B">
        <w:rPr>
          <w:rFonts w:ascii="Garamond" w:hAnsi="Garamond"/>
          <w:sz w:val="20"/>
          <w:szCs w:val="20"/>
          <w:lang w:val="it-IT"/>
        </w:rPr>
        <w:t xml:space="preserve"> Burimi: AKM, 2015, Raporti mbi gjendjen e mjedisit, 2015</w:t>
      </w:r>
      <w:r>
        <w:rPr>
          <w:rFonts w:ascii="Garamond" w:hAnsi="Garamond"/>
          <w:sz w:val="20"/>
          <w:szCs w:val="20"/>
          <w:lang w:val="it-IT"/>
        </w:rPr>
        <w:t>.</w:t>
      </w:r>
    </w:p>
  </w:footnote>
  <w:footnote w:id="129">
    <w:p w14:paraId="598E2740" w14:textId="109EFBB4" w:rsidR="00E14B89" w:rsidRPr="0016070B" w:rsidRDefault="00E14B89" w:rsidP="00837425">
      <w:pPr>
        <w:pStyle w:val="REFERENCAAAAAA"/>
        <w:rPr>
          <w:lang w:val="en-US"/>
        </w:rPr>
      </w:pPr>
      <w:r w:rsidRPr="00837425">
        <w:rPr>
          <w:rStyle w:val="FootnoteReference"/>
          <w:color w:val="auto"/>
          <w:sz w:val="16"/>
          <w:szCs w:val="16"/>
        </w:rPr>
        <w:footnoteRef/>
      </w:r>
      <w:r>
        <w:rPr>
          <w:lang w:val="it-IT"/>
        </w:rPr>
        <w:t xml:space="preserve"> </w:t>
      </w:r>
      <w:r w:rsidRPr="00837425">
        <w:t>Skarbøvik E, Perovic A, Shumka S, Nagothu US (2014) Nutrient inputs, trophic status and water management challenges in the transbundary</w:t>
      </w:r>
      <w:r>
        <w:rPr>
          <w:lang w:val="en-US"/>
        </w:rPr>
        <w:t>.</w:t>
      </w:r>
    </w:p>
  </w:footnote>
  <w:footnote w:id="130">
    <w:p w14:paraId="3D84A502" w14:textId="3E2ADB44" w:rsidR="00E14B89" w:rsidRPr="0016070B" w:rsidRDefault="00E14B89" w:rsidP="00837425">
      <w:pPr>
        <w:pStyle w:val="REFERENCAAAAAA"/>
        <w:rPr>
          <w:lang w:val="en-US"/>
        </w:rPr>
      </w:pPr>
      <w:r w:rsidRPr="00837425">
        <w:rPr>
          <w:rStyle w:val="FootnoteReference"/>
          <w:color w:val="auto"/>
          <w:sz w:val="16"/>
          <w:szCs w:val="16"/>
        </w:rPr>
        <w:footnoteRef/>
      </w:r>
      <w:r>
        <w:t xml:space="preserve"> </w:t>
      </w:r>
      <w:r w:rsidRPr="00837425">
        <w:t>Karakterizimi fillestar i liqenit të Prespës, Ohrit dhe Shkodrës: Zbatimi i Direktivës Kuadër të Ujit të BE-së në Evropën Juglindore (nëntor, 2015)</w:t>
      </w:r>
      <w:r>
        <w:rPr>
          <w:lang w:val="en-US"/>
        </w:rPr>
        <w:t>.</w:t>
      </w:r>
    </w:p>
  </w:footnote>
  <w:footnote w:id="131">
    <w:p w14:paraId="35144EEC" w14:textId="0748C360" w:rsidR="00E14B89" w:rsidRPr="0019553A" w:rsidRDefault="00E14B89" w:rsidP="0019553A">
      <w:pPr>
        <w:pStyle w:val="REFERENCAAAAAA"/>
        <w:rPr>
          <w:szCs w:val="20"/>
          <w:lang w:val="it-IT"/>
        </w:rPr>
      </w:pPr>
      <w:r w:rsidRPr="0019553A">
        <w:rPr>
          <w:rStyle w:val="FootnoteReference"/>
          <w:rFonts w:ascii="Garamond" w:hAnsi="Garamond"/>
          <w:color w:val="auto"/>
        </w:rPr>
        <w:footnoteRef/>
      </w:r>
      <w:r w:rsidRPr="0019553A">
        <w:rPr>
          <w:szCs w:val="20"/>
          <w:lang w:val="it-IT"/>
        </w:rPr>
        <w:t xml:space="preserve"> </w:t>
      </w:r>
      <w:hyperlink r:id="rId5">
        <w:r w:rsidRPr="0019553A">
          <w:rPr>
            <w:szCs w:val="20"/>
            <w:u w:val="single" w:color="27BCBD"/>
            <w:lang w:val="it-IT"/>
          </w:rPr>
          <w:t>http://rmbel.info/lake-trophic-states-2/</w:t>
        </w:r>
      </w:hyperlink>
    </w:p>
  </w:footnote>
  <w:footnote w:id="132">
    <w:p w14:paraId="6724882D" w14:textId="22E340F9" w:rsidR="00E14B89" w:rsidRPr="005C5BDA" w:rsidRDefault="00E14B89" w:rsidP="005C5BDA">
      <w:pPr>
        <w:pStyle w:val="FootnoteText"/>
        <w:ind w:left="0" w:firstLine="0"/>
        <w:jc w:val="both"/>
        <w:rPr>
          <w:rFonts w:ascii="Garamond" w:hAnsi="Garamond"/>
          <w:sz w:val="20"/>
          <w:szCs w:val="20"/>
          <w:lang w:val="it-IT"/>
        </w:rPr>
      </w:pPr>
      <w:r w:rsidRPr="005C5BDA">
        <w:rPr>
          <w:rFonts w:ascii="Garamond" w:hAnsi="Garamond"/>
          <w:sz w:val="20"/>
          <w:szCs w:val="20"/>
          <w:vertAlign w:val="superscript"/>
        </w:rPr>
        <w:footnoteRef/>
      </w:r>
      <w:r w:rsidRPr="005C5BDA">
        <w:rPr>
          <w:rFonts w:ascii="Garamond" w:hAnsi="Garamond"/>
          <w:sz w:val="20"/>
          <w:szCs w:val="20"/>
          <w:vertAlign w:val="superscript"/>
          <w:lang w:val="it-IT"/>
        </w:rPr>
        <w:t xml:space="preserve"> </w:t>
      </w:r>
      <w:r w:rsidRPr="005C5BDA">
        <w:rPr>
          <w:rFonts w:ascii="Garamond" w:hAnsi="Garamond"/>
          <w:sz w:val="20"/>
          <w:szCs w:val="20"/>
          <w:lang w:val="it-IT"/>
        </w:rPr>
        <w:t>Karakterizimi fillestar i liqenit të Prespës, Ohrit dhe Shkodrës: Zbatimi i Direktivës Kuadër të Ujit të BE-së në Evropën Juglindore (nëntor, 2015).</w:t>
      </w:r>
    </w:p>
  </w:footnote>
  <w:footnote w:id="133">
    <w:p w14:paraId="7F891B62" w14:textId="03405B8A" w:rsidR="00E14B89" w:rsidRPr="005C5BDA" w:rsidRDefault="00E14B89" w:rsidP="008958D5">
      <w:pPr>
        <w:pStyle w:val="REFERENCAAAAAA"/>
        <w:rPr>
          <w:lang w:val="en-US"/>
        </w:rPr>
      </w:pPr>
      <w:r w:rsidRPr="008958D5">
        <w:rPr>
          <w:rStyle w:val="FootnoteReference"/>
          <w:color w:val="auto"/>
          <w:sz w:val="16"/>
          <w:szCs w:val="16"/>
        </w:rPr>
        <w:footnoteRef/>
      </w:r>
      <w:r w:rsidRPr="008958D5">
        <w:t xml:space="preserve"> Burimi: INSTAT (Ministria e Mjedisit)</w:t>
      </w:r>
      <w:r>
        <w:rPr>
          <w:lang w:val="en-US"/>
        </w:rPr>
        <w:t>.</w:t>
      </w:r>
    </w:p>
  </w:footnote>
  <w:footnote w:id="134">
    <w:p w14:paraId="49EC742A" w14:textId="570470C2" w:rsidR="00E14B89" w:rsidRPr="005C5BDA" w:rsidRDefault="00E14B89" w:rsidP="008958D5">
      <w:pPr>
        <w:pStyle w:val="REFERENCAAAAAA"/>
        <w:rPr>
          <w:lang w:val="en-US"/>
        </w:rPr>
      </w:pPr>
      <w:r w:rsidRPr="008958D5">
        <w:rPr>
          <w:rStyle w:val="FootnoteReference"/>
          <w:color w:val="auto"/>
          <w:sz w:val="16"/>
          <w:szCs w:val="16"/>
        </w:rPr>
        <w:footnoteRef/>
      </w:r>
      <w:r w:rsidRPr="008958D5">
        <w:t xml:space="preserve"> Burimi: INSTAT (Ministria e Turizmit dhe Mjedisit)</w:t>
      </w:r>
      <w:r>
        <w:rPr>
          <w:lang w:val="en-US"/>
        </w:rPr>
        <w:t>.</w:t>
      </w:r>
    </w:p>
  </w:footnote>
  <w:footnote w:id="135">
    <w:p w14:paraId="0F3148F3" w14:textId="6066A216" w:rsidR="00E14B89" w:rsidRPr="005C5BDA" w:rsidRDefault="00E14B89" w:rsidP="008958D5">
      <w:pPr>
        <w:pStyle w:val="REFERENCAAAAAA"/>
        <w:rPr>
          <w:szCs w:val="20"/>
          <w:lang w:val="de-DE"/>
        </w:rPr>
      </w:pPr>
      <w:r w:rsidRPr="005C5BDA">
        <w:rPr>
          <w:rStyle w:val="FootnoteReference"/>
          <w:color w:val="auto"/>
        </w:rPr>
        <w:footnoteRef/>
      </w:r>
      <w:r w:rsidRPr="005C5BDA">
        <w:rPr>
          <w:szCs w:val="20"/>
          <w:lang w:val="de-DE"/>
        </w:rPr>
        <w:t xml:space="preserve"> AKM, 2015.</w:t>
      </w:r>
    </w:p>
  </w:footnote>
  <w:footnote w:id="136">
    <w:p w14:paraId="0DD82D42" w14:textId="4175AD3B" w:rsidR="00E14B89" w:rsidRPr="005C5BDA" w:rsidRDefault="00E14B89" w:rsidP="0029118F">
      <w:pPr>
        <w:pStyle w:val="REFERENCAAAAAA"/>
        <w:rPr>
          <w:lang w:val="en-US"/>
        </w:rPr>
      </w:pPr>
      <w:r w:rsidRPr="005C5BDA">
        <w:rPr>
          <w:rStyle w:val="FootnoteReference"/>
          <w:rFonts w:ascii="Garamond" w:hAnsi="Garamond"/>
          <w:color w:val="auto"/>
          <w:szCs w:val="14"/>
        </w:rPr>
        <w:footnoteRef/>
      </w:r>
      <w:r w:rsidRPr="0029118F">
        <w:t xml:space="preserve"> d/s – rrjedhja e sipërme, u/s – rrjedhja e poshtme</w:t>
      </w:r>
      <w:r>
        <w:rPr>
          <w:lang w:val="en-US"/>
        </w:rPr>
        <w:t>.</w:t>
      </w:r>
    </w:p>
  </w:footnote>
  <w:footnote w:id="137">
    <w:p w14:paraId="394CF5C6" w14:textId="5A83797D" w:rsidR="00E14B89" w:rsidRPr="005C5BDA" w:rsidRDefault="00E14B89" w:rsidP="0029118F">
      <w:pPr>
        <w:pStyle w:val="REFERENCAAAAAA"/>
        <w:rPr>
          <w:lang w:val="en-US"/>
        </w:rPr>
      </w:pPr>
      <w:r w:rsidRPr="005C5BDA">
        <w:rPr>
          <w:rStyle w:val="FootnoteReference"/>
          <w:rFonts w:ascii="Garamond" w:hAnsi="Garamond"/>
          <w:color w:val="auto"/>
          <w:szCs w:val="14"/>
        </w:rPr>
        <w:footnoteRef/>
      </w:r>
      <w:r>
        <w:rPr>
          <w:lang w:val="en-US"/>
        </w:rPr>
        <w:t xml:space="preserve"> </w:t>
      </w:r>
      <w:r w:rsidRPr="0029118F">
        <w:t>Kuptimi i Kodit të ngjyrave: Blu = Status shumë i mirë; E gjelbër = gjendje e mirë; E verdhë = Statusi i moderuar</w:t>
      </w:r>
      <w:r>
        <w:rPr>
          <w:lang w:val="en-US"/>
        </w:rPr>
        <w:t>.</w:t>
      </w:r>
    </w:p>
  </w:footnote>
  <w:footnote w:id="138">
    <w:p w14:paraId="60D65A30" w14:textId="00D88E13" w:rsidR="00E14B89" w:rsidRPr="005C5BDA" w:rsidRDefault="00E14B89" w:rsidP="00246405">
      <w:pPr>
        <w:pStyle w:val="REFERENCAAAAAA"/>
        <w:rPr>
          <w:lang w:val="en-US"/>
        </w:rPr>
      </w:pPr>
      <w:r w:rsidRPr="00246405">
        <w:rPr>
          <w:rStyle w:val="FootnoteReference"/>
          <w:color w:val="auto"/>
          <w:sz w:val="16"/>
          <w:szCs w:val="16"/>
        </w:rPr>
        <w:footnoteRef/>
      </w:r>
      <w:r w:rsidRPr="00246405">
        <w:t xml:space="preserve"> Burimi: AKM, 2015; Përgatitur nga: Mott MacDonald</w:t>
      </w:r>
      <w:r>
        <w:rPr>
          <w:lang w:val="en-US"/>
        </w:rPr>
        <w:t>.</w:t>
      </w:r>
    </w:p>
  </w:footnote>
  <w:footnote w:id="139">
    <w:p w14:paraId="1A4ECC44" w14:textId="3E6D1806" w:rsidR="00E14B89" w:rsidRPr="005C5BDA" w:rsidRDefault="00E14B89" w:rsidP="005C5BDA">
      <w:pPr>
        <w:pStyle w:val="REFERENCAAAAAA"/>
        <w:rPr>
          <w:lang w:val="en-US"/>
        </w:rPr>
      </w:pPr>
      <w:r w:rsidRPr="00246405">
        <w:rPr>
          <w:rStyle w:val="FootnoteReference"/>
          <w:color w:val="auto"/>
          <w:sz w:val="16"/>
          <w:szCs w:val="16"/>
        </w:rPr>
        <w:footnoteRef/>
      </w:r>
      <w:r w:rsidRPr="00246405">
        <w:t xml:space="preserve"> Standardi i Cilësisë për Ujin e Pijshëm është vendosur me VKM</w:t>
      </w:r>
      <w:r>
        <w:rPr>
          <w:lang w:val="en-US"/>
        </w:rPr>
        <w:t>-në</w:t>
      </w:r>
      <w:r w:rsidRPr="00246405">
        <w:t xml:space="preserve"> nr. 379, datë 25.5.2016. Ky vendim transpozon Direktivën 98/83/EC</w:t>
      </w:r>
      <w:r>
        <w:rPr>
          <w:lang w:val="en-US"/>
        </w:rPr>
        <w:t>.</w:t>
      </w:r>
    </w:p>
  </w:footnote>
  <w:footnote w:id="140">
    <w:p w14:paraId="5BFF0499" w14:textId="3BB1718D" w:rsidR="00E14B89" w:rsidRPr="005C5BDA" w:rsidRDefault="00E14B89" w:rsidP="005C5BDA">
      <w:pPr>
        <w:pStyle w:val="REFERENCAAAAAA"/>
        <w:rPr>
          <w:lang w:val="en-US"/>
        </w:rPr>
      </w:pPr>
      <w:r w:rsidRPr="00246405">
        <w:rPr>
          <w:rStyle w:val="FootnoteReference"/>
          <w:color w:val="auto"/>
          <w:sz w:val="16"/>
          <w:szCs w:val="16"/>
        </w:rPr>
        <w:footnoteRef/>
      </w:r>
      <w:r w:rsidRPr="00246405">
        <w:t xml:space="preserve"> Burimi: AKM, 2015; Përgatitur nga: Mott MacDonald</w:t>
      </w:r>
      <w:r>
        <w:rPr>
          <w:lang w:val="en-US"/>
        </w:rPr>
        <w:t>.</w:t>
      </w:r>
    </w:p>
  </w:footnote>
  <w:footnote w:id="141">
    <w:p w14:paraId="61604EC0" w14:textId="4BECF4CA" w:rsidR="00E14B89" w:rsidRPr="000E77B3" w:rsidRDefault="00E14B89" w:rsidP="003F438D">
      <w:pPr>
        <w:pStyle w:val="REFERENCAAAAAA"/>
      </w:pPr>
      <w:r w:rsidRPr="003F438D">
        <w:rPr>
          <w:rStyle w:val="FootnoteReference"/>
          <w:color w:val="auto"/>
          <w:sz w:val="16"/>
          <w:szCs w:val="16"/>
        </w:rPr>
        <w:footnoteRef/>
      </w:r>
      <w:r>
        <w:t xml:space="preserve"> Master</w:t>
      </w:r>
      <w:r>
        <w:rPr>
          <w:lang w:val="en-US"/>
        </w:rPr>
        <w:t>p</w:t>
      </w:r>
      <w:r w:rsidRPr="003F438D">
        <w:t>lani i furnizimit me ujë dhe kanalizimeve për Shqipërinë, financuar nga KfW; iC, igr – Janar 2013..</w:t>
      </w:r>
    </w:p>
  </w:footnote>
  <w:footnote w:id="142">
    <w:p w14:paraId="46BA0E8A" w14:textId="436E872C" w:rsidR="00E14B89" w:rsidRPr="005C5BDA" w:rsidRDefault="00E14B89" w:rsidP="005C5BDA">
      <w:pPr>
        <w:pStyle w:val="FootnoteText"/>
        <w:ind w:left="0" w:firstLine="0"/>
        <w:rPr>
          <w:rFonts w:ascii="Garamond" w:hAnsi="Garamond"/>
          <w:sz w:val="20"/>
          <w:szCs w:val="20"/>
        </w:rPr>
      </w:pPr>
      <w:r w:rsidRPr="005C5BDA">
        <w:rPr>
          <w:rStyle w:val="FootnoteReference"/>
          <w:rFonts w:ascii="Garamond" w:hAnsi="Garamond"/>
          <w:color w:val="auto"/>
          <w:sz w:val="20"/>
        </w:rPr>
        <w:footnoteRef/>
      </w:r>
      <w:r>
        <w:rPr>
          <w:rFonts w:ascii="Garamond" w:hAnsi="Garamond"/>
          <w:sz w:val="20"/>
          <w:szCs w:val="20"/>
        </w:rPr>
        <w:t xml:space="preserve"> VKM nr. 63, datë 27.</w:t>
      </w:r>
      <w:r w:rsidRPr="005C5BDA">
        <w:rPr>
          <w:rFonts w:ascii="Garamond" w:hAnsi="Garamond"/>
          <w:sz w:val="20"/>
          <w:szCs w:val="20"/>
        </w:rPr>
        <w:t>1.2016</w:t>
      </w:r>
      <w:r>
        <w:rPr>
          <w:rFonts w:ascii="Garamond" w:hAnsi="Garamond"/>
          <w:sz w:val="20"/>
          <w:szCs w:val="20"/>
          <w:lang w:val="en-US"/>
        </w:rPr>
        <w:t>,</w:t>
      </w:r>
      <w:r w:rsidRPr="005C5BDA">
        <w:rPr>
          <w:rFonts w:ascii="Garamond" w:hAnsi="Garamond"/>
          <w:sz w:val="20"/>
          <w:szCs w:val="20"/>
        </w:rPr>
        <w:t xml:space="preserve"> </w:t>
      </w:r>
      <w:r>
        <w:rPr>
          <w:rFonts w:ascii="Garamond" w:hAnsi="Garamond"/>
          <w:sz w:val="20"/>
          <w:szCs w:val="20"/>
          <w:lang w:val="en-US"/>
        </w:rPr>
        <w:t>“</w:t>
      </w:r>
      <w:r w:rsidRPr="005C5BDA">
        <w:rPr>
          <w:rFonts w:ascii="Garamond" w:hAnsi="Garamond"/>
          <w:sz w:val="20"/>
          <w:szCs w:val="20"/>
        </w:rPr>
        <w:t>Për riorganizimin e operatorëve që ofrojnë shërbimin e furnizimit me ujë të pijshëm, grumbullimin, largimin dhe trajtimie  e ujërave të ndotura</w:t>
      </w:r>
      <w:r>
        <w:rPr>
          <w:rFonts w:ascii="Garamond" w:hAnsi="Garamond"/>
          <w:sz w:val="20"/>
          <w:szCs w:val="20"/>
          <w:lang w:val="en-US"/>
        </w:rPr>
        <w:t>”</w:t>
      </w:r>
      <w:r w:rsidRPr="005C5BDA">
        <w:rPr>
          <w:rFonts w:ascii="Garamond" w:hAnsi="Garamond"/>
          <w:sz w:val="20"/>
          <w:szCs w:val="20"/>
        </w:rPr>
        <w:t>.</w:t>
      </w:r>
    </w:p>
  </w:footnote>
  <w:footnote w:id="143">
    <w:p w14:paraId="48679906" w14:textId="1B63304C" w:rsidR="00E14B89" w:rsidRPr="005C5BDA" w:rsidRDefault="00E14B89" w:rsidP="00795B59">
      <w:pPr>
        <w:pStyle w:val="REFERENCAAAAAA"/>
        <w:rPr>
          <w:lang w:val="en-US"/>
        </w:rPr>
      </w:pPr>
      <w:r w:rsidRPr="00795B59">
        <w:rPr>
          <w:rStyle w:val="FootnoteReference"/>
          <w:color w:val="auto"/>
          <w:sz w:val="16"/>
          <w:szCs w:val="16"/>
        </w:rPr>
        <w:footnoteRef/>
      </w:r>
      <w:r w:rsidRPr="00795B59">
        <w:t xml:space="preserve"> Burimi: Strategjia e Financimit të Sektorit të Furnizimit m</w:t>
      </w:r>
      <w:r>
        <w:t>e Ujë dhe Sanitetit në Shqipëri</w:t>
      </w:r>
      <w:r w:rsidRPr="00795B59">
        <w:t xml:space="preserve"> (COWI)</w:t>
      </w:r>
      <w:r>
        <w:rPr>
          <w:lang w:val="en-US"/>
        </w:rPr>
        <w:t>.</w:t>
      </w:r>
    </w:p>
  </w:footnote>
  <w:footnote w:id="144">
    <w:p w14:paraId="49665338" w14:textId="4740A475" w:rsidR="00E14B89" w:rsidRPr="005C5BDA" w:rsidRDefault="00E14B89" w:rsidP="00795B59">
      <w:pPr>
        <w:pStyle w:val="REFERENCAAAAAA"/>
        <w:rPr>
          <w:lang w:val="en-US"/>
        </w:rPr>
      </w:pPr>
      <w:r w:rsidRPr="00795B59">
        <w:rPr>
          <w:rStyle w:val="FootnoteReference"/>
          <w:color w:val="auto"/>
          <w:sz w:val="16"/>
          <w:szCs w:val="16"/>
        </w:rPr>
        <w:footnoteRef/>
      </w:r>
      <w:r w:rsidRPr="00795B59">
        <w:t xml:space="preserve"> Burimi: Agjencia Kombëtare e Furnizimit me Ujë dhe Sanitetit</w:t>
      </w:r>
      <w:r>
        <w:rPr>
          <w:lang w:val="en-US"/>
        </w:rPr>
        <w:t>.</w:t>
      </w:r>
    </w:p>
  </w:footnote>
  <w:footnote w:id="145">
    <w:p w14:paraId="44AA419D" w14:textId="5A5186AA" w:rsidR="00E14B89" w:rsidRPr="005C5BDA" w:rsidRDefault="00E14B89" w:rsidP="007D1BFD">
      <w:pPr>
        <w:pStyle w:val="REFERENCAAAAAA"/>
        <w:rPr>
          <w:szCs w:val="20"/>
          <w:lang w:val="en-US"/>
        </w:rPr>
      </w:pPr>
      <w:r w:rsidRPr="005C5BDA">
        <w:rPr>
          <w:rStyle w:val="FootnoteReference"/>
          <w:rFonts w:ascii="Garamond" w:hAnsi="Garamond"/>
          <w:color w:val="auto"/>
        </w:rPr>
        <w:footnoteRef/>
      </w:r>
      <w:r w:rsidRPr="005C5BDA">
        <w:rPr>
          <w:szCs w:val="20"/>
        </w:rPr>
        <w:t xml:space="preserve">  Burimi:</w:t>
      </w:r>
      <w:r w:rsidRPr="005C5BDA">
        <w:rPr>
          <w:i/>
          <w:szCs w:val="20"/>
        </w:rPr>
        <w:t xml:space="preserve"> </w:t>
      </w:r>
      <w:r w:rsidRPr="005C5BDA">
        <w:rPr>
          <w:szCs w:val="20"/>
        </w:rPr>
        <w:t>Master</w:t>
      </w:r>
      <w:r>
        <w:rPr>
          <w:szCs w:val="20"/>
          <w:lang w:val="en-US"/>
        </w:rPr>
        <w:t>p</w:t>
      </w:r>
      <w:r w:rsidRPr="005C5BDA">
        <w:rPr>
          <w:szCs w:val="20"/>
        </w:rPr>
        <w:t>lani per Furnizimin me Ujë dhe Kanalizimet për Shqiperinë, financuar nga KfW; iC, igr – janar 2013</w:t>
      </w:r>
      <w:r>
        <w:rPr>
          <w:szCs w:val="20"/>
          <w:lang w:val="en-US"/>
        </w:rPr>
        <w:t>.</w:t>
      </w:r>
    </w:p>
  </w:footnote>
  <w:footnote w:id="146">
    <w:p w14:paraId="52A405E4" w14:textId="241EDEAC" w:rsidR="00E14B89" w:rsidRPr="005C5BDA" w:rsidRDefault="00E14B89" w:rsidP="007D1BFD">
      <w:pPr>
        <w:pStyle w:val="REFERENCAAAAAA"/>
        <w:rPr>
          <w:szCs w:val="20"/>
          <w:lang w:val="en-US"/>
        </w:rPr>
      </w:pPr>
      <w:r w:rsidRPr="005C5BDA">
        <w:rPr>
          <w:rStyle w:val="FootnoteReference"/>
          <w:rFonts w:ascii="Garamond" w:hAnsi="Garamond"/>
          <w:color w:val="auto"/>
        </w:rPr>
        <w:footnoteRef/>
      </w:r>
      <w:r w:rsidRPr="005C5BDA">
        <w:rPr>
          <w:szCs w:val="20"/>
        </w:rPr>
        <w:t xml:space="preserve"> Burimi:  Agjencia Kombëtare e Furnizimit me Ujë dhe Sanitetit</w:t>
      </w:r>
      <w:r>
        <w:rPr>
          <w:szCs w:val="20"/>
          <w:lang w:val="en-US"/>
        </w:rPr>
        <w:t>.</w:t>
      </w:r>
    </w:p>
  </w:footnote>
  <w:footnote w:id="147">
    <w:p w14:paraId="7982DE35" w14:textId="4F512F78" w:rsidR="00E14B89" w:rsidRPr="005C5BDA" w:rsidRDefault="00E14B89" w:rsidP="007D1BFD">
      <w:pPr>
        <w:pStyle w:val="REFERENCAAAAAA"/>
        <w:rPr>
          <w:lang w:val="en-US"/>
        </w:rPr>
      </w:pPr>
      <w:r w:rsidRPr="007D1BFD">
        <w:rPr>
          <w:rStyle w:val="FootnoteReference"/>
          <w:color w:val="auto"/>
          <w:sz w:val="16"/>
          <w:szCs w:val="16"/>
        </w:rPr>
        <w:footnoteRef/>
      </w:r>
      <w:r w:rsidRPr="007D1BFD">
        <w:t xml:space="preserve"> Burimi: Ministria e Infrastukturës dhe Energjisë</w:t>
      </w:r>
      <w:r>
        <w:rPr>
          <w:lang w:val="en-US"/>
        </w:rPr>
        <w:t>.</w:t>
      </w:r>
    </w:p>
  </w:footnote>
  <w:footnote w:id="148">
    <w:p w14:paraId="2C93840D" w14:textId="7896F744" w:rsidR="00E14B89" w:rsidRPr="007D1BFD" w:rsidRDefault="00E14B89" w:rsidP="007D1BFD">
      <w:pPr>
        <w:pStyle w:val="REFERENCAAAAAA"/>
        <w:rPr>
          <w:lang w:val="de-DE"/>
        </w:rPr>
      </w:pPr>
      <w:r w:rsidRPr="007D1BFD">
        <w:rPr>
          <w:rStyle w:val="FootnoteReference"/>
          <w:color w:val="auto"/>
          <w:sz w:val="16"/>
          <w:szCs w:val="16"/>
        </w:rPr>
        <w:footnoteRef/>
      </w:r>
      <w:r w:rsidRPr="007D1BFD">
        <w:rPr>
          <w:lang w:val="de-DE"/>
        </w:rPr>
        <w:t xml:space="preserve"> Burimi: Ministria e Infrastukturës dhe Energjisë</w:t>
      </w:r>
      <w:r>
        <w:rPr>
          <w:lang w:val="de-DE"/>
        </w:rPr>
        <w:t>.</w:t>
      </w:r>
    </w:p>
  </w:footnote>
  <w:footnote w:id="149">
    <w:p w14:paraId="323DB6AC" w14:textId="5298E264" w:rsidR="00E14B89" w:rsidRPr="007D1BFD" w:rsidRDefault="00E14B89" w:rsidP="007D1BFD">
      <w:pPr>
        <w:pStyle w:val="REFERENCAAAAAA"/>
        <w:rPr>
          <w:lang w:val="de-DE"/>
        </w:rPr>
      </w:pPr>
      <w:r w:rsidRPr="007D1BFD">
        <w:rPr>
          <w:rStyle w:val="FootnoteReference"/>
          <w:color w:val="auto"/>
          <w:sz w:val="16"/>
          <w:szCs w:val="16"/>
        </w:rPr>
        <w:footnoteRef/>
      </w:r>
      <w:r w:rsidRPr="007D1BFD">
        <w:rPr>
          <w:rFonts w:cs="Arial"/>
          <w:lang w:val="de-DE"/>
        </w:rPr>
        <w:t xml:space="preserve"> Për planifikimin e investimeve në sektorin e furnizimit me ujë dhe kanalizime, COWI 2016</w:t>
      </w:r>
      <w:r>
        <w:rPr>
          <w:rFonts w:cs="Arial"/>
          <w:lang w:val="de-DE"/>
        </w:rPr>
        <w:t>.</w:t>
      </w:r>
    </w:p>
  </w:footnote>
  <w:footnote w:id="150">
    <w:p w14:paraId="0495B70F" w14:textId="6B3985EA" w:rsidR="00E14B89" w:rsidRPr="005C5BDA" w:rsidRDefault="00E14B89" w:rsidP="007D1BFD">
      <w:pPr>
        <w:pStyle w:val="REFERENCAAAAAA"/>
        <w:rPr>
          <w:lang w:val="en-US"/>
        </w:rPr>
      </w:pPr>
      <w:r w:rsidRPr="007D1BFD">
        <w:rPr>
          <w:rStyle w:val="FootnoteReference"/>
          <w:color w:val="auto"/>
          <w:sz w:val="16"/>
          <w:szCs w:val="16"/>
        </w:rPr>
        <w:footnoteRef/>
      </w:r>
      <w:r w:rsidRPr="007D1BFD">
        <w:t xml:space="preserve"> Burimi: (ERRU) Repo</w:t>
      </w:r>
      <w:r>
        <w:rPr>
          <w:lang w:val="en-US"/>
        </w:rPr>
        <w:t>r</w:t>
      </w:r>
      <w:r w:rsidRPr="007D1BFD">
        <w:t>t 2016</w:t>
      </w:r>
      <w:r>
        <w:rPr>
          <w:lang w:val="en-US"/>
        </w:rPr>
        <w:t>.</w:t>
      </w:r>
    </w:p>
  </w:footnote>
  <w:footnote w:id="151">
    <w:p w14:paraId="7E9C745E" w14:textId="18D34D62" w:rsidR="00E14B89" w:rsidRPr="005C5BDA" w:rsidRDefault="00E14B89" w:rsidP="007D1BFD">
      <w:pPr>
        <w:pStyle w:val="REFERENCAAAAAA"/>
        <w:rPr>
          <w:szCs w:val="20"/>
          <w:lang w:val="en-US"/>
        </w:rPr>
      </w:pPr>
      <w:r w:rsidRPr="005C5BDA">
        <w:rPr>
          <w:rStyle w:val="FootnoteReference"/>
          <w:rFonts w:ascii="Garamond" w:hAnsi="Garamond"/>
          <w:color w:val="auto"/>
        </w:rPr>
        <w:footnoteRef/>
      </w:r>
      <w:r w:rsidRPr="005C5BDA">
        <w:rPr>
          <w:szCs w:val="20"/>
        </w:rPr>
        <w:t xml:space="preserve">  IC Consultant, 2013</w:t>
      </w:r>
      <w:r>
        <w:rPr>
          <w:szCs w:val="20"/>
          <w:lang w:val="en-US"/>
        </w:rPr>
        <w:t>.</w:t>
      </w:r>
    </w:p>
  </w:footnote>
  <w:footnote w:id="152">
    <w:p w14:paraId="532923A6" w14:textId="30FC7A72" w:rsidR="00E14B89" w:rsidRPr="001F5F82" w:rsidRDefault="00E14B89" w:rsidP="00A90A14">
      <w:pPr>
        <w:pStyle w:val="REFERENCAAAAAA"/>
        <w:rPr>
          <w:szCs w:val="20"/>
        </w:rPr>
      </w:pPr>
      <w:r w:rsidRPr="001F5F82">
        <w:rPr>
          <w:szCs w:val="20"/>
          <w:vertAlign w:val="superscript"/>
        </w:rPr>
        <w:footnoteRef/>
      </w:r>
      <w:r w:rsidRPr="001F5F82">
        <w:rPr>
          <w:szCs w:val="20"/>
        </w:rPr>
        <w:t xml:space="preserve"> Burimi: Mbështetje për ZKM</w:t>
      </w:r>
      <w:r>
        <w:rPr>
          <w:szCs w:val="20"/>
          <w:lang w:val="en-US"/>
        </w:rPr>
        <w:t>-në</w:t>
      </w:r>
      <w:r w:rsidRPr="001F5F82">
        <w:rPr>
          <w:szCs w:val="20"/>
        </w:rPr>
        <w:t xml:space="preserve"> në krijimin e një qasjeje të integruar dhe mekanizmave efektiv të SWG për koordinimin, zbatimin dhe monitorimin e reformave në Raportin e sektorit të ujërave, (MOG).</w:t>
      </w:r>
    </w:p>
  </w:footnote>
  <w:footnote w:id="153">
    <w:p w14:paraId="6C49678D" w14:textId="5A92784E" w:rsidR="00E14B89" w:rsidRPr="005B1936" w:rsidRDefault="00E14B89" w:rsidP="00A90A14">
      <w:pPr>
        <w:pStyle w:val="REFERENCAAAAAA"/>
        <w:rPr>
          <w:szCs w:val="20"/>
          <w:lang w:val="en-US"/>
        </w:rPr>
      </w:pPr>
      <w:r w:rsidRPr="001F5F82">
        <w:rPr>
          <w:rStyle w:val="FootnoteReference"/>
          <w:rFonts w:ascii="Garamond" w:hAnsi="Garamond"/>
          <w:color w:val="auto"/>
        </w:rPr>
        <w:footnoteRef/>
      </w:r>
      <w:r w:rsidRPr="001F5F82">
        <w:rPr>
          <w:szCs w:val="20"/>
          <w:lang w:val="en-US"/>
        </w:rPr>
        <w:t xml:space="preserve"> </w:t>
      </w:r>
      <w:r w:rsidRPr="001F5F82">
        <w:rPr>
          <w:szCs w:val="20"/>
        </w:rPr>
        <w:t>Burimi: Master Plani per Furnizimin me Ujë dhe Kanalizimet per Shqiperine, financuar nga KfW; iC, igr – Janar 2013</w:t>
      </w:r>
      <w:r>
        <w:rPr>
          <w:szCs w:val="20"/>
          <w:lang w:val="en-US"/>
        </w:rPr>
        <w:t>.</w:t>
      </w:r>
    </w:p>
  </w:footnote>
  <w:footnote w:id="154">
    <w:p w14:paraId="57167AAA" w14:textId="2E9D3014" w:rsidR="00E14B89" w:rsidRPr="005B1936" w:rsidRDefault="00E14B89" w:rsidP="00191CE3">
      <w:pPr>
        <w:pStyle w:val="REFERENCAAAAAA"/>
        <w:rPr>
          <w:lang w:val="en-US"/>
        </w:rPr>
      </w:pPr>
      <w:r w:rsidRPr="005B1936">
        <w:rPr>
          <w:rStyle w:val="FootnoteReference"/>
          <w:rFonts w:ascii="Garamond" w:hAnsi="Garamond"/>
          <w:color w:val="auto"/>
        </w:rPr>
        <w:footnoteRef/>
      </w:r>
      <w:r w:rsidRPr="005B1936">
        <w:rPr>
          <w:lang w:val="en-US"/>
        </w:rPr>
        <w:t xml:space="preserve"> </w:t>
      </w:r>
      <w:r w:rsidRPr="005B1936">
        <w:t>Burimi:</w:t>
      </w:r>
      <w:r w:rsidRPr="005B1936">
        <w:rPr>
          <w:i/>
        </w:rPr>
        <w:t xml:space="preserve"> </w:t>
      </w:r>
      <w:r w:rsidRPr="005B1936">
        <w:t>Master</w:t>
      </w:r>
      <w:r>
        <w:rPr>
          <w:lang w:val="en-US"/>
        </w:rPr>
        <w:t>p</w:t>
      </w:r>
      <w:r w:rsidRPr="005B1936">
        <w:t>lani per Furnizimin me Ujë dhe Kanalizimet per Shqip</w:t>
      </w:r>
      <w:r>
        <w:rPr>
          <w:lang w:val="en-US"/>
        </w:rPr>
        <w:t>ë</w:t>
      </w:r>
      <w:r w:rsidRPr="005B1936">
        <w:t>rin</w:t>
      </w:r>
      <w:r>
        <w:rPr>
          <w:lang w:val="en-US"/>
        </w:rPr>
        <w:t>ë</w:t>
      </w:r>
      <w:r w:rsidRPr="005B1936">
        <w:t>, financuar nga KfW; iC, igr – Janar 2013</w:t>
      </w:r>
      <w:r w:rsidRPr="005B1936">
        <w:rPr>
          <w:lang w:val="en-US"/>
        </w:rPr>
        <w:t>.</w:t>
      </w:r>
    </w:p>
  </w:footnote>
  <w:footnote w:id="155">
    <w:p w14:paraId="146CC213" w14:textId="6205E801" w:rsidR="00E14B89" w:rsidRPr="005B1936" w:rsidRDefault="00E14B89" w:rsidP="00191CE3">
      <w:pPr>
        <w:pStyle w:val="REFERENCAAAAAA"/>
        <w:rPr>
          <w:lang w:val="sq-AL"/>
        </w:rPr>
      </w:pPr>
      <w:r w:rsidRPr="005B1936">
        <w:rPr>
          <w:rStyle w:val="FootnoteReference"/>
          <w:rFonts w:ascii="Garamond" w:hAnsi="Garamond"/>
          <w:color w:val="auto"/>
          <w:sz w:val="16"/>
          <w:szCs w:val="16"/>
        </w:rPr>
        <w:footnoteRef/>
      </w:r>
      <w:r w:rsidRPr="005B1936">
        <w:t xml:space="preserve">   INSTAT, 2013. Tregu Shqiptar i Punës, Tiran</w:t>
      </w:r>
      <w:r w:rsidRPr="005B1936">
        <w:rPr>
          <w:lang w:val="sq-AL"/>
        </w:rPr>
        <w:t>ë.</w:t>
      </w:r>
    </w:p>
  </w:footnote>
  <w:footnote w:id="156">
    <w:p w14:paraId="2B5DFF1D" w14:textId="08634DDB" w:rsidR="00E14B89" w:rsidRPr="005B1936" w:rsidRDefault="00E14B89" w:rsidP="00E03C35">
      <w:pPr>
        <w:pStyle w:val="REFERENCAAAAAA"/>
        <w:rPr>
          <w:lang w:val="en-US"/>
        </w:rPr>
      </w:pPr>
      <w:r w:rsidRPr="00E03C35">
        <w:rPr>
          <w:rStyle w:val="FootnoteReference"/>
          <w:color w:val="auto"/>
        </w:rPr>
        <w:footnoteRef/>
      </w:r>
      <w:r>
        <w:rPr>
          <w:lang w:val="en-US"/>
        </w:rPr>
        <w:t xml:space="preserve"> </w:t>
      </w:r>
      <w:r w:rsidRPr="00E03C35">
        <w:t>Burimi:</w:t>
      </w:r>
      <w:r>
        <w:rPr>
          <w:lang w:val="en-US"/>
        </w:rPr>
        <w:t xml:space="preserve"> </w:t>
      </w:r>
      <w:r w:rsidRPr="00E03C35">
        <w:t>Ministria përgjegjëse për vaditjen dhe kullimin</w:t>
      </w:r>
      <w:r>
        <w:rPr>
          <w:lang w:val="en-US"/>
        </w:rPr>
        <w:t>.</w:t>
      </w:r>
    </w:p>
  </w:footnote>
  <w:footnote w:id="157">
    <w:p w14:paraId="238E154E" w14:textId="35A0659C" w:rsidR="00E14B89" w:rsidRPr="005B1936" w:rsidRDefault="00E14B89" w:rsidP="00D26EC6">
      <w:pPr>
        <w:pStyle w:val="REFERENCAAAAAA"/>
        <w:rPr>
          <w:lang w:val="en-US"/>
        </w:rPr>
      </w:pPr>
      <w:r w:rsidRPr="00D26EC6">
        <w:rPr>
          <w:rStyle w:val="FootnoteReference"/>
          <w:color w:val="auto"/>
        </w:rPr>
        <w:footnoteRef/>
      </w:r>
      <w:r w:rsidRPr="00D26EC6">
        <w:t xml:space="preserve"> Burimi:</w:t>
      </w:r>
      <w:r>
        <w:rPr>
          <w:lang w:val="en-US"/>
        </w:rPr>
        <w:t xml:space="preserve"> </w:t>
      </w:r>
      <w:r w:rsidRPr="00D26EC6">
        <w:t>Ministria përgjegjëse për vaditjen dhe kullimin</w:t>
      </w:r>
      <w:r>
        <w:rPr>
          <w:lang w:val="en-US"/>
        </w:rPr>
        <w:t>.</w:t>
      </w:r>
    </w:p>
  </w:footnote>
  <w:footnote w:id="158">
    <w:p w14:paraId="0FCEAE73" w14:textId="7182AC5D" w:rsidR="00E14B89" w:rsidRPr="005B1936" w:rsidRDefault="00E14B89" w:rsidP="00D26EC6">
      <w:pPr>
        <w:pStyle w:val="REFERENCAAAAAA"/>
        <w:rPr>
          <w:rFonts w:cs="Arial"/>
          <w:lang w:val="en-US"/>
        </w:rPr>
      </w:pPr>
      <w:r w:rsidRPr="00D26EC6">
        <w:rPr>
          <w:rStyle w:val="FootnoteReference"/>
          <w:rFonts w:cs="Arial"/>
          <w:color w:val="auto"/>
          <w:sz w:val="16"/>
          <w:szCs w:val="16"/>
        </w:rPr>
        <w:footnoteRef/>
      </w:r>
      <w:r>
        <w:rPr>
          <w:rFonts w:eastAsia="Calibri" w:cs="Arial"/>
          <w:lang w:val="en-US"/>
        </w:rPr>
        <w:t xml:space="preserve"> </w:t>
      </w:r>
      <w:r w:rsidRPr="00D26EC6">
        <w:rPr>
          <w:rFonts w:eastAsia="Calibri" w:cs="Arial"/>
        </w:rPr>
        <w:t>Burimi: Ministria përgjegjëse për vaditjen dhe kullimin</w:t>
      </w:r>
      <w:r>
        <w:rPr>
          <w:rFonts w:eastAsia="Calibri" w:cs="Arial"/>
          <w:lang w:val="en-US"/>
        </w:rPr>
        <w:t>.</w:t>
      </w:r>
    </w:p>
  </w:footnote>
  <w:footnote w:id="159">
    <w:p w14:paraId="070728C7" w14:textId="1A69F27D" w:rsidR="00E14B89" w:rsidRPr="00D26EC6" w:rsidRDefault="00E14B89" w:rsidP="00D26EC6">
      <w:pPr>
        <w:pStyle w:val="REFERENCAAAAAA"/>
      </w:pPr>
      <w:r w:rsidRPr="00D26EC6">
        <w:rPr>
          <w:rStyle w:val="FootnoteReference"/>
          <w:color w:val="auto"/>
        </w:rPr>
        <w:footnoteRef/>
      </w:r>
      <w:r>
        <w:rPr>
          <w:lang w:val="en-US"/>
        </w:rPr>
        <w:t xml:space="preserve"> </w:t>
      </w:r>
      <w:r w:rsidRPr="00D26EC6">
        <w:t>Burimi:</w:t>
      </w:r>
      <w:r>
        <w:rPr>
          <w:lang w:val="en-US"/>
        </w:rPr>
        <w:t xml:space="preserve"> </w:t>
      </w:r>
      <w:r w:rsidRPr="00D26EC6">
        <w:t>Ministria e Bujqësisë dhe Zhvillimit Rural</w:t>
      </w:r>
      <w:r>
        <w:rPr>
          <w:lang w:val="en-US"/>
        </w:rPr>
        <w:t>.</w:t>
      </w:r>
      <w:r w:rsidRPr="00D26EC6">
        <w:t xml:space="preserve"> </w:t>
      </w:r>
    </w:p>
  </w:footnote>
  <w:footnote w:id="160">
    <w:p w14:paraId="705E3AC4" w14:textId="2F2E3311" w:rsidR="00E14B89" w:rsidRPr="00D26EC6" w:rsidRDefault="00E14B89" w:rsidP="00D26EC6">
      <w:pPr>
        <w:pStyle w:val="REFERENCAAAAAA"/>
        <w:rPr>
          <w:lang w:val="sq-AL"/>
        </w:rPr>
      </w:pPr>
      <w:r w:rsidRPr="00D26EC6">
        <w:rPr>
          <w:rStyle w:val="FootnoteReference"/>
          <w:color w:val="auto"/>
        </w:rPr>
        <w:footnoteRef/>
      </w:r>
      <w:r>
        <w:rPr>
          <w:lang w:val="sq-AL"/>
        </w:rPr>
        <w:t xml:space="preserve"> </w:t>
      </w:r>
      <w:r w:rsidRPr="00D26EC6">
        <w:rPr>
          <w:lang w:val="sq-AL"/>
        </w:rPr>
        <w:t>MBZHR (2015), Draft</w:t>
      </w:r>
      <w:r>
        <w:rPr>
          <w:lang w:val="sq-AL"/>
        </w:rPr>
        <w:t>s</w:t>
      </w:r>
      <w:r w:rsidRPr="00D26EC6">
        <w:rPr>
          <w:lang w:val="sq-AL"/>
        </w:rPr>
        <w:t>trategjia për ujitjen, kullimin, sigurinë e digave dhe mbrojtja nga përmbytjet në Shqipëri</w:t>
      </w:r>
      <w:r>
        <w:rPr>
          <w:lang w:val="sq-AL"/>
        </w:rPr>
        <w:t>.</w:t>
      </w:r>
    </w:p>
  </w:footnote>
  <w:footnote w:id="161">
    <w:p w14:paraId="6A017766" w14:textId="1F98E834" w:rsidR="00E14B89" w:rsidRPr="00671A2E" w:rsidRDefault="00E14B89" w:rsidP="00D26EC6">
      <w:pPr>
        <w:pStyle w:val="REFERENCAAAAAA"/>
        <w:rPr>
          <w:lang w:val="en-US"/>
        </w:rPr>
      </w:pPr>
      <w:r w:rsidRPr="00D26EC6">
        <w:rPr>
          <w:rStyle w:val="FootnoteReference"/>
          <w:color w:val="auto"/>
        </w:rPr>
        <w:footnoteRef/>
      </w:r>
      <w:r>
        <w:rPr>
          <w:lang w:val="en-US"/>
        </w:rPr>
        <w:t xml:space="preserve"> </w:t>
      </w:r>
      <w:r w:rsidRPr="00D26EC6">
        <w:t>Burimi: Ministria e Bujqësisë dhe Zhvillimit Rural</w:t>
      </w:r>
      <w:r>
        <w:rPr>
          <w:lang w:val="en-US"/>
        </w:rPr>
        <w:t>.</w:t>
      </w:r>
    </w:p>
  </w:footnote>
  <w:footnote w:id="162">
    <w:p w14:paraId="554E6A2E" w14:textId="4810E490" w:rsidR="00E14B89" w:rsidRPr="00671A2E" w:rsidRDefault="00E14B89" w:rsidP="00D26EC6">
      <w:pPr>
        <w:pStyle w:val="REFERENCAAAAAA"/>
        <w:rPr>
          <w:lang w:val="en-US"/>
        </w:rPr>
      </w:pPr>
      <w:r>
        <w:rPr>
          <w:lang w:val="en-US"/>
        </w:rPr>
        <w:t xml:space="preserve"> </w:t>
      </w:r>
      <w:r w:rsidRPr="00D26EC6">
        <w:rPr>
          <w:rStyle w:val="FootnoteReference"/>
          <w:color w:val="auto"/>
        </w:rPr>
        <w:footnoteRef/>
      </w:r>
      <w:r w:rsidRPr="00D26EC6">
        <w:t>Burimi: Ministria e Bujqësisë dhe Zhvillimit Rural</w:t>
      </w:r>
      <w:r>
        <w:rPr>
          <w:lang w:val="en-US"/>
        </w:rPr>
        <w:t>.</w:t>
      </w:r>
    </w:p>
  </w:footnote>
  <w:footnote w:id="163">
    <w:p w14:paraId="3C4C56A8" w14:textId="1F9C8A16" w:rsidR="00E14B89" w:rsidRPr="00671A2E" w:rsidRDefault="00E14B89" w:rsidP="00D26EC6">
      <w:pPr>
        <w:pStyle w:val="FootnoteText"/>
        <w:rPr>
          <w:rFonts w:ascii="Garamond" w:hAnsi="Garamond"/>
          <w:sz w:val="20"/>
          <w:szCs w:val="20"/>
          <w:lang w:val="en-US"/>
        </w:rPr>
      </w:pPr>
      <w:r w:rsidRPr="00671A2E">
        <w:rPr>
          <w:rStyle w:val="FootnoteReference"/>
          <w:rFonts w:ascii="Garamond" w:hAnsi="Garamond"/>
          <w:color w:val="auto"/>
          <w:sz w:val="20"/>
        </w:rPr>
        <w:footnoteRef/>
      </w:r>
      <w:r w:rsidRPr="00671A2E">
        <w:rPr>
          <w:rFonts w:ascii="Garamond" w:hAnsi="Garamond"/>
          <w:sz w:val="20"/>
          <w:szCs w:val="20"/>
        </w:rPr>
        <w:tab/>
        <w:t>Burimi: Ministria e Bujqësisë dhe Zhvillimit Rural</w:t>
      </w:r>
      <w:r>
        <w:rPr>
          <w:rFonts w:ascii="Garamond" w:hAnsi="Garamond"/>
          <w:sz w:val="20"/>
          <w:szCs w:val="20"/>
          <w:lang w:val="en-US"/>
        </w:rPr>
        <w:t>.</w:t>
      </w:r>
    </w:p>
  </w:footnote>
  <w:footnote w:id="164">
    <w:p w14:paraId="57A52CBE" w14:textId="2D24E124" w:rsidR="00E14B89" w:rsidRPr="00671A2E" w:rsidRDefault="00E14B89" w:rsidP="00D26EC6">
      <w:pPr>
        <w:pStyle w:val="FootnoteText"/>
        <w:rPr>
          <w:rFonts w:ascii="Garamond" w:hAnsi="Garamond"/>
          <w:sz w:val="20"/>
          <w:szCs w:val="20"/>
          <w:lang w:val="en-US"/>
        </w:rPr>
      </w:pPr>
      <w:r w:rsidRPr="00671A2E">
        <w:rPr>
          <w:rStyle w:val="FootnoteReference"/>
          <w:rFonts w:ascii="Garamond" w:hAnsi="Garamond"/>
          <w:color w:val="auto"/>
          <w:sz w:val="20"/>
        </w:rPr>
        <w:footnoteRef/>
      </w:r>
      <w:r w:rsidRPr="00671A2E">
        <w:rPr>
          <w:rFonts w:ascii="Garamond" w:hAnsi="Garamond"/>
          <w:sz w:val="20"/>
          <w:szCs w:val="20"/>
          <w:lang w:val="en-US"/>
        </w:rPr>
        <w:t xml:space="preserve"> </w:t>
      </w:r>
      <w:r w:rsidRPr="00671A2E">
        <w:rPr>
          <w:rFonts w:ascii="Garamond" w:hAnsi="Garamond"/>
          <w:sz w:val="20"/>
          <w:szCs w:val="20"/>
        </w:rPr>
        <w:t>Burimi:</w:t>
      </w:r>
      <w:r>
        <w:rPr>
          <w:rFonts w:ascii="Garamond" w:hAnsi="Garamond"/>
          <w:sz w:val="20"/>
          <w:szCs w:val="20"/>
          <w:lang w:val="en-US"/>
        </w:rPr>
        <w:t xml:space="preserve"> </w:t>
      </w:r>
      <w:r w:rsidRPr="00671A2E">
        <w:rPr>
          <w:rFonts w:ascii="Garamond" w:hAnsi="Garamond"/>
          <w:sz w:val="20"/>
          <w:szCs w:val="20"/>
        </w:rPr>
        <w:t>Ministria e Bujqësisë dhe Zhvillimit Rural</w:t>
      </w:r>
      <w:r>
        <w:rPr>
          <w:rFonts w:ascii="Garamond" w:hAnsi="Garamond"/>
          <w:sz w:val="20"/>
          <w:szCs w:val="20"/>
          <w:lang w:val="en-US"/>
        </w:rPr>
        <w:t>.</w:t>
      </w:r>
    </w:p>
  </w:footnote>
  <w:footnote w:id="165">
    <w:p w14:paraId="3340122C" w14:textId="543C7128" w:rsidR="00E14B89" w:rsidRPr="00671A2E" w:rsidRDefault="00E14B89" w:rsidP="00BB44DB">
      <w:pPr>
        <w:pStyle w:val="REFERENCAAAAAA"/>
        <w:rPr>
          <w:lang w:val="en-US"/>
        </w:rPr>
      </w:pPr>
      <w:r w:rsidRPr="00BB44DB">
        <w:rPr>
          <w:rStyle w:val="FootnoteReference"/>
          <w:color w:val="auto"/>
          <w:sz w:val="16"/>
          <w:szCs w:val="16"/>
        </w:rPr>
        <w:footnoteRef/>
      </w:r>
      <w:r>
        <w:rPr>
          <w:lang w:val="en-US"/>
        </w:rPr>
        <w:t xml:space="preserve"> </w:t>
      </w:r>
      <w:r w:rsidRPr="00BB44DB">
        <w:t>Burimi:</w:t>
      </w:r>
      <w:r>
        <w:rPr>
          <w:lang w:val="en-US"/>
        </w:rPr>
        <w:t xml:space="preserve"> </w:t>
      </w:r>
      <w:r w:rsidRPr="00BB44DB">
        <w:t>Ministria e Bujqësisë dhe Zhvillimit Rural</w:t>
      </w:r>
      <w:r>
        <w:rPr>
          <w:lang w:val="en-US"/>
        </w:rPr>
        <w:t>.</w:t>
      </w:r>
    </w:p>
  </w:footnote>
  <w:footnote w:id="166">
    <w:p w14:paraId="3C05EABE" w14:textId="2DCDED17" w:rsidR="00E14B89" w:rsidRPr="003D30DA" w:rsidRDefault="00E14B89" w:rsidP="003D30DA">
      <w:pPr>
        <w:pStyle w:val="REFERENCAAAAAA"/>
        <w:rPr>
          <w:szCs w:val="20"/>
        </w:rPr>
      </w:pPr>
      <w:r w:rsidRPr="003D30DA">
        <w:rPr>
          <w:rStyle w:val="FootnoteReference"/>
          <w:rFonts w:ascii="Garamond" w:hAnsi="Garamond"/>
          <w:color w:val="auto"/>
        </w:rPr>
        <w:footnoteRef/>
      </w:r>
      <w:r w:rsidRPr="003D30DA">
        <w:rPr>
          <w:szCs w:val="20"/>
        </w:rPr>
        <w:t xml:space="preserve"> Burimi: Ministria e Bujqësisë dhe Zhvillimit Rural</w:t>
      </w:r>
      <w:r>
        <w:rPr>
          <w:szCs w:val="20"/>
          <w:lang w:val="en-US"/>
        </w:rPr>
        <w:t>.</w:t>
      </w:r>
      <w:r w:rsidRPr="003D30DA">
        <w:rPr>
          <w:szCs w:val="20"/>
        </w:rPr>
        <w:t xml:space="preserve"> </w:t>
      </w:r>
    </w:p>
  </w:footnote>
  <w:footnote w:id="167">
    <w:p w14:paraId="4A0B3CCF" w14:textId="5305AE2C" w:rsidR="00E14B89" w:rsidRPr="003D30DA" w:rsidRDefault="00E14B89" w:rsidP="003D30DA">
      <w:pPr>
        <w:pStyle w:val="REFERENCAAAAAA"/>
        <w:rPr>
          <w:szCs w:val="20"/>
        </w:rPr>
      </w:pPr>
      <w:r w:rsidRPr="003D30DA">
        <w:rPr>
          <w:rStyle w:val="FootnoteReference"/>
          <w:rFonts w:ascii="Garamond" w:hAnsi="Garamond"/>
          <w:color w:val="auto"/>
        </w:rPr>
        <w:footnoteRef/>
      </w:r>
      <w:r w:rsidRPr="003D30DA">
        <w:rPr>
          <w:szCs w:val="20"/>
          <w:lang w:val="sq-AL"/>
        </w:rPr>
        <w:t xml:space="preserve"> Banka Botërore, 2009</w:t>
      </w:r>
      <w:r>
        <w:rPr>
          <w:szCs w:val="20"/>
          <w:lang w:val="sq-AL"/>
        </w:rPr>
        <w:t>,</w:t>
      </w:r>
      <w:r w:rsidRPr="003D30DA">
        <w:rPr>
          <w:szCs w:val="20"/>
          <w:lang w:val="sq-AL"/>
        </w:rPr>
        <w:t xml:space="preserve"> Shkresë e diskutimeve të Bordit të Sektorit të Ujit Nr. 12: “Vlerësimi Mjedisor Strategjik: Përmirësimi iBurimeve Ujor, Qeverisja dhe Vendimmarrja, Washington</w:t>
      </w:r>
      <w:r>
        <w:rPr>
          <w:szCs w:val="20"/>
          <w:lang w:val="sq-AL"/>
        </w:rPr>
        <w:t>.</w:t>
      </w:r>
    </w:p>
  </w:footnote>
  <w:footnote w:id="168">
    <w:p w14:paraId="2C28BD79" w14:textId="06ACE140" w:rsidR="00E14B89" w:rsidRPr="003D30DA" w:rsidRDefault="00E14B89" w:rsidP="003D30DA">
      <w:pPr>
        <w:pStyle w:val="REFERENCAAAAAA"/>
        <w:rPr>
          <w:szCs w:val="20"/>
        </w:rPr>
      </w:pPr>
      <w:r w:rsidRPr="003D30DA">
        <w:rPr>
          <w:rStyle w:val="FootnoteReference"/>
          <w:rFonts w:ascii="Garamond" w:hAnsi="Garamond"/>
          <w:color w:val="auto"/>
        </w:rPr>
        <w:footnoteRef/>
      </w:r>
      <w:r w:rsidRPr="003D30DA">
        <w:rPr>
          <w:szCs w:val="20"/>
          <w:lang w:val="sq-AL"/>
        </w:rPr>
        <w:t xml:space="preserve"> KFN,</w:t>
      </w:r>
      <w:r w:rsidRPr="003D30DA">
        <w:rPr>
          <w:szCs w:val="20"/>
          <w:lang w:val="it-IT"/>
        </w:rPr>
        <w:t xml:space="preserve"> 2013</w:t>
      </w:r>
      <w:r w:rsidRPr="003D30DA">
        <w:rPr>
          <w:szCs w:val="20"/>
          <w:lang w:val="sq-AL"/>
        </w:rPr>
        <w:t>,</w:t>
      </w:r>
      <w:r w:rsidRPr="003D30DA">
        <w:rPr>
          <w:szCs w:val="20"/>
          <w:lang w:val="it-IT"/>
        </w:rPr>
        <w:t xml:space="preserve"> Historiku i Partneriteteve Private-Publike në Shqipëri Privatizimi i hidrocentraleve</w:t>
      </w:r>
    </w:p>
  </w:footnote>
  <w:footnote w:id="169">
    <w:p w14:paraId="31F9907E" w14:textId="4D637933" w:rsidR="00E14B89" w:rsidRPr="000E77B3" w:rsidRDefault="00E14B89" w:rsidP="003D30DA">
      <w:pPr>
        <w:pStyle w:val="REFERENCAAAAAA"/>
        <w:rPr>
          <w:rFonts w:cs="Arial"/>
          <w:sz w:val="16"/>
          <w:szCs w:val="16"/>
          <w:lang w:val="de-DE"/>
        </w:rPr>
      </w:pPr>
      <w:r w:rsidRPr="003D30DA">
        <w:rPr>
          <w:rStyle w:val="FootnoteReference"/>
          <w:rFonts w:ascii="Garamond" w:hAnsi="Garamond"/>
          <w:color w:val="auto"/>
        </w:rPr>
        <w:footnoteRef/>
      </w:r>
      <w:r w:rsidRPr="003D30DA">
        <w:rPr>
          <w:szCs w:val="20"/>
          <w:lang w:val="de-DE"/>
        </w:rPr>
        <w:t xml:space="preserve">  Agjencia Kombëtare e Burimeve Natyrore </w:t>
      </w:r>
      <w:r>
        <w:rPr>
          <w:szCs w:val="20"/>
          <w:lang w:val="de-DE"/>
        </w:rPr>
        <w:t>–</w:t>
      </w:r>
      <w:r w:rsidRPr="003D30DA">
        <w:rPr>
          <w:szCs w:val="20"/>
          <w:lang w:val="de-DE"/>
        </w:rPr>
        <w:t xml:space="preserve"> AKBN</w:t>
      </w:r>
      <w:r>
        <w:rPr>
          <w:szCs w:val="20"/>
          <w:lang w:val="de-DE"/>
        </w:rPr>
        <w:t>.</w:t>
      </w:r>
    </w:p>
  </w:footnote>
  <w:footnote w:id="170">
    <w:p w14:paraId="622E3D3B" w14:textId="74B2F12C" w:rsidR="00E14B89" w:rsidRPr="00671A2E" w:rsidRDefault="00E14B89" w:rsidP="00B37193">
      <w:pPr>
        <w:pStyle w:val="REFERENCAAAAAA"/>
        <w:rPr>
          <w:lang w:val="en-US"/>
        </w:rPr>
      </w:pPr>
      <w:r w:rsidRPr="00B37193">
        <w:rPr>
          <w:rStyle w:val="FootnoteReference"/>
          <w:color w:val="000000" w:themeColor="text1"/>
          <w:sz w:val="16"/>
          <w:szCs w:val="16"/>
        </w:rPr>
        <w:footnoteRef/>
      </w:r>
      <w:r>
        <w:rPr>
          <w:color w:val="000000" w:themeColor="text1"/>
          <w:lang w:val="en-US"/>
        </w:rPr>
        <w:t xml:space="preserve"> </w:t>
      </w:r>
      <w:r w:rsidRPr="00B37193">
        <w:rPr>
          <w:color w:val="000000" w:themeColor="text1"/>
        </w:rPr>
        <w:t>Burimi: Agjencia Kombëtare e Burimeve Natyrore</w:t>
      </w:r>
      <w:r>
        <w:rPr>
          <w:color w:val="000000" w:themeColor="text1"/>
          <w:lang w:val="en-US"/>
        </w:rPr>
        <w:t>.</w:t>
      </w:r>
    </w:p>
  </w:footnote>
  <w:footnote w:id="171">
    <w:p w14:paraId="22EFF014" w14:textId="77777777" w:rsidR="00E14B89" w:rsidRPr="006C4809" w:rsidRDefault="00E14B89" w:rsidP="006C4809">
      <w:pPr>
        <w:pStyle w:val="REFERENCAAAAAA"/>
        <w:rPr>
          <w:color w:val="000000" w:themeColor="text1"/>
          <w:highlight w:val="yellow"/>
        </w:rPr>
      </w:pPr>
      <w:r w:rsidRPr="006C4809">
        <w:rPr>
          <w:rStyle w:val="FootnoteReference"/>
          <w:color w:val="000000" w:themeColor="text1"/>
          <w:sz w:val="16"/>
          <w:szCs w:val="16"/>
        </w:rPr>
        <w:footnoteRef/>
      </w:r>
      <w:r w:rsidRPr="006C4809">
        <w:rPr>
          <w:color w:val="000000" w:themeColor="text1"/>
        </w:rPr>
        <w:t xml:space="preserve"> Mbledhja historike e të dhënave të humbjeve nga fatkeqësitë në Shqipëri. E. Toto &amp; M Massabò, Fondacioni i Kërkimeve CIMA.</w:t>
      </w:r>
    </w:p>
  </w:footnote>
  <w:footnote w:id="172">
    <w:p w14:paraId="69D9FB77" w14:textId="0FDB1D66" w:rsidR="00E14B89" w:rsidRPr="00671A2E" w:rsidRDefault="00E14B89" w:rsidP="006C4809">
      <w:pPr>
        <w:pStyle w:val="REFERENCAAAAAA"/>
        <w:rPr>
          <w:lang w:val="en-US"/>
        </w:rPr>
      </w:pPr>
      <w:r w:rsidRPr="006C4809">
        <w:rPr>
          <w:rStyle w:val="FootnoteReference"/>
          <w:color w:val="000000" w:themeColor="text1"/>
          <w:sz w:val="16"/>
          <w:szCs w:val="16"/>
        </w:rPr>
        <w:footnoteRef/>
      </w:r>
      <w:r w:rsidRPr="006C4809">
        <w:rPr>
          <w:color w:val="000000" w:themeColor="text1"/>
        </w:rPr>
        <w:t xml:space="preserve"> Ghosh at al, Ndërtimi i vetëdijes për rreziqet e katastrofës në Evropën Juglindore: Portali informues i informacionit për konsumatorin CatMonitor nga Europa Re. Konferenca e dhjetë e Shteteve të Bashkuara të Amerikës mbi Kufijtë e Inxhinierisë së Tërmeteve 21-25 korrik 2014. Anchorage, Alaska</w:t>
      </w:r>
      <w:r>
        <w:rPr>
          <w:color w:val="000000" w:themeColor="text1"/>
          <w:lang w:val="en-US"/>
        </w:rPr>
        <w:t>.</w:t>
      </w:r>
    </w:p>
  </w:footnote>
  <w:footnote w:id="173">
    <w:p w14:paraId="6A90FA04" w14:textId="4E28CCC9" w:rsidR="00E14B89" w:rsidRPr="00671A2E" w:rsidRDefault="00E14B89" w:rsidP="006C4809">
      <w:pPr>
        <w:pStyle w:val="REFERENCAAAAAA"/>
        <w:rPr>
          <w:color w:val="000000" w:themeColor="text1"/>
          <w:lang w:val="en-US"/>
        </w:rPr>
      </w:pPr>
      <w:r w:rsidRPr="006C4809">
        <w:rPr>
          <w:rStyle w:val="FootnoteReference"/>
          <w:color w:val="000000" w:themeColor="text1"/>
        </w:rPr>
        <w:footnoteRef/>
      </w:r>
      <w:r w:rsidRPr="006C4809">
        <w:rPr>
          <w:color w:val="000000" w:themeColor="text1"/>
        </w:rPr>
        <w:t>www.floodlist.com</w:t>
      </w:r>
      <w:r>
        <w:rPr>
          <w:color w:val="000000" w:themeColor="text1"/>
          <w:lang w:val="en-US"/>
        </w:rPr>
        <w:t>.</w:t>
      </w:r>
    </w:p>
  </w:footnote>
  <w:footnote w:id="174">
    <w:p w14:paraId="56D459F9" w14:textId="69ADFFC7" w:rsidR="00E14B89" w:rsidRPr="00671A2E" w:rsidRDefault="00E14B89" w:rsidP="006C4809">
      <w:pPr>
        <w:pStyle w:val="REFERENCAAAAAA"/>
        <w:rPr>
          <w:lang w:val="en-US"/>
        </w:rPr>
      </w:pPr>
      <w:r w:rsidRPr="006C4809">
        <w:rPr>
          <w:rStyle w:val="FootnoteReference"/>
          <w:color w:val="000000" w:themeColor="text1"/>
        </w:rPr>
        <w:footnoteRef/>
      </w:r>
      <w:r w:rsidRPr="006C4809">
        <w:rPr>
          <w:color w:val="000000" w:themeColor="text1"/>
        </w:rPr>
        <w:t xml:space="preserve"> DRR</w:t>
      </w:r>
      <w:r>
        <w:rPr>
          <w:color w:val="000000" w:themeColor="text1"/>
          <w:lang w:val="en-US"/>
        </w:rPr>
        <w:t xml:space="preserve"> </w:t>
      </w:r>
      <w:r>
        <w:rPr>
          <w:color w:val="000000" w:themeColor="text1"/>
        </w:rPr>
        <w:t>–</w:t>
      </w:r>
      <w:r>
        <w:rPr>
          <w:color w:val="000000" w:themeColor="text1"/>
          <w:lang w:val="en-US"/>
        </w:rPr>
        <w:t xml:space="preserve"> </w:t>
      </w:r>
      <w:r w:rsidRPr="006C4809">
        <w:rPr>
          <w:color w:val="000000" w:themeColor="text1"/>
        </w:rPr>
        <w:t>Misioni i Ekipit n</w:t>
      </w:r>
      <w:r>
        <w:rPr>
          <w:color w:val="000000" w:themeColor="text1"/>
          <w:lang w:val="en-US"/>
        </w:rPr>
        <w:t>ë</w:t>
      </w:r>
      <w:r w:rsidRPr="006C4809">
        <w:rPr>
          <w:color w:val="000000" w:themeColor="text1"/>
        </w:rPr>
        <w:t xml:space="preserve"> Shqipëri, Raport i misionit Scoping, shtator 2015</w:t>
      </w:r>
      <w:r>
        <w:rPr>
          <w:color w:val="000000" w:themeColor="text1"/>
          <w:lang w:val="en-US"/>
        </w:rPr>
        <w:t>.</w:t>
      </w:r>
    </w:p>
  </w:footnote>
  <w:footnote w:id="175">
    <w:p w14:paraId="2B8C7C3A" w14:textId="42791975" w:rsidR="00E14B89" w:rsidRPr="00671A2E" w:rsidRDefault="00E14B89" w:rsidP="006C4809">
      <w:pPr>
        <w:pStyle w:val="REFERENCAAAAAA"/>
        <w:rPr>
          <w:color w:val="000000" w:themeColor="text1"/>
          <w:lang w:val="en-US"/>
        </w:rPr>
      </w:pPr>
      <w:r w:rsidRPr="006C4809">
        <w:rPr>
          <w:rStyle w:val="FootnoteReference"/>
          <w:color w:val="000000" w:themeColor="text1"/>
        </w:rPr>
        <w:footnoteRef/>
      </w:r>
      <w:r w:rsidRPr="006C4809">
        <w:rPr>
          <w:color w:val="000000" w:themeColor="text1"/>
        </w:rPr>
        <w:t xml:space="preserve"> </w:t>
      </w:r>
      <w:hyperlink r:id="rId6" w:history="1">
        <w:r w:rsidRPr="006C4809">
          <w:rPr>
            <w:rStyle w:val="Hyperlink"/>
            <w:color w:val="000000" w:themeColor="text1"/>
            <w:sz w:val="16"/>
            <w:szCs w:val="16"/>
            <w:lang w:val="it-IT"/>
          </w:rPr>
          <w:t>http://reliefweb.int/report/albania/albania-floods-nov-1992-un-dha-situation-reports-1-4</w:t>
        </w:r>
      </w:hyperlink>
      <w:r w:rsidRPr="006C4809">
        <w:rPr>
          <w:color w:val="000000" w:themeColor="text1"/>
        </w:rPr>
        <w:t xml:space="preserve"> (Departamenti i Çështjeve Humanitare i OKB-së)</w:t>
      </w:r>
      <w:r>
        <w:rPr>
          <w:color w:val="000000" w:themeColor="text1"/>
          <w:lang w:val="en-US"/>
        </w:rPr>
        <w:t>.</w:t>
      </w:r>
    </w:p>
  </w:footnote>
  <w:footnote w:id="176">
    <w:p w14:paraId="47867D95" w14:textId="3AD273AC" w:rsidR="00E14B89" w:rsidRPr="00671A2E" w:rsidRDefault="00E14B89" w:rsidP="006C4809">
      <w:pPr>
        <w:pStyle w:val="REFERENCAAAAAA"/>
        <w:rPr>
          <w:color w:val="000000" w:themeColor="text1"/>
          <w:lang w:val="en-US"/>
        </w:rPr>
      </w:pPr>
      <w:r w:rsidRPr="006C4809">
        <w:rPr>
          <w:rStyle w:val="FootnoteReference"/>
          <w:color w:val="000000" w:themeColor="text1"/>
        </w:rPr>
        <w:footnoteRef/>
      </w:r>
      <w:r w:rsidRPr="006C4809">
        <w:rPr>
          <w:color w:val="000000" w:themeColor="text1"/>
        </w:rPr>
        <w:t xml:space="preserve"> Përmbytjet katastrofike dhe "rreziku" i tyre në lumenjtë e Shqipërisë M. Bogdani &amp; A. Selenica, Uji shkatërrues: Fatkeqësitë natyrore të shkaktuara nga uji, zvogëlimi dhe kontrolli i tyre (Procedura e Konferencës mbajtur në Anaheim, California, qershor 1996). Botim i IAHS nr. 239, 1997</w:t>
      </w:r>
      <w:r>
        <w:rPr>
          <w:color w:val="000000" w:themeColor="text1"/>
          <w:lang w:val="en-US"/>
        </w:rPr>
        <w:t>.</w:t>
      </w:r>
    </w:p>
  </w:footnote>
  <w:footnote w:id="177">
    <w:p w14:paraId="0D8CA608" w14:textId="36AC62FA" w:rsidR="00E14B89" w:rsidRPr="00671A2E" w:rsidRDefault="00E14B89" w:rsidP="006C4809">
      <w:pPr>
        <w:pStyle w:val="REFERENCAAAAAA"/>
        <w:rPr>
          <w:color w:val="000000" w:themeColor="text1"/>
          <w:lang w:val="en-US"/>
        </w:rPr>
      </w:pPr>
      <w:r w:rsidRPr="006C4809">
        <w:rPr>
          <w:rStyle w:val="FootnoteReference"/>
          <w:color w:val="000000" w:themeColor="text1"/>
        </w:rPr>
        <w:footnoteRef/>
      </w:r>
      <w:r w:rsidRPr="006C4809">
        <w:rPr>
          <w:color w:val="000000" w:themeColor="text1"/>
        </w:rPr>
        <w:t xml:space="preserve"> Hoxna et al, </w:t>
      </w:r>
      <w:r w:rsidRPr="006C4809">
        <w:rPr>
          <w:i/>
          <w:color w:val="000000" w:themeColor="text1"/>
        </w:rPr>
        <w:t>Teknologjia GIS për Menaxhimin e Fatkeqësive Natyrore në Shqipëri,</w:t>
      </w:r>
      <w:r w:rsidRPr="006C4809">
        <w:rPr>
          <w:color w:val="000000" w:themeColor="text1"/>
        </w:rPr>
        <w:t xml:space="preserve"> Fletorja Ndërkombëtare e Shkencës dhe Kërkimeve. Vëllimi 3, Botimi 11, nëntor 2014</w:t>
      </w:r>
      <w:r>
        <w:rPr>
          <w:color w:val="000000" w:themeColor="text1"/>
          <w:lang w:val="en-US"/>
        </w:rPr>
        <w:t>.</w:t>
      </w:r>
    </w:p>
  </w:footnote>
  <w:footnote w:id="178">
    <w:p w14:paraId="67CA3FC5" w14:textId="17807516" w:rsidR="00E14B89" w:rsidRPr="00671A2E" w:rsidRDefault="00E14B89" w:rsidP="006C4809">
      <w:pPr>
        <w:pStyle w:val="REFERENCAAAAAA"/>
        <w:rPr>
          <w:lang w:val="en-US"/>
        </w:rPr>
      </w:pPr>
      <w:r w:rsidRPr="006C4809">
        <w:rPr>
          <w:rStyle w:val="FootnoteReference"/>
          <w:color w:val="000000" w:themeColor="text1"/>
        </w:rPr>
        <w:footnoteRef/>
      </w:r>
      <w:r w:rsidRPr="006C4809">
        <w:rPr>
          <w:i/>
          <w:color w:val="000000" w:themeColor="text1"/>
        </w:rPr>
        <w:t xml:space="preserve"> Vlerësimi i rrezikut nga përmbytjet në lumenjtë e Shqipërisë</w:t>
      </w:r>
      <w:r w:rsidRPr="006C4809">
        <w:rPr>
          <w:color w:val="000000" w:themeColor="text1"/>
        </w:rPr>
        <w:t>: Agim Selenica, Mehmet Ardicioglu, Alban Kuriqi: Konferenca Ndërkombëtare e Ballkanit mbi Sfidat e Inxhinierisë së Ndërtimit (Civile), BCCCE, 19</w:t>
      </w:r>
      <w:r>
        <w:rPr>
          <w:color w:val="000000" w:themeColor="text1"/>
        </w:rPr>
        <w:t>–</w:t>
      </w:r>
      <w:r w:rsidRPr="006C4809">
        <w:rPr>
          <w:color w:val="000000" w:themeColor="text1"/>
        </w:rPr>
        <w:t>21</w:t>
      </w:r>
      <w:r>
        <w:rPr>
          <w:color w:val="000000" w:themeColor="text1"/>
          <w:lang w:val="en-US"/>
        </w:rPr>
        <w:t>,</w:t>
      </w:r>
      <w:r w:rsidRPr="006C4809">
        <w:rPr>
          <w:color w:val="000000" w:themeColor="text1"/>
        </w:rPr>
        <w:t xml:space="preserve"> maj 2011</w:t>
      </w:r>
      <w:r>
        <w:rPr>
          <w:color w:val="000000" w:themeColor="text1"/>
          <w:lang w:val="en-US"/>
        </w:rPr>
        <w:t>.</w:t>
      </w:r>
    </w:p>
  </w:footnote>
  <w:footnote w:id="179">
    <w:p w14:paraId="526DDDE4" w14:textId="36187860" w:rsidR="00E14B89" w:rsidRPr="00591820" w:rsidRDefault="00E14B89" w:rsidP="00591820">
      <w:pPr>
        <w:pStyle w:val="REFERENCAAAAAA"/>
        <w:rPr>
          <w:color w:val="000000" w:themeColor="text1"/>
          <w:lang w:val="it-IT"/>
        </w:rPr>
      </w:pPr>
      <w:r w:rsidRPr="00591820">
        <w:rPr>
          <w:rStyle w:val="FootnoteReference"/>
          <w:color w:val="000000" w:themeColor="text1"/>
          <w:sz w:val="16"/>
          <w:szCs w:val="16"/>
        </w:rPr>
        <w:footnoteRef/>
      </w:r>
      <w:r w:rsidRPr="00591820">
        <w:rPr>
          <w:color w:val="000000" w:themeColor="text1"/>
        </w:rPr>
        <w:t xml:space="preserve"> Vlerësimi i Rrezikut të Katastrofave në Shqipëri, UNDP</w:t>
      </w:r>
      <w:r w:rsidRPr="00591820">
        <w:rPr>
          <w:color w:val="000000" w:themeColor="text1"/>
          <w:lang w:val="it-IT"/>
        </w:rPr>
        <w:t>, 2003</w:t>
      </w:r>
      <w:r>
        <w:rPr>
          <w:color w:val="000000" w:themeColor="text1"/>
          <w:lang w:val="it-IT"/>
        </w:rPr>
        <w:t>.</w:t>
      </w:r>
    </w:p>
  </w:footnote>
  <w:footnote w:id="180">
    <w:p w14:paraId="5BE65C21" w14:textId="77777777" w:rsidR="00E14B89" w:rsidRPr="00591820" w:rsidRDefault="00E14B89" w:rsidP="00591820">
      <w:pPr>
        <w:pStyle w:val="REFERENCAAAAAA"/>
        <w:rPr>
          <w:color w:val="000000" w:themeColor="text1"/>
          <w:lang w:val="it-IT"/>
        </w:rPr>
      </w:pPr>
      <w:r w:rsidRPr="00591820">
        <w:rPr>
          <w:rStyle w:val="FootnoteReference"/>
          <w:color w:val="000000" w:themeColor="text1"/>
          <w:sz w:val="16"/>
          <w:szCs w:val="16"/>
        </w:rPr>
        <w:footnoteRef/>
      </w:r>
      <w:r w:rsidRPr="00591820">
        <w:rPr>
          <w:color w:val="000000" w:themeColor="text1"/>
          <w:lang w:val="it-IT"/>
        </w:rPr>
        <w:t xml:space="preserve"> Raporti Teknik për Hidrologjinë e Basenit të Lumit Drin. GFA Consulting Group. nëntor 2008.</w:t>
      </w:r>
    </w:p>
  </w:footnote>
  <w:footnote w:id="181">
    <w:p w14:paraId="751C1454" w14:textId="63CEDB3B" w:rsidR="00E14B89" w:rsidRPr="00591820" w:rsidRDefault="00E14B89" w:rsidP="00591820">
      <w:pPr>
        <w:pStyle w:val="REFERENCAAAAAA"/>
        <w:rPr>
          <w:color w:val="000000" w:themeColor="text1"/>
          <w:lang w:val="it-IT"/>
        </w:rPr>
      </w:pPr>
      <w:r w:rsidRPr="00591820">
        <w:rPr>
          <w:rStyle w:val="FootnoteReference"/>
          <w:color w:val="000000" w:themeColor="text1"/>
        </w:rPr>
        <w:footnoteRef/>
      </w:r>
      <w:r w:rsidRPr="00591820">
        <w:rPr>
          <w:color w:val="000000" w:themeColor="text1"/>
          <w:lang w:val="it-IT"/>
        </w:rPr>
        <w:t xml:space="preserve"> Rregullorja për shkarkimin e rrjedhave të lumit Drin, Tiranë, 1988</w:t>
      </w:r>
      <w:r>
        <w:rPr>
          <w:color w:val="000000" w:themeColor="text1"/>
          <w:lang w:val="it-IT"/>
        </w:rPr>
        <w:t>.</w:t>
      </w:r>
    </w:p>
  </w:footnote>
  <w:footnote w:id="182">
    <w:p w14:paraId="5144CB82" w14:textId="0D9561E7" w:rsidR="00E14B89" w:rsidRPr="00626528" w:rsidRDefault="00E14B89" w:rsidP="00591820">
      <w:pPr>
        <w:pStyle w:val="FootnoteText"/>
        <w:rPr>
          <w:rFonts w:ascii="Garamond" w:hAnsi="Garamond"/>
          <w:sz w:val="20"/>
          <w:szCs w:val="20"/>
          <w:lang w:val="it-IT"/>
        </w:rPr>
      </w:pPr>
      <w:r w:rsidRPr="00626528">
        <w:rPr>
          <w:rStyle w:val="FootnoteReference"/>
          <w:rFonts w:ascii="Garamond" w:hAnsi="Garamond"/>
          <w:color w:val="auto"/>
          <w:sz w:val="20"/>
        </w:rPr>
        <w:footnoteRef/>
      </w:r>
      <w:r w:rsidRPr="00626528">
        <w:rPr>
          <w:rFonts w:ascii="Garamond" w:hAnsi="Garamond"/>
          <w:sz w:val="20"/>
          <w:szCs w:val="20"/>
          <w:lang w:val="it-IT"/>
        </w:rPr>
        <w:t xml:space="preserve"> Shqyrtimi i dytë mjedisor i Shqipërisë, Kombet e Bashkuara, 2012.</w:t>
      </w:r>
    </w:p>
  </w:footnote>
  <w:footnote w:id="183">
    <w:p w14:paraId="574010C5" w14:textId="36D983D4" w:rsidR="00E14B89" w:rsidRPr="00626528" w:rsidRDefault="00E14B89" w:rsidP="00591820">
      <w:pPr>
        <w:pStyle w:val="FootnoteText"/>
        <w:rPr>
          <w:rFonts w:ascii="Garamond" w:hAnsi="Garamond"/>
          <w:sz w:val="20"/>
          <w:szCs w:val="20"/>
          <w:lang w:val="it-IT"/>
        </w:rPr>
      </w:pPr>
      <w:r w:rsidRPr="00626528">
        <w:rPr>
          <w:rStyle w:val="FootnoteReference"/>
          <w:rFonts w:ascii="Garamond" w:hAnsi="Garamond"/>
          <w:color w:val="auto"/>
          <w:sz w:val="20"/>
        </w:rPr>
        <w:footnoteRef/>
      </w:r>
      <w:r>
        <w:rPr>
          <w:rFonts w:ascii="Garamond" w:hAnsi="Garamond"/>
          <w:sz w:val="20"/>
          <w:szCs w:val="20"/>
          <w:lang w:val="it-IT"/>
        </w:rPr>
        <w:t xml:space="preserve"> </w:t>
      </w:r>
      <w:hyperlink r:id="rId7">
        <w:r w:rsidRPr="00626528">
          <w:rPr>
            <w:rFonts w:ascii="Garamond" w:hAnsi="Garamond"/>
            <w:sz w:val="20"/>
            <w:szCs w:val="20"/>
            <w:lang w:val="it-IT"/>
          </w:rPr>
          <w:t>http://ipafloods.ipacivilprotection.eu/wp-ontent/uploads/2016/11/Findings_Recommendations_Albania.pdf</w:t>
        </w:r>
      </w:hyperlink>
      <w:r>
        <w:rPr>
          <w:rFonts w:ascii="Garamond" w:hAnsi="Garamond"/>
          <w:sz w:val="20"/>
          <w:szCs w:val="20"/>
          <w:lang w:val="it-IT"/>
        </w:rPr>
        <w:t>.</w:t>
      </w:r>
    </w:p>
  </w:footnote>
  <w:footnote w:id="184">
    <w:p w14:paraId="4FD0278A" w14:textId="610728B8" w:rsidR="00E14B89" w:rsidRPr="00671A2E" w:rsidRDefault="00E14B89" w:rsidP="00671A2E">
      <w:pPr>
        <w:pStyle w:val="FootnoteText"/>
        <w:ind w:left="0" w:firstLine="0"/>
        <w:jc w:val="both"/>
        <w:rPr>
          <w:rFonts w:ascii="Garamond" w:hAnsi="Garamond"/>
          <w:sz w:val="20"/>
          <w:szCs w:val="20"/>
          <w:lang w:val="it-IT"/>
        </w:rPr>
      </w:pPr>
      <w:r w:rsidRPr="00671A2E">
        <w:rPr>
          <w:rStyle w:val="FootnoteReference"/>
          <w:rFonts w:ascii="Garamond" w:hAnsi="Garamond"/>
          <w:color w:val="auto"/>
          <w:sz w:val="20"/>
        </w:rPr>
        <w:footnoteRef/>
      </w:r>
      <w:r>
        <w:rPr>
          <w:rFonts w:ascii="Garamond" w:hAnsi="Garamond"/>
          <w:sz w:val="20"/>
          <w:szCs w:val="20"/>
          <w:lang w:val="sq-AL"/>
        </w:rPr>
        <w:t xml:space="preserve"> </w:t>
      </w:r>
      <w:r w:rsidRPr="00671A2E">
        <w:rPr>
          <w:rFonts w:ascii="Garamond" w:hAnsi="Garamond"/>
          <w:sz w:val="20"/>
          <w:szCs w:val="20"/>
          <w:lang w:val="sq-AL"/>
        </w:rPr>
        <w:t>Udhëzues për raportimin</w:t>
      </w:r>
      <w:r>
        <w:rPr>
          <w:rFonts w:ascii="Garamond" w:hAnsi="Garamond"/>
          <w:sz w:val="20"/>
          <w:szCs w:val="20"/>
          <w:lang w:val="sq-AL"/>
        </w:rPr>
        <w:t>,</w:t>
      </w:r>
      <w:r w:rsidRPr="00671A2E">
        <w:rPr>
          <w:rFonts w:ascii="Garamond" w:hAnsi="Garamond"/>
          <w:sz w:val="20"/>
          <w:szCs w:val="20"/>
          <w:lang w:val="sq-AL"/>
        </w:rPr>
        <w:t xml:space="preserve"> sipas Direktivës së Përmbytjeve (2007/60/KE)</w:t>
      </w:r>
      <w:r>
        <w:rPr>
          <w:rFonts w:ascii="Garamond" w:hAnsi="Garamond"/>
          <w:sz w:val="20"/>
          <w:szCs w:val="20"/>
          <w:lang w:val="sq-AL"/>
        </w:rPr>
        <w:t>,</w:t>
      </w:r>
      <w:r w:rsidRPr="00671A2E">
        <w:rPr>
          <w:rFonts w:ascii="Garamond" w:hAnsi="Garamond"/>
          <w:sz w:val="20"/>
          <w:szCs w:val="20"/>
          <w:lang w:val="sq-AL"/>
        </w:rPr>
        <w:t xml:space="preserve"> Dokumenti i udhëzimit nr. 29</w:t>
      </w:r>
      <w:r>
        <w:rPr>
          <w:rFonts w:ascii="Garamond" w:hAnsi="Garamond"/>
          <w:sz w:val="20"/>
          <w:szCs w:val="20"/>
          <w:lang w:val="sq-AL"/>
        </w:rPr>
        <w:t>.</w:t>
      </w:r>
      <w:r w:rsidRPr="00671A2E">
        <w:rPr>
          <w:rFonts w:ascii="Garamond" w:hAnsi="Garamond"/>
          <w:sz w:val="20"/>
          <w:szCs w:val="20"/>
          <w:lang w:val="sq-AL"/>
        </w:rPr>
        <w:t xml:space="preserve"> Një përmbledhje e fletëve të raportimit të miratuara nga Strategjia e Zbatimit të Përbashkët të Drejtorëve të Ujit për Direktivën Kuadër të Ujit (2000/60/KE</w:t>
      </w:r>
      <w:r w:rsidRPr="00671A2E">
        <w:rPr>
          <w:rFonts w:ascii="Garamond" w:hAnsi="Garamond"/>
          <w:sz w:val="20"/>
          <w:szCs w:val="20"/>
          <w:lang w:val="it-IT"/>
        </w:rPr>
        <w:t>)</w:t>
      </w:r>
      <w:r>
        <w:rPr>
          <w:rFonts w:ascii="Garamond" w:hAnsi="Garamond"/>
          <w:sz w:val="20"/>
          <w:szCs w:val="20"/>
          <w:lang w:val="it-IT"/>
        </w:rPr>
        <w:t>.</w:t>
      </w:r>
    </w:p>
  </w:footnote>
  <w:footnote w:id="185">
    <w:p w14:paraId="7F89A807" w14:textId="64EDEB04" w:rsidR="00E14B89" w:rsidRPr="00671A2E" w:rsidRDefault="00E14B89" w:rsidP="00671A2E">
      <w:pPr>
        <w:pStyle w:val="FootnoteText"/>
        <w:ind w:left="0" w:firstLine="0"/>
        <w:jc w:val="both"/>
        <w:rPr>
          <w:rFonts w:ascii="Garamond" w:hAnsi="Garamond"/>
          <w:sz w:val="20"/>
          <w:szCs w:val="20"/>
          <w:lang w:val="it-IT"/>
        </w:rPr>
      </w:pPr>
      <w:r w:rsidRPr="00671A2E">
        <w:rPr>
          <w:rStyle w:val="FootnoteReference"/>
          <w:rFonts w:ascii="Garamond" w:hAnsi="Garamond"/>
          <w:color w:val="auto"/>
          <w:sz w:val="20"/>
        </w:rPr>
        <w:footnoteRef/>
      </w:r>
      <w:r w:rsidRPr="00671A2E">
        <w:rPr>
          <w:rFonts w:ascii="Garamond" w:hAnsi="Garamond"/>
          <w:sz w:val="20"/>
          <w:szCs w:val="20"/>
          <w:lang w:val="it-IT"/>
        </w:rPr>
        <w:t xml:space="preserve"> Grupi Punues i Përmbytjeve (CIS). Dokumenti i Burimeve për Menaxhimin e Rrezikut nga Përmbytjet, Ekonomi dhe mbështetje për vendim</w:t>
      </w:r>
      <w:r>
        <w:rPr>
          <w:rFonts w:ascii="Garamond" w:hAnsi="Garamond"/>
          <w:sz w:val="20"/>
          <w:szCs w:val="20"/>
          <w:lang w:val="it-IT"/>
        </w:rPr>
        <w:t>m</w:t>
      </w:r>
      <w:r w:rsidRPr="00671A2E">
        <w:rPr>
          <w:rFonts w:ascii="Garamond" w:hAnsi="Garamond"/>
          <w:sz w:val="20"/>
          <w:szCs w:val="20"/>
          <w:lang w:val="it-IT"/>
        </w:rPr>
        <w:t>arrjen</w:t>
      </w:r>
      <w:r>
        <w:rPr>
          <w:rFonts w:ascii="Garamond" w:hAnsi="Garamond"/>
          <w:sz w:val="20"/>
          <w:szCs w:val="20"/>
          <w:lang w:val="it-IT"/>
        </w:rPr>
        <w:t>,</w:t>
      </w:r>
      <w:r w:rsidRPr="00671A2E">
        <w:rPr>
          <w:rFonts w:ascii="Garamond" w:hAnsi="Garamond"/>
          <w:sz w:val="20"/>
          <w:szCs w:val="20"/>
          <w:lang w:val="it-IT"/>
        </w:rPr>
        <w:t xml:space="preserve"> tetor 2012. Grupi punues F i Strategjisë së Zbatimit të Përbashkët për Direktivën Kuadër të Ujit</w:t>
      </w:r>
      <w:r>
        <w:rPr>
          <w:rFonts w:ascii="Garamond" w:hAnsi="Garamond"/>
          <w:sz w:val="20"/>
          <w:szCs w:val="20"/>
          <w:lang w:val="it-IT"/>
        </w:rPr>
        <w:t>.</w:t>
      </w:r>
    </w:p>
  </w:footnote>
  <w:footnote w:id="186">
    <w:p w14:paraId="5F001F02" w14:textId="165DD9A3" w:rsidR="00E14B89" w:rsidRPr="00671A2E" w:rsidRDefault="00E14B89" w:rsidP="009316B1">
      <w:pPr>
        <w:pStyle w:val="REFERENCAAAAAA"/>
        <w:rPr>
          <w:lang w:val="en-US"/>
        </w:rPr>
      </w:pPr>
      <w:r w:rsidRPr="009316B1">
        <w:rPr>
          <w:rStyle w:val="FootnoteReference"/>
          <w:color w:val="000000" w:themeColor="text1"/>
          <w:sz w:val="16"/>
          <w:szCs w:val="16"/>
        </w:rPr>
        <w:footnoteRef/>
      </w:r>
      <w:r w:rsidRPr="009316B1">
        <w:rPr>
          <w:color w:val="000000" w:themeColor="text1"/>
        </w:rPr>
        <w:t xml:space="preserve"> http://ipacivilprotection.eu/albania.html</w:t>
      </w:r>
      <w:r>
        <w:rPr>
          <w:color w:val="000000" w:themeColor="text1"/>
          <w:lang w:val="en-US"/>
        </w:rPr>
        <w:t>.</w:t>
      </w:r>
    </w:p>
  </w:footnote>
  <w:footnote w:id="187">
    <w:p w14:paraId="22B28358" w14:textId="77777777" w:rsidR="00E14B89" w:rsidRPr="00671A2E" w:rsidRDefault="00E14B89" w:rsidP="009316B1">
      <w:pPr>
        <w:pStyle w:val="REFERENCAAAAAA"/>
        <w:rPr>
          <w:color w:val="000000" w:themeColor="text1"/>
          <w:szCs w:val="20"/>
        </w:rPr>
      </w:pPr>
      <w:r w:rsidRPr="00671A2E">
        <w:rPr>
          <w:rStyle w:val="FootnoteReference"/>
          <w:rFonts w:ascii="Garamond" w:hAnsi="Garamond"/>
          <w:color w:val="000000" w:themeColor="text1"/>
        </w:rPr>
        <w:footnoteRef/>
      </w:r>
      <w:r w:rsidRPr="00671A2E">
        <w:rPr>
          <w:color w:val="000000" w:themeColor="text1"/>
          <w:szCs w:val="20"/>
        </w:rPr>
        <w:t xml:space="preserve"> Situata aktuale e menaxhimit të përmbytjeve në Ballkanin Perëndimor, Dhjetor 2014, Kuadri i Investimeve në Ballkanin Perëndimor (WBIF), Asistenca Teknike e Projekteve Infrastrukturore 4 (IPF 4).</w:t>
      </w:r>
    </w:p>
  </w:footnote>
  <w:footnote w:id="188">
    <w:p w14:paraId="356584DC" w14:textId="77777777" w:rsidR="00E14B89" w:rsidRPr="00671A2E" w:rsidRDefault="00E14B89" w:rsidP="009316B1">
      <w:pPr>
        <w:pStyle w:val="REFERENCAAAAAA"/>
        <w:rPr>
          <w:szCs w:val="20"/>
          <w:lang w:val="de-DE"/>
        </w:rPr>
      </w:pPr>
      <w:r w:rsidRPr="00671A2E">
        <w:rPr>
          <w:rStyle w:val="FootnoteReference"/>
          <w:rFonts w:ascii="Garamond" w:hAnsi="Garamond"/>
          <w:color w:val="000000" w:themeColor="text1"/>
        </w:rPr>
        <w:footnoteRef/>
      </w:r>
      <w:r w:rsidRPr="00671A2E">
        <w:rPr>
          <w:color w:val="000000" w:themeColor="text1"/>
          <w:szCs w:val="20"/>
        </w:rPr>
        <w:t xml:space="preserve"> Parandalimi i përmbytjes dhe analiza e mangësive të menaxhimit dhe vlerësimi i nevojave në kontekst të zbatimit të Direktivës së Përmbytjeve të BE-së. Shtator 2015. Korniza e Investimeve të Ballkanit Perëndimor (WBIF), Projekti i Infrastrukturës 4 (IPF 4).</w:t>
      </w:r>
    </w:p>
  </w:footnote>
  <w:footnote w:id="189">
    <w:p w14:paraId="12A6C71D" w14:textId="77777777" w:rsidR="00E14B89" w:rsidRPr="00671A2E" w:rsidRDefault="00E14B89" w:rsidP="006B0D9F">
      <w:pPr>
        <w:pStyle w:val="REFERENCAAAAAA"/>
        <w:rPr>
          <w:color w:val="000000" w:themeColor="text1"/>
          <w:szCs w:val="20"/>
        </w:rPr>
      </w:pPr>
      <w:r w:rsidRPr="00671A2E">
        <w:rPr>
          <w:rStyle w:val="FootnoteReference"/>
          <w:rFonts w:ascii="Garamond" w:hAnsi="Garamond"/>
          <w:color w:val="000000" w:themeColor="text1"/>
        </w:rPr>
        <w:footnoteRef/>
      </w:r>
      <w:r w:rsidRPr="00671A2E">
        <w:rPr>
          <w:color w:val="000000" w:themeColor="text1"/>
          <w:szCs w:val="20"/>
        </w:rPr>
        <w:t xml:space="preserve"> UNDP, Shteti: Shqipëria, Kontributi i tretë kombëtar në UNFCCC. Project Document. albania_tnc_prodoc_signed_and_dated-2.pdf</w:t>
      </w:r>
    </w:p>
  </w:footnote>
  <w:footnote w:id="190">
    <w:p w14:paraId="23315930" w14:textId="77777777" w:rsidR="00E14B89" w:rsidRPr="00671A2E" w:rsidRDefault="00E14B89" w:rsidP="006B0D9F">
      <w:pPr>
        <w:pStyle w:val="REFERENCAAAAAA"/>
        <w:rPr>
          <w:color w:val="000000" w:themeColor="text1"/>
          <w:szCs w:val="20"/>
        </w:rPr>
      </w:pPr>
      <w:r w:rsidRPr="00671A2E">
        <w:rPr>
          <w:rStyle w:val="FootnoteReference"/>
          <w:rFonts w:ascii="Garamond" w:hAnsi="Garamond"/>
          <w:color w:val="000000" w:themeColor="text1"/>
        </w:rPr>
        <w:footnoteRef/>
      </w:r>
      <w:r w:rsidRPr="00671A2E">
        <w:rPr>
          <w:color w:val="000000" w:themeColor="text1"/>
          <w:szCs w:val="20"/>
        </w:rPr>
        <w:t xml:space="preserve"> Komunikata e tretë Kombëtare e Republikës së Shqipërisë sipas Konventës Kuadër të Kombeve të Bashkuara mbi Ndryshimet Klimatike, 2016.</w:t>
      </w:r>
    </w:p>
  </w:footnote>
  <w:footnote w:id="191">
    <w:p w14:paraId="37373C03" w14:textId="77777777" w:rsidR="00E14B89" w:rsidRPr="00671A2E" w:rsidRDefault="00E14B89" w:rsidP="006B0D9F">
      <w:pPr>
        <w:pStyle w:val="REFERENCAAAAAA"/>
        <w:rPr>
          <w:szCs w:val="20"/>
        </w:rPr>
      </w:pPr>
      <w:r w:rsidRPr="00671A2E">
        <w:rPr>
          <w:rStyle w:val="FootnoteReference"/>
          <w:rFonts w:ascii="Garamond" w:hAnsi="Garamond"/>
          <w:color w:val="000000" w:themeColor="text1"/>
        </w:rPr>
        <w:footnoteRef/>
      </w:r>
      <w:r w:rsidRPr="00671A2E">
        <w:rPr>
          <w:color w:val="000000" w:themeColor="text1"/>
          <w:szCs w:val="20"/>
        </w:rPr>
        <w:t xml:space="preserve"> Përshtatja me Ndryshimet Klimatike </w:t>
      </w:r>
      <w:r w:rsidRPr="00671A2E">
        <w:rPr>
          <w:color w:val="000000" w:themeColor="text1"/>
          <w:szCs w:val="20"/>
          <w:lang w:val="sq-AL"/>
        </w:rPr>
        <w:t>në Deltën e lumit</w:t>
      </w:r>
      <w:r w:rsidRPr="00671A2E">
        <w:rPr>
          <w:color w:val="000000" w:themeColor="text1"/>
          <w:szCs w:val="20"/>
        </w:rPr>
        <w:t xml:space="preserve"> Drini Mati </w:t>
      </w:r>
      <w:r w:rsidRPr="00671A2E">
        <w:rPr>
          <w:color w:val="000000" w:themeColor="text1"/>
          <w:szCs w:val="20"/>
          <w:lang w:val="sq-AL"/>
        </w:rPr>
        <w:t>dhe më tej</w:t>
      </w:r>
      <w:r w:rsidRPr="00671A2E">
        <w:rPr>
          <w:color w:val="000000" w:themeColor="text1"/>
          <w:szCs w:val="20"/>
        </w:rPr>
        <w:t>. Dokument i Politikës. MBZHR, 2013.</w:t>
      </w:r>
    </w:p>
  </w:footnote>
  <w:footnote w:id="192">
    <w:p w14:paraId="5D06140F" w14:textId="3EADD8B5" w:rsidR="00E14B89" w:rsidRPr="00671A2E" w:rsidRDefault="00E14B89" w:rsidP="006B0D9F">
      <w:pPr>
        <w:pStyle w:val="REFERENCAAAAAA"/>
      </w:pPr>
      <w:r w:rsidRPr="00671A2E">
        <w:rPr>
          <w:rStyle w:val="FootnoteReference"/>
          <w:rFonts w:ascii="Garamond" w:hAnsi="Garamond"/>
          <w:color w:val="000000" w:themeColor="text1"/>
        </w:rPr>
        <w:footnoteRef/>
      </w:r>
      <w:r w:rsidRPr="00671A2E">
        <w:rPr>
          <w:color w:val="000000" w:themeColor="text1"/>
        </w:rPr>
        <w:t xml:space="preserve"> Një përmbytje gjithëpërfshirëse pas katastrofës: Studimi i vlerësimit të rrezikut dhe menaxhimit. Raporti Final - Plani për menaxhimin e rrezikut nga përmbytjet për Basenin e Ulët të Drinit dhe Bunës, korrik 2012. Mott MacDonald, ish-Drejtoria e Përgjithshme e Emergjencave Civile (Agjencia Kombëtare e Mbrojtjes Civile).</w:t>
      </w:r>
    </w:p>
  </w:footnote>
  <w:footnote w:id="193">
    <w:p w14:paraId="4D3C5C8A" w14:textId="44CAFD3D" w:rsidR="00E14B89" w:rsidRPr="006B0D9F" w:rsidRDefault="00E14B89" w:rsidP="006B0D9F">
      <w:pPr>
        <w:pStyle w:val="REFERENCAAAAAA"/>
        <w:rPr>
          <w:color w:val="000000" w:themeColor="text1"/>
        </w:rPr>
      </w:pPr>
      <w:r w:rsidRPr="006B0D9F">
        <w:rPr>
          <w:rStyle w:val="FootnoteReference"/>
          <w:color w:val="000000" w:themeColor="text1"/>
          <w:sz w:val="16"/>
          <w:szCs w:val="16"/>
        </w:rPr>
        <w:footnoteRef/>
      </w:r>
      <w:r w:rsidRPr="006B0D9F">
        <w:rPr>
          <w:color w:val="000000" w:themeColor="text1"/>
        </w:rPr>
        <w:t xml:space="preserve"> Normalisht, zgjidhjet që përfshijnë pastrimin përfshijnë</w:t>
      </w:r>
      <w:r>
        <w:rPr>
          <w:color w:val="000000" w:themeColor="text1"/>
          <w:lang w:val="en-US"/>
        </w:rPr>
        <w:t>,</w:t>
      </w:r>
      <w:r w:rsidRPr="006B0D9F">
        <w:rPr>
          <w:color w:val="000000" w:themeColor="text1"/>
        </w:rPr>
        <w:t xml:space="preserve"> gjithashtu</w:t>
      </w:r>
      <w:r>
        <w:rPr>
          <w:color w:val="000000" w:themeColor="text1"/>
          <w:lang w:val="en-US"/>
        </w:rPr>
        <w:t>,</w:t>
      </w:r>
      <w:r w:rsidRPr="006B0D9F">
        <w:rPr>
          <w:color w:val="000000" w:themeColor="text1"/>
        </w:rPr>
        <w:t xml:space="preserve"> një pagesë për pastrimin e mëtejshëm në të ardhmen. Kjo është për shkak të faktit se kur kapaciteti i një lumi rritet, shpejtësitë janë më të ulëta dhe prandaj më shumë materiali në pezullim bie dhe lumi me kalimin e kohës do të kthehet në profilin e tij origjinal. Analiza ekonomike përfshin </w:t>
      </w:r>
      <w:r>
        <w:rPr>
          <w:color w:val="000000" w:themeColor="text1"/>
          <w:lang w:val="en-US"/>
        </w:rPr>
        <w:t>“</w:t>
      </w:r>
      <w:r w:rsidRPr="006B0D9F">
        <w:rPr>
          <w:color w:val="000000" w:themeColor="text1"/>
        </w:rPr>
        <w:t>mirëmbajtjen</w:t>
      </w:r>
      <w:r>
        <w:rPr>
          <w:color w:val="000000" w:themeColor="text1"/>
          <w:lang w:val="en-US"/>
        </w:rPr>
        <w:t>”</w:t>
      </w:r>
      <w:r w:rsidRPr="006B0D9F">
        <w:rPr>
          <w:color w:val="000000" w:themeColor="text1"/>
        </w:rPr>
        <w:t>, por nuk duket se ka lejuar për pastrimin e përsëritur në të ardhmen.</w:t>
      </w:r>
    </w:p>
  </w:footnote>
  <w:footnote w:id="194">
    <w:p w14:paraId="1FB6F2DA" w14:textId="77777777" w:rsidR="00E14B89" w:rsidRPr="00CE0C6F" w:rsidRDefault="00E14B89" w:rsidP="006B0D9F">
      <w:pPr>
        <w:pStyle w:val="REFERENCAAAAAA"/>
      </w:pPr>
      <w:r w:rsidRPr="006B0D9F">
        <w:rPr>
          <w:rStyle w:val="FootnoteReference"/>
          <w:color w:val="000000" w:themeColor="text1"/>
          <w:sz w:val="16"/>
          <w:szCs w:val="16"/>
        </w:rPr>
        <w:footnoteRef/>
      </w:r>
      <w:r w:rsidRPr="006B0D9F">
        <w:rPr>
          <w:color w:val="000000" w:themeColor="text1"/>
        </w:rPr>
        <w:t xml:space="preserve"> Kjo duket të jetë në kundërshtim me informacionet e dhëna projektit nga ana e operatorit të digave (KESH) i cili paraqiti detajet e procedurave operative të dizajnuara për të minimizuar përmbytjet.</w:t>
      </w:r>
    </w:p>
  </w:footnote>
  <w:footnote w:id="195">
    <w:p w14:paraId="488F4B12" w14:textId="0071B611" w:rsidR="00E14B89" w:rsidRPr="00671A2E" w:rsidRDefault="00E14B89" w:rsidP="00591820">
      <w:pPr>
        <w:pStyle w:val="FootnoteText"/>
        <w:rPr>
          <w:rFonts w:ascii="Garamond" w:hAnsi="Garamond"/>
          <w:sz w:val="20"/>
          <w:szCs w:val="20"/>
          <w:lang w:val="it-IT"/>
        </w:rPr>
      </w:pPr>
      <w:r w:rsidRPr="00671A2E">
        <w:rPr>
          <w:rStyle w:val="FootnoteReference"/>
          <w:rFonts w:ascii="Garamond" w:hAnsi="Garamond"/>
          <w:color w:val="auto"/>
          <w:sz w:val="20"/>
        </w:rPr>
        <w:footnoteRef/>
      </w:r>
      <w:r w:rsidRPr="00671A2E">
        <w:rPr>
          <w:rFonts w:ascii="Garamond" w:hAnsi="Garamond"/>
          <w:sz w:val="20"/>
          <w:szCs w:val="20"/>
          <w:lang w:val="it-IT"/>
        </w:rPr>
        <w:t xml:space="preserve"> Objektivat e mjedisit janë në përputhje me PKSU-në</w:t>
      </w:r>
      <w:r>
        <w:rPr>
          <w:rFonts w:ascii="Garamond" w:hAnsi="Garamond"/>
          <w:sz w:val="20"/>
          <w:szCs w:val="20"/>
          <w:lang w:val="it-IT"/>
        </w:rPr>
        <w:t>.</w:t>
      </w:r>
    </w:p>
  </w:footnote>
  <w:footnote w:id="196">
    <w:p w14:paraId="3C3FBC05" w14:textId="5681C027" w:rsidR="00E14B89" w:rsidRPr="00671A2E" w:rsidRDefault="00E14B89" w:rsidP="00591820">
      <w:pPr>
        <w:pStyle w:val="FootnoteText"/>
        <w:rPr>
          <w:rFonts w:ascii="Garamond" w:hAnsi="Garamond"/>
          <w:sz w:val="20"/>
          <w:szCs w:val="20"/>
          <w:lang w:val="it-IT"/>
        </w:rPr>
      </w:pPr>
      <w:r w:rsidRPr="00671A2E">
        <w:rPr>
          <w:rStyle w:val="FootnoteReference"/>
          <w:rFonts w:ascii="Garamond" w:hAnsi="Garamond"/>
          <w:color w:val="auto"/>
          <w:sz w:val="20"/>
        </w:rPr>
        <w:footnoteRef/>
      </w:r>
      <w:r w:rsidRPr="00671A2E">
        <w:rPr>
          <w:rFonts w:ascii="Garamond" w:hAnsi="Garamond"/>
          <w:sz w:val="20"/>
          <w:szCs w:val="20"/>
          <w:lang w:val="it-IT"/>
        </w:rPr>
        <w:t xml:space="preserve"> 2017 konsiderohet si </w:t>
      </w:r>
      <w:r>
        <w:rPr>
          <w:rFonts w:ascii="Garamond" w:hAnsi="Garamond"/>
          <w:sz w:val="20"/>
          <w:szCs w:val="20"/>
          <w:lang w:val="it-IT"/>
        </w:rPr>
        <w:t>“</w:t>
      </w:r>
      <w:r w:rsidRPr="00671A2E">
        <w:rPr>
          <w:rFonts w:ascii="Garamond" w:hAnsi="Garamond"/>
          <w:sz w:val="20"/>
          <w:szCs w:val="20"/>
          <w:lang w:val="it-IT"/>
        </w:rPr>
        <w:t>viti bazë</w:t>
      </w:r>
      <w:r>
        <w:rPr>
          <w:rFonts w:ascii="Garamond" w:hAnsi="Garamond"/>
          <w:sz w:val="20"/>
          <w:szCs w:val="20"/>
          <w:lang w:val="it-IT"/>
        </w:rPr>
        <w:t>”</w:t>
      </w:r>
      <w:r w:rsidRPr="00671A2E">
        <w:rPr>
          <w:rFonts w:ascii="Garamond" w:hAnsi="Garamond"/>
          <w:sz w:val="20"/>
          <w:szCs w:val="20"/>
          <w:lang w:val="it-IT"/>
        </w:rPr>
        <w:t>.</w:t>
      </w:r>
    </w:p>
  </w:footnote>
  <w:footnote w:id="197">
    <w:p w14:paraId="741CD46B" w14:textId="23B33EB5" w:rsidR="00E14B89" w:rsidRPr="00671A2E" w:rsidRDefault="00E14B89" w:rsidP="00591820">
      <w:pPr>
        <w:pStyle w:val="FootnoteText"/>
        <w:rPr>
          <w:rFonts w:ascii="Garamond" w:hAnsi="Garamond"/>
          <w:sz w:val="20"/>
          <w:szCs w:val="20"/>
          <w:lang w:val="it-IT"/>
        </w:rPr>
      </w:pPr>
      <w:r w:rsidRPr="00671A2E">
        <w:rPr>
          <w:rStyle w:val="FootnoteReference"/>
          <w:rFonts w:ascii="Garamond" w:hAnsi="Garamond"/>
          <w:sz w:val="20"/>
        </w:rPr>
        <w:footnoteRef/>
      </w:r>
      <w:r w:rsidRPr="00671A2E">
        <w:rPr>
          <w:rFonts w:ascii="Garamond" w:hAnsi="Garamond"/>
          <w:sz w:val="20"/>
          <w:szCs w:val="20"/>
          <w:lang w:val="it-IT"/>
        </w:rPr>
        <w:t xml:space="preserve"> INSTAT: </w:t>
      </w:r>
      <w:r w:rsidRPr="00671A2E">
        <w:rPr>
          <w:rFonts w:ascii="Garamond" w:hAnsi="Garamond"/>
          <w:sz w:val="20"/>
          <w:szCs w:val="20"/>
          <w:lang w:val="sq-AL"/>
        </w:rPr>
        <w:t>V</w:t>
      </w:r>
      <w:r w:rsidRPr="00671A2E">
        <w:rPr>
          <w:rFonts w:ascii="Garamond" w:hAnsi="Garamond"/>
          <w:sz w:val="20"/>
          <w:szCs w:val="20"/>
          <w:lang w:val="it-IT"/>
        </w:rPr>
        <w:t>jet</w:t>
      </w:r>
      <w:r w:rsidRPr="00671A2E">
        <w:rPr>
          <w:rFonts w:ascii="Garamond" w:hAnsi="Garamond"/>
          <w:sz w:val="20"/>
          <w:szCs w:val="20"/>
          <w:lang w:val="sq-AL"/>
        </w:rPr>
        <w:t>ari</w:t>
      </w:r>
      <w:r w:rsidRPr="00671A2E">
        <w:rPr>
          <w:rFonts w:ascii="Garamond" w:hAnsi="Garamond"/>
          <w:sz w:val="20"/>
          <w:szCs w:val="20"/>
          <w:lang w:val="it-IT"/>
        </w:rPr>
        <w:t xml:space="preserve"> Statistikor i </w:t>
      </w:r>
      <w:r w:rsidRPr="00671A2E">
        <w:rPr>
          <w:rFonts w:ascii="Garamond" w:hAnsi="Garamond"/>
          <w:sz w:val="20"/>
          <w:szCs w:val="20"/>
          <w:lang w:val="sq-AL"/>
        </w:rPr>
        <w:t>Bujqësisë</w:t>
      </w:r>
      <w:r w:rsidRPr="00671A2E">
        <w:rPr>
          <w:rFonts w:ascii="Garamond" w:hAnsi="Garamond"/>
          <w:sz w:val="20"/>
          <w:szCs w:val="20"/>
          <w:lang w:val="it-IT"/>
        </w:rPr>
        <w:t xml:space="preserve"> 2015, Censusi </w:t>
      </w:r>
      <w:r w:rsidRPr="00671A2E">
        <w:rPr>
          <w:rFonts w:ascii="Garamond" w:hAnsi="Garamond"/>
          <w:sz w:val="20"/>
          <w:szCs w:val="20"/>
          <w:lang w:val="sq-AL"/>
        </w:rPr>
        <w:t>në Bujqësi</w:t>
      </w:r>
      <w:r w:rsidRPr="00671A2E">
        <w:rPr>
          <w:rFonts w:ascii="Garamond" w:hAnsi="Garamond"/>
          <w:sz w:val="20"/>
          <w:szCs w:val="20"/>
          <w:lang w:val="it-IT"/>
        </w:rPr>
        <w:t>, 2012.</w:t>
      </w:r>
    </w:p>
  </w:footnote>
  <w:footnote w:id="198">
    <w:p w14:paraId="110E0D74" w14:textId="01C28E34" w:rsidR="00E14B89" w:rsidRPr="00671A2E" w:rsidRDefault="00E14B89" w:rsidP="00591820">
      <w:pPr>
        <w:pStyle w:val="FootnoteText"/>
        <w:rPr>
          <w:rFonts w:ascii="Garamond" w:hAnsi="Garamond"/>
          <w:sz w:val="20"/>
          <w:szCs w:val="20"/>
          <w:lang w:val="it-IT"/>
        </w:rPr>
      </w:pPr>
      <w:r w:rsidRPr="00671A2E">
        <w:rPr>
          <w:rStyle w:val="FootnoteReference"/>
          <w:rFonts w:ascii="Garamond" w:hAnsi="Garamond"/>
          <w:color w:val="auto"/>
          <w:sz w:val="20"/>
        </w:rPr>
        <w:footnoteRef/>
      </w:r>
      <w:r w:rsidRPr="00671A2E">
        <w:rPr>
          <w:rFonts w:ascii="Garamond" w:hAnsi="Garamond"/>
          <w:sz w:val="20"/>
          <w:szCs w:val="20"/>
          <w:lang w:val="it-IT"/>
        </w:rPr>
        <w:t xml:space="preserve"> HEC-e funksionale në vitin 2016</w:t>
      </w:r>
      <w:r>
        <w:rPr>
          <w:rFonts w:ascii="Garamond" w:hAnsi="Garamond"/>
          <w:sz w:val="20"/>
          <w:szCs w:val="20"/>
          <w:lang w:val="it-IT"/>
        </w:rPr>
        <w:t>.</w:t>
      </w:r>
    </w:p>
  </w:footnote>
  <w:footnote w:id="199">
    <w:p w14:paraId="6326C2ED" w14:textId="3EC105D3" w:rsidR="00E14B89" w:rsidRPr="00671A2E" w:rsidRDefault="00E14B89" w:rsidP="00F015E8">
      <w:pPr>
        <w:pStyle w:val="REFERENCAAAAAA"/>
        <w:rPr>
          <w:color w:val="000000" w:themeColor="text1"/>
          <w:sz w:val="18"/>
          <w:lang w:val="en-US"/>
        </w:rPr>
      </w:pPr>
      <w:r w:rsidRPr="00F015E8">
        <w:rPr>
          <w:rStyle w:val="FootnoteReference"/>
          <w:color w:val="000000" w:themeColor="text1"/>
          <w:sz w:val="16"/>
          <w:szCs w:val="16"/>
        </w:rPr>
        <w:footnoteRef/>
      </w:r>
      <w:r>
        <w:rPr>
          <w:color w:val="000000" w:themeColor="text1"/>
          <w:lang w:val="en-US"/>
        </w:rPr>
        <w:t xml:space="preserve"> </w:t>
      </w:r>
      <w:r w:rsidRPr="00F015E8">
        <w:rPr>
          <w:color w:val="000000" w:themeColor="text1"/>
        </w:rPr>
        <w:t>Vlerat e deklaruara në euro u llogaritën me një kurs këmbimi prej 136.985 lekë</w:t>
      </w:r>
      <w:r>
        <w:rPr>
          <w:color w:val="000000" w:themeColor="text1"/>
          <w:lang w:val="en-US"/>
        </w:rPr>
        <w:t>sh</w:t>
      </w:r>
      <w:r>
        <w:rPr>
          <w:color w:val="000000" w:themeColor="text1"/>
        </w:rPr>
        <w:t>/</w:t>
      </w:r>
      <w:r w:rsidRPr="00F015E8">
        <w:rPr>
          <w:color w:val="000000" w:themeColor="text1"/>
        </w:rPr>
        <w:t>euro</w:t>
      </w:r>
      <w:r>
        <w:rPr>
          <w:color w:val="000000" w:themeColor="text1"/>
          <w:lang w:val="en-US"/>
        </w:rPr>
        <w:t>sh.</w:t>
      </w:r>
    </w:p>
  </w:footnote>
  <w:footnote w:id="200">
    <w:p w14:paraId="6110E93E" w14:textId="0DBD3D62" w:rsidR="00E14B89" w:rsidRPr="003D65F3" w:rsidRDefault="00E14B89" w:rsidP="00F015E8">
      <w:pPr>
        <w:pStyle w:val="REFERENCAAAAAA"/>
        <w:rPr>
          <w:sz w:val="18"/>
          <w:lang w:val="en-US"/>
        </w:rPr>
      </w:pPr>
      <w:r w:rsidRPr="00F015E8">
        <w:rPr>
          <w:rStyle w:val="FootnoteReference"/>
          <w:color w:val="000000" w:themeColor="text1"/>
          <w:sz w:val="16"/>
          <w:szCs w:val="16"/>
        </w:rPr>
        <w:footnoteRef/>
      </w:r>
      <w:r>
        <w:rPr>
          <w:color w:val="000000" w:themeColor="text1"/>
          <w:lang w:val="en-US"/>
        </w:rPr>
        <w:t xml:space="preserve"> </w:t>
      </w:r>
      <w:r w:rsidRPr="00F015E8">
        <w:rPr>
          <w:color w:val="000000" w:themeColor="text1"/>
        </w:rPr>
        <w:t>Vlerat e deklaruara në euro u llogaritën me një kurs këmbimi prej 136.985 lekë</w:t>
      </w:r>
      <w:r>
        <w:rPr>
          <w:color w:val="000000" w:themeColor="text1"/>
          <w:lang w:val="en-US"/>
        </w:rPr>
        <w:t>sh</w:t>
      </w:r>
      <w:r>
        <w:rPr>
          <w:color w:val="000000" w:themeColor="text1"/>
        </w:rPr>
        <w:t>/</w:t>
      </w:r>
      <w:r w:rsidRPr="00F015E8">
        <w:rPr>
          <w:color w:val="000000" w:themeColor="text1"/>
        </w:rPr>
        <w:t>euro</w:t>
      </w:r>
      <w:r>
        <w:rPr>
          <w:color w:val="000000" w:themeColor="text1"/>
          <w:lang w:val="en-US"/>
        </w:rPr>
        <w:t>sh.</w:t>
      </w:r>
    </w:p>
  </w:footnote>
  <w:footnote w:id="201">
    <w:p w14:paraId="60D0E5FC" w14:textId="44FEE9B5" w:rsidR="00E14B89" w:rsidRPr="00CE0C6F" w:rsidRDefault="00E14B89" w:rsidP="00F015E8">
      <w:pPr>
        <w:pStyle w:val="REFERENCAAAAAA"/>
      </w:pPr>
      <w:r w:rsidRPr="00F015E8">
        <w:rPr>
          <w:rStyle w:val="FootnoteReference"/>
          <w:color w:val="000000" w:themeColor="text1"/>
          <w:sz w:val="16"/>
          <w:szCs w:val="16"/>
        </w:rPr>
        <w:footnoteRef/>
      </w:r>
      <w:r>
        <w:rPr>
          <w:color w:val="000000" w:themeColor="text1"/>
          <w:lang w:val="en-US"/>
        </w:rPr>
        <w:t xml:space="preserve"> </w:t>
      </w:r>
      <w:r w:rsidRPr="00F015E8">
        <w:rPr>
          <w:color w:val="000000" w:themeColor="text1"/>
        </w:rPr>
        <w:t xml:space="preserve">Uji i pafaturuar (UPF) është uji që është prodhuar dhe është </w:t>
      </w:r>
      <w:r>
        <w:rPr>
          <w:color w:val="000000" w:themeColor="text1"/>
          <w:lang w:val="en-US"/>
        </w:rPr>
        <w:t>“</w:t>
      </w:r>
      <w:r w:rsidRPr="00F015E8">
        <w:rPr>
          <w:color w:val="000000" w:themeColor="text1"/>
        </w:rPr>
        <w:t>i humbur</w:t>
      </w:r>
      <w:r>
        <w:rPr>
          <w:color w:val="000000" w:themeColor="text1"/>
          <w:lang w:val="en-US"/>
        </w:rPr>
        <w:t>”</w:t>
      </w:r>
      <w:r w:rsidRPr="00F015E8">
        <w:rPr>
          <w:color w:val="000000" w:themeColor="text1"/>
        </w:rPr>
        <w:t xml:space="preserve"> përpara se të arrijë konsumatorin. Humbjet mund të jenë humbje reale (përmes rrjedhjeve, nganjëherë edhe të referuara si humbje fizike) ose humbjeve të dukshme (për shembull nëpërmjet vjedhjeve ose pasaktësive të matjes).</w:t>
      </w:r>
    </w:p>
  </w:footnote>
  <w:footnote w:id="202">
    <w:p w14:paraId="4913D50E" w14:textId="0B50C1B0" w:rsidR="00E14B89" w:rsidRPr="004D766E" w:rsidRDefault="00E14B89" w:rsidP="00591820">
      <w:pPr>
        <w:spacing w:before="113"/>
        <w:ind w:left="120"/>
        <w:jc w:val="both"/>
        <w:rPr>
          <w:rFonts w:ascii="Garamond" w:hAnsi="Garamond"/>
          <w:sz w:val="20"/>
          <w:szCs w:val="20"/>
          <w:lang w:val="it-IT"/>
        </w:rPr>
      </w:pPr>
      <w:r w:rsidRPr="004D766E">
        <w:rPr>
          <w:rStyle w:val="FootnoteReference"/>
          <w:rFonts w:ascii="Garamond" w:hAnsi="Garamond"/>
          <w:color w:val="auto"/>
          <w:sz w:val="20"/>
        </w:rPr>
        <w:footnoteRef/>
      </w:r>
      <w:r>
        <w:rPr>
          <w:rFonts w:ascii="Garamond" w:hAnsi="Garamond"/>
          <w:sz w:val="20"/>
          <w:szCs w:val="20"/>
          <w:lang w:val="it-IT"/>
        </w:rPr>
        <w:t xml:space="preserve"> </w:t>
      </w:r>
      <w:hyperlink r:id="rId8">
        <w:r w:rsidRPr="004D766E">
          <w:rPr>
            <w:rFonts w:ascii="Garamond" w:hAnsi="Garamond"/>
            <w:sz w:val="20"/>
            <w:szCs w:val="20"/>
            <w:lang w:val="it-IT"/>
          </w:rPr>
          <w:t>http://ec.europa.eu/environment/water/water-framework/facts_Figuras/guidance_docs_en.htm</w:t>
        </w:r>
      </w:hyperlink>
      <w:r>
        <w:rPr>
          <w:rFonts w:ascii="Garamond" w:hAnsi="Garamond"/>
          <w:sz w:val="20"/>
          <w:szCs w:val="20"/>
          <w:lang w:val="it-IT"/>
        </w:rPr>
        <w:t xml:space="preserve">. </w:t>
      </w:r>
    </w:p>
    <w:p w14:paraId="18E15221" w14:textId="77777777" w:rsidR="00E14B89" w:rsidRPr="000E77B3" w:rsidRDefault="00E14B89" w:rsidP="00591820">
      <w:pPr>
        <w:pStyle w:val="FootnoteText"/>
        <w:rPr>
          <w:lang w:val="it-IT"/>
        </w:rPr>
      </w:pPr>
    </w:p>
  </w:footnote>
  <w:footnote w:id="203">
    <w:p w14:paraId="17187FE0" w14:textId="1EED2F6C" w:rsidR="00E14B89" w:rsidRPr="004D766E" w:rsidRDefault="00E14B89" w:rsidP="00591820">
      <w:pPr>
        <w:pStyle w:val="FootnoteText"/>
        <w:rPr>
          <w:rFonts w:ascii="Garamond" w:hAnsi="Garamond"/>
          <w:sz w:val="20"/>
          <w:szCs w:val="20"/>
          <w:lang w:val="it-IT"/>
        </w:rPr>
      </w:pPr>
      <w:r w:rsidRPr="004D766E">
        <w:rPr>
          <w:rStyle w:val="FootnoteReference"/>
          <w:rFonts w:ascii="Garamond" w:hAnsi="Garamond"/>
          <w:color w:val="auto"/>
          <w:sz w:val="20"/>
        </w:rPr>
        <w:footnoteRef/>
      </w:r>
      <w:r w:rsidRPr="004D766E">
        <w:rPr>
          <w:rFonts w:ascii="Garamond" w:hAnsi="Garamond"/>
          <w:sz w:val="20"/>
          <w:szCs w:val="20"/>
          <w:lang w:val="it-IT"/>
        </w:rPr>
        <w:t xml:space="preserve"> Burimi: Enti Rr</w:t>
      </w:r>
      <w:r>
        <w:rPr>
          <w:rFonts w:ascii="Garamond" w:hAnsi="Garamond"/>
          <w:sz w:val="20"/>
          <w:szCs w:val="20"/>
          <w:lang w:val="it-IT"/>
        </w:rPr>
        <w:t>egullator Shqiptar i Sektorit të</w:t>
      </w:r>
      <w:r w:rsidRPr="004D766E">
        <w:rPr>
          <w:rFonts w:ascii="Garamond" w:hAnsi="Garamond"/>
          <w:sz w:val="20"/>
          <w:szCs w:val="20"/>
          <w:lang w:val="it-IT"/>
        </w:rPr>
        <w:t xml:space="preserve"> Shpërndarjes dhe Përpunimit t</w:t>
      </w:r>
      <w:r>
        <w:rPr>
          <w:rFonts w:ascii="Garamond" w:hAnsi="Garamond"/>
          <w:sz w:val="20"/>
          <w:szCs w:val="20"/>
          <w:lang w:val="it-IT"/>
        </w:rPr>
        <w:t>ë</w:t>
      </w:r>
      <w:r w:rsidRPr="004D766E">
        <w:rPr>
          <w:rFonts w:ascii="Garamond" w:hAnsi="Garamond"/>
          <w:sz w:val="20"/>
          <w:szCs w:val="20"/>
          <w:lang w:val="it-IT"/>
        </w:rPr>
        <w:t xml:space="preserve"> Ujit dhe Ujërave të Ndotura</w:t>
      </w:r>
      <w:r>
        <w:rPr>
          <w:rFonts w:ascii="Garamond" w:hAnsi="Garamond"/>
          <w:sz w:val="20"/>
          <w:szCs w:val="20"/>
          <w:lang w:val="it-IT"/>
        </w:rPr>
        <w:t>.</w:t>
      </w:r>
    </w:p>
  </w:footnote>
  <w:footnote w:id="204">
    <w:p w14:paraId="21EE7D95" w14:textId="77777777" w:rsidR="00E14B89" w:rsidRPr="00E33351" w:rsidRDefault="00E14B89" w:rsidP="00E33351">
      <w:pPr>
        <w:pStyle w:val="REFERENCAAAAAA"/>
        <w:rPr>
          <w:color w:val="000000" w:themeColor="text1"/>
        </w:rPr>
      </w:pPr>
      <w:r w:rsidRPr="00E33351">
        <w:rPr>
          <w:rStyle w:val="FootnoteReference"/>
          <w:color w:val="000000" w:themeColor="text1"/>
          <w:sz w:val="16"/>
          <w:szCs w:val="16"/>
        </w:rPr>
        <w:footnoteRef/>
      </w:r>
      <w:r w:rsidRPr="00E33351">
        <w:rPr>
          <w:color w:val="000000" w:themeColor="text1"/>
          <w:lang w:val="it-IT"/>
        </w:rPr>
        <w:t xml:space="preserve"> </w:t>
      </w:r>
      <w:r w:rsidRPr="00E33351">
        <w:rPr>
          <w:color w:val="000000" w:themeColor="text1"/>
        </w:rPr>
        <w:t>Neni 5 përfshin analizën e karakteristikave të baseneve ujore, një vlerësim të ndikimit të aktivitetit njerëzor në statusin e ujërave sipërfaqësore dhe nëntokësore, dhe një analizë ekonomike për përdorimin e ujit.</w:t>
      </w:r>
    </w:p>
  </w:footnote>
  <w:footnote w:id="205">
    <w:p w14:paraId="5554825D" w14:textId="5A6E0514" w:rsidR="00E14B89" w:rsidRPr="000E77B3" w:rsidRDefault="00E14B89" w:rsidP="00E33351">
      <w:pPr>
        <w:pStyle w:val="REFERENCAAAAAA"/>
        <w:rPr>
          <w:rFonts w:ascii="Times New Roman" w:hAnsi="Times New Roman"/>
          <w:lang w:val="it-IT"/>
        </w:rPr>
      </w:pPr>
      <w:r w:rsidRPr="00E33351">
        <w:rPr>
          <w:color w:val="000000" w:themeColor="text1"/>
          <w:lang w:val="it-IT"/>
        </w:rPr>
        <w:t xml:space="preserve"> </w:t>
      </w:r>
      <w:r w:rsidRPr="00E33351">
        <w:rPr>
          <w:rStyle w:val="FootnoteReference"/>
          <w:color w:val="000000" w:themeColor="text1"/>
          <w:sz w:val="16"/>
          <w:szCs w:val="16"/>
        </w:rPr>
        <w:footnoteRef/>
      </w:r>
      <w:r w:rsidRPr="00E33351">
        <w:rPr>
          <w:color w:val="000000" w:themeColor="text1"/>
          <w:lang w:val="it-IT"/>
        </w:rPr>
        <w:t xml:space="preserve"> Lista joekskluzive e masave plotësuese që shtetet anëtare brenda çdo rrethi të basenit ujor mund të zgjedhin të miratojnë si pjesë të programit të masave të kërkuara sipas ne</w:t>
      </w:r>
      <w:r>
        <w:rPr>
          <w:color w:val="000000" w:themeColor="text1"/>
          <w:lang w:val="it-IT"/>
        </w:rPr>
        <w:t>nit 11 (4) të DKU-së të BE-së.</w:t>
      </w:r>
    </w:p>
  </w:footnote>
  <w:footnote w:id="206">
    <w:p w14:paraId="2619FD55" w14:textId="451E1CFD" w:rsidR="00E14B89" w:rsidRPr="000E77B3" w:rsidRDefault="00E14B89" w:rsidP="00E33351">
      <w:pPr>
        <w:pStyle w:val="REFERENCAAAAAA"/>
      </w:pPr>
      <w:r w:rsidRPr="00E33351">
        <w:rPr>
          <w:rStyle w:val="FootnoteReference"/>
          <w:color w:val="000000" w:themeColor="text1"/>
          <w:sz w:val="16"/>
          <w:szCs w:val="16"/>
        </w:rPr>
        <w:footnoteRef/>
      </w:r>
      <w:r w:rsidRPr="00E33351">
        <w:rPr>
          <w:color w:val="000000" w:themeColor="text1"/>
          <w:lang w:val="it-IT"/>
        </w:rPr>
        <w:t xml:space="preserve"> </w:t>
      </w:r>
      <w:r w:rsidRPr="00E33351">
        <w:rPr>
          <w:color w:val="000000" w:themeColor="text1"/>
        </w:rPr>
        <w:t>Plani Kombëtar për Sektorin e Ujit (PKSU) përcakton vizionin, qëllimet dhe objektivat e sektorit në vitin 2030, në përputhje me Objektivat e Zhvillimit të Qëndrueshëm të OKB-së (a</w:t>
      </w:r>
      <w:r>
        <w:rPr>
          <w:color w:val="000000" w:themeColor="text1"/>
          <w:lang w:val="en-US"/>
        </w:rPr>
        <w:t>gje</w:t>
      </w:r>
      <w:r w:rsidRPr="00E33351">
        <w:rPr>
          <w:color w:val="000000" w:themeColor="text1"/>
        </w:rPr>
        <w:t>nda 2030) dhe cikli i hartimit të planeve të menaxhimit të baseneve ujore, që i referohen Direktivës Kuadër të Ujit.</w:t>
      </w:r>
    </w:p>
  </w:footnote>
  <w:footnote w:id="207">
    <w:p w14:paraId="4E186DA9" w14:textId="2433ED2F" w:rsidR="00E14B89" w:rsidRPr="00E33351" w:rsidRDefault="00E14B89" w:rsidP="00E33351">
      <w:pPr>
        <w:pStyle w:val="REFERENCAAAAAA"/>
        <w:rPr>
          <w:rFonts w:cs="Arial"/>
          <w:color w:val="000000" w:themeColor="text1"/>
        </w:rPr>
      </w:pPr>
      <w:r w:rsidRPr="00E33351">
        <w:rPr>
          <w:rStyle w:val="FootnoteReference"/>
          <w:color w:val="000000" w:themeColor="text1"/>
          <w:sz w:val="16"/>
          <w:szCs w:val="16"/>
        </w:rPr>
        <w:footnoteRef/>
      </w:r>
      <w:r>
        <w:rPr>
          <w:color w:val="000000" w:themeColor="text1"/>
          <w:lang w:val="en-US"/>
        </w:rPr>
        <w:t xml:space="preserve"> </w:t>
      </w:r>
      <w:r w:rsidRPr="00E33351">
        <w:rPr>
          <w:color w:val="000000" w:themeColor="text1"/>
        </w:rPr>
        <w:t>Integrimi gjinor është përqafuar ndërkombëtarisht si një strategji drejt realizimit të barazisë gjinore. Ai përfshin integrimin e një perspektive gjinore në përgatitjen, hartimin, zbatimin, monitorimin dhe vlerësimin e politikave, masave rregullatore dhe programeve të shpenzimeve, me qëllim promovimin e barazisë midis grave dhe burrave dhe</w:t>
      </w:r>
      <w:r>
        <w:rPr>
          <w:color w:val="000000" w:themeColor="text1"/>
        </w:rPr>
        <w:t xml:space="preserve"> luftimin e diskriminimit.</w:t>
      </w:r>
    </w:p>
  </w:footnote>
  <w:footnote w:id="208">
    <w:p w14:paraId="1A33C6B0" w14:textId="3C0DAF9B" w:rsidR="00E14B89" w:rsidRPr="00A76C09" w:rsidRDefault="00E14B89" w:rsidP="00E33351">
      <w:pPr>
        <w:pStyle w:val="REFERENCAAAAAA"/>
        <w:rPr>
          <w:color w:val="000000" w:themeColor="text1"/>
          <w:lang w:val="en-US"/>
        </w:rPr>
      </w:pPr>
      <w:r w:rsidRPr="00E33351">
        <w:rPr>
          <w:rStyle w:val="FootnoteReference"/>
          <w:color w:val="000000" w:themeColor="text1"/>
          <w:sz w:val="16"/>
          <w:szCs w:val="16"/>
          <w:lang w:val="sq-AL"/>
        </w:rPr>
        <w:footnoteRef/>
      </w:r>
      <w:r w:rsidRPr="00E33351">
        <w:rPr>
          <w:color w:val="000000" w:themeColor="text1"/>
        </w:rPr>
        <w:t xml:space="preserve"> PM-të paraqiten në tabelën 12.3</w:t>
      </w:r>
      <w:r>
        <w:rPr>
          <w:color w:val="000000" w:themeColor="text1"/>
          <w:lang w:val="en-US"/>
        </w:rPr>
        <w:t>.</w:t>
      </w:r>
    </w:p>
  </w:footnote>
  <w:footnote w:id="209">
    <w:p w14:paraId="4F59FCB1" w14:textId="1419C7AB" w:rsidR="00E14B89" w:rsidRPr="00A76C09" w:rsidRDefault="00E14B89" w:rsidP="00E33351">
      <w:pPr>
        <w:pStyle w:val="REFERENCAAAAAA"/>
        <w:rPr>
          <w:lang w:val="en-US"/>
        </w:rPr>
      </w:pPr>
      <w:r w:rsidRPr="00E33351">
        <w:rPr>
          <w:rStyle w:val="FootnoteReference"/>
          <w:color w:val="000000" w:themeColor="text1"/>
          <w:sz w:val="16"/>
          <w:szCs w:val="16"/>
          <w:lang w:val="sq-AL"/>
        </w:rPr>
        <w:footnoteRef/>
      </w:r>
      <w:r w:rsidRPr="00E33351">
        <w:rPr>
          <w:color w:val="000000" w:themeColor="text1"/>
        </w:rPr>
        <w:t xml:space="preserve"> Në përputhje me ligjin nr. 9970/2007, neni 15</w:t>
      </w:r>
      <w:r>
        <w:rPr>
          <w:color w:val="000000" w:themeColor="text1"/>
          <w:lang w:val="en-US"/>
        </w:rPr>
        <w:t>.</w:t>
      </w:r>
    </w:p>
  </w:footnote>
  <w:footnote w:id="210">
    <w:p w14:paraId="63EA0674" w14:textId="20F6C918" w:rsidR="00E14B89" w:rsidRPr="00A76C09" w:rsidRDefault="00E14B89" w:rsidP="00410865">
      <w:pPr>
        <w:pStyle w:val="REFERENCAAAAAA"/>
        <w:rPr>
          <w:color w:val="000000" w:themeColor="text1"/>
          <w:szCs w:val="20"/>
        </w:rPr>
      </w:pPr>
      <w:r w:rsidRPr="00A76C09">
        <w:rPr>
          <w:rStyle w:val="FootnoteReference"/>
          <w:rFonts w:ascii="Garamond" w:hAnsi="Garamond"/>
          <w:color w:val="000000" w:themeColor="text1"/>
        </w:rPr>
        <w:footnoteRef/>
      </w:r>
      <w:r w:rsidRPr="00A76C09">
        <w:rPr>
          <w:color w:val="000000" w:themeColor="text1"/>
          <w:szCs w:val="20"/>
        </w:rPr>
        <w:t xml:space="preserve"> Në disa raste, masat e propozuara përfshijnë masat </w:t>
      </w:r>
      <w:r>
        <w:rPr>
          <w:color w:val="000000" w:themeColor="text1"/>
          <w:szCs w:val="20"/>
          <w:lang w:val="en-US"/>
        </w:rPr>
        <w:t>“</w:t>
      </w:r>
      <w:r w:rsidRPr="00A76C09">
        <w:rPr>
          <w:color w:val="000000" w:themeColor="text1"/>
          <w:szCs w:val="20"/>
        </w:rPr>
        <w:t>bazë</w:t>
      </w:r>
      <w:r>
        <w:rPr>
          <w:color w:val="000000" w:themeColor="text1"/>
          <w:szCs w:val="20"/>
          <w:lang w:val="en-US"/>
        </w:rPr>
        <w:t>”</w:t>
      </w:r>
      <w:r w:rsidRPr="00A76C09">
        <w:rPr>
          <w:color w:val="000000" w:themeColor="text1"/>
          <w:szCs w:val="20"/>
        </w:rPr>
        <w:t xml:space="preserve"> dhe </w:t>
      </w:r>
      <w:r>
        <w:rPr>
          <w:color w:val="000000" w:themeColor="text1"/>
          <w:szCs w:val="20"/>
          <w:lang w:val="en-US"/>
        </w:rPr>
        <w:t>“</w:t>
      </w:r>
      <w:r w:rsidRPr="00A76C09">
        <w:rPr>
          <w:color w:val="000000" w:themeColor="text1"/>
          <w:szCs w:val="20"/>
        </w:rPr>
        <w:t>plotësuese</w:t>
      </w:r>
      <w:r>
        <w:rPr>
          <w:color w:val="000000" w:themeColor="text1"/>
          <w:szCs w:val="20"/>
          <w:lang w:val="en-US"/>
        </w:rPr>
        <w:t>”</w:t>
      </w:r>
      <w:r w:rsidRPr="00A76C09">
        <w:rPr>
          <w:color w:val="000000" w:themeColor="text1"/>
          <w:szCs w:val="20"/>
        </w:rPr>
        <w:t xml:space="preserve">. Këto të fundit përfshijnë studimet e domosdoshme ose studimet e fizibilitetit që duhen plotësuar para se të ndërmarrin masat </w:t>
      </w:r>
      <w:r>
        <w:rPr>
          <w:color w:val="000000" w:themeColor="text1"/>
          <w:szCs w:val="20"/>
          <w:lang w:val="en-US"/>
        </w:rPr>
        <w:t>“</w:t>
      </w:r>
      <w:r w:rsidRPr="00A76C09">
        <w:rPr>
          <w:color w:val="000000" w:themeColor="text1"/>
          <w:szCs w:val="20"/>
        </w:rPr>
        <w:t>bazë</w:t>
      </w:r>
      <w:r>
        <w:rPr>
          <w:color w:val="000000" w:themeColor="text1"/>
          <w:szCs w:val="20"/>
          <w:lang w:val="en-US"/>
        </w:rPr>
        <w:t>”</w:t>
      </w:r>
      <w:r w:rsidRPr="00A76C09">
        <w:rPr>
          <w:color w:val="000000" w:themeColor="text1"/>
          <w:szCs w:val="20"/>
        </w:rPr>
        <w:t>.</w:t>
      </w:r>
    </w:p>
  </w:footnote>
  <w:footnote w:id="211">
    <w:p w14:paraId="24066D81" w14:textId="368D52D8" w:rsidR="00E14B89" w:rsidRPr="00A76C09" w:rsidRDefault="00E14B89" w:rsidP="00410865">
      <w:pPr>
        <w:pStyle w:val="REFERENCAAAAAA"/>
        <w:rPr>
          <w:color w:val="000000" w:themeColor="text1"/>
          <w:szCs w:val="20"/>
        </w:rPr>
      </w:pPr>
      <w:r w:rsidRPr="00A76C09">
        <w:rPr>
          <w:rStyle w:val="FootnoteReference"/>
          <w:rFonts w:ascii="Garamond" w:hAnsi="Garamond"/>
          <w:color w:val="000000" w:themeColor="text1"/>
          <w:lang w:val="sq-AL"/>
        </w:rPr>
        <w:footnoteRef/>
      </w:r>
      <w:r w:rsidRPr="00A76C09">
        <w:rPr>
          <w:color w:val="000000" w:themeColor="text1"/>
          <w:szCs w:val="20"/>
        </w:rPr>
        <w:t xml:space="preserve"> Institucionet mbështetëse në kllapa</w:t>
      </w:r>
      <w:r>
        <w:rPr>
          <w:color w:val="000000" w:themeColor="text1"/>
          <w:szCs w:val="20"/>
          <w:lang w:val="en-US"/>
        </w:rPr>
        <w:t>.</w:t>
      </w:r>
      <w:r w:rsidRPr="00A76C09">
        <w:rPr>
          <w:color w:val="000000" w:themeColor="text1"/>
          <w:szCs w:val="20"/>
        </w:rPr>
        <w:t xml:space="preserve"> </w:t>
      </w:r>
    </w:p>
  </w:footnote>
  <w:footnote w:id="212">
    <w:p w14:paraId="25A3ADC7" w14:textId="66AFF9FD" w:rsidR="00E14B89" w:rsidRPr="00A76C09" w:rsidRDefault="00E14B89" w:rsidP="00410865">
      <w:pPr>
        <w:pStyle w:val="REFERENCAAAAAA"/>
        <w:rPr>
          <w:szCs w:val="20"/>
        </w:rPr>
      </w:pPr>
      <w:r w:rsidRPr="00A76C09">
        <w:rPr>
          <w:rStyle w:val="FootnoteReference"/>
          <w:rFonts w:ascii="Garamond" w:hAnsi="Garamond"/>
          <w:color w:val="000000" w:themeColor="text1"/>
          <w:lang w:val="sq-AL"/>
        </w:rPr>
        <w:footnoteRef/>
      </w:r>
      <w:r w:rsidRPr="00A76C09">
        <w:rPr>
          <w:color w:val="000000" w:themeColor="text1"/>
          <w:szCs w:val="20"/>
        </w:rPr>
        <w:t xml:space="preserve"> Duke përfshirë fondet IPA</w:t>
      </w:r>
      <w:r>
        <w:rPr>
          <w:color w:val="000000" w:themeColor="text1"/>
          <w:szCs w:val="20"/>
          <w:lang w:val="en-US"/>
        </w:rPr>
        <w:t>.</w:t>
      </w:r>
      <w:r w:rsidRPr="00A76C09">
        <w:rPr>
          <w:color w:val="000000" w:themeColor="text1"/>
          <w:szCs w:val="20"/>
        </w:rPr>
        <w:t xml:space="preserve"> </w:t>
      </w:r>
    </w:p>
  </w:footnote>
  <w:footnote w:id="213">
    <w:p w14:paraId="134E82D0" w14:textId="77777777" w:rsidR="00E14B89" w:rsidRPr="00A76C09" w:rsidRDefault="00E14B89" w:rsidP="00410865">
      <w:pPr>
        <w:pStyle w:val="REFERENCAAAAAA"/>
        <w:rPr>
          <w:szCs w:val="20"/>
        </w:rPr>
      </w:pPr>
      <w:r w:rsidRPr="00A76C09">
        <w:rPr>
          <w:rStyle w:val="FootnoteReference"/>
          <w:rFonts w:ascii="Garamond" w:hAnsi="Garamond"/>
          <w:color w:val="000000" w:themeColor="text1"/>
        </w:rPr>
        <w:footnoteRef/>
      </w:r>
      <w:r w:rsidRPr="00A76C09">
        <w:rPr>
          <w:color w:val="000000" w:themeColor="text1"/>
          <w:szCs w:val="20"/>
        </w:rPr>
        <w:t xml:space="preserve"> Ngritja e një programi monitorimi do të përfshijë blerjen fillestare të pajisjeve dhe programeve të nevojshme për të përmbushur kërkesat e BE-së për DKU-në plus koston e të gjitha analizave.</w:t>
      </w:r>
    </w:p>
  </w:footnote>
  <w:footnote w:id="214">
    <w:p w14:paraId="09439240" w14:textId="67A84805" w:rsidR="00E14B89" w:rsidRPr="00A76C09" w:rsidRDefault="00E14B89" w:rsidP="003E0CF6">
      <w:pPr>
        <w:pStyle w:val="FootnoteText"/>
        <w:rPr>
          <w:rFonts w:ascii="Garamond" w:hAnsi="Garamond"/>
          <w:sz w:val="20"/>
          <w:szCs w:val="20"/>
          <w:lang w:val="en-US"/>
        </w:rPr>
      </w:pPr>
      <w:r w:rsidRPr="00A76C09">
        <w:rPr>
          <w:rStyle w:val="FootnoteReference"/>
          <w:rFonts w:ascii="Garamond" w:hAnsi="Garamond"/>
          <w:color w:val="auto"/>
          <w:sz w:val="20"/>
        </w:rPr>
        <w:footnoteRef/>
      </w:r>
      <w:r w:rsidRPr="00A76C09">
        <w:rPr>
          <w:rFonts w:ascii="Garamond" w:hAnsi="Garamond"/>
          <w:sz w:val="20"/>
          <w:szCs w:val="20"/>
        </w:rPr>
        <w:t xml:space="preserve"> Objektivat mjedisor</w:t>
      </w:r>
      <w:r w:rsidRPr="00A76C09">
        <w:rPr>
          <w:rFonts w:ascii="Garamond" w:hAnsi="Garamond"/>
          <w:sz w:val="20"/>
          <w:szCs w:val="20"/>
          <w:lang w:val="en-US"/>
        </w:rPr>
        <w:t>ë</w:t>
      </w:r>
      <w:r w:rsidRPr="00A76C09">
        <w:rPr>
          <w:rFonts w:ascii="Garamond" w:hAnsi="Garamond"/>
          <w:sz w:val="20"/>
          <w:szCs w:val="20"/>
        </w:rPr>
        <w:t xml:space="preserve"> janë specifikuar n</w:t>
      </w:r>
      <w:r w:rsidRPr="00A76C09">
        <w:rPr>
          <w:rFonts w:ascii="Garamond" w:hAnsi="Garamond"/>
          <w:sz w:val="20"/>
          <w:szCs w:val="20"/>
          <w:lang w:val="en-US"/>
        </w:rPr>
        <w:t>ë</w:t>
      </w:r>
      <w:r w:rsidRPr="00A76C09">
        <w:rPr>
          <w:rFonts w:ascii="Garamond" w:hAnsi="Garamond"/>
          <w:sz w:val="20"/>
          <w:szCs w:val="20"/>
        </w:rPr>
        <w:t xml:space="preserve"> seksionin 10.</w:t>
      </w:r>
    </w:p>
  </w:footnote>
  <w:footnote w:id="215">
    <w:p w14:paraId="004E6058" w14:textId="3DDFCB06" w:rsidR="00E14B89" w:rsidRPr="00A76C09" w:rsidRDefault="00E14B89" w:rsidP="003E0CF6">
      <w:pPr>
        <w:pStyle w:val="REFERENCAAAAAA"/>
        <w:rPr>
          <w:szCs w:val="20"/>
        </w:rPr>
      </w:pPr>
      <w:r w:rsidRPr="00A76C09">
        <w:rPr>
          <w:rStyle w:val="FootnoteReference"/>
          <w:rFonts w:ascii="Garamond" w:hAnsi="Garamond"/>
          <w:color w:val="000000" w:themeColor="text1"/>
        </w:rPr>
        <w:footnoteRef/>
      </w:r>
      <w:r w:rsidRPr="00A76C09">
        <w:rPr>
          <w:color w:val="000000" w:themeColor="text1"/>
          <w:szCs w:val="20"/>
        </w:rPr>
        <w:t xml:space="preserve"> Numrat e seminareve trajnues janë sipas grafikut të veprimtarive, specifikisht disa data mund të mos përputhen me numrin e seminareve trajnues (për shembull</w:t>
      </w:r>
      <w:r>
        <w:rPr>
          <w:color w:val="000000" w:themeColor="text1"/>
          <w:szCs w:val="20"/>
          <w:lang w:val="en-US"/>
        </w:rPr>
        <w:t>,</w:t>
      </w:r>
      <w:r w:rsidRPr="00A76C09">
        <w:rPr>
          <w:color w:val="000000" w:themeColor="text1"/>
          <w:szCs w:val="20"/>
        </w:rPr>
        <w:t xml:space="preserve"> WS nr. 3 dhe 5).</w:t>
      </w:r>
    </w:p>
  </w:footnote>
  <w:footnote w:id="216">
    <w:p w14:paraId="3A1E10B1" w14:textId="4D7C6B89" w:rsidR="00E14B89" w:rsidRPr="00A76C09" w:rsidRDefault="00E14B89" w:rsidP="002D1530">
      <w:pPr>
        <w:pStyle w:val="REFERENCAAAAAA"/>
        <w:rPr>
          <w:lang w:val="en-US"/>
        </w:rPr>
      </w:pPr>
      <w:r w:rsidRPr="002D1530">
        <w:rPr>
          <w:rStyle w:val="FootnoteReference"/>
          <w:color w:val="000000" w:themeColor="text1"/>
          <w:sz w:val="16"/>
          <w:szCs w:val="16"/>
        </w:rPr>
        <w:footnoteRef/>
      </w:r>
      <w:r w:rsidRPr="002D1530">
        <w:rPr>
          <w:color w:val="000000" w:themeColor="text1"/>
        </w:rPr>
        <w:t xml:space="preserve"> INSTAT</w:t>
      </w:r>
      <w:r>
        <w:rPr>
          <w:color w:val="000000" w:themeColor="text1"/>
          <w:lang w:val="en-US"/>
        </w:rPr>
        <w:t>.</w:t>
      </w:r>
    </w:p>
  </w:footnote>
  <w:footnote w:id="217">
    <w:p w14:paraId="2E731C49" w14:textId="3936561D" w:rsidR="00E14B89" w:rsidRPr="00A76C09" w:rsidRDefault="00E14B89" w:rsidP="002D1530">
      <w:pPr>
        <w:pStyle w:val="REFERENCAAAAAA"/>
        <w:rPr>
          <w:color w:val="000000" w:themeColor="text1"/>
          <w:lang w:val="en-US"/>
        </w:rPr>
      </w:pPr>
      <w:r w:rsidRPr="002D1530">
        <w:rPr>
          <w:rStyle w:val="FootnoteReference"/>
          <w:color w:val="000000" w:themeColor="text1"/>
          <w:sz w:val="16"/>
          <w:szCs w:val="16"/>
        </w:rPr>
        <w:footnoteRef/>
      </w:r>
      <w:r w:rsidRPr="002D1530">
        <w:rPr>
          <w:color w:val="000000" w:themeColor="text1"/>
        </w:rPr>
        <w:t xml:space="preserve"> INSTAT të dhëna draft</w:t>
      </w:r>
      <w:r>
        <w:rPr>
          <w:color w:val="000000" w:themeColor="text1"/>
          <w:lang w:val="en-US"/>
        </w:rPr>
        <w:t>.</w:t>
      </w:r>
    </w:p>
  </w:footnote>
  <w:footnote w:id="218">
    <w:p w14:paraId="50C8501D" w14:textId="77777777" w:rsidR="00E14B89" w:rsidRPr="002D1530" w:rsidRDefault="00E14B89" w:rsidP="002D1530">
      <w:pPr>
        <w:pStyle w:val="REFERENCAAAAAA"/>
        <w:rPr>
          <w:color w:val="000000" w:themeColor="text1"/>
          <w:sz w:val="2"/>
          <w:lang w:val="en-US"/>
        </w:rPr>
      </w:pPr>
    </w:p>
  </w:footnote>
  <w:footnote w:id="219">
    <w:p w14:paraId="2FB64692" w14:textId="74926D39" w:rsidR="00E14B89" w:rsidRPr="00A76C09" w:rsidRDefault="00E14B89" w:rsidP="002D1530">
      <w:pPr>
        <w:pStyle w:val="REFERENCAAAAAA"/>
        <w:rPr>
          <w:lang w:val="en-US"/>
        </w:rPr>
      </w:pPr>
      <w:r w:rsidRPr="002D1530">
        <w:rPr>
          <w:rStyle w:val="FootnoteReference"/>
          <w:color w:val="000000" w:themeColor="text1"/>
          <w:sz w:val="16"/>
          <w:szCs w:val="16"/>
        </w:rPr>
        <w:footnoteRef/>
      </w:r>
      <w:r w:rsidRPr="002D1530">
        <w:rPr>
          <w:color w:val="000000" w:themeColor="text1"/>
        </w:rPr>
        <w:t xml:space="preserve"> Meshkuj dhe femra në vitin 2015, INSTAT</w:t>
      </w:r>
      <w:r>
        <w:rPr>
          <w:color w:val="000000" w:themeColor="text1"/>
          <w:lang w:val="en-US"/>
        </w:rPr>
        <w:t>.</w:t>
      </w:r>
    </w:p>
  </w:footnote>
  <w:footnote w:id="220">
    <w:p w14:paraId="2C7920B6" w14:textId="307529FB" w:rsidR="00E14B89" w:rsidRPr="00A76C09" w:rsidRDefault="00E14B89" w:rsidP="00E43879">
      <w:pPr>
        <w:pStyle w:val="REFERENCAAAAAA"/>
        <w:rPr>
          <w:color w:val="000000" w:themeColor="text1"/>
          <w:lang w:val="en-US"/>
        </w:rPr>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Objektivat strategjikë janë prezantuar në Strategjinë e Ujit, Shqipëri (2018)</w:t>
      </w:r>
      <w:r>
        <w:rPr>
          <w:color w:val="000000" w:themeColor="text1"/>
          <w:lang w:val="en-US"/>
        </w:rPr>
        <w:t>.</w:t>
      </w:r>
    </w:p>
  </w:footnote>
  <w:footnote w:id="221">
    <w:p w14:paraId="3DE8A116" w14:textId="19D848D8" w:rsidR="00E14B89" w:rsidRPr="00A76C09" w:rsidRDefault="00E14B89" w:rsidP="00E43879">
      <w:pPr>
        <w:pStyle w:val="REFERENCAAAAAA"/>
        <w:rPr>
          <w:vertAlign w:val="superscript"/>
          <w:lang w:val="en-US"/>
        </w:rPr>
      </w:pPr>
      <w:r w:rsidRPr="00E43879">
        <w:rPr>
          <w:color w:val="000000" w:themeColor="text1"/>
          <w:vertAlign w:val="superscript"/>
        </w:rPr>
        <w:footnoteRef/>
      </w:r>
      <w:r>
        <w:rPr>
          <w:color w:val="000000" w:themeColor="text1"/>
          <w:vertAlign w:val="superscript"/>
        </w:rPr>
        <w:t xml:space="preserve"> </w:t>
      </w:r>
      <w:r w:rsidRPr="00E43879">
        <w:rPr>
          <w:color w:val="000000" w:themeColor="text1"/>
        </w:rPr>
        <w:t>OZHQ: 17 Qëllime zhvillimore të qëndrueshme: siç përcaktohet nga UN: https://sustainabledevelopment.un.org/sdgs</w:t>
      </w:r>
      <w:r>
        <w:rPr>
          <w:color w:val="000000" w:themeColor="text1"/>
          <w:lang w:val="en-US"/>
        </w:rPr>
        <w:t>.</w:t>
      </w:r>
    </w:p>
  </w:footnote>
  <w:footnote w:id="222">
    <w:p w14:paraId="2078A0F6" w14:textId="39E67B22" w:rsidR="00E14B89" w:rsidRPr="00E43879" w:rsidRDefault="00E14B89" w:rsidP="00E43879">
      <w:pPr>
        <w:pStyle w:val="REFERENCAAAAAA"/>
        <w:rPr>
          <w:color w:val="000000" w:themeColor="text1"/>
        </w:rPr>
      </w:pPr>
      <w:r w:rsidRPr="00E43879">
        <w:rPr>
          <w:color w:val="000000" w:themeColor="text1"/>
          <w:vertAlign w:val="superscript"/>
        </w:rPr>
        <w:footnoteRef/>
      </w:r>
      <w:r w:rsidRPr="00E43879">
        <w:rPr>
          <w:color w:val="000000" w:themeColor="text1"/>
        </w:rPr>
        <w:t xml:space="preserve"> Objektivat strategjik</w:t>
      </w:r>
      <w:r>
        <w:rPr>
          <w:color w:val="000000" w:themeColor="text1"/>
          <w:lang w:val="en-US"/>
        </w:rPr>
        <w:t>ë</w:t>
      </w:r>
      <w:r w:rsidRPr="00E43879">
        <w:rPr>
          <w:color w:val="000000" w:themeColor="text1"/>
        </w:rPr>
        <w:t xml:space="preserve"> janë paraqitur në Strategjinë Shqiptare për Ujin (2018), sigurimi i një përdorimi të drejtë dhe të qëndrueshëm i të gjitha burimeve ujore, duke i shërbyer të gjitha interesave.</w:t>
      </w:r>
    </w:p>
  </w:footnote>
  <w:footnote w:id="223">
    <w:p w14:paraId="4EC3BA49" w14:textId="03C8D75C" w:rsidR="00E14B89" w:rsidRPr="000E77B3" w:rsidRDefault="00E14B89" w:rsidP="00E43879">
      <w:pPr>
        <w:pStyle w:val="REFERENCAAAAAA"/>
        <w:rPr>
          <w:vertAlign w:val="superscript"/>
        </w:rPr>
      </w:pPr>
      <w:r w:rsidRPr="00E43879">
        <w:rPr>
          <w:color w:val="000000" w:themeColor="text1"/>
          <w:vertAlign w:val="superscript"/>
        </w:rPr>
        <w:footnoteRef/>
      </w:r>
      <w:r w:rsidRPr="00E43879">
        <w:rPr>
          <w:color w:val="000000" w:themeColor="text1"/>
        </w:rPr>
        <w:t xml:space="preserve"> “E brendshme” </w:t>
      </w:r>
      <w:r>
        <w:rPr>
          <w:color w:val="000000" w:themeColor="text1"/>
          <w:lang w:val="en-US"/>
        </w:rPr>
        <w:t>u</w:t>
      </w:r>
      <w:r w:rsidRPr="00E43879">
        <w:rPr>
          <w:color w:val="000000" w:themeColor="text1"/>
        </w:rPr>
        <w:t xml:space="preserve"> referohet degëve të brendshme, shërbimeve, zyrave</w:t>
      </w:r>
      <w:r>
        <w:rPr>
          <w:color w:val="000000" w:themeColor="text1"/>
        </w:rPr>
        <w:t xml:space="preserve"> etj.</w:t>
      </w:r>
      <w:r w:rsidRPr="00E43879">
        <w:rPr>
          <w:color w:val="000000" w:themeColor="text1"/>
        </w:rPr>
        <w:t xml:space="preserve"> të institucioneve shtetërore përkatëse, mbi të cilat ka kontroll të drejtpërdrejtë. “E jashtme” </w:t>
      </w:r>
      <w:r>
        <w:rPr>
          <w:color w:val="000000" w:themeColor="text1"/>
          <w:lang w:val="en-US"/>
        </w:rPr>
        <w:t>u</w:t>
      </w:r>
      <w:r w:rsidRPr="00E43879">
        <w:rPr>
          <w:color w:val="000000" w:themeColor="text1"/>
        </w:rPr>
        <w:t xml:space="preserve"> referohet organizatave si OJQ-të, institucione financiare, shoqatave të profesionistëve</w:t>
      </w:r>
      <w:r>
        <w:rPr>
          <w:color w:val="000000" w:themeColor="text1"/>
        </w:rPr>
        <w:t xml:space="preserve"> etj.</w:t>
      </w:r>
      <w:r w:rsidRPr="00E43879">
        <w:rPr>
          <w:color w:val="000000" w:themeColor="text1"/>
        </w:rPr>
        <w:t xml:space="preserve">, mbi të cilat institucioni shtetëror nuk ka kontroll të drejtpërdrejtë. </w:t>
      </w:r>
    </w:p>
  </w:footnote>
  <w:footnote w:id="224">
    <w:p w14:paraId="45CE4FD8" w14:textId="0B00FFF6" w:rsidR="00E14B89" w:rsidRPr="00E43879" w:rsidRDefault="00E14B89" w:rsidP="00E43879">
      <w:pPr>
        <w:pStyle w:val="REFERENCAAAAAA"/>
        <w:rPr>
          <w:color w:val="000000" w:themeColor="text1"/>
          <w:vertAlign w:val="superscript"/>
        </w:rPr>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Objektivat strategjik</w:t>
      </w:r>
      <w:r>
        <w:rPr>
          <w:color w:val="000000" w:themeColor="text1"/>
          <w:lang w:val="en-US"/>
        </w:rPr>
        <w:t>ë</w:t>
      </w:r>
      <w:r w:rsidRPr="00E43879">
        <w:rPr>
          <w:color w:val="000000" w:themeColor="text1"/>
        </w:rPr>
        <w:t xml:space="preserve"> janë paraqitur në Strategjinë e Ujit Shqiptar (2018). Është siguruar cilësia e të gjitha burimeve ujore, duke arritur status të mirë deri në vitin 2027.</w:t>
      </w:r>
    </w:p>
  </w:footnote>
  <w:footnote w:id="225">
    <w:p w14:paraId="16D9FCB2" w14:textId="486A1CD9" w:rsidR="00E14B89" w:rsidRPr="000E77B3" w:rsidRDefault="00E14B89" w:rsidP="00E43879">
      <w:pPr>
        <w:pStyle w:val="REFERENCAAAAAA"/>
      </w:pPr>
      <w:r w:rsidRPr="003B3F1D">
        <w:rPr>
          <w:vertAlign w:val="superscript"/>
        </w:rPr>
        <w:footnoteRef/>
      </w:r>
      <w:r w:rsidRPr="000E77B3">
        <w:t xml:space="preserve"> Objektivat strategjik</w:t>
      </w:r>
      <w:r>
        <w:rPr>
          <w:lang w:val="en-US"/>
        </w:rPr>
        <w:t>ë</w:t>
      </w:r>
      <w:r w:rsidRPr="000E77B3">
        <w:t xml:space="preserve"> janë paraqitur në Strategjinë Shqiptare të Ujit (2018), d</w:t>
      </w:r>
      <w:r>
        <w:rPr>
          <w:lang w:val="en-US"/>
        </w:rPr>
        <w:t>.</w:t>
      </w:r>
      <w:r w:rsidRPr="000E77B3">
        <w:t>m</w:t>
      </w:r>
      <w:r>
        <w:rPr>
          <w:lang w:val="en-US"/>
        </w:rPr>
        <w:t>.</w:t>
      </w:r>
      <w:r w:rsidRPr="000E77B3">
        <w:t>th. Të dhënat dhe modelet e besueshme të ujit dhe klimës të pranuara përgjithësisht janë të siguruara për të gjitha palët e interesuara dhe këshilla adekuate e politikave të bazuara në këto të dhëna dhe modele sigurohen nga qeveria nga pronarët përkatës të të dhënave institucionale.</w:t>
      </w:r>
    </w:p>
  </w:footnote>
  <w:footnote w:id="226">
    <w:p w14:paraId="43BFE95E" w14:textId="1D95D9D4" w:rsidR="00E14B89" w:rsidRPr="000E77B3" w:rsidRDefault="00E14B89" w:rsidP="00E43879">
      <w:pPr>
        <w:pStyle w:val="REFERENCAAAAAA"/>
        <w:rPr>
          <w:vertAlign w:val="superscript"/>
          <w:lang w:val="de-DE"/>
        </w:rPr>
      </w:pPr>
      <w:r w:rsidRPr="003B3F1D">
        <w:rPr>
          <w:vertAlign w:val="superscript"/>
        </w:rPr>
        <w:footnoteRef/>
      </w:r>
      <w:r w:rsidRPr="000E77B3">
        <w:rPr>
          <w:lang w:val="de-DE"/>
        </w:rPr>
        <w:t xml:space="preserve"> Grupet e interesit 1</w:t>
      </w:r>
      <w:r>
        <w:rPr>
          <w:lang w:val="de-DE"/>
        </w:rPr>
        <w:t>–</w:t>
      </w:r>
      <w:r w:rsidRPr="000E77B3">
        <w:rPr>
          <w:lang w:val="de-DE"/>
        </w:rPr>
        <w:t>4</w:t>
      </w:r>
      <w:r>
        <w:rPr>
          <w:lang w:val="de-DE"/>
        </w:rPr>
        <w:t>,</w:t>
      </w:r>
      <w:r w:rsidRPr="000E77B3">
        <w:rPr>
          <w:lang w:val="de-DE"/>
        </w:rPr>
        <w:t xml:space="preserve"> siç përcaktohen në planin me njohjen e PMBU-ve.</w:t>
      </w:r>
    </w:p>
  </w:footnote>
  <w:footnote w:id="227">
    <w:p w14:paraId="34689789" w14:textId="56DCAD7B" w:rsidR="00E14B89" w:rsidRPr="00A76C09" w:rsidRDefault="00E14B89" w:rsidP="00E43879">
      <w:pPr>
        <w:pStyle w:val="REFERENCAAAAAA"/>
      </w:pPr>
      <w:r w:rsidRPr="00A76C09">
        <w:rPr>
          <w:vertAlign w:val="superscript"/>
        </w:rPr>
        <w:footnoteRef/>
      </w:r>
      <w:r w:rsidRPr="00A76C09">
        <w:rPr>
          <w:vertAlign w:val="superscript"/>
        </w:rPr>
        <w:t xml:space="preserve"> </w:t>
      </w:r>
      <w:r w:rsidRPr="00A76C09">
        <w:t>Objektivat strategjik</w:t>
      </w:r>
      <w:r>
        <w:rPr>
          <w:lang w:val="en-US"/>
        </w:rPr>
        <w:t>ë</w:t>
      </w:r>
      <w:r w:rsidRPr="00A76C09">
        <w:t xml:space="preserve"> janë paraqitur në Strategjinë Shqiptare për Ujin (2018), sigurimi i një përdorimi të drejtë dhe të qëndrueshëm i të gjitha burimeve ujore, duke i shërbyer të gjitha interesave.</w:t>
      </w:r>
    </w:p>
  </w:footnote>
  <w:footnote w:id="228">
    <w:p w14:paraId="2B8A3B30" w14:textId="5D9D035B" w:rsidR="00E14B89" w:rsidRPr="00A76C09" w:rsidRDefault="00E14B89" w:rsidP="00E43879">
      <w:pPr>
        <w:pStyle w:val="REFERENCAAAAAA"/>
      </w:pPr>
      <w:r w:rsidRPr="00A76C09">
        <w:rPr>
          <w:vertAlign w:val="superscript"/>
        </w:rPr>
        <w:footnoteRef/>
      </w:r>
      <w:r w:rsidRPr="00A76C09">
        <w:rPr>
          <w:vertAlign w:val="superscript"/>
        </w:rPr>
        <w:t xml:space="preserve"> </w:t>
      </w:r>
      <w:r w:rsidRPr="00A76C09">
        <w:t>Siç u përmend</w:t>
      </w:r>
      <w:r>
        <w:rPr>
          <w:lang w:val="en-US"/>
        </w:rPr>
        <w:t>,</w:t>
      </w:r>
      <w:r w:rsidRPr="00A76C09">
        <w:t xml:space="preserve"> OECD</w:t>
      </w:r>
      <w:r>
        <w:rPr>
          <w:lang w:val="en-US"/>
        </w:rPr>
        <w:t>-ja</w:t>
      </w:r>
      <w:r w:rsidRPr="00A76C09">
        <w:t xml:space="preserve"> po punon akoma për grupin e treguesve për qeverisjen e ujit; sugjerohet të përcaktohet vlera e treguesve bazuar në anketimet me intervista siç është bërë për Raportin e Statusit në Aplikimin për Qasjet e Integruara ndaj Menaxhimit të Burimeve Ujore të OKB-së, 2012, që përfshin</w:t>
      </w:r>
      <w:r>
        <w:rPr>
          <w:lang w:val="en-US"/>
        </w:rPr>
        <w:t>,</w:t>
      </w:r>
      <w:r w:rsidRPr="00A76C09">
        <w:t xml:space="preserve"> gjithashtu</w:t>
      </w:r>
      <w:r>
        <w:rPr>
          <w:lang w:val="en-US"/>
        </w:rPr>
        <w:t>,</w:t>
      </w:r>
      <w:r w:rsidRPr="00A76C09">
        <w:t xml:space="preserve"> anketimet e përdorura.</w:t>
      </w:r>
    </w:p>
  </w:footnote>
  <w:footnote w:id="229">
    <w:p w14:paraId="710D60CC" w14:textId="77777777" w:rsidR="00E14B89" w:rsidRPr="00E43879" w:rsidRDefault="00E14B89" w:rsidP="00E43879">
      <w:pPr>
        <w:pStyle w:val="REFERENCAAAAAA"/>
        <w:rPr>
          <w:color w:val="000000" w:themeColor="text1"/>
        </w:rPr>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Aktivitet  kryesore janë nënvizuar me të kuqe.</w:t>
      </w:r>
    </w:p>
  </w:footnote>
  <w:footnote w:id="230">
    <w:p w14:paraId="29477370" w14:textId="3B7DB5C4" w:rsidR="00E14B89" w:rsidRPr="000E77B3" w:rsidRDefault="00E14B89" w:rsidP="00E43879">
      <w:pPr>
        <w:pStyle w:val="REFERENCAAAAAA"/>
      </w:pPr>
      <w:r w:rsidRPr="00E43879">
        <w:rPr>
          <w:color w:val="000000" w:themeColor="text1"/>
          <w:vertAlign w:val="superscript"/>
        </w:rPr>
        <w:footnoteRef/>
      </w:r>
      <w:r w:rsidRPr="00E43879">
        <w:rPr>
          <w:color w:val="000000" w:themeColor="text1"/>
          <w:vertAlign w:val="superscript"/>
        </w:rPr>
        <w:t xml:space="preserve"> </w:t>
      </w:r>
      <w:r>
        <w:rPr>
          <w:color w:val="000000" w:themeColor="text1"/>
        </w:rPr>
        <w:t>Objektivat strategjikë</w:t>
      </w:r>
      <w:r w:rsidRPr="00E43879">
        <w:rPr>
          <w:color w:val="000000" w:themeColor="text1"/>
        </w:rPr>
        <w:t xml:space="preserve"> janë prezantuar në Strategjinë e Ujit, Shqipëri (2018). Përmbytjet dhe thatësirat përmbahen përmes menaxhimit dhe investimeve</w:t>
      </w:r>
      <w:r w:rsidRPr="000E77B3">
        <w:t>.</w:t>
      </w:r>
    </w:p>
  </w:footnote>
  <w:footnote w:id="231">
    <w:p w14:paraId="352456F2" w14:textId="77777777" w:rsidR="00E14B89" w:rsidRPr="000E77B3" w:rsidRDefault="00E14B89" w:rsidP="00E43879">
      <w:pPr>
        <w:pStyle w:val="REFERENCAAAAAA"/>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 xml:space="preserve">Sistemi tipologjik A rekomandohet për lumenjtë, liqenet dhe ujërat bregdetare. Sistemi B rekomandohet për ujërat kalimtare. </w:t>
      </w:r>
    </w:p>
  </w:footnote>
  <w:footnote w:id="232">
    <w:p w14:paraId="4E2851C9" w14:textId="3F4D9F29" w:rsidR="00E14B89" w:rsidRPr="000E77B3" w:rsidRDefault="00E14B89" w:rsidP="00E43879">
      <w:pPr>
        <w:pStyle w:val="REFERENCAAAAAA"/>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Kërkesat e DKU-së për monitorimin e ujërave sipërfaqësor</w:t>
      </w:r>
      <w:r>
        <w:rPr>
          <w:color w:val="000000" w:themeColor="text1"/>
          <w:lang w:val="en-US"/>
        </w:rPr>
        <w:t>e</w:t>
      </w:r>
      <w:r w:rsidRPr="00E43879">
        <w:rPr>
          <w:color w:val="000000" w:themeColor="text1"/>
        </w:rPr>
        <w:t xml:space="preserve"> dhe nëntokësor</w:t>
      </w:r>
      <w:r>
        <w:rPr>
          <w:color w:val="000000" w:themeColor="text1"/>
          <w:lang w:val="en-US"/>
        </w:rPr>
        <w:t>e</w:t>
      </w:r>
      <w:r w:rsidRPr="00E43879">
        <w:rPr>
          <w:color w:val="000000" w:themeColor="text1"/>
        </w:rPr>
        <w:t xml:space="preserve"> për të përcaktuar statusin ekologjik dhe kimik, respektivisht është për një perioudhë kohore 6</w:t>
      </w:r>
      <w:r>
        <w:rPr>
          <w:color w:val="000000" w:themeColor="text1"/>
          <w:lang w:val="en-US"/>
        </w:rPr>
        <w:t>-</w:t>
      </w:r>
      <w:r w:rsidRPr="00E43879">
        <w:rPr>
          <w:color w:val="000000" w:themeColor="text1"/>
        </w:rPr>
        <w:t xml:space="preserve"> vjeçare.  </w:t>
      </w:r>
    </w:p>
  </w:footnote>
  <w:footnote w:id="233">
    <w:p w14:paraId="7BD67DFB" w14:textId="6B95C3F1" w:rsidR="00E14B89" w:rsidRPr="00A76C09" w:rsidRDefault="00E14B89" w:rsidP="00E43879">
      <w:pPr>
        <w:pStyle w:val="REFERENCAAAAAA"/>
        <w:rPr>
          <w:lang w:val="en-US"/>
        </w:rPr>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Sipas PKSU-së në lidhje me zonat e Basenit Ujor (tabela 12.3)</w:t>
      </w:r>
      <w:r>
        <w:rPr>
          <w:color w:val="000000" w:themeColor="text1"/>
          <w:lang w:val="en-US"/>
        </w:rPr>
        <w:t>.</w:t>
      </w:r>
    </w:p>
  </w:footnote>
  <w:footnote w:id="234">
    <w:p w14:paraId="6EAC10F3" w14:textId="6B5A5C85" w:rsidR="00E14B89" w:rsidRPr="000E77B3" w:rsidRDefault="00E14B89" w:rsidP="00E43879">
      <w:pPr>
        <w:pStyle w:val="REFERENCAAAAAA"/>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Palët e interesit 1</w:t>
      </w:r>
      <w:r>
        <w:rPr>
          <w:color w:val="000000" w:themeColor="text1"/>
        </w:rPr>
        <w:t>–</w:t>
      </w:r>
      <w:r w:rsidRPr="00E43879">
        <w:rPr>
          <w:color w:val="000000" w:themeColor="text1"/>
        </w:rPr>
        <w:t>4</w:t>
      </w:r>
      <w:r>
        <w:rPr>
          <w:color w:val="000000" w:themeColor="text1"/>
          <w:lang w:val="en-US"/>
        </w:rPr>
        <w:t>,</w:t>
      </w:r>
      <w:r w:rsidRPr="00E43879">
        <w:rPr>
          <w:color w:val="000000" w:themeColor="text1"/>
        </w:rPr>
        <w:t xml:space="preserve"> siç janë përcaktuar në planin me njohjen e PMBU-ve</w:t>
      </w:r>
      <w:r>
        <w:rPr>
          <w:color w:val="000000" w:themeColor="text1"/>
          <w:lang w:val="en-US"/>
        </w:rPr>
        <w:t>.</w:t>
      </w:r>
      <w:r w:rsidRPr="00E43879">
        <w:rPr>
          <w:color w:val="000000" w:themeColor="text1"/>
        </w:rPr>
        <w:t xml:space="preserve">  </w:t>
      </w:r>
    </w:p>
  </w:footnote>
  <w:footnote w:id="235">
    <w:p w14:paraId="5A132367" w14:textId="049C508F" w:rsidR="00E14B89" w:rsidRPr="00A76C09" w:rsidRDefault="00E14B89" w:rsidP="00E43879">
      <w:pPr>
        <w:pStyle w:val="REFERENCAAAAAA"/>
        <w:rPr>
          <w:lang w:val="en-US"/>
        </w:rPr>
      </w:pPr>
      <w:r w:rsidRPr="00E43879">
        <w:rPr>
          <w:color w:val="000000" w:themeColor="text1"/>
          <w:vertAlign w:val="superscript"/>
        </w:rPr>
        <w:footnoteRef/>
      </w:r>
      <w:r w:rsidRPr="00E43879">
        <w:rPr>
          <w:color w:val="000000" w:themeColor="text1"/>
          <w:vertAlign w:val="superscript"/>
        </w:rPr>
        <w:t xml:space="preserve"> </w:t>
      </w:r>
      <w:r w:rsidRPr="00E43879">
        <w:rPr>
          <w:color w:val="000000" w:themeColor="text1"/>
        </w:rPr>
        <w:t>Raportet fillestare</w:t>
      </w:r>
      <w:r>
        <w:rPr>
          <w:color w:val="000000" w:themeColor="text1"/>
          <w:lang w:val="en-US"/>
        </w:rPr>
        <w:t>.</w:t>
      </w:r>
    </w:p>
  </w:footnote>
  <w:footnote w:id="236">
    <w:p w14:paraId="506525E1" w14:textId="7BCB2356" w:rsidR="00E14B89" w:rsidRPr="001A0168" w:rsidRDefault="00E14B89" w:rsidP="001A0168">
      <w:pPr>
        <w:pStyle w:val="REFERENCAAAAAA"/>
        <w:rPr>
          <w:szCs w:val="20"/>
        </w:rPr>
      </w:pPr>
      <w:r w:rsidRPr="001A0168">
        <w:rPr>
          <w:rStyle w:val="FootnoteReference"/>
          <w:rFonts w:ascii="Garamond" w:hAnsi="Garamond"/>
          <w:color w:val="000000" w:themeColor="text1"/>
        </w:rPr>
        <w:footnoteRef/>
      </w:r>
      <w:r w:rsidRPr="001A0168">
        <w:rPr>
          <w:color w:val="000000" w:themeColor="text1"/>
          <w:szCs w:val="20"/>
        </w:rPr>
        <w:t xml:space="preserve"> </w:t>
      </w:r>
      <w:hyperlink r:id="rId9" w:history="1">
        <w:r w:rsidRPr="001A0168">
          <w:rPr>
            <w:rStyle w:val="Hyperlink"/>
            <w:color w:val="000000" w:themeColor="text1"/>
          </w:rPr>
          <w:t>http://eur-lex.europa.eu/legal-content/en/ALL/?uri=CELEX:52013SC0512</w:t>
        </w:r>
      </w:hyperlink>
      <w:r>
        <w:rPr>
          <w:rStyle w:val="Hyperlink"/>
          <w:color w:val="000000" w:themeColor="text1"/>
          <w:lang w:val="en-US"/>
        </w:rPr>
        <w:t>.</w:t>
      </w:r>
      <w:r w:rsidRPr="001A0168">
        <w:rPr>
          <w:color w:val="000000" w:themeColor="text1"/>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65BFD" w14:textId="77777777" w:rsidR="00E14B89" w:rsidRPr="005D6726" w:rsidRDefault="00E14B89" w:rsidP="001D340B">
    <w:pPr>
      <w:pStyle w:val="Spacer"/>
      <w:ind w:right="360"/>
    </w:pPr>
  </w:p>
  <w:p w14:paraId="0243B635" w14:textId="77777777" w:rsidR="00E14B89" w:rsidRDefault="00E14B8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2A00B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6417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D669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F2C0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A829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A6A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C0F2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660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D685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F82D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915233"/>
    <w:multiLevelType w:val="multilevel"/>
    <w:tmpl w:val="D6D8C4A8"/>
    <w:lvl w:ilvl="0">
      <w:start w:val="1"/>
      <w:numFmt w:val="bullet"/>
      <w:pStyle w:val="Einrckung2"/>
      <w:lvlText w:val=""/>
      <w:lvlJc w:val="left"/>
      <w:pPr>
        <w:tabs>
          <w:tab w:val="num" w:pos="369"/>
        </w:tabs>
        <w:ind w:left="369" w:hanging="369"/>
      </w:pPr>
      <w:rPr>
        <w:rFonts w:ascii="Symbol" w:hAnsi="Symbol" w:hint="default"/>
        <w:sz w:val="22"/>
      </w:rPr>
    </w:lvl>
    <w:lvl w:ilvl="1">
      <w:start w:val="1"/>
      <w:numFmt w:val="bullet"/>
      <w:lvlText w:val="-"/>
      <w:lvlJc w:val="left"/>
      <w:pPr>
        <w:tabs>
          <w:tab w:val="num" w:pos="737"/>
        </w:tabs>
        <w:ind w:left="737" w:hanging="368"/>
      </w:pPr>
      <w:rPr>
        <w:rFonts w:ascii="Frutiger Light" w:hAnsi="Frutiger Light" w:hint="default"/>
        <w:sz w:val="22"/>
      </w:rPr>
    </w:lvl>
    <w:lvl w:ilvl="2">
      <w:start w:val="1"/>
      <w:numFmt w:val="bullet"/>
      <w:lvlText w:val=""/>
      <w:lvlJc w:val="left"/>
      <w:pPr>
        <w:tabs>
          <w:tab w:val="num" w:pos="1106"/>
        </w:tabs>
        <w:ind w:left="1106" w:hanging="369"/>
      </w:pPr>
      <w:rPr>
        <w:rFonts w:ascii="Wingdings" w:hAnsi="Wingdings" w:hint="default"/>
        <w:sz w:val="22"/>
      </w:rPr>
    </w:lvl>
    <w:lvl w:ilvl="3">
      <w:start w:val="1"/>
      <w:numFmt w:val="bullet"/>
      <w:suff w:val="nothing"/>
      <w:lvlText w:val=""/>
      <w:lvlJc w:val="left"/>
      <w:pPr>
        <w:tabs>
          <w:tab w:val="num" w:pos="0"/>
        </w:tabs>
        <w:ind w:left="1106" w:firstLine="0"/>
      </w:pPr>
      <w:rPr>
        <w:rFonts w:ascii="Wingdings" w:hAnsi="Wingdings" w:hint="default"/>
        <w:sz w:val="22"/>
      </w:rPr>
    </w:lvl>
    <w:lvl w:ilvl="4">
      <w:start w:val="1"/>
      <w:numFmt w:val="bullet"/>
      <w:suff w:val="nothing"/>
      <w:lvlText w:val=""/>
      <w:lvlJc w:val="left"/>
      <w:pPr>
        <w:tabs>
          <w:tab w:val="num" w:pos="0"/>
        </w:tabs>
        <w:ind w:left="1474" w:firstLine="0"/>
      </w:pPr>
      <w:rPr>
        <w:rFonts w:ascii="Wingdings" w:hAnsi="Wingdings" w:hint="default"/>
        <w:sz w:val="22"/>
      </w:rPr>
    </w:lvl>
    <w:lvl w:ilvl="5">
      <w:start w:val="1"/>
      <w:numFmt w:val="bullet"/>
      <w:suff w:val="nothing"/>
      <w:lvlText w:val=""/>
      <w:lvlJc w:val="left"/>
      <w:pPr>
        <w:tabs>
          <w:tab w:val="num" w:pos="0"/>
        </w:tabs>
        <w:ind w:left="1843" w:firstLine="0"/>
      </w:pPr>
      <w:rPr>
        <w:rFonts w:ascii="Wingdings" w:hAnsi="Wingdings" w:hint="default"/>
        <w:sz w:val="22"/>
      </w:rPr>
    </w:lvl>
    <w:lvl w:ilvl="6">
      <w:start w:val="1"/>
      <w:numFmt w:val="bullet"/>
      <w:suff w:val="nothing"/>
      <w:lvlText w:val=""/>
      <w:lvlJc w:val="left"/>
      <w:pPr>
        <w:tabs>
          <w:tab w:val="num" w:pos="0"/>
        </w:tabs>
        <w:ind w:left="2211" w:firstLine="0"/>
      </w:pPr>
      <w:rPr>
        <w:rFonts w:ascii="Wingdings" w:hAnsi="Wingdings" w:hint="default"/>
        <w:sz w:val="22"/>
      </w:rPr>
    </w:lvl>
    <w:lvl w:ilvl="7">
      <w:start w:val="1"/>
      <w:numFmt w:val="bullet"/>
      <w:suff w:val="nothing"/>
      <w:lvlText w:val=""/>
      <w:lvlJc w:val="left"/>
      <w:pPr>
        <w:tabs>
          <w:tab w:val="num" w:pos="0"/>
        </w:tabs>
        <w:ind w:left="2580" w:firstLine="0"/>
      </w:pPr>
      <w:rPr>
        <w:rFonts w:ascii="Wingdings" w:hAnsi="Wingdings" w:hint="default"/>
        <w:sz w:val="22"/>
      </w:rPr>
    </w:lvl>
    <w:lvl w:ilvl="8">
      <w:start w:val="1"/>
      <w:numFmt w:val="bullet"/>
      <w:suff w:val="nothing"/>
      <w:lvlText w:val=""/>
      <w:lvlJc w:val="left"/>
      <w:pPr>
        <w:tabs>
          <w:tab w:val="num" w:pos="0"/>
        </w:tabs>
        <w:ind w:left="2948" w:firstLine="0"/>
      </w:pPr>
      <w:rPr>
        <w:rFonts w:ascii="Wingdings" w:hAnsi="Wingdings" w:hint="default"/>
        <w:sz w:val="22"/>
      </w:rPr>
    </w:lvl>
  </w:abstractNum>
  <w:abstractNum w:abstractNumId="11" w15:restartNumberingAfterBreak="0">
    <w:nsid w:val="0B600AB1"/>
    <w:multiLevelType w:val="hybridMultilevel"/>
    <w:tmpl w:val="AA32DAEC"/>
    <w:lvl w:ilvl="0" w:tplc="1270AA46">
      <w:start w:val="3"/>
      <w:numFmt w:val="bullet"/>
      <w:lvlText w:val="-"/>
      <w:lvlJc w:val="left"/>
      <w:pPr>
        <w:ind w:left="644" w:hanging="360"/>
      </w:pPr>
      <w:rPr>
        <w:rFonts w:ascii="Garamond" w:eastAsiaTheme="minorEastAsia"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0E8414BA"/>
    <w:multiLevelType w:val="hybridMultilevel"/>
    <w:tmpl w:val="9942162C"/>
    <w:lvl w:ilvl="0" w:tplc="B7943C92">
      <w:start w:val="1"/>
      <w:numFmt w:val="decimal"/>
      <w:pStyle w:val="StyleH1"/>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13" w15:restartNumberingAfterBreak="0">
    <w:nsid w:val="0F916532"/>
    <w:multiLevelType w:val="hybridMultilevel"/>
    <w:tmpl w:val="93AA4B24"/>
    <w:lvl w:ilvl="0" w:tplc="D68EAB7E">
      <w:start w:val="1"/>
      <w:numFmt w:val="bullet"/>
      <w:pStyle w:val="Bullet"/>
      <w:lvlText w:val=""/>
      <w:lvlJc w:val="left"/>
      <w:pPr>
        <w:ind w:left="360" w:hanging="360"/>
      </w:pPr>
      <w:rPr>
        <w:rFonts w:ascii="Wingdings" w:hAnsi="Wingdings" w:hint="default"/>
        <w:b w:val="0"/>
        <w:i w:val="0"/>
        <w:color w:val="8B8D8E"/>
        <w:sz w:val="22"/>
        <w:u w:color="8B8D8E"/>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4" w15:restartNumberingAfterBreak="0">
    <w:nsid w:val="10596204"/>
    <w:multiLevelType w:val="multilevel"/>
    <w:tmpl w:val="08090023"/>
    <w:styleLink w:val="ArticleSection1"/>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1AB746B"/>
    <w:multiLevelType w:val="multilevel"/>
    <w:tmpl w:val="D9EA67A6"/>
    <w:lvl w:ilvl="0">
      <w:start w:val="1"/>
      <w:numFmt w:val="decimal"/>
      <w:isLgl/>
      <w:lvlText w:val="%1."/>
      <w:lvlJc w:val="left"/>
      <w:pPr>
        <w:tabs>
          <w:tab w:val="num" w:pos="851"/>
        </w:tabs>
        <w:ind w:left="851" w:hanging="851"/>
      </w:pPr>
      <w:rPr>
        <w:rFonts w:hint="default"/>
        <w:lang w:val="en-GB"/>
      </w:rPr>
    </w:lvl>
    <w:lvl w:ilvl="1">
      <w:start w:val="1"/>
      <w:numFmt w:val="decimal"/>
      <w:pStyle w:val="subheading2"/>
      <w:isLgl/>
      <w:lvlText w:val="%1.%2"/>
      <w:lvlJc w:val="left"/>
      <w:pPr>
        <w:tabs>
          <w:tab w:val="num" w:pos="851"/>
        </w:tabs>
        <w:ind w:left="851" w:hanging="851"/>
      </w:pPr>
      <w:rPr>
        <w:rFonts w:hint="default"/>
      </w:rPr>
    </w:lvl>
    <w:lvl w:ilvl="2">
      <w:start w:val="3"/>
      <w:numFmt w:val="decimal"/>
      <w:isLgl/>
      <w:lvlText w:val="%3%2"/>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none"/>
      <w:lvlRestart w:val="0"/>
      <w:lvlText w:val=""/>
      <w:lvlJc w:val="left"/>
      <w:pPr>
        <w:tabs>
          <w:tab w:val="num" w:pos="572"/>
        </w:tabs>
        <w:ind w:left="1854" w:hanging="1134"/>
      </w:pPr>
      <w:rPr>
        <w:rFonts w:hint="default"/>
      </w:rPr>
    </w:lvl>
    <w:lvl w:ilvl="5">
      <w:start w:val="1"/>
      <w:numFmt w:val="none"/>
      <w:lvlText w:val=""/>
      <w:lvlJc w:val="right"/>
      <w:pPr>
        <w:tabs>
          <w:tab w:val="num" w:pos="-364"/>
        </w:tabs>
        <w:ind w:left="-360" w:hanging="284"/>
      </w:pPr>
      <w:rPr>
        <w:rFonts w:hint="default"/>
      </w:rPr>
    </w:lvl>
    <w:lvl w:ilvl="6">
      <w:start w:val="1"/>
      <w:numFmt w:val="decimal"/>
      <w:lvlText w:val="%7%5"/>
      <w:lvlJc w:val="right"/>
      <w:pPr>
        <w:tabs>
          <w:tab w:val="num" w:pos="-220"/>
        </w:tabs>
        <w:ind w:left="-360" w:hanging="284"/>
      </w:pPr>
      <w:rPr>
        <w:rFonts w:hint="default"/>
      </w:rPr>
    </w:lvl>
    <w:lvl w:ilvl="7">
      <w:start w:val="1"/>
      <w:numFmt w:val="none"/>
      <w:lvlText w:val=""/>
      <w:lvlJc w:val="right"/>
      <w:pPr>
        <w:tabs>
          <w:tab w:val="num" w:pos="-76"/>
        </w:tabs>
        <w:ind w:left="-360" w:hanging="284"/>
      </w:pPr>
      <w:rPr>
        <w:rFonts w:hint="default"/>
      </w:rPr>
    </w:lvl>
    <w:lvl w:ilvl="8">
      <w:start w:val="1"/>
      <w:numFmt w:val="none"/>
      <w:lvlText w:val=""/>
      <w:lvlJc w:val="left"/>
      <w:pPr>
        <w:tabs>
          <w:tab w:val="num" w:pos="68"/>
        </w:tabs>
        <w:ind w:left="68" w:hanging="1584"/>
      </w:pPr>
      <w:rPr>
        <w:rFonts w:hint="default"/>
      </w:rPr>
    </w:lvl>
  </w:abstractNum>
  <w:abstractNum w:abstractNumId="16" w15:restartNumberingAfterBreak="0">
    <w:nsid w:val="1D476469"/>
    <w:multiLevelType w:val="multilevel"/>
    <w:tmpl w:val="4BA45C7A"/>
    <w:lvl w:ilvl="0">
      <w:start w:val="1"/>
      <w:numFmt w:val="decimal"/>
      <w:pStyle w:val="Numberlist"/>
      <w:lvlText w:val="%1."/>
      <w:lvlJc w:val="left"/>
      <w:pPr>
        <w:ind w:left="1559" w:hanging="425"/>
      </w:pPr>
      <w:rPr>
        <w:rFonts w:ascii="Arial" w:hAnsi="Arial" w:hint="default"/>
        <w:b w:val="0"/>
        <w:i w:val="0"/>
        <w:color w:val="0098DB"/>
        <w:sz w:val="20"/>
      </w:rPr>
    </w:lvl>
    <w:lvl w:ilvl="1">
      <w:start w:val="1"/>
      <w:numFmt w:val="lowerLetter"/>
      <w:lvlText w:val="%2."/>
      <w:lvlJc w:val="left"/>
      <w:pPr>
        <w:ind w:left="425" w:firstLine="1701"/>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328662F"/>
    <w:multiLevelType w:val="hybridMultilevel"/>
    <w:tmpl w:val="D33E83D2"/>
    <w:lvl w:ilvl="0" w:tplc="58A42858">
      <w:start w:val="15"/>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9" w15:restartNumberingAfterBreak="0">
    <w:nsid w:val="2BB04D51"/>
    <w:multiLevelType w:val="hybridMultilevel"/>
    <w:tmpl w:val="CC649F8C"/>
    <w:lvl w:ilvl="0" w:tplc="77045C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3C4267"/>
    <w:multiLevelType w:val="multilevel"/>
    <w:tmpl w:val="0809001D"/>
    <w:styleLink w:val="1ai"/>
    <w:lvl w:ilvl="0">
      <w:start w:val="1"/>
      <w:numFmt w:val="decimal"/>
      <w:lvlText w:val="%1)"/>
      <w:lvlJc w:val="left"/>
      <w:pPr>
        <w:ind w:left="360" w:hanging="360"/>
      </w:pPr>
      <w:rPr>
        <w:bCs w:val="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937202"/>
    <w:multiLevelType w:val="hybridMultilevel"/>
    <w:tmpl w:val="21C276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DE76EB"/>
    <w:multiLevelType w:val="multilevel"/>
    <w:tmpl w:val="08090023"/>
    <w:styleLink w:val="ArticleSection"/>
    <w:lvl w:ilvl="0">
      <w:start w:val="1"/>
      <w:numFmt w:val="upperRoman"/>
      <w:lvlText w:val="Article %1."/>
      <w:lvlJc w:val="left"/>
      <w:pPr>
        <w:ind w:left="0" w:firstLine="0"/>
      </w:pPr>
      <w:rPr>
        <w:bCs w:val="0"/>
        <w:szCs w:val="2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4" w15:restartNumberingAfterBreak="0">
    <w:nsid w:val="35343BE9"/>
    <w:multiLevelType w:val="multilevel"/>
    <w:tmpl w:val="0809001D"/>
    <w:styleLink w:val="1ai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6E40104"/>
    <w:multiLevelType w:val="hybridMultilevel"/>
    <w:tmpl w:val="6452308C"/>
    <w:name w:val="List Dash__12"/>
    <w:lvl w:ilvl="0" w:tplc="88F25522">
      <w:start w:val="1"/>
      <w:numFmt w:val="bullet"/>
      <w:pStyle w:val="Bulletlist"/>
      <w:lvlText w:val="►"/>
      <w:lvlJc w:val="left"/>
      <w:pPr>
        <w:ind w:left="720" w:hanging="360"/>
      </w:pPr>
      <w:rPr>
        <w:rFonts w:ascii="Arial" w:hAnsi="Arial" w:hint="default"/>
        <w:color w:val="A09FA0"/>
        <w:sz w:val="20"/>
      </w:rPr>
    </w:lvl>
    <w:lvl w:ilvl="1" w:tplc="04090003">
      <w:start w:val="1"/>
      <w:numFmt w:val="bullet"/>
      <w:lvlText w:val="o"/>
      <w:lvlJc w:val="left"/>
      <w:pPr>
        <w:ind w:left="1440" w:hanging="360"/>
      </w:pPr>
      <w:rPr>
        <w:rFonts w:ascii="Courier New" w:hAnsi="Courier New" w:cs="Verdan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Verdana"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Verdana"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3B7E6D"/>
    <w:multiLevelType w:val="multilevel"/>
    <w:tmpl w:val="B23E63E2"/>
    <w:styleLink w:val="AppListStyle"/>
    <w:lvl w:ilvl="0">
      <w:start w:val="1"/>
      <w:numFmt w:val="decimal"/>
      <w:lvlText w:val="%1.3"/>
      <w:lvlJc w:val="left"/>
      <w:pPr>
        <w:tabs>
          <w:tab w:val="num" w:pos="851"/>
        </w:tabs>
        <w:ind w:left="284" w:firstLine="0"/>
      </w:pPr>
      <w:rPr>
        <w:rFonts w:hint="default"/>
        <w:b/>
        <w:bCs/>
        <w:i w:val="0"/>
        <w:color w:val="000000"/>
        <w:sz w:val="40"/>
        <w:szCs w:val="40"/>
      </w:rPr>
    </w:lvl>
    <w:lvl w:ilvl="1">
      <w:start w:val="1"/>
      <w:numFmt w:val="decimal"/>
      <w:pStyle w:val="AppSubHead"/>
      <w:lvlText w:val="%1.%2"/>
      <w:lvlJc w:val="left"/>
      <w:pPr>
        <w:tabs>
          <w:tab w:val="num" w:pos="993"/>
        </w:tabs>
        <w:ind w:left="284" w:firstLine="0"/>
      </w:pPr>
      <w:rPr>
        <w:rFonts w:ascii="Arial" w:hAnsi="Arial" w:cs="Arial" w:hint="default"/>
        <w:b/>
        <w:i w:val="0"/>
        <w:color w:val="27BDBE"/>
        <w:sz w:val="22"/>
      </w:rPr>
    </w:lvl>
    <w:lvl w:ilvl="2">
      <w:start w:val="1"/>
      <w:numFmt w:val="decimal"/>
      <w:pStyle w:val="AppMinorSubHead"/>
      <w:lvlText w:val="%1.%2.%3"/>
      <w:lvlJc w:val="left"/>
      <w:pPr>
        <w:tabs>
          <w:tab w:val="num" w:pos="1276"/>
        </w:tabs>
        <w:ind w:left="284" w:firstLine="0"/>
      </w:pPr>
      <w:rPr>
        <w:rFonts w:ascii="Arial" w:hAnsi="Arial" w:cs="Arial" w:hint="default"/>
        <w:b/>
        <w:i w:val="0"/>
        <w:color w:val="27BDBE"/>
        <w:sz w:val="20"/>
      </w:rPr>
    </w:lvl>
    <w:lvl w:ilvl="3">
      <w:start w:val="1"/>
      <w:numFmt w:val="none"/>
      <w:lvlText w:val=""/>
      <w:lvlJc w:val="left"/>
      <w:pPr>
        <w:ind w:left="284" w:firstLine="0"/>
      </w:pPr>
      <w:rPr>
        <w:rFonts w:hint="default"/>
      </w:rPr>
    </w:lvl>
    <w:lvl w:ilvl="4">
      <w:start w:val="1"/>
      <w:numFmt w:val="none"/>
      <w:lvlText w:val=""/>
      <w:lvlJc w:val="left"/>
      <w:pPr>
        <w:ind w:left="284" w:firstLine="0"/>
      </w:pPr>
      <w:rPr>
        <w:rFonts w:hint="default"/>
      </w:rPr>
    </w:lvl>
    <w:lvl w:ilvl="5">
      <w:start w:val="1"/>
      <w:numFmt w:val="none"/>
      <w:lvlText w:val=""/>
      <w:lvlJc w:val="left"/>
      <w:pPr>
        <w:ind w:left="284" w:firstLine="0"/>
      </w:pPr>
      <w:rPr>
        <w:rFonts w:hint="default"/>
      </w:rPr>
    </w:lvl>
    <w:lvl w:ilvl="6">
      <w:start w:val="1"/>
      <w:numFmt w:val="none"/>
      <w:lvlText w:val=""/>
      <w:lvlJc w:val="left"/>
      <w:pPr>
        <w:ind w:left="284" w:firstLine="0"/>
      </w:pPr>
      <w:rPr>
        <w:rFonts w:hint="default"/>
      </w:rPr>
    </w:lvl>
    <w:lvl w:ilvl="7">
      <w:start w:val="1"/>
      <w:numFmt w:val="none"/>
      <w:lvlText w:val=""/>
      <w:lvlJc w:val="left"/>
      <w:pPr>
        <w:ind w:left="284" w:firstLine="0"/>
      </w:pPr>
      <w:rPr>
        <w:rFonts w:hint="default"/>
      </w:rPr>
    </w:lvl>
    <w:lvl w:ilvl="8">
      <w:start w:val="1"/>
      <w:numFmt w:val="none"/>
      <w:lvlText w:val=""/>
      <w:lvlJc w:val="left"/>
      <w:pPr>
        <w:ind w:left="284" w:firstLine="0"/>
      </w:pPr>
      <w:rPr>
        <w:rFonts w:hint="default"/>
      </w:rPr>
    </w:lvl>
  </w:abstractNum>
  <w:abstractNum w:abstractNumId="28" w15:restartNumberingAfterBreak="0">
    <w:nsid w:val="39955A03"/>
    <w:multiLevelType w:val="hybridMultilevel"/>
    <w:tmpl w:val="8B720F06"/>
    <w:lvl w:ilvl="0" w:tplc="FFB0A5EA">
      <w:start w:val="13"/>
      <w:numFmt w:val="bullet"/>
      <w:lvlText w:val="-"/>
      <w:lvlJc w:val="left"/>
      <w:pPr>
        <w:ind w:left="644" w:hanging="360"/>
      </w:pPr>
      <w:rPr>
        <w:rFonts w:ascii="Garamond" w:eastAsiaTheme="minorEastAsia"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3C8D2A46"/>
    <w:multiLevelType w:val="multilevel"/>
    <w:tmpl w:val="0E0647D0"/>
    <w:lvl w:ilvl="0">
      <w:start w:val="1"/>
      <w:numFmt w:val="bullet"/>
      <w:pStyle w:val="KeyMsgBullet"/>
      <w:lvlText w:val="●"/>
      <w:lvlJc w:val="left"/>
      <w:pPr>
        <w:tabs>
          <w:tab w:val="num" w:pos="369"/>
        </w:tabs>
        <w:ind w:left="369" w:hanging="369"/>
      </w:pPr>
      <w:rPr>
        <w:rFonts w:ascii="Arial" w:hAnsi="Arial" w:hint="default"/>
        <w:color w:val="27BDB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3FC575B"/>
    <w:multiLevelType w:val="multilevel"/>
    <w:tmpl w:val="C39A7C5E"/>
    <w:lvl w:ilvl="0">
      <w:start w:val="1"/>
      <w:numFmt w:val="decimal"/>
      <w:pStyle w:val="Aberschrift1"/>
      <w:lvlText w:val="A%1"/>
      <w:lvlJc w:val="left"/>
      <w:pPr>
        <w:tabs>
          <w:tab w:val="num" w:pos="850"/>
        </w:tabs>
        <w:ind w:left="850" w:hanging="850"/>
      </w:pPr>
      <w:rPr>
        <w:rFonts w:ascii="Frutiger Light" w:hAnsi="Frutiger Light"/>
      </w:rPr>
    </w:lvl>
    <w:lvl w:ilvl="1">
      <w:start w:val="1"/>
      <w:numFmt w:val="decimal"/>
      <w:suff w:val="nothing"/>
      <w:lvlText w:val=""/>
      <w:lvlJc w:val="left"/>
      <w:pPr>
        <w:tabs>
          <w:tab w:val="num" w:pos="0"/>
        </w:tabs>
        <w:ind w:left="0" w:firstLine="0"/>
      </w:pPr>
      <w:rPr>
        <w:rFonts w:ascii="Frutiger Light" w:hAnsi="Frutiger Light"/>
      </w:rPr>
    </w:lvl>
    <w:lvl w:ilvl="2">
      <w:start w:val="1"/>
      <w:numFmt w:val="decimal"/>
      <w:suff w:val="nothing"/>
      <w:lvlText w:val=""/>
      <w:lvlJc w:val="left"/>
      <w:pPr>
        <w:tabs>
          <w:tab w:val="num" w:pos="0"/>
        </w:tabs>
        <w:ind w:left="0" w:firstLine="0"/>
      </w:pPr>
      <w:rPr>
        <w:rFonts w:ascii="Frutiger Light" w:hAnsi="Frutiger Light"/>
      </w:rPr>
    </w:lvl>
    <w:lvl w:ilvl="3">
      <w:start w:val="1"/>
      <w:numFmt w:val="decimal"/>
      <w:suff w:val="nothing"/>
      <w:lvlText w:val=""/>
      <w:lvlJc w:val="left"/>
      <w:pPr>
        <w:tabs>
          <w:tab w:val="num" w:pos="0"/>
        </w:tabs>
        <w:ind w:left="0" w:firstLine="0"/>
      </w:pPr>
      <w:rPr>
        <w:rFonts w:ascii="Frutiger Light" w:hAnsi="Frutiger Light"/>
      </w:r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7FB34D5"/>
    <w:multiLevelType w:val="multilevel"/>
    <w:tmpl w:val="E6562EBA"/>
    <w:styleLink w:val="SecListStyle"/>
    <w:lvl w:ilvl="0">
      <w:start w:val="1"/>
      <w:numFmt w:val="decimal"/>
      <w:lvlRestart w:val="0"/>
      <w:pStyle w:val="Heading1"/>
      <w:isLgl/>
      <w:lvlText w:val="%1"/>
      <w:lvlJc w:val="left"/>
      <w:pPr>
        <w:tabs>
          <w:tab w:val="num" w:pos="567"/>
        </w:tabs>
        <w:ind w:left="0" w:firstLine="0"/>
      </w:pPr>
      <w:rPr>
        <w:rFonts w:ascii="Arial" w:hAnsi="Arial" w:cs="Arial" w:hint="default"/>
        <w:b/>
        <w:bCs/>
        <w:i w:val="0"/>
        <w:color w:val="000000"/>
        <w:sz w:val="40"/>
        <w:szCs w:val="40"/>
      </w:rPr>
    </w:lvl>
    <w:lvl w:ilvl="1">
      <w:start w:val="1"/>
      <w:numFmt w:val="decimal"/>
      <w:pStyle w:val="Heading2"/>
      <w:isLgl/>
      <w:lvlText w:val="%1.%2"/>
      <w:lvlJc w:val="left"/>
      <w:pPr>
        <w:tabs>
          <w:tab w:val="num" w:pos="567"/>
        </w:tabs>
        <w:ind w:left="0" w:firstLine="0"/>
      </w:pPr>
      <w:rPr>
        <w:rFonts w:ascii="Arial" w:hAnsi="Arial" w:cs="Arial" w:hint="default"/>
        <w:b/>
        <w:i w:val="0"/>
        <w:color w:val="27BDBE"/>
        <w:sz w:val="22"/>
      </w:rPr>
    </w:lvl>
    <w:lvl w:ilvl="2">
      <w:start w:val="1"/>
      <w:numFmt w:val="decimal"/>
      <w:pStyle w:val="Heading3"/>
      <w:isLgl/>
      <w:lvlText w:val="%1.%2.%3"/>
      <w:lvlJc w:val="left"/>
      <w:pPr>
        <w:tabs>
          <w:tab w:val="num" w:pos="709"/>
        </w:tabs>
        <w:ind w:left="0" w:firstLine="0"/>
      </w:pPr>
      <w:rPr>
        <w:rFonts w:ascii="Arial" w:hAnsi="Arial" w:cs="Arial" w:hint="default"/>
        <w:b/>
        <w:i w:val="0"/>
        <w:color w:val="27BDBE"/>
        <w:sz w:val="20"/>
      </w:rPr>
    </w:lvl>
    <w:lvl w:ilvl="3">
      <w:start w:val="1"/>
      <w:numFmt w:val="decimal"/>
      <w:pStyle w:val="Heading4"/>
      <w:isLgl/>
      <w:lvlText w:val="%1.%2.%3.%4"/>
      <w:lvlJc w:val="left"/>
      <w:pPr>
        <w:tabs>
          <w:tab w:val="num" w:pos="992"/>
        </w:tabs>
        <w:ind w:left="0" w:firstLine="0"/>
      </w:pPr>
      <w:rPr>
        <w:rFonts w:ascii="Arial" w:hAnsi="Arial" w:cs="Arial" w:hint="default"/>
        <w:b w:val="0"/>
        <w:i w:val="0"/>
        <w:color w:val="27BDBE"/>
        <w:sz w:val="20"/>
      </w:rPr>
    </w:lvl>
    <w:lvl w:ilvl="4">
      <w:start w:val="1"/>
      <w:numFmt w:val="none"/>
      <w:lvlText w:val=""/>
      <w:lvlJc w:val="left"/>
      <w:pPr>
        <w:ind w:left="0" w:firstLine="0"/>
      </w:pPr>
      <w:rPr>
        <w:rFonts w:ascii="Arial" w:hAnsi="Arial" w:hint="default"/>
      </w:rPr>
    </w:lvl>
    <w:lvl w:ilvl="5">
      <w:start w:val="1"/>
      <w:numFmt w:val="none"/>
      <w:lvlText w:val=""/>
      <w:lvlJc w:val="left"/>
      <w:pPr>
        <w:ind w:left="0" w:firstLine="0"/>
      </w:pPr>
      <w:rPr>
        <w:rFonts w:ascii="Arial" w:hAnsi="Arial" w:hint="default"/>
      </w:rPr>
    </w:lvl>
    <w:lvl w:ilvl="6">
      <w:start w:val="1"/>
      <w:numFmt w:val="none"/>
      <w:lvlText w:val=""/>
      <w:lvlJc w:val="left"/>
      <w:pPr>
        <w:ind w:left="0" w:firstLine="0"/>
      </w:pPr>
      <w:rPr>
        <w:rFonts w:ascii="Arial" w:hAnsi="Arial" w:hint="default"/>
      </w:rPr>
    </w:lvl>
    <w:lvl w:ilvl="7">
      <w:start w:val="1"/>
      <w:numFmt w:val="none"/>
      <w:lvlText w:val=""/>
      <w:lvlJc w:val="left"/>
      <w:pPr>
        <w:ind w:left="0" w:firstLine="0"/>
      </w:pPr>
      <w:rPr>
        <w:rFonts w:ascii="Arial" w:hAnsi="Arial" w:hint="default"/>
      </w:rPr>
    </w:lvl>
    <w:lvl w:ilvl="8">
      <w:start w:val="1"/>
      <w:numFmt w:val="none"/>
      <w:lvlText w:val=""/>
      <w:lvlJc w:val="left"/>
      <w:pPr>
        <w:ind w:left="0" w:firstLine="0"/>
      </w:pPr>
      <w:rPr>
        <w:rFonts w:ascii="Arial" w:hAnsi="Arial" w:hint="default"/>
      </w:rPr>
    </w:lvl>
  </w:abstractNum>
  <w:abstractNum w:abstractNumId="33" w15:restartNumberingAfterBreak="0">
    <w:nsid w:val="4A0744BE"/>
    <w:multiLevelType w:val="multilevel"/>
    <w:tmpl w:val="B20876E2"/>
    <w:lvl w:ilvl="0">
      <w:start w:val="1"/>
      <w:numFmt w:val="bullet"/>
      <w:pStyle w:val="Bullet1"/>
      <w:lvlText w:val="●"/>
      <w:lvlJc w:val="left"/>
      <w:pPr>
        <w:tabs>
          <w:tab w:val="num" w:pos="284"/>
        </w:tabs>
        <w:ind w:left="284" w:hanging="284"/>
      </w:pPr>
      <w:rPr>
        <w:rFonts w:ascii="Arial" w:hAnsi="Arial" w:hint="default"/>
        <w:color w:val="27BDBE"/>
      </w:rPr>
    </w:lvl>
    <w:lvl w:ilvl="1">
      <w:start w:val="1"/>
      <w:numFmt w:val="bullet"/>
      <w:pStyle w:val="Bullet2"/>
      <w:lvlText w:val="–"/>
      <w:lvlJc w:val="left"/>
      <w:pPr>
        <w:tabs>
          <w:tab w:val="num" w:pos="567"/>
        </w:tabs>
        <w:ind w:left="567" w:hanging="283"/>
      </w:pPr>
      <w:rPr>
        <w:rFonts w:hint="default"/>
        <w:color w:val="27BDBE"/>
      </w:rPr>
    </w:lvl>
    <w:lvl w:ilvl="2">
      <w:start w:val="1"/>
      <w:numFmt w:val="bullet"/>
      <w:pStyle w:val="Bullet3"/>
      <w:lvlText w:val="○"/>
      <w:lvlJc w:val="left"/>
      <w:pPr>
        <w:tabs>
          <w:tab w:val="num" w:pos="851"/>
        </w:tabs>
        <w:ind w:left="851" w:hanging="284"/>
      </w:pPr>
      <w:rPr>
        <w:rFonts w:ascii="Times New Roman" w:hAnsi="Times New Roman" w:cs="Times New Roman" w:hint="default"/>
        <w:color w:val="27BDBE"/>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4C3377A5"/>
    <w:multiLevelType w:val="multilevel"/>
    <w:tmpl w:val="7A7C72EE"/>
    <w:lvl w:ilvl="0">
      <w:start w:val="1"/>
      <w:numFmt w:val="bullet"/>
      <w:pStyle w:val="TableTextBullet1"/>
      <w:lvlText w:val=""/>
      <w:lvlJc w:val="left"/>
      <w:pPr>
        <w:tabs>
          <w:tab w:val="num" w:pos="170"/>
        </w:tabs>
        <w:ind w:left="170" w:hanging="170"/>
      </w:pPr>
      <w:rPr>
        <w:rFonts w:ascii="Symbol" w:hAnsi="Symbol" w:cs="Times New Roman" w:hint="default"/>
        <w:color w:val="808080"/>
      </w:rPr>
    </w:lvl>
    <w:lvl w:ilvl="1">
      <w:start w:val="1"/>
      <w:numFmt w:val="bullet"/>
      <w:pStyle w:val="TableTextBullet2"/>
      <w:lvlText w:val=""/>
      <w:lvlJc w:val="left"/>
      <w:pPr>
        <w:tabs>
          <w:tab w:val="num" w:pos="340"/>
        </w:tabs>
        <w:ind w:left="340" w:hanging="170"/>
      </w:pPr>
      <w:rPr>
        <w:rFonts w:ascii="Symbol" w:hAnsi="Symbol" w:cs="Times New Roman" w:hint="default"/>
        <w:color w:val="808080"/>
        <w:szCs w:val="24"/>
      </w:rPr>
    </w:lvl>
    <w:lvl w:ilvl="2">
      <w:start w:val="1"/>
      <w:numFmt w:val="bullet"/>
      <w:pStyle w:val="TableTextBullet3"/>
      <w:lvlText w:val=""/>
      <w:lvlJc w:val="left"/>
      <w:pPr>
        <w:tabs>
          <w:tab w:val="num" w:pos="510"/>
        </w:tabs>
        <w:ind w:left="510" w:hanging="170"/>
      </w:pPr>
      <w:rPr>
        <w:rFonts w:ascii="Symbol" w:hAnsi="Symbol" w:cs="Times New Roman" w:hint="default"/>
        <w:color w:val="80808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DC429B1"/>
    <w:multiLevelType w:val="multilevel"/>
    <w:tmpl w:val="0809001F"/>
    <w:styleLink w:val="111111"/>
    <w:lvl w:ilvl="0">
      <w:start w:val="1"/>
      <w:numFmt w:val="decimal"/>
      <w:lvlText w:val="%1."/>
      <w:lvlJc w:val="left"/>
      <w:pPr>
        <w:ind w:left="360" w:hanging="360"/>
      </w:pPr>
      <w:rPr>
        <w:bCs w:val="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15:restartNumberingAfterBreak="0">
    <w:nsid w:val="564D1596"/>
    <w:multiLevelType w:val="hybridMultilevel"/>
    <w:tmpl w:val="7B38AA38"/>
    <w:lvl w:ilvl="0" w:tplc="1A3822A0">
      <w:start w:val="1"/>
      <w:numFmt w:val="decimal"/>
      <w:pStyle w:val="niveau3"/>
      <w:lvlText w:val="4.%1."/>
      <w:lvlJc w:val="left"/>
      <w:pPr>
        <w:ind w:left="1004" w:hanging="360"/>
      </w:pPr>
      <w:rPr>
        <w:rFonts w:ascii="Arial" w:hAnsi="Arial" w:hint="default"/>
        <w:sz w:val="2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8" w15:restartNumberingAfterBreak="0">
    <w:nsid w:val="5C6437E8"/>
    <w:multiLevelType w:val="multilevel"/>
    <w:tmpl w:val="7CA416A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umPar3"/>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DA5514E"/>
    <w:multiLevelType w:val="hybridMultilevel"/>
    <w:tmpl w:val="AA6C887E"/>
    <w:lvl w:ilvl="0" w:tplc="D1043DCC">
      <w:numFmt w:val="bullet"/>
      <w:pStyle w:val="Numberlistlast"/>
      <w:lvlText w:val="–"/>
      <w:lvlJc w:val="left"/>
      <w:pPr>
        <w:ind w:left="686" w:hanging="284"/>
      </w:pPr>
      <w:rPr>
        <w:rFonts w:ascii="Arial" w:eastAsia="Arial" w:hAnsi="Arial" w:cs="Arial" w:hint="default"/>
        <w:color w:val="27BCBD"/>
        <w:w w:val="99"/>
        <w:sz w:val="20"/>
        <w:szCs w:val="20"/>
      </w:rPr>
    </w:lvl>
    <w:lvl w:ilvl="1" w:tplc="3F5056A2">
      <w:numFmt w:val="bullet"/>
      <w:lvlText w:val="•"/>
      <w:lvlJc w:val="left"/>
      <w:pPr>
        <w:ind w:left="1527" w:hanging="284"/>
      </w:pPr>
      <w:rPr>
        <w:rFonts w:hint="default"/>
      </w:rPr>
    </w:lvl>
    <w:lvl w:ilvl="2" w:tplc="EBD864B2">
      <w:numFmt w:val="bullet"/>
      <w:lvlText w:val="•"/>
      <w:lvlJc w:val="left"/>
      <w:pPr>
        <w:ind w:left="2374" w:hanging="284"/>
      </w:pPr>
      <w:rPr>
        <w:rFonts w:hint="default"/>
      </w:rPr>
    </w:lvl>
    <w:lvl w:ilvl="3" w:tplc="73526A7C">
      <w:numFmt w:val="bullet"/>
      <w:lvlText w:val="•"/>
      <w:lvlJc w:val="left"/>
      <w:pPr>
        <w:ind w:left="3221" w:hanging="284"/>
      </w:pPr>
      <w:rPr>
        <w:rFonts w:hint="default"/>
      </w:rPr>
    </w:lvl>
    <w:lvl w:ilvl="4" w:tplc="A3405DD2">
      <w:numFmt w:val="bullet"/>
      <w:lvlText w:val="•"/>
      <w:lvlJc w:val="left"/>
      <w:pPr>
        <w:ind w:left="4068" w:hanging="284"/>
      </w:pPr>
      <w:rPr>
        <w:rFonts w:hint="default"/>
      </w:rPr>
    </w:lvl>
    <w:lvl w:ilvl="5" w:tplc="A9B2A842">
      <w:numFmt w:val="bullet"/>
      <w:lvlText w:val="•"/>
      <w:lvlJc w:val="left"/>
      <w:pPr>
        <w:ind w:left="4915" w:hanging="284"/>
      </w:pPr>
      <w:rPr>
        <w:rFonts w:hint="default"/>
      </w:rPr>
    </w:lvl>
    <w:lvl w:ilvl="6" w:tplc="5C40926C">
      <w:numFmt w:val="bullet"/>
      <w:lvlText w:val="•"/>
      <w:lvlJc w:val="left"/>
      <w:pPr>
        <w:ind w:left="5762" w:hanging="284"/>
      </w:pPr>
      <w:rPr>
        <w:rFonts w:hint="default"/>
      </w:rPr>
    </w:lvl>
    <w:lvl w:ilvl="7" w:tplc="9D369A78">
      <w:numFmt w:val="bullet"/>
      <w:lvlText w:val="•"/>
      <w:lvlJc w:val="left"/>
      <w:pPr>
        <w:ind w:left="6609" w:hanging="284"/>
      </w:pPr>
      <w:rPr>
        <w:rFonts w:hint="default"/>
      </w:rPr>
    </w:lvl>
    <w:lvl w:ilvl="8" w:tplc="9A2885E0">
      <w:numFmt w:val="bullet"/>
      <w:lvlText w:val="•"/>
      <w:lvlJc w:val="left"/>
      <w:pPr>
        <w:ind w:left="7456" w:hanging="284"/>
      </w:pPr>
      <w:rPr>
        <w:rFont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FB15667"/>
    <w:multiLevelType w:val="multilevel"/>
    <w:tmpl w:val="47B0B3FE"/>
    <w:lvl w:ilvl="0">
      <w:start w:val="1"/>
      <w:numFmt w:val="bullet"/>
      <w:pStyle w:val="Einrckung"/>
      <w:lvlText w:val=""/>
      <w:lvlJc w:val="left"/>
      <w:pPr>
        <w:tabs>
          <w:tab w:val="num" w:pos="369"/>
        </w:tabs>
        <w:ind w:left="369" w:hanging="369"/>
      </w:pPr>
      <w:rPr>
        <w:rFonts w:ascii="Symbol" w:hAnsi="Symbol" w:hint="default"/>
        <w:sz w:val="22"/>
      </w:rPr>
    </w:lvl>
    <w:lvl w:ilvl="1">
      <w:start w:val="1"/>
      <w:numFmt w:val="bullet"/>
      <w:lvlText w:val="-"/>
      <w:lvlJc w:val="left"/>
      <w:pPr>
        <w:tabs>
          <w:tab w:val="num" w:pos="737"/>
        </w:tabs>
        <w:ind w:left="737" w:hanging="368"/>
      </w:pPr>
      <w:rPr>
        <w:rFonts w:ascii="Frutiger Light" w:hAnsi="Frutiger Light" w:hint="default"/>
        <w:sz w:val="22"/>
      </w:rPr>
    </w:lvl>
    <w:lvl w:ilvl="2">
      <w:start w:val="1"/>
      <w:numFmt w:val="bullet"/>
      <w:lvlText w:val=""/>
      <w:lvlJc w:val="left"/>
      <w:pPr>
        <w:tabs>
          <w:tab w:val="num" w:pos="1106"/>
        </w:tabs>
        <w:ind w:left="1106" w:hanging="369"/>
      </w:pPr>
      <w:rPr>
        <w:rFonts w:ascii="Wingdings" w:hAnsi="Wingdings" w:hint="default"/>
        <w:sz w:val="22"/>
      </w:rPr>
    </w:lvl>
    <w:lvl w:ilvl="3">
      <w:start w:val="1"/>
      <w:numFmt w:val="bullet"/>
      <w:suff w:val="nothing"/>
      <w:lvlText w:val=""/>
      <w:lvlJc w:val="left"/>
      <w:pPr>
        <w:tabs>
          <w:tab w:val="num" w:pos="0"/>
        </w:tabs>
        <w:ind w:left="1106" w:firstLine="0"/>
      </w:pPr>
      <w:rPr>
        <w:rFonts w:ascii="Wingdings" w:hAnsi="Wingdings" w:hint="default"/>
        <w:sz w:val="22"/>
      </w:rPr>
    </w:lvl>
    <w:lvl w:ilvl="4">
      <w:start w:val="1"/>
      <w:numFmt w:val="bullet"/>
      <w:suff w:val="nothing"/>
      <w:lvlText w:val=""/>
      <w:lvlJc w:val="left"/>
      <w:pPr>
        <w:tabs>
          <w:tab w:val="num" w:pos="0"/>
        </w:tabs>
        <w:ind w:left="1474" w:firstLine="0"/>
      </w:pPr>
      <w:rPr>
        <w:rFonts w:ascii="Wingdings" w:hAnsi="Wingdings" w:hint="default"/>
        <w:sz w:val="22"/>
      </w:rPr>
    </w:lvl>
    <w:lvl w:ilvl="5">
      <w:start w:val="1"/>
      <w:numFmt w:val="bullet"/>
      <w:suff w:val="nothing"/>
      <w:lvlText w:val=""/>
      <w:lvlJc w:val="left"/>
      <w:pPr>
        <w:tabs>
          <w:tab w:val="num" w:pos="0"/>
        </w:tabs>
        <w:ind w:left="1843" w:firstLine="0"/>
      </w:pPr>
      <w:rPr>
        <w:rFonts w:ascii="Wingdings" w:hAnsi="Wingdings" w:hint="default"/>
        <w:sz w:val="22"/>
      </w:rPr>
    </w:lvl>
    <w:lvl w:ilvl="6">
      <w:start w:val="1"/>
      <w:numFmt w:val="bullet"/>
      <w:suff w:val="nothing"/>
      <w:lvlText w:val=""/>
      <w:lvlJc w:val="left"/>
      <w:pPr>
        <w:tabs>
          <w:tab w:val="num" w:pos="0"/>
        </w:tabs>
        <w:ind w:left="2211" w:firstLine="0"/>
      </w:pPr>
      <w:rPr>
        <w:rFonts w:ascii="Wingdings" w:hAnsi="Wingdings" w:hint="default"/>
        <w:sz w:val="22"/>
      </w:rPr>
    </w:lvl>
    <w:lvl w:ilvl="7">
      <w:start w:val="1"/>
      <w:numFmt w:val="bullet"/>
      <w:suff w:val="nothing"/>
      <w:lvlText w:val=""/>
      <w:lvlJc w:val="left"/>
      <w:pPr>
        <w:tabs>
          <w:tab w:val="num" w:pos="0"/>
        </w:tabs>
        <w:ind w:left="2580" w:firstLine="0"/>
      </w:pPr>
      <w:rPr>
        <w:rFonts w:ascii="Wingdings" w:hAnsi="Wingdings" w:hint="default"/>
        <w:sz w:val="22"/>
      </w:rPr>
    </w:lvl>
    <w:lvl w:ilvl="8">
      <w:start w:val="1"/>
      <w:numFmt w:val="bullet"/>
      <w:suff w:val="nothing"/>
      <w:lvlText w:val=""/>
      <w:lvlJc w:val="left"/>
      <w:pPr>
        <w:tabs>
          <w:tab w:val="num" w:pos="0"/>
        </w:tabs>
        <w:ind w:left="2948" w:firstLine="0"/>
      </w:pPr>
      <w:rPr>
        <w:rFonts w:ascii="Wingdings" w:hAnsi="Wingdings" w:hint="default"/>
        <w:sz w:val="22"/>
      </w:r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1AF37CB"/>
    <w:multiLevelType w:val="multilevel"/>
    <w:tmpl w:val="0809001D"/>
    <w:styleLink w:val="Annex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1B413FE"/>
    <w:multiLevelType w:val="singleLevel"/>
    <w:tmpl w:val="08090001"/>
    <w:lvl w:ilvl="0">
      <w:start w:val="1"/>
      <w:numFmt w:val="bullet"/>
      <w:pStyle w:val="NumPar1"/>
      <w:lvlText w:val=""/>
      <w:lvlJc w:val="left"/>
      <w:pPr>
        <w:tabs>
          <w:tab w:val="num" w:pos="360"/>
        </w:tabs>
        <w:ind w:left="360" w:hanging="360"/>
      </w:pPr>
      <w:rPr>
        <w:rFonts w:ascii="Symbol" w:hAnsi="Symbol" w:hint="default"/>
      </w:rPr>
    </w:lvl>
  </w:abstractNum>
  <w:abstractNum w:abstractNumId="45" w15:restartNumberingAfterBreak="0">
    <w:nsid w:val="632974ED"/>
    <w:multiLevelType w:val="hybridMultilevel"/>
    <w:tmpl w:val="1382B976"/>
    <w:lvl w:ilvl="0" w:tplc="F0D0DC3A">
      <w:start w:val="1"/>
      <w:numFmt w:val="bullet"/>
      <w:pStyle w:val="SumBullet"/>
      <w:lvlText w:val=""/>
      <w:lvlJc w:val="left"/>
      <w:pPr>
        <w:tabs>
          <w:tab w:val="num" w:pos="284"/>
        </w:tabs>
        <w:ind w:left="284" w:hanging="284"/>
      </w:pPr>
      <w:rPr>
        <w:rFonts w:ascii="Wingdings 2" w:hAnsi="Wingdings 2" w:hint="default"/>
        <w:color w:val="auto"/>
        <w:sz w:val="26"/>
      </w:rPr>
    </w:lvl>
    <w:lvl w:ilvl="1" w:tplc="5CD48CDA" w:tentative="1">
      <w:start w:val="1"/>
      <w:numFmt w:val="bullet"/>
      <w:lvlText w:val="o"/>
      <w:lvlJc w:val="left"/>
      <w:pPr>
        <w:tabs>
          <w:tab w:val="num" w:pos="1440"/>
        </w:tabs>
        <w:ind w:left="1440" w:hanging="360"/>
      </w:pPr>
      <w:rPr>
        <w:rFonts w:ascii="Courier New" w:hAnsi="Courier New" w:cs="Courier New" w:hint="default"/>
      </w:rPr>
    </w:lvl>
    <w:lvl w:ilvl="2" w:tplc="F50C674A" w:tentative="1">
      <w:start w:val="1"/>
      <w:numFmt w:val="bullet"/>
      <w:lvlText w:val=""/>
      <w:lvlJc w:val="left"/>
      <w:pPr>
        <w:tabs>
          <w:tab w:val="num" w:pos="2160"/>
        </w:tabs>
        <w:ind w:left="2160" w:hanging="360"/>
      </w:pPr>
      <w:rPr>
        <w:rFonts w:ascii="Wingdings" w:hAnsi="Wingdings" w:hint="default"/>
      </w:rPr>
    </w:lvl>
    <w:lvl w:ilvl="3" w:tplc="F48C59E0" w:tentative="1">
      <w:start w:val="1"/>
      <w:numFmt w:val="bullet"/>
      <w:lvlText w:val=""/>
      <w:lvlJc w:val="left"/>
      <w:pPr>
        <w:tabs>
          <w:tab w:val="num" w:pos="2880"/>
        </w:tabs>
        <w:ind w:left="2880" w:hanging="360"/>
      </w:pPr>
      <w:rPr>
        <w:rFonts w:ascii="Symbol" w:hAnsi="Symbol" w:hint="default"/>
      </w:rPr>
    </w:lvl>
    <w:lvl w:ilvl="4" w:tplc="3F8C5472" w:tentative="1">
      <w:start w:val="1"/>
      <w:numFmt w:val="bullet"/>
      <w:lvlText w:val="o"/>
      <w:lvlJc w:val="left"/>
      <w:pPr>
        <w:tabs>
          <w:tab w:val="num" w:pos="3600"/>
        </w:tabs>
        <w:ind w:left="3600" w:hanging="360"/>
      </w:pPr>
      <w:rPr>
        <w:rFonts w:ascii="Courier New" w:hAnsi="Courier New" w:cs="Courier New" w:hint="default"/>
      </w:rPr>
    </w:lvl>
    <w:lvl w:ilvl="5" w:tplc="02DCF8B4" w:tentative="1">
      <w:start w:val="1"/>
      <w:numFmt w:val="bullet"/>
      <w:lvlText w:val=""/>
      <w:lvlJc w:val="left"/>
      <w:pPr>
        <w:tabs>
          <w:tab w:val="num" w:pos="4320"/>
        </w:tabs>
        <w:ind w:left="4320" w:hanging="360"/>
      </w:pPr>
      <w:rPr>
        <w:rFonts w:ascii="Wingdings" w:hAnsi="Wingdings" w:hint="default"/>
      </w:rPr>
    </w:lvl>
    <w:lvl w:ilvl="6" w:tplc="A71A2D1E" w:tentative="1">
      <w:start w:val="1"/>
      <w:numFmt w:val="bullet"/>
      <w:lvlText w:val=""/>
      <w:lvlJc w:val="left"/>
      <w:pPr>
        <w:tabs>
          <w:tab w:val="num" w:pos="5040"/>
        </w:tabs>
        <w:ind w:left="5040" w:hanging="360"/>
      </w:pPr>
      <w:rPr>
        <w:rFonts w:ascii="Symbol" w:hAnsi="Symbol" w:hint="default"/>
      </w:rPr>
    </w:lvl>
    <w:lvl w:ilvl="7" w:tplc="3D929C36" w:tentative="1">
      <w:start w:val="1"/>
      <w:numFmt w:val="bullet"/>
      <w:lvlText w:val="o"/>
      <w:lvlJc w:val="left"/>
      <w:pPr>
        <w:tabs>
          <w:tab w:val="num" w:pos="5760"/>
        </w:tabs>
        <w:ind w:left="5760" w:hanging="360"/>
      </w:pPr>
      <w:rPr>
        <w:rFonts w:ascii="Courier New" w:hAnsi="Courier New" w:cs="Courier New" w:hint="default"/>
      </w:rPr>
    </w:lvl>
    <w:lvl w:ilvl="8" w:tplc="397C98F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A631D9"/>
    <w:multiLevelType w:val="multilevel"/>
    <w:tmpl w:val="0536563A"/>
    <w:styleLink w:val="Style1"/>
    <w:lvl w:ilvl="0">
      <w:start w:val="1"/>
      <w:numFmt w:val="decimal"/>
      <w:lvlText w:val="%1."/>
      <w:lvlJc w:val="left"/>
      <w:pPr>
        <w:tabs>
          <w:tab w:val="num" w:pos="360"/>
        </w:tabs>
        <w:ind w:left="360" w:hanging="360"/>
      </w:pPr>
      <w:rPr>
        <w:rFonts w:hint="default"/>
      </w:rPr>
    </w:lvl>
    <w:lvl w:ilvl="1">
      <w:start w:val="1"/>
      <w:numFmt w:val="none"/>
      <w:lvlText w:val="5.10"/>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7" w15:restartNumberingAfterBreak="0">
    <w:nsid w:val="6EE3444F"/>
    <w:multiLevelType w:val="multilevel"/>
    <w:tmpl w:val="D786C3DC"/>
    <w:lvl w:ilvl="0">
      <w:start w:val="1"/>
      <w:numFmt w:val="bullet"/>
      <w:pStyle w:val="TableBullet1"/>
      <w:lvlText w:val="●"/>
      <w:lvlJc w:val="left"/>
      <w:pPr>
        <w:tabs>
          <w:tab w:val="num" w:pos="170"/>
        </w:tabs>
        <w:ind w:left="170" w:hanging="170"/>
      </w:pPr>
      <w:rPr>
        <w:rFonts w:ascii="Calibri" w:hAnsi="Calibri" w:hint="default"/>
        <w:color w:val="27BDBE"/>
      </w:rPr>
    </w:lvl>
    <w:lvl w:ilvl="1">
      <w:start w:val="1"/>
      <w:numFmt w:val="bullet"/>
      <w:pStyle w:val="TableBullet2"/>
      <w:lvlText w:val="–"/>
      <w:lvlJc w:val="left"/>
      <w:pPr>
        <w:tabs>
          <w:tab w:val="num" w:pos="340"/>
        </w:tabs>
        <w:ind w:left="340" w:hanging="170"/>
      </w:pPr>
      <w:rPr>
        <w:rFonts w:hint="default"/>
        <w:color w:val="27BDBE"/>
      </w:rPr>
    </w:lvl>
    <w:lvl w:ilvl="2">
      <w:start w:val="1"/>
      <w:numFmt w:val="bullet"/>
      <w:pStyle w:val="TableBullet3"/>
      <w:lvlText w:val="○"/>
      <w:lvlJc w:val="left"/>
      <w:pPr>
        <w:tabs>
          <w:tab w:val="num" w:pos="510"/>
        </w:tabs>
        <w:ind w:left="510" w:hanging="170"/>
      </w:pPr>
      <w:rPr>
        <w:rFonts w:ascii="Times New Roman" w:hAnsi="Times New Roman" w:cs="Times New Roman" w:hint="default"/>
        <w:color w:val="27BDBE"/>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48" w15:restartNumberingAfterBreak="0">
    <w:nsid w:val="72B9061D"/>
    <w:multiLevelType w:val="multilevel"/>
    <w:tmpl w:val="08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75DA07AB"/>
    <w:multiLevelType w:val="hybridMultilevel"/>
    <w:tmpl w:val="92204E56"/>
    <w:lvl w:ilvl="0" w:tplc="B2B08412">
      <w:numFmt w:val="bullet"/>
      <w:pStyle w:val="Bulletlast"/>
      <w:lvlText w:val="-"/>
      <w:lvlJc w:val="left"/>
      <w:pPr>
        <w:ind w:left="175" w:hanging="111"/>
      </w:pPr>
      <w:rPr>
        <w:rFonts w:ascii="Arial" w:eastAsia="Arial" w:hAnsi="Arial" w:cs="Arial" w:hint="default"/>
        <w:spacing w:val="-2"/>
        <w:w w:val="99"/>
        <w:sz w:val="18"/>
        <w:szCs w:val="18"/>
      </w:rPr>
    </w:lvl>
    <w:lvl w:ilvl="1" w:tplc="166467C6">
      <w:numFmt w:val="bullet"/>
      <w:lvlText w:val="•"/>
      <w:lvlJc w:val="left"/>
      <w:pPr>
        <w:ind w:left="1046" w:hanging="111"/>
      </w:pPr>
      <w:rPr>
        <w:rFonts w:hint="default"/>
      </w:rPr>
    </w:lvl>
    <w:lvl w:ilvl="2" w:tplc="B18E3FBA">
      <w:numFmt w:val="bullet"/>
      <w:lvlText w:val="•"/>
      <w:lvlJc w:val="left"/>
      <w:pPr>
        <w:ind w:left="1913" w:hanging="111"/>
      </w:pPr>
      <w:rPr>
        <w:rFonts w:hint="default"/>
      </w:rPr>
    </w:lvl>
    <w:lvl w:ilvl="3" w:tplc="39BEA842">
      <w:numFmt w:val="bullet"/>
      <w:lvlText w:val="•"/>
      <w:lvlJc w:val="left"/>
      <w:pPr>
        <w:ind w:left="2780" w:hanging="111"/>
      </w:pPr>
      <w:rPr>
        <w:rFonts w:hint="default"/>
      </w:rPr>
    </w:lvl>
    <w:lvl w:ilvl="4" w:tplc="83221746">
      <w:numFmt w:val="bullet"/>
      <w:lvlText w:val="•"/>
      <w:lvlJc w:val="left"/>
      <w:pPr>
        <w:ind w:left="3647" w:hanging="111"/>
      </w:pPr>
      <w:rPr>
        <w:rFonts w:hint="default"/>
      </w:rPr>
    </w:lvl>
    <w:lvl w:ilvl="5" w:tplc="1E0C329E">
      <w:numFmt w:val="bullet"/>
      <w:lvlText w:val="•"/>
      <w:lvlJc w:val="left"/>
      <w:pPr>
        <w:ind w:left="4514" w:hanging="111"/>
      </w:pPr>
      <w:rPr>
        <w:rFonts w:hint="default"/>
      </w:rPr>
    </w:lvl>
    <w:lvl w:ilvl="6" w:tplc="3CE8EE90">
      <w:numFmt w:val="bullet"/>
      <w:lvlText w:val="•"/>
      <w:lvlJc w:val="left"/>
      <w:pPr>
        <w:ind w:left="5381" w:hanging="111"/>
      </w:pPr>
      <w:rPr>
        <w:rFonts w:hint="default"/>
      </w:rPr>
    </w:lvl>
    <w:lvl w:ilvl="7" w:tplc="BCA45AAC">
      <w:numFmt w:val="bullet"/>
      <w:lvlText w:val="•"/>
      <w:lvlJc w:val="left"/>
      <w:pPr>
        <w:ind w:left="6248" w:hanging="111"/>
      </w:pPr>
      <w:rPr>
        <w:rFonts w:hint="default"/>
      </w:rPr>
    </w:lvl>
    <w:lvl w:ilvl="8" w:tplc="FC0849DA">
      <w:numFmt w:val="bullet"/>
      <w:lvlText w:val="•"/>
      <w:lvlJc w:val="left"/>
      <w:pPr>
        <w:ind w:left="7115" w:hanging="111"/>
      </w:pPr>
      <w:rPr>
        <w:rFonts w:hint="default"/>
      </w:rPr>
    </w:lvl>
  </w:abstractNum>
  <w:abstractNum w:abstractNumId="50" w15:restartNumberingAfterBreak="0">
    <w:nsid w:val="76B1418D"/>
    <w:multiLevelType w:val="hybridMultilevel"/>
    <w:tmpl w:val="58787B42"/>
    <w:lvl w:ilvl="0" w:tplc="58A42858">
      <w:start w:val="15"/>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96A3518"/>
    <w:multiLevelType w:val="multilevel"/>
    <w:tmpl w:val="5A3ADDCE"/>
    <w:lvl w:ilvl="0">
      <w:start w:val="1"/>
      <w:numFmt w:val="decimal"/>
      <w:pStyle w:val="NumBullet1"/>
      <w:lvlText w:val="%1."/>
      <w:lvlJc w:val="left"/>
      <w:pPr>
        <w:tabs>
          <w:tab w:val="num" w:pos="284"/>
        </w:tabs>
        <w:ind w:left="284" w:hanging="284"/>
      </w:pPr>
      <w:rPr>
        <w:rFonts w:hint="default"/>
        <w:color w:val="27BDBE"/>
      </w:rPr>
    </w:lvl>
    <w:lvl w:ilvl="1">
      <w:start w:val="1"/>
      <w:numFmt w:val="lowerLetter"/>
      <w:pStyle w:val="NumBullet2"/>
      <w:lvlText w:val="%2."/>
      <w:lvlJc w:val="left"/>
      <w:pPr>
        <w:tabs>
          <w:tab w:val="num" w:pos="567"/>
        </w:tabs>
        <w:ind w:left="567" w:hanging="283"/>
      </w:pPr>
      <w:rPr>
        <w:rFonts w:hint="default"/>
        <w:color w:val="27BDBE"/>
      </w:rPr>
    </w:lvl>
    <w:lvl w:ilvl="2">
      <w:start w:val="1"/>
      <w:numFmt w:val="lowerRoman"/>
      <w:pStyle w:val="NumBullet3"/>
      <w:lvlText w:val="%3."/>
      <w:lvlJc w:val="left"/>
      <w:pPr>
        <w:tabs>
          <w:tab w:val="num" w:pos="851"/>
        </w:tabs>
        <w:ind w:left="851" w:hanging="284"/>
      </w:pPr>
      <w:rPr>
        <w:rFonts w:hint="default"/>
        <w:color w:val="27BDBE"/>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BCA4161"/>
    <w:multiLevelType w:val="hybridMultilevel"/>
    <w:tmpl w:val="D8527342"/>
    <w:lvl w:ilvl="0" w:tplc="58A42858">
      <w:start w:val="15"/>
      <w:numFmt w:val="bullet"/>
      <w:lvlText w:val="-"/>
      <w:lvlJc w:val="left"/>
      <w:pPr>
        <w:ind w:left="360" w:hanging="360"/>
      </w:pPr>
      <w:rPr>
        <w:rFonts w:ascii="Cambria" w:eastAsia="Times New Roman" w:hAnsi="Cambria"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F390BB0"/>
    <w:multiLevelType w:val="hybridMultilevel"/>
    <w:tmpl w:val="2196E886"/>
    <w:lvl w:ilvl="0" w:tplc="58A42858">
      <w:start w:val="15"/>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lvlOverride w:ilvl="0">
      <w:lvl w:ilvl="0">
        <w:start w:val="6"/>
        <w:numFmt w:val="decimal"/>
        <w:lvlRestart w:val="0"/>
        <w:pStyle w:val="Heading1"/>
        <w:isLgl/>
        <w:lvlText w:val="%1"/>
        <w:lvlJc w:val="left"/>
        <w:pPr>
          <w:tabs>
            <w:tab w:val="num" w:pos="567"/>
          </w:tabs>
          <w:ind w:left="0" w:firstLine="0"/>
        </w:pPr>
        <w:rPr>
          <w:rFonts w:ascii="Arial" w:hAnsi="Arial" w:cs="Arial" w:hint="default"/>
          <w:b/>
          <w:bCs/>
          <w:i w:val="0"/>
          <w:color w:val="000000" w:themeColor="text1"/>
          <w:sz w:val="40"/>
          <w:szCs w:val="40"/>
        </w:rPr>
      </w:lvl>
    </w:lvlOverride>
    <w:lvlOverride w:ilvl="1">
      <w:lvl w:ilvl="1">
        <w:start w:val="1"/>
        <w:numFmt w:val="decimal"/>
        <w:pStyle w:val="Heading2"/>
        <w:isLgl/>
        <w:lvlText w:val="%1.%2"/>
        <w:lvlJc w:val="left"/>
        <w:pPr>
          <w:tabs>
            <w:tab w:val="num" w:pos="567"/>
          </w:tabs>
          <w:ind w:left="0" w:firstLine="0"/>
        </w:pPr>
        <w:rPr>
          <w:rFonts w:ascii="Arial" w:hAnsi="Arial" w:cs="Arial" w:hint="default"/>
          <w:b/>
          <w:i w:val="0"/>
          <w:color w:val="4F81BD" w:themeColor="accent1"/>
          <w:sz w:val="22"/>
        </w:rPr>
      </w:lvl>
    </w:lvlOverride>
    <w:lvlOverride w:ilvl="2">
      <w:lvl w:ilvl="2">
        <w:start w:val="1"/>
        <w:numFmt w:val="decimal"/>
        <w:pStyle w:val="Heading3"/>
        <w:isLgl/>
        <w:lvlText w:val="%1.%2.%3"/>
        <w:lvlJc w:val="left"/>
        <w:pPr>
          <w:tabs>
            <w:tab w:val="num" w:pos="709"/>
          </w:tabs>
          <w:ind w:left="0" w:firstLine="0"/>
        </w:pPr>
        <w:rPr>
          <w:rFonts w:ascii="Arial" w:hAnsi="Arial" w:cs="Arial" w:hint="default"/>
          <w:b/>
          <w:i w:val="0"/>
          <w:color w:val="4F81BD" w:themeColor="accent1"/>
          <w:sz w:val="20"/>
        </w:rPr>
      </w:lvl>
    </w:lvlOverride>
    <w:lvlOverride w:ilvl="3">
      <w:lvl w:ilvl="3">
        <w:start w:val="1"/>
        <w:numFmt w:val="decimal"/>
        <w:pStyle w:val="Heading4"/>
        <w:isLgl/>
        <w:lvlText w:val="%1.%2.%3.%4"/>
        <w:lvlJc w:val="left"/>
        <w:pPr>
          <w:tabs>
            <w:tab w:val="num" w:pos="992"/>
          </w:tabs>
          <w:ind w:left="0" w:firstLine="0"/>
        </w:pPr>
        <w:rPr>
          <w:rFonts w:ascii="Arial" w:hAnsi="Arial" w:cs="Arial" w:hint="default"/>
          <w:b w:val="0"/>
          <w:i w:val="0"/>
          <w:color w:val="4F81BD" w:themeColor="accent1"/>
          <w:sz w:val="20"/>
        </w:rPr>
      </w:lvl>
    </w:lvlOverride>
    <w:lvlOverride w:ilvl="4">
      <w:lvl w:ilvl="4">
        <w:start w:val="1"/>
        <w:numFmt w:val="none"/>
        <w:lvlText w:val=""/>
        <w:lvlJc w:val="left"/>
        <w:pPr>
          <w:ind w:left="0" w:firstLine="0"/>
        </w:pPr>
        <w:rPr>
          <w:rFonts w:asciiTheme="majorHAnsi" w:hAnsiTheme="majorHAnsi" w:hint="default"/>
        </w:rPr>
      </w:lvl>
    </w:lvlOverride>
    <w:lvlOverride w:ilvl="5">
      <w:lvl w:ilvl="5">
        <w:start w:val="1"/>
        <w:numFmt w:val="none"/>
        <w:lvlText w:val=""/>
        <w:lvlJc w:val="left"/>
        <w:pPr>
          <w:ind w:left="0" w:firstLine="0"/>
        </w:pPr>
        <w:rPr>
          <w:rFonts w:asciiTheme="majorHAnsi" w:hAnsiTheme="majorHAnsi" w:hint="default"/>
        </w:rPr>
      </w:lvl>
    </w:lvlOverride>
    <w:lvlOverride w:ilvl="6">
      <w:lvl w:ilvl="6">
        <w:start w:val="1"/>
        <w:numFmt w:val="none"/>
        <w:lvlText w:val=""/>
        <w:lvlJc w:val="left"/>
        <w:pPr>
          <w:ind w:left="0" w:firstLine="0"/>
        </w:pPr>
        <w:rPr>
          <w:rFonts w:asciiTheme="majorHAnsi" w:hAnsiTheme="majorHAnsi" w:hint="default"/>
        </w:rPr>
      </w:lvl>
    </w:lvlOverride>
    <w:lvlOverride w:ilvl="7">
      <w:lvl w:ilvl="7">
        <w:start w:val="1"/>
        <w:numFmt w:val="none"/>
        <w:lvlText w:val=""/>
        <w:lvlJc w:val="left"/>
        <w:pPr>
          <w:ind w:left="0" w:firstLine="0"/>
        </w:pPr>
        <w:rPr>
          <w:rFonts w:asciiTheme="majorHAnsi" w:hAnsiTheme="majorHAnsi" w:hint="default"/>
        </w:rPr>
      </w:lvl>
    </w:lvlOverride>
    <w:lvlOverride w:ilvl="8">
      <w:lvl w:ilvl="8">
        <w:start w:val="1"/>
        <w:numFmt w:val="none"/>
        <w:lvlText w:val=""/>
        <w:lvlJc w:val="left"/>
        <w:pPr>
          <w:ind w:left="0" w:firstLine="0"/>
        </w:pPr>
        <w:rPr>
          <w:rFonts w:asciiTheme="majorHAnsi" w:hAnsiTheme="majorHAnsi" w:hint="default"/>
        </w:rPr>
      </w:lvl>
    </w:lvlOverride>
  </w:num>
  <w:num w:numId="2">
    <w:abstractNumId w:val="33"/>
  </w:num>
  <w:num w:numId="3">
    <w:abstractNumId w:val="8"/>
  </w:num>
  <w:num w:numId="4">
    <w:abstractNumId w:val="51"/>
  </w:num>
  <w:num w:numId="5">
    <w:abstractNumId w:val="47"/>
  </w:num>
  <w:num w:numId="6">
    <w:abstractNumId w:val="29"/>
  </w:num>
  <w:num w:numId="7">
    <w:abstractNumId w:val="35"/>
  </w:num>
  <w:num w:numId="8">
    <w:abstractNumId w:val="20"/>
  </w:num>
  <w:num w:numId="9">
    <w:abstractNumId w:val="22"/>
  </w:num>
  <w:num w:numId="10">
    <w:abstractNumId w:val="9"/>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30"/>
  </w:num>
  <w:num w:numId="20">
    <w:abstractNumId w:val="41"/>
  </w:num>
  <w:num w:numId="21">
    <w:abstractNumId w:val="10"/>
  </w:num>
  <w:num w:numId="22">
    <w:abstractNumId w:val="34"/>
  </w:num>
  <w:num w:numId="23">
    <w:abstractNumId w:val="49"/>
  </w:num>
  <w:num w:numId="24">
    <w:abstractNumId w:val="13"/>
  </w:num>
  <w:num w:numId="25">
    <w:abstractNumId w:val="39"/>
  </w:num>
  <w:num w:numId="26">
    <w:abstractNumId w:val="12"/>
  </w:num>
  <w:num w:numId="27">
    <w:abstractNumId w:val="44"/>
  </w:num>
  <w:num w:numId="28">
    <w:abstractNumId w:val="38"/>
  </w:num>
  <w:num w:numId="29">
    <w:abstractNumId w:val="18"/>
  </w:num>
  <w:num w:numId="30">
    <w:abstractNumId w:val="23"/>
  </w:num>
  <w:num w:numId="31">
    <w:abstractNumId w:val="42"/>
  </w:num>
  <w:num w:numId="32">
    <w:abstractNumId w:val="40"/>
  </w:num>
  <w:num w:numId="33">
    <w:abstractNumId w:val="31"/>
  </w:num>
  <w:num w:numId="34">
    <w:abstractNumId w:val="36"/>
  </w:num>
  <w:num w:numId="35">
    <w:abstractNumId w:val="25"/>
  </w:num>
  <w:num w:numId="36">
    <w:abstractNumId w:val="16"/>
  </w:num>
  <w:num w:numId="37">
    <w:abstractNumId w:val="43"/>
  </w:num>
  <w:num w:numId="38">
    <w:abstractNumId w:val="26"/>
  </w:num>
  <w:num w:numId="39">
    <w:abstractNumId w:val="15"/>
  </w:num>
  <w:num w:numId="40">
    <w:abstractNumId w:val="48"/>
  </w:num>
  <w:num w:numId="41">
    <w:abstractNumId w:val="24"/>
  </w:num>
  <w:num w:numId="42">
    <w:abstractNumId w:val="14"/>
  </w:num>
  <w:num w:numId="43">
    <w:abstractNumId w:val="45"/>
  </w:num>
  <w:num w:numId="44">
    <w:abstractNumId w:val="37"/>
  </w:num>
  <w:num w:numId="45">
    <w:abstractNumId w:val="27"/>
  </w:num>
  <w:num w:numId="46">
    <w:abstractNumId w:val="53"/>
  </w:num>
  <w:num w:numId="47">
    <w:abstractNumId w:val="21"/>
  </w:num>
  <w:num w:numId="48">
    <w:abstractNumId w:val="19"/>
  </w:num>
  <w:num w:numId="49">
    <w:abstractNumId w:val="46"/>
  </w:num>
  <w:num w:numId="50">
    <w:abstractNumId w:val="52"/>
  </w:num>
  <w:num w:numId="51">
    <w:abstractNumId w:val="50"/>
  </w:num>
  <w:num w:numId="52">
    <w:abstractNumId w:val="17"/>
  </w:num>
  <w:num w:numId="53">
    <w:abstractNumId w:val="32"/>
  </w:num>
  <w:num w:numId="54">
    <w:abstractNumId w:val="28"/>
  </w:num>
  <w:num w:numId="55">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4C6"/>
    <w:rsid w:val="00012E89"/>
    <w:rsid w:val="000150D2"/>
    <w:rsid w:val="00016D6C"/>
    <w:rsid w:val="00026793"/>
    <w:rsid w:val="00026898"/>
    <w:rsid w:val="00032151"/>
    <w:rsid w:val="00034296"/>
    <w:rsid w:val="00034FBB"/>
    <w:rsid w:val="0003698D"/>
    <w:rsid w:val="00040423"/>
    <w:rsid w:val="000417AA"/>
    <w:rsid w:val="00045BC6"/>
    <w:rsid w:val="00052378"/>
    <w:rsid w:val="00062A53"/>
    <w:rsid w:val="00067818"/>
    <w:rsid w:val="000819DD"/>
    <w:rsid w:val="00081E04"/>
    <w:rsid w:val="00083C46"/>
    <w:rsid w:val="00083C7D"/>
    <w:rsid w:val="00084DB9"/>
    <w:rsid w:val="00087E5C"/>
    <w:rsid w:val="000909CC"/>
    <w:rsid w:val="000910B2"/>
    <w:rsid w:val="000932B8"/>
    <w:rsid w:val="00097ECB"/>
    <w:rsid w:val="000A1B7F"/>
    <w:rsid w:val="000B037C"/>
    <w:rsid w:val="000B43DB"/>
    <w:rsid w:val="000C10EF"/>
    <w:rsid w:val="000D1F13"/>
    <w:rsid w:val="000D20D0"/>
    <w:rsid w:val="000D7A19"/>
    <w:rsid w:val="000E4E18"/>
    <w:rsid w:val="000E555C"/>
    <w:rsid w:val="000F597B"/>
    <w:rsid w:val="00110620"/>
    <w:rsid w:val="001111FE"/>
    <w:rsid w:val="00116C25"/>
    <w:rsid w:val="00122F26"/>
    <w:rsid w:val="0012668D"/>
    <w:rsid w:val="00131845"/>
    <w:rsid w:val="001327CE"/>
    <w:rsid w:val="001328DA"/>
    <w:rsid w:val="00134AB1"/>
    <w:rsid w:val="00141374"/>
    <w:rsid w:val="00155956"/>
    <w:rsid w:val="00156105"/>
    <w:rsid w:val="0016070B"/>
    <w:rsid w:val="00161ED2"/>
    <w:rsid w:val="00166DBF"/>
    <w:rsid w:val="0017024D"/>
    <w:rsid w:val="00171286"/>
    <w:rsid w:val="001726A6"/>
    <w:rsid w:val="0017518F"/>
    <w:rsid w:val="001876D6"/>
    <w:rsid w:val="00191CE3"/>
    <w:rsid w:val="0019263C"/>
    <w:rsid w:val="0019553A"/>
    <w:rsid w:val="00196549"/>
    <w:rsid w:val="001A0168"/>
    <w:rsid w:val="001A31FC"/>
    <w:rsid w:val="001A3217"/>
    <w:rsid w:val="001B4111"/>
    <w:rsid w:val="001C1019"/>
    <w:rsid w:val="001C61A3"/>
    <w:rsid w:val="001C6777"/>
    <w:rsid w:val="001D340B"/>
    <w:rsid w:val="001D5A76"/>
    <w:rsid w:val="001D61E8"/>
    <w:rsid w:val="001E6B0A"/>
    <w:rsid w:val="001F075B"/>
    <w:rsid w:val="001F5F82"/>
    <w:rsid w:val="001F68B2"/>
    <w:rsid w:val="001F7C2A"/>
    <w:rsid w:val="0020087A"/>
    <w:rsid w:val="0020739F"/>
    <w:rsid w:val="00211A71"/>
    <w:rsid w:val="002126D8"/>
    <w:rsid w:val="00214F54"/>
    <w:rsid w:val="0021532B"/>
    <w:rsid w:val="00222F27"/>
    <w:rsid w:val="0022341C"/>
    <w:rsid w:val="0023702F"/>
    <w:rsid w:val="0024053A"/>
    <w:rsid w:val="00243D22"/>
    <w:rsid w:val="00245A85"/>
    <w:rsid w:val="00246405"/>
    <w:rsid w:val="00253FB0"/>
    <w:rsid w:val="002664D8"/>
    <w:rsid w:val="00272A3A"/>
    <w:rsid w:val="002735B4"/>
    <w:rsid w:val="00274272"/>
    <w:rsid w:val="00280963"/>
    <w:rsid w:val="002879A7"/>
    <w:rsid w:val="0029118F"/>
    <w:rsid w:val="00291FC7"/>
    <w:rsid w:val="00294F8C"/>
    <w:rsid w:val="00296059"/>
    <w:rsid w:val="00296A19"/>
    <w:rsid w:val="00297531"/>
    <w:rsid w:val="002A001C"/>
    <w:rsid w:val="002A1582"/>
    <w:rsid w:val="002A1F08"/>
    <w:rsid w:val="002A52E2"/>
    <w:rsid w:val="002C1894"/>
    <w:rsid w:val="002C3ECB"/>
    <w:rsid w:val="002C4B43"/>
    <w:rsid w:val="002D0C2A"/>
    <w:rsid w:val="002D1530"/>
    <w:rsid w:val="002D204E"/>
    <w:rsid w:val="002D6F76"/>
    <w:rsid w:val="002E0D47"/>
    <w:rsid w:val="002E6C44"/>
    <w:rsid w:val="002F1427"/>
    <w:rsid w:val="002F2591"/>
    <w:rsid w:val="002F3CCC"/>
    <w:rsid w:val="00305E77"/>
    <w:rsid w:val="003069BB"/>
    <w:rsid w:val="003105D4"/>
    <w:rsid w:val="00316F21"/>
    <w:rsid w:val="00317B27"/>
    <w:rsid w:val="003241BB"/>
    <w:rsid w:val="00332549"/>
    <w:rsid w:val="00335857"/>
    <w:rsid w:val="00341EEF"/>
    <w:rsid w:val="00360C7F"/>
    <w:rsid w:val="00365630"/>
    <w:rsid w:val="00373288"/>
    <w:rsid w:val="00375C06"/>
    <w:rsid w:val="00380ACA"/>
    <w:rsid w:val="003914BC"/>
    <w:rsid w:val="003914CD"/>
    <w:rsid w:val="00393681"/>
    <w:rsid w:val="003A1045"/>
    <w:rsid w:val="003A2356"/>
    <w:rsid w:val="003A2E19"/>
    <w:rsid w:val="003A5AB9"/>
    <w:rsid w:val="003B0606"/>
    <w:rsid w:val="003B46EA"/>
    <w:rsid w:val="003B73DA"/>
    <w:rsid w:val="003D15A1"/>
    <w:rsid w:val="003D2CE8"/>
    <w:rsid w:val="003D30DA"/>
    <w:rsid w:val="003D65F3"/>
    <w:rsid w:val="003D69AC"/>
    <w:rsid w:val="003D7F20"/>
    <w:rsid w:val="003E0CF6"/>
    <w:rsid w:val="003E2B85"/>
    <w:rsid w:val="003F438D"/>
    <w:rsid w:val="00402C7D"/>
    <w:rsid w:val="00403ED1"/>
    <w:rsid w:val="00406BDC"/>
    <w:rsid w:val="004070F6"/>
    <w:rsid w:val="00410865"/>
    <w:rsid w:val="00424ECA"/>
    <w:rsid w:val="00430B25"/>
    <w:rsid w:val="00440D25"/>
    <w:rsid w:val="0044283E"/>
    <w:rsid w:val="00445472"/>
    <w:rsid w:val="00445FCF"/>
    <w:rsid w:val="0045308C"/>
    <w:rsid w:val="0045326A"/>
    <w:rsid w:val="00453CAE"/>
    <w:rsid w:val="0046683F"/>
    <w:rsid w:val="00467B0C"/>
    <w:rsid w:val="00485AB8"/>
    <w:rsid w:val="0049241F"/>
    <w:rsid w:val="004961D4"/>
    <w:rsid w:val="004A1947"/>
    <w:rsid w:val="004A3518"/>
    <w:rsid w:val="004A6196"/>
    <w:rsid w:val="004B14CE"/>
    <w:rsid w:val="004B2267"/>
    <w:rsid w:val="004B51C9"/>
    <w:rsid w:val="004C18FD"/>
    <w:rsid w:val="004C3294"/>
    <w:rsid w:val="004C3E13"/>
    <w:rsid w:val="004C4FF3"/>
    <w:rsid w:val="004C5AE1"/>
    <w:rsid w:val="004C75DE"/>
    <w:rsid w:val="004D14C7"/>
    <w:rsid w:val="004D766E"/>
    <w:rsid w:val="004E3015"/>
    <w:rsid w:val="004E394B"/>
    <w:rsid w:val="004E5F6C"/>
    <w:rsid w:val="004F61CE"/>
    <w:rsid w:val="00504992"/>
    <w:rsid w:val="00512BEF"/>
    <w:rsid w:val="00513265"/>
    <w:rsid w:val="00530986"/>
    <w:rsid w:val="0053359F"/>
    <w:rsid w:val="00534A4D"/>
    <w:rsid w:val="00554573"/>
    <w:rsid w:val="00554D3B"/>
    <w:rsid w:val="005551C7"/>
    <w:rsid w:val="005610D6"/>
    <w:rsid w:val="005646A8"/>
    <w:rsid w:val="00565933"/>
    <w:rsid w:val="00565B01"/>
    <w:rsid w:val="005732CC"/>
    <w:rsid w:val="00574397"/>
    <w:rsid w:val="005745FE"/>
    <w:rsid w:val="00580D3D"/>
    <w:rsid w:val="0058527F"/>
    <w:rsid w:val="00590D96"/>
    <w:rsid w:val="00591820"/>
    <w:rsid w:val="00593CA0"/>
    <w:rsid w:val="00595AA9"/>
    <w:rsid w:val="0059625C"/>
    <w:rsid w:val="005A1E98"/>
    <w:rsid w:val="005B1936"/>
    <w:rsid w:val="005B2D09"/>
    <w:rsid w:val="005B47D7"/>
    <w:rsid w:val="005B6CC4"/>
    <w:rsid w:val="005C0DE6"/>
    <w:rsid w:val="005C1DC1"/>
    <w:rsid w:val="005C28F2"/>
    <w:rsid w:val="005C2B0F"/>
    <w:rsid w:val="005C5ADB"/>
    <w:rsid w:val="005C5BDA"/>
    <w:rsid w:val="005C6A2C"/>
    <w:rsid w:val="005C7E7A"/>
    <w:rsid w:val="005D04C8"/>
    <w:rsid w:val="005D1584"/>
    <w:rsid w:val="005D21E6"/>
    <w:rsid w:val="005D784C"/>
    <w:rsid w:val="005E0E6D"/>
    <w:rsid w:val="005E3EC9"/>
    <w:rsid w:val="005E6523"/>
    <w:rsid w:val="005F10CE"/>
    <w:rsid w:val="005F2369"/>
    <w:rsid w:val="00606A90"/>
    <w:rsid w:val="00613BC5"/>
    <w:rsid w:val="00614112"/>
    <w:rsid w:val="006179E0"/>
    <w:rsid w:val="00617E48"/>
    <w:rsid w:val="00622E06"/>
    <w:rsid w:val="00626528"/>
    <w:rsid w:val="006302B2"/>
    <w:rsid w:val="00632408"/>
    <w:rsid w:val="0063504F"/>
    <w:rsid w:val="00636586"/>
    <w:rsid w:val="00643069"/>
    <w:rsid w:val="0064606F"/>
    <w:rsid w:val="0066441B"/>
    <w:rsid w:val="006669E6"/>
    <w:rsid w:val="00671A2E"/>
    <w:rsid w:val="00671B18"/>
    <w:rsid w:val="0067317A"/>
    <w:rsid w:val="006759BC"/>
    <w:rsid w:val="00680686"/>
    <w:rsid w:val="00682469"/>
    <w:rsid w:val="00683CAE"/>
    <w:rsid w:val="00683DCA"/>
    <w:rsid w:val="00683E80"/>
    <w:rsid w:val="00684BB3"/>
    <w:rsid w:val="006853CD"/>
    <w:rsid w:val="006A00EB"/>
    <w:rsid w:val="006A13D1"/>
    <w:rsid w:val="006A1DE5"/>
    <w:rsid w:val="006A4514"/>
    <w:rsid w:val="006A5ECC"/>
    <w:rsid w:val="006B0D9F"/>
    <w:rsid w:val="006B283D"/>
    <w:rsid w:val="006B2F8B"/>
    <w:rsid w:val="006B53BD"/>
    <w:rsid w:val="006B5AD8"/>
    <w:rsid w:val="006B63D6"/>
    <w:rsid w:val="006C12C5"/>
    <w:rsid w:val="006C2BA9"/>
    <w:rsid w:val="006C3660"/>
    <w:rsid w:val="006C4809"/>
    <w:rsid w:val="006D3574"/>
    <w:rsid w:val="006E291D"/>
    <w:rsid w:val="006E2AFB"/>
    <w:rsid w:val="006E55B4"/>
    <w:rsid w:val="006F2108"/>
    <w:rsid w:val="006F3360"/>
    <w:rsid w:val="006F3B01"/>
    <w:rsid w:val="00700A32"/>
    <w:rsid w:val="007052CA"/>
    <w:rsid w:val="00706762"/>
    <w:rsid w:val="0070771A"/>
    <w:rsid w:val="00710D21"/>
    <w:rsid w:val="007117B5"/>
    <w:rsid w:val="00711E16"/>
    <w:rsid w:val="00712319"/>
    <w:rsid w:val="00722116"/>
    <w:rsid w:val="00736DDA"/>
    <w:rsid w:val="00737772"/>
    <w:rsid w:val="00737E5D"/>
    <w:rsid w:val="00744307"/>
    <w:rsid w:val="007450DC"/>
    <w:rsid w:val="00747396"/>
    <w:rsid w:val="00751889"/>
    <w:rsid w:val="00754E89"/>
    <w:rsid w:val="00763C7E"/>
    <w:rsid w:val="00765DA9"/>
    <w:rsid w:val="007714EE"/>
    <w:rsid w:val="007843C9"/>
    <w:rsid w:val="007956E6"/>
    <w:rsid w:val="00795B59"/>
    <w:rsid w:val="00796A14"/>
    <w:rsid w:val="00797DA7"/>
    <w:rsid w:val="007A006B"/>
    <w:rsid w:val="007A17EF"/>
    <w:rsid w:val="007B56DA"/>
    <w:rsid w:val="007B58B8"/>
    <w:rsid w:val="007C1527"/>
    <w:rsid w:val="007C7CC5"/>
    <w:rsid w:val="007D0E90"/>
    <w:rsid w:val="007D1BFD"/>
    <w:rsid w:val="007E090C"/>
    <w:rsid w:val="007E0C9A"/>
    <w:rsid w:val="007E1A10"/>
    <w:rsid w:val="007E76E3"/>
    <w:rsid w:val="007F376B"/>
    <w:rsid w:val="007F3D43"/>
    <w:rsid w:val="00801A99"/>
    <w:rsid w:val="00804FDC"/>
    <w:rsid w:val="0080598D"/>
    <w:rsid w:val="00806F1C"/>
    <w:rsid w:val="00814581"/>
    <w:rsid w:val="00817672"/>
    <w:rsid w:val="0082230C"/>
    <w:rsid w:val="008279F2"/>
    <w:rsid w:val="00831D86"/>
    <w:rsid w:val="008321D4"/>
    <w:rsid w:val="00835F41"/>
    <w:rsid w:val="00837425"/>
    <w:rsid w:val="00841660"/>
    <w:rsid w:val="00843D89"/>
    <w:rsid w:val="008457C6"/>
    <w:rsid w:val="008477C9"/>
    <w:rsid w:val="008522A8"/>
    <w:rsid w:val="00852D7A"/>
    <w:rsid w:val="0085472E"/>
    <w:rsid w:val="0085540D"/>
    <w:rsid w:val="0086054F"/>
    <w:rsid w:val="0086721C"/>
    <w:rsid w:val="00872A07"/>
    <w:rsid w:val="0087497D"/>
    <w:rsid w:val="00876989"/>
    <w:rsid w:val="008804EB"/>
    <w:rsid w:val="00881F78"/>
    <w:rsid w:val="008843E3"/>
    <w:rsid w:val="00884E5B"/>
    <w:rsid w:val="00886EBA"/>
    <w:rsid w:val="008876B4"/>
    <w:rsid w:val="0089541B"/>
    <w:rsid w:val="008958D5"/>
    <w:rsid w:val="008A480E"/>
    <w:rsid w:val="008A5CC7"/>
    <w:rsid w:val="008A6D24"/>
    <w:rsid w:val="008B0B47"/>
    <w:rsid w:val="008B46D6"/>
    <w:rsid w:val="008B5353"/>
    <w:rsid w:val="008C43EB"/>
    <w:rsid w:val="008D44B4"/>
    <w:rsid w:val="008D6025"/>
    <w:rsid w:val="008D6F13"/>
    <w:rsid w:val="008E0835"/>
    <w:rsid w:val="008E14CA"/>
    <w:rsid w:val="008E44B6"/>
    <w:rsid w:val="008E5C66"/>
    <w:rsid w:val="008E7363"/>
    <w:rsid w:val="008F0A9F"/>
    <w:rsid w:val="008F14E8"/>
    <w:rsid w:val="008F62B1"/>
    <w:rsid w:val="00902D9D"/>
    <w:rsid w:val="00905530"/>
    <w:rsid w:val="009067FB"/>
    <w:rsid w:val="00911750"/>
    <w:rsid w:val="00913B6C"/>
    <w:rsid w:val="009151F9"/>
    <w:rsid w:val="00924199"/>
    <w:rsid w:val="00924547"/>
    <w:rsid w:val="00926913"/>
    <w:rsid w:val="009316B1"/>
    <w:rsid w:val="00932D69"/>
    <w:rsid w:val="00933631"/>
    <w:rsid w:val="009360EA"/>
    <w:rsid w:val="0093778E"/>
    <w:rsid w:val="009468D4"/>
    <w:rsid w:val="00950263"/>
    <w:rsid w:val="0095053E"/>
    <w:rsid w:val="00950A66"/>
    <w:rsid w:val="009516DB"/>
    <w:rsid w:val="009547F5"/>
    <w:rsid w:val="009646B7"/>
    <w:rsid w:val="00967C9B"/>
    <w:rsid w:val="00973771"/>
    <w:rsid w:val="0097432E"/>
    <w:rsid w:val="009901D2"/>
    <w:rsid w:val="00990EE8"/>
    <w:rsid w:val="00995A3D"/>
    <w:rsid w:val="009C0CF7"/>
    <w:rsid w:val="009C2665"/>
    <w:rsid w:val="009D3848"/>
    <w:rsid w:val="009D6F7A"/>
    <w:rsid w:val="009D7681"/>
    <w:rsid w:val="009E608B"/>
    <w:rsid w:val="009E6586"/>
    <w:rsid w:val="009F0685"/>
    <w:rsid w:val="009F0DBF"/>
    <w:rsid w:val="009F44C6"/>
    <w:rsid w:val="009F64CC"/>
    <w:rsid w:val="009F7AB8"/>
    <w:rsid w:val="00A003C3"/>
    <w:rsid w:val="00A00F72"/>
    <w:rsid w:val="00A04050"/>
    <w:rsid w:val="00A078B0"/>
    <w:rsid w:val="00A10844"/>
    <w:rsid w:val="00A16227"/>
    <w:rsid w:val="00A22C31"/>
    <w:rsid w:val="00A22CE0"/>
    <w:rsid w:val="00A31E6A"/>
    <w:rsid w:val="00A36969"/>
    <w:rsid w:val="00A41845"/>
    <w:rsid w:val="00A41C61"/>
    <w:rsid w:val="00A434CA"/>
    <w:rsid w:val="00A447CC"/>
    <w:rsid w:val="00A50B99"/>
    <w:rsid w:val="00A543A2"/>
    <w:rsid w:val="00A55A9F"/>
    <w:rsid w:val="00A64DB4"/>
    <w:rsid w:val="00A76C09"/>
    <w:rsid w:val="00A77FAB"/>
    <w:rsid w:val="00A90A14"/>
    <w:rsid w:val="00A91290"/>
    <w:rsid w:val="00A92430"/>
    <w:rsid w:val="00A937D2"/>
    <w:rsid w:val="00A977E4"/>
    <w:rsid w:val="00AA105F"/>
    <w:rsid w:val="00AA17D0"/>
    <w:rsid w:val="00AA23D0"/>
    <w:rsid w:val="00AA318C"/>
    <w:rsid w:val="00AA530F"/>
    <w:rsid w:val="00AA6BAE"/>
    <w:rsid w:val="00AC2A47"/>
    <w:rsid w:val="00AC4EA0"/>
    <w:rsid w:val="00AD23C1"/>
    <w:rsid w:val="00AD5A27"/>
    <w:rsid w:val="00AE4F53"/>
    <w:rsid w:val="00AE5328"/>
    <w:rsid w:val="00AE5FA2"/>
    <w:rsid w:val="00AF36F2"/>
    <w:rsid w:val="00AF78C3"/>
    <w:rsid w:val="00AF7B52"/>
    <w:rsid w:val="00B07DC0"/>
    <w:rsid w:val="00B10A7B"/>
    <w:rsid w:val="00B139CF"/>
    <w:rsid w:val="00B14B93"/>
    <w:rsid w:val="00B15A6B"/>
    <w:rsid w:val="00B16FA7"/>
    <w:rsid w:val="00B17197"/>
    <w:rsid w:val="00B20B78"/>
    <w:rsid w:val="00B20F8C"/>
    <w:rsid w:val="00B21189"/>
    <w:rsid w:val="00B217E8"/>
    <w:rsid w:val="00B257D0"/>
    <w:rsid w:val="00B27C57"/>
    <w:rsid w:val="00B321BE"/>
    <w:rsid w:val="00B35145"/>
    <w:rsid w:val="00B351D6"/>
    <w:rsid w:val="00B369F4"/>
    <w:rsid w:val="00B37193"/>
    <w:rsid w:val="00B407FA"/>
    <w:rsid w:val="00B40EC2"/>
    <w:rsid w:val="00B51777"/>
    <w:rsid w:val="00B57811"/>
    <w:rsid w:val="00B66220"/>
    <w:rsid w:val="00B8034D"/>
    <w:rsid w:val="00B834F7"/>
    <w:rsid w:val="00B85850"/>
    <w:rsid w:val="00B923B5"/>
    <w:rsid w:val="00B92F62"/>
    <w:rsid w:val="00B9301B"/>
    <w:rsid w:val="00B94C24"/>
    <w:rsid w:val="00B94D2C"/>
    <w:rsid w:val="00BA1D55"/>
    <w:rsid w:val="00BA2FF5"/>
    <w:rsid w:val="00BA6493"/>
    <w:rsid w:val="00BB1A53"/>
    <w:rsid w:val="00BB44DB"/>
    <w:rsid w:val="00BB75DE"/>
    <w:rsid w:val="00BC692E"/>
    <w:rsid w:val="00BD3F75"/>
    <w:rsid w:val="00BE0492"/>
    <w:rsid w:val="00BE1D92"/>
    <w:rsid w:val="00BE483A"/>
    <w:rsid w:val="00C17B97"/>
    <w:rsid w:val="00C2143A"/>
    <w:rsid w:val="00C23F06"/>
    <w:rsid w:val="00C2640A"/>
    <w:rsid w:val="00C26856"/>
    <w:rsid w:val="00C26D7A"/>
    <w:rsid w:val="00C30FEC"/>
    <w:rsid w:val="00C34491"/>
    <w:rsid w:val="00C43176"/>
    <w:rsid w:val="00C54AD8"/>
    <w:rsid w:val="00C559D9"/>
    <w:rsid w:val="00C6275F"/>
    <w:rsid w:val="00C65BDB"/>
    <w:rsid w:val="00C6655A"/>
    <w:rsid w:val="00C72EDF"/>
    <w:rsid w:val="00C73272"/>
    <w:rsid w:val="00C74947"/>
    <w:rsid w:val="00C764D0"/>
    <w:rsid w:val="00C77DA3"/>
    <w:rsid w:val="00C80F2C"/>
    <w:rsid w:val="00C82DCC"/>
    <w:rsid w:val="00C83744"/>
    <w:rsid w:val="00C84E52"/>
    <w:rsid w:val="00C90B84"/>
    <w:rsid w:val="00C9112B"/>
    <w:rsid w:val="00C91C97"/>
    <w:rsid w:val="00C92998"/>
    <w:rsid w:val="00CA2534"/>
    <w:rsid w:val="00CA4DE2"/>
    <w:rsid w:val="00CB0A08"/>
    <w:rsid w:val="00CB2B23"/>
    <w:rsid w:val="00CB38B8"/>
    <w:rsid w:val="00CB4D32"/>
    <w:rsid w:val="00CC167E"/>
    <w:rsid w:val="00CC7889"/>
    <w:rsid w:val="00CD5600"/>
    <w:rsid w:val="00CE029B"/>
    <w:rsid w:val="00CE241F"/>
    <w:rsid w:val="00CF3213"/>
    <w:rsid w:val="00D03267"/>
    <w:rsid w:val="00D05D5F"/>
    <w:rsid w:val="00D14DD5"/>
    <w:rsid w:val="00D236A9"/>
    <w:rsid w:val="00D259EF"/>
    <w:rsid w:val="00D26EC6"/>
    <w:rsid w:val="00D276C9"/>
    <w:rsid w:val="00D331CC"/>
    <w:rsid w:val="00D41618"/>
    <w:rsid w:val="00D43633"/>
    <w:rsid w:val="00D438C7"/>
    <w:rsid w:val="00D4494B"/>
    <w:rsid w:val="00D45EAA"/>
    <w:rsid w:val="00D54031"/>
    <w:rsid w:val="00D6100A"/>
    <w:rsid w:val="00D62EDF"/>
    <w:rsid w:val="00D67757"/>
    <w:rsid w:val="00D72E2A"/>
    <w:rsid w:val="00D75593"/>
    <w:rsid w:val="00D77A64"/>
    <w:rsid w:val="00D80332"/>
    <w:rsid w:val="00D87B4E"/>
    <w:rsid w:val="00D9002F"/>
    <w:rsid w:val="00D9644A"/>
    <w:rsid w:val="00DA3731"/>
    <w:rsid w:val="00DA3AFE"/>
    <w:rsid w:val="00DA3CAC"/>
    <w:rsid w:val="00DA4F32"/>
    <w:rsid w:val="00DA5C89"/>
    <w:rsid w:val="00DA76DA"/>
    <w:rsid w:val="00DB3353"/>
    <w:rsid w:val="00DB6391"/>
    <w:rsid w:val="00DD04DA"/>
    <w:rsid w:val="00DD09E9"/>
    <w:rsid w:val="00DD45A9"/>
    <w:rsid w:val="00DE110D"/>
    <w:rsid w:val="00DE20B2"/>
    <w:rsid w:val="00DE3163"/>
    <w:rsid w:val="00DF45DF"/>
    <w:rsid w:val="00DF7351"/>
    <w:rsid w:val="00E005CD"/>
    <w:rsid w:val="00E03C35"/>
    <w:rsid w:val="00E045A6"/>
    <w:rsid w:val="00E05BEA"/>
    <w:rsid w:val="00E07D87"/>
    <w:rsid w:val="00E148CA"/>
    <w:rsid w:val="00E14B89"/>
    <w:rsid w:val="00E33351"/>
    <w:rsid w:val="00E35BA0"/>
    <w:rsid w:val="00E43879"/>
    <w:rsid w:val="00E44AFA"/>
    <w:rsid w:val="00E45689"/>
    <w:rsid w:val="00E64C70"/>
    <w:rsid w:val="00E70D5B"/>
    <w:rsid w:val="00E71763"/>
    <w:rsid w:val="00E73677"/>
    <w:rsid w:val="00E80CC6"/>
    <w:rsid w:val="00E837F8"/>
    <w:rsid w:val="00E83D35"/>
    <w:rsid w:val="00E879EE"/>
    <w:rsid w:val="00E929FD"/>
    <w:rsid w:val="00E9526E"/>
    <w:rsid w:val="00EA2081"/>
    <w:rsid w:val="00EA4386"/>
    <w:rsid w:val="00EB03B5"/>
    <w:rsid w:val="00EB38B1"/>
    <w:rsid w:val="00EB3D96"/>
    <w:rsid w:val="00EB774C"/>
    <w:rsid w:val="00EC56BE"/>
    <w:rsid w:val="00EC7A5B"/>
    <w:rsid w:val="00ED5676"/>
    <w:rsid w:val="00ED7A31"/>
    <w:rsid w:val="00EE216B"/>
    <w:rsid w:val="00EE4952"/>
    <w:rsid w:val="00EE680D"/>
    <w:rsid w:val="00EF10F3"/>
    <w:rsid w:val="00F00016"/>
    <w:rsid w:val="00F015E8"/>
    <w:rsid w:val="00F02169"/>
    <w:rsid w:val="00F027F2"/>
    <w:rsid w:val="00F143B1"/>
    <w:rsid w:val="00F15174"/>
    <w:rsid w:val="00F153E9"/>
    <w:rsid w:val="00F17E7E"/>
    <w:rsid w:val="00F2273F"/>
    <w:rsid w:val="00F25EEC"/>
    <w:rsid w:val="00F31D3A"/>
    <w:rsid w:val="00F32463"/>
    <w:rsid w:val="00F33C5E"/>
    <w:rsid w:val="00F354CD"/>
    <w:rsid w:val="00F450C7"/>
    <w:rsid w:val="00F45724"/>
    <w:rsid w:val="00F4685A"/>
    <w:rsid w:val="00F506C9"/>
    <w:rsid w:val="00F512F2"/>
    <w:rsid w:val="00F5474D"/>
    <w:rsid w:val="00F574E2"/>
    <w:rsid w:val="00F62CCD"/>
    <w:rsid w:val="00F678D0"/>
    <w:rsid w:val="00F75A35"/>
    <w:rsid w:val="00F809A6"/>
    <w:rsid w:val="00F86C37"/>
    <w:rsid w:val="00F8706C"/>
    <w:rsid w:val="00F904FA"/>
    <w:rsid w:val="00F9238D"/>
    <w:rsid w:val="00F93276"/>
    <w:rsid w:val="00F94CDF"/>
    <w:rsid w:val="00FA6E4C"/>
    <w:rsid w:val="00FB0CE9"/>
    <w:rsid w:val="00FC18A6"/>
    <w:rsid w:val="00FC18B3"/>
    <w:rsid w:val="00FC73DF"/>
    <w:rsid w:val="00FD1436"/>
    <w:rsid w:val="00FD51F7"/>
    <w:rsid w:val="00FE0B87"/>
    <w:rsid w:val="00FE4FFD"/>
    <w:rsid w:val="00FF6555"/>
    <w:rsid w:val="00FF7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E041"/>
  <w15:docId w15:val="{F85CB295-8A6D-49F3-B51F-95C731E0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36" w:unhideWhenUsed="1"/>
    <w:lsdException w:name="footer" w:semiHidden="1" w:uiPriority="99" w:unhideWhenUsed="1"/>
    <w:lsdException w:name="index heading" w:semiHidden="1" w:unhideWhenUsed="1"/>
    <w:lsdException w:name="caption" w:semiHidden="1" w:uiPriority="7"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B0C"/>
    <w:rPr>
      <w:rFonts w:eastAsiaTheme="minorEastAsia"/>
      <w:lang w:val="sq-AL"/>
    </w:rPr>
  </w:style>
  <w:style w:type="paragraph" w:styleId="Heading1">
    <w:name w:val="heading 1"/>
    <w:aliases w:val="~SectionHeading,Heading 1a,Hoofdstuk"/>
    <w:basedOn w:val="Normal"/>
    <w:next w:val="Normal"/>
    <w:link w:val="Heading1Char"/>
    <w:uiPriority w:val="1"/>
    <w:qFormat/>
    <w:rsid w:val="00884E5B"/>
    <w:pPr>
      <w:keepNext/>
      <w:pageBreakBefore/>
      <w:numPr>
        <w:numId w:val="1"/>
      </w:numPr>
      <w:spacing w:after="1200" w:line="264" w:lineRule="auto"/>
      <w:outlineLvl w:val="0"/>
    </w:pPr>
    <w:rPr>
      <w:rFonts w:ascii="Arial" w:eastAsia="Times New Roman" w:hAnsi="Arial" w:cs="Times New Roman"/>
      <w:b/>
      <w:bCs/>
      <w:color w:val="000000"/>
      <w:sz w:val="40"/>
      <w:szCs w:val="40"/>
      <w:lang w:val="x-none" w:eastAsia="x-none"/>
    </w:rPr>
  </w:style>
  <w:style w:type="paragraph" w:styleId="Heading2">
    <w:name w:val="heading 2"/>
    <w:aliases w:val="~SubHeading, Znak,Heading 2 Char1,Heading 2 Char Char"/>
    <w:basedOn w:val="Normal"/>
    <w:next w:val="Normal"/>
    <w:link w:val="Heading2Char"/>
    <w:qFormat/>
    <w:rsid w:val="00884E5B"/>
    <w:pPr>
      <w:keepNext/>
      <w:numPr>
        <w:ilvl w:val="1"/>
        <w:numId w:val="1"/>
      </w:numPr>
      <w:spacing w:before="240" w:after="120" w:line="264" w:lineRule="auto"/>
      <w:outlineLvl w:val="1"/>
    </w:pPr>
    <w:rPr>
      <w:rFonts w:ascii="Arial" w:eastAsia="Times New Roman" w:hAnsi="Arial" w:cs="Times New Roman"/>
      <w:b/>
      <w:bCs/>
      <w:color w:val="27BDBE"/>
      <w:lang w:val="x-none" w:eastAsia="x-none"/>
    </w:rPr>
  </w:style>
  <w:style w:type="paragraph" w:styleId="Heading3">
    <w:name w:val="heading 3"/>
    <w:aliases w:val="~MinorSubHeading,H3,adpis 3,Subparagraaf"/>
    <w:basedOn w:val="Normal"/>
    <w:next w:val="Normal"/>
    <w:link w:val="Heading3Char"/>
    <w:qFormat/>
    <w:rsid w:val="00884E5B"/>
    <w:pPr>
      <w:keepNext/>
      <w:numPr>
        <w:ilvl w:val="2"/>
        <w:numId w:val="1"/>
      </w:numPr>
      <w:spacing w:before="240" w:after="120" w:line="264" w:lineRule="auto"/>
      <w:outlineLvl w:val="2"/>
    </w:pPr>
    <w:rPr>
      <w:rFonts w:ascii="Arial" w:eastAsia="Times New Roman" w:hAnsi="Arial" w:cs="Times New Roman"/>
      <w:b/>
      <w:bCs/>
      <w:color w:val="27BDBE"/>
      <w:sz w:val="20"/>
      <w:szCs w:val="20"/>
      <w:lang w:val="x-none" w:eastAsia="x-none"/>
    </w:rPr>
  </w:style>
  <w:style w:type="paragraph" w:styleId="Heading4">
    <w:name w:val="heading 4"/>
    <w:aliases w:val="~Level4Heading"/>
    <w:basedOn w:val="Normal"/>
    <w:next w:val="Normal"/>
    <w:link w:val="Heading4Char"/>
    <w:qFormat/>
    <w:rsid w:val="00884E5B"/>
    <w:pPr>
      <w:keepNext/>
      <w:numPr>
        <w:ilvl w:val="3"/>
        <w:numId w:val="1"/>
      </w:numPr>
      <w:spacing w:before="240" w:after="0" w:line="264" w:lineRule="auto"/>
      <w:outlineLvl w:val="3"/>
    </w:pPr>
    <w:rPr>
      <w:rFonts w:ascii="Arial" w:eastAsia="Times New Roman" w:hAnsi="Arial" w:cs="Times New Roman"/>
      <w:color w:val="27BDBE"/>
      <w:sz w:val="20"/>
      <w:szCs w:val="20"/>
      <w:lang w:val="x-none" w:eastAsia="x-none"/>
    </w:rPr>
  </w:style>
  <w:style w:type="paragraph" w:styleId="Heading5">
    <w:name w:val="heading 5"/>
    <w:aliases w:val="~AppendixHeading"/>
    <w:basedOn w:val="ExecSumSubHead"/>
    <w:next w:val="Normal"/>
    <w:link w:val="Heading5Char"/>
    <w:qFormat/>
    <w:rsid w:val="005D784C"/>
    <w:pPr>
      <w:keepLines/>
      <w:spacing w:after="0"/>
      <w:outlineLvl w:val="4"/>
    </w:pPr>
    <w:rPr>
      <w:b w:val="0"/>
      <w:lang w:val="x-none" w:eastAsia="x-none"/>
    </w:rPr>
  </w:style>
  <w:style w:type="paragraph" w:styleId="Heading6">
    <w:name w:val="heading 6"/>
    <w:aliases w:val="~AppSubHeading"/>
    <w:basedOn w:val="ExecSumSubHead"/>
    <w:next w:val="Normal"/>
    <w:link w:val="Heading6Char"/>
    <w:qFormat/>
    <w:rsid w:val="005D784C"/>
    <w:pPr>
      <w:keepLines/>
      <w:spacing w:after="0"/>
      <w:outlineLvl w:val="5"/>
    </w:pPr>
    <w:rPr>
      <w:b w:val="0"/>
      <w:i/>
      <w:iCs/>
      <w:lang w:val="x-none" w:eastAsia="x-none"/>
    </w:rPr>
  </w:style>
  <w:style w:type="paragraph" w:styleId="Heading7">
    <w:name w:val="heading 7"/>
    <w:aliases w:val="~AppSubLevel3"/>
    <w:basedOn w:val="ExecSumSubHead"/>
    <w:next w:val="Normal"/>
    <w:link w:val="Heading7Char"/>
    <w:qFormat/>
    <w:rsid w:val="005D784C"/>
    <w:pPr>
      <w:keepLines/>
      <w:spacing w:after="0"/>
      <w:outlineLvl w:val="6"/>
    </w:pPr>
    <w:rPr>
      <w:b w:val="0"/>
      <w:iCs/>
      <w:lang w:val="x-none" w:eastAsia="x-none"/>
    </w:rPr>
  </w:style>
  <w:style w:type="paragraph" w:styleId="Heading8">
    <w:name w:val="heading 8"/>
    <w:aliases w:val="~AppSubLevel4"/>
    <w:basedOn w:val="Normal"/>
    <w:next w:val="Normal"/>
    <w:link w:val="Heading8Char"/>
    <w:qFormat/>
    <w:rsid w:val="005D784C"/>
    <w:pPr>
      <w:keepNext/>
      <w:keepLines/>
      <w:spacing w:before="240" w:after="0" w:line="240" w:lineRule="auto"/>
      <w:outlineLvl w:val="7"/>
    </w:pPr>
    <w:rPr>
      <w:rFonts w:ascii="Arial" w:eastAsia="Times New Roman" w:hAnsi="Arial" w:cs="Times New Roman"/>
      <w:sz w:val="20"/>
      <w:szCs w:val="20"/>
      <w:lang w:val="x-none" w:eastAsia="x-none"/>
    </w:rPr>
  </w:style>
  <w:style w:type="paragraph" w:styleId="Heading9">
    <w:name w:val="heading 9"/>
    <w:basedOn w:val="Normal"/>
    <w:next w:val="Normal"/>
    <w:link w:val="Heading9Char"/>
    <w:qFormat/>
    <w:rsid w:val="005D784C"/>
    <w:pPr>
      <w:keepNext/>
      <w:keepLines/>
      <w:spacing w:before="240" w:after="0" w:line="240" w:lineRule="auto"/>
      <w:outlineLvl w:val="8"/>
    </w:pPr>
    <w:rPr>
      <w:rFonts w:ascii="Arial" w:eastAsia="Times New Roman" w:hAnsi="Arial" w:cs="Times New Roman"/>
      <w:i/>
      <w:i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s,Liste Paragraf,Paragraphe de liste,List Paragraph 1,List Bullet Mary,List Paragraph (numbered (a)),WB Para,Paragraphe de liste1,Elenco num ARGEA,Table of contents numbered,Paragrafo elenco1,1st level - Bullet List Paragraph"/>
    <w:basedOn w:val="Normal"/>
    <w:link w:val="ListParagraphChar"/>
    <w:qFormat/>
    <w:rsid w:val="00AF7B52"/>
    <w:pPr>
      <w:ind w:left="720"/>
      <w:contextualSpacing/>
    </w:pPr>
  </w:style>
  <w:style w:type="paragraph" w:styleId="Header">
    <w:name w:val="header"/>
    <w:aliases w:val="~Header"/>
    <w:basedOn w:val="Normal"/>
    <w:link w:val="HeaderChar"/>
    <w:uiPriority w:val="36"/>
    <w:unhideWhenUsed/>
    <w:rsid w:val="0089541B"/>
    <w:pPr>
      <w:tabs>
        <w:tab w:val="center" w:pos="4680"/>
        <w:tab w:val="right" w:pos="9360"/>
      </w:tabs>
      <w:spacing w:after="0" w:line="240" w:lineRule="auto"/>
    </w:pPr>
  </w:style>
  <w:style w:type="character" w:customStyle="1" w:styleId="HeaderChar">
    <w:name w:val="Header Char"/>
    <w:aliases w:val="~Header Char"/>
    <w:basedOn w:val="DefaultParagraphFont"/>
    <w:link w:val="Header"/>
    <w:uiPriority w:val="36"/>
    <w:rsid w:val="0089541B"/>
    <w:rPr>
      <w:rFonts w:eastAsiaTheme="minorEastAsia"/>
    </w:rPr>
  </w:style>
  <w:style w:type="paragraph" w:styleId="Footer">
    <w:name w:val="footer"/>
    <w:aliases w:val="~Footer,Footer2"/>
    <w:basedOn w:val="Normal"/>
    <w:link w:val="FooterChar"/>
    <w:uiPriority w:val="99"/>
    <w:unhideWhenUsed/>
    <w:rsid w:val="0089541B"/>
    <w:pPr>
      <w:tabs>
        <w:tab w:val="center" w:pos="4680"/>
        <w:tab w:val="right" w:pos="9360"/>
      </w:tabs>
      <w:spacing w:after="0" w:line="240" w:lineRule="auto"/>
    </w:pPr>
  </w:style>
  <w:style w:type="character" w:customStyle="1" w:styleId="FooterChar">
    <w:name w:val="Footer Char"/>
    <w:aliases w:val="~Footer Char,Footer2 Char"/>
    <w:basedOn w:val="DefaultParagraphFont"/>
    <w:link w:val="Footer"/>
    <w:uiPriority w:val="99"/>
    <w:rsid w:val="0089541B"/>
    <w:rPr>
      <w:rFonts w:eastAsiaTheme="minorEastAsia"/>
    </w:rPr>
  </w:style>
  <w:style w:type="character" w:styleId="Emphasis">
    <w:name w:val="Emphasis"/>
    <w:basedOn w:val="DefaultParagraphFont"/>
    <w:qFormat/>
    <w:rsid w:val="00E64C70"/>
    <w:rPr>
      <w:i/>
      <w:iCs/>
    </w:rPr>
  </w:style>
  <w:style w:type="paragraph" w:styleId="BalloonText">
    <w:name w:val="Balloon Text"/>
    <w:basedOn w:val="Normal"/>
    <w:link w:val="BalloonTextChar"/>
    <w:uiPriority w:val="99"/>
    <w:unhideWhenUsed/>
    <w:rsid w:val="005D21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5D21E6"/>
    <w:rPr>
      <w:rFonts w:ascii="Segoe UI" w:eastAsiaTheme="minorEastAsia" w:hAnsi="Segoe UI" w:cs="Segoe UI"/>
      <w:sz w:val="18"/>
      <w:szCs w:val="18"/>
    </w:rPr>
  </w:style>
  <w:style w:type="paragraph" w:customStyle="1" w:styleId="TEKSTIIII">
    <w:name w:val="TEKSTIIII"/>
    <w:basedOn w:val="Normal"/>
    <w:qFormat/>
    <w:rsid w:val="00AC4EA0"/>
    <w:pPr>
      <w:spacing w:after="0" w:line="240" w:lineRule="auto"/>
      <w:ind w:firstLine="284"/>
      <w:jc w:val="both"/>
    </w:pPr>
    <w:rPr>
      <w:rFonts w:ascii="Garamond" w:hAnsi="Garamond"/>
      <w:sz w:val="24"/>
      <w:szCs w:val="24"/>
    </w:rPr>
  </w:style>
  <w:style w:type="paragraph" w:customStyle="1" w:styleId="TableTextLeft">
    <w:name w:val="~TableTextLeft"/>
    <w:basedOn w:val="Normal"/>
    <w:uiPriority w:val="8"/>
    <w:qFormat/>
    <w:rsid w:val="00CF3213"/>
    <w:pPr>
      <w:spacing w:before="40" w:after="40" w:line="240" w:lineRule="auto"/>
      <w:ind w:right="113"/>
    </w:pPr>
    <w:rPr>
      <w:rFonts w:ascii="Arial" w:eastAsia="Times New Roman" w:hAnsi="Arial" w:cs="Times New Roman"/>
      <w:sz w:val="16"/>
      <w:szCs w:val="16"/>
      <w:lang w:val="en-GB"/>
    </w:rPr>
  </w:style>
  <w:style w:type="paragraph" w:customStyle="1" w:styleId="TableHeadingLeft">
    <w:name w:val="~TableHeadingLeft"/>
    <w:basedOn w:val="TableTextLeft"/>
    <w:uiPriority w:val="8"/>
    <w:qFormat/>
    <w:rsid w:val="00CF3213"/>
    <w:pPr>
      <w:keepNext/>
    </w:pPr>
    <w:rPr>
      <w:b/>
      <w:bCs/>
      <w:color w:val="27BDBE"/>
      <w:sz w:val="18"/>
      <w:szCs w:val="18"/>
    </w:rPr>
  </w:style>
  <w:style w:type="paragraph" w:customStyle="1" w:styleId="TABELA">
    <w:name w:val="TABELA"/>
    <w:basedOn w:val="TableTextLeft"/>
    <w:qFormat/>
    <w:rsid w:val="00CF3213"/>
    <w:pPr>
      <w:spacing w:before="22" w:after="0"/>
      <w:ind w:right="63"/>
    </w:pPr>
    <w:rPr>
      <w:rFonts w:ascii="Garamond" w:hAnsi="Garamond"/>
      <w:sz w:val="20"/>
      <w:szCs w:val="20"/>
    </w:rPr>
  </w:style>
  <w:style w:type="paragraph" w:customStyle="1" w:styleId="Spacer">
    <w:name w:val="~Spacer"/>
    <w:basedOn w:val="NoSpacing"/>
    <w:uiPriority w:val="34"/>
    <w:rsid w:val="00CF3213"/>
    <w:rPr>
      <w:rFonts w:ascii="Arial" w:eastAsia="Times New Roman" w:hAnsi="Arial" w:cs="Times New Roman"/>
      <w:sz w:val="2"/>
      <w:szCs w:val="2"/>
      <w:lang w:val="en-GB"/>
    </w:rPr>
  </w:style>
  <w:style w:type="paragraph" w:customStyle="1" w:styleId="Disclaimer">
    <w:name w:val="~Disclaimer"/>
    <w:basedOn w:val="Normal"/>
    <w:rsid w:val="00CF3213"/>
    <w:pPr>
      <w:spacing w:before="200" w:line="264" w:lineRule="auto"/>
    </w:pPr>
    <w:rPr>
      <w:rFonts w:ascii="Arial" w:eastAsia="Times New Roman" w:hAnsi="Arial" w:cs="Times New Roman"/>
      <w:sz w:val="16"/>
      <w:szCs w:val="16"/>
      <w:lang w:val="en-GB"/>
    </w:rPr>
  </w:style>
  <w:style w:type="paragraph" w:styleId="BodyText">
    <w:name w:val="Body Text"/>
    <w:aliases w:val="uvlaka 2,  uvlaka 2"/>
    <w:basedOn w:val="Normal"/>
    <w:link w:val="BodyTextChar"/>
    <w:uiPriority w:val="1"/>
    <w:unhideWhenUsed/>
    <w:qFormat/>
    <w:rsid w:val="00CF3213"/>
    <w:pPr>
      <w:spacing w:before="120" w:after="120" w:line="264" w:lineRule="auto"/>
    </w:pPr>
    <w:rPr>
      <w:rFonts w:ascii="Arial" w:eastAsia="Times New Roman" w:hAnsi="Arial" w:cs="Times New Roman"/>
      <w:sz w:val="20"/>
      <w:szCs w:val="20"/>
      <w:lang w:val="x-none" w:eastAsia="x-none"/>
    </w:rPr>
  </w:style>
  <w:style w:type="character" w:customStyle="1" w:styleId="BodyTextChar">
    <w:name w:val="Body Text Char"/>
    <w:aliases w:val="uvlaka 2 Char,  uvlaka 2 Char"/>
    <w:basedOn w:val="DefaultParagraphFont"/>
    <w:link w:val="BodyText"/>
    <w:uiPriority w:val="1"/>
    <w:rsid w:val="00CF3213"/>
    <w:rPr>
      <w:rFonts w:ascii="Arial" w:eastAsia="Times New Roman" w:hAnsi="Arial" w:cs="Times New Roman"/>
      <w:sz w:val="20"/>
      <w:szCs w:val="20"/>
      <w:lang w:val="x-none" w:eastAsia="x-none"/>
    </w:rPr>
  </w:style>
  <w:style w:type="paragraph" w:customStyle="1" w:styleId="TableParagraph">
    <w:name w:val="Table Paragraph"/>
    <w:basedOn w:val="Normal"/>
    <w:uiPriority w:val="1"/>
    <w:qFormat/>
    <w:rsid w:val="00CF3213"/>
    <w:pPr>
      <w:widowControl w:val="0"/>
      <w:spacing w:after="0" w:line="240" w:lineRule="auto"/>
      <w:ind w:left="200"/>
    </w:pPr>
    <w:rPr>
      <w:rFonts w:ascii="Arial" w:eastAsia="Arial" w:hAnsi="Arial" w:cs="Arial"/>
    </w:rPr>
  </w:style>
  <w:style w:type="paragraph" w:styleId="NoSpacing">
    <w:name w:val="No Spacing"/>
    <w:aliases w:val="~BaseStyle"/>
    <w:link w:val="NoSpacingChar"/>
    <w:qFormat/>
    <w:rsid w:val="00CF3213"/>
    <w:pPr>
      <w:spacing w:after="0" w:line="240" w:lineRule="auto"/>
    </w:pPr>
    <w:rPr>
      <w:rFonts w:eastAsiaTheme="minorEastAsia"/>
    </w:rPr>
  </w:style>
  <w:style w:type="character" w:customStyle="1" w:styleId="Heading1Char">
    <w:name w:val="Heading 1 Char"/>
    <w:aliases w:val="~SectionHeading Char,Heading 1a Char,Hoofdstuk Char"/>
    <w:basedOn w:val="DefaultParagraphFont"/>
    <w:link w:val="Heading1"/>
    <w:uiPriority w:val="1"/>
    <w:rsid w:val="00884E5B"/>
    <w:rPr>
      <w:rFonts w:ascii="Arial" w:eastAsia="Times New Roman" w:hAnsi="Arial" w:cs="Times New Roman"/>
      <w:b/>
      <w:bCs/>
      <w:color w:val="000000"/>
      <w:sz w:val="40"/>
      <w:szCs w:val="40"/>
      <w:lang w:val="x-none" w:eastAsia="x-none"/>
    </w:rPr>
  </w:style>
  <w:style w:type="character" w:customStyle="1" w:styleId="Heading2Char">
    <w:name w:val="Heading 2 Char"/>
    <w:aliases w:val="~SubHeading Char, Znak Char,Heading 2 Char1 Char,Heading 2 Char Char Char"/>
    <w:basedOn w:val="DefaultParagraphFont"/>
    <w:link w:val="Heading2"/>
    <w:rsid w:val="00884E5B"/>
    <w:rPr>
      <w:rFonts w:ascii="Arial" w:eastAsia="Times New Roman" w:hAnsi="Arial" w:cs="Times New Roman"/>
      <w:b/>
      <w:bCs/>
      <w:color w:val="27BDBE"/>
      <w:lang w:val="x-none" w:eastAsia="x-none"/>
    </w:rPr>
  </w:style>
  <w:style w:type="character" w:customStyle="1" w:styleId="Heading3Char">
    <w:name w:val="Heading 3 Char"/>
    <w:aliases w:val="~MinorSubHeading Char,H3 Char,adpis 3 Char,Subparagraaf Char"/>
    <w:basedOn w:val="DefaultParagraphFont"/>
    <w:link w:val="Heading3"/>
    <w:rsid w:val="00884E5B"/>
    <w:rPr>
      <w:rFonts w:ascii="Arial" w:eastAsia="Times New Roman" w:hAnsi="Arial" w:cs="Times New Roman"/>
      <w:b/>
      <w:bCs/>
      <w:color w:val="27BDBE"/>
      <w:sz w:val="20"/>
      <w:szCs w:val="20"/>
      <w:lang w:val="x-none" w:eastAsia="x-none"/>
    </w:rPr>
  </w:style>
  <w:style w:type="character" w:customStyle="1" w:styleId="Heading4Char">
    <w:name w:val="Heading 4 Char"/>
    <w:aliases w:val="~Level4Heading Char"/>
    <w:basedOn w:val="DefaultParagraphFont"/>
    <w:link w:val="Heading4"/>
    <w:rsid w:val="00884E5B"/>
    <w:rPr>
      <w:rFonts w:ascii="Arial" w:eastAsia="Times New Roman" w:hAnsi="Arial" w:cs="Times New Roman"/>
      <w:color w:val="27BDBE"/>
      <w:sz w:val="20"/>
      <w:szCs w:val="20"/>
      <w:lang w:val="x-none" w:eastAsia="x-none"/>
    </w:rPr>
  </w:style>
  <w:style w:type="paragraph" w:customStyle="1" w:styleId="Bullet1">
    <w:name w:val="~Bullet1"/>
    <w:basedOn w:val="Normal"/>
    <w:uiPriority w:val="1"/>
    <w:qFormat/>
    <w:rsid w:val="00884E5B"/>
    <w:pPr>
      <w:numPr>
        <w:numId w:val="2"/>
      </w:numPr>
      <w:spacing w:before="60" w:after="60" w:line="264" w:lineRule="auto"/>
    </w:pPr>
    <w:rPr>
      <w:rFonts w:ascii="Arial" w:eastAsia="Calibri" w:hAnsi="Arial" w:cs="Times New Roman"/>
      <w:sz w:val="20"/>
      <w:szCs w:val="20"/>
      <w:lang w:val="en-GB"/>
    </w:rPr>
  </w:style>
  <w:style w:type="paragraph" w:customStyle="1" w:styleId="Bullet2">
    <w:name w:val="~Bullet2"/>
    <w:basedOn w:val="Normal"/>
    <w:uiPriority w:val="1"/>
    <w:qFormat/>
    <w:rsid w:val="00884E5B"/>
    <w:pPr>
      <w:numPr>
        <w:ilvl w:val="1"/>
        <w:numId w:val="2"/>
      </w:numPr>
      <w:spacing w:before="60" w:after="60" w:line="264" w:lineRule="auto"/>
    </w:pPr>
    <w:rPr>
      <w:rFonts w:ascii="Arial" w:eastAsia="Times New Roman" w:hAnsi="Arial" w:cs="Times New Roman"/>
      <w:sz w:val="20"/>
      <w:szCs w:val="20"/>
      <w:lang w:val="en-GB"/>
    </w:rPr>
  </w:style>
  <w:style w:type="paragraph" w:customStyle="1" w:styleId="Bullet3">
    <w:name w:val="~Bullet3"/>
    <w:basedOn w:val="Normal"/>
    <w:uiPriority w:val="1"/>
    <w:qFormat/>
    <w:rsid w:val="00884E5B"/>
    <w:pPr>
      <w:numPr>
        <w:ilvl w:val="2"/>
        <w:numId w:val="2"/>
      </w:numPr>
      <w:spacing w:before="60" w:after="60" w:line="264" w:lineRule="auto"/>
    </w:pPr>
    <w:rPr>
      <w:rFonts w:ascii="Arial" w:eastAsia="Times New Roman" w:hAnsi="Arial" w:cs="Times New Roman"/>
      <w:sz w:val="20"/>
      <w:szCs w:val="20"/>
      <w:lang w:val="en-GB"/>
    </w:rPr>
  </w:style>
  <w:style w:type="paragraph" w:customStyle="1" w:styleId="ExecSumHead">
    <w:name w:val="~ExecSumHead"/>
    <w:basedOn w:val="Normal"/>
    <w:next w:val="Normal"/>
    <w:uiPriority w:val="3"/>
    <w:qFormat/>
    <w:rsid w:val="00884E5B"/>
    <w:pPr>
      <w:keepNext/>
      <w:pageBreakBefore/>
      <w:spacing w:after="1200" w:line="264" w:lineRule="auto"/>
      <w:outlineLvl w:val="0"/>
    </w:pPr>
    <w:rPr>
      <w:rFonts w:ascii="Arial" w:eastAsia="Times New Roman" w:hAnsi="Arial" w:cs="Times New Roman"/>
      <w:b/>
      <w:sz w:val="40"/>
      <w:szCs w:val="40"/>
      <w:lang w:val="en-GB"/>
    </w:rPr>
  </w:style>
  <w:style w:type="numbering" w:customStyle="1" w:styleId="SecListStyle">
    <w:name w:val="~SecListStyle"/>
    <w:uiPriority w:val="99"/>
    <w:rsid w:val="00884E5B"/>
    <w:pPr>
      <w:numPr>
        <w:numId w:val="53"/>
      </w:numPr>
    </w:pPr>
  </w:style>
  <w:style w:type="character" w:styleId="FootnoteReference">
    <w:name w:val="footnote reference"/>
    <w:aliases w:val="16 Point,Superscript 6 Point,ftref,Ref,de nota al pie,Appel note de bas de page,BVI fnr, BVI fnr,Superscript 6 Point + 11 pt,fr,FNRefe Char Char,BVI fnr Char Char,BVI fnr Char Char Char,BVI fnr Car Car Char Char Char,ftref Char,4_GA"/>
    <w:link w:val="BVIfnrCarCar"/>
    <w:qFormat/>
    <w:rsid w:val="00CC7889"/>
    <w:rPr>
      <w:rFonts w:ascii="Arial" w:hAnsi="Arial"/>
      <w:color w:val="27BDBE"/>
      <w:szCs w:val="20"/>
      <w:vertAlign w:val="superscript"/>
    </w:rPr>
  </w:style>
  <w:style w:type="paragraph" w:styleId="FootnoteText">
    <w:name w:val="footnote text"/>
    <w:aliases w:val="~FootnoteText,single space,footnote text,FOOTNOTES,fn,Testo nota a piè di pagina Carattere,Geneva 9,Font: Geneva 9,Boston 10,f,Fußnotentext Char,ADB,Footnote text,ft,Footnote Text Char2 Char,Footnote Text Char1 Char Char,otnote Text"/>
    <w:basedOn w:val="NoSpacing"/>
    <w:link w:val="FootnoteTextChar"/>
    <w:qFormat/>
    <w:rsid w:val="00CC7889"/>
    <w:pPr>
      <w:spacing w:before="60"/>
      <w:ind w:left="284" w:hanging="284"/>
    </w:pPr>
    <w:rPr>
      <w:rFonts w:ascii="Arial" w:eastAsia="Times New Roman" w:hAnsi="Arial" w:cs="Times New Roman"/>
      <w:sz w:val="14"/>
      <w:szCs w:val="14"/>
      <w:lang w:val="x-none" w:eastAsia="x-none"/>
    </w:rPr>
  </w:style>
  <w:style w:type="character" w:customStyle="1" w:styleId="FootnoteTextChar">
    <w:name w:val="Footnote Text Char"/>
    <w:aliases w:val="~FootnoteText Char,single space Char,footnote text Char,FOOTNOTES Char,fn Char,Testo nota a piè di pagina Carattere Char,Geneva 9 Char,Font: Geneva 9 Char,Boston 10 Char,f Char,Fußnotentext Char Char,ADB Char,Footnote text Char"/>
    <w:basedOn w:val="DefaultParagraphFont"/>
    <w:link w:val="FootnoteText"/>
    <w:rsid w:val="00CC7889"/>
    <w:rPr>
      <w:rFonts w:ascii="Arial" w:eastAsia="Times New Roman" w:hAnsi="Arial" w:cs="Times New Roman"/>
      <w:sz w:val="14"/>
      <w:szCs w:val="14"/>
      <w:lang w:val="x-none" w:eastAsia="x-none"/>
    </w:rPr>
  </w:style>
  <w:style w:type="paragraph" w:styleId="ListNumber">
    <w:name w:val="List Number"/>
    <w:basedOn w:val="Normal"/>
    <w:rsid w:val="00CC7889"/>
    <w:pPr>
      <w:numPr>
        <w:numId w:val="3"/>
      </w:numPr>
      <w:spacing w:before="120" w:after="160" w:line="264" w:lineRule="auto"/>
      <w:contextualSpacing/>
    </w:pPr>
    <w:rPr>
      <w:rFonts w:ascii="Arial" w:eastAsia="Times New Roman" w:hAnsi="Arial" w:cs="Times New Roman"/>
      <w:sz w:val="20"/>
      <w:szCs w:val="20"/>
      <w:lang w:val="en-GB"/>
    </w:rPr>
  </w:style>
  <w:style w:type="character" w:customStyle="1" w:styleId="ListParagraphChar">
    <w:name w:val="List Paragraph Char"/>
    <w:aliases w:val="Bullet Points Char,Liste Paragraf Char,Paragraphe de liste Char,List Paragraph 1 Char,List Bullet Mary Char,List Paragraph (numbered (a)) Char,WB Para Char,Paragraphe de liste1 Char,Elenco num ARGEA Char,Paragrafo elenco1 Char"/>
    <w:link w:val="ListParagraph"/>
    <w:rsid w:val="00CC7889"/>
    <w:rPr>
      <w:rFonts w:eastAsiaTheme="minorEastAsia"/>
    </w:rPr>
  </w:style>
  <w:style w:type="paragraph" w:customStyle="1" w:styleId="BVIfnrCarCar">
    <w:name w:val="BVI fnr Car Car"/>
    <w:aliases w:val="BVI fnr Car,BVI fnr Car Car Car Car,Footnote Reference Number,Error-Fußnotenzeichen5,Error-Fußnotenzeichen6,FO,R,Error-Fußnotenzeichen5 Car,Error-Fußnotenzeichen6 Car,Error-Fußnotenzeichen3 Car,ftref Car,16 Point Car,Times 10 Point Car"/>
    <w:basedOn w:val="Normal"/>
    <w:link w:val="FootnoteReference"/>
    <w:rsid w:val="00CC7889"/>
    <w:pPr>
      <w:spacing w:after="160" w:line="240" w:lineRule="exact"/>
    </w:pPr>
    <w:rPr>
      <w:rFonts w:ascii="Arial" w:eastAsiaTheme="minorHAnsi" w:hAnsi="Arial"/>
      <w:color w:val="27BDBE"/>
      <w:szCs w:val="20"/>
      <w:vertAlign w:val="superscript"/>
    </w:rPr>
  </w:style>
  <w:style w:type="paragraph" w:customStyle="1" w:styleId="NENTITULL">
    <w:name w:val="NENTITULL"/>
    <w:basedOn w:val="TEKSTIIII"/>
    <w:qFormat/>
    <w:rsid w:val="00A77FAB"/>
    <w:rPr>
      <w:b/>
    </w:rPr>
  </w:style>
  <w:style w:type="paragraph" w:customStyle="1" w:styleId="MEVIZE">
    <w:name w:val="ME VIZE"/>
    <w:basedOn w:val="TEKSTIIII"/>
    <w:qFormat/>
    <w:rsid w:val="00F25EEC"/>
    <w:rPr>
      <w:lang w:val="it-IT"/>
    </w:rPr>
  </w:style>
  <w:style w:type="paragraph" w:customStyle="1" w:styleId="TableTextCentre">
    <w:name w:val="~TableTextCentre"/>
    <w:basedOn w:val="TableTextLeft"/>
    <w:uiPriority w:val="99"/>
    <w:qFormat/>
    <w:rsid w:val="00636586"/>
    <w:pPr>
      <w:jc w:val="center"/>
    </w:pPr>
  </w:style>
  <w:style w:type="paragraph" w:customStyle="1" w:styleId="REFERENCA">
    <w:name w:val="REFERENCA"/>
    <w:basedOn w:val="FootnoteText"/>
    <w:rsid w:val="00636586"/>
    <w:pPr>
      <w:spacing w:before="0"/>
    </w:pPr>
    <w:rPr>
      <w:rFonts w:ascii="Garamond" w:hAnsi="Garamond"/>
      <w:color w:val="27BDBE"/>
      <w:sz w:val="20"/>
      <w:szCs w:val="20"/>
      <w:vertAlign w:val="superscript"/>
    </w:rPr>
  </w:style>
  <w:style w:type="paragraph" w:customStyle="1" w:styleId="FOTNOTEEEEEE">
    <w:name w:val="FOTNOTEEEEEE"/>
    <w:basedOn w:val="REFERENCA"/>
    <w:qFormat/>
    <w:rsid w:val="009C2665"/>
    <w:rPr>
      <w:color w:val="000000" w:themeColor="text1"/>
      <w:vertAlign w:val="baseline"/>
    </w:rPr>
  </w:style>
  <w:style w:type="paragraph" w:customStyle="1" w:styleId="Tabletext">
    <w:name w:val="Tabletext"/>
    <w:basedOn w:val="Normal"/>
    <w:uiPriority w:val="6"/>
    <w:qFormat/>
    <w:rsid w:val="00EA2081"/>
    <w:pPr>
      <w:tabs>
        <w:tab w:val="left" w:pos="2126"/>
      </w:tabs>
      <w:spacing w:before="120" w:after="80" w:line="240" w:lineRule="atLeast"/>
    </w:pPr>
    <w:rPr>
      <w:rFonts w:ascii="Arial" w:eastAsia="Times New Roman" w:hAnsi="Arial" w:cs="Times New Roman"/>
      <w:sz w:val="18"/>
      <w:szCs w:val="20"/>
      <w:lang w:val="en-GB" w:eastAsia="da-DK"/>
    </w:rPr>
  </w:style>
  <w:style w:type="character" w:styleId="Hyperlink">
    <w:name w:val="Hyperlink"/>
    <w:aliases w:val="~HyperLink"/>
    <w:uiPriority w:val="99"/>
    <w:unhideWhenUsed/>
    <w:rsid w:val="007A17EF"/>
    <w:rPr>
      <w:bCs w:val="0"/>
      <w:color w:val="27BDBE"/>
      <w:szCs w:val="20"/>
      <w:u w:val="single"/>
    </w:rPr>
  </w:style>
  <w:style w:type="character" w:customStyle="1" w:styleId="Heading5Char">
    <w:name w:val="Heading 5 Char"/>
    <w:aliases w:val="~AppendixHeading Char"/>
    <w:basedOn w:val="DefaultParagraphFont"/>
    <w:link w:val="Heading5"/>
    <w:rsid w:val="005D784C"/>
    <w:rPr>
      <w:rFonts w:ascii="Arial" w:eastAsia="Times New Roman" w:hAnsi="Arial" w:cs="Times New Roman"/>
      <w:color w:val="27BDBE"/>
      <w:lang w:val="x-none" w:eastAsia="x-none"/>
    </w:rPr>
  </w:style>
  <w:style w:type="character" w:customStyle="1" w:styleId="Heading6Char">
    <w:name w:val="Heading 6 Char"/>
    <w:aliases w:val="~AppSubHeading Char"/>
    <w:basedOn w:val="DefaultParagraphFont"/>
    <w:link w:val="Heading6"/>
    <w:rsid w:val="005D784C"/>
    <w:rPr>
      <w:rFonts w:ascii="Arial" w:eastAsia="Times New Roman" w:hAnsi="Arial" w:cs="Times New Roman"/>
      <w:i/>
      <w:iCs/>
      <w:color w:val="27BDBE"/>
      <w:lang w:val="x-none" w:eastAsia="x-none"/>
    </w:rPr>
  </w:style>
  <w:style w:type="character" w:customStyle="1" w:styleId="Heading7Char">
    <w:name w:val="Heading 7 Char"/>
    <w:aliases w:val="~AppSubLevel3 Char"/>
    <w:basedOn w:val="DefaultParagraphFont"/>
    <w:link w:val="Heading7"/>
    <w:rsid w:val="005D784C"/>
    <w:rPr>
      <w:rFonts w:ascii="Arial" w:eastAsia="Times New Roman" w:hAnsi="Arial" w:cs="Times New Roman"/>
      <w:iCs/>
      <w:color w:val="27BDBE"/>
      <w:lang w:val="x-none" w:eastAsia="x-none"/>
    </w:rPr>
  </w:style>
  <w:style w:type="character" w:customStyle="1" w:styleId="Heading8Char">
    <w:name w:val="Heading 8 Char"/>
    <w:aliases w:val="~AppSubLevel4 Char"/>
    <w:basedOn w:val="DefaultParagraphFont"/>
    <w:link w:val="Heading8"/>
    <w:rsid w:val="005D784C"/>
    <w:rPr>
      <w:rFonts w:ascii="Arial" w:eastAsia="Times New Roman" w:hAnsi="Arial" w:cs="Times New Roman"/>
      <w:sz w:val="20"/>
      <w:szCs w:val="20"/>
      <w:lang w:val="x-none" w:eastAsia="x-none"/>
    </w:rPr>
  </w:style>
  <w:style w:type="character" w:customStyle="1" w:styleId="Heading9Char">
    <w:name w:val="Heading 9 Char"/>
    <w:basedOn w:val="DefaultParagraphFont"/>
    <w:link w:val="Heading9"/>
    <w:rsid w:val="005D784C"/>
    <w:rPr>
      <w:rFonts w:ascii="Arial" w:eastAsia="Times New Roman" w:hAnsi="Arial" w:cs="Times New Roman"/>
      <w:i/>
      <w:iCs/>
      <w:sz w:val="20"/>
      <w:szCs w:val="20"/>
      <w:lang w:val="x-none" w:eastAsia="x-none"/>
    </w:rPr>
  </w:style>
  <w:style w:type="paragraph" w:customStyle="1" w:styleId="SecHeadNonToc">
    <w:name w:val="~SecHeadNonToc"/>
    <w:basedOn w:val="Normal"/>
    <w:next w:val="Normal"/>
    <w:uiPriority w:val="7"/>
    <w:qFormat/>
    <w:rsid w:val="005D784C"/>
    <w:pPr>
      <w:keepNext/>
      <w:pageBreakBefore/>
      <w:spacing w:after="1200" w:line="264" w:lineRule="auto"/>
    </w:pPr>
    <w:rPr>
      <w:rFonts w:ascii="Arial" w:eastAsia="Times New Roman" w:hAnsi="Arial" w:cs="Times New Roman"/>
      <w:b/>
      <w:bCs/>
      <w:sz w:val="40"/>
      <w:szCs w:val="40"/>
      <w:lang w:val="en-GB"/>
    </w:rPr>
  </w:style>
  <w:style w:type="paragraph" w:customStyle="1" w:styleId="AppendixDivider">
    <w:name w:val="~AppendixDivider"/>
    <w:basedOn w:val="SecHeadNonToc"/>
    <w:next w:val="Normal"/>
    <w:rsid w:val="005D784C"/>
    <w:pPr>
      <w:outlineLvl w:val="0"/>
    </w:pPr>
    <w:rPr>
      <w:bCs w:val="0"/>
    </w:rPr>
  </w:style>
  <w:style w:type="paragraph" w:customStyle="1" w:styleId="AppHead">
    <w:name w:val="~AppHead"/>
    <w:basedOn w:val="SecHeadNonToc"/>
    <w:next w:val="Normal"/>
    <w:uiPriority w:val="4"/>
    <w:qFormat/>
    <w:rsid w:val="005D784C"/>
    <w:pPr>
      <w:outlineLvl w:val="0"/>
    </w:pPr>
    <w:rPr>
      <w:rFonts w:cs="Arial"/>
      <w:bCs w:val="0"/>
      <w:color w:val="000000"/>
    </w:rPr>
  </w:style>
  <w:style w:type="paragraph" w:customStyle="1" w:styleId="AppSubHead">
    <w:name w:val="~AppSubHead"/>
    <w:basedOn w:val="SecHeadNonToc"/>
    <w:next w:val="Normal"/>
    <w:uiPriority w:val="4"/>
    <w:qFormat/>
    <w:rsid w:val="005D784C"/>
    <w:pPr>
      <w:pageBreakBefore w:val="0"/>
      <w:numPr>
        <w:ilvl w:val="1"/>
        <w:numId w:val="45"/>
      </w:numPr>
      <w:spacing w:before="240" w:after="120"/>
      <w:outlineLvl w:val="1"/>
    </w:pPr>
    <w:rPr>
      <w:rFonts w:cs="Arial"/>
      <w:bCs w:val="0"/>
      <w:color w:val="27BDBE"/>
      <w:sz w:val="22"/>
      <w:szCs w:val="22"/>
    </w:rPr>
  </w:style>
  <w:style w:type="paragraph" w:customStyle="1" w:styleId="AppMinorSubHead">
    <w:name w:val="~AppMinorSubHead"/>
    <w:basedOn w:val="SecHeadNonToc"/>
    <w:next w:val="Normal"/>
    <w:uiPriority w:val="4"/>
    <w:qFormat/>
    <w:rsid w:val="005D784C"/>
    <w:pPr>
      <w:pageBreakBefore w:val="0"/>
      <w:numPr>
        <w:ilvl w:val="2"/>
        <w:numId w:val="45"/>
      </w:numPr>
      <w:spacing w:before="240" w:after="120"/>
      <w:outlineLvl w:val="2"/>
    </w:pPr>
    <w:rPr>
      <w:rFonts w:cs="Arial"/>
      <w:bCs w:val="0"/>
      <w:color w:val="27BDBE"/>
      <w:sz w:val="20"/>
      <w:szCs w:val="20"/>
    </w:rPr>
  </w:style>
  <w:style w:type="paragraph" w:customStyle="1" w:styleId="BodyHeading">
    <w:name w:val="~BodyHeading"/>
    <w:basedOn w:val="Normal"/>
    <w:next w:val="Normal"/>
    <w:qFormat/>
    <w:rsid w:val="005D784C"/>
    <w:pPr>
      <w:keepNext/>
      <w:spacing w:before="120" w:after="0" w:line="240" w:lineRule="auto"/>
    </w:pPr>
    <w:rPr>
      <w:rFonts w:ascii="Arial" w:eastAsia="Times New Roman" w:hAnsi="Arial" w:cs="Times New Roman"/>
      <w:b/>
      <w:bCs/>
      <w:sz w:val="20"/>
      <w:szCs w:val="20"/>
      <w:lang w:val="en-GB"/>
    </w:rPr>
  </w:style>
  <w:style w:type="paragraph" w:customStyle="1" w:styleId="BodyTextNum">
    <w:name w:val="~BodyTextNum"/>
    <w:basedOn w:val="Normal"/>
    <w:uiPriority w:val="34"/>
    <w:semiHidden/>
    <w:rsid w:val="005D784C"/>
    <w:pPr>
      <w:spacing w:before="120" w:after="160" w:line="264" w:lineRule="auto"/>
    </w:pPr>
    <w:rPr>
      <w:rFonts w:ascii="Arial" w:eastAsia="Times New Roman" w:hAnsi="Arial" w:cs="Times New Roman"/>
      <w:sz w:val="20"/>
      <w:szCs w:val="20"/>
      <w:lang w:val="en-GB"/>
    </w:rPr>
  </w:style>
  <w:style w:type="paragraph" w:styleId="Caption">
    <w:name w:val="caption"/>
    <w:aliases w:val="~Caption"/>
    <w:basedOn w:val="BodyHeading"/>
    <w:next w:val="Normal"/>
    <w:link w:val="CaptionChar"/>
    <w:uiPriority w:val="7"/>
    <w:qFormat/>
    <w:rsid w:val="005D784C"/>
    <w:pPr>
      <w:spacing w:before="240" w:after="60"/>
    </w:pPr>
    <w:rPr>
      <w:rFonts w:eastAsia="Calibri"/>
      <w:lang w:val="x-none" w:eastAsia="x-none"/>
    </w:rPr>
  </w:style>
  <w:style w:type="character" w:customStyle="1" w:styleId="CaptionChar">
    <w:name w:val="Caption Char"/>
    <w:aliases w:val="~Caption Char"/>
    <w:link w:val="Caption"/>
    <w:uiPriority w:val="7"/>
    <w:rsid w:val="005D784C"/>
    <w:rPr>
      <w:rFonts w:ascii="Arial" w:eastAsia="Calibri" w:hAnsi="Arial" w:cs="Times New Roman"/>
      <w:b/>
      <w:bCs/>
      <w:sz w:val="20"/>
      <w:szCs w:val="20"/>
      <w:lang w:val="x-none" w:eastAsia="x-none"/>
    </w:rPr>
  </w:style>
  <w:style w:type="paragraph" w:customStyle="1" w:styleId="CaptionWide">
    <w:name w:val="~CaptionWide"/>
    <w:basedOn w:val="Caption"/>
    <w:next w:val="Normal"/>
    <w:uiPriority w:val="34"/>
    <w:qFormat/>
    <w:rsid w:val="005D784C"/>
  </w:style>
  <w:style w:type="paragraph" w:customStyle="1" w:styleId="Confidential">
    <w:name w:val="~Confidential"/>
    <w:basedOn w:val="NoSpacing"/>
    <w:uiPriority w:val="34"/>
    <w:rsid w:val="005D784C"/>
    <w:rPr>
      <w:rFonts w:ascii="Arial" w:eastAsia="Times New Roman" w:hAnsi="Arial" w:cs="Times New Roman"/>
      <w:sz w:val="24"/>
      <w:szCs w:val="24"/>
      <w:lang w:val="en-GB"/>
    </w:rPr>
  </w:style>
  <w:style w:type="paragraph" w:customStyle="1" w:styleId="DocClient">
    <w:name w:val="~DocClient"/>
    <w:basedOn w:val="NoSpacing"/>
    <w:rsid w:val="005D784C"/>
    <w:rPr>
      <w:rFonts w:ascii="Arial" w:eastAsia="Times New Roman" w:hAnsi="Arial" w:cs="Times New Roman"/>
      <w:sz w:val="20"/>
      <w:szCs w:val="20"/>
      <w:lang w:val="en-GB"/>
    </w:rPr>
  </w:style>
  <w:style w:type="paragraph" w:customStyle="1" w:styleId="DocDate">
    <w:name w:val="~DocDate"/>
    <w:basedOn w:val="NoSpacing"/>
    <w:rsid w:val="005D784C"/>
    <w:rPr>
      <w:rFonts w:ascii="Arial" w:eastAsia="Times New Roman" w:hAnsi="Arial" w:cs="Times New Roman"/>
      <w:sz w:val="24"/>
      <w:szCs w:val="24"/>
      <w:lang w:val="en-GB"/>
    </w:rPr>
  </w:style>
  <w:style w:type="paragraph" w:customStyle="1" w:styleId="DocSubTitle">
    <w:name w:val="~DocSubTitle"/>
    <w:basedOn w:val="NoSpacing"/>
    <w:rsid w:val="005D784C"/>
    <w:rPr>
      <w:rFonts w:ascii="Arial" w:eastAsia="Times New Roman" w:hAnsi="Arial" w:cs="Times New Roman"/>
      <w:sz w:val="32"/>
      <w:szCs w:val="32"/>
      <w:lang w:val="en-GB"/>
    </w:rPr>
  </w:style>
  <w:style w:type="paragraph" w:customStyle="1" w:styleId="DocTitle">
    <w:name w:val="~DocTitle"/>
    <w:basedOn w:val="NoSpacing"/>
    <w:rsid w:val="005D784C"/>
    <w:rPr>
      <w:rFonts w:ascii="Arial" w:eastAsia="Times New Roman" w:hAnsi="Arial" w:cs="Times New Roman"/>
      <w:b/>
      <w:bCs/>
      <w:sz w:val="48"/>
      <w:szCs w:val="48"/>
      <w:lang w:val="en-GB"/>
    </w:rPr>
  </w:style>
  <w:style w:type="paragraph" w:customStyle="1" w:styleId="DocType">
    <w:name w:val="~DocType"/>
    <w:basedOn w:val="NoSpacing"/>
    <w:rsid w:val="005D784C"/>
    <w:rPr>
      <w:rFonts w:ascii="Arial" w:eastAsia="Times New Roman" w:hAnsi="Arial" w:cs="Times New Roman"/>
      <w:sz w:val="20"/>
      <w:szCs w:val="20"/>
      <w:lang w:val="en-GB"/>
    </w:rPr>
  </w:style>
  <w:style w:type="paragraph" w:customStyle="1" w:styleId="Draft">
    <w:name w:val="~Draft"/>
    <w:basedOn w:val="NoSpacing"/>
    <w:uiPriority w:val="34"/>
    <w:rsid w:val="005D784C"/>
    <w:rPr>
      <w:rFonts w:ascii="Arial" w:eastAsia="Times New Roman" w:hAnsi="Arial" w:cs="Times New Roman"/>
      <w:sz w:val="20"/>
      <w:szCs w:val="20"/>
      <w:lang w:val="en-GB"/>
    </w:rPr>
  </w:style>
  <w:style w:type="paragraph" w:customStyle="1" w:styleId="ExecSumSubHead">
    <w:name w:val="~ExecSumSubHead"/>
    <w:basedOn w:val="ExecSumHead"/>
    <w:next w:val="Normal"/>
    <w:uiPriority w:val="3"/>
    <w:qFormat/>
    <w:rsid w:val="005D784C"/>
    <w:pPr>
      <w:pageBreakBefore w:val="0"/>
      <w:spacing w:before="240" w:after="120"/>
    </w:pPr>
    <w:rPr>
      <w:color w:val="27BDBE"/>
      <w:sz w:val="22"/>
      <w:szCs w:val="22"/>
    </w:rPr>
  </w:style>
  <w:style w:type="paragraph" w:customStyle="1" w:styleId="GraphicLeft">
    <w:name w:val="~GraphicLeft"/>
    <w:basedOn w:val="NoSpacing"/>
    <w:rsid w:val="005D784C"/>
    <w:rPr>
      <w:rFonts w:ascii="Arial" w:eastAsia="Times New Roman" w:hAnsi="Arial" w:cs="Times New Roman"/>
      <w:sz w:val="20"/>
      <w:szCs w:val="20"/>
      <w:lang w:val="en-GB"/>
    </w:rPr>
  </w:style>
  <w:style w:type="paragraph" w:customStyle="1" w:styleId="GraphicCentre">
    <w:name w:val="~GraphicCentre"/>
    <w:basedOn w:val="GraphicLeft"/>
    <w:rsid w:val="005D784C"/>
    <w:pPr>
      <w:jc w:val="center"/>
    </w:pPr>
  </w:style>
  <w:style w:type="paragraph" w:customStyle="1" w:styleId="GraphicRight">
    <w:name w:val="~GraphicRight"/>
    <w:basedOn w:val="GraphicLeft"/>
    <w:rsid w:val="005D784C"/>
    <w:pPr>
      <w:jc w:val="right"/>
    </w:pPr>
  </w:style>
  <w:style w:type="paragraph" w:customStyle="1" w:styleId="Hidden">
    <w:name w:val="~Hidden"/>
    <w:basedOn w:val="NoSpacing"/>
    <w:uiPriority w:val="34"/>
    <w:semiHidden/>
    <w:rsid w:val="005D784C"/>
    <w:pPr>
      <w:framePr w:wrap="around" w:vAnchor="page" w:hAnchor="page" w:xAlign="right" w:yAlign="bottom"/>
    </w:pPr>
    <w:rPr>
      <w:rFonts w:ascii="Arial" w:eastAsia="Times New Roman" w:hAnsi="Arial" w:cs="Times New Roman"/>
      <w:color w:val="C00000"/>
      <w:sz w:val="20"/>
      <w:szCs w:val="20"/>
      <w:lang w:val="en-GB"/>
    </w:rPr>
  </w:style>
  <w:style w:type="paragraph" w:customStyle="1" w:styleId="IntroText">
    <w:name w:val="~IntroText"/>
    <w:basedOn w:val="Normal"/>
    <w:next w:val="Normal"/>
    <w:qFormat/>
    <w:rsid w:val="005D784C"/>
    <w:pPr>
      <w:spacing w:before="120" w:after="120" w:line="264" w:lineRule="auto"/>
    </w:pPr>
    <w:rPr>
      <w:rFonts w:ascii="Arial" w:eastAsia="Times New Roman" w:hAnsi="Arial" w:cs="Times New Roman"/>
      <w:color w:val="27BDBE"/>
      <w:sz w:val="20"/>
      <w:szCs w:val="20"/>
      <w:lang w:val="en-GB"/>
    </w:rPr>
  </w:style>
  <w:style w:type="paragraph" w:customStyle="1" w:styleId="NumBullet1">
    <w:name w:val="~NumBullet1"/>
    <w:basedOn w:val="Normal"/>
    <w:qFormat/>
    <w:rsid w:val="005D784C"/>
    <w:pPr>
      <w:numPr>
        <w:numId w:val="4"/>
      </w:numPr>
      <w:spacing w:before="60" w:after="60" w:line="264" w:lineRule="auto"/>
    </w:pPr>
    <w:rPr>
      <w:rFonts w:ascii="Arial" w:eastAsia="Times New Roman" w:hAnsi="Arial" w:cs="Times New Roman"/>
      <w:sz w:val="20"/>
      <w:szCs w:val="20"/>
      <w:lang w:val="en-GB"/>
    </w:rPr>
  </w:style>
  <w:style w:type="paragraph" w:customStyle="1" w:styleId="NumBullet2">
    <w:name w:val="~NumBullet2"/>
    <w:basedOn w:val="Normal"/>
    <w:qFormat/>
    <w:rsid w:val="005D784C"/>
    <w:pPr>
      <w:numPr>
        <w:ilvl w:val="1"/>
        <w:numId w:val="4"/>
      </w:numPr>
      <w:spacing w:before="60" w:after="60" w:line="264" w:lineRule="auto"/>
    </w:pPr>
    <w:rPr>
      <w:rFonts w:ascii="Arial" w:eastAsia="Times New Roman" w:hAnsi="Arial" w:cs="Times New Roman"/>
      <w:sz w:val="20"/>
      <w:szCs w:val="20"/>
      <w:lang w:val="en-GB"/>
    </w:rPr>
  </w:style>
  <w:style w:type="paragraph" w:customStyle="1" w:styleId="NumBullet3">
    <w:name w:val="~NumBullet3"/>
    <w:basedOn w:val="Normal"/>
    <w:qFormat/>
    <w:rsid w:val="005D784C"/>
    <w:pPr>
      <w:numPr>
        <w:ilvl w:val="2"/>
        <w:numId w:val="4"/>
      </w:numPr>
      <w:spacing w:before="60" w:after="60" w:line="264" w:lineRule="auto"/>
    </w:pPr>
    <w:rPr>
      <w:rFonts w:ascii="Arial" w:eastAsia="Times New Roman" w:hAnsi="Arial" w:cs="Times New Roman"/>
      <w:sz w:val="20"/>
      <w:szCs w:val="20"/>
      <w:lang w:val="en-GB"/>
    </w:rPr>
  </w:style>
  <w:style w:type="paragraph" w:customStyle="1" w:styleId="Source">
    <w:name w:val="~Source"/>
    <w:basedOn w:val="Normal"/>
    <w:next w:val="Normal"/>
    <w:uiPriority w:val="7"/>
    <w:qFormat/>
    <w:rsid w:val="005D784C"/>
    <w:pPr>
      <w:tabs>
        <w:tab w:val="left" w:pos="680"/>
      </w:tabs>
      <w:spacing w:after="240" w:line="240" w:lineRule="auto"/>
      <w:ind w:left="680" w:hanging="680"/>
    </w:pPr>
    <w:rPr>
      <w:rFonts w:ascii="Arial" w:eastAsia="Calibri" w:hAnsi="Arial" w:cs="Times New Roman"/>
      <w:sz w:val="16"/>
      <w:szCs w:val="16"/>
      <w:lang w:val="en-GB"/>
    </w:rPr>
  </w:style>
  <w:style w:type="paragraph" w:customStyle="1" w:styleId="SourceWide">
    <w:name w:val="~SourceWide"/>
    <w:basedOn w:val="Source"/>
    <w:next w:val="Normal"/>
    <w:uiPriority w:val="34"/>
    <w:qFormat/>
    <w:rsid w:val="005D784C"/>
    <w:pPr>
      <w:tabs>
        <w:tab w:val="clear" w:pos="680"/>
      </w:tabs>
      <w:spacing w:after="200" w:line="276" w:lineRule="auto"/>
      <w:ind w:left="0" w:firstLine="0"/>
    </w:pPr>
    <w:rPr>
      <w:rFonts w:asciiTheme="minorHAnsi" w:eastAsiaTheme="minorEastAsia" w:hAnsiTheme="minorHAnsi" w:cstheme="minorBidi"/>
      <w:sz w:val="22"/>
      <w:szCs w:val="22"/>
      <w:lang w:val="en-US"/>
    </w:rPr>
  </w:style>
  <w:style w:type="paragraph" w:customStyle="1" w:styleId="TableBullet1">
    <w:name w:val="~TableBullet1"/>
    <w:basedOn w:val="TableTextLeft"/>
    <w:uiPriority w:val="8"/>
    <w:qFormat/>
    <w:rsid w:val="005D784C"/>
    <w:pPr>
      <w:numPr>
        <w:numId w:val="5"/>
      </w:numPr>
    </w:pPr>
    <w:rPr>
      <w:rFonts w:eastAsia="Calibri"/>
    </w:rPr>
  </w:style>
  <w:style w:type="table" w:customStyle="1" w:styleId="TableClear">
    <w:name w:val="~TableClear"/>
    <w:basedOn w:val="TableNormal"/>
    <w:uiPriority w:val="99"/>
    <w:rsid w:val="005D784C"/>
    <w:pPr>
      <w:spacing w:before="120" w:after="0" w:line="240" w:lineRule="auto"/>
    </w:pPr>
    <w:rPr>
      <w:rFonts w:ascii="Arial" w:eastAsia="Times New Roman" w:hAnsi="Arial" w:cs="Times New Roman"/>
      <w:sz w:val="20"/>
      <w:szCs w:val="20"/>
      <w:lang w:val="sq-AL" w:eastAsia="sq-AL"/>
    </w:rPr>
    <w:tblPr/>
  </w:style>
  <w:style w:type="paragraph" w:customStyle="1" w:styleId="TableHeadingCentre">
    <w:name w:val="~TableHeadingCentre"/>
    <w:basedOn w:val="TableHeadingLeft"/>
    <w:uiPriority w:val="99"/>
    <w:qFormat/>
    <w:rsid w:val="005D784C"/>
    <w:pPr>
      <w:jc w:val="center"/>
    </w:pPr>
    <w:rPr>
      <w:bCs w:val="0"/>
    </w:rPr>
  </w:style>
  <w:style w:type="paragraph" w:customStyle="1" w:styleId="TableHeadingRight">
    <w:name w:val="~TableHeadingRight"/>
    <w:basedOn w:val="TableHeadingLeft"/>
    <w:uiPriority w:val="8"/>
    <w:qFormat/>
    <w:rsid w:val="005D784C"/>
    <w:pPr>
      <w:ind w:right="0"/>
      <w:jc w:val="right"/>
    </w:pPr>
  </w:style>
  <w:style w:type="table" w:customStyle="1" w:styleId="TableNormal0">
    <w:name w:val="~TableNormal"/>
    <w:basedOn w:val="TableNormal"/>
    <w:semiHidden/>
    <w:rsid w:val="005D784C"/>
    <w:pPr>
      <w:spacing w:before="120" w:after="0" w:line="240" w:lineRule="auto"/>
    </w:pPr>
    <w:rPr>
      <w:rFonts w:ascii="Arial" w:eastAsia="Times New Roman" w:hAnsi="Arial" w:cs="Times New Roman"/>
      <w:sz w:val="20"/>
      <w:szCs w:val="20"/>
      <w:lang w:val="sq-AL" w:eastAsia="sq-AL"/>
    </w:rPr>
    <w:tblPr/>
  </w:style>
  <w:style w:type="paragraph" w:customStyle="1" w:styleId="TableTextRight">
    <w:name w:val="~TableTextRight"/>
    <w:basedOn w:val="TableTextLeft"/>
    <w:uiPriority w:val="8"/>
    <w:qFormat/>
    <w:rsid w:val="005D784C"/>
    <w:pPr>
      <w:ind w:right="0"/>
      <w:jc w:val="right"/>
    </w:pPr>
  </w:style>
  <w:style w:type="paragraph" w:customStyle="1" w:styleId="TableTotalLeft">
    <w:name w:val="~TableTotalLeft"/>
    <w:basedOn w:val="TableTextLeft"/>
    <w:qFormat/>
    <w:rsid w:val="005D784C"/>
    <w:rPr>
      <w:b/>
      <w:bCs/>
    </w:rPr>
  </w:style>
  <w:style w:type="paragraph" w:customStyle="1" w:styleId="TableTotalCentre">
    <w:name w:val="~TableTotalCentre"/>
    <w:basedOn w:val="TableTotalLeft"/>
    <w:uiPriority w:val="8"/>
    <w:qFormat/>
    <w:rsid w:val="005D784C"/>
    <w:pPr>
      <w:jc w:val="center"/>
    </w:pPr>
    <w:rPr>
      <w:bCs w:val="0"/>
    </w:rPr>
  </w:style>
  <w:style w:type="paragraph" w:customStyle="1" w:styleId="TableTotalRight">
    <w:name w:val="~TableTotalRight"/>
    <w:basedOn w:val="TableTotalLeft"/>
    <w:qFormat/>
    <w:rsid w:val="005D784C"/>
    <w:pPr>
      <w:ind w:right="0"/>
      <w:jc w:val="right"/>
    </w:pPr>
  </w:style>
  <w:style w:type="character" w:styleId="CommentReference">
    <w:name w:val="annotation reference"/>
    <w:uiPriority w:val="99"/>
    <w:semiHidden/>
    <w:unhideWhenUsed/>
    <w:rsid w:val="005D784C"/>
    <w:rPr>
      <w:bCs w:val="0"/>
      <w:sz w:val="16"/>
      <w:szCs w:val="16"/>
    </w:rPr>
  </w:style>
  <w:style w:type="paragraph" w:styleId="CommentText">
    <w:name w:val="annotation text"/>
    <w:basedOn w:val="Normal"/>
    <w:link w:val="CommentTextChar"/>
    <w:uiPriority w:val="99"/>
    <w:unhideWhenUsed/>
    <w:rsid w:val="005D784C"/>
    <w:pPr>
      <w:spacing w:before="120" w:after="0" w:line="240" w:lineRule="auto"/>
    </w:pPr>
    <w:rPr>
      <w:rFonts w:ascii="Arial" w:eastAsia="Times New Roman" w:hAnsi="Arial" w:cs="Times New Roman"/>
      <w:sz w:val="20"/>
      <w:szCs w:val="20"/>
      <w:lang w:val="x-none" w:eastAsia="x-none"/>
    </w:rPr>
  </w:style>
  <w:style w:type="character" w:customStyle="1" w:styleId="CommentTextChar">
    <w:name w:val="Comment Text Char"/>
    <w:basedOn w:val="DefaultParagraphFont"/>
    <w:link w:val="CommentText"/>
    <w:uiPriority w:val="99"/>
    <w:rsid w:val="005D784C"/>
    <w:rPr>
      <w:rFonts w:ascii="Arial" w:eastAsia="Times New Roman" w:hAnsi="Arial"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5D784C"/>
    <w:rPr>
      <w:b/>
      <w:bCs/>
    </w:rPr>
  </w:style>
  <w:style w:type="character" w:customStyle="1" w:styleId="CommentSubjectChar">
    <w:name w:val="Comment Subject Char"/>
    <w:basedOn w:val="CommentTextChar"/>
    <w:link w:val="CommentSubject"/>
    <w:uiPriority w:val="99"/>
    <w:semiHidden/>
    <w:rsid w:val="005D784C"/>
    <w:rPr>
      <w:rFonts w:ascii="Arial" w:eastAsia="Times New Roman" w:hAnsi="Arial" w:cs="Times New Roman"/>
      <w:b/>
      <w:bCs/>
      <w:sz w:val="20"/>
      <w:szCs w:val="20"/>
      <w:lang w:val="x-none" w:eastAsia="x-none"/>
    </w:rPr>
  </w:style>
  <w:style w:type="character" w:styleId="FollowedHyperlink">
    <w:name w:val="FollowedHyperlink"/>
    <w:aliases w:val="~FollowedHyperlink"/>
    <w:uiPriority w:val="99"/>
    <w:semiHidden/>
    <w:rsid w:val="005D784C"/>
    <w:rPr>
      <w:bCs w:val="0"/>
      <w:color w:val="803594"/>
      <w:szCs w:val="20"/>
      <w:u w:val="single"/>
    </w:rPr>
  </w:style>
  <w:style w:type="table" w:customStyle="1" w:styleId="MediumShading2-Accent11">
    <w:name w:val="Medium Shading 2 - Accent 11"/>
    <w:basedOn w:val="TableNormal"/>
    <w:uiPriority w:val="64"/>
    <w:rsid w:val="005D784C"/>
    <w:pPr>
      <w:spacing w:before="120" w:after="0" w:line="240" w:lineRule="auto"/>
    </w:pPr>
    <w:rPr>
      <w:rFonts w:ascii="Arial" w:eastAsia="Times New Roman" w:hAnsi="Arial" w:cs="Times New Roman"/>
      <w:color w:val="808080"/>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7BDB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7BDBE"/>
      </w:tcPr>
    </w:tblStylePr>
    <w:tblStylePr w:type="lastCol">
      <w:rPr>
        <w:b/>
        <w:bCs/>
        <w:color w:val="FFFFFF"/>
      </w:rPr>
      <w:tblPr/>
      <w:tcPr>
        <w:tcBorders>
          <w:left w:val="nil"/>
          <w:right w:val="nil"/>
          <w:insideH w:val="nil"/>
          <w:insideV w:val="nil"/>
        </w:tcBorders>
        <w:shd w:val="clear" w:color="auto" w:fill="27BDB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uiPriority w:val="99"/>
    <w:rsid w:val="005D784C"/>
    <w:rPr>
      <w:bCs w:val="0"/>
      <w:color w:val="808080"/>
      <w:szCs w:val="20"/>
    </w:rPr>
  </w:style>
  <w:style w:type="table" w:styleId="TableGrid">
    <w:name w:val="Table Grid"/>
    <w:basedOn w:val="TableNormal"/>
    <w:uiPriority w:val="59"/>
    <w:rsid w:val="005D784C"/>
    <w:pPr>
      <w:spacing w:before="120" w:after="0" w:line="240" w:lineRule="auto"/>
    </w:pPr>
    <w:rPr>
      <w:rFonts w:ascii="Arial" w:eastAsia="Times New Roman" w:hAnsi="Arial"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SectionHeadings"/>
    <w:basedOn w:val="NoSpacing"/>
    <w:next w:val="Normal"/>
    <w:uiPriority w:val="39"/>
    <w:qFormat/>
    <w:rsid w:val="005D784C"/>
    <w:pPr>
      <w:tabs>
        <w:tab w:val="left" w:pos="482"/>
        <w:tab w:val="right" w:pos="8504"/>
      </w:tabs>
      <w:spacing w:before="360" w:after="120"/>
      <w:ind w:left="482" w:right="403" w:hanging="482"/>
    </w:pPr>
    <w:rPr>
      <w:rFonts w:ascii="Arial" w:eastAsia="Times New Roman" w:hAnsi="Arial" w:cs="Times New Roman"/>
      <w:noProof/>
      <w:color w:val="27BDBE"/>
      <w:sz w:val="24"/>
      <w:szCs w:val="32"/>
      <w:lang w:val="en-GB" w:eastAsia="en-GB"/>
    </w:rPr>
  </w:style>
  <w:style w:type="paragraph" w:styleId="TOC2">
    <w:name w:val="toc 2"/>
    <w:aliases w:val="~SubHeadings"/>
    <w:basedOn w:val="TOC1"/>
    <w:next w:val="Normal"/>
    <w:uiPriority w:val="39"/>
    <w:qFormat/>
    <w:rsid w:val="005D784C"/>
    <w:pPr>
      <w:tabs>
        <w:tab w:val="clear" w:pos="482"/>
        <w:tab w:val="left" w:pos="964"/>
      </w:tabs>
      <w:spacing w:before="0" w:after="60"/>
      <w:ind w:left="964"/>
    </w:pPr>
    <w:rPr>
      <w:color w:val="auto"/>
      <w:sz w:val="20"/>
      <w:szCs w:val="20"/>
    </w:rPr>
  </w:style>
  <w:style w:type="paragraph" w:styleId="TOC3">
    <w:name w:val="toc 3"/>
    <w:aliases w:val="~MinorSubheadings"/>
    <w:basedOn w:val="TOC2"/>
    <w:next w:val="Normal"/>
    <w:uiPriority w:val="39"/>
    <w:qFormat/>
    <w:rsid w:val="005D784C"/>
    <w:pPr>
      <w:tabs>
        <w:tab w:val="clear" w:pos="964"/>
        <w:tab w:val="left" w:pos="1701"/>
      </w:tabs>
      <w:ind w:left="1701" w:hanging="737"/>
    </w:pPr>
  </w:style>
  <w:style w:type="paragraph" w:styleId="TOC4">
    <w:name w:val="toc 4"/>
    <w:aliases w:val="~FourthHeadLevel"/>
    <w:basedOn w:val="TOC3"/>
    <w:next w:val="Normal"/>
    <w:uiPriority w:val="39"/>
    <w:qFormat/>
    <w:rsid w:val="005D784C"/>
    <w:pPr>
      <w:tabs>
        <w:tab w:val="left" w:pos="2098"/>
      </w:tabs>
      <w:ind w:left="2098" w:hanging="794"/>
    </w:pPr>
  </w:style>
  <w:style w:type="paragraph" w:styleId="TOC5">
    <w:name w:val="toc 5"/>
    <w:aliases w:val="~ExecSumHeading"/>
    <w:basedOn w:val="TOC1"/>
    <w:next w:val="Normal"/>
    <w:uiPriority w:val="39"/>
    <w:rsid w:val="005D784C"/>
    <w:pPr>
      <w:spacing w:before="0"/>
    </w:pPr>
  </w:style>
  <w:style w:type="paragraph" w:styleId="TOC6">
    <w:name w:val="toc 6"/>
    <w:aliases w:val="~AppDivider"/>
    <w:basedOn w:val="TOC1"/>
    <w:next w:val="Normal"/>
    <w:uiPriority w:val="39"/>
    <w:rsid w:val="005D784C"/>
  </w:style>
  <w:style w:type="paragraph" w:styleId="TOC7">
    <w:name w:val="toc 7"/>
    <w:aliases w:val="~AppHeadings"/>
    <w:basedOn w:val="TOC1"/>
    <w:next w:val="Normal"/>
    <w:uiPriority w:val="39"/>
    <w:rsid w:val="005D784C"/>
  </w:style>
  <w:style w:type="paragraph" w:styleId="TOC8">
    <w:name w:val="toc 8"/>
    <w:aliases w:val="~AppSubHeadings"/>
    <w:basedOn w:val="TOC2"/>
    <w:next w:val="Normal"/>
    <w:uiPriority w:val="39"/>
    <w:rsid w:val="005D784C"/>
  </w:style>
  <w:style w:type="paragraph" w:styleId="TOC9">
    <w:name w:val="toc 9"/>
    <w:aliases w:val="~AppDividerPg"/>
    <w:basedOn w:val="Normal"/>
    <w:next w:val="Normal"/>
    <w:uiPriority w:val="39"/>
    <w:unhideWhenUsed/>
    <w:rsid w:val="005D784C"/>
    <w:pPr>
      <w:tabs>
        <w:tab w:val="left" w:pos="567"/>
        <w:tab w:val="right" w:pos="8505"/>
      </w:tabs>
      <w:spacing w:after="60" w:line="240" w:lineRule="auto"/>
      <w:ind w:left="567" w:right="284" w:hanging="567"/>
    </w:pPr>
    <w:rPr>
      <w:rFonts w:ascii="Arial" w:eastAsia="Times New Roman" w:hAnsi="Arial" w:cs="Times New Roman"/>
      <w:sz w:val="20"/>
      <w:szCs w:val="20"/>
      <w:lang w:val="en-GB"/>
    </w:rPr>
  </w:style>
  <w:style w:type="paragraph" w:styleId="TOCHeading">
    <w:name w:val="TOC Heading"/>
    <w:basedOn w:val="Heading1"/>
    <w:next w:val="Normal"/>
    <w:uiPriority w:val="39"/>
    <w:qFormat/>
    <w:rsid w:val="005D784C"/>
    <w:pPr>
      <w:keepLines/>
      <w:numPr>
        <w:numId w:val="0"/>
      </w:numPr>
      <w:spacing w:before="480" w:after="0"/>
      <w:jc w:val="both"/>
      <w:outlineLvl w:val="9"/>
    </w:pPr>
    <w:rPr>
      <w:sz w:val="28"/>
      <w:szCs w:val="28"/>
    </w:rPr>
  </w:style>
  <w:style w:type="paragraph" w:styleId="Revision">
    <w:name w:val="Revision"/>
    <w:hidden/>
    <w:uiPriority w:val="99"/>
    <w:semiHidden/>
    <w:rsid w:val="005D784C"/>
    <w:pPr>
      <w:spacing w:after="0" w:line="240" w:lineRule="auto"/>
    </w:pPr>
    <w:rPr>
      <w:rFonts w:ascii="Arial" w:eastAsia="Times New Roman" w:hAnsi="Arial" w:cs="Times New Roman"/>
      <w:color w:val="808080"/>
      <w:sz w:val="20"/>
      <w:szCs w:val="20"/>
      <w:lang w:val="en-GB"/>
    </w:rPr>
  </w:style>
  <w:style w:type="paragraph" w:customStyle="1" w:styleId="TableBullet2">
    <w:name w:val="~TableBullet2"/>
    <w:basedOn w:val="TableTextLeft"/>
    <w:uiPriority w:val="8"/>
    <w:qFormat/>
    <w:rsid w:val="005D784C"/>
    <w:pPr>
      <w:numPr>
        <w:ilvl w:val="1"/>
        <w:numId w:val="5"/>
      </w:numPr>
    </w:pPr>
  </w:style>
  <w:style w:type="paragraph" w:customStyle="1" w:styleId="TableBullet3">
    <w:name w:val="~TableBullet3"/>
    <w:basedOn w:val="TableTextLeft"/>
    <w:uiPriority w:val="8"/>
    <w:qFormat/>
    <w:rsid w:val="005D784C"/>
    <w:pPr>
      <w:numPr>
        <w:ilvl w:val="2"/>
        <w:numId w:val="5"/>
      </w:numPr>
    </w:pPr>
  </w:style>
  <w:style w:type="paragraph" w:customStyle="1" w:styleId="AppBodyTextNum">
    <w:name w:val="~AppBodyTextNum"/>
    <w:basedOn w:val="Normal"/>
    <w:uiPriority w:val="34"/>
    <w:semiHidden/>
    <w:qFormat/>
    <w:rsid w:val="005D784C"/>
    <w:pPr>
      <w:spacing w:before="120" w:after="160" w:line="264" w:lineRule="auto"/>
    </w:pPr>
    <w:rPr>
      <w:rFonts w:ascii="Arial" w:eastAsia="Times New Roman" w:hAnsi="Arial" w:cs="Times New Roman"/>
      <w:sz w:val="20"/>
      <w:szCs w:val="20"/>
      <w:lang w:val="en-GB"/>
    </w:rPr>
  </w:style>
  <w:style w:type="paragraph" w:styleId="TableofFigures">
    <w:name w:val="table of figures"/>
    <w:aliases w:val="~Table of Figures"/>
    <w:basedOn w:val="Normal"/>
    <w:next w:val="Normal"/>
    <w:uiPriority w:val="99"/>
    <w:unhideWhenUsed/>
    <w:rsid w:val="005D784C"/>
    <w:pPr>
      <w:tabs>
        <w:tab w:val="right" w:pos="8505"/>
      </w:tabs>
      <w:spacing w:before="40" w:after="40"/>
      <w:ind w:right="403"/>
    </w:pPr>
    <w:rPr>
      <w:rFonts w:ascii="Arial" w:eastAsia="Times New Roman" w:hAnsi="Arial" w:cs="System"/>
      <w:noProof/>
      <w:sz w:val="20"/>
      <w:szCs w:val="20"/>
      <w:lang w:val="en-GB"/>
    </w:rPr>
  </w:style>
  <w:style w:type="paragraph" w:customStyle="1" w:styleId="AppNumBullet1">
    <w:name w:val="~AppNumBullet1"/>
    <w:basedOn w:val="AppBodyTextNum"/>
    <w:uiPriority w:val="34"/>
    <w:semiHidden/>
    <w:qFormat/>
    <w:rsid w:val="005D784C"/>
  </w:style>
  <w:style w:type="paragraph" w:customStyle="1" w:styleId="AppNumBullet2">
    <w:name w:val="~AppNumBullet2"/>
    <w:basedOn w:val="AppBodyTextNum"/>
    <w:uiPriority w:val="34"/>
    <w:semiHidden/>
    <w:qFormat/>
    <w:rsid w:val="005D784C"/>
  </w:style>
  <w:style w:type="paragraph" w:customStyle="1" w:styleId="AppNumBullet3">
    <w:name w:val="~AppNumBullet3"/>
    <w:basedOn w:val="AppBodyTextNum"/>
    <w:uiPriority w:val="34"/>
    <w:semiHidden/>
    <w:qFormat/>
    <w:rsid w:val="005D784C"/>
  </w:style>
  <w:style w:type="numbering" w:customStyle="1" w:styleId="AppListStyle">
    <w:name w:val="~AppListStyle"/>
    <w:uiPriority w:val="99"/>
    <w:rsid w:val="005D784C"/>
    <w:pPr>
      <w:numPr>
        <w:numId w:val="45"/>
      </w:numPr>
    </w:pPr>
  </w:style>
  <w:style w:type="character" w:customStyle="1" w:styleId="Pagenumber">
    <w:name w:val="~Pagenumber"/>
    <w:uiPriority w:val="19"/>
    <w:qFormat/>
    <w:rsid w:val="005D784C"/>
    <w:rPr>
      <w:b/>
      <w:bCs/>
      <w:szCs w:val="20"/>
    </w:rPr>
  </w:style>
  <w:style w:type="table" w:customStyle="1" w:styleId="MMTable">
    <w:name w:val="~MMTable"/>
    <w:basedOn w:val="TableNormal"/>
    <w:uiPriority w:val="99"/>
    <w:rsid w:val="005D784C"/>
    <w:pPr>
      <w:spacing w:before="40" w:after="40" w:line="240" w:lineRule="auto"/>
    </w:pPr>
    <w:rPr>
      <w:rFonts w:ascii="Arial" w:eastAsia="Times New Roman" w:hAnsi="Arial" w:cs="Times New Roman"/>
      <w:sz w:val="16"/>
      <w:szCs w:val="16"/>
      <w:lang w:val="sq-AL" w:eastAsia="sq-AL"/>
    </w:rPr>
    <w:tblPr>
      <w:tblStyleRowBandSize w:val="1"/>
      <w:tblBorders>
        <w:top w:val="single" w:sz="8" w:space="0" w:color="auto"/>
        <w:bottom w:val="single" w:sz="8" w:space="0" w:color="auto"/>
        <w:insideH w:val="single" w:sz="2" w:space="0" w:color="27BDBE"/>
      </w:tblBorders>
      <w:tblCellMar>
        <w:left w:w="0" w:type="dxa"/>
        <w:right w:w="0" w:type="dxa"/>
      </w:tblCellMar>
    </w:tblPr>
    <w:tblStylePr w:type="firstRow">
      <w:tblPr/>
      <w:trPr>
        <w:cantSplit/>
        <w:tblHeader/>
      </w:trPr>
      <w:tcPr>
        <w:tcBorders>
          <w:top w:val="nil"/>
          <w:left w:val="nil"/>
          <w:bottom w:val="single" w:sz="8" w:space="0" w:color="auto"/>
          <w:right w:val="nil"/>
          <w:insideH w:val="single" w:sz="4" w:space="0" w:color="auto"/>
          <w:insideV w:val="nil"/>
          <w:tl2br w:val="nil"/>
          <w:tr2bl w:val="nil"/>
        </w:tcBorders>
      </w:tcPr>
    </w:tblStylePr>
    <w:tblStylePr w:type="band1Horz">
      <w:tblPr/>
      <w:tcPr>
        <w:shd w:val="clear" w:color="auto" w:fill="DFDFDF"/>
      </w:tcPr>
    </w:tblStylePr>
  </w:style>
  <w:style w:type="paragraph" w:customStyle="1" w:styleId="KeyMsgHeading">
    <w:name w:val="~KeyMsgHeading"/>
    <w:basedOn w:val="Normal"/>
    <w:next w:val="KeyMsgText"/>
    <w:uiPriority w:val="6"/>
    <w:rsid w:val="005D784C"/>
    <w:pPr>
      <w:spacing w:before="240" w:after="0" w:line="264" w:lineRule="auto"/>
      <w:ind w:right="2835"/>
    </w:pPr>
    <w:rPr>
      <w:rFonts w:ascii="Arial" w:eastAsia="Times New Roman" w:hAnsi="Arial" w:cs="Times New Roman"/>
      <w:b/>
      <w:bCs/>
      <w:color w:val="009E9A"/>
      <w:sz w:val="24"/>
      <w:szCs w:val="24"/>
      <w:lang w:val="en-GB"/>
    </w:rPr>
  </w:style>
  <w:style w:type="paragraph" w:customStyle="1" w:styleId="KeyMsgText">
    <w:name w:val="~KeyMsgText"/>
    <w:basedOn w:val="Normal"/>
    <w:uiPriority w:val="6"/>
    <w:rsid w:val="005D784C"/>
    <w:pPr>
      <w:spacing w:after="0" w:line="264" w:lineRule="auto"/>
      <w:ind w:right="2835"/>
    </w:pPr>
    <w:rPr>
      <w:rFonts w:ascii="Arial" w:eastAsia="Times New Roman" w:hAnsi="Arial" w:cs="Times New Roman"/>
      <w:sz w:val="24"/>
      <w:szCs w:val="24"/>
      <w:lang w:val="en-GB"/>
    </w:rPr>
  </w:style>
  <w:style w:type="paragraph" w:customStyle="1" w:styleId="KeyMsgBullet">
    <w:name w:val="~KeyMsgBullet"/>
    <w:basedOn w:val="KeyMsgText"/>
    <w:uiPriority w:val="6"/>
    <w:rsid w:val="005D784C"/>
    <w:pPr>
      <w:numPr>
        <w:numId w:val="6"/>
      </w:numPr>
      <w:spacing w:before="60" w:after="60"/>
    </w:pPr>
  </w:style>
  <w:style w:type="paragraph" w:customStyle="1" w:styleId="Address">
    <w:name w:val="~Address"/>
    <w:basedOn w:val="Normal"/>
    <w:uiPriority w:val="34"/>
    <w:rsid w:val="005D784C"/>
    <w:pPr>
      <w:spacing w:after="0" w:line="240" w:lineRule="auto"/>
    </w:pPr>
    <w:rPr>
      <w:rFonts w:ascii="Arial" w:eastAsia="Times New Roman" w:hAnsi="Arial" w:cs="Times New Roman"/>
      <w:sz w:val="18"/>
      <w:szCs w:val="18"/>
      <w:lang w:val="en-GB"/>
    </w:rPr>
  </w:style>
  <w:style w:type="paragraph" w:customStyle="1" w:styleId="FooterJobRef">
    <w:name w:val="~FooterJobRef"/>
    <w:basedOn w:val="Footer"/>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FooterBS1192">
    <w:name w:val="~FooterBS1192"/>
    <w:basedOn w:val="Footer"/>
    <w:uiPriority w:val="34"/>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FooterSubDivRef">
    <w:name w:val="~FooterSubDivRef"/>
    <w:basedOn w:val="Footer"/>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FooterRepNo">
    <w:name w:val="~FooterRepNo"/>
    <w:basedOn w:val="Footer"/>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FooterRevNo">
    <w:name w:val="~FooterRevNo"/>
    <w:basedOn w:val="Footer"/>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FooterFilepath">
    <w:name w:val="~FooterFilepath"/>
    <w:basedOn w:val="Footer"/>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LogoName">
    <w:name w:val="~LogoName"/>
    <w:basedOn w:val="Footer"/>
    <w:uiPriority w:val="34"/>
    <w:rsid w:val="005D784C"/>
    <w:pPr>
      <w:tabs>
        <w:tab w:val="clear" w:pos="4680"/>
        <w:tab w:val="clear" w:pos="9360"/>
      </w:tabs>
    </w:pPr>
    <w:rPr>
      <w:rFonts w:ascii="Arial" w:eastAsia="Times New Roman" w:hAnsi="Arial" w:cs="Times New Roman"/>
      <w:sz w:val="14"/>
      <w:szCs w:val="14"/>
      <w:lang w:val="x-none" w:eastAsia="x-none"/>
    </w:rPr>
  </w:style>
  <w:style w:type="paragraph" w:customStyle="1" w:styleId="RefDocTitle">
    <w:name w:val="~RefDocTitle"/>
    <w:basedOn w:val="DocTitle"/>
    <w:rsid w:val="005D784C"/>
  </w:style>
  <w:style w:type="paragraph" w:customStyle="1" w:styleId="RefDocSubTitle">
    <w:name w:val="~RefDocSubTitle"/>
    <w:basedOn w:val="DocSubTitle"/>
    <w:rsid w:val="005D784C"/>
  </w:style>
  <w:style w:type="paragraph" w:customStyle="1" w:styleId="RefDocDate">
    <w:name w:val="~RefDocDate"/>
    <w:basedOn w:val="DocDate"/>
    <w:rsid w:val="005D784C"/>
  </w:style>
  <w:style w:type="paragraph" w:customStyle="1" w:styleId="RefConfidential">
    <w:name w:val="~RefConfidential"/>
    <w:basedOn w:val="Confidential"/>
    <w:uiPriority w:val="34"/>
    <w:semiHidden/>
    <w:rsid w:val="005D784C"/>
  </w:style>
  <w:style w:type="paragraph" w:customStyle="1" w:styleId="ClientName">
    <w:name w:val="~ClientName"/>
    <w:basedOn w:val="Address"/>
    <w:uiPriority w:val="34"/>
    <w:rsid w:val="005D784C"/>
  </w:style>
  <w:style w:type="paragraph" w:customStyle="1" w:styleId="DocFileRef">
    <w:name w:val="~DocFileRef"/>
    <w:basedOn w:val="Address"/>
    <w:uiPriority w:val="34"/>
    <w:semiHidden/>
    <w:rsid w:val="005D784C"/>
  </w:style>
  <w:style w:type="paragraph" w:customStyle="1" w:styleId="RefClientName">
    <w:name w:val="~RefClientName"/>
    <w:basedOn w:val="ClientName"/>
    <w:uiPriority w:val="34"/>
    <w:semiHidden/>
    <w:rsid w:val="005D784C"/>
  </w:style>
  <w:style w:type="paragraph" w:customStyle="1" w:styleId="RefDocFileRef">
    <w:name w:val="~RefDocFileRef"/>
    <w:basedOn w:val="DocFileRef"/>
    <w:uiPriority w:val="34"/>
    <w:semiHidden/>
    <w:rsid w:val="005D784C"/>
  </w:style>
  <w:style w:type="character" w:customStyle="1" w:styleId="ConfiHeader">
    <w:name w:val="~ConfiHeader"/>
    <w:uiPriority w:val="34"/>
    <w:semiHidden/>
    <w:rsid w:val="005D784C"/>
    <w:rPr>
      <w:bCs w:val="0"/>
      <w:color w:val="27BDBE"/>
      <w:sz w:val="14"/>
      <w:szCs w:val="14"/>
    </w:rPr>
  </w:style>
  <w:style w:type="paragraph" w:customStyle="1" w:styleId="QuoteSource">
    <w:name w:val="~QuoteSource"/>
    <w:basedOn w:val="Source"/>
    <w:next w:val="Normal"/>
    <w:uiPriority w:val="7"/>
    <w:qFormat/>
    <w:rsid w:val="005D784C"/>
    <w:pPr>
      <w:tabs>
        <w:tab w:val="clear" w:pos="680"/>
      </w:tabs>
      <w:ind w:left="0" w:right="2835" w:firstLine="0"/>
    </w:pPr>
    <w:rPr>
      <w:sz w:val="18"/>
      <w:szCs w:val="18"/>
    </w:rPr>
  </w:style>
  <w:style w:type="paragraph" w:customStyle="1" w:styleId="Quote">
    <w:name w:val="~Quote"/>
    <w:basedOn w:val="Normal"/>
    <w:next w:val="QuoteSource"/>
    <w:uiPriority w:val="6"/>
    <w:qFormat/>
    <w:rsid w:val="005D784C"/>
    <w:pPr>
      <w:keepNext/>
      <w:keepLines/>
      <w:spacing w:before="240" w:after="0" w:line="264" w:lineRule="auto"/>
      <w:ind w:right="2835"/>
    </w:pPr>
    <w:rPr>
      <w:rFonts w:ascii="Arial" w:eastAsia="Times New Roman" w:hAnsi="Arial" w:cs="Times New Roman"/>
      <w:b/>
      <w:bCs/>
      <w:color w:val="009E9A"/>
      <w:sz w:val="28"/>
      <w:szCs w:val="28"/>
      <w:lang w:val="en-GB"/>
    </w:rPr>
  </w:style>
  <w:style w:type="paragraph" w:customStyle="1" w:styleId="GlossaryHeading">
    <w:name w:val="~GlossaryHeading"/>
    <w:basedOn w:val="SecHeadNonToc"/>
    <w:next w:val="Normal"/>
    <w:qFormat/>
    <w:rsid w:val="005D784C"/>
    <w:rPr>
      <w:bCs w:val="0"/>
    </w:rPr>
  </w:style>
  <w:style w:type="paragraph" w:customStyle="1" w:styleId="BlankPage">
    <w:name w:val="~BlankPage"/>
    <w:basedOn w:val="NoSpacing"/>
    <w:next w:val="Normal"/>
    <w:qFormat/>
    <w:rsid w:val="005D784C"/>
    <w:pPr>
      <w:pageBreakBefore/>
    </w:pPr>
    <w:rPr>
      <w:rFonts w:ascii="Arial" w:eastAsia="Times New Roman" w:hAnsi="Arial" w:cs="Times New Roman"/>
      <w:sz w:val="20"/>
      <w:szCs w:val="20"/>
      <w:lang w:val="en-GB"/>
    </w:rPr>
  </w:style>
  <w:style w:type="numbering" w:styleId="111111">
    <w:name w:val="Outline List 2"/>
    <w:basedOn w:val="NoList"/>
    <w:uiPriority w:val="99"/>
    <w:semiHidden/>
    <w:unhideWhenUsed/>
    <w:rsid w:val="005D784C"/>
    <w:pPr>
      <w:numPr>
        <w:numId w:val="7"/>
      </w:numPr>
    </w:pPr>
  </w:style>
  <w:style w:type="numbering" w:styleId="1ai">
    <w:name w:val="Outline List 1"/>
    <w:basedOn w:val="NoList"/>
    <w:uiPriority w:val="99"/>
    <w:semiHidden/>
    <w:unhideWhenUsed/>
    <w:rsid w:val="005D784C"/>
    <w:pPr>
      <w:numPr>
        <w:numId w:val="8"/>
      </w:numPr>
    </w:pPr>
  </w:style>
  <w:style w:type="numbering" w:styleId="ArticleSection">
    <w:name w:val="Outline List 3"/>
    <w:basedOn w:val="NoList"/>
    <w:uiPriority w:val="99"/>
    <w:semiHidden/>
    <w:unhideWhenUsed/>
    <w:rsid w:val="005D784C"/>
    <w:pPr>
      <w:numPr>
        <w:numId w:val="9"/>
      </w:numPr>
    </w:pPr>
  </w:style>
  <w:style w:type="paragraph" w:styleId="Bibliography">
    <w:name w:val="Bibliography"/>
    <w:basedOn w:val="Normal"/>
    <w:next w:val="Normal"/>
    <w:uiPriority w:val="39"/>
    <w:semiHidden/>
    <w:rsid w:val="005D784C"/>
    <w:pPr>
      <w:spacing w:before="120" w:after="160" w:line="264" w:lineRule="auto"/>
    </w:pPr>
    <w:rPr>
      <w:rFonts w:ascii="Arial" w:eastAsia="Times New Roman" w:hAnsi="Arial" w:cs="Times New Roman"/>
      <w:sz w:val="20"/>
      <w:szCs w:val="20"/>
      <w:lang w:val="en-GB"/>
    </w:rPr>
  </w:style>
  <w:style w:type="paragraph" w:styleId="BlockText">
    <w:name w:val="Block Text"/>
    <w:basedOn w:val="Normal"/>
    <w:unhideWhenUsed/>
    <w:rsid w:val="005D784C"/>
    <w:pPr>
      <w:pBdr>
        <w:top w:val="single" w:sz="2" w:space="10" w:color="27BDBE" w:frame="1"/>
        <w:left w:val="single" w:sz="2" w:space="10" w:color="27BDBE" w:frame="1"/>
        <w:bottom w:val="single" w:sz="2" w:space="10" w:color="27BDBE" w:frame="1"/>
        <w:right w:val="single" w:sz="2" w:space="10" w:color="27BDBE" w:frame="1"/>
      </w:pBdr>
      <w:spacing w:before="120" w:after="160" w:line="264" w:lineRule="auto"/>
      <w:ind w:left="1152" w:right="1152"/>
    </w:pPr>
    <w:rPr>
      <w:rFonts w:ascii="Arial" w:eastAsia="Times New Roman" w:hAnsi="Arial" w:cs="Times New Roman"/>
      <w:i/>
      <w:iCs/>
      <w:color w:val="27BDBE"/>
      <w:sz w:val="20"/>
      <w:szCs w:val="20"/>
      <w:lang w:val="en-GB"/>
    </w:rPr>
  </w:style>
  <w:style w:type="paragraph" w:styleId="BodyText2">
    <w:name w:val="Body Text 2"/>
    <w:basedOn w:val="Normal"/>
    <w:link w:val="BodyText2Char"/>
    <w:unhideWhenUsed/>
    <w:rsid w:val="005D784C"/>
    <w:pPr>
      <w:spacing w:before="120" w:after="120" w:line="480" w:lineRule="auto"/>
    </w:pPr>
    <w:rPr>
      <w:rFonts w:ascii="Arial" w:eastAsia="Times New Roman" w:hAnsi="Arial" w:cs="Times New Roman"/>
      <w:sz w:val="20"/>
      <w:szCs w:val="20"/>
      <w:lang w:val="x-none" w:eastAsia="x-none"/>
    </w:rPr>
  </w:style>
  <w:style w:type="character" w:customStyle="1" w:styleId="BodyText2Char">
    <w:name w:val="Body Text 2 Char"/>
    <w:basedOn w:val="DefaultParagraphFont"/>
    <w:link w:val="BodyText2"/>
    <w:rsid w:val="005D784C"/>
    <w:rPr>
      <w:rFonts w:ascii="Arial" w:eastAsia="Times New Roman" w:hAnsi="Arial" w:cs="Times New Roman"/>
      <w:sz w:val="20"/>
      <w:szCs w:val="20"/>
      <w:lang w:val="x-none" w:eastAsia="x-none"/>
    </w:rPr>
  </w:style>
  <w:style w:type="paragraph" w:styleId="BodyText3">
    <w:name w:val="Body Text 3"/>
    <w:basedOn w:val="Normal"/>
    <w:link w:val="BodyText3Char"/>
    <w:unhideWhenUsed/>
    <w:rsid w:val="005D784C"/>
    <w:pPr>
      <w:spacing w:before="120" w:after="120" w:line="264"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5D784C"/>
    <w:rPr>
      <w:rFonts w:ascii="Arial" w:eastAsia="Times New Roman" w:hAnsi="Arial" w:cs="Times New Roman"/>
      <w:sz w:val="16"/>
      <w:szCs w:val="16"/>
      <w:lang w:val="x-none" w:eastAsia="x-none"/>
    </w:rPr>
  </w:style>
  <w:style w:type="paragraph" w:styleId="BodyTextFirstIndent">
    <w:name w:val="Body Text First Indent"/>
    <w:basedOn w:val="BodyText"/>
    <w:link w:val="BodyTextFirstIndentChar"/>
    <w:unhideWhenUsed/>
    <w:rsid w:val="005D784C"/>
    <w:pPr>
      <w:spacing w:after="160"/>
      <w:ind w:firstLine="360"/>
    </w:pPr>
  </w:style>
  <w:style w:type="character" w:customStyle="1" w:styleId="BodyTextFirstIndentChar">
    <w:name w:val="Body Text First Indent Char"/>
    <w:basedOn w:val="BodyTextChar"/>
    <w:link w:val="BodyTextFirstIndent"/>
    <w:rsid w:val="005D784C"/>
    <w:rPr>
      <w:rFonts w:ascii="Arial" w:eastAsia="Times New Roman" w:hAnsi="Arial" w:cs="Times New Roman"/>
      <w:sz w:val="20"/>
      <w:szCs w:val="20"/>
      <w:lang w:val="x-none" w:eastAsia="x-none"/>
    </w:rPr>
  </w:style>
  <w:style w:type="paragraph" w:styleId="BodyTextIndent">
    <w:name w:val="Body Text Indent"/>
    <w:basedOn w:val="Normal"/>
    <w:link w:val="BodyTextIndentChar"/>
    <w:unhideWhenUsed/>
    <w:rsid w:val="005D784C"/>
    <w:pPr>
      <w:spacing w:before="120" w:after="120" w:line="264" w:lineRule="auto"/>
      <w:ind w:left="283"/>
    </w:pPr>
    <w:rPr>
      <w:rFonts w:ascii="Arial" w:eastAsia="Times New Roman" w:hAnsi="Arial" w:cs="Times New Roman"/>
      <w:sz w:val="20"/>
      <w:szCs w:val="20"/>
      <w:lang w:val="x-none" w:eastAsia="x-none"/>
    </w:rPr>
  </w:style>
  <w:style w:type="character" w:customStyle="1" w:styleId="BodyTextIndentChar">
    <w:name w:val="Body Text Indent Char"/>
    <w:basedOn w:val="DefaultParagraphFont"/>
    <w:link w:val="BodyTextIndent"/>
    <w:rsid w:val="005D784C"/>
    <w:rPr>
      <w:rFonts w:ascii="Arial" w:eastAsia="Times New Roman" w:hAnsi="Arial" w:cs="Times New Roman"/>
      <w:sz w:val="20"/>
      <w:szCs w:val="20"/>
      <w:lang w:val="x-none" w:eastAsia="x-none"/>
    </w:rPr>
  </w:style>
  <w:style w:type="paragraph" w:styleId="BodyTextFirstIndent2">
    <w:name w:val="Body Text First Indent 2"/>
    <w:basedOn w:val="BodyTextIndent"/>
    <w:link w:val="BodyTextFirstIndent2Char"/>
    <w:unhideWhenUsed/>
    <w:rsid w:val="005D784C"/>
    <w:pPr>
      <w:spacing w:after="160"/>
      <w:ind w:left="360" w:firstLine="360"/>
    </w:pPr>
  </w:style>
  <w:style w:type="character" w:customStyle="1" w:styleId="BodyTextFirstIndent2Char">
    <w:name w:val="Body Text First Indent 2 Char"/>
    <w:basedOn w:val="BodyTextIndentChar"/>
    <w:link w:val="BodyTextFirstIndent2"/>
    <w:rsid w:val="005D784C"/>
    <w:rPr>
      <w:rFonts w:ascii="Arial" w:eastAsia="Times New Roman" w:hAnsi="Arial" w:cs="Times New Roman"/>
      <w:sz w:val="20"/>
      <w:szCs w:val="20"/>
      <w:lang w:val="x-none" w:eastAsia="x-none"/>
    </w:rPr>
  </w:style>
  <w:style w:type="paragraph" w:styleId="BodyTextIndent2">
    <w:name w:val="Body Text Indent 2"/>
    <w:basedOn w:val="Normal"/>
    <w:link w:val="BodyTextIndent2Char"/>
    <w:unhideWhenUsed/>
    <w:rsid w:val="005D784C"/>
    <w:pPr>
      <w:spacing w:before="120" w:after="120" w:line="480" w:lineRule="auto"/>
      <w:ind w:left="283"/>
    </w:pPr>
    <w:rPr>
      <w:rFonts w:ascii="Arial" w:eastAsia="Times New Roman" w:hAnsi="Arial" w:cs="Times New Roman"/>
      <w:sz w:val="20"/>
      <w:szCs w:val="20"/>
      <w:lang w:val="x-none" w:eastAsia="x-none"/>
    </w:rPr>
  </w:style>
  <w:style w:type="character" w:customStyle="1" w:styleId="BodyTextIndent2Char">
    <w:name w:val="Body Text Indent 2 Char"/>
    <w:basedOn w:val="DefaultParagraphFont"/>
    <w:link w:val="BodyTextIndent2"/>
    <w:rsid w:val="005D784C"/>
    <w:rPr>
      <w:rFonts w:ascii="Arial" w:eastAsia="Times New Roman" w:hAnsi="Arial" w:cs="Times New Roman"/>
      <w:sz w:val="20"/>
      <w:szCs w:val="20"/>
      <w:lang w:val="x-none" w:eastAsia="x-none"/>
    </w:rPr>
  </w:style>
  <w:style w:type="paragraph" w:styleId="BodyTextIndent3">
    <w:name w:val="Body Text Indent 3"/>
    <w:basedOn w:val="Normal"/>
    <w:link w:val="BodyTextIndent3Char"/>
    <w:unhideWhenUsed/>
    <w:rsid w:val="005D784C"/>
    <w:pPr>
      <w:spacing w:before="120" w:after="120" w:line="264" w:lineRule="auto"/>
      <w:ind w:left="283"/>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5D784C"/>
    <w:rPr>
      <w:rFonts w:ascii="Arial" w:eastAsia="Times New Roman" w:hAnsi="Arial" w:cs="Times New Roman"/>
      <w:sz w:val="16"/>
      <w:szCs w:val="16"/>
      <w:lang w:val="x-none" w:eastAsia="x-none"/>
    </w:rPr>
  </w:style>
  <w:style w:type="character" w:styleId="BookTitle">
    <w:name w:val="Book Title"/>
    <w:uiPriority w:val="33"/>
    <w:qFormat/>
    <w:rsid w:val="005D784C"/>
    <w:rPr>
      <w:b/>
      <w:bCs/>
      <w:i/>
      <w:iCs/>
      <w:spacing w:val="5"/>
      <w:szCs w:val="20"/>
    </w:rPr>
  </w:style>
  <w:style w:type="paragraph" w:styleId="Closing">
    <w:name w:val="Closing"/>
    <w:basedOn w:val="Normal"/>
    <w:link w:val="ClosingChar"/>
    <w:unhideWhenUsed/>
    <w:rsid w:val="005D784C"/>
    <w:pPr>
      <w:spacing w:after="0" w:line="240" w:lineRule="auto"/>
      <w:ind w:left="4252"/>
    </w:pPr>
    <w:rPr>
      <w:rFonts w:ascii="Arial" w:eastAsia="Times New Roman" w:hAnsi="Arial" w:cs="Times New Roman"/>
      <w:sz w:val="20"/>
      <w:szCs w:val="20"/>
      <w:lang w:val="x-none" w:eastAsia="x-none"/>
    </w:rPr>
  </w:style>
  <w:style w:type="character" w:customStyle="1" w:styleId="ClosingChar">
    <w:name w:val="Closing Char"/>
    <w:basedOn w:val="DefaultParagraphFont"/>
    <w:link w:val="Closing"/>
    <w:rsid w:val="005D784C"/>
    <w:rPr>
      <w:rFonts w:ascii="Arial" w:eastAsia="Times New Roman" w:hAnsi="Arial" w:cs="Times New Roman"/>
      <w:sz w:val="20"/>
      <w:szCs w:val="20"/>
      <w:lang w:val="x-none" w:eastAsia="x-none"/>
    </w:rPr>
  </w:style>
  <w:style w:type="table" w:customStyle="1" w:styleId="ColorfulGrid1">
    <w:name w:val="Colorful Grid1"/>
    <w:basedOn w:val="TableNormal"/>
    <w:uiPriority w:val="73"/>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D0F5F5"/>
    </w:tcPr>
    <w:tblStylePr w:type="firstRow">
      <w:rPr>
        <w:b/>
        <w:bCs/>
      </w:rPr>
      <w:tblPr/>
      <w:tcPr>
        <w:shd w:val="clear" w:color="auto" w:fill="A1EBEB"/>
      </w:tcPr>
    </w:tblStylePr>
    <w:tblStylePr w:type="lastRow">
      <w:rPr>
        <w:b/>
        <w:bCs/>
        <w:color w:val="000000"/>
      </w:rPr>
      <w:tblPr/>
      <w:tcPr>
        <w:shd w:val="clear" w:color="auto" w:fill="A1EBEB"/>
      </w:tcPr>
    </w:tblStylePr>
    <w:tblStylePr w:type="firstCol">
      <w:rPr>
        <w:color w:val="FFFFFF"/>
      </w:rPr>
      <w:tblPr/>
      <w:tcPr>
        <w:shd w:val="clear" w:color="auto" w:fill="1D8D8E"/>
      </w:tcPr>
    </w:tblStylePr>
    <w:tblStylePr w:type="lastCol">
      <w:rPr>
        <w:color w:val="FFFFFF"/>
      </w:rPr>
      <w:tblPr/>
      <w:tcPr>
        <w:shd w:val="clear" w:color="auto" w:fill="1D8D8E"/>
      </w:tcPr>
    </w:tblStylePr>
    <w:tblStylePr w:type="band1Vert">
      <w:tblPr/>
      <w:tcPr>
        <w:shd w:val="clear" w:color="auto" w:fill="8AE6E7"/>
      </w:tcPr>
    </w:tblStylePr>
    <w:tblStylePr w:type="band1Horz">
      <w:tblPr/>
      <w:tcPr>
        <w:shd w:val="clear" w:color="auto" w:fill="8AE6E7"/>
      </w:tcPr>
    </w:tblStylePr>
  </w:style>
  <w:style w:type="table" w:styleId="ColorfulGrid-Accent2">
    <w:name w:val="Colorful Grid Accent 2"/>
    <w:basedOn w:val="TableNormal"/>
    <w:uiPriority w:val="73"/>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B8FFFD"/>
    </w:tcPr>
    <w:tblStylePr w:type="firstRow">
      <w:rPr>
        <w:b/>
        <w:bCs/>
      </w:rPr>
      <w:tblPr/>
      <w:tcPr>
        <w:shd w:val="clear" w:color="auto" w:fill="72FFFB"/>
      </w:tcPr>
    </w:tblStylePr>
    <w:tblStylePr w:type="lastRow">
      <w:rPr>
        <w:b/>
        <w:bCs/>
        <w:color w:val="000000"/>
      </w:rPr>
      <w:tblPr/>
      <w:tcPr>
        <w:shd w:val="clear" w:color="auto" w:fill="72FFFB"/>
      </w:tcPr>
    </w:tblStylePr>
    <w:tblStylePr w:type="firstCol">
      <w:rPr>
        <w:color w:val="FFFFFF"/>
      </w:rPr>
      <w:tblPr/>
      <w:tcPr>
        <w:shd w:val="clear" w:color="auto" w:fill="007673"/>
      </w:tcPr>
    </w:tblStylePr>
    <w:tblStylePr w:type="lastCol">
      <w:rPr>
        <w:color w:val="FFFFFF"/>
      </w:rPr>
      <w:tblPr/>
      <w:tcPr>
        <w:shd w:val="clear" w:color="auto" w:fill="007673"/>
      </w:tcPr>
    </w:tblStylePr>
    <w:tblStylePr w:type="band1Vert">
      <w:tblPr/>
      <w:tcPr>
        <w:shd w:val="clear" w:color="auto" w:fill="4FFFFA"/>
      </w:tcPr>
    </w:tblStylePr>
    <w:tblStylePr w:type="band1Horz">
      <w:tblPr/>
      <w:tcPr>
        <w:shd w:val="clear" w:color="auto" w:fill="4FFFFA"/>
      </w:tcPr>
    </w:tblStylePr>
  </w:style>
  <w:style w:type="table" w:styleId="ColorfulGrid-Accent3">
    <w:name w:val="Colorful Grid Accent 3"/>
    <w:basedOn w:val="TableNormal"/>
    <w:uiPriority w:val="73"/>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D2E7F6"/>
    </w:tcPr>
    <w:tblStylePr w:type="firstRow">
      <w:rPr>
        <w:b/>
        <w:bCs/>
      </w:rPr>
      <w:tblPr/>
      <w:tcPr>
        <w:shd w:val="clear" w:color="auto" w:fill="A5CFEC"/>
      </w:tcPr>
    </w:tblStylePr>
    <w:tblStylePr w:type="lastRow">
      <w:rPr>
        <w:b/>
        <w:bCs/>
        <w:color w:val="000000"/>
      </w:rPr>
      <w:tblPr/>
      <w:tcPr>
        <w:shd w:val="clear" w:color="auto" w:fill="A5CFEC"/>
      </w:tcPr>
    </w:tblStylePr>
    <w:tblStylePr w:type="firstCol">
      <w:rPr>
        <w:color w:val="FFFFFF"/>
      </w:rPr>
      <w:tblPr/>
      <w:tcPr>
        <w:shd w:val="clear" w:color="auto" w:fill="1E6596"/>
      </w:tcPr>
    </w:tblStylePr>
    <w:tblStylePr w:type="lastCol">
      <w:rPr>
        <w:color w:val="FFFFFF"/>
      </w:rPr>
      <w:tblPr/>
      <w:tcPr>
        <w:shd w:val="clear" w:color="auto" w:fill="1E6596"/>
      </w:tcPr>
    </w:tblStylePr>
    <w:tblStylePr w:type="band1Vert">
      <w:tblPr/>
      <w:tcPr>
        <w:shd w:val="clear" w:color="auto" w:fill="90C4E8"/>
      </w:tcPr>
    </w:tblStylePr>
    <w:tblStylePr w:type="band1Horz">
      <w:tblPr/>
      <w:tcPr>
        <w:shd w:val="clear" w:color="auto" w:fill="90C4E8"/>
      </w:tcPr>
    </w:tblStylePr>
  </w:style>
  <w:style w:type="table" w:styleId="ColorfulGrid-Accent4">
    <w:name w:val="Colorful Grid Accent 4"/>
    <w:basedOn w:val="TableNormal"/>
    <w:uiPriority w:val="73"/>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CCE3F2"/>
    </w:tcPr>
    <w:tblStylePr w:type="firstRow">
      <w:rPr>
        <w:b/>
        <w:bCs/>
      </w:rPr>
      <w:tblPr/>
      <w:tcPr>
        <w:shd w:val="clear" w:color="auto" w:fill="99C8E5"/>
      </w:tcPr>
    </w:tblStylePr>
    <w:tblStylePr w:type="lastRow">
      <w:rPr>
        <w:b/>
        <w:bCs/>
        <w:color w:val="000000"/>
      </w:rPr>
      <w:tblPr/>
      <w:tcPr>
        <w:shd w:val="clear" w:color="auto" w:fill="99C8E5"/>
      </w:tcPr>
    </w:tblStylePr>
    <w:tblStylePr w:type="firstCol">
      <w:rPr>
        <w:color w:val="FFFFFF"/>
      </w:rPr>
      <w:tblPr/>
      <w:tcPr>
        <w:shd w:val="clear" w:color="auto" w:fill="1D5273"/>
      </w:tcPr>
    </w:tblStylePr>
    <w:tblStylePr w:type="lastCol">
      <w:rPr>
        <w:color w:val="FFFFFF"/>
      </w:rPr>
      <w:tblPr/>
      <w:tcPr>
        <w:shd w:val="clear" w:color="auto" w:fill="1D5273"/>
      </w:tcPr>
    </w:tblStylePr>
    <w:tblStylePr w:type="band1Vert">
      <w:tblPr/>
      <w:tcPr>
        <w:shd w:val="clear" w:color="auto" w:fill="80BBDF"/>
      </w:tcPr>
    </w:tblStylePr>
    <w:tblStylePr w:type="band1Horz">
      <w:tblPr/>
      <w:tcPr>
        <w:shd w:val="clear" w:color="auto" w:fill="80BBDF"/>
      </w:tcPr>
    </w:tblStylePr>
  </w:style>
  <w:style w:type="table" w:styleId="ColorfulGrid-Accent5">
    <w:name w:val="Colorful Grid Accent 5"/>
    <w:basedOn w:val="TableNormal"/>
    <w:uiPriority w:val="73"/>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D7F1DD"/>
    </w:tcPr>
    <w:tblStylePr w:type="firstRow">
      <w:rPr>
        <w:b/>
        <w:bCs/>
      </w:rPr>
      <w:tblPr/>
      <w:tcPr>
        <w:shd w:val="clear" w:color="auto" w:fill="B0E3BC"/>
      </w:tcPr>
    </w:tblStylePr>
    <w:tblStylePr w:type="lastRow">
      <w:rPr>
        <w:b/>
        <w:bCs/>
        <w:color w:val="000000"/>
      </w:rPr>
      <w:tblPr/>
      <w:tcPr>
        <w:shd w:val="clear" w:color="auto" w:fill="B0E3BC"/>
      </w:tcPr>
    </w:tblStylePr>
    <w:tblStylePr w:type="firstCol">
      <w:rPr>
        <w:color w:val="FFFFFF"/>
      </w:rPr>
      <w:tblPr/>
      <w:tcPr>
        <w:shd w:val="clear" w:color="auto" w:fill="2F8844"/>
      </w:tcPr>
    </w:tblStylePr>
    <w:tblStylePr w:type="lastCol">
      <w:rPr>
        <w:color w:val="FFFFFF"/>
      </w:rPr>
      <w:tblPr/>
      <w:tcPr>
        <w:shd w:val="clear" w:color="auto" w:fill="2F8844"/>
      </w:tcPr>
    </w:tblStylePr>
    <w:tblStylePr w:type="band1Vert">
      <w:tblPr/>
      <w:tcPr>
        <w:shd w:val="clear" w:color="auto" w:fill="9CDDAB"/>
      </w:tcPr>
    </w:tblStylePr>
    <w:tblStylePr w:type="band1Horz">
      <w:tblPr/>
      <w:tcPr>
        <w:shd w:val="clear" w:color="auto" w:fill="9CDDAB"/>
      </w:tcPr>
    </w:tblStylePr>
  </w:style>
  <w:style w:type="table" w:styleId="ColorfulGrid-Accent6">
    <w:name w:val="Colorful Grid Accent 6"/>
    <w:basedOn w:val="TableNormal"/>
    <w:uiPriority w:val="73"/>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E8D1EE"/>
    </w:tcPr>
    <w:tblStylePr w:type="firstRow">
      <w:rPr>
        <w:b/>
        <w:bCs/>
      </w:rPr>
      <w:tblPr/>
      <w:tcPr>
        <w:shd w:val="clear" w:color="auto" w:fill="D2A3DE"/>
      </w:tcPr>
    </w:tblStylePr>
    <w:tblStylePr w:type="lastRow">
      <w:rPr>
        <w:b/>
        <w:bCs/>
        <w:color w:val="000000"/>
      </w:rPr>
      <w:tblPr/>
      <w:tcPr>
        <w:shd w:val="clear" w:color="auto" w:fill="D2A3DE"/>
      </w:tcPr>
    </w:tblStylePr>
    <w:tblStylePr w:type="firstCol">
      <w:rPr>
        <w:color w:val="FFFFFF"/>
      </w:rPr>
      <w:tblPr/>
      <w:tcPr>
        <w:shd w:val="clear" w:color="auto" w:fill="5F276E"/>
      </w:tcPr>
    </w:tblStylePr>
    <w:tblStylePr w:type="lastCol">
      <w:rPr>
        <w:color w:val="FFFFFF"/>
      </w:rPr>
      <w:tblPr/>
      <w:tcPr>
        <w:shd w:val="clear" w:color="auto" w:fill="5F276E"/>
      </w:tcPr>
    </w:tblStylePr>
    <w:tblStylePr w:type="band1Vert">
      <w:tblPr/>
      <w:tcPr>
        <w:shd w:val="clear" w:color="auto" w:fill="C78DD6"/>
      </w:tcPr>
    </w:tblStylePr>
    <w:tblStylePr w:type="band1Horz">
      <w:tblPr/>
      <w:tcPr>
        <w:shd w:val="clear" w:color="auto" w:fill="C78DD6"/>
      </w:tcPr>
    </w:tblStylePr>
  </w:style>
  <w:style w:type="table" w:customStyle="1" w:styleId="ColorfulList1">
    <w:name w:val="Colorful List1"/>
    <w:basedOn w:val="TableNormal"/>
    <w:uiPriority w:val="72"/>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007E7A"/>
      </w:tcPr>
    </w:tblStylePr>
    <w:tblStylePr w:type="lastRow">
      <w:rPr>
        <w:b/>
        <w:bCs/>
        <w:color w:val="007E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E8FAFA"/>
    </w:tcPr>
    <w:tblStylePr w:type="firstRow">
      <w:rPr>
        <w:b/>
        <w:bCs/>
        <w:color w:val="FFFFFF"/>
      </w:rPr>
      <w:tblPr/>
      <w:tcPr>
        <w:tcBorders>
          <w:bottom w:val="single" w:sz="12" w:space="0" w:color="FFFFFF"/>
        </w:tcBorders>
        <w:shd w:val="clear" w:color="auto" w:fill="007E7A"/>
      </w:tcPr>
    </w:tblStylePr>
    <w:tblStylePr w:type="lastRow">
      <w:rPr>
        <w:b/>
        <w:bCs/>
        <w:color w:val="007E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F2F3"/>
      </w:tcPr>
    </w:tblStylePr>
    <w:tblStylePr w:type="band1Horz">
      <w:tblPr/>
      <w:tcPr>
        <w:shd w:val="clear" w:color="auto" w:fill="D0F5F5"/>
      </w:tcPr>
    </w:tblStylePr>
  </w:style>
  <w:style w:type="table" w:styleId="ColorfulList-Accent2">
    <w:name w:val="Colorful List Accent 2"/>
    <w:basedOn w:val="TableNormal"/>
    <w:uiPriority w:val="72"/>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DCFFFE"/>
    </w:tcPr>
    <w:tblStylePr w:type="firstRow">
      <w:rPr>
        <w:b/>
        <w:bCs/>
        <w:color w:val="FFFFFF"/>
      </w:rPr>
      <w:tblPr/>
      <w:tcPr>
        <w:tcBorders>
          <w:bottom w:val="single" w:sz="12" w:space="0" w:color="FFFFFF"/>
        </w:tcBorders>
        <w:shd w:val="clear" w:color="auto" w:fill="007E7A"/>
      </w:tcPr>
    </w:tblStylePr>
    <w:tblStylePr w:type="lastRow">
      <w:rPr>
        <w:b/>
        <w:bCs/>
        <w:color w:val="007E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FFC"/>
      </w:tcPr>
    </w:tblStylePr>
    <w:tblStylePr w:type="band1Horz">
      <w:tblPr/>
      <w:tcPr>
        <w:shd w:val="clear" w:color="auto" w:fill="B8FFFD"/>
      </w:tcPr>
    </w:tblStylePr>
  </w:style>
  <w:style w:type="table" w:styleId="ColorfulList-Accent3">
    <w:name w:val="Colorful List Accent 3"/>
    <w:basedOn w:val="TableNormal"/>
    <w:uiPriority w:val="72"/>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E9F3FA"/>
    </w:tcPr>
    <w:tblStylePr w:type="firstRow">
      <w:rPr>
        <w:b/>
        <w:bCs/>
        <w:color w:val="FFFFFF"/>
      </w:rPr>
      <w:tblPr/>
      <w:tcPr>
        <w:tcBorders>
          <w:bottom w:val="single" w:sz="12" w:space="0" w:color="FFFFFF"/>
        </w:tcBorders>
        <w:shd w:val="clear" w:color="auto" w:fill="1F587B"/>
      </w:tcPr>
    </w:tblStylePr>
    <w:tblStylePr w:type="lastRow">
      <w:rPr>
        <w:b/>
        <w:bCs/>
        <w:color w:val="1F587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E1F3"/>
      </w:tcPr>
    </w:tblStylePr>
    <w:tblStylePr w:type="band1Horz">
      <w:tblPr/>
      <w:tcPr>
        <w:shd w:val="clear" w:color="auto" w:fill="D2E7F6"/>
      </w:tcPr>
    </w:tblStylePr>
  </w:style>
  <w:style w:type="table" w:styleId="ColorfulList-Accent4">
    <w:name w:val="Colorful List Accent 4"/>
    <w:basedOn w:val="TableNormal"/>
    <w:uiPriority w:val="72"/>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E6F1F8"/>
    </w:tcPr>
    <w:tblStylePr w:type="firstRow">
      <w:rPr>
        <w:b/>
        <w:bCs/>
        <w:color w:val="FFFFFF"/>
      </w:rPr>
      <w:tblPr/>
      <w:tcPr>
        <w:tcBorders>
          <w:bottom w:val="single" w:sz="12" w:space="0" w:color="FFFFFF"/>
        </w:tcBorders>
        <w:shd w:val="clear" w:color="auto" w:fill="206CA0"/>
      </w:tcPr>
    </w:tblStylePr>
    <w:tblStylePr w:type="lastRow">
      <w:rPr>
        <w:b/>
        <w:bCs/>
        <w:color w:val="206C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DEF"/>
      </w:tcPr>
    </w:tblStylePr>
    <w:tblStylePr w:type="band1Horz">
      <w:tblPr/>
      <w:tcPr>
        <w:shd w:val="clear" w:color="auto" w:fill="CCE3F2"/>
      </w:tcPr>
    </w:tblStylePr>
  </w:style>
  <w:style w:type="table" w:styleId="ColorfulList-Accent5">
    <w:name w:val="Colorful List Accent 5"/>
    <w:basedOn w:val="TableNormal"/>
    <w:uiPriority w:val="72"/>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EBF8EE"/>
    </w:tcPr>
    <w:tblStylePr w:type="firstRow">
      <w:rPr>
        <w:b/>
        <w:bCs/>
        <w:color w:val="FFFFFF"/>
      </w:rPr>
      <w:tblPr/>
      <w:tcPr>
        <w:tcBorders>
          <w:bottom w:val="single" w:sz="12" w:space="0" w:color="FFFFFF"/>
        </w:tcBorders>
        <w:shd w:val="clear" w:color="auto" w:fill="662A76"/>
      </w:tcPr>
    </w:tblStylePr>
    <w:tblStylePr w:type="lastRow">
      <w:rPr>
        <w:b/>
        <w:bCs/>
        <w:color w:val="662A7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ED5"/>
      </w:tcPr>
    </w:tblStylePr>
    <w:tblStylePr w:type="band1Horz">
      <w:tblPr/>
      <w:tcPr>
        <w:shd w:val="clear" w:color="auto" w:fill="D7F1DD"/>
      </w:tcPr>
    </w:tblStylePr>
  </w:style>
  <w:style w:type="table" w:styleId="ColorfulList-Accent6">
    <w:name w:val="Colorful List Accent 6"/>
    <w:basedOn w:val="TableNormal"/>
    <w:uiPriority w:val="72"/>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F4E8F7"/>
    </w:tcPr>
    <w:tblStylePr w:type="firstRow">
      <w:rPr>
        <w:b/>
        <w:bCs/>
        <w:color w:val="FFFFFF"/>
      </w:rPr>
      <w:tblPr/>
      <w:tcPr>
        <w:tcBorders>
          <w:bottom w:val="single" w:sz="12" w:space="0" w:color="FFFFFF"/>
        </w:tcBorders>
        <w:shd w:val="clear" w:color="auto" w:fill="329148"/>
      </w:tcPr>
    </w:tblStylePr>
    <w:tblStylePr w:type="lastRow">
      <w:rPr>
        <w:b/>
        <w:bCs/>
        <w:color w:val="32914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6EA"/>
      </w:tcPr>
    </w:tblStylePr>
    <w:tblStylePr w:type="band1Horz">
      <w:tblPr/>
      <w:tcPr>
        <w:shd w:val="clear" w:color="auto" w:fill="E8D1EE"/>
      </w:tcPr>
    </w:tblStylePr>
  </w:style>
  <w:style w:type="table" w:customStyle="1" w:styleId="ColorfulShading1">
    <w:name w:val="Colorful Shading1"/>
    <w:basedOn w:val="TableNormal"/>
    <w:uiPriority w:val="71"/>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009E9A"/>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009E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009E9A"/>
        <w:left w:val="single" w:sz="4" w:space="0" w:color="27BDBE"/>
        <w:bottom w:val="single" w:sz="4" w:space="0" w:color="27BDBE"/>
        <w:right w:val="single" w:sz="4" w:space="0" w:color="27BDBE"/>
        <w:insideH w:val="single" w:sz="4" w:space="0" w:color="FFFFFF"/>
        <w:insideV w:val="single" w:sz="4" w:space="0" w:color="FFFFFF"/>
      </w:tblBorders>
    </w:tblPr>
    <w:tcPr>
      <w:shd w:val="clear" w:color="auto" w:fill="E8FAFA"/>
    </w:tcPr>
    <w:tblStylePr w:type="firstRow">
      <w:rPr>
        <w:b/>
        <w:bCs/>
      </w:rPr>
      <w:tblPr/>
      <w:tcPr>
        <w:tcBorders>
          <w:top w:val="nil"/>
          <w:left w:val="nil"/>
          <w:bottom w:val="single" w:sz="24" w:space="0" w:color="009E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77171"/>
      </w:tcPr>
    </w:tblStylePr>
    <w:tblStylePr w:type="firstCol">
      <w:rPr>
        <w:color w:val="FFFFFF"/>
      </w:rPr>
      <w:tblPr/>
      <w:tcPr>
        <w:tcBorders>
          <w:top w:val="nil"/>
          <w:left w:val="nil"/>
          <w:bottom w:val="nil"/>
          <w:right w:val="nil"/>
          <w:insideH w:val="single" w:sz="4" w:space="0" w:color="177171"/>
          <w:insideV w:val="nil"/>
        </w:tcBorders>
        <w:shd w:val="clear" w:color="auto" w:fill="177171"/>
      </w:tcPr>
    </w:tblStylePr>
    <w:tblStylePr w:type="lastCol">
      <w:rPr>
        <w:color w:val="FFFFFF"/>
      </w:rPr>
      <w:tblPr/>
      <w:tcPr>
        <w:tcBorders>
          <w:top w:val="nil"/>
          <w:left w:val="nil"/>
          <w:bottom w:val="nil"/>
          <w:right w:val="nil"/>
          <w:insideH w:val="nil"/>
          <w:insideV w:val="nil"/>
        </w:tcBorders>
        <w:shd w:val="clear" w:color="auto" w:fill="177171"/>
      </w:tcPr>
    </w:tblStylePr>
    <w:tblStylePr w:type="band1Vert">
      <w:tblPr/>
      <w:tcPr>
        <w:shd w:val="clear" w:color="auto" w:fill="A1EBEB"/>
      </w:tcPr>
    </w:tblStylePr>
    <w:tblStylePr w:type="band1Horz">
      <w:tblPr/>
      <w:tcPr>
        <w:shd w:val="clear" w:color="auto" w:fill="8AE6E7"/>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009E9A"/>
        <w:left w:val="single" w:sz="4" w:space="0" w:color="009E9A"/>
        <w:bottom w:val="single" w:sz="4" w:space="0" w:color="009E9A"/>
        <w:right w:val="single" w:sz="4" w:space="0" w:color="009E9A"/>
        <w:insideH w:val="single" w:sz="4" w:space="0" w:color="FFFFFF"/>
        <w:insideV w:val="single" w:sz="4" w:space="0" w:color="FFFFFF"/>
      </w:tblBorders>
    </w:tblPr>
    <w:tcPr>
      <w:shd w:val="clear" w:color="auto" w:fill="DCFFFE"/>
    </w:tcPr>
    <w:tblStylePr w:type="firstRow">
      <w:rPr>
        <w:b/>
        <w:bCs/>
      </w:rPr>
      <w:tblPr/>
      <w:tcPr>
        <w:tcBorders>
          <w:top w:val="nil"/>
          <w:left w:val="nil"/>
          <w:bottom w:val="single" w:sz="24" w:space="0" w:color="009E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E5C"/>
      </w:tcPr>
    </w:tblStylePr>
    <w:tblStylePr w:type="firstCol">
      <w:rPr>
        <w:color w:val="FFFFFF"/>
      </w:rPr>
      <w:tblPr/>
      <w:tcPr>
        <w:tcBorders>
          <w:top w:val="nil"/>
          <w:left w:val="nil"/>
          <w:bottom w:val="nil"/>
          <w:right w:val="nil"/>
          <w:insideH w:val="single" w:sz="4" w:space="0" w:color="005E5C"/>
          <w:insideV w:val="nil"/>
        </w:tcBorders>
        <w:shd w:val="clear" w:color="auto" w:fill="005E5C"/>
      </w:tcPr>
    </w:tblStylePr>
    <w:tblStylePr w:type="lastCol">
      <w:rPr>
        <w:color w:val="FFFFFF"/>
      </w:rPr>
      <w:tblPr/>
      <w:tcPr>
        <w:tcBorders>
          <w:top w:val="nil"/>
          <w:left w:val="nil"/>
          <w:bottom w:val="nil"/>
          <w:right w:val="nil"/>
          <w:insideH w:val="nil"/>
          <w:insideV w:val="nil"/>
        </w:tcBorders>
        <w:shd w:val="clear" w:color="auto" w:fill="005E5C"/>
      </w:tcPr>
    </w:tblStylePr>
    <w:tblStylePr w:type="band1Vert">
      <w:tblPr/>
      <w:tcPr>
        <w:shd w:val="clear" w:color="auto" w:fill="72FFFB"/>
      </w:tcPr>
    </w:tblStylePr>
    <w:tblStylePr w:type="band1Horz">
      <w:tblPr/>
      <w:tcPr>
        <w:shd w:val="clear" w:color="auto" w:fill="4FFFFA"/>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276F9A"/>
        <w:left w:val="single" w:sz="4" w:space="0" w:color="2988C9"/>
        <w:bottom w:val="single" w:sz="4" w:space="0" w:color="2988C9"/>
        <w:right w:val="single" w:sz="4" w:space="0" w:color="2988C9"/>
        <w:insideH w:val="single" w:sz="4" w:space="0" w:color="FFFFFF"/>
        <w:insideV w:val="single" w:sz="4" w:space="0" w:color="FFFFFF"/>
      </w:tblBorders>
    </w:tblPr>
    <w:tcPr>
      <w:shd w:val="clear" w:color="auto" w:fill="E9F3FA"/>
    </w:tcPr>
    <w:tblStylePr w:type="firstRow">
      <w:rPr>
        <w:b/>
        <w:bCs/>
      </w:rPr>
      <w:tblPr/>
      <w:tcPr>
        <w:tcBorders>
          <w:top w:val="nil"/>
          <w:left w:val="nil"/>
          <w:bottom w:val="single" w:sz="24" w:space="0" w:color="276F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85178"/>
      </w:tcPr>
    </w:tblStylePr>
    <w:tblStylePr w:type="firstCol">
      <w:rPr>
        <w:color w:val="FFFFFF"/>
      </w:rPr>
      <w:tblPr/>
      <w:tcPr>
        <w:tcBorders>
          <w:top w:val="nil"/>
          <w:left w:val="nil"/>
          <w:bottom w:val="nil"/>
          <w:right w:val="nil"/>
          <w:insideH w:val="single" w:sz="4" w:space="0" w:color="185178"/>
          <w:insideV w:val="nil"/>
        </w:tcBorders>
        <w:shd w:val="clear" w:color="auto" w:fill="185178"/>
      </w:tcPr>
    </w:tblStylePr>
    <w:tblStylePr w:type="lastCol">
      <w:rPr>
        <w:color w:val="FFFFFF"/>
      </w:rPr>
      <w:tblPr/>
      <w:tcPr>
        <w:tcBorders>
          <w:top w:val="nil"/>
          <w:left w:val="nil"/>
          <w:bottom w:val="nil"/>
          <w:right w:val="nil"/>
          <w:insideH w:val="nil"/>
          <w:insideV w:val="nil"/>
        </w:tcBorders>
        <w:shd w:val="clear" w:color="auto" w:fill="185178"/>
      </w:tcPr>
    </w:tblStylePr>
    <w:tblStylePr w:type="band1Vert">
      <w:tblPr/>
      <w:tcPr>
        <w:shd w:val="clear" w:color="auto" w:fill="A5CFEC"/>
      </w:tcPr>
    </w:tblStylePr>
    <w:tblStylePr w:type="band1Horz">
      <w:tblPr/>
      <w:tcPr>
        <w:shd w:val="clear" w:color="auto" w:fill="90C4E8"/>
      </w:tcPr>
    </w:tblStylePr>
  </w:style>
  <w:style w:type="table" w:styleId="ColorfulShading-Accent4">
    <w:name w:val="Colorful Shading Accent 4"/>
    <w:basedOn w:val="TableNormal"/>
    <w:uiPriority w:val="71"/>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2988C9"/>
        <w:left w:val="single" w:sz="4" w:space="0" w:color="276F9A"/>
        <w:bottom w:val="single" w:sz="4" w:space="0" w:color="276F9A"/>
        <w:right w:val="single" w:sz="4" w:space="0" w:color="276F9A"/>
        <w:insideH w:val="single" w:sz="4" w:space="0" w:color="FFFFFF"/>
        <w:insideV w:val="single" w:sz="4" w:space="0" w:color="FFFFFF"/>
      </w:tblBorders>
    </w:tblPr>
    <w:tcPr>
      <w:shd w:val="clear" w:color="auto" w:fill="E6F1F8"/>
    </w:tcPr>
    <w:tblStylePr w:type="firstRow">
      <w:rPr>
        <w:b/>
        <w:bCs/>
      </w:rPr>
      <w:tblPr/>
      <w:tcPr>
        <w:tcBorders>
          <w:top w:val="nil"/>
          <w:left w:val="nil"/>
          <w:bottom w:val="single" w:sz="24" w:space="0" w:color="2988C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7425C"/>
      </w:tcPr>
    </w:tblStylePr>
    <w:tblStylePr w:type="firstCol">
      <w:rPr>
        <w:color w:val="FFFFFF"/>
      </w:rPr>
      <w:tblPr/>
      <w:tcPr>
        <w:tcBorders>
          <w:top w:val="nil"/>
          <w:left w:val="nil"/>
          <w:bottom w:val="nil"/>
          <w:right w:val="nil"/>
          <w:insideH w:val="single" w:sz="4" w:space="0" w:color="17425C"/>
          <w:insideV w:val="nil"/>
        </w:tcBorders>
        <w:shd w:val="clear" w:color="auto" w:fill="17425C"/>
      </w:tcPr>
    </w:tblStylePr>
    <w:tblStylePr w:type="lastCol">
      <w:rPr>
        <w:color w:val="FFFFFF"/>
      </w:rPr>
      <w:tblPr/>
      <w:tcPr>
        <w:tcBorders>
          <w:top w:val="nil"/>
          <w:left w:val="nil"/>
          <w:bottom w:val="nil"/>
          <w:right w:val="nil"/>
          <w:insideH w:val="nil"/>
          <w:insideV w:val="nil"/>
        </w:tcBorders>
        <w:shd w:val="clear" w:color="auto" w:fill="17425C"/>
      </w:tcPr>
    </w:tblStylePr>
    <w:tblStylePr w:type="band1Vert">
      <w:tblPr/>
      <w:tcPr>
        <w:shd w:val="clear" w:color="auto" w:fill="99C8E5"/>
      </w:tcPr>
    </w:tblStylePr>
    <w:tblStylePr w:type="band1Horz">
      <w:tblPr/>
      <w:tcPr>
        <w:shd w:val="clear" w:color="auto" w:fill="80BBD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803594"/>
        <w:left w:val="single" w:sz="4" w:space="0" w:color="3FB65B"/>
        <w:bottom w:val="single" w:sz="4" w:space="0" w:color="3FB65B"/>
        <w:right w:val="single" w:sz="4" w:space="0" w:color="3FB65B"/>
        <w:insideH w:val="single" w:sz="4" w:space="0" w:color="FFFFFF"/>
        <w:insideV w:val="single" w:sz="4" w:space="0" w:color="FFFFFF"/>
      </w:tblBorders>
    </w:tblPr>
    <w:tcPr>
      <w:shd w:val="clear" w:color="auto" w:fill="EBF8EE"/>
    </w:tcPr>
    <w:tblStylePr w:type="firstRow">
      <w:rPr>
        <w:b/>
        <w:bCs/>
      </w:rPr>
      <w:tblPr/>
      <w:tcPr>
        <w:tcBorders>
          <w:top w:val="nil"/>
          <w:left w:val="nil"/>
          <w:bottom w:val="single" w:sz="24" w:space="0" w:color="80359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6D36"/>
      </w:tcPr>
    </w:tblStylePr>
    <w:tblStylePr w:type="firstCol">
      <w:rPr>
        <w:color w:val="FFFFFF"/>
      </w:rPr>
      <w:tblPr/>
      <w:tcPr>
        <w:tcBorders>
          <w:top w:val="nil"/>
          <w:left w:val="nil"/>
          <w:bottom w:val="nil"/>
          <w:right w:val="nil"/>
          <w:insideH w:val="single" w:sz="4" w:space="0" w:color="256D36"/>
          <w:insideV w:val="nil"/>
        </w:tcBorders>
        <w:shd w:val="clear" w:color="auto" w:fill="256D36"/>
      </w:tcPr>
    </w:tblStylePr>
    <w:tblStylePr w:type="lastCol">
      <w:rPr>
        <w:color w:val="FFFFFF"/>
      </w:rPr>
      <w:tblPr/>
      <w:tcPr>
        <w:tcBorders>
          <w:top w:val="nil"/>
          <w:left w:val="nil"/>
          <w:bottom w:val="nil"/>
          <w:right w:val="nil"/>
          <w:insideH w:val="nil"/>
          <w:insideV w:val="nil"/>
        </w:tcBorders>
        <w:shd w:val="clear" w:color="auto" w:fill="256D36"/>
      </w:tcPr>
    </w:tblStylePr>
    <w:tblStylePr w:type="band1Vert">
      <w:tblPr/>
      <w:tcPr>
        <w:shd w:val="clear" w:color="auto" w:fill="B0E3BC"/>
      </w:tcPr>
    </w:tblStylePr>
    <w:tblStylePr w:type="band1Horz">
      <w:tblPr/>
      <w:tcPr>
        <w:shd w:val="clear" w:color="auto" w:fill="9CDDAB"/>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3FB65B"/>
        <w:left w:val="single" w:sz="4" w:space="0" w:color="803594"/>
        <w:bottom w:val="single" w:sz="4" w:space="0" w:color="803594"/>
        <w:right w:val="single" w:sz="4" w:space="0" w:color="803594"/>
        <w:insideH w:val="single" w:sz="4" w:space="0" w:color="FFFFFF"/>
        <w:insideV w:val="single" w:sz="4" w:space="0" w:color="FFFFFF"/>
      </w:tblBorders>
    </w:tblPr>
    <w:tcPr>
      <w:shd w:val="clear" w:color="auto" w:fill="F4E8F7"/>
    </w:tcPr>
    <w:tblStylePr w:type="firstRow">
      <w:rPr>
        <w:b/>
        <w:bCs/>
      </w:rPr>
      <w:tblPr/>
      <w:tcPr>
        <w:tcBorders>
          <w:top w:val="nil"/>
          <w:left w:val="nil"/>
          <w:bottom w:val="single" w:sz="24" w:space="0" w:color="3FB65B"/>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1F58"/>
      </w:tcPr>
    </w:tblStylePr>
    <w:tblStylePr w:type="firstCol">
      <w:rPr>
        <w:color w:val="FFFFFF"/>
      </w:rPr>
      <w:tblPr/>
      <w:tcPr>
        <w:tcBorders>
          <w:top w:val="nil"/>
          <w:left w:val="nil"/>
          <w:bottom w:val="nil"/>
          <w:right w:val="nil"/>
          <w:insideH w:val="single" w:sz="4" w:space="0" w:color="4C1F58"/>
          <w:insideV w:val="nil"/>
        </w:tcBorders>
        <w:shd w:val="clear" w:color="auto" w:fill="4C1F58"/>
      </w:tcPr>
    </w:tblStylePr>
    <w:tblStylePr w:type="lastCol">
      <w:rPr>
        <w:color w:val="FFFFFF"/>
      </w:rPr>
      <w:tblPr/>
      <w:tcPr>
        <w:tcBorders>
          <w:top w:val="nil"/>
          <w:left w:val="nil"/>
          <w:bottom w:val="nil"/>
          <w:right w:val="nil"/>
          <w:insideH w:val="nil"/>
          <w:insideV w:val="nil"/>
        </w:tcBorders>
        <w:shd w:val="clear" w:color="auto" w:fill="4C1F58"/>
      </w:tcPr>
    </w:tblStylePr>
    <w:tblStylePr w:type="band1Vert">
      <w:tblPr/>
      <w:tcPr>
        <w:shd w:val="clear" w:color="auto" w:fill="D2A3DE"/>
      </w:tcPr>
    </w:tblStylePr>
    <w:tblStylePr w:type="band1Horz">
      <w:tblPr/>
      <w:tcPr>
        <w:shd w:val="clear" w:color="auto" w:fill="C78DD6"/>
      </w:tcPr>
    </w:tblStylePr>
    <w:tblStylePr w:type="neCell">
      <w:rPr>
        <w:color w:val="000000"/>
      </w:rPr>
    </w:tblStylePr>
    <w:tblStylePr w:type="nwCell">
      <w:rPr>
        <w:color w:val="000000"/>
      </w:rPr>
    </w:tblStylePr>
  </w:style>
  <w:style w:type="table" w:customStyle="1" w:styleId="DarkList1">
    <w:name w:val="Dark List1"/>
    <w:basedOn w:val="TableNormal"/>
    <w:uiPriority w:val="70"/>
    <w:semiHidden/>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27BDB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35D5E"/>
      </w:tcPr>
    </w:tblStylePr>
    <w:tblStylePr w:type="firstCol">
      <w:tblPr/>
      <w:tcPr>
        <w:tcBorders>
          <w:top w:val="nil"/>
          <w:left w:val="nil"/>
          <w:bottom w:val="nil"/>
          <w:right w:val="single" w:sz="18" w:space="0" w:color="FFFFFF"/>
          <w:insideH w:val="nil"/>
          <w:insideV w:val="nil"/>
        </w:tcBorders>
        <w:shd w:val="clear" w:color="auto" w:fill="1D8D8E"/>
      </w:tcPr>
    </w:tblStylePr>
    <w:tblStylePr w:type="lastCol">
      <w:tblPr/>
      <w:tcPr>
        <w:tcBorders>
          <w:top w:val="nil"/>
          <w:left w:val="single" w:sz="18" w:space="0" w:color="FFFFFF"/>
          <w:bottom w:val="nil"/>
          <w:right w:val="nil"/>
          <w:insideH w:val="nil"/>
          <w:insideV w:val="nil"/>
        </w:tcBorders>
        <w:shd w:val="clear" w:color="auto" w:fill="1D8D8E"/>
      </w:tcPr>
    </w:tblStylePr>
    <w:tblStylePr w:type="band1Vert">
      <w:tblPr/>
      <w:tcPr>
        <w:tcBorders>
          <w:top w:val="nil"/>
          <w:left w:val="nil"/>
          <w:bottom w:val="nil"/>
          <w:right w:val="nil"/>
          <w:insideH w:val="nil"/>
          <w:insideV w:val="nil"/>
        </w:tcBorders>
        <w:shd w:val="clear" w:color="auto" w:fill="1D8D8E"/>
      </w:tcPr>
    </w:tblStylePr>
    <w:tblStylePr w:type="band1Horz">
      <w:tblPr/>
      <w:tcPr>
        <w:tcBorders>
          <w:top w:val="nil"/>
          <w:left w:val="nil"/>
          <w:bottom w:val="nil"/>
          <w:right w:val="nil"/>
          <w:insideH w:val="nil"/>
          <w:insideV w:val="nil"/>
        </w:tcBorders>
        <w:shd w:val="clear" w:color="auto" w:fill="1D8D8E"/>
      </w:tcPr>
    </w:tblStylePr>
  </w:style>
  <w:style w:type="table" w:styleId="DarkList-Accent2">
    <w:name w:val="Dark List Accent 2"/>
    <w:basedOn w:val="TableNormal"/>
    <w:uiPriority w:val="70"/>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009E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4E4C"/>
      </w:tcPr>
    </w:tblStylePr>
    <w:tblStylePr w:type="firstCol">
      <w:tblPr/>
      <w:tcPr>
        <w:tcBorders>
          <w:top w:val="nil"/>
          <w:left w:val="nil"/>
          <w:bottom w:val="nil"/>
          <w:right w:val="single" w:sz="18" w:space="0" w:color="FFFFFF"/>
          <w:insideH w:val="nil"/>
          <w:insideV w:val="nil"/>
        </w:tcBorders>
        <w:shd w:val="clear" w:color="auto" w:fill="007673"/>
      </w:tcPr>
    </w:tblStylePr>
    <w:tblStylePr w:type="lastCol">
      <w:tblPr/>
      <w:tcPr>
        <w:tcBorders>
          <w:top w:val="nil"/>
          <w:left w:val="single" w:sz="18" w:space="0" w:color="FFFFFF"/>
          <w:bottom w:val="nil"/>
          <w:right w:val="nil"/>
          <w:insideH w:val="nil"/>
          <w:insideV w:val="nil"/>
        </w:tcBorders>
        <w:shd w:val="clear" w:color="auto" w:fill="007673"/>
      </w:tcPr>
    </w:tblStylePr>
    <w:tblStylePr w:type="band1Vert">
      <w:tblPr/>
      <w:tcPr>
        <w:tcBorders>
          <w:top w:val="nil"/>
          <w:left w:val="nil"/>
          <w:bottom w:val="nil"/>
          <w:right w:val="nil"/>
          <w:insideH w:val="nil"/>
          <w:insideV w:val="nil"/>
        </w:tcBorders>
        <w:shd w:val="clear" w:color="auto" w:fill="007673"/>
      </w:tcPr>
    </w:tblStylePr>
    <w:tblStylePr w:type="band1Horz">
      <w:tblPr/>
      <w:tcPr>
        <w:tcBorders>
          <w:top w:val="nil"/>
          <w:left w:val="nil"/>
          <w:bottom w:val="nil"/>
          <w:right w:val="nil"/>
          <w:insideH w:val="nil"/>
          <w:insideV w:val="nil"/>
        </w:tcBorders>
        <w:shd w:val="clear" w:color="auto" w:fill="007673"/>
      </w:tcPr>
    </w:tblStylePr>
  </w:style>
  <w:style w:type="table" w:styleId="DarkList-Accent3">
    <w:name w:val="Dark List Accent 3"/>
    <w:basedOn w:val="TableNormal"/>
    <w:uiPriority w:val="70"/>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2988C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44363"/>
      </w:tcPr>
    </w:tblStylePr>
    <w:tblStylePr w:type="firstCol">
      <w:tblPr/>
      <w:tcPr>
        <w:tcBorders>
          <w:top w:val="nil"/>
          <w:left w:val="nil"/>
          <w:bottom w:val="nil"/>
          <w:right w:val="single" w:sz="18" w:space="0" w:color="FFFFFF"/>
          <w:insideH w:val="nil"/>
          <w:insideV w:val="nil"/>
        </w:tcBorders>
        <w:shd w:val="clear" w:color="auto" w:fill="1E6596"/>
      </w:tcPr>
    </w:tblStylePr>
    <w:tblStylePr w:type="lastCol">
      <w:tblPr/>
      <w:tcPr>
        <w:tcBorders>
          <w:top w:val="nil"/>
          <w:left w:val="single" w:sz="18" w:space="0" w:color="FFFFFF"/>
          <w:bottom w:val="nil"/>
          <w:right w:val="nil"/>
          <w:insideH w:val="nil"/>
          <w:insideV w:val="nil"/>
        </w:tcBorders>
        <w:shd w:val="clear" w:color="auto" w:fill="1E6596"/>
      </w:tcPr>
    </w:tblStylePr>
    <w:tblStylePr w:type="band1Vert">
      <w:tblPr/>
      <w:tcPr>
        <w:tcBorders>
          <w:top w:val="nil"/>
          <w:left w:val="nil"/>
          <w:bottom w:val="nil"/>
          <w:right w:val="nil"/>
          <w:insideH w:val="nil"/>
          <w:insideV w:val="nil"/>
        </w:tcBorders>
        <w:shd w:val="clear" w:color="auto" w:fill="1E6596"/>
      </w:tcPr>
    </w:tblStylePr>
    <w:tblStylePr w:type="band1Horz">
      <w:tblPr/>
      <w:tcPr>
        <w:tcBorders>
          <w:top w:val="nil"/>
          <w:left w:val="nil"/>
          <w:bottom w:val="nil"/>
          <w:right w:val="nil"/>
          <w:insideH w:val="nil"/>
          <w:insideV w:val="nil"/>
        </w:tcBorders>
        <w:shd w:val="clear" w:color="auto" w:fill="1E6596"/>
      </w:tcPr>
    </w:tblStylePr>
  </w:style>
  <w:style w:type="table" w:styleId="DarkList-Accent4">
    <w:name w:val="Dark List Accent 4"/>
    <w:basedOn w:val="TableNormal"/>
    <w:uiPriority w:val="70"/>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276F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3374C"/>
      </w:tcPr>
    </w:tblStylePr>
    <w:tblStylePr w:type="firstCol">
      <w:tblPr/>
      <w:tcPr>
        <w:tcBorders>
          <w:top w:val="nil"/>
          <w:left w:val="nil"/>
          <w:bottom w:val="nil"/>
          <w:right w:val="single" w:sz="18" w:space="0" w:color="FFFFFF"/>
          <w:insideH w:val="nil"/>
          <w:insideV w:val="nil"/>
        </w:tcBorders>
        <w:shd w:val="clear" w:color="auto" w:fill="1D5273"/>
      </w:tcPr>
    </w:tblStylePr>
    <w:tblStylePr w:type="lastCol">
      <w:tblPr/>
      <w:tcPr>
        <w:tcBorders>
          <w:top w:val="nil"/>
          <w:left w:val="single" w:sz="18" w:space="0" w:color="FFFFFF"/>
          <w:bottom w:val="nil"/>
          <w:right w:val="nil"/>
          <w:insideH w:val="nil"/>
          <w:insideV w:val="nil"/>
        </w:tcBorders>
        <w:shd w:val="clear" w:color="auto" w:fill="1D5273"/>
      </w:tcPr>
    </w:tblStylePr>
    <w:tblStylePr w:type="band1Vert">
      <w:tblPr/>
      <w:tcPr>
        <w:tcBorders>
          <w:top w:val="nil"/>
          <w:left w:val="nil"/>
          <w:bottom w:val="nil"/>
          <w:right w:val="nil"/>
          <w:insideH w:val="nil"/>
          <w:insideV w:val="nil"/>
        </w:tcBorders>
        <w:shd w:val="clear" w:color="auto" w:fill="1D5273"/>
      </w:tcPr>
    </w:tblStylePr>
    <w:tblStylePr w:type="band1Horz">
      <w:tblPr/>
      <w:tcPr>
        <w:tcBorders>
          <w:top w:val="nil"/>
          <w:left w:val="nil"/>
          <w:bottom w:val="nil"/>
          <w:right w:val="nil"/>
          <w:insideH w:val="nil"/>
          <w:insideV w:val="nil"/>
        </w:tcBorders>
        <w:shd w:val="clear" w:color="auto" w:fill="1D5273"/>
      </w:tcPr>
    </w:tblStylePr>
  </w:style>
  <w:style w:type="table" w:styleId="DarkList-Accent5">
    <w:name w:val="Dark List Accent 5"/>
    <w:basedOn w:val="TableNormal"/>
    <w:uiPriority w:val="70"/>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3FB65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5A2D"/>
      </w:tcPr>
    </w:tblStylePr>
    <w:tblStylePr w:type="firstCol">
      <w:tblPr/>
      <w:tcPr>
        <w:tcBorders>
          <w:top w:val="nil"/>
          <w:left w:val="nil"/>
          <w:bottom w:val="nil"/>
          <w:right w:val="single" w:sz="18" w:space="0" w:color="FFFFFF"/>
          <w:insideH w:val="nil"/>
          <w:insideV w:val="nil"/>
        </w:tcBorders>
        <w:shd w:val="clear" w:color="auto" w:fill="2F8844"/>
      </w:tcPr>
    </w:tblStylePr>
    <w:tblStylePr w:type="lastCol">
      <w:tblPr/>
      <w:tcPr>
        <w:tcBorders>
          <w:top w:val="nil"/>
          <w:left w:val="single" w:sz="18" w:space="0" w:color="FFFFFF"/>
          <w:bottom w:val="nil"/>
          <w:right w:val="nil"/>
          <w:insideH w:val="nil"/>
          <w:insideV w:val="nil"/>
        </w:tcBorders>
        <w:shd w:val="clear" w:color="auto" w:fill="2F8844"/>
      </w:tcPr>
    </w:tblStylePr>
    <w:tblStylePr w:type="band1Vert">
      <w:tblPr/>
      <w:tcPr>
        <w:tcBorders>
          <w:top w:val="nil"/>
          <w:left w:val="nil"/>
          <w:bottom w:val="nil"/>
          <w:right w:val="nil"/>
          <w:insideH w:val="nil"/>
          <w:insideV w:val="nil"/>
        </w:tcBorders>
        <w:shd w:val="clear" w:color="auto" w:fill="2F8844"/>
      </w:tcPr>
    </w:tblStylePr>
    <w:tblStylePr w:type="band1Horz">
      <w:tblPr/>
      <w:tcPr>
        <w:tcBorders>
          <w:top w:val="nil"/>
          <w:left w:val="nil"/>
          <w:bottom w:val="nil"/>
          <w:right w:val="nil"/>
          <w:insideH w:val="nil"/>
          <w:insideV w:val="nil"/>
        </w:tcBorders>
        <w:shd w:val="clear" w:color="auto" w:fill="2F8844"/>
      </w:tcPr>
    </w:tblStylePr>
  </w:style>
  <w:style w:type="table" w:styleId="DarkList-Accent6">
    <w:name w:val="Dark List Accent 6"/>
    <w:basedOn w:val="TableNormal"/>
    <w:uiPriority w:val="70"/>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80359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1A49"/>
      </w:tcPr>
    </w:tblStylePr>
    <w:tblStylePr w:type="firstCol">
      <w:tblPr/>
      <w:tcPr>
        <w:tcBorders>
          <w:top w:val="nil"/>
          <w:left w:val="nil"/>
          <w:bottom w:val="nil"/>
          <w:right w:val="single" w:sz="18" w:space="0" w:color="FFFFFF"/>
          <w:insideH w:val="nil"/>
          <w:insideV w:val="nil"/>
        </w:tcBorders>
        <w:shd w:val="clear" w:color="auto" w:fill="5F276E"/>
      </w:tcPr>
    </w:tblStylePr>
    <w:tblStylePr w:type="lastCol">
      <w:tblPr/>
      <w:tcPr>
        <w:tcBorders>
          <w:top w:val="nil"/>
          <w:left w:val="single" w:sz="18" w:space="0" w:color="FFFFFF"/>
          <w:bottom w:val="nil"/>
          <w:right w:val="nil"/>
          <w:insideH w:val="nil"/>
          <w:insideV w:val="nil"/>
        </w:tcBorders>
        <w:shd w:val="clear" w:color="auto" w:fill="5F276E"/>
      </w:tcPr>
    </w:tblStylePr>
    <w:tblStylePr w:type="band1Vert">
      <w:tblPr/>
      <w:tcPr>
        <w:tcBorders>
          <w:top w:val="nil"/>
          <w:left w:val="nil"/>
          <w:bottom w:val="nil"/>
          <w:right w:val="nil"/>
          <w:insideH w:val="nil"/>
          <w:insideV w:val="nil"/>
        </w:tcBorders>
        <w:shd w:val="clear" w:color="auto" w:fill="5F276E"/>
      </w:tcPr>
    </w:tblStylePr>
    <w:tblStylePr w:type="band1Horz">
      <w:tblPr/>
      <w:tcPr>
        <w:tcBorders>
          <w:top w:val="nil"/>
          <w:left w:val="nil"/>
          <w:bottom w:val="nil"/>
          <w:right w:val="nil"/>
          <w:insideH w:val="nil"/>
          <w:insideV w:val="nil"/>
        </w:tcBorders>
        <w:shd w:val="clear" w:color="auto" w:fill="5F276E"/>
      </w:tcPr>
    </w:tblStylePr>
  </w:style>
  <w:style w:type="paragraph" w:styleId="Date">
    <w:name w:val="Date"/>
    <w:basedOn w:val="Normal"/>
    <w:next w:val="Normal"/>
    <w:link w:val="DateChar"/>
    <w:rsid w:val="005D784C"/>
    <w:pPr>
      <w:spacing w:before="120" w:after="160" w:line="264" w:lineRule="auto"/>
    </w:pPr>
    <w:rPr>
      <w:rFonts w:ascii="Arial" w:eastAsia="Times New Roman" w:hAnsi="Arial" w:cs="Times New Roman"/>
      <w:sz w:val="20"/>
      <w:szCs w:val="20"/>
      <w:lang w:val="x-none" w:eastAsia="x-none"/>
    </w:rPr>
  </w:style>
  <w:style w:type="character" w:customStyle="1" w:styleId="DateChar">
    <w:name w:val="Date Char"/>
    <w:basedOn w:val="DefaultParagraphFont"/>
    <w:link w:val="Date"/>
    <w:rsid w:val="005D784C"/>
    <w:rPr>
      <w:rFonts w:ascii="Arial" w:eastAsia="Times New Roman" w:hAnsi="Arial" w:cs="Times New Roman"/>
      <w:sz w:val="20"/>
      <w:szCs w:val="20"/>
      <w:lang w:val="x-none" w:eastAsia="x-none"/>
    </w:rPr>
  </w:style>
  <w:style w:type="paragraph" w:styleId="DocumentMap">
    <w:name w:val="Document Map"/>
    <w:basedOn w:val="Normal"/>
    <w:link w:val="DocumentMapChar"/>
    <w:semiHidden/>
    <w:unhideWhenUsed/>
    <w:rsid w:val="005D784C"/>
    <w:pPr>
      <w:spacing w:after="0" w:line="240" w:lineRule="auto"/>
    </w:pPr>
    <w:rPr>
      <w:rFonts w:ascii="Segoe UI" w:eastAsia="Times New Roman" w:hAnsi="Segoe UI" w:cs="Times New Roman"/>
      <w:sz w:val="16"/>
      <w:szCs w:val="16"/>
      <w:lang w:val="x-none" w:eastAsia="x-none"/>
    </w:rPr>
  </w:style>
  <w:style w:type="character" w:customStyle="1" w:styleId="DocumentMapChar">
    <w:name w:val="Document Map Char"/>
    <w:basedOn w:val="DefaultParagraphFont"/>
    <w:link w:val="DocumentMap"/>
    <w:semiHidden/>
    <w:rsid w:val="005D784C"/>
    <w:rPr>
      <w:rFonts w:ascii="Segoe UI" w:eastAsia="Times New Roman" w:hAnsi="Segoe UI" w:cs="Times New Roman"/>
      <w:sz w:val="16"/>
      <w:szCs w:val="16"/>
      <w:lang w:val="x-none" w:eastAsia="x-none"/>
    </w:rPr>
  </w:style>
  <w:style w:type="paragraph" w:styleId="E-mailSignature">
    <w:name w:val="E-mail Signature"/>
    <w:basedOn w:val="Normal"/>
    <w:link w:val="E-mailSignatureChar"/>
    <w:semiHidden/>
    <w:unhideWhenUsed/>
    <w:rsid w:val="005D784C"/>
    <w:pPr>
      <w:spacing w:after="0" w:line="240" w:lineRule="auto"/>
    </w:pPr>
    <w:rPr>
      <w:rFonts w:ascii="Arial" w:eastAsia="Times New Roman" w:hAnsi="Arial" w:cs="Times New Roman"/>
      <w:sz w:val="20"/>
      <w:szCs w:val="20"/>
      <w:lang w:val="x-none" w:eastAsia="x-none"/>
    </w:rPr>
  </w:style>
  <w:style w:type="character" w:customStyle="1" w:styleId="E-mailSignatureChar">
    <w:name w:val="E-mail Signature Char"/>
    <w:basedOn w:val="DefaultParagraphFont"/>
    <w:link w:val="E-mailSignature"/>
    <w:semiHidden/>
    <w:rsid w:val="005D784C"/>
    <w:rPr>
      <w:rFonts w:ascii="Arial" w:eastAsia="Times New Roman" w:hAnsi="Arial" w:cs="Times New Roman"/>
      <w:sz w:val="20"/>
      <w:szCs w:val="20"/>
      <w:lang w:val="x-none" w:eastAsia="x-none"/>
    </w:rPr>
  </w:style>
  <w:style w:type="character" w:styleId="EndnoteReference">
    <w:name w:val="endnote reference"/>
    <w:unhideWhenUsed/>
    <w:rsid w:val="005D784C"/>
    <w:rPr>
      <w:bCs w:val="0"/>
      <w:szCs w:val="20"/>
      <w:vertAlign w:val="superscript"/>
    </w:rPr>
  </w:style>
  <w:style w:type="paragraph" w:styleId="EndnoteText">
    <w:name w:val="endnote text"/>
    <w:basedOn w:val="Normal"/>
    <w:link w:val="EndnoteTextChar"/>
    <w:unhideWhenUsed/>
    <w:rsid w:val="005D784C"/>
    <w:pPr>
      <w:spacing w:after="0" w:line="240" w:lineRule="auto"/>
    </w:pPr>
    <w:rPr>
      <w:rFonts w:ascii="Arial" w:eastAsia="Times New Roman" w:hAnsi="Arial" w:cs="Times New Roman"/>
      <w:sz w:val="20"/>
      <w:szCs w:val="20"/>
      <w:lang w:val="x-none" w:eastAsia="x-none"/>
    </w:rPr>
  </w:style>
  <w:style w:type="character" w:customStyle="1" w:styleId="EndnoteTextChar">
    <w:name w:val="Endnote Text Char"/>
    <w:basedOn w:val="DefaultParagraphFont"/>
    <w:link w:val="EndnoteText"/>
    <w:rsid w:val="005D784C"/>
    <w:rPr>
      <w:rFonts w:ascii="Arial" w:eastAsia="Times New Roman" w:hAnsi="Arial" w:cs="Times New Roman"/>
      <w:sz w:val="20"/>
      <w:szCs w:val="20"/>
      <w:lang w:val="x-none" w:eastAsia="x-none"/>
    </w:rPr>
  </w:style>
  <w:style w:type="paragraph" w:styleId="EnvelopeAddress">
    <w:name w:val="envelope address"/>
    <w:basedOn w:val="Normal"/>
    <w:unhideWhenUsed/>
    <w:rsid w:val="005D784C"/>
    <w:pPr>
      <w:framePr w:w="7920" w:h="1980" w:hRule="exact" w:hSpace="180" w:wrap="auto" w:hAnchor="page" w:xAlign="center" w:yAlign="bottom"/>
      <w:spacing w:after="0" w:line="240" w:lineRule="auto"/>
      <w:ind w:left="2880"/>
    </w:pPr>
    <w:rPr>
      <w:rFonts w:ascii="Arial" w:eastAsia="Times New Roman" w:hAnsi="Arial" w:cs="Times New Roman"/>
      <w:sz w:val="24"/>
      <w:szCs w:val="24"/>
      <w:lang w:val="en-GB"/>
    </w:rPr>
  </w:style>
  <w:style w:type="paragraph" w:styleId="EnvelopeReturn">
    <w:name w:val="envelope return"/>
    <w:basedOn w:val="Normal"/>
    <w:unhideWhenUsed/>
    <w:rsid w:val="005D784C"/>
    <w:pPr>
      <w:spacing w:after="0" w:line="240" w:lineRule="auto"/>
    </w:pPr>
    <w:rPr>
      <w:rFonts w:ascii="Arial" w:eastAsia="Times New Roman" w:hAnsi="Arial" w:cs="Times New Roman"/>
      <w:sz w:val="20"/>
      <w:szCs w:val="20"/>
      <w:lang w:val="en-GB"/>
    </w:rPr>
  </w:style>
  <w:style w:type="table" w:customStyle="1" w:styleId="GridTable1Light1">
    <w:name w:val="Grid Table 1 Light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A1EBEB"/>
        <w:left w:val="single" w:sz="4" w:space="0" w:color="A1EBEB"/>
        <w:bottom w:val="single" w:sz="4" w:space="0" w:color="A1EBEB"/>
        <w:right w:val="single" w:sz="4" w:space="0" w:color="A1EBEB"/>
        <w:insideH w:val="single" w:sz="4" w:space="0" w:color="A1EBEB"/>
        <w:insideV w:val="single" w:sz="4" w:space="0" w:color="A1EBEB"/>
      </w:tblBorders>
    </w:tblPr>
    <w:tblStylePr w:type="firstRow">
      <w:rPr>
        <w:b/>
        <w:bCs/>
      </w:rPr>
      <w:tblPr/>
      <w:tcPr>
        <w:tcBorders>
          <w:bottom w:val="single" w:sz="12" w:space="0" w:color="73E1E2"/>
        </w:tcBorders>
      </w:tcPr>
    </w:tblStylePr>
    <w:tblStylePr w:type="lastRow">
      <w:rPr>
        <w:b/>
        <w:bCs/>
      </w:rPr>
      <w:tblPr/>
      <w:tcPr>
        <w:tcBorders>
          <w:top w:val="double" w:sz="2" w:space="0" w:color="73E1E2"/>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2FFFB"/>
        <w:left w:val="single" w:sz="4" w:space="0" w:color="72FFFB"/>
        <w:bottom w:val="single" w:sz="4" w:space="0" w:color="72FFFB"/>
        <w:right w:val="single" w:sz="4" w:space="0" w:color="72FFFB"/>
        <w:insideH w:val="single" w:sz="4" w:space="0" w:color="72FFFB"/>
        <w:insideV w:val="single" w:sz="4" w:space="0" w:color="72FFFB"/>
      </w:tblBorders>
    </w:tblPr>
    <w:tblStylePr w:type="firstRow">
      <w:rPr>
        <w:b/>
        <w:bCs/>
      </w:rPr>
      <w:tblPr/>
      <w:tcPr>
        <w:tcBorders>
          <w:bottom w:val="single" w:sz="12" w:space="0" w:color="2BFFF9"/>
        </w:tcBorders>
      </w:tcPr>
    </w:tblStylePr>
    <w:tblStylePr w:type="lastRow">
      <w:rPr>
        <w:b/>
        <w:bCs/>
      </w:rPr>
      <w:tblPr/>
      <w:tcPr>
        <w:tcBorders>
          <w:top w:val="double" w:sz="2" w:space="0" w:color="2BFFF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A5CFEC"/>
        <w:left w:val="single" w:sz="4" w:space="0" w:color="A5CFEC"/>
        <w:bottom w:val="single" w:sz="4" w:space="0" w:color="A5CFEC"/>
        <w:right w:val="single" w:sz="4" w:space="0" w:color="A5CFEC"/>
        <w:insideH w:val="single" w:sz="4" w:space="0" w:color="A5CFEC"/>
        <w:insideV w:val="single" w:sz="4" w:space="0" w:color="A5CFEC"/>
      </w:tblBorders>
    </w:tblPr>
    <w:tblStylePr w:type="firstRow">
      <w:rPr>
        <w:b/>
        <w:bCs/>
      </w:rPr>
      <w:tblPr/>
      <w:tcPr>
        <w:tcBorders>
          <w:bottom w:val="single" w:sz="12" w:space="0" w:color="79B8E3"/>
        </w:tcBorders>
      </w:tcPr>
    </w:tblStylePr>
    <w:tblStylePr w:type="lastRow">
      <w:rPr>
        <w:b/>
        <w:bCs/>
      </w:rPr>
      <w:tblPr/>
      <w:tcPr>
        <w:tcBorders>
          <w:top w:val="double" w:sz="2" w:space="0" w:color="79B8E3"/>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99C8E5"/>
        <w:left w:val="single" w:sz="4" w:space="0" w:color="99C8E5"/>
        <w:bottom w:val="single" w:sz="4" w:space="0" w:color="99C8E5"/>
        <w:right w:val="single" w:sz="4" w:space="0" w:color="99C8E5"/>
        <w:insideH w:val="single" w:sz="4" w:space="0" w:color="99C8E5"/>
        <w:insideV w:val="single" w:sz="4" w:space="0" w:color="99C8E5"/>
      </w:tblBorders>
    </w:tblPr>
    <w:tblStylePr w:type="firstRow">
      <w:rPr>
        <w:b/>
        <w:bCs/>
      </w:rPr>
      <w:tblPr/>
      <w:tcPr>
        <w:tcBorders>
          <w:bottom w:val="single" w:sz="12" w:space="0" w:color="67ADD8"/>
        </w:tcBorders>
      </w:tcPr>
    </w:tblStylePr>
    <w:tblStylePr w:type="lastRow">
      <w:rPr>
        <w:b/>
        <w:bCs/>
      </w:rPr>
      <w:tblPr/>
      <w:tcPr>
        <w:tcBorders>
          <w:top w:val="double" w:sz="2" w:space="0" w:color="67ADD8"/>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B0E3BC"/>
        <w:left w:val="single" w:sz="4" w:space="0" w:color="B0E3BC"/>
        <w:bottom w:val="single" w:sz="4" w:space="0" w:color="B0E3BC"/>
        <w:right w:val="single" w:sz="4" w:space="0" w:color="B0E3BC"/>
        <w:insideH w:val="single" w:sz="4" w:space="0" w:color="B0E3BC"/>
        <w:insideV w:val="single" w:sz="4" w:space="0" w:color="B0E3BC"/>
      </w:tblBorders>
    </w:tblPr>
    <w:tblStylePr w:type="firstRow">
      <w:rPr>
        <w:b/>
        <w:bCs/>
      </w:rPr>
      <w:tblPr/>
      <w:tcPr>
        <w:tcBorders>
          <w:bottom w:val="single" w:sz="12" w:space="0" w:color="88D69B"/>
        </w:tcBorders>
      </w:tcPr>
    </w:tblStylePr>
    <w:tblStylePr w:type="lastRow">
      <w:rPr>
        <w:b/>
        <w:bCs/>
      </w:rPr>
      <w:tblPr/>
      <w:tcPr>
        <w:tcBorders>
          <w:top w:val="double" w:sz="2" w:space="0" w:color="88D69B"/>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D2A3DE"/>
        <w:left w:val="single" w:sz="4" w:space="0" w:color="D2A3DE"/>
        <w:bottom w:val="single" w:sz="4" w:space="0" w:color="D2A3DE"/>
        <w:right w:val="single" w:sz="4" w:space="0" w:color="D2A3DE"/>
        <w:insideH w:val="single" w:sz="4" w:space="0" w:color="D2A3DE"/>
        <w:insideV w:val="single" w:sz="4" w:space="0" w:color="D2A3DE"/>
      </w:tblBorders>
    </w:tblPr>
    <w:tblStylePr w:type="firstRow">
      <w:rPr>
        <w:b/>
        <w:bCs/>
      </w:rPr>
      <w:tblPr/>
      <w:tcPr>
        <w:tcBorders>
          <w:bottom w:val="single" w:sz="12" w:space="0" w:color="BB76CE"/>
        </w:tcBorders>
      </w:tcPr>
    </w:tblStylePr>
    <w:tblStylePr w:type="lastRow">
      <w:rPr>
        <w:b/>
        <w:bCs/>
      </w:rPr>
      <w:tblPr/>
      <w:tcPr>
        <w:tcBorders>
          <w:top w:val="double" w:sz="2" w:space="0" w:color="BB76CE"/>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73E1E2"/>
        <w:bottom w:val="single" w:sz="2" w:space="0" w:color="73E1E2"/>
        <w:insideH w:val="single" w:sz="2" w:space="0" w:color="73E1E2"/>
        <w:insideV w:val="single" w:sz="2" w:space="0" w:color="73E1E2"/>
      </w:tblBorders>
    </w:tblPr>
    <w:tblStylePr w:type="firstRow">
      <w:rPr>
        <w:b/>
        <w:bCs/>
      </w:rPr>
      <w:tblPr/>
      <w:tcPr>
        <w:tcBorders>
          <w:top w:val="nil"/>
          <w:bottom w:val="single" w:sz="12" w:space="0" w:color="73E1E2"/>
          <w:insideH w:val="nil"/>
          <w:insideV w:val="nil"/>
        </w:tcBorders>
        <w:shd w:val="clear" w:color="auto" w:fill="FFFFFF"/>
      </w:tcPr>
    </w:tblStylePr>
    <w:tblStylePr w:type="lastRow">
      <w:rPr>
        <w:b/>
        <w:bCs/>
      </w:rPr>
      <w:tblPr/>
      <w:tcPr>
        <w:tcBorders>
          <w:top w:val="double" w:sz="2" w:space="0" w:color="73E1E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GridTable2-Accent21">
    <w:name w:val="Grid Table 2 - Accent 2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2BFFF9"/>
        <w:bottom w:val="single" w:sz="2" w:space="0" w:color="2BFFF9"/>
        <w:insideH w:val="single" w:sz="2" w:space="0" w:color="2BFFF9"/>
        <w:insideV w:val="single" w:sz="2" w:space="0" w:color="2BFFF9"/>
      </w:tblBorders>
    </w:tblPr>
    <w:tblStylePr w:type="firstRow">
      <w:rPr>
        <w:b/>
        <w:bCs/>
      </w:rPr>
      <w:tblPr/>
      <w:tcPr>
        <w:tcBorders>
          <w:top w:val="nil"/>
          <w:bottom w:val="single" w:sz="12" w:space="0" w:color="2BFFF9"/>
          <w:insideH w:val="nil"/>
          <w:insideV w:val="nil"/>
        </w:tcBorders>
        <w:shd w:val="clear" w:color="auto" w:fill="FFFFFF"/>
      </w:tcPr>
    </w:tblStylePr>
    <w:tblStylePr w:type="lastRow">
      <w:rPr>
        <w:b/>
        <w:bCs/>
      </w:rPr>
      <w:tblPr/>
      <w:tcPr>
        <w:tcBorders>
          <w:top w:val="double" w:sz="2" w:space="0" w:color="2BFFF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GridTable2-Accent31">
    <w:name w:val="Grid Table 2 - Accent 3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79B8E3"/>
        <w:bottom w:val="single" w:sz="2" w:space="0" w:color="79B8E3"/>
        <w:insideH w:val="single" w:sz="2" w:space="0" w:color="79B8E3"/>
        <w:insideV w:val="single" w:sz="2" w:space="0" w:color="79B8E3"/>
      </w:tblBorders>
    </w:tblPr>
    <w:tblStylePr w:type="firstRow">
      <w:rPr>
        <w:b/>
        <w:bCs/>
      </w:rPr>
      <w:tblPr/>
      <w:tcPr>
        <w:tcBorders>
          <w:top w:val="nil"/>
          <w:bottom w:val="single" w:sz="12" w:space="0" w:color="79B8E3"/>
          <w:insideH w:val="nil"/>
          <w:insideV w:val="nil"/>
        </w:tcBorders>
        <w:shd w:val="clear" w:color="auto" w:fill="FFFFFF"/>
      </w:tcPr>
    </w:tblStylePr>
    <w:tblStylePr w:type="lastRow">
      <w:rPr>
        <w:b/>
        <w:bCs/>
      </w:rPr>
      <w:tblPr/>
      <w:tcPr>
        <w:tcBorders>
          <w:top w:val="double" w:sz="2" w:space="0" w:color="79B8E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GridTable2-Accent41">
    <w:name w:val="Grid Table 2 - Accent 4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67ADD8"/>
        <w:bottom w:val="single" w:sz="2" w:space="0" w:color="67ADD8"/>
        <w:insideH w:val="single" w:sz="2" w:space="0" w:color="67ADD8"/>
        <w:insideV w:val="single" w:sz="2" w:space="0" w:color="67ADD8"/>
      </w:tblBorders>
    </w:tblPr>
    <w:tblStylePr w:type="firstRow">
      <w:rPr>
        <w:b/>
        <w:bCs/>
      </w:rPr>
      <w:tblPr/>
      <w:tcPr>
        <w:tcBorders>
          <w:top w:val="nil"/>
          <w:bottom w:val="single" w:sz="12" w:space="0" w:color="67ADD8"/>
          <w:insideH w:val="nil"/>
          <w:insideV w:val="nil"/>
        </w:tcBorders>
        <w:shd w:val="clear" w:color="auto" w:fill="FFFFFF"/>
      </w:tcPr>
    </w:tblStylePr>
    <w:tblStylePr w:type="lastRow">
      <w:rPr>
        <w:b/>
        <w:bCs/>
      </w:rPr>
      <w:tblPr/>
      <w:tcPr>
        <w:tcBorders>
          <w:top w:val="double" w:sz="2" w:space="0" w:color="67ADD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GridTable2-Accent51">
    <w:name w:val="Grid Table 2 - Accent 5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88D69B"/>
        <w:bottom w:val="single" w:sz="2" w:space="0" w:color="88D69B"/>
        <w:insideH w:val="single" w:sz="2" w:space="0" w:color="88D69B"/>
        <w:insideV w:val="single" w:sz="2" w:space="0" w:color="88D69B"/>
      </w:tblBorders>
    </w:tblPr>
    <w:tblStylePr w:type="firstRow">
      <w:rPr>
        <w:b/>
        <w:bCs/>
      </w:rPr>
      <w:tblPr/>
      <w:tcPr>
        <w:tcBorders>
          <w:top w:val="nil"/>
          <w:bottom w:val="single" w:sz="12" w:space="0" w:color="88D69B"/>
          <w:insideH w:val="nil"/>
          <w:insideV w:val="nil"/>
        </w:tcBorders>
        <w:shd w:val="clear" w:color="auto" w:fill="FFFFFF"/>
      </w:tcPr>
    </w:tblStylePr>
    <w:tblStylePr w:type="lastRow">
      <w:rPr>
        <w:b/>
        <w:bCs/>
      </w:rPr>
      <w:tblPr/>
      <w:tcPr>
        <w:tcBorders>
          <w:top w:val="double" w:sz="2" w:space="0" w:color="88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GridTable2-Accent61">
    <w:name w:val="Grid Table 2 - Accent 6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2" w:space="0" w:color="BB76CE"/>
        <w:bottom w:val="single" w:sz="2" w:space="0" w:color="BB76CE"/>
        <w:insideH w:val="single" w:sz="2" w:space="0" w:color="BB76CE"/>
        <w:insideV w:val="single" w:sz="2" w:space="0" w:color="BB76CE"/>
      </w:tblBorders>
    </w:tblPr>
    <w:tblStylePr w:type="firstRow">
      <w:rPr>
        <w:b/>
        <w:bCs/>
      </w:rPr>
      <w:tblPr/>
      <w:tcPr>
        <w:tcBorders>
          <w:top w:val="nil"/>
          <w:bottom w:val="single" w:sz="12" w:space="0" w:color="BB76CE"/>
          <w:insideH w:val="nil"/>
          <w:insideV w:val="nil"/>
        </w:tcBorders>
        <w:shd w:val="clear" w:color="auto" w:fill="FFFFFF"/>
      </w:tcPr>
    </w:tblStylePr>
    <w:tblStylePr w:type="lastRow">
      <w:rPr>
        <w:b/>
        <w:bCs/>
      </w:rPr>
      <w:tblPr/>
      <w:tcPr>
        <w:tcBorders>
          <w:top w:val="double" w:sz="2" w:space="0" w:color="BB76C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GridTable31">
    <w:name w:val="Grid Table 3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3E1E2"/>
        <w:left w:val="single" w:sz="4" w:space="0" w:color="73E1E2"/>
        <w:bottom w:val="single" w:sz="4" w:space="0" w:color="73E1E2"/>
        <w:right w:val="single" w:sz="4" w:space="0" w:color="73E1E2"/>
        <w:insideH w:val="single" w:sz="4" w:space="0" w:color="73E1E2"/>
        <w:insideV w:val="single" w:sz="4" w:space="0" w:color="73E1E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0F5F5"/>
      </w:tcPr>
    </w:tblStylePr>
    <w:tblStylePr w:type="band1Horz">
      <w:tblPr/>
      <w:tcPr>
        <w:shd w:val="clear" w:color="auto" w:fill="D0F5F5"/>
      </w:tcPr>
    </w:tblStylePr>
    <w:tblStylePr w:type="neCell">
      <w:tblPr/>
      <w:tcPr>
        <w:tcBorders>
          <w:bottom w:val="single" w:sz="4" w:space="0" w:color="73E1E2"/>
        </w:tcBorders>
      </w:tcPr>
    </w:tblStylePr>
    <w:tblStylePr w:type="nwCell">
      <w:tblPr/>
      <w:tcPr>
        <w:tcBorders>
          <w:bottom w:val="single" w:sz="4" w:space="0" w:color="73E1E2"/>
        </w:tcBorders>
      </w:tcPr>
    </w:tblStylePr>
    <w:tblStylePr w:type="seCell">
      <w:tblPr/>
      <w:tcPr>
        <w:tcBorders>
          <w:top w:val="single" w:sz="4" w:space="0" w:color="73E1E2"/>
        </w:tcBorders>
      </w:tcPr>
    </w:tblStylePr>
    <w:tblStylePr w:type="swCell">
      <w:tblPr/>
      <w:tcPr>
        <w:tcBorders>
          <w:top w:val="single" w:sz="4" w:space="0" w:color="73E1E2"/>
        </w:tcBorders>
      </w:tcPr>
    </w:tblStylePr>
  </w:style>
  <w:style w:type="table" w:customStyle="1" w:styleId="GridTable3-Accent21">
    <w:name w:val="Grid Table 3 - Accent 2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BFFF9"/>
        <w:left w:val="single" w:sz="4" w:space="0" w:color="2BFFF9"/>
        <w:bottom w:val="single" w:sz="4" w:space="0" w:color="2BFFF9"/>
        <w:right w:val="single" w:sz="4" w:space="0" w:color="2BFFF9"/>
        <w:insideH w:val="single" w:sz="4" w:space="0" w:color="2BFFF9"/>
        <w:insideV w:val="single" w:sz="4" w:space="0" w:color="2BFFF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8FFFD"/>
      </w:tcPr>
    </w:tblStylePr>
    <w:tblStylePr w:type="band1Horz">
      <w:tblPr/>
      <w:tcPr>
        <w:shd w:val="clear" w:color="auto" w:fill="B8FFFD"/>
      </w:tcPr>
    </w:tblStylePr>
    <w:tblStylePr w:type="neCell">
      <w:tblPr/>
      <w:tcPr>
        <w:tcBorders>
          <w:bottom w:val="single" w:sz="4" w:space="0" w:color="2BFFF9"/>
        </w:tcBorders>
      </w:tcPr>
    </w:tblStylePr>
    <w:tblStylePr w:type="nwCell">
      <w:tblPr/>
      <w:tcPr>
        <w:tcBorders>
          <w:bottom w:val="single" w:sz="4" w:space="0" w:color="2BFFF9"/>
        </w:tcBorders>
      </w:tcPr>
    </w:tblStylePr>
    <w:tblStylePr w:type="seCell">
      <w:tblPr/>
      <w:tcPr>
        <w:tcBorders>
          <w:top w:val="single" w:sz="4" w:space="0" w:color="2BFFF9"/>
        </w:tcBorders>
      </w:tcPr>
    </w:tblStylePr>
    <w:tblStylePr w:type="swCell">
      <w:tblPr/>
      <w:tcPr>
        <w:tcBorders>
          <w:top w:val="single" w:sz="4" w:space="0" w:color="2BFFF9"/>
        </w:tcBorders>
      </w:tcPr>
    </w:tblStylePr>
  </w:style>
  <w:style w:type="table" w:customStyle="1" w:styleId="GridTable3-Accent31">
    <w:name w:val="Grid Table 3 - Accent 3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9B8E3"/>
        <w:left w:val="single" w:sz="4" w:space="0" w:color="79B8E3"/>
        <w:bottom w:val="single" w:sz="4" w:space="0" w:color="79B8E3"/>
        <w:right w:val="single" w:sz="4" w:space="0" w:color="79B8E3"/>
        <w:insideH w:val="single" w:sz="4" w:space="0" w:color="79B8E3"/>
        <w:insideV w:val="single" w:sz="4" w:space="0" w:color="79B8E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2E7F6"/>
      </w:tcPr>
    </w:tblStylePr>
    <w:tblStylePr w:type="band1Horz">
      <w:tblPr/>
      <w:tcPr>
        <w:shd w:val="clear" w:color="auto" w:fill="D2E7F6"/>
      </w:tcPr>
    </w:tblStylePr>
    <w:tblStylePr w:type="neCell">
      <w:tblPr/>
      <w:tcPr>
        <w:tcBorders>
          <w:bottom w:val="single" w:sz="4" w:space="0" w:color="79B8E3"/>
        </w:tcBorders>
      </w:tcPr>
    </w:tblStylePr>
    <w:tblStylePr w:type="nwCell">
      <w:tblPr/>
      <w:tcPr>
        <w:tcBorders>
          <w:bottom w:val="single" w:sz="4" w:space="0" w:color="79B8E3"/>
        </w:tcBorders>
      </w:tcPr>
    </w:tblStylePr>
    <w:tblStylePr w:type="seCell">
      <w:tblPr/>
      <w:tcPr>
        <w:tcBorders>
          <w:top w:val="single" w:sz="4" w:space="0" w:color="79B8E3"/>
        </w:tcBorders>
      </w:tcPr>
    </w:tblStylePr>
    <w:tblStylePr w:type="swCell">
      <w:tblPr/>
      <w:tcPr>
        <w:tcBorders>
          <w:top w:val="single" w:sz="4" w:space="0" w:color="79B8E3"/>
        </w:tcBorders>
      </w:tcPr>
    </w:tblStylePr>
  </w:style>
  <w:style w:type="table" w:customStyle="1" w:styleId="GridTable3-Accent41">
    <w:name w:val="Grid Table 3 - Accent 4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7ADD8"/>
        <w:left w:val="single" w:sz="4" w:space="0" w:color="67ADD8"/>
        <w:bottom w:val="single" w:sz="4" w:space="0" w:color="67ADD8"/>
        <w:right w:val="single" w:sz="4" w:space="0" w:color="67ADD8"/>
        <w:insideH w:val="single" w:sz="4" w:space="0" w:color="67ADD8"/>
        <w:insideV w:val="single" w:sz="4" w:space="0" w:color="67ADD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E3F2"/>
      </w:tcPr>
    </w:tblStylePr>
    <w:tblStylePr w:type="band1Horz">
      <w:tblPr/>
      <w:tcPr>
        <w:shd w:val="clear" w:color="auto" w:fill="CCE3F2"/>
      </w:tcPr>
    </w:tblStylePr>
    <w:tblStylePr w:type="neCell">
      <w:tblPr/>
      <w:tcPr>
        <w:tcBorders>
          <w:bottom w:val="single" w:sz="4" w:space="0" w:color="67ADD8"/>
        </w:tcBorders>
      </w:tcPr>
    </w:tblStylePr>
    <w:tblStylePr w:type="nwCell">
      <w:tblPr/>
      <w:tcPr>
        <w:tcBorders>
          <w:bottom w:val="single" w:sz="4" w:space="0" w:color="67ADD8"/>
        </w:tcBorders>
      </w:tcPr>
    </w:tblStylePr>
    <w:tblStylePr w:type="seCell">
      <w:tblPr/>
      <w:tcPr>
        <w:tcBorders>
          <w:top w:val="single" w:sz="4" w:space="0" w:color="67ADD8"/>
        </w:tcBorders>
      </w:tcPr>
    </w:tblStylePr>
    <w:tblStylePr w:type="swCell">
      <w:tblPr/>
      <w:tcPr>
        <w:tcBorders>
          <w:top w:val="single" w:sz="4" w:space="0" w:color="67ADD8"/>
        </w:tcBorders>
      </w:tcPr>
    </w:tblStylePr>
  </w:style>
  <w:style w:type="table" w:customStyle="1" w:styleId="GridTable3-Accent51">
    <w:name w:val="Grid Table 3 - Accent 5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88D69B"/>
        <w:left w:val="single" w:sz="4" w:space="0" w:color="88D69B"/>
        <w:bottom w:val="single" w:sz="4" w:space="0" w:color="88D69B"/>
        <w:right w:val="single" w:sz="4" w:space="0" w:color="88D69B"/>
        <w:insideH w:val="single" w:sz="4" w:space="0" w:color="88D69B"/>
        <w:insideV w:val="single" w:sz="4" w:space="0" w:color="88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7F1DD"/>
      </w:tcPr>
    </w:tblStylePr>
    <w:tblStylePr w:type="band1Horz">
      <w:tblPr/>
      <w:tcPr>
        <w:shd w:val="clear" w:color="auto" w:fill="D7F1DD"/>
      </w:tcPr>
    </w:tblStylePr>
    <w:tblStylePr w:type="neCell">
      <w:tblPr/>
      <w:tcPr>
        <w:tcBorders>
          <w:bottom w:val="single" w:sz="4" w:space="0" w:color="88D69B"/>
        </w:tcBorders>
      </w:tcPr>
    </w:tblStylePr>
    <w:tblStylePr w:type="nwCell">
      <w:tblPr/>
      <w:tcPr>
        <w:tcBorders>
          <w:bottom w:val="single" w:sz="4" w:space="0" w:color="88D69B"/>
        </w:tcBorders>
      </w:tcPr>
    </w:tblStylePr>
    <w:tblStylePr w:type="seCell">
      <w:tblPr/>
      <w:tcPr>
        <w:tcBorders>
          <w:top w:val="single" w:sz="4" w:space="0" w:color="88D69B"/>
        </w:tcBorders>
      </w:tcPr>
    </w:tblStylePr>
    <w:tblStylePr w:type="swCell">
      <w:tblPr/>
      <w:tcPr>
        <w:tcBorders>
          <w:top w:val="single" w:sz="4" w:space="0" w:color="88D69B"/>
        </w:tcBorders>
      </w:tcPr>
    </w:tblStylePr>
  </w:style>
  <w:style w:type="table" w:customStyle="1" w:styleId="GridTable3-Accent61">
    <w:name w:val="Grid Table 3 - Accent 6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BB76CE"/>
        <w:left w:val="single" w:sz="4" w:space="0" w:color="BB76CE"/>
        <w:bottom w:val="single" w:sz="4" w:space="0" w:color="BB76CE"/>
        <w:right w:val="single" w:sz="4" w:space="0" w:color="BB76CE"/>
        <w:insideH w:val="single" w:sz="4" w:space="0" w:color="BB76CE"/>
        <w:insideV w:val="single" w:sz="4" w:space="0" w:color="BB76C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D1EE"/>
      </w:tcPr>
    </w:tblStylePr>
    <w:tblStylePr w:type="band1Horz">
      <w:tblPr/>
      <w:tcPr>
        <w:shd w:val="clear" w:color="auto" w:fill="E8D1EE"/>
      </w:tcPr>
    </w:tblStylePr>
    <w:tblStylePr w:type="neCell">
      <w:tblPr/>
      <w:tcPr>
        <w:tcBorders>
          <w:bottom w:val="single" w:sz="4" w:space="0" w:color="BB76CE"/>
        </w:tcBorders>
      </w:tcPr>
    </w:tblStylePr>
    <w:tblStylePr w:type="nwCell">
      <w:tblPr/>
      <w:tcPr>
        <w:tcBorders>
          <w:bottom w:val="single" w:sz="4" w:space="0" w:color="BB76CE"/>
        </w:tcBorders>
      </w:tcPr>
    </w:tblStylePr>
    <w:tblStylePr w:type="seCell">
      <w:tblPr/>
      <w:tcPr>
        <w:tcBorders>
          <w:top w:val="single" w:sz="4" w:space="0" w:color="BB76CE"/>
        </w:tcBorders>
      </w:tcPr>
    </w:tblStylePr>
    <w:tblStylePr w:type="swCell">
      <w:tblPr/>
      <w:tcPr>
        <w:tcBorders>
          <w:top w:val="single" w:sz="4" w:space="0" w:color="BB76CE"/>
        </w:tcBorders>
      </w:tcPr>
    </w:tblStylePr>
  </w:style>
  <w:style w:type="table" w:customStyle="1" w:styleId="GridTable41">
    <w:name w:val="Grid Table 4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3E1E2"/>
        <w:left w:val="single" w:sz="4" w:space="0" w:color="73E1E2"/>
        <w:bottom w:val="single" w:sz="4" w:space="0" w:color="73E1E2"/>
        <w:right w:val="single" w:sz="4" w:space="0" w:color="73E1E2"/>
        <w:insideH w:val="single" w:sz="4" w:space="0" w:color="73E1E2"/>
        <w:insideV w:val="single" w:sz="4" w:space="0" w:color="73E1E2"/>
      </w:tblBorders>
    </w:tblPr>
    <w:tblStylePr w:type="firstRow">
      <w:rPr>
        <w:b/>
        <w:bCs/>
        <w:color w:val="FFFFFF"/>
      </w:rPr>
      <w:tblPr/>
      <w:tcPr>
        <w:tcBorders>
          <w:top w:val="single" w:sz="4" w:space="0" w:color="27BDBE"/>
          <w:left w:val="single" w:sz="4" w:space="0" w:color="27BDBE"/>
          <w:bottom w:val="single" w:sz="4" w:space="0" w:color="27BDBE"/>
          <w:right w:val="single" w:sz="4" w:space="0" w:color="27BDBE"/>
          <w:insideH w:val="nil"/>
          <w:insideV w:val="nil"/>
        </w:tcBorders>
        <w:shd w:val="clear" w:color="auto" w:fill="27BDBE"/>
      </w:tcPr>
    </w:tblStylePr>
    <w:tblStylePr w:type="lastRow">
      <w:rPr>
        <w:b/>
        <w:bCs/>
      </w:rPr>
      <w:tblPr/>
      <w:tcPr>
        <w:tcBorders>
          <w:top w:val="double" w:sz="4" w:space="0" w:color="27BDBE"/>
        </w:tcBorders>
      </w:tc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GridTable4-Accent21">
    <w:name w:val="Grid Table 4 - Accent 2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BFFF9"/>
        <w:left w:val="single" w:sz="4" w:space="0" w:color="2BFFF9"/>
        <w:bottom w:val="single" w:sz="4" w:space="0" w:color="2BFFF9"/>
        <w:right w:val="single" w:sz="4" w:space="0" w:color="2BFFF9"/>
        <w:insideH w:val="single" w:sz="4" w:space="0" w:color="2BFFF9"/>
        <w:insideV w:val="single" w:sz="4" w:space="0" w:color="2BFFF9"/>
      </w:tblBorders>
    </w:tblPr>
    <w:tblStylePr w:type="firstRow">
      <w:rPr>
        <w:b/>
        <w:bCs/>
        <w:color w:val="FFFFFF"/>
      </w:rPr>
      <w:tblPr/>
      <w:tcPr>
        <w:tcBorders>
          <w:top w:val="single" w:sz="4" w:space="0" w:color="009E9A"/>
          <w:left w:val="single" w:sz="4" w:space="0" w:color="009E9A"/>
          <w:bottom w:val="single" w:sz="4" w:space="0" w:color="009E9A"/>
          <w:right w:val="single" w:sz="4" w:space="0" w:color="009E9A"/>
          <w:insideH w:val="nil"/>
          <w:insideV w:val="nil"/>
        </w:tcBorders>
        <w:shd w:val="clear" w:color="auto" w:fill="009E9A"/>
      </w:tcPr>
    </w:tblStylePr>
    <w:tblStylePr w:type="lastRow">
      <w:rPr>
        <w:b/>
        <w:bCs/>
      </w:rPr>
      <w:tblPr/>
      <w:tcPr>
        <w:tcBorders>
          <w:top w:val="double" w:sz="4" w:space="0" w:color="009E9A"/>
        </w:tcBorders>
      </w:tc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GridTable4-Accent31">
    <w:name w:val="Grid Table 4 - Accent 3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9B8E3"/>
        <w:left w:val="single" w:sz="4" w:space="0" w:color="79B8E3"/>
        <w:bottom w:val="single" w:sz="4" w:space="0" w:color="79B8E3"/>
        <w:right w:val="single" w:sz="4" w:space="0" w:color="79B8E3"/>
        <w:insideH w:val="single" w:sz="4" w:space="0" w:color="79B8E3"/>
        <w:insideV w:val="single" w:sz="4" w:space="0" w:color="79B8E3"/>
      </w:tblBorders>
    </w:tblPr>
    <w:tblStylePr w:type="firstRow">
      <w:rPr>
        <w:b/>
        <w:bCs/>
        <w:color w:val="FFFFFF"/>
      </w:rPr>
      <w:tblPr/>
      <w:tcPr>
        <w:tcBorders>
          <w:top w:val="single" w:sz="4" w:space="0" w:color="2988C9"/>
          <w:left w:val="single" w:sz="4" w:space="0" w:color="2988C9"/>
          <w:bottom w:val="single" w:sz="4" w:space="0" w:color="2988C9"/>
          <w:right w:val="single" w:sz="4" w:space="0" w:color="2988C9"/>
          <w:insideH w:val="nil"/>
          <w:insideV w:val="nil"/>
        </w:tcBorders>
        <w:shd w:val="clear" w:color="auto" w:fill="2988C9"/>
      </w:tcPr>
    </w:tblStylePr>
    <w:tblStylePr w:type="lastRow">
      <w:rPr>
        <w:b/>
        <w:bCs/>
      </w:rPr>
      <w:tblPr/>
      <w:tcPr>
        <w:tcBorders>
          <w:top w:val="double" w:sz="4" w:space="0" w:color="2988C9"/>
        </w:tcBorders>
      </w:tc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GridTable4-Accent41">
    <w:name w:val="Grid Table 4 - Accent 4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7ADD8"/>
        <w:left w:val="single" w:sz="4" w:space="0" w:color="67ADD8"/>
        <w:bottom w:val="single" w:sz="4" w:space="0" w:color="67ADD8"/>
        <w:right w:val="single" w:sz="4" w:space="0" w:color="67ADD8"/>
        <w:insideH w:val="single" w:sz="4" w:space="0" w:color="67ADD8"/>
        <w:insideV w:val="single" w:sz="4" w:space="0" w:color="67ADD8"/>
      </w:tblBorders>
    </w:tblPr>
    <w:tblStylePr w:type="firstRow">
      <w:rPr>
        <w:b/>
        <w:bCs/>
        <w:color w:val="FFFFFF"/>
      </w:rPr>
      <w:tblPr/>
      <w:tcPr>
        <w:tcBorders>
          <w:top w:val="single" w:sz="4" w:space="0" w:color="276F9A"/>
          <w:left w:val="single" w:sz="4" w:space="0" w:color="276F9A"/>
          <w:bottom w:val="single" w:sz="4" w:space="0" w:color="276F9A"/>
          <w:right w:val="single" w:sz="4" w:space="0" w:color="276F9A"/>
          <w:insideH w:val="nil"/>
          <w:insideV w:val="nil"/>
        </w:tcBorders>
        <w:shd w:val="clear" w:color="auto" w:fill="276F9A"/>
      </w:tcPr>
    </w:tblStylePr>
    <w:tblStylePr w:type="lastRow">
      <w:rPr>
        <w:b/>
        <w:bCs/>
      </w:rPr>
      <w:tblPr/>
      <w:tcPr>
        <w:tcBorders>
          <w:top w:val="double" w:sz="4" w:space="0" w:color="276F9A"/>
        </w:tcBorders>
      </w:tc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GridTable4-Accent51">
    <w:name w:val="Grid Table 4 - Accent 5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88D69B"/>
        <w:left w:val="single" w:sz="4" w:space="0" w:color="88D69B"/>
        <w:bottom w:val="single" w:sz="4" w:space="0" w:color="88D69B"/>
        <w:right w:val="single" w:sz="4" w:space="0" w:color="88D69B"/>
        <w:insideH w:val="single" w:sz="4" w:space="0" w:color="88D69B"/>
        <w:insideV w:val="single" w:sz="4" w:space="0" w:color="88D69B"/>
      </w:tblBorders>
    </w:tblPr>
    <w:tblStylePr w:type="firstRow">
      <w:rPr>
        <w:b/>
        <w:bCs/>
        <w:color w:val="FFFFFF"/>
      </w:rPr>
      <w:tblPr/>
      <w:tcPr>
        <w:tcBorders>
          <w:top w:val="single" w:sz="4" w:space="0" w:color="3FB65B"/>
          <w:left w:val="single" w:sz="4" w:space="0" w:color="3FB65B"/>
          <w:bottom w:val="single" w:sz="4" w:space="0" w:color="3FB65B"/>
          <w:right w:val="single" w:sz="4" w:space="0" w:color="3FB65B"/>
          <w:insideH w:val="nil"/>
          <w:insideV w:val="nil"/>
        </w:tcBorders>
        <w:shd w:val="clear" w:color="auto" w:fill="3FB65B"/>
      </w:tcPr>
    </w:tblStylePr>
    <w:tblStylePr w:type="lastRow">
      <w:rPr>
        <w:b/>
        <w:bCs/>
      </w:rPr>
      <w:tblPr/>
      <w:tcPr>
        <w:tcBorders>
          <w:top w:val="double" w:sz="4" w:space="0" w:color="3FB65B"/>
        </w:tcBorders>
      </w:tc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GridTable4-Accent61">
    <w:name w:val="Grid Table 4 - Accent 6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BB76CE"/>
        <w:left w:val="single" w:sz="4" w:space="0" w:color="BB76CE"/>
        <w:bottom w:val="single" w:sz="4" w:space="0" w:color="BB76CE"/>
        <w:right w:val="single" w:sz="4" w:space="0" w:color="BB76CE"/>
        <w:insideH w:val="single" w:sz="4" w:space="0" w:color="BB76CE"/>
        <w:insideV w:val="single" w:sz="4" w:space="0" w:color="BB76CE"/>
      </w:tblBorders>
    </w:tblPr>
    <w:tblStylePr w:type="firstRow">
      <w:rPr>
        <w:b/>
        <w:bCs/>
        <w:color w:val="FFFFFF"/>
      </w:rPr>
      <w:tblPr/>
      <w:tcPr>
        <w:tcBorders>
          <w:top w:val="single" w:sz="4" w:space="0" w:color="803594"/>
          <w:left w:val="single" w:sz="4" w:space="0" w:color="803594"/>
          <w:bottom w:val="single" w:sz="4" w:space="0" w:color="803594"/>
          <w:right w:val="single" w:sz="4" w:space="0" w:color="803594"/>
          <w:insideH w:val="nil"/>
          <w:insideV w:val="nil"/>
        </w:tcBorders>
        <w:shd w:val="clear" w:color="auto" w:fill="803594"/>
      </w:tcPr>
    </w:tblStylePr>
    <w:tblStylePr w:type="lastRow">
      <w:rPr>
        <w:b/>
        <w:bCs/>
      </w:rPr>
      <w:tblPr/>
      <w:tcPr>
        <w:tcBorders>
          <w:top w:val="double" w:sz="4" w:space="0" w:color="803594"/>
        </w:tcBorders>
      </w:tc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GridTable5Dark1">
    <w:name w:val="Grid Table 5 Dark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0F5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7BDB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7BDB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7BDB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7BDBE"/>
      </w:tcPr>
    </w:tblStylePr>
    <w:tblStylePr w:type="band1Vert">
      <w:tblPr/>
      <w:tcPr>
        <w:shd w:val="clear" w:color="auto" w:fill="A1EBEB"/>
      </w:tcPr>
    </w:tblStylePr>
    <w:tblStylePr w:type="band1Horz">
      <w:tblPr/>
      <w:tcPr>
        <w:shd w:val="clear" w:color="auto" w:fill="A1EBEB"/>
      </w:tcPr>
    </w:tblStylePr>
  </w:style>
  <w:style w:type="table" w:customStyle="1" w:styleId="GridTable5Dark-Accent21">
    <w:name w:val="Grid Table 5 Dark - Accent 2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8FFF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E9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E9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E9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9E9A"/>
      </w:tcPr>
    </w:tblStylePr>
    <w:tblStylePr w:type="band1Vert">
      <w:tblPr/>
      <w:tcPr>
        <w:shd w:val="clear" w:color="auto" w:fill="72FFFB"/>
      </w:tcPr>
    </w:tblStylePr>
    <w:tblStylePr w:type="band1Horz">
      <w:tblPr/>
      <w:tcPr>
        <w:shd w:val="clear" w:color="auto" w:fill="72FFFB"/>
      </w:tcPr>
    </w:tblStylePr>
  </w:style>
  <w:style w:type="table" w:customStyle="1" w:styleId="GridTable5Dark-Accent31">
    <w:name w:val="Grid Table 5 Dark - Accent 3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2E7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988C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988C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988C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988C9"/>
      </w:tcPr>
    </w:tblStylePr>
    <w:tblStylePr w:type="band1Vert">
      <w:tblPr/>
      <w:tcPr>
        <w:shd w:val="clear" w:color="auto" w:fill="A5CFEC"/>
      </w:tcPr>
    </w:tblStylePr>
    <w:tblStylePr w:type="band1Horz">
      <w:tblPr/>
      <w:tcPr>
        <w:shd w:val="clear" w:color="auto" w:fill="A5CFEC"/>
      </w:tcPr>
    </w:tblStylePr>
  </w:style>
  <w:style w:type="table" w:customStyle="1" w:styleId="GridTable5Dark-Accent41">
    <w:name w:val="Grid Table 5 Dark - Accent 4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E3F2"/>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76F9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76F9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76F9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76F9A"/>
      </w:tcPr>
    </w:tblStylePr>
    <w:tblStylePr w:type="band1Vert">
      <w:tblPr/>
      <w:tcPr>
        <w:shd w:val="clear" w:color="auto" w:fill="99C8E5"/>
      </w:tcPr>
    </w:tblStylePr>
    <w:tblStylePr w:type="band1Horz">
      <w:tblPr/>
      <w:tcPr>
        <w:shd w:val="clear" w:color="auto" w:fill="99C8E5"/>
      </w:tcPr>
    </w:tblStylePr>
  </w:style>
  <w:style w:type="table" w:customStyle="1" w:styleId="GridTable5Dark-Accent51">
    <w:name w:val="Grid Table 5 Dark - Accent 5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3FB65B"/>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3FB65B"/>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3FB65B"/>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3FB65B"/>
      </w:tcPr>
    </w:tblStylePr>
    <w:tblStylePr w:type="band1Vert">
      <w:tblPr/>
      <w:tcPr>
        <w:shd w:val="clear" w:color="auto" w:fill="B0E3BC"/>
      </w:tcPr>
    </w:tblStylePr>
    <w:tblStylePr w:type="band1Horz">
      <w:tblPr/>
      <w:tcPr>
        <w:shd w:val="clear" w:color="auto" w:fill="B0E3BC"/>
      </w:tcPr>
    </w:tblStylePr>
  </w:style>
  <w:style w:type="table" w:customStyle="1" w:styleId="GridTable5Dark-Accent61">
    <w:name w:val="Grid Table 5 Dark - Accent 61"/>
    <w:basedOn w:val="TableNormal"/>
    <w:uiPriority w:val="50"/>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8D1EE"/>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359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359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359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3594"/>
      </w:tcPr>
    </w:tblStylePr>
    <w:tblStylePr w:type="band1Vert">
      <w:tblPr/>
      <w:tcPr>
        <w:shd w:val="clear" w:color="auto" w:fill="D2A3DE"/>
      </w:tcPr>
    </w:tblStylePr>
    <w:tblStylePr w:type="band1Horz">
      <w:tblPr/>
      <w:tcPr>
        <w:shd w:val="clear" w:color="auto" w:fill="D2A3DE"/>
      </w:tcPr>
    </w:tblStylePr>
  </w:style>
  <w:style w:type="table" w:customStyle="1" w:styleId="GridTable6Colorful1">
    <w:name w:val="Grid Table 6 Colorful1"/>
    <w:basedOn w:val="TableNormal"/>
    <w:uiPriority w:val="51"/>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uiPriority w:val="51"/>
    <w:rsid w:val="005D784C"/>
    <w:pPr>
      <w:spacing w:after="0" w:line="240" w:lineRule="auto"/>
    </w:pPr>
    <w:rPr>
      <w:rFonts w:ascii="Arial" w:eastAsia="Times New Roman" w:hAnsi="Arial" w:cs="Times New Roman"/>
      <w:color w:val="1D8D8E"/>
      <w:sz w:val="20"/>
      <w:szCs w:val="20"/>
      <w:lang w:val="sq-AL" w:eastAsia="sq-AL"/>
    </w:rPr>
    <w:tblPr>
      <w:tblStyleRowBandSize w:val="1"/>
      <w:tblStyleColBandSize w:val="1"/>
      <w:tblBorders>
        <w:top w:val="single" w:sz="4" w:space="0" w:color="73E1E2"/>
        <w:left w:val="single" w:sz="4" w:space="0" w:color="73E1E2"/>
        <w:bottom w:val="single" w:sz="4" w:space="0" w:color="73E1E2"/>
        <w:right w:val="single" w:sz="4" w:space="0" w:color="73E1E2"/>
        <w:insideH w:val="single" w:sz="4" w:space="0" w:color="73E1E2"/>
        <w:insideV w:val="single" w:sz="4" w:space="0" w:color="73E1E2"/>
      </w:tblBorders>
    </w:tblPr>
    <w:tblStylePr w:type="firstRow">
      <w:rPr>
        <w:b/>
        <w:bCs/>
      </w:rPr>
      <w:tblPr/>
      <w:tcPr>
        <w:tcBorders>
          <w:bottom w:val="single" w:sz="12" w:space="0" w:color="73E1E2"/>
        </w:tcBorders>
      </w:tcPr>
    </w:tblStylePr>
    <w:tblStylePr w:type="lastRow">
      <w:rPr>
        <w:b/>
        <w:bCs/>
      </w:rPr>
      <w:tblPr/>
      <w:tcPr>
        <w:tcBorders>
          <w:top w:val="double" w:sz="4" w:space="0" w:color="73E1E2"/>
        </w:tcBorders>
      </w:tc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GridTable6Colorful-Accent21">
    <w:name w:val="Grid Table 6 Colorful - Accent 21"/>
    <w:basedOn w:val="TableNormal"/>
    <w:uiPriority w:val="51"/>
    <w:rsid w:val="005D784C"/>
    <w:pPr>
      <w:spacing w:after="0" w:line="240" w:lineRule="auto"/>
    </w:pPr>
    <w:rPr>
      <w:rFonts w:ascii="Arial" w:eastAsia="Times New Roman" w:hAnsi="Arial" w:cs="Times New Roman"/>
      <w:color w:val="007673"/>
      <w:sz w:val="20"/>
      <w:szCs w:val="20"/>
      <w:lang w:val="sq-AL" w:eastAsia="sq-AL"/>
    </w:rPr>
    <w:tblPr>
      <w:tblStyleRowBandSize w:val="1"/>
      <w:tblStyleColBandSize w:val="1"/>
      <w:tblBorders>
        <w:top w:val="single" w:sz="4" w:space="0" w:color="2BFFF9"/>
        <w:left w:val="single" w:sz="4" w:space="0" w:color="2BFFF9"/>
        <w:bottom w:val="single" w:sz="4" w:space="0" w:color="2BFFF9"/>
        <w:right w:val="single" w:sz="4" w:space="0" w:color="2BFFF9"/>
        <w:insideH w:val="single" w:sz="4" w:space="0" w:color="2BFFF9"/>
        <w:insideV w:val="single" w:sz="4" w:space="0" w:color="2BFFF9"/>
      </w:tblBorders>
    </w:tblPr>
    <w:tblStylePr w:type="firstRow">
      <w:rPr>
        <w:b/>
        <w:bCs/>
      </w:rPr>
      <w:tblPr/>
      <w:tcPr>
        <w:tcBorders>
          <w:bottom w:val="single" w:sz="12" w:space="0" w:color="2BFFF9"/>
        </w:tcBorders>
      </w:tcPr>
    </w:tblStylePr>
    <w:tblStylePr w:type="lastRow">
      <w:rPr>
        <w:b/>
        <w:bCs/>
      </w:rPr>
      <w:tblPr/>
      <w:tcPr>
        <w:tcBorders>
          <w:top w:val="double" w:sz="4" w:space="0" w:color="2BFFF9"/>
        </w:tcBorders>
      </w:tc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GridTable6Colorful-Accent31">
    <w:name w:val="Grid Table 6 Colorful - Accent 31"/>
    <w:basedOn w:val="TableNormal"/>
    <w:uiPriority w:val="51"/>
    <w:rsid w:val="005D784C"/>
    <w:pPr>
      <w:spacing w:after="0" w:line="240" w:lineRule="auto"/>
    </w:pPr>
    <w:rPr>
      <w:rFonts w:ascii="Arial" w:eastAsia="Times New Roman" w:hAnsi="Arial" w:cs="Times New Roman"/>
      <w:color w:val="1E6596"/>
      <w:sz w:val="20"/>
      <w:szCs w:val="20"/>
      <w:lang w:val="sq-AL" w:eastAsia="sq-AL"/>
    </w:rPr>
    <w:tblPr>
      <w:tblStyleRowBandSize w:val="1"/>
      <w:tblStyleColBandSize w:val="1"/>
      <w:tblBorders>
        <w:top w:val="single" w:sz="4" w:space="0" w:color="79B8E3"/>
        <w:left w:val="single" w:sz="4" w:space="0" w:color="79B8E3"/>
        <w:bottom w:val="single" w:sz="4" w:space="0" w:color="79B8E3"/>
        <w:right w:val="single" w:sz="4" w:space="0" w:color="79B8E3"/>
        <w:insideH w:val="single" w:sz="4" w:space="0" w:color="79B8E3"/>
        <w:insideV w:val="single" w:sz="4" w:space="0" w:color="79B8E3"/>
      </w:tblBorders>
    </w:tblPr>
    <w:tblStylePr w:type="firstRow">
      <w:rPr>
        <w:b/>
        <w:bCs/>
      </w:rPr>
      <w:tblPr/>
      <w:tcPr>
        <w:tcBorders>
          <w:bottom w:val="single" w:sz="12" w:space="0" w:color="79B8E3"/>
        </w:tcBorders>
      </w:tcPr>
    </w:tblStylePr>
    <w:tblStylePr w:type="lastRow">
      <w:rPr>
        <w:b/>
        <w:bCs/>
      </w:rPr>
      <w:tblPr/>
      <w:tcPr>
        <w:tcBorders>
          <w:top w:val="double" w:sz="4" w:space="0" w:color="79B8E3"/>
        </w:tcBorders>
      </w:tc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GridTable6Colorful-Accent41">
    <w:name w:val="Grid Table 6 Colorful - Accent 41"/>
    <w:basedOn w:val="TableNormal"/>
    <w:uiPriority w:val="51"/>
    <w:rsid w:val="005D784C"/>
    <w:pPr>
      <w:spacing w:after="0" w:line="240" w:lineRule="auto"/>
    </w:pPr>
    <w:rPr>
      <w:rFonts w:ascii="Arial" w:eastAsia="Times New Roman" w:hAnsi="Arial" w:cs="Times New Roman"/>
      <w:color w:val="1D5273"/>
      <w:sz w:val="20"/>
      <w:szCs w:val="20"/>
      <w:lang w:val="sq-AL" w:eastAsia="sq-AL"/>
    </w:rPr>
    <w:tblPr>
      <w:tblStyleRowBandSize w:val="1"/>
      <w:tblStyleColBandSize w:val="1"/>
      <w:tblBorders>
        <w:top w:val="single" w:sz="4" w:space="0" w:color="67ADD8"/>
        <w:left w:val="single" w:sz="4" w:space="0" w:color="67ADD8"/>
        <w:bottom w:val="single" w:sz="4" w:space="0" w:color="67ADD8"/>
        <w:right w:val="single" w:sz="4" w:space="0" w:color="67ADD8"/>
        <w:insideH w:val="single" w:sz="4" w:space="0" w:color="67ADD8"/>
        <w:insideV w:val="single" w:sz="4" w:space="0" w:color="67ADD8"/>
      </w:tblBorders>
    </w:tblPr>
    <w:tblStylePr w:type="firstRow">
      <w:rPr>
        <w:b/>
        <w:bCs/>
      </w:rPr>
      <w:tblPr/>
      <w:tcPr>
        <w:tcBorders>
          <w:bottom w:val="single" w:sz="12" w:space="0" w:color="67ADD8"/>
        </w:tcBorders>
      </w:tcPr>
    </w:tblStylePr>
    <w:tblStylePr w:type="lastRow">
      <w:rPr>
        <w:b/>
        <w:bCs/>
      </w:rPr>
      <w:tblPr/>
      <w:tcPr>
        <w:tcBorders>
          <w:top w:val="double" w:sz="4" w:space="0" w:color="67ADD8"/>
        </w:tcBorders>
      </w:tc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GridTable6Colorful-Accent51">
    <w:name w:val="Grid Table 6 Colorful - Accent 51"/>
    <w:basedOn w:val="TableNormal"/>
    <w:uiPriority w:val="51"/>
    <w:rsid w:val="005D784C"/>
    <w:pPr>
      <w:spacing w:after="0" w:line="240" w:lineRule="auto"/>
    </w:pPr>
    <w:rPr>
      <w:rFonts w:ascii="Arial" w:eastAsia="Times New Roman" w:hAnsi="Arial" w:cs="Times New Roman"/>
      <w:color w:val="2F8844"/>
      <w:sz w:val="20"/>
      <w:szCs w:val="20"/>
      <w:lang w:val="sq-AL" w:eastAsia="sq-AL"/>
    </w:rPr>
    <w:tblPr>
      <w:tblStyleRowBandSize w:val="1"/>
      <w:tblStyleColBandSize w:val="1"/>
      <w:tblBorders>
        <w:top w:val="single" w:sz="4" w:space="0" w:color="88D69B"/>
        <w:left w:val="single" w:sz="4" w:space="0" w:color="88D69B"/>
        <w:bottom w:val="single" w:sz="4" w:space="0" w:color="88D69B"/>
        <w:right w:val="single" w:sz="4" w:space="0" w:color="88D69B"/>
        <w:insideH w:val="single" w:sz="4" w:space="0" w:color="88D69B"/>
        <w:insideV w:val="single" w:sz="4" w:space="0" w:color="88D69B"/>
      </w:tblBorders>
    </w:tblPr>
    <w:tblStylePr w:type="firstRow">
      <w:rPr>
        <w:b/>
        <w:bCs/>
      </w:rPr>
      <w:tblPr/>
      <w:tcPr>
        <w:tcBorders>
          <w:bottom w:val="single" w:sz="12" w:space="0" w:color="88D69B"/>
        </w:tcBorders>
      </w:tcPr>
    </w:tblStylePr>
    <w:tblStylePr w:type="lastRow">
      <w:rPr>
        <w:b/>
        <w:bCs/>
      </w:rPr>
      <w:tblPr/>
      <w:tcPr>
        <w:tcBorders>
          <w:top w:val="double" w:sz="4" w:space="0" w:color="88D69B"/>
        </w:tcBorders>
      </w:tc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GridTable6Colorful-Accent61">
    <w:name w:val="Grid Table 6 Colorful - Accent 61"/>
    <w:basedOn w:val="TableNormal"/>
    <w:uiPriority w:val="51"/>
    <w:rsid w:val="005D784C"/>
    <w:pPr>
      <w:spacing w:after="0" w:line="240" w:lineRule="auto"/>
    </w:pPr>
    <w:rPr>
      <w:rFonts w:ascii="Arial" w:eastAsia="Times New Roman" w:hAnsi="Arial" w:cs="Times New Roman"/>
      <w:color w:val="5F276E"/>
      <w:sz w:val="20"/>
      <w:szCs w:val="20"/>
      <w:lang w:val="sq-AL" w:eastAsia="sq-AL"/>
    </w:rPr>
    <w:tblPr>
      <w:tblStyleRowBandSize w:val="1"/>
      <w:tblStyleColBandSize w:val="1"/>
      <w:tblBorders>
        <w:top w:val="single" w:sz="4" w:space="0" w:color="BB76CE"/>
        <w:left w:val="single" w:sz="4" w:space="0" w:color="BB76CE"/>
        <w:bottom w:val="single" w:sz="4" w:space="0" w:color="BB76CE"/>
        <w:right w:val="single" w:sz="4" w:space="0" w:color="BB76CE"/>
        <w:insideH w:val="single" w:sz="4" w:space="0" w:color="BB76CE"/>
        <w:insideV w:val="single" w:sz="4" w:space="0" w:color="BB76CE"/>
      </w:tblBorders>
    </w:tblPr>
    <w:tblStylePr w:type="firstRow">
      <w:rPr>
        <w:b/>
        <w:bCs/>
      </w:rPr>
      <w:tblPr/>
      <w:tcPr>
        <w:tcBorders>
          <w:bottom w:val="single" w:sz="12" w:space="0" w:color="BB76CE"/>
        </w:tcBorders>
      </w:tcPr>
    </w:tblStylePr>
    <w:tblStylePr w:type="lastRow">
      <w:rPr>
        <w:b/>
        <w:bCs/>
      </w:rPr>
      <w:tblPr/>
      <w:tcPr>
        <w:tcBorders>
          <w:top w:val="double" w:sz="4" w:space="0" w:color="BB76CE"/>
        </w:tcBorders>
      </w:tc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GridTable7Colorful1">
    <w:name w:val="Grid Table 7 Colorful1"/>
    <w:basedOn w:val="TableNormal"/>
    <w:uiPriority w:val="52"/>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uiPriority w:val="52"/>
    <w:rsid w:val="005D784C"/>
    <w:pPr>
      <w:spacing w:after="0" w:line="240" w:lineRule="auto"/>
    </w:pPr>
    <w:rPr>
      <w:rFonts w:ascii="Arial" w:eastAsia="Times New Roman" w:hAnsi="Arial" w:cs="Times New Roman"/>
      <w:color w:val="1D8D8E"/>
      <w:sz w:val="20"/>
      <w:szCs w:val="20"/>
      <w:lang w:val="sq-AL" w:eastAsia="sq-AL"/>
    </w:rPr>
    <w:tblPr>
      <w:tblStyleRowBandSize w:val="1"/>
      <w:tblStyleColBandSize w:val="1"/>
      <w:tblBorders>
        <w:top w:val="single" w:sz="4" w:space="0" w:color="73E1E2"/>
        <w:left w:val="single" w:sz="4" w:space="0" w:color="73E1E2"/>
        <w:bottom w:val="single" w:sz="4" w:space="0" w:color="73E1E2"/>
        <w:right w:val="single" w:sz="4" w:space="0" w:color="73E1E2"/>
        <w:insideH w:val="single" w:sz="4" w:space="0" w:color="73E1E2"/>
        <w:insideV w:val="single" w:sz="4" w:space="0" w:color="73E1E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0F5F5"/>
      </w:tcPr>
    </w:tblStylePr>
    <w:tblStylePr w:type="band1Horz">
      <w:tblPr/>
      <w:tcPr>
        <w:shd w:val="clear" w:color="auto" w:fill="D0F5F5"/>
      </w:tcPr>
    </w:tblStylePr>
    <w:tblStylePr w:type="neCell">
      <w:tblPr/>
      <w:tcPr>
        <w:tcBorders>
          <w:bottom w:val="single" w:sz="4" w:space="0" w:color="73E1E2"/>
        </w:tcBorders>
      </w:tcPr>
    </w:tblStylePr>
    <w:tblStylePr w:type="nwCell">
      <w:tblPr/>
      <w:tcPr>
        <w:tcBorders>
          <w:bottom w:val="single" w:sz="4" w:space="0" w:color="73E1E2"/>
        </w:tcBorders>
      </w:tcPr>
    </w:tblStylePr>
    <w:tblStylePr w:type="seCell">
      <w:tblPr/>
      <w:tcPr>
        <w:tcBorders>
          <w:top w:val="single" w:sz="4" w:space="0" w:color="73E1E2"/>
        </w:tcBorders>
      </w:tcPr>
    </w:tblStylePr>
    <w:tblStylePr w:type="swCell">
      <w:tblPr/>
      <w:tcPr>
        <w:tcBorders>
          <w:top w:val="single" w:sz="4" w:space="0" w:color="73E1E2"/>
        </w:tcBorders>
      </w:tcPr>
    </w:tblStylePr>
  </w:style>
  <w:style w:type="table" w:customStyle="1" w:styleId="GridTable7Colorful-Accent21">
    <w:name w:val="Grid Table 7 Colorful - Accent 21"/>
    <w:basedOn w:val="TableNormal"/>
    <w:uiPriority w:val="52"/>
    <w:rsid w:val="005D784C"/>
    <w:pPr>
      <w:spacing w:after="0" w:line="240" w:lineRule="auto"/>
    </w:pPr>
    <w:rPr>
      <w:rFonts w:ascii="Arial" w:eastAsia="Times New Roman" w:hAnsi="Arial" w:cs="Times New Roman"/>
      <w:color w:val="007673"/>
      <w:sz w:val="20"/>
      <w:szCs w:val="20"/>
      <w:lang w:val="sq-AL" w:eastAsia="sq-AL"/>
    </w:rPr>
    <w:tblPr>
      <w:tblStyleRowBandSize w:val="1"/>
      <w:tblStyleColBandSize w:val="1"/>
      <w:tblBorders>
        <w:top w:val="single" w:sz="4" w:space="0" w:color="2BFFF9"/>
        <w:left w:val="single" w:sz="4" w:space="0" w:color="2BFFF9"/>
        <w:bottom w:val="single" w:sz="4" w:space="0" w:color="2BFFF9"/>
        <w:right w:val="single" w:sz="4" w:space="0" w:color="2BFFF9"/>
        <w:insideH w:val="single" w:sz="4" w:space="0" w:color="2BFFF9"/>
        <w:insideV w:val="single" w:sz="4" w:space="0" w:color="2BFFF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8FFFD"/>
      </w:tcPr>
    </w:tblStylePr>
    <w:tblStylePr w:type="band1Horz">
      <w:tblPr/>
      <w:tcPr>
        <w:shd w:val="clear" w:color="auto" w:fill="B8FFFD"/>
      </w:tcPr>
    </w:tblStylePr>
    <w:tblStylePr w:type="neCell">
      <w:tblPr/>
      <w:tcPr>
        <w:tcBorders>
          <w:bottom w:val="single" w:sz="4" w:space="0" w:color="2BFFF9"/>
        </w:tcBorders>
      </w:tcPr>
    </w:tblStylePr>
    <w:tblStylePr w:type="nwCell">
      <w:tblPr/>
      <w:tcPr>
        <w:tcBorders>
          <w:bottom w:val="single" w:sz="4" w:space="0" w:color="2BFFF9"/>
        </w:tcBorders>
      </w:tcPr>
    </w:tblStylePr>
    <w:tblStylePr w:type="seCell">
      <w:tblPr/>
      <w:tcPr>
        <w:tcBorders>
          <w:top w:val="single" w:sz="4" w:space="0" w:color="2BFFF9"/>
        </w:tcBorders>
      </w:tcPr>
    </w:tblStylePr>
    <w:tblStylePr w:type="swCell">
      <w:tblPr/>
      <w:tcPr>
        <w:tcBorders>
          <w:top w:val="single" w:sz="4" w:space="0" w:color="2BFFF9"/>
        </w:tcBorders>
      </w:tcPr>
    </w:tblStylePr>
  </w:style>
  <w:style w:type="table" w:customStyle="1" w:styleId="GridTable7Colorful-Accent31">
    <w:name w:val="Grid Table 7 Colorful - Accent 31"/>
    <w:basedOn w:val="TableNormal"/>
    <w:uiPriority w:val="52"/>
    <w:rsid w:val="005D784C"/>
    <w:pPr>
      <w:spacing w:after="0" w:line="240" w:lineRule="auto"/>
    </w:pPr>
    <w:rPr>
      <w:rFonts w:ascii="Arial" w:eastAsia="Times New Roman" w:hAnsi="Arial" w:cs="Times New Roman"/>
      <w:color w:val="1E6596"/>
      <w:sz w:val="20"/>
      <w:szCs w:val="20"/>
      <w:lang w:val="sq-AL" w:eastAsia="sq-AL"/>
    </w:rPr>
    <w:tblPr>
      <w:tblStyleRowBandSize w:val="1"/>
      <w:tblStyleColBandSize w:val="1"/>
      <w:tblBorders>
        <w:top w:val="single" w:sz="4" w:space="0" w:color="79B8E3"/>
        <w:left w:val="single" w:sz="4" w:space="0" w:color="79B8E3"/>
        <w:bottom w:val="single" w:sz="4" w:space="0" w:color="79B8E3"/>
        <w:right w:val="single" w:sz="4" w:space="0" w:color="79B8E3"/>
        <w:insideH w:val="single" w:sz="4" w:space="0" w:color="79B8E3"/>
        <w:insideV w:val="single" w:sz="4" w:space="0" w:color="79B8E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2E7F6"/>
      </w:tcPr>
    </w:tblStylePr>
    <w:tblStylePr w:type="band1Horz">
      <w:tblPr/>
      <w:tcPr>
        <w:shd w:val="clear" w:color="auto" w:fill="D2E7F6"/>
      </w:tcPr>
    </w:tblStylePr>
    <w:tblStylePr w:type="neCell">
      <w:tblPr/>
      <w:tcPr>
        <w:tcBorders>
          <w:bottom w:val="single" w:sz="4" w:space="0" w:color="79B8E3"/>
        </w:tcBorders>
      </w:tcPr>
    </w:tblStylePr>
    <w:tblStylePr w:type="nwCell">
      <w:tblPr/>
      <w:tcPr>
        <w:tcBorders>
          <w:bottom w:val="single" w:sz="4" w:space="0" w:color="79B8E3"/>
        </w:tcBorders>
      </w:tcPr>
    </w:tblStylePr>
    <w:tblStylePr w:type="seCell">
      <w:tblPr/>
      <w:tcPr>
        <w:tcBorders>
          <w:top w:val="single" w:sz="4" w:space="0" w:color="79B8E3"/>
        </w:tcBorders>
      </w:tcPr>
    </w:tblStylePr>
    <w:tblStylePr w:type="swCell">
      <w:tblPr/>
      <w:tcPr>
        <w:tcBorders>
          <w:top w:val="single" w:sz="4" w:space="0" w:color="79B8E3"/>
        </w:tcBorders>
      </w:tcPr>
    </w:tblStylePr>
  </w:style>
  <w:style w:type="table" w:customStyle="1" w:styleId="GridTable7Colorful-Accent41">
    <w:name w:val="Grid Table 7 Colorful - Accent 41"/>
    <w:basedOn w:val="TableNormal"/>
    <w:uiPriority w:val="52"/>
    <w:rsid w:val="005D784C"/>
    <w:pPr>
      <w:spacing w:after="0" w:line="240" w:lineRule="auto"/>
    </w:pPr>
    <w:rPr>
      <w:rFonts w:ascii="Arial" w:eastAsia="Times New Roman" w:hAnsi="Arial" w:cs="Times New Roman"/>
      <w:color w:val="1D5273"/>
      <w:sz w:val="20"/>
      <w:szCs w:val="20"/>
      <w:lang w:val="sq-AL" w:eastAsia="sq-AL"/>
    </w:rPr>
    <w:tblPr>
      <w:tblStyleRowBandSize w:val="1"/>
      <w:tblStyleColBandSize w:val="1"/>
      <w:tblBorders>
        <w:top w:val="single" w:sz="4" w:space="0" w:color="67ADD8"/>
        <w:left w:val="single" w:sz="4" w:space="0" w:color="67ADD8"/>
        <w:bottom w:val="single" w:sz="4" w:space="0" w:color="67ADD8"/>
        <w:right w:val="single" w:sz="4" w:space="0" w:color="67ADD8"/>
        <w:insideH w:val="single" w:sz="4" w:space="0" w:color="67ADD8"/>
        <w:insideV w:val="single" w:sz="4" w:space="0" w:color="67ADD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E3F2"/>
      </w:tcPr>
    </w:tblStylePr>
    <w:tblStylePr w:type="band1Horz">
      <w:tblPr/>
      <w:tcPr>
        <w:shd w:val="clear" w:color="auto" w:fill="CCE3F2"/>
      </w:tcPr>
    </w:tblStylePr>
    <w:tblStylePr w:type="neCell">
      <w:tblPr/>
      <w:tcPr>
        <w:tcBorders>
          <w:bottom w:val="single" w:sz="4" w:space="0" w:color="67ADD8"/>
        </w:tcBorders>
      </w:tcPr>
    </w:tblStylePr>
    <w:tblStylePr w:type="nwCell">
      <w:tblPr/>
      <w:tcPr>
        <w:tcBorders>
          <w:bottom w:val="single" w:sz="4" w:space="0" w:color="67ADD8"/>
        </w:tcBorders>
      </w:tcPr>
    </w:tblStylePr>
    <w:tblStylePr w:type="seCell">
      <w:tblPr/>
      <w:tcPr>
        <w:tcBorders>
          <w:top w:val="single" w:sz="4" w:space="0" w:color="67ADD8"/>
        </w:tcBorders>
      </w:tcPr>
    </w:tblStylePr>
    <w:tblStylePr w:type="swCell">
      <w:tblPr/>
      <w:tcPr>
        <w:tcBorders>
          <w:top w:val="single" w:sz="4" w:space="0" w:color="67ADD8"/>
        </w:tcBorders>
      </w:tcPr>
    </w:tblStylePr>
  </w:style>
  <w:style w:type="table" w:customStyle="1" w:styleId="GridTable7Colorful-Accent51">
    <w:name w:val="Grid Table 7 Colorful - Accent 51"/>
    <w:basedOn w:val="TableNormal"/>
    <w:uiPriority w:val="52"/>
    <w:rsid w:val="005D784C"/>
    <w:pPr>
      <w:spacing w:after="0" w:line="240" w:lineRule="auto"/>
    </w:pPr>
    <w:rPr>
      <w:rFonts w:ascii="Arial" w:eastAsia="Times New Roman" w:hAnsi="Arial" w:cs="Times New Roman"/>
      <w:color w:val="2F8844"/>
      <w:sz w:val="20"/>
      <w:szCs w:val="20"/>
      <w:lang w:val="sq-AL" w:eastAsia="sq-AL"/>
    </w:rPr>
    <w:tblPr>
      <w:tblStyleRowBandSize w:val="1"/>
      <w:tblStyleColBandSize w:val="1"/>
      <w:tblBorders>
        <w:top w:val="single" w:sz="4" w:space="0" w:color="88D69B"/>
        <w:left w:val="single" w:sz="4" w:space="0" w:color="88D69B"/>
        <w:bottom w:val="single" w:sz="4" w:space="0" w:color="88D69B"/>
        <w:right w:val="single" w:sz="4" w:space="0" w:color="88D69B"/>
        <w:insideH w:val="single" w:sz="4" w:space="0" w:color="88D69B"/>
        <w:insideV w:val="single" w:sz="4" w:space="0" w:color="88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7F1DD"/>
      </w:tcPr>
    </w:tblStylePr>
    <w:tblStylePr w:type="band1Horz">
      <w:tblPr/>
      <w:tcPr>
        <w:shd w:val="clear" w:color="auto" w:fill="D7F1DD"/>
      </w:tcPr>
    </w:tblStylePr>
    <w:tblStylePr w:type="neCell">
      <w:tblPr/>
      <w:tcPr>
        <w:tcBorders>
          <w:bottom w:val="single" w:sz="4" w:space="0" w:color="88D69B"/>
        </w:tcBorders>
      </w:tcPr>
    </w:tblStylePr>
    <w:tblStylePr w:type="nwCell">
      <w:tblPr/>
      <w:tcPr>
        <w:tcBorders>
          <w:bottom w:val="single" w:sz="4" w:space="0" w:color="88D69B"/>
        </w:tcBorders>
      </w:tcPr>
    </w:tblStylePr>
    <w:tblStylePr w:type="seCell">
      <w:tblPr/>
      <w:tcPr>
        <w:tcBorders>
          <w:top w:val="single" w:sz="4" w:space="0" w:color="88D69B"/>
        </w:tcBorders>
      </w:tcPr>
    </w:tblStylePr>
    <w:tblStylePr w:type="swCell">
      <w:tblPr/>
      <w:tcPr>
        <w:tcBorders>
          <w:top w:val="single" w:sz="4" w:space="0" w:color="88D69B"/>
        </w:tcBorders>
      </w:tcPr>
    </w:tblStylePr>
  </w:style>
  <w:style w:type="table" w:customStyle="1" w:styleId="GridTable7Colorful-Accent61">
    <w:name w:val="Grid Table 7 Colorful - Accent 61"/>
    <w:basedOn w:val="TableNormal"/>
    <w:uiPriority w:val="52"/>
    <w:rsid w:val="005D784C"/>
    <w:pPr>
      <w:spacing w:after="0" w:line="240" w:lineRule="auto"/>
    </w:pPr>
    <w:rPr>
      <w:rFonts w:ascii="Arial" w:eastAsia="Times New Roman" w:hAnsi="Arial" w:cs="Times New Roman"/>
      <w:color w:val="5F276E"/>
      <w:sz w:val="20"/>
      <w:szCs w:val="20"/>
      <w:lang w:val="sq-AL" w:eastAsia="sq-AL"/>
    </w:rPr>
    <w:tblPr>
      <w:tblStyleRowBandSize w:val="1"/>
      <w:tblStyleColBandSize w:val="1"/>
      <w:tblBorders>
        <w:top w:val="single" w:sz="4" w:space="0" w:color="BB76CE"/>
        <w:left w:val="single" w:sz="4" w:space="0" w:color="BB76CE"/>
        <w:bottom w:val="single" w:sz="4" w:space="0" w:color="BB76CE"/>
        <w:right w:val="single" w:sz="4" w:space="0" w:color="BB76CE"/>
        <w:insideH w:val="single" w:sz="4" w:space="0" w:color="BB76CE"/>
        <w:insideV w:val="single" w:sz="4" w:space="0" w:color="BB76C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D1EE"/>
      </w:tcPr>
    </w:tblStylePr>
    <w:tblStylePr w:type="band1Horz">
      <w:tblPr/>
      <w:tcPr>
        <w:shd w:val="clear" w:color="auto" w:fill="E8D1EE"/>
      </w:tcPr>
    </w:tblStylePr>
    <w:tblStylePr w:type="neCell">
      <w:tblPr/>
      <w:tcPr>
        <w:tcBorders>
          <w:bottom w:val="single" w:sz="4" w:space="0" w:color="BB76CE"/>
        </w:tcBorders>
      </w:tcPr>
    </w:tblStylePr>
    <w:tblStylePr w:type="nwCell">
      <w:tblPr/>
      <w:tcPr>
        <w:tcBorders>
          <w:bottom w:val="single" w:sz="4" w:space="0" w:color="BB76CE"/>
        </w:tcBorders>
      </w:tcPr>
    </w:tblStylePr>
    <w:tblStylePr w:type="seCell">
      <w:tblPr/>
      <w:tcPr>
        <w:tcBorders>
          <w:top w:val="single" w:sz="4" w:space="0" w:color="BB76CE"/>
        </w:tcBorders>
      </w:tcPr>
    </w:tblStylePr>
    <w:tblStylePr w:type="swCell">
      <w:tblPr/>
      <w:tcPr>
        <w:tcBorders>
          <w:top w:val="single" w:sz="4" w:space="0" w:color="BB76CE"/>
        </w:tcBorders>
      </w:tcPr>
    </w:tblStylePr>
  </w:style>
  <w:style w:type="character" w:styleId="HTMLAcronym">
    <w:name w:val="HTML Acronym"/>
    <w:semiHidden/>
    <w:unhideWhenUsed/>
    <w:rsid w:val="005D784C"/>
    <w:rPr>
      <w:bCs w:val="0"/>
      <w:szCs w:val="20"/>
    </w:rPr>
  </w:style>
  <w:style w:type="paragraph" w:styleId="HTMLAddress">
    <w:name w:val="HTML Address"/>
    <w:basedOn w:val="Normal"/>
    <w:link w:val="HTMLAddressChar"/>
    <w:semiHidden/>
    <w:unhideWhenUsed/>
    <w:rsid w:val="005D784C"/>
    <w:pPr>
      <w:spacing w:after="0" w:line="240" w:lineRule="auto"/>
    </w:pPr>
    <w:rPr>
      <w:rFonts w:ascii="Arial" w:eastAsia="Times New Roman" w:hAnsi="Arial" w:cs="Times New Roman"/>
      <w:i/>
      <w:iCs/>
      <w:sz w:val="20"/>
      <w:szCs w:val="20"/>
      <w:lang w:val="x-none" w:eastAsia="x-none"/>
    </w:rPr>
  </w:style>
  <w:style w:type="character" w:customStyle="1" w:styleId="HTMLAddressChar">
    <w:name w:val="HTML Address Char"/>
    <w:basedOn w:val="DefaultParagraphFont"/>
    <w:link w:val="HTMLAddress"/>
    <w:semiHidden/>
    <w:rsid w:val="005D784C"/>
    <w:rPr>
      <w:rFonts w:ascii="Arial" w:eastAsia="Times New Roman" w:hAnsi="Arial" w:cs="Times New Roman"/>
      <w:i/>
      <w:iCs/>
      <w:sz w:val="20"/>
      <w:szCs w:val="20"/>
      <w:lang w:val="x-none" w:eastAsia="x-none"/>
    </w:rPr>
  </w:style>
  <w:style w:type="character" w:styleId="HTMLCite">
    <w:name w:val="HTML Cite"/>
    <w:semiHidden/>
    <w:unhideWhenUsed/>
    <w:rsid w:val="005D784C"/>
    <w:rPr>
      <w:bCs w:val="0"/>
      <w:i/>
      <w:iCs/>
      <w:szCs w:val="20"/>
    </w:rPr>
  </w:style>
  <w:style w:type="character" w:styleId="HTMLCode">
    <w:name w:val="HTML Code"/>
    <w:semiHidden/>
    <w:unhideWhenUsed/>
    <w:rsid w:val="005D784C"/>
    <w:rPr>
      <w:rFonts w:ascii="Consolas" w:hAnsi="Consolas"/>
      <w:bCs w:val="0"/>
      <w:sz w:val="20"/>
      <w:szCs w:val="20"/>
    </w:rPr>
  </w:style>
  <w:style w:type="character" w:styleId="HTMLDefinition">
    <w:name w:val="HTML Definition"/>
    <w:semiHidden/>
    <w:unhideWhenUsed/>
    <w:rsid w:val="005D784C"/>
    <w:rPr>
      <w:bCs w:val="0"/>
      <w:i/>
      <w:iCs/>
      <w:szCs w:val="20"/>
    </w:rPr>
  </w:style>
  <w:style w:type="character" w:styleId="HTMLKeyboard">
    <w:name w:val="HTML Keyboard"/>
    <w:semiHidden/>
    <w:unhideWhenUsed/>
    <w:rsid w:val="005D784C"/>
    <w:rPr>
      <w:rFonts w:ascii="Consolas" w:hAnsi="Consolas"/>
      <w:bCs w:val="0"/>
      <w:sz w:val="20"/>
      <w:szCs w:val="20"/>
    </w:rPr>
  </w:style>
  <w:style w:type="paragraph" w:styleId="HTMLPreformatted">
    <w:name w:val="HTML Preformatted"/>
    <w:basedOn w:val="Normal"/>
    <w:link w:val="HTMLPreformattedChar"/>
    <w:semiHidden/>
    <w:unhideWhenUsed/>
    <w:rsid w:val="005D784C"/>
    <w:pPr>
      <w:spacing w:after="0" w:line="240" w:lineRule="auto"/>
    </w:pPr>
    <w:rPr>
      <w:rFonts w:ascii="Consolas" w:eastAsia="Times New Roman" w:hAnsi="Consolas" w:cs="Times New Roman"/>
      <w:sz w:val="20"/>
      <w:szCs w:val="20"/>
      <w:lang w:val="x-none" w:eastAsia="x-none"/>
    </w:rPr>
  </w:style>
  <w:style w:type="character" w:customStyle="1" w:styleId="HTMLPreformattedChar">
    <w:name w:val="HTML Preformatted Char"/>
    <w:basedOn w:val="DefaultParagraphFont"/>
    <w:link w:val="HTMLPreformatted"/>
    <w:semiHidden/>
    <w:rsid w:val="005D784C"/>
    <w:rPr>
      <w:rFonts w:ascii="Consolas" w:eastAsia="Times New Roman" w:hAnsi="Consolas" w:cs="Times New Roman"/>
      <w:sz w:val="20"/>
      <w:szCs w:val="20"/>
      <w:lang w:val="x-none" w:eastAsia="x-none"/>
    </w:rPr>
  </w:style>
  <w:style w:type="character" w:styleId="HTMLSample">
    <w:name w:val="HTML Sample"/>
    <w:semiHidden/>
    <w:unhideWhenUsed/>
    <w:rsid w:val="005D784C"/>
    <w:rPr>
      <w:rFonts w:ascii="Consolas" w:hAnsi="Consolas"/>
      <w:bCs w:val="0"/>
      <w:sz w:val="24"/>
      <w:szCs w:val="24"/>
    </w:rPr>
  </w:style>
  <w:style w:type="character" w:styleId="HTMLTypewriter">
    <w:name w:val="HTML Typewriter"/>
    <w:semiHidden/>
    <w:unhideWhenUsed/>
    <w:rsid w:val="005D784C"/>
    <w:rPr>
      <w:rFonts w:ascii="Consolas" w:hAnsi="Consolas"/>
      <w:bCs w:val="0"/>
      <w:sz w:val="20"/>
      <w:szCs w:val="20"/>
    </w:rPr>
  </w:style>
  <w:style w:type="character" w:styleId="HTMLVariable">
    <w:name w:val="HTML Variable"/>
    <w:semiHidden/>
    <w:unhideWhenUsed/>
    <w:rsid w:val="005D784C"/>
    <w:rPr>
      <w:bCs w:val="0"/>
      <w:i/>
      <w:iCs/>
      <w:szCs w:val="20"/>
    </w:rPr>
  </w:style>
  <w:style w:type="paragraph" w:styleId="Index1">
    <w:name w:val="index 1"/>
    <w:basedOn w:val="Normal"/>
    <w:next w:val="Normal"/>
    <w:autoRedefine/>
    <w:semiHidden/>
    <w:unhideWhenUsed/>
    <w:rsid w:val="005D784C"/>
    <w:pPr>
      <w:spacing w:after="0" w:line="240" w:lineRule="auto"/>
      <w:ind w:left="200" w:hanging="200"/>
    </w:pPr>
    <w:rPr>
      <w:rFonts w:ascii="Arial" w:eastAsia="Times New Roman" w:hAnsi="Arial" w:cs="Times New Roman"/>
      <w:sz w:val="20"/>
      <w:szCs w:val="20"/>
      <w:lang w:val="en-GB"/>
    </w:rPr>
  </w:style>
  <w:style w:type="paragraph" w:styleId="Index2">
    <w:name w:val="index 2"/>
    <w:basedOn w:val="Normal"/>
    <w:next w:val="Normal"/>
    <w:autoRedefine/>
    <w:semiHidden/>
    <w:unhideWhenUsed/>
    <w:rsid w:val="005D784C"/>
    <w:pPr>
      <w:spacing w:after="0" w:line="240" w:lineRule="auto"/>
      <w:ind w:left="400" w:hanging="200"/>
    </w:pPr>
    <w:rPr>
      <w:rFonts w:ascii="Arial" w:eastAsia="Times New Roman" w:hAnsi="Arial" w:cs="Times New Roman"/>
      <w:sz w:val="20"/>
      <w:szCs w:val="20"/>
      <w:lang w:val="en-GB"/>
    </w:rPr>
  </w:style>
  <w:style w:type="paragraph" w:styleId="Index3">
    <w:name w:val="index 3"/>
    <w:basedOn w:val="Normal"/>
    <w:next w:val="Normal"/>
    <w:autoRedefine/>
    <w:semiHidden/>
    <w:unhideWhenUsed/>
    <w:rsid w:val="005D784C"/>
    <w:pPr>
      <w:spacing w:after="0" w:line="240" w:lineRule="auto"/>
      <w:ind w:left="600" w:hanging="200"/>
    </w:pPr>
    <w:rPr>
      <w:rFonts w:ascii="Arial" w:eastAsia="Times New Roman" w:hAnsi="Arial" w:cs="Times New Roman"/>
      <w:sz w:val="20"/>
      <w:szCs w:val="20"/>
      <w:lang w:val="en-GB"/>
    </w:rPr>
  </w:style>
  <w:style w:type="paragraph" w:styleId="Index4">
    <w:name w:val="index 4"/>
    <w:basedOn w:val="Normal"/>
    <w:next w:val="Normal"/>
    <w:autoRedefine/>
    <w:semiHidden/>
    <w:unhideWhenUsed/>
    <w:rsid w:val="005D784C"/>
    <w:pPr>
      <w:spacing w:after="0" w:line="240" w:lineRule="auto"/>
      <w:ind w:left="800" w:hanging="200"/>
    </w:pPr>
    <w:rPr>
      <w:rFonts w:ascii="Arial" w:eastAsia="Times New Roman" w:hAnsi="Arial" w:cs="Times New Roman"/>
      <w:sz w:val="20"/>
      <w:szCs w:val="20"/>
      <w:lang w:val="en-GB"/>
    </w:rPr>
  </w:style>
  <w:style w:type="paragraph" w:styleId="Index5">
    <w:name w:val="index 5"/>
    <w:basedOn w:val="Normal"/>
    <w:next w:val="Normal"/>
    <w:autoRedefine/>
    <w:semiHidden/>
    <w:unhideWhenUsed/>
    <w:rsid w:val="005D784C"/>
    <w:pPr>
      <w:spacing w:after="0" w:line="240" w:lineRule="auto"/>
      <w:ind w:left="1000" w:hanging="200"/>
    </w:pPr>
    <w:rPr>
      <w:rFonts w:ascii="Arial" w:eastAsia="Times New Roman" w:hAnsi="Arial" w:cs="Times New Roman"/>
      <w:sz w:val="20"/>
      <w:szCs w:val="20"/>
      <w:lang w:val="en-GB"/>
    </w:rPr>
  </w:style>
  <w:style w:type="paragraph" w:styleId="Index6">
    <w:name w:val="index 6"/>
    <w:basedOn w:val="Normal"/>
    <w:next w:val="Normal"/>
    <w:autoRedefine/>
    <w:semiHidden/>
    <w:unhideWhenUsed/>
    <w:rsid w:val="005D784C"/>
    <w:pPr>
      <w:spacing w:after="0" w:line="240" w:lineRule="auto"/>
      <w:ind w:left="1200" w:hanging="200"/>
    </w:pPr>
    <w:rPr>
      <w:rFonts w:ascii="Arial" w:eastAsia="Times New Roman" w:hAnsi="Arial" w:cs="Times New Roman"/>
      <w:sz w:val="20"/>
      <w:szCs w:val="20"/>
      <w:lang w:val="en-GB"/>
    </w:rPr>
  </w:style>
  <w:style w:type="paragraph" w:styleId="Index7">
    <w:name w:val="index 7"/>
    <w:basedOn w:val="Normal"/>
    <w:next w:val="Normal"/>
    <w:autoRedefine/>
    <w:semiHidden/>
    <w:unhideWhenUsed/>
    <w:rsid w:val="005D784C"/>
    <w:pPr>
      <w:spacing w:after="0" w:line="240" w:lineRule="auto"/>
      <w:ind w:left="1400" w:hanging="200"/>
    </w:pPr>
    <w:rPr>
      <w:rFonts w:ascii="Arial" w:eastAsia="Times New Roman" w:hAnsi="Arial" w:cs="Times New Roman"/>
      <w:sz w:val="20"/>
      <w:szCs w:val="20"/>
      <w:lang w:val="en-GB"/>
    </w:rPr>
  </w:style>
  <w:style w:type="paragraph" w:styleId="Index8">
    <w:name w:val="index 8"/>
    <w:basedOn w:val="Normal"/>
    <w:next w:val="Normal"/>
    <w:autoRedefine/>
    <w:semiHidden/>
    <w:unhideWhenUsed/>
    <w:rsid w:val="005D784C"/>
    <w:pPr>
      <w:spacing w:after="0" w:line="240" w:lineRule="auto"/>
      <w:ind w:left="1600" w:hanging="200"/>
    </w:pPr>
    <w:rPr>
      <w:rFonts w:ascii="Arial" w:eastAsia="Times New Roman" w:hAnsi="Arial" w:cs="Times New Roman"/>
      <w:sz w:val="20"/>
      <w:szCs w:val="20"/>
      <w:lang w:val="en-GB"/>
    </w:rPr>
  </w:style>
  <w:style w:type="paragraph" w:styleId="Index9">
    <w:name w:val="index 9"/>
    <w:basedOn w:val="Normal"/>
    <w:next w:val="Normal"/>
    <w:autoRedefine/>
    <w:semiHidden/>
    <w:unhideWhenUsed/>
    <w:rsid w:val="005D784C"/>
    <w:pPr>
      <w:spacing w:after="0" w:line="240" w:lineRule="auto"/>
      <w:ind w:left="1800" w:hanging="200"/>
    </w:pPr>
    <w:rPr>
      <w:rFonts w:ascii="Arial" w:eastAsia="Times New Roman" w:hAnsi="Arial" w:cs="Times New Roman"/>
      <w:sz w:val="20"/>
      <w:szCs w:val="20"/>
      <w:lang w:val="en-GB"/>
    </w:rPr>
  </w:style>
  <w:style w:type="paragraph" w:styleId="IndexHeading">
    <w:name w:val="index heading"/>
    <w:basedOn w:val="Normal"/>
    <w:next w:val="Index1"/>
    <w:semiHidden/>
    <w:unhideWhenUsed/>
    <w:rsid w:val="005D784C"/>
    <w:pPr>
      <w:spacing w:before="120" w:after="160" w:line="264" w:lineRule="auto"/>
    </w:pPr>
    <w:rPr>
      <w:rFonts w:ascii="Arial" w:eastAsia="Times New Roman" w:hAnsi="Arial" w:cs="Times New Roman"/>
      <w:b/>
      <w:bCs/>
      <w:sz w:val="20"/>
      <w:szCs w:val="20"/>
      <w:lang w:val="en-GB"/>
    </w:rPr>
  </w:style>
  <w:style w:type="character" w:styleId="IntenseEmphasis">
    <w:name w:val="Intense Emphasis"/>
    <w:uiPriority w:val="21"/>
    <w:qFormat/>
    <w:rsid w:val="005D784C"/>
    <w:rPr>
      <w:bCs w:val="0"/>
      <w:i/>
      <w:iCs/>
      <w:color w:val="27BDBE"/>
      <w:szCs w:val="20"/>
    </w:rPr>
  </w:style>
  <w:style w:type="paragraph" w:styleId="IntenseQuote">
    <w:name w:val="Intense Quote"/>
    <w:basedOn w:val="Normal"/>
    <w:next w:val="Normal"/>
    <w:link w:val="IntenseQuoteChar"/>
    <w:uiPriority w:val="30"/>
    <w:qFormat/>
    <w:rsid w:val="005D784C"/>
    <w:pPr>
      <w:pBdr>
        <w:top w:val="single" w:sz="4" w:space="10" w:color="27BDBE"/>
        <w:bottom w:val="single" w:sz="4" w:space="10" w:color="27BDBE"/>
      </w:pBdr>
      <w:spacing w:before="360" w:after="360" w:line="264" w:lineRule="auto"/>
      <w:ind w:left="864" w:right="864"/>
      <w:jc w:val="center"/>
    </w:pPr>
    <w:rPr>
      <w:rFonts w:ascii="Arial" w:eastAsia="Times New Roman" w:hAnsi="Arial" w:cs="Times New Roman"/>
      <w:i/>
      <w:iCs/>
      <w:color w:val="27BDBE"/>
      <w:sz w:val="20"/>
      <w:szCs w:val="20"/>
      <w:lang w:val="x-none" w:eastAsia="x-none"/>
    </w:rPr>
  </w:style>
  <w:style w:type="character" w:customStyle="1" w:styleId="IntenseQuoteChar">
    <w:name w:val="Intense Quote Char"/>
    <w:basedOn w:val="DefaultParagraphFont"/>
    <w:link w:val="IntenseQuote"/>
    <w:uiPriority w:val="30"/>
    <w:rsid w:val="005D784C"/>
    <w:rPr>
      <w:rFonts w:ascii="Arial" w:eastAsia="Times New Roman" w:hAnsi="Arial" w:cs="Times New Roman"/>
      <w:i/>
      <w:iCs/>
      <w:color w:val="27BDBE"/>
      <w:sz w:val="20"/>
      <w:szCs w:val="20"/>
      <w:lang w:val="x-none" w:eastAsia="x-none"/>
    </w:rPr>
  </w:style>
  <w:style w:type="character" w:styleId="IntenseReference">
    <w:name w:val="Intense Reference"/>
    <w:uiPriority w:val="32"/>
    <w:qFormat/>
    <w:rsid w:val="005D784C"/>
    <w:rPr>
      <w:b/>
      <w:bCs/>
      <w:smallCaps/>
      <w:color w:val="27BDBE"/>
      <w:spacing w:val="5"/>
      <w:szCs w:val="20"/>
    </w:rPr>
  </w:style>
  <w:style w:type="table" w:customStyle="1" w:styleId="LightGrid1">
    <w:name w:val="Light Grid1"/>
    <w:basedOn w:val="TableNormal"/>
    <w:uiPriority w:val="62"/>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7BDBE"/>
        <w:left w:val="single" w:sz="8" w:space="0" w:color="27BDBE"/>
        <w:bottom w:val="single" w:sz="8" w:space="0" w:color="27BDBE"/>
        <w:right w:val="single" w:sz="8" w:space="0" w:color="27BDBE"/>
        <w:insideH w:val="single" w:sz="8" w:space="0" w:color="27BDBE"/>
        <w:insideV w:val="single" w:sz="8" w:space="0" w:color="27BDBE"/>
      </w:tblBorders>
    </w:tblPr>
    <w:tblStylePr w:type="firstRow">
      <w:pPr>
        <w:spacing w:before="0" w:after="0" w:line="240" w:lineRule="auto"/>
      </w:pPr>
      <w:rPr>
        <w:rFonts w:ascii="Arial" w:eastAsia="Times New Roman" w:hAnsi="Arial" w:cs="Times New Roman"/>
        <w:b/>
        <w:bCs/>
      </w:rPr>
      <w:tblPr/>
      <w:tcPr>
        <w:tcBorders>
          <w:top w:val="single" w:sz="8" w:space="0" w:color="27BDBE"/>
          <w:left w:val="single" w:sz="8" w:space="0" w:color="27BDBE"/>
          <w:bottom w:val="single" w:sz="18" w:space="0" w:color="27BDBE"/>
          <w:right w:val="single" w:sz="8" w:space="0" w:color="27BDBE"/>
          <w:insideH w:val="nil"/>
          <w:insideV w:val="single" w:sz="8" w:space="0" w:color="27BDBE"/>
        </w:tcBorders>
      </w:tcPr>
    </w:tblStylePr>
    <w:tblStylePr w:type="lastRow">
      <w:pPr>
        <w:spacing w:before="0" w:after="0" w:line="240" w:lineRule="auto"/>
      </w:pPr>
      <w:rPr>
        <w:rFonts w:ascii="Arial" w:eastAsia="Times New Roman" w:hAnsi="Arial" w:cs="Times New Roman"/>
        <w:b/>
        <w:bCs/>
      </w:rPr>
      <w:tblPr/>
      <w:tcPr>
        <w:tcBorders>
          <w:top w:val="double" w:sz="6" w:space="0" w:color="27BDBE"/>
          <w:left w:val="single" w:sz="8" w:space="0" w:color="27BDBE"/>
          <w:bottom w:val="single" w:sz="8" w:space="0" w:color="27BDBE"/>
          <w:right w:val="single" w:sz="8" w:space="0" w:color="27BDBE"/>
          <w:insideH w:val="nil"/>
          <w:insideV w:val="single" w:sz="8" w:space="0" w:color="27BDBE"/>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27BDBE"/>
          <w:left w:val="single" w:sz="8" w:space="0" w:color="27BDBE"/>
          <w:bottom w:val="single" w:sz="8" w:space="0" w:color="27BDBE"/>
          <w:right w:val="single" w:sz="8" w:space="0" w:color="27BDBE"/>
        </w:tcBorders>
      </w:tcPr>
    </w:tblStylePr>
    <w:tblStylePr w:type="band1Vert">
      <w:tblPr/>
      <w:tcPr>
        <w:tcBorders>
          <w:top w:val="single" w:sz="8" w:space="0" w:color="27BDBE"/>
          <w:left w:val="single" w:sz="8" w:space="0" w:color="27BDBE"/>
          <w:bottom w:val="single" w:sz="8" w:space="0" w:color="27BDBE"/>
          <w:right w:val="single" w:sz="8" w:space="0" w:color="27BDBE"/>
        </w:tcBorders>
        <w:shd w:val="clear" w:color="auto" w:fill="C5F2F3"/>
      </w:tcPr>
    </w:tblStylePr>
    <w:tblStylePr w:type="band1Horz">
      <w:tblPr/>
      <w:tcPr>
        <w:tcBorders>
          <w:top w:val="single" w:sz="8" w:space="0" w:color="27BDBE"/>
          <w:left w:val="single" w:sz="8" w:space="0" w:color="27BDBE"/>
          <w:bottom w:val="single" w:sz="8" w:space="0" w:color="27BDBE"/>
          <w:right w:val="single" w:sz="8" w:space="0" w:color="27BDBE"/>
          <w:insideV w:val="single" w:sz="8" w:space="0" w:color="27BDBE"/>
        </w:tcBorders>
        <w:shd w:val="clear" w:color="auto" w:fill="C5F2F3"/>
      </w:tcPr>
    </w:tblStylePr>
    <w:tblStylePr w:type="band2Horz">
      <w:tblPr/>
      <w:tcPr>
        <w:tcBorders>
          <w:top w:val="single" w:sz="8" w:space="0" w:color="27BDBE"/>
          <w:left w:val="single" w:sz="8" w:space="0" w:color="27BDBE"/>
          <w:bottom w:val="single" w:sz="8" w:space="0" w:color="27BDBE"/>
          <w:right w:val="single" w:sz="8" w:space="0" w:color="27BDBE"/>
          <w:insideV w:val="single" w:sz="8" w:space="0" w:color="27BDBE"/>
        </w:tcBorders>
      </w:tcPr>
    </w:tblStylePr>
  </w:style>
  <w:style w:type="table" w:styleId="LightGrid-Accent2">
    <w:name w:val="Light Grid Accent 2"/>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9E9A"/>
        <w:left w:val="single" w:sz="8" w:space="0" w:color="009E9A"/>
        <w:bottom w:val="single" w:sz="8" w:space="0" w:color="009E9A"/>
        <w:right w:val="single" w:sz="8" w:space="0" w:color="009E9A"/>
        <w:insideH w:val="single" w:sz="8" w:space="0" w:color="009E9A"/>
        <w:insideV w:val="single" w:sz="8" w:space="0" w:color="009E9A"/>
      </w:tblBorders>
    </w:tblPr>
    <w:tblStylePr w:type="firstRow">
      <w:pPr>
        <w:spacing w:before="0" w:after="0" w:line="240" w:lineRule="auto"/>
      </w:pPr>
      <w:rPr>
        <w:rFonts w:ascii="Arial" w:eastAsia="Times New Roman" w:hAnsi="Arial" w:cs="Times New Roman"/>
        <w:b/>
        <w:bCs/>
      </w:rPr>
      <w:tblPr/>
      <w:tcPr>
        <w:tcBorders>
          <w:top w:val="single" w:sz="8" w:space="0" w:color="009E9A"/>
          <w:left w:val="single" w:sz="8" w:space="0" w:color="009E9A"/>
          <w:bottom w:val="single" w:sz="18" w:space="0" w:color="009E9A"/>
          <w:right w:val="single" w:sz="8" w:space="0" w:color="009E9A"/>
          <w:insideH w:val="nil"/>
          <w:insideV w:val="single" w:sz="8" w:space="0" w:color="009E9A"/>
        </w:tcBorders>
      </w:tcPr>
    </w:tblStylePr>
    <w:tblStylePr w:type="lastRow">
      <w:pPr>
        <w:spacing w:before="0" w:after="0" w:line="240" w:lineRule="auto"/>
      </w:pPr>
      <w:rPr>
        <w:rFonts w:ascii="Arial" w:eastAsia="Times New Roman" w:hAnsi="Arial" w:cs="Times New Roman"/>
        <w:b/>
        <w:bCs/>
      </w:rPr>
      <w:tblPr/>
      <w:tcPr>
        <w:tcBorders>
          <w:top w:val="double" w:sz="6" w:space="0" w:color="009E9A"/>
          <w:left w:val="single" w:sz="8" w:space="0" w:color="009E9A"/>
          <w:bottom w:val="single" w:sz="8" w:space="0" w:color="009E9A"/>
          <w:right w:val="single" w:sz="8" w:space="0" w:color="009E9A"/>
          <w:insideH w:val="nil"/>
          <w:insideV w:val="single" w:sz="8" w:space="0" w:color="009E9A"/>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9E9A"/>
          <w:left w:val="single" w:sz="8" w:space="0" w:color="009E9A"/>
          <w:bottom w:val="single" w:sz="8" w:space="0" w:color="009E9A"/>
          <w:right w:val="single" w:sz="8" w:space="0" w:color="009E9A"/>
        </w:tcBorders>
      </w:tcPr>
    </w:tblStylePr>
    <w:tblStylePr w:type="band1Vert">
      <w:tblPr/>
      <w:tcPr>
        <w:tcBorders>
          <w:top w:val="single" w:sz="8" w:space="0" w:color="009E9A"/>
          <w:left w:val="single" w:sz="8" w:space="0" w:color="009E9A"/>
          <w:bottom w:val="single" w:sz="8" w:space="0" w:color="009E9A"/>
          <w:right w:val="single" w:sz="8" w:space="0" w:color="009E9A"/>
        </w:tcBorders>
        <w:shd w:val="clear" w:color="auto" w:fill="A8FFFC"/>
      </w:tcPr>
    </w:tblStylePr>
    <w:tblStylePr w:type="band1Horz">
      <w:tblPr/>
      <w:tcPr>
        <w:tcBorders>
          <w:top w:val="single" w:sz="8" w:space="0" w:color="009E9A"/>
          <w:left w:val="single" w:sz="8" w:space="0" w:color="009E9A"/>
          <w:bottom w:val="single" w:sz="8" w:space="0" w:color="009E9A"/>
          <w:right w:val="single" w:sz="8" w:space="0" w:color="009E9A"/>
          <w:insideV w:val="single" w:sz="8" w:space="0" w:color="009E9A"/>
        </w:tcBorders>
        <w:shd w:val="clear" w:color="auto" w:fill="A8FFFC"/>
      </w:tcPr>
    </w:tblStylePr>
    <w:tblStylePr w:type="band2Horz">
      <w:tblPr/>
      <w:tcPr>
        <w:tcBorders>
          <w:top w:val="single" w:sz="8" w:space="0" w:color="009E9A"/>
          <w:left w:val="single" w:sz="8" w:space="0" w:color="009E9A"/>
          <w:bottom w:val="single" w:sz="8" w:space="0" w:color="009E9A"/>
          <w:right w:val="single" w:sz="8" w:space="0" w:color="009E9A"/>
          <w:insideV w:val="single" w:sz="8" w:space="0" w:color="009E9A"/>
        </w:tcBorders>
      </w:tcPr>
    </w:tblStylePr>
  </w:style>
  <w:style w:type="table" w:styleId="LightGrid-Accent3">
    <w:name w:val="Light Grid Accent 3"/>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988C9"/>
        <w:left w:val="single" w:sz="8" w:space="0" w:color="2988C9"/>
        <w:bottom w:val="single" w:sz="8" w:space="0" w:color="2988C9"/>
        <w:right w:val="single" w:sz="8" w:space="0" w:color="2988C9"/>
        <w:insideH w:val="single" w:sz="8" w:space="0" w:color="2988C9"/>
        <w:insideV w:val="single" w:sz="8" w:space="0" w:color="2988C9"/>
      </w:tblBorders>
    </w:tblPr>
    <w:tblStylePr w:type="firstRow">
      <w:pPr>
        <w:spacing w:before="0" w:after="0" w:line="240" w:lineRule="auto"/>
      </w:pPr>
      <w:rPr>
        <w:rFonts w:ascii="Arial" w:eastAsia="Times New Roman" w:hAnsi="Arial" w:cs="Times New Roman"/>
        <w:b/>
        <w:bCs/>
      </w:rPr>
      <w:tblPr/>
      <w:tcPr>
        <w:tcBorders>
          <w:top w:val="single" w:sz="8" w:space="0" w:color="2988C9"/>
          <w:left w:val="single" w:sz="8" w:space="0" w:color="2988C9"/>
          <w:bottom w:val="single" w:sz="18" w:space="0" w:color="2988C9"/>
          <w:right w:val="single" w:sz="8" w:space="0" w:color="2988C9"/>
          <w:insideH w:val="nil"/>
          <w:insideV w:val="single" w:sz="8" w:space="0" w:color="2988C9"/>
        </w:tcBorders>
      </w:tcPr>
    </w:tblStylePr>
    <w:tblStylePr w:type="lastRow">
      <w:pPr>
        <w:spacing w:before="0" w:after="0" w:line="240" w:lineRule="auto"/>
      </w:pPr>
      <w:rPr>
        <w:rFonts w:ascii="Arial" w:eastAsia="Times New Roman" w:hAnsi="Arial" w:cs="Times New Roman"/>
        <w:b/>
        <w:bCs/>
      </w:rPr>
      <w:tblPr/>
      <w:tcPr>
        <w:tcBorders>
          <w:top w:val="double" w:sz="6" w:space="0" w:color="2988C9"/>
          <w:left w:val="single" w:sz="8" w:space="0" w:color="2988C9"/>
          <w:bottom w:val="single" w:sz="8" w:space="0" w:color="2988C9"/>
          <w:right w:val="single" w:sz="8" w:space="0" w:color="2988C9"/>
          <w:insideH w:val="nil"/>
          <w:insideV w:val="single" w:sz="8" w:space="0" w:color="2988C9"/>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2988C9"/>
          <w:left w:val="single" w:sz="8" w:space="0" w:color="2988C9"/>
          <w:bottom w:val="single" w:sz="8" w:space="0" w:color="2988C9"/>
          <w:right w:val="single" w:sz="8" w:space="0" w:color="2988C9"/>
        </w:tcBorders>
      </w:tcPr>
    </w:tblStylePr>
    <w:tblStylePr w:type="band1Vert">
      <w:tblPr/>
      <w:tcPr>
        <w:tcBorders>
          <w:top w:val="single" w:sz="8" w:space="0" w:color="2988C9"/>
          <w:left w:val="single" w:sz="8" w:space="0" w:color="2988C9"/>
          <w:bottom w:val="single" w:sz="8" w:space="0" w:color="2988C9"/>
          <w:right w:val="single" w:sz="8" w:space="0" w:color="2988C9"/>
        </w:tcBorders>
        <w:shd w:val="clear" w:color="auto" w:fill="C7E1F3"/>
      </w:tcPr>
    </w:tblStylePr>
    <w:tblStylePr w:type="band1Horz">
      <w:tblPr/>
      <w:tcPr>
        <w:tcBorders>
          <w:top w:val="single" w:sz="8" w:space="0" w:color="2988C9"/>
          <w:left w:val="single" w:sz="8" w:space="0" w:color="2988C9"/>
          <w:bottom w:val="single" w:sz="8" w:space="0" w:color="2988C9"/>
          <w:right w:val="single" w:sz="8" w:space="0" w:color="2988C9"/>
          <w:insideV w:val="single" w:sz="8" w:space="0" w:color="2988C9"/>
        </w:tcBorders>
        <w:shd w:val="clear" w:color="auto" w:fill="C7E1F3"/>
      </w:tcPr>
    </w:tblStylePr>
    <w:tblStylePr w:type="band2Horz">
      <w:tblPr/>
      <w:tcPr>
        <w:tcBorders>
          <w:top w:val="single" w:sz="8" w:space="0" w:color="2988C9"/>
          <w:left w:val="single" w:sz="8" w:space="0" w:color="2988C9"/>
          <w:bottom w:val="single" w:sz="8" w:space="0" w:color="2988C9"/>
          <w:right w:val="single" w:sz="8" w:space="0" w:color="2988C9"/>
          <w:insideV w:val="single" w:sz="8" w:space="0" w:color="2988C9"/>
        </w:tcBorders>
      </w:tcPr>
    </w:tblStylePr>
  </w:style>
  <w:style w:type="table" w:styleId="LightGrid-Accent4">
    <w:name w:val="Light Grid Accent 4"/>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76F9A"/>
        <w:left w:val="single" w:sz="8" w:space="0" w:color="276F9A"/>
        <w:bottom w:val="single" w:sz="8" w:space="0" w:color="276F9A"/>
        <w:right w:val="single" w:sz="8" w:space="0" w:color="276F9A"/>
        <w:insideH w:val="single" w:sz="8" w:space="0" w:color="276F9A"/>
        <w:insideV w:val="single" w:sz="8" w:space="0" w:color="276F9A"/>
      </w:tblBorders>
    </w:tblPr>
    <w:tblStylePr w:type="firstRow">
      <w:pPr>
        <w:spacing w:before="0" w:after="0" w:line="240" w:lineRule="auto"/>
      </w:pPr>
      <w:rPr>
        <w:rFonts w:ascii="Arial" w:eastAsia="Times New Roman" w:hAnsi="Arial" w:cs="Times New Roman"/>
        <w:b/>
        <w:bCs/>
      </w:rPr>
      <w:tblPr/>
      <w:tcPr>
        <w:tcBorders>
          <w:top w:val="single" w:sz="8" w:space="0" w:color="276F9A"/>
          <w:left w:val="single" w:sz="8" w:space="0" w:color="276F9A"/>
          <w:bottom w:val="single" w:sz="18" w:space="0" w:color="276F9A"/>
          <w:right w:val="single" w:sz="8" w:space="0" w:color="276F9A"/>
          <w:insideH w:val="nil"/>
          <w:insideV w:val="single" w:sz="8" w:space="0" w:color="276F9A"/>
        </w:tcBorders>
      </w:tcPr>
    </w:tblStylePr>
    <w:tblStylePr w:type="lastRow">
      <w:pPr>
        <w:spacing w:before="0" w:after="0" w:line="240" w:lineRule="auto"/>
      </w:pPr>
      <w:rPr>
        <w:rFonts w:ascii="Arial" w:eastAsia="Times New Roman" w:hAnsi="Arial" w:cs="Times New Roman"/>
        <w:b/>
        <w:bCs/>
      </w:rPr>
      <w:tblPr/>
      <w:tcPr>
        <w:tcBorders>
          <w:top w:val="double" w:sz="6" w:space="0" w:color="276F9A"/>
          <w:left w:val="single" w:sz="8" w:space="0" w:color="276F9A"/>
          <w:bottom w:val="single" w:sz="8" w:space="0" w:color="276F9A"/>
          <w:right w:val="single" w:sz="8" w:space="0" w:color="276F9A"/>
          <w:insideH w:val="nil"/>
          <w:insideV w:val="single" w:sz="8" w:space="0" w:color="276F9A"/>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276F9A"/>
          <w:left w:val="single" w:sz="8" w:space="0" w:color="276F9A"/>
          <w:bottom w:val="single" w:sz="8" w:space="0" w:color="276F9A"/>
          <w:right w:val="single" w:sz="8" w:space="0" w:color="276F9A"/>
        </w:tcBorders>
      </w:tcPr>
    </w:tblStylePr>
    <w:tblStylePr w:type="band1Vert">
      <w:tblPr/>
      <w:tcPr>
        <w:tcBorders>
          <w:top w:val="single" w:sz="8" w:space="0" w:color="276F9A"/>
          <w:left w:val="single" w:sz="8" w:space="0" w:color="276F9A"/>
          <w:bottom w:val="single" w:sz="8" w:space="0" w:color="276F9A"/>
          <w:right w:val="single" w:sz="8" w:space="0" w:color="276F9A"/>
        </w:tcBorders>
        <w:shd w:val="clear" w:color="auto" w:fill="C0DDEF"/>
      </w:tcPr>
    </w:tblStylePr>
    <w:tblStylePr w:type="band1Horz">
      <w:tblPr/>
      <w:tcPr>
        <w:tcBorders>
          <w:top w:val="single" w:sz="8" w:space="0" w:color="276F9A"/>
          <w:left w:val="single" w:sz="8" w:space="0" w:color="276F9A"/>
          <w:bottom w:val="single" w:sz="8" w:space="0" w:color="276F9A"/>
          <w:right w:val="single" w:sz="8" w:space="0" w:color="276F9A"/>
          <w:insideV w:val="single" w:sz="8" w:space="0" w:color="276F9A"/>
        </w:tcBorders>
        <w:shd w:val="clear" w:color="auto" w:fill="C0DDEF"/>
      </w:tcPr>
    </w:tblStylePr>
    <w:tblStylePr w:type="band2Horz">
      <w:tblPr/>
      <w:tcPr>
        <w:tcBorders>
          <w:top w:val="single" w:sz="8" w:space="0" w:color="276F9A"/>
          <w:left w:val="single" w:sz="8" w:space="0" w:color="276F9A"/>
          <w:bottom w:val="single" w:sz="8" w:space="0" w:color="276F9A"/>
          <w:right w:val="single" w:sz="8" w:space="0" w:color="276F9A"/>
          <w:insideV w:val="single" w:sz="8" w:space="0" w:color="276F9A"/>
        </w:tcBorders>
      </w:tcPr>
    </w:tblStylePr>
  </w:style>
  <w:style w:type="table" w:styleId="LightGrid-Accent5">
    <w:name w:val="Light Grid Accent 5"/>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3FB65B"/>
        <w:left w:val="single" w:sz="8" w:space="0" w:color="3FB65B"/>
        <w:bottom w:val="single" w:sz="8" w:space="0" w:color="3FB65B"/>
        <w:right w:val="single" w:sz="8" w:space="0" w:color="3FB65B"/>
        <w:insideH w:val="single" w:sz="8" w:space="0" w:color="3FB65B"/>
        <w:insideV w:val="single" w:sz="8" w:space="0" w:color="3FB65B"/>
      </w:tblBorders>
    </w:tblPr>
    <w:tblStylePr w:type="firstRow">
      <w:pPr>
        <w:spacing w:before="0" w:after="0" w:line="240" w:lineRule="auto"/>
      </w:pPr>
      <w:rPr>
        <w:rFonts w:ascii="Arial" w:eastAsia="Times New Roman" w:hAnsi="Arial" w:cs="Times New Roman"/>
        <w:b/>
        <w:bCs/>
      </w:rPr>
      <w:tblPr/>
      <w:tcPr>
        <w:tcBorders>
          <w:top w:val="single" w:sz="8" w:space="0" w:color="3FB65B"/>
          <w:left w:val="single" w:sz="8" w:space="0" w:color="3FB65B"/>
          <w:bottom w:val="single" w:sz="18" w:space="0" w:color="3FB65B"/>
          <w:right w:val="single" w:sz="8" w:space="0" w:color="3FB65B"/>
          <w:insideH w:val="nil"/>
          <w:insideV w:val="single" w:sz="8" w:space="0" w:color="3FB65B"/>
        </w:tcBorders>
      </w:tcPr>
    </w:tblStylePr>
    <w:tblStylePr w:type="lastRow">
      <w:pPr>
        <w:spacing w:before="0" w:after="0" w:line="240" w:lineRule="auto"/>
      </w:pPr>
      <w:rPr>
        <w:rFonts w:ascii="Arial" w:eastAsia="Times New Roman" w:hAnsi="Arial" w:cs="Times New Roman"/>
        <w:b/>
        <w:bCs/>
      </w:rPr>
      <w:tblPr/>
      <w:tcPr>
        <w:tcBorders>
          <w:top w:val="double" w:sz="6" w:space="0" w:color="3FB65B"/>
          <w:left w:val="single" w:sz="8" w:space="0" w:color="3FB65B"/>
          <w:bottom w:val="single" w:sz="8" w:space="0" w:color="3FB65B"/>
          <w:right w:val="single" w:sz="8" w:space="0" w:color="3FB65B"/>
          <w:insideH w:val="nil"/>
          <w:insideV w:val="single" w:sz="8" w:space="0" w:color="3FB65B"/>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3FB65B"/>
          <w:left w:val="single" w:sz="8" w:space="0" w:color="3FB65B"/>
          <w:bottom w:val="single" w:sz="8" w:space="0" w:color="3FB65B"/>
          <w:right w:val="single" w:sz="8" w:space="0" w:color="3FB65B"/>
        </w:tcBorders>
      </w:tcPr>
    </w:tblStylePr>
    <w:tblStylePr w:type="band1Vert">
      <w:tblPr/>
      <w:tcPr>
        <w:tcBorders>
          <w:top w:val="single" w:sz="8" w:space="0" w:color="3FB65B"/>
          <w:left w:val="single" w:sz="8" w:space="0" w:color="3FB65B"/>
          <w:bottom w:val="single" w:sz="8" w:space="0" w:color="3FB65B"/>
          <w:right w:val="single" w:sz="8" w:space="0" w:color="3FB65B"/>
        </w:tcBorders>
        <w:shd w:val="clear" w:color="auto" w:fill="CEEED5"/>
      </w:tcPr>
    </w:tblStylePr>
    <w:tblStylePr w:type="band1Horz">
      <w:tblPr/>
      <w:tcPr>
        <w:tcBorders>
          <w:top w:val="single" w:sz="8" w:space="0" w:color="3FB65B"/>
          <w:left w:val="single" w:sz="8" w:space="0" w:color="3FB65B"/>
          <w:bottom w:val="single" w:sz="8" w:space="0" w:color="3FB65B"/>
          <w:right w:val="single" w:sz="8" w:space="0" w:color="3FB65B"/>
          <w:insideV w:val="single" w:sz="8" w:space="0" w:color="3FB65B"/>
        </w:tcBorders>
        <w:shd w:val="clear" w:color="auto" w:fill="CEEED5"/>
      </w:tcPr>
    </w:tblStylePr>
    <w:tblStylePr w:type="band2Horz">
      <w:tblPr/>
      <w:tcPr>
        <w:tcBorders>
          <w:top w:val="single" w:sz="8" w:space="0" w:color="3FB65B"/>
          <w:left w:val="single" w:sz="8" w:space="0" w:color="3FB65B"/>
          <w:bottom w:val="single" w:sz="8" w:space="0" w:color="3FB65B"/>
          <w:right w:val="single" w:sz="8" w:space="0" w:color="3FB65B"/>
          <w:insideV w:val="single" w:sz="8" w:space="0" w:color="3FB65B"/>
        </w:tcBorders>
      </w:tcPr>
    </w:tblStylePr>
  </w:style>
  <w:style w:type="table" w:styleId="LightGrid-Accent6">
    <w:name w:val="Light Grid Accent 6"/>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803594"/>
        <w:left w:val="single" w:sz="8" w:space="0" w:color="803594"/>
        <w:bottom w:val="single" w:sz="8" w:space="0" w:color="803594"/>
        <w:right w:val="single" w:sz="8" w:space="0" w:color="803594"/>
        <w:insideH w:val="single" w:sz="8" w:space="0" w:color="803594"/>
        <w:insideV w:val="single" w:sz="8" w:space="0" w:color="803594"/>
      </w:tblBorders>
    </w:tblPr>
    <w:tblStylePr w:type="firstRow">
      <w:pPr>
        <w:spacing w:before="0" w:after="0" w:line="240" w:lineRule="auto"/>
      </w:pPr>
      <w:rPr>
        <w:rFonts w:ascii="Arial" w:eastAsia="Times New Roman" w:hAnsi="Arial" w:cs="Times New Roman"/>
        <w:b/>
        <w:bCs/>
      </w:rPr>
      <w:tblPr/>
      <w:tcPr>
        <w:tcBorders>
          <w:top w:val="single" w:sz="8" w:space="0" w:color="803594"/>
          <w:left w:val="single" w:sz="8" w:space="0" w:color="803594"/>
          <w:bottom w:val="single" w:sz="18" w:space="0" w:color="803594"/>
          <w:right w:val="single" w:sz="8" w:space="0" w:color="803594"/>
          <w:insideH w:val="nil"/>
          <w:insideV w:val="single" w:sz="8" w:space="0" w:color="803594"/>
        </w:tcBorders>
      </w:tcPr>
    </w:tblStylePr>
    <w:tblStylePr w:type="lastRow">
      <w:pPr>
        <w:spacing w:before="0" w:after="0" w:line="240" w:lineRule="auto"/>
      </w:pPr>
      <w:rPr>
        <w:rFonts w:ascii="Arial" w:eastAsia="Times New Roman" w:hAnsi="Arial" w:cs="Times New Roman"/>
        <w:b/>
        <w:bCs/>
      </w:rPr>
      <w:tblPr/>
      <w:tcPr>
        <w:tcBorders>
          <w:top w:val="double" w:sz="6" w:space="0" w:color="803594"/>
          <w:left w:val="single" w:sz="8" w:space="0" w:color="803594"/>
          <w:bottom w:val="single" w:sz="8" w:space="0" w:color="803594"/>
          <w:right w:val="single" w:sz="8" w:space="0" w:color="803594"/>
          <w:insideH w:val="nil"/>
          <w:insideV w:val="single" w:sz="8" w:space="0" w:color="803594"/>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803594"/>
          <w:left w:val="single" w:sz="8" w:space="0" w:color="803594"/>
          <w:bottom w:val="single" w:sz="8" w:space="0" w:color="803594"/>
          <w:right w:val="single" w:sz="8" w:space="0" w:color="803594"/>
        </w:tcBorders>
      </w:tcPr>
    </w:tblStylePr>
    <w:tblStylePr w:type="band1Vert">
      <w:tblPr/>
      <w:tcPr>
        <w:tcBorders>
          <w:top w:val="single" w:sz="8" w:space="0" w:color="803594"/>
          <w:left w:val="single" w:sz="8" w:space="0" w:color="803594"/>
          <w:bottom w:val="single" w:sz="8" w:space="0" w:color="803594"/>
          <w:right w:val="single" w:sz="8" w:space="0" w:color="803594"/>
        </w:tcBorders>
        <w:shd w:val="clear" w:color="auto" w:fill="E3C6EA"/>
      </w:tcPr>
    </w:tblStylePr>
    <w:tblStylePr w:type="band1Horz">
      <w:tblPr/>
      <w:tcPr>
        <w:tcBorders>
          <w:top w:val="single" w:sz="8" w:space="0" w:color="803594"/>
          <w:left w:val="single" w:sz="8" w:space="0" w:color="803594"/>
          <w:bottom w:val="single" w:sz="8" w:space="0" w:color="803594"/>
          <w:right w:val="single" w:sz="8" w:space="0" w:color="803594"/>
          <w:insideV w:val="single" w:sz="8" w:space="0" w:color="803594"/>
        </w:tcBorders>
        <w:shd w:val="clear" w:color="auto" w:fill="E3C6EA"/>
      </w:tcPr>
    </w:tblStylePr>
    <w:tblStylePr w:type="band2Horz">
      <w:tblPr/>
      <w:tcPr>
        <w:tcBorders>
          <w:top w:val="single" w:sz="8" w:space="0" w:color="803594"/>
          <w:left w:val="single" w:sz="8" w:space="0" w:color="803594"/>
          <w:bottom w:val="single" w:sz="8" w:space="0" w:color="803594"/>
          <w:right w:val="single" w:sz="8" w:space="0" w:color="803594"/>
          <w:insideV w:val="single" w:sz="8" w:space="0" w:color="803594"/>
        </w:tcBorders>
      </w:tcPr>
    </w:tblStylePr>
  </w:style>
  <w:style w:type="table" w:customStyle="1" w:styleId="LightList1">
    <w:name w:val="Light List1"/>
    <w:basedOn w:val="TableNormal"/>
    <w:uiPriority w:val="61"/>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7BDBE"/>
        <w:left w:val="single" w:sz="8" w:space="0" w:color="27BDBE"/>
        <w:bottom w:val="single" w:sz="8" w:space="0" w:color="27BDBE"/>
        <w:right w:val="single" w:sz="8" w:space="0" w:color="27BDBE"/>
      </w:tblBorders>
    </w:tblPr>
    <w:tblStylePr w:type="firstRow">
      <w:pPr>
        <w:spacing w:before="0" w:after="0" w:line="240" w:lineRule="auto"/>
      </w:pPr>
      <w:rPr>
        <w:b/>
        <w:bCs/>
        <w:color w:val="FFFFFF"/>
      </w:rPr>
      <w:tblPr/>
      <w:tcPr>
        <w:shd w:val="clear" w:color="auto" w:fill="27BDBE"/>
      </w:tcPr>
    </w:tblStylePr>
    <w:tblStylePr w:type="lastRow">
      <w:pPr>
        <w:spacing w:before="0" w:after="0" w:line="240" w:lineRule="auto"/>
      </w:pPr>
      <w:rPr>
        <w:b/>
        <w:bCs/>
      </w:rPr>
      <w:tblPr/>
      <w:tcPr>
        <w:tcBorders>
          <w:top w:val="double" w:sz="6" w:space="0" w:color="27BDBE"/>
          <w:left w:val="single" w:sz="8" w:space="0" w:color="27BDBE"/>
          <w:bottom w:val="single" w:sz="8" w:space="0" w:color="27BDBE"/>
          <w:right w:val="single" w:sz="8" w:space="0" w:color="27BDBE"/>
        </w:tcBorders>
      </w:tcPr>
    </w:tblStylePr>
    <w:tblStylePr w:type="firstCol">
      <w:rPr>
        <w:b/>
        <w:bCs/>
      </w:rPr>
    </w:tblStylePr>
    <w:tblStylePr w:type="lastCol">
      <w:rPr>
        <w:b/>
        <w:bCs/>
      </w:rPr>
    </w:tblStylePr>
    <w:tblStylePr w:type="band1Vert">
      <w:tblPr/>
      <w:tcPr>
        <w:tcBorders>
          <w:top w:val="single" w:sz="8" w:space="0" w:color="27BDBE"/>
          <w:left w:val="single" w:sz="8" w:space="0" w:color="27BDBE"/>
          <w:bottom w:val="single" w:sz="8" w:space="0" w:color="27BDBE"/>
          <w:right w:val="single" w:sz="8" w:space="0" w:color="27BDBE"/>
        </w:tcBorders>
      </w:tcPr>
    </w:tblStylePr>
    <w:tblStylePr w:type="band1Horz">
      <w:tblPr/>
      <w:tcPr>
        <w:tcBorders>
          <w:top w:val="single" w:sz="8" w:space="0" w:color="27BDBE"/>
          <w:left w:val="single" w:sz="8" w:space="0" w:color="27BDBE"/>
          <w:bottom w:val="single" w:sz="8" w:space="0" w:color="27BDBE"/>
          <w:right w:val="single" w:sz="8" w:space="0" w:color="27BDBE"/>
        </w:tcBorders>
      </w:tcPr>
    </w:tblStylePr>
  </w:style>
  <w:style w:type="table" w:styleId="LightList-Accent2">
    <w:name w:val="Light List Accent 2"/>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9E9A"/>
        <w:left w:val="single" w:sz="8" w:space="0" w:color="009E9A"/>
        <w:bottom w:val="single" w:sz="8" w:space="0" w:color="009E9A"/>
        <w:right w:val="single" w:sz="8" w:space="0" w:color="009E9A"/>
      </w:tblBorders>
    </w:tblPr>
    <w:tblStylePr w:type="firstRow">
      <w:pPr>
        <w:spacing w:before="0" w:after="0" w:line="240" w:lineRule="auto"/>
      </w:pPr>
      <w:rPr>
        <w:b/>
        <w:bCs/>
        <w:color w:val="FFFFFF"/>
      </w:rPr>
      <w:tblPr/>
      <w:tcPr>
        <w:shd w:val="clear" w:color="auto" w:fill="009E9A"/>
      </w:tcPr>
    </w:tblStylePr>
    <w:tblStylePr w:type="lastRow">
      <w:pPr>
        <w:spacing w:before="0" w:after="0" w:line="240" w:lineRule="auto"/>
      </w:pPr>
      <w:rPr>
        <w:b/>
        <w:bCs/>
      </w:rPr>
      <w:tblPr/>
      <w:tcPr>
        <w:tcBorders>
          <w:top w:val="double" w:sz="6" w:space="0" w:color="009E9A"/>
          <w:left w:val="single" w:sz="8" w:space="0" w:color="009E9A"/>
          <w:bottom w:val="single" w:sz="8" w:space="0" w:color="009E9A"/>
          <w:right w:val="single" w:sz="8" w:space="0" w:color="009E9A"/>
        </w:tcBorders>
      </w:tcPr>
    </w:tblStylePr>
    <w:tblStylePr w:type="firstCol">
      <w:rPr>
        <w:b/>
        <w:bCs/>
      </w:rPr>
    </w:tblStylePr>
    <w:tblStylePr w:type="lastCol">
      <w:rPr>
        <w:b/>
        <w:bCs/>
      </w:rPr>
    </w:tblStylePr>
    <w:tblStylePr w:type="band1Vert">
      <w:tblPr/>
      <w:tcPr>
        <w:tcBorders>
          <w:top w:val="single" w:sz="8" w:space="0" w:color="009E9A"/>
          <w:left w:val="single" w:sz="8" w:space="0" w:color="009E9A"/>
          <w:bottom w:val="single" w:sz="8" w:space="0" w:color="009E9A"/>
          <w:right w:val="single" w:sz="8" w:space="0" w:color="009E9A"/>
        </w:tcBorders>
      </w:tcPr>
    </w:tblStylePr>
    <w:tblStylePr w:type="band1Horz">
      <w:tblPr/>
      <w:tcPr>
        <w:tcBorders>
          <w:top w:val="single" w:sz="8" w:space="0" w:color="009E9A"/>
          <w:left w:val="single" w:sz="8" w:space="0" w:color="009E9A"/>
          <w:bottom w:val="single" w:sz="8" w:space="0" w:color="009E9A"/>
          <w:right w:val="single" w:sz="8" w:space="0" w:color="009E9A"/>
        </w:tcBorders>
      </w:tcPr>
    </w:tblStylePr>
  </w:style>
  <w:style w:type="table" w:styleId="LightList-Accent3">
    <w:name w:val="Light List Accent 3"/>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988C9"/>
        <w:left w:val="single" w:sz="8" w:space="0" w:color="2988C9"/>
        <w:bottom w:val="single" w:sz="8" w:space="0" w:color="2988C9"/>
        <w:right w:val="single" w:sz="8" w:space="0" w:color="2988C9"/>
      </w:tblBorders>
    </w:tblPr>
    <w:tblStylePr w:type="firstRow">
      <w:pPr>
        <w:spacing w:before="0" w:after="0" w:line="240" w:lineRule="auto"/>
      </w:pPr>
      <w:rPr>
        <w:b/>
        <w:bCs/>
        <w:color w:val="FFFFFF"/>
      </w:rPr>
      <w:tblPr/>
      <w:tcPr>
        <w:shd w:val="clear" w:color="auto" w:fill="2988C9"/>
      </w:tcPr>
    </w:tblStylePr>
    <w:tblStylePr w:type="lastRow">
      <w:pPr>
        <w:spacing w:before="0" w:after="0" w:line="240" w:lineRule="auto"/>
      </w:pPr>
      <w:rPr>
        <w:b/>
        <w:bCs/>
      </w:rPr>
      <w:tblPr/>
      <w:tcPr>
        <w:tcBorders>
          <w:top w:val="double" w:sz="6" w:space="0" w:color="2988C9"/>
          <w:left w:val="single" w:sz="8" w:space="0" w:color="2988C9"/>
          <w:bottom w:val="single" w:sz="8" w:space="0" w:color="2988C9"/>
          <w:right w:val="single" w:sz="8" w:space="0" w:color="2988C9"/>
        </w:tcBorders>
      </w:tcPr>
    </w:tblStylePr>
    <w:tblStylePr w:type="firstCol">
      <w:rPr>
        <w:b/>
        <w:bCs/>
      </w:rPr>
    </w:tblStylePr>
    <w:tblStylePr w:type="lastCol">
      <w:rPr>
        <w:b/>
        <w:bCs/>
      </w:rPr>
    </w:tblStylePr>
    <w:tblStylePr w:type="band1Vert">
      <w:tblPr/>
      <w:tcPr>
        <w:tcBorders>
          <w:top w:val="single" w:sz="8" w:space="0" w:color="2988C9"/>
          <w:left w:val="single" w:sz="8" w:space="0" w:color="2988C9"/>
          <w:bottom w:val="single" w:sz="8" w:space="0" w:color="2988C9"/>
          <w:right w:val="single" w:sz="8" w:space="0" w:color="2988C9"/>
        </w:tcBorders>
      </w:tcPr>
    </w:tblStylePr>
    <w:tblStylePr w:type="band1Horz">
      <w:tblPr/>
      <w:tcPr>
        <w:tcBorders>
          <w:top w:val="single" w:sz="8" w:space="0" w:color="2988C9"/>
          <w:left w:val="single" w:sz="8" w:space="0" w:color="2988C9"/>
          <w:bottom w:val="single" w:sz="8" w:space="0" w:color="2988C9"/>
          <w:right w:val="single" w:sz="8" w:space="0" w:color="2988C9"/>
        </w:tcBorders>
      </w:tcPr>
    </w:tblStylePr>
  </w:style>
  <w:style w:type="table" w:styleId="LightList-Accent4">
    <w:name w:val="Light List Accent 4"/>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76F9A"/>
        <w:left w:val="single" w:sz="8" w:space="0" w:color="276F9A"/>
        <w:bottom w:val="single" w:sz="8" w:space="0" w:color="276F9A"/>
        <w:right w:val="single" w:sz="8" w:space="0" w:color="276F9A"/>
      </w:tblBorders>
    </w:tblPr>
    <w:tblStylePr w:type="firstRow">
      <w:pPr>
        <w:spacing w:before="0" w:after="0" w:line="240" w:lineRule="auto"/>
      </w:pPr>
      <w:rPr>
        <w:b/>
        <w:bCs/>
        <w:color w:val="FFFFFF"/>
      </w:rPr>
      <w:tblPr/>
      <w:tcPr>
        <w:shd w:val="clear" w:color="auto" w:fill="276F9A"/>
      </w:tcPr>
    </w:tblStylePr>
    <w:tblStylePr w:type="lastRow">
      <w:pPr>
        <w:spacing w:before="0" w:after="0" w:line="240" w:lineRule="auto"/>
      </w:pPr>
      <w:rPr>
        <w:b/>
        <w:bCs/>
      </w:rPr>
      <w:tblPr/>
      <w:tcPr>
        <w:tcBorders>
          <w:top w:val="double" w:sz="6" w:space="0" w:color="276F9A"/>
          <w:left w:val="single" w:sz="8" w:space="0" w:color="276F9A"/>
          <w:bottom w:val="single" w:sz="8" w:space="0" w:color="276F9A"/>
          <w:right w:val="single" w:sz="8" w:space="0" w:color="276F9A"/>
        </w:tcBorders>
      </w:tcPr>
    </w:tblStylePr>
    <w:tblStylePr w:type="firstCol">
      <w:rPr>
        <w:b/>
        <w:bCs/>
      </w:rPr>
    </w:tblStylePr>
    <w:tblStylePr w:type="lastCol">
      <w:rPr>
        <w:b/>
        <w:bCs/>
      </w:rPr>
    </w:tblStylePr>
    <w:tblStylePr w:type="band1Vert">
      <w:tblPr/>
      <w:tcPr>
        <w:tcBorders>
          <w:top w:val="single" w:sz="8" w:space="0" w:color="276F9A"/>
          <w:left w:val="single" w:sz="8" w:space="0" w:color="276F9A"/>
          <w:bottom w:val="single" w:sz="8" w:space="0" w:color="276F9A"/>
          <w:right w:val="single" w:sz="8" w:space="0" w:color="276F9A"/>
        </w:tcBorders>
      </w:tcPr>
    </w:tblStylePr>
    <w:tblStylePr w:type="band1Horz">
      <w:tblPr/>
      <w:tcPr>
        <w:tcBorders>
          <w:top w:val="single" w:sz="8" w:space="0" w:color="276F9A"/>
          <w:left w:val="single" w:sz="8" w:space="0" w:color="276F9A"/>
          <w:bottom w:val="single" w:sz="8" w:space="0" w:color="276F9A"/>
          <w:right w:val="single" w:sz="8" w:space="0" w:color="276F9A"/>
        </w:tcBorders>
      </w:tcPr>
    </w:tblStylePr>
  </w:style>
  <w:style w:type="table" w:styleId="LightList-Accent5">
    <w:name w:val="Light List Accent 5"/>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3FB65B"/>
        <w:left w:val="single" w:sz="8" w:space="0" w:color="3FB65B"/>
        <w:bottom w:val="single" w:sz="8" w:space="0" w:color="3FB65B"/>
        <w:right w:val="single" w:sz="8" w:space="0" w:color="3FB65B"/>
      </w:tblBorders>
    </w:tblPr>
    <w:tblStylePr w:type="firstRow">
      <w:pPr>
        <w:spacing w:before="0" w:after="0" w:line="240" w:lineRule="auto"/>
      </w:pPr>
      <w:rPr>
        <w:b/>
        <w:bCs/>
        <w:color w:val="FFFFFF"/>
      </w:rPr>
      <w:tblPr/>
      <w:tcPr>
        <w:shd w:val="clear" w:color="auto" w:fill="3FB65B"/>
      </w:tcPr>
    </w:tblStylePr>
    <w:tblStylePr w:type="lastRow">
      <w:pPr>
        <w:spacing w:before="0" w:after="0" w:line="240" w:lineRule="auto"/>
      </w:pPr>
      <w:rPr>
        <w:b/>
        <w:bCs/>
      </w:rPr>
      <w:tblPr/>
      <w:tcPr>
        <w:tcBorders>
          <w:top w:val="double" w:sz="6" w:space="0" w:color="3FB65B"/>
          <w:left w:val="single" w:sz="8" w:space="0" w:color="3FB65B"/>
          <w:bottom w:val="single" w:sz="8" w:space="0" w:color="3FB65B"/>
          <w:right w:val="single" w:sz="8" w:space="0" w:color="3FB65B"/>
        </w:tcBorders>
      </w:tcPr>
    </w:tblStylePr>
    <w:tblStylePr w:type="firstCol">
      <w:rPr>
        <w:b/>
        <w:bCs/>
      </w:rPr>
    </w:tblStylePr>
    <w:tblStylePr w:type="lastCol">
      <w:rPr>
        <w:b/>
        <w:bCs/>
      </w:rPr>
    </w:tblStylePr>
    <w:tblStylePr w:type="band1Vert">
      <w:tblPr/>
      <w:tcPr>
        <w:tcBorders>
          <w:top w:val="single" w:sz="8" w:space="0" w:color="3FB65B"/>
          <w:left w:val="single" w:sz="8" w:space="0" w:color="3FB65B"/>
          <w:bottom w:val="single" w:sz="8" w:space="0" w:color="3FB65B"/>
          <w:right w:val="single" w:sz="8" w:space="0" w:color="3FB65B"/>
        </w:tcBorders>
      </w:tcPr>
    </w:tblStylePr>
    <w:tblStylePr w:type="band1Horz">
      <w:tblPr/>
      <w:tcPr>
        <w:tcBorders>
          <w:top w:val="single" w:sz="8" w:space="0" w:color="3FB65B"/>
          <w:left w:val="single" w:sz="8" w:space="0" w:color="3FB65B"/>
          <w:bottom w:val="single" w:sz="8" w:space="0" w:color="3FB65B"/>
          <w:right w:val="single" w:sz="8" w:space="0" w:color="3FB65B"/>
        </w:tcBorders>
      </w:tcPr>
    </w:tblStylePr>
  </w:style>
  <w:style w:type="table" w:styleId="LightList-Accent6">
    <w:name w:val="Light List Accent 6"/>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803594"/>
        <w:left w:val="single" w:sz="8" w:space="0" w:color="803594"/>
        <w:bottom w:val="single" w:sz="8" w:space="0" w:color="803594"/>
        <w:right w:val="single" w:sz="8" w:space="0" w:color="803594"/>
      </w:tblBorders>
    </w:tblPr>
    <w:tblStylePr w:type="firstRow">
      <w:pPr>
        <w:spacing w:before="0" w:after="0" w:line="240" w:lineRule="auto"/>
      </w:pPr>
      <w:rPr>
        <w:b/>
        <w:bCs/>
        <w:color w:val="FFFFFF"/>
      </w:rPr>
      <w:tblPr/>
      <w:tcPr>
        <w:shd w:val="clear" w:color="auto" w:fill="803594"/>
      </w:tcPr>
    </w:tblStylePr>
    <w:tblStylePr w:type="lastRow">
      <w:pPr>
        <w:spacing w:before="0" w:after="0" w:line="240" w:lineRule="auto"/>
      </w:pPr>
      <w:rPr>
        <w:b/>
        <w:bCs/>
      </w:rPr>
      <w:tblPr/>
      <w:tcPr>
        <w:tcBorders>
          <w:top w:val="double" w:sz="6" w:space="0" w:color="803594"/>
          <w:left w:val="single" w:sz="8" w:space="0" w:color="803594"/>
          <w:bottom w:val="single" w:sz="8" w:space="0" w:color="803594"/>
          <w:right w:val="single" w:sz="8" w:space="0" w:color="803594"/>
        </w:tcBorders>
      </w:tcPr>
    </w:tblStylePr>
    <w:tblStylePr w:type="firstCol">
      <w:rPr>
        <w:b/>
        <w:bCs/>
      </w:rPr>
    </w:tblStylePr>
    <w:tblStylePr w:type="lastCol">
      <w:rPr>
        <w:b/>
        <w:bCs/>
      </w:rPr>
    </w:tblStylePr>
    <w:tblStylePr w:type="band1Vert">
      <w:tblPr/>
      <w:tcPr>
        <w:tcBorders>
          <w:top w:val="single" w:sz="8" w:space="0" w:color="803594"/>
          <w:left w:val="single" w:sz="8" w:space="0" w:color="803594"/>
          <w:bottom w:val="single" w:sz="8" w:space="0" w:color="803594"/>
          <w:right w:val="single" w:sz="8" w:space="0" w:color="803594"/>
        </w:tcBorders>
      </w:tcPr>
    </w:tblStylePr>
    <w:tblStylePr w:type="band1Horz">
      <w:tblPr/>
      <w:tcPr>
        <w:tcBorders>
          <w:top w:val="single" w:sz="8" w:space="0" w:color="803594"/>
          <w:left w:val="single" w:sz="8" w:space="0" w:color="803594"/>
          <w:bottom w:val="single" w:sz="8" w:space="0" w:color="803594"/>
          <w:right w:val="single" w:sz="8" w:space="0" w:color="803594"/>
        </w:tcBorders>
      </w:tcPr>
    </w:tblStylePr>
  </w:style>
  <w:style w:type="table" w:customStyle="1" w:styleId="LightShading1">
    <w:name w:val="Light Shading1"/>
    <w:basedOn w:val="TableNormal"/>
    <w:uiPriority w:val="60"/>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uiPriority w:val="60"/>
    <w:semiHidden/>
    <w:unhideWhenUsed/>
    <w:rsid w:val="005D784C"/>
    <w:pPr>
      <w:spacing w:after="0" w:line="240" w:lineRule="auto"/>
    </w:pPr>
    <w:rPr>
      <w:rFonts w:ascii="Arial" w:eastAsia="Times New Roman" w:hAnsi="Arial" w:cs="Times New Roman"/>
      <w:color w:val="1D8D8E"/>
      <w:sz w:val="20"/>
      <w:szCs w:val="20"/>
      <w:lang w:val="sq-AL" w:eastAsia="sq-AL"/>
    </w:rPr>
    <w:tblPr>
      <w:tblStyleRowBandSize w:val="1"/>
      <w:tblStyleColBandSize w:val="1"/>
      <w:tblBorders>
        <w:top w:val="single" w:sz="8" w:space="0" w:color="27BDBE"/>
        <w:bottom w:val="single" w:sz="8" w:space="0" w:color="27BDBE"/>
      </w:tblBorders>
    </w:tblPr>
    <w:tblStylePr w:type="firstRow">
      <w:pPr>
        <w:spacing w:before="0" w:after="0" w:line="240" w:lineRule="auto"/>
      </w:pPr>
      <w:rPr>
        <w:b/>
        <w:bCs/>
      </w:rPr>
      <w:tblPr/>
      <w:tcPr>
        <w:tcBorders>
          <w:top w:val="single" w:sz="8" w:space="0" w:color="27BDBE"/>
          <w:left w:val="nil"/>
          <w:bottom w:val="single" w:sz="8" w:space="0" w:color="27BDBE"/>
          <w:right w:val="nil"/>
          <w:insideH w:val="nil"/>
          <w:insideV w:val="nil"/>
        </w:tcBorders>
      </w:tcPr>
    </w:tblStylePr>
    <w:tblStylePr w:type="lastRow">
      <w:pPr>
        <w:spacing w:before="0" w:after="0" w:line="240" w:lineRule="auto"/>
      </w:pPr>
      <w:rPr>
        <w:b/>
        <w:bCs/>
      </w:rPr>
      <w:tblPr/>
      <w:tcPr>
        <w:tcBorders>
          <w:top w:val="single" w:sz="8" w:space="0" w:color="27BDBE"/>
          <w:left w:val="nil"/>
          <w:bottom w:val="single" w:sz="8" w:space="0" w:color="27BDB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2F3"/>
      </w:tcPr>
    </w:tblStylePr>
    <w:tblStylePr w:type="band1Horz">
      <w:tblPr/>
      <w:tcPr>
        <w:tcBorders>
          <w:left w:val="nil"/>
          <w:right w:val="nil"/>
          <w:insideH w:val="nil"/>
          <w:insideV w:val="nil"/>
        </w:tcBorders>
        <w:shd w:val="clear" w:color="auto" w:fill="C5F2F3"/>
      </w:tcPr>
    </w:tblStylePr>
  </w:style>
  <w:style w:type="table" w:styleId="LightShading-Accent2">
    <w:name w:val="Light Shading Accent 2"/>
    <w:basedOn w:val="TableNormal"/>
    <w:uiPriority w:val="60"/>
    <w:unhideWhenUsed/>
    <w:rsid w:val="005D784C"/>
    <w:pPr>
      <w:spacing w:after="0" w:line="240" w:lineRule="auto"/>
    </w:pPr>
    <w:rPr>
      <w:rFonts w:ascii="Arial" w:eastAsia="Times New Roman" w:hAnsi="Arial" w:cs="Times New Roman"/>
      <w:color w:val="007673"/>
      <w:sz w:val="20"/>
      <w:szCs w:val="20"/>
      <w:lang w:val="sq-AL" w:eastAsia="sq-AL"/>
    </w:rPr>
    <w:tblPr>
      <w:tblStyleRowBandSize w:val="1"/>
      <w:tblStyleColBandSize w:val="1"/>
      <w:tblBorders>
        <w:top w:val="single" w:sz="8" w:space="0" w:color="009E9A"/>
        <w:bottom w:val="single" w:sz="8" w:space="0" w:color="009E9A"/>
      </w:tblBorders>
    </w:tblPr>
    <w:tblStylePr w:type="firstRow">
      <w:pPr>
        <w:spacing w:before="0" w:after="0" w:line="240" w:lineRule="auto"/>
      </w:pPr>
      <w:rPr>
        <w:b/>
        <w:bCs/>
      </w:rPr>
      <w:tblPr/>
      <w:tcPr>
        <w:tcBorders>
          <w:top w:val="single" w:sz="8" w:space="0" w:color="009E9A"/>
          <w:left w:val="nil"/>
          <w:bottom w:val="single" w:sz="8" w:space="0" w:color="009E9A"/>
          <w:right w:val="nil"/>
          <w:insideH w:val="nil"/>
          <w:insideV w:val="nil"/>
        </w:tcBorders>
      </w:tcPr>
    </w:tblStylePr>
    <w:tblStylePr w:type="lastRow">
      <w:pPr>
        <w:spacing w:before="0" w:after="0" w:line="240" w:lineRule="auto"/>
      </w:pPr>
      <w:rPr>
        <w:b/>
        <w:bCs/>
      </w:rPr>
      <w:tblPr/>
      <w:tcPr>
        <w:tcBorders>
          <w:top w:val="single" w:sz="8" w:space="0" w:color="009E9A"/>
          <w:left w:val="nil"/>
          <w:bottom w:val="single" w:sz="8" w:space="0" w:color="009E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FFC"/>
      </w:tcPr>
    </w:tblStylePr>
    <w:tblStylePr w:type="band1Horz">
      <w:tblPr/>
      <w:tcPr>
        <w:tcBorders>
          <w:left w:val="nil"/>
          <w:right w:val="nil"/>
          <w:insideH w:val="nil"/>
          <w:insideV w:val="nil"/>
        </w:tcBorders>
        <w:shd w:val="clear" w:color="auto" w:fill="A8FFFC"/>
      </w:tcPr>
    </w:tblStylePr>
  </w:style>
  <w:style w:type="table" w:styleId="LightShading-Accent3">
    <w:name w:val="Light Shading Accent 3"/>
    <w:basedOn w:val="TableNormal"/>
    <w:uiPriority w:val="60"/>
    <w:unhideWhenUsed/>
    <w:rsid w:val="005D784C"/>
    <w:pPr>
      <w:spacing w:after="0" w:line="240" w:lineRule="auto"/>
    </w:pPr>
    <w:rPr>
      <w:rFonts w:ascii="Arial" w:eastAsia="Times New Roman" w:hAnsi="Arial" w:cs="Times New Roman"/>
      <w:color w:val="1E6596"/>
      <w:sz w:val="20"/>
      <w:szCs w:val="20"/>
      <w:lang w:val="sq-AL" w:eastAsia="sq-AL"/>
    </w:rPr>
    <w:tblPr>
      <w:tblStyleRowBandSize w:val="1"/>
      <w:tblStyleColBandSize w:val="1"/>
      <w:tblBorders>
        <w:top w:val="single" w:sz="8" w:space="0" w:color="2988C9"/>
        <w:bottom w:val="single" w:sz="8" w:space="0" w:color="2988C9"/>
      </w:tblBorders>
    </w:tblPr>
    <w:tblStylePr w:type="firstRow">
      <w:pPr>
        <w:spacing w:before="0" w:after="0" w:line="240" w:lineRule="auto"/>
      </w:pPr>
      <w:rPr>
        <w:b/>
        <w:bCs/>
      </w:rPr>
      <w:tblPr/>
      <w:tcPr>
        <w:tcBorders>
          <w:top w:val="single" w:sz="8" w:space="0" w:color="2988C9"/>
          <w:left w:val="nil"/>
          <w:bottom w:val="single" w:sz="8" w:space="0" w:color="2988C9"/>
          <w:right w:val="nil"/>
          <w:insideH w:val="nil"/>
          <w:insideV w:val="nil"/>
        </w:tcBorders>
      </w:tcPr>
    </w:tblStylePr>
    <w:tblStylePr w:type="lastRow">
      <w:pPr>
        <w:spacing w:before="0" w:after="0" w:line="240" w:lineRule="auto"/>
      </w:pPr>
      <w:rPr>
        <w:b/>
        <w:bCs/>
      </w:rPr>
      <w:tblPr/>
      <w:tcPr>
        <w:tcBorders>
          <w:top w:val="single" w:sz="8" w:space="0" w:color="2988C9"/>
          <w:left w:val="nil"/>
          <w:bottom w:val="single" w:sz="8" w:space="0" w:color="2988C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E1F3"/>
      </w:tcPr>
    </w:tblStylePr>
    <w:tblStylePr w:type="band1Horz">
      <w:tblPr/>
      <w:tcPr>
        <w:tcBorders>
          <w:left w:val="nil"/>
          <w:right w:val="nil"/>
          <w:insideH w:val="nil"/>
          <w:insideV w:val="nil"/>
        </w:tcBorders>
        <w:shd w:val="clear" w:color="auto" w:fill="C7E1F3"/>
      </w:tcPr>
    </w:tblStylePr>
  </w:style>
  <w:style w:type="table" w:styleId="LightShading-Accent4">
    <w:name w:val="Light Shading Accent 4"/>
    <w:basedOn w:val="TableNormal"/>
    <w:uiPriority w:val="60"/>
    <w:unhideWhenUsed/>
    <w:rsid w:val="005D784C"/>
    <w:pPr>
      <w:spacing w:after="0" w:line="240" w:lineRule="auto"/>
    </w:pPr>
    <w:rPr>
      <w:rFonts w:ascii="Arial" w:eastAsia="Times New Roman" w:hAnsi="Arial" w:cs="Times New Roman"/>
      <w:color w:val="1D5273"/>
      <w:sz w:val="20"/>
      <w:szCs w:val="20"/>
      <w:lang w:val="sq-AL" w:eastAsia="sq-AL"/>
    </w:rPr>
    <w:tblPr>
      <w:tblStyleRowBandSize w:val="1"/>
      <w:tblStyleColBandSize w:val="1"/>
      <w:tblBorders>
        <w:top w:val="single" w:sz="8" w:space="0" w:color="276F9A"/>
        <w:bottom w:val="single" w:sz="8" w:space="0" w:color="276F9A"/>
      </w:tblBorders>
    </w:tblPr>
    <w:tblStylePr w:type="firstRow">
      <w:pPr>
        <w:spacing w:before="0" w:after="0" w:line="240" w:lineRule="auto"/>
      </w:pPr>
      <w:rPr>
        <w:b/>
        <w:bCs/>
      </w:rPr>
      <w:tblPr/>
      <w:tcPr>
        <w:tcBorders>
          <w:top w:val="single" w:sz="8" w:space="0" w:color="276F9A"/>
          <w:left w:val="nil"/>
          <w:bottom w:val="single" w:sz="8" w:space="0" w:color="276F9A"/>
          <w:right w:val="nil"/>
          <w:insideH w:val="nil"/>
          <w:insideV w:val="nil"/>
        </w:tcBorders>
      </w:tcPr>
    </w:tblStylePr>
    <w:tblStylePr w:type="lastRow">
      <w:pPr>
        <w:spacing w:before="0" w:after="0" w:line="240" w:lineRule="auto"/>
      </w:pPr>
      <w:rPr>
        <w:b/>
        <w:bCs/>
      </w:rPr>
      <w:tblPr/>
      <w:tcPr>
        <w:tcBorders>
          <w:top w:val="single" w:sz="8" w:space="0" w:color="276F9A"/>
          <w:left w:val="nil"/>
          <w:bottom w:val="single" w:sz="8" w:space="0" w:color="276F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DEF"/>
      </w:tcPr>
    </w:tblStylePr>
    <w:tblStylePr w:type="band1Horz">
      <w:tblPr/>
      <w:tcPr>
        <w:tcBorders>
          <w:left w:val="nil"/>
          <w:right w:val="nil"/>
          <w:insideH w:val="nil"/>
          <w:insideV w:val="nil"/>
        </w:tcBorders>
        <w:shd w:val="clear" w:color="auto" w:fill="C0DDEF"/>
      </w:tcPr>
    </w:tblStylePr>
  </w:style>
  <w:style w:type="table" w:styleId="LightShading-Accent5">
    <w:name w:val="Light Shading Accent 5"/>
    <w:basedOn w:val="TableNormal"/>
    <w:uiPriority w:val="60"/>
    <w:unhideWhenUsed/>
    <w:rsid w:val="005D784C"/>
    <w:pPr>
      <w:spacing w:after="0" w:line="240" w:lineRule="auto"/>
    </w:pPr>
    <w:rPr>
      <w:rFonts w:ascii="Arial" w:eastAsia="Times New Roman" w:hAnsi="Arial" w:cs="Times New Roman"/>
      <w:color w:val="2F8844"/>
      <w:sz w:val="20"/>
      <w:szCs w:val="20"/>
      <w:lang w:val="sq-AL" w:eastAsia="sq-AL"/>
    </w:rPr>
    <w:tblPr>
      <w:tblStyleRowBandSize w:val="1"/>
      <w:tblStyleColBandSize w:val="1"/>
      <w:tblBorders>
        <w:top w:val="single" w:sz="8" w:space="0" w:color="3FB65B"/>
        <w:bottom w:val="single" w:sz="8" w:space="0" w:color="3FB65B"/>
      </w:tblBorders>
    </w:tblPr>
    <w:tblStylePr w:type="firstRow">
      <w:pPr>
        <w:spacing w:before="0" w:after="0" w:line="240" w:lineRule="auto"/>
      </w:pPr>
      <w:rPr>
        <w:b/>
        <w:bCs/>
      </w:rPr>
      <w:tblPr/>
      <w:tcPr>
        <w:tcBorders>
          <w:top w:val="single" w:sz="8" w:space="0" w:color="3FB65B"/>
          <w:left w:val="nil"/>
          <w:bottom w:val="single" w:sz="8" w:space="0" w:color="3FB65B"/>
          <w:right w:val="nil"/>
          <w:insideH w:val="nil"/>
          <w:insideV w:val="nil"/>
        </w:tcBorders>
      </w:tcPr>
    </w:tblStylePr>
    <w:tblStylePr w:type="lastRow">
      <w:pPr>
        <w:spacing w:before="0" w:after="0" w:line="240" w:lineRule="auto"/>
      </w:pPr>
      <w:rPr>
        <w:b/>
        <w:bCs/>
      </w:rPr>
      <w:tblPr/>
      <w:tcPr>
        <w:tcBorders>
          <w:top w:val="single" w:sz="8" w:space="0" w:color="3FB65B"/>
          <w:left w:val="nil"/>
          <w:bottom w:val="single" w:sz="8" w:space="0" w:color="3FB65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ED5"/>
      </w:tcPr>
    </w:tblStylePr>
    <w:tblStylePr w:type="band1Horz">
      <w:tblPr/>
      <w:tcPr>
        <w:tcBorders>
          <w:left w:val="nil"/>
          <w:right w:val="nil"/>
          <w:insideH w:val="nil"/>
          <w:insideV w:val="nil"/>
        </w:tcBorders>
        <w:shd w:val="clear" w:color="auto" w:fill="CEEED5"/>
      </w:tcPr>
    </w:tblStylePr>
  </w:style>
  <w:style w:type="table" w:styleId="LightShading-Accent6">
    <w:name w:val="Light Shading Accent 6"/>
    <w:basedOn w:val="TableNormal"/>
    <w:uiPriority w:val="60"/>
    <w:unhideWhenUsed/>
    <w:rsid w:val="005D784C"/>
    <w:pPr>
      <w:spacing w:after="0" w:line="240" w:lineRule="auto"/>
    </w:pPr>
    <w:rPr>
      <w:rFonts w:ascii="Arial" w:eastAsia="Times New Roman" w:hAnsi="Arial" w:cs="Times New Roman"/>
      <w:color w:val="5F276E"/>
      <w:sz w:val="20"/>
      <w:szCs w:val="20"/>
      <w:lang w:val="sq-AL" w:eastAsia="sq-AL"/>
    </w:rPr>
    <w:tblPr>
      <w:tblStyleRowBandSize w:val="1"/>
      <w:tblStyleColBandSize w:val="1"/>
      <w:tblBorders>
        <w:top w:val="single" w:sz="8" w:space="0" w:color="803594"/>
        <w:bottom w:val="single" w:sz="8" w:space="0" w:color="803594"/>
      </w:tblBorders>
    </w:tblPr>
    <w:tblStylePr w:type="firstRow">
      <w:pPr>
        <w:spacing w:before="0" w:after="0" w:line="240" w:lineRule="auto"/>
      </w:pPr>
      <w:rPr>
        <w:b/>
        <w:bCs/>
      </w:rPr>
      <w:tblPr/>
      <w:tcPr>
        <w:tcBorders>
          <w:top w:val="single" w:sz="8" w:space="0" w:color="803594"/>
          <w:left w:val="nil"/>
          <w:bottom w:val="single" w:sz="8" w:space="0" w:color="803594"/>
          <w:right w:val="nil"/>
          <w:insideH w:val="nil"/>
          <w:insideV w:val="nil"/>
        </w:tcBorders>
      </w:tcPr>
    </w:tblStylePr>
    <w:tblStylePr w:type="lastRow">
      <w:pPr>
        <w:spacing w:before="0" w:after="0" w:line="240" w:lineRule="auto"/>
      </w:pPr>
      <w:rPr>
        <w:b/>
        <w:bCs/>
      </w:rPr>
      <w:tblPr/>
      <w:tcPr>
        <w:tcBorders>
          <w:top w:val="single" w:sz="8" w:space="0" w:color="803594"/>
          <w:left w:val="nil"/>
          <w:bottom w:val="single" w:sz="8" w:space="0" w:color="80359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6EA"/>
      </w:tcPr>
    </w:tblStylePr>
    <w:tblStylePr w:type="band1Horz">
      <w:tblPr/>
      <w:tcPr>
        <w:tcBorders>
          <w:left w:val="nil"/>
          <w:right w:val="nil"/>
          <w:insideH w:val="nil"/>
          <w:insideV w:val="nil"/>
        </w:tcBorders>
        <w:shd w:val="clear" w:color="auto" w:fill="E3C6EA"/>
      </w:tcPr>
    </w:tblStylePr>
  </w:style>
  <w:style w:type="character" w:styleId="LineNumber">
    <w:name w:val="line number"/>
    <w:semiHidden/>
    <w:unhideWhenUsed/>
    <w:rsid w:val="005D784C"/>
    <w:rPr>
      <w:bCs w:val="0"/>
      <w:szCs w:val="20"/>
    </w:rPr>
  </w:style>
  <w:style w:type="paragraph" w:styleId="List">
    <w:name w:val="List"/>
    <w:basedOn w:val="Normal"/>
    <w:unhideWhenUsed/>
    <w:rsid w:val="005D784C"/>
    <w:pPr>
      <w:spacing w:before="120" w:after="160" w:line="264" w:lineRule="auto"/>
      <w:ind w:left="283" w:hanging="283"/>
      <w:contextualSpacing/>
    </w:pPr>
    <w:rPr>
      <w:rFonts w:ascii="Arial" w:eastAsia="Times New Roman" w:hAnsi="Arial" w:cs="Times New Roman"/>
      <w:sz w:val="20"/>
      <w:szCs w:val="20"/>
      <w:lang w:val="en-GB"/>
    </w:rPr>
  </w:style>
  <w:style w:type="paragraph" w:styleId="List2">
    <w:name w:val="List 2"/>
    <w:basedOn w:val="Normal"/>
    <w:unhideWhenUsed/>
    <w:rsid w:val="005D784C"/>
    <w:pPr>
      <w:spacing w:before="120" w:after="160" w:line="264" w:lineRule="auto"/>
      <w:ind w:left="566" w:hanging="283"/>
      <w:contextualSpacing/>
    </w:pPr>
    <w:rPr>
      <w:rFonts w:ascii="Arial" w:eastAsia="Times New Roman" w:hAnsi="Arial" w:cs="Times New Roman"/>
      <w:sz w:val="20"/>
      <w:szCs w:val="20"/>
      <w:lang w:val="en-GB"/>
    </w:rPr>
  </w:style>
  <w:style w:type="paragraph" w:styleId="List3">
    <w:name w:val="List 3"/>
    <w:basedOn w:val="Normal"/>
    <w:unhideWhenUsed/>
    <w:rsid w:val="005D784C"/>
    <w:pPr>
      <w:spacing w:before="120" w:after="160" w:line="264" w:lineRule="auto"/>
      <w:ind w:left="849" w:hanging="283"/>
      <w:contextualSpacing/>
    </w:pPr>
    <w:rPr>
      <w:rFonts w:ascii="Arial" w:eastAsia="Times New Roman" w:hAnsi="Arial" w:cs="Times New Roman"/>
      <w:sz w:val="20"/>
      <w:szCs w:val="20"/>
      <w:lang w:val="en-GB"/>
    </w:rPr>
  </w:style>
  <w:style w:type="paragraph" w:styleId="List4">
    <w:name w:val="List 4"/>
    <w:basedOn w:val="Normal"/>
    <w:rsid w:val="005D784C"/>
    <w:pPr>
      <w:spacing w:before="120" w:after="160" w:line="264" w:lineRule="auto"/>
      <w:ind w:left="1132" w:hanging="283"/>
      <w:contextualSpacing/>
    </w:pPr>
    <w:rPr>
      <w:rFonts w:ascii="Arial" w:eastAsia="Times New Roman" w:hAnsi="Arial" w:cs="Times New Roman"/>
      <w:sz w:val="20"/>
      <w:szCs w:val="20"/>
      <w:lang w:val="en-GB"/>
    </w:rPr>
  </w:style>
  <w:style w:type="paragraph" w:styleId="List5">
    <w:name w:val="List 5"/>
    <w:basedOn w:val="Normal"/>
    <w:rsid w:val="005D784C"/>
    <w:pPr>
      <w:spacing w:before="120" w:after="160" w:line="264" w:lineRule="auto"/>
      <w:ind w:left="1415" w:hanging="283"/>
      <w:contextualSpacing/>
    </w:pPr>
    <w:rPr>
      <w:rFonts w:ascii="Arial" w:eastAsia="Times New Roman" w:hAnsi="Arial" w:cs="Times New Roman"/>
      <w:sz w:val="20"/>
      <w:szCs w:val="20"/>
      <w:lang w:val="en-GB"/>
    </w:rPr>
  </w:style>
  <w:style w:type="paragraph" w:styleId="ListBullet">
    <w:name w:val="List Bullet"/>
    <w:basedOn w:val="Normal"/>
    <w:unhideWhenUsed/>
    <w:rsid w:val="005D784C"/>
    <w:pPr>
      <w:numPr>
        <w:numId w:val="10"/>
      </w:numPr>
      <w:spacing w:before="120" w:after="160" w:line="264" w:lineRule="auto"/>
      <w:contextualSpacing/>
    </w:pPr>
    <w:rPr>
      <w:rFonts w:ascii="Arial" w:eastAsia="Times New Roman" w:hAnsi="Arial" w:cs="Times New Roman"/>
      <w:sz w:val="20"/>
      <w:szCs w:val="20"/>
      <w:lang w:val="en-GB"/>
    </w:rPr>
  </w:style>
  <w:style w:type="paragraph" w:styleId="ListBullet2">
    <w:name w:val="List Bullet 2"/>
    <w:basedOn w:val="Normal"/>
    <w:unhideWhenUsed/>
    <w:rsid w:val="005D784C"/>
    <w:pPr>
      <w:numPr>
        <w:numId w:val="11"/>
      </w:numPr>
      <w:spacing w:before="120" w:after="160" w:line="264" w:lineRule="auto"/>
      <w:contextualSpacing/>
    </w:pPr>
    <w:rPr>
      <w:rFonts w:ascii="Arial" w:eastAsia="Times New Roman" w:hAnsi="Arial" w:cs="Times New Roman"/>
      <w:sz w:val="20"/>
      <w:szCs w:val="20"/>
      <w:lang w:val="en-GB"/>
    </w:rPr>
  </w:style>
  <w:style w:type="paragraph" w:styleId="ListBullet3">
    <w:name w:val="List Bullet 3"/>
    <w:basedOn w:val="Normal"/>
    <w:unhideWhenUsed/>
    <w:rsid w:val="005D784C"/>
    <w:pPr>
      <w:numPr>
        <w:numId w:val="12"/>
      </w:numPr>
      <w:spacing w:before="120" w:after="160" w:line="264" w:lineRule="auto"/>
      <w:contextualSpacing/>
    </w:pPr>
    <w:rPr>
      <w:rFonts w:ascii="Arial" w:eastAsia="Times New Roman" w:hAnsi="Arial" w:cs="Times New Roman"/>
      <w:sz w:val="20"/>
      <w:szCs w:val="20"/>
      <w:lang w:val="en-GB"/>
    </w:rPr>
  </w:style>
  <w:style w:type="paragraph" w:styleId="ListBullet4">
    <w:name w:val="List Bullet 4"/>
    <w:basedOn w:val="Normal"/>
    <w:unhideWhenUsed/>
    <w:rsid w:val="005D784C"/>
    <w:pPr>
      <w:numPr>
        <w:numId w:val="13"/>
      </w:numPr>
      <w:spacing w:before="120" w:after="160" w:line="264" w:lineRule="auto"/>
      <w:contextualSpacing/>
    </w:pPr>
    <w:rPr>
      <w:rFonts w:ascii="Arial" w:eastAsia="Times New Roman" w:hAnsi="Arial" w:cs="Times New Roman"/>
      <w:sz w:val="20"/>
      <w:szCs w:val="20"/>
      <w:lang w:val="en-GB"/>
    </w:rPr>
  </w:style>
  <w:style w:type="paragraph" w:styleId="ListBullet5">
    <w:name w:val="List Bullet 5"/>
    <w:basedOn w:val="Normal"/>
    <w:unhideWhenUsed/>
    <w:rsid w:val="005D784C"/>
    <w:pPr>
      <w:numPr>
        <w:numId w:val="14"/>
      </w:numPr>
      <w:spacing w:before="120" w:after="160" w:line="264" w:lineRule="auto"/>
      <w:contextualSpacing/>
    </w:pPr>
    <w:rPr>
      <w:rFonts w:ascii="Arial" w:eastAsia="Times New Roman" w:hAnsi="Arial" w:cs="Times New Roman"/>
      <w:sz w:val="20"/>
      <w:szCs w:val="20"/>
      <w:lang w:val="en-GB"/>
    </w:rPr>
  </w:style>
  <w:style w:type="paragraph" w:styleId="ListContinue">
    <w:name w:val="List Continue"/>
    <w:basedOn w:val="Normal"/>
    <w:unhideWhenUsed/>
    <w:rsid w:val="005D784C"/>
    <w:pPr>
      <w:spacing w:before="120" w:after="120" w:line="264" w:lineRule="auto"/>
      <w:ind w:left="283"/>
      <w:contextualSpacing/>
    </w:pPr>
    <w:rPr>
      <w:rFonts w:ascii="Arial" w:eastAsia="Times New Roman" w:hAnsi="Arial" w:cs="Times New Roman"/>
      <w:sz w:val="20"/>
      <w:szCs w:val="20"/>
      <w:lang w:val="en-GB"/>
    </w:rPr>
  </w:style>
  <w:style w:type="paragraph" w:styleId="ListContinue2">
    <w:name w:val="List Continue 2"/>
    <w:basedOn w:val="Normal"/>
    <w:unhideWhenUsed/>
    <w:rsid w:val="005D784C"/>
    <w:pPr>
      <w:spacing w:before="120" w:after="120" w:line="264" w:lineRule="auto"/>
      <w:ind w:left="566"/>
      <w:contextualSpacing/>
    </w:pPr>
    <w:rPr>
      <w:rFonts w:ascii="Arial" w:eastAsia="Times New Roman" w:hAnsi="Arial" w:cs="Times New Roman"/>
      <w:sz w:val="20"/>
      <w:szCs w:val="20"/>
      <w:lang w:val="en-GB"/>
    </w:rPr>
  </w:style>
  <w:style w:type="paragraph" w:styleId="ListContinue3">
    <w:name w:val="List Continue 3"/>
    <w:basedOn w:val="Normal"/>
    <w:unhideWhenUsed/>
    <w:rsid w:val="005D784C"/>
    <w:pPr>
      <w:spacing w:before="120" w:after="120" w:line="264" w:lineRule="auto"/>
      <w:ind w:left="849"/>
      <w:contextualSpacing/>
    </w:pPr>
    <w:rPr>
      <w:rFonts w:ascii="Arial" w:eastAsia="Times New Roman" w:hAnsi="Arial" w:cs="Times New Roman"/>
      <w:sz w:val="20"/>
      <w:szCs w:val="20"/>
      <w:lang w:val="en-GB"/>
    </w:rPr>
  </w:style>
  <w:style w:type="paragraph" w:styleId="ListContinue4">
    <w:name w:val="List Continue 4"/>
    <w:basedOn w:val="Normal"/>
    <w:unhideWhenUsed/>
    <w:rsid w:val="005D784C"/>
    <w:pPr>
      <w:spacing w:before="120" w:after="120" w:line="264" w:lineRule="auto"/>
      <w:ind w:left="1132"/>
      <w:contextualSpacing/>
    </w:pPr>
    <w:rPr>
      <w:rFonts w:ascii="Arial" w:eastAsia="Times New Roman" w:hAnsi="Arial" w:cs="Times New Roman"/>
      <w:sz w:val="20"/>
      <w:szCs w:val="20"/>
      <w:lang w:val="en-GB"/>
    </w:rPr>
  </w:style>
  <w:style w:type="paragraph" w:styleId="ListContinue5">
    <w:name w:val="List Continue 5"/>
    <w:basedOn w:val="Normal"/>
    <w:unhideWhenUsed/>
    <w:rsid w:val="005D784C"/>
    <w:pPr>
      <w:spacing w:before="120" w:after="120" w:line="264" w:lineRule="auto"/>
      <w:ind w:left="1415"/>
      <w:contextualSpacing/>
    </w:pPr>
    <w:rPr>
      <w:rFonts w:ascii="Arial" w:eastAsia="Times New Roman" w:hAnsi="Arial" w:cs="Times New Roman"/>
      <w:sz w:val="20"/>
      <w:szCs w:val="20"/>
      <w:lang w:val="en-GB"/>
    </w:rPr>
  </w:style>
  <w:style w:type="paragraph" w:styleId="ListNumber2">
    <w:name w:val="List Number 2"/>
    <w:basedOn w:val="Normal"/>
    <w:unhideWhenUsed/>
    <w:rsid w:val="005D784C"/>
    <w:pPr>
      <w:numPr>
        <w:numId w:val="15"/>
      </w:numPr>
      <w:spacing w:before="120" w:after="160" w:line="264" w:lineRule="auto"/>
      <w:contextualSpacing/>
    </w:pPr>
    <w:rPr>
      <w:rFonts w:ascii="Arial" w:eastAsia="Times New Roman" w:hAnsi="Arial" w:cs="Times New Roman"/>
      <w:sz w:val="20"/>
      <w:szCs w:val="20"/>
      <w:lang w:val="en-GB"/>
    </w:rPr>
  </w:style>
  <w:style w:type="paragraph" w:styleId="ListNumber3">
    <w:name w:val="List Number 3"/>
    <w:basedOn w:val="Normal"/>
    <w:unhideWhenUsed/>
    <w:rsid w:val="005D784C"/>
    <w:pPr>
      <w:numPr>
        <w:numId w:val="16"/>
      </w:numPr>
      <w:spacing w:before="120" w:after="160" w:line="264" w:lineRule="auto"/>
      <w:contextualSpacing/>
    </w:pPr>
    <w:rPr>
      <w:rFonts w:ascii="Arial" w:eastAsia="Times New Roman" w:hAnsi="Arial" w:cs="Times New Roman"/>
      <w:sz w:val="20"/>
      <w:szCs w:val="20"/>
      <w:lang w:val="en-GB"/>
    </w:rPr>
  </w:style>
  <w:style w:type="paragraph" w:styleId="ListNumber4">
    <w:name w:val="List Number 4"/>
    <w:basedOn w:val="Normal"/>
    <w:unhideWhenUsed/>
    <w:rsid w:val="005D784C"/>
    <w:pPr>
      <w:numPr>
        <w:numId w:val="17"/>
      </w:numPr>
      <w:spacing w:before="120" w:after="160" w:line="264" w:lineRule="auto"/>
      <w:contextualSpacing/>
    </w:pPr>
    <w:rPr>
      <w:rFonts w:ascii="Arial" w:eastAsia="Times New Roman" w:hAnsi="Arial" w:cs="Times New Roman"/>
      <w:sz w:val="20"/>
      <w:szCs w:val="20"/>
      <w:lang w:val="en-GB"/>
    </w:rPr>
  </w:style>
  <w:style w:type="paragraph" w:styleId="ListNumber5">
    <w:name w:val="List Number 5"/>
    <w:basedOn w:val="Normal"/>
    <w:unhideWhenUsed/>
    <w:rsid w:val="005D784C"/>
    <w:pPr>
      <w:numPr>
        <w:numId w:val="18"/>
      </w:numPr>
      <w:spacing w:before="120" w:after="160" w:line="264" w:lineRule="auto"/>
      <w:contextualSpacing/>
    </w:pPr>
    <w:rPr>
      <w:rFonts w:ascii="Arial" w:eastAsia="Times New Roman" w:hAnsi="Arial" w:cs="Times New Roman"/>
      <w:sz w:val="20"/>
      <w:szCs w:val="20"/>
      <w:lang w:val="en-GB"/>
    </w:rPr>
  </w:style>
  <w:style w:type="table" w:customStyle="1" w:styleId="ListTable1Light1">
    <w:name w:val="List Table 1 Light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73E1E2"/>
        </w:tcBorders>
      </w:tcPr>
    </w:tblStylePr>
    <w:tblStylePr w:type="lastRow">
      <w:rPr>
        <w:b/>
        <w:bCs/>
      </w:rPr>
      <w:tblPr/>
      <w:tcPr>
        <w:tcBorders>
          <w:top w:val="single" w:sz="4" w:space="0" w:color="73E1E2"/>
        </w:tcBorders>
      </w:tc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ListTable1Light-Accent21">
    <w:name w:val="List Table 1 Light - Accent 2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2BFFF9"/>
        </w:tcBorders>
      </w:tcPr>
    </w:tblStylePr>
    <w:tblStylePr w:type="lastRow">
      <w:rPr>
        <w:b/>
        <w:bCs/>
      </w:rPr>
      <w:tblPr/>
      <w:tcPr>
        <w:tcBorders>
          <w:top w:val="single" w:sz="4" w:space="0" w:color="2BFFF9"/>
        </w:tcBorders>
      </w:tc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ListTable1Light-Accent31">
    <w:name w:val="List Table 1 Light - Accent 3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79B8E3"/>
        </w:tcBorders>
      </w:tcPr>
    </w:tblStylePr>
    <w:tblStylePr w:type="lastRow">
      <w:rPr>
        <w:b/>
        <w:bCs/>
      </w:rPr>
      <w:tblPr/>
      <w:tcPr>
        <w:tcBorders>
          <w:top w:val="single" w:sz="4" w:space="0" w:color="79B8E3"/>
        </w:tcBorders>
      </w:tc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ListTable1Light-Accent41">
    <w:name w:val="List Table 1 Light - Accent 4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67ADD8"/>
        </w:tcBorders>
      </w:tcPr>
    </w:tblStylePr>
    <w:tblStylePr w:type="lastRow">
      <w:rPr>
        <w:b/>
        <w:bCs/>
      </w:rPr>
      <w:tblPr/>
      <w:tcPr>
        <w:tcBorders>
          <w:top w:val="single" w:sz="4" w:space="0" w:color="67ADD8"/>
        </w:tcBorders>
      </w:tc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ListTable1Light-Accent51">
    <w:name w:val="List Table 1 Light - Accent 5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88D69B"/>
        </w:tcBorders>
      </w:tcPr>
    </w:tblStylePr>
    <w:tblStylePr w:type="lastRow">
      <w:rPr>
        <w:b/>
        <w:bCs/>
      </w:rPr>
      <w:tblPr/>
      <w:tcPr>
        <w:tcBorders>
          <w:top w:val="single" w:sz="4" w:space="0" w:color="88D69B"/>
        </w:tcBorders>
      </w:tc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ListTable1Light-Accent61">
    <w:name w:val="List Table 1 Light - Accent 61"/>
    <w:basedOn w:val="TableNormal"/>
    <w:uiPriority w:val="46"/>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bottom w:val="single" w:sz="4" w:space="0" w:color="BB76CE"/>
        </w:tcBorders>
      </w:tcPr>
    </w:tblStylePr>
    <w:tblStylePr w:type="lastRow">
      <w:rPr>
        <w:b/>
        <w:bCs/>
      </w:rPr>
      <w:tblPr/>
      <w:tcPr>
        <w:tcBorders>
          <w:top w:val="single" w:sz="4" w:space="0" w:color="BB76CE"/>
        </w:tcBorders>
      </w:tc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ListTable21">
    <w:name w:val="List Table 2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3E1E2"/>
        <w:bottom w:val="single" w:sz="4" w:space="0" w:color="73E1E2"/>
        <w:insideH w:val="single" w:sz="4" w:space="0" w:color="73E1E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ListTable2-Accent21">
    <w:name w:val="List Table 2 - Accent 2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BFFF9"/>
        <w:bottom w:val="single" w:sz="4" w:space="0" w:color="2BFFF9"/>
        <w:insideH w:val="single" w:sz="4" w:space="0" w:color="2BFF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ListTable2-Accent31">
    <w:name w:val="List Table 2 - Accent 3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9B8E3"/>
        <w:bottom w:val="single" w:sz="4" w:space="0" w:color="79B8E3"/>
        <w:insideH w:val="single" w:sz="4" w:space="0" w:color="79B8E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ListTable2-Accent41">
    <w:name w:val="List Table 2 - Accent 4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7ADD8"/>
        <w:bottom w:val="single" w:sz="4" w:space="0" w:color="67ADD8"/>
        <w:insideH w:val="single" w:sz="4" w:space="0" w:color="67ADD8"/>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ListTable2-Accent51">
    <w:name w:val="List Table 2 - Accent 5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88D69B"/>
        <w:bottom w:val="single" w:sz="4" w:space="0" w:color="88D69B"/>
        <w:insideH w:val="single" w:sz="4" w:space="0" w:color="88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ListTable2-Accent61">
    <w:name w:val="List Table 2 - Accent 61"/>
    <w:basedOn w:val="TableNormal"/>
    <w:uiPriority w:val="47"/>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BB76CE"/>
        <w:bottom w:val="single" w:sz="4" w:space="0" w:color="BB76CE"/>
        <w:insideH w:val="single" w:sz="4" w:space="0" w:color="BB76CE"/>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ListTable31">
    <w:name w:val="List Table 3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7BDBE"/>
        <w:left w:val="single" w:sz="4" w:space="0" w:color="27BDBE"/>
        <w:bottom w:val="single" w:sz="4" w:space="0" w:color="27BDBE"/>
        <w:right w:val="single" w:sz="4" w:space="0" w:color="27BDBE"/>
      </w:tblBorders>
    </w:tblPr>
    <w:tblStylePr w:type="firstRow">
      <w:rPr>
        <w:b/>
        <w:bCs/>
        <w:color w:val="FFFFFF"/>
      </w:rPr>
      <w:tblPr/>
      <w:tcPr>
        <w:shd w:val="clear" w:color="auto" w:fill="27BDBE"/>
      </w:tcPr>
    </w:tblStylePr>
    <w:tblStylePr w:type="lastRow">
      <w:rPr>
        <w:b/>
        <w:bCs/>
      </w:rPr>
      <w:tblPr/>
      <w:tcPr>
        <w:tcBorders>
          <w:top w:val="double" w:sz="4" w:space="0" w:color="27BDB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7BDBE"/>
          <w:right w:val="single" w:sz="4" w:space="0" w:color="27BDBE"/>
        </w:tcBorders>
      </w:tcPr>
    </w:tblStylePr>
    <w:tblStylePr w:type="band1Horz">
      <w:tblPr/>
      <w:tcPr>
        <w:tcBorders>
          <w:top w:val="single" w:sz="4" w:space="0" w:color="27BDBE"/>
          <w:bottom w:val="single" w:sz="4" w:space="0" w:color="27BDB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BDBE"/>
          <w:left w:val="nil"/>
        </w:tcBorders>
      </w:tcPr>
    </w:tblStylePr>
    <w:tblStylePr w:type="swCell">
      <w:tblPr/>
      <w:tcPr>
        <w:tcBorders>
          <w:top w:val="double" w:sz="4" w:space="0" w:color="27BDBE"/>
          <w:right w:val="nil"/>
        </w:tcBorders>
      </w:tcPr>
    </w:tblStylePr>
  </w:style>
  <w:style w:type="table" w:customStyle="1" w:styleId="ListTable3-Accent21">
    <w:name w:val="List Table 3 - Accent 2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009E9A"/>
        <w:left w:val="single" w:sz="4" w:space="0" w:color="009E9A"/>
        <w:bottom w:val="single" w:sz="4" w:space="0" w:color="009E9A"/>
        <w:right w:val="single" w:sz="4" w:space="0" w:color="009E9A"/>
      </w:tblBorders>
    </w:tblPr>
    <w:tblStylePr w:type="firstRow">
      <w:rPr>
        <w:b/>
        <w:bCs/>
        <w:color w:val="FFFFFF"/>
      </w:rPr>
      <w:tblPr/>
      <w:tcPr>
        <w:shd w:val="clear" w:color="auto" w:fill="009E9A"/>
      </w:tcPr>
    </w:tblStylePr>
    <w:tblStylePr w:type="lastRow">
      <w:rPr>
        <w:b/>
        <w:bCs/>
      </w:rPr>
      <w:tblPr/>
      <w:tcPr>
        <w:tcBorders>
          <w:top w:val="double" w:sz="4" w:space="0" w:color="009E9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E9A"/>
          <w:right w:val="single" w:sz="4" w:space="0" w:color="009E9A"/>
        </w:tcBorders>
      </w:tcPr>
    </w:tblStylePr>
    <w:tblStylePr w:type="band1Horz">
      <w:tblPr/>
      <w:tcPr>
        <w:tcBorders>
          <w:top w:val="single" w:sz="4" w:space="0" w:color="009E9A"/>
          <w:bottom w:val="single" w:sz="4" w:space="0" w:color="009E9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E9A"/>
          <w:left w:val="nil"/>
        </w:tcBorders>
      </w:tcPr>
    </w:tblStylePr>
    <w:tblStylePr w:type="swCell">
      <w:tblPr/>
      <w:tcPr>
        <w:tcBorders>
          <w:top w:val="double" w:sz="4" w:space="0" w:color="009E9A"/>
          <w:right w:val="nil"/>
        </w:tcBorders>
      </w:tcPr>
    </w:tblStylePr>
  </w:style>
  <w:style w:type="table" w:customStyle="1" w:styleId="ListTable3-Accent31">
    <w:name w:val="List Table 3 - Accent 3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988C9"/>
        <w:left w:val="single" w:sz="4" w:space="0" w:color="2988C9"/>
        <w:bottom w:val="single" w:sz="4" w:space="0" w:color="2988C9"/>
        <w:right w:val="single" w:sz="4" w:space="0" w:color="2988C9"/>
      </w:tblBorders>
    </w:tblPr>
    <w:tblStylePr w:type="firstRow">
      <w:rPr>
        <w:b/>
        <w:bCs/>
        <w:color w:val="FFFFFF"/>
      </w:rPr>
      <w:tblPr/>
      <w:tcPr>
        <w:shd w:val="clear" w:color="auto" w:fill="2988C9"/>
      </w:tcPr>
    </w:tblStylePr>
    <w:tblStylePr w:type="lastRow">
      <w:rPr>
        <w:b/>
        <w:bCs/>
      </w:rPr>
      <w:tblPr/>
      <w:tcPr>
        <w:tcBorders>
          <w:top w:val="double" w:sz="4" w:space="0" w:color="2988C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988C9"/>
          <w:right w:val="single" w:sz="4" w:space="0" w:color="2988C9"/>
        </w:tcBorders>
      </w:tcPr>
    </w:tblStylePr>
    <w:tblStylePr w:type="band1Horz">
      <w:tblPr/>
      <w:tcPr>
        <w:tcBorders>
          <w:top w:val="single" w:sz="4" w:space="0" w:color="2988C9"/>
          <w:bottom w:val="single" w:sz="4" w:space="0" w:color="2988C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88C9"/>
          <w:left w:val="nil"/>
        </w:tcBorders>
      </w:tcPr>
    </w:tblStylePr>
    <w:tblStylePr w:type="swCell">
      <w:tblPr/>
      <w:tcPr>
        <w:tcBorders>
          <w:top w:val="double" w:sz="4" w:space="0" w:color="2988C9"/>
          <w:right w:val="nil"/>
        </w:tcBorders>
      </w:tcPr>
    </w:tblStylePr>
  </w:style>
  <w:style w:type="table" w:customStyle="1" w:styleId="ListTable3-Accent41">
    <w:name w:val="List Table 3 - Accent 4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76F9A"/>
        <w:left w:val="single" w:sz="4" w:space="0" w:color="276F9A"/>
        <w:bottom w:val="single" w:sz="4" w:space="0" w:color="276F9A"/>
        <w:right w:val="single" w:sz="4" w:space="0" w:color="276F9A"/>
      </w:tblBorders>
    </w:tblPr>
    <w:tblStylePr w:type="firstRow">
      <w:rPr>
        <w:b/>
        <w:bCs/>
        <w:color w:val="FFFFFF"/>
      </w:rPr>
      <w:tblPr/>
      <w:tcPr>
        <w:shd w:val="clear" w:color="auto" w:fill="276F9A"/>
      </w:tcPr>
    </w:tblStylePr>
    <w:tblStylePr w:type="lastRow">
      <w:rPr>
        <w:b/>
        <w:bCs/>
      </w:rPr>
      <w:tblPr/>
      <w:tcPr>
        <w:tcBorders>
          <w:top w:val="double" w:sz="4" w:space="0" w:color="276F9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76F9A"/>
          <w:right w:val="single" w:sz="4" w:space="0" w:color="276F9A"/>
        </w:tcBorders>
      </w:tcPr>
    </w:tblStylePr>
    <w:tblStylePr w:type="band1Horz">
      <w:tblPr/>
      <w:tcPr>
        <w:tcBorders>
          <w:top w:val="single" w:sz="4" w:space="0" w:color="276F9A"/>
          <w:bottom w:val="single" w:sz="4" w:space="0" w:color="276F9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6F9A"/>
          <w:left w:val="nil"/>
        </w:tcBorders>
      </w:tcPr>
    </w:tblStylePr>
    <w:tblStylePr w:type="swCell">
      <w:tblPr/>
      <w:tcPr>
        <w:tcBorders>
          <w:top w:val="double" w:sz="4" w:space="0" w:color="276F9A"/>
          <w:right w:val="nil"/>
        </w:tcBorders>
      </w:tcPr>
    </w:tblStylePr>
  </w:style>
  <w:style w:type="table" w:customStyle="1" w:styleId="ListTable3-Accent51">
    <w:name w:val="List Table 3 - Accent 5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3FB65B"/>
        <w:left w:val="single" w:sz="4" w:space="0" w:color="3FB65B"/>
        <w:bottom w:val="single" w:sz="4" w:space="0" w:color="3FB65B"/>
        <w:right w:val="single" w:sz="4" w:space="0" w:color="3FB65B"/>
      </w:tblBorders>
    </w:tblPr>
    <w:tblStylePr w:type="firstRow">
      <w:rPr>
        <w:b/>
        <w:bCs/>
        <w:color w:val="FFFFFF"/>
      </w:rPr>
      <w:tblPr/>
      <w:tcPr>
        <w:shd w:val="clear" w:color="auto" w:fill="3FB65B"/>
      </w:tcPr>
    </w:tblStylePr>
    <w:tblStylePr w:type="lastRow">
      <w:rPr>
        <w:b/>
        <w:bCs/>
      </w:rPr>
      <w:tblPr/>
      <w:tcPr>
        <w:tcBorders>
          <w:top w:val="double" w:sz="4" w:space="0" w:color="3FB65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3FB65B"/>
          <w:right w:val="single" w:sz="4" w:space="0" w:color="3FB65B"/>
        </w:tcBorders>
      </w:tcPr>
    </w:tblStylePr>
    <w:tblStylePr w:type="band1Horz">
      <w:tblPr/>
      <w:tcPr>
        <w:tcBorders>
          <w:top w:val="single" w:sz="4" w:space="0" w:color="3FB65B"/>
          <w:bottom w:val="single" w:sz="4" w:space="0" w:color="3FB65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B65B"/>
          <w:left w:val="nil"/>
        </w:tcBorders>
      </w:tcPr>
    </w:tblStylePr>
    <w:tblStylePr w:type="swCell">
      <w:tblPr/>
      <w:tcPr>
        <w:tcBorders>
          <w:top w:val="double" w:sz="4" w:space="0" w:color="3FB65B"/>
          <w:right w:val="nil"/>
        </w:tcBorders>
      </w:tcPr>
    </w:tblStylePr>
  </w:style>
  <w:style w:type="table" w:customStyle="1" w:styleId="ListTable3-Accent61">
    <w:name w:val="List Table 3 - Accent 61"/>
    <w:basedOn w:val="TableNormal"/>
    <w:uiPriority w:val="48"/>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803594"/>
        <w:left w:val="single" w:sz="4" w:space="0" w:color="803594"/>
        <w:bottom w:val="single" w:sz="4" w:space="0" w:color="803594"/>
        <w:right w:val="single" w:sz="4" w:space="0" w:color="803594"/>
      </w:tblBorders>
    </w:tblPr>
    <w:tblStylePr w:type="firstRow">
      <w:rPr>
        <w:b/>
        <w:bCs/>
        <w:color w:val="FFFFFF"/>
      </w:rPr>
      <w:tblPr/>
      <w:tcPr>
        <w:shd w:val="clear" w:color="auto" w:fill="803594"/>
      </w:tcPr>
    </w:tblStylePr>
    <w:tblStylePr w:type="lastRow">
      <w:rPr>
        <w:b/>
        <w:bCs/>
      </w:rPr>
      <w:tblPr/>
      <w:tcPr>
        <w:tcBorders>
          <w:top w:val="double" w:sz="4" w:space="0" w:color="80359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3594"/>
          <w:right w:val="single" w:sz="4" w:space="0" w:color="803594"/>
        </w:tcBorders>
      </w:tcPr>
    </w:tblStylePr>
    <w:tblStylePr w:type="band1Horz">
      <w:tblPr/>
      <w:tcPr>
        <w:tcBorders>
          <w:top w:val="single" w:sz="4" w:space="0" w:color="803594"/>
          <w:bottom w:val="single" w:sz="4" w:space="0" w:color="80359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3594"/>
          <w:left w:val="nil"/>
        </w:tcBorders>
      </w:tcPr>
    </w:tblStylePr>
    <w:tblStylePr w:type="swCell">
      <w:tblPr/>
      <w:tcPr>
        <w:tcBorders>
          <w:top w:val="double" w:sz="4" w:space="0" w:color="803594"/>
          <w:right w:val="nil"/>
        </w:tcBorders>
      </w:tcPr>
    </w:tblStylePr>
  </w:style>
  <w:style w:type="table" w:customStyle="1" w:styleId="ListTable41">
    <w:name w:val="List Table 4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3E1E2"/>
        <w:left w:val="single" w:sz="4" w:space="0" w:color="73E1E2"/>
        <w:bottom w:val="single" w:sz="4" w:space="0" w:color="73E1E2"/>
        <w:right w:val="single" w:sz="4" w:space="0" w:color="73E1E2"/>
        <w:insideH w:val="single" w:sz="4" w:space="0" w:color="73E1E2"/>
      </w:tblBorders>
    </w:tblPr>
    <w:tblStylePr w:type="firstRow">
      <w:rPr>
        <w:b/>
        <w:bCs/>
        <w:color w:val="FFFFFF"/>
      </w:rPr>
      <w:tblPr/>
      <w:tcPr>
        <w:tcBorders>
          <w:top w:val="single" w:sz="4" w:space="0" w:color="27BDBE"/>
          <w:left w:val="single" w:sz="4" w:space="0" w:color="27BDBE"/>
          <w:bottom w:val="single" w:sz="4" w:space="0" w:color="27BDBE"/>
          <w:right w:val="single" w:sz="4" w:space="0" w:color="27BDBE"/>
          <w:insideH w:val="nil"/>
        </w:tcBorders>
        <w:shd w:val="clear" w:color="auto" w:fill="27BDBE"/>
      </w:tcPr>
    </w:tblStylePr>
    <w:tblStylePr w:type="lastRow">
      <w:rPr>
        <w:b/>
        <w:bCs/>
      </w:rPr>
      <w:tblPr/>
      <w:tcPr>
        <w:tcBorders>
          <w:top w:val="double" w:sz="4" w:space="0" w:color="73E1E2"/>
        </w:tcBorders>
      </w:tc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ListTable4-Accent21">
    <w:name w:val="List Table 4 - Accent 2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2BFFF9"/>
        <w:left w:val="single" w:sz="4" w:space="0" w:color="2BFFF9"/>
        <w:bottom w:val="single" w:sz="4" w:space="0" w:color="2BFFF9"/>
        <w:right w:val="single" w:sz="4" w:space="0" w:color="2BFFF9"/>
        <w:insideH w:val="single" w:sz="4" w:space="0" w:color="2BFFF9"/>
      </w:tblBorders>
    </w:tblPr>
    <w:tblStylePr w:type="firstRow">
      <w:rPr>
        <w:b/>
        <w:bCs/>
        <w:color w:val="FFFFFF"/>
      </w:rPr>
      <w:tblPr/>
      <w:tcPr>
        <w:tcBorders>
          <w:top w:val="single" w:sz="4" w:space="0" w:color="009E9A"/>
          <w:left w:val="single" w:sz="4" w:space="0" w:color="009E9A"/>
          <w:bottom w:val="single" w:sz="4" w:space="0" w:color="009E9A"/>
          <w:right w:val="single" w:sz="4" w:space="0" w:color="009E9A"/>
          <w:insideH w:val="nil"/>
        </w:tcBorders>
        <w:shd w:val="clear" w:color="auto" w:fill="009E9A"/>
      </w:tcPr>
    </w:tblStylePr>
    <w:tblStylePr w:type="lastRow">
      <w:rPr>
        <w:b/>
        <w:bCs/>
      </w:rPr>
      <w:tblPr/>
      <w:tcPr>
        <w:tcBorders>
          <w:top w:val="double" w:sz="4" w:space="0" w:color="2BFFF9"/>
        </w:tcBorders>
      </w:tc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ListTable4-Accent31">
    <w:name w:val="List Table 4 - Accent 3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9B8E3"/>
        <w:left w:val="single" w:sz="4" w:space="0" w:color="79B8E3"/>
        <w:bottom w:val="single" w:sz="4" w:space="0" w:color="79B8E3"/>
        <w:right w:val="single" w:sz="4" w:space="0" w:color="79B8E3"/>
        <w:insideH w:val="single" w:sz="4" w:space="0" w:color="79B8E3"/>
      </w:tblBorders>
    </w:tblPr>
    <w:tblStylePr w:type="firstRow">
      <w:rPr>
        <w:b/>
        <w:bCs/>
        <w:color w:val="FFFFFF"/>
      </w:rPr>
      <w:tblPr/>
      <w:tcPr>
        <w:tcBorders>
          <w:top w:val="single" w:sz="4" w:space="0" w:color="2988C9"/>
          <w:left w:val="single" w:sz="4" w:space="0" w:color="2988C9"/>
          <w:bottom w:val="single" w:sz="4" w:space="0" w:color="2988C9"/>
          <w:right w:val="single" w:sz="4" w:space="0" w:color="2988C9"/>
          <w:insideH w:val="nil"/>
        </w:tcBorders>
        <w:shd w:val="clear" w:color="auto" w:fill="2988C9"/>
      </w:tcPr>
    </w:tblStylePr>
    <w:tblStylePr w:type="lastRow">
      <w:rPr>
        <w:b/>
        <w:bCs/>
      </w:rPr>
      <w:tblPr/>
      <w:tcPr>
        <w:tcBorders>
          <w:top w:val="double" w:sz="4" w:space="0" w:color="79B8E3"/>
        </w:tcBorders>
      </w:tc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ListTable4-Accent41">
    <w:name w:val="List Table 4 - Accent 4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67ADD8"/>
        <w:left w:val="single" w:sz="4" w:space="0" w:color="67ADD8"/>
        <w:bottom w:val="single" w:sz="4" w:space="0" w:color="67ADD8"/>
        <w:right w:val="single" w:sz="4" w:space="0" w:color="67ADD8"/>
        <w:insideH w:val="single" w:sz="4" w:space="0" w:color="67ADD8"/>
      </w:tblBorders>
    </w:tblPr>
    <w:tblStylePr w:type="firstRow">
      <w:rPr>
        <w:b/>
        <w:bCs/>
        <w:color w:val="FFFFFF"/>
      </w:rPr>
      <w:tblPr/>
      <w:tcPr>
        <w:tcBorders>
          <w:top w:val="single" w:sz="4" w:space="0" w:color="276F9A"/>
          <w:left w:val="single" w:sz="4" w:space="0" w:color="276F9A"/>
          <w:bottom w:val="single" w:sz="4" w:space="0" w:color="276F9A"/>
          <w:right w:val="single" w:sz="4" w:space="0" w:color="276F9A"/>
          <w:insideH w:val="nil"/>
        </w:tcBorders>
        <w:shd w:val="clear" w:color="auto" w:fill="276F9A"/>
      </w:tcPr>
    </w:tblStylePr>
    <w:tblStylePr w:type="lastRow">
      <w:rPr>
        <w:b/>
        <w:bCs/>
      </w:rPr>
      <w:tblPr/>
      <w:tcPr>
        <w:tcBorders>
          <w:top w:val="double" w:sz="4" w:space="0" w:color="67ADD8"/>
        </w:tcBorders>
      </w:tc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ListTable4-Accent51">
    <w:name w:val="List Table 4 - Accent 5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88D69B"/>
        <w:left w:val="single" w:sz="4" w:space="0" w:color="88D69B"/>
        <w:bottom w:val="single" w:sz="4" w:space="0" w:color="88D69B"/>
        <w:right w:val="single" w:sz="4" w:space="0" w:color="88D69B"/>
        <w:insideH w:val="single" w:sz="4" w:space="0" w:color="88D69B"/>
      </w:tblBorders>
    </w:tblPr>
    <w:tblStylePr w:type="firstRow">
      <w:rPr>
        <w:b/>
        <w:bCs/>
        <w:color w:val="FFFFFF"/>
      </w:rPr>
      <w:tblPr/>
      <w:tcPr>
        <w:tcBorders>
          <w:top w:val="single" w:sz="4" w:space="0" w:color="3FB65B"/>
          <w:left w:val="single" w:sz="4" w:space="0" w:color="3FB65B"/>
          <w:bottom w:val="single" w:sz="4" w:space="0" w:color="3FB65B"/>
          <w:right w:val="single" w:sz="4" w:space="0" w:color="3FB65B"/>
          <w:insideH w:val="nil"/>
        </w:tcBorders>
        <w:shd w:val="clear" w:color="auto" w:fill="3FB65B"/>
      </w:tcPr>
    </w:tblStylePr>
    <w:tblStylePr w:type="lastRow">
      <w:rPr>
        <w:b/>
        <w:bCs/>
      </w:rPr>
      <w:tblPr/>
      <w:tcPr>
        <w:tcBorders>
          <w:top w:val="double" w:sz="4" w:space="0" w:color="88D69B"/>
        </w:tcBorders>
      </w:tc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ListTable4-Accent61">
    <w:name w:val="List Table 4 - Accent 61"/>
    <w:basedOn w:val="TableNormal"/>
    <w:uiPriority w:val="49"/>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BB76CE"/>
        <w:left w:val="single" w:sz="4" w:space="0" w:color="BB76CE"/>
        <w:bottom w:val="single" w:sz="4" w:space="0" w:color="BB76CE"/>
        <w:right w:val="single" w:sz="4" w:space="0" w:color="BB76CE"/>
        <w:insideH w:val="single" w:sz="4" w:space="0" w:color="BB76CE"/>
      </w:tblBorders>
    </w:tblPr>
    <w:tblStylePr w:type="firstRow">
      <w:rPr>
        <w:b/>
        <w:bCs/>
        <w:color w:val="FFFFFF"/>
      </w:rPr>
      <w:tblPr/>
      <w:tcPr>
        <w:tcBorders>
          <w:top w:val="single" w:sz="4" w:space="0" w:color="803594"/>
          <w:left w:val="single" w:sz="4" w:space="0" w:color="803594"/>
          <w:bottom w:val="single" w:sz="4" w:space="0" w:color="803594"/>
          <w:right w:val="single" w:sz="4" w:space="0" w:color="803594"/>
          <w:insideH w:val="nil"/>
        </w:tcBorders>
        <w:shd w:val="clear" w:color="auto" w:fill="803594"/>
      </w:tcPr>
    </w:tblStylePr>
    <w:tblStylePr w:type="lastRow">
      <w:rPr>
        <w:b/>
        <w:bCs/>
      </w:rPr>
      <w:tblPr/>
      <w:tcPr>
        <w:tcBorders>
          <w:top w:val="double" w:sz="4" w:space="0" w:color="BB76CE"/>
        </w:tcBorders>
      </w:tc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ListTable5Dark1">
    <w:name w:val="List Table 5 Dark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27BDBE"/>
        <w:left w:val="single" w:sz="24" w:space="0" w:color="27BDBE"/>
        <w:bottom w:val="single" w:sz="24" w:space="0" w:color="27BDBE"/>
        <w:right w:val="single" w:sz="24" w:space="0" w:color="27BDBE"/>
      </w:tblBorders>
    </w:tblPr>
    <w:tcPr>
      <w:shd w:val="clear" w:color="auto" w:fill="27BDB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009E9A"/>
        <w:left w:val="single" w:sz="24" w:space="0" w:color="009E9A"/>
        <w:bottom w:val="single" w:sz="24" w:space="0" w:color="009E9A"/>
        <w:right w:val="single" w:sz="24" w:space="0" w:color="009E9A"/>
      </w:tblBorders>
    </w:tblPr>
    <w:tcPr>
      <w:shd w:val="clear" w:color="auto" w:fill="009E9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2988C9"/>
        <w:left w:val="single" w:sz="24" w:space="0" w:color="2988C9"/>
        <w:bottom w:val="single" w:sz="24" w:space="0" w:color="2988C9"/>
        <w:right w:val="single" w:sz="24" w:space="0" w:color="2988C9"/>
      </w:tblBorders>
    </w:tblPr>
    <w:tcPr>
      <w:shd w:val="clear" w:color="auto" w:fill="2988C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276F9A"/>
        <w:left w:val="single" w:sz="24" w:space="0" w:color="276F9A"/>
        <w:bottom w:val="single" w:sz="24" w:space="0" w:color="276F9A"/>
        <w:right w:val="single" w:sz="24" w:space="0" w:color="276F9A"/>
      </w:tblBorders>
    </w:tblPr>
    <w:tcPr>
      <w:shd w:val="clear" w:color="auto" w:fill="276F9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3FB65B"/>
        <w:left w:val="single" w:sz="24" w:space="0" w:color="3FB65B"/>
        <w:bottom w:val="single" w:sz="24" w:space="0" w:color="3FB65B"/>
        <w:right w:val="single" w:sz="24" w:space="0" w:color="3FB65B"/>
      </w:tblBorders>
    </w:tblPr>
    <w:tcPr>
      <w:shd w:val="clear" w:color="auto" w:fill="3FB65B"/>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Borders>
        <w:top w:val="single" w:sz="24" w:space="0" w:color="803594"/>
        <w:left w:val="single" w:sz="24" w:space="0" w:color="803594"/>
        <w:bottom w:val="single" w:sz="24" w:space="0" w:color="803594"/>
        <w:right w:val="single" w:sz="24" w:space="0" w:color="803594"/>
      </w:tblBorders>
    </w:tblPr>
    <w:tcPr>
      <w:shd w:val="clear" w:color="auto" w:fill="80359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uiPriority w:val="51"/>
    <w:rsid w:val="005D784C"/>
    <w:pPr>
      <w:spacing w:after="0" w:line="240" w:lineRule="auto"/>
    </w:pPr>
    <w:rPr>
      <w:rFonts w:ascii="Arial" w:eastAsia="Times New Roman" w:hAnsi="Arial" w:cs="Times New Roman"/>
      <w:color w:val="1D8D8E"/>
      <w:sz w:val="20"/>
      <w:szCs w:val="20"/>
      <w:lang w:val="sq-AL" w:eastAsia="sq-AL"/>
    </w:rPr>
    <w:tblPr>
      <w:tblStyleRowBandSize w:val="1"/>
      <w:tblStyleColBandSize w:val="1"/>
      <w:tblBorders>
        <w:top w:val="single" w:sz="4" w:space="0" w:color="27BDBE"/>
        <w:bottom w:val="single" w:sz="4" w:space="0" w:color="27BDBE"/>
      </w:tblBorders>
    </w:tblPr>
    <w:tblStylePr w:type="firstRow">
      <w:rPr>
        <w:b/>
        <w:bCs/>
      </w:rPr>
      <w:tblPr/>
      <w:tcPr>
        <w:tcBorders>
          <w:bottom w:val="single" w:sz="4" w:space="0" w:color="27BDBE"/>
        </w:tcBorders>
      </w:tcPr>
    </w:tblStylePr>
    <w:tblStylePr w:type="lastRow">
      <w:rPr>
        <w:b/>
        <w:bCs/>
      </w:rPr>
      <w:tblPr/>
      <w:tcPr>
        <w:tcBorders>
          <w:top w:val="double" w:sz="4" w:space="0" w:color="27BDBE"/>
        </w:tcBorders>
      </w:tcPr>
    </w:tblStylePr>
    <w:tblStylePr w:type="firstCol">
      <w:rPr>
        <w:b/>
        <w:bCs/>
      </w:rPr>
    </w:tblStylePr>
    <w:tblStylePr w:type="lastCol">
      <w:rPr>
        <w:b/>
        <w:bCs/>
      </w:rPr>
    </w:tblStylePr>
    <w:tblStylePr w:type="band1Vert">
      <w:tblPr/>
      <w:tcPr>
        <w:shd w:val="clear" w:color="auto" w:fill="D0F5F5"/>
      </w:tcPr>
    </w:tblStylePr>
    <w:tblStylePr w:type="band1Horz">
      <w:tblPr/>
      <w:tcPr>
        <w:shd w:val="clear" w:color="auto" w:fill="D0F5F5"/>
      </w:tcPr>
    </w:tblStylePr>
  </w:style>
  <w:style w:type="table" w:customStyle="1" w:styleId="ListTable6Colorful-Accent21">
    <w:name w:val="List Table 6 Colorful - Accent 21"/>
    <w:basedOn w:val="TableNormal"/>
    <w:uiPriority w:val="51"/>
    <w:rsid w:val="005D784C"/>
    <w:pPr>
      <w:spacing w:after="0" w:line="240" w:lineRule="auto"/>
    </w:pPr>
    <w:rPr>
      <w:rFonts w:ascii="Arial" w:eastAsia="Times New Roman" w:hAnsi="Arial" w:cs="Times New Roman"/>
      <w:color w:val="007673"/>
      <w:sz w:val="20"/>
      <w:szCs w:val="20"/>
      <w:lang w:val="sq-AL" w:eastAsia="sq-AL"/>
    </w:rPr>
    <w:tblPr>
      <w:tblStyleRowBandSize w:val="1"/>
      <w:tblStyleColBandSize w:val="1"/>
      <w:tblBorders>
        <w:top w:val="single" w:sz="4" w:space="0" w:color="009E9A"/>
        <w:bottom w:val="single" w:sz="4" w:space="0" w:color="009E9A"/>
      </w:tblBorders>
    </w:tblPr>
    <w:tblStylePr w:type="firstRow">
      <w:rPr>
        <w:b/>
        <w:bCs/>
      </w:rPr>
      <w:tblPr/>
      <w:tcPr>
        <w:tcBorders>
          <w:bottom w:val="single" w:sz="4" w:space="0" w:color="009E9A"/>
        </w:tcBorders>
      </w:tcPr>
    </w:tblStylePr>
    <w:tblStylePr w:type="lastRow">
      <w:rPr>
        <w:b/>
        <w:bCs/>
      </w:rPr>
      <w:tblPr/>
      <w:tcPr>
        <w:tcBorders>
          <w:top w:val="double" w:sz="4" w:space="0" w:color="009E9A"/>
        </w:tcBorders>
      </w:tcPr>
    </w:tblStylePr>
    <w:tblStylePr w:type="firstCol">
      <w:rPr>
        <w:b/>
        <w:bCs/>
      </w:rPr>
    </w:tblStylePr>
    <w:tblStylePr w:type="lastCol">
      <w:rPr>
        <w:b/>
        <w:bCs/>
      </w:rPr>
    </w:tblStylePr>
    <w:tblStylePr w:type="band1Vert">
      <w:tblPr/>
      <w:tcPr>
        <w:shd w:val="clear" w:color="auto" w:fill="B8FFFD"/>
      </w:tcPr>
    </w:tblStylePr>
    <w:tblStylePr w:type="band1Horz">
      <w:tblPr/>
      <w:tcPr>
        <w:shd w:val="clear" w:color="auto" w:fill="B8FFFD"/>
      </w:tcPr>
    </w:tblStylePr>
  </w:style>
  <w:style w:type="table" w:customStyle="1" w:styleId="ListTable6Colorful-Accent31">
    <w:name w:val="List Table 6 Colorful - Accent 31"/>
    <w:basedOn w:val="TableNormal"/>
    <w:uiPriority w:val="51"/>
    <w:rsid w:val="005D784C"/>
    <w:pPr>
      <w:spacing w:after="0" w:line="240" w:lineRule="auto"/>
    </w:pPr>
    <w:rPr>
      <w:rFonts w:ascii="Arial" w:eastAsia="Times New Roman" w:hAnsi="Arial" w:cs="Times New Roman"/>
      <w:color w:val="1E6596"/>
      <w:sz w:val="20"/>
      <w:szCs w:val="20"/>
      <w:lang w:val="sq-AL" w:eastAsia="sq-AL"/>
    </w:rPr>
    <w:tblPr>
      <w:tblStyleRowBandSize w:val="1"/>
      <w:tblStyleColBandSize w:val="1"/>
      <w:tblBorders>
        <w:top w:val="single" w:sz="4" w:space="0" w:color="2988C9"/>
        <w:bottom w:val="single" w:sz="4" w:space="0" w:color="2988C9"/>
      </w:tblBorders>
    </w:tblPr>
    <w:tblStylePr w:type="firstRow">
      <w:rPr>
        <w:b/>
        <w:bCs/>
      </w:rPr>
      <w:tblPr/>
      <w:tcPr>
        <w:tcBorders>
          <w:bottom w:val="single" w:sz="4" w:space="0" w:color="2988C9"/>
        </w:tcBorders>
      </w:tcPr>
    </w:tblStylePr>
    <w:tblStylePr w:type="lastRow">
      <w:rPr>
        <w:b/>
        <w:bCs/>
      </w:rPr>
      <w:tblPr/>
      <w:tcPr>
        <w:tcBorders>
          <w:top w:val="double" w:sz="4" w:space="0" w:color="2988C9"/>
        </w:tcBorders>
      </w:tcPr>
    </w:tblStylePr>
    <w:tblStylePr w:type="firstCol">
      <w:rPr>
        <w:b/>
        <w:bCs/>
      </w:rPr>
    </w:tblStylePr>
    <w:tblStylePr w:type="lastCol">
      <w:rPr>
        <w:b/>
        <w:bCs/>
      </w:rPr>
    </w:tblStylePr>
    <w:tblStylePr w:type="band1Vert">
      <w:tblPr/>
      <w:tcPr>
        <w:shd w:val="clear" w:color="auto" w:fill="D2E7F6"/>
      </w:tcPr>
    </w:tblStylePr>
    <w:tblStylePr w:type="band1Horz">
      <w:tblPr/>
      <w:tcPr>
        <w:shd w:val="clear" w:color="auto" w:fill="D2E7F6"/>
      </w:tcPr>
    </w:tblStylePr>
  </w:style>
  <w:style w:type="table" w:customStyle="1" w:styleId="ListTable6Colorful-Accent41">
    <w:name w:val="List Table 6 Colorful - Accent 41"/>
    <w:basedOn w:val="TableNormal"/>
    <w:uiPriority w:val="51"/>
    <w:rsid w:val="005D784C"/>
    <w:pPr>
      <w:spacing w:after="0" w:line="240" w:lineRule="auto"/>
    </w:pPr>
    <w:rPr>
      <w:rFonts w:ascii="Arial" w:eastAsia="Times New Roman" w:hAnsi="Arial" w:cs="Times New Roman"/>
      <w:color w:val="1D5273"/>
      <w:sz w:val="20"/>
      <w:szCs w:val="20"/>
      <w:lang w:val="sq-AL" w:eastAsia="sq-AL"/>
    </w:rPr>
    <w:tblPr>
      <w:tblStyleRowBandSize w:val="1"/>
      <w:tblStyleColBandSize w:val="1"/>
      <w:tblBorders>
        <w:top w:val="single" w:sz="4" w:space="0" w:color="276F9A"/>
        <w:bottom w:val="single" w:sz="4" w:space="0" w:color="276F9A"/>
      </w:tblBorders>
    </w:tblPr>
    <w:tblStylePr w:type="firstRow">
      <w:rPr>
        <w:b/>
        <w:bCs/>
      </w:rPr>
      <w:tblPr/>
      <w:tcPr>
        <w:tcBorders>
          <w:bottom w:val="single" w:sz="4" w:space="0" w:color="276F9A"/>
        </w:tcBorders>
      </w:tcPr>
    </w:tblStylePr>
    <w:tblStylePr w:type="lastRow">
      <w:rPr>
        <w:b/>
        <w:bCs/>
      </w:rPr>
      <w:tblPr/>
      <w:tcPr>
        <w:tcBorders>
          <w:top w:val="double" w:sz="4" w:space="0" w:color="276F9A"/>
        </w:tcBorders>
      </w:tcPr>
    </w:tblStylePr>
    <w:tblStylePr w:type="firstCol">
      <w:rPr>
        <w:b/>
        <w:bCs/>
      </w:rPr>
    </w:tblStylePr>
    <w:tblStylePr w:type="lastCol">
      <w:rPr>
        <w:b/>
        <w:bCs/>
      </w:rPr>
    </w:tblStylePr>
    <w:tblStylePr w:type="band1Vert">
      <w:tblPr/>
      <w:tcPr>
        <w:shd w:val="clear" w:color="auto" w:fill="CCE3F2"/>
      </w:tcPr>
    </w:tblStylePr>
    <w:tblStylePr w:type="band1Horz">
      <w:tblPr/>
      <w:tcPr>
        <w:shd w:val="clear" w:color="auto" w:fill="CCE3F2"/>
      </w:tcPr>
    </w:tblStylePr>
  </w:style>
  <w:style w:type="table" w:customStyle="1" w:styleId="ListTable6Colorful-Accent51">
    <w:name w:val="List Table 6 Colorful - Accent 51"/>
    <w:basedOn w:val="TableNormal"/>
    <w:uiPriority w:val="51"/>
    <w:rsid w:val="005D784C"/>
    <w:pPr>
      <w:spacing w:after="0" w:line="240" w:lineRule="auto"/>
    </w:pPr>
    <w:rPr>
      <w:rFonts w:ascii="Arial" w:eastAsia="Times New Roman" w:hAnsi="Arial" w:cs="Times New Roman"/>
      <w:color w:val="2F8844"/>
      <w:sz w:val="20"/>
      <w:szCs w:val="20"/>
      <w:lang w:val="sq-AL" w:eastAsia="sq-AL"/>
    </w:rPr>
    <w:tblPr>
      <w:tblStyleRowBandSize w:val="1"/>
      <w:tblStyleColBandSize w:val="1"/>
      <w:tblBorders>
        <w:top w:val="single" w:sz="4" w:space="0" w:color="3FB65B"/>
        <w:bottom w:val="single" w:sz="4" w:space="0" w:color="3FB65B"/>
      </w:tblBorders>
    </w:tblPr>
    <w:tblStylePr w:type="firstRow">
      <w:rPr>
        <w:b/>
        <w:bCs/>
      </w:rPr>
      <w:tblPr/>
      <w:tcPr>
        <w:tcBorders>
          <w:bottom w:val="single" w:sz="4" w:space="0" w:color="3FB65B"/>
        </w:tcBorders>
      </w:tcPr>
    </w:tblStylePr>
    <w:tblStylePr w:type="lastRow">
      <w:rPr>
        <w:b/>
        <w:bCs/>
      </w:rPr>
      <w:tblPr/>
      <w:tcPr>
        <w:tcBorders>
          <w:top w:val="double" w:sz="4" w:space="0" w:color="3FB65B"/>
        </w:tcBorders>
      </w:tcPr>
    </w:tblStylePr>
    <w:tblStylePr w:type="firstCol">
      <w:rPr>
        <w:b/>
        <w:bCs/>
      </w:rPr>
    </w:tblStylePr>
    <w:tblStylePr w:type="lastCol">
      <w:rPr>
        <w:b/>
        <w:bCs/>
      </w:rPr>
    </w:tblStylePr>
    <w:tblStylePr w:type="band1Vert">
      <w:tblPr/>
      <w:tcPr>
        <w:shd w:val="clear" w:color="auto" w:fill="D7F1DD"/>
      </w:tcPr>
    </w:tblStylePr>
    <w:tblStylePr w:type="band1Horz">
      <w:tblPr/>
      <w:tcPr>
        <w:shd w:val="clear" w:color="auto" w:fill="D7F1DD"/>
      </w:tcPr>
    </w:tblStylePr>
  </w:style>
  <w:style w:type="table" w:customStyle="1" w:styleId="ListTable6Colorful-Accent61">
    <w:name w:val="List Table 6 Colorful - Accent 61"/>
    <w:basedOn w:val="TableNormal"/>
    <w:uiPriority w:val="51"/>
    <w:rsid w:val="005D784C"/>
    <w:pPr>
      <w:spacing w:after="0" w:line="240" w:lineRule="auto"/>
    </w:pPr>
    <w:rPr>
      <w:rFonts w:ascii="Arial" w:eastAsia="Times New Roman" w:hAnsi="Arial" w:cs="Times New Roman"/>
      <w:color w:val="5F276E"/>
      <w:sz w:val="20"/>
      <w:szCs w:val="20"/>
      <w:lang w:val="sq-AL" w:eastAsia="sq-AL"/>
    </w:rPr>
    <w:tblPr>
      <w:tblStyleRowBandSize w:val="1"/>
      <w:tblStyleColBandSize w:val="1"/>
      <w:tblBorders>
        <w:top w:val="single" w:sz="4" w:space="0" w:color="803594"/>
        <w:bottom w:val="single" w:sz="4" w:space="0" w:color="803594"/>
      </w:tblBorders>
    </w:tblPr>
    <w:tblStylePr w:type="firstRow">
      <w:rPr>
        <w:b/>
        <w:bCs/>
      </w:rPr>
      <w:tblPr/>
      <w:tcPr>
        <w:tcBorders>
          <w:bottom w:val="single" w:sz="4" w:space="0" w:color="803594"/>
        </w:tcBorders>
      </w:tcPr>
    </w:tblStylePr>
    <w:tblStylePr w:type="lastRow">
      <w:rPr>
        <w:b/>
        <w:bCs/>
      </w:rPr>
      <w:tblPr/>
      <w:tcPr>
        <w:tcBorders>
          <w:top w:val="double" w:sz="4" w:space="0" w:color="803594"/>
        </w:tcBorders>
      </w:tcPr>
    </w:tblStylePr>
    <w:tblStylePr w:type="firstCol">
      <w:rPr>
        <w:b/>
        <w:bCs/>
      </w:rPr>
    </w:tblStylePr>
    <w:tblStylePr w:type="lastCol">
      <w:rPr>
        <w:b/>
        <w:bCs/>
      </w:rPr>
    </w:tblStylePr>
    <w:tblStylePr w:type="band1Vert">
      <w:tblPr/>
      <w:tcPr>
        <w:shd w:val="clear" w:color="auto" w:fill="E8D1EE"/>
      </w:tcPr>
    </w:tblStylePr>
    <w:tblStylePr w:type="band1Horz">
      <w:tblPr/>
      <w:tcPr>
        <w:shd w:val="clear" w:color="auto" w:fill="E8D1EE"/>
      </w:tcPr>
    </w:tblStylePr>
  </w:style>
  <w:style w:type="table" w:customStyle="1" w:styleId="ListTable7Colorful1">
    <w:name w:val="List Table 7 Colorful1"/>
    <w:basedOn w:val="TableNormal"/>
    <w:uiPriority w:val="52"/>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000000"/>
        </w:tcBorders>
        <w:shd w:val="clear" w:color="auto" w:fill="FFFFFF"/>
      </w:tcPr>
    </w:tblStylePr>
    <w:tblStylePr w:type="lastRow">
      <w:rPr>
        <w:rFonts w:ascii="Arial" w:eastAsia="Times New Roman" w:hAnsi="Arial" w:cs="Times New Roman"/>
        <w:i/>
        <w:iCs/>
        <w:sz w:val="26"/>
      </w:rPr>
      <w:tblPr/>
      <w:tcPr>
        <w:tcBorders>
          <w:top w:val="single" w:sz="4" w:space="0" w:color="000000"/>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000000"/>
        </w:tcBorders>
        <w:shd w:val="clear" w:color="auto" w:fill="FFFFFF"/>
      </w:tcPr>
    </w:tblStylePr>
    <w:tblStylePr w:type="lastCol">
      <w:rPr>
        <w:rFonts w:ascii="Arial" w:eastAsia="Times New Roman" w:hAnsi="Arial"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D784C"/>
    <w:pPr>
      <w:spacing w:after="0" w:line="240" w:lineRule="auto"/>
    </w:pPr>
    <w:rPr>
      <w:rFonts w:ascii="Arial" w:eastAsia="Times New Roman" w:hAnsi="Arial" w:cs="Times New Roman"/>
      <w:color w:val="1D8D8E"/>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27BDBE"/>
        </w:tcBorders>
        <w:shd w:val="clear" w:color="auto" w:fill="FFFFFF"/>
      </w:tcPr>
    </w:tblStylePr>
    <w:tblStylePr w:type="lastRow">
      <w:rPr>
        <w:rFonts w:ascii="Arial" w:eastAsia="Times New Roman" w:hAnsi="Arial" w:cs="Times New Roman"/>
        <w:i/>
        <w:iCs/>
        <w:sz w:val="26"/>
      </w:rPr>
      <w:tblPr/>
      <w:tcPr>
        <w:tcBorders>
          <w:top w:val="single" w:sz="4" w:space="0" w:color="27BDBE"/>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27BDBE"/>
        </w:tcBorders>
        <w:shd w:val="clear" w:color="auto" w:fill="FFFFFF"/>
      </w:tcPr>
    </w:tblStylePr>
    <w:tblStylePr w:type="lastCol">
      <w:rPr>
        <w:rFonts w:ascii="Arial" w:eastAsia="Times New Roman" w:hAnsi="Arial" w:cs="Times New Roman"/>
        <w:i/>
        <w:iCs/>
        <w:sz w:val="26"/>
      </w:rPr>
      <w:tblPr/>
      <w:tcPr>
        <w:tcBorders>
          <w:left w:val="single" w:sz="4" w:space="0" w:color="27BDBE"/>
        </w:tcBorders>
        <w:shd w:val="clear" w:color="auto" w:fill="FFFFFF"/>
      </w:tcPr>
    </w:tblStylePr>
    <w:tblStylePr w:type="band1Vert">
      <w:tblPr/>
      <w:tcPr>
        <w:shd w:val="clear" w:color="auto" w:fill="D0F5F5"/>
      </w:tcPr>
    </w:tblStylePr>
    <w:tblStylePr w:type="band1Horz">
      <w:tblPr/>
      <w:tcPr>
        <w:shd w:val="clear" w:color="auto" w:fill="D0F5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D784C"/>
    <w:pPr>
      <w:spacing w:after="0" w:line="240" w:lineRule="auto"/>
    </w:pPr>
    <w:rPr>
      <w:rFonts w:ascii="Arial" w:eastAsia="Times New Roman" w:hAnsi="Arial" w:cs="Times New Roman"/>
      <w:color w:val="007673"/>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009E9A"/>
        </w:tcBorders>
        <w:shd w:val="clear" w:color="auto" w:fill="FFFFFF"/>
      </w:tcPr>
    </w:tblStylePr>
    <w:tblStylePr w:type="lastRow">
      <w:rPr>
        <w:rFonts w:ascii="Arial" w:eastAsia="Times New Roman" w:hAnsi="Arial" w:cs="Times New Roman"/>
        <w:i/>
        <w:iCs/>
        <w:sz w:val="26"/>
      </w:rPr>
      <w:tblPr/>
      <w:tcPr>
        <w:tcBorders>
          <w:top w:val="single" w:sz="4" w:space="0" w:color="009E9A"/>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009E9A"/>
        </w:tcBorders>
        <w:shd w:val="clear" w:color="auto" w:fill="FFFFFF"/>
      </w:tcPr>
    </w:tblStylePr>
    <w:tblStylePr w:type="lastCol">
      <w:rPr>
        <w:rFonts w:ascii="Arial" w:eastAsia="Times New Roman" w:hAnsi="Arial" w:cs="Times New Roman"/>
        <w:i/>
        <w:iCs/>
        <w:sz w:val="26"/>
      </w:rPr>
      <w:tblPr/>
      <w:tcPr>
        <w:tcBorders>
          <w:left w:val="single" w:sz="4" w:space="0" w:color="009E9A"/>
        </w:tcBorders>
        <w:shd w:val="clear" w:color="auto" w:fill="FFFFFF"/>
      </w:tcPr>
    </w:tblStylePr>
    <w:tblStylePr w:type="band1Vert">
      <w:tblPr/>
      <w:tcPr>
        <w:shd w:val="clear" w:color="auto" w:fill="B8FFFD"/>
      </w:tcPr>
    </w:tblStylePr>
    <w:tblStylePr w:type="band1Horz">
      <w:tblPr/>
      <w:tcPr>
        <w:shd w:val="clear" w:color="auto" w:fill="B8FFF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D784C"/>
    <w:pPr>
      <w:spacing w:after="0" w:line="240" w:lineRule="auto"/>
    </w:pPr>
    <w:rPr>
      <w:rFonts w:ascii="Arial" w:eastAsia="Times New Roman" w:hAnsi="Arial" w:cs="Times New Roman"/>
      <w:color w:val="1E6596"/>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2988C9"/>
        </w:tcBorders>
        <w:shd w:val="clear" w:color="auto" w:fill="FFFFFF"/>
      </w:tcPr>
    </w:tblStylePr>
    <w:tblStylePr w:type="lastRow">
      <w:rPr>
        <w:rFonts w:ascii="Arial" w:eastAsia="Times New Roman" w:hAnsi="Arial" w:cs="Times New Roman"/>
        <w:i/>
        <w:iCs/>
        <w:sz w:val="26"/>
      </w:rPr>
      <w:tblPr/>
      <w:tcPr>
        <w:tcBorders>
          <w:top w:val="single" w:sz="4" w:space="0" w:color="2988C9"/>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2988C9"/>
        </w:tcBorders>
        <w:shd w:val="clear" w:color="auto" w:fill="FFFFFF"/>
      </w:tcPr>
    </w:tblStylePr>
    <w:tblStylePr w:type="lastCol">
      <w:rPr>
        <w:rFonts w:ascii="Arial" w:eastAsia="Times New Roman" w:hAnsi="Arial" w:cs="Times New Roman"/>
        <w:i/>
        <w:iCs/>
        <w:sz w:val="26"/>
      </w:rPr>
      <w:tblPr/>
      <w:tcPr>
        <w:tcBorders>
          <w:left w:val="single" w:sz="4" w:space="0" w:color="2988C9"/>
        </w:tcBorders>
        <w:shd w:val="clear" w:color="auto" w:fill="FFFFFF"/>
      </w:tcPr>
    </w:tblStylePr>
    <w:tblStylePr w:type="band1Vert">
      <w:tblPr/>
      <w:tcPr>
        <w:shd w:val="clear" w:color="auto" w:fill="D2E7F6"/>
      </w:tcPr>
    </w:tblStylePr>
    <w:tblStylePr w:type="band1Horz">
      <w:tblPr/>
      <w:tcPr>
        <w:shd w:val="clear" w:color="auto" w:fill="D2E7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D784C"/>
    <w:pPr>
      <w:spacing w:after="0" w:line="240" w:lineRule="auto"/>
    </w:pPr>
    <w:rPr>
      <w:rFonts w:ascii="Arial" w:eastAsia="Times New Roman" w:hAnsi="Arial" w:cs="Times New Roman"/>
      <w:color w:val="1D5273"/>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276F9A"/>
        </w:tcBorders>
        <w:shd w:val="clear" w:color="auto" w:fill="FFFFFF"/>
      </w:tcPr>
    </w:tblStylePr>
    <w:tblStylePr w:type="lastRow">
      <w:rPr>
        <w:rFonts w:ascii="Arial" w:eastAsia="Times New Roman" w:hAnsi="Arial" w:cs="Times New Roman"/>
        <w:i/>
        <w:iCs/>
        <w:sz w:val="26"/>
      </w:rPr>
      <w:tblPr/>
      <w:tcPr>
        <w:tcBorders>
          <w:top w:val="single" w:sz="4" w:space="0" w:color="276F9A"/>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276F9A"/>
        </w:tcBorders>
        <w:shd w:val="clear" w:color="auto" w:fill="FFFFFF"/>
      </w:tcPr>
    </w:tblStylePr>
    <w:tblStylePr w:type="lastCol">
      <w:rPr>
        <w:rFonts w:ascii="Arial" w:eastAsia="Times New Roman" w:hAnsi="Arial" w:cs="Times New Roman"/>
        <w:i/>
        <w:iCs/>
        <w:sz w:val="26"/>
      </w:rPr>
      <w:tblPr/>
      <w:tcPr>
        <w:tcBorders>
          <w:left w:val="single" w:sz="4" w:space="0" w:color="276F9A"/>
        </w:tcBorders>
        <w:shd w:val="clear" w:color="auto" w:fill="FFFFFF"/>
      </w:tcPr>
    </w:tblStylePr>
    <w:tblStylePr w:type="band1Vert">
      <w:tblPr/>
      <w:tcPr>
        <w:shd w:val="clear" w:color="auto" w:fill="CCE3F2"/>
      </w:tcPr>
    </w:tblStylePr>
    <w:tblStylePr w:type="band1Horz">
      <w:tblPr/>
      <w:tcPr>
        <w:shd w:val="clear" w:color="auto" w:fill="CCE3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D784C"/>
    <w:pPr>
      <w:spacing w:after="0" w:line="240" w:lineRule="auto"/>
    </w:pPr>
    <w:rPr>
      <w:rFonts w:ascii="Arial" w:eastAsia="Times New Roman" w:hAnsi="Arial" w:cs="Times New Roman"/>
      <w:color w:val="2F8844"/>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3FB65B"/>
        </w:tcBorders>
        <w:shd w:val="clear" w:color="auto" w:fill="FFFFFF"/>
      </w:tcPr>
    </w:tblStylePr>
    <w:tblStylePr w:type="lastRow">
      <w:rPr>
        <w:rFonts w:ascii="Arial" w:eastAsia="Times New Roman" w:hAnsi="Arial" w:cs="Times New Roman"/>
        <w:i/>
        <w:iCs/>
        <w:sz w:val="26"/>
      </w:rPr>
      <w:tblPr/>
      <w:tcPr>
        <w:tcBorders>
          <w:top w:val="single" w:sz="4" w:space="0" w:color="3FB65B"/>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3FB65B"/>
        </w:tcBorders>
        <w:shd w:val="clear" w:color="auto" w:fill="FFFFFF"/>
      </w:tcPr>
    </w:tblStylePr>
    <w:tblStylePr w:type="lastCol">
      <w:rPr>
        <w:rFonts w:ascii="Arial" w:eastAsia="Times New Roman" w:hAnsi="Arial" w:cs="Times New Roman"/>
        <w:i/>
        <w:iCs/>
        <w:sz w:val="26"/>
      </w:rPr>
      <w:tblPr/>
      <w:tcPr>
        <w:tcBorders>
          <w:left w:val="single" w:sz="4" w:space="0" w:color="3FB65B"/>
        </w:tcBorders>
        <w:shd w:val="clear" w:color="auto" w:fill="FFFFFF"/>
      </w:tcPr>
    </w:tblStylePr>
    <w:tblStylePr w:type="band1Vert">
      <w:tblPr/>
      <w:tcPr>
        <w:shd w:val="clear" w:color="auto" w:fill="D7F1DD"/>
      </w:tcPr>
    </w:tblStylePr>
    <w:tblStylePr w:type="band1Horz">
      <w:tblPr/>
      <w:tcPr>
        <w:shd w:val="clear" w:color="auto" w:fill="D7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D784C"/>
    <w:pPr>
      <w:spacing w:after="0" w:line="240" w:lineRule="auto"/>
    </w:pPr>
    <w:rPr>
      <w:rFonts w:ascii="Arial" w:eastAsia="Times New Roman" w:hAnsi="Arial" w:cs="Times New Roman"/>
      <w:color w:val="5F276E"/>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803594"/>
        </w:tcBorders>
        <w:shd w:val="clear" w:color="auto" w:fill="FFFFFF"/>
      </w:tcPr>
    </w:tblStylePr>
    <w:tblStylePr w:type="lastRow">
      <w:rPr>
        <w:rFonts w:ascii="Arial" w:eastAsia="Times New Roman" w:hAnsi="Arial" w:cs="Times New Roman"/>
        <w:i/>
        <w:iCs/>
        <w:sz w:val="26"/>
      </w:rPr>
      <w:tblPr/>
      <w:tcPr>
        <w:tcBorders>
          <w:top w:val="single" w:sz="4" w:space="0" w:color="803594"/>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803594"/>
        </w:tcBorders>
        <w:shd w:val="clear" w:color="auto" w:fill="FFFFFF"/>
      </w:tcPr>
    </w:tblStylePr>
    <w:tblStylePr w:type="lastCol">
      <w:rPr>
        <w:rFonts w:ascii="Arial" w:eastAsia="Times New Roman" w:hAnsi="Arial" w:cs="Times New Roman"/>
        <w:i/>
        <w:iCs/>
        <w:sz w:val="26"/>
      </w:rPr>
      <w:tblPr/>
      <w:tcPr>
        <w:tcBorders>
          <w:left w:val="single" w:sz="4" w:space="0" w:color="803594"/>
        </w:tcBorders>
        <w:shd w:val="clear" w:color="auto" w:fill="FFFFFF"/>
      </w:tcPr>
    </w:tblStylePr>
    <w:tblStylePr w:type="band1Vert">
      <w:tblPr/>
      <w:tcPr>
        <w:shd w:val="clear" w:color="auto" w:fill="E8D1EE"/>
      </w:tcPr>
    </w:tblStylePr>
    <w:tblStylePr w:type="band1Horz">
      <w:tblPr/>
      <w:tcPr>
        <w:shd w:val="clear" w:color="auto" w:fill="E8D1EE"/>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5D784C"/>
    <w:pPr>
      <w:tabs>
        <w:tab w:val="left" w:pos="480"/>
        <w:tab w:val="left" w:pos="960"/>
        <w:tab w:val="left" w:pos="1440"/>
        <w:tab w:val="left" w:pos="1920"/>
        <w:tab w:val="left" w:pos="2400"/>
        <w:tab w:val="left" w:pos="2880"/>
        <w:tab w:val="left" w:pos="3360"/>
        <w:tab w:val="left" w:pos="3840"/>
        <w:tab w:val="left" w:pos="4320"/>
      </w:tabs>
      <w:spacing w:before="120" w:after="0" w:line="264"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semiHidden/>
    <w:rsid w:val="005D784C"/>
    <w:rPr>
      <w:rFonts w:ascii="Consolas" w:eastAsia="Times New Roman" w:hAnsi="Consolas" w:cs="Times New Roman"/>
      <w:sz w:val="20"/>
      <w:szCs w:val="20"/>
    </w:rPr>
  </w:style>
  <w:style w:type="table" w:customStyle="1" w:styleId="MediumGrid11">
    <w:name w:val="Medium Grid 11"/>
    <w:basedOn w:val="TableNormal"/>
    <w:uiPriority w:val="67"/>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50DADB"/>
        <w:left w:val="single" w:sz="8" w:space="0" w:color="50DADB"/>
        <w:bottom w:val="single" w:sz="8" w:space="0" w:color="50DADB"/>
        <w:right w:val="single" w:sz="8" w:space="0" w:color="50DADB"/>
        <w:insideH w:val="single" w:sz="8" w:space="0" w:color="50DADB"/>
        <w:insideV w:val="single" w:sz="8" w:space="0" w:color="50DADB"/>
      </w:tblBorders>
    </w:tblPr>
    <w:tcPr>
      <w:shd w:val="clear" w:color="auto" w:fill="C5F2F3"/>
    </w:tcPr>
    <w:tblStylePr w:type="firstRow">
      <w:rPr>
        <w:b/>
        <w:bCs/>
      </w:rPr>
    </w:tblStylePr>
    <w:tblStylePr w:type="lastRow">
      <w:rPr>
        <w:b/>
        <w:bCs/>
      </w:rPr>
      <w:tblPr/>
      <w:tcPr>
        <w:tcBorders>
          <w:top w:val="single" w:sz="18" w:space="0" w:color="50DADB"/>
        </w:tcBorders>
      </w:tcPr>
    </w:tblStylePr>
    <w:tblStylePr w:type="firstCol">
      <w:rPr>
        <w:b/>
        <w:bCs/>
      </w:rPr>
    </w:tblStylePr>
    <w:tblStylePr w:type="lastCol">
      <w:rPr>
        <w:b/>
        <w:bCs/>
      </w:rPr>
    </w:tblStylePr>
    <w:tblStylePr w:type="band1Vert">
      <w:tblPr/>
      <w:tcPr>
        <w:shd w:val="clear" w:color="auto" w:fill="8AE6E7"/>
      </w:tcPr>
    </w:tblStylePr>
    <w:tblStylePr w:type="band1Horz">
      <w:tblPr/>
      <w:tcPr>
        <w:shd w:val="clear" w:color="auto" w:fill="8AE6E7"/>
      </w:tcPr>
    </w:tblStylePr>
  </w:style>
  <w:style w:type="table" w:styleId="MediumGrid1-Accent2">
    <w:name w:val="Medium Grid 1 Accent 2"/>
    <w:basedOn w:val="TableNormal"/>
    <w:uiPriority w:val="67"/>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F6EF"/>
        <w:left w:val="single" w:sz="8" w:space="0" w:color="00F6EF"/>
        <w:bottom w:val="single" w:sz="8" w:space="0" w:color="00F6EF"/>
        <w:right w:val="single" w:sz="8" w:space="0" w:color="00F6EF"/>
        <w:insideH w:val="single" w:sz="8" w:space="0" w:color="00F6EF"/>
        <w:insideV w:val="single" w:sz="8" w:space="0" w:color="00F6EF"/>
      </w:tblBorders>
    </w:tblPr>
    <w:tcPr>
      <w:shd w:val="clear" w:color="auto" w:fill="A8FFFC"/>
    </w:tcPr>
    <w:tblStylePr w:type="firstRow">
      <w:rPr>
        <w:b/>
        <w:bCs/>
      </w:rPr>
    </w:tblStylePr>
    <w:tblStylePr w:type="lastRow">
      <w:rPr>
        <w:b/>
        <w:bCs/>
      </w:rPr>
      <w:tblPr/>
      <w:tcPr>
        <w:tcBorders>
          <w:top w:val="single" w:sz="18" w:space="0" w:color="00F6EF"/>
        </w:tcBorders>
      </w:tcPr>
    </w:tblStylePr>
    <w:tblStylePr w:type="firstCol">
      <w:rPr>
        <w:b/>
        <w:bCs/>
      </w:rPr>
    </w:tblStylePr>
    <w:tblStylePr w:type="lastCol">
      <w:rPr>
        <w:b/>
        <w:bCs/>
      </w:rPr>
    </w:tblStylePr>
    <w:tblStylePr w:type="band1Vert">
      <w:tblPr/>
      <w:tcPr>
        <w:shd w:val="clear" w:color="auto" w:fill="4FFFFA"/>
      </w:tcPr>
    </w:tblStylePr>
    <w:tblStylePr w:type="band1Horz">
      <w:tblPr/>
      <w:tcPr>
        <w:shd w:val="clear" w:color="auto" w:fill="4FFFFA"/>
      </w:tcPr>
    </w:tblStylePr>
  </w:style>
  <w:style w:type="table" w:styleId="MediumGrid1-Accent3">
    <w:name w:val="Medium Grid 1 Accent 3"/>
    <w:basedOn w:val="TableNormal"/>
    <w:uiPriority w:val="67"/>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58A6DD"/>
        <w:left w:val="single" w:sz="8" w:space="0" w:color="58A6DD"/>
        <w:bottom w:val="single" w:sz="8" w:space="0" w:color="58A6DD"/>
        <w:right w:val="single" w:sz="8" w:space="0" w:color="58A6DD"/>
        <w:insideH w:val="single" w:sz="8" w:space="0" w:color="58A6DD"/>
        <w:insideV w:val="single" w:sz="8" w:space="0" w:color="58A6DD"/>
      </w:tblBorders>
    </w:tblPr>
    <w:tcPr>
      <w:shd w:val="clear" w:color="auto" w:fill="C7E1F3"/>
    </w:tcPr>
    <w:tblStylePr w:type="firstRow">
      <w:rPr>
        <w:b/>
        <w:bCs/>
      </w:rPr>
    </w:tblStylePr>
    <w:tblStylePr w:type="lastRow">
      <w:rPr>
        <w:b/>
        <w:bCs/>
      </w:rPr>
      <w:tblPr/>
      <w:tcPr>
        <w:tcBorders>
          <w:top w:val="single" w:sz="18" w:space="0" w:color="58A6DD"/>
        </w:tcBorders>
      </w:tcPr>
    </w:tblStylePr>
    <w:tblStylePr w:type="firstCol">
      <w:rPr>
        <w:b/>
        <w:bCs/>
      </w:rPr>
    </w:tblStylePr>
    <w:tblStylePr w:type="lastCol">
      <w:rPr>
        <w:b/>
        <w:bCs/>
      </w:rPr>
    </w:tblStylePr>
    <w:tblStylePr w:type="band1Vert">
      <w:tblPr/>
      <w:tcPr>
        <w:shd w:val="clear" w:color="auto" w:fill="90C4E8"/>
      </w:tcPr>
    </w:tblStylePr>
    <w:tblStylePr w:type="band1Horz">
      <w:tblPr/>
      <w:tcPr>
        <w:shd w:val="clear" w:color="auto" w:fill="90C4E8"/>
      </w:tcPr>
    </w:tblStylePr>
  </w:style>
  <w:style w:type="table" w:styleId="MediumGrid1-Accent4">
    <w:name w:val="Medium Grid 1 Accent 4"/>
    <w:basedOn w:val="TableNormal"/>
    <w:uiPriority w:val="67"/>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4199CF"/>
        <w:left w:val="single" w:sz="8" w:space="0" w:color="4199CF"/>
        <w:bottom w:val="single" w:sz="8" w:space="0" w:color="4199CF"/>
        <w:right w:val="single" w:sz="8" w:space="0" w:color="4199CF"/>
        <w:insideH w:val="single" w:sz="8" w:space="0" w:color="4199CF"/>
        <w:insideV w:val="single" w:sz="8" w:space="0" w:color="4199CF"/>
      </w:tblBorders>
    </w:tblPr>
    <w:tcPr>
      <w:shd w:val="clear" w:color="auto" w:fill="C0DDEF"/>
    </w:tcPr>
    <w:tblStylePr w:type="firstRow">
      <w:rPr>
        <w:b/>
        <w:bCs/>
      </w:rPr>
    </w:tblStylePr>
    <w:tblStylePr w:type="lastRow">
      <w:rPr>
        <w:b/>
        <w:bCs/>
      </w:rPr>
      <w:tblPr/>
      <w:tcPr>
        <w:tcBorders>
          <w:top w:val="single" w:sz="18" w:space="0" w:color="4199CF"/>
        </w:tcBorders>
      </w:tcPr>
    </w:tblStylePr>
    <w:tblStylePr w:type="firstCol">
      <w:rPr>
        <w:b/>
        <w:bCs/>
      </w:rPr>
    </w:tblStylePr>
    <w:tblStylePr w:type="lastCol">
      <w:rPr>
        <w:b/>
        <w:bCs/>
      </w:rPr>
    </w:tblStylePr>
    <w:tblStylePr w:type="band1Vert">
      <w:tblPr/>
      <w:tcPr>
        <w:shd w:val="clear" w:color="auto" w:fill="80BBDF"/>
      </w:tcPr>
    </w:tblStylePr>
    <w:tblStylePr w:type="band1Horz">
      <w:tblPr/>
      <w:tcPr>
        <w:shd w:val="clear" w:color="auto" w:fill="80BBDF"/>
      </w:tcPr>
    </w:tblStylePr>
  </w:style>
  <w:style w:type="table" w:styleId="MediumGrid1-Accent5">
    <w:name w:val="Medium Grid 1 Accent 5"/>
    <w:basedOn w:val="TableNormal"/>
    <w:uiPriority w:val="67"/>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6BCC82"/>
        <w:left w:val="single" w:sz="8" w:space="0" w:color="6BCC82"/>
        <w:bottom w:val="single" w:sz="8" w:space="0" w:color="6BCC82"/>
        <w:right w:val="single" w:sz="8" w:space="0" w:color="6BCC82"/>
        <w:insideH w:val="single" w:sz="8" w:space="0" w:color="6BCC82"/>
        <w:insideV w:val="single" w:sz="8" w:space="0" w:color="6BCC82"/>
      </w:tblBorders>
    </w:tblPr>
    <w:tcPr>
      <w:shd w:val="clear" w:color="auto" w:fill="CEEED5"/>
    </w:tcPr>
    <w:tblStylePr w:type="firstRow">
      <w:rPr>
        <w:b/>
        <w:bCs/>
      </w:rPr>
    </w:tblStylePr>
    <w:tblStylePr w:type="lastRow">
      <w:rPr>
        <w:b/>
        <w:bCs/>
      </w:rPr>
      <w:tblPr/>
      <w:tcPr>
        <w:tcBorders>
          <w:top w:val="single" w:sz="18" w:space="0" w:color="6BCC82"/>
        </w:tcBorders>
      </w:tcPr>
    </w:tblStylePr>
    <w:tblStylePr w:type="firstCol">
      <w:rPr>
        <w:b/>
        <w:bCs/>
      </w:rPr>
    </w:tblStylePr>
    <w:tblStylePr w:type="lastCol">
      <w:rPr>
        <w:b/>
        <w:bCs/>
      </w:rPr>
    </w:tblStylePr>
    <w:tblStylePr w:type="band1Vert">
      <w:tblPr/>
      <w:tcPr>
        <w:shd w:val="clear" w:color="auto" w:fill="9CDDAB"/>
      </w:tcPr>
    </w:tblStylePr>
    <w:tblStylePr w:type="band1Horz">
      <w:tblPr/>
      <w:tcPr>
        <w:shd w:val="clear" w:color="auto" w:fill="9CDDAB"/>
      </w:tcPr>
    </w:tblStylePr>
  </w:style>
  <w:style w:type="table" w:styleId="MediumGrid1-Accent6">
    <w:name w:val="Medium Grid 1 Accent 6"/>
    <w:basedOn w:val="TableNormal"/>
    <w:uiPriority w:val="67"/>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AA54C2"/>
        <w:left w:val="single" w:sz="8" w:space="0" w:color="AA54C2"/>
        <w:bottom w:val="single" w:sz="8" w:space="0" w:color="AA54C2"/>
        <w:right w:val="single" w:sz="8" w:space="0" w:color="AA54C2"/>
        <w:insideH w:val="single" w:sz="8" w:space="0" w:color="AA54C2"/>
        <w:insideV w:val="single" w:sz="8" w:space="0" w:color="AA54C2"/>
      </w:tblBorders>
    </w:tblPr>
    <w:tcPr>
      <w:shd w:val="clear" w:color="auto" w:fill="E3C6EA"/>
    </w:tcPr>
    <w:tblStylePr w:type="firstRow">
      <w:rPr>
        <w:b/>
        <w:bCs/>
      </w:rPr>
    </w:tblStylePr>
    <w:tblStylePr w:type="lastRow">
      <w:rPr>
        <w:b/>
        <w:bCs/>
      </w:rPr>
      <w:tblPr/>
      <w:tcPr>
        <w:tcBorders>
          <w:top w:val="single" w:sz="18" w:space="0" w:color="AA54C2"/>
        </w:tcBorders>
      </w:tcPr>
    </w:tblStylePr>
    <w:tblStylePr w:type="firstCol">
      <w:rPr>
        <w:b/>
        <w:bCs/>
      </w:rPr>
    </w:tblStylePr>
    <w:tblStylePr w:type="lastCol">
      <w:rPr>
        <w:b/>
        <w:bCs/>
      </w:rPr>
    </w:tblStylePr>
    <w:tblStylePr w:type="band1Vert">
      <w:tblPr/>
      <w:tcPr>
        <w:shd w:val="clear" w:color="auto" w:fill="C78DD6"/>
      </w:tcPr>
    </w:tblStylePr>
    <w:tblStylePr w:type="band1Horz">
      <w:tblPr/>
      <w:tcPr>
        <w:shd w:val="clear" w:color="auto" w:fill="C78DD6"/>
      </w:tcPr>
    </w:tblStylePr>
  </w:style>
  <w:style w:type="table" w:customStyle="1" w:styleId="MediumGrid21">
    <w:name w:val="Medium Grid 21"/>
    <w:basedOn w:val="TableNormal"/>
    <w:uiPriority w:val="68"/>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BDBE"/>
        <w:left w:val="single" w:sz="8" w:space="0" w:color="27BDBE"/>
        <w:bottom w:val="single" w:sz="8" w:space="0" w:color="27BDBE"/>
        <w:right w:val="single" w:sz="8" w:space="0" w:color="27BDBE"/>
        <w:insideH w:val="single" w:sz="8" w:space="0" w:color="27BDBE"/>
        <w:insideV w:val="single" w:sz="8" w:space="0" w:color="27BDBE"/>
      </w:tblBorders>
    </w:tblPr>
    <w:tcPr>
      <w:shd w:val="clear" w:color="auto" w:fill="C5F2F3"/>
    </w:tcPr>
    <w:tblStylePr w:type="firstRow">
      <w:rPr>
        <w:b/>
        <w:bCs/>
        <w:color w:val="000000"/>
      </w:rPr>
      <w:tblPr/>
      <w:tcPr>
        <w:shd w:val="clear" w:color="auto" w:fill="E8FA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0F5F5"/>
      </w:tcPr>
    </w:tblStylePr>
    <w:tblStylePr w:type="band1Vert">
      <w:tblPr/>
      <w:tcPr>
        <w:shd w:val="clear" w:color="auto" w:fill="8AE6E7"/>
      </w:tcPr>
    </w:tblStylePr>
    <w:tblStylePr w:type="band1Horz">
      <w:tblPr/>
      <w:tcPr>
        <w:tcBorders>
          <w:insideH w:val="single" w:sz="6" w:space="0" w:color="27BDBE"/>
          <w:insideV w:val="single" w:sz="6" w:space="0" w:color="27BDBE"/>
        </w:tcBorders>
        <w:shd w:val="clear" w:color="auto" w:fill="8AE6E7"/>
      </w:tcPr>
    </w:tblStylePr>
    <w:tblStylePr w:type="nwCell">
      <w:tblPr/>
      <w:tcPr>
        <w:shd w:val="clear" w:color="auto" w:fill="FFFFFF"/>
      </w:tcPr>
    </w:tblStylePr>
  </w:style>
  <w:style w:type="table" w:styleId="MediumGrid2-Accent2">
    <w:name w:val="Medium Grid 2 Accent 2"/>
    <w:basedOn w:val="TableNormal"/>
    <w:uiPriority w:val="68"/>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9E9A"/>
        <w:left w:val="single" w:sz="8" w:space="0" w:color="009E9A"/>
        <w:bottom w:val="single" w:sz="8" w:space="0" w:color="009E9A"/>
        <w:right w:val="single" w:sz="8" w:space="0" w:color="009E9A"/>
        <w:insideH w:val="single" w:sz="8" w:space="0" w:color="009E9A"/>
        <w:insideV w:val="single" w:sz="8" w:space="0" w:color="009E9A"/>
      </w:tblBorders>
    </w:tblPr>
    <w:tcPr>
      <w:shd w:val="clear" w:color="auto" w:fill="A8FFFC"/>
    </w:tcPr>
    <w:tblStylePr w:type="firstRow">
      <w:rPr>
        <w:b/>
        <w:bCs/>
        <w:color w:val="000000"/>
      </w:rPr>
      <w:tblPr/>
      <w:tcPr>
        <w:shd w:val="clear" w:color="auto" w:fill="DCFFF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8FFFD"/>
      </w:tcPr>
    </w:tblStylePr>
    <w:tblStylePr w:type="band1Vert">
      <w:tblPr/>
      <w:tcPr>
        <w:shd w:val="clear" w:color="auto" w:fill="4FFFFA"/>
      </w:tcPr>
    </w:tblStylePr>
    <w:tblStylePr w:type="band1Horz">
      <w:tblPr/>
      <w:tcPr>
        <w:tcBorders>
          <w:insideH w:val="single" w:sz="6" w:space="0" w:color="009E9A"/>
          <w:insideV w:val="single" w:sz="6" w:space="0" w:color="009E9A"/>
        </w:tcBorders>
        <w:shd w:val="clear" w:color="auto" w:fill="4FFFFA"/>
      </w:tcPr>
    </w:tblStylePr>
    <w:tblStylePr w:type="nwCell">
      <w:tblPr/>
      <w:tcPr>
        <w:shd w:val="clear" w:color="auto" w:fill="FFFFFF"/>
      </w:tcPr>
    </w:tblStylePr>
  </w:style>
  <w:style w:type="table" w:styleId="MediumGrid2-Accent3">
    <w:name w:val="Medium Grid 2 Accent 3"/>
    <w:basedOn w:val="TableNormal"/>
    <w:uiPriority w:val="68"/>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988C9"/>
        <w:left w:val="single" w:sz="8" w:space="0" w:color="2988C9"/>
        <w:bottom w:val="single" w:sz="8" w:space="0" w:color="2988C9"/>
        <w:right w:val="single" w:sz="8" w:space="0" w:color="2988C9"/>
        <w:insideH w:val="single" w:sz="8" w:space="0" w:color="2988C9"/>
        <w:insideV w:val="single" w:sz="8" w:space="0" w:color="2988C9"/>
      </w:tblBorders>
    </w:tblPr>
    <w:tcPr>
      <w:shd w:val="clear" w:color="auto" w:fill="C7E1F3"/>
    </w:tcPr>
    <w:tblStylePr w:type="firstRow">
      <w:rPr>
        <w:b/>
        <w:bCs/>
        <w:color w:val="000000"/>
      </w:rPr>
      <w:tblPr/>
      <w:tcPr>
        <w:shd w:val="clear" w:color="auto" w:fill="E9F3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2E7F6"/>
      </w:tcPr>
    </w:tblStylePr>
    <w:tblStylePr w:type="band1Vert">
      <w:tblPr/>
      <w:tcPr>
        <w:shd w:val="clear" w:color="auto" w:fill="90C4E8"/>
      </w:tcPr>
    </w:tblStylePr>
    <w:tblStylePr w:type="band1Horz">
      <w:tblPr/>
      <w:tcPr>
        <w:tcBorders>
          <w:insideH w:val="single" w:sz="6" w:space="0" w:color="2988C9"/>
          <w:insideV w:val="single" w:sz="6" w:space="0" w:color="2988C9"/>
        </w:tcBorders>
        <w:shd w:val="clear" w:color="auto" w:fill="90C4E8"/>
      </w:tcPr>
    </w:tblStylePr>
    <w:tblStylePr w:type="nwCell">
      <w:tblPr/>
      <w:tcPr>
        <w:shd w:val="clear" w:color="auto" w:fill="FFFFFF"/>
      </w:tcPr>
    </w:tblStylePr>
  </w:style>
  <w:style w:type="table" w:styleId="MediumGrid2-Accent4">
    <w:name w:val="Medium Grid 2 Accent 4"/>
    <w:basedOn w:val="TableNormal"/>
    <w:uiPriority w:val="68"/>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6F9A"/>
        <w:left w:val="single" w:sz="8" w:space="0" w:color="276F9A"/>
        <w:bottom w:val="single" w:sz="8" w:space="0" w:color="276F9A"/>
        <w:right w:val="single" w:sz="8" w:space="0" w:color="276F9A"/>
        <w:insideH w:val="single" w:sz="8" w:space="0" w:color="276F9A"/>
        <w:insideV w:val="single" w:sz="8" w:space="0" w:color="276F9A"/>
      </w:tblBorders>
    </w:tblPr>
    <w:tcPr>
      <w:shd w:val="clear" w:color="auto" w:fill="C0DDEF"/>
    </w:tcPr>
    <w:tblStylePr w:type="firstRow">
      <w:rPr>
        <w:b/>
        <w:bCs/>
        <w:color w:val="000000"/>
      </w:rPr>
      <w:tblPr/>
      <w:tcPr>
        <w:shd w:val="clear" w:color="auto" w:fill="E6F1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E3F2"/>
      </w:tcPr>
    </w:tblStylePr>
    <w:tblStylePr w:type="band1Vert">
      <w:tblPr/>
      <w:tcPr>
        <w:shd w:val="clear" w:color="auto" w:fill="80BBDF"/>
      </w:tcPr>
    </w:tblStylePr>
    <w:tblStylePr w:type="band1Horz">
      <w:tblPr/>
      <w:tcPr>
        <w:tcBorders>
          <w:insideH w:val="single" w:sz="6" w:space="0" w:color="276F9A"/>
          <w:insideV w:val="single" w:sz="6" w:space="0" w:color="276F9A"/>
        </w:tcBorders>
        <w:shd w:val="clear" w:color="auto" w:fill="80BBDF"/>
      </w:tcPr>
    </w:tblStylePr>
    <w:tblStylePr w:type="nwCell">
      <w:tblPr/>
      <w:tcPr>
        <w:shd w:val="clear" w:color="auto" w:fill="FFFFFF"/>
      </w:tcPr>
    </w:tblStylePr>
  </w:style>
  <w:style w:type="table" w:styleId="MediumGrid2-Accent5">
    <w:name w:val="Medium Grid 2 Accent 5"/>
    <w:basedOn w:val="TableNormal"/>
    <w:uiPriority w:val="68"/>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3FB65B"/>
        <w:left w:val="single" w:sz="8" w:space="0" w:color="3FB65B"/>
        <w:bottom w:val="single" w:sz="8" w:space="0" w:color="3FB65B"/>
        <w:right w:val="single" w:sz="8" w:space="0" w:color="3FB65B"/>
        <w:insideH w:val="single" w:sz="8" w:space="0" w:color="3FB65B"/>
        <w:insideV w:val="single" w:sz="8" w:space="0" w:color="3FB65B"/>
      </w:tblBorders>
    </w:tblPr>
    <w:tcPr>
      <w:shd w:val="clear" w:color="auto" w:fill="CEEED5"/>
    </w:tcPr>
    <w:tblStylePr w:type="firstRow">
      <w:rPr>
        <w:b/>
        <w:bCs/>
        <w:color w:val="000000"/>
      </w:rPr>
      <w:tblPr/>
      <w:tcPr>
        <w:shd w:val="clear" w:color="auto" w:fill="EB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7F1DD"/>
      </w:tcPr>
    </w:tblStylePr>
    <w:tblStylePr w:type="band1Vert">
      <w:tblPr/>
      <w:tcPr>
        <w:shd w:val="clear" w:color="auto" w:fill="9CDDAB"/>
      </w:tcPr>
    </w:tblStylePr>
    <w:tblStylePr w:type="band1Horz">
      <w:tblPr/>
      <w:tcPr>
        <w:tcBorders>
          <w:insideH w:val="single" w:sz="6" w:space="0" w:color="3FB65B"/>
          <w:insideV w:val="single" w:sz="6" w:space="0" w:color="3FB65B"/>
        </w:tcBorders>
        <w:shd w:val="clear" w:color="auto" w:fill="9CDDAB"/>
      </w:tcPr>
    </w:tblStylePr>
    <w:tblStylePr w:type="nwCell">
      <w:tblPr/>
      <w:tcPr>
        <w:shd w:val="clear" w:color="auto" w:fill="FFFFFF"/>
      </w:tcPr>
    </w:tblStylePr>
  </w:style>
  <w:style w:type="table" w:styleId="MediumGrid2-Accent6">
    <w:name w:val="Medium Grid 2 Accent 6"/>
    <w:basedOn w:val="TableNormal"/>
    <w:uiPriority w:val="68"/>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803594"/>
        <w:left w:val="single" w:sz="8" w:space="0" w:color="803594"/>
        <w:bottom w:val="single" w:sz="8" w:space="0" w:color="803594"/>
        <w:right w:val="single" w:sz="8" w:space="0" w:color="803594"/>
        <w:insideH w:val="single" w:sz="8" w:space="0" w:color="803594"/>
        <w:insideV w:val="single" w:sz="8" w:space="0" w:color="803594"/>
      </w:tblBorders>
    </w:tblPr>
    <w:tcPr>
      <w:shd w:val="clear" w:color="auto" w:fill="E3C6EA"/>
    </w:tcPr>
    <w:tblStylePr w:type="firstRow">
      <w:rPr>
        <w:b/>
        <w:bCs/>
        <w:color w:val="000000"/>
      </w:rPr>
      <w:tblPr/>
      <w:tcPr>
        <w:shd w:val="clear" w:color="auto" w:fill="F4E8F7"/>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8D1EE"/>
      </w:tcPr>
    </w:tblStylePr>
    <w:tblStylePr w:type="band1Vert">
      <w:tblPr/>
      <w:tcPr>
        <w:shd w:val="clear" w:color="auto" w:fill="C78DD6"/>
      </w:tcPr>
    </w:tblStylePr>
    <w:tblStylePr w:type="band1Horz">
      <w:tblPr/>
      <w:tcPr>
        <w:tcBorders>
          <w:insideH w:val="single" w:sz="6" w:space="0" w:color="803594"/>
          <w:insideV w:val="single" w:sz="6" w:space="0" w:color="803594"/>
        </w:tcBorders>
        <w:shd w:val="clear" w:color="auto" w:fill="C78DD6"/>
      </w:tcPr>
    </w:tblStylePr>
    <w:tblStylePr w:type="nwCell">
      <w:tblPr/>
      <w:tcPr>
        <w:shd w:val="clear" w:color="auto" w:fill="FFFFFF"/>
      </w:tcPr>
    </w:tblStylePr>
  </w:style>
  <w:style w:type="table" w:customStyle="1" w:styleId="MediumGrid31">
    <w:name w:val="Medium Grid 31"/>
    <w:basedOn w:val="TableNormal"/>
    <w:uiPriority w:val="69"/>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5F2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7BDB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7BDB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7BDB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7BDB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AE6E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AE6E7"/>
      </w:tcPr>
    </w:tblStylePr>
  </w:style>
  <w:style w:type="table" w:styleId="MediumGrid3-Accent2">
    <w:name w:val="Medium Grid 3 Accent 2"/>
    <w:basedOn w:val="TableNormal"/>
    <w:uiPriority w:val="69"/>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8FFF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E9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E9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9E9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9E9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FFFF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FFFFA"/>
      </w:tcPr>
    </w:tblStylePr>
  </w:style>
  <w:style w:type="table" w:styleId="MediumGrid3-Accent3">
    <w:name w:val="Medium Grid 3 Accent 3"/>
    <w:basedOn w:val="TableNormal"/>
    <w:uiPriority w:val="69"/>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7E1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988C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988C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988C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988C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0C4E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0C4E8"/>
      </w:tcPr>
    </w:tblStylePr>
  </w:style>
  <w:style w:type="table" w:styleId="MediumGrid3-Accent4">
    <w:name w:val="Medium Grid 3 Accent 4"/>
    <w:basedOn w:val="TableNormal"/>
    <w:uiPriority w:val="69"/>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DDE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76F9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76F9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76F9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76F9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BBD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BBDF"/>
      </w:tcPr>
    </w:tblStylePr>
  </w:style>
  <w:style w:type="table" w:styleId="MediumGrid3-Accent5">
    <w:name w:val="Medium Grid 3 Accent 5"/>
    <w:basedOn w:val="TableNormal"/>
    <w:uiPriority w:val="69"/>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FB65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FB65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FB65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FB65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CDDA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CDDAB"/>
      </w:tcPr>
    </w:tblStylePr>
  </w:style>
  <w:style w:type="table" w:styleId="MediumGrid3-Accent6">
    <w:name w:val="Medium Grid 3 Accent 6"/>
    <w:basedOn w:val="TableNormal"/>
    <w:uiPriority w:val="69"/>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3C6E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359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359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359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359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78DD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78DD6"/>
      </w:tcPr>
    </w:tblStylePr>
  </w:style>
  <w:style w:type="table" w:customStyle="1" w:styleId="MediumList11">
    <w:name w:val="Medium List 11"/>
    <w:basedOn w:val="TableNormal"/>
    <w:uiPriority w:val="65"/>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rPr>
        <w:rFonts w:ascii="Arial" w:eastAsia="Times New Roman" w:hAnsi="Arial" w:cs="Times New Roman"/>
      </w:rPr>
      <w:tblPr/>
      <w:tcPr>
        <w:tcBorders>
          <w:top w:val="nil"/>
          <w:bottom w:val="single" w:sz="8" w:space="0" w:color="000000"/>
        </w:tcBorders>
      </w:tcPr>
    </w:tblStylePr>
    <w:tblStylePr w:type="lastRow">
      <w:rPr>
        <w:b/>
        <w:bCs/>
        <w:color w:val="61606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BDBE"/>
        <w:bottom w:val="single" w:sz="8" w:space="0" w:color="27BDBE"/>
      </w:tblBorders>
    </w:tblPr>
    <w:tblStylePr w:type="firstRow">
      <w:rPr>
        <w:rFonts w:ascii="Arial" w:eastAsia="Times New Roman" w:hAnsi="Arial" w:cs="Times New Roman"/>
      </w:rPr>
      <w:tblPr/>
      <w:tcPr>
        <w:tcBorders>
          <w:top w:val="nil"/>
          <w:bottom w:val="single" w:sz="8" w:space="0" w:color="27BDBE"/>
        </w:tcBorders>
      </w:tcPr>
    </w:tblStylePr>
    <w:tblStylePr w:type="lastRow">
      <w:rPr>
        <w:b/>
        <w:bCs/>
        <w:color w:val="616061"/>
      </w:rPr>
      <w:tblPr/>
      <w:tcPr>
        <w:tcBorders>
          <w:top w:val="single" w:sz="8" w:space="0" w:color="27BDBE"/>
          <w:bottom w:val="single" w:sz="8" w:space="0" w:color="27BDBE"/>
        </w:tcBorders>
      </w:tcPr>
    </w:tblStylePr>
    <w:tblStylePr w:type="firstCol">
      <w:rPr>
        <w:b/>
        <w:bCs/>
      </w:rPr>
    </w:tblStylePr>
    <w:tblStylePr w:type="lastCol">
      <w:rPr>
        <w:b/>
        <w:bCs/>
      </w:rPr>
      <w:tblPr/>
      <w:tcPr>
        <w:tcBorders>
          <w:top w:val="single" w:sz="8" w:space="0" w:color="27BDBE"/>
          <w:bottom w:val="single" w:sz="8" w:space="0" w:color="27BDBE"/>
        </w:tcBorders>
      </w:tcPr>
    </w:tblStylePr>
    <w:tblStylePr w:type="band1Vert">
      <w:tblPr/>
      <w:tcPr>
        <w:shd w:val="clear" w:color="auto" w:fill="C5F2F3"/>
      </w:tcPr>
    </w:tblStylePr>
    <w:tblStylePr w:type="band1Horz">
      <w:tblPr/>
      <w:tcPr>
        <w:shd w:val="clear" w:color="auto" w:fill="C5F2F3"/>
      </w:tcPr>
    </w:tblStylePr>
  </w:style>
  <w:style w:type="table" w:styleId="MediumList1-Accent2">
    <w:name w:val="Medium List 1 Accent 2"/>
    <w:basedOn w:val="TableNormal"/>
    <w:uiPriority w:val="65"/>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9E9A"/>
        <w:bottom w:val="single" w:sz="8" w:space="0" w:color="009E9A"/>
      </w:tblBorders>
    </w:tblPr>
    <w:tblStylePr w:type="firstRow">
      <w:rPr>
        <w:rFonts w:ascii="Arial" w:eastAsia="Times New Roman" w:hAnsi="Arial" w:cs="Times New Roman"/>
      </w:rPr>
      <w:tblPr/>
      <w:tcPr>
        <w:tcBorders>
          <w:top w:val="nil"/>
          <w:bottom w:val="single" w:sz="8" w:space="0" w:color="009E9A"/>
        </w:tcBorders>
      </w:tcPr>
    </w:tblStylePr>
    <w:tblStylePr w:type="lastRow">
      <w:rPr>
        <w:b/>
        <w:bCs/>
        <w:color w:val="616061"/>
      </w:rPr>
      <w:tblPr/>
      <w:tcPr>
        <w:tcBorders>
          <w:top w:val="single" w:sz="8" w:space="0" w:color="009E9A"/>
          <w:bottom w:val="single" w:sz="8" w:space="0" w:color="009E9A"/>
        </w:tcBorders>
      </w:tcPr>
    </w:tblStylePr>
    <w:tblStylePr w:type="firstCol">
      <w:rPr>
        <w:b/>
        <w:bCs/>
      </w:rPr>
    </w:tblStylePr>
    <w:tblStylePr w:type="lastCol">
      <w:rPr>
        <w:b/>
        <w:bCs/>
      </w:rPr>
      <w:tblPr/>
      <w:tcPr>
        <w:tcBorders>
          <w:top w:val="single" w:sz="8" w:space="0" w:color="009E9A"/>
          <w:bottom w:val="single" w:sz="8" w:space="0" w:color="009E9A"/>
        </w:tcBorders>
      </w:tcPr>
    </w:tblStylePr>
    <w:tblStylePr w:type="band1Vert">
      <w:tblPr/>
      <w:tcPr>
        <w:shd w:val="clear" w:color="auto" w:fill="A8FFFC"/>
      </w:tcPr>
    </w:tblStylePr>
    <w:tblStylePr w:type="band1Horz">
      <w:tblPr/>
      <w:tcPr>
        <w:shd w:val="clear" w:color="auto" w:fill="A8FFFC"/>
      </w:tcPr>
    </w:tblStylePr>
  </w:style>
  <w:style w:type="table" w:styleId="MediumList1-Accent3">
    <w:name w:val="Medium List 1 Accent 3"/>
    <w:basedOn w:val="TableNormal"/>
    <w:uiPriority w:val="65"/>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988C9"/>
        <w:bottom w:val="single" w:sz="8" w:space="0" w:color="2988C9"/>
      </w:tblBorders>
    </w:tblPr>
    <w:tblStylePr w:type="firstRow">
      <w:rPr>
        <w:rFonts w:ascii="Arial" w:eastAsia="Times New Roman" w:hAnsi="Arial" w:cs="Times New Roman"/>
      </w:rPr>
      <w:tblPr/>
      <w:tcPr>
        <w:tcBorders>
          <w:top w:val="nil"/>
          <w:bottom w:val="single" w:sz="8" w:space="0" w:color="2988C9"/>
        </w:tcBorders>
      </w:tcPr>
    </w:tblStylePr>
    <w:tblStylePr w:type="lastRow">
      <w:rPr>
        <w:b/>
        <w:bCs/>
        <w:color w:val="616061"/>
      </w:rPr>
      <w:tblPr/>
      <w:tcPr>
        <w:tcBorders>
          <w:top w:val="single" w:sz="8" w:space="0" w:color="2988C9"/>
          <w:bottom w:val="single" w:sz="8" w:space="0" w:color="2988C9"/>
        </w:tcBorders>
      </w:tcPr>
    </w:tblStylePr>
    <w:tblStylePr w:type="firstCol">
      <w:rPr>
        <w:b/>
        <w:bCs/>
      </w:rPr>
    </w:tblStylePr>
    <w:tblStylePr w:type="lastCol">
      <w:rPr>
        <w:b/>
        <w:bCs/>
      </w:rPr>
      <w:tblPr/>
      <w:tcPr>
        <w:tcBorders>
          <w:top w:val="single" w:sz="8" w:space="0" w:color="2988C9"/>
          <w:bottom w:val="single" w:sz="8" w:space="0" w:color="2988C9"/>
        </w:tcBorders>
      </w:tcPr>
    </w:tblStylePr>
    <w:tblStylePr w:type="band1Vert">
      <w:tblPr/>
      <w:tcPr>
        <w:shd w:val="clear" w:color="auto" w:fill="C7E1F3"/>
      </w:tcPr>
    </w:tblStylePr>
    <w:tblStylePr w:type="band1Horz">
      <w:tblPr/>
      <w:tcPr>
        <w:shd w:val="clear" w:color="auto" w:fill="C7E1F3"/>
      </w:tcPr>
    </w:tblStylePr>
  </w:style>
  <w:style w:type="table" w:styleId="MediumList1-Accent4">
    <w:name w:val="Medium List 1 Accent 4"/>
    <w:basedOn w:val="TableNormal"/>
    <w:uiPriority w:val="65"/>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6F9A"/>
        <w:bottom w:val="single" w:sz="8" w:space="0" w:color="276F9A"/>
      </w:tblBorders>
    </w:tblPr>
    <w:tblStylePr w:type="firstRow">
      <w:rPr>
        <w:rFonts w:ascii="Arial" w:eastAsia="Times New Roman" w:hAnsi="Arial" w:cs="Times New Roman"/>
      </w:rPr>
      <w:tblPr/>
      <w:tcPr>
        <w:tcBorders>
          <w:top w:val="nil"/>
          <w:bottom w:val="single" w:sz="8" w:space="0" w:color="276F9A"/>
        </w:tcBorders>
      </w:tcPr>
    </w:tblStylePr>
    <w:tblStylePr w:type="lastRow">
      <w:rPr>
        <w:b/>
        <w:bCs/>
        <w:color w:val="616061"/>
      </w:rPr>
      <w:tblPr/>
      <w:tcPr>
        <w:tcBorders>
          <w:top w:val="single" w:sz="8" w:space="0" w:color="276F9A"/>
          <w:bottom w:val="single" w:sz="8" w:space="0" w:color="276F9A"/>
        </w:tcBorders>
      </w:tcPr>
    </w:tblStylePr>
    <w:tblStylePr w:type="firstCol">
      <w:rPr>
        <w:b/>
        <w:bCs/>
      </w:rPr>
    </w:tblStylePr>
    <w:tblStylePr w:type="lastCol">
      <w:rPr>
        <w:b/>
        <w:bCs/>
      </w:rPr>
      <w:tblPr/>
      <w:tcPr>
        <w:tcBorders>
          <w:top w:val="single" w:sz="8" w:space="0" w:color="276F9A"/>
          <w:bottom w:val="single" w:sz="8" w:space="0" w:color="276F9A"/>
        </w:tcBorders>
      </w:tcPr>
    </w:tblStylePr>
    <w:tblStylePr w:type="band1Vert">
      <w:tblPr/>
      <w:tcPr>
        <w:shd w:val="clear" w:color="auto" w:fill="C0DDEF"/>
      </w:tcPr>
    </w:tblStylePr>
    <w:tblStylePr w:type="band1Horz">
      <w:tblPr/>
      <w:tcPr>
        <w:shd w:val="clear" w:color="auto" w:fill="C0DDEF"/>
      </w:tcPr>
    </w:tblStylePr>
  </w:style>
  <w:style w:type="table" w:styleId="MediumList1-Accent5">
    <w:name w:val="Medium List 1 Accent 5"/>
    <w:basedOn w:val="TableNormal"/>
    <w:uiPriority w:val="65"/>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3FB65B"/>
        <w:bottom w:val="single" w:sz="8" w:space="0" w:color="3FB65B"/>
      </w:tblBorders>
    </w:tblPr>
    <w:tblStylePr w:type="firstRow">
      <w:rPr>
        <w:rFonts w:ascii="Arial" w:eastAsia="Times New Roman" w:hAnsi="Arial" w:cs="Times New Roman"/>
      </w:rPr>
      <w:tblPr/>
      <w:tcPr>
        <w:tcBorders>
          <w:top w:val="nil"/>
          <w:bottom w:val="single" w:sz="8" w:space="0" w:color="3FB65B"/>
        </w:tcBorders>
      </w:tcPr>
    </w:tblStylePr>
    <w:tblStylePr w:type="lastRow">
      <w:rPr>
        <w:b/>
        <w:bCs/>
        <w:color w:val="616061"/>
      </w:rPr>
      <w:tblPr/>
      <w:tcPr>
        <w:tcBorders>
          <w:top w:val="single" w:sz="8" w:space="0" w:color="3FB65B"/>
          <w:bottom w:val="single" w:sz="8" w:space="0" w:color="3FB65B"/>
        </w:tcBorders>
      </w:tcPr>
    </w:tblStylePr>
    <w:tblStylePr w:type="firstCol">
      <w:rPr>
        <w:b/>
        <w:bCs/>
      </w:rPr>
    </w:tblStylePr>
    <w:tblStylePr w:type="lastCol">
      <w:rPr>
        <w:b/>
        <w:bCs/>
      </w:rPr>
      <w:tblPr/>
      <w:tcPr>
        <w:tcBorders>
          <w:top w:val="single" w:sz="8" w:space="0" w:color="3FB65B"/>
          <w:bottom w:val="single" w:sz="8" w:space="0" w:color="3FB65B"/>
        </w:tcBorders>
      </w:tcPr>
    </w:tblStylePr>
    <w:tblStylePr w:type="band1Vert">
      <w:tblPr/>
      <w:tcPr>
        <w:shd w:val="clear" w:color="auto" w:fill="CEEED5"/>
      </w:tcPr>
    </w:tblStylePr>
    <w:tblStylePr w:type="band1Horz">
      <w:tblPr/>
      <w:tcPr>
        <w:shd w:val="clear" w:color="auto" w:fill="CEEED5"/>
      </w:tcPr>
    </w:tblStylePr>
  </w:style>
  <w:style w:type="table" w:styleId="MediumList1-Accent6">
    <w:name w:val="Medium List 1 Accent 6"/>
    <w:basedOn w:val="TableNormal"/>
    <w:uiPriority w:val="65"/>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803594"/>
        <w:bottom w:val="single" w:sz="8" w:space="0" w:color="803594"/>
      </w:tblBorders>
    </w:tblPr>
    <w:tblStylePr w:type="firstRow">
      <w:rPr>
        <w:rFonts w:ascii="Arial" w:eastAsia="Times New Roman" w:hAnsi="Arial" w:cs="Times New Roman"/>
      </w:rPr>
      <w:tblPr/>
      <w:tcPr>
        <w:tcBorders>
          <w:top w:val="nil"/>
          <w:bottom w:val="single" w:sz="8" w:space="0" w:color="803594"/>
        </w:tcBorders>
      </w:tcPr>
    </w:tblStylePr>
    <w:tblStylePr w:type="lastRow">
      <w:rPr>
        <w:b/>
        <w:bCs/>
        <w:color w:val="616061"/>
      </w:rPr>
      <w:tblPr/>
      <w:tcPr>
        <w:tcBorders>
          <w:top w:val="single" w:sz="8" w:space="0" w:color="803594"/>
          <w:bottom w:val="single" w:sz="8" w:space="0" w:color="803594"/>
        </w:tcBorders>
      </w:tcPr>
    </w:tblStylePr>
    <w:tblStylePr w:type="firstCol">
      <w:rPr>
        <w:b/>
        <w:bCs/>
      </w:rPr>
    </w:tblStylePr>
    <w:tblStylePr w:type="lastCol">
      <w:rPr>
        <w:b/>
        <w:bCs/>
      </w:rPr>
      <w:tblPr/>
      <w:tcPr>
        <w:tcBorders>
          <w:top w:val="single" w:sz="8" w:space="0" w:color="803594"/>
          <w:bottom w:val="single" w:sz="8" w:space="0" w:color="803594"/>
        </w:tcBorders>
      </w:tcPr>
    </w:tblStylePr>
    <w:tblStylePr w:type="band1Vert">
      <w:tblPr/>
      <w:tcPr>
        <w:shd w:val="clear" w:color="auto" w:fill="E3C6EA"/>
      </w:tcPr>
    </w:tblStylePr>
    <w:tblStylePr w:type="band1Horz">
      <w:tblPr/>
      <w:tcPr>
        <w:shd w:val="clear" w:color="auto" w:fill="E3C6EA"/>
      </w:tcPr>
    </w:tblStylePr>
  </w:style>
  <w:style w:type="table" w:customStyle="1" w:styleId="MediumList21">
    <w:name w:val="Medium List 21"/>
    <w:basedOn w:val="TableNormal"/>
    <w:uiPriority w:val="66"/>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BDBE"/>
        <w:left w:val="single" w:sz="8" w:space="0" w:color="27BDBE"/>
        <w:bottom w:val="single" w:sz="8" w:space="0" w:color="27BDBE"/>
        <w:right w:val="single" w:sz="8" w:space="0" w:color="27BDBE"/>
      </w:tblBorders>
    </w:tblPr>
    <w:tblStylePr w:type="firstRow">
      <w:rPr>
        <w:sz w:val="24"/>
        <w:szCs w:val="24"/>
      </w:rPr>
      <w:tblPr/>
      <w:tcPr>
        <w:tcBorders>
          <w:top w:val="nil"/>
          <w:left w:val="nil"/>
          <w:bottom w:val="single" w:sz="24" w:space="0" w:color="27BDBE"/>
          <w:right w:val="nil"/>
          <w:insideH w:val="nil"/>
          <w:insideV w:val="nil"/>
        </w:tcBorders>
        <w:shd w:val="clear" w:color="auto" w:fill="FFFFFF"/>
      </w:tcPr>
    </w:tblStylePr>
    <w:tblStylePr w:type="lastRow">
      <w:tblPr/>
      <w:tcPr>
        <w:tcBorders>
          <w:top w:val="single" w:sz="8" w:space="0" w:color="27BDBE"/>
          <w:left w:val="nil"/>
          <w:bottom w:val="nil"/>
          <w:right w:val="nil"/>
          <w:insideH w:val="nil"/>
          <w:insideV w:val="nil"/>
        </w:tcBorders>
        <w:shd w:val="clear" w:color="auto" w:fill="FFFFFF"/>
      </w:tcPr>
    </w:tblStylePr>
    <w:tblStylePr w:type="firstCol">
      <w:tblPr/>
      <w:tcPr>
        <w:tcBorders>
          <w:top w:val="nil"/>
          <w:left w:val="nil"/>
          <w:bottom w:val="nil"/>
          <w:right w:val="single" w:sz="8" w:space="0" w:color="27BDBE"/>
          <w:insideH w:val="nil"/>
          <w:insideV w:val="nil"/>
        </w:tcBorders>
        <w:shd w:val="clear" w:color="auto" w:fill="FFFFFF"/>
      </w:tcPr>
    </w:tblStylePr>
    <w:tblStylePr w:type="lastCol">
      <w:tblPr/>
      <w:tcPr>
        <w:tcBorders>
          <w:top w:val="nil"/>
          <w:left w:val="single" w:sz="8" w:space="0" w:color="27BDB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5F2F3"/>
      </w:tcPr>
    </w:tblStylePr>
    <w:tblStylePr w:type="band1Horz">
      <w:tblPr/>
      <w:tcPr>
        <w:tcBorders>
          <w:top w:val="nil"/>
          <w:bottom w:val="nil"/>
          <w:insideH w:val="nil"/>
          <w:insideV w:val="nil"/>
        </w:tcBorders>
        <w:shd w:val="clear" w:color="auto" w:fill="C5F2F3"/>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9E9A"/>
        <w:left w:val="single" w:sz="8" w:space="0" w:color="009E9A"/>
        <w:bottom w:val="single" w:sz="8" w:space="0" w:color="009E9A"/>
        <w:right w:val="single" w:sz="8" w:space="0" w:color="009E9A"/>
      </w:tblBorders>
    </w:tblPr>
    <w:tblStylePr w:type="firstRow">
      <w:rPr>
        <w:sz w:val="24"/>
        <w:szCs w:val="24"/>
      </w:rPr>
      <w:tblPr/>
      <w:tcPr>
        <w:tcBorders>
          <w:top w:val="nil"/>
          <w:left w:val="nil"/>
          <w:bottom w:val="single" w:sz="24" w:space="0" w:color="009E9A"/>
          <w:right w:val="nil"/>
          <w:insideH w:val="nil"/>
          <w:insideV w:val="nil"/>
        </w:tcBorders>
        <w:shd w:val="clear" w:color="auto" w:fill="FFFFFF"/>
      </w:tcPr>
    </w:tblStylePr>
    <w:tblStylePr w:type="lastRow">
      <w:tblPr/>
      <w:tcPr>
        <w:tcBorders>
          <w:top w:val="single" w:sz="8" w:space="0" w:color="009E9A"/>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E9A"/>
          <w:insideH w:val="nil"/>
          <w:insideV w:val="nil"/>
        </w:tcBorders>
        <w:shd w:val="clear" w:color="auto" w:fill="FFFFFF"/>
      </w:tcPr>
    </w:tblStylePr>
    <w:tblStylePr w:type="lastCol">
      <w:tblPr/>
      <w:tcPr>
        <w:tcBorders>
          <w:top w:val="nil"/>
          <w:left w:val="single" w:sz="8" w:space="0" w:color="009E9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8FFFC"/>
      </w:tcPr>
    </w:tblStylePr>
    <w:tblStylePr w:type="band1Horz">
      <w:tblPr/>
      <w:tcPr>
        <w:tcBorders>
          <w:top w:val="nil"/>
          <w:bottom w:val="nil"/>
          <w:insideH w:val="nil"/>
          <w:insideV w:val="nil"/>
        </w:tcBorders>
        <w:shd w:val="clear" w:color="auto" w:fill="A8FFF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988C9"/>
        <w:left w:val="single" w:sz="8" w:space="0" w:color="2988C9"/>
        <w:bottom w:val="single" w:sz="8" w:space="0" w:color="2988C9"/>
        <w:right w:val="single" w:sz="8" w:space="0" w:color="2988C9"/>
      </w:tblBorders>
    </w:tblPr>
    <w:tblStylePr w:type="firstRow">
      <w:rPr>
        <w:sz w:val="24"/>
        <w:szCs w:val="24"/>
      </w:rPr>
      <w:tblPr/>
      <w:tcPr>
        <w:tcBorders>
          <w:top w:val="nil"/>
          <w:left w:val="nil"/>
          <w:bottom w:val="single" w:sz="24" w:space="0" w:color="2988C9"/>
          <w:right w:val="nil"/>
          <w:insideH w:val="nil"/>
          <w:insideV w:val="nil"/>
        </w:tcBorders>
        <w:shd w:val="clear" w:color="auto" w:fill="FFFFFF"/>
      </w:tcPr>
    </w:tblStylePr>
    <w:tblStylePr w:type="lastRow">
      <w:tblPr/>
      <w:tcPr>
        <w:tcBorders>
          <w:top w:val="single" w:sz="8" w:space="0" w:color="2988C9"/>
          <w:left w:val="nil"/>
          <w:bottom w:val="nil"/>
          <w:right w:val="nil"/>
          <w:insideH w:val="nil"/>
          <w:insideV w:val="nil"/>
        </w:tcBorders>
        <w:shd w:val="clear" w:color="auto" w:fill="FFFFFF"/>
      </w:tcPr>
    </w:tblStylePr>
    <w:tblStylePr w:type="firstCol">
      <w:tblPr/>
      <w:tcPr>
        <w:tcBorders>
          <w:top w:val="nil"/>
          <w:left w:val="nil"/>
          <w:bottom w:val="nil"/>
          <w:right w:val="single" w:sz="8" w:space="0" w:color="2988C9"/>
          <w:insideH w:val="nil"/>
          <w:insideV w:val="nil"/>
        </w:tcBorders>
        <w:shd w:val="clear" w:color="auto" w:fill="FFFFFF"/>
      </w:tcPr>
    </w:tblStylePr>
    <w:tblStylePr w:type="lastCol">
      <w:tblPr/>
      <w:tcPr>
        <w:tcBorders>
          <w:top w:val="nil"/>
          <w:left w:val="single" w:sz="8" w:space="0" w:color="2988C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7E1F3"/>
      </w:tcPr>
    </w:tblStylePr>
    <w:tblStylePr w:type="band1Horz">
      <w:tblPr/>
      <w:tcPr>
        <w:tcBorders>
          <w:top w:val="nil"/>
          <w:bottom w:val="nil"/>
          <w:insideH w:val="nil"/>
          <w:insideV w:val="nil"/>
        </w:tcBorders>
        <w:shd w:val="clear" w:color="auto" w:fill="C7E1F3"/>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6F9A"/>
        <w:left w:val="single" w:sz="8" w:space="0" w:color="276F9A"/>
        <w:bottom w:val="single" w:sz="8" w:space="0" w:color="276F9A"/>
        <w:right w:val="single" w:sz="8" w:space="0" w:color="276F9A"/>
      </w:tblBorders>
    </w:tblPr>
    <w:tblStylePr w:type="firstRow">
      <w:rPr>
        <w:sz w:val="24"/>
        <w:szCs w:val="24"/>
      </w:rPr>
      <w:tblPr/>
      <w:tcPr>
        <w:tcBorders>
          <w:top w:val="nil"/>
          <w:left w:val="nil"/>
          <w:bottom w:val="single" w:sz="24" w:space="0" w:color="276F9A"/>
          <w:right w:val="nil"/>
          <w:insideH w:val="nil"/>
          <w:insideV w:val="nil"/>
        </w:tcBorders>
        <w:shd w:val="clear" w:color="auto" w:fill="FFFFFF"/>
      </w:tcPr>
    </w:tblStylePr>
    <w:tblStylePr w:type="lastRow">
      <w:tblPr/>
      <w:tcPr>
        <w:tcBorders>
          <w:top w:val="single" w:sz="8" w:space="0" w:color="276F9A"/>
          <w:left w:val="nil"/>
          <w:bottom w:val="nil"/>
          <w:right w:val="nil"/>
          <w:insideH w:val="nil"/>
          <w:insideV w:val="nil"/>
        </w:tcBorders>
        <w:shd w:val="clear" w:color="auto" w:fill="FFFFFF"/>
      </w:tcPr>
    </w:tblStylePr>
    <w:tblStylePr w:type="firstCol">
      <w:tblPr/>
      <w:tcPr>
        <w:tcBorders>
          <w:top w:val="nil"/>
          <w:left w:val="nil"/>
          <w:bottom w:val="nil"/>
          <w:right w:val="single" w:sz="8" w:space="0" w:color="276F9A"/>
          <w:insideH w:val="nil"/>
          <w:insideV w:val="nil"/>
        </w:tcBorders>
        <w:shd w:val="clear" w:color="auto" w:fill="FFFFFF"/>
      </w:tcPr>
    </w:tblStylePr>
    <w:tblStylePr w:type="lastCol">
      <w:tblPr/>
      <w:tcPr>
        <w:tcBorders>
          <w:top w:val="nil"/>
          <w:left w:val="single" w:sz="8" w:space="0" w:color="276F9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DDEF"/>
      </w:tcPr>
    </w:tblStylePr>
    <w:tblStylePr w:type="band1Horz">
      <w:tblPr/>
      <w:tcPr>
        <w:tcBorders>
          <w:top w:val="nil"/>
          <w:bottom w:val="nil"/>
          <w:insideH w:val="nil"/>
          <w:insideV w:val="nil"/>
        </w:tcBorders>
        <w:shd w:val="clear" w:color="auto" w:fill="C0DDEF"/>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3FB65B"/>
        <w:left w:val="single" w:sz="8" w:space="0" w:color="3FB65B"/>
        <w:bottom w:val="single" w:sz="8" w:space="0" w:color="3FB65B"/>
        <w:right w:val="single" w:sz="8" w:space="0" w:color="3FB65B"/>
      </w:tblBorders>
    </w:tblPr>
    <w:tblStylePr w:type="firstRow">
      <w:rPr>
        <w:sz w:val="24"/>
        <w:szCs w:val="24"/>
      </w:rPr>
      <w:tblPr/>
      <w:tcPr>
        <w:tcBorders>
          <w:top w:val="nil"/>
          <w:left w:val="nil"/>
          <w:bottom w:val="single" w:sz="24" w:space="0" w:color="3FB65B"/>
          <w:right w:val="nil"/>
          <w:insideH w:val="nil"/>
          <w:insideV w:val="nil"/>
        </w:tcBorders>
        <w:shd w:val="clear" w:color="auto" w:fill="FFFFFF"/>
      </w:tcPr>
    </w:tblStylePr>
    <w:tblStylePr w:type="lastRow">
      <w:tblPr/>
      <w:tcPr>
        <w:tcBorders>
          <w:top w:val="single" w:sz="8" w:space="0" w:color="3FB65B"/>
          <w:left w:val="nil"/>
          <w:bottom w:val="nil"/>
          <w:right w:val="nil"/>
          <w:insideH w:val="nil"/>
          <w:insideV w:val="nil"/>
        </w:tcBorders>
        <w:shd w:val="clear" w:color="auto" w:fill="FFFFFF"/>
      </w:tcPr>
    </w:tblStylePr>
    <w:tblStylePr w:type="firstCol">
      <w:tblPr/>
      <w:tcPr>
        <w:tcBorders>
          <w:top w:val="nil"/>
          <w:left w:val="nil"/>
          <w:bottom w:val="nil"/>
          <w:right w:val="single" w:sz="8" w:space="0" w:color="3FB65B"/>
          <w:insideH w:val="nil"/>
          <w:insideV w:val="nil"/>
        </w:tcBorders>
        <w:shd w:val="clear" w:color="auto" w:fill="FFFFFF"/>
      </w:tcPr>
    </w:tblStylePr>
    <w:tblStylePr w:type="lastCol">
      <w:tblPr/>
      <w:tcPr>
        <w:tcBorders>
          <w:top w:val="nil"/>
          <w:left w:val="single" w:sz="8" w:space="0" w:color="3FB65B"/>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EEED5"/>
      </w:tcPr>
    </w:tblStylePr>
    <w:tblStylePr w:type="band1Horz">
      <w:tblPr/>
      <w:tcPr>
        <w:tcBorders>
          <w:top w:val="nil"/>
          <w:bottom w:val="nil"/>
          <w:insideH w:val="nil"/>
          <w:insideV w:val="nil"/>
        </w:tcBorders>
        <w:shd w:val="clear" w:color="auto" w:fill="CEEED5"/>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803594"/>
        <w:left w:val="single" w:sz="8" w:space="0" w:color="803594"/>
        <w:bottom w:val="single" w:sz="8" w:space="0" w:color="803594"/>
        <w:right w:val="single" w:sz="8" w:space="0" w:color="803594"/>
      </w:tblBorders>
    </w:tblPr>
    <w:tblStylePr w:type="firstRow">
      <w:rPr>
        <w:sz w:val="24"/>
        <w:szCs w:val="24"/>
      </w:rPr>
      <w:tblPr/>
      <w:tcPr>
        <w:tcBorders>
          <w:top w:val="nil"/>
          <w:left w:val="nil"/>
          <w:bottom w:val="single" w:sz="24" w:space="0" w:color="803594"/>
          <w:right w:val="nil"/>
          <w:insideH w:val="nil"/>
          <w:insideV w:val="nil"/>
        </w:tcBorders>
        <w:shd w:val="clear" w:color="auto" w:fill="FFFFFF"/>
      </w:tcPr>
    </w:tblStylePr>
    <w:tblStylePr w:type="lastRow">
      <w:tblPr/>
      <w:tcPr>
        <w:tcBorders>
          <w:top w:val="single" w:sz="8" w:space="0" w:color="80359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3594"/>
          <w:insideH w:val="nil"/>
          <w:insideV w:val="nil"/>
        </w:tcBorders>
        <w:shd w:val="clear" w:color="auto" w:fill="FFFFFF"/>
      </w:tcPr>
    </w:tblStylePr>
    <w:tblStylePr w:type="lastCol">
      <w:tblPr/>
      <w:tcPr>
        <w:tcBorders>
          <w:top w:val="nil"/>
          <w:left w:val="single" w:sz="8" w:space="0" w:color="80359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3C6EA"/>
      </w:tcPr>
    </w:tblStylePr>
    <w:tblStylePr w:type="band1Horz">
      <w:tblPr/>
      <w:tcPr>
        <w:tcBorders>
          <w:top w:val="nil"/>
          <w:bottom w:val="nil"/>
          <w:insideH w:val="nil"/>
          <w:insideV w:val="nil"/>
        </w:tcBorders>
        <w:shd w:val="clear" w:color="auto" w:fill="E3C6EA"/>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50DADB"/>
        <w:left w:val="single" w:sz="8" w:space="0" w:color="50DADB"/>
        <w:bottom w:val="single" w:sz="8" w:space="0" w:color="50DADB"/>
        <w:right w:val="single" w:sz="8" w:space="0" w:color="50DADB"/>
        <w:insideH w:val="single" w:sz="8" w:space="0" w:color="50DADB"/>
      </w:tblBorders>
    </w:tblPr>
    <w:tblStylePr w:type="firstRow">
      <w:pPr>
        <w:spacing w:before="0" w:after="0" w:line="240" w:lineRule="auto"/>
      </w:pPr>
      <w:rPr>
        <w:b/>
        <w:bCs/>
        <w:color w:val="FFFFFF"/>
      </w:rPr>
      <w:tblPr/>
      <w:tcPr>
        <w:tcBorders>
          <w:top w:val="single" w:sz="8" w:space="0" w:color="50DADB"/>
          <w:left w:val="single" w:sz="8" w:space="0" w:color="50DADB"/>
          <w:bottom w:val="single" w:sz="8" w:space="0" w:color="50DADB"/>
          <w:right w:val="single" w:sz="8" w:space="0" w:color="50DADB"/>
          <w:insideH w:val="nil"/>
          <w:insideV w:val="nil"/>
        </w:tcBorders>
        <w:shd w:val="clear" w:color="auto" w:fill="27BDBE"/>
      </w:tcPr>
    </w:tblStylePr>
    <w:tblStylePr w:type="lastRow">
      <w:pPr>
        <w:spacing w:before="0" w:after="0" w:line="240" w:lineRule="auto"/>
      </w:pPr>
      <w:rPr>
        <w:b/>
        <w:bCs/>
      </w:rPr>
      <w:tblPr/>
      <w:tcPr>
        <w:tcBorders>
          <w:top w:val="double" w:sz="6" w:space="0" w:color="50DADB"/>
          <w:left w:val="single" w:sz="8" w:space="0" w:color="50DADB"/>
          <w:bottom w:val="single" w:sz="8" w:space="0" w:color="50DADB"/>
          <w:right w:val="single" w:sz="8" w:space="0" w:color="50DADB"/>
          <w:insideH w:val="nil"/>
          <w:insideV w:val="nil"/>
        </w:tcBorders>
      </w:tcPr>
    </w:tblStylePr>
    <w:tblStylePr w:type="firstCol">
      <w:rPr>
        <w:b/>
        <w:bCs/>
      </w:rPr>
    </w:tblStylePr>
    <w:tblStylePr w:type="lastCol">
      <w:rPr>
        <w:b/>
        <w:bCs/>
      </w:rPr>
    </w:tblStylePr>
    <w:tblStylePr w:type="band1Vert">
      <w:tblPr/>
      <w:tcPr>
        <w:shd w:val="clear" w:color="auto" w:fill="C5F2F3"/>
      </w:tcPr>
    </w:tblStylePr>
    <w:tblStylePr w:type="band1Horz">
      <w:tblPr/>
      <w:tcPr>
        <w:tcBorders>
          <w:insideH w:val="nil"/>
          <w:insideV w:val="nil"/>
        </w:tcBorders>
        <w:shd w:val="clear" w:color="auto" w:fill="C5F2F3"/>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F6EF"/>
        <w:left w:val="single" w:sz="8" w:space="0" w:color="00F6EF"/>
        <w:bottom w:val="single" w:sz="8" w:space="0" w:color="00F6EF"/>
        <w:right w:val="single" w:sz="8" w:space="0" w:color="00F6EF"/>
        <w:insideH w:val="single" w:sz="8" w:space="0" w:color="00F6EF"/>
      </w:tblBorders>
    </w:tblPr>
    <w:tblStylePr w:type="firstRow">
      <w:pPr>
        <w:spacing w:before="0" w:after="0" w:line="240" w:lineRule="auto"/>
      </w:pPr>
      <w:rPr>
        <w:b/>
        <w:bCs/>
        <w:color w:val="FFFFFF"/>
      </w:rPr>
      <w:tblPr/>
      <w:tcPr>
        <w:tcBorders>
          <w:top w:val="single" w:sz="8" w:space="0" w:color="00F6EF"/>
          <w:left w:val="single" w:sz="8" w:space="0" w:color="00F6EF"/>
          <w:bottom w:val="single" w:sz="8" w:space="0" w:color="00F6EF"/>
          <w:right w:val="single" w:sz="8" w:space="0" w:color="00F6EF"/>
          <w:insideH w:val="nil"/>
          <w:insideV w:val="nil"/>
        </w:tcBorders>
        <w:shd w:val="clear" w:color="auto" w:fill="009E9A"/>
      </w:tcPr>
    </w:tblStylePr>
    <w:tblStylePr w:type="lastRow">
      <w:pPr>
        <w:spacing w:before="0" w:after="0" w:line="240" w:lineRule="auto"/>
      </w:pPr>
      <w:rPr>
        <w:b/>
        <w:bCs/>
      </w:rPr>
      <w:tblPr/>
      <w:tcPr>
        <w:tcBorders>
          <w:top w:val="double" w:sz="6" w:space="0" w:color="00F6EF"/>
          <w:left w:val="single" w:sz="8" w:space="0" w:color="00F6EF"/>
          <w:bottom w:val="single" w:sz="8" w:space="0" w:color="00F6EF"/>
          <w:right w:val="single" w:sz="8" w:space="0" w:color="00F6EF"/>
          <w:insideH w:val="nil"/>
          <w:insideV w:val="nil"/>
        </w:tcBorders>
      </w:tcPr>
    </w:tblStylePr>
    <w:tblStylePr w:type="firstCol">
      <w:rPr>
        <w:b/>
        <w:bCs/>
      </w:rPr>
    </w:tblStylePr>
    <w:tblStylePr w:type="lastCol">
      <w:rPr>
        <w:b/>
        <w:bCs/>
      </w:rPr>
    </w:tblStylePr>
    <w:tblStylePr w:type="band1Vert">
      <w:tblPr/>
      <w:tcPr>
        <w:shd w:val="clear" w:color="auto" w:fill="A8FFFC"/>
      </w:tcPr>
    </w:tblStylePr>
    <w:tblStylePr w:type="band1Horz">
      <w:tblPr/>
      <w:tcPr>
        <w:tcBorders>
          <w:insideH w:val="nil"/>
          <w:insideV w:val="nil"/>
        </w:tcBorders>
        <w:shd w:val="clear" w:color="auto" w:fill="A8FFFC"/>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58A6DD"/>
        <w:left w:val="single" w:sz="8" w:space="0" w:color="58A6DD"/>
        <w:bottom w:val="single" w:sz="8" w:space="0" w:color="58A6DD"/>
        <w:right w:val="single" w:sz="8" w:space="0" w:color="58A6DD"/>
        <w:insideH w:val="single" w:sz="8" w:space="0" w:color="58A6DD"/>
      </w:tblBorders>
    </w:tblPr>
    <w:tblStylePr w:type="firstRow">
      <w:pPr>
        <w:spacing w:before="0" w:after="0" w:line="240" w:lineRule="auto"/>
      </w:pPr>
      <w:rPr>
        <w:b/>
        <w:bCs/>
        <w:color w:val="FFFFFF"/>
      </w:rPr>
      <w:tblPr/>
      <w:tcPr>
        <w:tcBorders>
          <w:top w:val="single" w:sz="8" w:space="0" w:color="58A6DD"/>
          <w:left w:val="single" w:sz="8" w:space="0" w:color="58A6DD"/>
          <w:bottom w:val="single" w:sz="8" w:space="0" w:color="58A6DD"/>
          <w:right w:val="single" w:sz="8" w:space="0" w:color="58A6DD"/>
          <w:insideH w:val="nil"/>
          <w:insideV w:val="nil"/>
        </w:tcBorders>
        <w:shd w:val="clear" w:color="auto" w:fill="2988C9"/>
      </w:tcPr>
    </w:tblStylePr>
    <w:tblStylePr w:type="lastRow">
      <w:pPr>
        <w:spacing w:before="0" w:after="0" w:line="240" w:lineRule="auto"/>
      </w:pPr>
      <w:rPr>
        <w:b/>
        <w:bCs/>
      </w:rPr>
      <w:tblPr/>
      <w:tcPr>
        <w:tcBorders>
          <w:top w:val="double" w:sz="6" w:space="0" w:color="58A6DD"/>
          <w:left w:val="single" w:sz="8" w:space="0" w:color="58A6DD"/>
          <w:bottom w:val="single" w:sz="8" w:space="0" w:color="58A6DD"/>
          <w:right w:val="single" w:sz="8" w:space="0" w:color="58A6DD"/>
          <w:insideH w:val="nil"/>
          <w:insideV w:val="nil"/>
        </w:tcBorders>
      </w:tcPr>
    </w:tblStylePr>
    <w:tblStylePr w:type="firstCol">
      <w:rPr>
        <w:b/>
        <w:bCs/>
      </w:rPr>
    </w:tblStylePr>
    <w:tblStylePr w:type="lastCol">
      <w:rPr>
        <w:b/>
        <w:bCs/>
      </w:rPr>
    </w:tblStylePr>
    <w:tblStylePr w:type="band1Vert">
      <w:tblPr/>
      <w:tcPr>
        <w:shd w:val="clear" w:color="auto" w:fill="C7E1F3"/>
      </w:tcPr>
    </w:tblStylePr>
    <w:tblStylePr w:type="band1Horz">
      <w:tblPr/>
      <w:tcPr>
        <w:tcBorders>
          <w:insideH w:val="nil"/>
          <w:insideV w:val="nil"/>
        </w:tcBorders>
        <w:shd w:val="clear" w:color="auto" w:fill="C7E1F3"/>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4199CF"/>
        <w:left w:val="single" w:sz="8" w:space="0" w:color="4199CF"/>
        <w:bottom w:val="single" w:sz="8" w:space="0" w:color="4199CF"/>
        <w:right w:val="single" w:sz="8" w:space="0" w:color="4199CF"/>
        <w:insideH w:val="single" w:sz="8" w:space="0" w:color="4199CF"/>
      </w:tblBorders>
    </w:tblPr>
    <w:tblStylePr w:type="firstRow">
      <w:pPr>
        <w:spacing w:before="0" w:after="0" w:line="240" w:lineRule="auto"/>
      </w:pPr>
      <w:rPr>
        <w:b/>
        <w:bCs/>
        <w:color w:val="FFFFFF"/>
      </w:rPr>
      <w:tblPr/>
      <w:tcPr>
        <w:tcBorders>
          <w:top w:val="single" w:sz="8" w:space="0" w:color="4199CF"/>
          <w:left w:val="single" w:sz="8" w:space="0" w:color="4199CF"/>
          <w:bottom w:val="single" w:sz="8" w:space="0" w:color="4199CF"/>
          <w:right w:val="single" w:sz="8" w:space="0" w:color="4199CF"/>
          <w:insideH w:val="nil"/>
          <w:insideV w:val="nil"/>
        </w:tcBorders>
        <w:shd w:val="clear" w:color="auto" w:fill="276F9A"/>
      </w:tcPr>
    </w:tblStylePr>
    <w:tblStylePr w:type="lastRow">
      <w:pPr>
        <w:spacing w:before="0" w:after="0" w:line="240" w:lineRule="auto"/>
      </w:pPr>
      <w:rPr>
        <w:b/>
        <w:bCs/>
      </w:rPr>
      <w:tblPr/>
      <w:tcPr>
        <w:tcBorders>
          <w:top w:val="double" w:sz="6" w:space="0" w:color="4199CF"/>
          <w:left w:val="single" w:sz="8" w:space="0" w:color="4199CF"/>
          <w:bottom w:val="single" w:sz="8" w:space="0" w:color="4199CF"/>
          <w:right w:val="single" w:sz="8" w:space="0" w:color="4199CF"/>
          <w:insideH w:val="nil"/>
          <w:insideV w:val="nil"/>
        </w:tcBorders>
      </w:tcPr>
    </w:tblStylePr>
    <w:tblStylePr w:type="firstCol">
      <w:rPr>
        <w:b/>
        <w:bCs/>
      </w:rPr>
    </w:tblStylePr>
    <w:tblStylePr w:type="lastCol">
      <w:rPr>
        <w:b/>
        <w:bCs/>
      </w:rPr>
    </w:tblStylePr>
    <w:tblStylePr w:type="band1Vert">
      <w:tblPr/>
      <w:tcPr>
        <w:shd w:val="clear" w:color="auto" w:fill="C0DDEF"/>
      </w:tcPr>
    </w:tblStylePr>
    <w:tblStylePr w:type="band1Horz">
      <w:tblPr/>
      <w:tcPr>
        <w:tcBorders>
          <w:insideH w:val="nil"/>
          <w:insideV w:val="nil"/>
        </w:tcBorders>
        <w:shd w:val="clear" w:color="auto" w:fill="C0DDE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6BCC82"/>
        <w:left w:val="single" w:sz="8" w:space="0" w:color="6BCC82"/>
        <w:bottom w:val="single" w:sz="8" w:space="0" w:color="6BCC82"/>
        <w:right w:val="single" w:sz="8" w:space="0" w:color="6BCC82"/>
        <w:insideH w:val="single" w:sz="8" w:space="0" w:color="6BCC82"/>
      </w:tblBorders>
    </w:tblPr>
    <w:tblStylePr w:type="firstRow">
      <w:pPr>
        <w:spacing w:before="0" w:after="0" w:line="240" w:lineRule="auto"/>
      </w:pPr>
      <w:rPr>
        <w:b/>
        <w:bCs/>
        <w:color w:val="FFFFFF"/>
      </w:rPr>
      <w:tblPr/>
      <w:tcPr>
        <w:tcBorders>
          <w:top w:val="single" w:sz="8" w:space="0" w:color="6BCC82"/>
          <w:left w:val="single" w:sz="8" w:space="0" w:color="6BCC82"/>
          <w:bottom w:val="single" w:sz="8" w:space="0" w:color="6BCC82"/>
          <w:right w:val="single" w:sz="8" w:space="0" w:color="6BCC82"/>
          <w:insideH w:val="nil"/>
          <w:insideV w:val="nil"/>
        </w:tcBorders>
        <w:shd w:val="clear" w:color="auto" w:fill="3FB65B"/>
      </w:tcPr>
    </w:tblStylePr>
    <w:tblStylePr w:type="lastRow">
      <w:pPr>
        <w:spacing w:before="0" w:after="0" w:line="240" w:lineRule="auto"/>
      </w:pPr>
      <w:rPr>
        <w:b/>
        <w:bCs/>
      </w:rPr>
      <w:tblPr/>
      <w:tcPr>
        <w:tcBorders>
          <w:top w:val="double" w:sz="6" w:space="0" w:color="6BCC82"/>
          <w:left w:val="single" w:sz="8" w:space="0" w:color="6BCC82"/>
          <w:bottom w:val="single" w:sz="8" w:space="0" w:color="6BCC82"/>
          <w:right w:val="single" w:sz="8" w:space="0" w:color="6BCC82"/>
          <w:insideH w:val="nil"/>
          <w:insideV w:val="nil"/>
        </w:tcBorders>
      </w:tcPr>
    </w:tblStylePr>
    <w:tblStylePr w:type="firstCol">
      <w:rPr>
        <w:b/>
        <w:bCs/>
      </w:rPr>
    </w:tblStylePr>
    <w:tblStylePr w:type="lastCol">
      <w:rPr>
        <w:b/>
        <w:bCs/>
      </w:rPr>
    </w:tblStylePr>
    <w:tblStylePr w:type="band1Vert">
      <w:tblPr/>
      <w:tcPr>
        <w:shd w:val="clear" w:color="auto" w:fill="CEEED5"/>
      </w:tcPr>
    </w:tblStylePr>
    <w:tblStylePr w:type="band1Horz">
      <w:tblPr/>
      <w:tcPr>
        <w:tcBorders>
          <w:insideH w:val="nil"/>
          <w:insideV w:val="nil"/>
        </w:tcBorders>
        <w:shd w:val="clear" w:color="auto" w:fill="CEEED5"/>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AA54C2"/>
        <w:left w:val="single" w:sz="8" w:space="0" w:color="AA54C2"/>
        <w:bottom w:val="single" w:sz="8" w:space="0" w:color="AA54C2"/>
        <w:right w:val="single" w:sz="8" w:space="0" w:color="AA54C2"/>
        <w:insideH w:val="single" w:sz="8" w:space="0" w:color="AA54C2"/>
      </w:tblBorders>
    </w:tblPr>
    <w:tblStylePr w:type="firstRow">
      <w:pPr>
        <w:spacing w:before="0" w:after="0" w:line="240" w:lineRule="auto"/>
      </w:pPr>
      <w:rPr>
        <w:b/>
        <w:bCs/>
        <w:color w:val="FFFFFF"/>
      </w:rPr>
      <w:tblPr/>
      <w:tcPr>
        <w:tcBorders>
          <w:top w:val="single" w:sz="8" w:space="0" w:color="AA54C2"/>
          <w:left w:val="single" w:sz="8" w:space="0" w:color="AA54C2"/>
          <w:bottom w:val="single" w:sz="8" w:space="0" w:color="AA54C2"/>
          <w:right w:val="single" w:sz="8" w:space="0" w:color="AA54C2"/>
          <w:insideH w:val="nil"/>
          <w:insideV w:val="nil"/>
        </w:tcBorders>
        <w:shd w:val="clear" w:color="auto" w:fill="803594"/>
      </w:tcPr>
    </w:tblStylePr>
    <w:tblStylePr w:type="lastRow">
      <w:pPr>
        <w:spacing w:before="0" w:after="0" w:line="240" w:lineRule="auto"/>
      </w:pPr>
      <w:rPr>
        <w:b/>
        <w:bCs/>
      </w:rPr>
      <w:tblPr/>
      <w:tcPr>
        <w:tcBorders>
          <w:top w:val="double" w:sz="6" w:space="0" w:color="AA54C2"/>
          <w:left w:val="single" w:sz="8" w:space="0" w:color="AA54C2"/>
          <w:bottom w:val="single" w:sz="8" w:space="0" w:color="AA54C2"/>
          <w:right w:val="single" w:sz="8" w:space="0" w:color="AA54C2"/>
          <w:insideH w:val="nil"/>
          <w:insideV w:val="nil"/>
        </w:tcBorders>
      </w:tcPr>
    </w:tblStylePr>
    <w:tblStylePr w:type="firstCol">
      <w:rPr>
        <w:b/>
        <w:bCs/>
      </w:rPr>
    </w:tblStylePr>
    <w:tblStylePr w:type="lastCol">
      <w:rPr>
        <w:b/>
        <w:bCs/>
      </w:rPr>
    </w:tblStylePr>
    <w:tblStylePr w:type="band1Vert">
      <w:tblPr/>
      <w:tcPr>
        <w:shd w:val="clear" w:color="auto" w:fill="E3C6EA"/>
      </w:tcPr>
    </w:tblStylePr>
    <w:tblStylePr w:type="band1Horz">
      <w:tblPr/>
      <w:tcPr>
        <w:tcBorders>
          <w:insideH w:val="nil"/>
          <w:insideV w:val="nil"/>
        </w:tcBorders>
        <w:shd w:val="clear" w:color="auto" w:fill="E3C6EA"/>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9E9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9E9A"/>
      </w:tcPr>
    </w:tblStylePr>
    <w:tblStylePr w:type="lastCol">
      <w:rPr>
        <w:b/>
        <w:bCs/>
        <w:color w:val="FFFFFF"/>
      </w:rPr>
      <w:tblPr/>
      <w:tcPr>
        <w:tcBorders>
          <w:left w:val="nil"/>
          <w:right w:val="nil"/>
          <w:insideH w:val="nil"/>
          <w:insideV w:val="nil"/>
        </w:tcBorders>
        <w:shd w:val="clear" w:color="auto" w:fill="009E9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988C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988C9"/>
      </w:tcPr>
    </w:tblStylePr>
    <w:tblStylePr w:type="lastCol">
      <w:rPr>
        <w:b/>
        <w:bCs/>
        <w:color w:val="FFFFFF"/>
      </w:rPr>
      <w:tblPr/>
      <w:tcPr>
        <w:tcBorders>
          <w:left w:val="nil"/>
          <w:right w:val="nil"/>
          <w:insideH w:val="nil"/>
          <w:insideV w:val="nil"/>
        </w:tcBorders>
        <w:shd w:val="clear" w:color="auto" w:fill="2988C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76F9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76F9A"/>
      </w:tcPr>
    </w:tblStylePr>
    <w:tblStylePr w:type="lastCol">
      <w:rPr>
        <w:b/>
        <w:bCs/>
        <w:color w:val="FFFFFF"/>
      </w:rPr>
      <w:tblPr/>
      <w:tcPr>
        <w:tcBorders>
          <w:left w:val="nil"/>
          <w:right w:val="nil"/>
          <w:insideH w:val="nil"/>
          <w:insideV w:val="nil"/>
        </w:tcBorders>
        <w:shd w:val="clear" w:color="auto" w:fill="276F9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FB65B"/>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FB65B"/>
      </w:tcPr>
    </w:tblStylePr>
    <w:tblStylePr w:type="lastCol">
      <w:rPr>
        <w:b/>
        <w:bCs/>
        <w:color w:val="FFFFFF"/>
      </w:rPr>
      <w:tblPr/>
      <w:tcPr>
        <w:tcBorders>
          <w:left w:val="nil"/>
          <w:right w:val="nil"/>
          <w:insideH w:val="nil"/>
          <w:insideV w:val="nil"/>
        </w:tcBorders>
        <w:shd w:val="clear" w:color="auto" w:fill="3FB65B"/>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359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3594"/>
      </w:tcPr>
    </w:tblStylePr>
    <w:tblStylePr w:type="lastCol">
      <w:rPr>
        <w:b/>
        <w:bCs/>
        <w:color w:val="FFFFFF"/>
      </w:rPr>
      <w:tblPr/>
      <w:tcPr>
        <w:tcBorders>
          <w:left w:val="nil"/>
          <w:right w:val="nil"/>
          <w:insideH w:val="nil"/>
          <w:insideV w:val="nil"/>
        </w:tcBorders>
        <w:shd w:val="clear" w:color="auto" w:fill="80359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nhideWhenUsed/>
    <w:rsid w:val="005D784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val="x-none" w:eastAsia="x-none"/>
    </w:rPr>
  </w:style>
  <w:style w:type="character" w:customStyle="1" w:styleId="MessageHeaderChar">
    <w:name w:val="Message Header Char"/>
    <w:basedOn w:val="DefaultParagraphFont"/>
    <w:link w:val="MessageHeader"/>
    <w:rsid w:val="005D784C"/>
    <w:rPr>
      <w:rFonts w:ascii="Arial" w:eastAsia="Times New Roman" w:hAnsi="Arial" w:cs="Times New Roman"/>
      <w:sz w:val="24"/>
      <w:szCs w:val="24"/>
      <w:shd w:val="pct20" w:color="auto" w:fill="auto"/>
      <w:lang w:val="x-none" w:eastAsia="x-none"/>
    </w:rPr>
  </w:style>
  <w:style w:type="paragraph" w:styleId="NormalWeb">
    <w:name w:val="Normal (Web)"/>
    <w:aliases w:val=" webb"/>
    <w:basedOn w:val="Normal"/>
    <w:unhideWhenUsed/>
    <w:rsid w:val="005D784C"/>
    <w:pPr>
      <w:spacing w:before="120" w:after="160" w:line="264" w:lineRule="auto"/>
    </w:pPr>
    <w:rPr>
      <w:rFonts w:ascii="Times New Roman" w:eastAsia="Times New Roman" w:hAnsi="Times New Roman" w:cs="Times New Roman"/>
      <w:sz w:val="24"/>
      <w:szCs w:val="24"/>
      <w:lang w:val="en-GB"/>
    </w:rPr>
  </w:style>
  <w:style w:type="paragraph" w:styleId="NormalIndent">
    <w:name w:val="Normal Indent"/>
    <w:basedOn w:val="Normal"/>
    <w:unhideWhenUsed/>
    <w:rsid w:val="005D784C"/>
    <w:pPr>
      <w:spacing w:before="120" w:after="160" w:line="264" w:lineRule="auto"/>
      <w:ind w:left="720"/>
    </w:pPr>
    <w:rPr>
      <w:rFonts w:ascii="Arial" w:eastAsia="Times New Roman" w:hAnsi="Arial" w:cs="Times New Roman"/>
      <w:sz w:val="20"/>
      <w:szCs w:val="20"/>
      <w:lang w:val="en-GB"/>
    </w:rPr>
  </w:style>
  <w:style w:type="paragraph" w:styleId="NoteHeading">
    <w:name w:val="Note Heading"/>
    <w:basedOn w:val="Normal"/>
    <w:next w:val="Normal"/>
    <w:link w:val="NoteHeadingChar"/>
    <w:unhideWhenUsed/>
    <w:rsid w:val="005D784C"/>
    <w:pPr>
      <w:spacing w:after="0" w:line="240" w:lineRule="auto"/>
    </w:pPr>
    <w:rPr>
      <w:rFonts w:ascii="Arial" w:eastAsia="Times New Roman" w:hAnsi="Arial" w:cs="Times New Roman"/>
      <w:sz w:val="20"/>
      <w:szCs w:val="20"/>
      <w:lang w:val="x-none" w:eastAsia="x-none"/>
    </w:rPr>
  </w:style>
  <w:style w:type="character" w:customStyle="1" w:styleId="NoteHeadingChar">
    <w:name w:val="Note Heading Char"/>
    <w:basedOn w:val="DefaultParagraphFont"/>
    <w:link w:val="NoteHeading"/>
    <w:rsid w:val="005D784C"/>
    <w:rPr>
      <w:rFonts w:ascii="Arial" w:eastAsia="Times New Roman" w:hAnsi="Arial" w:cs="Times New Roman"/>
      <w:sz w:val="20"/>
      <w:szCs w:val="20"/>
      <w:lang w:val="x-none" w:eastAsia="x-none"/>
    </w:rPr>
  </w:style>
  <w:style w:type="character" w:styleId="PageNumber0">
    <w:name w:val="page number"/>
    <w:unhideWhenUsed/>
    <w:rsid w:val="005D784C"/>
    <w:rPr>
      <w:bCs w:val="0"/>
      <w:szCs w:val="20"/>
    </w:rPr>
  </w:style>
  <w:style w:type="table" w:customStyle="1" w:styleId="PlainTable11">
    <w:name w:val="Plain Table 11"/>
    <w:basedOn w:val="TableNormal"/>
    <w:uiPriority w:val="41"/>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5D784C"/>
    <w:pPr>
      <w:spacing w:after="0" w:line="240" w:lineRule="auto"/>
    </w:pPr>
    <w:rPr>
      <w:rFonts w:ascii="Arial" w:eastAsia="Times New Roman" w:hAnsi="Arial" w:cs="Times New Roman"/>
      <w:sz w:val="20"/>
      <w:szCs w:val="20"/>
      <w:lang w:val="sq-AL" w:eastAsia="sq-AL"/>
    </w:rPr>
    <w:tblPr>
      <w:tblStyleRowBandSize w:val="1"/>
      <w:tblStyleColBandSize w:val="1"/>
    </w:tblPr>
    <w:tblStylePr w:type="firstRow">
      <w:rPr>
        <w:rFonts w:ascii="Arial" w:eastAsia="Times New Roman" w:hAnsi="Arial" w:cs="Times New Roman"/>
        <w:i/>
        <w:iCs/>
        <w:sz w:val="26"/>
      </w:rPr>
      <w:tblPr/>
      <w:tcPr>
        <w:tcBorders>
          <w:bottom w:val="single" w:sz="4" w:space="0" w:color="7F7F7F"/>
        </w:tcBorders>
        <w:shd w:val="clear" w:color="auto" w:fill="FFFFFF"/>
      </w:tcPr>
    </w:tblStylePr>
    <w:tblStylePr w:type="lastRow">
      <w:rPr>
        <w:rFonts w:ascii="Arial" w:eastAsia="Times New Roman" w:hAnsi="Arial" w:cs="Times New Roman"/>
        <w:i/>
        <w:iCs/>
        <w:sz w:val="26"/>
      </w:rPr>
      <w:tblPr/>
      <w:tcPr>
        <w:tcBorders>
          <w:top w:val="single" w:sz="4" w:space="0" w:color="7F7F7F"/>
        </w:tcBorders>
        <w:shd w:val="clear" w:color="auto" w:fill="FFFFFF"/>
      </w:tcPr>
    </w:tblStylePr>
    <w:tblStylePr w:type="firstCol">
      <w:pPr>
        <w:jc w:val="right"/>
      </w:pPr>
      <w:rPr>
        <w:rFonts w:ascii="Arial" w:eastAsia="Times New Roman" w:hAnsi="Arial" w:cs="Times New Roman"/>
        <w:i/>
        <w:iCs/>
        <w:sz w:val="26"/>
      </w:rPr>
      <w:tblPr/>
      <w:tcPr>
        <w:tcBorders>
          <w:right w:val="single" w:sz="4" w:space="0" w:color="7F7F7F"/>
        </w:tcBorders>
        <w:shd w:val="clear" w:color="auto" w:fill="FFFFFF"/>
      </w:tcPr>
    </w:tblStylePr>
    <w:tblStylePr w:type="lastCol">
      <w:rPr>
        <w:rFonts w:ascii="Arial" w:eastAsia="Times New Roman" w:hAnsi="Arial"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5D784C"/>
    <w:pPr>
      <w:spacing w:after="0" w:line="240" w:lineRule="auto"/>
    </w:pPr>
    <w:rPr>
      <w:rFonts w:ascii="Consolas" w:eastAsia="Times New Roman" w:hAnsi="Consolas" w:cs="Times New Roman"/>
      <w:sz w:val="21"/>
      <w:szCs w:val="21"/>
      <w:lang w:val="x-none" w:eastAsia="x-none"/>
    </w:rPr>
  </w:style>
  <w:style w:type="character" w:customStyle="1" w:styleId="PlainTextChar">
    <w:name w:val="Plain Text Char"/>
    <w:basedOn w:val="DefaultParagraphFont"/>
    <w:link w:val="PlainText"/>
    <w:uiPriority w:val="99"/>
    <w:rsid w:val="005D784C"/>
    <w:rPr>
      <w:rFonts w:ascii="Consolas" w:eastAsia="Times New Roman" w:hAnsi="Consolas" w:cs="Times New Roman"/>
      <w:sz w:val="21"/>
      <w:szCs w:val="21"/>
      <w:lang w:val="x-none" w:eastAsia="x-none"/>
    </w:rPr>
  </w:style>
  <w:style w:type="paragraph" w:styleId="Quote0">
    <w:name w:val="Quote"/>
    <w:basedOn w:val="Normal"/>
    <w:next w:val="Normal"/>
    <w:link w:val="QuoteChar"/>
    <w:uiPriority w:val="29"/>
    <w:qFormat/>
    <w:rsid w:val="005D784C"/>
    <w:pPr>
      <w:spacing w:before="200" w:after="160" w:line="264" w:lineRule="auto"/>
      <w:ind w:left="864" w:right="864"/>
      <w:jc w:val="center"/>
    </w:pPr>
    <w:rPr>
      <w:rFonts w:ascii="Arial" w:eastAsia="Times New Roman" w:hAnsi="Arial" w:cs="Times New Roman"/>
      <w:i/>
      <w:iCs/>
      <w:color w:val="404040"/>
      <w:sz w:val="20"/>
      <w:szCs w:val="20"/>
      <w:lang w:val="x-none" w:eastAsia="x-none"/>
    </w:rPr>
  </w:style>
  <w:style w:type="character" w:customStyle="1" w:styleId="QuoteChar">
    <w:name w:val="Quote Char"/>
    <w:basedOn w:val="DefaultParagraphFont"/>
    <w:link w:val="Quote0"/>
    <w:uiPriority w:val="29"/>
    <w:rsid w:val="005D784C"/>
    <w:rPr>
      <w:rFonts w:ascii="Arial" w:eastAsia="Times New Roman" w:hAnsi="Arial" w:cs="Times New Roman"/>
      <w:i/>
      <w:iCs/>
      <w:color w:val="404040"/>
      <w:sz w:val="20"/>
      <w:szCs w:val="20"/>
      <w:lang w:val="x-none" w:eastAsia="x-none"/>
    </w:rPr>
  </w:style>
  <w:style w:type="paragraph" w:styleId="Salutation">
    <w:name w:val="Salutation"/>
    <w:basedOn w:val="Normal"/>
    <w:next w:val="Normal"/>
    <w:link w:val="SalutationChar"/>
    <w:rsid w:val="005D784C"/>
    <w:pPr>
      <w:spacing w:before="120" w:after="160" w:line="264" w:lineRule="auto"/>
    </w:pPr>
    <w:rPr>
      <w:rFonts w:ascii="Arial" w:eastAsia="Times New Roman" w:hAnsi="Arial" w:cs="Times New Roman"/>
      <w:sz w:val="20"/>
      <w:szCs w:val="20"/>
      <w:lang w:val="x-none" w:eastAsia="x-none"/>
    </w:rPr>
  </w:style>
  <w:style w:type="character" w:customStyle="1" w:styleId="SalutationChar">
    <w:name w:val="Salutation Char"/>
    <w:basedOn w:val="DefaultParagraphFont"/>
    <w:link w:val="Salutation"/>
    <w:rsid w:val="005D784C"/>
    <w:rPr>
      <w:rFonts w:ascii="Arial" w:eastAsia="Times New Roman" w:hAnsi="Arial" w:cs="Times New Roman"/>
      <w:sz w:val="20"/>
      <w:szCs w:val="20"/>
      <w:lang w:val="x-none" w:eastAsia="x-none"/>
    </w:rPr>
  </w:style>
  <w:style w:type="paragraph" w:styleId="Signature">
    <w:name w:val="Signature"/>
    <w:basedOn w:val="Normal"/>
    <w:link w:val="SignatureChar"/>
    <w:unhideWhenUsed/>
    <w:rsid w:val="005D784C"/>
    <w:pPr>
      <w:spacing w:after="0" w:line="240" w:lineRule="auto"/>
      <w:ind w:left="4252"/>
    </w:pPr>
    <w:rPr>
      <w:rFonts w:ascii="Arial" w:eastAsia="Times New Roman" w:hAnsi="Arial" w:cs="Times New Roman"/>
      <w:sz w:val="20"/>
      <w:szCs w:val="20"/>
      <w:lang w:val="x-none" w:eastAsia="x-none"/>
    </w:rPr>
  </w:style>
  <w:style w:type="character" w:customStyle="1" w:styleId="SignatureChar">
    <w:name w:val="Signature Char"/>
    <w:basedOn w:val="DefaultParagraphFont"/>
    <w:link w:val="Signature"/>
    <w:rsid w:val="005D784C"/>
    <w:rPr>
      <w:rFonts w:ascii="Arial" w:eastAsia="Times New Roman" w:hAnsi="Arial" w:cs="Times New Roman"/>
      <w:sz w:val="20"/>
      <w:szCs w:val="20"/>
      <w:lang w:val="x-none" w:eastAsia="x-none"/>
    </w:rPr>
  </w:style>
  <w:style w:type="character" w:styleId="Strong">
    <w:name w:val="Strong"/>
    <w:uiPriority w:val="22"/>
    <w:qFormat/>
    <w:rsid w:val="005D784C"/>
    <w:rPr>
      <w:b/>
      <w:bCs/>
      <w:szCs w:val="20"/>
    </w:rPr>
  </w:style>
  <w:style w:type="paragraph" w:styleId="Subtitle">
    <w:name w:val="Subtitle"/>
    <w:aliases w:val=" Znak1"/>
    <w:basedOn w:val="Normal"/>
    <w:next w:val="Normal"/>
    <w:link w:val="SubtitleChar"/>
    <w:qFormat/>
    <w:rsid w:val="005D784C"/>
    <w:pPr>
      <w:numPr>
        <w:ilvl w:val="1"/>
      </w:numPr>
      <w:spacing w:before="120" w:after="160" w:line="264" w:lineRule="auto"/>
    </w:pPr>
    <w:rPr>
      <w:rFonts w:ascii="Arial" w:eastAsia="Times New Roman" w:hAnsi="Arial" w:cs="Times New Roman"/>
      <w:color w:val="5A5A5A"/>
      <w:spacing w:val="15"/>
      <w:lang w:val="x-none" w:eastAsia="x-none"/>
    </w:rPr>
  </w:style>
  <w:style w:type="character" w:customStyle="1" w:styleId="SubtitleChar">
    <w:name w:val="Subtitle Char"/>
    <w:aliases w:val=" Znak1 Char"/>
    <w:basedOn w:val="DefaultParagraphFont"/>
    <w:link w:val="Subtitle"/>
    <w:rsid w:val="005D784C"/>
    <w:rPr>
      <w:rFonts w:ascii="Arial" w:eastAsia="Times New Roman" w:hAnsi="Arial" w:cs="Times New Roman"/>
      <w:color w:val="5A5A5A"/>
      <w:spacing w:val="15"/>
      <w:lang w:val="x-none" w:eastAsia="x-none"/>
    </w:rPr>
  </w:style>
  <w:style w:type="character" w:styleId="SubtleEmphasis">
    <w:name w:val="Subtle Emphasis"/>
    <w:uiPriority w:val="19"/>
    <w:qFormat/>
    <w:rsid w:val="005D784C"/>
    <w:rPr>
      <w:bCs w:val="0"/>
      <w:i/>
      <w:iCs/>
      <w:color w:val="404040"/>
      <w:szCs w:val="20"/>
    </w:rPr>
  </w:style>
  <w:style w:type="character" w:styleId="SubtleReference">
    <w:name w:val="Subtle Reference"/>
    <w:uiPriority w:val="31"/>
    <w:qFormat/>
    <w:rsid w:val="005D784C"/>
    <w:rPr>
      <w:bCs w:val="0"/>
      <w:smallCaps/>
      <w:color w:val="5A5A5A"/>
      <w:szCs w:val="20"/>
    </w:rPr>
  </w:style>
  <w:style w:type="table" w:styleId="Table3Deffects1">
    <w:name w:val="Table 3D effects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784C"/>
    <w:pPr>
      <w:spacing w:before="120" w:after="0" w:line="264" w:lineRule="auto"/>
    </w:pPr>
    <w:rPr>
      <w:rFonts w:ascii="Arial" w:eastAsia="Times New Roman" w:hAnsi="Arial" w:cs="Times New Roman"/>
      <w:color w:val="000080"/>
      <w:sz w:val="20"/>
      <w:szCs w:val="20"/>
      <w:lang w:val="sq-AL" w:eastAsia="sq-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784C"/>
    <w:pPr>
      <w:spacing w:before="120" w:after="0" w:line="264" w:lineRule="auto"/>
    </w:pPr>
    <w:rPr>
      <w:rFonts w:ascii="Arial" w:eastAsia="Times New Roman" w:hAnsi="Arial" w:cs="Times New Roman"/>
      <w:color w:val="FFFFFF"/>
      <w:sz w:val="20"/>
      <w:szCs w:val="20"/>
      <w:lang w:val="sq-AL" w:eastAsia="sq-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D784C"/>
    <w:pPr>
      <w:spacing w:before="120" w:after="0" w:line="264" w:lineRule="auto"/>
    </w:pPr>
    <w:rPr>
      <w:rFonts w:ascii="Arial" w:eastAsia="Times New Roman" w:hAnsi="Arial" w:cs="Times New Roman"/>
      <w:b/>
      <w:bCs/>
      <w:sz w:val="20"/>
      <w:szCs w:val="20"/>
      <w:lang w:val="sq-AL" w:eastAsia="sq-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784C"/>
    <w:pPr>
      <w:spacing w:before="120" w:after="0" w:line="264" w:lineRule="auto"/>
    </w:pPr>
    <w:rPr>
      <w:rFonts w:ascii="Arial" w:eastAsia="Times New Roman" w:hAnsi="Arial" w:cs="Times New Roman"/>
      <w:b/>
      <w:bCs/>
      <w:sz w:val="20"/>
      <w:szCs w:val="20"/>
      <w:lang w:val="sq-AL" w:eastAsia="sq-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784C"/>
    <w:pPr>
      <w:spacing w:before="120" w:after="0" w:line="264" w:lineRule="auto"/>
    </w:pPr>
    <w:rPr>
      <w:rFonts w:ascii="Arial" w:eastAsia="Times New Roman" w:hAnsi="Arial" w:cs="Times New Roman"/>
      <w:b/>
      <w:bCs/>
      <w:sz w:val="20"/>
      <w:szCs w:val="20"/>
      <w:lang w:val="sq-AL" w:eastAsia="sq-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784C"/>
    <w:pPr>
      <w:spacing w:before="120" w:after="0" w:line="264" w:lineRule="auto"/>
    </w:pPr>
    <w:rPr>
      <w:rFonts w:ascii="Arial" w:eastAsia="Times New Roman" w:hAnsi="Arial" w:cs="Times New Roman"/>
      <w:b/>
      <w:bCs/>
      <w:sz w:val="20"/>
      <w:szCs w:val="20"/>
      <w:lang w:val="sq-AL" w:eastAsia="sq-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5D784C"/>
    <w:pPr>
      <w:spacing w:after="0" w:line="240" w:lineRule="auto"/>
    </w:pPr>
    <w:rPr>
      <w:rFonts w:ascii="Arial" w:eastAsia="Times New Roman" w:hAnsi="Arial" w:cs="Times New Roman"/>
      <w:sz w:val="20"/>
      <w:szCs w:val="20"/>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5D784C"/>
    <w:pPr>
      <w:spacing w:before="120" w:after="0" w:line="264" w:lineRule="auto"/>
      <w:ind w:left="200" w:hanging="200"/>
    </w:pPr>
    <w:rPr>
      <w:rFonts w:ascii="Arial" w:eastAsia="Times New Roman" w:hAnsi="Arial" w:cs="Times New Roman"/>
      <w:sz w:val="20"/>
      <w:szCs w:val="20"/>
      <w:lang w:val="en-GB"/>
    </w:rPr>
  </w:style>
  <w:style w:type="table" w:styleId="TableProfessional">
    <w:name w:val="Table Professional"/>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784C"/>
    <w:pPr>
      <w:spacing w:before="120" w:after="0" w:line="264" w:lineRule="auto"/>
    </w:pPr>
    <w:rPr>
      <w:rFonts w:ascii="Arial" w:eastAsia="Times New Roman" w:hAnsi="Arial" w:cs="Times New Roman"/>
      <w:sz w:val="20"/>
      <w:szCs w:val="20"/>
      <w:lang w:val="sq-AL" w:eastAsia="sq-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5D784C"/>
    <w:pPr>
      <w:spacing w:after="0" w:line="240" w:lineRule="auto"/>
      <w:contextualSpacing/>
    </w:pPr>
    <w:rPr>
      <w:rFonts w:ascii="Arial" w:eastAsia="Times New Roman" w:hAnsi="Arial" w:cs="Times New Roman"/>
      <w:spacing w:val="-10"/>
      <w:kern w:val="28"/>
      <w:sz w:val="56"/>
      <w:szCs w:val="56"/>
      <w:lang w:val="x-none" w:eastAsia="x-none"/>
    </w:rPr>
  </w:style>
  <w:style w:type="character" w:customStyle="1" w:styleId="TitleChar">
    <w:name w:val="Title Char"/>
    <w:basedOn w:val="DefaultParagraphFont"/>
    <w:link w:val="Title"/>
    <w:rsid w:val="005D784C"/>
    <w:rPr>
      <w:rFonts w:ascii="Arial" w:eastAsia="Times New Roman" w:hAnsi="Arial" w:cs="Times New Roman"/>
      <w:spacing w:val="-10"/>
      <w:kern w:val="28"/>
      <w:sz w:val="56"/>
      <w:szCs w:val="56"/>
      <w:lang w:val="x-none" w:eastAsia="x-none"/>
    </w:rPr>
  </w:style>
  <w:style w:type="paragraph" w:styleId="TOAHeading">
    <w:name w:val="toa heading"/>
    <w:basedOn w:val="Normal"/>
    <w:next w:val="Normal"/>
    <w:semiHidden/>
    <w:unhideWhenUsed/>
    <w:rsid w:val="005D784C"/>
    <w:pPr>
      <w:spacing w:before="120" w:after="160" w:line="264" w:lineRule="auto"/>
    </w:pPr>
    <w:rPr>
      <w:rFonts w:ascii="Arial" w:eastAsia="Times New Roman" w:hAnsi="Arial" w:cs="Times New Roman"/>
      <w:b/>
      <w:bCs/>
      <w:sz w:val="24"/>
      <w:szCs w:val="24"/>
      <w:lang w:val="en-GB"/>
    </w:rPr>
  </w:style>
  <w:style w:type="paragraph" w:customStyle="1" w:styleId="Aberschrift1">
    <w:name w:val="AÜberschrift 1"/>
    <w:basedOn w:val="Heading1"/>
    <w:next w:val="Normal"/>
    <w:rsid w:val="005D784C"/>
    <w:pPr>
      <w:keepLines/>
      <w:pageBreakBefore w:val="0"/>
      <w:numPr>
        <w:numId w:val="19"/>
      </w:numPr>
      <w:spacing w:after="0" w:line="276" w:lineRule="auto"/>
    </w:pPr>
    <w:rPr>
      <w:rFonts w:ascii="Frutiger Light" w:hAnsi="Frutiger Light"/>
      <w:bCs w:val="0"/>
      <w:color w:val="auto"/>
      <w:kern w:val="28"/>
      <w:sz w:val="28"/>
      <w:szCs w:val="20"/>
      <w:lang w:val="de-CH" w:eastAsia="de-CH"/>
    </w:rPr>
  </w:style>
  <w:style w:type="paragraph" w:customStyle="1" w:styleId="Aberschrift2">
    <w:name w:val="AÜberschrift 2"/>
    <w:basedOn w:val="Heading2"/>
    <w:next w:val="Normal"/>
    <w:rsid w:val="005D784C"/>
    <w:pPr>
      <w:keepLines/>
      <w:numPr>
        <w:ilvl w:val="0"/>
        <w:numId w:val="0"/>
      </w:numPr>
      <w:spacing w:before="440" w:after="0" w:line="276" w:lineRule="auto"/>
    </w:pPr>
    <w:rPr>
      <w:rFonts w:ascii="Frutiger Light" w:hAnsi="Frutiger Light"/>
      <w:bCs w:val="0"/>
      <w:color w:val="auto"/>
      <w:kern w:val="28"/>
      <w:szCs w:val="20"/>
      <w:lang w:val="de-CH" w:eastAsia="de-CH"/>
    </w:rPr>
  </w:style>
  <w:style w:type="paragraph" w:customStyle="1" w:styleId="Aberschrift3">
    <w:name w:val="AÜberschrift 3"/>
    <w:basedOn w:val="Heading3"/>
    <w:next w:val="Normal"/>
    <w:rsid w:val="005D784C"/>
    <w:pPr>
      <w:keepLines/>
      <w:numPr>
        <w:ilvl w:val="0"/>
        <w:numId w:val="0"/>
      </w:numPr>
      <w:spacing w:after="140" w:line="276" w:lineRule="auto"/>
    </w:pPr>
    <w:rPr>
      <w:rFonts w:ascii="Frutiger Light" w:hAnsi="Frutiger Light"/>
      <w:bCs w:val="0"/>
      <w:color w:val="auto"/>
      <w:kern w:val="28"/>
      <w:sz w:val="22"/>
      <w:lang w:val="de-CH" w:eastAsia="de-CH"/>
    </w:rPr>
  </w:style>
  <w:style w:type="paragraph" w:customStyle="1" w:styleId="Aberschrift4">
    <w:name w:val="AÜberschrift 4"/>
    <w:basedOn w:val="Heading4"/>
    <w:rsid w:val="005D784C"/>
    <w:pPr>
      <w:keepLines/>
      <w:numPr>
        <w:ilvl w:val="0"/>
        <w:numId w:val="0"/>
      </w:numPr>
      <w:spacing w:line="276" w:lineRule="auto"/>
    </w:pPr>
    <w:rPr>
      <w:rFonts w:ascii="Frutiger Light" w:hAnsi="Frutiger Light"/>
      <w:b/>
      <w:color w:val="auto"/>
      <w:kern w:val="28"/>
      <w:sz w:val="22"/>
      <w:lang w:val="de-CH" w:eastAsia="de-CH"/>
    </w:rPr>
  </w:style>
  <w:style w:type="paragraph" w:customStyle="1" w:styleId="Einrckung">
    <w:name w:val="Einrückung"/>
    <w:basedOn w:val="Normal"/>
    <w:rsid w:val="005D784C"/>
    <w:pPr>
      <w:numPr>
        <w:numId w:val="20"/>
      </w:numPr>
      <w:spacing w:after="120" w:line="223" w:lineRule="auto"/>
      <w:jc w:val="both"/>
    </w:pPr>
    <w:rPr>
      <w:rFonts w:ascii="Frutiger Light" w:eastAsia="Times New Roman" w:hAnsi="Frutiger Light" w:cs="Times New Roman"/>
      <w:szCs w:val="20"/>
      <w:lang w:val="de-CH" w:eastAsia="de-CH"/>
    </w:rPr>
  </w:style>
  <w:style w:type="paragraph" w:customStyle="1" w:styleId="Einrckung2">
    <w:name w:val="Einrückung2"/>
    <w:basedOn w:val="Einrckung"/>
    <w:rsid w:val="005D784C"/>
    <w:pPr>
      <w:numPr>
        <w:numId w:val="21"/>
      </w:numPr>
      <w:spacing w:line="302" w:lineRule="auto"/>
    </w:pPr>
  </w:style>
  <w:style w:type="paragraph" w:customStyle="1" w:styleId="FussNotenTrennLinie">
    <w:name w:val="FussNotenTrennLinie"/>
    <w:basedOn w:val="Normal"/>
    <w:rsid w:val="005D784C"/>
    <w:pPr>
      <w:pBdr>
        <w:bottom w:val="single" w:sz="6" w:space="1" w:color="auto"/>
      </w:pBdr>
      <w:spacing w:before="120" w:after="120" w:line="257" w:lineRule="auto"/>
      <w:jc w:val="both"/>
    </w:pPr>
    <w:rPr>
      <w:rFonts w:ascii="Frutiger Light" w:eastAsia="Times New Roman" w:hAnsi="Frutiger Light" w:cs="Times New Roman"/>
      <w:szCs w:val="20"/>
      <w:lang w:val="de-CH" w:eastAsia="de-CH"/>
    </w:rPr>
  </w:style>
  <w:style w:type="paragraph" w:customStyle="1" w:styleId="Literatur">
    <w:name w:val="Literatur"/>
    <w:basedOn w:val="Normal"/>
    <w:rsid w:val="005D784C"/>
    <w:pPr>
      <w:spacing w:after="240" w:line="360" w:lineRule="auto"/>
      <w:ind w:left="709" w:hanging="709"/>
    </w:pPr>
    <w:rPr>
      <w:rFonts w:ascii="Frutiger Light" w:eastAsia="Times New Roman" w:hAnsi="Frutiger Light" w:cs="Times New Roman"/>
      <w:szCs w:val="20"/>
      <w:lang w:val="de-CH" w:eastAsia="de-CH"/>
    </w:rPr>
  </w:style>
  <w:style w:type="paragraph" w:customStyle="1" w:styleId="Litberschrift">
    <w:name w:val="LitÜberschrift"/>
    <w:basedOn w:val="Heading1"/>
    <w:next w:val="Normal"/>
    <w:rsid w:val="005D784C"/>
    <w:pPr>
      <w:keepLines/>
      <w:pageBreakBefore w:val="0"/>
      <w:numPr>
        <w:numId w:val="0"/>
      </w:numPr>
      <w:tabs>
        <w:tab w:val="num" w:pos="360"/>
      </w:tabs>
      <w:spacing w:before="120" w:after="120" w:line="302" w:lineRule="auto"/>
      <w:jc w:val="both"/>
      <w:outlineLvl w:val="9"/>
    </w:pPr>
    <w:rPr>
      <w:rFonts w:ascii="Frutiger Light" w:hAnsi="Frutiger Light"/>
      <w:bCs w:val="0"/>
      <w:color w:val="auto"/>
      <w:kern w:val="28"/>
      <w:sz w:val="28"/>
      <w:szCs w:val="20"/>
      <w:lang w:val="de-CH" w:eastAsia="de-CH"/>
    </w:rPr>
  </w:style>
  <w:style w:type="paragraph" w:customStyle="1" w:styleId="Marginalie">
    <w:name w:val="Marginalie"/>
    <w:basedOn w:val="Normal"/>
    <w:next w:val="Normal"/>
    <w:rsid w:val="005D784C"/>
    <w:pPr>
      <w:keepNext/>
      <w:keepLines/>
      <w:suppressAutoHyphens/>
      <w:spacing w:before="170" w:after="120" w:line="302" w:lineRule="auto"/>
    </w:pPr>
    <w:rPr>
      <w:rFonts w:ascii="Frutiger Light" w:eastAsia="Times New Roman" w:hAnsi="Frutiger Light" w:cs="Times New Roman"/>
      <w:sz w:val="16"/>
      <w:szCs w:val="20"/>
      <w:lang w:val="de-CH" w:eastAsia="de-CH"/>
    </w:rPr>
  </w:style>
  <w:style w:type="paragraph" w:customStyle="1" w:styleId="berschriftLit">
    <w:name w:val="ÜberschriftLit"/>
    <w:basedOn w:val="Heading1"/>
    <w:next w:val="Normal"/>
    <w:rsid w:val="005D784C"/>
    <w:pPr>
      <w:keepLines/>
      <w:pageBreakBefore w:val="0"/>
      <w:numPr>
        <w:numId w:val="0"/>
      </w:numPr>
      <w:tabs>
        <w:tab w:val="num" w:pos="360"/>
      </w:tabs>
      <w:spacing w:before="720" w:after="440" w:line="240" w:lineRule="auto"/>
    </w:pPr>
    <w:rPr>
      <w:rFonts w:ascii="Frutiger Light" w:hAnsi="Frutiger Light"/>
      <w:bCs w:val="0"/>
      <w:color w:val="auto"/>
      <w:kern w:val="28"/>
      <w:sz w:val="28"/>
      <w:szCs w:val="20"/>
      <w:lang w:val="de-CH" w:eastAsia="de-CH"/>
    </w:rPr>
  </w:style>
  <w:style w:type="paragraph" w:customStyle="1" w:styleId="berschriftSpez1">
    <w:name w:val="ÜberschriftSpez 1"/>
    <w:basedOn w:val="Normal"/>
    <w:next w:val="Normal"/>
    <w:rsid w:val="005D784C"/>
    <w:pPr>
      <w:keepNext/>
      <w:keepLines/>
      <w:pageBreakBefore/>
      <w:spacing w:after="440"/>
      <w:outlineLvl w:val="0"/>
    </w:pPr>
    <w:rPr>
      <w:rFonts w:ascii="Frutiger Light" w:eastAsia="Times New Roman" w:hAnsi="Frutiger Light" w:cs="Times New Roman"/>
      <w:b/>
      <w:kern w:val="28"/>
      <w:sz w:val="28"/>
      <w:szCs w:val="20"/>
      <w:lang w:val="de-CH" w:eastAsia="de-CH"/>
    </w:rPr>
  </w:style>
  <w:style w:type="paragraph" w:customStyle="1" w:styleId="Code">
    <w:name w:val="Code"/>
    <w:basedOn w:val="Normal"/>
    <w:rsid w:val="005D784C"/>
    <w:pPr>
      <w:spacing w:before="120" w:after="120" w:line="302" w:lineRule="auto"/>
      <w:jc w:val="both"/>
    </w:pPr>
    <w:rPr>
      <w:rFonts w:ascii="Courier New" w:eastAsia="Times New Roman" w:hAnsi="Courier New" w:cs="Times New Roman"/>
      <w:noProof/>
      <w:sz w:val="16"/>
      <w:szCs w:val="20"/>
      <w:lang w:val="de-CH" w:eastAsia="de-CH"/>
    </w:rPr>
  </w:style>
  <w:style w:type="paragraph" w:customStyle="1" w:styleId="ZTitelblatt">
    <w:name w:val="ZTitelblatt"/>
    <w:basedOn w:val="Normal"/>
    <w:rsid w:val="005D784C"/>
    <w:pPr>
      <w:spacing w:after="0" w:line="240" w:lineRule="auto"/>
    </w:pPr>
    <w:rPr>
      <w:rFonts w:ascii="Frutiger Light" w:eastAsia="Times New Roman" w:hAnsi="Frutiger Light" w:cs="Times New Roman"/>
      <w:b/>
      <w:sz w:val="24"/>
      <w:szCs w:val="20"/>
      <w:lang w:val="de-CH" w:eastAsia="de-CH"/>
    </w:rPr>
  </w:style>
  <w:style w:type="paragraph" w:customStyle="1" w:styleId="FuzInhaltsv">
    <w:name w:val="FußzInhaltsv"/>
    <w:basedOn w:val="Footer"/>
    <w:rsid w:val="005D784C"/>
    <w:pPr>
      <w:tabs>
        <w:tab w:val="clear" w:pos="4680"/>
        <w:tab w:val="clear" w:pos="9360"/>
      </w:tabs>
      <w:spacing w:before="120" w:line="324" w:lineRule="auto"/>
    </w:pPr>
    <w:rPr>
      <w:rFonts w:ascii="Frutiger Light" w:eastAsia="Times New Roman" w:hAnsi="Frutiger Light" w:cs="Times New Roman"/>
      <w:sz w:val="16"/>
      <w:szCs w:val="20"/>
      <w:lang w:val="de-CH" w:eastAsia="de-CH"/>
    </w:rPr>
  </w:style>
  <w:style w:type="paragraph" w:customStyle="1" w:styleId="TableTextBullet2">
    <w:name w:val="~TableTextBullet2"/>
    <w:basedOn w:val="TableTextLeft"/>
    <w:rsid w:val="005D784C"/>
    <w:pPr>
      <w:numPr>
        <w:ilvl w:val="1"/>
        <w:numId w:val="22"/>
      </w:numPr>
      <w:spacing w:before="60" w:after="20"/>
      <w:ind w:right="0"/>
    </w:pPr>
    <w:rPr>
      <w:rFonts w:cs="Arial"/>
      <w:sz w:val="17"/>
      <w:szCs w:val="24"/>
      <w:lang w:eastAsia="en-GB"/>
    </w:rPr>
  </w:style>
  <w:style w:type="paragraph" w:customStyle="1" w:styleId="TableTextBullet3">
    <w:name w:val="~TableTextBullet3"/>
    <w:basedOn w:val="TableTextLeft"/>
    <w:rsid w:val="005D784C"/>
    <w:pPr>
      <w:numPr>
        <w:ilvl w:val="2"/>
        <w:numId w:val="22"/>
      </w:numPr>
      <w:spacing w:before="60" w:after="20"/>
      <w:ind w:right="0"/>
    </w:pPr>
    <w:rPr>
      <w:rFonts w:cs="Arial"/>
      <w:sz w:val="17"/>
      <w:szCs w:val="24"/>
      <w:lang w:eastAsia="en-GB"/>
    </w:rPr>
  </w:style>
  <w:style w:type="paragraph" w:customStyle="1" w:styleId="TableTextBullet1">
    <w:name w:val="~TableTextBullet1"/>
    <w:basedOn w:val="TableTextLeft"/>
    <w:rsid w:val="005D784C"/>
    <w:pPr>
      <w:numPr>
        <w:numId w:val="22"/>
      </w:numPr>
      <w:spacing w:before="60" w:after="20"/>
      <w:ind w:right="0"/>
    </w:pPr>
    <w:rPr>
      <w:rFonts w:cs="Arial"/>
      <w:sz w:val="17"/>
      <w:szCs w:val="24"/>
      <w:lang w:eastAsia="en-GB"/>
    </w:rPr>
  </w:style>
  <w:style w:type="paragraph" w:customStyle="1" w:styleId="Document1">
    <w:name w:val="Document 1"/>
    <w:rsid w:val="005D784C"/>
    <w:pPr>
      <w:keepNext/>
      <w:keepLines/>
      <w:widowControl w:val="0"/>
      <w:tabs>
        <w:tab w:val="left" w:pos="-720"/>
      </w:tabs>
      <w:suppressAutoHyphens/>
      <w:spacing w:after="0" w:line="240" w:lineRule="auto"/>
    </w:pPr>
    <w:rPr>
      <w:rFonts w:ascii="Univers 12pt" w:eastAsia="Times New Roman" w:hAnsi="Univers 12pt" w:cs="Times New Roman"/>
      <w:sz w:val="24"/>
      <w:szCs w:val="24"/>
      <w:lang w:val="en-GB" w:eastAsia="fr-FR"/>
    </w:rPr>
  </w:style>
  <w:style w:type="paragraph" w:customStyle="1" w:styleId="normaltableau">
    <w:name w:val="normal_tableau"/>
    <w:basedOn w:val="Normal"/>
    <w:rsid w:val="005D784C"/>
    <w:pPr>
      <w:suppressAutoHyphens/>
      <w:spacing w:before="120" w:after="120" w:line="240" w:lineRule="auto"/>
      <w:jc w:val="both"/>
    </w:pPr>
    <w:rPr>
      <w:rFonts w:ascii="Optima" w:eastAsia="Times New Roman" w:hAnsi="Optima" w:cs="Times New Roman"/>
      <w:szCs w:val="20"/>
      <w:lang w:val="en-GB" w:eastAsia="ar-SA"/>
    </w:rPr>
  </w:style>
  <w:style w:type="paragraph" w:customStyle="1" w:styleId="Annexetitle">
    <w:name w:val="Annexe_title"/>
    <w:basedOn w:val="Heading1"/>
    <w:next w:val="Normal"/>
    <w:rsid w:val="005D784C"/>
    <w:pPr>
      <w:keepNext w:val="0"/>
      <w:numPr>
        <w:numId w:val="0"/>
      </w:numPr>
      <w:tabs>
        <w:tab w:val="left" w:pos="0"/>
      </w:tabs>
      <w:suppressAutoHyphens/>
      <w:spacing w:after="0" w:line="240" w:lineRule="auto"/>
    </w:pPr>
    <w:rPr>
      <w:bCs w:val="0"/>
      <w:caps/>
      <w:smallCaps/>
      <w:noProof/>
      <w:color w:val="auto"/>
      <w:kern w:val="1"/>
      <w:sz w:val="4"/>
      <w:szCs w:val="4"/>
      <w:lang w:eastAsia="ar-SA"/>
    </w:rPr>
  </w:style>
  <w:style w:type="paragraph" w:customStyle="1" w:styleId="RAPPORTTITEL">
    <w:name w:val="RAPPORTTITEL"/>
    <w:basedOn w:val="Normal"/>
    <w:next w:val="Normal"/>
    <w:rsid w:val="005D784C"/>
    <w:pPr>
      <w:spacing w:after="0" w:line="280" w:lineRule="atLeast"/>
      <w:ind w:left="-1134" w:right="3686"/>
    </w:pPr>
    <w:rPr>
      <w:rFonts w:ascii="Frutiger Bold" w:eastAsia="Times New Roman" w:hAnsi="Frutiger Bold" w:cs="Times New Roman"/>
      <w:caps/>
      <w:sz w:val="24"/>
      <w:szCs w:val="24"/>
    </w:rPr>
  </w:style>
  <w:style w:type="paragraph" w:customStyle="1" w:styleId="CVNormal">
    <w:name w:val="CV Normal"/>
    <w:basedOn w:val="Normal"/>
    <w:rsid w:val="005D784C"/>
    <w:pPr>
      <w:suppressAutoHyphens/>
      <w:spacing w:after="0" w:line="240" w:lineRule="auto"/>
      <w:ind w:left="113" w:right="113"/>
    </w:pPr>
    <w:rPr>
      <w:rFonts w:ascii="Arial Narrow" w:eastAsia="Times New Roman" w:hAnsi="Arial Narrow" w:cs="Times New Roman"/>
      <w:sz w:val="20"/>
      <w:szCs w:val="20"/>
      <w:lang w:eastAsia="ar-SA"/>
    </w:rPr>
  </w:style>
  <w:style w:type="paragraph" w:customStyle="1" w:styleId="CVMedium-FirstLine">
    <w:name w:val="CV Medium - First Line"/>
    <w:basedOn w:val="Normal"/>
    <w:next w:val="Normal"/>
    <w:rsid w:val="005D784C"/>
    <w:pPr>
      <w:suppressAutoHyphens/>
      <w:spacing w:before="74" w:after="0" w:line="240" w:lineRule="auto"/>
      <w:ind w:left="113" w:right="113"/>
    </w:pPr>
    <w:rPr>
      <w:rFonts w:ascii="Arial Narrow" w:eastAsia="Times New Roman" w:hAnsi="Arial Narrow" w:cs="Times New Roman"/>
      <w:b/>
      <w:szCs w:val="20"/>
      <w:lang w:eastAsia="ar-SA"/>
    </w:rPr>
  </w:style>
  <w:style w:type="paragraph" w:customStyle="1" w:styleId="CVHeading3">
    <w:name w:val="CV Heading 3"/>
    <w:basedOn w:val="Normal"/>
    <w:next w:val="Normal"/>
    <w:rsid w:val="005D784C"/>
    <w:pPr>
      <w:suppressAutoHyphens/>
      <w:spacing w:after="0" w:line="240" w:lineRule="auto"/>
      <w:ind w:left="113" w:right="113"/>
      <w:jc w:val="right"/>
      <w:textAlignment w:val="center"/>
    </w:pPr>
    <w:rPr>
      <w:rFonts w:ascii="Arial Narrow" w:eastAsia="Times New Roman" w:hAnsi="Arial Narrow" w:cs="Times New Roman"/>
      <w:sz w:val="20"/>
      <w:szCs w:val="20"/>
      <w:lang w:eastAsia="ar-SA"/>
    </w:rPr>
  </w:style>
  <w:style w:type="character" w:customStyle="1" w:styleId="NoSpacingChar">
    <w:name w:val="No Spacing Char"/>
    <w:aliases w:val="~BaseStyle Char"/>
    <w:link w:val="NoSpacing"/>
    <w:rsid w:val="005D784C"/>
    <w:rPr>
      <w:rFonts w:eastAsiaTheme="minorEastAsia"/>
    </w:rPr>
  </w:style>
  <w:style w:type="paragraph" w:customStyle="1" w:styleId="Default">
    <w:name w:val="Default"/>
    <w:rsid w:val="005D784C"/>
    <w:pPr>
      <w:autoSpaceDE w:val="0"/>
      <w:autoSpaceDN w:val="0"/>
      <w:adjustRightInd w:val="0"/>
      <w:spacing w:after="0" w:line="240" w:lineRule="auto"/>
    </w:pPr>
    <w:rPr>
      <w:rFonts w:ascii="Arial" w:eastAsia="Arial" w:hAnsi="Arial" w:cs="Arial"/>
      <w:color w:val="000000"/>
      <w:sz w:val="24"/>
      <w:szCs w:val="24"/>
      <w:lang w:val="en-GB"/>
    </w:rPr>
  </w:style>
  <w:style w:type="paragraph" w:customStyle="1" w:styleId="Bullet">
    <w:name w:val="Bullet"/>
    <w:basedOn w:val="Normal"/>
    <w:uiPriority w:val="2"/>
    <w:qFormat/>
    <w:rsid w:val="005D784C"/>
    <w:pPr>
      <w:numPr>
        <w:numId w:val="24"/>
      </w:numPr>
      <w:tabs>
        <w:tab w:val="left" w:pos="425"/>
      </w:tabs>
      <w:spacing w:after="80" w:line="240" w:lineRule="atLeast"/>
      <w:ind w:left="425" w:hanging="425"/>
    </w:pPr>
    <w:rPr>
      <w:rFonts w:ascii="Arial" w:eastAsia="Times New Roman" w:hAnsi="Arial" w:cs="Times New Roman"/>
      <w:color w:val="2988C9"/>
      <w:szCs w:val="20"/>
      <w:lang w:val="en-GB" w:eastAsia="da-DK"/>
    </w:rPr>
  </w:style>
  <w:style w:type="paragraph" w:customStyle="1" w:styleId="StyleH1">
    <w:name w:val="Style H1"/>
    <w:basedOn w:val="Heading1"/>
    <w:uiPriority w:val="1"/>
    <w:rsid w:val="005D784C"/>
    <w:pPr>
      <w:keepNext w:val="0"/>
      <w:pageBreakBefore w:val="0"/>
      <w:widowControl w:val="0"/>
      <w:numPr>
        <w:numId w:val="26"/>
      </w:numPr>
      <w:autoSpaceDE w:val="0"/>
      <w:autoSpaceDN w:val="0"/>
      <w:spacing w:before="88" w:after="0" w:line="240" w:lineRule="auto"/>
      <w:jc w:val="both"/>
    </w:pPr>
    <w:rPr>
      <w:rFonts w:eastAsia="Arial"/>
      <w:color w:val="auto"/>
    </w:rPr>
  </w:style>
  <w:style w:type="paragraph" w:customStyle="1" w:styleId="bold">
    <w:name w:val="bold"/>
    <w:basedOn w:val="Normal"/>
    <w:link w:val="boldChar"/>
    <w:qFormat/>
    <w:rsid w:val="005D784C"/>
    <w:pPr>
      <w:spacing w:after="0" w:line="280" w:lineRule="atLeast"/>
    </w:pPr>
    <w:rPr>
      <w:rFonts w:ascii="Arial" w:eastAsia="Times New Roman" w:hAnsi="Arial" w:cs="Times New Roman"/>
      <w:b/>
      <w:color w:val="002060"/>
      <w:sz w:val="24"/>
      <w:szCs w:val="24"/>
      <w:lang w:val="x-none" w:eastAsia="x-none"/>
    </w:rPr>
  </w:style>
  <w:style w:type="character" w:customStyle="1" w:styleId="boldChar">
    <w:name w:val="bold Char"/>
    <w:link w:val="bold"/>
    <w:rsid w:val="005D784C"/>
    <w:rPr>
      <w:rFonts w:ascii="Arial" w:eastAsia="Times New Roman" w:hAnsi="Arial" w:cs="Times New Roman"/>
      <w:b/>
      <w:color w:val="002060"/>
      <w:sz w:val="24"/>
      <w:szCs w:val="24"/>
      <w:lang w:val="x-none" w:eastAsia="x-none"/>
    </w:rPr>
  </w:style>
  <w:style w:type="paragraph" w:customStyle="1" w:styleId="Akapitzlist1">
    <w:name w:val="Akapit z listą1"/>
    <w:basedOn w:val="Normal"/>
    <w:uiPriority w:val="34"/>
    <w:rsid w:val="005D784C"/>
    <w:pPr>
      <w:spacing w:after="0" w:line="240" w:lineRule="auto"/>
      <w:ind w:left="720"/>
    </w:pPr>
    <w:rPr>
      <w:rFonts w:ascii="Arial" w:eastAsia="Times New Roman" w:hAnsi="Arial" w:cs="Times New Roman"/>
      <w:szCs w:val="24"/>
      <w:lang w:val="en-GB" w:bidi="en-US"/>
    </w:rPr>
  </w:style>
  <w:style w:type="character" w:customStyle="1" w:styleId="Odwoanieintensywne1">
    <w:name w:val="Odwołanie intensywne1"/>
    <w:uiPriority w:val="32"/>
    <w:rsid w:val="005D784C"/>
    <w:rPr>
      <w:b/>
      <w:bCs/>
      <w:smallCaps/>
      <w:color w:val="C0504D"/>
      <w:spacing w:val="5"/>
      <w:u w:val="single"/>
    </w:rPr>
  </w:style>
  <w:style w:type="paragraph" w:customStyle="1" w:styleId="Nagwekspisutreci1">
    <w:name w:val="Nagłówek spisu treści1"/>
    <w:basedOn w:val="Heading1"/>
    <w:next w:val="Normal"/>
    <w:uiPriority w:val="39"/>
    <w:semiHidden/>
    <w:unhideWhenUsed/>
    <w:rsid w:val="005D784C"/>
    <w:pPr>
      <w:keepNext w:val="0"/>
      <w:keepLines/>
      <w:pageBreakBefore w:val="0"/>
      <w:numPr>
        <w:numId w:val="0"/>
      </w:numPr>
      <w:pBdr>
        <w:bottom w:val="thinThickSmallGap" w:sz="12" w:space="1" w:color="943634"/>
      </w:pBdr>
      <w:tabs>
        <w:tab w:val="num" w:pos="360"/>
      </w:tabs>
      <w:spacing w:before="480" w:after="200" w:line="252" w:lineRule="auto"/>
      <w:ind w:left="360" w:hanging="360"/>
      <w:jc w:val="center"/>
      <w:outlineLvl w:val="9"/>
    </w:pPr>
    <w:rPr>
      <w:rFonts w:ascii="Cambria" w:hAnsi="Cambria"/>
      <w:b w:val="0"/>
      <w:bCs w:val="0"/>
      <w:caps/>
      <w:color w:val="365F91"/>
      <w:spacing w:val="20"/>
      <w:sz w:val="28"/>
      <w:szCs w:val="28"/>
      <w:lang w:val="it-IT" w:bidi="en-US"/>
    </w:rPr>
  </w:style>
  <w:style w:type="paragraph" w:customStyle="1" w:styleId="Bezodstpw1">
    <w:name w:val="Bez odstępów1"/>
    <w:uiPriority w:val="1"/>
    <w:rsid w:val="005D784C"/>
    <w:pPr>
      <w:spacing w:line="252" w:lineRule="auto"/>
      <w:jc w:val="both"/>
    </w:pPr>
    <w:rPr>
      <w:rFonts w:ascii="Cambria" w:eastAsia="Times New Roman" w:hAnsi="Cambria" w:cs="Times New Roman"/>
      <w:sz w:val="24"/>
      <w:lang w:val="en-GB" w:eastAsia="en-GB"/>
    </w:rPr>
  </w:style>
  <w:style w:type="paragraph" w:customStyle="1" w:styleId="ZnakCharCharZnakZnakZnak">
    <w:name w:val="Znak Char Char Znak Znak Znak"/>
    <w:basedOn w:val="Normal"/>
    <w:rsid w:val="005D784C"/>
    <w:pPr>
      <w:spacing w:after="160" w:line="240" w:lineRule="exact"/>
    </w:pPr>
    <w:rPr>
      <w:rFonts w:ascii="Verdana" w:eastAsia="Times New Roman" w:hAnsi="Verdana" w:cs="Times New Roman"/>
      <w:sz w:val="20"/>
      <w:szCs w:val="20"/>
      <w:lang w:bidi="en-US"/>
    </w:rPr>
  </w:style>
  <w:style w:type="paragraph" w:customStyle="1" w:styleId="Text4">
    <w:name w:val="Text 4"/>
    <w:basedOn w:val="Normal"/>
    <w:rsid w:val="005D784C"/>
    <w:pPr>
      <w:tabs>
        <w:tab w:val="left" w:pos="2302"/>
      </w:tabs>
      <w:spacing w:after="240" w:line="240" w:lineRule="auto"/>
      <w:ind w:left="1202"/>
      <w:jc w:val="both"/>
    </w:pPr>
    <w:rPr>
      <w:rFonts w:ascii="Arial" w:eastAsia="Times New Roman" w:hAnsi="Arial" w:cs="Times New Roman"/>
      <w:sz w:val="20"/>
      <w:szCs w:val="20"/>
      <w:lang w:val="en-GB" w:eastAsia="en-GB" w:bidi="en-US"/>
    </w:rPr>
  </w:style>
  <w:style w:type="paragraph" w:customStyle="1" w:styleId="bullet0">
    <w:name w:val="bullet"/>
    <w:basedOn w:val="Normal"/>
    <w:rsid w:val="005D784C"/>
    <w:pPr>
      <w:spacing w:after="0" w:line="264" w:lineRule="auto"/>
      <w:ind w:left="360" w:hanging="360"/>
      <w:jc w:val="both"/>
    </w:pPr>
    <w:rPr>
      <w:rFonts w:ascii="Cambria" w:eastAsia="Times New Roman" w:hAnsi="Cambria" w:cs="Times New Roman"/>
      <w:spacing w:val="-3"/>
      <w:szCs w:val="20"/>
      <w:lang w:val="en-GB" w:bidi="en-US"/>
    </w:rPr>
  </w:style>
  <w:style w:type="paragraph" w:customStyle="1" w:styleId="GLAVAE">
    <w:name w:val="GLAVAE"/>
    <w:basedOn w:val="Normal"/>
    <w:rsid w:val="005D784C"/>
    <w:pPr>
      <w:spacing w:before="60" w:after="60" w:line="240" w:lineRule="auto"/>
      <w:jc w:val="center"/>
    </w:pPr>
    <w:rPr>
      <w:rFonts w:ascii="Arial Narrow" w:eastAsia="Times New Roman" w:hAnsi="Arial Narrow" w:cs="Times New Roman"/>
      <w:color w:val="000000"/>
      <w:kern w:val="28"/>
      <w:sz w:val="16"/>
      <w:szCs w:val="20"/>
      <w:lang w:val="sr-Latn-BA" w:eastAsia="sr-Latn-BA" w:bidi="en-US"/>
    </w:rPr>
  </w:style>
  <w:style w:type="paragraph" w:customStyle="1" w:styleId="BlockquoteCharCharCharChar">
    <w:name w:val="Blockquote Char Char Char Char"/>
    <w:basedOn w:val="Normal"/>
    <w:link w:val="BlockquoteCharCharCharCharChar1"/>
    <w:rsid w:val="005D784C"/>
    <w:pPr>
      <w:widowControl w:val="0"/>
      <w:spacing w:before="100" w:after="100" w:line="240" w:lineRule="auto"/>
      <w:ind w:left="360" w:right="360"/>
    </w:pPr>
    <w:rPr>
      <w:rFonts w:ascii="Cambria" w:eastAsia="Times New Roman" w:hAnsi="Cambria" w:cs="Times New Roman"/>
      <w:snapToGrid w:val="0"/>
      <w:sz w:val="20"/>
      <w:szCs w:val="24"/>
      <w:lang w:val="x-none" w:eastAsia="x-none"/>
    </w:rPr>
  </w:style>
  <w:style w:type="paragraph" w:customStyle="1" w:styleId="ZnakZnak2ZnakZnakZnak2ZnakZnakZnak1">
    <w:name w:val="Znak Znak2 Znak Znak Znak2 Znak Znak Znak1"/>
    <w:basedOn w:val="Normal"/>
    <w:rsid w:val="005D784C"/>
    <w:pPr>
      <w:spacing w:after="160" w:line="240" w:lineRule="exact"/>
    </w:pPr>
    <w:rPr>
      <w:rFonts w:ascii="Arial" w:eastAsia="Times New Roman" w:hAnsi="Arial" w:cs="Times New Roman"/>
      <w:sz w:val="20"/>
      <w:szCs w:val="20"/>
      <w:lang w:bidi="en-US"/>
    </w:rPr>
  </w:style>
  <w:style w:type="paragraph" w:customStyle="1" w:styleId="Text1">
    <w:name w:val="Text 1"/>
    <w:basedOn w:val="Normal"/>
    <w:rsid w:val="005D784C"/>
    <w:pPr>
      <w:spacing w:after="240" w:line="240" w:lineRule="auto"/>
      <w:ind w:left="482"/>
      <w:jc w:val="both"/>
    </w:pPr>
    <w:rPr>
      <w:rFonts w:ascii="Arial" w:eastAsia="Times New Roman" w:hAnsi="Arial" w:cs="Times New Roman"/>
      <w:sz w:val="20"/>
      <w:szCs w:val="20"/>
      <w:lang w:val="en-GB" w:eastAsia="en-GB" w:bidi="en-US"/>
    </w:rPr>
  </w:style>
  <w:style w:type="paragraph" w:customStyle="1" w:styleId="Text2">
    <w:name w:val="Text 2"/>
    <w:basedOn w:val="Normal"/>
    <w:rsid w:val="005D784C"/>
    <w:pPr>
      <w:tabs>
        <w:tab w:val="left" w:pos="2161"/>
      </w:tabs>
      <w:spacing w:after="240" w:line="240" w:lineRule="auto"/>
      <w:ind w:left="1202"/>
      <w:jc w:val="both"/>
    </w:pPr>
    <w:rPr>
      <w:rFonts w:ascii="Arial" w:eastAsia="Times New Roman" w:hAnsi="Arial" w:cs="Times New Roman"/>
      <w:sz w:val="20"/>
      <w:szCs w:val="20"/>
      <w:lang w:val="en-GB" w:eastAsia="en-GB" w:bidi="en-US"/>
    </w:rPr>
  </w:style>
  <w:style w:type="paragraph" w:customStyle="1" w:styleId="Text3">
    <w:name w:val="Text 3"/>
    <w:basedOn w:val="Normal"/>
    <w:rsid w:val="005D784C"/>
    <w:pPr>
      <w:tabs>
        <w:tab w:val="left" w:pos="2302"/>
      </w:tabs>
      <w:spacing w:after="240" w:line="240" w:lineRule="auto"/>
      <w:ind w:left="1202"/>
      <w:jc w:val="both"/>
    </w:pPr>
    <w:rPr>
      <w:rFonts w:ascii="Arial" w:eastAsia="Times New Roman" w:hAnsi="Arial" w:cs="Times New Roman"/>
      <w:sz w:val="20"/>
      <w:szCs w:val="20"/>
      <w:lang w:val="en-GB" w:eastAsia="en-GB" w:bidi="en-US"/>
    </w:rPr>
  </w:style>
  <w:style w:type="paragraph" w:customStyle="1" w:styleId="Address0">
    <w:name w:val="Address"/>
    <w:basedOn w:val="Normal"/>
    <w:rsid w:val="005D784C"/>
    <w:pPr>
      <w:spacing w:after="0" w:line="240" w:lineRule="auto"/>
    </w:pPr>
    <w:rPr>
      <w:rFonts w:ascii="Arial" w:eastAsia="Times New Roman" w:hAnsi="Arial" w:cs="Times New Roman"/>
      <w:sz w:val="20"/>
      <w:szCs w:val="20"/>
      <w:lang w:val="en-GB" w:eastAsia="en-GB" w:bidi="en-US"/>
    </w:rPr>
  </w:style>
  <w:style w:type="paragraph" w:customStyle="1" w:styleId="AddressTL">
    <w:name w:val="AddressTL"/>
    <w:basedOn w:val="Normal"/>
    <w:next w:val="Normal"/>
    <w:rsid w:val="005D784C"/>
    <w:pPr>
      <w:spacing w:after="720" w:line="240" w:lineRule="auto"/>
    </w:pPr>
    <w:rPr>
      <w:rFonts w:ascii="Arial" w:eastAsia="Times New Roman" w:hAnsi="Arial" w:cs="Times New Roman"/>
      <w:sz w:val="20"/>
      <w:szCs w:val="20"/>
      <w:lang w:val="en-GB" w:eastAsia="en-GB" w:bidi="en-US"/>
    </w:rPr>
  </w:style>
  <w:style w:type="paragraph" w:customStyle="1" w:styleId="AddressTR">
    <w:name w:val="AddressTR"/>
    <w:basedOn w:val="Normal"/>
    <w:next w:val="Normal"/>
    <w:rsid w:val="005D784C"/>
    <w:pPr>
      <w:spacing w:after="720" w:line="240" w:lineRule="auto"/>
      <w:ind w:left="5103"/>
    </w:pPr>
    <w:rPr>
      <w:rFonts w:ascii="Arial" w:eastAsia="Times New Roman" w:hAnsi="Arial" w:cs="Times New Roman"/>
      <w:sz w:val="20"/>
      <w:szCs w:val="20"/>
      <w:lang w:val="en-GB" w:eastAsia="en-GB" w:bidi="en-US"/>
    </w:rPr>
  </w:style>
  <w:style w:type="paragraph" w:customStyle="1" w:styleId="ChapterTitle">
    <w:name w:val="ChapterTitle"/>
    <w:basedOn w:val="Normal"/>
    <w:next w:val="SectionTitle"/>
    <w:rsid w:val="005D784C"/>
    <w:pPr>
      <w:keepNext/>
      <w:spacing w:after="480" w:line="240" w:lineRule="auto"/>
      <w:jc w:val="center"/>
    </w:pPr>
    <w:rPr>
      <w:rFonts w:ascii="Arial" w:eastAsia="Times New Roman" w:hAnsi="Arial" w:cs="Times New Roman"/>
      <w:b/>
      <w:sz w:val="32"/>
      <w:szCs w:val="20"/>
      <w:lang w:val="en-GB" w:eastAsia="en-GB" w:bidi="en-US"/>
    </w:rPr>
  </w:style>
  <w:style w:type="paragraph" w:customStyle="1" w:styleId="SectionTitle">
    <w:name w:val="SectionTitle"/>
    <w:basedOn w:val="Normal"/>
    <w:next w:val="Heading1"/>
    <w:rsid w:val="005D784C"/>
    <w:pPr>
      <w:keepNext/>
      <w:spacing w:after="480" w:line="240" w:lineRule="auto"/>
      <w:jc w:val="center"/>
    </w:pPr>
    <w:rPr>
      <w:rFonts w:ascii="Arial" w:eastAsia="Times New Roman" w:hAnsi="Arial" w:cs="Times New Roman"/>
      <w:b/>
      <w:smallCaps/>
      <w:szCs w:val="20"/>
      <w:lang w:val="en-GB" w:eastAsia="en-GB" w:bidi="en-US"/>
    </w:rPr>
  </w:style>
  <w:style w:type="paragraph" w:customStyle="1" w:styleId="References">
    <w:name w:val="References"/>
    <w:basedOn w:val="Normal"/>
    <w:next w:val="AddressTR"/>
    <w:rsid w:val="005D784C"/>
    <w:pPr>
      <w:spacing w:after="240" w:line="240" w:lineRule="auto"/>
      <w:ind w:left="5103"/>
    </w:pPr>
    <w:rPr>
      <w:rFonts w:ascii="Arial" w:eastAsia="Times New Roman" w:hAnsi="Arial" w:cs="Times New Roman"/>
      <w:sz w:val="20"/>
      <w:szCs w:val="20"/>
      <w:lang w:val="en-GB" w:eastAsia="en-GB" w:bidi="en-US"/>
    </w:rPr>
  </w:style>
  <w:style w:type="paragraph" w:customStyle="1" w:styleId="DoubSign">
    <w:name w:val="DoubSign"/>
    <w:basedOn w:val="Normal"/>
    <w:next w:val="Enclosures"/>
    <w:rsid w:val="005D784C"/>
    <w:pPr>
      <w:tabs>
        <w:tab w:val="left" w:pos="5103"/>
      </w:tabs>
      <w:spacing w:before="1200" w:after="0" w:line="240" w:lineRule="auto"/>
    </w:pPr>
    <w:rPr>
      <w:rFonts w:ascii="Arial" w:eastAsia="Times New Roman" w:hAnsi="Arial" w:cs="Times New Roman"/>
      <w:sz w:val="20"/>
      <w:szCs w:val="20"/>
      <w:lang w:val="en-GB" w:eastAsia="en-GB" w:bidi="en-US"/>
    </w:rPr>
  </w:style>
  <w:style w:type="paragraph" w:customStyle="1" w:styleId="Enclosures">
    <w:name w:val="Enclosures"/>
    <w:basedOn w:val="Normal"/>
    <w:rsid w:val="005D784C"/>
    <w:pPr>
      <w:keepNext/>
      <w:keepLines/>
      <w:tabs>
        <w:tab w:val="left" w:pos="5642"/>
      </w:tabs>
      <w:spacing w:before="480" w:after="0" w:line="240" w:lineRule="auto"/>
      <w:ind w:left="1191" w:hanging="1191"/>
    </w:pPr>
    <w:rPr>
      <w:rFonts w:ascii="Arial" w:eastAsia="Times New Roman" w:hAnsi="Arial" w:cs="Times New Roman"/>
      <w:sz w:val="20"/>
      <w:szCs w:val="20"/>
      <w:lang w:val="en-GB" w:eastAsia="en-GB" w:bidi="en-US"/>
    </w:rPr>
  </w:style>
  <w:style w:type="paragraph" w:customStyle="1" w:styleId="NoteHead">
    <w:name w:val="NoteHead"/>
    <w:basedOn w:val="Normal"/>
    <w:next w:val="Subject"/>
    <w:rsid w:val="005D784C"/>
    <w:pPr>
      <w:spacing w:before="720" w:after="720" w:line="240" w:lineRule="auto"/>
      <w:jc w:val="center"/>
    </w:pPr>
    <w:rPr>
      <w:rFonts w:ascii="Arial" w:eastAsia="Times New Roman" w:hAnsi="Arial" w:cs="Times New Roman"/>
      <w:b/>
      <w:smallCaps/>
      <w:sz w:val="20"/>
      <w:szCs w:val="20"/>
      <w:lang w:val="en-GB" w:eastAsia="en-GB" w:bidi="en-US"/>
    </w:rPr>
  </w:style>
  <w:style w:type="paragraph" w:customStyle="1" w:styleId="Subject">
    <w:name w:val="Subject"/>
    <w:basedOn w:val="Normal"/>
    <w:next w:val="Normal"/>
    <w:rsid w:val="005D784C"/>
    <w:pPr>
      <w:spacing w:after="480" w:line="240" w:lineRule="auto"/>
      <w:ind w:left="1191" w:hanging="1191"/>
    </w:pPr>
    <w:rPr>
      <w:rFonts w:ascii="Arial" w:eastAsia="Times New Roman" w:hAnsi="Arial" w:cs="Times New Roman"/>
      <w:b/>
      <w:sz w:val="20"/>
      <w:szCs w:val="20"/>
      <w:lang w:val="en-GB" w:eastAsia="en-GB" w:bidi="en-US"/>
    </w:rPr>
  </w:style>
  <w:style w:type="paragraph" w:customStyle="1" w:styleId="NoteList">
    <w:name w:val="NoteList"/>
    <w:basedOn w:val="Normal"/>
    <w:next w:val="Subject"/>
    <w:rsid w:val="005D784C"/>
    <w:pPr>
      <w:tabs>
        <w:tab w:val="left" w:pos="5823"/>
      </w:tabs>
      <w:spacing w:before="720" w:after="720" w:line="240" w:lineRule="auto"/>
      <w:ind w:left="5104" w:hanging="3119"/>
    </w:pPr>
    <w:rPr>
      <w:rFonts w:ascii="Arial" w:eastAsia="Times New Roman" w:hAnsi="Arial" w:cs="Times New Roman"/>
      <w:b/>
      <w:smallCaps/>
      <w:sz w:val="20"/>
      <w:szCs w:val="20"/>
      <w:lang w:val="en-GB" w:eastAsia="en-GB" w:bidi="en-US"/>
    </w:rPr>
  </w:style>
  <w:style w:type="paragraph" w:customStyle="1" w:styleId="NumPar1">
    <w:name w:val="NumPar 1"/>
    <w:basedOn w:val="Heading1"/>
    <w:next w:val="Text1"/>
    <w:rsid w:val="005D784C"/>
    <w:pPr>
      <w:keepNext w:val="0"/>
      <w:pageBreakBefore w:val="0"/>
      <w:numPr>
        <w:numId w:val="27"/>
      </w:numPr>
      <w:pBdr>
        <w:bottom w:val="thinThickSmallGap" w:sz="12" w:space="1" w:color="943634"/>
      </w:pBdr>
      <w:spacing w:before="400" w:after="240" w:line="240" w:lineRule="auto"/>
      <w:ind w:left="483" w:hanging="483"/>
      <w:jc w:val="both"/>
      <w:outlineLvl w:val="9"/>
    </w:pPr>
    <w:rPr>
      <w:b w:val="0"/>
      <w:bCs w:val="0"/>
      <w:caps/>
      <w:color w:val="632423"/>
      <w:spacing w:val="20"/>
      <w:kern w:val="28"/>
      <w:sz w:val="28"/>
      <w:szCs w:val="28"/>
      <w:lang w:eastAsia="en-GB" w:bidi="en-US"/>
    </w:rPr>
  </w:style>
  <w:style w:type="paragraph" w:customStyle="1" w:styleId="NumPar2">
    <w:name w:val="NumPar 2"/>
    <w:basedOn w:val="Heading2"/>
    <w:next w:val="Text2"/>
    <w:rsid w:val="005D784C"/>
    <w:pPr>
      <w:keepNext w:val="0"/>
      <w:numPr>
        <w:ilvl w:val="0"/>
        <w:numId w:val="0"/>
      </w:numPr>
      <w:pBdr>
        <w:bottom w:val="single" w:sz="4" w:space="1" w:color="622423"/>
      </w:pBdr>
      <w:spacing w:before="0" w:after="240" w:line="240" w:lineRule="auto"/>
      <w:ind w:left="480"/>
      <w:jc w:val="center"/>
      <w:outlineLvl w:val="9"/>
    </w:pPr>
    <w:rPr>
      <w:b w:val="0"/>
      <w:bCs w:val="0"/>
      <w:caps/>
      <w:color w:val="632423"/>
      <w:spacing w:val="15"/>
      <w:sz w:val="20"/>
      <w:szCs w:val="20"/>
      <w:lang w:eastAsia="en-GB" w:bidi="en-US"/>
    </w:rPr>
  </w:style>
  <w:style w:type="paragraph" w:customStyle="1" w:styleId="NumPar3">
    <w:name w:val="NumPar 3"/>
    <w:basedOn w:val="Heading3"/>
    <w:next w:val="Text3"/>
    <w:rsid w:val="005D784C"/>
    <w:pPr>
      <w:keepNext w:val="0"/>
      <w:numPr>
        <w:numId w:val="28"/>
      </w:numPr>
      <w:pBdr>
        <w:top w:val="dotted" w:sz="4" w:space="1" w:color="622423"/>
        <w:bottom w:val="dotted" w:sz="4" w:space="1" w:color="622423"/>
      </w:pBdr>
      <w:suppressAutoHyphens/>
      <w:spacing w:before="300" w:after="240" w:line="240" w:lineRule="auto"/>
      <w:jc w:val="both"/>
      <w:outlineLvl w:val="9"/>
    </w:pPr>
    <w:rPr>
      <w:rFonts w:ascii="Times New Roman" w:hAnsi="Times New Roman"/>
      <w:b w:val="0"/>
      <w:bCs w:val="0"/>
      <w:i/>
      <w:caps/>
      <w:color w:val="622423"/>
      <w:sz w:val="22"/>
      <w:szCs w:val="22"/>
      <w:lang w:eastAsia="ar-SA" w:bidi="en-US"/>
    </w:rPr>
  </w:style>
  <w:style w:type="paragraph" w:customStyle="1" w:styleId="NumPar4">
    <w:name w:val="NumPar 4"/>
    <w:basedOn w:val="Heading4"/>
    <w:next w:val="Text4"/>
    <w:rsid w:val="005D784C"/>
    <w:pPr>
      <w:keepNext w:val="0"/>
      <w:widowControl w:val="0"/>
      <w:numPr>
        <w:ilvl w:val="0"/>
        <w:numId w:val="0"/>
      </w:numPr>
      <w:pBdr>
        <w:bottom w:val="dotted" w:sz="4" w:space="1" w:color="943634"/>
      </w:pBdr>
      <w:autoSpaceDE w:val="0"/>
      <w:autoSpaceDN w:val="0"/>
      <w:spacing w:before="0" w:after="240" w:line="240" w:lineRule="auto"/>
      <w:jc w:val="both"/>
      <w:outlineLvl w:val="9"/>
    </w:pPr>
    <w:rPr>
      <w:rFonts w:eastAsia="Arial"/>
      <w:bCs/>
      <w:caps/>
      <w:color w:val="622423"/>
      <w:spacing w:val="10"/>
      <w:lang w:eastAsia="en-GB" w:bidi="en-US"/>
    </w:rPr>
  </w:style>
  <w:style w:type="paragraph" w:customStyle="1" w:styleId="PartTitle">
    <w:name w:val="PartTitle"/>
    <w:basedOn w:val="Normal"/>
    <w:next w:val="ChapterTitle"/>
    <w:rsid w:val="005D784C"/>
    <w:pPr>
      <w:keepNext/>
      <w:pageBreakBefore/>
      <w:spacing w:after="480" w:line="240" w:lineRule="auto"/>
      <w:jc w:val="center"/>
    </w:pPr>
    <w:rPr>
      <w:rFonts w:ascii="Arial" w:eastAsia="Times New Roman" w:hAnsi="Arial" w:cs="Times New Roman"/>
      <w:b/>
      <w:sz w:val="36"/>
      <w:szCs w:val="20"/>
      <w:lang w:val="en-GB" w:eastAsia="en-GB" w:bidi="en-US"/>
    </w:rPr>
  </w:style>
  <w:style w:type="paragraph" w:customStyle="1" w:styleId="SubTitle1">
    <w:name w:val="SubTitle 1"/>
    <w:basedOn w:val="Normal"/>
    <w:next w:val="SubTitle2"/>
    <w:rsid w:val="005D784C"/>
    <w:pPr>
      <w:spacing w:after="240" w:line="240" w:lineRule="auto"/>
      <w:jc w:val="center"/>
    </w:pPr>
    <w:rPr>
      <w:rFonts w:ascii="Arial" w:eastAsia="Times New Roman" w:hAnsi="Arial" w:cs="Times New Roman"/>
      <w:b/>
      <w:sz w:val="40"/>
      <w:szCs w:val="20"/>
      <w:lang w:val="en-GB" w:eastAsia="en-GB" w:bidi="en-US"/>
    </w:rPr>
  </w:style>
  <w:style w:type="paragraph" w:customStyle="1" w:styleId="SubTitle2">
    <w:name w:val="SubTitle 2"/>
    <w:basedOn w:val="Normal"/>
    <w:rsid w:val="005D784C"/>
    <w:pPr>
      <w:spacing w:after="240" w:line="240" w:lineRule="auto"/>
      <w:jc w:val="center"/>
    </w:pPr>
    <w:rPr>
      <w:rFonts w:ascii="Arial" w:eastAsia="Times New Roman" w:hAnsi="Arial" w:cs="Times New Roman"/>
      <w:b/>
      <w:sz w:val="32"/>
      <w:szCs w:val="20"/>
      <w:lang w:val="en-GB" w:eastAsia="en-GB" w:bidi="en-US"/>
    </w:rPr>
  </w:style>
  <w:style w:type="paragraph" w:customStyle="1" w:styleId="YReferences">
    <w:name w:val="YReferences"/>
    <w:basedOn w:val="Normal"/>
    <w:next w:val="Normal"/>
    <w:rsid w:val="005D784C"/>
    <w:pPr>
      <w:spacing w:after="480" w:line="240" w:lineRule="auto"/>
      <w:ind w:left="1191" w:hanging="1191"/>
      <w:jc w:val="both"/>
    </w:pPr>
    <w:rPr>
      <w:rFonts w:ascii="Arial" w:eastAsia="Times New Roman" w:hAnsi="Arial" w:cs="Times New Roman"/>
      <w:sz w:val="20"/>
      <w:szCs w:val="20"/>
      <w:lang w:val="en-GB" w:eastAsia="en-GB" w:bidi="en-US"/>
    </w:rPr>
  </w:style>
  <w:style w:type="paragraph" w:customStyle="1" w:styleId="Heading2b">
    <w:name w:val="Heading2b"/>
    <w:basedOn w:val="Normal"/>
    <w:rsid w:val="005D784C"/>
    <w:pPr>
      <w:spacing w:after="240" w:line="240" w:lineRule="auto"/>
      <w:ind w:left="567" w:hanging="567"/>
      <w:jc w:val="center"/>
    </w:pPr>
    <w:rPr>
      <w:rFonts w:ascii="Arial" w:eastAsia="Times New Roman" w:hAnsi="Arial" w:cs="Times New Roman"/>
      <w:b/>
      <w:sz w:val="20"/>
      <w:szCs w:val="20"/>
      <w:u w:val="single"/>
      <w:lang w:val="en-GB" w:eastAsia="en-GB" w:bidi="en-US"/>
    </w:rPr>
  </w:style>
  <w:style w:type="paragraph" w:customStyle="1" w:styleId="Contact">
    <w:name w:val="Contact"/>
    <w:basedOn w:val="Normal"/>
    <w:next w:val="Normal"/>
    <w:rsid w:val="005D784C"/>
    <w:pPr>
      <w:spacing w:after="480" w:line="240" w:lineRule="auto"/>
      <w:ind w:left="567" w:hanging="567"/>
    </w:pPr>
    <w:rPr>
      <w:rFonts w:ascii="Cambria" w:eastAsia="Times New Roman" w:hAnsi="Cambria" w:cs="Times New Roman"/>
      <w:sz w:val="24"/>
      <w:szCs w:val="20"/>
      <w:lang w:val="en-GB" w:bidi="en-US"/>
    </w:rPr>
  </w:style>
  <w:style w:type="paragraph" w:customStyle="1" w:styleId="ListBullet1">
    <w:name w:val="List Bullet 1"/>
    <w:basedOn w:val="Text1"/>
    <w:rsid w:val="005D784C"/>
    <w:pPr>
      <w:numPr>
        <w:numId w:val="29"/>
      </w:numPr>
    </w:pPr>
    <w:rPr>
      <w:rFonts w:ascii="Times New Roman" w:hAnsi="Times New Roman"/>
      <w:sz w:val="24"/>
      <w:lang w:eastAsia="en-US"/>
    </w:rPr>
  </w:style>
  <w:style w:type="paragraph" w:customStyle="1" w:styleId="ListDash">
    <w:name w:val="List Dash"/>
    <w:basedOn w:val="Normal"/>
    <w:rsid w:val="005D784C"/>
    <w:pPr>
      <w:numPr>
        <w:numId w:val="30"/>
      </w:numPr>
      <w:spacing w:after="240" w:line="240" w:lineRule="auto"/>
      <w:jc w:val="both"/>
    </w:pPr>
    <w:rPr>
      <w:rFonts w:ascii="Cambria" w:eastAsia="Times New Roman" w:hAnsi="Cambria" w:cs="Times New Roman"/>
      <w:sz w:val="24"/>
      <w:szCs w:val="20"/>
      <w:lang w:val="en-GB" w:bidi="en-US"/>
    </w:rPr>
  </w:style>
  <w:style w:type="paragraph" w:customStyle="1" w:styleId="ListDash1">
    <w:name w:val="List Dash 1"/>
    <w:basedOn w:val="Text1"/>
    <w:rsid w:val="005D784C"/>
    <w:pPr>
      <w:numPr>
        <w:numId w:val="31"/>
      </w:numPr>
    </w:pPr>
    <w:rPr>
      <w:rFonts w:ascii="Times New Roman" w:hAnsi="Times New Roman"/>
      <w:sz w:val="24"/>
      <w:lang w:eastAsia="en-US"/>
    </w:rPr>
  </w:style>
  <w:style w:type="paragraph" w:customStyle="1" w:styleId="ListDash2">
    <w:name w:val="List Dash 2"/>
    <w:basedOn w:val="Text2"/>
    <w:rsid w:val="005D784C"/>
    <w:pPr>
      <w:numPr>
        <w:numId w:val="32"/>
      </w:numPr>
      <w:tabs>
        <w:tab w:val="clear" w:pos="2161"/>
      </w:tabs>
    </w:pPr>
    <w:rPr>
      <w:rFonts w:ascii="Times New Roman" w:hAnsi="Times New Roman"/>
      <w:sz w:val="24"/>
      <w:lang w:eastAsia="en-US"/>
    </w:rPr>
  </w:style>
  <w:style w:type="paragraph" w:customStyle="1" w:styleId="ListDash3">
    <w:name w:val="List Dash 3"/>
    <w:basedOn w:val="Text3"/>
    <w:rsid w:val="005D784C"/>
    <w:pPr>
      <w:numPr>
        <w:numId w:val="33"/>
      </w:numPr>
      <w:tabs>
        <w:tab w:val="clear" w:pos="2302"/>
      </w:tabs>
    </w:pPr>
    <w:rPr>
      <w:rFonts w:ascii="Times New Roman" w:hAnsi="Times New Roman"/>
      <w:sz w:val="24"/>
      <w:lang w:eastAsia="en-US"/>
    </w:rPr>
  </w:style>
  <w:style w:type="paragraph" w:customStyle="1" w:styleId="ListDash4">
    <w:name w:val="List Dash 4"/>
    <w:basedOn w:val="Text4"/>
    <w:rsid w:val="005D784C"/>
    <w:pPr>
      <w:numPr>
        <w:numId w:val="34"/>
      </w:numPr>
      <w:tabs>
        <w:tab w:val="clear" w:pos="2302"/>
      </w:tabs>
    </w:pPr>
    <w:rPr>
      <w:rFonts w:ascii="Times New Roman" w:hAnsi="Times New Roman"/>
      <w:sz w:val="24"/>
      <w:lang w:eastAsia="en-US"/>
    </w:rPr>
  </w:style>
  <w:style w:type="paragraph" w:customStyle="1" w:styleId="ListNumber1">
    <w:name w:val="List Number 1"/>
    <w:basedOn w:val="Text1"/>
    <w:rsid w:val="005D784C"/>
    <w:pPr>
      <w:numPr>
        <w:numId w:val="35"/>
      </w:numPr>
    </w:pPr>
    <w:rPr>
      <w:rFonts w:ascii="Times New Roman" w:hAnsi="Times New Roman"/>
      <w:sz w:val="24"/>
      <w:lang w:eastAsia="en-US"/>
    </w:rPr>
  </w:style>
  <w:style w:type="paragraph" w:customStyle="1" w:styleId="ListNumberLevel2">
    <w:name w:val="List Number (Level 2)"/>
    <w:basedOn w:val="Normal"/>
    <w:rsid w:val="005D784C"/>
    <w:pPr>
      <w:tabs>
        <w:tab w:val="num" w:pos="1417"/>
      </w:tabs>
      <w:spacing w:after="240" w:line="240" w:lineRule="auto"/>
      <w:ind w:left="1417" w:hanging="708"/>
      <w:jc w:val="both"/>
    </w:pPr>
    <w:rPr>
      <w:rFonts w:ascii="Cambria" w:eastAsia="Times New Roman" w:hAnsi="Cambria" w:cs="Times New Roman"/>
      <w:sz w:val="24"/>
      <w:szCs w:val="20"/>
      <w:lang w:val="en-GB" w:bidi="en-US"/>
    </w:rPr>
  </w:style>
  <w:style w:type="paragraph" w:customStyle="1" w:styleId="ListNumber1Level2">
    <w:name w:val="List Number 1 (Level 2)"/>
    <w:basedOn w:val="Text1"/>
    <w:rsid w:val="005D784C"/>
    <w:pPr>
      <w:numPr>
        <w:ilvl w:val="1"/>
        <w:numId w:val="35"/>
      </w:numPr>
    </w:pPr>
    <w:rPr>
      <w:rFonts w:ascii="Times New Roman" w:hAnsi="Times New Roman"/>
      <w:sz w:val="24"/>
      <w:lang w:eastAsia="en-US"/>
    </w:rPr>
  </w:style>
  <w:style w:type="paragraph" w:customStyle="1" w:styleId="ListNumber2Level2">
    <w:name w:val="List Number 2 (Level 2)"/>
    <w:basedOn w:val="Text2"/>
    <w:rsid w:val="005D784C"/>
    <w:pPr>
      <w:tabs>
        <w:tab w:val="clear" w:pos="2161"/>
        <w:tab w:val="num" w:pos="2619"/>
      </w:tabs>
      <w:ind w:left="2619" w:hanging="708"/>
    </w:pPr>
    <w:rPr>
      <w:rFonts w:ascii="Times New Roman" w:hAnsi="Times New Roman"/>
      <w:sz w:val="24"/>
      <w:lang w:eastAsia="en-US"/>
    </w:rPr>
  </w:style>
  <w:style w:type="paragraph" w:customStyle="1" w:styleId="ListNumber3Level2">
    <w:name w:val="List Number 3 (Level 2)"/>
    <w:basedOn w:val="Text3"/>
    <w:rsid w:val="005D784C"/>
    <w:pPr>
      <w:tabs>
        <w:tab w:val="clear" w:pos="2302"/>
        <w:tab w:val="num" w:pos="2619"/>
      </w:tabs>
      <w:ind w:left="2619" w:hanging="708"/>
    </w:pPr>
    <w:rPr>
      <w:rFonts w:ascii="Times New Roman" w:hAnsi="Times New Roman"/>
      <w:sz w:val="24"/>
      <w:lang w:eastAsia="en-US"/>
    </w:rPr>
  </w:style>
  <w:style w:type="paragraph" w:customStyle="1" w:styleId="ListNumber4Level2">
    <w:name w:val="List Number 4 (Level 2)"/>
    <w:basedOn w:val="Text4"/>
    <w:rsid w:val="005D784C"/>
    <w:pPr>
      <w:tabs>
        <w:tab w:val="clear" w:pos="2302"/>
        <w:tab w:val="num" w:pos="2619"/>
      </w:tabs>
      <w:ind w:left="2619" w:hanging="708"/>
    </w:pPr>
    <w:rPr>
      <w:rFonts w:ascii="Times New Roman" w:hAnsi="Times New Roman"/>
      <w:sz w:val="24"/>
      <w:lang w:eastAsia="en-US"/>
    </w:rPr>
  </w:style>
  <w:style w:type="paragraph" w:customStyle="1" w:styleId="ListNumberLevel3">
    <w:name w:val="List Number (Level 3)"/>
    <w:basedOn w:val="Normal"/>
    <w:rsid w:val="005D784C"/>
    <w:pPr>
      <w:tabs>
        <w:tab w:val="num" w:pos="2126"/>
      </w:tabs>
      <w:spacing w:after="240" w:line="240" w:lineRule="auto"/>
      <w:ind w:left="2126" w:hanging="709"/>
      <w:jc w:val="both"/>
    </w:pPr>
    <w:rPr>
      <w:rFonts w:ascii="Cambria" w:eastAsia="Times New Roman" w:hAnsi="Cambria" w:cs="Times New Roman"/>
      <w:sz w:val="24"/>
      <w:szCs w:val="20"/>
      <w:lang w:val="en-GB" w:bidi="en-US"/>
    </w:rPr>
  </w:style>
  <w:style w:type="paragraph" w:customStyle="1" w:styleId="ListNumber1Level3">
    <w:name w:val="List Number 1 (Level 3)"/>
    <w:basedOn w:val="Text1"/>
    <w:rsid w:val="005D784C"/>
    <w:pPr>
      <w:numPr>
        <w:ilvl w:val="2"/>
        <w:numId w:val="35"/>
      </w:numPr>
    </w:pPr>
    <w:rPr>
      <w:rFonts w:ascii="Times New Roman" w:hAnsi="Times New Roman"/>
      <w:sz w:val="24"/>
      <w:lang w:eastAsia="en-US"/>
    </w:rPr>
  </w:style>
  <w:style w:type="paragraph" w:customStyle="1" w:styleId="ListNumber2Level3">
    <w:name w:val="List Number 2 (Level 3)"/>
    <w:basedOn w:val="Text2"/>
    <w:rsid w:val="005D784C"/>
    <w:pPr>
      <w:tabs>
        <w:tab w:val="clear" w:pos="2161"/>
        <w:tab w:val="num" w:pos="3328"/>
      </w:tabs>
      <w:ind w:left="3328" w:hanging="709"/>
    </w:pPr>
    <w:rPr>
      <w:rFonts w:ascii="Times New Roman" w:hAnsi="Times New Roman"/>
      <w:sz w:val="24"/>
      <w:lang w:eastAsia="en-US"/>
    </w:rPr>
  </w:style>
  <w:style w:type="paragraph" w:customStyle="1" w:styleId="ListNumber3Level3">
    <w:name w:val="List Number 3 (Level 3)"/>
    <w:basedOn w:val="Text3"/>
    <w:rsid w:val="005D784C"/>
    <w:pPr>
      <w:tabs>
        <w:tab w:val="clear" w:pos="2302"/>
        <w:tab w:val="num" w:pos="3328"/>
      </w:tabs>
      <w:ind w:left="3328" w:hanging="709"/>
    </w:pPr>
    <w:rPr>
      <w:rFonts w:ascii="Times New Roman" w:hAnsi="Times New Roman"/>
      <w:sz w:val="24"/>
      <w:lang w:eastAsia="en-US"/>
    </w:rPr>
  </w:style>
  <w:style w:type="paragraph" w:customStyle="1" w:styleId="ListNumber4Level3">
    <w:name w:val="List Number 4 (Level 3)"/>
    <w:basedOn w:val="Text4"/>
    <w:rsid w:val="005D784C"/>
    <w:pPr>
      <w:tabs>
        <w:tab w:val="clear" w:pos="2302"/>
        <w:tab w:val="num" w:pos="3328"/>
      </w:tabs>
      <w:ind w:left="3328" w:hanging="709"/>
    </w:pPr>
    <w:rPr>
      <w:rFonts w:ascii="Times New Roman" w:hAnsi="Times New Roman"/>
      <w:sz w:val="24"/>
      <w:lang w:eastAsia="en-US"/>
    </w:rPr>
  </w:style>
  <w:style w:type="paragraph" w:customStyle="1" w:styleId="ListNumberLevel4">
    <w:name w:val="List Number (Level 4)"/>
    <w:basedOn w:val="Normal"/>
    <w:rsid w:val="005D784C"/>
    <w:pPr>
      <w:tabs>
        <w:tab w:val="num" w:pos="2835"/>
      </w:tabs>
      <w:spacing w:after="240" w:line="240" w:lineRule="auto"/>
      <w:ind w:left="2835" w:hanging="709"/>
      <w:jc w:val="both"/>
    </w:pPr>
    <w:rPr>
      <w:rFonts w:ascii="Cambria" w:eastAsia="Times New Roman" w:hAnsi="Cambria" w:cs="Times New Roman"/>
      <w:sz w:val="24"/>
      <w:szCs w:val="20"/>
      <w:lang w:val="en-GB" w:bidi="en-US"/>
    </w:rPr>
  </w:style>
  <w:style w:type="paragraph" w:customStyle="1" w:styleId="ListNumber1Level4">
    <w:name w:val="List Number 1 (Level 4)"/>
    <w:basedOn w:val="Text1"/>
    <w:rsid w:val="005D784C"/>
    <w:pPr>
      <w:numPr>
        <w:ilvl w:val="3"/>
        <w:numId w:val="35"/>
      </w:numPr>
    </w:pPr>
    <w:rPr>
      <w:rFonts w:ascii="Times New Roman" w:hAnsi="Times New Roman"/>
      <w:sz w:val="24"/>
      <w:lang w:eastAsia="en-US"/>
    </w:rPr>
  </w:style>
  <w:style w:type="paragraph" w:customStyle="1" w:styleId="ListNumber2Level4">
    <w:name w:val="List Number 2 (Level 4)"/>
    <w:basedOn w:val="Text2"/>
    <w:rsid w:val="005D784C"/>
    <w:pPr>
      <w:tabs>
        <w:tab w:val="clear" w:pos="2161"/>
        <w:tab w:val="num" w:pos="4037"/>
      </w:tabs>
      <w:ind w:left="4037" w:hanging="709"/>
    </w:pPr>
    <w:rPr>
      <w:rFonts w:ascii="Times New Roman" w:hAnsi="Times New Roman"/>
      <w:sz w:val="24"/>
      <w:lang w:eastAsia="en-US"/>
    </w:rPr>
  </w:style>
  <w:style w:type="paragraph" w:customStyle="1" w:styleId="ListNumber3Level4">
    <w:name w:val="List Number 3 (Level 4)"/>
    <w:basedOn w:val="Text3"/>
    <w:rsid w:val="005D784C"/>
    <w:pPr>
      <w:tabs>
        <w:tab w:val="clear" w:pos="2302"/>
        <w:tab w:val="num" w:pos="4037"/>
      </w:tabs>
      <w:ind w:left="4037" w:hanging="709"/>
    </w:pPr>
    <w:rPr>
      <w:rFonts w:ascii="Times New Roman" w:hAnsi="Times New Roman"/>
      <w:sz w:val="24"/>
      <w:lang w:eastAsia="en-US"/>
    </w:rPr>
  </w:style>
  <w:style w:type="paragraph" w:customStyle="1" w:styleId="ListNumber4Level4">
    <w:name w:val="List Number 4 (Level 4)"/>
    <w:basedOn w:val="Text4"/>
    <w:rsid w:val="005D784C"/>
    <w:pPr>
      <w:tabs>
        <w:tab w:val="clear" w:pos="2302"/>
        <w:tab w:val="num" w:pos="4037"/>
      </w:tabs>
      <w:ind w:left="4037" w:hanging="709"/>
    </w:pPr>
    <w:rPr>
      <w:rFonts w:ascii="Times New Roman" w:hAnsi="Times New Roman"/>
      <w:sz w:val="24"/>
      <w:lang w:eastAsia="en-US"/>
    </w:rPr>
  </w:style>
  <w:style w:type="paragraph" w:customStyle="1" w:styleId="ETFBodyText">
    <w:name w:val="ETF Body Text"/>
    <w:basedOn w:val="Normal"/>
    <w:rsid w:val="005D784C"/>
    <w:pPr>
      <w:spacing w:before="60" w:after="60" w:line="240" w:lineRule="auto"/>
    </w:pPr>
    <w:rPr>
      <w:rFonts w:ascii="Arial" w:eastAsia="Times New Roman" w:hAnsi="Arial" w:cs="Arial"/>
      <w:sz w:val="24"/>
      <w:szCs w:val="24"/>
      <w:lang w:val="fr-FR" w:eastAsia="fr-FR" w:bidi="en-US"/>
    </w:rPr>
  </w:style>
  <w:style w:type="paragraph" w:customStyle="1" w:styleId="Car">
    <w:name w:val="Car"/>
    <w:basedOn w:val="Normal"/>
    <w:rsid w:val="005D784C"/>
    <w:pPr>
      <w:autoSpaceDE w:val="0"/>
      <w:autoSpaceDN w:val="0"/>
      <w:spacing w:after="160" w:line="240" w:lineRule="exact"/>
    </w:pPr>
    <w:rPr>
      <w:rFonts w:ascii="Arial" w:eastAsia="Times New Roman" w:hAnsi="Arial" w:cs="Arial"/>
      <w:sz w:val="20"/>
      <w:szCs w:val="20"/>
      <w:lang w:bidi="en-US"/>
    </w:rPr>
  </w:style>
  <w:style w:type="paragraph" w:customStyle="1" w:styleId="Initial">
    <w:name w:val="Initial"/>
    <w:rsid w:val="005D784C"/>
    <w:pPr>
      <w:tabs>
        <w:tab w:val="left" w:pos="-720"/>
      </w:tabs>
      <w:suppressAutoHyphens/>
      <w:spacing w:line="252" w:lineRule="auto"/>
      <w:jc w:val="both"/>
    </w:pPr>
    <w:rPr>
      <w:rFonts w:ascii="Cambria" w:eastAsia="Times New Roman" w:hAnsi="Cambria" w:cs="Times New Roman"/>
      <w:spacing w:val="-3"/>
      <w:kern w:val="32"/>
      <w:sz w:val="24"/>
      <w:szCs w:val="32"/>
    </w:rPr>
  </w:style>
  <w:style w:type="paragraph" w:customStyle="1" w:styleId="CarattereCharCharCharCarattere">
    <w:name w:val="Carattere Char Char Char Carattere"/>
    <w:basedOn w:val="Normal"/>
    <w:rsid w:val="005D784C"/>
    <w:pPr>
      <w:spacing w:after="160" w:line="240" w:lineRule="exact"/>
    </w:pPr>
    <w:rPr>
      <w:rFonts w:ascii="Verdana" w:eastAsia="Times New Roman" w:hAnsi="Verdana" w:cs="Times New Roman"/>
      <w:sz w:val="20"/>
      <w:szCs w:val="20"/>
      <w:lang w:val="en-GB" w:bidi="en-US"/>
    </w:rPr>
  </w:style>
  <w:style w:type="character" w:customStyle="1" w:styleId="Normal1">
    <w:name w:val="Normal1"/>
    <w:rsid w:val="005D784C"/>
    <w:rPr>
      <w:rFonts w:ascii="Times New Roman" w:hAnsi="Times New Roman"/>
      <w:sz w:val="24"/>
    </w:rPr>
  </w:style>
  <w:style w:type="paragraph" w:customStyle="1" w:styleId="ZnakCharChar">
    <w:name w:val="Znak Char Char"/>
    <w:basedOn w:val="Normal"/>
    <w:rsid w:val="005D784C"/>
    <w:pPr>
      <w:spacing w:after="160" w:line="240" w:lineRule="exact"/>
    </w:pPr>
    <w:rPr>
      <w:rFonts w:ascii="Verdana" w:eastAsia="Times New Roman" w:hAnsi="Verdana" w:cs="Times New Roman"/>
      <w:sz w:val="20"/>
      <w:szCs w:val="20"/>
      <w:lang w:bidi="en-US"/>
    </w:rPr>
  </w:style>
  <w:style w:type="numbering" w:customStyle="1" w:styleId="Bezlisty1">
    <w:name w:val="Bez listy1"/>
    <w:next w:val="NoList"/>
    <w:uiPriority w:val="99"/>
    <w:semiHidden/>
    <w:unhideWhenUsed/>
    <w:rsid w:val="005D784C"/>
  </w:style>
  <w:style w:type="paragraph" w:customStyle="1" w:styleId="CM7">
    <w:name w:val="CM7"/>
    <w:basedOn w:val="Default"/>
    <w:next w:val="Default"/>
    <w:uiPriority w:val="99"/>
    <w:rsid w:val="005D784C"/>
    <w:pPr>
      <w:widowControl w:val="0"/>
      <w:spacing w:after="200" w:line="252" w:lineRule="auto"/>
    </w:pPr>
    <w:rPr>
      <w:rFonts w:eastAsia="Times New Roman"/>
      <w:color w:val="auto"/>
      <w:kern w:val="32"/>
      <w:lang w:eastAsia="en-GB"/>
    </w:rPr>
  </w:style>
  <w:style w:type="paragraph" w:customStyle="1" w:styleId="CM2">
    <w:name w:val="CM2"/>
    <w:basedOn w:val="Default"/>
    <w:next w:val="Default"/>
    <w:uiPriority w:val="99"/>
    <w:rsid w:val="005D784C"/>
    <w:pPr>
      <w:widowControl w:val="0"/>
      <w:spacing w:after="200" w:line="253" w:lineRule="atLeast"/>
    </w:pPr>
    <w:rPr>
      <w:rFonts w:eastAsia="Times New Roman"/>
      <w:color w:val="auto"/>
      <w:kern w:val="32"/>
      <w:lang w:eastAsia="en-GB"/>
    </w:rPr>
  </w:style>
  <w:style w:type="paragraph" w:customStyle="1" w:styleId="normalboldnobox">
    <w:name w:val="normal bold no box"/>
    <w:basedOn w:val="Normal"/>
    <w:rsid w:val="005D784C"/>
    <w:pPr>
      <w:spacing w:after="0" w:line="240" w:lineRule="auto"/>
      <w:jc w:val="both"/>
    </w:pPr>
    <w:rPr>
      <w:rFonts w:ascii="Century Gothic" w:eastAsia="Times New Roman" w:hAnsi="Century Gothic" w:cs="Arial"/>
      <w:b/>
      <w:bCs/>
      <w:sz w:val="20"/>
      <w:szCs w:val="24"/>
      <w:lang w:val="en-NZ" w:bidi="en-US"/>
    </w:rPr>
  </w:style>
  <w:style w:type="table" w:customStyle="1" w:styleId="Tabela-Siatka1">
    <w:name w:val="Tabela - Siatka1"/>
    <w:basedOn w:val="TableNormal"/>
    <w:next w:val="TableGrid"/>
    <w:uiPriority w:val="59"/>
    <w:rsid w:val="005D784C"/>
    <w:pPr>
      <w:spacing w:after="0" w:line="240" w:lineRule="auto"/>
    </w:pPr>
    <w:rPr>
      <w:rFonts w:ascii="Cambria" w:eastAsia="Times New Roman" w:hAnsi="Cambria" w:cs="Times New Roman"/>
      <w:lang w:val="sq-AL" w:eastAsia="sq-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ockquoteCharCharCharCharChar1">
    <w:name w:val="Blockquote Char Char Char Char Char1"/>
    <w:link w:val="BlockquoteCharCharCharChar"/>
    <w:rsid w:val="005D784C"/>
    <w:rPr>
      <w:rFonts w:ascii="Cambria" w:eastAsia="Times New Roman" w:hAnsi="Cambria" w:cs="Times New Roman"/>
      <w:snapToGrid w:val="0"/>
      <w:sz w:val="20"/>
      <w:szCs w:val="24"/>
      <w:lang w:val="x-none" w:eastAsia="x-none"/>
    </w:rPr>
  </w:style>
  <w:style w:type="character" w:customStyle="1" w:styleId="StyleBodyTextIndentArialChar">
    <w:name w:val="Style Body Text Indent + Arial Char"/>
    <w:rsid w:val="005D784C"/>
    <w:rPr>
      <w:rFonts w:ascii="Arial" w:hAnsi="Arial"/>
      <w:sz w:val="22"/>
      <w:szCs w:val="24"/>
      <w:lang w:val="sl-SI" w:eastAsia="en-US" w:bidi="ar-SA"/>
    </w:rPr>
  </w:style>
  <w:style w:type="paragraph" w:customStyle="1" w:styleId="StyleBodyTextIndentArial">
    <w:name w:val="Style Body Text Indent + Arial"/>
    <w:basedOn w:val="Normal"/>
    <w:rsid w:val="005D784C"/>
    <w:pPr>
      <w:spacing w:after="0" w:line="240" w:lineRule="auto"/>
      <w:jc w:val="both"/>
    </w:pPr>
    <w:rPr>
      <w:rFonts w:ascii="Arial" w:eastAsia="Times New Roman" w:hAnsi="Arial" w:cs="Times New Roman"/>
      <w:szCs w:val="24"/>
      <w:lang w:val="sl-SI" w:bidi="en-US"/>
    </w:rPr>
  </w:style>
  <w:style w:type="character" w:customStyle="1" w:styleId="hp">
    <w:name w:val="hp"/>
    <w:basedOn w:val="DefaultParagraphFont"/>
    <w:rsid w:val="005D784C"/>
  </w:style>
  <w:style w:type="character" w:customStyle="1" w:styleId="categorydata">
    <w:name w:val="category_data"/>
    <w:basedOn w:val="DefaultParagraphFont"/>
    <w:rsid w:val="005D784C"/>
  </w:style>
  <w:style w:type="character" w:customStyle="1" w:styleId="category">
    <w:name w:val="category"/>
    <w:basedOn w:val="DefaultParagraphFont"/>
    <w:rsid w:val="005D784C"/>
  </w:style>
  <w:style w:type="character" w:customStyle="1" w:styleId="mw-headline">
    <w:name w:val="mw-headline"/>
    <w:basedOn w:val="DefaultParagraphFont"/>
    <w:rsid w:val="005D784C"/>
  </w:style>
  <w:style w:type="character" w:customStyle="1" w:styleId="il">
    <w:name w:val="il"/>
    <w:basedOn w:val="DefaultParagraphFont"/>
    <w:rsid w:val="005D784C"/>
  </w:style>
  <w:style w:type="character" w:customStyle="1" w:styleId="apple-converted-space">
    <w:name w:val="apple-converted-space"/>
    <w:basedOn w:val="DefaultParagraphFont"/>
    <w:rsid w:val="005D784C"/>
  </w:style>
  <w:style w:type="character" w:customStyle="1" w:styleId="highlightedsearchterm">
    <w:name w:val="highlightedsearchterm"/>
    <w:basedOn w:val="DefaultParagraphFont"/>
    <w:rsid w:val="005D784C"/>
  </w:style>
  <w:style w:type="character" w:customStyle="1" w:styleId="hps">
    <w:name w:val="hps"/>
    <w:basedOn w:val="DefaultParagraphFont"/>
    <w:rsid w:val="005D784C"/>
  </w:style>
  <w:style w:type="paragraph" w:customStyle="1" w:styleId="xl63">
    <w:name w:val="xl63"/>
    <w:basedOn w:val="Normal"/>
    <w:rsid w:val="005D784C"/>
    <w:pPr>
      <w:spacing w:before="100" w:beforeAutospacing="1" w:after="100" w:afterAutospacing="1" w:line="240" w:lineRule="auto"/>
      <w:jc w:val="center"/>
    </w:pPr>
    <w:rPr>
      <w:rFonts w:ascii="Cambria" w:eastAsia="Times New Roman" w:hAnsi="Cambria" w:cs="Times New Roman"/>
      <w:sz w:val="24"/>
      <w:szCs w:val="24"/>
      <w:lang w:bidi="en-US"/>
    </w:rPr>
  </w:style>
  <w:style w:type="paragraph" w:customStyle="1" w:styleId="xl64">
    <w:name w:val="xl64"/>
    <w:basedOn w:val="Normal"/>
    <w:rsid w:val="005D784C"/>
    <w:pPr>
      <w:shd w:val="clear" w:color="000000" w:fill="FFFFFF"/>
      <w:spacing w:before="100" w:beforeAutospacing="1" w:after="100" w:afterAutospacing="1" w:line="240" w:lineRule="auto"/>
    </w:pPr>
    <w:rPr>
      <w:rFonts w:ascii="Cambria" w:eastAsia="Times New Roman" w:hAnsi="Cambria" w:cs="Times New Roman"/>
      <w:sz w:val="24"/>
      <w:szCs w:val="24"/>
      <w:lang w:bidi="en-US"/>
    </w:rPr>
  </w:style>
  <w:style w:type="paragraph" w:customStyle="1" w:styleId="xl65">
    <w:name w:val="xl65"/>
    <w:basedOn w:val="Normal"/>
    <w:rsid w:val="005D7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mbria" w:eastAsia="Times New Roman" w:hAnsi="Cambria" w:cs="Times New Roman"/>
      <w:sz w:val="24"/>
      <w:szCs w:val="24"/>
      <w:lang w:bidi="en-US"/>
    </w:rPr>
  </w:style>
  <w:style w:type="paragraph" w:customStyle="1" w:styleId="xl66">
    <w:name w:val="xl66"/>
    <w:basedOn w:val="Normal"/>
    <w:rsid w:val="005D7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mbria" w:eastAsia="Times New Roman" w:hAnsi="Cambria" w:cs="Times New Roman"/>
      <w:b/>
      <w:bCs/>
      <w:sz w:val="20"/>
      <w:szCs w:val="20"/>
      <w:lang w:bidi="en-US"/>
    </w:rPr>
  </w:style>
  <w:style w:type="paragraph" w:customStyle="1" w:styleId="xl67">
    <w:name w:val="xl67"/>
    <w:basedOn w:val="Normal"/>
    <w:rsid w:val="005D7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mbria" w:eastAsia="Times New Roman" w:hAnsi="Cambria" w:cs="Times New Roman"/>
      <w:sz w:val="20"/>
      <w:szCs w:val="20"/>
      <w:lang w:bidi="en-US"/>
    </w:rPr>
  </w:style>
  <w:style w:type="paragraph" w:customStyle="1" w:styleId="xl68">
    <w:name w:val="xl68"/>
    <w:basedOn w:val="Normal"/>
    <w:rsid w:val="005D784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mbria" w:eastAsia="Times New Roman" w:hAnsi="Cambria" w:cs="Times New Roman"/>
      <w:sz w:val="20"/>
      <w:szCs w:val="20"/>
      <w:lang w:bidi="en-US"/>
    </w:rPr>
  </w:style>
  <w:style w:type="paragraph" w:customStyle="1" w:styleId="xl69">
    <w:name w:val="xl69"/>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0"/>
      <w:szCs w:val="20"/>
      <w:lang w:bidi="en-US"/>
    </w:rPr>
  </w:style>
  <w:style w:type="paragraph" w:customStyle="1" w:styleId="xl70">
    <w:name w:val="xl70"/>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0"/>
      <w:szCs w:val="20"/>
      <w:lang w:bidi="en-US"/>
    </w:rPr>
  </w:style>
  <w:style w:type="table" w:customStyle="1" w:styleId="LightList-Accent112">
    <w:name w:val="Light List - Accent 112"/>
    <w:basedOn w:val="TableNormal"/>
    <w:uiPriority w:val="61"/>
    <w:rsid w:val="005D784C"/>
    <w:pPr>
      <w:spacing w:after="0" w:line="240" w:lineRule="auto"/>
    </w:pPr>
    <w:rPr>
      <w:rFonts w:ascii="Cambria" w:eastAsia="Times New Roman" w:hAnsi="Cambria"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List-Accent11">
    <w:name w:val="Colorful List - Accent 11"/>
    <w:basedOn w:val="Normal"/>
    <w:uiPriority w:val="34"/>
    <w:rsid w:val="005D784C"/>
    <w:pPr>
      <w:spacing w:line="252" w:lineRule="auto"/>
      <w:ind w:left="720"/>
      <w:contextualSpacing/>
    </w:pPr>
    <w:rPr>
      <w:rFonts w:ascii="Cambria" w:eastAsia="Times New Roman" w:hAnsi="Cambria" w:cs="Times New Roman"/>
      <w:lang w:bidi="en-US"/>
    </w:rPr>
  </w:style>
  <w:style w:type="paragraph" w:customStyle="1" w:styleId="font5">
    <w:name w:val="font5"/>
    <w:basedOn w:val="Normal"/>
    <w:rsid w:val="005D784C"/>
    <w:pPr>
      <w:spacing w:before="100" w:beforeAutospacing="1" w:after="100" w:afterAutospacing="1" w:line="240" w:lineRule="auto"/>
    </w:pPr>
    <w:rPr>
      <w:rFonts w:ascii="Cambria" w:eastAsia="Times New Roman" w:hAnsi="Cambria" w:cs="Times New Roman"/>
      <w:b/>
      <w:bCs/>
      <w:color w:val="000000"/>
      <w:sz w:val="18"/>
      <w:szCs w:val="18"/>
      <w:lang w:bidi="en-US"/>
    </w:rPr>
  </w:style>
  <w:style w:type="paragraph" w:customStyle="1" w:styleId="font6">
    <w:name w:val="font6"/>
    <w:basedOn w:val="Normal"/>
    <w:rsid w:val="005D784C"/>
    <w:pPr>
      <w:spacing w:before="100" w:beforeAutospacing="1" w:after="100" w:afterAutospacing="1" w:line="240" w:lineRule="auto"/>
    </w:pPr>
    <w:rPr>
      <w:rFonts w:ascii="Cambria" w:eastAsia="Times New Roman" w:hAnsi="Cambria" w:cs="Times New Roman"/>
      <w:b/>
      <w:bCs/>
      <w:color w:val="000000"/>
      <w:sz w:val="18"/>
      <w:szCs w:val="18"/>
      <w:lang w:bidi="en-US"/>
    </w:rPr>
  </w:style>
  <w:style w:type="paragraph" w:customStyle="1" w:styleId="xl71">
    <w:name w:val="xl71"/>
    <w:basedOn w:val="Normal"/>
    <w:rsid w:val="005D784C"/>
    <w:pPr>
      <w:pBdr>
        <w:top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Cambria" w:eastAsia="Times New Roman" w:hAnsi="Cambria" w:cs="Times New Roman"/>
      <w:b/>
      <w:bCs/>
      <w:sz w:val="18"/>
      <w:szCs w:val="18"/>
      <w:lang w:bidi="en-US"/>
    </w:rPr>
  </w:style>
  <w:style w:type="paragraph" w:customStyle="1" w:styleId="xl72">
    <w:name w:val="xl72"/>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cs="Times New Roman"/>
      <w:sz w:val="18"/>
      <w:szCs w:val="18"/>
      <w:lang w:bidi="en-US"/>
    </w:rPr>
  </w:style>
  <w:style w:type="paragraph" w:customStyle="1" w:styleId="xl73">
    <w:name w:val="xl73"/>
    <w:basedOn w:val="Normal"/>
    <w:rsid w:val="005D784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Cambria" w:eastAsia="Times New Roman" w:hAnsi="Cambria" w:cs="Times New Roman"/>
      <w:b/>
      <w:bCs/>
      <w:sz w:val="18"/>
      <w:szCs w:val="18"/>
      <w:lang w:bidi="en-US"/>
    </w:rPr>
  </w:style>
  <w:style w:type="paragraph" w:customStyle="1" w:styleId="xl74">
    <w:name w:val="xl74"/>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75">
    <w:name w:val="xl75"/>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76">
    <w:name w:val="xl76"/>
    <w:basedOn w:val="Normal"/>
    <w:rsid w:val="005D784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77">
    <w:name w:val="xl77"/>
    <w:basedOn w:val="Normal"/>
    <w:rsid w:val="005D784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78">
    <w:name w:val="xl78"/>
    <w:basedOn w:val="Normal"/>
    <w:rsid w:val="005D784C"/>
    <w:pPr>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79">
    <w:name w:val="xl79"/>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80">
    <w:name w:val="xl80"/>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81">
    <w:name w:val="xl81"/>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82">
    <w:name w:val="xl82"/>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cs="Times New Roman"/>
      <w:sz w:val="18"/>
      <w:szCs w:val="18"/>
      <w:lang w:bidi="en-US"/>
    </w:rPr>
  </w:style>
  <w:style w:type="paragraph" w:customStyle="1" w:styleId="xl83">
    <w:name w:val="xl83"/>
    <w:basedOn w:val="Normal"/>
    <w:rsid w:val="005D784C"/>
    <w:pPr>
      <w:pBdr>
        <w:top w:val="single" w:sz="4" w:space="0" w:color="auto"/>
        <w:left w:val="single" w:sz="4" w:space="0" w:color="auto"/>
        <w:bottom w:val="single" w:sz="4" w:space="0" w:color="auto"/>
      </w:pBdr>
      <w:shd w:val="clear" w:color="000000" w:fill="FDE9D9"/>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84">
    <w:name w:val="xl84"/>
    <w:basedOn w:val="Normal"/>
    <w:rsid w:val="005D784C"/>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85">
    <w:name w:val="xl85"/>
    <w:basedOn w:val="Normal"/>
    <w:rsid w:val="005D784C"/>
    <w:pPr>
      <w:pBdr>
        <w:top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86">
    <w:name w:val="xl86"/>
    <w:basedOn w:val="Normal"/>
    <w:rsid w:val="005D784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87">
    <w:name w:val="xl87"/>
    <w:basedOn w:val="Normal"/>
    <w:rsid w:val="005D78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18"/>
      <w:szCs w:val="18"/>
      <w:lang w:bidi="en-US"/>
    </w:rPr>
  </w:style>
  <w:style w:type="paragraph" w:customStyle="1" w:styleId="xl88">
    <w:name w:val="xl88"/>
    <w:basedOn w:val="Normal"/>
    <w:rsid w:val="005D784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mbria" w:eastAsia="Times New Roman" w:hAnsi="Cambria" w:cs="Times New Roman"/>
      <w:sz w:val="18"/>
      <w:szCs w:val="18"/>
      <w:lang w:bidi="en-US"/>
    </w:rPr>
  </w:style>
  <w:style w:type="paragraph" w:customStyle="1" w:styleId="xl89">
    <w:name w:val="xl89"/>
    <w:basedOn w:val="Normal"/>
    <w:rsid w:val="005D784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90">
    <w:name w:val="xl90"/>
    <w:basedOn w:val="Normal"/>
    <w:rsid w:val="005D784C"/>
    <w:pPr>
      <w:shd w:val="clear" w:color="000000" w:fill="DBE5F1"/>
      <w:spacing w:before="100" w:beforeAutospacing="1" w:after="100" w:afterAutospacing="1" w:line="240" w:lineRule="auto"/>
    </w:pPr>
    <w:rPr>
      <w:rFonts w:ascii="Cambria" w:eastAsia="Times New Roman" w:hAnsi="Cambria" w:cs="Times New Roman"/>
      <w:b/>
      <w:bCs/>
      <w:sz w:val="20"/>
      <w:szCs w:val="20"/>
      <w:lang w:bidi="en-US"/>
    </w:rPr>
  </w:style>
  <w:style w:type="paragraph" w:customStyle="1" w:styleId="xl91">
    <w:name w:val="xl91"/>
    <w:basedOn w:val="Normal"/>
    <w:rsid w:val="005D784C"/>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Cambria" w:eastAsia="Times New Roman" w:hAnsi="Cambria" w:cs="Times New Roman"/>
      <w:sz w:val="18"/>
      <w:szCs w:val="18"/>
      <w:lang w:bidi="en-US"/>
    </w:rPr>
  </w:style>
  <w:style w:type="paragraph" w:customStyle="1" w:styleId="xl92">
    <w:name w:val="xl92"/>
    <w:basedOn w:val="Normal"/>
    <w:rsid w:val="005D784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93">
    <w:name w:val="xl93"/>
    <w:basedOn w:val="Normal"/>
    <w:rsid w:val="005D784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94">
    <w:name w:val="xl94"/>
    <w:basedOn w:val="Normal"/>
    <w:rsid w:val="005D784C"/>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95">
    <w:name w:val="xl95"/>
    <w:basedOn w:val="Normal"/>
    <w:rsid w:val="005D784C"/>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96">
    <w:name w:val="xl96"/>
    <w:basedOn w:val="Normal"/>
    <w:rsid w:val="005D784C"/>
    <w:pPr>
      <w:pBdr>
        <w:top w:val="single" w:sz="4" w:space="0" w:color="auto"/>
        <w:left w:val="single" w:sz="4" w:space="0" w:color="auto"/>
        <w:right w:val="single" w:sz="4" w:space="0" w:color="auto"/>
      </w:pBdr>
      <w:shd w:val="clear" w:color="000000" w:fill="DBE5F1"/>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97">
    <w:name w:val="xl97"/>
    <w:basedOn w:val="Normal"/>
    <w:rsid w:val="005D784C"/>
    <w:pPr>
      <w:pBdr>
        <w:left w:val="single" w:sz="4" w:space="0" w:color="auto"/>
        <w:bottom w:val="single" w:sz="4" w:space="0" w:color="auto"/>
        <w:right w:val="single" w:sz="4" w:space="0" w:color="auto"/>
      </w:pBdr>
      <w:shd w:val="clear" w:color="000000" w:fill="DBE5F1"/>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98">
    <w:name w:val="xl98"/>
    <w:basedOn w:val="Normal"/>
    <w:rsid w:val="005D784C"/>
    <w:pPr>
      <w:pBdr>
        <w:left w:val="single" w:sz="4" w:space="0" w:color="auto"/>
        <w:right w:val="single" w:sz="4" w:space="0" w:color="auto"/>
      </w:pBdr>
      <w:shd w:val="clear" w:color="000000" w:fill="FDE9D9"/>
      <w:spacing w:before="100" w:beforeAutospacing="1" w:after="100" w:afterAutospacing="1" w:line="240" w:lineRule="auto"/>
      <w:jc w:val="center"/>
    </w:pPr>
    <w:rPr>
      <w:rFonts w:ascii="Cambria" w:eastAsia="Times New Roman" w:hAnsi="Cambria" w:cs="Times New Roman"/>
      <w:b/>
      <w:bCs/>
      <w:sz w:val="20"/>
      <w:szCs w:val="20"/>
      <w:lang w:bidi="en-US"/>
    </w:rPr>
  </w:style>
  <w:style w:type="paragraph" w:customStyle="1" w:styleId="xl99">
    <w:name w:val="xl99"/>
    <w:basedOn w:val="Normal"/>
    <w:rsid w:val="005D784C"/>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pPr>
    <w:rPr>
      <w:rFonts w:ascii="Cambria" w:eastAsia="Times New Roman" w:hAnsi="Cambria" w:cs="Times New Roman"/>
      <w:b/>
      <w:bCs/>
      <w:sz w:val="20"/>
      <w:szCs w:val="20"/>
      <w:lang w:bidi="en-US"/>
    </w:rPr>
  </w:style>
  <w:style w:type="paragraph" w:customStyle="1" w:styleId="xl100">
    <w:name w:val="xl100"/>
    <w:basedOn w:val="Normal"/>
    <w:rsid w:val="005D784C"/>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Cambria" w:eastAsia="Times New Roman" w:hAnsi="Cambria" w:cs="Times New Roman"/>
      <w:b/>
      <w:bCs/>
      <w:sz w:val="18"/>
      <w:szCs w:val="18"/>
      <w:lang w:bidi="en-US"/>
    </w:rPr>
  </w:style>
  <w:style w:type="paragraph" w:customStyle="1" w:styleId="xl101">
    <w:name w:val="xl101"/>
    <w:basedOn w:val="Normal"/>
    <w:rsid w:val="005D784C"/>
    <w:pPr>
      <w:pBdr>
        <w:top w:val="single" w:sz="4" w:space="0" w:color="auto"/>
        <w:bottom w:val="single" w:sz="4" w:space="0" w:color="auto"/>
      </w:pBdr>
      <w:shd w:val="clear" w:color="000000" w:fill="FDE9D9"/>
      <w:spacing w:before="100" w:beforeAutospacing="1" w:after="100" w:afterAutospacing="1" w:line="240" w:lineRule="auto"/>
      <w:jc w:val="center"/>
      <w:textAlignment w:val="center"/>
    </w:pPr>
    <w:rPr>
      <w:rFonts w:ascii="Cambria" w:eastAsia="Times New Roman" w:hAnsi="Cambria" w:cs="Times New Roman"/>
      <w:b/>
      <w:bCs/>
      <w:sz w:val="18"/>
      <w:szCs w:val="18"/>
      <w:lang w:bidi="en-US"/>
    </w:rPr>
  </w:style>
  <w:style w:type="paragraph" w:customStyle="1" w:styleId="xl102">
    <w:name w:val="xl102"/>
    <w:basedOn w:val="Normal"/>
    <w:rsid w:val="005D784C"/>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Cambria" w:eastAsia="Times New Roman" w:hAnsi="Cambria" w:cs="Times New Roman"/>
      <w:b/>
      <w:bCs/>
      <w:sz w:val="18"/>
      <w:szCs w:val="18"/>
      <w:lang w:bidi="en-US"/>
    </w:rPr>
  </w:style>
  <w:style w:type="paragraph" w:customStyle="1" w:styleId="xl103">
    <w:name w:val="xl103"/>
    <w:basedOn w:val="Normal"/>
    <w:rsid w:val="005D784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104">
    <w:name w:val="xl104"/>
    <w:basedOn w:val="Normal"/>
    <w:rsid w:val="005D784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Cambria" w:eastAsia="Times New Roman" w:hAnsi="Cambria" w:cs="Times New Roman"/>
      <w:b/>
      <w:bCs/>
      <w:sz w:val="18"/>
      <w:szCs w:val="18"/>
      <w:lang w:bidi="en-US"/>
    </w:rPr>
  </w:style>
  <w:style w:type="paragraph" w:customStyle="1" w:styleId="xl105">
    <w:name w:val="xl105"/>
    <w:basedOn w:val="Normal"/>
    <w:rsid w:val="005D784C"/>
    <w:pPr>
      <w:pBdr>
        <w:top w:val="single" w:sz="4" w:space="0" w:color="auto"/>
        <w:left w:val="single" w:sz="4" w:space="0" w:color="auto"/>
        <w:bottom w:val="single" w:sz="4" w:space="0" w:color="auto"/>
      </w:pBdr>
      <w:spacing w:before="100" w:beforeAutospacing="1" w:after="100" w:afterAutospacing="1" w:line="240" w:lineRule="auto"/>
      <w:jc w:val="center"/>
    </w:pPr>
    <w:rPr>
      <w:rFonts w:ascii="Cambria" w:eastAsia="Times New Roman" w:hAnsi="Cambria" w:cs="Times New Roman"/>
      <w:b/>
      <w:bCs/>
      <w:sz w:val="18"/>
      <w:szCs w:val="18"/>
      <w:lang w:bidi="en-US"/>
    </w:rPr>
  </w:style>
  <w:style w:type="paragraph" w:customStyle="1" w:styleId="xl106">
    <w:name w:val="xl106"/>
    <w:basedOn w:val="Normal"/>
    <w:rsid w:val="005D784C"/>
    <w:pPr>
      <w:pBdr>
        <w:top w:val="single" w:sz="4" w:space="0" w:color="auto"/>
        <w:bottom w:val="single" w:sz="4" w:space="0" w:color="auto"/>
      </w:pBdr>
      <w:spacing w:before="100" w:beforeAutospacing="1" w:after="100" w:afterAutospacing="1" w:line="240" w:lineRule="auto"/>
      <w:jc w:val="center"/>
    </w:pPr>
    <w:rPr>
      <w:rFonts w:ascii="Cambria" w:eastAsia="Times New Roman" w:hAnsi="Cambria" w:cs="Times New Roman"/>
      <w:b/>
      <w:bCs/>
      <w:sz w:val="18"/>
      <w:szCs w:val="18"/>
      <w:lang w:bidi="en-US"/>
    </w:rPr>
  </w:style>
  <w:style w:type="paragraph" w:customStyle="1" w:styleId="xl107">
    <w:name w:val="xl107"/>
    <w:basedOn w:val="Normal"/>
    <w:rsid w:val="005D784C"/>
    <w:pPr>
      <w:pBdr>
        <w:top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cs="Times New Roman"/>
      <w:b/>
      <w:bCs/>
      <w:sz w:val="18"/>
      <w:szCs w:val="18"/>
      <w:lang w:bidi="en-US"/>
    </w:rPr>
  </w:style>
  <w:style w:type="paragraph" w:customStyle="1" w:styleId="xl108">
    <w:name w:val="xl108"/>
    <w:basedOn w:val="Normal"/>
    <w:rsid w:val="005D784C"/>
    <w:pPr>
      <w:pBdr>
        <w:top w:val="single" w:sz="4" w:space="0" w:color="auto"/>
        <w:bottom w:val="single" w:sz="4" w:space="0" w:color="auto"/>
      </w:pBdr>
      <w:spacing w:before="100" w:beforeAutospacing="1" w:after="100" w:afterAutospacing="1" w:line="240" w:lineRule="auto"/>
      <w:jc w:val="center"/>
    </w:pPr>
    <w:rPr>
      <w:rFonts w:ascii="Cambria" w:eastAsia="Times New Roman" w:hAnsi="Cambria" w:cs="Times New Roman"/>
      <w:sz w:val="18"/>
      <w:szCs w:val="18"/>
      <w:lang w:bidi="en-US"/>
    </w:rPr>
  </w:style>
  <w:style w:type="paragraph" w:customStyle="1" w:styleId="xl109">
    <w:name w:val="xl109"/>
    <w:basedOn w:val="Normal"/>
    <w:rsid w:val="005D784C"/>
    <w:pPr>
      <w:pBdr>
        <w:top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cs="Times New Roman"/>
      <w:sz w:val="18"/>
      <w:szCs w:val="18"/>
      <w:lang w:bidi="en-US"/>
    </w:rPr>
  </w:style>
  <w:style w:type="paragraph" w:customStyle="1" w:styleId="xl110">
    <w:name w:val="xl110"/>
    <w:basedOn w:val="Normal"/>
    <w:rsid w:val="005D784C"/>
    <w:pPr>
      <w:pBdr>
        <w:top w:val="single" w:sz="4" w:space="0" w:color="auto"/>
        <w:left w:val="single" w:sz="4" w:space="0" w:color="auto"/>
        <w:bottom w:val="single" w:sz="4" w:space="0" w:color="auto"/>
      </w:pBdr>
      <w:shd w:val="clear" w:color="000000" w:fill="FDE9D9"/>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111">
    <w:name w:val="xl111"/>
    <w:basedOn w:val="Normal"/>
    <w:rsid w:val="005D784C"/>
    <w:pPr>
      <w:pBdr>
        <w:top w:val="single" w:sz="4" w:space="0" w:color="auto"/>
        <w:bottom w:val="single" w:sz="4" w:space="0" w:color="auto"/>
      </w:pBdr>
      <w:shd w:val="clear" w:color="000000" w:fill="FDE9D9"/>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112">
    <w:name w:val="xl112"/>
    <w:basedOn w:val="Normal"/>
    <w:rsid w:val="005D784C"/>
    <w:pPr>
      <w:pBdr>
        <w:top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Cambria" w:eastAsia="Times New Roman" w:hAnsi="Cambria" w:cs="Times New Roman"/>
      <w:b/>
      <w:bCs/>
      <w:sz w:val="18"/>
      <w:szCs w:val="18"/>
      <w:lang w:bidi="en-US"/>
    </w:rPr>
  </w:style>
  <w:style w:type="paragraph" w:customStyle="1" w:styleId="xl113">
    <w:name w:val="xl113"/>
    <w:basedOn w:val="Normal"/>
    <w:rsid w:val="005D784C"/>
    <w:pPr>
      <w:spacing w:before="100" w:beforeAutospacing="1" w:after="100" w:afterAutospacing="1" w:line="240" w:lineRule="auto"/>
    </w:pPr>
    <w:rPr>
      <w:rFonts w:ascii="Cambria" w:eastAsia="Times New Roman" w:hAnsi="Cambria" w:cs="Times New Roman"/>
      <w:color w:val="222222"/>
      <w:sz w:val="20"/>
      <w:szCs w:val="20"/>
      <w:lang w:bidi="en-US"/>
    </w:rPr>
  </w:style>
  <w:style w:type="paragraph" w:customStyle="1" w:styleId="gmail-default">
    <w:name w:val="gmail-default"/>
    <w:basedOn w:val="Normal"/>
    <w:rsid w:val="005D78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Heading">
    <w:name w:val="TableHeading"/>
    <w:basedOn w:val="Normal"/>
    <w:uiPriority w:val="6"/>
    <w:qFormat/>
    <w:rsid w:val="005D784C"/>
    <w:pPr>
      <w:tabs>
        <w:tab w:val="left" w:pos="2126"/>
      </w:tabs>
      <w:spacing w:before="120" w:after="80" w:line="240" w:lineRule="atLeast"/>
    </w:pPr>
    <w:rPr>
      <w:rFonts w:ascii="Arial" w:eastAsia="Times New Roman" w:hAnsi="Arial" w:cs="Times New Roman"/>
      <w:b/>
      <w:color w:val="803594"/>
      <w:sz w:val="18"/>
      <w:szCs w:val="20"/>
      <w:lang w:val="en-GB" w:eastAsia="da-DK"/>
    </w:rPr>
  </w:style>
  <w:style w:type="character" w:customStyle="1" w:styleId="FootnoteReference1">
    <w:name w:val="Footnote Reference1"/>
    <w:uiPriority w:val="99"/>
    <w:rsid w:val="005D784C"/>
    <w:rPr>
      <w:rFonts w:ascii="Arial" w:hAnsi="Arial"/>
      <w:bCs w:val="0"/>
      <w:color w:val="27BDBE"/>
      <w:szCs w:val="20"/>
      <w:vertAlign w:val="superscript"/>
    </w:rPr>
  </w:style>
  <w:style w:type="table" w:customStyle="1" w:styleId="TableGrid50">
    <w:name w:val="Table Grid5"/>
    <w:basedOn w:val="TableNormal"/>
    <w:next w:val="TableGrid"/>
    <w:uiPriority w:val="39"/>
    <w:rsid w:val="005D784C"/>
    <w:pPr>
      <w:spacing w:after="0" w:line="240" w:lineRule="auto"/>
    </w:pPr>
    <w:rPr>
      <w:rFonts w:ascii="Times New Roman" w:eastAsia="Arial" w:hAnsi="Times New Roman" w:cs="Times New Roman"/>
      <w:sz w:val="24"/>
      <w:szCs w:val="24"/>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ast">
    <w:name w:val="Bullet last"/>
    <w:basedOn w:val="Bullet"/>
    <w:next w:val="BodyText"/>
    <w:uiPriority w:val="2"/>
    <w:qFormat/>
    <w:rsid w:val="005D784C"/>
    <w:pPr>
      <w:numPr>
        <w:numId w:val="23"/>
      </w:numPr>
      <w:tabs>
        <w:tab w:val="clear" w:pos="425"/>
        <w:tab w:val="left" w:pos="1559"/>
        <w:tab w:val="left" w:pos="1985"/>
      </w:tabs>
      <w:spacing w:before="1" w:after="200"/>
      <w:ind w:left="1559" w:right="110" w:hanging="425"/>
      <w:jc w:val="both"/>
    </w:pPr>
    <w:rPr>
      <w:rFonts w:ascii="Calibri" w:eastAsia="Arial" w:hAnsi="Calibri"/>
      <w:color w:val="auto"/>
      <w:szCs w:val="22"/>
      <w:lang w:eastAsia="en-US"/>
    </w:rPr>
  </w:style>
  <w:style w:type="character" w:customStyle="1" w:styleId="Mention1">
    <w:name w:val="Mention1"/>
    <w:uiPriority w:val="99"/>
    <w:semiHidden/>
    <w:unhideWhenUsed/>
    <w:rsid w:val="005D784C"/>
    <w:rPr>
      <w:color w:val="2B579A"/>
      <w:shd w:val="clear" w:color="auto" w:fill="E6E6E6"/>
    </w:rPr>
  </w:style>
  <w:style w:type="paragraph" w:customStyle="1" w:styleId="Numberlist">
    <w:name w:val="Numberlist"/>
    <w:basedOn w:val="BodyText"/>
    <w:uiPriority w:val="3"/>
    <w:qFormat/>
    <w:rsid w:val="005D784C"/>
    <w:pPr>
      <w:numPr>
        <w:numId w:val="36"/>
      </w:numPr>
      <w:tabs>
        <w:tab w:val="left" w:pos="1559"/>
        <w:tab w:val="left" w:pos="1985"/>
      </w:tabs>
      <w:spacing w:before="0" w:after="0" w:line="240" w:lineRule="atLeast"/>
    </w:pPr>
    <w:rPr>
      <w:rFonts w:eastAsia="Arial"/>
      <w:szCs w:val="22"/>
    </w:rPr>
  </w:style>
  <w:style w:type="paragraph" w:customStyle="1" w:styleId="Numberlistlast">
    <w:name w:val="Numberlist last"/>
    <w:basedOn w:val="Numberlist"/>
    <w:next w:val="BodyText"/>
    <w:uiPriority w:val="3"/>
    <w:qFormat/>
    <w:rsid w:val="005D784C"/>
    <w:pPr>
      <w:numPr>
        <w:numId w:val="25"/>
      </w:numPr>
      <w:spacing w:after="200"/>
    </w:pPr>
  </w:style>
  <w:style w:type="character" w:customStyle="1" w:styleId="bartextleft1">
    <w:name w:val="bartextleft1"/>
    <w:rsid w:val="005D784C"/>
    <w:rPr>
      <w:sz w:val="20"/>
      <w:szCs w:val="20"/>
    </w:rPr>
  </w:style>
  <w:style w:type="character" w:customStyle="1" w:styleId="barmid-nocss1">
    <w:name w:val="barmid-nocss1"/>
    <w:rsid w:val="005D784C"/>
    <w:rPr>
      <w:color w:val="007C00"/>
    </w:rPr>
  </w:style>
  <w:style w:type="character" w:customStyle="1" w:styleId="bartextright1">
    <w:name w:val="bartextright1"/>
    <w:rsid w:val="005D784C"/>
    <w:rPr>
      <w:sz w:val="20"/>
      <w:szCs w:val="20"/>
    </w:rPr>
  </w:style>
  <w:style w:type="character" w:customStyle="1" w:styleId="Mention2">
    <w:name w:val="Mention2"/>
    <w:uiPriority w:val="99"/>
    <w:semiHidden/>
    <w:unhideWhenUsed/>
    <w:rsid w:val="005D784C"/>
    <w:rPr>
      <w:color w:val="2B579A"/>
      <w:shd w:val="clear" w:color="auto" w:fill="E6E6E6"/>
    </w:rPr>
  </w:style>
  <w:style w:type="numbering" w:customStyle="1" w:styleId="Annex1">
    <w:name w:val="Annex 1"/>
    <w:uiPriority w:val="99"/>
    <w:rsid w:val="005D784C"/>
    <w:pPr>
      <w:numPr>
        <w:numId w:val="37"/>
      </w:numPr>
    </w:pPr>
  </w:style>
  <w:style w:type="character" w:customStyle="1" w:styleId="UnresolvedMention1">
    <w:name w:val="Unresolved Mention1"/>
    <w:uiPriority w:val="99"/>
    <w:semiHidden/>
    <w:unhideWhenUsed/>
    <w:rsid w:val="005D784C"/>
    <w:rPr>
      <w:color w:val="808080"/>
      <w:shd w:val="clear" w:color="auto" w:fill="E6E6E6"/>
    </w:rPr>
  </w:style>
  <w:style w:type="paragraph" w:customStyle="1" w:styleId="formula">
    <w:name w:val="formula"/>
    <w:uiPriority w:val="24"/>
    <w:semiHidden/>
    <w:rsid w:val="005D784C"/>
    <w:pPr>
      <w:tabs>
        <w:tab w:val="left" w:pos="-720"/>
      </w:tabs>
      <w:suppressAutoHyphens/>
      <w:spacing w:after="0" w:line="120" w:lineRule="auto"/>
    </w:pPr>
    <w:rPr>
      <w:rFonts w:ascii="Century Gothic" w:eastAsia="Times New Roman" w:hAnsi="Century Gothic" w:cs="Times New Roman"/>
      <w:sz w:val="20"/>
      <w:szCs w:val="20"/>
      <w:lang w:eastAsia="da-DK"/>
    </w:rPr>
  </w:style>
  <w:style w:type="paragraph" w:customStyle="1" w:styleId="Bulletlist">
    <w:name w:val="Bullet list"/>
    <w:basedOn w:val="Normal"/>
    <w:link w:val="BulletlistCar"/>
    <w:qFormat/>
    <w:rsid w:val="005D784C"/>
    <w:pPr>
      <w:numPr>
        <w:numId w:val="38"/>
      </w:numPr>
      <w:spacing w:before="60" w:after="60" w:line="240" w:lineRule="auto"/>
      <w:jc w:val="both"/>
    </w:pPr>
    <w:rPr>
      <w:rFonts w:ascii="Calibri" w:eastAsia="Times New Roman" w:hAnsi="Calibri" w:cs="Times New Roman"/>
      <w:sz w:val="20"/>
      <w:szCs w:val="24"/>
      <w:lang w:val="x-none" w:eastAsia="x-none"/>
    </w:rPr>
  </w:style>
  <w:style w:type="character" w:customStyle="1" w:styleId="BulletlistCar">
    <w:name w:val="Bullet list Car"/>
    <w:link w:val="Bulletlist"/>
    <w:rsid w:val="005D784C"/>
    <w:rPr>
      <w:rFonts w:ascii="Calibri" w:eastAsia="Times New Roman" w:hAnsi="Calibri" w:cs="Times New Roman"/>
      <w:sz w:val="20"/>
      <w:szCs w:val="24"/>
      <w:lang w:val="x-none" w:eastAsia="x-none"/>
    </w:rPr>
  </w:style>
  <w:style w:type="table" w:customStyle="1" w:styleId="TableGrid10">
    <w:name w:val="Table Grid1"/>
    <w:basedOn w:val="TableNormal"/>
    <w:next w:val="TableGrid"/>
    <w:uiPriority w:val="59"/>
    <w:rsid w:val="005D784C"/>
    <w:pPr>
      <w:spacing w:after="0" w:line="240" w:lineRule="auto"/>
    </w:pPr>
    <w:rPr>
      <w:rFonts w:ascii="Calibri" w:eastAsia="SimSun" w:hAnsi="Calibri" w:cs="Times New Roman"/>
      <w:sz w:val="20"/>
      <w:szCs w:val="20"/>
      <w:lang w:val="sq-AL"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Normal"/>
    <w:uiPriority w:val="61"/>
    <w:rsid w:val="005D784C"/>
    <w:pPr>
      <w:spacing w:after="0" w:line="240" w:lineRule="auto"/>
    </w:pPr>
    <w:rPr>
      <w:rFonts w:ascii="Cambria" w:eastAsia="Times New Roman" w:hAnsi="Cambria" w:cs="Times New Roman"/>
      <w:sz w:val="20"/>
      <w:szCs w:val="20"/>
      <w:lang w:val="sq-AL"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12">
    <w:name w:val="Light List - Accent 12"/>
    <w:basedOn w:val="TableNormal"/>
    <w:uiPriority w:val="61"/>
    <w:rsid w:val="005D784C"/>
    <w:pPr>
      <w:spacing w:after="0" w:line="240" w:lineRule="auto"/>
    </w:pPr>
    <w:rPr>
      <w:rFonts w:ascii="Cambria" w:eastAsia="Times New Roman" w:hAnsi="Cambria" w:cs="Times New Roman"/>
      <w:sz w:val="20"/>
      <w:szCs w:val="20"/>
      <w:lang w:val="sq-AL"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1">
    <w:name w:val="Light Grid - Accent 111"/>
    <w:basedOn w:val="TableNormal"/>
    <w:uiPriority w:val="62"/>
    <w:rsid w:val="005D784C"/>
    <w:pPr>
      <w:spacing w:after="0" w:line="240" w:lineRule="auto"/>
    </w:pPr>
    <w:rPr>
      <w:rFonts w:ascii="Calibri" w:eastAsia="Calibri" w:hAnsi="Calibri" w:cs="Times New Roman"/>
      <w:sz w:val="20"/>
      <w:szCs w:val="20"/>
      <w:lang w:val="sq-AL"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51">
    <w:name w:val="Table Grid51"/>
    <w:basedOn w:val="TableNormal"/>
    <w:next w:val="TableGrid"/>
    <w:uiPriority w:val="39"/>
    <w:rsid w:val="005D784C"/>
    <w:pPr>
      <w:spacing w:after="0" w:line="240" w:lineRule="auto"/>
    </w:pPr>
    <w:rPr>
      <w:rFonts w:ascii="Times New Roman" w:eastAsia="SimSun" w:hAnsi="Times New Roman" w:cs="Times New Roman"/>
      <w:sz w:val="24"/>
      <w:szCs w:val="24"/>
      <w:lang w:val="sq-AL"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TableNormal"/>
    <w:uiPriority w:val="99"/>
    <w:rsid w:val="005D784C"/>
    <w:pPr>
      <w:spacing w:after="0" w:line="240" w:lineRule="auto"/>
    </w:pPr>
    <w:rPr>
      <w:rFonts w:ascii="Calibri" w:eastAsia="SimSun" w:hAnsi="Calibri" w:cs="Times New Roman"/>
      <w:sz w:val="20"/>
      <w:szCs w:val="20"/>
      <w:lang w:val="sq-AL"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2">
    <w:name w:val="Plain Table 112"/>
    <w:basedOn w:val="TableNormal"/>
    <w:uiPriority w:val="41"/>
    <w:rsid w:val="005D784C"/>
    <w:pPr>
      <w:spacing w:after="0" w:line="240" w:lineRule="auto"/>
    </w:pPr>
    <w:rPr>
      <w:rFonts w:ascii="Calibri" w:eastAsia="SimSun" w:hAnsi="Calibri" w:cs="Times New Roman"/>
      <w:sz w:val="20"/>
      <w:szCs w:val="20"/>
      <w:lang w:val="sq-AL" w:eastAsia="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
    <w:name w:val="Unresolved Mention2"/>
    <w:uiPriority w:val="99"/>
    <w:semiHidden/>
    <w:unhideWhenUsed/>
    <w:rsid w:val="005D784C"/>
    <w:rPr>
      <w:color w:val="808080"/>
      <w:shd w:val="clear" w:color="auto" w:fill="E6E6E6"/>
    </w:rPr>
  </w:style>
  <w:style w:type="numbering" w:customStyle="1" w:styleId="NoList1">
    <w:name w:val="No List1"/>
    <w:next w:val="NoList"/>
    <w:uiPriority w:val="99"/>
    <w:semiHidden/>
    <w:unhideWhenUsed/>
    <w:rsid w:val="005D784C"/>
  </w:style>
  <w:style w:type="table" w:customStyle="1" w:styleId="LightShading-Accent51">
    <w:name w:val="Light Shading - Accent 51"/>
    <w:basedOn w:val="TableNormal"/>
    <w:next w:val="LightShading-Accent5"/>
    <w:uiPriority w:val="60"/>
    <w:rsid w:val="005D784C"/>
    <w:pPr>
      <w:spacing w:after="0" w:line="240" w:lineRule="auto"/>
    </w:pPr>
    <w:rPr>
      <w:rFonts w:ascii="Calibri" w:eastAsia="Calibri" w:hAnsi="Calibri" w:cs="Times New Roman"/>
      <w:color w:val="31849B"/>
      <w:sz w:val="20"/>
      <w:szCs w:val="20"/>
      <w:lang w:val="sq-AL" w:eastAsia="en-G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31">
    <w:name w:val="Medium Grid 1 - Accent 31"/>
    <w:basedOn w:val="TableNormal"/>
    <w:next w:val="MediumGrid1-Accent3"/>
    <w:uiPriority w:val="67"/>
    <w:rsid w:val="005D784C"/>
    <w:pPr>
      <w:spacing w:after="0" w:line="240" w:lineRule="auto"/>
    </w:pPr>
    <w:rPr>
      <w:rFonts w:ascii="Calibri" w:eastAsia="Calibri" w:hAnsi="Calibri" w:cs="Times New Roman"/>
      <w:sz w:val="20"/>
      <w:szCs w:val="20"/>
      <w:lang w:val="sq-AL"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LightShading-Accent31">
    <w:name w:val="Light Shading - Accent 31"/>
    <w:basedOn w:val="TableNormal"/>
    <w:next w:val="LightShading-Accent3"/>
    <w:uiPriority w:val="60"/>
    <w:rsid w:val="005D784C"/>
    <w:pPr>
      <w:spacing w:after="0" w:line="240" w:lineRule="auto"/>
    </w:pPr>
    <w:rPr>
      <w:rFonts w:ascii="Calibri" w:eastAsia="Calibri" w:hAnsi="Calibri" w:cs="Times New Roman"/>
      <w:color w:val="76923C"/>
      <w:sz w:val="20"/>
      <w:szCs w:val="20"/>
      <w:lang w:val="sq-AL" w:eastAsia="en-GB"/>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List2-Accent51">
    <w:name w:val="Medium List 2 - Accent 51"/>
    <w:basedOn w:val="TableNormal"/>
    <w:next w:val="MediumList2-Accent5"/>
    <w:uiPriority w:val="66"/>
    <w:rsid w:val="005D784C"/>
    <w:pPr>
      <w:spacing w:after="0" w:line="240" w:lineRule="auto"/>
    </w:pPr>
    <w:rPr>
      <w:rFonts w:ascii="Cambria" w:eastAsia="Times New Roman" w:hAnsi="Cambria" w:cs="Times New Roman"/>
      <w:color w:val="000000"/>
      <w:sz w:val="20"/>
      <w:szCs w:val="20"/>
      <w:lang w:val="sq-AL"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Shading-Accent41">
    <w:name w:val="Light Shading - Accent 41"/>
    <w:basedOn w:val="TableNormal"/>
    <w:next w:val="LightShading-Accent4"/>
    <w:uiPriority w:val="60"/>
    <w:rsid w:val="005D784C"/>
    <w:pPr>
      <w:spacing w:after="0" w:line="240" w:lineRule="auto"/>
    </w:pPr>
    <w:rPr>
      <w:rFonts w:ascii="Calibri" w:eastAsia="Times New Roman" w:hAnsi="Calibri" w:cs="Times New Roman"/>
      <w:color w:val="5F497A"/>
      <w:sz w:val="20"/>
      <w:szCs w:val="20"/>
      <w:lang w:val="sq-AL" w:eastAsia="en-GB"/>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aseHeadingsSans">
    <w:name w:val="~BaseHeadings_Sans"/>
    <w:basedOn w:val="BaseStyleColour1"/>
    <w:rsid w:val="005D784C"/>
  </w:style>
  <w:style w:type="paragraph" w:customStyle="1" w:styleId="BaseStyleColour1">
    <w:name w:val="~BaseStyleColour1"/>
    <w:basedOn w:val="BaseStyleOverall"/>
    <w:rsid w:val="005D784C"/>
  </w:style>
  <w:style w:type="paragraph" w:customStyle="1" w:styleId="BaseStyleOverall">
    <w:name w:val="~BaseStyleOverall"/>
    <w:basedOn w:val="Normal"/>
    <w:rsid w:val="005D784C"/>
    <w:pPr>
      <w:spacing w:after="0" w:line="240" w:lineRule="auto"/>
    </w:pPr>
    <w:rPr>
      <w:rFonts w:ascii="Arial" w:eastAsia="Times New Roman" w:hAnsi="Arial" w:cs="Arial"/>
      <w:sz w:val="24"/>
      <w:szCs w:val="24"/>
      <w:lang w:val="en-GB" w:eastAsia="en-GB"/>
    </w:rPr>
  </w:style>
  <w:style w:type="paragraph" w:customStyle="1" w:styleId="DocComp">
    <w:name w:val="~DocComp"/>
    <w:basedOn w:val="BaseHeadingsSans"/>
    <w:rsid w:val="005D784C"/>
    <w:rPr>
      <w:b/>
      <w:sz w:val="28"/>
    </w:rPr>
  </w:style>
  <w:style w:type="paragraph" w:customStyle="1" w:styleId="DocAddress">
    <w:name w:val="~DocAddress"/>
    <w:basedOn w:val="BaseStyleOverall"/>
    <w:rsid w:val="005D784C"/>
    <w:pPr>
      <w:spacing w:line="264" w:lineRule="auto"/>
    </w:pPr>
    <w:rPr>
      <w:sz w:val="16"/>
    </w:rPr>
  </w:style>
  <w:style w:type="paragraph" w:customStyle="1" w:styleId="SumBullet">
    <w:name w:val="~SumBullet"/>
    <w:basedOn w:val="SumText"/>
    <w:rsid w:val="005D784C"/>
    <w:pPr>
      <w:numPr>
        <w:numId w:val="43"/>
      </w:numPr>
      <w:spacing w:before="0" w:line="300" w:lineRule="exact"/>
    </w:pPr>
    <w:rPr>
      <w:sz w:val="24"/>
    </w:rPr>
  </w:style>
  <w:style w:type="paragraph" w:customStyle="1" w:styleId="DocContact">
    <w:name w:val="~DocContact"/>
    <w:basedOn w:val="DocAddress"/>
    <w:rsid w:val="005D784C"/>
  </w:style>
  <w:style w:type="paragraph" w:customStyle="1" w:styleId="SumSubHeading">
    <w:name w:val="~SumSubHeading"/>
    <w:basedOn w:val="SumText"/>
    <w:next w:val="SumText"/>
    <w:rsid w:val="005D784C"/>
    <w:pPr>
      <w:keepNext/>
      <w:spacing w:before="300" w:line="300" w:lineRule="exact"/>
    </w:pPr>
    <w:rPr>
      <w:rFonts w:ascii="Arial Black" w:hAnsi="Arial Black"/>
      <w:bCs/>
      <w:sz w:val="24"/>
    </w:rPr>
  </w:style>
  <w:style w:type="paragraph" w:customStyle="1" w:styleId="RefDocComp">
    <w:name w:val="~RefDocComp"/>
    <w:basedOn w:val="DocComp"/>
    <w:rsid w:val="005D784C"/>
  </w:style>
  <w:style w:type="paragraph" w:customStyle="1" w:styleId="RefDocType">
    <w:name w:val="~RefDocType"/>
    <w:basedOn w:val="DocType"/>
    <w:rsid w:val="005D784C"/>
    <w:rPr>
      <w:rFonts w:cs="Arial"/>
      <w:b/>
      <w:sz w:val="28"/>
      <w:szCs w:val="24"/>
      <w:lang w:eastAsia="en-GB"/>
    </w:rPr>
  </w:style>
  <w:style w:type="paragraph" w:customStyle="1" w:styleId="RefDocClient">
    <w:name w:val="~RefDocClient"/>
    <w:basedOn w:val="DocClient"/>
    <w:rsid w:val="005D784C"/>
    <w:pPr>
      <w:jc w:val="right"/>
    </w:pPr>
    <w:rPr>
      <w:rFonts w:cs="Arial"/>
      <w:sz w:val="30"/>
      <w:szCs w:val="24"/>
      <w:lang w:eastAsia="en-GB"/>
    </w:rPr>
  </w:style>
  <w:style w:type="paragraph" w:customStyle="1" w:styleId="NonToc-Heading">
    <w:name w:val="~NonToc-Heading"/>
    <w:basedOn w:val="BaseHeadingsSans"/>
    <w:next w:val="Normal"/>
    <w:rsid w:val="005D784C"/>
    <w:pPr>
      <w:keepNext/>
      <w:pageBreakBefore/>
      <w:framePr w:w="9520" w:h="1140" w:hRule="exact" w:wrap="notBeside" w:vAnchor="page" w:hAnchor="page" w:x="1305" w:y="1702" w:anchorLock="1"/>
      <w:spacing w:after="360"/>
      <w:outlineLvl w:val="0"/>
    </w:pPr>
    <w:rPr>
      <w:sz w:val="48"/>
    </w:rPr>
  </w:style>
  <w:style w:type="paragraph" w:customStyle="1" w:styleId="SummaryHeading">
    <w:name w:val="~SummaryHeading"/>
    <w:basedOn w:val="NonToc-Heading"/>
    <w:next w:val="SumText"/>
    <w:rsid w:val="005D784C"/>
    <w:pPr>
      <w:framePr w:wrap="notBeside"/>
    </w:pPr>
  </w:style>
  <w:style w:type="paragraph" w:customStyle="1" w:styleId="SumText">
    <w:name w:val="~SumText"/>
    <w:basedOn w:val="IntroText"/>
    <w:rsid w:val="005D784C"/>
    <w:pPr>
      <w:spacing w:before="320" w:after="0" w:line="320" w:lineRule="exact"/>
    </w:pPr>
    <w:rPr>
      <w:rFonts w:cs="Arial"/>
      <w:color w:val="auto"/>
      <w:sz w:val="26"/>
      <w:szCs w:val="24"/>
      <w:lang w:eastAsia="en-GB"/>
    </w:rPr>
  </w:style>
  <w:style w:type="paragraph" w:customStyle="1" w:styleId="TableRowHeading">
    <w:name w:val="~TableRowHeading"/>
    <w:basedOn w:val="TableTextLeft"/>
    <w:rsid w:val="005D784C"/>
    <w:pPr>
      <w:spacing w:before="60" w:after="20"/>
      <w:ind w:right="0"/>
    </w:pPr>
    <w:rPr>
      <w:rFonts w:cs="Arial"/>
      <w:b/>
      <w:sz w:val="17"/>
      <w:szCs w:val="24"/>
      <w:lang w:eastAsia="en-GB"/>
    </w:rPr>
  </w:style>
  <w:style w:type="paragraph" w:customStyle="1" w:styleId="TocHeading0">
    <w:name w:val="~TocHeading"/>
    <w:basedOn w:val="Normal"/>
    <w:next w:val="TOC1"/>
    <w:rsid w:val="005D784C"/>
    <w:pPr>
      <w:keepNext/>
      <w:tabs>
        <w:tab w:val="left" w:pos="1800"/>
      </w:tabs>
      <w:spacing w:before="260" w:after="120" w:line="260" w:lineRule="exact"/>
    </w:pPr>
    <w:rPr>
      <w:rFonts w:ascii="Arial Black" w:eastAsia="Times New Roman" w:hAnsi="Arial Black" w:cs="Arial"/>
      <w:bCs/>
      <w:sz w:val="20"/>
      <w:szCs w:val="24"/>
      <w:lang w:val="en-GB" w:eastAsia="en-GB"/>
    </w:rPr>
  </w:style>
  <w:style w:type="paragraph" w:customStyle="1" w:styleId="RevisionPageHeading">
    <w:name w:val="~RevisionPageHeading"/>
    <w:basedOn w:val="SummaryHeading"/>
    <w:next w:val="Normal"/>
    <w:rsid w:val="005D784C"/>
    <w:pPr>
      <w:framePr w:wrap="notBeside"/>
    </w:pPr>
  </w:style>
  <w:style w:type="paragraph" w:customStyle="1" w:styleId="RevisionText">
    <w:name w:val="~RevisionText"/>
    <w:basedOn w:val="BaseStyleOverall"/>
    <w:rsid w:val="005D784C"/>
    <w:pPr>
      <w:ind w:right="-105"/>
    </w:pPr>
    <w:rPr>
      <w:sz w:val="16"/>
      <w:szCs w:val="16"/>
    </w:rPr>
  </w:style>
  <w:style w:type="paragraph" w:customStyle="1" w:styleId="RevisionHeading">
    <w:name w:val="~RevisionHeading"/>
    <w:basedOn w:val="RevisionText"/>
    <w:rsid w:val="005D784C"/>
    <w:pPr>
      <w:ind w:right="-140"/>
    </w:pPr>
    <w:rPr>
      <w:rFonts w:ascii="Arial Black" w:hAnsi="Arial Black"/>
    </w:rPr>
  </w:style>
  <w:style w:type="paragraph" w:customStyle="1" w:styleId="DocRefAddress">
    <w:name w:val="~DocRefAddress"/>
    <w:basedOn w:val="DocAddress"/>
    <w:rsid w:val="005D784C"/>
  </w:style>
  <w:style w:type="paragraph" w:customStyle="1" w:styleId="DocRefContact">
    <w:name w:val="~DocRefContact"/>
    <w:basedOn w:val="DocContact"/>
    <w:rsid w:val="005D784C"/>
  </w:style>
  <w:style w:type="paragraph" w:customStyle="1" w:styleId="DocConfi">
    <w:name w:val="~DocConfi"/>
    <w:basedOn w:val="DocSubTitle"/>
    <w:rsid w:val="005D784C"/>
    <w:pPr>
      <w:spacing w:after="120" w:line="400" w:lineRule="exact"/>
    </w:pPr>
    <w:rPr>
      <w:rFonts w:cs="Arial"/>
      <w:sz w:val="30"/>
      <w:szCs w:val="24"/>
      <w:lang w:eastAsia="en-GB"/>
    </w:rPr>
  </w:style>
  <w:style w:type="paragraph" w:customStyle="1" w:styleId="DocRefConfi">
    <w:name w:val="~DocRefConfi"/>
    <w:basedOn w:val="DocConfi"/>
    <w:rsid w:val="005D784C"/>
    <w:pPr>
      <w:jc w:val="right"/>
    </w:pPr>
  </w:style>
  <w:style w:type="paragraph" w:customStyle="1" w:styleId="HeaderRefDocTitle">
    <w:name w:val="~HeaderRefDocTitle"/>
    <w:basedOn w:val="BaseStyleOverall"/>
    <w:rsid w:val="005D784C"/>
  </w:style>
  <w:style w:type="paragraph" w:customStyle="1" w:styleId="FooterRefsBaseStyle">
    <w:name w:val="~FooterRefsBaseStyle"/>
    <w:basedOn w:val="Normal"/>
    <w:rsid w:val="005D784C"/>
    <w:pPr>
      <w:spacing w:after="0" w:line="240" w:lineRule="auto"/>
      <w:jc w:val="right"/>
    </w:pPr>
    <w:rPr>
      <w:rFonts w:ascii="Arial" w:eastAsia="Times New Roman" w:hAnsi="Arial" w:cs="Arial"/>
      <w:sz w:val="18"/>
      <w:szCs w:val="24"/>
      <w:lang w:val="en-GB" w:eastAsia="en-GB"/>
    </w:rPr>
  </w:style>
  <w:style w:type="paragraph" w:customStyle="1" w:styleId="FooterDate">
    <w:name w:val="~FooterDate"/>
    <w:basedOn w:val="FooterRefsBaseStyle"/>
    <w:rsid w:val="005D784C"/>
    <w:pPr>
      <w:framePr w:hSpace="181" w:wrap="around" w:vAnchor="page" w:hAnchor="page" w:x="2326" w:y="4112"/>
      <w:suppressOverlap/>
    </w:pPr>
  </w:style>
  <w:style w:type="paragraph" w:customStyle="1" w:styleId="FooterDivRef">
    <w:name w:val="~FooterDivRef"/>
    <w:basedOn w:val="FooterRefsBaseStyle"/>
    <w:rsid w:val="005D784C"/>
    <w:rPr>
      <w:caps/>
    </w:rPr>
  </w:style>
  <w:style w:type="paragraph" w:customStyle="1" w:styleId="FigureTableHeading">
    <w:name w:val="~FigureTableHeading"/>
    <w:basedOn w:val="BaseStyleOverall"/>
    <w:rsid w:val="005D784C"/>
    <w:pPr>
      <w:keepNext/>
      <w:spacing w:before="120" w:after="120"/>
    </w:pPr>
  </w:style>
  <w:style w:type="paragraph" w:customStyle="1" w:styleId="Hidden0">
    <w:name w:val="~Hidden!!"/>
    <w:basedOn w:val="FooterRefsBaseStyle"/>
    <w:rsid w:val="005D784C"/>
    <w:pPr>
      <w:ind w:left="11340" w:right="-5670"/>
    </w:pPr>
    <w:rPr>
      <w:color w:val="FFFFFF"/>
    </w:rPr>
  </w:style>
  <w:style w:type="paragraph" w:customStyle="1" w:styleId="GlossTerm">
    <w:name w:val="~GlossTerm"/>
    <w:basedOn w:val="Normal"/>
    <w:rsid w:val="005D784C"/>
    <w:pPr>
      <w:tabs>
        <w:tab w:val="left" w:pos="2706"/>
      </w:tabs>
      <w:spacing w:after="0" w:line="260" w:lineRule="exact"/>
    </w:pPr>
    <w:rPr>
      <w:rFonts w:ascii="Arial Black" w:eastAsia="Times New Roman" w:hAnsi="Arial Black" w:cs="Arial"/>
      <w:sz w:val="20"/>
      <w:szCs w:val="24"/>
      <w:lang w:val="en-GB" w:eastAsia="en-GB"/>
    </w:rPr>
  </w:style>
  <w:style w:type="paragraph" w:customStyle="1" w:styleId="GlossDef">
    <w:name w:val="~GlossDef"/>
    <w:basedOn w:val="Normal"/>
    <w:rsid w:val="005D784C"/>
    <w:pPr>
      <w:spacing w:after="0" w:line="260" w:lineRule="exact"/>
    </w:pPr>
    <w:rPr>
      <w:rFonts w:ascii="Arial" w:eastAsia="Times New Roman" w:hAnsi="Arial" w:cs="Arial"/>
      <w:sz w:val="20"/>
      <w:szCs w:val="24"/>
      <w:lang w:val="en-GB" w:eastAsia="en-GB"/>
    </w:rPr>
  </w:style>
  <w:style w:type="numbering" w:customStyle="1" w:styleId="1111111">
    <w:name w:val="1 / 1.1 / 1.1.11"/>
    <w:basedOn w:val="NoList"/>
    <w:next w:val="111111"/>
    <w:semiHidden/>
    <w:rsid w:val="005D784C"/>
    <w:pPr>
      <w:numPr>
        <w:numId w:val="40"/>
      </w:numPr>
    </w:pPr>
  </w:style>
  <w:style w:type="numbering" w:customStyle="1" w:styleId="1ai1">
    <w:name w:val="1 / a / i1"/>
    <w:basedOn w:val="NoList"/>
    <w:next w:val="1ai"/>
    <w:semiHidden/>
    <w:rsid w:val="005D784C"/>
    <w:pPr>
      <w:numPr>
        <w:numId w:val="41"/>
      </w:numPr>
    </w:pPr>
  </w:style>
  <w:style w:type="numbering" w:customStyle="1" w:styleId="ArticleSection1">
    <w:name w:val="Article / Section1"/>
    <w:basedOn w:val="NoList"/>
    <w:next w:val="ArticleSection"/>
    <w:semiHidden/>
    <w:rsid w:val="005D784C"/>
    <w:pPr>
      <w:numPr>
        <w:numId w:val="42"/>
      </w:numPr>
    </w:pPr>
  </w:style>
  <w:style w:type="table" w:customStyle="1" w:styleId="Table3Deffects11">
    <w:name w:val="Table 3D effects 11"/>
    <w:basedOn w:val="TableNormal"/>
    <w:next w:val="Table3Deffects1"/>
    <w:semiHidden/>
    <w:rsid w:val="005D784C"/>
    <w:pPr>
      <w:spacing w:after="0" w:line="240" w:lineRule="auto"/>
    </w:pPr>
    <w:rPr>
      <w:rFonts w:ascii="Times New Roman" w:eastAsia="Times New Roman" w:hAnsi="Times New Roman" w:cs="Times New Roman"/>
      <w:sz w:val="20"/>
      <w:szCs w:val="20"/>
      <w:lang w:val="sq-AL"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5D784C"/>
    <w:pPr>
      <w:spacing w:after="0" w:line="240" w:lineRule="auto"/>
    </w:pPr>
    <w:rPr>
      <w:rFonts w:ascii="Times New Roman" w:eastAsia="Times New Roman" w:hAnsi="Times New Roman" w:cs="Times New Roman"/>
      <w:sz w:val="20"/>
      <w:szCs w:val="20"/>
      <w:lang w:val="sq-AL"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5D784C"/>
    <w:pPr>
      <w:spacing w:after="0" w:line="240" w:lineRule="auto"/>
    </w:pPr>
    <w:rPr>
      <w:rFonts w:ascii="Times New Roman" w:eastAsia="Times New Roman" w:hAnsi="Times New Roman" w:cs="Times New Roman"/>
      <w:sz w:val="20"/>
      <w:szCs w:val="20"/>
      <w:lang w:val="sq-AL"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D784C"/>
    <w:pPr>
      <w:spacing w:after="0" w:line="240" w:lineRule="auto"/>
    </w:pPr>
    <w:rPr>
      <w:rFonts w:ascii="Times New Roman" w:eastAsia="Times New Roman" w:hAnsi="Times New Roman" w:cs="Times New Roman"/>
      <w:color w:val="000080"/>
      <w:sz w:val="20"/>
      <w:szCs w:val="20"/>
      <w:lang w:val="sq-AL"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D784C"/>
    <w:pPr>
      <w:spacing w:after="0" w:line="240" w:lineRule="auto"/>
    </w:pPr>
    <w:rPr>
      <w:rFonts w:ascii="Times New Roman" w:eastAsia="Times New Roman" w:hAnsi="Times New Roman" w:cs="Times New Roman"/>
      <w:color w:val="FFFFFF"/>
      <w:sz w:val="20"/>
      <w:szCs w:val="20"/>
      <w:lang w:val="sq-AL"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D784C"/>
    <w:pPr>
      <w:spacing w:after="0" w:line="240" w:lineRule="auto"/>
    </w:pPr>
    <w:rPr>
      <w:rFonts w:ascii="Times New Roman" w:eastAsia="Times New Roman" w:hAnsi="Times New Roman" w:cs="Times New Roman"/>
      <w:sz w:val="20"/>
      <w:szCs w:val="20"/>
      <w:lang w:val="sq-AL"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5D784C"/>
    <w:pPr>
      <w:spacing w:after="0" w:line="240" w:lineRule="auto"/>
    </w:pPr>
    <w:rPr>
      <w:rFonts w:ascii="Times New Roman" w:eastAsia="Times New Roman" w:hAnsi="Times New Roman" w:cs="Times New Roman"/>
      <w:b/>
      <w:bCs/>
      <w:sz w:val="20"/>
      <w:szCs w:val="20"/>
      <w:lang w:val="sq-AL"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5D784C"/>
    <w:pPr>
      <w:spacing w:after="0" w:line="240" w:lineRule="auto"/>
    </w:pPr>
    <w:rPr>
      <w:rFonts w:ascii="Times New Roman" w:eastAsia="Times New Roman" w:hAnsi="Times New Roman" w:cs="Times New Roman"/>
      <w:b/>
      <w:bCs/>
      <w:sz w:val="20"/>
      <w:szCs w:val="20"/>
      <w:lang w:val="sq-AL"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5D784C"/>
    <w:pPr>
      <w:spacing w:after="0" w:line="240" w:lineRule="auto"/>
    </w:pPr>
    <w:rPr>
      <w:rFonts w:ascii="Times New Roman" w:eastAsia="Times New Roman" w:hAnsi="Times New Roman" w:cs="Times New Roman"/>
      <w:b/>
      <w:bCs/>
      <w:sz w:val="20"/>
      <w:szCs w:val="20"/>
      <w:lang w:val="sq-AL"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5D784C"/>
    <w:pPr>
      <w:spacing w:after="0" w:line="240" w:lineRule="auto"/>
    </w:pPr>
    <w:rPr>
      <w:rFonts w:ascii="Times New Roman" w:eastAsia="Times New Roman" w:hAnsi="Times New Roman" w:cs="Times New Roman"/>
      <w:sz w:val="20"/>
      <w:szCs w:val="20"/>
      <w:lang w:val="sq-AL"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5D784C"/>
    <w:pPr>
      <w:spacing w:after="0" w:line="240" w:lineRule="auto"/>
    </w:pPr>
    <w:rPr>
      <w:rFonts w:ascii="Times New Roman" w:eastAsia="Times New Roman" w:hAnsi="Times New Roman" w:cs="Times New Roman"/>
      <w:sz w:val="20"/>
      <w:szCs w:val="20"/>
      <w:lang w:val="sq-AL"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5D784C"/>
    <w:pPr>
      <w:spacing w:after="0" w:line="240" w:lineRule="auto"/>
    </w:pPr>
    <w:rPr>
      <w:rFonts w:ascii="Times New Roman" w:eastAsia="Times New Roman" w:hAnsi="Times New Roman" w:cs="Times New Roman"/>
      <w:sz w:val="20"/>
      <w:szCs w:val="20"/>
      <w:lang w:val="sq-AL"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5D784C"/>
    <w:pPr>
      <w:spacing w:after="0" w:line="240" w:lineRule="auto"/>
    </w:pPr>
    <w:rPr>
      <w:rFonts w:ascii="Times New Roman" w:eastAsia="Times New Roman" w:hAnsi="Times New Roman" w:cs="Times New Roman"/>
      <w:sz w:val="20"/>
      <w:szCs w:val="20"/>
      <w:lang w:val="sq-AL"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5D784C"/>
    <w:pPr>
      <w:spacing w:after="0" w:line="240" w:lineRule="auto"/>
    </w:pPr>
    <w:rPr>
      <w:rFonts w:ascii="Times New Roman" w:eastAsia="Times New Roman" w:hAnsi="Times New Roman" w:cs="Times New Roman"/>
      <w:sz w:val="20"/>
      <w:szCs w:val="20"/>
      <w:lang w:val="sq-AL"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D784C"/>
    <w:pPr>
      <w:spacing w:after="0" w:line="240" w:lineRule="auto"/>
    </w:pPr>
    <w:rPr>
      <w:rFonts w:ascii="Times New Roman" w:eastAsia="Times New Roman" w:hAnsi="Times New Roman" w:cs="Times New Roman"/>
      <w:sz w:val="20"/>
      <w:szCs w:val="20"/>
      <w:lang w:val="sq-AL"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D784C"/>
    <w:pPr>
      <w:spacing w:after="0" w:line="240" w:lineRule="auto"/>
    </w:pPr>
    <w:rPr>
      <w:rFonts w:ascii="Times New Roman" w:eastAsia="Times New Roman" w:hAnsi="Times New Roman" w:cs="Times New Roman"/>
      <w:sz w:val="20"/>
      <w:szCs w:val="20"/>
      <w:lang w:val="sq-AL"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D784C"/>
    <w:pPr>
      <w:spacing w:after="0" w:line="240" w:lineRule="auto"/>
    </w:pPr>
    <w:rPr>
      <w:rFonts w:ascii="Times New Roman" w:eastAsia="Times New Roman" w:hAnsi="Times New Roman" w:cs="Times New Roman"/>
      <w:sz w:val="20"/>
      <w:szCs w:val="20"/>
      <w:lang w:val="sq-AL"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0">
    <w:name w:val="Table Grid 51"/>
    <w:basedOn w:val="TableNormal"/>
    <w:next w:val="TableGrid5"/>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D784C"/>
    <w:pPr>
      <w:spacing w:after="0" w:line="240" w:lineRule="auto"/>
    </w:pPr>
    <w:rPr>
      <w:rFonts w:ascii="Times New Roman" w:eastAsia="Times New Roman" w:hAnsi="Times New Roman" w:cs="Times New Roman"/>
      <w:b/>
      <w:bCs/>
      <w:sz w:val="20"/>
      <w:szCs w:val="20"/>
      <w:lang w:val="sq-AL"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5D784C"/>
    <w:pPr>
      <w:spacing w:after="0" w:line="240" w:lineRule="auto"/>
    </w:pPr>
    <w:rPr>
      <w:rFonts w:ascii="Times New Roman" w:eastAsia="Times New Roman" w:hAnsi="Times New Roman" w:cs="Times New Roman"/>
      <w:sz w:val="20"/>
      <w:szCs w:val="20"/>
      <w:lang w:val="sq-AL"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5D784C"/>
    <w:pPr>
      <w:spacing w:after="0" w:line="240" w:lineRule="auto"/>
    </w:pPr>
    <w:rPr>
      <w:rFonts w:ascii="Times New Roman" w:eastAsia="Times New Roman" w:hAnsi="Times New Roman" w:cs="Times New Roman"/>
      <w:sz w:val="20"/>
      <w:szCs w:val="20"/>
      <w:lang w:val="sq-AL"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5D784C"/>
    <w:pPr>
      <w:spacing w:after="0" w:line="240" w:lineRule="auto"/>
    </w:pPr>
    <w:rPr>
      <w:rFonts w:ascii="Times New Roman" w:eastAsia="Times New Roman" w:hAnsi="Times New Roman" w:cs="Times New Roman"/>
      <w:sz w:val="20"/>
      <w:szCs w:val="20"/>
      <w:lang w:val="sq-AL"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5D784C"/>
    <w:pPr>
      <w:spacing w:after="0" w:line="240" w:lineRule="auto"/>
    </w:pPr>
    <w:rPr>
      <w:rFonts w:ascii="Times New Roman" w:eastAsia="Times New Roman" w:hAnsi="Times New Roman" w:cs="Times New Roman"/>
      <w:sz w:val="20"/>
      <w:szCs w:val="20"/>
      <w:lang w:val="sq-AL"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5D784C"/>
    <w:pPr>
      <w:spacing w:after="0" w:line="240" w:lineRule="auto"/>
    </w:pPr>
    <w:rPr>
      <w:rFonts w:ascii="Times New Roman" w:eastAsia="Times New Roman" w:hAnsi="Times New Roman" w:cs="Times New Roman"/>
      <w:sz w:val="20"/>
      <w:szCs w:val="20"/>
      <w:lang w:val="sq-AL"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5D784C"/>
    <w:pPr>
      <w:spacing w:after="0" w:line="240" w:lineRule="auto"/>
    </w:pPr>
    <w:rPr>
      <w:rFonts w:ascii="Times New Roman" w:eastAsia="Times New Roman" w:hAnsi="Times New Roman" w:cs="Times New Roman"/>
      <w:sz w:val="20"/>
      <w:szCs w:val="20"/>
      <w:lang w:val="sq-AL"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5D784C"/>
    <w:pPr>
      <w:spacing w:after="0" w:line="240" w:lineRule="auto"/>
    </w:pPr>
    <w:rPr>
      <w:rFonts w:ascii="Times New Roman" w:eastAsia="Times New Roman" w:hAnsi="Times New Roman" w:cs="Times New Roman"/>
      <w:sz w:val="20"/>
      <w:szCs w:val="20"/>
      <w:lang w:val="sq-AL"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5D784C"/>
    <w:pPr>
      <w:spacing w:after="0" w:line="240" w:lineRule="auto"/>
    </w:pPr>
    <w:rPr>
      <w:rFonts w:ascii="Times New Roman" w:eastAsia="Times New Roman" w:hAnsi="Times New Roman" w:cs="Times New Roman"/>
      <w:sz w:val="20"/>
      <w:szCs w:val="20"/>
      <w:lang w:val="sq-AL"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5D784C"/>
    <w:pPr>
      <w:spacing w:after="0" w:line="240" w:lineRule="auto"/>
    </w:pPr>
    <w:rPr>
      <w:rFonts w:ascii="Times New Roman" w:eastAsia="Times New Roman" w:hAnsi="Times New Roman" w:cs="Times New Roman"/>
      <w:sz w:val="20"/>
      <w:szCs w:val="20"/>
      <w:lang w:val="sq-AL"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5D784C"/>
    <w:pPr>
      <w:spacing w:after="0" w:line="240" w:lineRule="auto"/>
    </w:pPr>
    <w:rPr>
      <w:rFonts w:ascii="Times New Roman" w:eastAsia="Times New Roman" w:hAnsi="Times New Roman" w:cs="Times New Roman"/>
      <w:sz w:val="20"/>
      <w:szCs w:val="20"/>
      <w:lang w:val="sq-AL"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5D784C"/>
    <w:pPr>
      <w:spacing w:after="0" w:line="240" w:lineRule="auto"/>
    </w:pPr>
    <w:rPr>
      <w:rFonts w:ascii="Times New Roman" w:eastAsia="Times New Roman" w:hAnsi="Times New Roman" w:cs="Times New Roman"/>
      <w:sz w:val="20"/>
      <w:szCs w:val="20"/>
      <w:lang w:val="sq-AL"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5D784C"/>
    <w:pPr>
      <w:spacing w:after="0" w:line="240" w:lineRule="auto"/>
    </w:pPr>
    <w:rPr>
      <w:rFonts w:ascii="Times New Roman" w:eastAsia="Times New Roman" w:hAnsi="Times New Roman" w:cs="Times New Roman"/>
      <w:sz w:val="20"/>
      <w:szCs w:val="20"/>
      <w:lang w:val="sq-AL"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5D784C"/>
    <w:pPr>
      <w:spacing w:after="0" w:line="240" w:lineRule="auto"/>
    </w:pPr>
    <w:rPr>
      <w:rFonts w:ascii="Times New Roman" w:eastAsia="Times New Roman" w:hAnsi="Times New Roman" w:cs="Times New Roman"/>
      <w:sz w:val="20"/>
      <w:szCs w:val="20"/>
      <w:lang w:val="sq-AL"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5D784C"/>
    <w:pPr>
      <w:spacing w:after="0" w:line="240" w:lineRule="auto"/>
    </w:pPr>
    <w:rPr>
      <w:rFonts w:ascii="Times New Roman" w:eastAsia="Times New Roman" w:hAnsi="Times New Roman" w:cs="Times New Roman"/>
      <w:sz w:val="20"/>
      <w:szCs w:val="20"/>
      <w:lang w:val="sq-AL"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5D784C"/>
    <w:pPr>
      <w:spacing w:after="0" w:line="240" w:lineRule="auto"/>
    </w:pPr>
    <w:rPr>
      <w:rFonts w:ascii="Times New Roman" w:eastAsia="Times New Roman" w:hAnsi="Times New Roman" w:cs="Times New Roman"/>
      <w:sz w:val="20"/>
      <w:szCs w:val="20"/>
      <w:lang w:val="sq-AL"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5D784C"/>
    <w:pPr>
      <w:spacing w:after="0" w:line="240" w:lineRule="auto"/>
    </w:pPr>
    <w:rPr>
      <w:rFonts w:ascii="Times New Roman" w:eastAsia="Times New Roman" w:hAnsi="Times New Roman" w:cs="Times New Roman"/>
      <w:sz w:val="20"/>
      <w:szCs w:val="20"/>
      <w:lang w:val="sq-AL"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ocClientAddress">
    <w:name w:val="~DocClientAddress"/>
    <w:basedOn w:val="DocClient"/>
    <w:rsid w:val="005D784C"/>
    <w:rPr>
      <w:rFonts w:cs="Arial"/>
      <w:sz w:val="16"/>
      <w:szCs w:val="24"/>
      <w:lang w:eastAsia="en-GB"/>
    </w:rPr>
  </w:style>
  <w:style w:type="paragraph" w:customStyle="1" w:styleId="Tabeltekst">
    <w:name w:val="Tabeltekst"/>
    <w:basedOn w:val="Normal"/>
    <w:rsid w:val="005D784C"/>
    <w:pPr>
      <w:spacing w:after="0" w:line="240" w:lineRule="exact"/>
    </w:pPr>
    <w:rPr>
      <w:rFonts w:ascii="Frutiger Roman" w:eastAsia="Times New Roman" w:hAnsi="Frutiger Roman" w:cs="Times New Roman"/>
      <w:sz w:val="16"/>
      <w:szCs w:val="24"/>
    </w:rPr>
  </w:style>
  <w:style w:type="paragraph" w:customStyle="1" w:styleId="subheading2">
    <w:name w:val="subheading 2"/>
    <w:basedOn w:val="Heading2"/>
    <w:link w:val="subheading2Char"/>
    <w:uiPriority w:val="1"/>
    <w:qFormat/>
    <w:rsid w:val="005D784C"/>
    <w:pPr>
      <w:numPr>
        <w:numId w:val="39"/>
      </w:numPr>
      <w:spacing w:before="260" w:after="0" w:line="260" w:lineRule="exact"/>
    </w:pPr>
    <w:rPr>
      <w:color w:val="auto"/>
      <w:sz w:val="28"/>
      <w:szCs w:val="36"/>
    </w:rPr>
  </w:style>
  <w:style w:type="paragraph" w:customStyle="1" w:styleId="niveau3">
    <w:name w:val="niveau 3"/>
    <w:basedOn w:val="Normal"/>
    <w:rsid w:val="005D784C"/>
    <w:pPr>
      <w:widowControl w:val="0"/>
      <w:numPr>
        <w:numId w:val="44"/>
      </w:numPr>
      <w:spacing w:after="0" w:line="240" w:lineRule="auto"/>
    </w:pPr>
    <w:rPr>
      <w:rFonts w:ascii="Calibri" w:eastAsia="Calibri" w:hAnsi="Calibri" w:cs="Times New Roman"/>
    </w:rPr>
  </w:style>
  <w:style w:type="character" w:customStyle="1" w:styleId="subheading2Char">
    <w:name w:val="subheading 2 Char"/>
    <w:link w:val="subheading2"/>
    <w:uiPriority w:val="1"/>
    <w:rsid w:val="005D784C"/>
    <w:rPr>
      <w:rFonts w:ascii="Arial" w:eastAsia="Times New Roman" w:hAnsi="Arial" w:cs="Times New Roman"/>
      <w:b/>
      <w:bCs/>
      <w:sz w:val="28"/>
      <w:szCs w:val="36"/>
      <w:lang w:val="x-none" w:eastAsia="x-none"/>
    </w:rPr>
  </w:style>
  <w:style w:type="character" w:customStyle="1" w:styleId="shorttext">
    <w:name w:val="short_text"/>
    <w:rsid w:val="005D784C"/>
  </w:style>
  <w:style w:type="paragraph" w:customStyle="1" w:styleId="xl114">
    <w:name w:val="xl114"/>
    <w:basedOn w:val="Normal"/>
    <w:rsid w:val="005D784C"/>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Normal"/>
    <w:rsid w:val="005D784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6">
    <w:name w:val="xl116"/>
    <w:basedOn w:val="Normal"/>
    <w:rsid w:val="005D784C"/>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Normal"/>
    <w:rsid w:val="005D784C"/>
    <w:pPr>
      <w:pBdr>
        <w:top w:val="single" w:sz="4" w:space="0" w:color="auto"/>
        <w:left w:val="single" w:sz="8" w:space="0" w:color="auto"/>
        <w:bottom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5D784C"/>
    <w:pPr>
      <w:pBdr>
        <w:top w:val="single" w:sz="4" w:space="0" w:color="auto"/>
        <w:left w:val="single" w:sz="8" w:space="0" w:color="auto"/>
        <w:bottom w:val="single" w:sz="8"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Normal"/>
    <w:rsid w:val="005D784C"/>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0">
    <w:name w:val="xl120"/>
    <w:basedOn w:val="Normal"/>
    <w:rsid w:val="005D7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5D784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22">
    <w:name w:val="xl122"/>
    <w:basedOn w:val="Normal"/>
    <w:rsid w:val="005D784C"/>
    <w:pPr>
      <w:pBdr>
        <w:top w:val="single" w:sz="4" w:space="0" w:color="auto"/>
        <w:left w:val="single" w:sz="4" w:space="0" w:color="auto"/>
        <w:bottom w:val="single" w:sz="8"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23">
    <w:name w:val="xl123"/>
    <w:basedOn w:val="Normal"/>
    <w:rsid w:val="005D784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5D784C"/>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5">
    <w:name w:val="xl125"/>
    <w:basedOn w:val="Normal"/>
    <w:rsid w:val="005D784C"/>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6">
    <w:name w:val="xl126"/>
    <w:basedOn w:val="Normal"/>
    <w:rsid w:val="005D784C"/>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7">
    <w:name w:val="xl127"/>
    <w:basedOn w:val="Normal"/>
    <w:rsid w:val="005D784C"/>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5D784C"/>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Normal"/>
    <w:rsid w:val="005D784C"/>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0">
    <w:name w:val="xl130"/>
    <w:basedOn w:val="Normal"/>
    <w:rsid w:val="005D784C"/>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Normal"/>
    <w:rsid w:val="005D784C"/>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5D784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7030A0"/>
      <w:sz w:val="16"/>
      <w:szCs w:val="16"/>
    </w:rPr>
  </w:style>
  <w:style w:type="paragraph" w:customStyle="1" w:styleId="xl133">
    <w:name w:val="xl133"/>
    <w:basedOn w:val="Normal"/>
    <w:rsid w:val="005D784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7030A0"/>
      <w:sz w:val="16"/>
      <w:szCs w:val="16"/>
    </w:rPr>
  </w:style>
  <w:style w:type="paragraph" w:customStyle="1" w:styleId="xl134">
    <w:name w:val="xl134"/>
    <w:basedOn w:val="Normal"/>
    <w:rsid w:val="005D784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7030A0"/>
      <w:sz w:val="16"/>
      <w:szCs w:val="16"/>
    </w:rPr>
  </w:style>
  <w:style w:type="table" w:customStyle="1" w:styleId="TableGrid110">
    <w:name w:val="Table Grid11"/>
    <w:basedOn w:val="TableNormal"/>
    <w:next w:val="TableGrid"/>
    <w:uiPriority w:val="59"/>
    <w:rsid w:val="005D784C"/>
    <w:pPr>
      <w:spacing w:before="120" w:after="0" w:line="240" w:lineRule="auto"/>
    </w:pPr>
    <w:rPr>
      <w:rFonts w:ascii="Arial" w:eastAsia="SimSun" w:hAnsi="Arial" w:cs="Arial"/>
      <w:sz w:val="20"/>
      <w:szCs w:val="20"/>
      <w:lang w:val="sq-AL"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5D784C"/>
    <w:pPr>
      <w:spacing w:before="120" w:after="0" w:line="240" w:lineRule="auto"/>
    </w:pPr>
    <w:rPr>
      <w:rFonts w:ascii="Arial" w:eastAsia="Times New Roman" w:hAnsi="Arial" w:cs="Times New Roman"/>
      <w:color w:val="808080"/>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7BDB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7BDBE"/>
      </w:tcPr>
    </w:tblStylePr>
    <w:tblStylePr w:type="lastCol">
      <w:rPr>
        <w:b/>
        <w:bCs/>
        <w:color w:val="FFFFFF"/>
      </w:rPr>
      <w:tblPr/>
      <w:tcPr>
        <w:tcBorders>
          <w:left w:val="nil"/>
          <w:right w:val="nil"/>
          <w:insideH w:val="nil"/>
          <w:insideV w:val="nil"/>
        </w:tcBorders>
        <w:shd w:val="clear" w:color="auto" w:fill="27BDB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11">
    <w:name w:val="Colorful Grid11"/>
    <w:basedOn w:val="TableNormal"/>
    <w:uiPriority w:val="73"/>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11">
    <w:name w:val="Colorful List11"/>
    <w:basedOn w:val="TableNormal"/>
    <w:uiPriority w:val="72"/>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007E7A"/>
      </w:tcPr>
    </w:tblStylePr>
    <w:tblStylePr w:type="lastRow">
      <w:rPr>
        <w:b/>
        <w:bCs/>
        <w:color w:val="007E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11">
    <w:name w:val="Colorful Shading11"/>
    <w:basedOn w:val="TableNormal"/>
    <w:uiPriority w:val="71"/>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24" w:space="0" w:color="009E9A"/>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009E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11">
    <w:name w:val="Dark List11"/>
    <w:basedOn w:val="TableNormal"/>
    <w:uiPriority w:val="70"/>
    <w:semiHidden/>
    <w:unhideWhenUsed/>
    <w:rsid w:val="005D784C"/>
    <w:pPr>
      <w:spacing w:after="0" w:line="240" w:lineRule="auto"/>
    </w:pPr>
    <w:rPr>
      <w:rFonts w:ascii="Arial" w:eastAsia="Times New Roman" w:hAnsi="Arial" w:cs="Times New Roman"/>
      <w:color w:val="FFFFFF"/>
      <w:sz w:val="20"/>
      <w:szCs w:val="20"/>
      <w:lang w:val="sq-AL" w:eastAsia="sq-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ghtGrid11">
    <w:name w:val="Light Grid11"/>
    <w:basedOn w:val="TableNormal"/>
    <w:uiPriority w:val="62"/>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uiPriority w:val="62"/>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7BDBE"/>
        <w:left w:val="single" w:sz="8" w:space="0" w:color="27BDBE"/>
        <w:bottom w:val="single" w:sz="8" w:space="0" w:color="27BDBE"/>
        <w:right w:val="single" w:sz="8" w:space="0" w:color="27BDBE"/>
        <w:insideH w:val="single" w:sz="8" w:space="0" w:color="27BDBE"/>
        <w:insideV w:val="single" w:sz="8" w:space="0" w:color="27BDBE"/>
      </w:tblBorders>
    </w:tblPr>
    <w:tblStylePr w:type="firstRow">
      <w:pPr>
        <w:spacing w:before="0" w:after="0" w:line="240" w:lineRule="auto"/>
      </w:pPr>
      <w:rPr>
        <w:rFonts w:ascii="Arial" w:eastAsia="Times New Roman" w:hAnsi="Arial" w:cs="Times New Roman"/>
        <w:b/>
        <w:bCs/>
      </w:rPr>
      <w:tblPr/>
      <w:tcPr>
        <w:tcBorders>
          <w:top w:val="single" w:sz="8" w:space="0" w:color="27BDBE"/>
          <w:left w:val="single" w:sz="8" w:space="0" w:color="27BDBE"/>
          <w:bottom w:val="single" w:sz="18" w:space="0" w:color="27BDBE"/>
          <w:right w:val="single" w:sz="8" w:space="0" w:color="27BDBE"/>
          <w:insideH w:val="nil"/>
          <w:insideV w:val="single" w:sz="8" w:space="0" w:color="27BDBE"/>
        </w:tcBorders>
      </w:tcPr>
    </w:tblStylePr>
    <w:tblStylePr w:type="lastRow">
      <w:pPr>
        <w:spacing w:before="0" w:after="0" w:line="240" w:lineRule="auto"/>
      </w:pPr>
      <w:rPr>
        <w:rFonts w:ascii="Arial" w:eastAsia="Times New Roman" w:hAnsi="Arial" w:cs="Times New Roman"/>
        <w:b/>
        <w:bCs/>
      </w:rPr>
      <w:tblPr/>
      <w:tcPr>
        <w:tcBorders>
          <w:top w:val="double" w:sz="6" w:space="0" w:color="27BDBE"/>
          <w:left w:val="single" w:sz="8" w:space="0" w:color="27BDBE"/>
          <w:bottom w:val="single" w:sz="8" w:space="0" w:color="27BDBE"/>
          <w:right w:val="single" w:sz="8" w:space="0" w:color="27BDBE"/>
          <w:insideH w:val="nil"/>
          <w:insideV w:val="single" w:sz="8" w:space="0" w:color="27BDBE"/>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27BDBE"/>
          <w:left w:val="single" w:sz="8" w:space="0" w:color="27BDBE"/>
          <w:bottom w:val="single" w:sz="8" w:space="0" w:color="27BDBE"/>
          <w:right w:val="single" w:sz="8" w:space="0" w:color="27BDBE"/>
        </w:tcBorders>
      </w:tcPr>
    </w:tblStylePr>
    <w:tblStylePr w:type="band1Vert">
      <w:tblPr/>
      <w:tcPr>
        <w:tcBorders>
          <w:top w:val="single" w:sz="8" w:space="0" w:color="27BDBE"/>
          <w:left w:val="single" w:sz="8" w:space="0" w:color="27BDBE"/>
          <w:bottom w:val="single" w:sz="8" w:space="0" w:color="27BDBE"/>
          <w:right w:val="single" w:sz="8" w:space="0" w:color="27BDBE"/>
        </w:tcBorders>
        <w:shd w:val="clear" w:color="auto" w:fill="C5F2F3"/>
      </w:tcPr>
    </w:tblStylePr>
    <w:tblStylePr w:type="band1Horz">
      <w:tblPr/>
      <w:tcPr>
        <w:tcBorders>
          <w:top w:val="single" w:sz="8" w:space="0" w:color="27BDBE"/>
          <w:left w:val="single" w:sz="8" w:space="0" w:color="27BDBE"/>
          <w:bottom w:val="single" w:sz="8" w:space="0" w:color="27BDBE"/>
          <w:right w:val="single" w:sz="8" w:space="0" w:color="27BDBE"/>
          <w:insideV w:val="single" w:sz="8" w:space="0" w:color="27BDBE"/>
        </w:tcBorders>
        <w:shd w:val="clear" w:color="auto" w:fill="C5F2F3"/>
      </w:tcPr>
    </w:tblStylePr>
    <w:tblStylePr w:type="band2Horz">
      <w:tblPr/>
      <w:tcPr>
        <w:tcBorders>
          <w:top w:val="single" w:sz="8" w:space="0" w:color="27BDBE"/>
          <w:left w:val="single" w:sz="8" w:space="0" w:color="27BDBE"/>
          <w:bottom w:val="single" w:sz="8" w:space="0" w:color="27BDBE"/>
          <w:right w:val="single" w:sz="8" w:space="0" w:color="27BDBE"/>
          <w:insideV w:val="single" w:sz="8" w:space="0" w:color="27BDBE"/>
        </w:tcBorders>
      </w:tcPr>
    </w:tblStylePr>
  </w:style>
  <w:style w:type="table" w:customStyle="1" w:styleId="LightList11">
    <w:name w:val="Light List11"/>
    <w:basedOn w:val="TableNormal"/>
    <w:uiPriority w:val="61"/>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uiPriority w:val="61"/>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27BDBE"/>
        <w:left w:val="single" w:sz="8" w:space="0" w:color="27BDBE"/>
        <w:bottom w:val="single" w:sz="8" w:space="0" w:color="27BDBE"/>
        <w:right w:val="single" w:sz="8" w:space="0" w:color="27BDBE"/>
      </w:tblBorders>
    </w:tblPr>
    <w:tblStylePr w:type="firstRow">
      <w:pPr>
        <w:spacing w:before="0" w:after="0" w:line="240" w:lineRule="auto"/>
      </w:pPr>
      <w:rPr>
        <w:b/>
        <w:bCs/>
        <w:color w:val="FFFFFF"/>
      </w:rPr>
      <w:tblPr/>
      <w:tcPr>
        <w:shd w:val="clear" w:color="auto" w:fill="27BDBE"/>
      </w:tcPr>
    </w:tblStylePr>
    <w:tblStylePr w:type="lastRow">
      <w:pPr>
        <w:spacing w:before="0" w:after="0" w:line="240" w:lineRule="auto"/>
      </w:pPr>
      <w:rPr>
        <w:b/>
        <w:bCs/>
      </w:rPr>
      <w:tblPr/>
      <w:tcPr>
        <w:tcBorders>
          <w:top w:val="double" w:sz="6" w:space="0" w:color="27BDBE"/>
          <w:left w:val="single" w:sz="8" w:space="0" w:color="27BDBE"/>
          <w:bottom w:val="single" w:sz="8" w:space="0" w:color="27BDBE"/>
          <w:right w:val="single" w:sz="8" w:space="0" w:color="27BDBE"/>
        </w:tcBorders>
      </w:tcPr>
    </w:tblStylePr>
    <w:tblStylePr w:type="firstCol">
      <w:rPr>
        <w:b/>
        <w:bCs/>
      </w:rPr>
    </w:tblStylePr>
    <w:tblStylePr w:type="lastCol">
      <w:rPr>
        <w:b/>
        <w:bCs/>
      </w:rPr>
    </w:tblStylePr>
    <w:tblStylePr w:type="band1Vert">
      <w:tblPr/>
      <w:tcPr>
        <w:tcBorders>
          <w:top w:val="single" w:sz="8" w:space="0" w:color="27BDBE"/>
          <w:left w:val="single" w:sz="8" w:space="0" w:color="27BDBE"/>
          <w:bottom w:val="single" w:sz="8" w:space="0" w:color="27BDBE"/>
          <w:right w:val="single" w:sz="8" w:space="0" w:color="27BDBE"/>
        </w:tcBorders>
      </w:tcPr>
    </w:tblStylePr>
    <w:tblStylePr w:type="band1Horz">
      <w:tblPr/>
      <w:tcPr>
        <w:tcBorders>
          <w:top w:val="single" w:sz="8" w:space="0" w:color="27BDBE"/>
          <w:left w:val="single" w:sz="8" w:space="0" w:color="27BDBE"/>
          <w:bottom w:val="single" w:sz="8" w:space="0" w:color="27BDBE"/>
          <w:right w:val="single" w:sz="8" w:space="0" w:color="27BDBE"/>
        </w:tcBorders>
      </w:tcPr>
    </w:tblStylePr>
  </w:style>
  <w:style w:type="table" w:customStyle="1" w:styleId="LightShading11">
    <w:name w:val="Light Shading11"/>
    <w:basedOn w:val="TableNormal"/>
    <w:uiPriority w:val="60"/>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uiPriority w:val="60"/>
    <w:semiHidden/>
    <w:unhideWhenUsed/>
    <w:rsid w:val="005D784C"/>
    <w:pPr>
      <w:spacing w:after="0" w:line="240" w:lineRule="auto"/>
    </w:pPr>
    <w:rPr>
      <w:rFonts w:ascii="Arial" w:eastAsia="Times New Roman" w:hAnsi="Arial" w:cs="Times New Roman"/>
      <w:color w:val="1D8D8E"/>
      <w:sz w:val="20"/>
      <w:szCs w:val="20"/>
      <w:lang w:val="sq-AL" w:eastAsia="sq-AL"/>
    </w:rPr>
    <w:tblPr>
      <w:tblStyleRowBandSize w:val="1"/>
      <w:tblStyleColBandSize w:val="1"/>
      <w:tblBorders>
        <w:top w:val="single" w:sz="8" w:space="0" w:color="27BDBE"/>
        <w:bottom w:val="single" w:sz="8" w:space="0" w:color="27BDBE"/>
      </w:tblBorders>
    </w:tblPr>
    <w:tblStylePr w:type="firstRow">
      <w:pPr>
        <w:spacing w:before="0" w:after="0" w:line="240" w:lineRule="auto"/>
      </w:pPr>
      <w:rPr>
        <w:b/>
        <w:bCs/>
      </w:rPr>
      <w:tblPr/>
      <w:tcPr>
        <w:tcBorders>
          <w:top w:val="single" w:sz="8" w:space="0" w:color="27BDBE"/>
          <w:left w:val="nil"/>
          <w:bottom w:val="single" w:sz="8" w:space="0" w:color="27BDBE"/>
          <w:right w:val="nil"/>
          <w:insideH w:val="nil"/>
          <w:insideV w:val="nil"/>
        </w:tcBorders>
      </w:tcPr>
    </w:tblStylePr>
    <w:tblStylePr w:type="lastRow">
      <w:pPr>
        <w:spacing w:before="0" w:after="0" w:line="240" w:lineRule="auto"/>
      </w:pPr>
      <w:rPr>
        <w:b/>
        <w:bCs/>
      </w:rPr>
      <w:tblPr/>
      <w:tcPr>
        <w:tcBorders>
          <w:top w:val="single" w:sz="8" w:space="0" w:color="27BDBE"/>
          <w:left w:val="nil"/>
          <w:bottom w:val="single" w:sz="8" w:space="0" w:color="27BDB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2F3"/>
      </w:tcPr>
    </w:tblStylePr>
    <w:tblStylePr w:type="band1Horz">
      <w:tblPr/>
      <w:tcPr>
        <w:tcBorders>
          <w:left w:val="nil"/>
          <w:right w:val="nil"/>
          <w:insideH w:val="nil"/>
          <w:insideV w:val="nil"/>
        </w:tcBorders>
        <w:shd w:val="clear" w:color="auto" w:fill="C5F2F3"/>
      </w:tcPr>
    </w:tblStylePr>
  </w:style>
  <w:style w:type="table" w:customStyle="1" w:styleId="MediumGrid111">
    <w:name w:val="Medium Grid 111"/>
    <w:basedOn w:val="TableNormal"/>
    <w:uiPriority w:val="67"/>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1">
    <w:name w:val="Medium Grid 211"/>
    <w:basedOn w:val="TableNormal"/>
    <w:uiPriority w:val="68"/>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11">
    <w:name w:val="Medium Grid 311"/>
    <w:basedOn w:val="TableNormal"/>
    <w:uiPriority w:val="69"/>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List111">
    <w:name w:val="Medium List 111"/>
    <w:basedOn w:val="TableNormal"/>
    <w:uiPriority w:val="65"/>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bottom w:val="single" w:sz="8" w:space="0" w:color="000000"/>
      </w:tblBorders>
    </w:tblPr>
    <w:tblStylePr w:type="firstRow">
      <w:rPr>
        <w:rFonts w:ascii="Arial" w:eastAsia="Times New Roman" w:hAnsi="Arial" w:cs="Times New Roman"/>
      </w:rPr>
      <w:tblPr/>
      <w:tcPr>
        <w:tcBorders>
          <w:top w:val="nil"/>
          <w:bottom w:val="single" w:sz="8" w:space="0" w:color="000000"/>
        </w:tcBorders>
      </w:tcPr>
    </w:tblStylePr>
    <w:tblStylePr w:type="lastRow">
      <w:rPr>
        <w:b/>
        <w:bCs/>
        <w:color w:val="61606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leNormal"/>
    <w:uiPriority w:val="65"/>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27BDBE"/>
        <w:bottom w:val="single" w:sz="8" w:space="0" w:color="27BDBE"/>
      </w:tblBorders>
    </w:tblPr>
    <w:tblStylePr w:type="firstRow">
      <w:rPr>
        <w:rFonts w:ascii="Arial" w:eastAsia="Times New Roman" w:hAnsi="Arial" w:cs="Times New Roman"/>
      </w:rPr>
      <w:tblPr/>
      <w:tcPr>
        <w:tcBorders>
          <w:top w:val="nil"/>
          <w:bottom w:val="single" w:sz="8" w:space="0" w:color="27BDBE"/>
        </w:tcBorders>
      </w:tcPr>
    </w:tblStylePr>
    <w:tblStylePr w:type="lastRow">
      <w:rPr>
        <w:b/>
        <w:bCs/>
        <w:color w:val="616061"/>
      </w:rPr>
      <w:tblPr/>
      <w:tcPr>
        <w:tcBorders>
          <w:top w:val="single" w:sz="8" w:space="0" w:color="27BDBE"/>
          <w:bottom w:val="single" w:sz="8" w:space="0" w:color="27BDBE"/>
        </w:tcBorders>
      </w:tcPr>
    </w:tblStylePr>
    <w:tblStylePr w:type="firstCol">
      <w:rPr>
        <w:b/>
        <w:bCs/>
      </w:rPr>
    </w:tblStylePr>
    <w:tblStylePr w:type="lastCol">
      <w:rPr>
        <w:b/>
        <w:bCs/>
      </w:rPr>
      <w:tblPr/>
      <w:tcPr>
        <w:tcBorders>
          <w:top w:val="single" w:sz="8" w:space="0" w:color="27BDBE"/>
          <w:bottom w:val="single" w:sz="8" w:space="0" w:color="27BDBE"/>
        </w:tcBorders>
      </w:tcPr>
    </w:tblStylePr>
    <w:tblStylePr w:type="band1Vert">
      <w:tblPr/>
      <w:tcPr>
        <w:shd w:val="clear" w:color="auto" w:fill="C5F2F3"/>
      </w:tcPr>
    </w:tblStylePr>
    <w:tblStylePr w:type="band1Horz">
      <w:tblPr/>
      <w:tcPr>
        <w:shd w:val="clear" w:color="auto" w:fill="C5F2F3"/>
      </w:tcPr>
    </w:tblStylePr>
  </w:style>
  <w:style w:type="table" w:customStyle="1" w:styleId="MediumList211">
    <w:name w:val="Medium List 211"/>
    <w:basedOn w:val="TableNormal"/>
    <w:uiPriority w:val="66"/>
    <w:semiHidden/>
    <w:unhideWhenUsed/>
    <w:rsid w:val="005D784C"/>
    <w:pPr>
      <w:spacing w:after="0" w:line="240" w:lineRule="auto"/>
    </w:pPr>
    <w:rPr>
      <w:rFonts w:ascii="Arial" w:eastAsia="Times New Roman" w:hAnsi="Arial" w:cs="Times New Roman"/>
      <w:color w:val="000000"/>
      <w:sz w:val="20"/>
      <w:szCs w:val="20"/>
      <w:lang w:val="sq-AL"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111">
    <w:name w:val="Medium Shading 111"/>
    <w:basedOn w:val="TableNormal"/>
    <w:uiPriority w:val="63"/>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
    <w:name w:val="Medium Shading 1 - Accent 111"/>
    <w:basedOn w:val="TableNormal"/>
    <w:uiPriority w:val="63"/>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8" w:space="0" w:color="50DADB"/>
        <w:left w:val="single" w:sz="8" w:space="0" w:color="50DADB"/>
        <w:bottom w:val="single" w:sz="8" w:space="0" w:color="50DADB"/>
        <w:right w:val="single" w:sz="8" w:space="0" w:color="50DADB"/>
        <w:insideH w:val="single" w:sz="8" w:space="0" w:color="50DADB"/>
      </w:tblBorders>
    </w:tblPr>
    <w:tblStylePr w:type="firstRow">
      <w:pPr>
        <w:spacing w:before="0" w:after="0" w:line="240" w:lineRule="auto"/>
      </w:pPr>
      <w:rPr>
        <w:b/>
        <w:bCs/>
        <w:color w:val="FFFFFF"/>
      </w:rPr>
      <w:tblPr/>
      <w:tcPr>
        <w:tcBorders>
          <w:top w:val="single" w:sz="8" w:space="0" w:color="50DADB"/>
          <w:left w:val="single" w:sz="8" w:space="0" w:color="50DADB"/>
          <w:bottom w:val="single" w:sz="8" w:space="0" w:color="50DADB"/>
          <w:right w:val="single" w:sz="8" w:space="0" w:color="50DADB"/>
          <w:insideH w:val="nil"/>
          <w:insideV w:val="nil"/>
        </w:tcBorders>
        <w:shd w:val="clear" w:color="auto" w:fill="27BDBE"/>
      </w:tcPr>
    </w:tblStylePr>
    <w:tblStylePr w:type="lastRow">
      <w:pPr>
        <w:spacing w:before="0" w:after="0" w:line="240" w:lineRule="auto"/>
      </w:pPr>
      <w:rPr>
        <w:b/>
        <w:bCs/>
      </w:rPr>
      <w:tblPr/>
      <w:tcPr>
        <w:tcBorders>
          <w:top w:val="double" w:sz="6" w:space="0" w:color="50DADB"/>
          <w:left w:val="single" w:sz="8" w:space="0" w:color="50DADB"/>
          <w:bottom w:val="single" w:sz="8" w:space="0" w:color="50DADB"/>
          <w:right w:val="single" w:sz="8" w:space="0" w:color="50DADB"/>
          <w:insideH w:val="nil"/>
          <w:insideV w:val="nil"/>
        </w:tcBorders>
      </w:tcPr>
    </w:tblStylePr>
    <w:tblStylePr w:type="firstCol">
      <w:rPr>
        <w:b/>
        <w:bCs/>
      </w:rPr>
    </w:tblStylePr>
    <w:tblStylePr w:type="lastCol">
      <w:rPr>
        <w:b/>
        <w:bCs/>
      </w:rPr>
    </w:tblStylePr>
    <w:tblStylePr w:type="band1Vert">
      <w:tblPr/>
      <w:tcPr>
        <w:shd w:val="clear" w:color="auto" w:fill="C5F2F3"/>
      </w:tcPr>
    </w:tblStylePr>
    <w:tblStylePr w:type="band1Horz">
      <w:tblPr/>
      <w:tcPr>
        <w:tcBorders>
          <w:insideH w:val="nil"/>
          <w:insideV w:val="nil"/>
        </w:tcBorders>
        <w:shd w:val="clear" w:color="auto" w:fill="C5F2F3"/>
      </w:tcPr>
    </w:tblStylePr>
    <w:tblStylePr w:type="band2Horz">
      <w:tblPr/>
      <w:tcPr>
        <w:tcBorders>
          <w:insideH w:val="nil"/>
          <w:insideV w:val="nil"/>
        </w:tcBorders>
      </w:tcPr>
    </w:tblStylePr>
  </w:style>
  <w:style w:type="table" w:customStyle="1" w:styleId="MediumShading211">
    <w:name w:val="Medium Shading 211"/>
    <w:basedOn w:val="TableNormal"/>
    <w:uiPriority w:val="64"/>
    <w:semiHidden/>
    <w:unhideWhenUsed/>
    <w:rsid w:val="005D784C"/>
    <w:pPr>
      <w:spacing w:after="0" w:line="240" w:lineRule="auto"/>
    </w:pPr>
    <w:rPr>
      <w:rFonts w:ascii="Arial" w:eastAsia="Times New Roman" w:hAnsi="Arial"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UnresolvedMention21">
    <w:name w:val="Unresolved Mention21"/>
    <w:uiPriority w:val="99"/>
    <w:semiHidden/>
    <w:unhideWhenUsed/>
    <w:rsid w:val="005D784C"/>
    <w:rPr>
      <w:color w:val="808080"/>
      <w:shd w:val="clear" w:color="auto" w:fill="E6E6E6"/>
    </w:rPr>
  </w:style>
  <w:style w:type="table" w:customStyle="1" w:styleId="MediumShading2-Accent12">
    <w:name w:val="Medium Shading 2 - Accent 12"/>
    <w:basedOn w:val="TableNormal"/>
    <w:uiPriority w:val="64"/>
    <w:rsid w:val="005D784C"/>
    <w:pPr>
      <w:spacing w:before="120" w:after="0" w:line="240" w:lineRule="auto"/>
    </w:pPr>
    <w:rPr>
      <w:rFonts w:ascii="Arial" w:eastAsia="SimSun" w:hAnsi="Arial" w:cs="Arial"/>
      <w:color w:val="808080"/>
      <w:sz w:val="20"/>
      <w:szCs w:val="20"/>
      <w:lang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7BDB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7BDBE"/>
      </w:tcPr>
    </w:tblStylePr>
    <w:tblStylePr w:type="lastCol">
      <w:rPr>
        <w:b/>
        <w:bCs/>
        <w:color w:val="FFFFFF"/>
      </w:rPr>
      <w:tblPr/>
      <w:tcPr>
        <w:tcBorders>
          <w:left w:val="nil"/>
          <w:right w:val="nil"/>
          <w:insideH w:val="nil"/>
          <w:insideV w:val="nil"/>
        </w:tcBorders>
        <w:shd w:val="clear" w:color="auto" w:fill="27BDB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uiPriority w:val="73"/>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2">
    <w:name w:val="Colorful List2"/>
    <w:basedOn w:val="TableNormal"/>
    <w:uiPriority w:val="72"/>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007E7A"/>
      </w:tcPr>
    </w:tblStylePr>
    <w:tblStylePr w:type="lastRow">
      <w:rPr>
        <w:b/>
        <w:bCs/>
        <w:color w:val="007E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2">
    <w:name w:val="Colorful Shading2"/>
    <w:basedOn w:val="TableNormal"/>
    <w:uiPriority w:val="71"/>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top w:val="single" w:sz="24" w:space="0" w:color="009E9A"/>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009E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2">
    <w:name w:val="Dark List2"/>
    <w:basedOn w:val="TableNormal"/>
    <w:uiPriority w:val="70"/>
    <w:semiHidden/>
    <w:unhideWhenUsed/>
    <w:rsid w:val="005D784C"/>
    <w:pPr>
      <w:spacing w:after="0" w:line="240" w:lineRule="auto"/>
    </w:pPr>
    <w:rPr>
      <w:rFonts w:ascii="Arial" w:eastAsia="SimSun" w:hAnsi="Arial" w:cs="Arial"/>
      <w:color w:val="FFFFFF"/>
      <w:sz w:val="20"/>
      <w:szCs w:val="20"/>
      <w:lang w:eastAsia="sq-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ghtGrid2">
    <w:name w:val="Light Grid2"/>
    <w:basedOn w:val="TableNormal"/>
    <w:uiPriority w:val="62"/>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SimSun" w:hAnsi="Arial" w:cs="Ari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SimSun" w:hAnsi="Arial" w:cs="Ari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SimSun" w:hAnsi="Arial" w:cs="Arial"/>
        <w:b/>
        <w:bCs/>
      </w:rPr>
    </w:tblStylePr>
    <w:tblStylePr w:type="lastCol">
      <w:rPr>
        <w:rFonts w:ascii="Arial" w:eastAsia="SimSun" w:hAnsi="Arial" w:cs="Arial"/>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uiPriority w:val="62"/>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27BDBE"/>
        <w:left w:val="single" w:sz="8" w:space="0" w:color="27BDBE"/>
        <w:bottom w:val="single" w:sz="8" w:space="0" w:color="27BDBE"/>
        <w:right w:val="single" w:sz="8" w:space="0" w:color="27BDBE"/>
        <w:insideH w:val="single" w:sz="8" w:space="0" w:color="27BDBE"/>
        <w:insideV w:val="single" w:sz="8" w:space="0" w:color="27BDBE"/>
      </w:tblBorders>
    </w:tblPr>
    <w:tblStylePr w:type="firstRow">
      <w:pPr>
        <w:spacing w:before="0" w:after="0" w:line="240" w:lineRule="auto"/>
      </w:pPr>
      <w:rPr>
        <w:rFonts w:ascii="Arial" w:eastAsia="SimSun" w:hAnsi="Arial" w:cs="Arial"/>
        <w:b/>
        <w:bCs/>
      </w:rPr>
      <w:tblPr/>
      <w:tcPr>
        <w:tcBorders>
          <w:top w:val="single" w:sz="8" w:space="0" w:color="27BDBE"/>
          <w:left w:val="single" w:sz="8" w:space="0" w:color="27BDBE"/>
          <w:bottom w:val="single" w:sz="18" w:space="0" w:color="27BDBE"/>
          <w:right w:val="single" w:sz="8" w:space="0" w:color="27BDBE"/>
          <w:insideH w:val="nil"/>
          <w:insideV w:val="single" w:sz="8" w:space="0" w:color="27BDBE"/>
        </w:tcBorders>
      </w:tcPr>
    </w:tblStylePr>
    <w:tblStylePr w:type="lastRow">
      <w:pPr>
        <w:spacing w:before="0" w:after="0" w:line="240" w:lineRule="auto"/>
      </w:pPr>
      <w:rPr>
        <w:rFonts w:ascii="Arial" w:eastAsia="SimSun" w:hAnsi="Arial" w:cs="Arial"/>
        <w:b/>
        <w:bCs/>
      </w:rPr>
      <w:tblPr/>
      <w:tcPr>
        <w:tcBorders>
          <w:top w:val="double" w:sz="6" w:space="0" w:color="27BDBE"/>
          <w:left w:val="single" w:sz="8" w:space="0" w:color="27BDBE"/>
          <w:bottom w:val="single" w:sz="8" w:space="0" w:color="27BDBE"/>
          <w:right w:val="single" w:sz="8" w:space="0" w:color="27BDBE"/>
          <w:insideH w:val="nil"/>
          <w:insideV w:val="single" w:sz="8" w:space="0" w:color="27BDBE"/>
        </w:tcBorders>
      </w:tcPr>
    </w:tblStylePr>
    <w:tblStylePr w:type="firstCol">
      <w:rPr>
        <w:rFonts w:ascii="Arial" w:eastAsia="SimSun" w:hAnsi="Arial" w:cs="Arial"/>
        <w:b/>
        <w:bCs/>
      </w:rPr>
    </w:tblStylePr>
    <w:tblStylePr w:type="lastCol">
      <w:rPr>
        <w:rFonts w:ascii="Arial" w:eastAsia="SimSun" w:hAnsi="Arial" w:cs="Arial"/>
        <w:b/>
        <w:bCs/>
      </w:rPr>
      <w:tblPr/>
      <w:tcPr>
        <w:tcBorders>
          <w:top w:val="single" w:sz="8" w:space="0" w:color="27BDBE"/>
          <w:left w:val="single" w:sz="8" w:space="0" w:color="27BDBE"/>
          <w:bottom w:val="single" w:sz="8" w:space="0" w:color="27BDBE"/>
          <w:right w:val="single" w:sz="8" w:space="0" w:color="27BDBE"/>
        </w:tcBorders>
      </w:tcPr>
    </w:tblStylePr>
    <w:tblStylePr w:type="band1Vert">
      <w:tblPr/>
      <w:tcPr>
        <w:tcBorders>
          <w:top w:val="single" w:sz="8" w:space="0" w:color="27BDBE"/>
          <w:left w:val="single" w:sz="8" w:space="0" w:color="27BDBE"/>
          <w:bottom w:val="single" w:sz="8" w:space="0" w:color="27BDBE"/>
          <w:right w:val="single" w:sz="8" w:space="0" w:color="27BDBE"/>
        </w:tcBorders>
        <w:shd w:val="clear" w:color="auto" w:fill="C5F2F3"/>
      </w:tcPr>
    </w:tblStylePr>
    <w:tblStylePr w:type="band1Horz">
      <w:tblPr/>
      <w:tcPr>
        <w:tcBorders>
          <w:top w:val="single" w:sz="8" w:space="0" w:color="27BDBE"/>
          <w:left w:val="single" w:sz="8" w:space="0" w:color="27BDBE"/>
          <w:bottom w:val="single" w:sz="8" w:space="0" w:color="27BDBE"/>
          <w:right w:val="single" w:sz="8" w:space="0" w:color="27BDBE"/>
          <w:insideV w:val="single" w:sz="8" w:space="0" w:color="27BDBE"/>
        </w:tcBorders>
        <w:shd w:val="clear" w:color="auto" w:fill="C5F2F3"/>
      </w:tcPr>
    </w:tblStylePr>
    <w:tblStylePr w:type="band2Horz">
      <w:tblPr/>
      <w:tcPr>
        <w:tcBorders>
          <w:top w:val="single" w:sz="8" w:space="0" w:color="27BDBE"/>
          <w:left w:val="single" w:sz="8" w:space="0" w:color="27BDBE"/>
          <w:bottom w:val="single" w:sz="8" w:space="0" w:color="27BDBE"/>
          <w:right w:val="single" w:sz="8" w:space="0" w:color="27BDBE"/>
          <w:insideV w:val="single" w:sz="8" w:space="0" w:color="27BDBE"/>
        </w:tcBorders>
      </w:tcPr>
    </w:tblStylePr>
  </w:style>
  <w:style w:type="table" w:customStyle="1" w:styleId="LightList2">
    <w:name w:val="Light List2"/>
    <w:basedOn w:val="TableNormal"/>
    <w:uiPriority w:val="61"/>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4">
    <w:name w:val="Light List - Accent 14"/>
    <w:basedOn w:val="TableNormal"/>
    <w:uiPriority w:val="61"/>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27BDBE"/>
        <w:left w:val="single" w:sz="8" w:space="0" w:color="27BDBE"/>
        <w:bottom w:val="single" w:sz="8" w:space="0" w:color="27BDBE"/>
        <w:right w:val="single" w:sz="8" w:space="0" w:color="27BDBE"/>
      </w:tblBorders>
    </w:tblPr>
    <w:tblStylePr w:type="firstRow">
      <w:pPr>
        <w:spacing w:before="0" w:after="0" w:line="240" w:lineRule="auto"/>
      </w:pPr>
      <w:rPr>
        <w:b/>
        <w:bCs/>
        <w:color w:val="FFFFFF"/>
      </w:rPr>
      <w:tblPr/>
      <w:tcPr>
        <w:shd w:val="clear" w:color="auto" w:fill="27BDBE"/>
      </w:tcPr>
    </w:tblStylePr>
    <w:tblStylePr w:type="lastRow">
      <w:pPr>
        <w:spacing w:before="0" w:after="0" w:line="240" w:lineRule="auto"/>
      </w:pPr>
      <w:rPr>
        <w:b/>
        <w:bCs/>
      </w:rPr>
      <w:tblPr/>
      <w:tcPr>
        <w:tcBorders>
          <w:top w:val="double" w:sz="6" w:space="0" w:color="27BDBE"/>
          <w:left w:val="single" w:sz="8" w:space="0" w:color="27BDBE"/>
          <w:bottom w:val="single" w:sz="8" w:space="0" w:color="27BDBE"/>
          <w:right w:val="single" w:sz="8" w:space="0" w:color="27BDBE"/>
        </w:tcBorders>
      </w:tcPr>
    </w:tblStylePr>
    <w:tblStylePr w:type="firstCol">
      <w:rPr>
        <w:b/>
        <w:bCs/>
      </w:rPr>
    </w:tblStylePr>
    <w:tblStylePr w:type="lastCol">
      <w:rPr>
        <w:b/>
        <w:bCs/>
      </w:rPr>
    </w:tblStylePr>
    <w:tblStylePr w:type="band1Vert">
      <w:tblPr/>
      <w:tcPr>
        <w:tcBorders>
          <w:top w:val="single" w:sz="8" w:space="0" w:color="27BDBE"/>
          <w:left w:val="single" w:sz="8" w:space="0" w:color="27BDBE"/>
          <w:bottom w:val="single" w:sz="8" w:space="0" w:color="27BDBE"/>
          <w:right w:val="single" w:sz="8" w:space="0" w:color="27BDBE"/>
        </w:tcBorders>
      </w:tcPr>
    </w:tblStylePr>
    <w:tblStylePr w:type="band1Horz">
      <w:tblPr/>
      <w:tcPr>
        <w:tcBorders>
          <w:top w:val="single" w:sz="8" w:space="0" w:color="27BDBE"/>
          <w:left w:val="single" w:sz="8" w:space="0" w:color="27BDBE"/>
          <w:bottom w:val="single" w:sz="8" w:space="0" w:color="27BDBE"/>
          <w:right w:val="single" w:sz="8" w:space="0" w:color="27BDBE"/>
        </w:tcBorders>
      </w:tcPr>
    </w:tblStylePr>
  </w:style>
  <w:style w:type="table" w:customStyle="1" w:styleId="LightShading2">
    <w:name w:val="Light Shading2"/>
    <w:basedOn w:val="TableNormal"/>
    <w:uiPriority w:val="60"/>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uiPriority w:val="60"/>
    <w:semiHidden/>
    <w:unhideWhenUsed/>
    <w:rsid w:val="005D784C"/>
    <w:pPr>
      <w:spacing w:after="0" w:line="240" w:lineRule="auto"/>
    </w:pPr>
    <w:rPr>
      <w:rFonts w:ascii="Arial" w:eastAsia="SimSun" w:hAnsi="Arial" w:cs="Arial"/>
      <w:color w:val="1D8D8E"/>
      <w:sz w:val="20"/>
      <w:szCs w:val="20"/>
      <w:lang w:eastAsia="sq-AL"/>
    </w:rPr>
    <w:tblPr>
      <w:tblStyleRowBandSize w:val="1"/>
      <w:tblStyleColBandSize w:val="1"/>
      <w:tblBorders>
        <w:top w:val="single" w:sz="8" w:space="0" w:color="27BDBE"/>
        <w:bottom w:val="single" w:sz="8" w:space="0" w:color="27BDBE"/>
      </w:tblBorders>
    </w:tblPr>
    <w:tblStylePr w:type="firstRow">
      <w:pPr>
        <w:spacing w:before="0" w:after="0" w:line="240" w:lineRule="auto"/>
      </w:pPr>
      <w:rPr>
        <w:b/>
        <w:bCs/>
      </w:rPr>
      <w:tblPr/>
      <w:tcPr>
        <w:tcBorders>
          <w:top w:val="single" w:sz="8" w:space="0" w:color="27BDBE"/>
          <w:left w:val="nil"/>
          <w:bottom w:val="single" w:sz="8" w:space="0" w:color="27BDBE"/>
          <w:right w:val="nil"/>
          <w:insideH w:val="nil"/>
          <w:insideV w:val="nil"/>
        </w:tcBorders>
      </w:tcPr>
    </w:tblStylePr>
    <w:tblStylePr w:type="lastRow">
      <w:pPr>
        <w:spacing w:before="0" w:after="0" w:line="240" w:lineRule="auto"/>
      </w:pPr>
      <w:rPr>
        <w:b/>
        <w:bCs/>
      </w:rPr>
      <w:tblPr/>
      <w:tcPr>
        <w:tcBorders>
          <w:top w:val="single" w:sz="8" w:space="0" w:color="27BDBE"/>
          <w:left w:val="nil"/>
          <w:bottom w:val="single" w:sz="8" w:space="0" w:color="27BDB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F2F3"/>
      </w:tcPr>
    </w:tblStylePr>
    <w:tblStylePr w:type="band1Horz">
      <w:tblPr/>
      <w:tcPr>
        <w:tcBorders>
          <w:left w:val="nil"/>
          <w:right w:val="nil"/>
          <w:insideH w:val="nil"/>
          <w:insideV w:val="nil"/>
        </w:tcBorders>
        <w:shd w:val="clear" w:color="auto" w:fill="C5F2F3"/>
      </w:tcPr>
    </w:tblStylePr>
  </w:style>
  <w:style w:type="table" w:customStyle="1" w:styleId="MediumGrid12">
    <w:name w:val="Medium Grid 12"/>
    <w:basedOn w:val="TableNormal"/>
    <w:uiPriority w:val="67"/>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2">
    <w:name w:val="Medium Grid 22"/>
    <w:basedOn w:val="TableNormal"/>
    <w:uiPriority w:val="68"/>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2">
    <w:name w:val="Medium Grid 32"/>
    <w:basedOn w:val="TableNormal"/>
    <w:uiPriority w:val="69"/>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List12">
    <w:name w:val="Medium List 12"/>
    <w:basedOn w:val="TableNormal"/>
    <w:uiPriority w:val="65"/>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top w:val="single" w:sz="8" w:space="0" w:color="000000"/>
        <w:bottom w:val="single" w:sz="8" w:space="0" w:color="000000"/>
      </w:tblBorders>
    </w:tblPr>
    <w:tblStylePr w:type="firstRow">
      <w:rPr>
        <w:rFonts w:ascii="Arial" w:eastAsia="SimSun" w:hAnsi="Arial" w:cs="Arial"/>
      </w:rPr>
      <w:tblPr/>
      <w:tcPr>
        <w:tcBorders>
          <w:top w:val="nil"/>
          <w:bottom w:val="single" w:sz="8" w:space="0" w:color="000000"/>
        </w:tcBorders>
      </w:tcPr>
    </w:tblStylePr>
    <w:tblStylePr w:type="lastRow">
      <w:rPr>
        <w:b/>
        <w:bCs/>
        <w:color w:val="61606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uiPriority w:val="65"/>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top w:val="single" w:sz="8" w:space="0" w:color="27BDBE"/>
        <w:bottom w:val="single" w:sz="8" w:space="0" w:color="27BDBE"/>
      </w:tblBorders>
    </w:tblPr>
    <w:tblStylePr w:type="firstRow">
      <w:rPr>
        <w:rFonts w:ascii="Arial" w:eastAsia="SimSun" w:hAnsi="Arial" w:cs="Arial"/>
      </w:rPr>
      <w:tblPr/>
      <w:tcPr>
        <w:tcBorders>
          <w:top w:val="nil"/>
          <w:bottom w:val="single" w:sz="8" w:space="0" w:color="27BDBE"/>
        </w:tcBorders>
      </w:tcPr>
    </w:tblStylePr>
    <w:tblStylePr w:type="lastRow">
      <w:rPr>
        <w:b/>
        <w:bCs/>
        <w:color w:val="616061"/>
      </w:rPr>
      <w:tblPr/>
      <w:tcPr>
        <w:tcBorders>
          <w:top w:val="single" w:sz="8" w:space="0" w:color="27BDBE"/>
          <w:bottom w:val="single" w:sz="8" w:space="0" w:color="27BDBE"/>
        </w:tcBorders>
      </w:tcPr>
    </w:tblStylePr>
    <w:tblStylePr w:type="firstCol">
      <w:rPr>
        <w:b/>
        <w:bCs/>
      </w:rPr>
    </w:tblStylePr>
    <w:tblStylePr w:type="lastCol">
      <w:rPr>
        <w:b/>
        <w:bCs/>
      </w:rPr>
      <w:tblPr/>
      <w:tcPr>
        <w:tcBorders>
          <w:top w:val="single" w:sz="8" w:space="0" w:color="27BDBE"/>
          <w:bottom w:val="single" w:sz="8" w:space="0" w:color="27BDBE"/>
        </w:tcBorders>
      </w:tcPr>
    </w:tblStylePr>
    <w:tblStylePr w:type="band1Vert">
      <w:tblPr/>
      <w:tcPr>
        <w:shd w:val="clear" w:color="auto" w:fill="C5F2F3"/>
      </w:tcPr>
    </w:tblStylePr>
    <w:tblStylePr w:type="band1Horz">
      <w:tblPr/>
      <w:tcPr>
        <w:shd w:val="clear" w:color="auto" w:fill="C5F2F3"/>
      </w:tcPr>
    </w:tblStylePr>
  </w:style>
  <w:style w:type="table" w:customStyle="1" w:styleId="MediumList22">
    <w:name w:val="Medium List 22"/>
    <w:basedOn w:val="TableNormal"/>
    <w:uiPriority w:val="66"/>
    <w:semiHidden/>
    <w:unhideWhenUsed/>
    <w:rsid w:val="005D784C"/>
    <w:pPr>
      <w:spacing w:after="0" w:line="240" w:lineRule="auto"/>
    </w:pPr>
    <w:rPr>
      <w:rFonts w:ascii="Arial" w:eastAsia="SimSun" w:hAnsi="Arial" w:cs="Arial"/>
      <w:color w:val="000000"/>
      <w:sz w:val="20"/>
      <w:szCs w:val="20"/>
      <w:lang w:eastAsia="sq-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eNormal"/>
    <w:uiPriority w:val="63"/>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uiPriority w:val="63"/>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8" w:space="0" w:color="50DADB"/>
        <w:left w:val="single" w:sz="8" w:space="0" w:color="50DADB"/>
        <w:bottom w:val="single" w:sz="8" w:space="0" w:color="50DADB"/>
        <w:right w:val="single" w:sz="8" w:space="0" w:color="50DADB"/>
        <w:insideH w:val="single" w:sz="8" w:space="0" w:color="50DADB"/>
      </w:tblBorders>
    </w:tblPr>
    <w:tblStylePr w:type="firstRow">
      <w:pPr>
        <w:spacing w:before="0" w:after="0" w:line="240" w:lineRule="auto"/>
      </w:pPr>
      <w:rPr>
        <w:b/>
        <w:bCs/>
        <w:color w:val="FFFFFF"/>
      </w:rPr>
      <w:tblPr/>
      <w:tcPr>
        <w:tcBorders>
          <w:top w:val="single" w:sz="8" w:space="0" w:color="50DADB"/>
          <w:left w:val="single" w:sz="8" w:space="0" w:color="50DADB"/>
          <w:bottom w:val="single" w:sz="8" w:space="0" w:color="50DADB"/>
          <w:right w:val="single" w:sz="8" w:space="0" w:color="50DADB"/>
          <w:insideH w:val="nil"/>
          <w:insideV w:val="nil"/>
        </w:tcBorders>
        <w:shd w:val="clear" w:color="auto" w:fill="27BDBE"/>
      </w:tcPr>
    </w:tblStylePr>
    <w:tblStylePr w:type="lastRow">
      <w:pPr>
        <w:spacing w:before="0" w:after="0" w:line="240" w:lineRule="auto"/>
      </w:pPr>
      <w:rPr>
        <w:b/>
        <w:bCs/>
      </w:rPr>
      <w:tblPr/>
      <w:tcPr>
        <w:tcBorders>
          <w:top w:val="double" w:sz="6" w:space="0" w:color="50DADB"/>
          <w:left w:val="single" w:sz="8" w:space="0" w:color="50DADB"/>
          <w:bottom w:val="single" w:sz="8" w:space="0" w:color="50DADB"/>
          <w:right w:val="single" w:sz="8" w:space="0" w:color="50DADB"/>
          <w:insideH w:val="nil"/>
          <w:insideV w:val="nil"/>
        </w:tcBorders>
      </w:tcPr>
    </w:tblStylePr>
    <w:tblStylePr w:type="firstCol">
      <w:rPr>
        <w:b/>
        <w:bCs/>
      </w:rPr>
    </w:tblStylePr>
    <w:tblStylePr w:type="lastCol">
      <w:rPr>
        <w:b/>
        <w:bCs/>
      </w:rPr>
    </w:tblStylePr>
    <w:tblStylePr w:type="band1Vert">
      <w:tblPr/>
      <w:tcPr>
        <w:shd w:val="clear" w:color="auto" w:fill="C5F2F3"/>
      </w:tcPr>
    </w:tblStylePr>
    <w:tblStylePr w:type="band1Horz">
      <w:tblPr/>
      <w:tcPr>
        <w:tcBorders>
          <w:insideH w:val="nil"/>
          <w:insideV w:val="nil"/>
        </w:tcBorders>
        <w:shd w:val="clear" w:color="auto" w:fill="C5F2F3"/>
      </w:tcPr>
    </w:tblStylePr>
    <w:tblStylePr w:type="band2Horz">
      <w:tblPr/>
      <w:tcPr>
        <w:tcBorders>
          <w:insideH w:val="nil"/>
          <w:insideV w:val="nil"/>
        </w:tcBorders>
      </w:tcPr>
    </w:tblStylePr>
  </w:style>
  <w:style w:type="table" w:customStyle="1" w:styleId="MediumShading22">
    <w:name w:val="Medium Shading 22"/>
    <w:basedOn w:val="TableNormal"/>
    <w:uiPriority w:val="64"/>
    <w:semiHidden/>
    <w:unhideWhenUsed/>
    <w:rsid w:val="005D784C"/>
    <w:pPr>
      <w:spacing w:after="0" w:line="240" w:lineRule="auto"/>
    </w:pPr>
    <w:rPr>
      <w:rFonts w:ascii="Arial" w:eastAsia="SimSun" w:hAnsi="Arial" w:cs="Arial"/>
      <w:sz w:val="20"/>
      <w:szCs w:val="20"/>
      <w:lang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UnresolvedMention3">
    <w:name w:val="Unresolved Mention3"/>
    <w:uiPriority w:val="99"/>
    <w:semiHidden/>
    <w:unhideWhenUsed/>
    <w:rsid w:val="005D784C"/>
    <w:rPr>
      <w:color w:val="808080"/>
      <w:shd w:val="clear" w:color="auto" w:fill="E6E6E6"/>
    </w:rPr>
  </w:style>
  <w:style w:type="character" w:customStyle="1" w:styleId="UnresolvedMention4">
    <w:name w:val="Unresolved Mention4"/>
    <w:uiPriority w:val="99"/>
    <w:semiHidden/>
    <w:unhideWhenUsed/>
    <w:rsid w:val="005D784C"/>
    <w:rPr>
      <w:color w:val="808080"/>
      <w:shd w:val="clear" w:color="auto" w:fill="E6E6E6"/>
    </w:rPr>
  </w:style>
  <w:style w:type="numbering" w:customStyle="1" w:styleId="Style1">
    <w:name w:val="Style1"/>
    <w:uiPriority w:val="99"/>
    <w:rsid w:val="005D784C"/>
    <w:pPr>
      <w:numPr>
        <w:numId w:val="49"/>
      </w:numPr>
    </w:pPr>
  </w:style>
  <w:style w:type="character" w:customStyle="1" w:styleId="UnresolvedMention5">
    <w:name w:val="Unresolved Mention5"/>
    <w:uiPriority w:val="99"/>
    <w:semiHidden/>
    <w:unhideWhenUsed/>
    <w:rsid w:val="005D784C"/>
    <w:rPr>
      <w:color w:val="808080"/>
      <w:shd w:val="clear" w:color="auto" w:fill="E6E6E6"/>
    </w:rPr>
  </w:style>
  <w:style w:type="character" w:customStyle="1" w:styleId="UnresolvedMention">
    <w:name w:val="Unresolved Mention"/>
    <w:uiPriority w:val="99"/>
    <w:semiHidden/>
    <w:unhideWhenUsed/>
    <w:rsid w:val="005D784C"/>
    <w:rPr>
      <w:color w:val="605E5C"/>
      <w:shd w:val="clear" w:color="auto" w:fill="E1DFDD"/>
    </w:rPr>
  </w:style>
  <w:style w:type="paragraph" w:customStyle="1" w:styleId="FOTNOTA">
    <w:name w:val="FOTNOTA"/>
    <w:basedOn w:val="FootnoteText"/>
    <w:qFormat/>
    <w:rsid w:val="00BB75DE"/>
    <w:pPr>
      <w:spacing w:before="0"/>
      <w:ind w:left="0" w:firstLine="0"/>
      <w:jc w:val="both"/>
    </w:pPr>
    <w:rPr>
      <w:rFonts w:ascii="Garamond" w:hAnsi="Garamond"/>
      <w:sz w:val="20"/>
    </w:rPr>
  </w:style>
  <w:style w:type="paragraph" w:customStyle="1" w:styleId="REFERENCAAAAAA">
    <w:name w:val="REFERENCAAAAAA"/>
    <w:basedOn w:val="FOTNOTA"/>
    <w:qFormat/>
    <w:rsid w:val="00BB75DE"/>
  </w:style>
  <w:style w:type="paragraph" w:customStyle="1" w:styleId="Notes">
    <w:name w:val="Notes"/>
    <w:basedOn w:val="Normal"/>
    <w:next w:val="Normal"/>
    <w:rsid w:val="0085472E"/>
    <w:pPr>
      <w:spacing w:after="0" w:line="240" w:lineRule="auto"/>
    </w:pPr>
    <w:rPr>
      <w:rFonts w:ascii="Times New Roman" w:eastAsia="Times New Roman" w:hAnsi="Times New Roman" w:cs="Times New Roman"/>
      <w:sz w:val="20"/>
      <w:szCs w:val="20"/>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rbiba@abkons.com" TargetMode="External"/><Relationship Id="rId21" Type="http://schemas.openxmlformats.org/officeDocument/2006/relationships/image" Target="media/image7.png"/><Relationship Id="rId42" Type="http://schemas.openxmlformats.org/officeDocument/2006/relationships/image" Target="media/image21.jpeg"/><Relationship Id="rId63" Type="http://schemas.openxmlformats.org/officeDocument/2006/relationships/image" Target="media/image38.jpeg"/><Relationship Id="rId84" Type="http://schemas.openxmlformats.org/officeDocument/2006/relationships/image" Target="media/image57.png"/><Relationship Id="rId138" Type="http://schemas.openxmlformats.org/officeDocument/2006/relationships/image" Target="media/image91.jpeg"/><Relationship Id="rId107" Type="http://schemas.openxmlformats.org/officeDocument/2006/relationships/hyperlink" Target="mailto:nkola@abkons.com" TargetMode="External"/><Relationship Id="rId11" Type="http://schemas.openxmlformats.org/officeDocument/2006/relationships/settings" Target="settings.xml"/><Relationship Id="rId32" Type="http://schemas.openxmlformats.org/officeDocument/2006/relationships/hyperlink" Target="http://www.akzm.gov.al/apps/akzm_cd/Kukes/KU_Mon/KU35.htm" TargetMode="External"/><Relationship Id="rId37" Type="http://schemas.openxmlformats.org/officeDocument/2006/relationships/image" Target="media/image16.jpeg"/><Relationship Id="rId53" Type="http://schemas.openxmlformats.org/officeDocument/2006/relationships/image" Target="media/image32.jpeg"/><Relationship Id="rId58" Type="http://schemas.openxmlformats.org/officeDocument/2006/relationships/image" Target="media/image36.jpeg"/><Relationship Id="rId74" Type="http://schemas.openxmlformats.org/officeDocument/2006/relationships/hyperlink" Target="http://www.desinventar.net/DesInventar/profiletab.jsp." TargetMode="External"/><Relationship Id="rId79" Type="http://schemas.openxmlformats.org/officeDocument/2006/relationships/image" Target="media/image52.png"/><Relationship Id="rId102" Type="http://schemas.openxmlformats.org/officeDocument/2006/relationships/hyperlink" Target="mailto:rbiba@abkons.com" TargetMode="External"/><Relationship Id="rId123" Type="http://schemas.openxmlformats.org/officeDocument/2006/relationships/image" Target="media/image76.jpeg"/><Relationship Id="rId128" Type="http://schemas.openxmlformats.org/officeDocument/2006/relationships/image" Target="media/image81.jpeg"/><Relationship Id="rId5" Type="http://schemas.openxmlformats.org/officeDocument/2006/relationships/customXml" Target="../customXml/item5.xml"/><Relationship Id="rId90" Type="http://schemas.openxmlformats.org/officeDocument/2006/relationships/image" Target="media/image63.png"/><Relationship Id="rId95" Type="http://schemas.openxmlformats.org/officeDocument/2006/relationships/image" Target="media/image68.jpeg"/><Relationship Id="rId22" Type="http://schemas.openxmlformats.org/officeDocument/2006/relationships/image" Target="media/image8.png"/><Relationship Id="rId27" Type="http://schemas.openxmlformats.org/officeDocument/2006/relationships/image" Target="media/image13.jpeg"/><Relationship Id="rId43" Type="http://schemas.openxmlformats.org/officeDocument/2006/relationships/image" Target="media/image22.jpeg"/><Relationship Id="rId48" Type="http://schemas.openxmlformats.org/officeDocument/2006/relationships/image" Target="media/image27.jpeg"/><Relationship Id="rId64" Type="http://schemas.openxmlformats.org/officeDocument/2006/relationships/image" Target="media/image39.jpeg"/><Relationship Id="rId69" Type="http://schemas.openxmlformats.org/officeDocument/2006/relationships/image" Target="media/image44.png"/><Relationship Id="rId113" Type="http://schemas.openxmlformats.org/officeDocument/2006/relationships/hyperlink" Target="mailto:nkola@abkons.com" TargetMode="External"/><Relationship Id="rId118" Type="http://schemas.openxmlformats.org/officeDocument/2006/relationships/header" Target="header1.xml"/><Relationship Id="rId134" Type="http://schemas.openxmlformats.org/officeDocument/2006/relationships/image" Target="media/image87.jpeg"/><Relationship Id="rId139" Type="http://schemas.openxmlformats.org/officeDocument/2006/relationships/image" Target="media/image92.jpeg"/><Relationship Id="rId80" Type="http://schemas.openxmlformats.org/officeDocument/2006/relationships/image" Target="media/image53.png"/><Relationship Id="rId85" Type="http://schemas.openxmlformats.org/officeDocument/2006/relationships/image" Target="media/image58.jpeg"/><Relationship Id="rId12" Type="http://schemas.openxmlformats.org/officeDocument/2006/relationships/webSettings" Target="webSettings.xml"/><Relationship Id="rId17" Type="http://schemas.openxmlformats.org/officeDocument/2006/relationships/image" Target="media/image3.jpeg"/><Relationship Id="rId33" Type="http://schemas.openxmlformats.org/officeDocument/2006/relationships/hyperlink" Target="http://www.akzm.gov.al/apps/akzm_cd/Kukes/KU_Mon/KU35.htm" TargetMode="External"/><Relationship Id="rId38" Type="http://schemas.openxmlformats.org/officeDocument/2006/relationships/image" Target="media/image17.emf"/><Relationship Id="rId59" Type="http://schemas.openxmlformats.org/officeDocument/2006/relationships/chart" Target="charts/chart2.xml"/><Relationship Id="rId103" Type="http://schemas.openxmlformats.org/officeDocument/2006/relationships/hyperlink" Target="mailto:hkamberi@abkons.com" TargetMode="External"/><Relationship Id="rId108" Type="http://schemas.openxmlformats.org/officeDocument/2006/relationships/hyperlink" Target="mailto:rbiba@abkons.com" TargetMode="External"/><Relationship Id="rId124" Type="http://schemas.openxmlformats.org/officeDocument/2006/relationships/image" Target="media/image77.jpeg"/><Relationship Id="rId129" Type="http://schemas.openxmlformats.org/officeDocument/2006/relationships/image" Target="media/image82.jpeg"/><Relationship Id="rId54" Type="http://schemas.openxmlformats.org/officeDocument/2006/relationships/chart" Target="charts/chart1.xml"/><Relationship Id="rId70" Type="http://schemas.openxmlformats.org/officeDocument/2006/relationships/image" Target="media/image45.png"/><Relationship Id="rId75" Type="http://schemas.openxmlformats.org/officeDocument/2006/relationships/image" Target="media/image48.jpeg"/><Relationship Id="rId91" Type="http://schemas.openxmlformats.org/officeDocument/2006/relationships/image" Target="media/image64.png"/><Relationship Id="rId96" Type="http://schemas.openxmlformats.org/officeDocument/2006/relationships/image" Target="media/image69.jpeg"/><Relationship Id="rId140" Type="http://schemas.openxmlformats.org/officeDocument/2006/relationships/image" Target="media/image93.jpeg"/><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9.png"/><Relationship Id="rId28" Type="http://schemas.openxmlformats.org/officeDocument/2006/relationships/image" Target="media/image14.jpeg"/><Relationship Id="rId49" Type="http://schemas.openxmlformats.org/officeDocument/2006/relationships/image" Target="media/image28.jpeg"/><Relationship Id="rId114" Type="http://schemas.openxmlformats.org/officeDocument/2006/relationships/hyperlink" Target="mailto:rbiba@abkons.com" TargetMode="External"/><Relationship Id="rId119" Type="http://schemas.openxmlformats.org/officeDocument/2006/relationships/footer" Target="footer2.xml"/><Relationship Id="rId44" Type="http://schemas.openxmlformats.org/officeDocument/2006/relationships/image" Target="media/image23.jpeg"/><Relationship Id="rId60" Type="http://schemas.openxmlformats.org/officeDocument/2006/relationships/image" Target="media/image37.png"/><Relationship Id="rId65" Type="http://schemas.openxmlformats.org/officeDocument/2006/relationships/image" Target="media/image40.jpeg"/><Relationship Id="rId81" Type="http://schemas.openxmlformats.org/officeDocument/2006/relationships/image" Target="media/image54.png"/><Relationship Id="rId86" Type="http://schemas.openxmlformats.org/officeDocument/2006/relationships/image" Target="media/image59.jpeg"/><Relationship Id="rId130" Type="http://schemas.openxmlformats.org/officeDocument/2006/relationships/image" Target="media/image83.jpeg"/><Relationship Id="rId135" Type="http://schemas.openxmlformats.org/officeDocument/2006/relationships/image" Target="media/image88.jpeg"/><Relationship Id="rId13" Type="http://schemas.openxmlformats.org/officeDocument/2006/relationships/footnotes" Target="footnotes.xml"/><Relationship Id="rId18" Type="http://schemas.openxmlformats.org/officeDocument/2006/relationships/image" Target="media/image4.png"/><Relationship Id="rId39" Type="http://schemas.openxmlformats.org/officeDocument/2006/relationships/image" Target="media/image18.jpeg"/><Relationship Id="rId109" Type="http://schemas.openxmlformats.org/officeDocument/2006/relationships/hyperlink" Target="mailto:hkamberi@abkons.com" TargetMode="External"/><Relationship Id="rId34" Type="http://schemas.openxmlformats.org/officeDocument/2006/relationships/hyperlink" Target="http://www.akzm.gov.al/apps/akzm_cd/Kukes/KU_Mon/KU35.htm" TargetMode="External"/><Relationship Id="rId50" Type="http://schemas.openxmlformats.org/officeDocument/2006/relationships/image" Target="media/image29.jpeg"/><Relationship Id="rId55" Type="http://schemas.openxmlformats.org/officeDocument/2006/relationships/image" Target="media/image33.png"/><Relationship Id="rId76" Type="http://schemas.openxmlformats.org/officeDocument/2006/relationships/image" Target="media/image49.jpeg"/><Relationship Id="rId97" Type="http://schemas.openxmlformats.org/officeDocument/2006/relationships/image" Target="media/image70.jpeg"/><Relationship Id="rId104" Type="http://schemas.openxmlformats.org/officeDocument/2006/relationships/hyperlink" Target="mailto:nkola@abkons.com" TargetMode="External"/><Relationship Id="rId120" Type="http://schemas.openxmlformats.org/officeDocument/2006/relationships/image" Target="media/image73.png"/><Relationship Id="rId125" Type="http://schemas.openxmlformats.org/officeDocument/2006/relationships/image" Target="media/image78.jpeg"/><Relationship Id="rId141" Type="http://schemas.openxmlformats.org/officeDocument/2006/relationships/image" Target="media/image94.png"/><Relationship Id="rId7" Type="http://schemas.openxmlformats.org/officeDocument/2006/relationships/customXml" Target="../customXml/item7.xml"/><Relationship Id="rId71" Type="http://schemas.openxmlformats.org/officeDocument/2006/relationships/image" Target="media/image46.png"/><Relationship Id="rId92" Type="http://schemas.openxmlformats.org/officeDocument/2006/relationships/image" Target="media/image65.png"/><Relationship Id="rId2" Type="http://schemas.openxmlformats.org/officeDocument/2006/relationships/customXml" Target="../customXml/item2.xml"/><Relationship Id="rId29" Type="http://schemas.openxmlformats.org/officeDocument/2006/relationships/image" Target="media/image15.jpeg"/><Relationship Id="rId24" Type="http://schemas.openxmlformats.org/officeDocument/2006/relationships/image" Target="media/image10.png"/><Relationship Id="rId40" Type="http://schemas.openxmlformats.org/officeDocument/2006/relationships/image" Target="media/image19.jpeg"/><Relationship Id="rId45" Type="http://schemas.openxmlformats.org/officeDocument/2006/relationships/image" Target="media/image24.jpeg"/><Relationship Id="rId66" Type="http://schemas.openxmlformats.org/officeDocument/2006/relationships/image" Target="media/image41.png"/><Relationship Id="rId87" Type="http://schemas.openxmlformats.org/officeDocument/2006/relationships/image" Target="media/image60.jpeg"/><Relationship Id="rId110" Type="http://schemas.openxmlformats.org/officeDocument/2006/relationships/hyperlink" Target="mailto:nkola@abkons.com" TargetMode="External"/><Relationship Id="rId115" Type="http://schemas.openxmlformats.org/officeDocument/2006/relationships/hyperlink" Target="mailto:hkamberi@abkons.com" TargetMode="External"/><Relationship Id="rId131" Type="http://schemas.openxmlformats.org/officeDocument/2006/relationships/image" Target="media/image84.jpeg"/><Relationship Id="rId136" Type="http://schemas.openxmlformats.org/officeDocument/2006/relationships/image" Target="media/image89.jpeg"/><Relationship Id="rId61" Type="http://schemas.openxmlformats.org/officeDocument/2006/relationships/chart" Target="charts/chart3.xml"/><Relationship Id="rId82" Type="http://schemas.openxmlformats.org/officeDocument/2006/relationships/image" Target="media/image55.png"/><Relationship Id="rId19" Type="http://schemas.openxmlformats.org/officeDocument/2006/relationships/image" Target="media/image5.png"/><Relationship Id="rId14" Type="http://schemas.openxmlformats.org/officeDocument/2006/relationships/endnotes" Target="endnotes.xml"/><Relationship Id="rId30" Type="http://schemas.openxmlformats.org/officeDocument/2006/relationships/footer" Target="footer1.xml"/><Relationship Id="rId35" Type="http://schemas.openxmlformats.org/officeDocument/2006/relationships/hyperlink" Target="http://www.akzm.gov.al/apps/akzm_cd/Kukes/KU_Mon/KU35.htm" TargetMode="External"/><Relationship Id="rId56" Type="http://schemas.openxmlformats.org/officeDocument/2006/relationships/image" Target="media/image34.png"/><Relationship Id="rId77" Type="http://schemas.openxmlformats.org/officeDocument/2006/relationships/image" Target="media/image50.png"/><Relationship Id="rId100" Type="http://schemas.openxmlformats.org/officeDocument/2006/relationships/hyperlink" Target="mailto:hkamberi@abkons.com" TargetMode="External"/><Relationship Id="rId105" Type="http://schemas.openxmlformats.org/officeDocument/2006/relationships/hyperlink" Target="mailto:rbiba@abkons.com" TargetMode="External"/><Relationship Id="rId126" Type="http://schemas.openxmlformats.org/officeDocument/2006/relationships/image" Target="media/image79.jpeg"/><Relationship Id="rId8" Type="http://schemas.openxmlformats.org/officeDocument/2006/relationships/customXml" Target="../customXml/item8.xml"/><Relationship Id="rId51" Type="http://schemas.openxmlformats.org/officeDocument/2006/relationships/image" Target="media/image30.jpeg"/><Relationship Id="rId72" Type="http://schemas.openxmlformats.org/officeDocument/2006/relationships/image" Target="media/image47.jpeg"/><Relationship Id="rId93" Type="http://schemas.openxmlformats.org/officeDocument/2006/relationships/image" Target="media/image66.png"/><Relationship Id="rId98" Type="http://schemas.openxmlformats.org/officeDocument/2006/relationships/image" Target="media/image71.jpeg"/><Relationship Id="rId121" Type="http://schemas.openxmlformats.org/officeDocument/2006/relationships/image" Target="media/image74.png"/><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11.jpeg"/><Relationship Id="rId46" Type="http://schemas.openxmlformats.org/officeDocument/2006/relationships/image" Target="media/image25.jpeg"/><Relationship Id="rId67" Type="http://schemas.openxmlformats.org/officeDocument/2006/relationships/image" Target="media/image42.png"/><Relationship Id="rId116" Type="http://schemas.openxmlformats.org/officeDocument/2006/relationships/hyperlink" Target="mailto:nkola@abkons.com" TargetMode="External"/><Relationship Id="rId137" Type="http://schemas.openxmlformats.org/officeDocument/2006/relationships/image" Target="media/image90.jpeg"/><Relationship Id="rId20" Type="http://schemas.openxmlformats.org/officeDocument/2006/relationships/image" Target="media/image6.png"/><Relationship Id="rId41" Type="http://schemas.openxmlformats.org/officeDocument/2006/relationships/image" Target="media/image20.jpeg"/><Relationship Id="rId62" Type="http://schemas.openxmlformats.org/officeDocument/2006/relationships/chart" Target="charts/chart4.xml"/><Relationship Id="rId83" Type="http://schemas.openxmlformats.org/officeDocument/2006/relationships/image" Target="media/image56.png"/><Relationship Id="rId88" Type="http://schemas.openxmlformats.org/officeDocument/2006/relationships/image" Target="media/image61.jpeg"/><Relationship Id="rId111" Type="http://schemas.openxmlformats.org/officeDocument/2006/relationships/hyperlink" Target="mailto:rbiba@abkons.com" TargetMode="External"/><Relationship Id="rId132" Type="http://schemas.openxmlformats.org/officeDocument/2006/relationships/image" Target="media/image85.jpeg"/><Relationship Id="rId15" Type="http://schemas.openxmlformats.org/officeDocument/2006/relationships/image" Target="media/image1.jpeg"/><Relationship Id="rId36" Type="http://schemas.openxmlformats.org/officeDocument/2006/relationships/hyperlink" Target="http://www.akzm.gov.al/apps/akzm_cd/Kukes/KU_Mon/KU35.htm" TargetMode="External"/><Relationship Id="rId57" Type="http://schemas.openxmlformats.org/officeDocument/2006/relationships/image" Target="media/image35.jpeg"/><Relationship Id="rId106" Type="http://schemas.openxmlformats.org/officeDocument/2006/relationships/hyperlink" Target="mailto:hkamberi@abkons.com" TargetMode="External"/><Relationship Id="rId127" Type="http://schemas.openxmlformats.org/officeDocument/2006/relationships/image" Target="media/image80.jpeg"/><Relationship Id="rId10" Type="http://schemas.openxmlformats.org/officeDocument/2006/relationships/styles" Target="styles.xml"/><Relationship Id="rId31" Type="http://schemas.openxmlformats.org/officeDocument/2006/relationships/hyperlink" Target="http://www.akzm.gov.al/apps/akzm_cd/Kukes/KU_Mon/KU35.htm" TargetMode="External"/><Relationship Id="rId52" Type="http://schemas.openxmlformats.org/officeDocument/2006/relationships/image" Target="media/image31.jpeg"/><Relationship Id="rId73" Type="http://schemas.openxmlformats.org/officeDocument/2006/relationships/chart" Target="charts/chart5.xml"/><Relationship Id="rId78" Type="http://schemas.openxmlformats.org/officeDocument/2006/relationships/image" Target="media/image51.png"/><Relationship Id="rId94" Type="http://schemas.openxmlformats.org/officeDocument/2006/relationships/image" Target="media/image67.png"/><Relationship Id="rId99" Type="http://schemas.openxmlformats.org/officeDocument/2006/relationships/image" Target="media/image72.jpeg"/><Relationship Id="rId101" Type="http://schemas.openxmlformats.org/officeDocument/2006/relationships/hyperlink" Target="mailto:nkola@abkons.com" TargetMode="External"/><Relationship Id="rId122" Type="http://schemas.openxmlformats.org/officeDocument/2006/relationships/image" Target="media/image75.pn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26" Type="http://schemas.openxmlformats.org/officeDocument/2006/relationships/image" Target="media/image12.jpeg"/><Relationship Id="rId47" Type="http://schemas.openxmlformats.org/officeDocument/2006/relationships/image" Target="media/image26.jpeg"/><Relationship Id="rId68" Type="http://schemas.openxmlformats.org/officeDocument/2006/relationships/image" Target="media/image43.png"/><Relationship Id="rId89" Type="http://schemas.openxmlformats.org/officeDocument/2006/relationships/image" Target="media/image62.jpeg"/><Relationship Id="rId112" Type="http://schemas.openxmlformats.org/officeDocument/2006/relationships/hyperlink" Target="mailto:hkamberi@abkons.com" TargetMode="External"/><Relationship Id="rId133" Type="http://schemas.openxmlformats.org/officeDocument/2006/relationships/image" Target="media/image86.jpeg"/><Relationship Id="rId16"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ec.europa.eu/environment/water/water-framework/facts_figures/guidance_docs_en.htm" TargetMode="External"/><Relationship Id="rId3" Type="http://schemas.openxmlformats.org/officeDocument/2006/relationships/hyperlink" Target="http://geoportal.asig.gov.al/" TargetMode="External"/><Relationship Id="rId7" Type="http://schemas.openxmlformats.org/officeDocument/2006/relationships/hyperlink" Target="http://ipafloods.ipacivilprotection.eu/wp-ontent/uploads/2016/11/Findings_Recommendations_Albania.pdf" TargetMode="External"/><Relationship Id="rId2" Type="http://schemas.openxmlformats.org/officeDocument/2006/relationships/hyperlink" Target="http://geoportal.asig.gov.al/" TargetMode="External"/><Relationship Id="rId1" Type="http://schemas.openxmlformats.org/officeDocument/2006/relationships/hyperlink" Target="http://land.copernicus.eu/" TargetMode="External"/><Relationship Id="rId6" Type="http://schemas.openxmlformats.org/officeDocument/2006/relationships/hyperlink" Target="http://reliefweb.int/report/albania/albania-floods-nov-1992-un-dha-situation-reports-1-4" TargetMode="External"/><Relationship Id="rId5" Type="http://schemas.openxmlformats.org/officeDocument/2006/relationships/hyperlink" Target="http://rmbel.info/lake-trophic-states-2/" TargetMode="External"/><Relationship Id="rId4" Type="http://schemas.openxmlformats.org/officeDocument/2006/relationships/hyperlink" Target="http://www.akzm.gov.al" TargetMode="External"/><Relationship Id="rId9" Type="http://schemas.openxmlformats.org/officeDocument/2006/relationships/hyperlink" Target="http://eur-lex.europa.eu/legal-content/en/ALL/?uri=CELEX:52013SC0512"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pie3DChart>
        <c:varyColors val="1"/>
        <c:ser>
          <c:idx val="0"/>
          <c:order val="0"/>
          <c:tx>
            <c:strRef>
              <c:f>Drini!$C$5</c:f>
              <c:strCache>
                <c:ptCount val="1"/>
                <c:pt idx="0">
                  <c:v>Popullsia që merr shërbimin e ujit të pijshëm</c:v>
                </c:pt>
              </c:strCache>
            </c:strRef>
          </c:tx>
          <c:explosion val="25"/>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baseline="0"/>
                      <a:t>Malësi e Madhe, [], []</a:t>
                    </a:r>
                  </a:p>
                </c:rich>
              </c:tx>
              <c:spPr>
                <a:noFill/>
                <a:ln w="25397">
                  <a:noFill/>
                </a:ln>
              </c:spPr>
              <c:dLblPos val="outEnd"/>
              <c:showLegendKey val="0"/>
              <c:showVal val="0"/>
              <c:showCatName val="0"/>
              <c:showSerName val="0"/>
              <c:showPercent val="0"/>
              <c:showBubbleSize val="0"/>
              <c:extLst>
                <c:ext xmlns:c15="http://schemas.microsoft.com/office/drawing/2012/chart" uri="{CE6537A1-D6FC-4f65-9D91-7224C49458BB}">
                  <c15:layout/>
                </c:ext>
              </c:extLst>
            </c:dLbl>
            <c:dLbl>
              <c:idx val="1"/>
              <c:spPr>
                <a:noFill/>
                <a:ln w="25397">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1"/>
              <c:showCatName val="1"/>
              <c:showSerName val="0"/>
              <c:showPercent val="1"/>
              <c:showBubbleSize val="0"/>
            </c:dLbl>
            <c:dLbl>
              <c:idx val="2"/>
              <c:layout>
                <c:manualLayout>
                  <c:x val="-1.0734527749248735E-3"/>
                  <c:y val="4.6141607000795545E-2"/>
                </c:manualLayout>
              </c:layout>
              <c:spPr>
                <a:noFill/>
                <a:ln w="25397">
                  <a:noFill/>
                </a:ln>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1"/>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layout/>
                </c:ext>
              </c:extLst>
            </c:dLbl>
            <c:dLbl>
              <c:idx val="3"/>
              <c:layout>
                <c:manualLayout>
                  <c:x val="0"/>
                  <c:y val="0.10501193317422435"/>
                </c:manualLayout>
              </c:layout>
              <c:spPr>
                <a:noFill/>
                <a:ln w="25397">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4"/>
              <c:spPr>
                <a:noFill/>
                <a:ln w="25397">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1"/>
              <c:showCatName val="1"/>
              <c:showSerName val="0"/>
              <c:showPercent val="1"/>
              <c:showBubbleSize val="0"/>
            </c:dLbl>
            <c:dLbl>
              <c:idx val="5"/>
              <c:spPr>
                <a:noFill/>
                <a:ln w="25397">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1"/>
              <c:showCatName val="1"/>
              <c:showSerName val="0"/>
              <c:showPercent val="1"/>
              <c:showBubbleSize val="0"/>
            </c:dLbl>
            <c:dLbl>
              <c:idx val="6"/>
              <c:layout>
                <c:manualLayout>
                  <c:x val="0"/>
                  <c:y val="6.3643595863166272E-2"/>
                </c:manualLayout>
              </c:layout>
              <c:spPr>
                <a:noFill/>
                <a:ln w="25397">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7"/>
              <c:spPr>
                <a:noFill/>
                <a:ln w="25397">
                  <a:noFill/>
                </a:ln>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outEnd"/>
              <c:showLegendKey val="0"/>
              <c:showVal val="1"/>
              <c:showCatName val="1"/>
              <c:showSerName val="0"/>
              <c:showPercent val="1"/>
              <c:showBubbleSize val="0"/>
            </c:dLbl>
            <c:dLbl>
              <c:idx val="8"/>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r>
                      <a:rPr lang="en-US"/>
                      <a:t>Tropojë</a:t>
                    </a:r>
                    <a:r>
                      <a:rPr lang="en-US" baseline="0"/>
                      <a:t>, [], []</a:t>
                    </a:r>
                  </a:p>
                </c:rich>
              </c:tx>
              <c:spPr>
                <a:noFill/>
                <a:ln w="25397">
                  <a:noFill/>
                </a:ln>
              </c:spPr>
              <c:dLblPos val="outEnd"/>
              <c:showLegendKey val="0"/>
              <c:showVal val="0"/>
              <c:showCatName val="0"/>
              <c:showSerName val="0"/>
              <c:showPercent val="0"/>
              <c:showBubbleSize val="0"/>
              <c:extLst>
                <c:ext xmlns:c15="http://schemas.microsoft.com/office/drawing/2012/chart" uri="{CE6537A1-D6FC-4f65-9D91-7224C49458BB}">
                  <c15:layout/>
                </c:ext>
              </c:extLst>
            </c:dLbl>
            <c:dLbl>
              <c:idx val="9"/>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r>
                      <a:rPr lang="en-US"/>
                      <a:t>Fushë Arrëz</a:t>
                    </a:r>
                    <a:r>
                      <a:rPr lang="en-US" baseline="0"/>
                      <a:t>, [], []</a:t>
                    </a:r>
                  </a:p>
                </c:rich>
              </c:tx>
              <c:spPr>
                <a:noFill/>
                <a:ln w="25397">
                  <a:noFill/>
                </a:ln>
              </c:spPr>
              <c:dLblPos val="outEnd"/>
              <c:showLegendKey val="0"/>
              <c:showVal val="0"/>
              <c:showCatName val="0"/>
              <c:showSerName val="0"/>
              <c:showPercent val="0"/>
              <c:showBubbleSize val="0"/>
              <c:extLst>
                <c:ext xmlns:c15="http://schemas.microsoft.com/office/drawing/2012/chart" uri="{CE6537A1-D6FC-4f65-9D91-7224C49458BB}">
                  <c15:layout/>
                </c:ext>
              </c:extLst>
            </c:dLbl>
            <c:spPr>
              <a:noFill/>
              <a:ln w="25397">
                <a:noFill/>
              </a:ln>
            </c:spPr>
            <c:dLblPos val="outEnd"/>
            <c:showLegendKey val="0"/>
            <c:showVal val="1"/>
            <c:showCatName val="1"/>
            <c:showSerName val="0"/>
            <c:showPercent val="1"/>
            <c:showBubbleSize val="0"/>
            <c:showLeaderLines val="0"/>
            <c:extLst>
              <c:ext xmlns:c15="http://schemas.microsoft.com/office/drawing/2012/chart" uri="{CE6537A1-D6FC-4f65-9D91-7224C49458BB}"/>
            </c:extLst>
          </c:dLbls>
          <c:cat>
            <c:strRef>
              <c:f>Drini!$B$6:$B$15</c:f>
              <c:strCache>
                <c:ptCount val="10"/>
                <c:pt idx="0">
                  <c:v>Malësi e Madhe</c:v>
                </c:pt>
                <c:pt idx="1">
                  <c:v>Shkodër</c:v>
                </c:pt>
                <c:pt idx="2">
                  <c:v>Vau Dejës</c:v>
                </c:pt>
                <c:pt idx="3">
                  <c:v>Pukë</c:v>
                </c:pt>
                <c:pt idx="4">
                  <c:v>Lezhë</c:v>
                </c:pt>
                <c:pt idx="5">
                  <c:v>Kukës</c:v>
                </c:pt>
                <c:pt idx="6">
                  <c:v>Peshkopi</c:v>
                </c:pt>
                <c:pt idx="7">
                  <c:v>Bulqizë</c:v>
                </c:pt>
                <c:pt idx="8">
                  <c:v>Tropojë</c:v>
                </c:pt>
                <c:pt idx="9">
                  <c:v>Fushë Arrëz</c:v>
                </c:pt>
              </c:strCache>
            </c:strRef>
          </c:cat>
          <c:val>
            <c:numRef>
              <c:f>Drini!$C$6:$C$15</c:f>
              <c:numCache>
                <c:formatCode>0%</c:formatCode>
                <c:ptCount val="10"/>
                <c:pt idx="0">
                  <c:v>0.72250000000000003</c:v>
                </c:pt>
                <c:pt idx="1">
                  <c:v>0.6</c:v>
                </c:pt>
                <c:pt idx="2">
                  <c:v>0.45190000000000002</c:v>
                </c:pt>
                <c:pt idx="3">
                  <c:v>0.35</c:v>
                </c:pt>
                <c:pt idx="4">
                  <c:v>0.91639999999999999</c:v>
                </c:pt>
                <c:pt idx="5">
                  <c:v>1</c:v>
                </c:pt>
                <c:pt idx="6">
                  <c:v>1</c:v>
                </c:pt>
                <c:pt idx="7">
                  <c:v>0.61319999999999997</c:v>
                </c:pt>
                <c:pt idx="8">
                  <c:v>0.75770000000000004</c:v>
                </c:pt>
                <c:pt idx="9">
                  <c:v>0.39839999999999998</c:v>
                </c:pt>
              </c:numCache>
            </c:numRef>
          </c:val>
        </c:ser>
        <c:dLbls>
          <c:showLegendKey val="0"/>
          <c:showVal val="0"/>
          <c:showCatName val="0"/>
          <c:showSerName val="0"/>
          <c:showPercent val="0"/>
          <c:showBubbleSize val="0"/>
          <c:showLeaderLines val="0"/>
        </c:dLbls>
      </c:pie3DChart>
      <c:spPr>
        <a:noFill/>
        <a:ln w="25397">
          <a:noFill/>
        </a:ln>
      </c:spPr>
    </c:plotArea>
    <c:plotVisOnly val="1"/>
    <c:dispBlanksAs val="zero"/>
    <c:showDLblsOverMax val="0"/>
  </c:chart>
  <c:spPr>
    <a:solidFill>
      <a:schemeClr val="bg1"/>
    </a:solidFill>
    <a:ln w="952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984562183698517"/>
          <c:y val="0.22125216671367487"/>
          <c:w val="0.86558710163466457"/>
          <c:h val="0.51231025191131707"/>
        </c:manualLayout>
      </c:layout>
      <c:barChart>
        <c:barDir val="bar"/>
        <c:grouping val="clustered"/>
        <c:varyColors val="0"/>
        <c:ser>
          <c:idx val="0"/>
          <c:order val="0"/>
          <c:tx>
            <c:strRef>
              <c:f>Drini!$E$45</c:f>
              <c:strCache>
                <c:ptCount val="1"/>
                <c:pt idx="0">
                  <c:v>Numri total i lidhjeve me sistemin e kanalizimeve - Total </c:v>
                </c:pt>
              </c:strCache>
            </c:strRef>
          </c:tx>
          <c:spPr>
            <a:solidFill>
              <a:schemeClr val="accent2"/>
            </a:solidFill>
            <a:ln w="25415" cap="flat" cmpd="sng" algn="ctr">
              <a:solidFill>
                <a:schemeClr val="accent2">
                  <a:shade val="50000"/>
                </a:schemeClr>
              </a:solidFill>
              <a:prstDash val="solid"/>
            </a:ln>
            <a:effectLst/>
          </c:spPr>
          <c:invertIfNegative val="0"/>
          <c:cat>
            <c:strRef>
              <c:f>Drini!$D$46:$D$56</c:f>
              <c:strCache>
                <c:ptCount val="11"/>
                <c:pt idx="0">
                  <c:v>Puke </c:v>
                </c:pt>
                <c:pt idx="1">
                  <c:v>Vau Dejes </c:v>
                </c:pt>
                <c:pt idx="2">
                  <c:v>Tropoje </c:v>
                </c:pt>
                <c:pt idx="3">
                  <c:v>Lezhe </c:v>
                </c:pt>
                <c:pt idx="4">
                  <c:v>Pogradec </c:v>
                </c:pt>
                <c:pt idx="5">
                  <c:v>Shkoder </c:v>
                </c:pt>
                <c:pt idx="6">
                  <c:v>Fush Arrez </c:v>
                </c:pt>
                <c:pt idx="7">
                  <c:v>Peshkopi</c:v>
                </c:pt>
                <c:pt idx="8">
                  <c:v>Bulqize </c:v>
                </c:pt>
                <c:pt idx="9">
                  <c:v>Has </c:v>
                </c:pt>
                <c:pt idx="10">
                  <c:v>Kukes </c:v>
                </c:pt>
              </c:strCache>
            </c:strRef>
          </c:cat>
          <c:val>
            <c:numRef>
              <c:f>Drini!$E$46:$E$56</c:f>
              <c:numCache>
                <c:formatCode>General</c:formatCode>
                <c:ptCount val="11"/>
                <c:pt idx="0" formatCode="#,##0">
                  <c:v>1183.4166666666699</c:v>
                </c:pt>
                <c:pt idx="1">
                  <c:v>0</c:v>
                </c:pt>
                <c:pt idx="2">
                  <c:v>0</c:v>
                </c:pt>
                <c:pt idx="3" formatCode="#,##0">
                  <c:v>8785.25</c:v>
                </c:pt>
                <c:pt idx="4" formatCode="#,##0">
                  <c:v>10564.583333333299</c:v>
                </c:pt>
                <c:pt idx="5" formatCode="#,##0">
                  <c:v>25604.250000000033</c:v>
                </c:pt>
                <c:pt idx="6" formatCode="#,##0">
                  <c:v>569</c:v>
                </c:pt>
                <c:pt idx="7" formatCode="#,##0">
                  <c:v>2841.25</c:v>
                </c:pt>
                <c:pt idx="8">
                  <c:v>0</c:v>
                </c:pt>
                <c:pt idx="9">
                  <c:v>0</c:v>
                </c:pt>
                <c:pt idx="10" formatCode="#,##0">
                  <c:v>3486</c:v>
                </c:pt>
              </c:numCache>
            </c:numRef>
          </c:val>
        </c:ser>
        <c:ser>
          <c:idx val="1"/>
          <c:order val="1"/>
          <c:tx>
            <c:strRef>
              <c:f>Drini!$G$45</c:f>
              <c:strCache>
                <c:ptCount val="1"/>
              </c:strCache>
            </c:strRef>
          </c:tx>
          <c:invertIfNegative val="0"/>
          <c:cat>
            <c:strRef>
              <c:f>Drini!$D$46:$D$56</c:f>
              <c:strCache>
                <c:ptCount val="11"/>
                <c:pt idx="0">
                  <c:v>Puke </c:v>
                </c:pt>
                <c:pt idx="1">
                  <c:v>Vau Dejes </c:v>
                </c:pt>
                <c:pt idx="2">
                  <c:v>Tropoje </c:v>
                </c:pt>
                <c:pt idx="3">
                  <c:v>Lezhe </c:v>
                </c:pt>
                <c:pt idx="4">
                  <c:v>Pogradec </c:v>
                </c:pt>
                <c:pt idx="5">
                  <c:v>Shkoder </c:v>
                </c:pt>
                <c:pt idx="6">
                  <c:v>Fush Arrez </c:v>
                </c:pt>
                <c:pt idx="7">
                  <c:v>Peshkopi</c:v>
                </c:pt>
                <c:pt idx="8">
                  <c:v>Bulqize </c:v>
                </c:pt>
                <c:pt idx="9">
                  <c:v>Has </c:v>
                </c:pt>
                <c:pt idx="10">
                  <c:v>Kukes </c:v>
                </c:pt>
              </c:strCache>
            </c:strRef>
          </c:cat>
          <c:val>
            <c:numRef>
              <c:f>Drini!$F$46:$F$56</c:f>
              <c:numCache>
                <c:formatCode>General</c:formatCode>
                <c:ptCount val="11"/>
              </c:numCache>
            </c:numRef>
          </c:val>
        </c:ser>
        <c:ser>
          <c:idx val="2"/>
          <c:order val="2"/>
          <c:tx>
            <c:strRef>
              <c:f>Drini!$H$45</c:f>
              <c:strCache>
                <c:ptCount val="1"/>
              </c:strCache>
            </c:strRef>
          </c:tx>
          <c:invertIfNegative val="0"/>
          <c:cat>
            <c:strRef>
              <c:f>Drini!$D$46:$D$56</c:f>
              <c:strCache>
                <c:ptCount val="11"/>
                <c:pt idx="0">
                  <c:v>Puke </c:v>
                </c:pt>
                <c:pt idx="1">
                  <c:v>Vau Dejes </c:v>
                </c:pt>
                <c:pt idx="2">
                  <c:v>Tropoje </c:v>
                </c:pt>
                <c:pt idx="3">
                  <c:v>Lezhe </c:v>
                </c:pt>
                <c:pt idx="4">
                  <c:v>Pogradec </c:v>
                </c:pt>
                <c:pt idx="5">
                  <c:v>Shkoder </c:v>
                </c:pt>
                <c:pt idx="6">
                  <c:v>Fush Arrez </c:v>
                </c:pt>
                <c:pt idx="7">
                  <c:v>Peshkopi</c:v>
                </c:pt>
                <c:pt idx="8">
                  <c:v>Bulqize </c:v>
                </c:pt>
                <c:pt idx="9">
                  <c:v>Has </c:v>
                </c:pt>
                <c:pt idx="10">
                  <c:v>Kukes </c:v>
                </c:pt>
              </c:strCache>
            </c:strRef>
          </c:cat>
          <c:val>
            <c:numRef>
              <c:f>Drini!$G$46:$G$56</c:f>
              <c:numCache>
                <c:formatCode>General</c:formatCode>
                <c:ptCount val="11"/>
              </c:numCache>
            </c:numRef>
          </c:val>
        </c:ser>
        <c:ser>
          <c:idx val="3"/>
          <c:order val="3"/>
          <c:tx>
            <c:strRef>
              <c:f>Drini!$H$47</c:f>
              <c:strCache>
                <c:ptCount val="1"/>
              </c:strCache>
            </c:strRef>
          </c:tx>
          <c:invertIfNegative val="0"/>
          <c:cat>
            <c:strRef>
              <c:f>Drini!$D$46:$D$56</c:f>
              <c:strCache>
                <c:ptCount val="11"/>
                <c:pt idx="0">
                  <c:v>Puke </c:v>
                </c:pt>
                <c:pt idx="1">
                  <c:v>Vau Dejes </c:v>
                </c:pt>
                <c:pt idx="2">
                  <c:v>Tropoje </c:v>
                </c:pt>
                <c:pt idx="3">
                  <c:v>Lezhe </c:v>
                </c:pt>
                <c:pt idx="4">
                  <c:v>Pogradec </c:v>
                </c:pt>
                <c:pt idx="5">
                  <c:v>Shkoder </c:v>
                </c:pt>
                <c:pt idx="6">
                  <c:v>Fush Arrez </c:v>
                </c:pt>
                <c:pt idx="7">
                  <c:v>Peshkopi</c:v>
                </c:pt>
                <c:pt idx="8">
                  <c:v>Bulqize </c:v>
                </c:pt>
                <c:pt idx="9">
                  <c:v>Has </c:v>
                </c:pt>
                <c:pt idx="10">
                  <c:v>Kukes </c:v>
                </c:pt>
              </c:strCache>
            </c:strRef>
          </c:cat>
          <c:val>
            <c:numRef>
              <c:f>Drini!$H$48:$H$58</c:f>
              <c:numCache>
                <c:formatCode>General</c:formatCode>
                <c:ptCount val="11"/>
              </c:numCache>
            </c:numRef>
          </c:val>
        </c:ser>
        <c:ser>
          <c:idx val="4"/>
          <c:order val="4"/>
          <c:tx>
            <c:strRef>
              <c:f>Drini!$I$47</c:f>
              <c:strCache>
                <c:ptCount val="1"/>
              </c:strCache>
            </c:strRef>
          </c:tx>
          <c:invertIfNegative val="0"/>
          <c:cat>
            <c:strRef>
              <c:f>Drini!$D$46:$D$56</c:f>
              <c:strCache>
                <c:ptCount val="11"/>
                <c:pt idx="0">
                  <c:v>Puke </c:v>
                </c:pt>
                <c:pt idx="1">
                  <c:v>Vau Dejes </c:v>
                </c:pt>
                <c:pt idx="2">
                  <c:v>Tropoje </c:v>
                </c:pt>
                <c:pt idx="3">
                  <c:v>Lezhe </c:v>
                </c:pt>
                <c:pt idx="4">
                  <c:v>Pogradec </c:v>
                </c:pt>
                <c:pt idx="5">
                  <c:v>Shkoder </c:v>
                </c:pt>
                <c:pt idx="6">
                  <c:v>Fush Arrez </c:v>
                </c:pt>
                <c:pt idx="7">
                  <c:v>Peshkopi</c:v>
                </c:pt>
                <c:pt idx="8">
                  <c:v>Bulqize </c:v>
                </c:pt>
                <c:pt idx="9">
                  <c:v>Has </c:v>
                </c:pt>
                <c:pt idx="10">
                  <c:v>Kukes </c:v>
                </c:pt>
              </c:strCache>
            </c:strRef>
          </c:cat>
          <c:val>
            <c:numRef>
              <c:f>Drini!$I$48:$I$58</c:f>
              <c:numCache>
                <c:formatCode>General</c:formatCode>
                <c:ptCount val="11"/>
              </c:numCache>
            </c:numRef>
          </c:val>
        </c:ser>
        <c:ser>
          <c:idx val="5"/>
          <c:order val="5"/>
          <c:tx>
            <c:strRef>
              <c:f>Drini!$J$47</c:f>
              <c:strCache>
                <c:ptCount val="1"/>
              </c:strCache>
            </c:strRef>
          </c:tx>
          <c:invertIfNegative val="0"/>
          <c:cat>
            <c:strRef>
              <c:f>Drini!$D$46:$D$56</c:f>
              <c:strCache>
                <c:ptCount val="11"/>
                <c:pt idx="0">
                  <c:v>Puke </c:v>
                </c:pt>
                <c:pt idx="1">
                  <c:v>Vau Dejes </c:v>
                </c:pt>
                <c:pt idx="2">
                  <c:v>Tropoje </c:v>
                </c:pt>
                <c:pt idx="3">
                  <c:v>Lezhe </c:v>
                </c:pt>
                <c:pt idx="4">
                  <c:v>Pogradec </c:v>
                </c:pt>
                <c:pt idx="5">
                  <c:v>Shkoder </c:v>
                </c:pt>
                <c:pt idx="6">
                  <c:v>Fush Arrez </c:v>
                </c:pt>
                <c:pt idx="7">
                  <c:v>Peshkopi</c:v>
                </c:pt>
                <c:pt idx="8">
                  <c:v>Bulqize </c:v>
                </c:pt>
                <c:pt idx="9">
                  <c:v>Has </c:v>
                </c:pt>
                <c:pt idx="10">
                  <c:v>Kukes </c:v>
                </c:pt>
              </c:strCache>
            </c:strRef>
          </c:cat>
          <c:val>
            <c:numRef>
              <c:f>Drini!$J$48:$J$58</c:f>
              <c:numCache>
                <c:formatCode>General</c:formatCode>
                <c:ptCount val="11"/>
              </c:numCache>
            </c:numRef>
          </c:val>
        </c:ser>
        <c:dLbls>
          <c:showLegendKey val="0"/>
          <c:showVal val="0"/>
          <c:showCatName val="0"/>
          <c:showSerName val="0"/>
          <c:showPercent val="0"/>
          <c:showBubbleSize val="0"/>
        </c:dLbls>
        <c:gapWidth val="150"/>
        <c:axId val="67265088"/>
        <c:axId val="67266720"/>
      </c:barChart>
      <c:catAx>
        <c:axId val="67265088"/>
        <c:scaling>
          <c:orientation val="minMax"/>
        </c:scaling>
        <c:delete val="0"/>
        <c:axPos val="l"/>
        <c:numFmt formatCode="General" sourceLinked="0"/>
        <c:majorTickMark val="out"/>
        <c:minorTickMark val="none"/>
        <c:tickLblPos val="nextTo"/>
        <c:txPr>
          <a:bodyPr/>
          <a:lstStyle/>
          <a:p>
            <a:pPr>
              <a:defRPr>
                <a:latin typeface="Arial" pitchFamily="34" charset="0"/>
                <a:cs typeface="Arial" pitchFamily="34" charset="0"/>
              </a:defRPr>
            </a:pPr>
            <a:endParaRPr lang="en-US"/>
          </a:p>
        </c:txPr>
        <c:crossAx val="67266720"/>
        <c:crosses val="autoZero"/>
        <c:auto val="1"/>
        <c:lblAlgn val="ctr"/>
        <c:lblOffset val="100"/>
        <c:noMultiLvlLbl val="0"/>
      </c:catAx>
      <c:valAx>
        <c:axId val="67266720"/>
        <c:scaling>
          <c:orientation val="minMax"/>
        </c:scaling>
        <c:delete val="0"/>
        <c:axPos val="b"/>
        <c:majorGridlines/>
        <c:numFmt formatCode="#,##0" sourceLinked="1"/>
        <c:majorTickMark val="out"/>
        <c:minorTickMark val="none"/>
        <c:tickLblPos val="nextTo"/>
        <c:crossAx val="67265088"/>
        <c:crosses val="autoZero"/>
        <c:crossBetween val="between"/>
      </c:valAx>
      <c:spPr>
        <a:solidFill>
          <a:sysClr val="window" lastClr="FFFFFF"/>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plotArea>
    <c:plotVisOnly val="1"/>
    <c:dispBlanksAs val="gap"/>
    <c:showDLblsOverMax val="0"/>
  </c:chart>
  <c:spPr>
    <a:noFill/>
    <a:ln>
      <a:solidFill>
        <a:schemeClr val="tx2">
          <a:lumMod val="50000"/>
        </a:schemeClr>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GB" sz="1000"/>
              <a:t>Bashkitë</a:t>
            </a:r>
          </a:p>
        </c:rich>
      </c:tx>
      <c:layout>
        <c:manualLayout>
          <c:xMode val="edge"/>
          <c:yMode val="edge"/>
          <c:x val="0.41019533084680204"/>
          <c:y val="2.5348728642121319E-2"/>
        </c:manualLayout>
      </c:layout>
      <c:overlay val="0"/>
      <c:spPr>
        <a:noFill/>
        <a:ln w="25398">
          <a:noFill/>
        </a:ln>
      </c:spPr>
    </c:title>
    <c:autoTitleDeleted val="0"/>
    <c:plotArea>
      <c:layout>
        <c:manualLayout>
          <c:layoutTarget val="inner"/>
          <c:xMode val="edge"/>
          <c:yMode val="edge"/>
          <c:x val="0.19118880520369677"/>
          <c:y val="0.12735666596808479"/>
          <c:w val="0.74723580909757592"/>
          <c:h val="0.63160144905841131"/>
        </c:manualLayout>
      </c:layout>
      <c:barChart>
        <c:barDir val="bar"/>
        <c:grouping val="clustered"/>
        <c:varyColors val="0"/>
        <c:ser>
          <c:idx val="0"/>
          <c:order val="0"/>
          <c:tx>
            <c:strRef>
              <c:f>Sheet1!$D$4</c:f>
              <c:strCache>
                <c:ptCount val="1"/>
                <c:pt idx="0">
                  <c:v>Municipalities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Sheet1!$B$5:$B$19</c:f>
              <c:strCache>
                <c:ptCount val="7"/>
                <c:pt idx="0">
                  <c:v>Kukes</c:v>
                </c:pt>
                <c:pt idx="1">
                  <c:v>Malesi e Madhe</c:v>
                </c:pt>
                <c:pt idx="2">
                  <c:v>Librazhd </c:v>
                </c:pt>
                <c:pt idx="3">
                  <c:v>Pogradec </c:v>
                </c:pt>
                <c:pt idx="4">
                  <c:v>Diber</c:v>
                </c:pt>
                <c:pt idx="5">
                  <c:v>Lezhe</c:v>
                </c:pt>
                <c:pt idx="6">
                  <c:v>Shkoder</c:v>
                </c:pt>
              </c:strCache>
            </c:strRef>
          </c:cat>
          <c:val>
            <c:numRef>
              <c:f>Sheet1!$D$5:$D$19</c:f>
              <c:numCache>
                <c:formatCode>#,##0.00\ [$€-1]</c:formatCode>
                <c:ptCount val="7"/>
                <c:pt idx="0">
                  <c:v>10.134798</c:v>
                </c:pt>
                <c:pt idx="1">
                  <c:v>5.1515519999999997</c:v>
                </c:pt>
                <c:pt idx="2">
                  <c:v>1.3627279999999999</c:v>
                </c:pt>
                <c:pt idx="3">
                  <c:v>12.89114</c:v>
                </c:pt>
                <c:pt idx="4">
                  <c:v>7.3320750000000006</c:v>
                </c:pt>
                <c:pt idx="5">
                  <c:v>7.1341420000000006</c:v>
                </c:pt>
                <c:pt idx="6">
                  <c:v>5.1515500000000003</c:v>
                </c:pt>
              </c:numCache>
            </c:numRef>
          </c:val>
        </c:ser>
        <c:dLbls>
          <c:showLegendKey val="0"/>
          <c:showVal val="0"/>
          <c:showCatName val="0"/>
          <c:showSerName val="0"/>
          <c:showPercent val="0"/>
          <c:showBubbleSize val="0"/>
        </c:dLbls>
        <c:gapWidth val="115"/>
        <c:overlap val="-20"/>
        <c:axId val="67268352"/>
        <c:axId val="67258016"/>
      </c:barChart>
      <c:catAx>
        <c:axId val="67268352"/>
        <c:scaling>
          <c:orientation val="minMax"/>
        </c:scaling>
        <c:delete val="0"/>
        <c:axPos val="l"/>
        <c:numFmt formatCode="General" sourceLinked="0"/>
        <c:majorTickMark val="none"/>
        <c:minorTickMark val="none"/>
        <c:tickLblPos val="nextTo"/>
        <c:spPr>
          <a:noFill/>
          <a:ln w="12699"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58016"/>
        <c:crosses val="autoZero"/>
        <c:auto val="1"/>
        <c:lblAlgn val="ctr"/>
        <c:lblOffset val="100"/>
        <c:noMultiLvlLbl val="0"/>
      </c:catAx>
      <c:valAx>
        <c:axId val="67258016"/>
        <c:scaling>
          <c:orientation val="minMax"/>
        </c:scaling>
        <c:delete val="0"/>
        <c:axPos val="b"/>
        <c:majorGridlines>
          <c:spPr>
            <a:ln w="9524" cap="flat" cmpd="sng" algn="ctr">
              <a:solidFill>
                <a:schemeClr val="tx1">
                  <a:lumMod val="15000"/>
                  <a:lumOff val="85000"/>
                </a:schemeClr>
              </a:solidFill>
              <a:round/>
            </a:ln>
            <a:effectLst/>
          </c:spPr>
        </c:majorGridlines>
        <c:title>
          <c:tx>
            <c:rich>
              <a:bodyPr/>
              <a:lstStyle/>
              <a:p>
                <a:pPr>
                  <a:defRPr sz="900" b="0" i="0" u="none" strike="noStrike" baseline="0">
                    <a:solidFill>
                      <a:srgbClr val="333333"/>
                    </a:solidFill>
                    <a:latin typeface="Arial"/>
                    <a:ea typeface="Arial"/>
                    <a:cs typeface="Arial"/>
                  </a:defRPr>
                </a:pPr>
                <a:r>
                  <a:rPr lang="sq-AL"/>
                  <a:t>milion EUR</a:t>
                </a:r>
              </a:p>
            </c:rich>
          </c:tx>
          <c:layout>
            <c:manualLayout>
              <c:xMode val="edge"/>
              <c:yMode val="edge"/>
              <c:x val="0.50100253257816463"/>
              <c:y val="0.89046963991161188"/>
            </c:manualLayout>
          </c:layout>
          <c:overlay val="0"/>
          <c:spPr>
            <a:noFill/>
            <a:ln w="25398">
              <a:noFill/>
            </a:ln>
          </c:spPr>
        </c:title>
        <c:numFmt formatCode="#,##0.00\ [$€-1]"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68352"/>
        <c:crosses val="autoZero"/>
        <c:crossBetween val="between"/>
      </c:valAx>
      <c:spPr>
        <a:noFill/>
        <a:ln w="25398">
          <a:noFill/>
        </a:ln>
      </c:spPr>
    </c:plotArea>
    <c:plotVisOnly val="1"/>
    <c:dispBlanksAs val="gap"/>
    <c:showDLblsOverMax val="0"/>
  </c:chart>
  <c:spPr>
    <a:solidFill>
      <a:schemeClr val="bg1"/>
    </a:solidFill>
    <a:ln w="952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GB" sz="1000"/>
              <a:t>Bashkitë</a:t>
            </a:r>
          </a:p>
        </c:rich>
      </c:tx>
      <c:layout/>
      <c:overlay val="0"/>
      <c:spPr>
        <a:noFill/>
        <a:ln w="25397">
          <a:noFill/>
        </a:ln>
      </c:spPr>
    </c:title>
    <c:autoTitleDeleted val="0"/>
    <c:plotArea>
      <c:layout>
        <c:manualLayout>
          <c:layoutTarget val="inner"/>
          <c:xMode val="edge"/>
          <c:yMode val="edge"/>
          <c:x val="0.122452615996124"/>
          <c:y val="0.13294647410779836"/>
          <c:w val="0.858887505240995"/>
          <c:h val="0.73067656827256799"/>
        </c:manualLayout>
      </c:layout>
      <c:barChart>
        <c:barDir val="bar"/>
        <c:grouping val="clustered"/>
        <c:varyColors val="0"/>
        <c:ser>
          <c:idx val="0"/>
          <c:order val="0"/>
          <c:tx>
            <c:strRef>
              <c:f>Sheet2!$D$4</c:f>
              <c:strCache>
                <c:ptCount val="1"/>
                <c:pt idx="0">
                  <c:v>Municipalities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Sheet2!$B$5:$B$43</c:f>
              <c:strCache>
                <c:ptCount val="10"/>
                <c:pt idx="0">
                  <c:v>Bulqize</c:v>
                </c:pt>
                <c:pt idx="1">
                  <c:v>Has</c:v>
                </c:pt>
                <c:pt idx="2">
                  <c:v>Librazhd</c:v>
                </c:pt>
                <c:pt idx="3">
                  <c:v>Shkoder</c:v>
                </c:pt>
                <c:pt idx="4">
                  <c:v>Fush Arrez</c:v>
                </c:pt>
                <c:pt idx="5">
                  <c:v>Vau I Dejes</c:v>
                </c:pt>
                <c:pt idx="6">
                  <c:v>Diber</c:v>
                </c:pt>
                <c:pt idx="7">
                  <c:v>Lezhe</c:v>
                </c:pt>
                <c:pt idx="8">
                  <c:v>Kukes</c:v>
                </c:pt>
                <c:pt idx="9">
                  <c:v>Elbasan   (Librazhd)</c:v>
                </c:pt>
              </c:strCache>
            </c:strRef>
          </c:cat>
          <c:val>
            <c:numRef>
              <c:f>Sheet2!$D$5:$D$43</c:f>
              <c:numCache>
                <c:formatCode>#,##0.00\ [$€-1]</c:formatCode>
                <c:ptCount val="10"/>
                <c:pt idx="0">
                  <c:v>1.75397</c:v>
                </c:pt>
                <c:pt idx="1">
                  <c:v>4.3139250000000002</c:v>
                </c:pt>
                <c:pt idx="2">
                  <c:v>7.544664</c:v>
                </c:pt>
                <c:pt idx="3">
                  <c:v>95.202300999999977</c:v>
                </c:pt>
                <c:pt idx="4">
                  <c:v>0.351879</c:v>
                </c:pt>
                <c:pt idx="5">
                  <c:v>0.40961500000000001</c:v>
                </c:pt>
                <c:pt idx="6">
                  <c:v>24.794819000000004</c:v>
                </c:pt>
                <c:pt idx="7">
                  <c:v>3.8693719999999998</c:v>
                </c:pt>
                <c:pt idx="8">
                  <c:v>22.546111000000003</c:v>
                </c:pt>
                <c:pt idx="9">
                  <c:v>4.9732599999999998</c:v>
                </c:pt>
              </c:numCache>
            </c:numRef>
          </c:val>
        </c:ser>
        <c:dLbls>
          <c:showLegendKey val="0"/>
          <c:showVal val="0"/>
          <c:showCatName val="0"/>
          <c:showSerName val="0"/>
          <c:showPercent val="0"/>
          <c:showBubbleSize val="0"/>
        </c:dLbls>
        <c:gapWidth val="115"/>
        <c:overlap val="-20"/>
        <c:axId val="67268896"/>
        <c:axId val="67269984"/>
      </c:barChart>
      <c:catAx>
        <c:axId val="67268896"/>
        <c:scaling>
          <c:orientation val="minMax"/>
        </c:scaling>
        <c:delete val="0"/>
        <c:axPos val="l"/>
        <c:numFmt formatCode="General" sourceLinked="0"/>
        <c:majorTickMark val="none"/>
        <c:minorTickMark val="none"/>
        <c:tickLblPos val="nextTo"/>
        <c:spPr>
          <a:noFill/>
          <a:ln w="12698"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69984"/>
        <c:crosses val="autoZero"/>
        <c:auto val="1"/>
        <c:lblAlgn val="ctr"/>
        <c:lblOffset val="100"/>
        <c:noMultiLvlLbl val="0"/>
      </c:catAx>
      <c:valAx>
        <c:axId val="67269984"/>
        <c:scaling>
          <c:orientation val="minMax"/>
        </c:scaling>
        <c:delete val="0"/>
        <c:axPos val="b"/>
        <c:majorGridlines>
          <c:spPr>
            <a:ln w="9524" cap="flat" cmpd="sng" algn="ctr">
              <a:solidFill>
                <a:schemeClr val="tx1">
                  <a:lumMod val="15000"/>
                  <a:lumOff val="85000"/>
                </a:schemeClr>
              </a:solidFill>
              <a:round/>
            </a:ln>
            <a:effectLst/>
          </c:spPr>
        </c:majorGridlines>
        <c:title>
          <c:tx>
            <c:rich>
              <a:bodyPr/>
              <a:lstStyle/>
              <a:p>
                <a:pPr>
                  <a:defRPr sz="900" b="0" i="0" u="none" strike="noStrike" baseline="0">
                    <a:solidFill>
                      <a:srgbClr val="333333"/>
                    </a:solidFill>
                    <a:latin typeface="Arial"/>
                    <a:ea typeface="Arial"/>
                    <a:cs typeface="Arial"/>
                  </a:defRPr>
                </a:pPr>
                <a:r>
                  <a:rPr lang="sq-AL"/>
                  <a:t>milion  EUR</a:t>
                </a:r>
              </a:p>
            </c:rich>
          </c:tx>
          <c:layout/>
          <c:overlay val="0"/>
          <c:spPr>
            <a:noFill/>
            <a:ln w="25397">
              <a:noFill/>
            </a:ln>
          </c:spPr>
        </c:title>
        <c:numFmt formatCode="#,##0\ [$€-803]" sourceLinked="0"/>
        <c:majorTickMark val="none"/>
        <c:minorTickMark val="none"/>
        <c:tickLblPos val="nextTo"/>
        <c:spPr>
          <a:ln w="6349">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68896"/>
        <c:crosses val="autoZero"/>
        <c:crossBetween val="between"/>
      </c:valAx>
      <c:spPr>
        <a:noFill/>
        <a:ln w="25397">
          <a:noFill/>
        </a:ln>
      </c:spPr>
    </c:plotArea>
    <c:plotVisOnly val="1"/>
    <c:dispBlanksAs val="gap"/>
    <c:showDLblsOverMax val="0"/>
  </c:chart>
  <c:spPr>
    <a:solidFill>
      <a:schemeClr val="bg1"/>
    </a:solidFill>
    <a:ln w="952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600"/>
              <a:t>Statusi i HEC-ve në Basenin Drin - Bunë</a:t>
            </a:r>
          </a:p>
        </c:rich>
      </c:tx>
      <c:layout/>
      <c:overlay val="0"/>
    </c:title>
    <c:autoTitleDeleted val="0"/>
    <c:plotArea>
      <c:layout/>
      <c:barChart>
        <c:barDir val="bar"/>
        <c:grouping val="clustered"/>
        <c:varyColors val="0"/>
        <c:ser>
          <c:idx val="0"/>
          <c:order val="0"/>
          <c:invertIfNegative val="0"/>
          <c:dLbls>
            <c:dLbl>
              <c:idx val="0"/>
              <c:layout/>
              <c:tx>
                <c:rich>
                  <a:bodyPr/>
                  <a:lstStyle/>
                  <a:p>
                    <a:r>
                      <a:rPr lang="en-US"/>
                      <a:t>29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ADD-4651-ACD0-35F7862AE378}"/>
                </c:ext>
                <c:ext xmlns:c15="http://schemas.microsoft.com/office/drawing/2012/chart" uri="{CE6537A1-D6FC-4f65-9D91-7224C49458BB}">
                  <c15:layout/>
                </c:ext>
              </c:extLst>
            </c:dLbl>
            <c:dLbl>
              <c:idx val="1"/>
              <c:layout/>
              <c:tx>
                <c:rich>
                  <a:bodyPr/>
                  <a:lstStyle/>
                  <a:p>
                    <a:r>
                      <a:rPr lang="en-US"/>
                      <a:t>23</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ADD-4651-ACD0-35F7862AE378}"/>
                </c:ext>
                <c:ext xmlns:c15="http://schemas.microsoft.com/office/drawing/2012/chart" uri="{CE6537A1-D6FC-4f65-9D91-7224C49458BB}">
                  <c15:layout/>
                </c:ext>
              </c:extLst>
            </c:dLbl>
            <c:dLbl>
              <c:idx val="2"/>
              <c:layout/>
              <c:tx>
                <c:rich>
                  <a:bodyPr/>
                  <a:lstStyle/>
                  <a:p>
                    <a:r>
                      <a:rPr lang="en-US"/>
                      <a:t>69</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ADD-4651-ACD0-35F7862AE378}"/>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'[Chart in Microsoft Word]Pellgu, Lumi, Kuota'!$S$4:$U$4</c:f>
              <c:strCache>
                <c:ptCount val="3"/>
                <c:pt idx="0">
                  <c:v>Ne funksionim</c:v>
                </c:pt>
                <c:pt idx="1">
                  <c:v>Ne ndertim </c:v>
                </c:pt>
                <c:pt idx="2">
                  <c:v>Nuk ka filluar ndertimi</c:v>
                </c:pt>
              </c:strCache>
            </c:strRef>
          </c:cat>
          <c:val>
            <c:numRef>
              <c:f>'[Chart in Microsoft Word]Pellgu, Lumi, Kuota'!$S$5:$U$5</c:f>
              <c:numCache>
                <c:formatCode>General</c:formatCode>
                <c:ptCount val="3"/>
                <c:pt idx="0">
                  <c:v>22</c:v>
                </c:pt>
                <c:pt idx="1">
                  <c:v>8</c:v>
                </c:pt>
                <c:pt idx="2">
                  <c:v>86</c:v>
                </c:pt>
              </c:numCache>
            </c:numRef>
          </c:val>
          <c:extLst xmlns:c16r2="http://schemas.microsoft.com/office/drawing/2015/06/chart">
            <c:ext xmlns:c16="http://schemas.microsoft.com/office/drawing/2014/chart" uri="{C3380CC4-5D6E-409C-BE32-E72D297353CC}">
              <c16:uniqueId val="{00000000-2BD2-4648-9287-53D3CC02B33F}"/>
            </c:ext>
          </c:extLst>
        </c:ser>
        <c:dLbls>
          <c:showLegendKey val="0"/>
          <c:showVal val="1"/>
          <c:showCatName val="0"/>
          <c:showSerName val="0"/>
          <c:showPercent val="0"/>
          <c:showBubbleSize val="0"/>
        </c:dLbls>
        <c:gapWidth val="150"/>
        <c:axId val="67265632"/>
        <c:axId val="67259648"/>
      </c:barChart>
      <c:catAx>
        <c:axId val="67265632"/>
        <c:scaling>
          <c:orientation val="minMax"/>
        </c:scaling>
        <c:delete val="0"/>
        <c:axPos val="l"/>
        <c:numFmt formatCode="General" sourceLinked="0"/>
        <c:majorTickMark val="none"/>
        <c:minorTickMark val="none"/>
        <c:tickLblPos val="nextTo"/>
        <c:crossAx val="67259648"/>
        <c:crosses val="autoZero"/>
        <c:auto val="0"/>
        <c:lblAlgn val="ctr"/>
        <c:lblOffset val="100"/>
        <c:noMultiLvlLbl val="0"/>
      </c:catAx>
      <c:valAx>
        <c:axId val="67259648"/>
        <c:scaling>
          <c:orientation val="minMax"/>
        </c:scaling>
        <c:delete val="1"/>
        <c:axPos val="b"/>
        <c:numFmt formatCode="General" sourceLinked="1"/>
        <c:majorTickMark val="out"/>
        <c:minorTickMark val="none"/>
        <c:tickLblPos val="nextTo"/>
        <c:crossAx val="67265632"/>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MM Turquoise">
    <a:dk1>
      <a:srgbClr val="000000"/>
    </a:dk1>
    <a:lt1>
      <a:srgbClr val="FFFFFF"/>
    </a:lt1>
    <a:dk2>
      <a:srgbClr val="616061"/>
    </a:dk2>
    <a:lt2>
      <a:srgbClr val="E4E1DC"/>
    </a:lt2>
    <a:accent1>
      <a:srgbClr val="27BDBE"/>
    </a:accent1>
    <a:accent2>
      <a:srgbClr val="009E9A"/>
    </a:accent2>
    <a:accent3>
      <a:srgbClr val="2988C9"/>
    </a:accent3>
    <a:accent4>
      <a:srgbClr val="276F9A"/>
    </a:accent4>
    <a:accent5>
      <a:srgbClr val="3FB65B"/>
    </a:accent5>
    <a:accent6>
      <a:srgbClr val="803594"/>
    </a:accent6>
    <a:hlink>
      <a:srgbClr val="27BDBE"/>
    </a:hlink>
    <a:folHlink>
      <a:srgbClr val="803594"/>
    </a:folHlink>
  </a:clrScheme>
  <a:fontScheme name="MMFontTheme">
    <a:majorFont>
      <a:latin typeface="Arial"/>
      <a:ea typeface="SimSun"/>
      <a:cs typeface="Arial"/>
    </a:majorFont>
    <a:minorFont>
      <a:latin typeface="Arial"/>
      <a:ea typeface="SimSun"/>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MM Turquoise">
    <a:dk1>
      <a:srgbClr val="000000"/>
    </a:dk1>
    <a:lt1>
      <a:srgbClr val="FFFFFF"/>
    </a:lt1>
    <a:dk2>
      <a:srgbClr val="616061"/>
    </a:dk2>
    <a:lt2>
      <a:srgbClr val="E4E1DC"/>
    </a:lt2>
    <a:accent1>
      <a:srgbClr val="27BDBE"/>
    </a:accent1>
    <a:accent2>
      <a:srgbClr val="009E9A"/>
    </a:accent2>
    <a:accent3>
      <a:srgbClr val="2988C9"/>
    </a:accent3>
    <a:accent4>
      <a:srgbClr val="276F9A"/>
    </a:accent4>
    <a:accent5>
      <a:srgbClr val="3FB65B"/>
    </a:accent5>
    <a:accent6>
      <a:srgbClr val="803594"/>
    </a:accent6>
    <a:hlink>
      <a:srgbClr val="27BDBE"/>
    </a:hlink>
    <a:folHlink>
      <a:srgbClr val="803594"/>
    </a:folHlink>
  </a:clrScheme>
  <a:fontScheme name="MMFontTheme">
    <a:majorFont>
      <a:latin typeface="Arial"/>
      <a:ea typeface="SimSun"/>
      <a:cs typeface="Arial"/>
    </a:majorFont>
    <a:minorFont>
      <a:latin typeface="Arial"/>
      <a:ea typeface="SimSun"/>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MM Turquoise">
    <a:dk1>
      <a:srgbClr val="000000"/>
    </a:dk1>
    <a:lt1>
      <a:srgbClr val="FFFFFF"/>
    </a:lt1>
    <a:dk2>
      <a:srgbClr val="616061"/>
    </a:dk2>
    <a:lt2>
      <a:srgbClr val="E4E1DC"/>
    </a:lt2>
    <a:accent1>
      <a:srgbClr val="27BDBE"/>
    </a:accent1>
    <a:accent2>
      <a:srgbClr val="009E9A"/>
    </a:accent2>
    <a:accent3>
      <a:srgbClr val="2988C9"/>
    </a:accent3>
    <a:accent4>
      <a:srgbClr val="276F9A"/>
    </a:accent4>
    <a:accent5>
      <a:srgbClr val="3FB65B"/>
    </a:accent5>
    <a:accent6>
      <a:srgbClr val="803594"/>
    </a:accent6>
    <a:hlink>
      <a:srgbClr val="27BDBE"/>
    </a:hlink>
    <a:folHlink>
      <a:srgbClr val="803594"/>
    </a:folHlink>
  </a:clrScheme>
  <a:fontScheme name="MMFontTheme">
    <a:majorFont>
      <a:latin typeface="Arial"/>
      <a:ea typeface="SimSun"/>
      <a:cs typeface="Arial"/>
    </a:majorFont>
    <a:minorFont>
      <a:latin typeface="Arial"/>
      <a:ea typeface="SimSun"/>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MM Turquoise">
    <a:dk1>
      <a:srgbClr val="000000"/>
    </a:dk1>
    <a:lt1>
      <a:srgbClr val="FFFFFF"/>
    </a:lt1>
    <a:dk2>
      <a:srgbClr val="616061"/>
    </a:dk2>
    <a:lt2>
      <a:srgbClr val="E4E1DC"/>
    </a:lt2>
    <a:accent1>
      <a:srgbClr val="27BDBE"/>
    </a:accent1>
    <a:accent2>
      <a:srgbClr val="009E9A"/>
    </a:accent2>
    <a:accent3>
      <a:srgbClr val="2988C9"/>
    </a:accent3>
    <a:accent4>
      <a:srgbClr val="276F9A"/>
    </a:accent4>
    <a:accent5>
      <a:srgbClr val="3FB65B"/>
    </a:accent5>
    <a:accent6>
      <a:srgbClr val="803594"/>
    </a:accent6>
    <a:hlink>
      <a:srgbClr val="27BDBE"/>
    </a:hlink>
    <a:folHlink>
      <a:srgbClr val="803594"/>
    </a:folHlink>
  </a:clrScheme>
  <a:fontScheme name="MMFontTheme">
    <a:majorFont>
      <a:latin typeface="Arial"/>
      <a:ea typeface="SimSun"/>
      <a:cs typeface="Arial"/>
    </a:majorFont>
    <a:minorFont>
      <a:latin typeface="Arial"/>
      <a:ea typeface="SimSun"/>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849</Nr_x002e__x0020_akti>
    <Data_x0020_e_x0020_Krijimit xmlns="0e656187-b300-4fb0-8bf4-3a50f872073c">2020-11-06T10:22:42Z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2020-11-04T23:00:00Z</Date_x0020_protokolli>
    <Titulli xmlns="0e656187-b300-4fb0-8bf4-3a50f872073c">Për miratimin e planit të menaxhimit të basenit ujor Drin – Bunë</Titulli>
    <Modifikuesi xmlns="0e656187-b300-4fb0-8bf4-3a50f872073c">entela.suli</Modifikuesi>
    <Nr_x002e__x0020_prot_x0020_QBZ xmlns="0e656187-b300-4fb0-8bf4-3a50f872073c">1635</Nr_x002e__x0020_prot_x0020_QBZ>
    <Data_x0020_e_x0020_Modifikimit xmlns="0e656187-b300-4fb0-8bf4-3a50f872073c">2020-11-06T10:23:42Z</Data_x0020_e_x0020_Modifikimit>
    <Dekretuar xmlns="0e656187-b300-4fb0-8bf4-3a50f872073c">false</Dekretuar>
    <Data xmlns="0e656187-b300-4fb0-8bf4-3a50f872073c">2020-11-03T23:00:00Z</Data>
    <Nr_x002e__x0020_protokolli_x0020_i_x0020_aktit xmlns="0e656187-b300-4fb0-8bf4-3a50f872073c">1222/1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A192B25B49E4FDBBE7F3A98661E1F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849</Nr_x002e__x0020_akti>
    <Data_x0020_e_x0020_Krijimit xmlns="0e656187-b300-4fb0-8bf4-3a50f872073c">2020-11-06T10:22:42Z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2020-11-04T23:00:00Z</Date_x0020_protokolli>
    <Titulli xmlns="0e656187-b300-4fb0-8bf4-3a50f872073c">Për miratimin e planit të menaxhimit të basenit ujor Drin – Bunë</Titulli>
    <Modifikuesi xmlns="0e656187-b300-4fb0-8bf4-3a50f872073c">entela.suli</Modifikuesi>
    <Nr_x002e__x0020_prot_x0020_QBZ xmlns="0e656187-b300-4fb0-8bf4-3a50f872073c">1635</Nr_x002e__x0020_prot_x0020_QBZ>
    <Data_x0020_e_x0020_Modifikimit xmlns="0e656187-b300-4fb0-8bf4-3a50f872073c">2020-11-06T10:23:42Z</Data_x0020_e_x0020_Modifikimit>
    <Dekretuar xmlns="0e656187-b300-4fb0-8bf4-3a50f872073c">false</Dekretuar>
    <Data xmlns="0e656187-b300-4fb0-8bf4-3a50f872073c">2020-11-03T23:00:00Z</Data>
    <Nr_x002e__x0020_protokolli_x0020_i_x0020_aktit xmlns="0e656187-b300-4fb0-8bf4-3a50f872073c">1222/1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A192B25B49E4FDBBE7F3A98661E1F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19C3B-C646-4536-8F5B-80AC91006C3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EF26D2A-2B55-46B4-B9E2-F77326B84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8C5E1F6-2814-4E23-99F9-28F0C705A0ED}">
  <ds:schemaRef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infopath/2007/PartnerControls"/>
  </ds:schemaRefs>
</ds:datastoreItem>
</file>

<file path=customXml/itemProps4.xml><?xml version="1.0" encoding="utf-8"?>
<ds:datastoreItem xmlns:ds="http://schemas.openxmlformats.org/officeDocument/2006/customXml" ds:itemID="{652FC8C6-FC38-4576-9F56-7B99329A6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F0DB978-7E79-47F5-87B8-0AE32DEF527F}">
  <ds:schemaRefs>
    <ds:schemaRef ds:uri="http://schemas.microsoft.com/sharepoint/v3/contenttype/forms"/>
  </ds:schemaRefs>
</ds:datastoreItem>
</file>

<file path=customXml/itemProps6.xml><?xml version="1.0" encoding="utf-8"?>
<ds:datastoreItem xmlns:ds="http://schemas.openxmlformats.org/officeDocument/2006/customXml" ds:itemID="{7AD13859-978B-4950-97D7-2DCF0CD10493}">
  <ds:schemaRefs>
    <ds:schemaRef ds:uri="http://schemas.microsoft.com/sharepoint/v3/contenttype/forms"/>
  </ds:schemaRefs>
</ds:datastoreItem>
</file>

<file path=customXml/itemProps7.xml><?xml version="1.0" encoding="utf-8"?>
<ds:datastoreItem xmlns:ds="http://schemas.openxmlformats.org/officeDocument/2006/customXml" ds:itemID="{A6AF2F25-6F48-4BE5-B4D6-628B3D633B93}">
  <ds:schemaRefs>
    <ds:schemaRef ds:uri="http://schemas.openxmlformats.org/officeDocument/2006/bibliography"/>
  </ds:schemaRefs>
</ds:datastoreItem>
</file>

<file path=customXml/itemProps8.xml><?xml version="1.0" encoding="utf-8"?>
<ds:datastoreItem xmlns:ds="http://schemas.openxmlformats.org/officeDocument/2006/customXml" ds:itemID="{EC53184B-0D08-4A1E-AA5C-63A8006A2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2578</TotalTime>
  <Pages>302</Pages>
  <Words>106857</Words>
  <Characters>609085</Characters>
  <Application>Microsoft Office Word</Application>
  <DocSecurity>0</DocSecurity>
  <Lines>5075</Lines>
  <Paragraphs>1429</Paragraphs>
  <ScaleCrop>false</ScaleCrop>
  <HeadingPairs>
    <vt:vector size="2" baseType="variant">
      <vt:variant>
        <vt:lpstr>Title</vt:lpstr>
      </vt:variant>
      <vt:variant>
        <vt:i4>1</vt:i4>
      </vt:variant>
    </vt:vector>
  </HeadingPairs>
  <TitlesOfParts>
    <vt:vector size="1" baseType="lpstr">
      <vt:lpstr>Projektvendimi propozues.</vt:lpstr>
    </vt:vector>
  </TitlesOfParts>
  <Company/>
  <LinksUpToDate>false</LinksUpToDate>
  <CharactersWithSpaces>714513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propozues.</dc:title>
  <dc:creator>admin123</dc:creator>
  <cp:lastModifiedBy>Amarilda Halilaj</cp:lastModifiedBy>
  <cp:revision>176</cp:revision>
  <cp:lastPrinted>2020-11-04T11:23:00Z</cp:lastPrinted>
  <dcterms:created xsi:type="dcterms:W3CDTF">2020-11-09T12:00:00Z</dcterms:created>
  <dcterms:modified xsi:type="dcterms:W3CDTF">2020-11-13T10:05:00Z</dcterms:modified>
</cp:coreProperties>
</file>